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13.020.01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Z00/09</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pPr>
        <w:pStyle w:val="52"/>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7"/>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8"/>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2"/>
        <w:framePr w:w="9639" w:h="6976" w:hRule="exact" w:hSpace="0" w:vSpace="0" w:wrap="around" w:hAnchor="page" w:y="6408"/>
        <w:jc w:val="center"/>
        <w:rPr>
          <w:rFonts w:ascii="黑体" w:hAnsi="黑体" w:eastAsia="黑体"/>
          <w:b w:val="0"/>
          <w:bCs w:val="0"/>
          <w:w w:val="100"/>
        </w:rPr>
      </w:pPr>
    </w:p>
    <w:p>
      <w:pPr>
        <w:pStyle w:val="19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城市河道水环境综合整治工程设计标准</w:t>
      </w:r>
      <w:r>
        <w:fldChar w:fldCharType="end"/>
      </w:r>
      <w:bookmarkEnd w:id="9"/>
    </w:p>
    <w:p>
      <w:pPr>
        <w:framePr w:w="9639" w:h="6974" w:hRule="exact" w:wrap="around" w:vAnchor="page" w:hAnchor="page" w:x="1419" w:y="6408" w:anchorLock="1"/>
        <w:ind w:left="-1418"/>
      </w:pPr>
    </w:p>
    <w:p>
      <w:pPr>
        <w:pStyle w:val="127"/>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Design standard for comprehensive regulation engineering of urban river water environment </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p>
    <w:p>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w:t>
      </w:r>
      <w:r>
        <w:rPr>
          <w:rFonts w:hAnsi="黑体"/>
          <w:w w:val="100"/>
          <w:sz w:val="28"/>
        </w:rPr>
        <w:t>市场监督</w:t>
      </w:r>
      <w:r>
        <w:rPr>
          <w:rFonts w:hint="eastAsia" w:hAnsi="黑体"/>
          <w:w w:val="100"/>
          <w:sz w:val="28"/>
        </w:rPr>
        <w:t>管理局 江苏</w:t>
      </w:r>
      <w:r>
        <w:rPr>
          <w:rFonts w:hAnsi="黑体"/>
          <w:w w:val="100"/>
          <w:sz w:val="28"/>
        </w:rPr>
        <w:t>省住房和城乡建设厅</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3"/>
        <w:spacing w:after="468"/>
      </w:pPr>
      <w:bookmarkStart w:id="21" w:name="BookMark1"/>
      <w:r>
        <w:rPr>
          <w:spacing w:val="320"/>
        </w:rPr>
        <w:t>目</w:t>
      </w:r>
      <w:r>
        <w:t>次</w:t>
      </w:r>
    </w:p>
    <w:p>
      <w:pPr>
        <w:pStyle w:val="20"/>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"_Toc120268946" </w:instrText>
      </w:r>
      <w:r>
        <w:fldChar w:fldCharType="separate"/>
      </w:r>
      <w:r>
        <w:rPr>
          <w:rStyle w:val="34"/>
          <w:spacing w:val="320"/>
        </w:rPr>
        <w:t>前</w:t>
      </w:r>
      <w:r>
        <w:rPr>
          <w:rStyle w:val="34"/>
        </w:rPr>
        <w:t>言</w:t>
      </w:r>
      <w:r>
        <w:tab/>
      </w:r>
      <w:r>
        <w:fldChar w:fldCharType="begin"/>
      </w:r>
      <w:r>
        <w:instrText xml:space="preserve"> PAGEREF _Toc120268946 \h </w:instrText>
      </w:r>
      <w:r>
        <w:fldChar w:fldCharType="separate"/>
      </w:r>
      <w:r>
        <w:t>III</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"_Toc120268947" </w:instrText>
      </w:r>
      <w:r>
        <w:fldChar w:fldCharType="separate"/>
      </w:r>
      <w:r>
        <w:rPr>
          <w:rStyle w:val="34"/>
        </w:rPr>
        <w:t>1 范围</w:t>
      </w:r>
      <w:r>
        <w:tab/>
      </w:r>
      <w:r>
        <w:fldChar w:fldCharType="begin"/>
      </w:r>
      <w:r>
        <w:instrText xml:space="preserve"> PAGEREF _Toc120268947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"_Toc120268948" </w:instrText>
      </w:r>
      <w:r>
        <w:fldChar w:fldCharType="separate"/>
      </w:r>
      <w:r>
        <w:rPr>
          <w:rStyle w:val="34"/>
        </w:rPr>
        <w:t>2 规范性引用文件</w:t>
      </w:r>
      <w:r>
        <w:tab/>
      </w:r>
      <w:r>
        <w:fldChar w:fldCharType="begin"/>
      </w:r>
      <w:r>
        <w:instrText xml:space="preserve"> PAGEREF _Toc120268948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"_Toc120268949" </w:instrText>
      </w:r>
      <w:r>
        <w:fldChar w:fldCharType="separate"/>
      </w:r>
      <w:r>
        <w:rPr>
          <w:rStyle w:val="34"/>
        </w:rPr>
        <w:t>3 术语和定义</w:t>
      </w:r>
      <w:r>
        <w:tab/>
      </w:r>
      <w:r>
        <w:fldChar w:fldCharType="begin"/>
      </w:r>
      <w:r>
        <w:instrText xml:space="preserve"> PAGEREF _Toc120268949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"_Toc120268976" </w:instrText>
      </w:r>
      <w:r>
        <w:fldChar w:fldCharType="separate"/>
      </w:r>
      <w:r>
        <w:rPr>
          <w:rStyle w:val="34"/>
        </w:rPr>
        <w:t>4 基本规定</w:t>
      </w:r>
      <w:r>
        <w:tab/>
      </w:r>
      <w:r>
        <w:fldChar w:fldCharType="begin"/>
      </w:r>
      <w:r>
        <w:instrText xml:space="preserve"> PAGEREF _Toc120268976 \h </w:instrText>
      </w:r>
      <w:r>
        <w:fldChar w:fldCharType="separate"/>
      </w:r>
      <w:r>
        <w:t>3</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"_Toc120268980" </w:instrText>
      </w:r>
      <w:r>
        <w:fldChar w:fldCharType="separate"/>
      </w:r>
      <w:r>
        <w:rPr>
          <w:rStyle w:val="34"/>
        </w:rPr>
        <w:t>5 总体设计</w:t>
      </w:r>
      <w:r>
        <w:tab/>
      </w:r>
      <w:r>
        <w:fldChar w:fldCharType="begin"/>
      </w:r>
      <w:r>
        <w:instrText xml:space="preserve"> PAGEREF _Toc120268980 \h </w:instrText>
      </w:r>
      <w:r>
        <w:fldChar w:fldCharType="separate"/>
      </w:r>
      <w:r>
        <w:t>3</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"_Toc120268986" </w:instrText>
      </w:r>
      <w:r>
        <w:fldChar w:fldCharType="separate"/>
      </w:r>
      <w:r>
        <w:rPr>
          <w:rStyle w:val="34"/>
        </w:rPr>
        <w:t>6 水安全保障</w:t>
      </w:r>
      <w:r>
        <w:tab/>
      </w:r>
      <w:r>
        <w:fldChar w:fldCharType="begin"/>
      </w:r>
      <w:r>
        <w:instrText xml:space="preserve"> PAGEREF _Toc120268986 \h </w:instrText>
      </w:r>
      <w:r>
        <w:fldChar w:fldCharType="separate"/>
      </w:r>
      <w:r>
        <w:t>4</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"_Toc120268987" </w:instrText>
      </w:r>
      <w:r>
        <w:fldChar w:fldCharType="separate"/>
      </w:r>
      <w:r>
        <w:rPr>
          <w:rStyle w:val="34"/>
          <w14:scene3d>
            <w14:lightRig w14:rig="threePt" w14:dir="t">
              <w14:rot w14:lat="0" w14:lon="0" w14:rev="0"/>
            </w14:lightRig>
          </w14:scene3d>
        </w:rPr>
        <w:t>6.1</w:t>
      </w:r>
      <w:r>
        <w:rPr>
          <w:rStyle w:val="34"/>
          <w:bCs/>
        </w:rPr>
        <w:t xml:space="preserve"> 一般规定</w:t>
      </w:r>
      <w:r>
        <w:tab/>
      </w:r>
      <w:r>
        <w:fldChar w:fldCharType="begin"/>
      </w:r>
      <w:r>
        <w:instrText xml:space="preserve"> PAGEREF _Toc120268987 \h </w:instrText>
      </w:r>
      <w:r>
        <w:fldChar w:fldCharType="separate"/>
      </w:r>
      <w:r>
        <w:t>4</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"_Toc120268988" </w:instrText>
      </w:r>
      <w:r>
        <w:fldChar w:fldCharType="separate"/>
      </w:r>
      <w:r>
        <w:rPr>
          <w:rStyle w:val="34"/>
          <w14:scene3d>
            <w14:lightRig w14:rig="threePt" w14:dir="t">
              <w14:rot w14:lat="0" w14:lon="0" w14:rev="0"/>
            </w14:lightRig>
          </w14:scene3d>
        </w:rPr>
        <w:t>6.2</w:t>
      </w:r>
      <w:r>
        <w:rPr>
          <w:rStyle w:val="34"/>
          <w:bCs/>
        </w:rPr>
        <w:t xml:space="preserve"> 河道总体布置</w:t>
      </w:r>
      <w:r>
        <w:tab/>
      </w:r>
      <w:r>
        <w:fldChar w:fldCharType="begin"/>
      </w:r>
      <w:r>
        <w:instrText xml:space="preserve"> PAGEREF _Toc120268988 \h </w:instrText>
      </w:r>
      <w:r>
        <w:fldChar w:fldCharType="separate"/>
      </w:r>
      <w:r>
        <w:t>5</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"_Toc120268989" </w:instrText>
      </w:r>
      <w:r>
        <w:fldChar w:fldCharType="separate"/>
      </w:r>
      <w:r>
        <w:rPr>
          <w:rStyle w:val="34"/>
          <w14:scene3d>
            <w14:lightRig w14:rig="threePt" w14:dir="t">
              <w14:rot w14:lat="0" w14:lon="0" w14:rev="0"/>
            </w14:lightRig>
          </w14:scene3d>
        </w:rPr>
        <w:t>6.3</w:t>
      </w:r>
      <w:r>
        <w:rPr>
          <w:rStyle w:val="34"/>
          <w:bCs/>
        </w:rPr>
        <w:t xml:space="preserve"> 堤岸防护</w:t>
      </w:r>
      <w:r>
        <w:tab/>
      </w:r>
      <w:r>
        <w:fldChar w:fldCharType="begin"/>
      </w:r>
      <w:r>
        <w:instrText xml:space="preserve"> PAGEREF _Toc120268989 \h </w:instrText>
      </w:r>
      <w:r>
        <w:fldChar w:fldCharType="separate"/>
      </w:r>
      <w:r>
        <w:t>5</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"_Toc120268990" </w:instrText>
      </w:r>
      <w:r>
        <w:fldChar w:fldCharType="separate"/>
      </w:r>
      <w:r>
        <w:rPr>
          <w:rStyle w:val="34"/>
          <w14:scene3d>
            <w14:lightRig w14:rig="threePt" w14:dir="t">
              <w14:rot w14:lat="0" w14:lon="0" w14:rev="0"/>
            </w14:lightRig>
          </w14:scene3d>
        </w:rPr>
        <w:t>6.4</w:t>
      </w:r>
      <w:r>
        <w:rPr>
          <w:rStyle w:val="34"/>
          <w:bCs/>
        </w:rPr>
        <w:t xml:space="preserve"> 涉河建（构）筑物</w:t>
      </w:r>
      <w:r>
        <w:tab/>
      </w:r>
      <w:r>
        <w:fldChar w:fldCharType="begin"/>
      </w:r>
      <w:r>
        <w:instrText xml:space="preserve"> PAGEREF _Toc120268990 \h </w:instrText>
      </w:r>
      <w:r>
        <w:fldChar w:fldCharType="separate"/>
      </w:r>
      <w:r>
        <w:t>5</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"_Toc120268991" </w:instrText>
      </w:r>
      <w:r>
        <w:fldChar w:fldCharType="separate"/>
      </w:r>
      <w:r>
        <w:rPr>
          <w:rStyle w:val="34"/>
        </w:rPr>
        <w:t>7 水污染防治</w:t>
      </w:r>
      <w:r>
        <w:tab/>
      </w:r>
      <w:r>
        <w:fldChar w:fldCharType="begin"/>
      </w:r>
      <w:r>
        <w:instrText xml:space="preserve"> PAGEREF _Toc120268991 \h </w:instrText>
      </w:r>
      <w:r>
        <w:fldChar w:fldCharType="separate"/>
      </w:r>
      <w:r>
        <w:t>6</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"_Toc120268992" </w:instrText>
      </w:r>
      <w:r>
        <w:fldChar w:fldCharType="separate"/>
      </w:r>
      <w:r>
        <w:rPr>
          <w:rStyle w:val="34"/>
          <w14:scene3d>
            <w14:lightRig w14:rig="threePt" w14:dir="t">
              <w14:rot w14:lat="0" w14:lon="0" w14:rev="0"/>
            </w14:lightRig>
          </w14:scene3d>
        </w:rPr>
        <w:t>7.1</w:t>
      </w:r>
      <w:r>
        <w:rPr>
          <w:rStyle w:val="34"/>
          <w:bCs/>
        </w:rPr>
        <w:t xml:space="preserve"> 一般规定</w:t>
      </w:r>
      <w:r>
        <w:tab/>
      </w:r>
      <w:r>
        <w:fldChar w:fldCharType="begin"/>
      </w:r>
      <w:r>
        <w:instrText xml:space="preserve"> PAGEREF _Toc120268992 \h </w:instrText>
      </w:r>
      <w:r>
        <w:fldChar w:fldCharType="separate"/>
      </w:r>
      <w:r>
        <w:t>6</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"_Toc120268993" </w:instrText>
      </w:r>
      <w:r>
        <w:fldChar w:fldCharType="separate"/>
      </w:r>
      <w:r>
        <w:rPr>
          <w:rStyle w:val="34"/>
          <w14:scene3d>
            <w14:lightRig w14:rig="threePt" w14:dir="t">
              <w14:rot w14:lat="0" w14:lon="0" w14:rev="0"/>
            </w14:lightRig>
          </w14:scene3d>
        </w:rPr>
        <w:t>7.2</w:t>
      </w:r>
      <w:r>
        <w:rPr>
          <w:rStyle w:val="34"/>
          <w:bCs/>
        </w:rPr>
        <w:t xml:space="preserve"> 点源污染治理</w:t>
      </w:r>
      <w:r>
        <w:tab/>
      </w:r>
      <w:r>
        <w:fldChar w:fldCharType="begin"/>
      </w:r>
      <w:r>
        <w:instrText xml:space="preserve"> PAGEREF _Toc120268993 \h </w:instrText>
      </w:r>
      <w:r>
        <w:fldChar w:fldCharType="separate"/>
      </w:r>
      <w:r>
        <w:t>6</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"_Toc120268994" </w:instrText>
      </w:r>
      <w:r>
        <w:fldChar w:fldCharType="separate"/>
      </w:r>
      <w:r>
        <w:rPr>
          <w:rStyle w:val="34"/>
          <w14:scene3d>
            <w14:lightRig w14:rig="threePt" w14:dir="t">
              <w14:rot w14:lat="0" w14:lon="0" w14:rev="0"/>
            </w14:lightRig>
          </w14:scene3d>
        </w:rPr>
        <w:t>7.3</w:t>
      </w:r>
      <w:r>
        <w:rPr>
          <w:rStyle w:val="34"/>
          <w:bCs/>
        </w:rPr>
        <w:t xml:space="preserve"> 面源污染治理</w:t>
      </w:r>
      <w:r>
        <w:tab/>
      </w:r>
      <w:r>
        <w:fldChar w:fldCharType="begin"/>
      </w:r>
      <w:r>
        <w:instrText xml:space="preserve"> PAGEREF _Toc120268994 \h </w:instrText>
      </w:r>
      <w:r>
        <w:fldChar w:fldCharType="separate"/>
      </w:r>
      <w:r>
        <w:t>7</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"_Toc120268995" </w:instrText>
      </w:r>
      <w:r>
        <w:fldChar w:fldCharType="separate"/>
      </w:r>
      <w:r>
        <w:rPr>
          <w:rStyle w:val="34"/>
          <w14:scene3d>
            <w14:lightRig w14:rig="threePt" w14:dir="t">
              <w14:rot w14:lat="0" w14:lon="0" w14:rev="0"/>
            </w14:lightRig>
          </w14:scene3d>
        </w:rPr>
        <w:t>7.4</w:t>
      </w:r>
      <w:r>
        <w:rPr>
          <w:rStyle w:val="34"/>
          <w:bCs/>
        </w:rPr>
        <w:t xml:space="preserve"> 内源污染治理</w:t>
      </w:r>
      <w:r>
        <w:tab/>
      </w:r>
      <w:r>
        <w:fldChar w:fldCharType="begin"/>
      </w:r>
      <w:r>
        <w:instrText xml:space="preserve"> PAGEREF _Toc120268995 \h </w:instrText>
      </w:r>
      <w:r>
        <w:fldChar w:fldCharType="separate"/>
      </w:r>
      <w:r>
        <w:t>7</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"_Toc120268996" </w:instrText>
      </w:r>
      <w:r>
        <w:fldChar w:fldCharType="separate"/>
      </w:r>
      <w:r>
        <w:rPr>
          <w:rStyle w:val="34"/>
          <w14:scene3d>
            <w14:lightRig w14:rig="threePt" w14:dir="t">
              <w14:rot w14:lat="0" w14:lon="0" w14:rev="0"/>
            </w14:lightRig>
          </w14:scene3d>
        </w:rPr>
        <w:t>7.5</w:t>
      </w:r>
      <w:r>
        <w:rPr>
          <w:rStyle w:val="34"/>
          <w:bCs/>
        </w:rPr>
        <w:t xml:space="preserve"> 客水污染治理</w:t>
      </w:r>
      <w:r>
        <w:tab/>
      </w:r>
      <w:r>
        <w:fldChar w:fldCharType="begin"/>
      </w:r>
      <w:r>
        <w:instrText xml:space="preserve"> PAGEREF _Toc120268996 \h </w:instrText>
      </w:r>
      <w:r>
        <w:fldChar w:fldCharType="separate"/>
      </w:r>
      <w:r>
        <w:t>8</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"_Toc120268997" </w:instrText>
      </w:r>
      <w:r>
        <w:fldChar w:fldCharType="separate"/>
      </w:r>
      <w:r>
        <w:rPr>
          <w:rStyle w:val="34"/>
          <w14:scene3d>
            <w14:lightRig w14:rig="threePt" w14:dir="t">
              <w14:rot w14:lat="0" w14:lon="0" w14:rev="0"/>
            </w14:lightRig>
          </w14:scene3d>
        </w:rPr>
        <w:t>7.6</w:t>
      </w:r>
      <w:r>
        <w:rPr>
          <w:rStyle w:val="34"/>
          <w:bCs/>
        </w:rPr>
        <w:t xml:space="preserve"> 航运污染治理</w:t>
      </w:r>
      <w:r>
        <w:tab/>
      </w:r>
      <w:r>
        <w:fldChar w:fldCharType="begin"/>
      </w:r>
      <w:r>
        <w:instrText xml:space="preserve"> PAGEREF _Toc120268997 \h </w:instrText>
      </w:r>
      <w:r>
        <w:fldChar w:fldCharType="separate"/>
      </w:r>
      <w:r>
        <w:t>8</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"_Toc120268998" </w:instrText>
      </w:r>
      <w:r>
        <w:fldChar w:fldCharType="separate"/>
      </w:r>
      <w:r>
        <w:rPr>
          <w:rStyle w:val="34"/>
        </w:rPr>
        <w:t>8 水生态修复</w:t>
      </w:r>
      <w:r>
        <w:tab/>
      </w:r>
      <w:r>
        <w:fldChar w:fldCharType="begin"/>
      </w:r>
      <w:r>
        <w:instrText xml:space="preserve"> PAGEREF _Toc120268998 \h </w:instrText>
      </w:r>
      <w:r>
        <w:fldChar w:fldCharType="separate"/>
      </w:r>
      <w:r>
        <w:t>8</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"_Toc120268999" </w:instrText>
      </w:r>
      <w:r>
        <w:fldChar w:fldCharType="separate"/>
      </w:r>
      <w:r>
        <w:rPr>
          <w:rStyle w:val="34"/>
          <w14:scene3d>
            <w14:lightRig w14:rig="threePt" w14:dir="t">
              <w14:rot w14:lat="0" w14:lon="0" w14:rev="0"/>
            </w14:lightRig>
          </w14:scene3d>
        </w:rPr>
        <w:t>8.1</w:t>
      </w:r>
      <w:r>
        <w:rPr>
          <w:rStyle w:val="34"/>
          <w:bCs/>
        </w:rPr>
        <w:t xml:space="preserve"> 一般规定</w:t>
      </w:r>
      <w:r>
        <w:tab/>
      </w:r>
      <w:r>
        <w:fldChar w:fldCharType="begin"/>
      </w:r>
      <w:r>
        <w:instrText xml:space="preserve"> PAGEREF _Toc120268999 \h </w:instrText>
      </w:r>
      <w:r>
        <w:fldChar w:fldCharType="separate"/>
      </w:r>
      <w:r>
        <w:t>8</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"_Toc120269000" </w:instrText>
      </w:r>
      <w:r>
        <w:fldChar w:fldCharType="separate"/>
      </w:r>
      <w:r>
        <w:rPr>
          <w:rStyle w:val="34"/>
          <w14:scene3d>
            <w14:lightRig w14:rig="threePt" w14:dir="t">
              <w14:rot w14:lat="0" w14:lon="0" w14:rev="0"/>
            </w14:lightRig>
          </w14:scene3d>
        </w:rPr>
        <w:t>8.2</w:t>
      </w:r>
      <w:r>
        <w:rPr>
          <w:rStyle w:val="34"/>
          <w:bCs/>
        </w:rPr>
        <w:t xml:space="preserve"> 活水补水</w:t>
      </w:r>
      <w:r>
        <w:tab/>
      </w:r>
      <w:r>
        <w:fldChar w:fldCharType="begin"/>
      </w:r>
      <w:r>
        <w:instrText xml:space="preserve"> PAGEREF _Toc120269000 \h </w:instrText>
      </w:r>
      <w:r>
        <w:fldChar w:fldCharType="separate"/>
      </w:r>
      <w:r>
        <w:t>8</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"_Toc120269001" </w:instrText>
      </w:r>
      <w:r>
        <w:fldChar w:fldCharType="separate"/>
      </w:r>
      <w:r>
        <w:rPr>
          <w:rStyle w:val="34"/>
          <w14:scene3d>
            <w14:lightRig w14:rig="threePt" w14:dir="t">
              <w14:rot w14:lat="0" w14:lon="0" w14:rev="0"/>
            </w14:lightRig>
          </w14:scene3d>
        </w:rPr>
        <w:t>8.3</w:t>
      </w:r>
      <w:r>
        <w:rPr>
          <w:rStyle w:val="34"/>
          <w:bCs/>
        </w:rPr>
        <w:t xml:space="preserve"> 生态驳岸</w:t>
      </w:r>
      <w:r>
        <w:tab/>
      </w:r>
      <w:r>
        <w:fldChar w:fldCharType="begin"/>
      </w:r>
      <w:r>
        <w:instrText xml:space="preserve"> PAGEREF _Toc120269001 \h </w:instrText>
      </w:r>
      <w:r>
        <w:fldChar w:fldCharType="separate"/>
      </w:r>
      <w:r>
        <w:t>8</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"_Toc120269002" </w:instrText>
      </w:r>
      <w:r>
        <w:fldChar w:fldCharType="separate"/>
      </w:r>
      <w:r>
        <w:rPr>
          <w:rStyle w:val="34"/>
          <w14:scene3d>
            <w14:lightRig w14:rig="threePt" w14:dir="t">
              <w14:rot w14:lat="0" w14:lon="0" w14:rev="0"/>
            </w14:lightRig>
          </w14:scene3d>
        </w:rPr>
        <w:t>8.4</w:t>
      </w:r>
      <w:r>
        <w:rPr>
          <w:rStyle w:val="34"/>
          <w:bCs/>
        </w:rPr>
        <w:t xml:space="preserve"> 水质净化与改善</w:t>
      </w:r>
      <w:r>
        <w:tab/>
      </w:r>
      <w:r>
        <w:fldChar w:fldCharType="begin"/>
      </w:r>
      <w:r>
        <w:instrText xml:space="preserve"> PAGEREF _Toc120269002 \h </w:instrText>
      </w:r>
      <w:r>
        <w:fldChar w:fldCharType="separate"/>
      </w:r>
      <w:r>
        <w:t>9</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"_Toc120269003" </w:instrText>
      </w:r>
      <w:r>
        <w:fldChar w:fldCharType="separate"/>
      </w:r>
      <w:r>
        <w:rPr>
          <w:rStyle w:val="34"/>
          <w14:scene3d>
            <w14:lightRig w14:rig="threePt" w14:dir="t">
              <w14:rot w14:lat="0" w14:lon="0" w14:rev="0"/>
            </w14:lightRig>
          </w14:scene3d>
        </w:rPr>
        <w:t>8.5</w:t>
      </w:r>
      <w:r>
        <w:rPr>
          <w:rStyle w:val="34"/>
          <w:bCs/>
        </w:rPr>
        <w:t xml:space="preserve"> 生物多样性修复</w:t>
      </w:r>
      <w:r>
        <w:tab/>
      </w:r>
      <w:r>
        <w:fldChar w:fldCharType="begin"/>
      </w:r>
      <w:r>
        <w:instrText xml:space="preserve"> PAGEREF _Toc120269003 \h </w:instrText>
      </w:r>
      <w:r>
        <w:fldChar w:fldCharType="separate"/>
      </w:r>
      <w:r>
        <w:t>9</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"_Toc120269004" </w:instrText>
      </w:r>
      <w:r>
        <w:fldChar w:fldCharType="separate"/>
      </w:r>
      <w:r>
        <w:rPr>
          <w:rStyle w:val="34"/>
        </w:rPr>
        <w:t>9 水景观提升</w:t>
      </w:r>
      <w:r>
        <w:tab/>
      </w:r>
      <w:r>
        <w:fldChar w:fldCharType="begin"/>
      </w:r>
      <w:r>
        <w:instrText xml:space="preserve"> PAGEREF _Toc120269004 \h </w:instrText>
      </w:r>
      <w:r>
        <w:fldChar w:fldCharType="separate"/>
      </w:r>
      <w:r>
        <w:t>10</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"_Toc120269005" </w:instrText>
      </w:r>
      <w:r>
        <w:fldChar w:fldCharType="separate"/>
      </w:r>
      <w:r>
        <w:rPr>
          <w:rStyle w:val="34"/>
          <w14:scene3d>
            <w14:lightRig w14:rig="threePt" w14:dir="t">
              <w14:rot w14:lat="0" w14:lon="0" w14:rev="0"/>
            </w14:lightRig>
          </w14:scene3d>
        </w:rPr>
        <w:t>9.1</w:t>
      </w:r>
      <w:r>
        <w:rPr>
          <w:rStyle w:val="34"/>
        </w:rPr>
        <w:t xml:space="preserve"> 一般规定</w:t>
      </w:r>
      <w:r>
        <w:tab/>
      </w:r>
      <w:r>
        <w:fldChar w:fldCharType="begin"/>
      </w:r>
      <w:r>
        <w:instrText xml:space="preserve"> PAGEREF _Toc120269005 \h </w:instrText>
      </w:r>
      <w:r>
        <w:fldChar w:fldCharType="separate"/>
      </w:r>
      <w:r>
        <w:t>10</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"_Toc120269006" </w:instrText>
      </w:r>
      <w:r>
        <w:fldChar w:fldCharType="separate"/>
      </w:r>
      <w:r>
        <w:rPr>
          <w:rStyle w:val="34"/>
          <w14:scene3d>
            <w14:lightRig w14:rig="threePt" w14:dir="t">
              <w14:rot w14:lat="0" w14:lon="0" w14:rev="0"/>
            </w14:lightRig>
          </w14:scene3d>
        </w:rPr>
        <w:t>9.2</w:t>
      </w:r>
      <w:r>
        <w:rPr>
          <w:rStyle w:val="34"/>
        </w:rPr>
        <w:t xml:space="preserve"> 平面布局</w:t>
      </w:r>
      <w:r>
        <w:tab/>
      </w:r>
      <w:r>
        <w:fldChar w:fldCharType="begin"/>
      </w:r>
      <w:r>
        <w:instrText xml:space="preserve"> PAGEREF _Toc120269006 \h </w:instrText>
      </w:r>
      <w:r>
        <w:fldChar w:fldCharType="separate"/>
      </w:r>
      <w:r>
        <w:t>10</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"_Toc120269007" </w:instrText>
      </w:r>
      <w:r>
        <w:fldChar w:fldCharType="separate"/>
      </w:r>
      <w:r>
        <w:rPr>
          <w:rStyle w:val="34"/>
          <w14:scene3d>
            <w14:lightRig w14:rig="threePt" w14:dir="t">
              <w14:rot w14:lat="0" w14:lon="0" w14:rev="0"/>
            </w14:lightRig>
          </w14:scene3d>
        </w:rPr>
        <w:t>9.3</w:t>
      </w:r>
      <w:r>
        <w:rPr>
          <w:rStyle w:val="34"/>
        </w:rPr>
        <w:t xml:space="preserve"> 竖向设计</w:t>
      </w:r>
      <w:r>
        <w:tab/>
      </w:r>
      <w:r>
        <w:fldChar w:fldCharType="begin"/>
      </w:r>
      <w:r>
        <w:instrText xml:space="preserve"> PAGEREF _Toc120269007 \h </w:instrText>
      </w:r>
      <w:r>
        <w:fldChar w:fldCharType="separate"/>
      </w:r>
      <w:r>
        <w:t>10</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"_Toc120269008" </w:instrText>
      </w:r>
      <w:r>
        <w:fldChar w:fldCharType="separate"/>
      </w:r>
      <w:r>
        <w:rPr>
          <w:rStyle w:val="34"/>
          <w14:scene3d>
            <w14:lightRig w14:rig="threePt" w14:dir="t">
              <w14:rot w14:lat="0" w14:lon="0" w14:rev="0"/>
            </w14:lightRig>
          </w14:scene3d>
        </w:rPr>
        <w:t>9.4</w:t>
      </w:r>
      <w:r>
        <w:rPr>
          <w:rStyle w:val="34"/>
        </w:rPr>
        <w:t xml:space="preserve"> 种植设计</w:t>
      </w:r>
      <w:r>
        <w:tab/>
      </w:r>
      <w:r>
        <w:fldChar w:fldCharType="begin"/>
      </w:r>
      <w:r>
        <w:instrText xml:space="preserve"> PAGEREF _Toc120269008 \h </w:instrText>
      </w:r>
      <w:r>
        <w:fldChar w:fldCharType="separate"/>
      </w:r>
      <w:r>
        <w:t>10</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"_Toc120269009" </w:instrText>
      </w:r>
      <w:r>
        <w:fldChar w:fldCharType="separate"/>
      </w:r>
      <w:r>
        <w:rPr>
          <w:rStyle w:val="34"/>
          <w14:scene3d>
            <w14:lightRig w14:rig="threePt" w14:dir="t">
              <w14:rot w14:lat="0" w14:lon="0" w14:rev="0"/>
            </w14:lightRig>
          </w14:scene3d>
        </w:rPr>
        <w:t>9.5</w:t>
      </w:r>
      <w:r>
        <w:rPr>
          <w:rStyle w:val="34"/>
        </w:rPr>
        <w:t xml:space="preserve"> 景观建（构）筑物设计</w:t>
      </w:r>
      <w:r>
        <w:tab/>
      </w:r>
      <w:r>
        <w:fldChar w:fldCharType="begin"/>
      </w:r>
      <w:r>
        <w:instrText xml:space="preserve"> PAGEREF _Toc120269009 \h </w:instrText>
      </w:r>
      <w:r>
        <w:fldChar w:fldCharType="separate"/>
      </w:r>
      <w:r>
        <w:t>10</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"_Toc120269010" </w:instrText>
      </w:r>
      <w:r>
        <w:fldChar w:fldCharType="separate"/>
      </w:r>
      <w:r>
        <w:rPr>
          <w:rStyle w:val="34"/>
          <w14:scene3d>
            <w14:lightRig w14:rig="threePt" w14:dir="t">
              <w14:rot w14:lat="0" w14:lon="0" w14:rev="0"/>
            </w14:lightRig>
          </w14:scene3d>
        </w:rPr>
        <w:t>9.6</w:t>
      </w:r>
      <w:r>
        <w:rPr>
          <w:rStyle w:val="34"/>
        </w:rPr>
        <w:t xml:space="preserve"> 景观照明设计</w:t>
      </w:r>
      <w:r>
        <w:tab/>
      </w:r>
      <w:r>
        <w:fldChar w:fldCharType="begin"/>
      </w:r>
      <w:r>
        <w:instrText xml:space="preserve"> PAGEREF _Toc120269010 \h </w:instrText>
      </w:r>
      <w:r>
        <w:fldChar w:fldCharType="separate"/>
      </w:r>
      <w:r>
        <w:t>11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"_Toc120269011" </w:instrText>
      </w:r>
      <w:r>
        <w:fldChar w:fldCharType="separate"/>
      </w:r>
      <w:r>
        <w:rPr>
          <w:rStyle w:val="34"/>
        </w:rPr>
        <w:t>10 水智慧平台</w:t>
      </w:r>
      <w:r>
        <w:tab/>
      </w:r>
      <w:r>
        <w:fldChar w:fldCharType="begin"/>
      </w:r>
      <w:r>
        <w:instrText xml:space="preserve"> PAGEREF _Toc120269011 \h </w:instrText>
      </w:r>
      <w:r>
        <w:fldChar w:fldCharType="separate"/>
      </w:r>
      <w:r>
        <w:t>11</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"_Toc120269012" </w:instrText>
      </w:r>
      <w:r>
        <w:fldChar w:fldCharType="separate"/>
      </w:r>
      <w:r>
        <w:rPr>
          <w:rStyle w:val="34"/>
          <w14:scene3d>
            <w14:lightRig w14:rig="threePt" w14:dir="t">
              <w14:rot w14:lat="0" w14:lon="0" w14:rev="0"/>
            </w14:lightRig>
          </w14:scene3d>
        </w:rPr>
        <w:t>10.1</w:t>
      </w:r>
      <w:r>
        <w:rPr>
          <w:rStyle w:val="34"/>
        </w:rPr>
        <w:t xml:space="preserve"> 一般规定</w:t>
      </w:r>
      <w:r>
        <w:tab/>
      </w:r>
      <w:r>
        <w:fldChar w:fldCharType="begin"/>
      </w:r>
      <w:r>
        <w:instrText xml:space="preserve"> PAGEREF _Toc120269012 \h </w:instrText>
      </w:r>
      <w:r>
        <w:fldChar w:fldCharType="separate"/>
      </w:r>
      <w:r>
        <w:t>11</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"_Toc120269013" </w:instrText>
      </w:r>
      <w:r>
        <w:fldChar w:fldCharType="separate"/>
      </w:r>
      <w:r>
        <w:rPr>
          <w:rStyle w:val="34"/>
          <w14:scene3d>
            <w14:lightRig w14:rig="threePt" w14:dir="t">
              <w14:rot w14:lat="0" w14:lon="0" w14:rev="0"/>
            </w14:lightRig>
          </w14:scene3d>
        </w:rPr>
        <w:t>10.2</w:t>
      </w:r>
      <w:r>
        <w:rPr>
          <w:rStyle w:val="34"/>
        </w:rPr>
        <w:t xml:space="preserve"> 物联层</w:t>
      </w:r>
      <w:r>
        <w:tab/>
      </w:r>
      <w:r>
        <w:fldChar w:fldCharType="begin"/>
      </w:r>
      <w:r>
        <w:instrText xml:space="preserve"> PAGEREF _Toc120269013 \h </w:instrText>
      </w:r>
      <w:r>
        <w:fldChar w:fldCharType="separate"/>
      </w:r>
      <w:r>
        <w:t>11</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"_Toc120269014" </w:instrText>
      </w:r>
      <w:r>
        <w:fldChar w:fldCharType="separate"/>
      </w:r>
      <w:r>
        <w:rPr>
          <w:rStyle w:val="34"/>
          <w14:scene3d>
            <w14:lightRig w14:rig="threePt" w14:dir="t">
              <w14:rot w14:lat="0" w14:lon="0" w14:rev="0"/>
            </w14:lightRig>
          </w14:scene3d>
        </w:rPr>
        <w:t>10.3</w:t>
      </w:r>
      <w:r>
        <w:rPr>
          <w:rStyle w:val="34"/>
        </w:rPr>
        <w:t xml:space="preserve"> 数据层</w:t>
      </w:r>
      <w:r>
        <w:tab/>
      </w:r>
      <w:r>
        <w:fldChar w:fldCharType="begin"/>
      </w:r>
      <w:r>
        <w:instrText xml:space="preserve"> PAGEREF _Toc120269014 \h </w:instrText>
      </w:r>
      <w:r>
        <w:fldChar w:fldCharType="separate"/>
      </w:r>
      <w:r>
        <w:t>12</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"_Toc120269015" </w:instrText>
      </w:r>
      <w:r>
        <w:fldChar w:fldCharType="separate"/>
      </w:r>
      <w:r>
        <w:rPr>
          <w:rStyle w:val="34"/>
          <w14:scene3d>
            <w14:lightRig w14:rig="threePt" w14:dir="t">
              <w14:rot w14:lat="0" w14:lon="0" w14:rev="0"/>
            </w14:lightRig>
          </w14:scene3d>
        </w:rPr>
        <w:t>10.4</w:t>
      </w:r>
      <w:r>
        <w:rPr>
          <w:rStyle w:val="34"/>
        </w:rPr>
        <w:t xml:space="preserve"> 信息展示</w:t>
      </w:r>
      <w:r>
        <w:tab/>
      </w:r>
      <w:r>
        <w:fldChar w:fldCharType="begin"/>
      </w:r>
      <w:r>
        <w:instrText xml:space="preserve"> PAGEREF _Toc120269015 \h </w:instrText>
      </w:r>
      <w:r>
        <w:fldChar w:fldCharType="separate"/>
      </w:r>
      <w:r>
        <w:t>12</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"_Toc120269016" </w:instrText>
      </w:r>
      <w:r>
        <w:fldChar w:fldCharType="separate"/>
      </w:r>
      <w:r>
        <w:rPr>
          <w:rStyle w:val="34"/>
          <w:spacing w:val="100"/>
        </w:rPr>
        <w:t>附录A</w:t>
      </w:r>
      <w:r>
        <w:rPr>
          <w:rStyle w:val="34"/>
        </w:rPr>
        <w:t xml:space="preserve"> （资料性） 模型模拟与评估</w:t>
      </w:r>
      <w:r>
        <w:tab/>
      </w:r>
      <w:r>
        <w:fldChar w:fldCharType="begin"/>
      </w:r>
      <w:r>
        <w:instrText xml:space="preserve"> PAGEREF _Toc120269016 \h </w:instrText>
      </w:r>
      <w:r>
        <w:fldChar w:fldCharType="separate"/>
      </w:r>
      <w:r>
        <w:t>14</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"_Toc120269017" </w:instrText>
      </w:r>
      <w:r>
        <w:fldChar w:fldCharType="separate"/>
      </w:r>
      <w:r>
        <w:rPr>
          <w:rStyle w:val="34"/>
        </w:rPr>
        <w:t>A.1</w:t>
      </w:r>
      <w:r>
        <w:rPr>
          <w:rStyle w:val="34"/>
          <w:rFonts w:hAnsi="黑体"/>
        </w:rPr>
        <w:t xml:space="preserve"> 模</w:t>
      </w:r>
      <w:r>
        <w:rPr>
          <w:rStyle w:val="34"/>
        </w:rPr>
        <w:t>型构建</w:t>
      </w:r>
      <w:r>
        <w:tab/>
      </w:r>
      <w:r>
        <w:fldChar w:fldCharType="begin"/>
      </w:r>
      <w:r>
        <w:instrText xml:space="preserve"> PAGEREF _Toc120269017 \h </w:instrText>
      </w:r>
      <w:r>
        <w:fldChar w:fldCharType="separate"/>
      </w:r>
      <w:r>
        <w:t>14</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"_Toc120269018" </w:instrText>
      </w:r>
      <w:r>
        <w:fldChar w:fldCharType="separate"/>
      </w:r>
      <w:r>
        <w:rPr>
          <w:rStyle w:val="34"/>
        </w:rPr>
        <w:t>A.2</w:t>
      </w:r>
      <w:r>
        <w:rPr>
          <w:rStyle w:val="34"/>
          <w:rFonts w:hAnsi="黑体"/>
        </w:rPr>
        <w:t xml:space="preserve"> 参数率定和模型验证</w:t>
      </w:r>
      <w:r>
        <w:tab/>
      </w:r>
      <w:r>
        <w:fldChar w:fldCharType="begin"/>
      </w:r>
      <w:r>
        <w:instrText xml:space="preserve"> PAGEREF _Toc120269018 \h </w:instrText>
      </w:r>
      <w:r>
        <w:fldChar w:fldCharType="separate"/>
      </w:r>
      <w:r>
        <w:t>14</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"_Toc120269019" </w:instrText>
      </w:r>
      <w:r>
        <w:fldChar w:fldCharType="separate"/>
      </w:r>
      <w:r>
        <w:rPr>
          <w:rStyle w:val="34"/>
        </w:rPr>
        <w:t>A.3</w:t>
      </w:r>
      <w:r>
        <w:rPr>
          <w:rStyle w:val="34"/>
          <w:rFonts w:hAnsi="黑体"/>
        </w:rPr>
        <w:t xml:space="preserve"> 方案优化</w:t>
      </w:r>
      <w:r>
        <w:tab/>
      </w:r>
      <w:r>
        <w:fldChar w:fldCharType="begin"/>
      </w:r>
      <w:r>
        <w:instrText xml:space="preserve"> PAGEREF _Toc120269019 \h </w:instrText>
      </w:r>
      <w:r>
        <w:fldChar w:fldCharType="separate"/>
      </w:r>
      <w:r>
        <w:t>14</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"_Toc120269020" </w:instrText>
      </w:r>
      <w:r>
        <w:fldChar w:fldCharType="separate"/>
      </w:r>
      <w:r>
        <w:rPr>
          <w:rStyle w:val="34"/>
        </w:rPr>
        <w:t>A.4</w:t>
      </w:r>
      <w:r>
        <w:rPr>
          <w:rStyle w:val="34"/>
          <w:rFonts w:hAnsi="黑体"/>
        </w:rPr>
        <w:t xml:space="preserve"> 效果预测</w:t>
      </w:r>
      <w:r>
        <w:tab/>
      </w:r>
      <w:r>
        <w:fldChar w:fldCharType="begin"/>
      </w:r>
      <w:r>
        <w:instrText xml:space="preserve"> PAGEREF _Toc120269020 \h </w:instrText>
      </w:r>
      <w:r>
        <w:fldChar w:fldCharType="separate"/>
      </w:r>
      <w:r>
        <w:t>15</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"_Toc120269021" </w:instrText>
      </w:r>
      <w:r>
        <w:fldChar w:fldCharType="separate"/>
      </w:r>
      <w:r>
        <w:rPr>
          <w:rStyle w:val="34"/>
          <w:rFonts w:hAnsi="黑体"/>
        </w:rPr>
        <w:t>A.5 应用评估</w:t>
      </w:r>
      <w:r>
        <w:tab/>
      </w:r>
      <w:r>
        <w:fldChar w:fldCharType="begin"/>
      </w:r>
      <w:r>
        <w:instrText xml:space="preserve"> PAGEREF _Toc120269021 \h </w:instrText>
      </w:r>
      <w:r>
        <w:fldChar w:fldCharType="separate"/>
      </w:r>
      <w:r>
        <w:t>15</w:t>
      </w:r>
      <w:r>
        <w:fldChar w:fldCharType="end"/>
      </w:r>
      <w:r>
        <w:fldChar w:fldCharType="end"/>
      </w:r>
    </w:p>
    <w:p>
      <w:pPr>
        <w:pStyle w:val="93"/>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91"/>
        <w:spacing w:after="468"/>
      </w:pPr>
      <w:bookmarkStart w:id="22" w:name="_Toc120268946"/>
      <w:bookmarkStart w:id="23" w:name="BookMark2"/>
      <w:r>
        <w:rPr>
          <w:spacing w:val="320"/>
        </w:rPr>
        <w:t>前</w:t>
      </w:r>
      <w:r>
        <w:t>言</w:t>
      </w:r>
      <w:bookmarkEnd w:id="22"/>
    </w:p>
    <w:p>
      <w:pPr>
        <w:pStyle w:val="58"/>
        <w:ind w:firstLine="420"/>
      </w:pPr>
      <w:r>
        <w:rPr>
          <w:rFonts w:hint="eastAsia"/>
        </w:rPr>
        <w:t>本文件按照GB/T 1.1—2020《标准化工作导则  第1部分：标准化文件的结构和起草规则》的规定起草。</w:t>
      </w:r>
    </w:p>
    <w:p>
      <w:pPr>
        <w:pStyle w:val="58"/>
        <w:ind w:firstLine="420"/>
      </w:pPr>
      <w:r>
        <w:t>本标准由江苏省住房和城乡建设厅提出。</w:t>
      </w:r>
    </w:p>
    <w:p>
      <w:pPr>
        <w:pStyle w:val="58"/>
        <w:ind w:firstLine="420"/>
      </w:pPr>
      <w:r>
        <w:t>本标准由江苏省住房和城乡建设厅归口。</w:t>
      </w:r>
    </w:p>
    <w:p>
      <w:pPr>
        <w:pStyle w:val="58"/>
        <w:ind w:firstLine="420"/>
      </w:pPr>
      <w:r>
        <w:rPr>
          <w:rFonts w:hint="eastAsia"/>
        </w:rPr>
        <w:t>本标准起草单位：</w:t>
      </w:r>
      <w:r>
        <w:t>南京市市政设计研究院有限责任公司</w:t>
      </w:r>
      <w:r>
        <w:rPr>
          <w:rFonts w:hint="eastAsia"/>
        </w:rPr>
        <w:t>、</w:t>
      </w:r>
      <w:r>
        <w:t>东南大学</w:t>
      </w:r>
      <w:r>
        <w:rPr>
          <w:rFonts w:hint="eastAsia"/>
        </w:rPr>
        <w:t>、江苏省城市规划设计研究院有限公司、无锡市政设计研究院有限公司、武汉圣禹排水系统有限公司、上海同晟环保科技有限公司</w:t>
      </w:r>
    </w:p>
    <w:p>
      <w:pPr>
        <w:pStyle w:val="58"/>
        <w:ind w:firstLine="420"/>
      </w:pPr>
      <w:r>
        <w:rPr>
          <w:rFonts w:hint="eastAsia"/>
        </w:rPr>
        <w:t>本标准主要起草人：孔宇、杨小丽、夏文林、孙巍、夏阳光、朱建国、耿震、任军俊、张生太、袁云霏、李峰、徐汉、孙芸、臧凌、段腾腾、冯博、李习洪、周超、陈勇、穆毅</w:t>
      </w:r>
    </w:p>
    <w:p>
      <w:pPr>
        <w:pStyle w:val="58"/>
        <w:ind w:firstLine="420"/>
        <w:sectPr>
          <w:pgSz w:w="11906" w:h="16838"/>
          <w:pgMar w:top="1928" w:right="1134" w:bottom="1134" w:left="1134" w:header="1418" w:footer="1134" w:gutter="284"/>
          <w:pgNumType w:fmt="upperRoman"/>
          <w:cols w:space="425" w:num="1"/>
          <w:formProt w:val="0"/>
          <w:docGrid w:type="lines" w:linePitch="312" w:charSpace="0"/>
        </w:sectPr>
      </w:pPr>
    </w:p>
    <w:bookmarkEnd w:id="23"/>
    <w:p>
      <w:pPr>
        <w:spacing w:line="20" w:lineRule="exact"/>
        <w:jc w:val="center"/>
        <w:rPr>
          <w:rFonts w:ascii="黑体" w:hAnsi="黑体" w:eastAsia="黑体"/>
          <w:sz w:val="32"/>
          <w:szCs w:val="32"/>
        </w:rPr>
      </w:pPr>
      <w:bookmarkStart w:id="24" w:name="BookMark4"/>
    </w:p>
    <w:p>
      <w:pPr>
        <w:spacing w:line="20" w:lineRule="exact"/>
        <w:jc w:val="center"/>
        <w:rPr>
          <w:rFonts w:ascii="黑体" w:hAnsi="黑体" w:eastAsia="黑体"/>
          <w:sz w:val="32"/>
          <w:szCs w:val="32"/>
        </w:rPr>
      </w:pPr>
    </w:p>
    <w:sdt>
      <w:sdtPr>
        <w:tag w:val="NEW_STAND_NAME"/>
        <w:id w:val="595910757"/>
        <w:lock w:val="sdtLocked"/>
        <w:placeholder>
          <w:docPart w:val="5067915ADE7B4718B66325F74B49C93E"/>
        </w:placeholder>
      </w:sdtPr>
      <w:sdtContent>
        <w:p>
          <w:pPr>
            <w:pStyle w:val="179"/>
            <w:spacing w:before="3" w:beforeLines="1" w:after="686" w:afterLines="220"/>
          </w:pPr>
          <w:bookmarkStart w:id="25" w:name="NEW_STAND_NAME"/>
          <w:r>
            <w:rPr>
              <w:rFonts w:hint="eastAsia"/>
            </w:rPr>
            <w:t>城市河道水环境综合整治工程设计标准</w:t>
          </w:r>
        </w:p>
      </w:sdtContent>
    </w:sdt>
    <w:bookmarkEnd w:id="25"/>
    <w:p>
      <w:pPr>
        <w:pStyle w:val="106"/>
        <w:spacing w:before="312" w:after="312"/>
      </w:pPr>
      <w:bookmarkStart w:id="26" w:name="_Toc26718930"/>
      <w:bookmarkStart w:id="27" w:name="_Toc26648465"/>
      <w:bookmarkStart w:id="28" w:name="_Toc24884211"/>
      <w:bookmarkStart w:id="29" w:name="_Toc24884218"/>
      <w:bookmarkStart w:id="30" w:name="_Toc26986530"/>
      <w:bookmarkStart w:id="31" w:name="_Toc26986771"/>
      <w:bookmarkStart w:id="32" w:name="_Toc120268947"/>
      <w:bookmarkStart w:id="33" w:name="_Toc17233333"/>
      <w:bookmarkStart w:id="34" w:name="_Toc97191423"/>
      <w:bookmarkStart w:id="35" w:name="_Toc17233325"/>
      <w:r>
        <w:rPr>
          <w:rFonts w:hint="eastAsia"/>
        </w:rPr>
        <w:t>范围</w:t>
      </w:r>
      <w:bookmarkEnd w:id="26"/>
      <w:bookmarkEnd w:id="27"/>
      <w:bookmarkEnd w:id="28"/>
      <w:bookmarkEnd w:id="29"/>
      <w:bookmarkEnd w:id="30"/>
      <w:bookmarkEnd w:id="31"/>
      <w:bookmarkEnd w:id="32"/>
      <w:bookmarkEnd w:id="33"/>
      <w:bookmarkEnd w:id="34"/>
      <w:bookmarkEnd w:id="35"/>
    </w:p>
    <w:p>
      <w:pPr>
        <w:pStyle w:val="58"/>
        <w:ind w:firstLine="420"/>
      </w:pPr>
      <w:bookmarkStart w:id="36" w:name="_Toc17233326"/>
      <w:bookmarkStart w:id="37" w:name="_Toc17233334"/>
      <w:bookmarkStart w:id="38" w:name="_Toc24884212"/>
      <w:bookmarkStart w:id="39" w:name="_Toc24884219"/>
      <w:bookmarkStart w:id="40" w:name="_Toc26648466"/>
      <w:r>
        <w:rPr>
          <w:rFonts w:hAnsi="宋体"/>
          <w:szCs w:val="21"/>
        </w:rPr>
        <w:t>本</w:t>
      </w:r>
      <w:r>
        <w:rPr>
          <w:rFonts w:hint="eastAsia" w:hAnsi="宋体"/>
          <w:szCs w:val="21"/>
        </w:rPr>
        <w:t>标准适用于江苏省城市河道的水环境综合整治工程设计，其他湖泊等水体以及镇（乡）村河道的水环境综合整治工程设计可参照执行</w:t>
      </w:r>
    </w:p>
    <w:p>
      <w:pPr>
        <w:pStyle w:val="106"/>
        <w:spacing w:before="312" w:after="312"/>
      </w:pPr>
      <w:bookmarkStart w:id="41" w:name="_Toc26718931"/>
      <w:bookmarkStart w:id="42" w:name="_Toc97191424"/>
      <w:bookmarkStart w:id="43" w:name="_Toc26986531"/>
      <w:bookmarkStart w:id="44" w:name="_Toc120268948"/>
      <w:bookmarkStart w:id="45" w:name="_Toc26986772"/>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9535B620A49045B99577410E12B0AA7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widowControl/>
        <w:spacing w:line="240" w:lineRule="auto"/>
        <w:ind w:firstLine="420"/>
        <w:rPr>
          <w:bCs/>
        </w:rPr>
      </w:pPr>
      <w:r>
        <w:rPr>
          <w:rFonts w:hint="eastAsia" w:ascii="宋体" w:hAnsi="宋体" w:eastAsia="宋体" w:cs="宋体"/>
          <w:bCs/>
        </w:rPr>
        <w:t>GB3552</w:t>
      </w:r>
      <w:r>
        <w:rPr>
          <w:rFonts w:hint="eastAsia"/>
          <w:bCs/>
        </w:rPr>
        <w:t xml:space="preserve"> </w:t>
      </w:r>
      <w:r>
        <w:rPr>
          <w:bCs/>
        </w:rPr>
        <w:t>船舶水污染物排放控制标准</w:t>
      </w:r>
    </w:p>
    <w:p>
      <w:pPr>
        <w:widowControl/>
        <w:spacing w:line="240" w:lineRule="auto"/>
        <w:ind w:firstLine="420"/>
        <w:rPr>
          <w:rFonts w:hint="eastAsia" w:ascii="宋体" w:hAnsi="宋体" w:eastAsia="宋体" w:cs="宋体"/>
          <w:bCs/>
        </w:rPr>
      </w:pPr>
      <w:r>
        <w:rPr>
          <w:rFonts w:hint="eastAsia" w:ascii="宋体" w:hAnsi="宋体" w:eastAsia="宋体" w:cs="宋体"/>
          <w:bCs/>
        </w:rPr>
        <w:t>GB5085 危险废物鉴别标准</w:t>
      </w:r>
    </w:p>
    <w:p>
      <w:pPr>
        <w:widowControl/>
        <w:spacing w:line="240" w:lineRule="auto"/>
        <w:ind w:firstLine="420"/>
        <w:rPr>
          <w:rFonts w:hint="eastAsia" w:ascii="宋体" w:hAnsi="宋体" w:eastAsia="宋体" w:cs="宋体"/>
          <w:bCs/>
        </w:rPr>
      </w:pPr>
      <w:r>
        <w:rPr>
          <w:rFonts w:hint="eastAsia" w:ascii="宋体" w:hAnsi="宋体" w:eastAsia="宋体" w:cs="宋体"/>
          <w:bCs/>
          <w:lang w:val="en-US" w:eastAsia="zh-CN"/>
        </w:rPr>
        <w:t>GB15618 《土壤环境质量 农用地土壤污染风险管控标准（试行）》</w:t>
      </w:r>
    </w:p>
    <w:p>
      <w:pPr>
        <w:widowControl/>
        <w:spacing w:line="240" w:lineRule="auto"/>
        <w:ind w:firstLine="420"/>
        <w:rPr>
          <w:rFonts w:hint="eastAsia" w:ascii="宋体" w:hAnsi="宋体" w:eastAsia="宋体" w:cs="宋体"/>
          <w:bCs/>
        </w:rPr>
      </w:pPr>
      <w:r>
        <w:rPr>
          <w:rFonts w:hint="eastAsia" w:ascii="宋体" w:hAnsi="宋体" w:eastAsia="宋体" w:cs="宋体"/>
          <w:bCs/>
        </w:rPr>
        <w:t>GB35114 公共安全视频监控联网信息安全技术要求</w:t>
      </w:r>
    </w:p>
    <w:p>
      <w:pPr>
        <w:widowControl/>
        <w:spacing w:line="240" w:lineRule="auto"/>
        <w:ind w:firstLine="420"/>
        <w:rPr>
          <w:rFonts w:hint="default" w:ascii="宋体" w:hAnsi="宋体" w:eastAsia="宋体" w:cs="宋体"/>
          <w:bCs/>
          <w:lang w:val="en-US" w:eastAsia="zh-CN"/>
        </w:rPr>
      </w:pPr>
      <w:r>
        <w:rPr>
          <w:rFonts w:hint="eastAsia" w:ascii="宋体" w:hAnsi="宋体" w:eastAsia="宋体" w:cs="宋体"/>
          <w:bCs/>
          <w:lang w:val="en-US" w:eastAsia="zh-CN"/>
        </w:rPr>
        <w:t>GB36600 《土壤环境质量 建设用地土壤污染风险管控标准（试行）》</w:t>
      </w:r>
    </w:p>
    <w:p>
      <w:pPr>
        <w:widowControl/>
        <w:spacing w:line="240" w:lineRule="auto"/>
        <w:ind w:firstLine="420"/>
        <w:rPr>
          <w:rFonts w:hint="eastAsia" w:ascii="宋体" w:hAnsi="宋体" w:eastAsia="宋体" w:cs="宋体"/>
          <w:bCs/>
          <w:lang w:eastAsia="zh-CN"/>
        </w:rPr>
      </w:pPr>
      <w:r>
        <w:rPr>
          <w:rFonts w:hint="eastAsia" w:ascii="宋体" w:hAnsi="宋体" w:eastAsia="宋体" w:cs="宋体"/>
          <w:bCs/>
        </w:rPr>
        <w:t>GB50265 泵站设计</w:t>
      </w:r>
      <w:r>
        <w:rPr>
          <w:rFonts w:hint="eastAsia" w:ascii="宋体" w:hAnsi="宋体" w:eastAsia="宋体" w:cs="宋体"/>
          <w:bCs/>
          <w:lang w:val="en-US" w:eastAsia="zh-CN"/>
        </w:rPr>
        <w:t>标准</w:t>
      </w:r>
    </w:p>
    <w:p>
      <w:pPr>
        <w:widowControl/>
        <w:spacing w:line="240" w:lineRule="auto"/>
        <w:ind w:firstLine="420"/>
        <w:rPr>
          <w:rFonts w:hint="eastAsia" w:ascii="宋体" w:hAnsi="宋体" w:eastAsia="宋体" w:cs="宋体"/>
          <w:bCs/>
        </w:rPr>
      </w:pPr>
      <w:r>
        <w:rPr>
          <w:rFonts w:hint="eastAsia" w:ascii="宋体" w:hAnsi="宋体" w:eastAsia="宋体" w:cs="宋体"/>
          <w:bCs/>
        </w:rPr>
        <w:t>GB50286 堤防工程设计规范</w:t>
      </w:r>
    </w:p>
    <w:p>
      <w:pPr>
        <w:widowControl/>
        <w:spacing w:line="240" w:lineRule="auto"/>
        <w:ind w:firstLine="420"/>
        <w:rPr>
          <w:rFonts w:hint="eastAsia" w:ascii="宋体" w:hAnsi="宋体" w:eastAsia="宋体" w:cs="宋体"/>
          <w:bCs/>
        </w:rPr>
      </w:pPr>
      <w:r>
        <w:rPr>
          <w:rFonts w:hint="eastAsia" w:ascii="宋体" w:hAnsi="宋体" w:eastAsia="宋体" w:cs="宋体"/>
          <w:bCs/>
        </w:rPr>
        <w:t>GB50707 河道整治设计规范</w:t>
      </w:r>
    </w:p>
    <w:p>
      <w:pPr>
        <w:widowControl/>
        <w:spacing w:line="240" w:lineRule="auto"/>
        <w:ind w:firstLine="420"/>
        <w:rPr>
          <w:rFonts w:hint="eastAsia" w:ascii="宋体" w:hAnsi="宋体" w:eastAsia="宋体" w:cs="宋体"/>
          <w:bCs/>
        </w:rPr>
      </w:pPr>
      <w:r>
        <w:rPr>
          <w:rFonts w:hint="eastAsia" w:ascii="宋体" w:hAnsi="宋体" w:eastAsia="宋体" w:cs="宋体"/>
          <w:bCs/>
        </w:rPr>
        <w:t>GB51192 公园设计规范</w:t>
      </w:r>
    </w:p>
    <w:p>
      <w:pPr>
        <w:widowControl/>
        <w:spacing w:line="240" w:lineRule="auto"/>
        <w:ind w:firstLine="420"/>
        <w:rPr>
          <w:rFonts w:hint="eastAsia" w:ascii="宋体" w:hAnsi="宋体" w:eastAsia="宋体" w:cs="宋体"/>
          <w:bCs/>
        </w:rPr>
      </w:pPr>
      <w:r>
        <w:rPr>
          <w:rFonts w:hint="eastAsia" w:ascii="宋体" w:hAnsi="宋体" w:eastAsia="宋体" w:cs="宋体"/>
          <w:bCs/>
        </w:rPr>
        <w:t>GB51222 城镇内涝防治技术规范</w:t>
      </w:r>
    </w:p>
    <w:p>
      <w:pPr>
        <w:widowControl/>
        <w:spacing w:line="240" w:lineRule="auto"/>
        <w:ind w:firstLine="420"/>
        <w:rPr>
          <w:rFonts w:hint="eastAsia" w:ascii="宋体" w:hAnsi="宋体" w:eastAsia="宋体" w:cs="宋体"/>
          <w:bCs/>
        </w:rPr>
      </w:pPr>
      <w:r>
        <w:rPr>
          <w:rFonts w:hint="eastAsia" w:ascii="宋体" w:hAnsi="宋体" w:eastAsia="宋体" w:cs="宋体"/>
          <w:bCs/>
        </w:rPr>
        <w:t>GB/T22080 信息技术 安全技术 信息安全管理体系 要求</w:t>
      </w:r>
    </w:p>
    <w:p>
      <w:pPr>
        <w:widowControl/>
        <w:spacing w:line="240" w:lineRule="auto"/>
        <w:ind w:firstLine="420"/>
        <w:rPr>
          <w:rFonts w:hint="eastAsia" w:ascii="宋体" w:hAnsi="宋体" w:eastAsia="宋体" w:cs="宋体"/>
          <w:bCs/>
        </w:rPr>
      </w:pPr>
      <w:r>
        <w:rPr>
          <w:rFonts w:hint="eastAsia" w:ascii="宋体" w:hAnsi="宋体" w:eastAsia="宋体" w:cs="宋体"/>
          <w:bCs/>
        </w:rPr>
        <w:t>GB/T22239 信息安全技术 网络安全等级保护基本要求</w:t>
      </w:r>
    </w:p>
    <w:p>
      <w:pPr>
        <w:widowControl/>
        <w:spacing w:line="240" w:lineRule="auto"/>
        <w:ind w:firstLine="420"/>
        <w:rPr>
          <w:rFonts w:hint="eastAsia" w:ascii="宋体" w:hAnsi="宋体" w:eastAsia="宋体" w:cs="宋体"/>
          <w:bCs/>
        </w:rPr>
      </w:pPr>
      <w:r>
        <w:rPr>
          <w:rFonts w:hint="eastAsia" w:ascii="宋体" w:hAnsi="宋体" w:eastAsia="宋体" w:cs="宋体"/>
          <w:bCs/>
        </w:rPr>
        <w:t>GB/T31962 污水排入城镇下水道水质标准</w:t>
      </w:r>
    </w:p>
    <w:p>
      <w:pPr>
        <w:widowControl/>
        <w:spacing w:line="240" w:lineRule="auto"/>
        <w:ind w:firstLine="420"/>
        <w:rPr>
          <w:rFonts w:hint="eastAsia" w:ascii="宋体" w:hAnsi="宋体" w:eastAsia="宋体" w:cs="宋体"/>
          <w:bCs/>
        </w:rPr>
      </w:pPr>
      <w:r>
        <w:rPr>
          <w:rFonts w:hint="eastAsia" w:ascii="宋体" w:hAnsi="宋体" w:eastAsia="宋体" w:cs="宋体"/>
          <w:bCs/>
        </w:rPr>
        <w:t>GB/T50805 城市防洪工程设计规范</w:t>
      </w:r>
    </w:p>
    <w:p>
      <w:pPr>
        <w:widowControl/>
        <w:spacing w:line="240" w:lineRule="auto"/>
        <w:ind w:firstLine="420"/>
        <w:rPr>
          <w:rFonts w:hint="eastAsia" w:ascii="宋体" w:hAnsi="宋体" w:eastAsia="宋体" w:cs="宋体"/>
          <w:bCs/>
        </w:rPr>
      </w:pPr>
      <w:r>
        <w:rPr>
          <w:rFonts w:hint="eastAsia" w:ascii="宋体" w:hAnsi="宋体" w:eastAsia="宋体" w:cs="宋体"/>
          <w:bCs/>
        </w:rPr>
        <w:t>HJ/T91 地表水和污水监测技术规范</w:t>
      </w:r>
    </w:p>
    <w:p>
      <w:pPr>
        <w:widowControl/>
        <w:spacing w:line="240" w:lineRule="auto"/>
        <w:ind w:firstLine="420"/>
        <w:rPr>
          <w:rFonts w:hint="eastAsia" w:ascii="宋体" w:hAnsi="宋体" w:eastAsia="宋体" w:cs="宋体"/>
          <w:bCs/>
          <w:lang w:val="en-US" w:eastAsia="zh-CN"/>
        </w:rPr>
      </w:pPr>
      <w:r>
        <w:rPr>
          <w:rFonts w:hint="eastAsia" w:ascii="宋体" w:hAnsi="宋体" w:eastAsia="宋体" w:cs="宋体"/>
          <w:bCs/>
          <w:lang w:val="en-US" w:eastAsia="zh-CN"/>
        </w:rPr>
        <w:t>HJ/91.2 《地表水环境质量监测技术规范》</w:t>
      </w:r>
    </w:p>
    <w:p>
      <w:pPr>
        <w:widowControl/>
        <w:spacing w:line="240" w:lineRule="auto"/>
        <w:ind w:firstLine="420"/>
        <w:rPr>
          <w:rFonts w:hint="eastAsia" w:ascii="宋体" w:hAnsi="宋体" w:eastAsia="宋体" w:cs="宋体"/>
          <w:bCs/>
          <w:lang w:val="en-US" w:eastAsia="zh-CN"/>
        </w:rPr>
      </w:pPr>
      <w:r>
        <w:rPr>
          <w:rFonts w:hint="eastAsia" w:ascii="宋体" w:hAnsi="宋体" w:eastAsia="宋体" w:cs="宋体"/>
          <w:bCs/>
          <w:lang w:val="en-US" w:eastAsia="zh-CN"/>
        </w:rPr>
        <w:t>HJ/915 《地表水自动监测技术规范（试行）》</w:t>
      </w:r>
    </w:p>
    <w:p>
      <w:pPr>
        <w:widowControl/>
        <w:spacing w:line="240" w:lineRule="auto"/>
        <w:ind w:firstLine="420"/>
        <w:rPr>
          <w:rFonts w:hint="default" w:ascii="宋体" w:hAnsi="宋体" w:eastAsia="宋体" w:cs="宋体"/>
          <w:bCs/>
          <w:lang w:val="en-US" w:eastAsia="zh-CN"/>
        </w:rPr>
      </w:pPr>
      <w:r>
        <w:rPr>
          <w:rFonts w:hint="eastAsia" w:ascii="宋体" w:hAnsi="宋体" w:eastAsia="宋体" w:cs="宋体"/>
          <w:bCs/>
          <w:lang w:val="en-US" w:eastAsia="zh-CN"/>
        </w:rPr>
        <w:t>CJJ83 《城乡建设用地竖向规划规范》</w:t>
      </w:r>
    </w:p>
    <w:p>
      <w:pPr>
        <w:widowControl/>
        <w:spacing w:line="240" w:lineRule="auto"/>
        <w:ind w:firstLine="420"/>
        <w:rPr>
          <w:rFonts w:hint="eastAsia" w:ascii="宋体" w:hAnsi="宋体" w:eastAsia="宋体" w:cs="宋体"/>
          <w:bCs/>
        </w:rPr>
      </w:pPr>
      <w:r>
        <w:rPr>
          <w:rFonts w:hint="eastAsia" w:ascii="宋体" w:hAnsi="宋体" w:eastAsia="宋体" w:cs="宋体"/>
          <w:bCs/>
        </w:rPr>
        <w:t>SL265 水闸设计规范</w:t>
      </w:r>
    </w:p>
    <w:p>
      <w:pPr>
        <w:widowControl/>
        <w:spacing w:line="240" w:lineRule="auto"/>
        <w:ind w:firstLine="420"/>
        <w:rPr>
          <w:rFonts w:hint="eastAsia" w:ascii="宋体" w:hAnsi="宋体" w:eastAsia="宋体" w:cs="宋体"/>
          <w:bCs/>
        </w:rPr>
      </w:pPr>
      <w:r>
        <w:rPr>
          <w:rFonts w:hint="eastAsia" w:ascii="宋体" w:hAnsi="宋体" w:eastAsia="宋体" w:cs="宋体"/>
          <w:bCs/>
        </w:rPr>
        <w:t>SL723 治涝标准</w:t>
      </w:r>
    </w:p>
    <w:p>
      <w:pPr>
        <w:widowControl/>
        <w:spacing w:line="240" w:lineRule="auto"/>
        <w:ind w:firstLine="420"/>
        <w:rPr>
          <w:rFonts w:hint="eastAsia" w:ascii="宋体" w:hAnsi="宋体" w:eastAsia="宋体" w:cs="宋体"/>
          <w:bCs/>
        </w:rPr>
      </w:pPr>
      <w:r>
        <w:rPr>
          <w:rFonts w:hint="eastAsia" w:ascii="宋体" w:hAnsi="宋体" w:eastAsia="宋体" w:cs="宋体"/>
          <w:bCs/>
        </w:rPr>
        <w:t>SL778 山洪沟防洪治理工程技术规范</w:t>
      </w:r>
    </w:p>
    <w:p>
      <w:pPr>
        <w:widowControl/>
        <w:spacing w:line="240" w:lineRule="auto"/>
        <w:ind w:firstLine="420"/>
        <w:rPr>
          <w:rFonts w:hint="eastAsia" w:ascii="宋体" w:hAnsi="宋体" w:eastAsia="宋体" w:cs="宋体"/>
          <w:bCs/>
        </w:rPr>
      </w:pPr>
      <w:r>
        <w:rPr>
          <w:rFonts w:hint="eastAsia" w:ascii="宋体" w:hAnsi="宋体" w:eastAsia="宋体" w:cs="宋体"/>
          <w:bCs/>
        </w:rPr>
        <w:t>SL/</w:t>
      </w:r>
      <w:r>
        <w:rPr>
          <w:rFonts w:hint="eastAsia" w:ascii="宋体" w:hAnsi="宋体" w:eastAsia="宋体" w:cs="宋体"/>
          <w:bCs/>
          <w:lang w:val="en-US" w:eastAsia="zh-CN"/>
        </w:rPr>
        <w:t>T</w:t>
      </w:r>
      <w:r>
        <w:rPr>
          <w:rFonts w:hint="eastAsia" w:ascii="宋体" w:hAnsi="宋体" w:eastAsia="宋体" w:cs="宋体"/>
          <w:bCs/>
        </w:rPr>
        <w:t xml:space="preserve"> 712 河湖生态环境需水计算规范</w:t>
      </w:r>
    </w:p>
    <w:p>
      <w:pPr>
        <w:widowControl/>
        <w:spacing w:line="240" w:lineRule="auto"/>
        <w:ind w:firstLine="420"/>
        <w:rPr>
          <w:bCs/>
        </w:rPr>
      </w:pPr>
      <w:r>
        <w:rPr>
          <w:rFonts w:hint="eastAsia" w:ascii="宋体" w:hAnsi="宋体" w:eastAsia="宋体" w:cs="宋体"/>
          <w:bCs/>
        </w:rPr>
        <w:t>DB32/T 310001 船舶水污染物内河接收设施配置规</w:t>
      </w:r>
      <w:r>
        <w:rPr>
          <w:bCs/>
        </w:rPr>
        <w:t>范</w:t>
      </w:r>
    </w:p>
    <w:p>
      <w:pPr>
        <w:pStyle w:val="106"/>
        <w:spacing w:before="312" w:after="312"/>
      </w:pPr>
      <w:bookmarkStart w:id="46" w:name="_Toc120268949"/>
      <w:bookmarkStart w:id="47" w:name="_Toc97191425"/>
      <w:r>
        <w:rPr>
          <w:rFonts w:hint="eastAsia"/>
        </w:rPr>
        <w:t>术语和定义</w:t>
      </w:r>
      <w:bookmarkEnd w:id="46"/>
      <w:bookmarkEnd w:id="47"/>
    </w:p>
    <w:sdt>
      <w:sdtPr>
        <w:id w:val="-1909835108"/>
        <w:placeholder>
          <w:docPart w:val="1BC306205BB34D11B906C0A44EA0DB6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8"/>
            <w:ind w:firstLine="420"/>
          </w:pPr>
          <w:bookmarkStart w:id="48" w:name="_Toc26986532"/>
          <w:bookmarkEnd w:id="48"/>
          <w:r>
            <w:t>下列术语和定义适用于本文件。</w:t>
          </w:r>
        </w:p>
      </w:sdtContent>
    </w:sdt>
    <w:p>
      <w:pPr>
        <w:pStyle w:val="107"/>
        <w:numPr>
          <w:ilvl w:val="2"/>
          <w:numId w:val="0"/>
        </w:numPr>
        <w:spacing w:beforeLines="0" w:afterLines="0"/>
      </w:pPr>
      <w:bookmarkStart w:id="49" w:name="_Toc678"/>
      <w:bookmarkStart w:id="50" w:name="_Toc120177451"/>
      <w:bookmarkStart w:id="51" w:name="_Toc120259150"/>
      <w:bookmarkStart w:id="52" w:name="_Toc9162"/>
      <w:bookmarkStart w:id="53" w:name="_Toc120268272"/>
      <w:bookmarkStart w:id="54" w:name="_Toc24607"/>
      <w:bookmarkStart w:id="55" w:name="_Toc7801"/>
      <w:bookmarkStart w:id="56" w:name="_Toc120268950"/>
      <w:r>
        <w:rPr>
          <w:rFonts w:hint="eastAsia"/>
        </w:rPr>
        <w:t>3.1</w:t>
      </w:r>
      <w:bookmarkEnd w:id="49"/>
      <w:bookmarkEnd w:id="50"/>
      <w:bookmarkEnd w:id="51"/>
      <w:bookmarkEnd w:id="52"/>
      <w:bookmarkEnd w:id="53"/>
      <w:bookmarkEnd w:id="54"/>
      <w:bookmarkEnd w:id="55"/>
      <w:bookmarkEnd w:id="56"/>
    </w:p>
    <w:p>
      <w:pPr>
        <w:pStyle w:val="107"/>
        <w:numPr>
          <w:ilvl w:val="2"/>
          <w:numId w:val="0"/>
        </w:numPr>
        <w:spacing w:beforeLines="0" w:afterLines="0"/>
        <w:ind w:firstLine="420" w:firstLineChars="200"/>
      </w:pPr>
      <w:bookmarkStart w:id="57" w:name="_Toc120268951"/>
      <w:bookmarkStart w:id="58" w:name="_Toc120268273"/>
      <w:bookmarkStart w:id="59" w:name="_Toc120259151"/>
      <w:bookmarkStart w:id="60" w:name="_Toc120177452"/>
      <w:r>
        <w:rPr>
          <w:rFonts w:hint="eastAsia"/>
        </w:rPr>
        <w:t>城市河道</w:t>
      </w:r>
      <w:r>
        <w:t xml:space="preserve">  urban river</w:t>
      </w:r>
      <w:bookmarkEnd w:id="57"/>
      <w:bookmarkEnd w:id="58"/>
      <w:bookmarkEnd w:id="59"/>
      <w:bookmarkEnd w:id="60"/>
    </w:p>
    <w:p>
      <w:pPr>
        <w:snapToGrid w:val="0"/>
        <w:spacing w:line="240" w:lineRule="auto"/>
        <w:ind w:firstLine="420"/>
      </w:pPr>
      <w:r>
        <w:rPr>
          <w:rFonts w:hint="eastAsia"/>
        </w:rPr>
        <w:t>流经城市河流的河床、水体、两岸及堤防等。</w:t>
      </w:r>
    </w:p>
    <w:p>
      <w:pPr>
        <w:pStyle w:val="107"/>
        <w:numPr>
          <w:ilvl w:val="2"/>
          <w:numId w:val="0"/>
        </w:numPr>
        <w:spacing w:beforeLines="0" w:afterLines="0"/>
      </w:pPr>
      <w:bookmarkStart w:id="61" w:name="_Toc120268274"/>
      <w:bookmarkStart w:id="62" w:name="_Toc120268952"/>
      <w:bookmarkStart w:id="63" w:name="_Toc120177453"/>
      <w:bookmarkStart w:id="64" w:name="_Toc120259152"/>
      <w:r>
        <w:t>3.2</w:t>
      </w:r>
      <w:bookmarkEnd w:id="61"/>
      <w:bookmarkEnd w:id="62"/>
      <w:bookmarkEnd w:id="63"/>
      <w:bookmarkEnd w:id="64"/>
      <w:r>
        <w:t xml:space="preserve"> </w:t>
      </w:r>
    </w:p>
    <w:p>
      <w:pPr>
        <w:pStyle w:val="107"/>
        <w:numPr>
          <w:ilvl w:val="2"/>
          <w:numId w:val="0"/>
        </w:numPr>
        <w:spacing w:beforeLines="0" w:afterLines="0"/>
        <w:ind w:firstLine="420" w:firstLineChars="200"/>
      </w:pPr>
      <w:bookmarkStart w:id="65" w:name="_Toc120268275"/>
      <w:bookmarkStart w:id="66" w:name="_Toc120177454"/>
      <w:bookmarkStart w:id="67" w:name="_Toc120268953"/>
      <w:bookmarkStart w:id="68" w:name="_Toc120259153"/>
      <w:r>
        <w:rPr>
          <w:rFonts w:hint="eastAsia"/>
        </w:rPr>
        <w:t>城市河道水环境综合整治</w:t>
      </w:r>
      <w:r>
        <w:t xml:space="preserve">  </w:t>
      </w:r>
      <w:bookmarkEnd w:id="65"/>
      <w:bookmarkEnd w:id="66"/>
      <w:bookmarkEnd w:id="67"/>
      <w:bookmarkEnd w:id="68"/>
      <w:r>
        <w:rPr>
          <w:rFonts w:hint="eastAsia"/>
        </w:rPr>
        <w:t>comprehensive regulation of urban river water environment</w:t>
      </w:r>
    </w:p>
    <w:p>
      <w:pPr>
        <w:spacing w:line="240" w:lineRule="auto"/>
        <w:ind w:firstLine="420"/>
      </w:pPr>
      <w:r>
        <w:rPr>
          <w:rFonts w:hint="eastAsia"/>
        </w:rPr>
        <w:t>将城市河道作为一个整体，根据沿岸地理分布，以及水环境容量和生态格局，为达到保障水安全、防治水污染、修复水生态、提升水景观等目标所采取的综合整治活动。</w:t>
      </w:r>
    </w:p>
    <w:p>
      <w:pPr>
        <w:pStyle w:val="107"/>
        <w:numPr>
          <w:ilvl w:val="2"/>
          <w:numId w:val="0"/>
        </w:numPr>
        <w:spacing w:beforeLines="0" w:afterLines="0"/>
        <w:rPr>
          <w:rFonts w:hAnsi="黑体"/>
          <w:b/>
          <w:bCs/>
          <w:szCs w:val="21"/>
        </w:rPr>
      </w:pPr>
      <w:bookmarkStart w:id="69" w:name="_Toc120177455"/>
      <w:bookmarkStart w:id="70" w:name="_Toc120268276"/>
      <w:bookmarkStart w:id="71" w:name="_Toc120259154"/>
      <w:bookmarkStart w:id="72" w:name="_Toc120268954"/>
      <w:r>
        <w:t>3.3</w:t>
      </w:r>
      <w:bookmarkEnd w:id="69"/>
      <w:bookmarkEnd w:id="70"/>
      <w:bookmarkEnd w:id="71"/>
      <w:bookmarkEnd w:id="72"/>
      <w:r>
        <w:t xml:space="preserve"> </w:t>
      </w:r>
    </w:p>
    <w:p>
      <w:pPr>
        <w:pStyle w:val="107"/>
        <w:numPr>
          <w:ilvl w:val="2"/>
          <w:numId w:val="0"/>
        </w:numPr>
        <w:spacing w:beforeLines="0" w:afterLines="0"/>
        <w:ind w:firstLine="420" w:firstLineChars="200"/>
      </w:pPr>
      <w:bookmarkStart w:id="73" w:name="_Toc120177456"/>
      <w:bookmarkStart w:id="74" w:name="_Toc120268955"/>
      <w:bookmarkStart w:id="75" w:name="_Toc120259155"/>
      <w:bookmarkStart w:id="76" w:name="_Toc120268277"/>
      <w:r>
        <w:rPr>
          <w:rFonts w:hint="eastAsia"/>
        </w:rPr>
        <w:t>河段 urban</w:t>
      </w:r>
      <w:r>
        <w:t xml:space="preserve"> river </w:t>
      </w:r>
      <w:bookmarkStart w:id="215" w:name="_GoBack"/>
      <w:bookmarkEnd w:id="215"/>
      <w:r>
        <w:t>reach</w:t>
      </w:r>
      <w:bookmarkEnd w:id="73"/>
      <w:bookmarkEnd w:id="74"/>
      <w:bookmarkEnd w:id="75"/>
      <w:bookmarkEnd w:id="76"/>
    </w:p>
    <w:p>
      <w:pPr>
        <w:snapToGrid w:val="0"/>
        <w:spacing w:line="240" w:lineRule="auto"/>
        <w:ind w:firstLine="420"/>
      </w:pPr>
      <w:r>
        <w:rPr>
          <w:rFonts w:hint="eastAsia"/>
        </w:rPr>
        <w:t>按照一定规则分类的河流段。</w:t>
      </w:r>
    </w:p>
    <w:p>
      <w:pPr>
        <w:pStyle w:val="107"/>
        <w:numPr>
          <w:ilvl w:val="2"/>
          <w:numId w:val="0"/>
        </w:numPr>
        <w:spacing w:beforeLines="0" w:afterLines="0"/>
      </w:pPr>
      <w:bookmarkStart w:id="77" w:name="_Toc120177457"/>
      <w:bookmarkStart w:id="78" w:name="_Toc120268278"/>
      <w:bookmarkStart w:id="79" w:name="_Toc120259156"/>
      <w:bookmarkStart w:id="80" w:name="_Toc120268956"/>
      <w:r>
        <w:t>3.4</w:t>
      </w:r>
      <w:bookmarkEnd w:id="77"/>
      <w:bookmarkEnd w:id="78"/>
      <w:bookmarkEnd w:id="79"/>
      <w:bookmarkEnd w:id="80"/>
      <w:r>
        <w:t xml:space="preserve"> </w:t>
      </w:r>
    </w:p>
    <w:p>
      <w:pPr>
        <w:pStyle w:val="107"/>
        <w:numPr>
          <w:ilvl w:val="2"/>
          <w:numId w:val="0"/>
        </w:numPr>
        <w:spacing w:beforeLines="0" w:afterLines="0"/>
        <w:ind w:firstLine="420" w:firstLineChars="200"/>
      </w:pPr>
      <w:bookmarkStart w:id="81" w:name="_Toc120268279"/>
      <w:bookmarkStart w:id="82" w:name="_Toc120268957"/>
      <w:bookmarkStart w:id="83" w:name="_Toc120259157"/>
      <w:bookmarkStart w:id="84" w:name="_Toc120177458"/>
      <w:r>
        <w:rPr>
          <w:rFonts w:hint="eastAsia"/>
        </w:rPr>
        <w:t>点源污染 point source pollution</w:t>
      </w:r>
      <w:bookmarkEnd w:id="81"/>
      <w:bookmarkEnd w:id="82"/>
      <w:bookmarkEnd w:id="83"/>
      <w:bookmarkEnd w:id="84"/>
    </w:p>
    <w:p>
      <w:pPr>
        <w:spacing w:line="240" w:lineRule="auto"/>
        <w:ind w:firstLine="420"/>
      </w:pPr>
      <w:r>
        <w:rPr>
          <w:rFonts w:hint="eastAsia"/>
        </w:rPr>
        <w:t>点源污染是指任何由可识别污染源产生的污染，主要包括排放口直排污废水、合流制管道溢流、分流制雨水管道初期雨水或旱流水等污染。</w:t>
      </w:r>
    </w:p>
    <w:p>
      <w:pPr>
        <w:pStyle w:val="107"/>
        <w:numPr>
          <w:ilvl w:val="2"/>
          <w:numId w:val="0"/>
        </w:numPr>
        <w:spacing w:beforeLines="0" w:afterLines="0"/>
      </w:pPr>
      <w:bookmarkStart w:id="85" w:name="_Toc120268958"/>
      <w:bookmarkStart w:id="86" w:name="_Toc120177459"/>
      <w:bookmarkStart w:id="87" w:name="_Toc120268280"/>
      <w:bookmarkStart w:id="88" w:name="_Toc120259158"/>
      <w:r>
        <w:t>3.5</w:t>
      </w:r>
      <w:bookmarkEnd w:id="85"/>
      <w:bookmarkEnd w:id="86"/>
      <w:bookmarkEnd w:id="87"/>
      <w:bookmarkEnd w:id="88"/>
      <w:r>
        <w:t xml:space="preserve"> </w:t>
      </w:r>
    </w:p>
    <w:p>
      <w:pPr>
        <w:pStyle w:val="107"/>
        <w:numPr>
          <w:ilvl w:val="2"/>
          <w:numId w:val="0"/>
        </w:numPr>
        <w:spacing w:beforeLines="0" w:afterLines="0"/>
        <w:ind w:firstLine="420" w:firstLineChars="200"/>
      </w:pPr>
      <w:bookmarkStart w:id="89" w:name="_Toc120259159"/>
      <w:bookmarkStart w:id="90" w:name="_Toc120177460"/>
      <w:bookmarkStart w:id="91" w:name="_Toc120268281"/>
      <w:bookmarkStart w:id="92" w:name="_Toc120268959"/>
      <w:r>
        <w:rPr>
          <w:rFonts w:hint="eastAsia"/>
        </w:rPr>
        <w:t>面源污染 non-point source pollution</w:t>
      </w:r>
      <w:bookmarkEnd w:id="89"/>
      <w:bookmarkEnd w:id="90"/>
      <w:bookmarkEnd w:id="91"/>
      <w:bookmarkEnd w:id="92"/>
    </w:p>
    <w:p>
      <w:pPr>
        <w:spacing w:line="240" w:lineRule="auto"/>
        <w:ind w:firstLine="420"/>
      </w:pPr>
      <w:r>
        <w:rPr>
          <w:rFonts w:hint="eastAsia"/>
        </w:rPr>
        <w:t>面源污染是相对点源污染而言，指溶解的和固态污染物从非特定的地点，在降水以及融雪冲刷作用下，通过径流过程而汇入受纳水体并引起水体富营养化等的污染。</w:t>
      </w:r>
    </w:p>
    <w:p>
      <w:pPr>
        <w:pStyle w:val="107"/>
        <w:numPr>
          <w:ilvl w:val="2"/>
          <w:numId w:val="0"/>
        </w:numPr>
        <w:spacing w:beforeLines="0" w:afterLines="0"/>
      </w:pPr>
      <w:bookmarkStart w:id="93" w:name="_Toc120259160"/>
      <w:bookmarkStart w:id="94" w:name="_Toc120268282"/>
      <w:bookmarkStart w:id="95" w:name="_Toc120268960"/>
      <w:bookmarkStart w:id="96" w:name="_Toc120177461"/>
      <w:r>
        <w:t>3.6</w:t>
      </w:r>
      <w:bookmarkEnd w:id="93"/>
      <w:bookmarkEnd w:id="94"/>
      <w:bookmarkEnd w:id="95"/>
      <w:bookmarkEnd w:id="96"/>
      <w:r>
        <w:t xml:space="preserve"> </w:t>
      </w:r>
    </w:p>
    <w:p>
      <w:pPr>
        <w:pStyle w:val="107"/>
        <w:numPr>
          <w:ilvl w:val="2"/>
          <w:numId w:val="0"/>
        </w:numPr>
        <w:spacing w:beforeLines="0" w:afterLines="0"/>
        <w:ind w:firstLine="420" w:firstLineChars="200"/>
      </w:pPr>
      <w:bookmarkStart w:id="97" w:name="_Toc120177462"/>
      <w:bookmarkStart w:id="98" w:name="_Toc120268283"/>
      <w:bookmarkStart w:id="99" w:name="_Toc120259161"/>
      <w:bookmarkStart w:id="100" w:name="_Toc120268961"/>
      <w:r>
        <w:rPr>
          <w:rFonts w:hint="eastAsia"/>
        </w:rPr>
        <w:t>内源污染 internal source pollution</w:t>
      </w:r>
      <w:bookmarkEnd w:id="97"/>
      <w:bookmarkEnd w:id="98"/>
      <w:bookmarkEnd w:id="99"/>
      <w:bookmarkEnd w:id="100"/>
    </w:p>
    <w:p>
      <w:pPr>
        <w:spacing w:line="240" w:lineRule="auto"/>
        <w:ind w:firstLine="420"/>
        <w:rPr>
          <w:rFonts w:ascii="Times New Roman" w:hAnsi="Times New Roman"/>
        </w:rPr>
      </w:pPr>
      <w:r>
        <w:rPr>
          <w:rFonts w:hint="eastAsia"/>
        </w:rPr>
        <w:t>内源污染是指进入水体中的物质通过各种物理、化学和生物作用，逐渐沉降至水体底质表层，当累积到一定量后再向水体释放而形成的污染</w:t>
      </w:r>
      <w:r>
        <w:rPr>
          <w:rFonts w:hint="eastAsia" w:ascii="Times New Roman" w:hAnsi="Times New Roman"/>
        </w:rPr>
        <w:t>。</w:t>
      </w:r>
    </w:p>
    <w:p>
      <w:pPr>
        <w:pStyle w:val="107"/>
        <w:numPr>
          <w:ilvl w:val="2"/>
          <w:numId w:val="0"/>
        </w:numPr>
        <w:spacing w:beforeLines="0" w:afterLines="0"/>
      </w:pPr>
      <w:bookmarkStart w:id="101" w:name="_Toc120268284"/>
      <w:bookmarkStart w:id="102" w:name="_Toc120259162"/>
      <w:bookmarkStart w:id="103" w:name="_Toc120177463"/>
      <w:bookmarkStart w:id="104" w:name="_Toc120268962"/>
      <w:r>
        <w:t>3.7</w:t>
      </w:r>
      <w:bookmarkEnd w:id="101"/>
      <w:bookmarkEnd w:id="102"/>
      <w:bookmarkEnd w:id="103"/>
      <w:bookmarkEnd w:id="104"/>
      <w:r>
        <w:t xml:space="preserve"> </w:t>
      </w:r>
    </w:p>
    <w:p>
      <w:pPr>
        <w:pStyle w:val="107"/>
        <w:numPr>
          <w:ilvl w:val="2"/>
          <w:numId w:val="0"/>
        </w:numPr>
        <w:spacing w:beforeLines="0" w:afterLines="0"/>
        <w:ind w:firstLine="420" w:firstLineChars="200"/>
      </w:pPr>
      <w:bookmarkStart w:id="105" w:name="_Toc120177464"/>
      <w:bookmarkStart w:id="106" w:name="_Toc120268963"/>
      <w:bookmarkStart w:id="107" w:name="_Toc120259163"/>
      <w:bookmarkStart w:id="108" w:name="_Toc120268285"/>
      <w:r>
        <w:t>生态</w:t>
      </w:r>
      <w:r>
        <w:rPr>
          <w:rFonts w:hint="eastAsia"/>
        </w:rPr>
        <w:t>驳</w:t>
      </w:r>
      <w:r>
        <w:t>岸 ecological riparian</w:t>
      </w:r>
      <w:bookmarkEnd w:id="105"/>
      <w:bookmarkEnd w:id="106"/>
      <w:bookmarkEnd w:id="107"/>
      <w:bookmarkEnd w:id="108"/>
    </w:p>
    <w:p>
      <w:pPr>
        <w:spacing w:line="240" w:lineRule="auto"/>
        <w:ind w:firstLine="420"/>
        <w:rPr>
          <w:rFonts w:ascii="Times New Roman" w:hAnsi="Times New Roman"/>
        </w:rPr>
      </w:pPr>
      <w:r>
        <w:rPr>
          <w:rFonts w:hint="eastAsia" w:ascii="Times New Roman" w:hAnsi="Times New Roman"/>
        </w:rPr>
        <w:t>保护生物的多样性延续而采取的以安全为基础、生态为导向、恢复水体岸线自然属性的、产生一定自然景观效果的、对水体坡面进行防护的一种河岸形式。</w:t>
      </w:r>
    </w:p>
    <w:p>
      <w:pPr>
        <w:pStyle w:val="107"/>
        <w:numPr>
          <w:ilvl w:val="2"/>
          <w:numId w:val="0"/>
        </w:numPr>
        <w:spacing w:beforeLines="0" w:afterLines="0"/>
      </w:pPr>
      <w:bookmarkStart w:id="109" w:name="_Toc120259164"/>
      <w:bookmarkStart w:id="110" w:name="_Toc120177465"/>
      <w:bookmarkStart w:id="111" w:name="_Toc120268964"/>
      <w:bookmarkStart w:id="112" w:name="_Toc120268286"/>
      <w:r>
        <w:t>3.8</w:t>
      </w:r>
      <w:bookmarkEnd w:id="109"/>
      <w:bookmarkEnd w:id="110"/>
      <w:bookmarkEnd w:id="111"/>
      <w:bookmarkEnd w:id="112"/>
      <w:r>
        <w:t xml:space="preserve"> </w:t>
      </w:r>
    </w:p>
    <w:p>
      <w:pPr>
        <w:pStyle w:val="107"/>
        <w:numPr>
          <w:ilvl w:val="2"/>
          <w:numId w:val="0"/>
        </w:numPr>
        <w:spacing w:beforeLines="0" w:afterLines="0"/>
        <w:ind w:firstLine="420" w:firstLineChars="200"/>
      </w:pPr>
      <w:bookmarkStart w:id="113" w:name="_Toc120268965"/>
      <w:bookmarkStart w:id="114" w:name="_Toc120177466"/>
      <w:bookmarkStart w:id="115" w:name="_Toc120268287"/>
      <w:bookmarkStart w:id="116" w:name="_Toc120259165"/>
      <w:r>
        <w:t>硬质</w:t>
      </w:r>
      <w:r>
        <w:rPr>
          <w:rFonts w:hint="eastAsia"/>
        </w:rPr>
        <w:t>驳</w:t>
      </w:r>
      <w:r>
        <w:t>岸 flinty riparian</w:t>
      </w:r>
      <w:bookmarkEnd w:id="113"/>
      <w:bookmarkEnd w:id="114"/>
      <w:bookmarkEnd w:id="115"/>
      <w:bookmarkEnd w:id="116"/>
    </w:p>
    <w:p>
      <w:pPr>
        <w:spacing w:line="240" w:lineRule="auto"/>
        <w:ind w:firstLine="420"/>
        <w:rPr>
          <w:rFonts w:ascii="Times New Roman" w:hAnsi="Times New Roman"/>
        </w:rPr>
      </w:pPr>
      <w:r>
        <w:rPr>
          <w:rFonts w:hint="eastAsia" w:ascii="Times New Roman" w:hAnsi="Times New Roman"/>
        </w:rPr>
        <w:t>由石材、混凝土材料或其他材料构筑的、使水体与土体完全隔绝的河岸形式。</w:t>
      </w:r>
    </w:p>
    <w:p>
      <w:pPr>
        <w:pStyle w:val="107"/>
        <w:numPr>
          <w:ilvl w:val="2"/>
          <w:numId w:val="0"/>
        </w:numPr>
        <w:spacing w:beforeLines="0" w:afterLines="0"/>
      </w:pPr>
      <w:bookmarkStart w:id="117" w:name="_Toc120268966"/>
      <w:bookmarkStart w:id="118" w:name="_Toc120177467"/>
      <w:bookmarkStart w:id="119" w:name="_Toc120268288"/>
      <w:bookmarkStart w:id="120" w:name="_Toc120259166"/>
      <w:r>
        <w:t>3.9</w:t>
      </w:r>
      <w:bookmarkEnd w:id="117"/>
      <w:bookmarkEnd w:id="118"/>
      <w:bookmarkEnd w:id="119"/>
      <w:bookmarkEnd w:id="120"/>
      <w:r>
        <w:t xml:space="preserve"> </w:t>
      </w:r>
    </w:p>
    <w:p>
      <w:pPr>
        <w:pStyle w:val="107"/>
        <w:numPr>
          <w:ilvl w:val="2"/>
          <w:numId w:val="0"/>
        </w:numPr>
        <w:spacing w:beforeLines="0" w:afterLines="0"/>
        <w:ind w:firstLine="420" w:firstLineChars="200"/>
      </w:pPr>
      <w:bookmarkStart w:id="121" w:name="_Toc120177468"/>
      <w:bookmarkStart w:id="122" w:name="_Toc120268289"/>
      <w:bookmarkStart w:id="123" w:name="_Toc120259167"/>
      <w:bookmarkStart w:id="124" w:name="_Toc120268967"/>
      <w:r>
        <w:t>合流制溢流 combined sewer overflow</w:t>
      </w:r>
      <w:bookmarkEnd w:id="121"/>
      <w:bookmarkEnd w:id="122"/>
      <w:bookmarkEnd w:id="123"/>
      <w:bookmarkEnd w:id="124"/>
    </w:p>
    <w:p>
      <w:pPr>
        <w:spacing w:line="240" w:lineRule="auto"/>
        <w:ind w:firstLine="420"/>
        <w:rPr>
          <w:rFonts w:ascii="Times New Roman" w:hAnsi="Times New Roman"/>
        </w:rPr>
      </w:pPr>
      <w:r>
        <w:rPr>
          <w:rFonts w:ascii="Times New Roman" w:hAnsi="Times New Roman"/>
        </w:rPr>
        <w:t>降</w:t>
      </w:r>
      <w:r>
        <w:rPr>
          <w:rFonts w:hint="eastAsia" w:ascii="Times New Roman" w:hAnsi="Times New Roman"/>
        </w:rPr>
        <w:t>雨时，超过截流能力的水排入水体的状况</w:t>
      </w:r>
      <w:r>
        <w:rPr>
          <w:rFonts w:ascii="Times New Roman" w:hAnsi="Times New Roman"/>
        </w:rPr>
        <w:t>。</w:t>
      </w:r>
    </w:p>
    <w:p>
      <w:pPr>
        <w:pStyle w:val="107"/>
        <w:numPr>
          <w:ilvl w:val="2"/>
          <w:numId w:val="0"/>
        </w:numPr>
        <w:spacing w:beforeLines="0" w:afterLines="0"/>
      </w:pPr>
      <w:bookmarkStart w:id="125" w:name="_Toc120259168"/>
      <w:bookmarkStart w:id="126" w:name="_Toc120177469"/>
      <w:bookmarkStart w:id="127" w:name="_Toc120268290"/>
      <w:bookmarkStart w:id="128" w:name="_Toc120268968"/>
      <w:r>
        <w:t>3.10</w:t>
      </w:r>
      <w:bookmarkEnd w:id="125"/>
      <w:bookmarkEnd w:id="126"/>
      <w:bookmarkEnd w:id="127"/>
      <w:bookmarkEnd w:id="128"/>
      <w:r>
        <w:t xml:space="preserve"> </w:t>
      </w:r>
    </w:p>
    <w:p>
      <w:pPr>
        <w:pStyle w:val="107"/>
        <w:numPr>
          <w:ilvl w:val="2"/>
          <w:numId w:val="0"/>
        </w:numPr>
        <w:spacing w:beforeLines="0" w:afterLines="0"/>
        <w:ind w:firstLine="420" w:firstLineChars="200"/>
      </w:pPr>
      <w:bookmarkStart w:id="129" w:name="_Toc120268291"/>
      <w:bookmarkStart w:id="130" w:name="_Toc120177470"/>
      <w:bookmarkStart w:id="131" w:name="_Toc120268969"/>
      <w:bookmarkStart w:id="132" w:name="_Toc120259169"/>
      <w:r>
        <w:t>生境 habitat</w:t>
      </w:r>
      <w:bookmarkEnd w:id="129"/>
      <w:bookmarkEnd w:id="130"/>
      <w:bookmarkEnd w:id="131"/>
      <w:bookmarkEnd w:id="132"/>
    </w:p>
    <w:p>
      <w:pPr>
        <w:spacing w:line="240" w:lineRule="auto"/>
        <w:ind w:firstLine="420"/>
        <w:rPr>
          <w:rFonts w:ascii="Times New Roman" w:hAnsi="Times New Roman"/>
        </w:rPr>
      </w:pPr>
      <w:r>
        <w:rPr>
          <w:rFonts w:ascii="Times New Roman" w:hAnsi="Times New Roman"/>
        </w:rPr>
        <w:t>生</w:t>
      </w:r>
      <w:r>
        <w:rPr>
          <w:rFonts w:hint="eastAsia" w:ascii="Times New Roman" w:hAnsi="Times New Roman"/>
        </w:rPr>
        <w:t>物的个体、种群或群落生活地域的环境，包括必需的生存条件和其他对生物起作用的生态因素</w:t>
      </w:r>
      <w:r>
        <w:rPr>
          <w:rFonts w:ascii="Times New Roman" w:hAnsi="Times New Roman"/>
        </w:rPr>
        <w:t>。</w:t>
      </w:r>
    </w:p>
    <w:p>
      <w:pPr>
        <w:pStyle w:val="107"/>
        <w:numPr>
          <w:ilvl w:val="2"/>
          <w:numId w:val="0"/>
        </w:numPr>
        <w:spacing w:beforeLines="0" w:afterLines="0"/>
      </w:pPr>
      <w:bookmarkStart w:id="133" w:name="_Toc120259170"/>
      <w:bookmarkStart w:id="134" w:name="_Toc120268292"/>
      <w:bookmarkStart w:id="135" w:name="_Toc120268970"/>
      <w:bookmarkStart w:id="136" w:name="_Toc120177471"/>
      <w:r>
        <w:t>3.</w:t>
      </w:r>
      <w:bookmarkStart w:id="137" w:name="OLE_LINK1"/>
      <w:bookmarkStart w:id="138" w:name="OLE_LINK6"/>
      <w:r>
        <w:t>11</w:t>
      </w:r>
      <w:bookmarkEnd w:id="133"/>
      <w:bookmarkEnd w:id="134"/>
      <w:bookmarkEnd w:id="135"/>
      <w:bookmarkEnd w:id="136"/>
      <w:r>
        <w:t xml:space="preserve"> </w:t>
      </w:r>
    </w:p>
    <w:p>
      <w:pPr>
        <w:pStyle w:val="107"/>
        <w:numPr>
          <w:ilvl w:val="2"/>
          <w:numId w:val="0"/>
        </w:numPr>
        <w:spacing w:beforeLines="0" w:afterLines="0"/>
        <w:ind w:firstLine="420" w:firstLineChars="200"/>
      </w:pPr>
      <w:bookmarkStart w:id="139" w:name="_Toc120268293"/>
      <w:bookmarkStart w:id="140" w:name="_Toc120259171"/>
      <w:bookmarkStart w:id="141" w:name="_Toc120268971"/>
      <w:bookmarkStart w:id="142" w:name="_Toc120177472"/>
      <w:r>
        <w:rPr>
          <w:rFonts w:hint="eastAsia"/>
        </w:rPr>
        <w:t>生态环境需水量</w:t>
      </w:r>
      <w:bookmarkEnd w:id="137"/>
      <w:bookmarkEnd w:id="138"/>
      <w:r>
        <w:t xml:space="preserve"> eco-environmental </w:t>
      </w:r>
      <w:r>
        <w:rPr>
          <w:rFonts w:hint="eastAsia"/>
        </w:rPr>
        <w:t>w</w:t>
      </w:r>
      <w:r>
        <w:t>ater consumption</w:t>
      </w:r>
      <w:bookmarkEnd w:id="139"/>
      <w:bookmarkEnd w:id="140"/>
      <w:bookmarkEnd w:id="141"/>
      <w:bookmarkEnd w:id="142"/>
    </w:p>
    <w:p>
      <w:pPr>
        <w:spacing w:line="240" w:lineRule="auto"/>
        <w:ind w:firstLine="420"/>
        <w:rPr>
          <w:rFonts w:ascii="Times New Roman" w:hAnsi="Times New Roman"/>
        </w:rPr>
      </w:pPr>
      <w:r>
        <w:rPr>
          <w:rFonts w:hint="eastAsia" w:ascii="Times New Roman" w:hAnsi="Times New Roman"/>
        </w:rPr>
        <w:t>为实现特定区域内的生态环境保护目标所需要的水资源总量。</w:t>
      </w:r>
    </w:p>
    <w:p>
      <w:pPr>
        <w:pStyle w:val="107"/>
        <w:numPr>
          <w:ilvl w:val="2"/>
          <w:numId w:val="0"/>
        </w:numPr>
        <w:spacing w:beforeLines="0" w:afterLines="0"/>
      </w:pPr>
      <w:bookmarkStart w:id="143" w:name="_Toc120268294"/>
      <w:bookmarkStart w:id="144" w:name="_Toc120177473"/>
      <w:bookmarkStart w:id="145" w:name="_Toc120259172"/>
      <w:bookmarkStart w:id="146" w:name="_Toc120268972"/>
      <w:r>
        <w:t>3.12</w:t>
      </w:r>
      <w:bookmarkEnd w:id="143"/>
      <w:bookmarkEnd w:id="144"/>
      <w:bookmarkEnd w:id="145"/>
      <w:bookmarkEnd w:id="146"/>
      <w:r>
        <w:t xml:space="preserve"> </w:t>
      </w:r>
    </w:p>
    <w:p>
      <w:pPr>
        <w:pStyle w:val="107"/>
        <w:numPr>
          <w:ilvl w:val="2"/>
          <w:numId w:val="0"/>
        </w:numPr>
        <w:spacing w:beforeLines="0" w:afterLines="0"/>
        <w:ind w:firstLine="420" w:firstLineChars="200"/>
      </w:pPr>
      <w:bookmarkStart w:id="147" w:name="_Toc120177474"/>
      <w:bookmarkStart w:id="148" w:name="_Toc120268295"/>
      <w:bookmarkStart w:id="149" w:name="_Toc120268973"/>
      <w:bookmarkStart w:id="150" w:name="_Toc120259173"/>
      <w:r>
        <w:t>湿生植物 hy</w:t>
      </w:r>
      <w:r>
        <w:rPr>
          <w:rFonts w:hint="eastAsia"/>
        </w:rPr>
        <w:t>d</w:t>
      </w:r>
      <w:r>
        <w:t>rophyte</w:t>
      </w:r>
      <w:bookmarkEnd w:id="147"/>
      <w:bookmarkEnd w:id="148"/>
      <w:bookmarkEnd w:id="149"/>
      <w:bookmarkEnd w:id="150"/>
    </w:p>
    <w:p>
      <w:pPr>
        <w:spacing w:line="240" w:lineRule="auto"/>
        <w:ind w:firstLine="420"/>
        <w:rPr>
          <w:rFonts w:ascii="Times New Roman" w:hAnsi="Times New Roman"/>
        </w:rPr>
      </w:pPr>
      <w:r>
        <w:rPr>
          <w:rFonts w:ascii="Times New Roman" w:hAnsi="Times New Roman"/>
        </w:rPr>
        <w:t>根</w:t>
      </w:r>
      <w:r>
        <w:rPr>
          <w:rFonts w:hint="eastAsia" w:ascii="Times New Roman" w:hAnsi="Times New Roman"/>
        </w:rPr>
        <w:t>系常扎在潮湿土壤中，耐短期或季节性水淹，但不能忍受较长时间水分不足的陆生植物</w:t>
      </w:r>
      <w:r>
        <w:rPr>
          <w:rFonts w:ascii="Times New Roman" w:hAnsi="Times New Roman"/>
        </w:rPr>
        <w:t>。</w:t>
      </w:r>
    </w:p>
    <w:p>
      <w:pPr>
        <w:pStyle w:val="107"/>
        <w:numPr>
          <w:ilvl w:val="2"/>
          <w:numId w:val="0"/>
        </w:numPr>
        <w:spacing w:beforeLines="0" w:afterLines="0"/>
      </w:pPr>
      <w:bookmarkStart w:id="151" w:name="_Toc120177475"/>
      <w:bookmarkStart w:id="152" w:name="_Toc120259174"/>
      <w:bookmarkStart w:id="153" w:name="_Toc120268974"/>
      <w:bookmarkStart w:id="154" w:name="_Toc120268296"/>
      <w:bookmarkStart w:id="155" w:name="OLE_LINK4"/>
      <w:bookmarkStart w:id="156" w:name="OLE_LINK5"/>
      <w:r>
        <w:t>3.13</w:t>
      </w:r>
      <w:bookmarkEnd w:id="151"/>
      <w:bookmarkEnd w:id="152"/>
      <w:bookmarkEnd w:id="153"/>
      <w:bookmarkEnd w:id="154"/>
      <w:r>
        <w:t xml:space="preserve"> </w:t>
      </w:r>
    </w:p>
    <w:p>
      <w:pPr>
        <w:pStyle w:val="107"/>
        <w:numPr>
          <w:ilvl w:val="2"/>
          <w:numId w:val="0"/>
        </w:numPr>
        <w:spacing w:beforeLines="0" w:afterLines="0"/>
        <w:ind w:firstLine="420" w:firstLineChars="200"/>
      </w:pPr>
      <w:bookmarkStart w:id="157" w:name="_Toc120268297"/>
      <w:bookmarkStart w:id="158" w:name="_Toc120268975"/>
      <w:bookmarkStart w:id="159" w:name="_Toc120177476"/>
      <w:bookmarkStart w:id="160" w:name="_Toc120259175"/>
      <w:r>
        <w:t>水生植物 aquatic plant</w:t>
      </w:r>
      <w:bookmarkEnd w:id="157"/>
      <w:bookmarkEnd w:id="158"/>
      <w:bookmarkEnd w:id="159"/>
      <w:bookmarkEnd w:id="160"/>
    </w:p>
    <w:bookmarkEnd w:id="155"/>
    <w:bookmarkEnd w:id="156"/>
    <w:p>
      <w:pPr>
        <w:pStyle w:val="58"/>
        <w:ind w:firstLine="420"/>
      </w:pPr>
      <w:r>
        <w:rPr>
          <w:rFonts w:ascii="Times New Roman"/>
          <w:szCs w:val="21"/>
        </w:rPr>
        <w:t>整</w:t>
      </w:r>
      <w:r>
        <w:rPr>
          <w:rFonts w:hint="eastAsia" w:ascii="Times New Roman"/>
          <w:szCs w:val="21"/>
        </w:rPr>
        <w:t>个或部分植物体长期生活在水环境中的植物，可分为挺水植物、浮叶植物、漂浮植物和沉水植物</w:t>
      </w:r>
      <w:r>
        <w:rPr>
          <w:rFonts w:ascii="Times New Roman"/>
          <w:szCs w:val="21"/>
        </w:rPr>
        <w:t>。</w:t>
      </w:r>
    </w:p>
    <w:p>
      <w:pPr>
        <w:pStyle w:val="106"/>
        <w:spacing w:before="312" w:after="312"/>
      </w:pPr>
      <w:bookmarkStart w:id="161" w:name="_Toc120268976"/>
      <w:r>
        <w:rPr>
          <w:rFonts w:hint="eastAsia"/>
          <w:szCs w:val="21"/>
        </w:rPr>
        <w:t>基本规定</w:t>
      </w:r>
      <w:bookmarkEnd w:id="161"/>
    </w:p>
    <w:p>
      <w:pPr>
        <w:pStyle w:val="107"/>
        <w:spacing w:before="156" w:after="156"/>
      </w:pPr>
      <w:bookmarkStart w:id="162" w:name="_Toc120268977"/>
      <w:bookmarkEnd w:id="162"/>
      <w:bookmarkStart w:id="163" w:name="_Toc120268299"/>
      <w:bookmarkEnd w:id="163"/>
    </w:p>
    <w:p>
      <w:pPr>
        <w:spacing w:line="240" w:lineRule="auto"/>
        <w:ind w:firstLine="420"/>
        <w:rPr>
          <w:rFonts w:ascii="Times New Roman" w:hAnsi="Times New Roman"/>
          <w:bCs/>
        </w:rPr>
      </w:pPr>
      <w:r>
        <w:rPr>
          <w:rFonts w:hint="eastAsia" w:ascii="Times New Roman" w:hAnsi="Times New Roman"/>
          <w:bCs/>
        </w:rPr>
        <w:t>城市河道水环境综合整治应以现状问题和需求为导向、上位规划为依据，采用“流域统筹、系统整治、智慧管控”全过程系统化治理思路。应以保障水安全为前提，以水污染防治为核心，统筹兼顾水生态修复和水景观提升，加强水智慧平台建设，逐步实现水体水功能达标。</w:t>
      </w:r>
    </w:p>
    <w:p>
      <w:pPr>
        <w:pStyle w:val="107"/>
        <w:spacing w:before="156" w:after="156"/>
      </w:pPr>
      <w:bookmarkStart w:id="164" w:name="_Toc120268978"/>
      <w:bookmarkEnd w:id="164"/>
      <w:bookmarkStart w:id="165" w:name="_Toc120268300"/>
      <w:bookmarkEnd w:id="165"/>
    </w:p>
    <w:p>
      <w:pPr>
        <w:pStyle w:val="58"/>
        <w:ind w:firstLine="420"/>
      </w:pPr>
      <w:r>
        <w:rPr>
          <w:rFonts w:hint="eastAsia"/>
        </w:rPr>
        <w:t>整治工程设计应以现状调查与评估为基础，以流域汇水范围为基本单元，调查内容应包含水安全、水环境、水生态、水景观及水智慧等。现状调查后，应进行现状评估与趋势判断，并提出整治策略。</w:t>
      </w:r>
    </w:p>
    <w:p>
      <w:pPr>
        <w:pStyle w:val="107"/>
        <w:spacing w:before="156" w:after="156"/>
        <w:rPr>
          <w:b/>
        </w:rPr>
      </w:pPr>
      <w:bookmarkStart w:id="166" w:name="_Toc120268979"/>
      <w:bookmarkEnd w:id="166"/>
      <w:bookmarkStart w:id="167" w:name="_Toc120268301"/>
      <w:bookmarkEnd w:id="167"/>
    </w:p>
    <w:p>
      <w:pPr>
        <w:pStyle w:val="58"/>
        <w:ind w:firstLine="420"/>
      </w:pPr>
      <w:r>
        <w:rPr>
          <w:rFonts w:hint="eastAsia" w:ascii="Times New Roman"/>
          <w:bCs/>
          <w:szCs w:val="21"/>
        </w:rPr>
        <w:t>整治目标应符合国土空间规划、河道水体功能区划等要求，对接流域规划和区域发展情况，合理确定设计目标、阶段性目标和分项目标，符合下列规定：</w:t>
      </w:r>
    </w:p>
    <w:p>
      <w:pPr>
        <w:pStyle w:val="176"/>
      </w:pPr>
      <w:r>
        <w:rPr>
          <w:rFonts w:hint="eastAsia"/>
        </w:rPr>
        <w:t>应综合考虑防洪防涝、供水、航运以及岸线利用的规划要求，确定防洪标准、内涝防治标准、水源水质达标率等水安全保障目标；</w:t>
      </w:r>
    </w:p>
    <w:p>
      <w:pPr>
        <w:pStyle w:val="176"/>
      </w:pPr>
      <w:r>
        <w:rPr>
          <w:rFonts w:hint="eastAsia"/>
        </w:rPr>
        <w:t>应在污染源调查的基础上，结合水功能区划以及相关专项规划和政策要求，确定污水集中收集率、水功能区水质达标率、年径流污染控制率等水污染防治目标；</w:t>
      </w:r>
    </w:p>
    <w:p>
      <w:pPr>
        <w:pStyle w:val="176"/>
      </w:pPr>
      <w:r>
        <w:rPr>
          <w:rFonts w:hint="eastAsia"/>
        </w:rPr>
        <w:t>应结合城市水环境容量、水生态系统完善情况以及植物-动物-微生物全生态位架构构建情况，确定年径流总量控制率、生态水位、透明度、底栖生物多样性等水生态修复目标；</w:t>
      </w:r>
    </w:p>
    <w:p>
      <w:pPr>
        <w:pStyle w:val="176"/>
      </w:pPr>
      <w:r>
        <w:rPr>
          <w:rFonts w:hint="eastAsia"/>
        </w:rPr>
        <w:t>应根据项目所在地相关专项规划和政策等要求，确定水景观提升和水智慧平台建设目标。</w:t>
      </w:r>
    </w:p>
    <w:p>
      <w:pPr>
        <w:pStyle w:val="106"/>
        <w:spacing w:before="312" w:after="312"/>
      </w:pPr>
      <w:bookmarkStart w:id="168" w:name="_Toc120268980"/>
      <w:r>
        <w:rPr>
          <w:rFonts w:hint="eastAsia"/>
          <w:szCs w:val="21"/>
        </w:rPr>
        <w:t>总体设计</w:t>
      </w:r>
      <w:bookmarkEnd w:id="168"/>
    </w:p>
    <w:p>
      <w:pPr>
        <w:pStyle w:val="107"/>
        <w:spacing w:before="156" w:after="156"/>
      </w:pPr>
      <w:bookmarkStart w:id="169" w:name="_Toc120268303"/>
      <w:bookmarkEnd w:id="169"/>
      <w:bookmarkStart w:id="170" w:name="_Toc120268981"/>
      <w:bookmarkEnd w:id="170"/>
    </w:p>
    <w:p>
      <w:pPr>
        <w:pStyle w:val="58"/>
        <w:ind w:firstLine="420"/>
        <w:rPr>
          <w:szCs w:val="21"/>
        </w:rPr>
      </w:pPr>
      <w:r>
        <w:rPr>
          <w:szCs w:val="21"/>
        </w:rPr>
        <w:t>城</w:t>
      </w:r>
      <w:r>
        <w:rPr>
          <w:rFonts w:hint="eastAsia"/>
          <w:szCs w:val="21"/>
        </w:rPr>
        <w:t>市河道水环境综合整治在满足整治目标的基础上，宜结合本底特性识别不同特征河段，并将设计目标分解到各个河段</w:t>
      </w:r>
      <w:r>
        <w:rPr>
          <w:szCs w:val="21"/>
        </w:rPr>
        <w:t>。</w:t>
      </w:r>
    </w:p>
    <w:p>
      <w:pPr>
        <w:pStyle w:val="107"/>
        <w:spacing w:before="156" w:after="156"/>
      </w:pPr>
      <w:bookmarkStart w:id="171" w:name="_Toc120268304"/>
      <w:bookmarkEnd w:id="171"/>
      <w:bookmarkStart w:id="172" w:name="_Toc120268982"/>
      <w:bookmarkEnd w:id="172"/>
    </w:p>
    <w:p>
      <w:pPr>
        <w:spacing w:line="240" w:lineRule="auto"/>
        <w:ind w:firstLine="420" w:firstLineChars="200"/>
      </w:pPr>
      <w:r>
        <w:t>城</w:t>
      </w:r>
      <w:r>
        <w:rPr>
          <w:rFonts w:hint="eastAsia"/>
        </w:rPr>
        <w:t>市河段宜根据区域特征、地域特征和河段功能进行分类，同一河道可分为多个河段，同一河段可具备多个区域特征、多个地域特征和多个功能特征</w:t>
      </w:r>
      <w:r>
        <w:t>。</w:t>
      </w:r>
    </w:p>
    <w:p>
      <w:pPr>
        <w:pStyle w:val="107"/>
        <w:spacing w:before="156" w:after="156"/>
      </w:pPr>
      <w:bookmarkStart w:id="173" w:name="_Toc120268983"/>
      <w:bookmarkEnd w:id="173"/>
      <w:bookmarkStart w:id="174" w:name="_Toc120268305"/>
      <w:bookmarkEnd w:id="174"/>
    </w:p>
    <w:p>
      <w:pPr>
        <w:spacing w:line="240" w:lineRule="auto"/>
        <w:ind w:firstLine="420"/>
      </w:pPr>
      <w:r>
        <w:t>城市</w:t>
      </w:r>
      <w:r>
        <w:rPr>
          <w:rFonts w:hint="eastAsia"/>
        </w:rPr>
        <w:t>河段宜按照以下特征进行分类：</w:t>
      </w:r>
    </w:p>
    <w:p>
      <w:pPr>
        <w:pStyle w:val="176"/>
        <w:numPr>
          <w:ilvl w:val="0"/>
          <w:numId w:val="32"/>
        </w:numPr>
      </w:pPr>
      <w:r>
        <w:rPr>
          <w:rFonts w:hint="eastAsia"/>
        </w:rPr>
        <w:t>按照区域特征可分为城镇生活型、工业密集型和郊野乡村型河段；</w:t>
      </w:r>
    </w:p>
    <w:p>
      <w:pPr>
        <w:pStyle w:val="176"/>
      </w:pPr>
      <w:r>
        <w:rPr>
          <w:rFonts w:hint="eastAsia"/>
        </w:rPr>
        <w:t>按照地域特征可分为平原型、山区型、河口型和其他地域型河段；</w:t>
      </w:r>
    </w:p>
    <w:p>
      <w:pPr>
        <w:pStyle w:val="176"/>
      </w:pPr>
      <w:r>
        <w:rPr>
          <w:rFonts w:hint="eastAsia"/>
        </w:rPr>
        <w:t>按照河段功能可分为航道运输型、防洪排涝型、饮用水源型、景观游憩型和其他功能型河段。</w:t>
      </w:r>
    </w:p>
    <w:p>
      <w:pPr>
        <w:pStyle w:val="107"/>
        <w:spacing w:before="156" w:after="156"/>
      </w:pPr>
    </w:p>
    <w:p>
      <w:pPr>
        <w:spacing w:line="240" w:lineRule="auto"/>
        <w:ind w:firstLine="420"/>
      </w:pPr>
      <w:r>
        <w:rPr>
          <w:rFonts w:hint="eastAsia"/>
        </w:rPr>
        <w:t>城市河道水环境综合整治方案宜根据分类河段进行设计。同一河段具有多个区域特征、多个地域特征和多个河段功能时，应统筹考虑整治策略，制定设计方案</w:t>
      </w:r>
      <w:r>
        <w:t>。</w:t>
      </w:r>
    </w:p>
    <w:p>
      <w:pPr>
        <w:pStyle w:val="107"/>
        <w:spacing w:before="156" w:after="156"/>
      </w:pPr>
      <w:bookmarkStart w:id="175" w:name="_Toc120268985"/>
      <w:bookmarkEnd w:id="175"/>
      <w:bookmarkStart w:id="176" w:name="_Toc120268307"/>
      <w:bookmarkEnd w:id="176"/>
    </w:p>
    <w:p>
      <w:pPr>
        <w:spacing w:line="240" w:lineRule="auto"/>
        <w:ind w:firstLine="420"/>
        <w:rPr>
          <w:rFonts w:ascii="Times New Roman" w:hAnsi="Times New Roman" w:eastAsia="黑体"/>
        </w:rPr>
      </w:pPr>
      <w:r>
        <w:rPr>
          <w:rFonts w:hint="eastAsia"/>
        </w:rPr>
        <w:t>城市河道水环境综合整治宜在模型模拟与评估的基础上，进行水安全保障、水污染防治、水生态修复、水景观提升工程设计，符合下列规定：</w:t>
      </w:r>
    </w:p>
    <w:p>
      <w:pPr>
        <w:pStyle w:val="176"/>
        <w:numPr>
          <w:ilvl w:val="0"/>
          <w:numId w:val="33"/>
        </w:numPr>
        <w:rPr>
          <w:rFonts w:eastAsia="黑体"/>
        </w:rPr>
      </w:pPr>
      <w:r>
        <w:rPr>
          <w:rFonts w:hint="eastAsia"/>
        </w:rPr>
        <w:t>模型模拟与评估应严格遵守河道整治目标，符合河道整治后的水文情势，模型模拟与评估应符合附录A的相关规定；</w:t>
      </w:r>
    </w:p>
    <w:p>
      <w:pPr>
        <w:pStyle w:val="176"/>
      </w:pPr>
      <w:r>
        <w:t>水安全</w:t>
      </w:r>
      <w:r>
        <w:rPr>
          <w:rFonts w:hint="eastAsia"/>
        </w:rPr>
        <w:t>保障应作为水污染防治、水生态修复、水景观提升等工程的前提，应合理确定或协调水安全工程布局，保障防洪防涝与供水安全；</w:t>
      </w:r>
    </w:p>
    <w:p>
      <w:pPr>
        <w:pStyle w:val="176"/>
      </w:pPr>
      <w:r>
        <w:t>水污染</w:t>
      </w:r>
      <w:r>
        <w:rPr>
          <w:rFonts w:hint="eastAsia"/>
        </w:rPr>
        <w:t>防治应以问题和目标为导向，统筹点源污染、面源污染、内源污染、客水污染、航运污染，落实污水处理提质增效，控制入河污染；</w:t>
      </w:r>
    </w:p>
    <w:p>
      <w:pPr>
        <w:pStyle w:val="176"/>
      </w:pPr>
      <w:r>
        <w:t>水生态</w:t>
      </w:r>
      <w:r>
        <w:rPr>
          <w:rFonts w:hint="eastAsia"/>
        </w:rPr>
        <w:t>修复应根据不同设计水平年统筹活水补水、生态驳岸、水质净化与改善及生物多样性修复等方面的工程设计；</w:t>
      </w:r>
    </w:p>
    <w:p>
      <w:pPr>
        <w:pStyle w:val="176"/>
      </w:pPr>
      <w:r>
        <w:rPr>
          <w:rFonts w:hint="eastAsia"/>
        </w:rPr>
        <w:t>水景观空间功能定位应与周边用地功能、空间风貌相协调，与周边城市定位、城市环境、自然环境相结合，融入本土文化、地域特色等因素，呈现良好景观视野或体验廊道；</w:t>
      </w:r>
    </w:p>
    <w:p>
      <w:pPr>
        <w:pStyle w:val="176"/>
      </w:pPr>
      <w:r>
        <w:rPr>
          <w:rFonts w:hint="eastAsia"/>
          <w:bCs/>
        </w:rPr>
        <w:t>水</w:t>
      </w:r>
      <w:r>
        <w:t>智慧</w:t>
      </w:r>
      <w:r>
        <w:rPr>
          <w:rFonts w:hint="eastAsia"/>
        </w:rPr>
        <w:t>平台建设应根据当地经济发展水平、水环境治理水平、城市河道管理需要等因素，总体规划，分层次实施，与当地智慧城市建设要求相结合。</w:t>
      </w:r>
    </w:p>
    <w:p>
      <w:pPr>
        <w:pStyle w:val="106"/>
        <w:spacing w:before="312" w:after="312"/>
      </w:pPr>
      <w:bookmarkStart w:id="177" w:name="_Toc120268986"/>
      <w:r>
        <w:rPr>
          <w:szCs w:val="21"/>
        </w:rPr>
        <w:t>水安全保障</w:t>
      </w:r>
      <w:bookmarkEnd w:id="177"/>
    </w:p>
    <w:p>
      <w:pPr>
        <w:pStyle w:val="107"/>
        <w:spacing w:before="156" w:after="156"/>
      </w:pPr>
      <w:bookmarkStart w:id="178" w:name="_Toc120268987"/>
      <w:r>
        <w:rPr>
          <w:bCs/>
        </w:rPr>
        <w:t>一般规定</w:t>
      </w:r>
      <w:bookmarkEnd w:id="178"/>
    </w:p>
    <w:p>
      <w:pPr>
        <w:pStyle w:val="167"/>
      </w:pPr>
      <w:r>
        <w:rPr>
          <w:rFonts w:hint="eastAsia"/>
        </w:rPr>
        <w:t>城市河道水环境综合整治工程设计防洪标准应符合《城市防洪工程设计规范》GB/T 50805的相关规定，治涝标准和措施应符合《治涝标准》SL 723和《城镇内涝防治技术规范》GB 51222的相关规定，山洪防治的标准和措施应符合《山洪沟防洪治理工程技术规范》SL/T 778的相关规定。</w:t>
      </w:r>
    </w:p>
    <w:p>
      <w:pPr>
        <w:pStyle w:val="67"/>
        <w:spacing w:before="0" w:beforeLines="0" w:after="0" w:afterLines="0"/>
        <w:rPr>
          <w:rFonts w:ascii="宋体" w:hAnsi="宋体" w:eastAsia="宋体"/>
        </w:rPr>
      </w:pPr>
      <w:r>
        <w:rPr>
          <w:rFonts w:hint="eastAsia" w:ascii="宋体" w:hAnsi="宋体" w:eastAsia="宋体"/>
        </w:rPr>
        <w:t>河道总体布置应统筹各项整治任务与相关规划的关系，宜在河道历史演变和水文分析的基础上，保留或恢复河道的自然形态。</w:t>
      </w:r>
    </w:p>
    <w:p>
      <w:pPr>
        <w:pStyle w:val="67"/>
        <w:spacing w:before="0" w:beforeLines="0" w:after="0" w:afterLines="0"/>
        <w:rPr>
          <w:rFonts w:ascii="宋体" w:hAnsi="宋体" w:eastAsia="宋体"/>
        </w:rPr>
      </w:pPr>
      <w:r>
        <w:rPr>
          <w:rFonts w:hint="eastAsia" w:ascii="宋体" w:hAnsi="宋体" w:eastAsia="宋体"/>
        </w:rPr>
        <w:t>城镇生活型河道线性和断面型式选择，应注重保护历史文化和体现城市风貌，充分考虑河道生态、景观和文化要求。</w:t>
      </w:r>
    </w:p>
    <w:p>
      <w:pPr>
        <w:pStyle w:val="67"/>
        <w:spacing w:before="0" w:beforeLines="0" w:after="0" w:afterLines="0"/>
        <w:rPr>
          <w:rFonts w:ascii="宋体" w:hAnsi="宋体" w:eastAsia="宋体"/>
        </w:rPr>
      </w:pPr>
      <w:r>
        <w:rPr>
          <w:rFonts w:hint="eastAsia" w:ascii="宋体" w:hAnsi="宋体" w:eastAsia="宋体"/>
        </w:rPr>
        <w:t>水系连通应保证河道基本功能、修复河道空间形态，统筹防洪治涝保障、水环境水质改善、水资源配置等方面的要求，建设城市良性水循环系统。</w:t>
      </w:r>
    </w:p>
    <w:p>
      <w:pPr>
        <w:pStyle w:val="67"/>
        <w:spacing w:before="0" w:beforeLines="0" w:after="0" w:afterLines="0"/>
        <w:rPr>
          <w:rFonts w:ascii="宋体" w:hAnsi="宋体" w:eastAsia="宋体"/>
        </w:rPr>
      </w:pPr>
      <w:r>
        <w:rPr>
          <w:rFonts w:hint="eastAsia" w:ascii="宋体" w:hAnsi="宋体" w:eastAsia="宋体"/>
        </w:rPr>
        <w:t>行洪河道应根据城市防洪规划要求设置堤防。景观、生态等工程建设不应影响堤防安全。堤防工程设计应符合《堤防工程设计规范》GB 50286的相关规定</w:t>
      </w:r>
      <w:r>
        <w:rPr>
          <w:rFonts w:ascii="宋体" w:hAnsi="宋体" w:eastAsia="宋体"/>
        </w:rPr>
        <w:t>。</w:t>
      </w:r>
    </w:p>
    <w:p>
      <w:pPr>
        <w:pStyle w:val="67"/>
        <w:spacing w:before="0" w:beforeLines="0" w:after="0" w:afterLines="0"/>
      </w:pPr>
      <w:r>
        <w:rPr>
          <w:rFonts w:hint="eastAsia" w:ascii="宋体" w:hAnsi="宋体" w:eastAsia="宋体"/>
        </w:rPr>
        <w:t>河道管理应符合《江苏省河道管理条例》的要求，管理范围内的建（构）筑物应符合防洪标准、岸线规划、航运等要求，不应危害堤防安全、影响河势稳定、妨碍行洪畅通。宜归并合建，减少数量</w:t>
      </w:r>
      <w:r>
        <w:rPr>
          <w:rFonts w:hint="eastAsia" w:ascii="宋体" w:hAnsi="宋体" w:eastAsia="宋体"/>
          <w:lang w:val="en-US" w:eastAsia="zh-CN"/>
        </w:rPr>
        <w:t>。</w:t>
      </w:r>
    </w:p>
    <w:p>
      <w:pPr>
        <w:pStyle w:val="67"/>
        <w:spacing w:before="0" w:beforeLines="0" w:after="0" w:afterLines="0"/>
        <w:rPr>
          <w:rFonts w:hint="eastAsia" w:ascii="宋体" w:hAnsi="宋体" w:eastAsia="宋体"/>
        </w:rPr>
      </w:pPr>
      <w:r>
        <w:rPr>
          <w:rFonts w:hint="eastAsia" w:ascii="宋体" w:hAnsi="宋体" w:eastAsia="宋体"/>
        </w:rPr>
        <w:t>河道两侧城市用地的竖向设计应满足《城乡建设用地竖向规划规范》CJJ 83的相关要求</w:t>
      </w:r>
    </w:p>
    <w:p>
      <w:pPr>
        <w:pStyle w:val="107"/>
        <w:spacing w:before="156" w:after="156"/>
        <w:rPr>
          <w:bCs/>
        </w:rPr>
      </w:pPr>
      <w:bookmarkStart w:id="179" w:name="_Toc120268988"/>
      <w:r>
        <w:rPr>
          <w:rFonts w:hint="eastAsia"/>
          <w:bCs/>
        </w:rPr>
        <w:t>河道总体布置</w:t>
      </w:r>
      <w:bookmarkEnd w:id="179"/>
    </w:p>
    <w:p>
      <w:pPr>
        <w:pStyle w:val="67"/>
        <w:spacing w:before="0" w:beforeLines="0" w:after="0" w:afterLines="0"/>
        <w:rPr>
          <w:rFonts w:ascii="宋体" w:hAnsi="宋体" w:eastAsia="宋体"/>
        </w:rPr>
      </w:pPr>
      <w:r>
        <w:rPr>
          <w:rFonts w:hint="eastAsia" w:ascii="宋体" w:hAnsi="宋体" w:eastAsia="宋体"/>
        </w:rPr>
        <w:t>排涝分区应统筹考虑区域自然地理特点、河流水系特征及水利工程布局等情况，按照“高水高排、低水低排”的原则进行划分。</w:t>
      </w:r>
    </w:p>
    <w:p>
      <w:pPr>
        <w:pStyle w:val="67"/>
        <w:spacing w:before="0" w:beforeLines="0" w:after="0" w:afterLines="0"/>
        <w:rPr>
          <w:rFonts w:ascii="宋体" w:hAnsi="宋体" w:eastAsia="宋体"/>
        </w:rPr>
      </w:pPr>
      <w:r>
        <w:rPr>
          <w:rFonts w:hint="eastAsia" w:ascii="宋体" w:hAnsi="宋体" w:eastAsia="宋体"/>
        </w:rPr>
        <w:t>河道总体布置应充分利用自然水体，统筹上下游、左右岸、干支流等关系；河道水系总平面设计，宜保持河道的自然弯曲形态，应控制裁弯取直。</w:t>
      </w:r>
    </w:p>
    <w:p>
      <w:pPr>
        <w:pStyle w:val="67"/>
        <w:spacing w:before="0" w:beforeLines="0" w:after="0" w:afterLines="0"/>
        <w:rPr>
          <w:rFonts w:ascii="宋体" w:hAnsi="宋体" w:eastAsia="宋体"/>
        </w:rPr>
      </w:pPr>
      <w:r>
        <w:rPr>
          <w:rFonts w:ascii="宋体" w:hAnsi="宋体" w:eastAsia="宋体"/>
        </w:rPr>
        <w:t>在</w:t>
      </w:r>
      <w:r>
        <w:rPr>
          <w:rFonts w:hint="eastAsia" w:ascii="宋体" w:hAnsi="宋体" w:eastAsia="宋体"/>
        </w:rPr>
        <w:t>满足防洪治涝规划、城市控规及用地红线的基础上，河道平面布置应合理确定治导线。根据《江苏省水利工程管理条例》及当地蓝线规划要求，明确河道蓝线以及保护范围线，宜预留防汛和管护通道</w:t>
      </w:r>
      <w:r>
        <w:rPr>
          <w:rFonts w:ascii="宋体" w:hAnsi="宋体" w:eastAsia="宋体"/>
        </w:rPr>
        <w:t>。</w:t>
      </w:r>
    </w:p>
    <w:p>
      <w:pPr>
        <w:pStyle w:val="67"/>
        <w:spacing w:before="0" w:beforeLines="0" w:after="0" w:afterLines="0"/>
        <w:rPr>
          <w:rFonts w:ascii="宋体" w:hAnsi="宋体" w:eastAsia="宋体"/>
        </w:rPr>
      </w:pPr>
      <w:r>
        <w:rPr>
          <w:rFonts w:hint="eastAsia" w:ascii="宋体" w:hAnsi="宋体" w:eastAsia="宋体"/>
        </w:rPr>
        <w:t>水系连通应以流域为研究对象，分析流域水系的自然特征，根据城市河道的治理目标和要求，合理确定治理策略和具体措施，符合下列规定：</w:t>
      </w:r>
    </w:p>
    <w:p>
      <w:pPr>
        <w:pStyle w:val="176"/>
        <w:numPr>
          <w:ilvl w:val="0"/>
          <w:numId w:val="34"/>
        </w:numPr>
      </w:pPr>
      <w:r>
        <w:t>拟</w:t>
      </w:r>
      <w:r>
        <w:rPr>
          <w:rFonts w:hint="eastAsia"/>
        </w:rPr>
        <w:t>连通的河道不应因洪水位差引起洪灾；</w:t>
      </w:r>
    </w:p>
    <w:p>
      <w:pPr>
        <w:pStyle w:val="176"/>
      </w:pPr>
      <w:r>
        <w:rPr>
          <w:rFonts w:hint="eastAsia"/>
        </w:rPr>
        <w:t>现状为明渠的河道，整治建设不应暗渠化；</w:t>
      </w:r>
    </w:p>
    <w:p>
      <w:pPr>
        <w:pStyle w:val="176"/>
      </w:pPr>
      <w:r>
        <w:rPr>
          <w:rFonts w:hint="eastAsia"/>
        </w:rPr>
        <w:t>应优先沟通断头河，具备条件时恢复城市建设中被填埋的河道；</w:t>
      </w:r>
    </w:p>
    <w:p>
      <w:pPr>
        <w:pStyle w:val="176"/>
      </w:pPr>
      <w:r>
        <w:rPr>
          <w:rFonts w:hint="eastAsia"/>
        </w:rPr>
        <w:t>无法恢复河道时，可采用管渠、泵站等工程措施。</w:t>
      </w:r>
    </w:p>
    <w:p>
      <w:pPr>
        <w:pStyle w:val="67"/>
        <w:spacing w:before="0" w:beforeLines="0" w:after="0" w:afterLines="0"/>
        <w:rPr>
          <w:rFonts w:ascii="宋体" w:eastAsia="宋体"/>
        </w:rPr>
      </w:pPr>
      <w:r>
        <w:rPr>
          <w:rFonts w:hint="eastAsia" w:ascii="宋体" w:eastAsia="宋体"/>
        </w:rPr>
        <w:t>河道断面设计符合下列规定：</w:t>
      </w:r>
    </w:p>
    <w:p>
      <w:pPr>
        <w:pStyle w:val="176"/>
        <w:numPr>
          <w:ilvl w:val="0"/>
          <w:numId w:val="35"/>
        </w:numPr>
      </w:pPr>
      <w:r>
        <w:rPr>
          <w:rFonts w:hint="eastAsia"/>
        </w:rPr>
        <w:t>河道断面应满足行洪治涝、水源涵养、航运和引排水等基本功能；</w:t>
      </w:r>
    </w:p>
    <w:p>
      <w:pPr>
        <w:pStyle w:val="176"/>
      </w:pPr>
      <w:r>
        <w:rPr>
          <w:rFonts w:hint="eastAsia"/>
        </w:rPr>
        <w:t>应避免河道断面单一化，优先采用天然河道断面；在保持天然河道断面有困难时，应根据不同的河段功能类型、蓝线宽度、用地性质及城市道路关系综合考虑选用复式断面、梯形断面、矩形断面等；</w:t>
      </w:r>
    </w:p>
    <w:p>
      <w:pPr>
        <w:pStyle w:val="176"/>
      </w:pPr>
      <w:r>
        <w:rPr>
          <w:rFonts w:hint="eastAsia"/>
        </w:rPr>
        <w:t>对于纵坡较大的河道，可设堰以维持景观、生态水位要求。</w:t>
      </w:r>
    </w:p>
    <w:p>
      <w:pPr>
        <w:pStyle w:val="107"/>
        <w:spacing w:before="156" w:after="156"/>
        <w:rPr>
          <w:bCs/>
        </w:rPr>
      </w:pPr>
      <w:bookmarkStart w:id="180" w:name="_Toc120268989"/>
      <w:r>
        <w:rPr>
          <w:rFonts w:hint="eastAsia"/>
          <w:bCs/>
        </w:rPr>
        <w:t>堤岸防护</w:t>
      </w:r>
      <w:bookmarkEnd w:id="180"/>
    </w:p>
    <w:p>
      <w:pPr>
        <w:pStyle w:val="67"/>
        <w:spacing w:before="0" w:beforeLines="0" w:after="0" w:afterLines="0"/>
        <w:rPr>
          <w:rFonts w:ascii="宋体" w:eastAsia="宋体"/>
        </w:rPr>
      </w:pPr>
      <w:r>
        <w:rPr>
          <w:rFonts w:hint="eastAsia" w:ascii="宋体" w:eastAsia="宋体"/>
        </w:rPr>
        <w:t>河道堤岸顶高程应满足设计水位及超高要求，岸顶与周边地面做好衔接。堤顶宽度应根据防洪防涝、管理、施工、构造及其他要求确定，且1级堤防堤顶宽度不宜小于8 m，2级不宜小于6 m，3级及以下不宜小于3 m。</w:t>
      </w:r>
    </w:p>
    <w:p>
      <w:pPr>
        <w:pStyle w:val="67"/>
        <w:spacing w:before="0" w:beforeLines="0" w:after="0" w:afterLines="0"/>
        <w:rPr>
          <w:rFonts w:ascii="宋体" w:eastAsia="宋体"/>
        </w:rPr>
      </w:pPr>
      <w:r>
        <w:rPr>
          <w:rFonts w:hint="eastAsia" w:ascii="宋体" w:eastAsia="宋体"/>
        </w:rPr>
        <w:t>滩岸受水流、波浪影响可能发生冲刷破坏的位置，应采取防护工程措施。护脚深度应按《河道整治设计规范》GB 50707进行冲刷深度复核，应采取合适的抗冲刷措施。</w:t>
      </w:r>
    </w:p>
    <w:p>
      <w:pPr>
        <w:pStyle w:val="67"/>
        <w:spacing w:before="0" w:beforeLines="0" w:after="0" w:afterLines="0"/>
        <w:rPr>
          <w:rFonts w:ascii="宋体" w:eastAsia="宋体"/>
        </w:rPr>
      </w:pPr>
      <w:r>
        <w:rPr>
          <w:rFonts w:hint="eastAsia" w:ascii="宋体" w:eastAsia="宋体"/>
        </w:rPr>
        <w:t>堤防的渗流及渗透稳定、抗滑稳定、沉降验算等应符合《堤防工程设计规范》GB 50286的相关规定。</w:t>
      </w:r>
    </w:p>
    <w:p>
      <w:pPr>
        <w:pStyle w:val="67"/>
        <w:spacing w:before="0" w:beforeLines="0" w:after="0" w:afterLines="0"/>
        <w:rPr>
          <w:rFonts w:ascii="宋体" w:eastAsia="宋体"/>
        </w:rPr>
      </w:pPr>
      <w:r>
        <w:rPr>
          <w:rFonts w:hint="eastAsia" w:ascii="宋体" w:eastAsia="宋体"/>
        </w:rPr>
        <w:t>应根据河道岸坡坡度、水流特点和岸坡土质等因素选择适宜的护岸结构型式，保证岸坡稳定性，满足河道过流能力。除消能防冲需要，不应对河底进行硬化护砌</w:t>
      </w:r>
      <w:r>
        <w:rPr>
          <w:rFonts w:ascii="宋体" w:eastAsia="宋体"/>
        </w:rPr>
        <w:t>。</w:t>
      </w:r>
    </w:p>
    <w:p>
      <w:pPr>
        <w:pStyle w:val="107"/>
        <w:spacing w:before="156" w:after="156"/>
        <w:rPr>
          <w:bCs/>
        </w:rPr>
      </w:pPr>
      <w:bookmarkStart w:id="181" w:name="_Toc120268990"/>
      <w:r>
        <w:rPr>
          <w:rFonts w:hint="eastAsia"/>
          <w:bCs/>
        </w:rPr>
        <w:t>涉河建（构）筑物</w:t>
      </w:r>
      <w:bookmarkEnd w:id="181"/>
    </w:p>
    <w:p>
      <w:pPr>
        <w:pStyle w:val="167"/>
      </w:pPr>
      <w:r>
        <w:rPr>
          <w:rFonts w:hint="eastAsia"/>
        </w:rPr>
        <w:t>修建与堤防交叉、连接的各类建（构）筑物，应进行洪水影响评价。与堤防交叉的各类建（构）筑物，宜选用跨越的形式。需要穿堤的建（构）筑物，应合理布置，并应减少其数量。</w:t>
      </w:r>
    </w:p>
    <w:p>
      <w:pPr>
        <w:pStyle w:val="167"/>
      </w:pPr>
      <w:r>
        <w:rPr>
          <w:rFonts w:hint="eastAsia" w:ascii="Times New Roman"/>
          <w:szCs w:val="21"/>
        </w:rPr>
        <w:t>穿河构筑物设计符合下列规定：</w:t>
      </w:r>
    </w:p>
    <w:p>
      <w:pPr>
        <w:pStyle w:val="176"/>
        <w:numPr>
          <w:ilvl w:val="0"/>
          <w:numId w:val="36"/>
        </w:numPr>
      </w:pPr>
      <w:r>
        <w:rPr>
          <w:rFonts w:hint="eastAsia"/>
        </w:rPr>
        <w:t>构筑物宜建在稳定的地基上，应在与堤基接合部位采取防渗措施；构筑物周围的回填土应满足堤防要求；</w:t>
      </w:r>
    </w:p>
    <w:p>
      <w:pPr>
        <w:pStyle w:val="176"/>
      </w:pPr>
      <w:r>
        <w:rPr>
          <w:rFonts w:hint="eastAsia"/>
        </w:rPr>
        <w:t>构筑物顶部（包括保护层）距规划河底的埋置深度不应小于1m</w:t>
      </w:r>
      <w:r>
        <w:t>；</w:t>
      </w:r>
    </w:p>
    <w:p>
      <w:pPr>
        <w:pStyle w:val="176"/>
      </w:pPr>
      <w:r>
        <w:rPr>
          <w:rFonts w:hint="eastAsia"/>
        </w:rPr>
        <w:t>应设置能满足防洪要求的闸阀，并能满足检修和紧急关闭要求。</w:t>
      </w:r>
    </w:p>
    <w:p>
      <w:pPr>
        <w:pStyle w:val="167"/>
      </w:pPr>
      <w:r>
        <w:rPr>
          <w:rFonts w:hint="eastAsia" w:ascii="Times New Roman"/>
          <w:szCs w:val="21"/>
        </w:rPr>
        <w:t>泵站、闸坝、船闸等建（构）筑物的设计符合下列规定：</w:t>
      </w:r>
    </w:p>
    <w:p>
      <w:pPr>
        <w:pStyle w:val="176"/>
        <w:numPr>
          <w:ilvl w:val="0"/>
          <w:numId w:val="37"/>
        </w:numPr>
      </w:pPr>
      <w:r>
        <w:rPr>
          <w:rFonts w:hint="eastAsia"/>
        </w:rPr>
        <w:t>应选址在河势稳定、岸坡稳定且不影响河道功能和安全的堤段；应根据防洪要求设置闸门、闸阀等；</w:t>
      </w:r>
    </w:p>
    <w:p>
      <w:pPr>
        <w:pStyle w:val="176"/>
      </w:pPr>
      <w:r>
        <w:rPr>
          <w:rFonts w:hint="eastAsia"/>
        </w:rPr>
        <w:t>应采用整体性和防渗性能好、地基适应性强的结构型式；应进行堤身渗流稳定计算；</w:t>
      </w:r>
    </w:p>
    <w:p>
      <w:pPr>
        <w:pStyle w:val="176"/>
      </w:pPr>
      <w:r>
        <w:rPr>
          <w:rFonts w:hint="eastAsia"/>
        </w:rPr>
        <w:t>进、出水口应采取消能措施。与河岸结合部位易受水流冲刷，应采取防护措施。</w:t>
      </w:r>
    </w:p>
    <w:p>
      <w:pPr>
        <w:pStyle w:val="167"/>
      </w:pPr>
      <w:r>
        <w:rPr>
          <w:rFonts w:hint="eastAsia" w:ascii="Times New Roman"/>
          <w:szCs w:val="21"/>
        </w:rPr>
        <w:t>桥梁、渡槽、过河管架等构筑物的设计符合下列规定：</w:t>
      </w:r>
    </w:p>
    <w:p>
      <w:pPr>
        <w:pStyle w:val="176"/>
        <w:numPr>
          <w:ilvl w:val="0"/>
          <w:numId w:val="38"/>
        </w:numPr>
      </w:pPr>
      <w:r>
        <w:rPr>
          <w:rFonts w:hint="eastAsia"/>
        </w:rPr>
        <w:t>构筑物的墩台等支承结构不宜布置在堤身断面以内，不宜在河道内设置阻碍过水的设施，结构占用断面时应进行断面补偿。补偿后的河道断面不应小于原河道断面和规划河道断面；</w:t>
      </w:r>
    </w:p>
    <w:p>
      <w:pPr>
        <w:pStyle w:val="176"/>
      </w:pPr>
      <w:r>
        <w:rPr>
          <w:rFonts w:hint="eastAsia"/>
        </w:rPr>
        <w:t>河道上方构筑物结构最低高程应高于设计洪水位，并满足防洪安全超高要求；</w:t>
      </w:r>
    </w:p>
    <w:p>
      <w:pPr>
        <w:pStyle w:val="176"/>
      </w:pPr>
      <w:r>
        <w:rPr>
          <w:rFonts w:hint="eastAsia"/>
        </w:rPr>
        <w:t>堤顶净空应满足《江苏省河道管理范围内建设项目防洪影响评价技术规定》的规定。</w:t>
      </w:r>
    </w:p>
    <w:p>
      <w:pPr>
        <w:pStyle w:val="106"/>
        <w:spacing w:before="312" w:after="312"/>
        <w:rPr>
          <w:szCs w:val="21"/>
        </w:rPr>
      </w:pPr>
      <w:bookmarkStart w:id="182" w:name="_Toc120268991"/>
      <w:r>
        <w:rPr>
          <w:szCs w:val="21"/>
        </w:rPr>
        <w:t>水污染防治</w:t>
      </w:r>
      <w:bookmarkEnd w:id="182"/>
    </w:p>
    <w:p>
      <w:pPr>
        <w:pStyle w:val="107"/>
        <w:spacing w:before="156" w:after="156"/>
        <w:rPr>
          <w:bCs/>
        </w:rPr>
      </w:pPr>
      <w:bookmarkStart w:id="183" w:name="_Toc120268992"/>
      <w:r>
        <w:rPr>
          <w:rFonts w:hint="eastAsia"/>
          <w:bCs/>
        </w:rPr>
        <w:t>一般规定</w:t>
      </w:r>
      <w:bookmarkEnd w:id="183"/>
    </w:p>
    <w:p>
      <w:pPr>
        <w:pStyle w:val="167"/>
      </w:pPr>
      <w:r>
        <w:rPr>
          <w:rFonts w:hint="eastAsia" w:ascii="Times New Roman"/>
          <w:szCs w:val="21"/>
        </w:rPr>
        <w:t>河道汇水范围内的不同地区可采用不同的排水体制，现有合流制排水系统，应经方案比较后实施雨污分流改造，新建城区应采用分流制。</w:t>
      </w:r>
    </w:p>
    <w:p>
      <w:pPr>
        <w:pStyle w:val="167"/>
      </w:pPr>
      <w:r>
        <w:rPr>
          <w:rFonts w:hint="eastAsia" w:ascii="Times New Roman"/>
          <w:szCs w:val="21"/>
        </w:rPr>
        <w:t>水污染防治应综合考虑点源、面源及内源治理，宜统筹治理客水污染和航运污染</w:t>
      </w:r>
      <w:r>
        <w:rPr>
          <w:rFonts w:ascii="Times New Roman"/>
          <w:szCs w:val="21"/>
        </w:rPr>
        <w:t>。</w:t>
      </w:r>
    </w:p>
    <w:p>
      <w:pPr>
        <w:pStyle w:val="167"/>
      </w:pPr>
      <w:r>
        <w:rPr>
          <w:rFonts w:hint="eastAsia" w:ascii="Times New Roman"/>
          <w:szCs w:val="21"/>
        </w:rPr>
        <w:t>点源污染治理应对有污水入河的生活污水直排口、合流制管道溢流口、分流制雨污混接口和工业废水排放口等污染源进行分类整治。</w:t>
      </w:r>
    </w:p>
    <w:p>
      <w:pPr>
        <w:pStyle w:val="167"/>
      </w:pPr>
      <w:r>
        <w:rPr>
          <w:rFonts w:ascii="Times New Roman"/>
          <w:szCs w:val="21"/>
        </w:rPr>
        <w:t>面源</w:t>
      </w:r>
      <w:r>
        <w:rPr>
          <w:rFonts w:hint="eastAsia" w:ascii="Times New Roman"/>
          <w:szCs w:val="21"/>
        </w:rPr>
        <w:t>污染治理应对初期雨水、农村散排污水、种植业污染、养殖业污染、垃圾废弃物等污染进行分类整治</w:t>
      </w:r>
      <w:r>
        <w:rPr>
          <w:rFonts w:ascii="Times New Roman"/>
          <w:szCs w:val="21"/>
        </w:rPr>
        <w:t>。</w:t>
      </w:r>
    </w:p>
    <w:p>
      <w:pPr>
        <w:pStyle w:val="167"/>
      </w:pPr>
      <w:r>
        <w:rPr>
          <w:rFonts w:hint="eastAsia" w:ascii="Times New Roman"/>
          <w:szCs w:val="21"/>
        </w:rPr>
        <w:t>内源污染治理应清除城市河道内的污染底泥、死亡凋落生物、垃圾等过量内源污染物。</w:t>
      </w:r>
    </w:p>
    <w:p>
      <w:pPr>
        <w:pStyle w:val="167"/>
      </w:pPr>
      <w:r>
        <w:rPr>
          <w:rFonts w:hint="eastAsia" w:ascii="Times New Roman"/>
          <w:szCs w:val="21"/>
        </w:rPr>
        <w:t>城市河道严禁暗渠化，已有暗渠河道应在符合上位规划的前提下，进行复明或开窗；应加强暗渠内排污口整治，在不影响河道行洪能力的前提下可设置截污设施</w:t>
      </w:r>
      <w:r>
        <w:rPr>
          <w:rFonts w:ascii="Times New Roman"/>
          <w:szCs w:val="21"/>
        </w:rPr>
        <w:t>。</w:t>
      </w:r>
    </w:p>
    <w:p>
      <w:pPr>
        <w:pStyle w:val="167"/>
      </w:pPr>
      <w:r>
        <w:rPr>
          <w:rFonts w:ascii="Times New Roman"/>
          <w:szCs w:val="21"/>
        </w:rPr>
        <w:t>河口型</w:t>
      </w:r>
      <w:r>
        <w:rPr>
          <w:rFonts w:hint="eastAsia" w:ascii="Times New Roman"/>
          <w:szCs w:val="21"/>
        </w:rPr>
        <w:t>河段应加强排污口管理与综合整治，满足各级管控断面要求和相关保护规定</w:t>
      </w:r>
      <w:r>
        <w:rPr>
          <w:rFonts w:ascii="Times New Roman"/>
          <w:szCs w:val="21"/>
        </w:rPr>
        <w:t>。</w:t>
      </w:r>
    </w:p>
    <w:p>
      <w:pPr>
        <w:pStyle w:val="107"/>
        <w:spacing w:before="156" w:after="156"/>
        <w:rPr>
          <w:bCs/>
        </w:rPr>
      </w:pPr>
      <w:bookmarkStart w:id="184" w:name="_Toc120268993"/>
      <w:r>
        <w:rPr>
          <w:rFonts w:hint="eastAsia"/>
          <w:bCs/>
        </w:rPr>
        <w:t>点源污染治理</w:t>
      </w:r>
      <w:bookmarkEnd w:id="184"/>
    </w:p>
    <w:p>
      <w:pPr>
        <w:pStyle w:val="167"/>
      </w:pPr>
      <w:r>
        <w:rPr>
          <w:rFonts w:hint="eastAsia" w:ascii="Times New Roman"/>
          <w:szCs w:val="21"/>
        </w:rPr>
        <w:t>应对沿河排口分类调查，同时对汇水范围进行溯源分析。</w:t>
      </w:r>
    </w:p>
    <w:p>
      <w:pPr>
        <w:pStyle w:val="167"/>
      </w:pPr>
      <w:r>
        <w:rPr>
          <w:rFonts w:hint="eastAsia" w:ascii="Times New Roman"/>
          <w:szCs w:val="21"/>
        </w:rPr>
        <w:t>排水口治理宜与雨污分流改造、管网系统提质增效、设施维护管理等协同进行。</w:t>
      </w:r>
    </w:p>
    <w:p>
      <w:pPr>
        <w:pStyle w:val="167"/>
      </w:pPr>
      <w:r>
        <w:rPr>
          <w:rFonts w:hint="eastAsia" w:ascii="Times New Roman"/>
          <w:szCs w:val="21"/>
        </w:rPr>
        <w:t>分流制排水口整治符合下列规定：</w:t>
      </w:r>
    </w:p>
    <w:p>
      <w:pPr>
        <w:pStyle w:val="176"/>
        <w:numPr>
          <w:ilvl w:val="0"/>
          <w:numId w:val="39"/>
        </w:numPr>
      </w:pPr>
      <w:r>
        <w:rPr>
          <w:rFonts w:hint="eastAsia"/>
        </w:rPr>
        <w:t>应对污水直排口予以整治后及时封堵，将污水接入污水收集系统；</w:t>
      </w:r>
    </w:p>
    <w:p>
      <w:pPr>
        <w:pStyle w:val="176"/>
      </w:pPr>
      <w:r>
        <w:rPr>
          <w:rFonts w:hint="eastAsia"/>
        </w:rPr>
        <w:t>应对分流制雨污混接雨水排口进行改造，过渡期可设置截流设施排入污水管网或设置截污调蓄池就地处理。</w:t>
      </w:r>
    </w:p>
    <w:p>
      <w:pPr>
        <w:pStyle w:val="167"/>
      </w:pPr>
      <w:r>
        <w:rPr>
          <w:rFonts w:hint="eastAsia" w:ascii="Times New Roman"/>
          <w:szCs w:val="21"/>
        </w:rPr>
        <w:t>合流制排水口整治符合下列规定：</w:t>
      </w:r>
    </w:p>
    <w:p>
      <w:pPr>
        <w:pStyle w:val="176"/>
        <w:numPr>
          <w:ilvl w:val="0"/>
          <w:numId w:val="40"/>
        </w:numPr>
      </w:pPr>
      <w:r>
        <w:rPr>
          <w:rFonts w:hint="eastAsia"/>
        </w:rPr>
        <w:t>合流制直排口应增设截流设施，接入污水收集系统；</w:t>
      </w:r>
    </w:p>
    <w:p>
      <w:pPr>
        <w:pStyle w:val="176"/>
      </w:pPr>
      <w:r>
        <w:rPr>
          <w:rFonts w:hint="eastAsia"/>
        </w:rPr>
        <w:t>排水口改造时，应保障排水通畅，并采取防倒灌措施；</w:t>
      </w:r>
    </w:p>
    <w:p>
      <w:pPr>
        <w:pStyle w:val="176"/>
      </w:pPr>
      <w:r>
        <w:rPr>
          <w:rFonts w:hint="eastAsia"/>
        </w:rPr>
        <w:t>应合理提高合流制截流系统的截流倍数，保证旱天不向水体溢流。合流制溢流排放口的年溢流体积控制率不应小于50%，且处理设施悬浮物排放浓度的月平均值不应大于50 mg/L。</w:t>
      </w:r>
    </w:p>
    <w:p>
      <w:pPr>
        <w:pStyle w:val="167"/>
      </w:pPr>
      <w:r>
        <w:rPr>
          <w:rFonts w:hint="eastAsia" w:ascii="Times New Roman"/>
          <w:szCs w:val="21"/>
        </w:rPr>
        <w:t>其他排水口整治符合下列规定：</w:t>
      </w:r>
    </w:p>
    <w:p>
      <w:pPr>
        <w:pStyle w:val="176"/>
        <w:numPr>
          <w:ilvl w:val="0"/>
          <w:numId w:val="41"/>
        </w:numPr>
      </w:pPr>
      <w:r>
        <w:rPr>
          <w:rFonts w:hint="eastAsia"/>
          <w:lang w:val="en-US" w:eastAsia="zh-CN"/>
        </w:rPr>
        <w:t>对</w:t>
      </w:r>
      <w:r>
        <w:rPr>
          <w:rFonts w:hint="eastAsia"/>
        </w:rPr>
        <w:t>临时保留的沿河居民住房，可采用沿河敷设管道、负压收集等方法收集污水</w:t>
      </w:r>
    </w:p>
    <w:p>
      <w:pPr>
        <w:pStyle w:val="176"/>
        <w:rPr>
          <w:rFonts w:ascii="Times New Roman"/>
          <w:szCs w:val="21"/>
        </w:rPr>
      </w:pPr>
      <w:r>
        <w:rPr>
          <w:rFonts w:hint="eastAsia" w:ascii="Times New Roman"/>
          <w:szCs w:val="21"/>
        </w:rPr>
        <w:t>工业企业废水排放至水体应达到国家和江苏省相关要求，且排放口设置应获得当地主管部门许可；</w:t>
      </w:r>
    </w:p>
    <w:p>
      <w:pPr>
        <w:pStyle w:val="167"/>
      </w:pPr>
      <w:r>
        <w:rPr>
          <w:rFonts w:hint="eastAsia" w:ascii="Times New Roman"/>
          <w:szCs w:val="21"/>
        </w:rPr>
        <w:t>存在污水管网空白区、管道及检查井有缺陷等问题，应通过新建污水管道和修复现状缺陷管道，完善污水收集系统，提高污水集中收集率。河道周边污水无法接入市政污水管网时，可采用就地处理措施，出水应达到国家和江苏省相关要求后排放。</w:t>
      </w:r>
    </w:p>
    <w:p>
      <w:pPr>
        <w:pStyle w:val="167"/>
      </w:pPr>
      <w:r>
        <w:rPr>
          <w:rFonts w:hint="eastAsia" w:ascii="Times New Roman"/>
          <w:szCs w:val="21"/>
        </w:rPr>
        <w:t>应对农贸市场、小餐饮、夜排档、理发店、洗浴、洗车场、洗衣店、小诊所等场所的排水进行收集与预处理，水质符合《污水排入城镇下水道水质标准》</w:t>
      </w:r>
      <w:r>
        <w:rPr>
          <w:rFonts w:hint="eastAsia" w:ascii="宋体" w:hAnsi="Times New Roman" w:eastAsia="宋体" w:cs="Times New Roman"/>
          <w:sz w:val="21"/>
          <w:lang w:val="en-US" w:eastAsia="zh-CN" w:bidi="ar-SA"/>
        </w:rPr>
        <w:t>GB/T 31962</w:t>
      </w:r>
      <w:r>
        <w:rPr>
          <w:rFonts w:hint="eastAsia" w:ascii="Times New Roman"/>
          <w:szCs w:val="21"/>
        </w:rPr>
        <w:t>要求后方可接入市政污水管网，污水禁止入河。</w:t>
      </w:r>
    </w:p>
    <w:p>
      <w:pPr>
        <w:pStyle w:val="107"/>
        <w:spacing w:before="156" w:after="156"/>
        <w:rPr>
          <w:bCs/>
        </w:rPr>
      </w:pPr>
      <w:bookmarkStart w:id="185" w:name="_Toc120268994"/>
      <w:r>
        <w:rPr>
          <w:rFonts w:hint="eastAsia"/>
          <w:bCs/>
        </w:rPr>
        <w:t>面源污染治理</w:t>
      </w:r>
      <w:bookmarkEnd w:id="185"/>
    </w:p>
    <w:p>
      <w:pPr>
        <w:pStyle w:val="167"/>
      </w:pPr>
      <w:r>
        <w:rPr>
          <w:rFonts w:hint="eastAsia" w:ascii="Times New Roman"/>
          <w:szCs w:val="21"/>
        </w:rPr>
        <w:t>在完成雨污分流的条件下，初期雨水治理符合下列规定：</w:t>
      </w:r>
    </w:p>
    <w:p>
      <w:pPr>
        <w:pStyle w:val="176"/>
        <w:numPr>
          <w:ilvl w:val="0"/>
          <w:numId w:val="42"/>
        </w:numPr>
        <w:rPr>
          <w:shd w:val="clear" w:color="auto" w:fill="FFFFFF"/>
        </w:rPr>
      </w:pPr>
      <w:r>
        <w:rPr>
          <w:rFonts w:hint="eastAsia"/>
          <w:shd w:val="clear" w:color="auto" w:fill="FFFFFF"/>
        </w:rPr>
        <w:t>有条件的地区宜设置海绵设施，对初期雨水进行净化。初期雨水控制量可取</w:t>
      </w:r>
      <w:r>
        <w:rPr>
          <w:rFonts w:hint="eastAsia" w:ascii="宋体" w:hAnsi="Times New Roman" w:eastAsia="宋体" w:cs="Times New Roman"/>
          <w:sz w:val="21"/>
          <w:lang w:val="en-US" w:eastAsia="zh-CN" w:bidi="ar-SA"/>
        </w:rPr>
        <w:t>4 mm~8 mm</w:t>
      </w:r>
      <w:r>
        <w:rPr>
          <w:rFonts w:hint="eastAsia"/>
          <w:shd w:val="clear" w:color="auto" w:fill="FFFFFF"/>
        </w:rPr>
        <w:t>；</w:t>
      </w:r>
    </w:p>
    <w:p>
      <w:pPr>
        <w:pStyle w:val="176"/>
        <w:rPr>
          <w:shd w:val="clear" w:color="auto" w:fill="FFFFFF"/>
        </w:rPr>
      </w:pPr>
      <w:r>
        <w:rPr>
          <w:rFonts w:hint="eastAsia"/>
          <w:shd w:val="clear" w:color="auto" w:fill="FFFFFF"/>
          <w:lang w:val="en-US" w:eastAsia="zh-CN"/>
        </w:rPr>
        <w:t>宜</w:t>
      </w:r>
      <w:r>
        <w:rPr>
          <w:rFonts w:hint="eastAsia"/>
          <w:shd w:val="clear" w:color="auto" w:fill="FFFFFF"/>
        </w:rPr>
        <w:t>结合河道水质整治目标设置初期雨水截流措施，将初期雨水纳入污水管网或通过调蓄池暂存后就地处理；</w:t>
      </w:r>
    </w:p>
    <w:p>
      <w:pPr>
        <w:pStyle w:val="176"/>
      </w:pPr>
      <w:r>
        <w:rPr>
          <w:rFonts w:hint="eastAsia"/>
          <w:shd w:val="clear" w:color="auto" w:fill="FFFFFF"/>
        </w:rPr>
        <w:t>宜在管网系统始端采用源头削减措施，系统末端可采用调蓄和水质净化设施</w:t>
      </w:r>
      <w:r>
        <w:rPr>
          <w:rFonts w:hint="eastAsia"/>
        </w:rPr>
        <w:t>；</w:t>
      </w:r>
    </w:p>
    <w:p>
      <w:pPr>
        <w:pStyle w:val="176"/>
      </w:pPr>
      <w:r>
        <w:rPr>
          <w:rFonts w:hint="eastAsia"/>
        </w:rPr>
        <w:t>工业密集型河段分流制雨水排口应加强监测，宜采取净化措施。</w:t>
      </w:r>
    </w:p>
    <w:p>
      <w:pPr>
        <w:pStyle w:val="167"/>
      </w:pPr>
      <w:r>
        <w:rPr>
          <w:rFonts w:hint="eastAsia" w:ascii="Times New Roman"/>
          <w:szCs w:val="21"/>
        </w:rPr>
        <w:t>应规范河道蓝线，对河道保护线内的农田种植、畜禽养殖、垃圾堆放进行取缔，对裸露土坡进行复绿，减少初期雨水的径流污染。</w:t>
      </w:r>
    </w:p>
    <w:p>
      <w:pPr>
        <w:pStyle w:val="167"/>
      </w:pPr>
      <w:r>
        <w:rPr>
          <w:rFonts w:hint="eastAsia" w:ascii="Times New Roman"/>
          <w:szCs w:val="21"/>
        </w:rPr>
        <w:t>应对农村散排污水收集处理，并选择适宜的收集处理方式，符合下列规定：</w:t>
      </w:r>
    </w:p>
    <w:p>
      <w:pPr>
        <w:pStyle w:val="176"/>
        <w:numPr>
          <w:ilvl w:val="0"/>
          <w:numId w:val="43"/>
        </w:numPr>
      </w:pPr>
      <w:r>
        <w:rPr>
          <w:rFonts w:hint="eastAsia"/>
        </w:rPr>
        <w:t>村庄位于城镇污水处理厂周边或临近城镇污水收集管网，宜采用纳管方式；</w:t>
      </w:r>
    </w:p>
    <w:p>
      <w:pPr>
        <w:pStyle w:val="176"/>
      </w:pPr>
      <w:r>
        <w:rPr>
          <w:rFonts w:hint="eastAsia"/>
        </w:rPr>
        <w:t>村庄不具备纳管条件且居住相对集中，可采用集中污水处理方式；</w:t>
      </w:r>
    </w:p>
    <w:p>
      <w:pPr>
        <w:pStyle w:val="176"/>
      </w:pPr>
      <w:r>
        <w:rPr>
          <w:rFonts w:hint="eastAsia"/>
        </w:rPr>
        <w:t>村庄居住分散，管网建设难度大时，宜采用分散污水处理方式。</w:t>
      </w:r>
    </w:p>
    <w:p>
      <w:pPr>
        <w:pStyle w:val="167"/>
      </w:pPr>
      <w:r>
        <w:rPr>
          <w:rFonts w:hint="eastAsia" w:ascii="Times New Roman"/>
          <w:szCs w:val="21"/>
        </w:rPr>
        <w:t>种植业面源污染治理宜采用生态拦截与生态处理技术，从“过程”和“末端”阻截污染物进入河道，减少进入河道的污染物总量。</w:t>
      </w:r>
    </w:p>
    <w:p>
      <w:pPr>
        <w:pStyle w:val="167"/>
      </w:pPr>
      <w:r>
        <w:rPr>
          <w:rFonts w:hint="eastAsia" w:ascii="Times New Roman"/>
          <w:szCs w:val="21"/>
        </w:rPr>
        <w:t>应加强对养殖业粪污收集和处理，做到达标排放，严禁污染物直接入河。</w:t>
      </w:r>
    </w:p>
    <w:p>
      <w:pPr>
        <w:pStyle w:val="167"/>
      </w:pPr>
      <w:r>
        <w:rPr>
          <w:rFonts w:hint="eastAsia" w:ascii="Times New Roman"/>
          <w:szCs w:val="21"/>
        </w:rPr>
        <w:t>应建立完整的城市生活垃圾收集体系，垃圾收集、运输、处理等过程中产生的污水不应进入雨水管道系统或直接入河</w:t>
      </w:r>
      <w:r>
        <w:rPr>
          <w:rFonts w:hint="eastAsia"/>
          <w:szCs w:val="21"/>
        </w:rPr>
        <w:t>。</w:t>
      </w:r>
    </w:p>
    <w:p>
      <w:pPr>
        <w:pStyle w:val="107"/>
        <w:spacing w:before="156" w:after="156"/>
        <w:rPr>
          <w:bCs/>
        </w:rPr>
      </w:pPr>
      <w:bookmarkStart w:id="186" w:name="_Toc120268995"/>
      <w:r>
        <w:rPr>
          <w:rFonts w:hint="eastAsia"/>
          <w:bCs/>
        </w:rPr>
        <w:t>内源污染治理</w:t>
      </w:r>
      <w:bookmarkEnd w:id="186"/>
    </w:p>
    <w:p>
      <w:pPr>
        <w:pStyle w:val="167"/>
      </w:pPr>
      <w:r>
        <w:rPr>
          <w:rFonts w:hint="eastAsia" w:ascii="Times New Roman"/>
          <w:szCs w:val="21"/>
        </w:rPr>
        <w:t>宜采用当地土壤及河道底泥天然背景值，并综合参考《土壤环境质量 农用地土壤污染风险管控标准（试行）》</w:t>
      </w:r>
      <w:r>
        <w:rPr>
          <w:rFonts w:hint="eastAsia" w:ascii="宋体" w:hAnsi="Times New Roman" w:eastAsia="宋体" w:cs="Times New Roman"/>
          <w:sz w:val="21"/>
          <w:lang w:val="en-US" w:eastAsia="zh-CN" w:bidi="ar-SA"/>
        </w:rPr>
        <w:t>GB 15618</w:t>
      </w:r>
      <w:r>
        <w:rPr>
          <w:rFonts w:hint="eastAsia" w:ascii="Times New Roman"/>
          <w:szCs w:val="21"/>
        </w:rPr>
        <w:t>和《土壤环境质量 建设用地土壤污染风险管控标准（试行）》</w:t>
      </w:r>
      <w:r>
        <w:rPr>
          <w:rFonts w:hint="eastAsia" w:ascii="宋体" w:hAnsi="Times New Roman" w:eastAsia="宋体" w:cs="Times New Roman"/>
          <w:sz w:val="21"/>
          <w:lang w:val="en-US" w:eastAsia="zh-CN" w:bidi="ar-SA"/>
        </w:rPr>
        <w:t>GB 36600</w:t>
      </w:r>
      <w:r>
        <w:rPr>
          <w:rFonts w:hint="eastAsia" w:ascii="Times New Roman"/>
          <w:szCs w:val="21"/>
        </w:rPr>
        <w:t>，合理判定底泥污染程度，为清淤范围、清淤深度以及处理处置方式提供依据。</w:t>
      </w:r>
    </w:p>
    <w:p>
      <w:pPr>
        <w:pStyle w:val="167"/>
      </w:pPr>
      <w:r>
        <w:rPr>
          <w:rFonts w:hint="eastAsia" w:ascii="Times New Roman"/>
          <w:szCs w:val="21"/>
        </w:rPr>
        <w:t>河道清淤设计方案，应依据拟清淤河道及底泥的勘察检测结论，根据治理目标和清淤条件合理确定清淤范围、清淤深度和清淤方式。河道清淤不应对生态环境造成负面影响。</w:t>
      </w:r>
    </w:p>
    <w:p>
      <w:pPr>
        <w:pStyle w:val="167"/>
      </w:pPr>
      <w:r>
        <w:rPr>
          <w:rFonts w:hint="eastAsia" w:ascii="Times New Roman"/>
          <w:szCs w:val="21"/>
        </w:rPr>
        <w:t>河道清淤不应影响临河建筑物、水工构筑物、过河管涵、桥梁等设施的结构和功能安全，必要时应采取安全保护措施。</w:t>
      </w:r>
    </w:p>
    <w:p>
      <w:pPr>
        <w:pStyle w:val="167"/>
      </w:pPr>
      <w:r>
        <w:rPr>
          <w:rFonts w:hint="eastAsia" w:ascii="Times New Roman"/>
          <w:szCs w:val="21"/>
        </w:rPr>
        <w:t>同一河道的不同河段可采用不同清淤方式，符合下列规定：</w:t>
      </w:r>
    </w:p>
    <w:p>
      <w:pPr>
        <w:pStyle w:val="176"/>
        <w:numPr>
          <w:ilvl w:val="0"/>
          <w:numId w:val="44"/>
        </w:numPr>
      </w:pPr>
      <w:r>
        <w:rPr>
          <w:rFonts w:hint="eastAsia"/>
        </w:rPr>
        <w:t>河道宽度小于10 m、两岸具有一定空间且便于断流施工的河道宜采用干河清淤方式。干河清淤方式宜选择在枯水期实施；</w:t>
      </w:r>
    </w:p>
    <w:p>
      <w:pPr>
        <w:pStyle w:val="176"/>
      </w:pPr>
      <w:r>
        <w:rPr>
          <w:rFonts w:hint="eastAsia"/>
        </w:rPr>
        <w:t>当淤泥较厚，且降水不见底，可采用半干河清淤方式；</w:t>
      </w:r>
    </w:p>
    <w:p>
      <w:pPr>
        <w:pStyle w:val="176"/>
      </w:pPr>
      <w:r>
        <w:rPr>
          <w:rFonts w:hint="eastAsia"/>
        </w:rPr>
        <w:t>具有通航能力的河道宜采用绞吸船清淤等湿式清淤方式。</w:t>
      </w:r>
    </w:p>
    <w:p>
      <w:pPr>
        <w:pStyle w:val="167"/>
      </w:pPr>
      <w:r>
        <w:rPr>
          <w:rFonts w:hint="eastAsia"/>
        </w:rPr>
        <w:t>河道清淤宜设置临时存储中转设施，临时设施应满足交通便利、防臭、防雨、防渗的要求。</w:t>
      </w:r>
    </w:p>
    <w:p>
      <w:pPr>
        <w:pStyle w:val="167"/>
      </w:pPr>
      <w:r>
        <w:rPr>
          <w:rFonts w:hint="eastAsia"/>
        </w:rPr>
        <w:t>河道底泥处理处置应无害化、稳定化和减量化，宜进行资源化利用，符合下列规定：</w:t>
      </w:r>
    </w:p>
    <w:p>
      <w:pPr>
        <w:pStyle w:val="176"/>
        <w:numPr>
          <w:ilvl w:val="0"/>
          <w:numId w:val="45"/>
        </w:numPr>
      </w:pPr>
      <w:r>
        <w:rPr>
          <w:rFonts w:hint="eastAsia"/>
        </w:rPr>
        <w:t>应根据底泥的性质、特点和最终处置方式等因素，合理确定处理方法；</w:t>
      </w:r>
    </w:p>
    <w:p>
      <w:pPr>
        <w:pStyle w:val="176"/>
      </w:pPr>
      <w:r>
        <w:rPr>
          <w:rFonts w:hint="eastAsia"/>
        </w:rPr>
        <w:t>河道底泥应优先考虑综合利用，最终处置方式包括土地利用、建材利用等。</w:t>
      </w:r>
    </w:p>
    <w:p>
      <w:pPr>
        <w:pStyle w:val="167"/>
      </w:pPr>
      <w:r>
        <w:rPr>
          <w:rFonts w:hint="eastAsia" w:ascii="Times New Roman"/>
          <w:szCs w:val="21"/>
        </w:rPr>
        <w:t>应对河道底泥清淤、处理和处置过程中产生的废水、废气、固体废弃物等污染物进行严格防控。按照《危险废物鉴别标准》</w:t>
      </w:r>
      <w:r>
        <w:rPr>
          <w:rFonts w:hint="eastAsia" w:ascii="宋体" w:hAnsi="Times New Roman" w:eastAsia="宋体" w:cs="Times New Roman"/>
          <w:sz w:val="21"/>
          <w:lang w:val="en-US" w:eastAsia="zh-CN" w:bidi="ar-SA"/>
        </w:rPr>
        <w:t>GB 5085</w:t>
      </w:r>
      <w:r>
        <w:rPr>
          <w:rFonts w:hint="eastAsia" w:ascii="Times New Roman"/>
          <w:szCs w:val="21"/>
        </w:rPr>
        <w:t>相关规定鉴别为危险废物的污染物，应进行处置。</w:t>
      </w:r>
    </w:p>
    <w:p>
      <w:pPr>
        <w:pStyle w:val="167"/>
      </w:pPr>
      <w:r>
        <w:rPr>
          <w:rFonts w:hint="eastAsia" w:ascii="Times New Roman"/>
          <w:szCs w:val="21"/>
        </w:rPr>
        <w:t>底泥原位治理不应投加化学类药剂，若需投加微生物菌剂，应进行生态环境影响评估，经论证后实施。</w:t>
      </w:r>
    </w:p>
    <w:p>
      <w:pPr>
        <w:pStyle w:val="107"/>
        <w:spacing w:before="156" w:after="156"/>
        <w:rPr>
          <w:bCs/>
        </w:rPr>
      </w:pPr>
      <w:bookmarkStart w:id="187" w:name="_Toc120268996"/>
      <w:r>
        <w:rPr>
          <w:rFonts w:hint="eastAsia"/>
          <w:bCs/>
        </w:rPr>
        <w:t>客水污染治理</w:t>
      </w:r>
      <w:bookmarkEnd w:id="187"/>
    </w:p>
    <w:p>
      <w:pPr>
        <w:pStyle w:val="167"/>
      </w:pPr>
      <w:r>
        <w:rPr>
          <w:rFonts w:hint="eastAsia" w:ascii="Times New Roman"/>
          <w:szCs w:val="21"/>
        </w:rPr>
        <w:t>应评估上游河道污染的影响，根据环境容量与治理目标，制定客水治理方案。</w:t>
      </w:r>
    </w:p>
    <w:p>
      <w:pPr>
        <w:pStyle w:val="167"/>
      </w:pPr>
      <w:r>
        <w:rPr>
          <w:rFonts w:hint="eastAsia" w:ascii="Times New Roman"/>
          <w:szCs w:val="21"/>
        </w:rPr>
        <w:t>应从全流域的角度协调上游河道的治理，上游河道的水质应符合各河流断面的控制参数。</w:t>
      </w:r>
    </w:p>
    <w:p>
      <w:pPr>
        <w:pStyle w:val="107"/>
        <w:spacing w:before="156" w:after="156"/>
        <w:rPr>
          <w:bCs/>
        </w:rPr>
      </w:pPr>
      <w:bookmarkStart w:id="188" w:name="_Toc120268997"/>
      <w:r>
        <w:rPr>
          <w:rFonts w:hint="eastAsia"/>
          <w:bCs/>
        </w:rPr>
        <w:t>航运污染治理</w:t>
      </w:r>
      <w:bookmarkEnd w:id="188"/>
    </w:p>
    <w:p>
      <w:pPr>
        <w:pStyle w:val="167"/>
      </w:pPr>
      <w:r>
        <w:rPr>
          <w:rFonts w:hint="eastAsia"/>
        </w:rPr>
        <w:t>航运污染治理应包括对船舶污染（包括含油废水、化学洗舱水、生活污水、生活垃圾等）和港口码头污染等污染源的治理。</w:t>
      </w:r>
    </w:p>
    <w:p>
      <w:pPr>
        <w:pStyle w:val="167"/>
      </w:pPr>
      <w:r>
        <w:rPr>
          <w:rFonts w:hint="eastAsia" w:ascii="Times New Roman"/>
          <w:szCs w:val="21"/>
        </w:rPr>
        <w:t>船舶排放含油污水和生活污水应符合《船舶水污染物排放控制标准》</w:t>
      </w:r>
      <w:r>
        <w:rPr>
          <w:rFonts w:hint="eastAsia" w:ascii="宋体" w:hAnsi="Times New Roman" w:eastAsia="宋体" w:cs="Times New Roman"/>
          <w:sz w:val="21"/>
          <w:lang w:val="en-US" w:eastAsia="zh-CN" w:bidi="ar-SA"/>
        </w:rPr>
        <w:t>GB 3552</w:t>
      </w:r>
      <w:r>
        <w:rPr>
          <w:rFonts w:hint="eastAsia" w:ascii="Times New Roman"/>
          <w:szCs w:val="21"/>
        </w:rPr>
        <w:t>和《江苏省水污染防治条例》的规定。船舶的残油、废油应当回收，禁止排入水体。</w:t>
      </w:r>
    </w:p>
    <w:p>
      <w:pPr>
        <w:pStyle w:val="167"/>
      </w:pPr>
      <w:r>
        <w:rPr>
          <w:rFonts w:hint="eastAsia" w:ascii="Times New Roman"/>
          <w:szCs w:val="21"/>
        </w:rPr>
        <w:t>航运污染控制设施应符合《船舶水污染物内河接收设施配置规范》</w:t>
      </w:r>
      <w:r>
        <w:rPr>
          <w:rFonts w:hint="eastAsia" w:ascii="宋体" w:hAnsi="Times New Roman" w:eastAsia="宋体" w:cs="Times New Roman"/>
          <w:sz w:val="21"/>
          <w:lang w:val="en-US" w:eastAsia="zh-CN" w:bidi="ar-SA"/>
        </w:rPr>
        <w:t>DB32/T 310001</w:t>
      </w:r>
      <w:r>
        <w:rPr>
          <w:rFonts w:hint="eastAsia" w:ascii="Times New Roman"/>
          <w:szCs w:val="21"/>
        </w:rPr>
        <w:t>的相关规定。</w:t>
      </w:r>
    </w:p>
    <w:p>
      <w:pPr>
        <w:pStyle w:val="106"/>
        <w:spacing w:before="312" w:after="312"/>
        <w:rPr>
          <w:szCs w:val="21"/>
        </w:rPr>
      </w:pPr>
      <w:bookmarkStart w:id="189" w:name="_Toc120268998"/>
      <w:r>
        <w:rPr>
          <w:szCs w:val="21"/>
        </w:rPr>
        <w:t>水生态修复</w:t>
      </w:r>
      <w:bookmarkEnd w:id="189"/>
    </w:p>
    <w:p>
      <w:pPr>
        <w:pStyle w:val="107"/>
        <w:spacing w:before="156" w:after="156"/>
        <w:rPr>
          <w:bCs/>
        </w:rPr>
      </w:pPr>
      <w:bookmarkStart w:id="190" w:name="_Toc120268999"/>
      <w:r>
        <w:rPr>
          <w:rFonts w:hint="eastAsia"/>
          <w:bCs/>
        </w:rPr>
        <w:t>一般规定</w:t>
      </w:r>
      <w:bookmarkEnd w:id="190"/>
    </w:p>
    <w:p>
      <w:pPr>
        <w:pStyle w:val="167"/>
      </w:pPr>
      <w:r>
        <w:rPr>
          <w:rFonts w:hint="eastAsia" w:ascii="Times New Roman"/>
          <w:szCs w:val="21"/>
        </w:rPr>
        <w:t>水生态修复工程要以有效控制外源和内源污染为前提，宜在控源截污的基础上，开展生物多样性修复工程。</w:t>
      </w:r>
    </w:p>
    <w:p>
      <w:pPr>
        <w:pStyle w:val="167"/>
      </w:pPr>
      <w:r>
        <w:rPr>
          <w:rFonts w:hint="eastAsia" w:ascii="Times New Roman"/>
          <w:szCs w:val="21"/>
        </w:rPr>
        <w:t>应根据设计目标，针对河道生态系统现状问题，综合考虑社会经济发展和生态保护需求，提出工程总体布局，保证生态基流，进而确定活水补水、生态驳岸、水质净化与改善、生物多样性修复的工程任务与规模。</w:t>
      </w:r>
    </w:p>
    <w:p>
      <w:pPr>
        <w:pStyle w:val="107"/>
        <w:spacing w:before="156" w:after="156"/>
        <w:rPr>
          <w:bCs/>
        </w:rPr>
      </w:pPr>
      <w:bookmarkStart w:id="191" w:name="_Toc120269000"/>
      <w:r>
        <w:rPr>
          <w:rFonts w:hint="eastAsia"/>
          <w:bCs/>
        </w:rPr>
        <w:t>活水补水</w:t>
      </w:r>
      <w:bookmarkEnd w:id="191"/>
    </w:p>
    <w:p>
      <w:pPr>
        <w:pStyle w:val="167"/>
      </w:pPr>
      <w:r>
        <w:rPr>
          <w:rFonts w:hint="eastAsia" w:ascii="Times New Roman"/>
          <w:szCs w:val="21"/>
        </w:rPr>
        <w:t>经过生态需水量评估不满足要求的河道，可结合河道整治目标，宜在生态环境需水量、水环境容量等计算的基础上对河道进行活水补水。</w:t>
      </w:r>
    </w:p>
    <w:p>
      <w:pPr>
        <w:pStyle w:val="167"/>
      </w:pPr>
      <w:r>
        <w:rPr>
          <w:rFonts w:hint="eastAsia" w:ascii="Times New Roman"/>
          <w:szCs w:val="21"/>
        </w:rPr>
        <w:t>河道内生态环境需水量计算公式参照《河湖生态环境需水计算规范》</w:t>
      </w:r>
      <w:r>
        <w:rPr>
          <w:rFonts w:hint="eastAsia" w:ascii="宋体" w:hAnsi="Times New Roman" w:eastAsia="宋体" w:cs="Times New Roman"/>
          <w:sz w:val="21"/>
          <w:lang w:val="en-US" w:eastAsia="zh-CN" w:bidi="ar-SA"/>
        </w:rPr>
        <w:t>SL/T 712</w:t>
      </w:r>
      <w:r>
        <w:rPr>
          <w:rFonts w:hint="eastAsia" w:ascii="Times New Roman"/>
          <w:szCs w:val="21"/>
        </w:rPr>
        <w:t>。</w:t>
      </w:r>
    </w:p>
    <w:p>
      <w:pPr>
        <w:pStyle w:val="167"/>
      </w:pPr>
      <w:r>
        <w:rPr>
          <w:rFonts w:hint="eastAsia" w:ascii="Times New Roman"/>
          <w:szCs w:val="21"/>
          <w:lang w:val="en-US" w:eastAsia="zh-CN"/>
        </w:rPr>
        <w:t>在</w:t>
      </w:r>
      <w:r>
        <w:rPr>
          <w:rFonts w:hint="eastAsia" w:ascii="Times New Roman"/>
          <w:szCs w:val="21"/>
        </w:rPr>
        <w:t>满足受纳水体水环境功能的前提下，生态补水来源可采用天然水体水源、城镇污水处理厂达标尾水等，并通过调配保障河道生态流量。</w:t>
      </w:r>
    </w:p>
    <w:p>
      <w:pPr>
        <w:pStyle w:val="167"/>
      </w:pPr>
      <w:r>
        <w:rPr>
          <w:rFonts w:hint="eastAsia" w:ascii="Times New Roman"/>
          <w:szCs w:val="21"/>
        </w:rPr>
        <w:t>补水方式可采用自流补水、泵站提水、闸坝泵站联合运行补水等形式。补水点和补水时段可根据河道的整治目标确定。</w:t>
      </w:r>
    </w:p>
    <w:p>
      <w:pPr>
        <w:pStyle w:val="107"/>
        <w:spacing w:before="156" w:after="156"/>
        <w:rPr>
          <w:bCs/>
        </w:rPr>
      </w:pPr>
      <w:bookmarkStart w:id="192" w:name="_Toc120269001"/>
      <w:r>
        <w:rPr>
          <w:rFonts w:hint="eastAsia"/>
          <w:bCs/>
        </w:rPr>
        <w:t>生态驳岸</w:t>
      </w:r>
      <w:bookmarkEnd w:id="192"/>
    </w:p>
    <w:p>
      <w:pPr>
        <w:pStyle w:val="167"/>
      </w:pPr>
      <w:r>
        <w:rPr>
          <w:rFonts w:hint="eastAsia" w:ascii="Times New Roman"/>
          <w:szCs w:val="21"/>
        </w:rPr>
        <w:t>生态驳岸设计符合下列规定：</w:t>
      </w:r>
    </w:p>
    <w:p>
      <w:pPr>
        <w:pStyle w:val="176"/>
        <w:numPr>
          <w:ilvl w:val="0"/>
          <w:numId w:val="46"/>
        </w:numPr>
      </w:pPr>
      <w:r>
        <w:rPr>
          <w:rFonts w:hint="eastAsia"/>
        </w:rPr>
        <w:t>应符合《堤防工程设计规范》</w:t>
      </w:r>
      <w:r>
        <w:rPr>
          <w:rFonts w:hint="eastAsia" w:ascii="宋体" w:hAnsi="Times New Roman" w:eastAsia="宋体" w:cs="Times New Roman"/>
          <w:sz w:val="21"/>
          <w:lang w:val="en-US" w:eastAsia="zh-CN" w:bidi="ar-SA"/>
        </w:rPr>
        <w:t>GB 50286</w:t>
      </w:r>
      <w:r>
        <w:rPr>
          <w:rFonts w:hint="eastAsia"/>
        </w:rPr>
        <w:t>的相关规定；</w:t>
      </w:r>
    </w:p>
    <w:p>
      <w:pPr>
        <w:pStyle w:val="176"/>
      </w:pPr>
      <w:r>
        <w:rPr>
          <w:rFonts w:hint="eastAsia"/>
        </w:rPr>
        <w:t>城镇生活型河段宜选择生态驳岸，宜具备景观休闲和亲水功能；</w:t>
      </w:r>
    </w:p>
    <w:p>
      <w:pPr>
        <w:pStyle w:val="176"/>
      </w:pPr>
      <w:r>
        <w:rPr>
          <w:rFonts w:hint="eastAsia"/>
        </w:rPr>
        <w:t>工业密集型河段宜选择具备污染物截留和净化功能的驳岸形式；</w:t>
      </w:r>
    </w:p>
    <w:p>
      <w:pPr>
        <w:pStyle w:val="176"/>
      </w:pPr>
      <w:r>
        <w:rPr>
          <w:rFonts w:hint="eastAsia"/>
        </w:rPr>
        <w:t>乡村郊野型河段宜选择自然生态驳岸。平原型河段宜优先采用自然土质驳岸，宜选择具备生态和净化功能的驳岸形式。山区型河段宜采用耐冲刷、透水性好的驳岸形式。</w:t>
      </w:r>
    </w:p>
    <w:p>
      <w:pPr>
        <w:pStyle w:val="167"/>
      </w:pPr>
      <w:r>
        <w:rPr>
          <w:rFonts w:hint="eastAsia" w:ascii="Times New Roman"/>
          <w:szCs w:val="21"/>
        </w:rPr>
        <w:t>驳岸生境营造可采用天然植物类、石笼类、木材-块石类、多孔混凝土构件等生态驳岸。硬质护岸无法拆除时可采用覆土法、生态袋等方法。</w:t>
      </w:r>
    </w:p>
    <w:p>
      <w:pPr>
        <w:pStyle w:val="167"/>
      </w:pPr>
      <w:r>
        <w:rPr>
          <w:rFonts w:ascii="Times New Roman"/>
          <w:szCs w:val="21"/>
        </w:rPr>
        <w:t>硬</w:t>
      </w:r>
      <w:r>
        <w:rPr>
          <w:rFonts w:hint="eastAsia" w:ascii="Times New Roman"/>
          <w:szCs w:val="21"/>
        </w:rPr>
        <w:t>质驳岸生态化改造时，不应影响河道水系的基本功能，可在临水侧的河底设置种植槽、定植设施或利用培土抬高等措施，种植挺水植物、浮叶植物或沉水植物</w:t>
      </w:r>
      <w:r>
        <w:rPr>
          <w:rFonts w:ascii="Times New Roman"/>
          <w:szCs w:val="21"/>
        </w:rPr>
        <w:t>。</w:t>
      </w:r>
    </w:p>
    <w:p>
      <w:pPr>
        <w:pStyle w:val="107"/>
        <w:spacing w:before="156" w:after="156"/>
        <w:rPr>
          <w:bCs/>
        </w:rPr>
      </w:pPr>
      <w:bookmarkStart w:id="193" w:name="_Toc120269002"/>
      <w:r>
        <w:rPr>
          <w:rFonts w:hint="eastAsia"/>
          <w:bCs/>
        </w:rPr>
        <w:t>水质净化与改善</w:t>
      </w:r>
      <w:bookmarkEnd w:id="193"/>
    </w:p>
    <w:p>
      <w:pPr>
        <w:pStyle w:val="167"/>
      </w:pPr>
      <w:r>
        <w:rPr>
          <w:rFonts w:hint="eastAsia" w:ascii="Times New Roman"/>
          <w:szCs w:val="21"/>
        </w:rPr>
        <w:t>水质净化与改善措施宜包括曝气增氧、生态浮岛、微生物修复、旁路处理等。应针对水质本底条件和目标水质，确定设施规模和布局，符合下列规定：</w:t>
      </w:r>
    </w:p>
    <w:p>
      <w:pPr>
        <w:pStyle w:val="176"/>
        <w:numPr>
          <w:ilvl w:val="0"/>
          <w:numId w:val="47"/>
        </w:numPr>
      </w:pPr>
      <w:r>
        <w:rPr>
          <w:rFonts w:hint="eastAsia"/>
        </w:rPr>
        <w:t>除山区型河段，河道生态水深不宜低于40 cm；</w:t>
      </w:r>
    </w:p>
    <w:p>
      <w:pPr>
        <w:pStyle w:val="176"/>
      </w:pPr>
      <w:r>
        <w:rPr>
          <w:rFonts w:hint="eastAsia"/>
        </w:rPr>
        <w:t>水体透明度不宜低于25 cm；</w:t>
      </w:r>
    </w:p>
    <w:p>
      <w:pPr>
        <w:pStyle w:val="176"/>
      </w:pPr>
      <w:r>
        <w:rPr>
          <w:rFonts w:hint="eastAsia"/>
        </w:rPr>
        <w:t>生物学污染指数（BPI）或大型底栖动物污染指数（</w:t>
      </w:r>
      <w:r>
        <w:rPr>
          <w:rFonts w:hint="eastAsia" w:ascii="宋体" w:hAnsi="Times New Roman" w:eastAsia="宋体" w:cs="Times New Roman"/>
          <w:sz w:val="21"/>
          <w:lang w:val="en-US" w:eastAsia="zh-CN" w:bidi="ar-SA"/>
        </w:rPr>
        <w:t>MPI</w:t>
      </w:r>
      <w:r>
        <w:rPr>
          <w:rFonts w:hint="eastAsia"/>
        </w:rPr>
        <w:t>）宜满足“清洁”指标。</w:t>
      </w:r>
    </w:p>
    <w:p>
      <w:pPr>
        <w:pStyle w:val="167"/>
      </w:pPr>
      <w:r>
        <w:rPr>
          <w:rFonts w:hint="eastAsia" w:ascii="Times New Roman"/>
          <w:szCs w:val="21"/>
        </w:rPr>
        <w:t>河道水体溶解氧浓度不应低于</w:t>
      </w:r>
      <w:r>
        <w:rPr>
          <w:rFonts w:hint="eastAsia" w:ascii="宋体" w:hAnsi="Times New Roman" w:eastAsia="宋体" w:cs="Times New Roman"/>
          <w:sz w:val="21"/>
          <w:lang w:val="en-US" w:eastAsia="zh-CN" w:bidi="ar-SA"/>
        </w:rPr>
        <w:t>2 mg/L</w:t>
      </w:r>
      <w:r>
        <w:rPr>
          <w:rFonts w:hint="eastAsia" w:ascii="Times New Roman"/>
          <w:szCs w:val="21"/>
        </w:rPr>
        <w:t>，宜高于</w:t>
      </w:r>
      <w:r>
        <w:rPr>
          <w:rFonts w:hint="eastAsia" w:ascii="宋体" w:hAnsi="Times New Roman" w:eastAsia="宋体" w:cs="Times New Roman"/>
          <w:sz w:val="21"/>
          <w:lang w:val="en-US" w:eastAsia="zh-CN" w:bidi="ar-SA"/>
        </w:rPr>
        <w:t>5 mg/L</w:t>
      </w:r>
      <w:r>
        <w:rPr>
          <w:rFonts w:hint="eastAsia" w:ascii="Times New Roman"/>
          <w:szCs w:val="21"/>
        </w:rPr>
        <w:t>。山区型河段宜选择自然跌水复氧方式；平原型河段可选择自然跌水复氧、人工增氧曝气等方式。</w:t>
      </w:r>
    </w:p>
    <w:p>
      <w:pPr>
        <w:pStyle w:val="167"/>
      </w:pPr>
      <w:r>
        <w:rPr>
          <w:rFonts w:ascii="Times New Roman"/>
          <w:bCs/>
          <w:szCs w:val="21"/>
        </w:rPr>
        <w:t>曝</w:t>
      </w:r>
      <w:r>
        <w:rPr>
          <w:rFonts w:hint="eastAsia" w:ascii="Times New Roman"/>
          <w:bCs/>
          <w:szCs w:val="21"/>
        </w:rPr>
        <w:t>气设备宜布设在水流较缓或静水水域，应根据污染物削减量计算曝气量</w:t>
      </w:r>
      <w:r>
        <w:rPr>
          <w:rFonts w:ascii="Times New Roman"/>
          <w:bCs/>
          <w:szCs w:val="21"/>
        </w:rPr>
        <w:t>。</w:t>
      </w:r>
    </w:p>
    <w:p>
      <w:pPr>
        <w:pStyle w:val="167"/>
      </w:pPr>
      <w:r>
        <w:rPr>
          <w:rFonts w:hint="eastAsia"/>
        </w:rPr>
        <w:t>在不影响汛期排水的条件下，雨水排口处可布置生态围隔和生态浮岛等措施净化雨水径流。</w:t>
      </w:r>
    </w:p>
    <w:p>
      <w:pPr>
        <w:pStyle w:val="167"/>
      </w:pPr>
      <w:r>
        <w:rPr>
          <w:rFonts w:hint="eastAsia"/>
        </w:rPr>
        <w:t>生态浮岛应采用环境友好型材料作为水生植物种植基质。应根据最不利工况下确定生态浮岛固定方式，确保生态浮岛稳定运行。生态浮岛覆盖率不宜超过水面的</w:t>
      </w:r>
      <w:r>
        <w:rPr>
          <w:rFonts w:hint="eastAsia" w:ascii="宋体" w:hAnsi="Times New Roman" w:eastAsia="宋体" w:cs="Times New Roman"/>
          <w:sz w:val="21"/>
          <w:lang w:val="en-US" w:eastAsia="zh-CN" w:bidi="ar-SA"/>
        </w:rPr>
        <w:t>20%</w:t>
      </w:r>
      <w:r>
        <w:rPr>
          <w:rFonts w:hint="eastAsia"/>
        </w:rPr>
        <w:t>。</w:t>
      </w:r>
    </w:p>
    <w:p>
      <w:pPr>
        <w:pStyle w:val="167"/>
      </w:pPr>
      <w:r>
        <w:rPr>
          <w:rFonts w:hint="eastAsia"/>
        </w:rPr>
        <w:t>微生物附着基宜布设在水流较缓或静水水域，或布置在排口附近；可单独布设或悬挂在浮床下方。</w:t>
      </w:r>
    </w:p>
    <w:p>
      <w:pPr>
        <w:pStyle w:val="167"/>
      </w:pPr>
      <w:r>
        <w:rPr>
          <w:rFonts w:hint="eastAsia"/>
          <w:lang w:val="en-US" w:eastAsia="zh-CN"/>
        </w:rPr>
        <w:t>河</w:t>
      </w:r>
      <w:r>
        <w:rPr>
          <w:rFonts w:hint="eastAsia"/>
        </w:rPr>
        <w:t>道原位治理不应投加化学类药剂和微生物菌剂。</w:t>
      </w:r>
    </w:p>
    <w:p>
      <w:pPr>
        <w:pStyle w:val="167"/>
      </w:pPr>
      <w:r>
        <w:rPr>
          <w:rFonts w:hint="eastAsia"/>
        </w:rPr>
        <w:t>对于补水活水或河道原位净化措施后仍较难达到水功能目标要求的河段，可建设旁路处理如人工湿地、氧化塘、生物滤床等设施对河道水体进行水质改善。处理规模可根据河道换水周期确定，河道水体的换水周期宜小于10天。可综合考虑水源条件、水温条件、水质保障等因素适当调整。</w:t>
      </w:r>
    </w:p>
    <w:p>
      <w:pPr>
        <w:pStyle w:val="107"/>
        <w:spacing w:before="156" w:after="156"/>
        <w:rPr>
          <w:bCs/>
        </w:rPr>
      </w:pPr>
      <w:bookmarkStart w:id="194" w:name="_Toc120269003"/>
      <w:r>
        <w:rPr>
          <w:rFonts w:hint="eastAsia"/>
          <w:bCs/>
        </w:rPr>
        <w:t>生物多样性修复</w:t>
      </w:r>
      <w:bookmarkEnd w:id="194"/>
    </w:p>
    <w:p>
      <w:pPr>
        <w:pStyle w:val="167"/>
      </w:pPr>
      <w:r>
        <w:rPr>
          <w:rFonts w:hint="eastAsia" w:ascii="Times New Roman"/>
          <w:szCs w:val="21"/>
        </w:rPr>
        <w:t>生物多样性修复宜包括生境营造、陆生植物恢复、水生植物恢复、水生动物恢复等。</w:t>
      </w:r>
    </w:p>
    <w:p>
      <w:pPr>
        <w:pStyle w:val="167"/>
      </w:pPr>
      <w:r>
        <w:rPr>
          <w:rFonts w:hint="eastAsia" w:ascii="Times New Roman"/>
          <w:szCs w:val="21"/>
        </w:rPr>
        <w:t>宜通过设计深潭、浅滩、漫滩等多种纵断面类型，满足不同水生动植物生长、觅食、繁殖、避险等需求。</w:t>
      </w:r>
    </w:p>
    <w:p>
      <w:pPr>
        <w:pStyle w:val="167"/>
      </w:pPr>
      <w:r>
        <w:rPr>
          <w:rFonts w:hint="eastAsia" w:ascii="Times New Roman"/>
          <w:szCs w:val="21"/>
        </w:rPr>
        <w:t>生境营造应兼顾生态保育、景观游憩、科普教育和文化宣传等多种功能目标。</w:t>
      </w:r>
    </w:p>
    <w:p>
      <w:pPr>
        <w:pStyle w:val="167"/>
      </w:pPr>
      <w:r>
        <w:rPr>
          <w:rFonts w:hint="eastAsia" w:ascii="Times New Roman"/>
          <w:szCs w:val="21"/>
        </w:rPr>
        <w:t>应保护和修复河滩、驳岸生态系统。宜设计乔、灌、草组合配置的河滨植被缓冲带，营造多样化鸟类、陆生动物栖息地。</w:t>
      </w:r>
    </w:p>
    <w:p>
      <w:pPr>
        <w:pStyle w:val="167"/>
      </w:pPr>
      <w:r>
        <w:rPr>
          <w:rFonts w:hint="eastAsia" w:ascii="Times New Roman"/>
          <w:szCs w:val="21"/>
        </w:rPr>
        <w:t>应设计挺水植物、浮叶植物、沉水植物、浮游动物、底栖动物、鱼类等健康水生动植物群落，符合下列规定：</w:t>
      </w:r>
    </w:p>
    <w:p>
      <w:pPr>
        <w:pStyle w:val="176"/>
        <w:numPr>
          <w:ilvl w:val="0"/>
          <w:numId w:val="48"/>
        </w:numPr>
        <w:rPr>
          <w:shd w:val="clear" w:color="auto" w:fill="FFFFFF"/>
        </w:rPr>
      </w:pPr>
      <w:r>
        <w:rPr>
          <w:rFonts w:hint="eastAsia"/>
          <w:shd w:val="clear" w:color="auto" w:fill="FFFFFF"/>
        </w:rPr>
        <w:t>挺水植物宜选用根系发达、兼具观赏和净化效果的植物；</w:t>
      </w:r>
    </w:p>
    <w:p>
      <w:pPr>
        <w:pStyle w:val="176"/>
        <w:rPr>
          <w:shd w:val="clear" w:color="auto" w:fill="FFFFFF"/>
        </w:rPr>
      </w:pPr>
      <w:r>
        <w:rPr>
          <w:rFonts w:hint="eastAsia"/>
          <w:shd w:val="clear" w:color="auto" w:fill="FFFFFF"/>
        </w:rPr>
        <w:t>浮叶植物宜选用景观效果好、生物量大的植物；</w:t>
      </w:r>
    </w:p>
    <w:p>
      <w:pPr>
        <w:pStyle w:val="176"/>
        <w:rPr>
          <w:iCs/>
        </w:rPr>
      </w:pPr>
      <w:r>
        <w:rPr>
          <w:rFonts w:hint="eastAsia"/>
          <w:shd w:val="clear" w:color="auto" w:fill="FFFFFF"/>
        </w:rPr>
        <w:t>沉水植物宜根据河道水深和水质情况分阶段种植和恢复；</w:t>
      </w:r>
    </w:p>
    <w:p>
      <w:pPr>
        <w:pStyle w:val="176"/>
        <w:rPr>
          <w:shd w:val="clear" w:color="auto" w:fill="FFFFFF"/>
        </w:rPr>
      </w:pPr>
      <w:r>
        <w:rPr>
          <w:rFonts w:hint="eastAsia"/>
          <w:bCs/>
          <w:shd w:val="clear" w:color="auto" w:fill="FFFFFF"/>
        </w:rPr>
        <w:t>水生动物恢复应以自然繁衍为主，人工投放为辅，投放时应考虑对水生植物系统的保护，水生动物的投放应基于河道水生态调查，鱼类投放可选择滤食性鱼类、杂食性鱼类、肉食性鱼类，禁止投放过量草食性鱼类，底栖动物品种以滤食性的双壳类为主</w:t>
      </w:r>
      <w:r>
        <w:rPr>
          <w:rFonts w:hint="eastAsia"/>
          <w:shd w:val="clear" w:color="auto" w:fill="FFFFFF"/>
        </w:rPr>
        <w:t>；</w:t>
      </w:r>
    </w:p>
    <w:p>
      <w:pPr>
        <w:pStyle w:val="176"/>
        <w:rPr>
          <w:shd w:val="clear" w:color="auto" w:fill="FFFFFF"/>
        </w:rPr>
      </w:pPr>
      <w:r>
        <w:rPr>
          <w:rFonts w:hint="eastAsia"/>
          <w:shd w:val="clear" w:color="auto" w:fill="FFFFFF"/>
        </w:rPr>
        <w:t>动植物群落应加强管理，优先选用土著生物，防止生物入侵。已有生物入侵的区域，应立即采取清理措施。</w:t>
      </w:r>
    </w:p>
    <w:p>
      <w:pPr>
        <w:pStyle w:val="167"/>
      </w:pPr>
      <w:r>
        <w:rPr>
          <w:rFonts w:hint="eastAsia" w:ascii="Times New Roman"/>
          <w:szCs w:val="21"/>
        </w:rPr>
        <w:t>水生植物应在适宜季节及时播种，应实行计划打捞，及时清理枯死、倒伏植物个体，保证水生植物的覆盖率及自然恢复能力。</w:t>
      </w:r>
    </w:p>
    <w:p>
      <w:pPr>
        <w:pStyle w:val="167"/>
      </w:pPr>
      <w:r>
        <w:rPr>
          <w:rFonts w:hint="eastAsia" w:ascii="Times New Roman"/>
          <w:szCs w:val="21"/>
        </w:rPr>
        <w:t>水生动物应在适宜季节投放，并严格管控投放动物的疾病监测与检疫，投放前应对水生动物及其运输工具进行消毒处理，不应含有危害动物和人体健康的病原微生物、其他有毒有害物质以及可能破坏水体生态环境的水生动植物。在维护期，应对水生动物种类及密度开展定期监测，进行科学的投放和捕捞，应严格控制草食性鱼类对河道生态系统的破坏。</w:t>
      </w:r>
    </w:p>
    <w:p>
      <w:pPr>
        <w:pStyle w:val="106"/>
        <w:spacing w:before="312" w:after="312"/>
        <w:rPr>
          <w:szCs w:val="21"/>
        </w:rPr>
      </w:pPr>
      <w:bookmarkStart w:id="195" w:name="_Toc120269004"/>
      <w:r>
        <w:rPr>
          <w:szCs w:val="21"/>
        </w:rPr>
        <w:t>水景观</w:t>
      </w:r>
      <w:r>
        <w:rPr>
          <w:rFonts w:hint="eastAsia"/>
          <w:szCs w:val="21"/>
        </w:rPr>
        <w:t>提升</w:t>
      </w:r>
      <w:bookmarkEnd w:id="195"/>
    </w:p>
    <w:p>
      <w:pPr>
        <w:pStyle w:val="107"/>
        <w:spacing w:before="156" w:after="156"/>
        <w:rPr>
          <w:szCs w:val="21"/>
        </w:rPr>
      </w:pPr>
      <w:bookmarkStart w:id="196" w:name="_Toc120269005"/>
      <w:r>
        <w:rPr>
          <w:szCs w:val="21"/>
        </w:rPr>
        <w:t>一般规定</w:t>
      </w:r>
      <w:bookmarkEnd w:id="196"/>
    </w:p>
    <w:p>
      <w:pPr>
        <w:pStyle w:val="167"/>
      </w:pPr>
      <w:r>
        <w:rPr>
          <w:rFonts w:hint="eastAsia" w:ascii="Times New Roman"/>
          <w:szCs w:val="21"/>
        </w:rPr>
        <w:t>城市河道水景观设计必须遵循相关上位规划，并与城市历史文化协调一致</w:t>
      </w:r>
      <w:r>
        <w:rPr>
          <w:rFonts w:ascii="Times New Roman"/>
          <w:szCs w:val="21"/>
        </w:rPr>
        <w:t>。</w:t>
      </w:r>
    </w:p>
    <w:p>
      <w:pPr>
        <w:pStyle w:val="167"/>
      </w:pPr>
      <w:r>
        <w:rPr>
          <w:rFonts w:hint="eastAsia" w:ascii="Times New Roman"/>
          <w:szCs w:val="21"/>
        </w:rPr>
        <w:t>城市河道水景观必须在保证水安全的基础上进行设计，并应优先考虑水污染防治、水生态修复、游人休憩的设施需求。</w:t>
      </w:r>
    </w:p>
    <w:p>
      <w:pPr>
        <w:pStyle w:val="167"/>
      </w:pPr>
      <w:r>
        <w:rPr>
          <w:rFonts w:hint="eastAsia" w:ascii="Times New Roman"/>
          <w:szCs w:val="21"/>
        </w:rPr>
        <w:t>平面布局应以完善城市服务功能为导向，明确功能分区。各功能区块间的沟通应连续、通畅，并与周边环境有机衔接。</w:t>
      </w:r>
    </w:p>
    <w:p>
      <w:pPr>
        <w:pStyle w:val="167"/>
      </w:pPr>
      <w:r>
        <w:rPr>
          <w:rFonts w:hint="eastAsia" w:ascii="Times New Roman"/>
          <w:szCs w:val="21"/>
        </w:rPr>
        <w:t>竖向设计应满足景观空间塑造要求，防止水体水位变化对滨水景观和生态系统产生不利影响。</w:t>
      </w:r>
    </w:p>
    <w:p>
      <w:pPr>
        <w:pStyle w:val="167"/>
      </w:pPr>
      <w:r>
        <w:rPr>
          <w:rFonts w:hint="eastAsia" w:ascii="Times New Roman"/>
          <w:szCs w:val="21"/>
        </w:rPr>
        <w:t>种植设计宜优先保留或利用原有植被。根据不同水位，合理配置陆生、湿生、水生等植物品种</w:t>
      </w:r>
      <w:r>
        <w:rPr>
          <w:rFonts w:ascii="Times New Roman"/>
          <w:szCs w:val="21"/>
        </w:rPr>
        <w:t>。</w:t>
      </w:r>
    </w:p>
    <w:p>
      <w:pPr>
        <w:pStyle w:val="107"/>
        <w:spacing w:before="156" w:after="156"/>
        <w:rPr>
          <w:szCs w:val="21"/>
        </w:rPr>
      </w:pPr>
      <w:bookmarkStart w:id="197" w:name="_Toc120269006"/>
      <w:r>
        <w:rPr>
          <w:szCs w:val="21"/>
        </w:rPr>
        <w:t>平面布局</w:t>
      </w:r>
      <w:bookmarkEnd w:id="197"/>
    </w:p>
    <w:p>
      <w:pPr>
        <w:pStyle w:val="167"/>
      </w:pPr>
      <w:r>
        <w:rPr>
          <w:rFonts w:hint="eastAsia" w:ascii="Times New Roman"/>
          <w:szCs w:val="21"/>
        </w:rPr>
        <w:t>平面布局应根据临水条件、场地特征及规模、功能定位等因素合理划分功能区段。</w:t>
      </w:r>
    </w:p>
    <w:p>
      <w:pPr>
        <w:pStyle w:val="167"/>
      </w:pPr>
      <w:r>
        <w:rPr>
          <w:rFonts w:hint="eastAsia" w:ascii="Times New Roman"/>
          <w:szCs w:val="21"/>
        </w:rPr>
        <w:t>岸线布局应尊重原有自然形态。岸线为非自然形态时，宜在符合水利相关规定的条件下，结合用地规划适当优化。应根据岸线及水体水位的特征，合理布置临水设施，配置水生植物。</w:t>
      </w:r>
    </w:p>
    <w:p>
      <w:pPr>
        <w:pStyle w:val="167"/>
      </w:pPr>
      <w:r>
        <w:rPr>
          <w:rFonts w:hint="eastAsia" w:ascii="Times New Roman"/>
          <w:szCs w:val="21"/>
        </w:rPr>
        <w:t>河道滨水空间中的广场、绿道等出入口数量宜在2个或以上。主出入口应与外部道路相衔接，宜设置集散广场、机动车和非机动车停车场</w:t>
      </w:r>
      <w:r>
        <w:rPr>
          <w:rFonts w:ascii="Times New Roman"/>
          <w:szCs w:val="21"/>
        </w:rPr>
        <w:t>。</w:t>
      </w:r>
    </w:p>
    <w:p>
      <w:pPr>
        <w:pStyle w:val="167"/>
      </w:pPr>
      <w:r>
        <w:rPr>
          <w:rFonts w:ascii="Times New Roman"/>
          <w:szCs w:val="21"/>
        </w:rPr>
        <w:t>场</w:t>
      </w:r>
      <w:r>
        <w:rPr>
          <w:rFonts w:hint="eastAsia" w:ascii="Times New Roman"/>
          <w:szCs w:val="21"/>
        </w:rPr>
        <w:t>地内游憩设施、服务设施和管理设施应结合场地游览路径设置，应符合《公园设计规范》</w:t>
      </w:r>
      <w:r>
        <w:rPr>
          <w:rFonts w:hint="eastAsia" w:ascii="宋体" w:hAnsi="Times New Roman" w:eastAsia="宋体" w:cs="Times New Roman"/>
          <w:sz w:val="21"/>
          <w:lang w:val="en-US" w:eastAsia="zh-CN" w:bidi="ar-SA"/>
        </w:rPr>
        <w:t>GB 51192</w:t>
      </w:r>
      <w:r>
        <w:rPr>
          <w:rFonts w:hint="eastAsia" w:ascii="Times New Roman"/>
          <w:szCs w:val="21"/>
        </w:rPr>
        <w:t>的相关规定</w:t>
      </w:r>
      <w:r>
        <w:rPr>
          <w:rFonts w:ascii="Times New Roman"/>
          <w:szCs w:val="21"/>
        </w:rPr>
        <w:t>。</w:t>
      </w:r>
    </w:p>
    <w:p>
      <w:pPr>
        <w:pStyle w:val="107"/>
        <w:spacing w:before="156" w:after="156"/>
        <w:rPr>
          <w:szCs w:val="21"/>
        </w:rPr>
      </w:pPr>
      <w:bookmarkStart w:id="198" w:name="_Toc120269007"/>
      <w:r>
        <w:rPr>
          <w:szCs w:val="21"/>
        </w:rPr>
        <w:t>竖向</w:t>
      </w:r>
      <w:r>
        <w:rPr>
          <w:rFonts w:hint="eastAsia"/>
          <w:szCs w:val="21"/>
        </w:rPr>
        <w:t>设计</w:t>
      </w:r>
      <w:bookmarkEnd w:id="198"/>
    </w:p>
    <w:p>
      <w:pPr>
        <w:pStyle w:val="167"/>
      </w:pPr>
      <w:r>
        <w:rPr>
          <w:rFonts w:ascii="Times New Roman"/>
          <w:szCs w:val="21"/>
        </w:rPr>
        <w:t>竖向</w:t>
      </w:r>
      <w:r>
        <w:rPr>
          <w:rFonts w:hint="eastAsia" w:ascii="Times New Roman"/>
          <w:szCs w:val="21"/>
        </w:rPr>
        <w:t>设计应结合周边环境、地形地貌、水文特征和景观安全等要求，合理确定场地内地形的控制高程和主要景物的高程，并应满足主园路、重要建（构）筑物、游人集中场所、配电设施等不被水淹</w:t>
      </w:r>
      <w:r>
        <w:rPr>
          <w:rFonts w:ascii="Times New Roman"/>
          <w:szCs w:val="21"/>
        </w:rPr>
        <w:t>。</w:t>
      </w:r>
    </w:p>
    <w:p>
      <w:pPr>
        <w:pStyle w:val="167"/>
      </w:pPr>
      <w:r>
        <w:rPr>
          <w:rFonts w:ascii="Times New Roman"/>
          <w:szCs w:val="21"/>
        </w:rPr>
        <w:t>活动</w:t>
      </w:r>
      <w:r>
        <w:rPr>
          <w:rFonts w:hint="eastAsia" w:ascii="Times New Roman"/>
          <w:szCs w:val="21"/>
        </w:rPr>
        <w:t>场地、主路及重要建筑物等应布置在洪水位以上，并考虑洪水期对场地设施和游人的安全影响。二级滨水步道可设置于常水位及洪水位之间，视防洪标准情况可进行淹没设计，应设置安全警示标识</w:t>
      </w:r>
      <w:r>
        <w:rPr>
          <w:rFonts w:ascii="Times New Roman"/>
          <w:szCs w:val="21"/>
        </w:rPr>
        <w:t>。</w:t>
      </w:r>
    </w:p>
    <w:p>
      <w:pPr>
        <w:pStyle w:val="167"/>
      </w:pPr>
      <w:r>
        <w:rPr>
          <w:rFonts w:ascii="Times New Roman"/>
          <w:szCs w:val="21"/>
        </w:rPr>
        <w:t>铺装</w:t>
      </w:r>
      <w:r>
        <w:rPr>
          <w:rFonts w:hint="eastAsia" w:ascii="Times New Roman"/>
          <w:szCs w:val="21"/>
        </w:rPr>
        <w:t>场地临水空间近岸</w:t>
      </w:r>
      <w:r>
        <w:rPr>
          <w:rFonts w:hint="eastAsia" w:ascii="宋体" w:hAnsi="Times New Roman" w:eastAsia="宋体" w:cs="Times New Roman"/>
          <w:sz w:val="21"/>
          <w:lang w:val="en-US" w:eastAsia="zh-CN" w:bidi="ar-SA"/>
        </w:rPr>
        <w:t>2 m</w:t>
      </w:r>
      <w:r>
        <w:rPr>
          <w:rFonts w:hint="eastAsia" w:ascii="Times New Roman"/>
          <w:szCs w:val="21"/>
        </w:rPr>
        <w:t>范围内水深不应大于</w:t>
      </w:r>
      <w:r>
        <w:rPr>
          <w:rFonts w:hint="eastAsia" w:ascii="宋体" w:hAnsi="Times New Roman" w:eastAsia="宋体" w:cs="Times New Roman"/>
          <w:sz w:val="21"/>
          <w:lang w:val="en-US" w:eastAsia="zh-CN" w:bidi="ar-SA"/>
        </w:rPr>
        <w:t>0.7 m</w:t>
      </w:r>
      <w:r>
        <w:rPr>
          <w:rFonts w:hint="eastAsia" w:ascii="Times New Roman"/>
          <w:szCs w:val="21"/>
        </w:rPr>
        <w:t>；不能满足要求时应设置防护措施。护栏可采用安全防护性、装饰性栏杆，从踩踏面起计，护栏高度不应低于</w:t>
      </w:r>
      <w:r>
        <w:rPr>
          <w:rFonts w:hint="eastAsia" w:ascii="宋体" w:hAnsi="Times New Roman" w:eastAsia="宋体" w:cs="Times New Roman"/>
          <w:sz w:val="21"/>
          <w:lang w:val="en-US" w:eastAsia="zh-CN" w:bidi="ar-SA"/>
        </w:rPr>
        <w:t>1.05 m</w:t>
      </w:r>
      <w:r>
        <w:rPr>
          <w:rFonts w:hint="eastAsia" w:ascii="Times New Roman"/>
          <w:szCs w:val="21"/>
        </w:rPr>
        <w:t>。</w:t>
      </w:r>
    </w:p>
    <w:p>
      <w:pPr>
        <w:pStyle w:val="107"/>
        <w:spacing w:before="156" w:after="156"/>
        <w:rPr>
          <w:szCs w:val="21"/>
        </w:rPr>
      </w:pPr>
      <w:bookmarkStart w:id="199" w:name="_Toc120269008"/>
      <w:r>
        <w:rPr>
          <w:szCs w:val="21"/>
        </w:rPr>
        <w:t>种植设计</w:t>
      </w:r>
      <w:bookmarkEnd w:id="199"/>
    </w:p>
    <w:p>
      <w:pPr>
        <w:pStyle w:val="167"/>
      </w:pPr>
      <w:r>
        <w:rPr>
          <w:rFonts w:ascii="Times New Roman"/>
          <w:szCs w:val="21"/>
        </w:rPr>
        <w:t>应</w:t>
      </w:r>
      <w:r>
        <w:rPr>
          <w:rFonts w:hint="eastAsia" w:ascii="Times New Roman"/>
          <w:szCs w:val="21"/>
        </w:rPr>
        <w:t>结合总体设计对植物布局的要求，选择基调树种和骨干树种，满足生态、观赏要求。</w:t>
      </w:r>
    </w:p>
    <w:p>
      <w:pPr>
        <w:pStyle w:val="167"/>
      </w:pPr>
      <w:r>
        <w:rPr>
          <w:rFonts w:ascii="Times New Roman"/>
          <w:szCs w:val="21"/>
        </w:rPr>
        <w:t>滨</w:t>
      </w:r>
      <w:r>
        <w:rPr>
          <w:rFonts w:hint="eastAsia" w:ascii="Times New Roman"/>
          <w:szCs w:val="21"/>
        </w:rPr>
        <w:t>水区域的植物品种应结合水位高程合理配置，符合下列规定：</w:t>
      </w:r>
    </w:p>
    <w:p>
      <w:pPr>
        <w:pStyle w:val="176"/>
        <w:numPr>
          <w:ilvl w:val="0"/>
          <w:numId w:val="49"/>
        </w:numPr>
      </w:pPr>
      <w:r>
        <w:t>常</w:t>
      </w:r>
      <w:r>
        <w:rPr>
          <w:rFonts w:hint="eastAsia"/>
        </w:rPr>
        <w:t>水位线以下且水流平缓的区域，应根据水深深度及水生植物习性科学配置沉水、浮叶、挺水、漂浮型植物，并考虑植物配置美学特性；</w:t>
      </w:r>
    </w:p>
    <w:p>
      <w:pPr>
        <w:pStyle w:val="176"/>
      </w:pPr>
      <w:r>
        <w:t>常</w:t>
      </w:r>
      <w:r>
        <w:rPr>
          <w:rFonts w:hint="eastAsia"/>
        </w:rPr>
        <w:t>水位至洪水位之间的区域，应选用具有水土保持与美化河岸等功能的多年生水陆两生品种</w:t>
      </w:r>
      <w:r>
        <w:t>；</w:t>
      </w:r>
    </w:p>
    <w:p>
      <w:pPr>
        <w:pStyle w:val="176"/>
      </w:pPr>
      <w:r>
        <w:t>洪</w:t>
      </w:r>
      <w:r>
        <w:rPr>
          <w:rFonts w:hint="eastAsia"/>
        </w:rPr>
        <w:t>水位以上的区域，植物配置应符合总体设计要求。水质要求较高的临水区域，不宜种植落叶植物</w:t>
      </w:r>
      <w:r>
        <w:t>。</w:t>
      </w:r>
    </w:p>
    <w:p>
      <w:pPr>
        <w:pStyle w:val="107"/>
        <w:spacing w:before="156" w:after="156"/>
        <w:rPr>
          <w:szCs w:val="21"/>
        </w:rPr>
      </w:pPr>
      <w:bookmarkStart w:id="200" w:name="_Toc120269009"/>
      <w:r>
        <w:rPr>
          <w:szCs w:val="21"/>
        </w:rPr>
        <w:t>景观建（构）筑物设计</w:t>
      </w:r>
      <w:bookmarkEnd w:id="200"/>
    </w:p>
    <w:p>
      <w:pPr>
        <w:pStyle w:val="167"/>
      </w:pPr>
      <w:r>
        <w:rPr>
          <w:rFonts w:hint="eastAsia" w:ascii="Times New Roman"/>
          <w:szCs w:val="21"/>
        </w:rPr>
        <w:t>公共服务设施应满足以下要求：</w:t>
      </w:r>
    </w:p>
    <w:p>
      <w:pPr>
        <w:pStyle w:val="176"/>
        <w:numPr>
          <w:ilvl w:val="0"/>
          <w:numId w:val="50"/>
        </w:numPr>
      </w:pPr>
      <w:r>
        <w:t>游</w:t>
      </w:r>
      <w:r>
        <w:rPr>
          <w:rFonts w:hint="eastAsia"/>
        </w:rPr>
        <w:t>客服务中心、驿站等公共服务设施宜设置应急医疗救助点，应能提供满足应急救援服务所需的医疗救助设备器材</w:t>
      </w:r>
      <w:r>
        <w:t>；</w:t>
      </w:r>
    </w:p>
    <w:p>
      <w:pPr>
        <w:pStyle w:val="176"/>
      </w:pPr>
      <w:r>
        <w:t>宜</w:t>
      </w:r>
      <w:r>
        <w:rPr>
          <w:rFonts w:hint="eastAsia"/>
        </w:rPr>
        <w:t>每</w:t>
      </w:r>
      <w:r>
        <w:rPr>
          <w:rFonts w:hint="eastAsia" w:ascii="宋体" w:hAnsi="Times New Roman" w:eastAsia="宋体" w:cs="Times New Roman"/>
          <w:sz w:val="21"/>
          <w:lang w:val="en-US" w:eastAsia="zh-CN" w:bidi="ar-SA"/>
        </w:rPr>
        <w:t>2000 m~3000 m</w:t>
      </w:r>
      <w:r>
        <w:rPr>
          <w:rFonts w:hint="eastAsia"/>
        </w:rPr>
        <w:t>设置一座驿站，驿站内宜设有售卖、休憩、公厕等设施</w:t>
      </w:r>
      <w:r>
        <w:t>；</w:t>
      </w:r>
    </w:p>
    <w:p>
      <w:pPr>
        <w:pStyle w:val="176"/>
      </w:pPr>
      <w:r>
        <w:rPr>
          <w:rFonts w:hint="eastAsia"/>
        </w:rPr>
        <w:t>水上码头宜设置在水面较宽阔、水流较平缓处，与陆上接驳车站的距离宜小于</w:t>
      </w:r>
      <w:r>
        <w:rPr>
          <w:rFonts w:hint="eastAsia" w:ascii="宋体" w:hAnsi="Times New Roman" w:eastAsia="宋体" w:cs="Times New Roman"/>
          <w:sz w:val="21"/>
          <w:lang w:val="en-US" w:eastAsia="zh-CN" w:bidi="ar-SA"/>
        </w:rPr>
        <w:t>500 m</w:t>
      </w:r>
      <w:r>
        <w:rPr>
          <w:rFonts w:hint="eastAsia"/>
        </w:rPr>
        <w:t>，并满足水上交通和陆上交通的换乘需求；</w:t>
      </w:r>
    </w:p>
    <w:p>
      <w:pPr>
        <w:pStyle w:val="176"/>
      </w:pPr>
      <w:r>
        <w:t>公</w:t>
      </w:r>
      <w:r>
        <w:rPr>
          <w:rFonts w:hint="eastAsia"/>
        </w:rPr>
        <w:t>厕宜布置在交通便利、游客密集的场所，外观应与周边环境相协调，宜增加提供河道管养维护所需的设备工具存放空间。污水应设置处理措施达标排放或接入市政污水管网，禁止直接排放至水体</w:t>
      </w:r>
      <w:r>
        <w:t>；</w:t>
      </w:r>
    </w:p>
    <w:p>
      <w:pPr>
        <w:pStyle w:val="176"/>
      </w:pPr>
      <w:r>
        <w:t>公</w:t>
      </w:r>
      <w:r>
        <w:rPr>
          <w:rFonts w:hint="eastAsia"/>
        </w:rPr>
        <w:t>共服务设施宜结合水榭、景亭、楼阁、观景塔等形式设置。</w:t>
      </w:r>
    </w:p>
    <w:p>
      <w:pPr>
        <w:pStyle w:val="167"/>
      </w:pPr>
      <w:r>
        <w:rPr>
          <w:rFonts w:hint="eastAsia" w:ascii="Times New Roman"/>
          <w:szCs w:val="21"/>
        </w:rPr>
        <w:t>桥梁设计应满足桥体本身造景、驻足观景、交通、空间布局、视线引导、人流集散、通航、行洪等要求。人行桥梁的栏杆高度不应低于</w:t>
      </w:r>
      <w:r>
        <w:rPr>
          <w:rFonts w:hint="eastAsia" w:ascii="宋体" w:hAnsi="Times New Roman" w:eastAsia="宋体" w:cs="Times New Roman"/>
          <w:sz w:val="21"/>
          <w:lang w:val="en-US" w:eastAsia="zh-CN" w:bidi="ar-SA"/>
        </w:rPr>
        <w:t>1.1 m，</w:t>
      </w:r>
      <w:r>
        <w:rPr>
          <w:rFonts w:hint="eastAsia" w:ascii="Times New Roman"/>
          <w:szCs w:val="21"/>
        </w:rPr>
        <w:t>有非机动车通行需求的桥梁，栏杆高度不低于</w:t>
      </w:r>
      <w:r>
        <w:rPr>
          <w:rFonts w:hint="eastAsia" w:ascii="宋体" w:hAnsi="Times New Roman" w:eastAsia="宋体" w:cs="Times New Roman"/>
          <w:sz w:val="21"/>
          <w:lang w:val="en-US" w:eastAsia="zh-CN" w:bidi="ar-SA"/>
        </w:rPr>
        <w:t>1.4 m。</w:t>
      </w:r>
      <w:r>
        <w:rPr>
          <w:rFonts w:hint="eastAsia" w:ascii="Times New Roman"/>
          <w:szCs w:val="21"/>
        </w:rPr>
        <w:t>竖直杆件净距不应大于</w:t>
      </w:r>
      <w:r>
        <w:rPr>
          <w:rFonts w:hint="eastAsia" w:ascii="宋体" w:hAnsi="Times New Roman" w:eastAsia="宋体" w:cs="Times New Roman"/>
          <w:sz w:val="21"/>
          <w:lang w:val="en-US" w:eastAsia="zh-CN" w:bidi="ar-SA"/>
        </w:rPr>
        <w:t>0.11 m。</w:t>
      </w:r>
      <w:r>
        <w:rPr>
          <w:rFonts w:hint="eastAsia" w:ascii="Times New Roman"/>
          <w:szCs w:val="21"/>
        </w:rPr>
        <w:t>人行栏杆竖向荷载不应小于</w:t>
      </w:r>
      <w:r>
        <w:rPr>
          <w:rFonts w:hint="eastAsia" w:ascii="宋体" w:hAnsi="Times New Roman" w:eastAsia="宋体" w:cs="Times New Roman"/>
          <w:sz w:val="21"/>
          <w:lang w:val="en-US" w:eastAsia="zh-CN" w:bidi="ar-SA"/>
        </w:rPr>
        <w:t>1.2 kN/m</w:t>
      </w:r>
      <w:r>
        <w:rPr>
          <w:rFonts w:hint="eastAsia" w:ascii="Times New Roman"/>
          <w:szCs w:val="21"/>
        </w:rPr>
        <w:t>，水平荷载不应小于</w:t>
      </w:r>
      <w:r>
        <w:rPr>
          <w:rFonts w:hint="eastAsia" w:ascii="宋体" w:hAnsi="Times New Roman" w:eastAsia="宋体" w:cs="Times New Roman"/>
          <w:sz w:val="21"/>
          <w:lang w:val="en-US" w:eastAsia="zh-CN" w:bidi="ar-SA"/>
        </w:rPr>
        <w:t xml:space="preserve">2.5 </w:t>
      </w:r>
      <w:r>
        <w:rPr>
          <w:rFonts w:hint="eastAsia" w:ascii="宋体" w:hAnsi="Times New Roman" w:eastAsia="宋体" w:cs="Times New Roman"/>
          <w:sz w:val="21"/>
          <w:lang w:val="en-US" w:eastAsia="zh-CN" w:bidi="ar-SA"/>
        </w:rPr>
        <w:t>kN/m</w:t>
      </w:r>
      <w:r>
        <w:rPr>
          <w:rFonts w:hint="eastAsia" w:ascii="Times New Roman"/>
          <w:szCs w:val="21"/>
        </w:rPr>
        <w:t>，两者应分别计算且不应与其他可变作用叠加。</w:t>
      </w:r>
    </w:p>
    <w:p>
      <w:pPr>
        <w:pStyle w:val="167"/>
      </w:pPr>
      <w:r>
        <w:rPr>
          <w:rFonts w:ascii="Times New Roman"/>
          <w:szCs w:val="21"/>
        </w:rPr>
        <w:t>亲</w:t>
      </w:r>
      <w:r>
        <w:rPr>
          <w:rFonts w:hint="eastAsia" w:ascii="Times New Roman"/>
          <w:szCs w:val="21"/>
        </w:rPr>
        <w:t>水平台、亲水台阶、亲水栈道和亲水步道符合下列规定：</w:t>
      </w:r>
    </w:p>
    <w:p>
      <w:pPr>
        <w:pStyle w:val="176"/>
        <w:numPr>
          <w:ilvl w:val="0"/>
          <w:numId w:val="51"/>
        </w:numPr>
      </w:pPr>
      <w:r>
        <w:rPr>
          <w:rFonts w:hint="eastAsia"/>
        </w:rPr>
        <w:t>常水位变幅小于0.5 m的河段，宜布置亲水平台、栈道、步道；常水位变幅在</w:t>
      </w:r>
      <w:r>
        <w:rPr>
          <w:rFonts w:hint="eastAsia" w:ascii="宋体" w:hAnsi="Times New Roman" w:eastAsia="宋体" w:cs="Times New Roman"/>
          <w:sz w:val="21"/>
          <w:lang w:val="en-US" w:eastAsia="zh-CN" w:bidi="ar-SA"/>
        </w:rPr>
        <w:t>0.5 m~2.0 m</w:t>
      </w:r>
      <w:r>
        <w:rPr>
          <w:rFonts w:hint="eastAsia"/>
        </w:rPr>
        <w:t>的河段，宜布置亲水台阶；</w:t>
      </w:r>
    </w:p>
    <w:p>
      <w:pPr>
        <w:pStyle w:val="176"/>
      </w:pPr>
      <w:r>
        <w:rPr>
          <w:rFonts w:hint="eastAsia"/>
        </w:rPr>
        <w:t>设计应充分考虑亲水过程中的安全因素并符合相关规范，不应影响河道行洪安全；</w:t>
      </w:r>
    </w:p>
    <w:p>
      <w:pPr>
        <w:pStyle w:val="107"/>
        <w:spacing w:before="156" w:after="156"/>
        <w:rPr>
          <w:szCs w:val="21"/>
        </w:rPr>
      </w:pPr>
      <w:bookmarkStart w:id="201" w:name="_Toc120269010"/>
      <w:r>
        <w:rPr>
          <w:rFonts w:hint="eastAsia"/>
          <w:szCs w:val="21"/>
        </w:rPr>
        <w:t>景观照明</w:t>
      </w:r>
      <w:r>
        <w:rPr>
          <w:szCs w:val="21"/>
        </w:rPr>
        <w:t>设计</w:t>
      </w:r>
      <w:bookmarkEnd w:id="201"/>
    </w:p>
    <w:p>
      <w:pPr>
        <w:pStyle w:val="167"/>
      </w:pPr>
      <w:r>
        <w:rPr>
          <w:rFonts w:hint="eastAsia" w:ascii="Times New Roman"/>
          <w:szCs w:val="21"/>
        </w:rPr>
        <w:t>坡道、台阶、高差处和亲水平台、栈道等应设置合适的照明设施，保证夜间游人安全。</w:t>
      </w:r>
    </w:p>
    <w:p>
      <w:pPr>
        <w:pStyle w:val="167"/>
      </w:pPr>
      <w:r>
        <w:rPr>
          <w:rFonts w:hint="eastAsia" w:ascii="Times New Roman"/>
          <w:szCs w:val="21"/>
        </w:rPr>
        <w:t>水景照明设计符合下列规定：</w:t>
      </w:r>
    </w:p>
    <w:p>
      <w:pPr>
        <w:pStyle w:val="176"/>
        <w:numPr>
          <w:ilvl w:val="0"/>
          <w:numId w:val="52"/>
        </w:numPr>
      </w:pPr>
      <w:r>
        <w:rPr>
          <w:rFonts w:hint="eastAsia"/>
        </w:rPr>
        <w:t>宜展现景观喷泉、水系的轮廓形象和水生植物等；</w:t>
      </w:r>
    </w:p>
    <w:p>
      <w:pPr>
        <w:pStyle w:val="176"/>
      </w:pPr>
      <w:r>
        <w:rPr>
          <w:rFonts w:hint="eastAsia"/>
        </w:rPr>
        <w:t>允许下人的水景照明灯</w:t>
      </w:r>
      <w:r>
        <w:rPr>
          <w:rFonts w:hint="eastAsia" w:ascii="宋体" w:hAnsi="Times New Roman" w:eastAsia="宋体" w:cs="Times New Roman"/>
          <w:sz w:val="21"/>
          <w:lang w:val="en-US" w:eastAsia="zh-CN" w:bidi="ar-SA"/>
        </w:rPr>
        <w:t>具应采用直流12 V及以下电压</w:t>
      </w:r>
      <w:r>
        <w:rPr>
          <w:rFonts w:hint="eastAsia"/>
        </w:rPr>
        <w:t>供电，并做好水景区域局部等电位联结；不下人的水景照明灯具宜采用直流</w:t>
      </w:r>
      <w:r>
        <w:rPr>
          <w:rFonts w:hint="eastAsia" w:ascii="宋体" w:hAnsi="Times New Roman" w:eastAsia="宋体" w:cs="Times New Roman"/>
          <w:sz w:val="21"/>
          <w:lang w:val="en-US" w:eastAsia="zh-CN" w:bidi="ar-SA"/>
        </w:rPr>
        <w:t>24 V</w:t>
      </w:r>
      <w:r>
        <w:rPr>
          <w:rFonts w:hint="eastAsia"/>
        </w:rPr>
        <w:t>安全供电。</w:t>
      </w:r>
    </w:p>
    <w:p>
      <w:pPr>
        <w:pStyle w:val="167"/>
      </w:pPr>
      <w:r>
        <w:rPr>
          <w:rFonts w:hint="eastAsia" w:ascii="Times New Roman"/>
          <w:szCs w:val="21"/>
        </w:rPr>
        <w:t>景观建（构）筑物照明应考虑对白天景观的影响，灯具应易于隐蔽；当隐蔽困难时，应使照明设施的形状、尺度和颜色与环境相协调。</w:t>
      </w:r>
    </w:p>
    <w:p>
      <w:pPr>
        <w:pStyle w:val="167"/>
      </w:pPr>
      <w:r>
        <w:rPr>
          <w:rFonts w:hint="eastAsia" w:ascii="Times New Roman"/>
          <w:szCs w:val="21"/>
        </w:rPr>
        <w:t>驳岸、桥梁照明应主要表现出其线性外形，宜以线条灯为主要照明灯具表现直立面，并表现出柱子、桥腹等重要部位。</w:t>
      </w:r>
    </w:p>
    <w:p>
      <w:pPr>
        <w:pStyle w:val="106"/>
        <w:spacing w:before="312" w:after="312"/>
        <w:rPr>
          <w:szCs w:val="21"/>
        </w:rPr>
      </w:pPr>
      <w:bookmarkStart w:id="202" w:name="_Toc120269011"/>
      <w:r>
        <w:rPr>
          <w:szCs w:val="21"/>
        </w:rPr>
        <w:t>水智慧</w:t>
      </w:r>
      <w:r>
        <w:rPr>
          <w:rFonts w:hint="eastAsia"/>
          <w:szCs w:val="21"/>
        </w:rPr>
        <w:t>平台</w:t>
      </w:r>
      <w:bookmarkEnd w:id="202"/>
    </w:p>
    <w:p>
      <w:pPr>
        <w:pStyle w:val="107"/>
        <w:spacing w:before="156" w:after="156"/>
        <w:rPr>
          <w:szCs w:val="21"/>
        </w:rPr>
      </w:pPr>
      <w:bookmarkStart w:id="203" w:name="_Toc120269012"/>
      <w:r>
        <w:rPr>
          <w:rFonts w:hint="eastAsia"/>
          <w:szCs w:val="21"/>
        </w:rPr>
        <w:t>一般规定</w:t>
      </w:r>
      <w:bookmarkEnd w:id="203"/>
    </w:p>
    <w:p>
      <w:pPr>
        <w:pStyle w:val="167"/>
      </w:pPr>
      <w:r>
        <w:rPr>
          <w:rFonts w:hint="eastAsia" w:ascii="Times New Roman"/>
          <w:szCs w:val="21"/>
        </w:rPr>
        <w:t>城市河道水智慧平台建设层次应根据智慧城市建设要求、城市河道管理需要和水环境治理水平等因素综合确定，应为水智慧应用系统提供数据、服务、可视化等支撑能力。</w:t>
      </w:r>
    </w:p>
    <w:p>
      <w:pPr>
        <w:pStyle w:val="167"/>
      </w:pPr>
      <w:r>
        <w:rPr>
          <w:rFonts w:hint="eastAsia" w:ascii="Times New Roman"/>
          <w:szCs w:val="21"/>
        </w:rPr>
        <w:t>城市河道水智慧平台框架应由物联层、数据层、信息展示、网络安全等部分组成。</w:t>
      </w:r>
    </w:p>
    <w:p>
      <w:pPr>
        <w:pStyle w:val="167"/>
      </w:pPr>
      <w:r>
        <w:rPr>
          <w:rFonts w:hint="eastAsia" w:ascii="Times New Roman"/>
          <w:szCs w:val="21"/>
        </w:rPr>
        <w:t>水</w:t>
      </w:r>
      <w:bookmarkStart w:id="204" w:name="_Hlk114701644"/>
      <w:r>
        <w:rPr>
          <w:rFonts w:hint="eastAsia" w:ascii="Times New Roman"/>
          <w:szCs w:val="21"/>
        </w:rPr>
        <w:t>智慧平台</w:t>
      </w:r>
      <w:r>
        <w:rPr>
          <w:rFonts w:hint="eastAsia" w:ascii="宋体" w:hAnsi="Times New Roman" w:eastAsia="宋体" w:cs="Times New Roman"/>
          <w:sz w:val="21"/>
          <w:lang w:val="en-US" w:eastAsia="zh-CN" w:bidi="ar-SA"/>
        </w:rPr>
        <w:t>在网络安全方面应符合《信息安全技术 网络安全等级保护基本要求》GB/T 22239、《信息技术 安全技术 信息安全管理体系 要求》GB/T 22080、《公共安全视频监控联网信息安全技术要求》GB 35114的相关</w:t>
      </w:r>
      <w:r>
        <w:rPr>
          <w:rFonts w:hint="eastAsia" w:ascii="Times New Roman"/>
          <w:szCs w:val="21"/>
        </w:rPr>
        <w:t>规定。</w:t>
      </w:r>
      <w:bookmarkEnd w:id="204"/>
    </w:p>
    <w:p>
      <w:pPr>
        <w:pStyle w:val="107"/>
        <w:spacing w:before="156" w:after="156"/>
        <w:rPr>
          <w:szCs w:val="21"/>
        </w:rPr>
      </w:pPr>
      <w:bookmarkStart w:id="205" w:name="_Toc120269013"/>
      <w:r>
        <w:rPr>
          <w:rFonts w:hint="eastAsia"/>
          <w:szCs w:val="21"/>
        </w:rPr>
        <w:t>物联层</w:t>
      </w:r>
      <w:bookmarkEnd w:id="205"/>
    </w:p>
    <w:p>
      <w:pPr>
        <w:pStyle w:val="167"/>
      </w:pPr>
      <w:r>
        <w:rPr>
          <w:rFonts w:hint="eastAsia" w:ascii="Times New Roman"/>
          <w:szCs w:val="21"/>
        </w:rPr>
        <w:t>物联层宜包含基于智能物联网的在线监控系统和移动监测、遥感监测设备等。</w:t>
      </w:r>
    </w:p>
    <w:p>
      <w:pPr>
        <w:pStyle w:val="167"/>
      </w:pPr>
      <w:r>
        <w:rPr>
          <w:rFonts w:hint="eastAsia" w:ascii="Times New Roman"/>
          <w:szCs w:val="21"/>
        </w:rPr>
        <w:t>监测断面应能反映水环境质量状况及水文特征，可根据河道水系、行政区域以及水功能区划分来设置监测断面，符合下列规定：</w:t>
      </w:r>
    </w:p>
    <w:p>
      <w:pPr>
        <w:pStyle w:val="176"/>
        <w:numPr>
          <w:ilvl w:val="0"/>
          <w:numId w:val="53"/>
        </w:numPr>
      </w:pPr>
      <w:r>
        <w:rPr>
          <w:rFonts w:hint="eastAsia"/>
        </w:rPr>
        <w:t>宜对流域（水系）设置背景断面、控制断面（若干）和入海口断面；</w:t>
      </w:r>
    </w:p>
    <w:p>
      <w:pPr>
        <w:pStyle w:val="176"/>
      </w:pPr>
      <w:r>
        <w:rPr>
          <w:rFonts w:hint="eastAsia"/>
        </w:rPr>
        <w:t>可对行政区域设置背景断面（对水系源头）、入境断面（对过境河流）、对照断面、控制断面、入海口断面和出境断面；</w:t>
      </w:r>
    </w:p>
    <w:p>
      <w:pPr>
        <w:pStyle w:val="176"/>
      </w:pPr>
      <w:r>
        <w:rPr>
          <w:rFonts w:hint="eastAsia"/>
        </w:rPr>
        <w:t>宜根据水体功能区设置控制监测断面，同一水体功能区应至少设置1个监测断面。</w:t>
      </w:r>
    </w:p>
    <w:p>
      <w:pPr>
        <w:pStyle w:val="167"/>
      </w:pPr>
      <w:r>
        <w:rPr>
          <w:rFonts w:hint="eastAsia" w:ascii="Times New Roman"/>
          <w:szCs w:val="21"/>
        </w:rPr>
        <w:t>监控系统应根据城市河道等级和管理需要，设置监测站点。监测站点宜包括水雨情自动监测站、水质自动监测站、视频监控站、排口监测点和相关水利、景观等工程设施监控。</w:t>
      </w:r>
    </w:p>
    <w:p>
      <w:pPr>
        <w:pStyle w:val="167"/>
      </w:pPr>
      <w:r>
        <w:rPr>
          <w:rFonts w:hint="eastAsia" w:ascii="Times New Roman"/>
          <w:szCs w:val="21"/>
        </w:rPr>
        <w:t>水质监测的必测项目和</w:t>
      </w:r>
      <w:r>
        <w:rPr>
          <w:rFonts w:hint="eastAsia" w:ascii="宋体" w:hAnsi="Times New Roman" w:eastAsia="宋体" w:cs="Times New Roman"/>
          <w:sz w:val="21"/>
          <w:lang w:val="en-US" w:eastAsia="zh-CN" w:bidi="ar-SA"/>
        </w:rPr>
        <w:t>选测项目应符合《地表水和污水监测技术规范》HJ/T 91、《地表水环境质量监测技术规范》HJ 91.2和《地表水自动监测技术规范（试行）》HJ 915的相关</w:t>
      </w:r>
      <w:r>
        <w:rPr>
          <w:rFonts w:hint="eastAsia" w:ascii="Times New Roman"/>
          <w:szCs w:val="21"/>
        </w:rPr>
        <w:t>规定。</w:t>
      </w:r>
    </w:p>
    <w:p>
      <w:pPr>
        <w:pStyle w:val="167"/>
      </w:pPr>
      <w:r>
        <w:rPr>
          <w:rFonts w:hint="eastAsia" w:ascii="Times New Roman"/>
          <w:szCs w:val="21"/>
        </w:rPr>
        <w:t>通信传输符合下列规定：</w:t>
      </w:r>
    </w:p>
    <w:p>
      <w:pPr>
        <w:pStyle w:val="176"/>
        <w:numPr>
          <w:ilvl w:val="0"/>
          <w:numId w:val="54"/>
        </w:numPr>
      </w:pPr>
      <w:r>
        <w:rPr>
          <w:rFonts w:hint="eastAsia"/>
        </w:rPr>
        <w:t>有线传输应支持不同场景对传输要求的能力，包括但不限于核心网、IP城域网、分组传送网等应用范围；</w:t>
      </w:r>
    </w:p>
    <w:p>
      <w:pPr>
        <w:pStyle w:val="176"/>
      </w:pPr>
      <w:r>
        <w:rPr>
          <w:rFonts w:hint="eastAsia"/>
        </w:rPr>
        <w:t>宽带无线传输应支持不同流量等级的区分，支持5G及后续无线网络演进；</w:t>
      </w:r>
    </w:p>
    <w:p>
      <w:pPr>
        <w:pStyle w:val="176"/>
      </w:pPr>
      <w:r>
        <w:rPr>
          <w:rFonts w:hint="eastAsia"/>
        </w:rPr>
        <w:t>窄带无</w:t>
      </w:r>
      <w:r>
        <w:rPr>
          <w:rFonts w:hint="eastAsia" w:ascii="宋体" w:hAnsi="Times New Roman" w:eastAsia="宋体" w:cs="Times New Roman"/>
          <w:sz w:val="21"/>
          <w:lang w:val="en-US" w:eastAsia="zh-CN" w:bidi="ar-SA"/>
        </w:rPr>
        <w:t>线传输应支持SNMP、CMIP、CORBA等多种网络管理协议，并支持不同协</w:t>
      </w:r>
      <w:r>
        <w:rPr>
          <w:rFonts w:hint="eastAsia"/>
        </w:rPr>
        <w:t>议间的切换。</w:t>
      </w:r>
    </w:p>
    <w:p>
      <w:pPr>
        <w:pStyle w:val="107"/>
        <w:spacing w:before="156" w:after="156"/>
        <w:rPr>
          <w:szCs w:val="21"/>
        </w:rPr>
      </w:pPr>
      <w:bookmarkStart w:id="206" w:name="_Toc120269014"/>
      <w:r>
        <w:rPr>
          <w:rFonts w:hint="eastAsia"/>
          <w:szCs w:val="21"/>
        </w:rPr>
        <w:t>数据层</w:t>
      </w:r>
      <w:bookmarkEnd w:id="206"/>
    </w:p>
    <w:p>
      <w:pPr>
        <w:pStyle w:val="167"/>
      </w:pPr>
      <w:r>
        <w:rPr>
          <w:rFonts w:hint="eastAsia" w:ascii="Times New Roman"/>
          <w:szCs w:val="21"/>
        </w:rPr>
        <w:t>数据层应对数据的采集、存储、处理、分析等进行全流程设计。</w:t>
      </w:r>
    </w:p>
    <w:p>
      <w:pPr>
        <w:pStyle w:val="167"/>
      </w:pPr>
      <w:r>
        <w:rPr>
          <w:rFonts w:hint="eastAsia" w:ascii="Times New Roman"/>
          <w:szCs w:val="21"/>
        </w:rPr>
        <w:t>数据采集符合下列规定：</w:t>
      </w:r>
    </w:p>
    <w:p>
      <w:pPr>
        <w:pStyle w:val="176"/>
        <w:numPr>
          <w:ilvl w:val="0"/>
          <w:numId w:val="55"/>
        </w:numPr>
      </w:pPr>
      <w:r>
        <w:rPr>
          <w:rFonts w:hint="eastAsia"/>
        </w:rPr>
        <w:t>应支持结构化数据和非结构化数据的采集；</w:t>
      </w:r>
    </w:p>
    <w:p>
      <w:pPr>
        <w:pStyle w:val="176"/>
      </w:pPr>
      <w:r>
        <w:rPr>
          <w:rFonts w:hint="eastAsia"/>
        </w:rPr>
        <w:t>应支持批量数据、准实时数据和实时数据的采集；</w:t>
      </w:r>
    </w:p>
    <w:p>
      <w:pPr>
        <w:pStyle w:val="176"/>
      </w:pPr>
      <w:r>
        <w:rPr>
          <w:rFonts w:hint="eastAsia"/>
        </w:rPr>
        <w:t>应支持提供任务调度接口，供第三方调度平台调用。</w:t>
      </w:r>
    </w:p>
    <w:p>
      <w:pPr>
        <w:pStyle w:val="167"/>
      </w:pPr>
      <w:r>
        <w:rPr>
          <w:rFonts w:hint="eastAsia" w:ascii="Times New Roman"/>
          <w:szCs w:val="21"/>
        </w:rPr>
        <w:t>数据存储符合下列规定：</w:t>
      </w:r>
    </w:p>
    <w:p>
      <w:pPr>
        <w:pStyle w:val="176"/>
        <w:numPr>
          <w:ilvl w:val="0"/>
          <w:numId w:val="56"/>
        </w:numPr>
      </w:pPr>
      <w:r>
        <w:rPr>
          <w:rFonts w:hint="eastAsia"/>
        </w:rPr>
        <w:t>应支持具备多种储存维度，包括但不限于KV型、关系型、文件型等，支持不同存储维度间数据的转换；</w:t>
      </w:r>
    </w:p>
    <w:p>
      <w:pPr>
        <w:pStyle w:val="176"/>
      </w:pPr>
      <w:r>
        <w:rPr>
          <w:rFonts w:hint="eastAsia"/>
        </w:rPr>
        <w:t>应支持数据仓库功能，提供结构化数据存储服务和基本的数据分析服务。</w:t>
      </w:r>
    </w:p>
    <w:p>
      <w:pPr>
        <w:pStyle w:val="167"/>
      </w:pPr>
      <w:r>
        <w:rPr>
          <w:rFonts w:hint="eastAsia" w:ascii="Times New Roman"/>
          <w:szCs w:val="21"/>
        </w:rPr>
        <w:t>数据处理符合下列规定：</w:t>
      </w:r>
    </w:p>
    <w:p>
      <w:pPr>
        <w:pStyle w:val="176"/>
        <w:numPr>
          <w:ilvl w:val="0"/>
          <w:numId w:val="57"/>
        </w:numPr>
      </w:pPr>
      <w:r>
        <w:rPr>
          <w:rFonts w:hint="eastAsia"/>
        </w:rPr>
        <w:t>应支持分布式数据处理，提供批量数据处理和实时流式数据处理能力；</w:t>
      </w:r>
    </w:p>
    <w:p>
      <w:pPr>
        <w:pStyle w:val="176"/>
      </w:pPr>
      <w:r>
        <w:rPr>
          <w:rFonts w:hint="eastAsia"/>
        </w:rPr>
        <w:t>应支持多种主流的数据处理计算框架，包括但不限于批量处理、交互查询、实时流、内存计算等。</w:t>
      </w:r>
    </w:p>
    <w:p>
      <w:pPr>
        <w:pStyle w:val="167"/>
      </w:pPr>
      <w:r>
        <w:rPr>
          <w:rFonts w:hint="eastAsia" w:ascii="Times New Roman"/>
          <w:szCs w:val="21"/>
        </w:rPr>
        <w:t>数据分析符合下列规定：</w:t>
      </w:r>
    </w:p>
    <w:p>
      <w:pPr>
        <w:pStyle w:val="176"/>
        <w:numPr>
          <w:ilvl w:val="0"/>
          <w:numId w:val="58"/>
        </w:numPr>
      </w:pPr>
      <w:r>
        <w:rPr>
          <w:rFonts w:hint="eastAsia"/>
        </w:rPr>
        <w:t>应提供多种数据分析能力，包括但不限于描述性分析、诊断性分析、预测性分析、因果性分析等；</w:t>
      </w:r>
    </w:p>
    <w:p>
      <w:pPr>
        <w:pStyle w:val="176"/>
      </w:pPr>
      <w:r>
        <w:rPr>
          <w:rFonts w:hint="eastAsia"/>
        </w:rPr>
        <w:t>应支持设备监测数据分析，包括但不限于设备监测密度分析、设备监测数据均值/极值统计、设备监测数据偏差分析、设备监测数据异常频率统计、设备监测数据趋势分析等。</w:t>
      </w:r>
    </w:p>
    <w:p>
      <w:pPr>
        <w:pStyle w:val="107"/>
        <w:spacing w:before="156" w:after="156"/>
      </w:pPr>
      <w:bookmarkStart w:id="207" w:name="_Toc120269015"/>
      <w:r>
        <w:rPr>
          <w:rFonts w:hint="eastAsia"/>
        </w:rPr>
        <w:t>信息展示</w:t>
      </w:r>
      <w:bookmarkEnd w:id="207"/>
    </w:p>
    <w:p>
      <w:pPr>
        <w:pStyle w:val="167"/>
      </w:pPr>
      <w:r>
        <w:rPr>
          <w:rFonts w:hint="eastAsia" w:ascii="Times New Roman"/>
          <w:szCs w:val="21"/>
        </w:rPr>
        <w:t>信息展示内容应包括但不限于监测数据综合监管、水质等数据分析情况、实时监控视频、预警告警、资产及设备状况展示等，符合下列规定：</w:t>
      </w:r>
    </w:p>
    <w:p>
      <w:pPr>
        <w:pStyle w:val="176"/>
        <w:numPr>
          <w:ilvl w:val="0"/>
          <w:numId w:val="59"/>
        </w:numPr>
      </w:pPr>
      <w:r>
        <w:rPr>
          <w:rFonts w:hint="eastAsia"/>
        </w:rPr>
        <w:t>指标的类别划分应按上一级包含下一级别设置，同一类别之间的指标能“相互独立、互无覆盖”；</w:t>
      </w:r>
    </w:p>
    <w:p>
      <w:pPr>
        <w:pStyle w:val="176"/>
      </w:pPr>
      <w:r>
        <w:rPr>
          <w:rFonts w:hint="eastAsia"/>
        </w:rPr>
        <w:t>指标应设置合理的值域取值范围，对超出范围的指标数据进行警告；</w:t>
      </w:r>
    </w:p>
    <w:p>
      <w:pPr>
        <w:pStyle w:val="176"/>
      </w:pPr>
      <w:r>
        <w:rPr>
          <w:rFonts w:hint="eastAsia"/>
        </w:rPr>
        <w:t>指标应有清晰的内容解释，便于理解指标的含义。</w:t>
      </w:r>
    </w:p>
    <w:p>
      <w:pPr>
        <w:pStyle w:val="167"/>
      </w:pPr>
      <w:r>
        <w:rPr>
          <w:rFonts w:hint="eastAsia" w:ascii="Times New Roman"/>
          <w:szCs w:val="21"/>
        </w:rPr>
        <w:t>智能预警与决策分析符合下列规定：</w:t>
      </w:r>
    </w:p>
    <w:p>
      <w:pPr>
        <w:pStyle w:val="176"/>
        <w:numPr>
          <w:ilvl w:val="0"/>
          <w:numId w:val="60"/>
        </w:numPr>
      </w:pPr>
      <w:r>
        <w:rPr>
          <w:rFonts w:hint="eastAsia"/>
        </w:rPr>
        <w:t>应对城市河道自然灾害、突发事故、公共卫生事件进行准确而及时地预警；</w:t>
      </w:r>
    </w:p>
    <w:p>
      <w:pPr>
        <w:pStyle w:val="176"/>
        <w:sectPr>
          <w:pgSz w:w="11906" w:h="16838"/>
          <w:pgMar w:top="1928" w:right="1134" w:bottom="1134" w:left="1134" w:header="1418" w:footer="1134" w:gutter="284"/>
          <w:pgNumType w:start="1"/>
          <w:cols w:space="425" w:num="1"/>
          <w:formProt w:val="0"/>
          <w:docGrid w:type="lines" w:linePitch="312" w:charSpace="0"/>
        </w:sectPr>
      </w:pPr>
      <w:r>
        <w:rPr>
          <w:rFonts w:hint="eastAsia"/>
        </w:rPr>
        <w:t>宜以监测数据为分析依据，以水质水动力模型分析为支撑，对污染物进行溯源和水污染事故等突发事件进行评估，将数据结果以可视化的方式呈现，提供辅助决策支持。</w:t>
      </w:r>
    </w:p>
    <w:bookmarkEnd w:id="24"/>
    <w:p>
      <w:pPr>
        <w:pStyle w:val="200"/>
        <w:rPr>
          <w:vanish w:val="0"/>
        </w:rPr>
      </w:pPr>
      <w:bookmarkStart w:id="208" w:name="BookMark5"/>
    </w:p>
    <w:p>
      <w:pPr>
        <w:pStyle w:val="201"/>
        <w:rPr>
          <w:vanish w:val="0"/>
        </w:rPr>
      </w:pPr>
    </w:p>
    <w:p>
      <w:pPr>
        <w:pStyle w:val="78"/>
        <w:spacing w:after="156"/>
      </w:pPr>
      <w:r>
        <w:br w:type="textWrapping"/>
      </w:r>
      <w:bookmarkStart w:id="209" w:name="_Toc120269016"/>
      <w:r>
        <w:rPr>
          <w:rFonts w:hint="eastAsia"/>
        </w:rPr>
        <w:t>（资料性）</w:t>
      </w:r>
      <w:r>
        <w:br w:type="textWrapping"/>
      </w:r>
      <w:r>
        <w:rPr>
          <w:rFonts w:hint="eastAsia"/>
        </w:rPr>
        <w:t>模型模拟与评估</w:t>
      </w:r>
      <w:bookmarkEnd w:id="209"/>
    </w:p>
    <w:p>
      <w:pPr>
        <w:pStyle w:val="80"/>
        <w:spacing w:before="156" w:after="156"/>
        <w:rPr>
          <w:szCs w:val="21"/>
        </w:rPr>
      </w:pPr>
      <w:bookmarkStart w:id="210" w:name="_Toc120269017"/>
      <w:r>
        <w:rPr>
          <w:rFonts w:hint="eastAsia" w:hAnsi="黑体"/>
          <w:szCs w:val="21"/>
        </w:rPr>
        <w:t>模</w:t>
      </w:r>
      <w:r>
        <w:rPr>
          <w:rFonts w:hint="eastAsia"/>
          <w:szCs w:val="21"/>
        </w:rPr>
        <w:t>型构建</w:t>
      </w:r>
      <w:bookmarkEnd w:id="210"/>
    </w:p>
    <w:p>
      <w:pPr>
        <w:pStyle w:val="214"/>
      </w:pPr>
      <w:r>
        <w:rPr>
          <w:rFonts w:hint="eastAsia"/>
          <w:szCs w:val="21"/>
        </w:rPr>
        <w:t>模型构建应根据河道整治目标确定，应包括水动力模型和水质模型。</w:t>
      </w:r>
    </w:p>
    <w:p>
      <w:pPr>
        <w:pStyle w:val="214"/>
      </w:pPr>
      <w:r>
        <w:rPr>
          <w:rFonts w:hint="eastAsia"/>
          <w:szCs w:val="21"/>
        </w:rPr>
        <w:t>评估时期应涵盖枯水期，兼顾丰水期和平水期。感潮河段应对潮期开展预测。若河道整治工程对河道内水生生物生长、繁殖有明显影响，应增加对应的预测时期。</w:t>
      </w:r>
    </w:p>
    <w:p>
      <w:pPr>
        <w:pStyle w:val="214"/>
      </w:pPr>
      <w:r>
        <w:rPr>
          <w:rFonts w:hint="eastAsia"/>
          <w:szCs w:val="21"/>
        </w:rPr>
        <w:t>城市河道水环境评估宜采用数学模型，数学模型不能达到模拟要求时宜结合物理模型进行对比分析。数学模型可根据河道类型、污染特征、水力学特征、水环境特点等条件选择。</w:t>
      </w:r>
    </w:p>
    <w:p>
      <w:pPr>
        <w:pStyle w:val="176"/>
        <w:numPr>
          <w:ilvl w:val="0"/>
          <w:numId w:val="61"/>
        </w:numPr>
      </w:pPr>
      <w:r>
        <w:rPr>
          <w:rFonts w:hint="eastAsia"/>
        </w:rPr>
        <w:t>水流恒定且排污稳定的河流可采用稳态模型，水流不恒定或排污不稳定的河流宜采用非稳态模型；</w:t>
      </w:r>
    </w:p>
    <w:p>
      <w:pPr>
        <w:pStyle w:val="176"/>
      </w:pPr>
      <w:r>
        <w:rPr>
          <w:rFonts w:hint="eastAsia"/>
        </w:rPr>
        <w:t>模型的维度应根据河流中污染物在断面的分布特征进行选择。</w:t>
      </w:r>
    </w:p>
    <w:p>
      <w:pPr>
        <w:pStyle w:val="214"/>
      </w:pPr>
      <w:r>
        <w:rPr>
          <w:rFonts w:hint="eastAsia"/>
          <w:szCs w:val="21"/>
        </w:rPr>
        <w:t>顺直、水流均匀且排污稳定的河流宜采用解析解模型。其他河流宜采用数值解模型。</w:t>
      </w:r>
    </w:p>
    <w:p>
      <w:pPr>
        <w:pStyle w:val="214"/>
      </w:pPr>
      <w:r>
        <w:rPr>
          <w:rFonts w:hint="eastAsia"/>
          <w:szCs w:val="21"/>
        </w:rPr>
        <w:t>模型边界条件可设置在有水文水质监测数据的位置。河流漫滩的季节性淹没可通过干湿边界的变化进行模拟，符合下列规定：</w:t>
      </w:r>
    </w:p>
    <w:p>
      <w:pPr>
        <w:pStyle w:val="176"/>
        <w:numPr>
          <w:ilvl w:val="0"/>
          <w:numId w:val="62"/>
        </w:numPr>
      </w:pPr>
      <w:r>
        <w:rPr>
          <w:rFonts w:hint="eastAsia"/>
        </w:rPr>
        <w:t>应选取河流枯水流量或最不利水位作为设计水文条件；</w:t>
      </w:r>
    </w:p>
    <w:p>
      <w:pPr>
        <w:pStyle w:val="176"/>
      </w:pPr>
      <w:r>
        <w:rPr>
          <w:rFonts w:hint="eastAsia"/>
        </w:rPr>
        <w:t>应考虑点源、面源和内源污染负荷，宜覆盖预测范围内所有污染源；</w:t>
      </w:r>
    </w:p>
    <w:p>
      <w:pPr>
        <w:pStyle w:val="176"/>
      </w:pPr>
      <w:r>
        <w:rPr>
          <w:rFonts w:hint="eastAsia"/>
        </w:rPr>
        <w:t>河道中有水工构筑物的，应获取水工构筑物的位置坐标、水工形态、断面形态，并对其运行状态影响的边界条件进行准确模拟。</w:t>
      </w:r>
    </w:p>
    <w:p>
      <w:pPr>
        <w:pStyle w:val="80"/>
        <w:spacing w:before="156" w:after="156"/>
      </w:pPr>
      <w:bookmarkStart w:id="211" w:name="_Toc120269018"/>
      <w:r>
        <w:rPr>
          <w:rFonts w:hint="eastAsia" w:hAnsi="黑体"/>
          <w:szCs w:val="21"/>
        </w:rPr>
        <w:t>参数率定和模型验证</w:t>
      </w:r>
      <w:bookmarkEnd w:id="211"/>
    </w:p>
    <w:p>
      <w:pPr>
        <w:pStyle w:val="214"/>
      </w:pPr>
      <w:r>
        <w:rPr>
          <w:rFonts w:hint="eastAsia"/>
          <w:szCs w:val="21"/>
        </w:rPr>
        <w:t>在模型参数确定后，宜通过模型计算结果与实测数据进行比较分析，验证模型的适用性、误差及精度。水动力模型各参数的相对误差不超过</w:t>
      </w:r>
      <w:r>
        <w:rPr>
          <w:rFonts w:hint="eastAsia" w:ascii="宋体" w:hAnsi="Times New Roman" w:eastAsia="宋体" w:cs="Times New Roman"/>
          <w:sz w:val="21"/>
          <w:lang w:val="en-US" w:eastAsia="zh-CN" w:bidi="ar-SA"/>
        </w:rPr>
        <w:t>30%，水质</w:t>
      </w:r>
      <w:r>
        <w:rPr>
          <w:rFonts w:hint="eastAsia"/>
          <w:szCs w:val="21"/>
        </w:rPr>
        <w:t>模型各参数的相对误差不超过40%，应采用与模型参数率定不同组的实测资料数据进行模型验证。</w:t>
      </w:r>
    </w:p>
    <w:p>
      <w:pPr>
        <w:pStyle w:val="214"/>
      </w:pPr>
      <w:r>
        <w:rPr>
          <w:rFonts w:hint="eastAsia"/>
          <w:szCs w:val="21"/>
        </w:rPr>
        <w:t>应对模型参数确定与模型验证的过程和误差结果进行分析说明，并以河宽、水深、流速、流量以及主要预测因子和评估因子的模拟结果作为分析依据。采用二维或三维模型时，应进行流场分析。</w:t>
      </w:r>
    </w:p>
    <w:p>
      <w:pPr>
        <w:pStyle w:val="80"/>
        <w:spacing w:before="156" w:after="156"/>
      </w:pPr>
      <w:bookmarkStart w:id="212" w:name="_Toc120269019"/>
      <w:r>
        <w:rPr>
          <w:rFonts w:hint="eastAsia" w:hAnsi="黑体"/>
          <w:szCs w:val="21"/>
        </w:rPr>
        <w:t>方案优化</w:t>
      </w:r>
      <w:bookmarkEnd w:id="212"/>
    </w:p>
    <w:p>
      <w:pPr>
        <w:pStyle w:val="214"/>
      </w:pPr>
      <w:r>
        <w:rPr>
          <w:rFonts w:hint="eastAsia"/>
          <w:szCs w:val="21"/>
        </w:rPr>
        <w:t>根据设计目标进行设计方案优化，设计方案应根据河道的时空尺度、地域条件、污染状况和功能要求等综合确定。</w:t>
      </w:r>
    </w:p>
    <w:p>
      <w:pPr>
        <w:pStyle w:val="214"/>
      </w:pPr>
      <w:r>
        <w:rPr>
          <w:rFonts w:hint="eastAsia"/>
          <w:szCs w:val="21"/>
        </w:rPr>
        <w:t>根据不同的整治目标，可在数学模型中模拟预测对应工况的整治工程见表</w:t>
      </w:r>
      <w:r>
        <w:rPr>
          <w:szCs w:val="21"/>
        </w:rPr>
        <w:t>A.1</w:t>
      </w:r>
      <w:r>
        <w:rPr>
          <w:rFonts w:hint="eastAsia"/>
          <w:szCs w:val="21"/>
        </w:rPr>
        <w:t>。</w:t>
      </w:r>
    </w:p>
    <w:p>
      <w:pPr>
        <w:pStyle w:val="79"/>
        <w:spacing w:before="156" w:after="156"/>
        <w:rPr>
          <w:rFonts w:ascii="Times New Roman"/>
          <w:kern w:val="2"/>
          <w:szCs w:val="21"/>
        </w:rPr>
      </w:pPr>
      <w:r>
        <w:rPr>
          <w:rFonts w:hAnsi="黑体"/>
          <w:kern w:val="2"/>
          <w:szCs w:val="21"/>
        </w:rPr>
        <w:t>不</w:t>
      </w:r>
      <w:r>
        <w:rPr>
          <w:rFonts w:ascii="Times New Roman"/>
          <w:kern w:val="2"/>
          <w:szCs w:val="21"/>
        </w:rPr>
        <w:t>同河道整治目标下数学模型可提供模拟预测的工程措施</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top w:val="single" w:color="auto" w:sz="8" w:space="0"/>
              <w:bottom w:val="single" w:color="auto" w:sz="8" w:space="0"/>
            </w:tcBorders>
            <w:shd w:val="clear" w:color="auto" w:fill="auto"/>
            <w:vAlign w:val="center"/>
          </w:tcPr>
          <w:p>
            <w:pPr>
              <w:snapToGrid w:val="0"/>
              <w:spacing w:line="240" w:lineRule="auto"/>
              <w:jc w:val="center"/>
              <w:rPr>
                <w:sz w:val="18"/>
                <w:szCs w:val="18"/>
              </w:rPr>
            </w:pPr>
            <w:r>
              <w:rPr>
                <w:rFonts w:hint="eastAsia"/>
                <w:sz w:val="18"/>
                <w:szCs w:val="18"/>
              </w:rPr>
              <w:t>工程类别</w:t>
            </w:r>
          </w:p>
        </w:tc>
        <w:tc>
          <w:tcPr>
            <w:tcW w:w="6792" w:type="dxa"/>
            <w:tcBorders>
              <w:top w:val="single" w:color="auto" w:sz="8" w:space="0"/>
              <w:bottom w:val="single" w:color="auto" w:sz="8" w:space="0"/>
            </w:tcBorders>
            <w:shd w:val="clear" w:color="auto" w:fill="auto"/>
            <w:vAlign w:val="center"/>
          </w:tcPr>
          <w:p>
            <w:pPr>
              <w:snapToGrid w:val="0"/>
              <w:spacing w:line="240" w:lineRule="auto"/>
              <w:jc w:val="center"/>
              <w:rPr>
                <w:sz w:val="18"/>
                <w:szCs w:val="18"/>
              </w:rPr>
            </w:pPr>
            <w:r>
              <w:rPr>
                <w:rFonts w:hint="eastAsia"/>
                <w:sz w:val="18"/>
                <w:szCs w:val="18"/>
              </w:rPr>
              <w:t>工程措施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snapToGrid w:val="0"/>
              <w:spacing w:line="240" w:lineRule="auto"/>
              <w:jc w:val="center"/>
              <w:rPr>
                <w:sz w:val="18"/>
                <w:szCs w:val="18"/>
              </w:rPr>
            </w:pPr>
            <w:r>
              <w:rPr>
                <w:rFonts w:hint="eastAsia"/>
                <w:sz w:val="18"/>
                <w:szCs w:val="18"/>
              </w:rPr>
              <w:t>水安全保障工程</w:t>
            </w:r>
          </w:p>
        </w:tc>
        <w:tc>
          <w:tcPr>
            <w:tcW w:w="6792" w:type="dxa"/>
            <w:tcBorders>
              <w:top w:val="single" w:color="auto" w:sz="8" w:space="0"/>
            </w:tcBorders>
            <w:shd w:val="clear" w:color="auto" w:fill="auto"/>
            <w:vAlign w:val="center"/>
          </w:tcPr>
          <w:p>
            <w:pPr>
              <w:snapToGrid w:val="0"/>
              <w:spacing w:line="240" w:lineRule="auto"/>
              <w:jc w:val="center"/>
              <w:rPr>
                <w:sz w:val="18"/>
                <w:szCs w:val="18"/>
              </w:rPr>
            </w:pPr>
            <w:r>
              <w:rPr>
                <w:rFonts w:hint="eastAsia"/>
                <w:sz w:val="18"/>
                <w:szCs w:val="18"/>
              </w:rPr>
              <w:t>拓浚工程、水系连通工程、生态补水工程、堤岸防护工程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vAlign w:val="center"/>
          </w:tcPr>
          <w:p>
            <w:pPr>
              <w:snapToGrid w:val="0"/>
              <w:spacing w:line="240" w:lineRule="auto"/>
              <w:jc w:val="center"/>
              <w:rPr>
                <w:sz w:val="18"/>
                <w:szCs w:val="18"/>
              </w:rPr>
            </w:pPr>
            <w:r>
              <w:rPr>
                <w:rFonts w:hint="eastAsia"/>
                <w:sz w:val="18"/>
                <w:szCs w:val="18"/>
              </w:rPr>
              <w:t>水污染防治工程</w:t>
            </w:r>
          </w:p>
        </w:tc>
        <w:tc>
          <w:tcPr>
            <w:tcW w:w="6792" w:type="dxa"/>
            <w:shd w:val="clear" w:color="auto" w:fill="auto"/>
            <w:vAlign w:val="center"/>
          </w:tcPr>
          <w:p>
            <w:pPr>
              <w:snapToGrid w:val="0"/>
              <w:spacing w:line="240" w:lineRule="auto"/>
              <w:jc w:val="center"/>
              <w:rPr>
                <w:sz w:val="18"/>
                <w:szCs w:val="18"/>
              </w:rPr>
            </w:pPr>
            <w:r>
              <w:rPr>
                <w:rFonts w:hint="eastAsia"/>
                <w:sz w:val="18"/>
                <w:szCs w:val="18"/>
              </w:rPr>
              <w:t>截污截流工程、人工湿地工程、河道清淤工程、海绵措施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vAlign w:val="center"/>
          </w:tcPr>
          <w:p>
            <w:pPr>
              <w:snapToGrid w:val="0"/>
              <w:spacing w:line="240" w:lineRule="auto"/>
              <w:jc w:val="center"/>
              <w:rPr>
                <w:sz w:val="18"/>
                <w:szCs w:val="18"/>
              </w:rPr>
            </w:pPr>
            <w:r>
              <w:rPr>
                <w:rFonts w:hint="eastAsia"/>
                <w:sz w:val="18"/>
                <w:szCs w:val="18"/>
              </w:rPr>
              <w:t>水生态修复工程</w:t>
            </w:r>
          </w:p>
        </w:tc>
        <w:tc>
          <w:tcPr>
            <w:tcW w:w="6792" w:type="dxa"/>
            <w:shd w:val="clear" w:color="auto" w:fill="auto"/>
            <w:vAlign w:val="center"/>
          </w:tcPr>
          <w:p>
            <w:pPr>
              <w:snapToGrid w:val="0"/>
              <w:spacing w:line="240" w:lineRule="auto"/>
              <w:jc w:val="center"/>
              <w:rPr>
                <w:sz w:val="18"/>
                <w:szCs w:val="18"/>
              </w:rPr>
            </w:pPr>
            <w:r>
              <w:rPr>
                <w:rFonts w:hint="eastAsia"/>
                <w:sz w:val="18"/>
                <w:szCs w:val="18"/>
              </w:rPr>
              <w:t>水系连通工程、生态补水工程、流量控制工程、地貌形态修复工程、岸线整治工程、生态驳岸工程、水工建（构）筑物调控工程</w:t>
            </w:r>
          </w:p>
        </w:tc>
      </w:tr>
    </w:tbl>
    <w:p>
      <w:pPr>
        <w:pStyle w:val="58"/>
        <w:spacing w:before="156" w:beforeLines="50" w:after="156" w:afterLines="50"/>
        <w:ind w:firstLine="0" w:firstLineChars="0"/>
        <w:jc w:val="center"/>
        <w:rPr>
          <w:rFonts w:ascii="黑体" w:hAnsi="黑体" w:eastAsia="黑体"/>
        </w:rPr>
      </w:pPr>
      <w:r>
        <w:rPr>
          <w:rFonts w:hint="eastAsia" w:ascii="黑体" w:hAnsi="黑体" w:eastAsia="黑体"/>
        </w:rPr>
        <w:t>表A.1  不同河道整治目标下数学模型可提供模拟预测的工程措施</w:t>
      </w:r>
      <w:r>
        <w:rPr>
          <w:rFonts w:hint="eastAsia" w:hAnsi="宋体"/>
        </w:rPr>
        <w:t>（续）</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blHeader/>
          <w:jc w:val="center"/>
        </w:trPr>
        <w:tc>
          <w:tcPr>
            <w:tcW w:w="2542" w:type="dxa"/>
            <w:shd w:val="clear" w:color="auto" w:fill="auto"/>
            <w:vAlign w:val="center"/>
          </w:tcPr>
          <w:p>
            <w:pPr>
              <w:snapToGrid w:val="0"/>
              <w:spacing w:line="240" w:lineRule="auto"/>
              <w:jc w:val="center"/>
              <w:rPr>
                <w:sz w:val="18"/>
                <w:szCs w:val="18"/>
              </w:rPr>
            </w:pPr>
            <w:r>
              <w:rPr>
                <w:rFonts w:hint="eastAsia"/>
                <w:sz w:val="18"/>
                <w:szCs w:val="18"/>
              </w:rPr>
              <w:t>工程类别</w:t>
            </w:r>
          </w:p>
        </w:tc>
        <w:tc>
          <w:tcPr>
            <w:tcW w:w="6792" w:type="dxa"/>
            <w:shd w:val="clear" w:color="auto" w:fill="auto"/>
            <w:vAlign w:val="center"/>
          </w:tcPr>
          <w:p>
            <w:pPr>
              <w:snapToGrid w:val="0"/>
              <w:spacing w:line="240" w:lineRule="auto"/>
              <w:jc w:val="center"/>
              <w:rPr>
                <w:sz w:val="18"/>
                <w:szCs w:val="18"/>
              </w:rPr>
            </w:pPr>
            <w:r>
              <w:rPr>
                <w:rFonts w:hint="eastAsia"/>
                <w:sz w:val="18"/>
                <w:szCs w:val="18"/>
              </w:rPr>
              <w:t>工程措施</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247" w:hRule="atLeast"/>
          <w:jc w:val="center"/>
        </w:trPr>
        <w:tc>
          <w:tcPr>
            <w:tcW w:w="2542" w:type="dxa"/>
            <w:shd w:val="clear" w:color="auto" w:fill="auto"/>
            <w:vAlign w:val="center"/>
          </w:tcPr>
          <w:p>
            <w:pPr>
              <w:snapToGrid w:val="0"/>
              <w:spacing w:line="240" w:lineRule="auto"/>
              <w:jc w:val="center"/>
              <w:rPr>
                <w:sz w:val="18"/>
                <w:szCs w:val="18"/>
              </w:rPr>
            </w:pPr>
            <w:r>
              <w:rPr>
                <w:rFonts w:hint="eastAsia"/>
                <w:sz w:val="18"/>
                <w:szCs w:val="18"/>
              </w:rPr>
              <w:t>水景观提升工程</w:t>
            </w:r>
          </w:p>
        </w:tc>
        <w:tc>
          <w:tcPr>
            <w:tcW w:w="6792" w:type="dxa"/>
            <w:shd w:val="clear" w:color="auto" w:fill="auto"/>
            <w:vAlign w:val="center"/>
          </w:tcPr>
          <w:p>
            <w:pPr>
              <w:snapToGrid w:val="0"/>
              <w:spacing w:line="240" w:lineRule="auto"/>
              <w:jc w:val="center"/>
              <w:rPr>
                <w:sz w:val="18"/>
                <w:szCs w:val="18"/>
              </w:rPr>
            </w:pPr>
            <w:r>
              <w:rPr>
                <w:rFonts w:hint="eastAsia"/>
                <w:sz w:val="18"/>
                <w:szCs w:val="18"/>
              </w:rPr>
              <w:t>岸线整治工程</w:t>
            </w:r>
          </w:p>
        </w:tc>
      </w:tr>
    </w:tbl>
    <w:p>
      <w:pPr>
        <w:pStyle w:val="214"/>
      </w:pPr>
      <w:r>
        <w:rPr>
          <w:rFonts w:hint="eastAsia"/>
          <w:szCs w:val="21"/>
        </w:rPr>
        <w:t>可使用数学模型预测提供方案的河道整治工程及其在模型中调整的变量见表</w:t>
      </w:r>
      <w:r>
        <w:rPr>
          <w:szCs w:val="21"/>
        </w:rPr>
        <w:t>A.2</w:t>
      </w:r>
      <w:r>
        <w:rPr>
          <w:rFonts w:hint="eastAsia"/>
          <w:szCs w:val="21"/>
        </w:rPr>
        <w:t>。</w:t>
      </w:r>
    </w:p>
    <w:p>
      <w:pPr>
        <w:pStyle w:val="79"/>
        <w:spacing w:before="156" w:after="156"/>
        <w:rPr>
          <w:rFonts w:ascii="Times New Roman"/>
          <w:kern w:val="2"/>
          <w:szCs w:val="21"/>
        </w:rPr>
      </w:pPr>
      <w:r>
        <w:rPr>
          <w:rFonts w:hint="eastAsia" w:ascii="Times New Roman"/>
          <w:kern w:val="2"/>
          <w:szCs w:val="21"/>
        </w:rPr>
        <w:t>河道整治措施和模型中应调整的变量</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227"/>
        <w:gridCol w:w="310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6227" w:type="dxa"/>
            <w:tcBorders>
              <w:top w:val="single" w:color="auto" w:sz="8" w:space="0"/>
              <w:bottom w:val="single" w:color="auto" w:sz="8" w:space="0"/>
            </w:tcBorders>
            <w:shd w:val="clear" w:color="auto" w:fill="auto"/>
            <w:vAlign w:val="center"/>
          </w:tcPr>
          <w:p>
            <w:pPr>
              <w:snapToGrid w:val="0"/>
              <w:spacing w:line="240" w:lineRule="auto"/>
              <w:jc w:val="center"/>
              <w:rPr>
                <w:sz w:val="18"/>
                <w:szCs w:val="18"/>
              </w:rPr>
            </w:pPr>
            <w:r>
              <w:rPr>
                <w:rFonts w:hint="eastAsia"/>
                <w:sz w:val="18"/>
                <w:szCs w:val="18"/>
              </w:rPr>
              <w:t>河道整治工程</w:t>
            </w:r>
          </w:p>
        </w:tc>
        <w:tc>
          <w:tcPr>
            <w:tcW w:w="3107" w:type="dxa"/>
            <w:tcBorders>
              <w:top w:val="single" w:color="auto" w:sz="8" w:space="0"/>
              <w:bottom w:val="single" w:color="auto" w:sz="8" w:space="0"/>
            </w:tcBorders>
            <w:shd w:val="clear" w:color="auto" w:fill="auto"/>
            <w:vAlign w:val="center"/>
          </w:tcPr>
          <w:p>
            <w:pPr>
              <w:snapToGrid w:val="0"/>
              <w:spacing w:line="240" w:lineRule="auto"/>
              <w:jc w:val="center"/>
              <w:rPr>
                <w:sz w:val="18"/>
                <w:szCs w:val="18"/>
              </w:rPr>
            </w:pPr>
            <w:r>
              <w:rPr>
                <w:rFonts w:hint="eastAsia"/>
                <w:sz w:val="18"/>
                <w:szCs w:val="18"/>
              </w:rPr>
              <w:t>模型中应调整的变量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227" w:type="dxa"/>
            <w:tcBorders>
              <w:top w:val="single" w:color="auto" w:sz="8" w:space="0"/>
            </w:tcBorders>
            <w:shd w:val="clear" w:color="auto" w:fill="auto"/>
            <w:vAlign w:val="center"/>
          </w:tcPr>
          <w:p>
            <w:pPr>
              <w:snapToGrid w:val="0"/>
              <w:spacing w:line="240" w:lineRule="auto"/>
              <w:jc w:val="center"/>
              <w:rPr>
                <w:sz w:val="18"/>
                <w:szCs w:val="18"/>
              </w:rPr>
            </w:pPr>
            <w:r>
              <w:rPr>
                <w:rFonts w:hint="eastAsia"/>
                <w:sz w:val="18"/>
                <w:szCs w:val="18"/>
              </w:rPr>
              <w:t>截污截流工程</w:t>
            </w:r>
          </w:p>
        </w:tc>
        <w:tc>
          <w:tcPr>
            <w:tcW w:w="3107" w:type="dxa"/>
            <w:tcBorders>
              <w:top w:val="single" w:color="auto" w:sz="8" w:space="0"/>
            </w:tcBorders>
            <w:shd w:val="clear" w:color="auto" w:fill="auto"/>
            <w:vAlign w:val="center"/>
          </w:tcPr>
          <w:p>
            <w:pPr>
              <w:snapToGrid w:val="0"/>
              <w:spacing w:line="240" w:lineRule="auto"/>
              <w:jc w:val="center"/>
              <w:rPr>
                <w:sz w:val="18"/>
                <w:szCs w:val="18"/>
              </w:rPr>
            </w:pPr>
            <w:r>
              <w:rPr>
                <w:rFonts w:hint="eastAsia"/>
                <w:sz w:val="18"/>
                <w:szCs w:val="18"/>
              </w:rPr>
              <w:t>水质边界条件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227" w:type="dxa"/>
            <w:shd w:val="clear" w:color="auto" w:fill="auto"/>
            <w:vAlign w:val="center"/>
          </w:tcPr>
          <w:p>
            <w:pPr>
              <w:snapToGrid w:val="0"/>
              <w:spacing w:line="240" w:lineRule="auto"/>
              <w:jc w:val="center"/>
              <w:rPr>
                <w:sz w:val="18"/>
                <w:szCs w:val="18"/>
              </w:rPr>
            </w:pPr>
            <w:r>
              <w:rPr>
                <w:rFonts w:hint="eastAsia"/>
                <w:sz w:val="18"/>
                <w:szCs w:val="18"/>
              </w:rPr>
              <w:t>人工湿地工程</w:t>
            </w:r>
          </w:p>
        </w:tc>
        <w:tc>
          <w:tcPr>
            <w:tcW w:w="3107" w:type="dxa"/>
            <w:shd w:val="clear" w:color="auto" w:fill="auto"/>
            <w:vAlign w:val="center"/>
          </w:tcPr>
          <w:p>
            <w:pPr>
              <w:snapToGrid w:val="0"/>
              <w:spacing w:line="240" w:lineRule="auto"/>
              <w:jc w:val="center"/>
              <w:rPr>
                <w:sz w:val="18"/>
                <w:szCs w:val="18"/>
              </w:rPr>
            </w:pPr>
            <w:r>
              <w:rPr>
                <w:rFonts w:hint="eastAsia"/>
                <w:sz w:val="18"/>
                <w:szCs w:val="18"/>
              </w:rPr>
              <w:t>污染物降解系数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227" w:type="dxa"/>
            <w:shd w:val="clear" w:color="auto" w:fill="auto"/>
            <w:vAlign w:val="center"/>
          </w:tcPr>
          <w:p>
            <w:pPr>
              <w:snapToGrid w:val="0"/>
              <w:spacing w:line="240" w:lineRule="auto"/>
              <w:jc w:val="center"/>
              <w:rPr>
                <w:sz w:val="18"/>
                <w:szCs w:val="18"/>
              </w:rPr>
            </w:pPr>
            <w:r>
              <w:rPr>
                <w:rFonts w:hint="eastAsia"/>
                <w:sz w:val="18"/>
                <w:szCs w:val="18"/>
              </w:rPr>
              <w:t>河道清淤工程、拓浚工程、岸线整治工程、地貌形态修复工程、水系连通工程</w:t>
            </w:r>
          </w:p>
        </w:tc>
        <w:tc>
          <w:tcPr>
            <w:tcW w:w="3107" w:type="dxa"/>
            <w:shd w:val="clear" w:color="auto" w:fill="auto"/>
            <w:vAlign w:val="center"/>
          </w:tcPr>
          <w:p>
            <w:pPr>
              <w:snapToGrid w:val="0"/>
              <w:spacing w:line="240" w:lineRule="auto"/>
              <w:jc w:val="center"/>
              <w:rPr>
                <w:sz w:val="18"/>
                <w:szCs w:val="18"/>
              </w:rPr>
            </w:pPr>
            <w:r>
              <w:rPr>
                <w:rFonts w:hint="eastAsia"/>
                <w:sz w:val="18"/>
                <w:szCs w:val="18"/>
              </w:rPr>
              <w:t>河深、河宽、床面高程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227" w:type="dxa"/>
            <w:shd w:val="clear" w:color="auto" w:fill="auto"/>
            <w:vAlign w:val="center"/>
          </w:tcPr>
          <w:p>
            <w:pPr>
              <w:snapToGrid w:val="0"/>
              <w:spacing w:line="240" w:lineRule="auto"/>
              <w:jc w:val="center"/>
              <w:rPr>
                <w:sz w:val="18"/>
                <w:szCs w:val="18"/>
              </w:rPr>
            </w:pPr>
            <w:r>
              <w:rPr>
                <w:rFonts w:hint="eastAsia"/>
                <w:sz w:val="18"/>
                <w:szCs w:val="18"/>
              </w:rPr>
              <w:t>生态补水工程</w:t>
            </w:r>
          </w:p>
        </w:tc>
        <w:tc>
          <w:tcPr>
            <w:tcW w:w="3107" w:type="dxa"/>
            <w:shd w:val="clear" w:color="auto" w:fill="auto"/>
            <w:vAlign w:val="center"/>
          </w:tcPr>
          <w:p>
            <w:pPr>
              <w:snapToGrid w:val="0"/>
              <w:spacing w:line="240" w:lineRule="auto"/>
              <w:jc w:val="center"/>
              <w:rPr>
                <w:sz w:val="18"/>
                <w:szCs w:val="18"/>
              </w:rPr>
            </w:pPr>
            <w:r>
              <w:rPr>
                <w:rFonts w:hint="eastAsia"/>
                <w:sz w:val="18"/>
                <w:szCs w:val="18"/>
              </w:rPr>
              <w:t>水动力、水质边界条件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227" w:type="dxa"/>
            <w:shd w:val="clear" w:color="auto" w:fill="auto"/>
            <w:vAlign w:val="center"/>
          </w:tcPr>
          <w:p>
            <w:pPr>
              <w:snapToGrid w:val="0"/>
              <w:spacing w:line="240" w:lineRule="auto"/>
              <w:jc w:val="center"/>
              <w:rPr>
                <w:sz w:val="18"/>
                <w:szCs w:val="18"/>
              </w:rPr>
            </w:pPr>
            <w:r>
              <w:rPr>
                <w:rFonts w:hint="eastAsia"/>
                <w:sz w:val="18"/>
                <w:szCs w:val="18"/>
              </w:rPr>
              <w:t>堤岸防护工程</w:t>
            </w:r>
          </w:p>
        </w:tc>
        <w:tc>
          <w:tcPr>
            <w:tcW w:w="3107" w:type="dxa"/>
            <w:shd w:val="clear" w:color="auto" w:fill="auto"/>
            <w:vAlign w:val="center"/>
          </w:tcPr>
          <w:p>
            <w:pPr>
              <w:snapToGrid w:val="0"/>
              <w:spacing w:line="240" w:lineRule="auto"/>
              <w:jc w:val="center"/>
              <w:rPr>
                <w:sz w:val="18"/>
                <w:szCs w:val="18"/>
              </w:rPr>
            </w:pPr>
            <w:r>
              <w:rPr>
                <w:rFonts w:hint="eastAsia"/>
                <w:sz w:val="18"/>
                <w:szCs w:val="18"/>
              </w:rPr>
              <w:t>水动力初始条件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227" w:type="dxa"/>
            <w:tcBorders>
              <w:bottom w:val="single" w:color="auto" w:sz="8" w:space="0"/>
            </w:tcBorders>
            <w:shd w:val="clear" w:color="auto" w:fill="auto"/>
            <w:vAlign w:val="center"/>
          </w:tcPr>
          <w:p>
            <w:pPr>
              <w:snapToGrid w:val="0"/>
              <w:spacing w:line="240" w:lineRule="auto"/>
              <w:jc w:val="center"/>
              <w:rPr>
                <w:sz w:val="18"/>
                <w:szCs w:val="18"/>
              </w:rPr>
            </w:pPr>
            <w:r>
              <w:rPr>
                <w:rFonts w:hint="eastAsia"/>
                <w:sz w:val="18"/>
                <w:szCs w:val="18"/>
              </w:rPr>
              <w:t>水工建（构）筑物调控工程</w:t>
            </w:r>
          </w:p>
        </w:tc>
        <w:tc>
          <w:tcPr>
            <w:tcW w:w="3107" w:type="dxa"/>
            <w:tcBorders>
              <w:bottom w:val="single" w:color="auto" w:sz="8" w:space="0"/>
            </w:tcBorders>
            <w:shd w:val="clear" w:color="auto" w:fill="auto"/>
            <w:vAlign w:val="center"/>
          </w:tcPr>
          <w:p>
            <w:pPr>
              <w:snapToGrid w:val="0"/>
              <w:spacing w:line="240" w:lineRule="auto"/>
              <w:jc w:val="center"/>
              <w:rPr>
                <w:sz w:val="18"/>
                <w:szCs w:val="18"/>
              </w:rPr>
            </w:pPr>
            <w:r>
              <w:rPr>
                <w:rFonts w:hint="eastAsia"/>
                <w:sz w:val="18"/>
                <w:szCs w:val="18"/>
              </w:rPr>
              <w:t>水工建（构）筑物控制的开闭条件</w:t>
            </w:r>
          </w:p>
        </w:tc>
      </w:tr>
    </w:tbl>
    <w:p>
      <w:pPr>
        <w:pStyle w:val="80"/>
        <w:spacing w:before="156" w:after="156"/>
      </w:pPr>
      <w:bookmarkStart w:id="213" w:name="_Toc120269020"/>
      <w:r>
        <w:rPr>
          <w:rFonts w:hint="eastAsia" w:hAnsi="黑体"/>
          <w:szCs w:val="21"/>
        </w:rPr>
        <w:t>效果预测</w:t>
      </w:r>
      <w:bookmarkEnd w:id="213"/>
    </w:p>
    <w:p>
      <w:pPr>
        <w:pStyle w:val="214"/>
      </w:pPr>
      <w:r>
        <w:rPr>
          <w:rFonts w:hint="eastAsia"/>
          <w:szCs w:val="21"/>
        </w:rPr>
        <w:t>工程效果预测时，应考虑水文条件设定（如：水文重现期、保证率）和工程实施前后水体水文特征变化对边界条件设定的影响。</w:t>
      </w:r>
    </w:p>
    <w:p>
      <w:pPr>
        <w:pStyle w:val="214"/>
      </w:pPr>
      <w:r>
        <w:rPr>
          <w:rFonts w:hint="eastAsia"/>
          <w:szCs w:val="21"/>
        </w:rPr>
        <w:t>模型的重点预测区域包括考核断面、常规监测断面、水环境敏感点、水质水量突变点等，应对上述关键区域的预测因子和评估因子模拟结果进行分析，并生成相关成果图表。</w:t>
      </w:r>
    </w:p>
    <w:p>
      <w:pPr>
        <w:pStyle w:val="80"/>
        <w:spacing w:before="156" w:after="156"/>
        <w:rPr>
          <w:rFonts w:hAnsi="黑体"/>
          <w:szCs w:val="21"/>
        </w:rPr>
      </w:pPr>
      <w:bookmarkStart w:id="214" w:name="_Toc120269021"/>
      <w:r>
        <w:rPr>
          <w:rFonts w:hint="eastAsia" w:hAnsi="黑体"/>
          <w:szCs w:val="21"/>
        </w:rPr>
        <w:t>应用评估</w:t>
      </w:r>
      <w:bookmarkEnd w:id="214"/>
    </w:p>
    <w:p>
      <w:pPr>
        <w:pStyle w:val="214"/>
      </w:pPr>
      <w:r>
        <w:rPr>
          <w:rFonts w:hint="eastAsia"/>
          <w:szCs w:val="21"/>
        </w:rPr>
        <w:t>应协调各项整治任务之间的关系，统筹确定最终的河道整治工程。根据河道整治的设计任务，评估不同方案下相关因子的模型预测结果，确保最终选取的河道整治工程实施后满足河道功能的要求。</w:t>
      </w:r>
    </w:p>
    <w:p>
      <w:pPr>
        <w:pStyle w:val="214"/>
      </w:pPr>
      <w:r>
        <w:rPr>
          <w:rFonts w:hint="eastAsia"/>
          <w:szCs w:val="21"/>
        </w:rPr>
        <w:t>根据河道整治工程在模型中实施的预测结果，应考虑工程成本，进一步优化工程设计方案及参数。</w:t>
      </w:r>
    </w:p>
    <w:p>
      <w:pPr>
        <w:pStyle w:val="200"/>
        <w:rPr>
          <w:vanish w:val="0"/>
        </w:rPr>
      </w:pPr>
    </w:p>
    <w:bookmarkEnd w:id="208"/>
    <w:p>
      <w:pPr>
        <w:pStyle w:val="201"/>
        <w:rPr>
          <w:vanish w:val="0"/>
        </w:rPr>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Bookman Old Style">
    <w:panose1 w:val="02050604050505020204"/>
    <w:charset w:val="00"/>
    <w:family w:val="auto"/>
    <w:pitch w:val="default"/>
    <w:sig w:usb0="00000287" w:usb1="00000000" w:usb2="00000000" w:usb3="00000000" w:csb0="2000009F" w:csb1="DFD70000"/>
  </w:font>
  <w:font w:name="Bahnschrift Light SemiCondensed">
    <w:panose1 w:val="020B0502040204020203"/>
    <w:charset w:val="00"/>
    <w:family w:val="auto"/>
    <w:pitch w:val="default"/>
    <w:sig w:usb0="A00002C7" w:usb1="00000002"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III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XX/T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710"/>
        </w:tabs>
        <w:ind w:left="710"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IzYTRhZmFjN2MyNGJjYjE5MDIwZmQ0YTA0MDY0OWMifQ=="/>
  </w:docVars>
  <w:rsids>
    <w:rsidRoot w:val="007144CE"/>
    <w:rsid w:val="0000040A"/>
    <w:rsid w:val="00000A94"/>
    <w:rsid w:val="00001972"/>
    <w:rsid w:val="00001D9A"/>
    <w:rsid w:val="00007B3A"/>
    <w:rsid w:val="00010503"/>
    <w:rsid w:val="000107E0"/>
    <w:rsid w:val="00011FDE"/>
    <w:rsid w:val="00012FFD"/>
    <w:rsid w:val="00014162"/>
    <w:rsid w:val="00014340"/>
    <w:rsid w:val="00016A9C"/>
    <w:rsid w:val="00022184"/>
    <w:rsid w:val="00022762"/>
    <w:rsid w:val="000238E0"/>
    <w:rsid w:val="000240C7"/>
    <w:rsid w:val="000249DB"/>
    <w:rsid w:val="0002595E"/>
    <w:rsid w:val="000303C3"/>
    <w:rsid w:val="000331D3"/>
    <w:rsid w:val="000346A5"/>
    <w:rsid w:val="000359C3"/>
    <w:rsid w:val="00035A7D"/>
    <w:rsid w:val="000365ED"/>
    <w:rsid w:val="0004154E"/>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4FF"/>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1977"/>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156B"/>
    <w:rsid w:val="001321C6"/>
    <w:rsid w:val="001325C4"/>
    <w:rsid w:val="00133010"/>
    <w:rsid w:val="001338EE"/>
    <w:rsid w:val="00133AAE"/>
    <w:rsid w:val="00135323"/>
    <w:rsid w:val="001356C4"/>
    <w:rsid w:val="00135A6B"/>
    <w:rsid w:val="001379AD"/>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5C83"/>
    <w:rsid w:val="001C680C"/>
    <w:rsid w:val="001C7FEA"/>
    <w:rsid w:val="001D0499"/>
    <w:rsid w:val="001D0BBE"/>
    <w:rsid w:val="001D0ED4"/>
    <w:rsid w:val="001D212F"/>
    <w:rsid w:val="001D29D7"/>
    <w:rsid w:val="001D2DE7"/>
    <w:rsid w:val="001D36D5"/>
    <w:rsid w:val="001D411C"/>
    <w:rsid w:val="001E1B6A"/>
    <w:rsid w:val="001E2484"/>
    <w:rsid w:val="001E3CC4"/>
    <w:rsid w:val="001E4882"/>
    <w:rsid w:val="001E500D"/>
    <w:rsid w:val="001E73AB"/>
    <w:rsid w:val="001F092D"/>
    <w:rsid w:val="001F143A"/>
    <w:rsid w:val="001F1605"/>
    <w:rsid w:val="001F2508"/>
    <w:rsid w:val="001F4816"/>
    <w:rsid w:val="001F4EE9"/>
    <w:rsid w:val="001F69B4"/>
    <w:rsid w:val="001F77C7"/>
    <w:rsid w:val="00200183"/>
    <w:rsid w:val="00200333"/>
    <w:rsid w:val="0020107D"/>
    <w:rsid w:val="00202A5A"/>
    <w:rsid w:val="00202AA4"/>
    <w:rsid w:val="002031F7"/>
    <w:rsid w:val="002040E6"/>
    <w:rsid w:val="0020527B"/>
    <w:rsid w:val="00205F2C"/>
    <w:rsid w:val="002070FF"/>
    <w:rsid w:val="00210B15"/>
    <w:rsid w:val="002142EA"/>
    <w:rsid w:val="002204BB"/>
    <w:rsid w:val="00221B79"/>
    <w:rsid w:val="00221C6B"/>
    <w:rsid w:val="002253A1"/>
    <w:rsid w:val="00225CF8"/>
    <w:rsid w:val="0022794E"/>
    <w:rsid w:val="002312D7"/>
    <w:rsid w:val="00231ED8"/>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25AB"/>
    <w:rsid w:val="00285170"/>
    <w:rsid w:val="00285361"/>
    <w:rsid w:val="00286C39"/>
    <w:rsid w:val="00292D60"/>
    <w:rsid w:val="00293AD4"/>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1BDF"/>
    <w:rsid w:val="002F30E0"/>
    <w:rsid w:val="002F35E4"/>
    <w:rsid w:val="002F3730"/>
    <w:rsid w:val="002F38E1"/>
    <w:rsid w:val="002F76DA"/>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581D"/>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740"/>
    <w:rsid w:val="003B5BF0"/>
    <w:rsid w:val="003B60BF"/>
    <w:rsid w:val="003B6BE3"/>
    <w:rsid w:val="003C010C"/>
    <w:rsid w:val="003C0A6C"/>
    <w:rsid w:val="003C14F8"/>
    <w:rsid w:val="003C5A43"/>
    <w:rsid w:val="003D0519"/>
    <w:rsid w:val="003D0FF6"/>
    <w:rsid w:val="003D1385"/>
    <w:rsid w:val="003D262C"/>
    <w:rsid w:val="003D6D61"/>
    <w:rsid w:val="003D78B6"/>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27A"/>
    <w:rsid w:val="00405884"/>
    <w:rsid w:val="00407D39"/>
    <w:rsid w:val="0041477A"/>
    <w:rsid w:val="004167A3"/>
    <w:rsid w:val="0043161C"/>
    <w:rsid w:val="00432DAA"/>
    <w:rsid w:val="00434305"/>
    <w:rsid w:val="00435DF7"/>
    <w:rsid w:val="0044083F"/>
    <w:rsid w:val="00441AE7"/>
    <w:rsid w:val="00445574"/>
    <w:rsid w:val="004467FB"/>
    <w:rsid w:val="00452D6B"/>
    <w:rsid w:val="00454484"/>
    <w:rsid w:val="0045517B"/>
    <w:rsid w:val="00463B77"/>
    <w:rsid w:val="00463C7B"/>
    <w:rsid w:val="00464251"/>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4290"/>
    <w:rsid w:val="004C1FBC"/>
    <w:rsid w:val="004C3F1D"/>
    <w:rsid w:val="004C458D"/>
    <w:rsid w:val="004C7556"/>
    <w:rsid w:val="004C7E8B"/>
    <w:rsid w:val="004C7E9D"/>
    <w:rsid w:val="004C7F67"/>
    <w:rsid w:val="004D076D"/>
    <w:rsid w:val="004D0EF1"/>
    <w:rsid w:val="004D2253"/>
    <w:rsid w:val="004D4406"/>
    <w:rsid w:val="004D7C42"/>
    <w:rsid w:val="004E0465"/>
    <w:rsid w:val="004E07A8"/>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1BAE"/>
    <w:rsid w:val="00512F6E"/>
    <w:rsid w:val="00513038"/>
    <w:rsid w:val="00514174"/>
    <w:rsid w:val="00516088"/>
    <w:rsid w:val="00516B0B"/>
    <w:rsid w:val="005220EC"/>
    <w:rsid w:val="00523F95"/>
    <w:rsid w:val="00524D65"/>
    <w:rsid w:val="00525B16"/>
    <w:rsid w:val="00526534"/>
    <w:rsid w:val="00533D04"/>
    <w:rsid w:val="00534804"/>
    <w:rsid w:val="00534BDF"/>
    <w:rsid w:val="005354EA"/>
    <w:rsid w:val="0053585F"/>
    <w:rsid w:val="00535EC4"/>
    <w:rsid w:val="00535ED9"/>
    <w:rsid w:val="0053692B"/>
    <w:rsid w:val="00540C4C"/>
    <w:rsid w:val="00541853"/>
    <w:rsid w:val="00543BDA"/>
    <w:rsid w:val="005441CC"/>
    <w:rsid w:val="005479DA"/>
    <w:rsid w:val="00547BCC"/>
    <w:rsid w:val="0055013B"/>
    <w:rsid w:val="00551F6F"/>
    <w:rsid w:val="00555044"/>
    <w:rsid w:val="00561475"/>
    <w:rsid w:val="005641E8"/>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3EED"/>
    <w:rsid w:val="005C5F21"/>
    <w:rsid w:val="005C7156"/>
    <w:rsid w:val="005D0C75"/>
    <w:rsid w:val="005D4171"/>
    <w:rsid w:val="005D6A95"/>
    <w:rsid w:val="005D6B2C"/>
    <w:rsid w:val="005D6D9C"/>
    <w:rsid w:val="005D7FCF"/>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054"/>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5C73"/>
    <w:rsid w:val="006770F4"/>
    <w:rsid w:val="00677A84"/>
    <w:rsid w:val="0068026D"/>
    <w:rsid w:val="00680A27"/>
    <w:rsid w:val="006816A4"/>
    <w:rsid w:val="006819B8"/>
    <w:rsid w:val="006840A6"/>
    <w:rsid w:val="006850CD"/>
    <w:rsid w:val="00685655"/>
    <w:rsid w:val="00685AAB"/>
    <w:rsid w:val="00690637"/>
    <w:rsid w:val="00695D22"/>
    <w:rsid w:val="00697AFA"/>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3A9D"/>
    <w:rsid w:val="006F6284"/>
    <w:rsid w:val="007002C5"/>
    <w:rsid w:val="00704387"/>
    <w:rsid w:val="00707669"/>
    <w:rsid w:val="00711CBA"/>
    <w:rsid w:val="00711FB5"/>
    <w:rsid w:val="00712A01"/>
    <w:rsid w:val="007144CE"/>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9A6"/>
    <w:rsid w:val="00756B26"/>
    <w:rsid w:val="00756EDF"/>
    <w:rsid w:val="00757B1A"/>
    <w:rsid w:val="007600E3"/>
    <w:rsid w:val="00761213"/>
    <w:rsid w:val="0076164D"/>
    <w:rsid w:val="00765C43"/>
    <w:rsid w:val="00765EFB"/>
    <w:rsid w:val="007671CA"/>
    <w:rsid w:val="00767C61"/>
    <w:rsid w:val="0077008A"/>
    <w:rsid w:val="00773C1F"/>
    <w:rsid w:val="00774958"/>
    <w:rsid w:val="00774DA4"/>
    <w:rsid w:val="00776599"/>
    <w:rsid w:val="0078114B"/>
    <w:rsid w:val="00781DD2"/>
    <w:rsid w:val="00783ECF"/>
    <w:rsid w:val="0078413A"/>
    <w:rsid w:val="00790EE1"/>
    <w:rsid w:val="007959E8"/>
    <w:rsid w:val="00795E9C"/>
    <w:rsid w:val="0079648C"/>
    <w:rsid w:val="007A0521"/>
    <w:rsid w:val="007A1CF6"/>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5F2"/>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5850"/>
    <w:rsid w:val="008163C8"/>
    <w:rsid w:val="008164A1"/>
    <w:rsid w:val="00817325"/>
    <w:rsid w:val="008209E6"/>
    <w:rsid w:val="00823303"/>
    <w:rsid w:val="008233B2"/>
    <w:rsid w:val="00823A9F"/>
    <w:rsid w:val="00823C85"/>
    <w:rsid w:val="00825138"/>
    <w:rsid w:val="008269DD"/>
    <w:rsid w:val="00830621"/>
    <w:rsid w:val="0083348C"/>
    <w:rsid w:val="00834792"/>
    <w:rsid w:val="008373D3"/>
    <w:rsid w:val="00840617"/>
    <w:rsid w:val="00840F84"/>
    <w:rsid w:val="00842A47"/>
    <w:rsid w:val="00843C13"/>
    <w:rsid w:val="008454F8"/>
    <w:rsid w:val="0085173A"/>
    <w:rsid w:val="00856316"/>
    <w:rsid w:val="008603CE"/>
    <w:rsid w:val="00861C57"/>
    <w:rsid w:val="008620FC"/>
    <w:rsid w:val="008627A5"/>
    <w:rsid w:val="00863E05"/>
    <w:rsid w:val="00865ACA"/>
    <w:rsid w:val="00865D28"/>
    <w:rsid w:val="00865F85"/>
    <w:rsid w:val="00867C10"/>
    <w:rsid w:val="00870439"/>
    <w:rsid w:val="00870DA1"/>
    <w:rsid w:val="00874CB4"/>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36E"/>
    <w:rsid w:val="008F0CDC"/>
    <w:rsid w:val="008F17A3"/>
    <w:rsid w:val="008F1ED3"/>
    <w:rsid w:val="008F23A5"/>
    <w:rsid w:val="008F4C29"/>
    <w:rsid w:val="008F70BD"/>
    <w:rsid w:val="008F788F"/>
    <w:rsid w:val="008F78E7"/>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2F11"/>
    <w:rsid w:val="009429D5"/>
    <w:rsid w:val="00942BF1"/>
    <w:rsid w:val="00945180"/>
    <w:rsid w:val="00945428"/>
    <w:rsid w:val="0094607B"/>
    <w:rsid w:val="00953604"/>
    <w:rsid w:val="0095496B"/>
    <w:rsid w:val="009610DC"/>
    <w:rsid w:val="00961490"/>
    <w:rsid w:val="0096381A"/>
    <w:rsid w:val="00965E04"/>
    <w:rsid w:val="009674AD"/>
    <w:rsid w:val="00970CDC"/>
    <w:rsid w:val="00974549"/>
    <w:rsid w:val="00977010"/>
    <w:rsid w:val="00977D02"/>
    <w:rsid w:val="009809BB"/>
    <w:rsid w:val="0098364B"/>
    <w:rsid w:val="009911AF"/>
    <w:rsid w:val="00991875"/>
    <w:rsid w:val="00991F92"/>
    <w:rsid w:val="00992985"/>
    <w:rsid w:val="00993889"/>
    <w:rsid w:val="0099551B"/>
    <w:rsid w:val="00997BF1"/>
    <w:rsid w:val="00997DBB"/>
    <w:rsid w:val="009A089C"/>
    <w:rsid w:val="009A118E"/>
    <w:rsid w:val="009A21CD"/>
    <w:rsid w:val="009A278C"/>
    <w:rsid w:val="009A2BC2"/>
    <w:rsid w:val="009A42C1"/>
    <w:rsid w:val="009A5429"/>
    <w:rsid w:val="009A72AD"/>
    <w:rsid w:val="009B09E0"/>
    <w:rsid w:val="009B0BC5"/>
    <w:rsid w:val="009B1247"/>
    <w:rsid w:val="009B3B61"/>
    <w:rsid w:val="009B46F9"/>
    <w:rsid w:val="009B6029"/>
    <w:rsid w:val="009B6971"/>
    <w:rsid w:val="009C27F1"/>
    <w:rsid w:val="009C3152"/>
    <w:rsid w:val="009C4CFA"/>
    <w:rsid w:val="009C5070"/>
    <w:rsid w:val="009D0AE9"/>
    <w:rsid w:val="009D112C"/>
    <w:rsid w:val="009D47FA"/>
    <w:rsid w:val="009D4C5B"/>
    <w:rsid w:val="009D50D2"/>
    <w:rsid w:val="009D6BCA"/>
    <w:rsid w:val="009E0F62"/>
    <w:rsid w:val="009E4A58"/>
    <w:rsid w:val="009E5A2D"/>
    <w:rsid w:val="009E5AB2"/>
    <w:rsid w:val="009E6219"/>
    <w:rsid w:val="009F03B3"/>
    <w:rsid w:val="009F0884"/>
    <w:rsid w:val="009F1424"/>
    <w:rsid w:val="00A0096C"/>
    <w:rsid w:val="00A00B1D"/>
    <w:rsid w:val="00A01320"/>
    <w:rsid w:val="00A01757"/>
    <w:rsid w:val="00A028C0"/>
    <w:rsid w:val="00A02BAE"/>
    <w:rsid w:val="00A06A6B"/>
    <w:rsid w:val="00A07E47"/>
    <w:rsid w:val="00A1152E"/>
    <w:rsid w:val="00A129D0"/>
    <w:rsid w:val="00A12C33"/>
    <w:rsid w:val="00A138BA"/>
    <w:rsid w:val="00A14C8E"/>
    <w:rsid w:val="00A153D9"/>
    <w:rsid w:val="00A15F09"/>
    <w:rsid w:val="00A169B6"/>
    <w:rsid w:val="00A2271D"/>
    <w:rsid w:val="00A237D5"/>
    <w:rsid w:val="00A24272"/>
    <w:rsid w:val="00A30EFC"/>
    <w:rsid w:val="00A31984"/>
    <w:rsid w:val="00A32D73"/>
    <w:rsid w:val="00A3367B"/>
    <w:rsid w:val="00A3597D"/>
    <w:rsid w:val="00A36DD1"/>
    <w:rsid w:val="00A4006C"/>
    <w:rsid w:val="00A40091"/>
    <w:rsid w:val="00A4030F"/>
    <w:rsid w:val="00A41C79"/>
    <w:rsid w:val="00A41CB5"/>
    <w:rsid w:val="00A42CDF"/>
    <w:rsid w:val="00A4398B"/>
    <w:rsid w:val="00A4452E"/>
    <w:rsid w:val="00A4472C"/>
    <w:rsid w:val="00A44E69"/>
    <w:rsid w:val="00A46573"/>
    <w:rsid w:val="00A4661E"/>
    <w:rsid w:val="00A530E0"/>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9763B"/>
    <w:rsid w:val="00AA052C"/>
    <w:rsid w:val="00AA1E45"/>
    <w:rsid w:val="00AA4286"/>
    <w:rsid w:val="00AA456B"/>
    <w:rsid w:val="00AA57F5"/>
    <w:rsid w:val="00AA672E"/>
    <w:rsid w:val="00AA6EC9"/>
    <w:rsid w:val="00AB24F2"/>
    <w:rsid w:val="00AB41D5"/>
    <w:rsid w:val="00AB4CFB"/>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659A"/>
    <w:rsid w:val="00AE070A"/>
    <w:rsid w:val="00AE101C"/>
    <w:rsid w:val="00AE37E5"/>
    <w:rsid w:val="00AE5EB4"/>
    <w:rsid w:val="00AF0C18"/>
    <w:rsid w:val="00AF47C5"/>
    <w:rsid w:val="00AF5398"/>
    <w:rsid w:val="00B049AF"/>
    <w:rsid w:val="00B05AC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C5A"/>
    <w:rsid w:val="00B50E50"/>
    <w:rsid w:val="00B52120"/>
    <w:rsid w:val="00B53E47"/>
    <w:rsid w:val="00B54ABC"/>
    <w:rsid w:val="00B54DDE"/>
    <w:rsid w:val="00B56FBE"/>
    <w:rsid w:val="00B60ACF"/>
    <w:rsid w:val="00B62B58"/>
    <w:rsid w:val="00B6447C"/>
    <w:rsid w:val="00B65149"/>
    <w:rsid w:val="00B66567"/>
    <w:rsid w:val="00B66F52"/>
    <w:rsid w:val="00B66FE5"/>
    <w:rsid w:val="00B72790"/>
    <w:rsid w:val="00B72880"/>
    <w:rsid w:val="00B758BF"/>
    <w:rsid w:val="00B77EC8"/>
    <w:rsid w:val="00B827A6"/>
    <w:rsid w:val="00B831CE"/>
    <w:rsid w:val="00B859F6"/>
    <w:rsid w:val="00B86677"/>
    <w:rsid w:val="00B87131"/>
    <w:rsid w:val="00B939B1"/>
    <w:rsid w:val="00B96D40"/>
    <w:rsid w:val="00B97386"/>
    <w:rsid w:val="00BA263B"/>
    <w:rsid w:val="00BA42B2"/>
    <w:rsid w:val="00BA58D4"/>
    <w:rsid w:val="00BA5B9E"/>
    <w:rsid w:val="00BA7C9A"/>
    <w:rsid w:val="00BB1E7F"/>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602B"/>
    <w:rsid w:val="00C21540"/>
    <w:rsid w:val="00C21906"/>
    <w:rsid w:val="00C21BFA"/>
    <w:rsid w:val="00C22148"/>
    <w:rsid w:val="00C22B39"/>
    <w:rsid w:val="00C23DB9"/>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28FB"/>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B31"/>
    <w:rsid w:val="00CB517D"/>
    <w:rsid w:val="00CC038D"/>
    <w:rsid w:val="00CC08DB"/>
    <w:rsid w:val="00CC39FF"/>
    <w:rsid w:val="00CC3C2F"/>
    <w:rsid w:val="00CC4AC8"/>
    <w:rsid w:val="00CC5233"/>
    <w:rsid w:val="00CC5DE6"/>
    <w:rsid w:val="00CC6E4E"/>
    <w:rsid w:val="00CC6FE8"/>
    <w:rsid w:val="00CC7202"/>
    <w:rsid w:val="00CD2808"/>
    <w:rsid w:val="00CD28BF"/>
    <w:rsid w:val="00CD3571"/>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4C75"/>
    <w:rsid w:val="00D06AB1"/>
    <w:rsid w:val="00D072ED"/>
    <w:rsid w:val="00D07A16"/>
    <w:rsid w:val="00D1067E"/>
    <w:rsid w:val="00D10F50"/>
    <w:rsid w:val="00D11272"/>
    <w:rsid w:val="00D126F5"/>
    <w:rsid w:val="00D1489E"/>
    <w:rsid w:val="00D20737"/>
    <w:rsid w:val="00D21E81"/>
    <w:rsid w:val="00D223DE"/>
    <w:rsid w:val="00D228C2"/>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6A40"/>
    <w:rsid w:val="00D675FB"/>
    <w:rsid w:val="00D71F25"/>
    <w:rsid w:val="00D72A9C"/>
    <w:rsid w:val="00D77031"/>
    <w:rsid w:val="00D84941"/>
    <w:rsid w:val="00D84FA1"/>
    <w:rsid w:val="00D851F0"/>
    <w:rsid w:val="00D86653"/>
    <w:rsid w:val="00D86DB7"/>
    <w:rsid w:val="00D87571"/>
    <w:rsid w:val="00D90673"/>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28E9"/>
    <w:rsid w:val="00DB38EE"/>
    <w:rsid w:val="00DB498B"/>
    <w:rsid w:val="00DB66CA"/>
    <w:rsid w:val="00DB6BCA"/>
    <w:rsid w:val="00DB7186"/>
    <w:rsid w:val="00DB73F7"/>
    <w:rsid w:val="00DC0321"/>
    <w:rsid w:val="00DC3067"/>
    <w:rsid w:val="00DC370B"/>
    <w:rsid w:val="00DC5B90"/>
    <w:rsid w:val="00DD00FF"/>
    <w:rsid w:val="00DD0619"/>
    <w:rsid w:val="00DD07FB"/>
    <w:rsid w:val="00DD25C6"/>
    <w:rsid w:val="00DD3119"/>
    <w:rsid w:val="00DD4FE5"/>
    <w:rsid w:val="00DD54B0"/>
    <w:rsid w:val="00DD57EE"/>
    <w:rsid w:val="00DD6BCC"/>
    <w:rsid w:val="00DE0A4B"/>
    <w:rsid w:val="00DE2410"/>
    <w:rsid w:val="00DE2939"/>
    <w:rsid w:val="00DE5B08"/>
    <w:rsid w:val="00DE6E81"/>
    <w:rsid w:val="00DE703F"/>
    <w:rsid w:val="00DE716C"/>
    <w:rsid w:val="00DE7595"/>
    <w:rsid w:val="00DF1961"/>
    <w:rsid w:val="00DF44DE"/>
    <w:rsid w:val="00DF5F11"/>
    <w:rsid w:val="00E01138"/>
    <w:rsid w:val="00E02DFB"/>
    <w:rsid w:val="00E030F9"/>
    <w:rsid w:val="00E0311A"/>
    <w:rsid w:val="00E03138"/>
    <w:rsid w:val="00E06404"/>
    <w:rsid w:val="00E065D2"/>
    <w:rsid w:val="00E076E6"/>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7C03"/>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40B2"/>
    <w:rsid w:val="00EA58D1"/>
    <w:rsid w:val="00EA61BC"/>
    <w:rsid w:val="00EA681A"/>
    <w:rsid w:val="00EA6F98"/>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3189"/>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47A0"/>
    <w:rsid w:val="00F55FBE"/>
    <w:rsid w:val="00F56511"/>
    <w:rsid w:val="00F6194E"/>
    <w:rsid w:val="00F623AC"/>
    <w:rsid w:val="00F6412A"/>
    <w:rsid w:val="00F65893"/>
    <w:rsid w:val="00F66A4A"/>
    <w:rsid w:val="00F715D2"/>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97ED1"/>
    <w:rsid w:val="00FA4DAC"/>
    <w:rsid w:val="00FA662D"/>
    <w:rsid w:val="00FA73B1"/>
    <w:rsid w:val="00FB0CB9"/>
    <w:rsid w:val="00FB231D"/>
    <w:rsid w:val="00FB45F1"/>
    <w:rsid w:val="00FB4A72"/>
    <w:rsid w:val="00FB54E8"/>
    <w:rsid w:val="00FB7054"/>
    <w:rsid w:val="00FC17B7"/>
    <w:rsid w:val="00FC2CB7"/>
    <w:rsid w:val="00FC4090"/>
    <w:rsid w:val="00FC55B4"/>
    <w:rsid w:val="00FC7EC3"/>
    <w:rsid w:val="00FD00E6"/>
    <w:rsid w:val="00FD09A1"/>
    <w:rsid w:val="00FD2A7C"/>
    <w:rsid w:val="00FD59EB"/>
    <w:rsid w:val="00FD7299"/>
    <w:rsid w:val="00FE1FBE"/>
    <w:rsid w:val="00FE3901"/>
    <w:rsid w:val="00FE39D3"/>
    <w:rsid w:val="00FE4BCE"/>
    <w:rsid w:val="00FE54AE"/>
    <w:rsid w:val="00FE576A"/>
    <w:rsid w:val="00FE7E79"/>
    <w:rsid w:val="00FF0D51"/>
    <w:rsid w:val="00FF3E7D"/>
    <w:rsid w:val="00FF56C8"/>
    <w:rsid w:val="00FF5B99"/>
    <w:rsid w:val="00FF730C"/>
    <w:rsid w:val="00FF73F4"/>
    <w:rsid w:val="00FF7CE4"/>
    <w:rsid w:val="00FF7E39"/>
    <w:rsid w:val="073D2943"/>
    <w:rsid w:val="08171BB0"/>
    <w:rsid w:val="0C7A34A0"/>
    <w:rsid w:val="0D643642"/>
    <w:rsid w:val="0F2E5739"/>
    <w:rsid w:val="16D03709"/>
    <w:rsid w:val="181603DA"/>
    <w:rsid w:val="21377492"/>
    <w:rsid w:val="251D7032"/>
    <w:rsid w:val="2CA076C0"/>
    <w:rsid w:val="2F5C7FF7"/>
    <w:rsid w:val="311D6BB4"/>
    <w:rsid w:val="313908AB"/>
    <w:rsid w:val="31DE198A"/>
    <w:rsid w:val="334F40FB"/>
    <w:rsid w:val="386E062E"/>
    <w:rsid w:val="39CF361B"/>
    <w:rsid w:val="434240D9"/>
    <w:rsid w:val="4C7612A4"/>
    <w:rsid w:val="52D049DF"/>
    <w:rsid w:val="57052420"/>
    <w:rsid w:val="58FA2714"/>
    <w:rsid w:val="59EA5EDD"/>
    <w:rsid w:val="5BB33170"/>
    <w:rsid w:val="5EE746EA"/>
    <w:rsid w:val="68C70802"/>
    <w:rsid w:val="6B476D4A"/>
    <w:rsid w:val="70C84A9F"/>
    <w:rsid w:val="734117F5"/>
    <w:rsid w:val="77484F63"/>
    <w:rsid w:val="7E376756"/>
    <w:rsid w:val="7E556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9"/>
    <w:pPr>
      <w:keepNext/>
      <w:keepLines/>
      <w:spacing w:before="260" w:after="260" w:line="416" w:lineRule="auto"/>
      <w:outlineLvl w:val="2"/>
    </w:pPr>
    <w:rPr>
      <w:b/>
      <w:bCs/>
      <w:sz w:val="32"/>
      <w:szCs w:val="32"/>
    </w:rPr>
  </w:style>
  <w:style w:type="paragraph" w:styleId="5">
    <w:name w:val="heading 4"/>
    <w:basedOn w:val="1"/>
    <w:next w:val="1"/>
    <w:link w:val="39"/>
    <w:qFormat/>
    <w:uiPriority w:val="9"/>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caption"/>
    <w:basedOn w:val="1"/>
    <w:next w:val="1"/>
    <w:semiHidden/>
    <w:unhideWhenUsed/>
    <w:qFormat/>
    <w:uiPriority w:val="35"/>
    <w:rPr>
      <w:rFonts w:eastAsia="黑体" w:asciiTheme="majorHAnsi" w:hAnsiTheme="majorHAnsi" w:cstheme="majorBidi"/>
      <w:sz w:val="20"/>
      <w:szCs w:val="20"/>
    </w:r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uiPriority w:val="39"/>
    <w:pPr>
      <w:tabs>
        <w:tab w:val="right" w:leader="dot" w:pos="9344"/>
      </w:tabs>
      <w:spacing w:line="300" w:lineRule="exact"/>
      <w:ind w:left="629"/>
    </w:pPr>
    <w:rPr>
      <w:rFonts w:ascii="宋体"/>
    </w:rPr>
  </w:style>
  <w:style w:type="paragraph" w:styleId="22">
    <w:name w:val="Subtitle"/>
    <w:basedOn w:val="1"/>
    <w:next w:val="1"/>
    <w:link w:val="237"/>
    <w:qFormat/>
    <w:uiPriority w:val="11"/>
    <w:pPr>
      <w:adjustRightInd/>
      <w:spacing w:before="240" w:beforeLines="50" w:after="60" w:afterLines="50" w:line="312" w:lineRule="auto"/>
      <w:jc w:val="center"/>
      <w:outlineLvl w:val="1"/>
    </w:pPr>
    <w:rPr>
      <w:rFonts w:ascii="Cambria" w:hAnsi="Cambria"/>
      <w:b/>
      <w:bCs/>
      <w:kern w:val="28"/>
      <w:sz w:val="32"/>
      <w:szCs w:val="32"/>
    </w:rPr>
  </w:style>
  <w:style w:type="paragraph" w:styleId="23">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页眉 字符"/>
    <w:link w:val="19"/>
    <w:uiPriority w:val="99"/>
    <w:rPr>
      <w:kern w:val="2"/>
      <w:sz w:val="18"/>
      <w:szCs w:val="18"/>
    </w:rPr>
  </w:style>
  <w:style w:type="character" w:customStyle="1" w:styleId="46">
    <w:name w:val="页脚 字符"/>
    <w:link w:val="18"/>
    <w:qFormat/>
    <w:uiPriority w:val="99"/>
    <w:rPr>
      <w:rFonts w:ascii="宋体"/>
      <w:kern w:val="2"/>
      <w:sz w:val="18"/>
      <w:szCs w:val="18"/>
    </w:rPr>
  </w:style>
  <w:style w:type="character" w:customStyle="1" w:styleId="47">
    <w:name w:val="批注框文本 字符"/>
    <w:link w:val="17"/>
    <w:semiHidden/>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7"/>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uiPriority w:val="0"/>
    <w:pPr>
      <w:ind w:left="198"/>
    </w:pPr>
    <w:rPr>
      <w:rFonts w:ascii="宋体" w:hAnsi="Times New Roman" w:eastAsia="宋体" w:cs="Times New Roman"/>
      <w:sz w:val="18"/>
      <w:lang w:val="en-US" w:eastAsia="zh-CN" w:bidi="ar-SA"/>
    </w:rPr>
  </w:style>
  <w:style w:type="paragraph" w:customStyle="1" w:styleId="54">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Subtle Reference"/>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3"/>
    <w:semiHidden/>
    <w:qFormat/>
    <w:uiPriority w:val="0"/>
    <w:rPr>
      <w:rFonts w:ascii="宋体"/>
      <w:kern w:val="2"/>
      <w:sz w:val="18"/>
      <w:szCs w:val="18"/>
    </w:rPr>
  </w:style>
  <w:style w:type="paragraph" w:customStyle="1" w:styleId="102">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uiPriority w:val="0"/>
    <w:pPr>
      <w:jc w:val="both"/>
    </w:pPr>
    <w:rPr>
      <w:rFonts w:ascii="宋体" w:hAnsi="宋体" w:eastAsia="宋体" w:cs="Times New Roman"/>
      <w:sz w:val="21"/>
      <w:lang w:val="en-US" w:eastAsia="zh-CN" w:bidi="ar-SA"/>
    </w:rPr>
  </w:style>
  <w:style w:type="paragraph" w:customStyle="1" w:styleId="160">
    <w:name w:val="五级无标题条"/>
    <w:basedOn w:val="1"/>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 w:type="character" w:customStyle="1" w:styleId="232">
    <w:name w:val="占位符文本1"/>
    <w:semiHidden/>
    <w:qFormat/>
    <w:uiPriority w:val="99"/>
    <w:rPr>
      <w:color w:val="808080"/>
    </w:rPr>
  </w:style>
  <w:style w:type="paragraph" w:styleId="233">
    <w:name w:val="List Paragraph"/>
    <w:basedOn w:val="1"/>
    <w:link w:val="234"/>
    <w:qFormat/>
    <w:uiPriority w:val="34"/>
    <w:pPr>
      <w:adjustRightInd/>
      <w:spacing w:beforeLines="50" w:afterLines="50" w:line="300" w:lineRule="auto"/>
      <w:ind w:firstLine="420" w:firstLineChars="200"/>
      <w:jc w:val="left"/>
    </w:pPr>
    <w:rPr>
      <w:rFonts w:ascii="宋体" w:hAnsi="宋体" w:cs="宋体"/>
      <w:kern w:val="0"/>
      <w:sz w:val="24"/>
      <w:szCs w:val="24"/>
    </w:rPr>
  </w:style>
  <w:style w:type="character" w:customStyle="1" w:styleId="234">
    <w:name w:val="列出段落 字符"/>
    <w:basedOn w:val="30"/>
    <w:link w:val="233"/>
    <w:qFormat/>
    <w:locked/>
    <w:uiPriority w:val="34"/>
    <w:rPr>
      <w:rFonts w:ascii="宋体" w:hAnsi="宋体" w:cs="宋体"/>
      <w:sz w:val="24"/>
      <w:szCs w:val="24"/>
    </w:rPr>
  </w:style>
  <w:style w:type="paragraph" w:customStyle="1" w:styleId="235">
    <w:name w:val="一级条标题"/>
    <w:next w:val="1"/>
    <w:qFormat/>
    <w:uiPriority w:val="0"/>
    <w:pPr>
      <w:ind w:left="426"/>
      <w:outlineLvl w:val="2"/>
    </w:pPr>
    <w:rPr>
      <w:rFonts w:ascii="Times New Roman" w:hAnsi="Times New Roman" w:eastAsia="黑体" w:cs="Times New Roman"/>
      <w:sz w:val="21"/>
      <w:lang w:val="en-US" w:eastAsia="zh-CN" w:bidi="ar-SA"/>
    </w:rPr>
  </w:style>
  <w:style w:type="paragraph" w:customStyle="1" w:styleId="236">
    <w:name w:val="章标题"/>
    <w:next w:val="1"/>
    <w:qFormat/>
    <w:uiPriority w:val="0"/>
    <w:pPr>
      <w:spacing w:beforeLines="50" w:afterLines="50"/>
      <w:ind w:left="7797"/>
      <w:jc w:val="both"/>
      <w:outlineLvl w:val="1"/>
    </w:pPr>
    <w:rPr>
      <w:rFonts w:ascii="黑体" w:hAnsi="Times New Roman" w:eastAsia="黑体" w:cs="Times New Roman"/>
      <w:sz w:val="21"/>
      <w:lang w:val="en-US" w:eastAsia="zh-CN" w:bidi="ar-SA"/>
    </w:rPr>
  </w:style>
  <w:style w:type="character" w:customStyle="1" w:styleId="237">
    <w:name w:val="副标题 字符"/>
    <w:basedOn w:val="30"/>
    <w:link w:val="22"/>
    <w:qFormat/>
    <w:uiPriority w:val="11"/>
    <w:rPr>
      <w:rFonts w:ascii="Cambria" w:hAnsi="Cambria"/>
      <w:b/>
      <w:bCs/>
      <w:kern w:val="28"/>
      <w:sz w:val="32"/>
      <w:szCs w:val="32"/>
    </w:rPr>
  </w:style>
  <w:style w:type="character" w:customStyle="1" w:styleId="238">
    <w:name w:val="列出段落 字符1"/>
    <w:basedOn w:val="30"/>
    <w:qFormat/>
    <w:locked/>
    <w:uiPriority w:val="34"/>
    <w:rPr>
      <w:rFonts w:ascii="宋体" w:hAnsi="宋体" w:cs="宋体"/>
      <w:sz w:val="24"/>
      <w:szCs w:val="24"/>
    </w:rPr>
  </w:style>
  <w:style w:type="paragraph" w:customStyle="1" w:styleId="239">
    <w:name w:val="图片编号"/>
    <w:basedOn w:val="13"/>
    <w:next w:val="1"/>
    <w:qFormat/>
    <w:uiPriority w:val="0"/>
    <w:pPr>
      <w:widowControl/>
      <w:tabs>
        <w:tab w:val="left" w:pos="3518"/>
      </w:tabs>
      <w:snapToGrid w:val="0"/>
      <w:spacing w:line="240" w:lineRule="auto"/>
      <w:ind w:hanging="420"/>
      <w:jc w:val="center"/>
    </w:pPr>
    <w:rPr>
      <w:rFonts w:ascii="Times New Roman" w:hAnsi="Times New Roman" w:eastAsia="宋体" w:cs="Times New Roman"/>
      <w:sz w:val="24"/>
    </w:rPr>
  </w:style>
  <w:style w:type="paragraph" w:customStyle="1" w:styleId="240">
    <w:name w:val="表格编号"/>
    <w:basedOn w:val="13"/>
    <w:next w:val="1"/>
    <w:qFormat/>
    <w:uiPriority w:val="0"/>
    <w:pPr>
      <w:widowControl/>
      <w:tabs>
        <w:tab w:val="left" w:pos="3098"/>
      </w:tabs>
      <w:snapToGrid w:val="0"/>
      <w:spacing w:line="240" w:lineRule="auto"/>
      <w:ind w:hanging="420"/>
      <w:jc w:val="center"/>
    </w:pPr>
    <w:rPr>
      <w:rFonts w:ascii="Times New Roman" w:hAnsi="Times New Roman" w:eastAsia="宋体" w:cs="Times New Roman"/>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067915ADE7B4718B66325F74B49C93E"/>
        <w:style w:val=""/>
        <w:category>
          <w:name w:val="常规"/>
          <w:gallery w:val="placeholder"/>
        </w:category>
        <w:types>
          <w:type w:val="bbPlcHdr"/>
        </w:types>
        <w:behaviors>
          <w:behavior w:val="content"/>
        </w:behaviors>
        <w:description w:val=""/>
        <w:guid w:val="{09DF97DA-512B-44F2-8FFF-9481DD21FF29}"/>
      </w:docPartPr>
      <w:docPartBody>
        <w:p>
          <w:pPr>
            <w:pStyle w:val="5"/>
          </w:pPr>
          <w:r>
            <w:rPr>
              <w:rStyle w:val="4"/>
              <w:rFonts w:hint="eastAsia"/>
            </w:rPr>
            <w:t>单击或点击此处输入文字。</w:t>
          </w:r>
        </w:p>
      </w:docPartBody>
    </w:docPart>
    <w:docPart>
      <w:docPartPr>
        <w:name w:val="9535B620A49045B99577410E12B0AA76"/>
        <w:style w:val=""/>
        <w:category>
          <w:name w:val="常规"/>
          <w:gallery w:val="placeholder"/>
        </w:category>
        <w:types>
          <w:type w:val="bbPlcHdr"/>
        </w:types>
        <w:behaviors>
          <w:behavior w:val="content"/>
        </w:behaviors>
        <w:description w:val=""/>
        <w:guid w:val="{75E2E315-D6C4-4D0C-A946-9FB5004F6281}"/>
      </w:docPartPr>
      <w:docPartBody>
        <w:p>
          <w:pPr>
            <w:pStyle w:val="6"/>
          </w:pPr>
          <w:r>
            <w:rPr>
              <w:rStyle w:val="4"/>
              <w:rFonts w:hint="eastAsia"/>
            </w:rPr>
            <w:t>选择一项。</w:t>
          </w:r>
        </w:p>
      </w:docPartBody>
    </w:docPart>
    <w:docPart>
      <w:docPartPr>
        <w:name w:val="1BC306205BB34D11B906C0A44EA0DB64"/>
        <w:style w:val=""/>
        <w:category>
          <w:name w:val="常规"/>
          <w:gallery w:val="placeholder"/>
        </w:category>
        <w:types>
          <w:type w:val="bbPlcHdr"/>
        </w:types>
        <w:behaviors>
          <w:behavior w:val="content"/>
        </w:behaviors>
        <w:description w:val=""/>
        <w:guid w:val="{25FA58E4-A5AD-4B41-8847-09AF034151BC}"/>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1D"/>
    <w:rsid w:val="00597A76"/>
    <w:rsid w:val="00826364"/>
    <w:rsid w:val="00D01E1D"/>
    <w:rsid w:val="00F87F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067915ADE7B4718B66325F74B49C93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535B620A49045B99577410E12B0AA7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BC306205BB34D11B906C0A44EA0DB64"/>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90E394-A0BD-4B43-AE89-0905B1C6E3B3}">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19</Pages>
  <Words>13645</Words>
  <Characters>14456</Characters>
  <Lines>129</Lines>
  <Paragraphs>36</Paragraphs>
  <TotalTime>36</TotalTime>
  <ScaleCrop>false</ScaleCrop>
  <LinksUpToDate>false</LinksUpToDate>
  <CharactersWithSpaces>14708</CharactersWithSpaces>
  <Application>WPS Office_11.1.0.13012_F1E327BC-269C-435d-A152-05C5408002CA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2022-11-25T06:37:00Z</dcterms:created>
  <dc:creator>微软</dc:creator>
  <dc:description>&lt;config cover="true" show_menu="true" version="1.0.0" doctype="SDKXY"&gt;_x000d_
&lt;/config&gt;</dc:description>
  <cp:lastModifiedBy>estelhsu</cp:lastModifiedBy>
  <cp:lastPrinted>2020-08-30T10:00:00Z</cp:lastPrinted>
  <dcterms:modified xsi:type="dcterms:W3CDTF">2023-04-03T10:28:56Z</dcterms:modified>
  <dc:title>地方标准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2052-11.1.0.13012</vt:lpwstr>
  </property>
  <property fmtid="{D5CDD505-2E9C-101B-9397-08002B2CF9AE}" pid="15" name="ICV">
    <vt:lpwstr>ADA159199E8C4D35B5A0B8B8F5D34ED1</vt:lpwstr>
  </property>
</Properties>
</file>