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framePr w:wrap="around"/>
        <w:rPr>
          <w:rFonts w:ascii="Times New Roman"/>
        </w:rPr>
      </w:pPr>
      <w:r>
        <w:rPr>
          <w:rFonts w:ascii="Times New Roman"/>
        </w:rPr>
        <w:t>ICS</w:t>
      </w:r>
      <w:r>
        <w:rPr>
          <w:rFonts w:ascii="Times New Roman" w:eastAsia="MS Mincho"/>
        </w:rPr>
        <w:t> </w:t>
      </w:r>
      <w:r>
        <w:rPr>
          <w:rFonts w:ascii="Times New Roman"/>
        </w:rPr>
        <w:t>91.120.99</w:t>
      </w:r>
    </w:p>
    <w:p>
      <w:pPr>
        <w:pStyle w:val="137"/>
        <w:framePr w:wrap="around"/>
        <w:rPr>
          <w:rFonts w:ascii="Times New Roman"/>
        </w:rPr>
      </w:pPr>
      <w:bookmarkStart w:id="0" w:name="WXFLH"/>
      <w:r>
        <w:rPr>
          <w:rFonts w:ascii="Times New Roman"/>
        </w:rPr>
        <w:fldChar w:fldCharType="begin">
          <w:ffData>
            <w:name w:val="WXFLH"/>
            <w:enabled/>
            <w:calcOnExit w:val="0"/>
            <w:helpText w:type="text" w:val="请输入中国标准文献分类号："/>
            <w:textInput>
              <w:default w:val="点击此处添加中国标准文献分类号"/>
            </w:textInput>
          </w:ffData>
        </w:fldChar>
      </w:r>
      <w:r>
        <w:rPr>
          <w:rFonts w:ascii="Times New Roman"/>
        </w:rPr>
        <w:instrText xml:space="preserve"> FORMTEXT </w:instrText>
      </w:r>
      <w:r>
        <w:rPr>
          <w:rFonts w:ascii="Times New Roman"/>
        </w:rPr>
        <w:fldChar w:fldCharType="separate"/>
      </w:r>
      <w:r>
        <w:rPr>
          <w:rFonts w:ascii="Times New Roman"/>
        </w:rPr>
        <w:t>CCS</w:t>
      </w:r>
      <w:r>
        <w:rPr>
          <w:rFonts w:ascii="Times New Roman"/>
        </w:rPr>
        <w:fldChar w:fldCharType="end"/>
      </w:r>
      <w:bookmarkEnd w:id="0"/>
      <w:r>
        <w:rPr>
          <w:rFonts w:ascii="Times New Roman"/>
        </w:rPr>
        <w:t xml:space="preserve"> P04</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37"/>
              <w:framePr w:wrap="around"/>
              <w:rPr>
                <w:rFonts w:ascii="Times New Roman"/>
              </w:rPr>
            </w:pPr>
            <w:r>
              <w:rPr>
                <w:rFonts w:ascii="Times New Roman"/>
              </w:rPr>
              <w:pict>
                <v:rect id="BAH" o:spid="_x0000_s1029" o:spt="1" style="position:absolute;left:0pt;margin-left:-5.25pt;margin-top:0pt;height:15.6pt;width:68.25pt;z-index:-251653120;mso-width-relative:page;mso-height-relative:page;" stroked="f" coordsize="21600,21600">
                  <v:path/>
                  <v:fill focussize="0,0"/>
                  <v:stroke on="f"/>
                  <v:imagedata o:title=""/>
                  <o:lock v:ext="edit"/>
                </v:rect>
              </w:pict>
            </w:r>
            <w:r>
              <w:rPr>
                <w:rFonts w:ascii="Times New Roman"/>
              </w:rPr>
              <w:fldChar w:fldCharType="begin">
                <w:ffData>
                  <w:name w:val="BAH"/>
                  <w:enabled/>
                  <w:calcOnExit w:val="0"/>
                  <w:textInput/>
                </w:ffData>
              </w:fldChar>
            </w:r>
            <w:bookmarkStart w:id="1" w:name="BAH"/>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1"/>
          </w:p>
        </w:tc>
      </w:tr>
    </w:tbl>
    <w:p>
      <w:pPr>
        <w:pStyle w:val="123"/>
        <w:framePr w:wrap="around"/>
      </w:pPr>
      <w:r>
        <w:t>D</w:t>
      </w:r>
      <w:r>
        <w:rPr>
          <w:spacing w:val="100"/>
        </w:rPr>
        <w:t>B</w:t>
      </w:r>
      <w:bookmarkStart w:id="2" w:name="c3"/>
      <w:r>
        <w:fldChar w:fldCharType="begin">
          <w:ffData>
            <w:name w:val="c3"/>
            <w:enabled/>
            <w:calcOnExit w:val="0"/>
            <w:entryMacro w:val="ShowHelp16"/>
            <w:textInput/>
          </w:ffData>
        </w:fldChar>
      </w:r>
      <w:r>
        <w:instrText xml:space="preserve"> FORMTEXT </w:instrText>
      </w:r>
      <w:r>
        <w:fldChar w:fldCharType="separate"/>
      </w:r>
      <w:r>
        <w:t>32</w:t>
      </w:r>
      <w:r>
        <w:fldChar w:fldCharType="end"/>
      </w:r>
      <w:bookmarkEnd w:id="2"/>
    </w:p>
    <w:p>
      <w:pPr>
        <w:pStyle w:val="124"/>
        <w:framePr w:wrap="around"/>
        <w:rPr>
          <w:rFonts w:ascii="Times New Roman" w:hAnsi="Times New Roman"/>
        </w:rPr>
      </w:pPr>
      <w:bookmarkStart w:id="3" w:name="c4"/>
      <w:r>
        <w:rPr>
          <w:rFonts w:ascii="Times New Roman" w:hAnsi="Times New Roman"/>
        </w:rPr>
        <w:fldChar w:fldCharType="begin">
          <w:ffData>
            <w:name w:val="c4"/>
            <w:enabled/>
            <w:calcOnExit w:val="0"/>
            <w:entryMacro w:val="showhelp1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江苏省</w:t>
      </w:r>
      <w:r>
        <w:rPr>
          <w:rFonts w:ascii="Times New Roman" w:hAnsi="Times New Roman"/>
        </w:rPr>
        <w:fldChar w:fldCharType="end"/>
      </w:r>
      <w:bookmarkEnd w:id="3"/>
      <w:r>
        <w:rPr>
          <w:rFonts w:ascii="Times New Roman" w:hAnsi="Times New Roman"/>
        </w:rPr>
        <w:t>地方标准</w:t>
      </w:r>
    </w:p>
    <w:p>
      <w:pPr>
        <w:pStyle w:val="61"/>
        <w:framePr w:wrap="around"/>
        <w:rPr>
          <w:rFonts w:ascii="Times New Roman"/>
        </w:rPr>
      </w:pPr>
      <w:r>
        <w:rPr>
          <w:rFonts w:ascii="Times New Roman"/>
        </w:rPr>
        <w:t xml:space="preserve">DB </w:t>
      </w:r>
      <w:bookmarkStart w:id="4" w:name="StdNo0"/>
      <w:r>
        <w:rPr>
          <w:rFonts w:ascii="Times New Roman"/>
        </w:rPr>
        <w:fldChar w:fldCharType="begin">
          <w:ffData>
            <w:name w:val="StdNo0"/>
            <w:enabled/>
            <w:calcOnExit w:val="0"/>
            <w:textInput>
              <w:default w:val="××/T"/>
            </w:textInput>
          </w:ffData>
        </w:fldChar>
      </w:r>
      <w:r>
        <w:rPr>
          <w:rFonts w:ascii="Times New Roman"/>
        </w:rPr>
        <w:instrText xml:space="preserve"> FORMTEXT </w:instrText>
      </w:r>
      <w:r>
        <w:rPr>
          <w:rFonts w:ascii="Times New Roman"/>
        </w:rPr>
        <w:fldChar w:fldCharType="separate"/>
      </w:r>
      <w:r>
        <w:rPr>
          <w:rFonts w:ascii="Times New Roman"/>
        </w:rPr>
        <w:t>32/T</w:t>
      </w:r>
      <w:r>
        <w:rPr>
          <w:rFonts w:ascii="Times New Roman"/>
        </w:rPr>
        <w:fldChar w:fldCharType="end"/>
      </w:r>
      <w:bookmarkEnd w:id="4"/>
      <w:r>
        <w:rPr>
          <w:rFonts w:ascii="Times New Roman"/>
        </w:rPr>
        <w:t xml:space="preserve"> </w:t>
      </w:r>
      <w:bookmarkStart w:id="5" w:name="StdNo1"/>
      <w:r>
        <w:rPr>
          <w:rFonts w:ascii="Times New Roman"/>
        </w:rPr>
        <w:fldChar w:fldCharType="begin">
          <w:ffData>
            <w:name w:val="StdNo1"/>
            <w:enabled/>
            <w:calcOnExit w:val="0"/>
            <w:textInput>
              <w:default w:val="××××"/>
            </w:textInput>
          </w:ffData>
        </w:fldChar>
      </w:r>
      <w:r>
        <w:rPr>
          <w:rFonts w:ascii="Times New Roman"/>
        </w:rPr>
        <w:instrText xml:space="preserve"> FORMTEXT </w:instrText>
      </w:r>
      <w:r>
        <w:rPr>
          <w:rFonts w:ascii="Times New Roman"/>
        </w:rPr>
        <w:fldChar w:fldCharType="separate"/>
      </w:r>
      <w:r>
        <w:rPr>
          <w:rFonts w:ascii="Times New Roman"/>
        </w:rPr>
        <w:t>××××</w:t>
      </w:r>
      <w:r>
        <w:rPr>
          <w:rFonts w:ascii="Times New Roman"/>
        </w:rPr>
        <w:fldChar w:fldCharType="end"/>
      </w:r>
      <w:bookmarkEnd w:id="5"/>
      <w:r>
        <w:rPr>
          <w:rFonts w:ascii="Times New Roman"/>
        </w:rPr>
        <w:t>—</w:t>
      </w:r>
      <w:bookmarkStart w:id="6" w:name="StdNo2"/>
      <w:r>
        <w:rPr>
          <w:rFonts w:ascii="Times New Roman"/>
        </w:rPr>
        <w:fldChar w:fldCharType="begin">
          <w:ffData>
            <w:name w:val="StdNo2"/>
            <w:enabled/>
            <w:calcOnExit w:val="0"/>
            <w:textInput>
              <w:default w:val="××××"/>
              <w:maxLength w:val="4"/>
            </w:textInput>
          </w:ffData>
        </w:fldChar>
      </w:r>
      <w:r>
        <w:rPr>
          <w:rFonts w:ascii="Times New Roman"/>
        </w:rPr>
        <w:instrText xml:space="preserve"> FORMTEXT </w:instrText>
      </w:r>
      <w:r>
        <w:rPr>
          <w:rFonts w:ascii="Times New Roman"/>
        </w:rPr>
        <w:fldChar w:fldCharType="separate"/>
      </w:r>
      <w:r>
        <w:rPr>
          <w:rFonts w:ascii="Times New Roman"/>
        </w:rPr>
        <w:t>××××</w:t>
      </w:r>
      <w:r>
        <w:rPr>
          <w:rFonts w:ascii="Times New Roman"/>
        </w:rPr>
        <w:fldChar w:fldCharType="end"/>
      </w:r>
      <w:bookmarkEnd w:id="6"/>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90"/>
              <w:framePr w:wrap="around"/>
              <w:rPr>
                <w:rFonts w:ascii="Times New Roman"/>
              </w:rPr>
            </w:pPr>
          </w:p>
        </w:tc>
      </w:tr>
    </w:tbl>
    <w:p>
      <w:pPr>
        <w:pStyle w:val="61"/>
        <w:framePr w:wrap="around"/>
        <w:rPr>
          <w:rFonts w:ascii="Times New Roman"/>
        </w:rPr>
      </w:pPr>
    </w:p>
    <w:p>
      <w:pPr>
        <w:pStyle w:val="61"/>
        <w:framePr w:wrap="around"/>
        <w:rPr>
          <w:rFonts w:ascii="Times New Roman"/>
        </w:rPr>
      </w:pPr>
    </w:p>
    <w:p>
      <w:pPr>
        <w:pStyle w:val="92"/>
        <w:framePr w:wrap="around"/>
        <w:rPr>
          <w:rFonts w:ascii="Times New Roman"/>
        </w:rPr>
      </w:pPr>
      <w:bookmarkStart w:id="7" w:name="StdName"/>
      <w:r>
        <w:rPr>
          <w:rFonts w:ascii="Times New Roman"/>
        </w:rPr>
        <w:fldChar w:fldCharType="begin">
          <w:ffData>
            <w:name w:val="StdName"/>
            <w:enabled/>
            <w:calcOnExit w:val="0"/>
            <w:textInput>
              <w:default w:val="点击此处添加标准名称"/>
            </w:textInput>
          </w:ffData>
        </w:fldChar>
      </w:r>
      <w:r>
        <w:rPr>
          <w:rFonts w:ascii="Times New Roman"/>
        </w:rPr>
        <w:instrText xml:space="preserve"> FORMTEXT </w:instrText>
      </w:r>
      <w:r>
        <w:rPr>
          <w:rFonts w:ascii="Times New Roman"/>
        </w:rPr>
        <w:fldChar w:fldCharType="separate"/>
      </w:r>
      <w:r>
        <w:rPr>
          <w:rFonts w:ascii="Times New Roman"/>
        </w:rPr>
        <w:t>房屋白蚁灭治技术规程</w:t>
      </w:r>
      <w:r>
        <w:rPr>
          <w:rFonts w:ascii="Times New Roman"/>
        </w:rPr>
        <w:fldChar w:fldCharType="end"/>
      </w:r>
      <w:bookmarkEnd w:id="7"/>
    </w:p>
    <w:p>
      <w:pPr>
        <w:pStyle w:val="93"/>
        <w:framePr w:wrap="around"/>
      </w:pPr>
      <w:bookmarkStart w:id="8"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Technical specification for termite control in buildings</w:t>
      </w:r>
      <w:r>
        <w:fldChar w:fldCharType="end"/>
      </w:r>
      <w:bookmarkEnd w:id="8"/>
    </w:p>
    <w:p>
      <w:pPr>
        <w:pStyle w:val="94"/>
        <w:framePr w:wrap="around"/>
        <w:rPr>
          <w:rFonts w:ascii="Times New Roman"/>
        </w:rPr>
      </w:pPr>
      <w:bookmarkStart w:id="9" w:name="YZBS"/>
      <w:r>
        <w:rPr>
          <w:rFonts w:ascii="Times New Roman"/>
        </w:rPr>
        <w:fldChar w:fldCharType="begin">
          <w:ffData>
            <w:name w:val="YZBS"/>
            <w:enabled/>
            <w:calcOnExit w:val="0"/>
            <w:textInput>
              <w:default w:val="点击此处添加与国际标准一致性程度的标识"/>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9"/>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5"/>
              <w:framePr w:wrap="around"/>
              <w:rPr>
                <w:rFonts w:ascii="Times New Roman"/>
              </w:rPr>
            </w:pPr>
            <w:r>
              <w:rPr>
                <w:rFonts w:ascii="Times New Roman"/>
              </w:rPr>
              <w:pict>
                <v:rect id="RQ" o:spid="_x0000_s1028" o:spt="1" style="position:absolute;left:0pt;margin-left:173.3pt;margin-top:337.15pt;height:20pt;width:150pt;z-index:-251654144;mso-width-relative:page;mso-height-relative:page;" stroked="f" coordsize="21600,21600">
                  <v:path/>
                  <v:fill focussize="0,0"/>
                  <v:stroke on="f"/>
                  <v:imagedata o:title=""/>
                  <o:lock v:ext="edit"/>
                  <w10:anchorlock/>
                </v:rect>
              </w:pict>
            </w:r>
            <w:r>
              <w:rPr>
                <w:rFonts w:ascii="Times New Roman"/>
              </w:rPr>
              <w:t>（报批稿）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6"/>
              <w:framePr w:wrap="around"/>
              <w:rPr>
                <w:rFonts w:ascii="Times New Roman"/>
              </w:rPr>
            </w:pPr>
            <w:bookmarkStart w:id="10" w:name="WCRQ"/>
            <w:r>
              <w:rPr>
                <w:rFonts w:ascii="Times New Roman"/>
              </w:rPr>
              <w:fldChar w:fldCharType="begin">
                <w:ffData>
                  <w:name w:val="WCRQ"/>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10"/>
          </w:p>
        </w:tc>
      </w:tr>
    </w:tbl>
    <w:p>
      <w:pPr>
        <w:pStyle w:val="144"/>
        <w:framePr w:wrap="around" w:hAnchor="page" w:x="1276" w:y="13966"/>
      </w:pPr>
      <w:bookmarkStart w:id="11" w:name="FY"/>
      <w:r>
        <w:fldChar w:fldCharType="begin">
          <w:ffData>
            <w:name w:val="FY"/>
            <w:enabled/>
            <w:calcOnExit w:val="0"/>
            <w:entryMacro w:val="ShowHelp8"/>
            <w:textInput>
              <w:default w:val="××××"/>
              <w:maxLength w:val="4"/>
            </w:textInput>
          </w:ffData>
        </w:fldChar>
      </w:r>
      <w:r>
        <w:instrText xml:space="preserve"> FORMTEXT </w:instrText>
      </w:r>
      <w:r>
        <w:fldChar w:fldCharType="separate"/>
      </w:r>
      <w:r>
        <w:t>××××</w:t>
      </w:r>
      <w:r>
        <w:fldChar w:fldCharType="end"/>
      </w:r>
      <w:bookmarkEnd w:id="11"/>
      <w:r>
        <w:t xml:space="preserve"> - </w:t>
      </w:r>
      <w:r>
        <w:fldChar w:fldCharType="begin">
          <w:ffData>
            <w:name w:val="FM"/>
            <w:enabled/>
            <w:calcOnExit w:val="0"/>
            <w:entryMacro w:val="ShowHelp8"/>
            <w:textInput>
              <w:default w:val="××"/>
              <w:maxLength w:val="2"/>
            </w:textInput>
          </w:ffData>
        </w:fldChar>
      </w:r>
      <w:r>
        <w:instrText xml:space="preserve"> FORMTEXT </w:instrText>
      </w:r>
      <w:r>
        <w:fldChar w:fldCharType="separate"/>
      </w:r>
      <w:r>
        <w:t>××</w:t>
      </w:r>
      <w:r>
        <w:fldChar w:fldCharType="end"/>
      </w:r>
      <w:r>
        <w:t xml:space="preserve"> - </w:t>
      </w:r>
      <w:bookmarkStart w:id="12" w:name="FD"/>
      <w:r>
        <w:fldChar w:fldCharType="begin">
          <w:ffData>
            <w:name w:val="FD"/>
            <w:enabled/>
            <w:calcOnExit w:val="0"/>
            <w:entryMacro w:val="ShowHelp8"/>
            <w:textInput>
              <w:default w:val="××"/>
              <w:maxLength w:val="2"/>
            </w:textInput>
          </w:ffData>
        </w:fldChar>
      </w:r>
      <w:r>
        <w:instrText xml:space="preserve"> FORMTEXT </w:instrText>
      </w:r>
      <w:r>
        <w:fldChar w:fldCharType="separate"/>
      </w:r>
      <w:r>
        <w:t>××</w:t>
      </w:r>
      <w:r>
        <w:fldChar w:fldCharType="end"/>
      </w:r>
      <w:bookmarkEnd w:id="12"/>
      <w:r>
        <w:t>发布</w:t>
      </w:r>
      <w:r>
        <w:pict>
          <v:line id="直线 10" o:spid="_x0000_s1030" o:spt="20" style="position:absolute;left:0pt;margin-left:0.35pt;margin-top:38.95pt;height:0pt;width:481.9pt;mso-wrap-distance-bottom:0pt;mso-wrap-distance-left:9pt;mso-wrap-distance-right:9pt;mso-wrap-distance-top:0pt;z-index:251659264;mso-width-relative:page;mso-height-relative:page;" coordsize="21600,21600">
            <v:path arrowok="t"/>
            <v:fill focussize="0,0"/>
            <v:stroke/>
            <v:imagedata o:title=""/>
            <o:lock v:ext="edit"/>
            <w10:wrap type="square"/>
            <w10:anchorlock/>
          </v:line>
        </w:pict>
      </w:r>
    </w:p>
    <w:p>
      <w:pPr>
        <w:pStyle w:val="145"/>
        <w:framePr w:wrap="around" w:hAnchor="page" w:x="6916" w:y="13996"/>
      </w:pPr>
      <w:r>
        <w:fldChar w:fldCharType="begin">
          <w:ffData>
            <w:name w:val="SM"/>
            <w:enabled/>
            <w:calcOnExit w:val="0"/>
            <w:entryMacro w:val="ShowHelp9"/>
            <w:textInput>
              <w:default w:val="××"/>
              <w:maxLength w:val="2"/>
            </w:textInput>
          </w:ffData>
        </w:fldChar>
      </w:r>
      <w:r>
        <w:instrText xml:space="preserve"> FORMTEXT </w:instrText>
      </w:r>
      <w:r>
        <w:fldChar w:fldCharType="separate"/>
      </w:r>
      <w:r>
        <w:t>××</w:t>
      </w:r>
      <w:r>
        <w:fldChar w:fldCharType="end"/>
      </w:r>
      <w:r>
        <w:fldChar w:fldCharType="begin">
          <w:ffData>
            <w:name w:val="SM"/>
            <w:enabled/>
            <w:calcOnExit w:val="0"/>
            <w:entryMacro w:val="ShowHelp9"/>
            <w:textInput>
              <w:default w:val="××"/>
              <w:maxLength w:val="2"/>
            </w:textInput>
          </w:ffData>
        </w:fldChar>
      </w:r>
      <w:r>
        <w:instrText xml:space="preserve"> FORMTEXT </w:instrText>
      </w:r>
      <w:r>
        <w:fldChar w:fldCharType="separate"/>
      </w:r>
      <w:r>
        <w:t>××</w:t>
      </w:r>
      <w:r>
        <w:fldChar w:fldCharType="end"/>
      </w:r>
      <w:r>
        <w:t xml:space="preserve">- </w:t>
      </w:r>
      <w:bookmarkStart w:id="13" w:name="SM"/>
      <w:r>
        <w:fldChar w:fldCharType="begin">
          <w:ffData>
            <w:name w:val="SM"/>
            <w:enabled/>
            <w:calcOnExit w:val="0"/>
            <w:entryMacro w:val="ShowHelp9"/>
            <w:textInput>
              <w:default w:val="××"/>
              <w:maxLength w:val="2"/>
            </w:textInput>
          </w:ffData>
        </w:fldChar>
      </w:r>
      <w:r>
        <w:instrText xml:space="preserve"> FORMTEXT </w:instrText>
      </w:r>
      <w:r>
        <w:fldChar w:fldCharType="separate"/>
      </w:r>
      <w:r>
        <w:t>××</w:t>
      </w:r>
      <w:r>
        <w:fldChar w:fldCharType="end"/>
      </w:r>
      <w:bookmarkEnd w:id="13"/>
      <w:r>
        <w:t xml:space="preserve"> - </w:t>
      </w:r>
      <w:bookmarkStart w:id="14" w:name="SD"/>
      <w:r>
        <w:fldChar w:fldCharType="begin">
          <w:ffData>
            <w:name w:val="SD"/>
            <w:enabled/>
            <w:calcOnExit w:val="0"/>
            <w:entryMacro w:val="ShowHelp9"/>
            <w:textInput>
              <w:default w:val="××"/>
              <w:maxLength w:val="2"/>
            </w:textInput>
          </w:ffData>
        </w:fldChar>
      </w:r>
      <w:r>
        <w:instrText xml:space="preserve"> FORMTEXT </w:instrText>
      </w:r>
      <w:r>
        <w:fldChar w:fldCharType="separate"/>
      </w:r>
      <w:r>
        <w:t>××</w:t>
      </w:r>
      <w:r>
        <w:fldChar w:fldCharType="end"/>
      </w:r>
      <w:bookmarkEnd w:id="14"/>
      <w:r>
        <w:t>实施</w:t>
      </w:r>
    </w:p>
    <w:p>
      <w:pPr>
        <w:pStyle w:val="125"/>
        <w:framePr w:wrap="around"/>
        <w:rPr>
          <w:rFonts w:ascii="Times New Roman"/>
        </w:rPr>
      </w:pPr>
      <w:bookmarkStart w:id="15" w:name="fm"/>
      <w:r>
        <w:rPr>
          <w:rFonts w:ascii="Times New Roman"/>
          <w:color w:val="FF0000"/>
          <w:w w:val="100"/>
        </w:rPr>
        <w:pict>
          <v:rect id="LB" o:spid="_x0000_s1027" o:spt="1" style="position:absolute;left:0pt;margin-left:142.55pt;margin-top:-310.45pt;height:24pt;width:100pt;z-index:-251655168;mso-width-relative:page;mso-height-relative:page;" stroked="f" coordsize="21600,21600">
            <v:path/>
            <v:fill focussize="0,0"/>
            <v:stroke on="f"/>
            <v:imagedata o:title=""/>
            <o:lock v:ext="edit"/>
          </v:rect>
        </w:pict>
      </w:r>
      <w:r>
        <w:rPr>
          <w:rFonts w:ascii="Times New Roman"/>
          <w:color w:val="FF0000"/>
          <w:w w:val="100"/>
        </w:rPr>
        <w:pict>
          <v:rect id="DT" o:spid="_x0000_s1026" o:spt="1" style="position:absolute;left:0pt;margin-left:347.55pt;margin-top:-585.45pt;height:18pt;width:90pt;z-index:-251656192;mso-width-relative:page;mso-height-relative:page;" stroked="f" coordsize="21600,21600">
            <v:path/>
            <v:fill focussize="0,0"/>
            <v:stroke on="f"/>
            <v:imagedata o:title=""/>
            <o:lock v:ext="edit"/>
          </v:rect>
        </w:pict>
      </w:r>
      <w:r>
        <w:rPr>
          <w:rFonts w:ascii="Times New Roman"/>
          <w:color w:val="FF0000"/>
          <w:w w:val="100"/>
        </w:rPr>
        <w:pict>
          <v:line id="直线 11" o:spid="_x0000_s1031" o:spt="20" style="position:absolute;left:0pt;margin-left:70.8pt;margin-top:187.6pt;height:0pt;width:481.9pt;mso-position-horizontal-relative:page;mso-position-vertical-relative:page;z-index:251664384;mso-width-relative:page;mso-height-relative:page;" coordsize="21600,21600">
            <v:path arrowok="t"/>
            <v:fill focussize="0,0"/>
            <v:stroke/>
            <v:imagedata o:title=""/>
            <o:lock v:ext="edit"/>
          </v:line>
        </w:pict>
      </w:r>
      <w:r>
        <w:rPr>
          <w:rFonts w:ascii="Times New Roman"/>
          <w:color w:val="FF0000"/>
        </w:rPr>
        <w:fldChar w:fldCharType="begin">
          <w:ffData>
            <w:name w:val="fm"/>
            <w:enabled/>
            <w:calcOnExit w:val="0"/>
            <w:textInput/>
          </w:ffData>
        </w:fldChar>
      </w:r>
      <w:r>
        <w:rPr>
          <w:rFonts w:ascii="Times New Roman"/>
          <w:color w:val="FF0000"/>
        </w:rPr>
        <w:instrText xml:space="preserve"> FORMTEXT </w:instrText>
      </w:r>
      <w:r>
        <w:rPr>
          <w:rFonts w:ascii="Times New Roman"/>
          <w:color w:val="FF0000"/>
        </w:rPr>
        <w:fldChar w:fldCharType="separate"/>
      </w:r>
      <w:r>
        <w:rPr>
          <w:rFonts w:ascii="Times New Roman"/>
        </w:rPr>
        <w:t>江苏省市场监督管理局</w:t>
      </w:r>
      <w:r>
        <w:rPr>
          <w:rFonts w:ascii="Times New Roman"/>
          <w:color w:val="FF0000"/>
        </w:rPr>
        <w:fldChar w:fldCharType="end"/>
      </w:r>
      <w:bookmarkEnd w:id="15"/>
      <w:r>
        <w:rPr>
          <w:rFonts w:ascii="Times New Roman"/>
        </w:rPr>
        <w:t>   </w:t>
      </w:r>
      <w:r>
        <w:rPr>
          <w:rStyle w:val="87"/>
          <w:rFonts w:ascii="Times New Roman"/>
        </w:rPr>
        <w:t>发布</w:t>
      </w:r>
    </w:p>
    <w:p>
      <w:pPr>
        <w:pStyle w:val="50"/>
        <w:rPr>
          <w:rFonts w:ascii="Times New Roman"/>
        </w:rPr>
        <w:sectPr>
          <w:pgSz w:w="11906" w:h="16838"/>
          <w:pgMar w:top="1440" w:right="1800" w:bottom="1440" w:left="1800" w:header="851" w:footer="992" w:gutter="0"/>
          <w:cols w:space="425" w:num="1"/>
          <w:docGrid w:type="lines" w:linePitch="312" w:charSpace="0"/>
        </w:sectPr>
      </w:pPr>
      <w:bookmarkStart w:id="281" w:name="_GoBack"/>
      <w:bookmarkEnd w:id="281"/>
    </w:p>
    <w:p>
      <w:pPr>
        <w:pStyle w:val="64"/>
        <w:rPr>
          <w:rFonts w:ascii="Times New Roman" w:hAnsi="Times New Roman"/>
        </w:rPr>
      </w:pPr>
      <w:bookmarkStart w:id="16" w:name="_Toc60992908"/>
      <w:bookmarkStart w:id="17" w:name="_Toc29890001"/>
      <w:bookmarkStart w:id="18" w:name="_Toc419727143"/>
      <w:bookmarkStart w:id="19" w:name="_Toc418781112"/>
      <w:bookmarkStart w:id="20" w:name="_Toc501525303"/>
      <w:bookmarkStart w:id="21" w:name="_Toc80259986"/>
      <w:bookmarkStart w:id="22" w:name="_Toc501463785"/>
      <w:bookmarkStart w:id="23" w:name="_Toc83827826"/>
      <w:bookmarkStart w:id="24" w:name="_Toc59612069"/>
      <w:bookmarkStart w:id="25" w:name="_Toc414620756"/>
      <w:bookmarkStart w:id="26" w:name="_Toc415238201"/>
      <w:bookmarkStart w:id="27" w:name="_Toc98856898"/>
      <w:bookmarkStart w:id="28" w:name="_Toc415238441"/>
      <w:bookmarkStart w:id="29" w:name="_Toc61004666"/>
      <w:bookmarkStart w:id="30" w:name="_Toc415238819"/>
      <w:bookmarkStart w:id="31" w:name="_Toc82873084"/>
      <w:bookmarkStart w:id="32" w:name="_Toc74824813"/>
      <w:bookmarkStart w:id="33" w:name="_Toc83913381"/>
      <w:bookmarkStart w:id="34" w:name="_Toc84862642"/>
      <w:bookmarkStart w:id="35" w:name="_Toc421279035"/>
      <w:bookmarkStart w:id="36" w:name="_Toc114057877"/>
      <w:bookmarkStart w:id="37" w:name="_Toc421278989"/>
      <w:bookmarkStart w:id="38" w:name="_Toc88482926"/>
      <w:bookmarkStart w:id="39" w:name="_Toc92721364"/>
      <w:bookmarkStart w:id="40" w:name="_Toc76376498"/>
      <w:bookmarkStart w:id="41" w:name="_Toc421278899"/>
      <w:bookmarkStart w:id="42" w:name="_Toc29889947"/>
      <w:bookmarkStart w:id="43" w:name="_Toc421267083"/>
      <w:bookmarkStart w:id="44" w:name="_Toc419727659"/>
      <w:bookmarkStart w:id="45" w:name="_Toc418157334"/>
      <w:bookmarkStart w:id="46" w:name="_Toc97891354"/>
      <w:bookmarkStart w:id="47" w:name="_Toc97562498"/>
      <w:bookmarkStart w:id="48" w:name="_Toc413828883"/>
      <w:bookmarkStart w:id="49" w:name="_Toc83227343"/>
      <w:r>
        <w:rPr>
          <w:rFonts w:ascii="Times New Roman" w:hAnsi="Times New Roman"/>
        </w:rPr>
        <w:t>目</w:t>
      </w:r>
      <w:bookmarkStart w:id="50" w:name="BKML"/>
      <w:r>
        <w:rPr>
          <w:rFonts w:ascii="Times New Roman" w:hAnsi="Times New Roman" w:eastAsia="MS Mincho"/>
        </w:rPr>
        <w:t>  </w:t>
      </w:r>
      <w:r>
        <w:rPr>
          <w:rFonts w:ascii="Times New Roman" w:hAnsi="Times New Roman"/>
        </w:rPr>
        <w:t>次</w:t>
      </w:r>
      <w:bookmarkEnd w:id="50"/>
    </w:p>
    <w:p>
      <w:pPr>
        <w:pStyle w:val="20"/>
        <w:spacing w:before="78" w:after="78"/>
        <w:rPr>
          <w:rFonts w:ascii="Times New Roman" w:hAnsi="Times New Roman"/>
          <w:szCs w:val="22"/>
        </w:rPr>
      </w:pPr>
      <w:r>
        <w:rPr>
          <w:rFonts w:ascii="Times New Roman" w:hAnsi="Times New Roman"/>
        </w:rPr>
        <w:fldChar w:fldCharType="begin" w:fldLock="1"/>
      </w:r>
      <w:r>
        <w:rPr>
          <w:rFonts w:ascii="Times New Roman" w:hAnsi="Times New Roman"/>
        </w:rPr>
        <w:instrText xml:space="preserve"> TOC \h \z \t"前言、引言标题,1,参考文献、索引标题,1,章标题,1,参考文献,1,附录标识,1" \* MERGEFORMAT </w:instrText>
      </w:r>
      <w:r>
        <w:rPr>
          <w:rFonts w:ascii="Times New Roman" w:hAnsi="Times New Roman"/>
        </w:rPr>
        <w:fldChar w:fldCharType="separate"/>
      </w:r>
      <w:r>
        <w:fldChar w:fldCharType="begin"/>
      </w:r>
      <w:r>
        <w:instrText xml:space="preserve"> HYPERLINK \l "_Toc114062147" </w:instrText>
      </w:r>
      <w:r>
        <w:fldChar w:fldCharType="separate"/>
      </w:r>
      <w:r>
        <w:rPr>
          <w:rStyle w:val="39"/>
          <w:rFonts w:ascii="Times New Roman" w:hAnsi="Times New Roman"/>
        </w:rPr>
        <w:t>前言</w:t>
      </w:r>
      <w:r>
        <w:rPr>
          <w:rFonts w:ascii="Times New Roman" w:hAnsi="Times New Roman"/>
        </w:rPr>
        <w:tab/>
      </w:r>
      <w:r>
        <w:rPr>
          <w:rFonts w:ascii="Times New Roman" w:hAnsi="Times New Roman"/>
        </w:rPr>
        <w:fldChar w:fldCharType="begin" w:fldLock="1"/>
      </w:r>
      <w:r>
        <w:rPr>
          <w:rFonts w:ascii="Times New Roman" w:hAnsi="Times New Roman"/>
        </w:rPr>
        <w:instrText xml:space="preserve"> PAGEREF _Toc114062147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pPr>
        <w:pStyle w:val="20"/>
        <w:spacing w:before="78" w:after="78"/>
        <w:rPr>
          <w:rFonts w:ascii="Times New Roman" w:hAnsi="Times New Roman"/>
          <w:szCs w:val="22"/>
        </w:rPr>
      </w:pPr>
      <w:r>
        <w:fldChar w:fldCharType="begin"/>
      </w:r>
      <w:r>
        <w:instrText xml:space="preserve"> HYPERLINK \l "_Toc114062148" </w:instrText>
      </w:r>
      <w:r>
        <w:fldChar w:fldCharType="separate"/>
      </w:r>
      <w:r>
        <w:rPr>
          <w:rStyle w:val="39"/>
          <w:rFonts w:ascii="Times New Roman" w:hAnsi="Times New Roman"/>
        </w:rPr>
        <w:t>1　范围</w:t>
      </w:r>
      <w:r>
        <w:rPr>
          <w:rFonts w:ascii="Times New Roman" w:hAnsi="Times New Roman"/>
        </w:rPr>
        <w:tab/>
      </w:r>
      <w:r>
        <w:rPr>
          <w:rFonts w:ascii="Times New Roman" w:hAnsi="Times New Roman"/>
        </w:rPr>
        <w:fldChar w:fldCharType="begin" w:fldLock="1"/>
      </w:r>
      <w:r>
        <w:rPr>
          <w:rFonts w:ascii="Times New Roman" w:hAnsi="Times New Roman"/>
        </w:rPr>
        <w:instrText xml:space="preserve"> PAGEREF _Toc114062148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0"/>
        <w:spacing w:before="78" w:after="78"/>
        <w:outlineLvl w:val="1"/>
        <w:rPr>
          <w:rFonts w:ascii="Times New Roman" w:hAnsi="Times New Roman"/>
          <w:szCs w:val="22"/>
        </w:rPr>
      </w:pPr>
      <w:r>
        <w:fldChar w:fldCharType="begin"/>
      </w:r>
      <w:r>
        <w:instrText xml:space="preserve"> HYPERLINK \l "_Toc114062149" </w:instrText>
      </w:r>
      <w:r>
        <w:fldChar w:fldCharType="separate"/>
      </w:r>
      <w:r>
        <w:rPr>
          <w:rStyle w:val="39"/>
          <w:rFonts w:ascii="Times New Roman" w:hAnsi="Times New Roman"/>
        </w:rPr>
        <w:t>2　规范性引用文件</w:t>
      </w:r>
      <w:r>
        <w:rPr>
          <w:rFonts w:ascii="Times New Roman" w:hAnsi="Times New Roman"/>
        </w:rPr>
        <w:tab/>
      </w:r>
      <w:r>
        <w:rPr>
          <w:rFonts w:ascii="Times New Roman" w:hAnsi="Times New Roman"/>
        </w:rPr>
        <w:fldChar w:fldCharType="begin" w:fldLock="1"/>
      </w:r>
      <w:r>
        <w:rPr>
          <w:rFonts w:ascii="Times New Roman" w:hAnsi="Times New Roman"/>
        </w:rPr>
        <w:instrText xml:space="preserve"> PAGEREF _Toc114062149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0"/>
        <w:spacing w:before="78" w:after="78"/>
        <w:rPr>
          <w:rFonts w:ascii="Times New Roman" w:hAnsi="Times New Roman"/>
          <w:szCs w:val="22"/>
        </w:rPr>
      </w:pPr>
      <w:r>
        <w:fldChar w:fldCharType="begin"/>
      </w:r>
      <w:r>
        <w:instrText xml:space="preserve"> HYPERLINK \l "_Toc114062150" </w:instrText>
      </w:r>
      <w:r>
        <w:fldChar w:fldCharType="separate"/>
      </w:r>
      <w:r>
        <w:rPr>
          <w:rStyle w:val="39"/>
          <w:rFonts w:ascii="Times New Roman" w:hAnsi="Times New Roman"/>
        </w:rPr>
        <w:t>3　术语和定义</w:t>
      </w:r>
      <w:r>
        <w:rPr>
          <w:rFonts w:ascii="Times New Roman" w:hAnsi="Times New Roman"/>
        </w:rPr>
        <w:tab/>
      </w:r>
      <w:r>
        <w:rPr>
          <w:rFonts w:ascii="Times New Roman" w:hAnsi="Times New Roman"/>
        </w:rPr>
        <w:fldChar w:fldCharType="begin" w:fldLock="1"/>
      </w:r>
      <w:r>
        <w:rPr>
          <w:rFonts w:ascii="Times New Roman" w:hAnsi="Times New Roman"/>
        </w:rPr>
        <w:instrText xml:space="preserve"> PAGEREF _Toc114062150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0"/>
        <w:spacing w:before="78" w:after="78"/>
        <w:rPr>
          <w:rFonts w:ascii="Times New Roman" w:hAnsi="Times New Roman"/>
          <w:szCs w:val="22"/>
        </w:rPr>
      </w:pPr>
      <w:r>
        <w:fldChar w:fldCharType="begin"/>
      </w:r>
      <w:r>
        <w:instrText xml:space="preserve"> HYPERLINK \l "_Toc114062151" </w:instrText>
      </w:r>
      <w:r>
        <w:fldChar w:fldCharType="separate"/>
      </w:r>
      <w:r>
        <w:rPr>
          <w:rStyle w:val="39"/>
          <w:rFonts w:ascii="Times New Roman" w:hAnsi="Times New Roman"/>
        </w:rPr>
        <w:t>4　基本要求</w:t>
      </w:r>
      <w:r>
        <w:rPr>
          <w:rFonts w:ascii="Times New Roman" w:hAnsi="Times New Roman"/>
        </w:rPr>
        <w:tab/>
      </w:r>
      <w:r>
        <w:rPr>
          <w:rFonts w:ascii="Times New Roman" w:hAnsi="Times New Roman"/>
        </w:rPr>
        <w:t>2</w:t>
      </w:r>
      <w:r>
        <w:rPr>
          <w:rFonts w:ascii="Times New Roman" w:hAnsi="Times New Roman"/>
        </w:rPr>
        <w:fldChar w:fldCharType="end"/>
      </w:r>
    </w:p>
    <w:p>
      <w:pPr>
        <w:pStyle w:val="20"/>
        <w:spacing w:before="78" w:after="78"/>
        <w:outlineLvl w:val="8"/>
        <w:rPr>
          <w:rStyle w:val="39"/>
          <w:rFonts w:ascii="Times New Roman" w:hAnsi="Times New Roman"/>
        </w:rPr>
      </w:pPr>
      <w:r>
        <w:fldChar w:fldCharType="begin"/>
      </w:r>
      <w:r>
        <w:instrText xml:space="preserve"> HYPERLINK \l "_Toc114062152" </w:instrText>
      </w:r>
      <w:r>
        <w:fldChar w:fldCharType="separate"/>
      </w:r>
      <w:r>
        <w:rPr>
          <w:rStyle w:val="39"/>
          <w:rFonts w:ascii="Times New Roman" w:hAnsi="Times New Roman"/>
        </w:rPr>
        <w:t>5　材料</w:t>
      </w:r>
      <w:r>
        <w:rPr>
          <w:rFonts w:ascii="Times New Roman" w:hAnsi="Times New Roman"/>
        </w:rPr>
        <w:tab/>
      </w:r>
      <w:r>
        <w:rPr>
          <w:rFonts w:ascii="Times New Roman" w:hAnsi="Times New Roman"/>
        </w:rPr>
        <w:t>2</w:t>
      </w:r>
      <w:r>
        <w:rPr>
          <w:rFonts w:ascii="Times New Roman" w:hAnsi="Times New Roman"/>
        </w:rPr>
        <w:fldChar w:fldCharType="end"/>
      </w:r>
    </w:p>
    <w:p>
      <w:pPr>
        <w:pStyle w:val="20"/>
        <w:spacing w:before="78" w:after="78"/>
        <w:ind w:firstLine="210" w:firstLineChars="100"/>
        <w:rPr>
          <w:rFonts w:ascii="Times New Roman" w:hAnsi="Times New Roman"/>
          <w:szCs w:val="22"/>
        </w:rPr>
      </w:pPr>
      <w:r>
        <w:fldChar w:fldCharType="begin"/>
      </w:r>
      <w:r>
        <w:instrText xml:space="preserve"> HYPERLINK \l "_Toc114062153" </w:instrText>
      </w:r>
      <w:r>
        <w:fldChar w:fldCharType="separate"/>
      </w:r>
      <w:r>
        <w:rPr>
          <w:rStyle w:val="39"/>
          <w:rFonts w:ascii="Times New Roman" w:hAnsi="Times New Roman"/>
        </w:rPr>
        <w:t>5.1　药剂</w:t>
      </w:r>
      <w:r>
        <w:rPr>
          <w:rFonts w:ascii="Times New Roman" w:hAnsi="Times New Roman"/>
        </w:rPr>
        <w:tab/>
      </w:r>
      <w:r>
        <w:rPr>
          <w:rFonts w:ascii="Times New Roman" w:hAnsi="Times New Roman"/>
        </w:rPr>
        <w:t>3</w:t>
      </w:r>
      <w:r>
        <w:rPr>
          <w:rFonts w:ascii="Times New Roman" w:hAnsi="Times New Roman"/>
        </w:rPr>
        <w:fldChar w:fldCharType="end"/>
      </w:r>
    </w:p>
    <w:p>
      <w:pPr>
        <w:pStyle w:val="20"/>
        <w:spacing w:before="78" w:after="78"/>
        <w:ind w:firstLine="210" w:firstLineChars="100"/>
        <w:rPr>
          <w:rFonts w:ascii="Times New Roman" w:hAnsi="Times New Roman"/>
          <w:szCs w:val="22"/>
        </w:rPr>
      </w:pPr>
      <w:r>
        <w:fldChar w:fldCharType="begin"/>
      </w:r>
      <w:r>
        <w:instrText xml:space="preserve"> HYPERLINK \l "_Toc114062153" </w:instrText>
      </w:r>
      <w:r>
        <w:fldChar w:fldCharType="separate"/>
      </w:r>
      <w:r>
        <w:rPr>
          <w:rStyle w:val="39"/>
          <w:rFonts w:ascii="Times New Roman" w:hAnsi="Times New Roman"/>
        </w:rPr>
        <w:t>5.2　监测控制系统</w:t>
      </w:r>
      <w:r>
        <w:rPr>
          <w:rFonts w:ascii="Times New Roman" w:hAnsi="Times New Roman"/>
        </w:rPr>
        <w:tab/>
      </w:r>
      <w:r>
        <w:rPr>
          <w:rFonts w:ascii="Times New Roman" w:hAnsi="Times New Roman"/>
        </w:rPr>
        <w:t>3</w:t>
      </w:r>
      <w:r>
        <w:rPr>
          <w:rFonts w:ascii="Times New Roman" w:hAnsi="Times New Roman"/>
        </w:rPr>
        <w:fldChar w:fldCharType="end"/>
      </w:r>
    </w:p>
    <w:p>
      <w:pPr>
        <w:pStyle w:val="20"/>
        <w:spacing w:before="78" w:after="78"/>
        <w:ind w:firstLine="210" w:firstLineChars="100"/>
        <w:rPr>
          <w:rFonts w:ascii="Times New Roman" w:hAnsi="Times New Roman"/>
          <w:szCs w:val="22"/>
        </w:rPr>
      </w:pPr>
      <w:r>
        <w:fldChar w:fldCharType="begin"/>
      </w:r>
      <w:r>
        <w:instrText xml:space="preserve"> HYPERLINK \l "_Toc114062153" </w:instrText>
      </w:r>
      <w:r>
        <w:fldChar w:fldCharType="separate"/>
      </w:r>
      <w:r>
        <w:rPr>
          <w:rStyle w:val="39"/>
          <w:rFonts w:ascii="Times New Roman" w:hAnsi="Times New Roman"/>
        </w:rPr>
        <w:t>5.3　贮存和管理</w:t>
      </w:r>
      <w:r>
        <w:rPr>
          <w:rFonts w:ascii="Times New Roman" w:hAnsi="Times New Roman"/>
        </w:rPr>
        <w:tab/>
      </w:r>
      <w:r>
        <w:rPr>
          <w:rFonts w:ascii="Times New Roman" w:hAnsi="Times New Roman"/>
        </w:rPr>
        <w:t>3</w:t>
      </w:r>
      <w:r>
        <w:rPr>
          <w:rFonts w:ascii="Times New Roman" w:hAnsi="Times New Roman"/>
        </w:rPr>
        <w:fldChar w:fldCharType="end"/>
      </w:r>
    </w:p>
    <w:p>
      <w:pPr>
        <w:pStyle w:val="20"/>
        <w:spacing w:before="78" w:after="78"/>
        <w:rPr>
          <w:rFonts w:ascii="Times New Roman" w:hAnsi="Times New Roman"/>
        </w:rPr>
      </w:pPr>
      <w:r>
        <w:fldChar w:fldCharType="begin"/>
      </w:r>
      <w:r>
        <w:instrText xml:space="preserve"> HYPERLINK \l "_Toc114062153" </w:instrText>
      </w:r>
      <w:r>
        <w:fldChar w:fldCharType="separate"/>
      </w:r>
      <w:r>
        <w:rPr>
          <w:rStyle w:val="39"/>
          <w:rFonts w:ascii="Times New Roman" w:hAnsi="Times New Roman"/>
        </w:rPr>
        <w:t>6　灭治流程</w:t>
      </w:r>
      <w:r>
        <w:rPr>
          <w:rFonts w:ascii="Times New Roman" w:hAnsi="Times New Roman"/>
        </w:rPr>
        <w:tab/>
      </w:r>
      <w:r>
        <w:rPr>
          <w:rFonts w:ascii="Times New Roman" w:hAnsi="Times New Roman"/>
        </w:rPr>
        <w:t>3</w:t>
      </w:r>
      <w:r>
        <w:rPr>
          <w:rFonts w:ascii="Times New Roman" w:hAnsi="Times New Roman"/>
        </w:rPr>
        <w:fldChar w:fldCharType="end"/>
      </w:r>
    </w:p>
    <w:p>
      <w:pPr>
        <w:pStyle w:val="20"/>
        <w:spacing w:before="78" w:after="78"/>
        <w:ind w:firstLine="210" w:firstLineChars="100"/>
        <w:rPr>
          <w:rStyle w:val="39"/>
          <w:rFonts w:ascii="Times New Roman" w:hAnsi="Times New Roman"/>
        </w:rPr>
      </w:pPr>
      <w:r>
        <w:fldChar w:fldCharType="begin"/>
      </w:r>
      <w:r>
        <w:instrText xml:space="preserve"> HYPERLINK \l "_Toc114062153" </w:instrText>
      </w:r>
      <w:r>
        <w:fldChar w:fldCharType="separate"/>
      </w:r>
      <w:r>
        <w:rPr>
          <w:rStyle w:val="39"/>
          <w:rFonts w:ascii="Times New Roman" w:hAnsi="Times New Roman"/>
        </w:rPr>
        <w:t>6.1　蚁害调查</w:t>
      </w:r>
      <w:r>
        <w:rPr>
          <w:rFonts w:ascii="Times New Roman" w:hAnsi="Times New Roman"/>
        </w:rPr>
        <w:tab/>
      </w:r>
      <w:r>
        <w:rPr>
          <w:rFonts w:ascii="Times New Roman" w:hAnsi="Times New Roman"/>
        </w:rPr>
        <w:t>4</w:t>
      </w:r>
      <w:r>
        <w:rPr>
          <w:rFonts w:ascii="Times New Roman" w:hAnsi="Times New Roman"/>
        </w:rPr>
        <w:fldChar w:fldCharType="end"/>
      </w:r>
    </w:p>
    <w:p>
      <w:pPr>
        <w:pStyle w:val="20"/>
        <w:spacing w:before="78" w:after="78"/>
        <w:ind w:firstLine="210" w:firstLineChars="100"/>
        <w:rPr>
          <w:rFonts w:ascii="Times New Roman" w:hAnsi="Times New Roman"/>
          <w:szCs w:val="22"/>
        </w:rPr>
      </w:pPr>
      <w:r>
        <w:fldChar w:fldCharType="begin"/>
      </w:r>
      <w:r>
        <w:instrText xml:space="preserve"> HYPERLINK \l "_Toc114062153" </w:instrText>
      </w:r>
      <w:r>
        <w:fldChar w:fldCharType="separate"/>
      </w:r>
      <w:r>
        <w:rPr>
          <w:rStyle w:val="39"/>
          <w:rFonts w:ascii="Times New Roman" w:hAnsi="Times New Roman"/>
        </w:rPr>
        <w:t>6.2　方案制定</w:t>
      </w:r>
      <w:r>
        <w:rPr>
          <w:rFonts w:ascii="Times New Roman" w:hAnsi="Times New Roman"/>
        </w:rPr>
        <w:tab/>
      </w:r>
      <w:r>
        <w:rPr>
          <w:rFonts w:ascii="Times New Roman" w:hAnsi="Times New Roman"/>
        </w:rPr>
        <w:t>4</w:t>
      </w:r>
      <w:r>
        <w:rPr>
          <w:rFonts w:ascii="Times New Roman" w:hAnsi="Times New Roman"/>
        </w:rPr>
        <w:fldChar w:fldCharType="end"/>
      </w:r>
    </w:p>
    <w:p>
      <w:pPr>
        <w:pStyle w:val="20"/>
        <w:spacing w:before="78" w:after="78"/>
        <w:ind w:firstLine="210" w:firstLineChars="100"/>
        <w:rPr>
          <w:rFonts w:ascii="Times New Roman" w:hAnsi="Times New Roman"/>
          <w:szCs w:val="22"/>
        </w:rPr>
      </w:pPr>
      <w:r>
        <w:fldChar w:fldCharType="begin"/>
      </w:r>
      <w:r>
        <w:instrText xml:space="preserve"> HYPERLINK \l "_Toc114062153" </w:instrText>
      </w:r>
      <w:r>
        <w:fldChar w:fldCharType="separate"/>
      </w:r>
      <w:r>
        <w:rPr>
          <w:rStyle w:val="39"/>
          <w:rFonts w:ascii="Times New Roman" w:hAnsi="Times New Roman"/>
        </w:rPr>
        <w:t>6.3  灭治施工</w:t>
      </w:r>
      <w:r>
        <w:rPr>
          <w:rFonts w:ascii="Times New Roman" w:hAnsi="Times New Roman"/>
        </w:rPr>
        <w:tab/>
      </w:r>
      <w:r>
        <w:rPr>
          <w:rFonts w:ascii="Times New Roman" w:hAnsi="Times New Roman"/>
        </w:rPr>
        <w:t>6</w:t>
      </w:r>
      <w:r>
        <w:rPr>
          <w:rFonts w:ascii="Times New Roman" w:hAnsi="Times New Roman"/>
        </w:rPr>
        <w:fldChar w:fldCharType="end"/>
      </w:r>
    </w:p>
    <w:p>
      <w:pPr>
        <w:pStyle w:val="20"/>
        <w:spacing w:before="78" w:after="78"/>
        <w:ind w:firstLine="210" w:firstLineChars="100"/>
        <w:rPr>
          <w:rFonts w:ascii="Times New Roman" w:hAnsi="Times New Roman"/>
          <w:szCs w:val="22"/>
        </w:rPr>
      </w:pPr>
      <w:r>
        <w:fldChar w:fldCharType="begin"/>
      </w:r>
      <w:r>
        <w:instrText xml:space="preserve"> HYPERLINK \l "_Toc114062153" </w:instrText>
      </w:r>
      <w:r>
        <w:fldChar w:fldCharType="separate"/>
      </w:r>
      <w:r>
        <w:rPr>
          <w:rStyle w:val="39"/>
          <w:rFonts w:ascii="Times New Roman" w:hAnsi="Times New Roman"/>
        </w:rPr>
        <w:t>6.4　施工安全</w:t>
      </w:r>
      <w:r>
        <w:rPr>
          <w:rFonts w:ascii="Times New Roman" w:hAnsi="Times New Roman"/>
        </w:rPr>
        <w:tab/>
      </w:r>
      <w:r>
        <w:rPr>
          <w:rFonts w:ascii="Times New Roman" w:hAnsi="Times New Roman"/>
        </w:rPr>
        <w:t>6</w:t>
      </w:r>
      <w:r>
        <w:rPr>
          <w:rFonts w:ascii="Times New Roman" w:hAnsi="Times New Roman"/>
        </w:rPr>
        <w:fldChar w:fldCharType="end"/>
      </w:r>
    </w:p>
    <w:p>
      <w:pPr>
        <w:pStyle w:val="20"/>
        <w:spacing w:before="78" w:after="78"/>
        <w:ind w:firstLine="210" w:firstLineChars="100"/>
        <w:rPr>
          <w:rFonts w:ascii="Times New Roman" w:hAnsi="Times New Roman"/>
        </w:rPr>
      </w:pPr>
      <w:r>
        <w:fldChar w:fldCharType="begin"/>
      </w:r>
      <w:r>
        <w:instrText xml:space="preserve"> HYPERLINK \l "_Toc114062153" </w:instrText>
      </w:r>
      <w:r>
        <w:fldChar w:fldCharType="separate"/>
      </w:r>
      <w:r>
        <w:rPr>
          <w:rStyle w:val="39"/>
          <w:rFonts w:ascii="Times New Roman" w:hAnsi="Times New Roman"/>
        </w:rPr>
        <w:t>6.5　效果评价</w:t>
      </w:r>
      <w:r>
        <w:rPr>
          <w:rFonts w:ascii="Times New Roman" w:hAnsi="Times New Roman"/>
        </w:rPr>
        <w:tab/>
      </w:r>
      <w:r>
        <w:rPr>
          <w:rFonts w:ascii="Times New Roman" w:hAnsi="Times New Roman"/>
        </w:rPr>
        <w:t>7</w:t>
      </w:r>
      <w:r>
        <w:rPr>
          <w:rFonts w:ascii="Times New Roman" w:hAnsi="Times New Roman"/>
        </w:rPr>
        <w:fldChar w:fldCharType="end"/>
      </w:r>
    </w:p>
    <w:p>
      <w:pPr>
        <w:pStyle w:val="20"/>
        <w:spacing w:before="78" w:after="78"/>
        <w:rPr>
          <w:rFonts w:ascii="Times New Roman" w:hAnsi="Times New Roman"/>
          <w:szCs w:val="22"/>
        </w:rPr>
      </w:pPr>
      <w:r>
        <w:fldChar w:fldCharType="begin"/>
      </w:r>
      <w:r>
        <w:instrText xml:space="preserve"> HYPERLINK \l "_Toc114062154" </w:instrText>
      </w:r>
      <w:r>
        <w:fldChar w:fldCharType="separate"/>
      </w:r>
      <w:r>
        <w:rPr>
          <w:rStyle w:val="39"/>
          <w:rFonts w:ascii="Times New Roman" w:hAnsi="Times New Roman"/>
        </w:rPr>
        <w:t>7　档案管理</w:t>
      </w:r>
      <w:r>
        <w:rPr>
          <w:rFonts w:ascii="Times New Roman" w:hAnsi="Times New Roman"/>
        </w:rPr>
        <w:tab/>
      </w:r>
      <w:r>
        <w:rPr>
          <w:rFonts w:ascii="Times New Roman" w:hAnsi="Times New Roman"/>
        </w:rPr>
        <w:t>7</w:t>
      </w:r>
      <w:r>
        <w:rPr>
          <w:rFonts w:ascii="Times New Roman" w:hAnsi="Times New Roman"/>
        </w:rPr>
        <w:fldChar w:fldCharType="end"/>
      </w:r>
    </w:p>
    <w:p>
      <w:pPr>
        <w:pStyle w:val="20"/>
        <w:spacing w:before="78" w:after="78"/>
        <w:rPr>
          <w:rFonts w:ascii="Times New Roman" w:hAnsi="Times New Roman"/>
          <w:szCs w:val="22"/>
        </w:rPr>
      </w:pPr>
      <w:r>
        <w:fldChar w:fldCharType="begin"/>
      </w:r>
      <w:r>
        <w:instrText xml:space="preserve"> HYPERLINK \l "_Toc114062159" </w:instrText>
      </w:r>
      <w:r>
        <w:fldChar w:fldCharType="separate"/>
      </w:r>
      <w:r>
        <w:rPr>
          <w:rStyle w:val="39"/>
          <w:rFonts w:ascii="Times New Roman" w:hAnsi="Times New Roman"/>
        </w:rPr>
        <w:t>附录A（规范性）房屋白蚁灭治施工要求和</w:t>
      </w:r>
      <w:r>
        <w:rPr>
          <w:rStyle w:val="39"/>
          <w:rFonts w:hint="eastAsia" w:ascii="Times New Roman" w:hAnsi="Times New Roman"/>
        </w:rPr>
        <w:t>处理</w:t>
      </w:r>
      <w:r>
        <w:rPr>
          <w:rStyle w:val="39"/>
          <w:rFonts w:ascii="Times New Roman" w:hAnsi="Times New Roman"/>
        </w:rPr>
        <w:t>步骤</w:t>
      </w:r>
      <w:r>
        <w:rPr>
          <w:rFonts w:ascii="Times New Roman" w:hAnsi="Times New Roman"/>
        </w:rPr>
        <w:tab/>
      </w:r>
      <w:r>
        <w:rPr>
          <w:rFonts w:ascii="Times New Roman" w:hAnsi="Times New Roman"/>
        </w:rPr>
        <w:fldChar w:fldCharType="begin" w:fldLock="1"/>
      </w:r>
      <w:r>
        <w:rPr>
          <w:rFonts w:ascii="Times New Roman" w:hAnsi="Times New Roman"/>
        </w:rPr>
        <w:instrText xml:space="preserve"> PAGEREF _Toc114062159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20"/>
        <w:spacing w:before="78" w:after="78"/>
        <w:rPr>
          <w:rFonts w:ascii="Times New Roman" w:hAnsi="Times New Roman"/>
          <w:szCs w:val="22"/>
        </w:rPr>
      </w:pPr>
      <w:r>
        <w:fldChar w:fldCharType="begin"/>
      </w:r>
      <w:r>
        <w:instrText xml:space="preserve"> HYPERLINK \l "_Toc114062160" </w:instrText>
      </w:r>
      <w:r>
        <w:fldChar w:fldCharType="separate"/>
      </w:r>
      <w:r>
        <w:rPr>
          <w:rStyle w:val="39"/>
          <w:rFonts w:ascii="Times New Roman" w:hAnsi="Times New Roman"/>
        </w:rPr>
        <w:t>附录B（规范性）房屋白蚁灭治表样式</w:t>
      </w:r>
      <w:r>
        <w:rPr>
          <w:rFonts w:ascii="Times New Roman" w:hAnsi="Times New Roman"/>
        </w:rPr>
        <w:tab/>
      </w:r>
      <w:r>
        <w:rPr>
          <w:rFonts w:ascii="Times New Roman" w:hAnsi="Times New Roman"/>
        </w:rPr>
        <w:fldChar w:fldCharType="begin" w:fldLock="1"/>
      </w:r>
      <w:r>
        <w:rPr>
          <w:rFonts w:ascii="Times New Roman" w:hAnsi="Times New Roman"/>
        </w:rPr>
        <w:instrText xml:space="preserve"> PAGEREF _Toc114062160 \h </w:instrText>
      </w:r>
      <w:r>
        <w:rPr>
          <w:rFonts w:ascii="Times New Roman" w:hAnsi="Times New Roman"/>
        </w:rPr>
        <w:fldChar w:fldCharType="separate"/>
      </w:r>
      <w:r>
        <w:rPr>
          <w:rFonts w:ascii="Times New Roman" w:hAnsi="Times New Roman"/>
        </w:rPr>
        <w:t>13</w:t>
      </w:r>
      <w:r>
        <w:rPr>
          <w:rFonts w:ascii="Times New Roman" w:hAnsi="Times New Roman"/>
        </w:rPr>
        <w:fldChar w:fldCharType="end"/>
      </w:r>
      <w:r>
        <w:rPr>
          <w:rFonts w:ascii="Times New Roman" w:hAnsi="Times New Roman"/>
        </w:rPr>
        <w:fldChar w:fldCharType="end"/>
      </w:r>
    </w:p>
    <w:p>
      <w:pPr>
        <w:pStyle w:val="20"/>
        <w:spacing w:before="78" w:after="78"/>
        <w:rPr>
          <w:rFonts w:ascii="Times New Roman" w:hAnsi="Times New Roman"/>
        </w:rPr>
      </w:pPr>
      <w:r>
        <w:fldChar w:fldCharType="begin"/>
      </w:r>
      <w:r>
        <w:instrText xml:space="preserve"> HYPERLINK \l "_Toc114062161" </w:instrText>
      </w:r>
      <w:r>
        <w:fldChar w:fldCharType="separate"/>
      </w:r>
      <w:r>
        <w:rPr>
          <w:rStyle w:val="39"/>
          <w:rFonts w:ascii="Times New Roman" w:hAnsi="Times New Roman"/>
        </w:rPr>
        <w:t>参考文献</w:t>
      </w:r>
      <w:r>
        <w:rPr>
          <w:rFonts w:ascii="Times New Roman" w:hAnsi="Times New Roman"/>
        </w:rPr>
        <w:tab/>
      </w:r>
      <w:r>
        <w:rPr>
          <w:rFonts w:ascii="Times New Roman" w:hAnsi="Times New Roman"/>
        </w:rPr>
        <w:fldChar w:fldCharType="end"/>
      </w:r>
      <w:r>
        <w:rPr>
          <w:rFonts w:ascii="Times New Roman" w:hAnsi="Times New Roman"/>
        </w:rPr>
        <w:fldChar w:fldCharType="end"/>
      </w:r>
      <w:r>
        <w:rPr>
          <w:rFonts w:ascii="Times New Roman" w:hAnsi="Times New Roman"/>
        </w:rPr>
        <w:t>19</w:t>
      </w:r>
    </w:p>
    <w:p>
      <w:pPr>
        <w:pStyle w:val="126"/>
        <w:rPr>
          <w:rFonts w:ascii="Times New Roman"/>
        </w:rPr>
      </w:pPr>
      <w:bookmarkStart w:id="51" w:name="_Toc114062147"/>
      <w:r>
        <w:rPr>
          <w:rFonts w:ascii="Times New Roman"/>
        </w:rPr>
        <w:t>前</w:t>
      </w:r>
      <w:bookmarkStart w:id="52" w:name="BKQY"/>
      <w:r>
        <w:rPr>
          <w:rFonts w:ascii="Times New Roman"/>
        </w:rPr>
        <w:t>  言</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1"/>
      <w:bookmarkEnd w:id="52"/>
    </w:p>
    <w:p>
      <w:pPr>
        <w:pStyle w:val="50"/>
        <w:rPr>
          <w:rFonts w:ascii="Times New Roman"/>
        </w:rPr>
      </w:pPr>
      <w:r>
        <w:rPr>
          <w:rFonts w:ascii="Times New Roman"/>
        </w:rPr>
        <w:t>本文件按照GB/T 1.1</w:t>
      </w:r>
      <w:r>
        <w:rPr>
          <w:rFonts w:hint="eastAsia" w:ascii="Times New Roman"/>
        </w:rPr>
        <w:t>-</w:t>
      </w:r>
      <w:r>
        <w:rPr>
          <w:rFonts w:ascii="Times New Roman"/>
        </w:rPr>
        <w:t>2020《标准化工作导则 第1部分：标准化文件的结构和起草规则》的规定起草。</w:t>
      </w:r>
    </w:p>
    <w:p>
      <w:pPr>
        <w:pStyle w:val="50"/>
        <w:rPr>
          <w:rFonts w:ascii="Times New Roman"/>
        </w:rPr>
      </w:pPr>
      <w:r>
        <w:rPr>
          <w:rFonts w:ascii="Times New Roman"/>
        </w:rPr>
        <w:t>请注意本文件的某些内容可能涉及专利。本文件的发布机构不承担识别专利的责任。</w:t>
      </w:r>
    </w:p>
    <w:p>
      <w:pPr>
        <w:pStyle w:val="50"/>
        <w:rPr>
          <w:rFonts w:ascii="Times New Roman"/>
        </w:rPr>
      </w:pPr>
      <w:r>
        <w:rPr>
          <w:rFonts w:ascii="Times New Roman"/>
        </w:rPr>
        <w:t>本文件由江苏省住房和城乡建设厅提出并归口。</w:t>
      </w:r>
    </w:p>
    <w:p>
      <w:pPr>
        <w:pStyle w:val="50"/>
        <w:rPr>
          <w:rFonts w:ascii="Times New Roman"/>
        </w:rPr>
      </w:pPr>
      <w:r>
        <w:rPr>
          <w:rFonts w:ascii="Times New Roman"/>
        </w:rPr>
        <w:t>本文件起草单位：</w:t>
      </w:r>
      <w:bookmarkStart w:id="53" w:name="OLE_LINK1"/>
      <w:bookmarkStart w:id="54" w:name="OLE_LINK2"/>
      <w:r>
        <w:rPr>
          <w:rFonts w:ascii="Times New Roman"/>
        </w:rPr>
        <w:t>江苏省住房和城乡建设厅、南京市白蚁防治研究所、常州市武进区房地产管理中心、扬州市白蚁防治中心、盐城市白蚁防治所、苏州市江枫白蚁防治有限公司、苏州市白蚁防治管理处、淮安市白蚁防治中心</w:t>
      </w:r>
      <w:bookmarkEnd w:id="53"/>
      <w:bookmarkEnd w:id="54"/>
      <w:r>
        <w:rPr>
          <w:rFonts w:ascii="Times New Roman"/>
        </w:rPr>
        <w:t>、南京市浦口区住房保障和房产局。</w:t>
      </w:r>
    </w:p>
    <w:p>
      <w:pPr>
        <w:pStyle w:val="50"/>
        <w:rPr>
          <w:rFonts w:ascii="Times New Roman"/>
        </w:rPr>
      </w:pPr>
      <w:r>
        <w:rPr>
          <w:rFonts w:ascii="Times New Roman"/>
        </w:rPr>
        <w:t>本文件主要起草人：李震、汪先良、汪戈、常银生、林雁、庞正平、侍甜、李冬虎、阚宗永、何利文、荆煜飞、叶兼菱、王鑫仪、张韶松、钱静芳、夏诚、顾春雷、林冬春、孔俊、韩冰竹、邵慧、汪生。</w:t>
      </w:r>
    </w:p>
    <w:p>
      <w:pPr>
        <w:pStyle w:val="50"/>
        <w:rPr>
          <w:rFonts w:ascii="Times New Roman"/>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pPr>
        <w:spacing w:line="360" w:lineRule="auto"/>
        <w:jc w:val="center"/>
        <w:rPr>
          <w:rFonts w:ascii="Times New Roman" w:hAnsi="Times New Roman" w:cs="Times New Roman"/>
        </w:rPr>
      </w:pPr>
      <w:r>
        <w:rPr>
          <w:rFonts w:ascii="Times New Roman" w:hAnsi="Times New Roman" w:eastAsia="黑体" w:cs="Times New Roman"/>
          <w:sz w:val="32"/>
          <w:szCs w:val="32"/>
          <w:lang w:bidi="ar"/>
        </w:rPr>
        <w:t>房屋白蚁灭治技术规程</w:t>
      </w:r>
    </w:p>
    <w:p>
      <w:pPr>
        <w:pStyle w:val="59"/>
        <w:rPr>
          <w:rFonts w:ascii="Times New Roman"/>
        </w:rPr>
      </w:pPr>
      <w:bookmarkStart w:id="55" w:name="_Toc83827827"/>
      <w:bookmarkStart w:id="56" w:name="_Toc98856899"/>
      <w:bookmarkStart w:id="57" w:name="_Toc92721365"/>
      <w:bookmarkStart w:id="58" w:name="_Toc114057878"/>
      <w:bookmarkStart w:id="59" w:name="_Toc29890002"/>
      <w:bookmarkStart w:id="60" w:name="_Toc61004667"/>
      <w:bookmarkStart w:id="61" w:name="_Toc414620757"/>
      <w:bookmarkStart w:id="62" w:name="_Toc60992909"/>
      <w:bookmarkStart w:id="63" w:name="_Toc501463786"/>
      <w:bookmarkStart w:id="64" w:name="_Toc399487126"/>
      <w:bookmarkStart w:id="65" w:name="_Toc418781113"/>
      <w:bookmarkStart w:id="66" w:name="_Toc76376499"/>
      <w:bookmarkStart w:id="67" w:name="_Toc97891355"/>
      <w:bookmarkStart w:id="68" w:name="_Toc501525304"/>
      <w:bookmarkStart w:id="69" w:name="_Toc74824814"/>
      <w:bookmarkStart w:id="70" w:name="_Toc421279036"/>
      <w:bookmarkStart w:id="71" w:name="_Toc421278900"/>
      <w:bookmarkStart w:id="72" w:name="_Toc59612070"/>
      <w:bookmarkStart w:id="73" w:name="_Toc88482927"/>
      <w:bookmarkStart w:id="74" w:name="_Toc83913382"/>
      <w:bookmarkStart w:id="75" w:name="_Toc406406571"/>
      <w:bookmarkStart w:id="76" w:name="_Toc419727144"/>
      <w:bookmarkStart w:id="77" w:name="_Toc415238442"/>
      <w:bookmarkStart w:id="78" w:name="_Toc415238202"/>
      <w:bookmarkStart w:id="79" w:name="_Toc114062148"/>
      <w:bookmarkStart w:id="80" w:name="_Toc399487077"/>
      <w:bookmarkStart w:id="81" w:name="_Toc84862643"/>
      <w:bookmarkStart w:id="82" w:name="_Toc413828884"/>
      <w:bookmarkStart w:id="83" w:name="_Toc418157335"/>
      <w:bookmarkStart w:id="84" w:name="_Toc82873085"/>
      <w:bookmarkStart w:id="85" w:name="_Toc415238820"/>
      <w:bookmarkStart w:id="86" w:name="_Toc29889948"/>
      <w:bookmarkStart w:id="87" w:name="_Toc406404991"/>
      <w:bookmarkStart w:id="88" w:name="_Toc386971540"/>
      <w:bookmarkStart w:id="89" w:name="_Toc406405825"/>
      <w:bookmarkStart w:id="90" w:name="_Toc399408379"/>
      <w:bookmarkStart w:id="91" w:name="_Toc419727660"/>
      <w:bookmarkStart w:id="92" w:name="_Toc80259987"/>
      <w:bookmarkStart w:id="93" w:name="_Toc97562499"/>
      <w:bookmarkStart w:id="94" w:name="_Toc83227344"/>
      <w:bookmarkStart w:id="95" w:name="_Toc421267084"/>
      <w:bookmarkStart w:id="96" w:name="_Toc421278990"/>
      <w:r>
        <w:rPr>
          <w:rFonts w:ascii="Times New Roman"/>
        </w:rPr>
        <w:t>范围</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pStyle w:val="50"/>
        <w:rPr>
          <w:rFonts w:ascii="Times New Roman"/>
        </w:rPr>
      </w:pPr>
      <w:bookmarkStart w:id="97" w:name="_Toc374109802"/>
      <w:r>
        <w:rPr>
          <w:rFonts w:ascii="Times New Roman"/>
        </w:rPr>
        <w:t>本文件规定了房屋白蚁灭治的基本要求、材料、灭治流程（包括蚁害调查、方案制定、灭治施工、施工安全、效果评价）以及档案管理要求。</w:t>
      </w:r>
    </w:p>
    <w:p>
      <w:pPr>
        <w:pStyle w:val="50"/>
        <w:rPr>
          <w:rFonts w:ascii="Times New Roman"/>
        </w:rPr>
      </w:pPr>
      <w:r>
        <w:rPr>
          <w:rFonts w:ascii="Times New Roman"/>
        </w:rPr>
        <w:t>本文件适用于江苏省行政区域内既有房屋及附属物的白蚁灭治。</w:t>
      </w:r>
    </w:p>
    <w:bookmarkEnd w:id="97"/>
    <w:p>
      <w:pPr>
        <w:pStyle w:val="59"/>
        <w:spacing w:before="240" w:beforeLines="0" w:after="240" w:afterLines="0"/>
        <w:rPr>
          <w:rFonts w:ascii="Times New Roman"/>
        </w:rPr>
      </w:pPr>
      <w:bookmarkStart w:id="98" w:name="_Toc74824815"/>
      <w:bookmarkStart w:id="99" w:name="_Toc392253493"/>
      <w:bookmarkStart w:id="100" w:name="_Toc84862644"/>
      <w:bookmarkStart w:id="101" w:name="_Toc404868697"/>
      <w:bookmarkStart w:id="102" w:name="_Toc83227345"/>
      <w:bookmarkStart w:id="103" w:name="_Toc92721366"/>
      <w:bookmarkStart w:id="104" w:name="_Toc97562500"/>
      <w:bookmarkStart w:id="105" w:name="_Toc98856900"/>
      <w:bookmarkStart w:id="106" w:name="_Toc88482928"/>
      <w:bookmarkStart w:id="107" w:name="_Toc83827828"/>
      <w:bookmarkStart w:id="108" w:name="_Toc382833550"/>
      <w:bookmarkStart w:id="109" w:name="_Toc396815717"/>
      <w:bookmarkStart w:id="110" w:name="_Toc76376500"/>
      <w:bookmarkStart w:id="111" w:name="_Toc375146272"/>
      <w:bookmarkStart w:id="112" w:name="_Toc405903132"/>
      <w:bookmarkStart w:id="113" w:name="_Toc492279471"/>
      <w:bookmarkStart w:id="114" w:name="_Toc387233330"/>
      <w:bookmarkStart w:id="115" w:name="_Toc61004668"/>
      <w:bookmarkStart w:id="116" w:name="_Toc74727524"/>
      <w:bookmarkStart w:id="117" w:name="_Toc396746830"/>
      <w:bookmarkStart w:id="118" w:name="_Toc83913383"/>
      <w:bookmarkStart w:id="119" w:name="_Toc59612071"/>
      <w:bookmarkStart w:id="120" w:name="_Toc398024868"/>
      <w:bookmarkStart w:id="121" w:name="_Toc475113152"/>
      <w:bookmarkStart w:id="122" w:name="_Toc74320620"/>
      <w:bookmarkStart w:id="123" w:name="_Toc406772936"/>
      <w:bookmarkStart w:id="124" w:name="_Toc401317269"/>
      <w:bookmarkStart w:id="125" w:name="_Toc60992910"/>
      <w:bookmarkStart w:id="126" w:name="_Toc418066890"/>
      <w:bookmarkStart w:id="127" w:name="_Toc375210760"/>
      <w:bookmarkStart w:id="128" w:name="_Toc80259988"/>
      <w:bookmarkStart w:id="129" w:name="_Toc415485314"/>
      <w:bookmarkStart w:id="130" w:name="_Toc82873086"/>
      <w:bookmarkStart w:id="131" w:name="_Toc381866472"/>
      <w:bookmarkStart w:id="132" w:name="_Toc491433477"/>
      <w:bookmarkStart w:id="133" w:name="_Toc492477060"/>
      <w:bookmarkStart w:id="134" w:name="_Toc396814159"/>
      <w:bookmarkStart w:id="135" w:name="_Toc382406390"/>
      <w:bookmarkStart w:id="136" w:name="_Toc97891356"/>
      <w:bookmarkStart w:id="137" w:name="_Toc114062149"/>
      <w:bookmarkStart w:id="138" w:name="_Toc406769726"/>
      <w:bookmarkStart w:id="139" w:name="_Toc114057879"/>
      <w:bookmarkStart w:id="140" w:name="_Toc397611715"/>
      <w:bookmarkStart w:id="141" w:name="_Toc397614487"/>
      <w:bookmarkStart w:id="142" w:name="_Toc29889949"/>
      <w:bookmarkStart w:id="143" w:name="_Toc400701200"/>
      <w:bookmarkStart w:id="144" w:name="_Toc29890003"/>
      <w:bookmarkStart w:id="145" w:name="_Toc464549987"/>
      <w:r>
        <w:rPr>
          <w:rFonts w:ascii="Times New Roman"/>
        </w:rPr>
        <w:t>规范性引用文件</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50"/>
        <w:spacing w:before="50" w:after="50"/>
        <w:rPr>
          <w:rFonts w:ascii="Times New Roman"/>
          <w:color w:val="000000" w:themeColor="text1"/>
        </w:rPr>
      </w:pPr>
      <w:r>
        <w:rPr>
          <w:rFonts w:ascii="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0"/>
        <w:rPr>
          <w:rFonts w:ascii="Times New Roman"/>
        </w:rPr>
      </w:pPr>
      <w:r>
        <w:rPr>
          <w:rFonts w:ascii="Times New Roman"/>
        </w:rPr>
        <w:t>GB/T 51253-2017  建设工程白蚁危害评定标准</w:t>
      </w:r>
    </w:p>
    <w:p>
      <w:pPr>
        <w:pStyle w:val="59"/>
        <w:rPr>
          <w:rFonts w:ascii="Times New Roman"/>
        </w:rPr>
      </w:pPr>
      <w:bookmarkStart w:id="146" w:name="_Toc82873087"/>
      <w:bookmarkStart w:id="147" w:name="_Toc98856901"/>
      <w:bookmarkStart w:id="148" w:name="_Toc74727525"/>
      <w:bookmarkStart w:id="149" w:name="_Toc61004669"/>
      <w:bookmarkStart w:id="150" w:name="_Toc114057880"/>
      <w:bookmarkStart w:id="151" w:name="_Toc76376501"/>
      <w:bookmarkStart w:id="152" w:name="_Toc83913384"/>
      <w:bookmarkStart w:id="153" w:name="_Toc74320621"/>
      <w:bookmarkStart w:id="154" w:name="_Toc54358055"/>
      <w:bookmarkStart w:id="155" w:name="_Toc74824816"/>
      <w:bookmarkStart w:id="156" w:name="_Toc84862645"/>
      <w:bookmarkStart w:id="157" w:name="_Toc97562501"/>
      <w:bookmarkStart w:id="158" w:name="_Toc60992911"/>
      <w:bookmarkStart w:id="159" w:name="_Toc114062150"/>
      <w:bookmarkStart w:id="160" w:name="_Toc97891357"/>
      <w:bookmarkStart w:id="161" w:name="_Toc92721367"/>
      <w:bookmarkStart w:id="162" w:name="_Toc83227346"/>
      <w:bookmarkStart w:id="163" w:name="_Toc59612072"/>
      <w:bookmarkStart w:id="164" w:name="_Toc80259989"/>
      <w:bookmarkStart w:id="165" w:name="_Toc83827829"/>
      <w:bookmarkStart w:id="166" w:name="_Toc88482929"/>
      <w:r>
        <w:rPr>
          <w:rFonts w:ascii="Times New Roman"/>
        </w:rPr>
        <w:t>术语和定义</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spacing w:line="360" w:lineRule="auto"/>
        <w:ind w:firstLine="480"/>
        <w:rPr>
          <w:rFonts w:ascii="Times New Roman" w:hAnsi="Times New Roman" w:cs="Times New Roman"/>
        </w:rPr>
      </w:pPr>
      <w:r>
        <w:rPr>
          <w:rStyle w:val="51"/>
          <w:rFonts w:ascii="Times New Roman"/>
        </w:rPr>
        <w:t>下列术语和定义适用于本文件。</w:t>
      </w:r>
    </w:p>
    <w:p>
      <w:pPr>
        <w:pStyle w:val="55"/>
        <w:ind w:left="0"/>
        <w:rPr>
          <w:rFonts w:ascii="Times New Roman"/>
        </w:rPr>
      </w:pPr>
      <w:bookmarkStart w:id="167" w:name="_Toc21529241"/>
      <w:bookmarkEnd w:id="167"/>
      <w:bookmarkStart w:id="168" w:name="_Toc44935439"/>
      <w:bookmarkEnd w:id="168"/>
      <w:bookmarkStart w:id="169" w:name="_Toc21529242"/>
    </w:p>
    <w:bookmarkEnd w:id="169"/>
    <w:p>
      <w:pPr>
        <w:pStyle w:val="50"/>
        <w:rPr>
          <w:rFonts w:ascii="Times New Roman" w:eastAsia="黑体"/>
        </w:rPr>
      </w:pPr>
      <w:r>
        <w:rPr>
          <w:rFonts w:ascii="Times New Roman" w:eastAsia="黑体"/>
        </w:rPr>
        <w:t>白蚁灭治 termite control</w:t>
      </w:r>
    </w:p>
    <w:p>
      <w:pPr>
        <w:pStyle w:val="50"/>
        <w:rPr>
          <w:rFonts w:ascii="Times New Roman"/>
        </w:rPr>
      </w:pPr>
      <w:r>
        <w:rPr>
          <w:rFonts w:ascii="Times New Roman"/>
        </w:rPr>
        <w:t>在房屋</w:t>
      </w:r>
      <w:r>
        <w:rPr>
          <w:rFonts w:hint="eastAsia" w:ascii="Times New Roman"/>
        </w:rPr>
        <w:t>建筑</w:t>
      </w:r>
      <w:r>
        <w:rPr>
          <w:rFonts w:ascii="Times New Roman"/>
        </w:rPr>
        <w:t>及</w:t>
      </w:r>
      <w:r>
        <w:rPr>
          <w:rFonts w:hint="eastAsia" w:ascii="Times New Roman"/>
        </w:rPr>
        <w:t>其</w:t>
      </w:r>
      <w:r>
        <w:rPr>
          <w:rFonts w:ascii="Times New Roman"/>
        </w:rPr>
        <w:t>周围存在白蚁活动并造成危害后，采取相应的白蚁治理技术和措施，降低白蚁种群密度或者完全灭杀原有白蚁，达到有效控制白蚁危害、降低损失的目的。</w:t>
      </w:r>
    </w:p>
    <w:p>
      <w:pPr>
        <w:pStyle w:val="55"/>
        <w:numPr>
          <w:ilvl w:val="0"/>
          <w:numId w:val="0"/>
        </w:numPr>
        <w:rPr>
          <w:rFonts w:ascii="Times New Roman"/>
        </w:rPr>
      </w:pPr>
      <w:r>
        <w:rPr>
          <w:rFonts w:ascii="Times New Roman"/>
        </w:rPr>
        <w:t>3.2</w:t>
      </w:r>
    </w:p>
    <w:p>
      <w:pPr>
        <w:pStyle w:val="50"/>
        <w:rPr>
          <w:rFonts w:ascii="Times New Roman" w:eastAsia="黑体"/>
          <w:color w:val="000000"/>
        </w:rPr>
      </w:pPr>
      <w:r>
        <w:rPr>
          <w:rFonts w:ascii="Times New Roman" w:eastAsia="黑体"/>
          <w:color w:val="000000"/>
        </w:rPr>
        <w:t>白蚁综合治理 integrated termite management</w:t>
      </w:r>
    </w:p>
    <w:p>
      <w:pPr>
        <w:pStyle w:val="50"/>
        <w:rPr>
          <w:rFonts w:ascii="Times New Roman"/>
        </w:rPr>
      </w:pPr>
      <w:r>
        <w:rPr>
          <w:rFonts w:ascii="Times New Roman"/>
        </w:rPr>
        <w:t>在白蚁防治工作中，根据白蚁的生物生态学特性，充分发挥自然因素的控制作用，因地制宜地协调应用多种措施，最大限度地减少化学药剂的使用，有效控制白蚁危害，以获得最佳的经济、社会和生态效益。</w:t>
      </w:r>
    </w:p>
    <w:p>
      <w:pPr>
        <w:pStyle w:val="50"/>
        <w:rPr>
          <w:rFonts w:ascii="Times New Roman"/>
          <w:color w:val="000000"/>
        </w:rPr>
      </w:pPr>
      <w:r>
        <w:rPr>
          <w:rFonts w:ascii="Times New Roman"/>
          <w:color w:val="000000"/>
        </w:rPr>
        <w:t>[来源：DB32/T 3694</w:t>
      </w:r>
      <w:r>
        <w:rPr>
          <w:rFonts w:ascii="Times New Roman"/>
        </w:rPr>
        <w:t>-</w:t>
      </w:r>
      <w:r>
        <w:rPr>
          <w:rFonts w:ascii="Times New Roman"/>
          <w:color w:val="000000"/>
        </w:rPr>
        <w:t>2019，3.13]</w:t>
      </w:r>
    </w:p>
    <w:p>
      <w:pPr>
        <w:pStyle w:val="55"/>
        <w:numPr>
          <w:ilvl w:val="0"/>
          <w:numId w:val="0"/>
        </w:numPr>
        <w:rPr>
          <w:rFonts w:ascii="Times New Roman"/>
        </w:rPr>
      </w:pPr>
      <w:r>
        <w:rPr>
          <w:rFonts w:ascii="Times New Roman"/>
        </w:rPr>
        <w:t>3.3</w:t>
      </w:r>
    </w:p>
    <w:p>
      <w:pPr>
        <w:pStyle w:val="50"/>
        <w:rPr>
          <w:rFonts w:ascii="Times New Roman"/>
          <w:color w:val="000000" w:themeColor="text1"/>
        </w:rPr>
      </w:pPr>
      <w:r>
        <w:rPr>
          <w:rFonts w:ascii="Times New Roman" w:eastAsia="黑体"/>
          <w:color w:val="000000" w:themeColor="text1"/>
        </w:rPr>
        <w:t>白蚁区域综合治理 termite area-wide management</w:t>
      </w:r>
    </w:p>
    <w:p>
      <w:pPr>
        <w:pStyle w:val="50"/>
        <w:rPr>
          <w:rFonts w:ascii="Times New Roman"/>
          <w:color w:val="000000" w:themeColor="text1"/>
        </w:rPr>
      </w:pPr>
      <w:r>
        <w:rPr>
          <w:rFonts w:ascii="Times New Roman"/>
          <w:color w:val="000000" w:themeColor="text1"/>
        </w:rPr>
        <w:t>将一定区域范围内房屋建筑及周边环境作为整体，</w:t>
      </w:r>
      <w:bookmarkStart w:id="170" w:name="OLE_LINK11"/>
      <w:bookmarkStart w:id="171" w:name="OLE_LINK12"/>
      <w:r>
        <w:rPr>
          <w:rFonts w:ascii="Times New Roman"/>
          <w:color w:val="000000" w:themeColor="text1"/>
        </w:rPr>
        <w:t>综合应用各种技术措施进行白蚁危害治理</w:t>
      </w:r>
      <w:bookmarkEnd w:id="170"/>
      <w:bookmarkEnd w:id="171"/>
      <w:r>
        <w:rPr>
          <w:rFonts w:ascii="Times New Roman"/>
          <w:color w:val="000000" w:themeColor="text1"/>
        </w:rPr>
        <w:t>。</w:t>
      </w:r>
    </w:p>
    <w:p>
      <w:pPr>
        <w:pStyle w:val="50"/>
        <w:rPr>
          <w:rFonts w:ascii="Times New Roman"/>
          <w:color w:val="000000" w:themeColor="text1"/>
        </w:rPr>
      </w:pPr>
      <w:r>
        <w:rPr>
          <w:rFonts w:ascii="Times New Roman"/>
          <w:color w:val="000000" w:themeColor="text1"/>
        </w:rPr>
        <w:t>[来源：GB/T 50768-2012，2.0.9，有修改]</w:t>
      </w:r>
    </w:p>
    <w:p>
      <w:pPr>
        <w:pStyle w:val="55"/>
        <w:numPr>
          <w:ilvl w:val="0"/>
          <w:numId w:val="0"/>
        </w:numPr>
        <w:rPr>
          <w:rFonts w:ascii="Times New Roman"/>
        </w:rPr>
      </w:pPr>
      <w:r>
        <w:rPr>
          <w:rFonts w:ascii="Times New Roman"/>
        </w:rPr>
        <w:t>3.4</w:t>
      </w:r>
    </w:p>
    <w:p>
      <w:pPr>
        <w:pStyle w:val="50"/>
        <w:rPr>
          <w:rFonts w:ascii="Times New Roman" w:eastAsia="黑体"/>
          <w:color w:val="FF0000"/>
        </w:rPr>
      </w:pPr>
      <w:r>
        <w:rPr>
          <w:rFonts w:ascii="Times New Roman" w:eastAsia="黑体"/>
          <w:color w:val="000000"/>
        </w:rPr>
        <w:t>白蚁局部控制 termite local control</w:t>
      </w:r>
    </w:p>
    <w:p>
      <w:pPr>
        <w:pStyle w:val="50"/>
        <w:rPr>
          <w:rFonts w:ascii="Times New Roman"/>
        </w:rPr>
      </w:pPr>
      <w:r>
        <w:rPr>
          <w:rFonts w:ascii="Times New Roman"/>
        </w:rPr>
        <w:t>对房屋发生白蚁危害的具体部位进行白蚁危害治理，防止白蚁危害范围扩大蔓延。</w:t>
      </w:r>
    </w:p>
    <w:p>
      <w:pPr>
        <w:pStyle w:val="55"/>
        <w:numPr>
          <w:ilvl w:val="0"/>
          <w:numId w:val="0"/>
        </w:numPr>
        <w:rPr>
          <w:rFonts w:ascii="Times New Roman"/>
        </w:rPr>
      </w:pPr>
      <w:r>
        <w:rPr>
          <w:rFonts w:ascii="Times New Roman"/>
        </w:rPr>
        <w:t>3.5</w:t>
      </w:r>
    </w:p>
    <w:p>
      <w:pPr>
        <w:pStyle w:val="50"/>
        <w:rPr>
          <w:rFonts w:ascii="Times New Roman" w:eastAsia="黑体"/>
          <w:color w:val="000000"/>
        </w:rPr>
      </w:pPr>
      <w:r>
        <w:rPr>
          <w:rFonts w:ascii="Times New Roman" w:eastAsia="黑体"/>
          <w:color w:val="000000"/>
        </w:rPr>
        <w:t>监测控制系统 monitoring-control system</w:t>
      </w:r>
    </w:p>
    <w:p>
      <w:pPr>
        <w:pStyle w:val="50"/>
        <w:rPr>
          <w:rFonts w:ascii="Times New Roman"/>
        </w:rPr>
      </w:pPr>
      <w:r>
        <w:rPr>
          <w:rFonts w:ascii="Times New Roman"/>
        </w:rPr>
        <w:t>通过</w:t>
      </w:r>
      <w:r>
        <w:rPr>
          <w:rFonts w:hint="eastAsia" w:ascii="Times New Roman"/>
        </w:rPr>
        <w:t>“</w:t>
      </w:r>
      <w:r>
        <w:rPr>
          <w:rFonts w:ascii="Times New Roman"/>
        </w:rPr>
        <w:t>监测－灭杀－监测</w:t>
      </w:r>
      <w:r>
        <w:rPr>
          <w:rFonts w:hint="eastAsia" w:ascii="Times New Roman"/>
        </w:rPr>
        <w:t>”</w:t>
      </w:r>
      <w:r>
        <w:rPr>
          <w:rFonts w:ascii="Times New Roman"/>
        </w:rPr>
        <w:t>的循环过程，使保护对象免受白蚁危害的一整套白蚁防治专用装置的总称，由监测装置、检测设备、白蚁灭治药剂及辅助工具等组成。</w:t>
      </w:r>
    </w:p>
    <w:p>
      <w:pPr>
        <w:pStyle w:val="50"/>
        <w:rPr>
          <w:rFonts w:ascii="Times New Roman"/>
        </w:rPr>
      </w:pPr>
      <w:r>
        <w:rPr>
          <w:rFonts w:ascii="Times New Roman"/>
          <w:color w:val="000000"/>
        </w:rPr>
        <w:t>[来源：DB32/T 3694</w:t>
      </w:r>
      <w:r>
        <w:rPr>
          <w:rFonts w:ascii="Times New Roman"/>
        </w:rPr>
        <w:t>-</w:t>
      </w:r>
      <w:r>
        <w:rPr>
          <w:rFonts w:ascii="Times New Roman"/>
          <w:color w:val="000000"/>
        </w:rPr>
        <w:t>2019，3.10，有修改]</w:t>
      </w:r>
    </w:p>
    <w:p>
      <w:pPr>
        <w:pStyle w:val="55"/>
        <w:numPr>
          <w:ilvl w:val="0"/>
          <w:numId w:val="0"/>
        </w:numPr>
        <w:rPr>
          <w:rFonts w:ascii="Times New Roman"/>
        </w:rPr>
      </w:pPr>
      <w:r>
        <w:rPr>
          <w:rFonts w:ascii="Times New Roman"/>
        </w:rPr>
        <w:t>3.6</w:t>
      </w:r>
    </w:p>
    <w:p>
      <w:pPr>
        <w:pStyle w:val="50"/>
        <w:rPr>
          <w:rFonts w:ascii="Times New Roman"/>
        </w:rPr>
      </w:pPr>
      <w:r>
        <w:rPr>
          <w:rFonts w:ascii="Times New Roman" w:eastAsia="黑体"/>
          <w:color w:val="000000"/>
        </w:rPr>
        <w:t>监测装置 monitoring device</w:t>
      </w:r>
    </w:p>
    <w:p>
      <w:pPr>
        <w:pStyle w:val="50"/>
        <w:rPr>
          <w:rFonts w:ascii="Times New Roman"/>
        </w:rPr>
      </w:pPr>
      <w:r>
        <w:rPr>
          <w:rFonts w:ascii="Times New Roman"/>
        </w:rPr>
        <w:t>装有饵料用于监测白蚁活动的装置，主要由饵料和壳体组成。</w:t>
      </w:r>
    </w:p>
    <w:p>
      <w:pPr>
        <w:pStyle w:val="50"/>
        <w:rPr>
          <w:rFonts w:ascii="Times New Roman"/>
        </w:rPr>
      </w:pPr>
      <w:r>
        <w:rPr>
          <w:rFonts w:ascii="Times New Roman"/>
          <w:color w:val="000000"/>
        </w:rPr>
        <w:t>[来源：DB32/T 3694</w:t>
      </w:r>
      <w:r>
        <w:rPr>
          <w:rFonts w:ascii="Times New Roman"/>
        </w:rPr>
        <w:t>-</w:t>
      </w:r>
      <w:r>
        <w:rPr>
          <w:rFonts w:ascii="Times New Roman"/>
          <w:color w:val="000000"/>
        </w:rPr>
        <w:t>2019，3.11，有修改]</w:t>
      </w:r>
    </w:p>
    <w:p>
      <w:pPr>
        <w:pStyle w:val="55"/>
        <w:numPr>
          <w:ilvl w:val="0"/>
          <w:numId w:val="0"/>
        </w:numPr>
        <w:rPr>
          <w:rFonts w:ascii="Times New Roman"/>
        </w:rPr>
      </w:pPr>
      <w:r>
        <w:rPr>
          <w:rFonts w:ascii="Times New Roman"/>
        </w:rPr>
        <w:t>3.7</w:t>
      </w:r>
    </w:p>
    <w:p>
      <w:pPr>
        <w:pStyle w:val="50"/>
        <w:rPr>
          <w:rFonts w:ascii="Times New Roman" w:eastAsia="黑体"/>
          <w:color w:val="000000"/>
        </w:rPr>
      </w:pPr>
      <w:r>
        <w:rPr>
          <w:rFonts w:ascii="Times New Roman" w:eastAsia="黑体"/>
          <w:color w:val="000000"/>
        </w:rPr>
        <w:t>检测设备 detecting device</w:t>
      </w:r>
    </w:p>
    <w:p>
      <w:pPr>
        <w:pStyle w:val="50"/>
        <w:rPr>
          <w:rFonts w:ascii="Times New Roman"/>
        </w:rPr>
      </w:pPr>
      <w:r>
        <w:rPr>
          <w:rFonts w:ascii="Times New Roman"/>
        </w:rPr>
        <w:t>监测控制系统中，用于检查监测装置安装位置及监测装置中是否有白蚁存在的仪器设备。</w:t>
      </w:r>
    </w:p>
    <w:p>
      <w:pPr>
        <w:pStyle w:val="50"/>
        <w:rPr>
          <w:rFonts w:ascii="Times New Roman"/>
        </w:rPr>
      </w:pPr>
      <w:r>
        <w:rPr>
          <w:rFonts w:ascii="Times New Roman"/>
          <w:color w:val="000000"/>
        </w:rPr>
        <w:t>[来源：DB32/T 3694</w:t>
      </w:r>
      <w:r>
        <w:rPr>
          <w:rFonts w:ascii="Times New Roman"/>
        </w:rPr>
        <w:t>-</w:t>
      </w:r>
      <w:r>
        <w:rPr>
          <w:rFonts w:ascii="Times New Roman"/>
          <w:color w:val="000000"/>
        </w:rPr>
        <w:t>2019，3.12，有修改]</w:t>
      </w:r>
    </w:p>
    <w:p>
      <w:pPr>
        <w:pStyle w:val="55"/>
        <w:numPr>
          <w:ilvl w:val="0"/>
          <w:numId w:val="0"/>
        </w:numPr>
        <w:rPr>
          <w:rFonts w:ascii="Times New Roman"/>
        </w:rPr>
      </w:pPr>
      <w:r>
        <w:rPr>
          <w:rFonts w:ascii="Times New Roman"/>
        </w:rPr>
        <w:t>3.8</w:t>
      </w:r>
    </w:p>
    <w:p>
      <w:pPr>
        <w:pStyle w:val="50"/>
        <w:rPr>
          <w:rFonts w:ascii="Times New Roman" w:eastAsia="黑体"/>
          <w:color w:val="000000"/>
        </w:rPr>
      </w:pPr>
      <w:r>
        <w:rPr>
          <w:rFonts w:ascii="Times New Roman" w:eastAsia="黑体"/>
          <w:color w:val="000000"/>
        </w:rPr>
        <w:t>蚁害调查 investigation of termite damage</w:t>
      </w:r>
    </w:p>
    <w:p>
      <w:pPr>
        <w:pStyle w:val="50"/>
        <w:rPr>
          <w:rFonts w:ascii="Times New Roman"/>
        </w:rPr>
      </w:pPr>
      <w:r>
        <w:rPr>
          <w:rFonts w:ascii="Times New Roman"/>
        </w:rPr>
        <w:t>为全面掌握房屋建筑白蚁危害情况，对房屋建筑和周边环境进行白蚁种类、危害范围及程度等的调查、分析和研究活动。</w:t>
      </w:r>
    </w:p>
    <w:p>
      <w:pPr>
        <w:pStyle w:val="55"/>
        <w:numPr>
          <w:ilvl w:val="0"/>
          <w:numId w:val="0"/>
        </w:numPr>
        <w:rPr>
          <w:rFonts w:ascii="Times New Roman"/>
        </w:rPr>
      </w:pPr>
      <w:r>
        <w:rPr>
          <w:rFonts w:ascii="Times New Roman"/>
        </w:rPr>
        <w:t>3.9</w:t>
      </w:r>
    </w:p>
    <w:p>
      <w:pPr>
        <w:pStyle w:val="50"/>
        <w:rPr>
          <w:rFonts w:ascii="Times New Roman" w:eastAsia="黑体"/>
          <w:color w:val="000000"/>
        </w:rPr>
      </w:pPr>
      <w:r>
        <w:rPr>
          <w:rFonts w:ascii="Times New Roman" w:eastAsia="黑体"/>
          <w:color w:val="000000"/>
        </w:rPr>
        <w:t>蚁情动态监测 dynamic monitoring of termite damage</w:t>
      </w:r>
    </w:p>
    <w:p>
      <w:pPr>
        <w:pStyle w:val="50"/>
        <w:rPr>
          <w:rFonts w:ascii="Times New Roman"/>
        </w:rPr>
      </w:pPr>
      <w:r>
        <w:rPr>
          <w:rFonts w:ascii="Times New Roman"/>
        </w:rPr>
        <w:t>对房屋建筑通过技术设备或人工巡查等方式及时掌握房屋建筑白蚁活动情况及动态变化。</w:t>
      </w:r>
    </w:p>
    <w:p>
      <w:pPr>
        <w:pStyle w:val="55"/>
        <w:numPr>
          <w:ilvl w:val="0"/>
          <w:numId w:val="0"/>
        </w:numPr>
        <w:rPr>
          <w:rFonts w:ascii="Times New Roman"/>
        </w:rPr>
      </w:pPr>
      <w:r>
        <w:rPr>
          <w:rFonts w:ascii="Times New Roman"/>
        </w:rPr>
        <w:t>3.10</w:t>
      </w:r>
    </w:p>
    <w:p>
      <w:pPr>
        <w:pStyle w:val="50"/>
        <w:rPr>
          <w:rFonts w:ascii="Times New Roman" w:eastAsia="黑体"/>
          <w:color w:val="000000"/>
        </w:rPr>
      </w:pPr>
      <w:r>
        <w:rPr>
          <w:rFonts w:ascii="Times New Roman" w:eastAsia="黑体"/>
          <w:color w:val="000000"/>
        </w:rPr>
        <w:t>监测控制技术 monitoring-control technology</w:t>
      </w:r>
    </w:p>
    <w:p>
      <w:pPr>
        <w:pStyle w:val="50"/>
        <w:rPr>
          <w:rFonts w:ascii="Times New Roman"/>
        </w:rPr>
      </w:pPr>
      <w:r>
        <w:rPr>
          <w:rFonts w:ascii="Times New Roman"/>
        </w:rPr>
        <w:t>在白蚁活动或潜在活动的区域内，设置监测装置对白蚁活动进行监测，在监测装置中发现一定数量的白蚁后，通过喷粉、投放饵剂等处理，有效控制白蚁种群的白蚁防治技术。</w:t>
      </w:r>
    </w:p>
    <w:p>
      <w:pPr>
        <w:pStyle w:val="50"/>
        <w:rPr>
          <w:rFonts w:ascii="Times New Roman"/>
        </w:rPr>
      </w:pPr>
      <w:r>
        <w:rPr>
          <w:rFonts w:ascii="Times New Roman"/>
          <w:color w:val="000000"/>
        </w:rPr>
        <w:t>[来源：DB32/T 3694</w:t>
      </w:r>
      <w:r>
        <w:rPr>
          <w:rFonts w:ascii="Times New Roman"/>
        </w:rPr>
        <w:t>-</w:t>
      </w:r>
      <w:r>
        <w:rPr>
          <w:rFonts w:ascii="Times New Roman"/>
          <w:color w:val="000000"/>
        </w:rPr>
        <w:t>2019，3.9，有修改]</w:t>
      </w:r>
    </w:p>
    <w:p>
      <w:pPr>
        <w:pStyle w:val="59"/>
        <w:rPr>
          <w:rFonts w:ascii="Times New Roman"/>
        </w:rPr>
      </w:pPr>
      <w:bookmarkStart w:id="172" w:name="_Toc60992912"/>
      <w:bookmarkStart w:id="173" w:name="_Toc83827830"/>
      <w:bookmarkStart w:id="174" w:name="_Toc61004670"/>
      <w:bookmarkStart w:id="175" w:name="_Toc52270518"/>
      <w:bookmarkStart w:id="176" w:name="_Toc76376502"/>
      <w:bookmarkStart w:id="177" w:name="_Toc49869686"/>
      <w:bookmarkStart w:id="178" w:name="_Toc82873088"/>
      <w:bookmarkStart w:id="179" w:name="_Toc54093233"/>
      <w:bookmarkStart w:id="180" w:name="_Toc44245416"/>
      <w:bookmarkStart w:id="181" w:name="_Toc83227347"/>
      <w:bookmarkStart w:id="182" w:name="_Toc49933487"/>
      <w:bookmarkStart w:id="183" w:name="_Toc36042463"/>
      <w:bookmarkStart w:id="184" w:name="_Toc42265133"/>
      <w:bookmarkStart w:id="185" w:name="_Toc40446311"/>
      <w:bookmarkStart w:id="186" w:name="_Toc83913385"/>
      <w:bookmarkStart w:id="187" w:name="_Toc42264455"/>
      <w:bookmarkStart w:id="188" w:name="_Toc51591530"/>
      <w:bookmarkStart w:id="189" w:name="_Toc114057881"/>
      <w:bookmarkStart w:id="190" w:name="_Toc42265291"/>
      <w:bookmarkStart w:id="191" w:name="_Toc59117442"/>
      <w:bookmarkStart w:id="192" w:name="_Toc40444836"/>
      <w:bookmarkStart w:id="193" w:name="_Toc59694694"/>
      <w:bookmarkStart w:id="194" w:name="_Toc44925804"/>
      <w:bookmarkStart w:id="195" w:name="_Toc40445543"/>
      <w:bookmarkStart w:id="196" w:name="_Toc92721368"/>
      <w:bookmarkStart w:id="197" w:name="_Toc97891358"/>
      <w:bookmarkStart w:id="198" w:name="_Toc74320622"/>
      <w:bookmarkStart w:id="199" w:name="_Toc98856902"/>
      <w:bookmarkStart w:id="200" w:name="_Toc44935480"/>
      <w:bookmarkStart w:id="201" w:name="_Toc42179188"/>
      <w:bookmarkStart w:id="202" w:name="_Toc36042554"/>
      <w:bookmarkStart w:id="203" w:name="_Toc54096519"/>
      <w:bookmarkStart w:id="204" w:name="_Toc58925515"/>
      <w:bookmarkStart w:id="205" w:name="_Toc80259990"/>
      <w:bookmarkStart w:id="206" w:name="_Toc42179732"/>
      <w:bookmarkStart w:id="207" w:name="_Toc97562502"/>
      <w:bookmarkStart w:id="208" w:name="_Toc44935525"/>
      <w:bookmarkStart w:id="209" w:name="_Toc74727526"/>
      <w:bookmarkStart w:id="210" w:name="_Toc114062151"/>
      <w:bookmarkStart w:id="211" w:name="_Toc74824817"/>
      <w:bookmarkStart w:id="212" w:name="_Toc88482930"/>
      <w:bookmarkStart w:id="213" w:name="_Toc44935448"/>
      <w:bookmarkStart w:id="214" w:name="_Toc42265525"/>
      <w:bookmarkStart w:id="215" w:name="_Toc84862646"/>
      <w:bookmarkStart w:id="216" w:name="_Toc44924476"/>
      <w:r>
        <w:rPr>
          <w:rFonts w:ascii="Times New Roman"/>
        </w:rPr>
        <w:t>基本要求</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pStyle w:val="139"/>
        <w:numPr>
          <w:ilvl w:val="0"/>
          <w:numId w:val="0"/>
        </w:numPr>
        <w:rPr>
          <w:rFonts w:ascii="Times New Roman"/>
        </w:rPr>
      </w:pPr>
      <w:r>
        <w:rPr>
          <w:rFonts w:ascii="Times New Roman"/>
        </w:rPr>
        <w:t xml:space="preserve">4.1 </w:t>
      </w:r>
      <w:bookmarkStart w:id="217" w:name="OLE_LINK3"/>
      <w:r>
        <w:rPr>
          <w:rFonts w:ascii="Times New Roman"/>
        </w:rPr>
        <w:t xml:space="preserve"> 房屋白蚁灭治应坚持</w:t>
      </w:r>
      <w:r>
        <w:rPr>
          <w:rFonts w:hint="eastAsia" w:ascii="Times New Roman"/>
        </w:rPr>
        <w:t>“</w:t>
      </w:r>
      <w:r>
        <w:rPr>
          <w:rFonts w:ascii="Times New Roman"/>
        </w:rPr>
        <w:t>安全、环保、经济</w:t>
      </w:r>
      <w:r>
        <w:rPr>
          <w:rFonts w:hint="eastAsia" w:ascii="Times New Roman"/>
        </w:rPr>
        <w:t>”</w:t>
      </w:r>
      <w:r>
        <w:rPr>
          <w:rFonts w:ascii="Times New Roman"/>
        </w:rPr>
        <w:t>的原则，以杀灭白蚁群体或者降低种群密度为目标，根据白蚁危害程度采用科学、合理的技术措施精准施策，阻止白蚁继续危害，最大程度减少因白蚁危害而造成房屋的财产损失，确保房屋住用安全。</w:t>
      </w:r>
    </w:p>
    <w:p>
      <w:pPr>
        <w:pStyle w:val="139"/>
        <w:numPr>
          <w:ilvl w:val="0"/>
          <w:numId w:val="0"/>
        </w:numPr>
        <w:rPr>
          <w:rFonts w:ascii="Times New Roman"/>
        </w:rPr>
      </w:pPr>
      <w:r>
        <w:rPr>
          <w:rFonts w:ascii="Times New Roman"/>
        </w:rPr>
        <w:t>4.2  坚持白蚁综合治理的理念，综合运用各种技术措施，最大限度地减少化学药剂的使用，以达到最佳的防治效果和经济效益。</w:t>
      </w:r>
    </w:p>
    <w:p>
      <w:pPr>
        <w:pStyle w:val="139"/>
        <w:numPr>
          <w:ilvl w:val="0"/>
          <w:numId w:val="0"/>
        </w:numPr>
        <w:rPr>
          <w:rFonts w:ascii="Times New Roman"/>
        </w:rPr>
      </w:pPr>
      <w:r>
        <w:rPr>
          <w:rFonts w:ascii="Times New Roman"/>
        </w:rPr>
        <w:t>4.3  房屋白蚁防治的从业人员应具备基本的白蚁防治理论知识和专业技能，能熟练操作常见白蚁防治器械，每年参加行业主管部门或行业协会组织的专业培训不少于1次，取得相关的职业资格证书或专业技术资格证书。</w:t>
      </w:r>
      <w:bookmarkEnd w:id="217"/>
    </w:p>
    <w:p>
      <w:pPr>
        <w:pStyle w:val="59"/>
        <w:rPr>
          <w:rFonts w:ascii="Times New Roman"/>
        </w:rPr>
      </w:pPr>
      <w:r>
        <w:rPr>
          <w:rFonts w:ascii="Times New Roman"/>
        </w:rPr>
        <w:t>材料</w:t>
      </w:r>
    </w:p>
    <w:p>
      <w:pPr>
        <w:pStyle w:val="139"/>
        <w:spacing w:after="156" w:afterLines="50"/>
        <w:ind w:left="0"/>
        <w:rPr>
          <w:rFonts w:ascii="Times New Roman"/>
        </w:rPr>
      </w:pPr>
      <w:r>
        <w:rPr>
          <w:rStyle w:val="56"/>
          <w:rFonts w:ascii="Times New Roman"/>
        </w:rPr>
        <w:t>药剂</w:t>
      </w:r>
    </w:p>
    <w:p>
      <w:pPr>
        <w:pStyle w:val="77"/>
        <w:numPr>
          <w:ilvl w:val="0"/>
          <w:numId w:val="0"/>
        </w:numPr>
        <w:rPr>
          <w:rFonts w:ascii="Times New Roman"/>
        </w:rPr>
      </w:pPr>
      <w:r>
        <w:rPr>
          <w:rFonts w:ascii="Times New Roman"/>
        </w:rPr>
        <w:t>5.1.1  白蚁灭治使用的药剂应符合中华人民共和国《农药管理条例》和国家现行相关产品标准的规定，选用的白蚁防治药剂应具有农药登记证、农药生产许可证和产品质量标准，且农药登记证上标注的防治对象应包括白蚁。</w:t>
      </w:r>
    </w:p>
    <w:p>
      <w:pPr>
        <w:pStyle w:val="77"/>
        <w:numPr>
          <w:ilvl w:val="0"/>
          <w:numId w:val="0"/>
        </w:numPr>
        <w:rPr>
          <w:rFonts w:ascii="Times New Roman"/>
        </w:rPr>
      </w:pPr>
      <w:r>
        <w:rPr>
          <w:rFonts w:ascii="Times New Roman"/>
        </w:rPr>
        <w:t xml:space="preserve">5.1.2  严禁使用国家明令禁止生产、使用或撤销登记的药剂。 </w:t>
      </w:r>
    </w:p>
    <w:p>
      <w:pPr>
        <w:pStyle w:val="77"/>
        <w:numPr>
          <w:ilvl w:val="0"/>
          <w:numId w:val="0"/>
        </w:numPr>
        <w:rPr>
          <w:rFonts w:ascii="Times New Roman"/>
        </w:rPr>
      </w:pPr>
      <w:r>
        <w:rPr>
          <w:rFonts w:ascii="Times New Roman"/>
        </w:rPr>
        <w:t>5.1.3  用于滞留喷洒的药剂，农药登记证上应标注可用于滞留喷洒处理，并应符合下列规定：</w:t>
      </w:r>
    </w:p>
    <w:p>
      <w:pPr>
        <w:pStyle w:val="77"/>
        <w:numPr>
          <w:ilvl w:val="0"/>
          <w:numId w:val="0"/>
        </w:numPr>
        <w:ind w:left="851"/>
        <w:rPr>
          <w:rFonts w:ascii="Times New Roman"/>
        </w:rPr>
      </w:pPr>
      <w:r>
        <w:rPr>
          <w:rFonts w:ascii="Times New Roman"/>
        </w:rPr>
        <w:t>1）高效、中低毒性，无异味；</w:t>
      </w:r>
    </w:p>
    <w:p>
      <w:pPr>
        <w:pStyle w:val="77"/>
        <w:numPr>
          <w:ilvl w:val="0"/>
          <w:numId w:val="0"/>
        </w:numPr>
        <w:ind w:left="851"/>
        <w:rPr>
          <w:rFonts w:ascii="Times New Roman"/>
        </w:rPr>
      </w:pPr>
      <w:r>
        <w:rPr>
          <w:rFonts w:ascii="Times New Roman"/>
        </w:rPr>
        <w:t>2）有效成分难溶于水，不易挥发；</w:t>
      </w:r>
    </w:p>
    <w:p>
      <w:pPr>
        <w:pStyle w:val="77"/>
        <w:numPr>
          <w:ilvl w:val="0"/>
          <w:numId w:val="0"/>
        </w:numPr>
        <w:ind w:left="851"/>
        <w:rPr>
          <w:rFonts w:ascii="Times New Roman"/>
        </w:rPr>
      </w:pPr>
      <w:r>
        <w:rPr>
          <w:rFonts w:ascii="Times New Roman"/>
        </w:rPr>
        <w:t>3）对白蚁具有显著的毒杀作用。</w:t>
      </w:r>
    </w:p>
    <w:p>
      <w:pPr>
        <w:pStyle w:val="77"/>
        <w:numPr>
          <w:ilvl w:val="0"/>
          <w:numId w:val="0"/>
        </w:numPr>
        <w:rPr>
          <w:rFonts w:ascii="Times New Roman"/>
        </w:rPr>
      </w:pPr>
      <w:r>
        <w:rPr>
          <w:rFonts w:ascii="Times New Roman"/>
        </w:rPr>
        <w:t>5.1.4  用于白蚁灭治的粉剂应符合下列规定：</w:t>
      </w:r>
    </w:p>
    <w:p>
      <w:pPr>
        <w:pStyle w:val="77"/>
        <w:numPr>
          <w:ilvl w:val="0"/>
          <w:numId w:val="0"/>
        </w:numPr>
        <w:ind w:left="851"/>
        <w:rPr>
          <w:rFonts w:ascii="Times New Roman"/>
        </w:rPr>
      </w:pPr>
      <w:r>
        <w:rPr>
          <w:rFonts w:ascii="Times New Roman"/>
        </w:rPr>
        <w:t>1）对人、畜的毒性为低毒；</w:t>
      </w:r>
    </w:p>
    <w:p>
      <w:pPr>
        <w:pStyle w:val="77"/>
        <w:numPr>
          <w:ilvl w:val="0"/>
          <w:numId w:val="0"/>
        </w:numPr>
        <w:ind w:left="851"/>
        <w:rPr>
          <w:rFonts w:ascii="Times New Roman"/>
        </w:rPr>
      </w:pPr>
      <w:r>
        <w:rPr>
          <w:rFonts w:ascii="Times New Roman"/>
        </w:rPr>
        <w:t>2）飘散性好，不易吸潮结块；</w:t>
      </w:r>
    </w:p>
    <w:p>
      <w:pPr>
        <w:pStyle w:val="77"/>
        <w:numPr>
          <w:ilvl w:val="0"/>
          <w:numId w:val="0"/>
        </w:numPr>
        <w:ind w:left="851"/>
        <w:rPr>
          <w:rFonts w:ascii="Times New Roman"/>
        </w:rPr>
      </w:pPr>
      <w:r>
        <w:rPr>
          <w:rFonts w:ascii="Times New Roman"/>
        </w:rPr>
        <w:t>3）对白蚁驱避性低或无；</w:t>
      </w:r>
    </w:p>
    <w:p>
      <w:pPr>
        <w:pStyle w:val="77"/>
        <w:numPr>
          <w:ilvl w:val="0"/>
          <w:numId w:val="0"/>
        </w:numPr>
        <w:ind w:left="851"/>
        <w:rPr>
          <w:rFonts w:ascii="Times New Roman"/>
        </w:rPr>
      </w:pPr>
      <w:r>
        <w:rPr>
          <w:rFonts w:ascii="Times New Roman"/>
        </w:rPr>
        <w:t xml:space="preserve">4）对白蚁的毒杀作用缓慢，且具有接触传递作用。 </w:t>
      </w:r>
    </w:p>
    <w:p>
      <w:pPr>
        <w:pStyle w:val="77"/>
        <w:numPr>
          <w:ilvl w:val="0"/>
          <w:numId w:val="0"/>
        </w:numPr>
        <w:rPr>
          <w:rFonts w:ascii="Times New Roman"/>
        </w:rPr>
      </w:pPr>
      <w:r>
        <w:rPr>
          <w:rFonts w:ascii="Times New Roman"/>
        </w:rPr>
        <w:t>5.1.5  选用白蚁防治饵剂时，防治对象应与农药登记证上注明的白蚁种类相符，并应符合下列规定：</w:t>
      </w:r>
    </w:p>
    <w:p>
      <w:pPr>
        <w:pStyle w:val="77"/>
        <w:numPr>
          <w:ilvl w:val="0"/>
          <w:numId w:val="0"/>
        </w:numPr>
        <w:ind w:left="851"/>
        <w:rPr>
          <w:rFonts w:ascii="Times New Roman"/>
        </w:rPr>
      </w:pPr>
      <w:r>
        <w:rPr>
          <w:rFonts w:ascii="Times New Roman"/>
        </w:rPr>
        <w:t>1）对人、畜的毒性为低毒或微毒；</w:t>
      </w:r>
    </w:p>
    <w:p>
      <w:pPr>
        <w:pStyle w:val="77"/>
        <w:numPr>
          <w:ilvl w:val="0"/>
          <w:numId w:val="0"/>
        </w:numPr>
        <w:ind w:left="851"/>
        <w:rPr>
          <w:rFonts w:ascii="Times New Roman"/>
        </w:rPr>
      </w:pPr>
      <w:r>
        <w:rPr>
          <w:rFonts w:ascii="Times New Roman"/>
        </w:rPr>
        <w:t>2）对白蚁具有慢性胃毒作用；</w:t>
      </w:r>
    </w:p>
    <w:p>
      <w:pPr>
        <w:pStyle w:val="77"/>
        <w:numPr>
          <w:ilvl w:val="0"/>
          <w:numId w:val="0"/>
        </w:numPr>
        <w:ind w:left="851"/>
        <w:rPr>
          <w:rFonts w:ascii="Times New Roman"/>
        </w:rPr>
      </w:pPr>
      <w:r>
        <w:rPr>
          <w:rFonts w:ascii="Times New Roman"/>
        </w:rPr>
        <w:t>3）对白蚁驱避性低或无；</w:t>
      </w:r>
    </w:p>
    <w:p>
      <w:pPr>
        <w:pStyle w:val="77"/>
        <w:numPr>
          <w:ilvl w:val="0"/>
          <w:numId w:val="0"/>
        </w:numPr>
        <w:ind w:left="851"/>
        <w:rPr>
          <w:rFonts w:ascii="Times New Roman"/>
        </w:rPr>
      </w:pPr>
      <w:r>
        <w:rPr>
          <w:rFonts w:ascii="Times New Roman"/>
        </w:rPr>
        <w:t>4）白蚁对饵剂有较好的喜食性。</w:t>
      </w:r>
    </w:p>
    <w:p>
      <w:pPr>
        <w:pStyle w:val="55"/>
        <w:numPr>
          <w:ilvl w:val="0"/>
          <w:numId w:val="0"/>
        </w:numPr>
        <w:rPr>
          <w:rFonts w:ascii="Times New Roman"/>
        </w:rPr>
      </w:pPr>
      <w:bookmarkStart w:id="218" w:name="_Toc116553947"/>
      <w:r>
        <w:rPr>
          <w:rFonts w:ascii="Times New Roman"/>
        </w:rPr>
        <w:t>5.2  监测控制系统</w:t>
      </w:r>
      <w:bookmarkEnd w:id="218"/>
    </w:p>
    <w:p>
      <w:pPr>
        <w:pStyle w:val="77"/>
        <w:numPr>
          <w:ilvl w:val="0"/>
          <w:numId w:val="0"/>
        </w:numPr>
        <w:rPr>
          <w:rFonts w:ascii="Times New Roman"/>
        </w:rPr>
      </w:pPr>
      <w:r>
        <w:rPr>
          <w:rFonts w:ascii="Times New Roman"/>
        </w:rPr>
        <w:t>5.2.1  监测控制系统各专用材料的性能指标应符合现行相关产品标准的规定，并应具有注册商标、说明书和出厂合格证；远程实时白蚁监测系统应符合国家现行有关电子产品标准的规定。</w:t>
      </w:r>
    </w:p>
    <w:p>
      <w:pPr>
        <w:pStyle w:val="77"/>
        <w:numPr>
          <w:ilvl w:val="0"/>
          <w:numId w:val="0"/>
        </w:numPr>
        <w:rPr>
          <w:rFonts w:ascii="Times New Roman"/>
        </w:rPr>
      </w:pPr>
      <w:r>
        <w:rPr>
          <w:rFonts w:ascii="Times New Roman"/>
        </w:rPr>
        <w:t>5.2.2  监测控制系统应包括监测装置、检测设备、白蚁灭治药剂和辅助工具等一整套的白蚁防治专用材料。</w:t>
      </w:r>
    </w:p>
    <w:p>
      <w:pPr>
        <w:pStyle w:val="77"/>
        <w:numPr>
          <w:ilvl w:val="0"/>
          <w:numId w:val="0"/>
        </w:numPr>
        <w:rPr>
          <w:rFonts w:ascii="Times New Roman"/>
        </w:rPr>
      </w:pPr>
      <w:r>
        <w:rPr>
          <w:rFonts w:ascii="Times New Roman"/>
        </w:rPr>
        <w:t>5.2.3  应根据使用位置和用途，合理选择地上型监测装置或地下型监测装置。</w:t>
      </w:r>
    </w:p>
    <w:p>
      <w:pPr>
        <w:pStyle w:val="77"/>
        <w:numPr>
          <w:ilvl w:val="0"/>
          <w:numId w:val="0"/>
        </w:numPr>
        <w:rPr>
          <w:rFonts w:ascii="Times New Roman"/>
        </w:rPr>
      </w:pPr>
      <w:bookmarkStart w:id="219" w:name="OLE_LINK4"/>
      <w:bookmarkStart w:id="220" w:name="OLE_LINK5"/>
      <w:r>
        <w:rPr>
          <w:rFonts w:ascii="Times New Roman"/>
        </w:rPr>
        <w:t>5.2.4  监测装置的尺寸规格应符合白蚁诱集和治理处理的要求，且便于安装、检查和饵料的更换。</w:t>
      </w:r>
    </w:p>
    <w:p>
      <w:pPr>
        <w:pStyle w:val="77"/>
        <w:numPr>
          <w:ilvl w:val="0"/>
          <w:numId w:val="0"/>
        </w:numPr>
        <w:rPr>
          <w:rFonts w:ascii="Times New Roman"/>
        </w:rPr>
      </w:pPr>
      <w:r>
        <w:rPr>
          <w:rFonts w:ascii="Times New Roman"/>
        </w:rPr>
        <w:t>5.2.5  地下型监测装置的外壳应具有良好的抗压强度和抗降解性能，颜色宜与安装环境相协调，应设置不小于5 mm的白蚁进出孔隙。</w:t>
      </w:r>
    </w:p>
    <w:p>
      <w:pPr>
        <w:pStyle w:val="77"/>
        <w:numPr>
          <w:ilvl w:val="0"/>
          <w:numId w:val="0"/>
        </w:numPr>
        <w:rPr>
          <w:rFonts w:ascii="Times New Roman"/>
        </w:rPr>
      </w:pPr>
      <w:r>
        <w:rPr>
          <w:rFonts w:ascii="Times New Roman"/>
        </w:rPr>
        <w:t>5.2.6  远程实时监测控制系统应具备信号源、信号接收器与数据处理系统等，能准确识别侵入的白蚁并持久稳定地发送报警信号。</w:t>
      </w:r>
    </w:p>
    <w:bookmarkEnd w:id="219"/>
    <w:bookmarkEnd w:id="220"/>
    <w:p>
      <w:pPr>
        <w:pStyle w:val="55"/>
        <w:numPr>
          <w:ilvl w:val="0"/>
          <w:numId w:val="0"/>
        </w:numPr>
        <w:rPr>
          <w:rFonts w:ascii="Times New Roman"/>
        </w:rPr>
      </w:pPr>
      <w:bookmarkStart w:id="221" w:name="_Toc116553948"/>
      <w:r>
        <w:rPr>
          <w:rFonts w:ascii="Times New Roman"/>
        </w:rPr>
        <w:t>5.3  贮存和管理</w:t>
      </w:r>
      <w:bookmarkEnd w:id="221"/>
    </w:p>
    <w:p>
      <w:pPr>
        <w:pStyle w:val="77"/>
        <w:numPr>
          <w:ilvl w:val="0"/>
          <w:numId w:val="0"/>
        </w:numPr>
        <w:rPr>
          <w:rFonts w:ascii="Times New Roman"/>
        </w:rPr>
      </w:pPr>
      <w:bookmarkStart w:id="222" w:name="OLE_LINK6"/>
      <w:r>
        <w:rPr>
          <w:rFonts w:ascii="Times New Roman"/>
        </w:rPr>
        <w:t>5.3.1  应有健全的出入库制度，对材料出入库时间、数量、领用人、复核人实行登记。</w:t>
      </w:r>
    </w:p>
    <w:p>
      <w:pPr>
        <w:pStyle w:val="77"/>
        <w:numPr>
          <w:ilvl w:val="0"/>
          <w:numId w:val="0"/>
        </w:numPr>
        <w:rPr>
          <w:rFonts w:ascii="Times New Roman"/>
        </w:rPr>
      </w:pPr>
      <w:r>
        <w:rPr>
          <w:rFonts w:ascii="Times New Roman"/>
        </w:rPr>
        <w:t>5.3.2  贮存场所应通风、干燥、阴凉，并具有防火、防爆、防盗等专门设施，符合相关安全和消防规定。</w:t>
      </w:r>
    </w:p>
    <w:p>
      <w:pPr>
        <w:pStyle w:val="77"/>
        <w:numPr>
          <w:ilvl w:val="0"/>
          <w:numId w:val="0"/>
        </w:numPr>
        <w:rPr>
          <w:rFonts w:ascii="Times New Roman"/>
        </w:rPr>
      </w:pPr>
      <w:r>
        <w:rPr>
          <w:rFonts w:ascii="Times New Roman"/>
        </w:rPr>
        <w:t>5.3.3  白蚁防治药剂与监测装置应分开贮存，监测装置存放应专库专用，并专车运输，严禁与其他药剂和设备混放。</w:t>
      </w:r>
    </w:p>
    <w:p>
      <w:pPr>
        <w:pStyle w:val="77"/>
        <w:numPr>
          <w:ilvl w:val="0"/>
          <w:numId w:val="0"/>
        </w:numPr>
        <w:rPr>
          <w:rFonts w:ascii="Times New Roman"/>
        </w:rPr>
      </w:pPr>
      <w:r>
        <w:rPr>
          <w:rFonts w:ascii="Times New Roman"/>
        </w:rPr>
        <w:t>5.3.4  施工过程中应加强药剂管理，严防药剂丢失。操作完毕后，应按照相关规定，妥善处理剩余药液及废容器等。</w:t>
      </w:r>
      <w:bookmarkEnd w:id="222"/>
    </w:p>
    <w:p>
      <w:pPr>
        <w:pStyle w:val="59"/>
        <w:numPr>
          <w:ilvl w:val="0"/>
          <w:numId w:val="0"/>
        </w:numPr>
        <w:rPr>
          <w:rFonts w:ascii="Times New Roman"/>
        </w:rPr>
      </w:pPr>
      <w:bookmarkStart w:id="223" w:name="_Toc36042556"/>
      <w:bookmarkStart w:id="224" w:name="_Toc36042465"/>
      <w:r>
        <w:rPr>
          <w:rFonts w:ascii="Times New Roman"/>
        </w:rPr>
        <w:t>6  灭治流程</w:t>
      </w:r>
    </w:p>
    <w:p>
      <w:pPr>
        <w:pStyle w:val="55"/>
        <w:numPr>
          <w:ilvl w:val="0"/>
          <w:numId w:val="0"/>
        </w:numPr>
        <w:rPr>
          <w:rFonts w:ascii="Times New Roman"/>
        </w:rPr>
      </w:pPr>
      <w:r>
        <w:rPr>
          <w:rFonts w:ascii="Times New Roman"/>
        </w:rPr>
        <w:t>6.1  蚁害调查</w:t>
      </w:r>
    </w:p>
    <w:p>
      <w:pPr>
        <w:pStyle w:val="77"/>
        <w:numPr>
          <w:ilvl w:val="0"/>
          <w:numId w:val="0"/>
        </w:numPr>
        <w:rPr>
          <w:rFonts w:ascii="Times New Roman"/>
        </w:rPr>
      </w:pPr>
      <w:r>
        <w:rPr>
          <w:rFonts w:ascii="Times New Roman"/>
        </w:rPr>
        <w:t xml:space="preserve">6.1.1  </w:t>
      </w:r>
      <w:bookmarkStart w:id="225" w:name="OLE_LINK7"/>
      <w:bookmarkStart w:id="226" w:name="OLE_LINK8"/>
      <w:r>
        <w:rPr>
          <w:rFonts w:ascii="Times New Roman"/>
        </w:rPr>
        <w:t xml:space="preserve">对房屋开展白蚁灭治前，应对房屋的白蚁危害情况进行调查，确定白蚁危害种类、部位、范围和程度等。 </w:t>
      </w:r>
    </w:p>
    <w:p>
      <w:pPr>
        <w:pStyle w:val="77"/>
        <w:numPr>
          <w:ilvl w:val="0"/>
          <w:numId w:val="0"/>
        </w:numPr>
        <w:rPr>
          <w:rFonts w:ascii="Times New Roman"/>
        </w:rPr>
      </w:pPr>
      <w:r>
        <w:rPr>
          <w:rFonts w:ascii="Times New Roman"/>
        </w:rPr>
        <w:t>6.1.2  房屋建筑蚁害调查可采用人工检查、仪器探测或安装监测装置方式进行，三种方式单独或结合使用。</w:t>
      </w:r>
    </w:p>
    <w:bookmarkEnd w:id="225"/>
    <w:bookmarkEnd w:id="226"/>
    <w:p>
      <w:pPr>
        <w:pStyle w:val="77"/>
        <w:numPr>
          <w:ilvl w:val="0"/>
          <w:numId w:val="0"/>
        </w:numPr>
        <w:rPr>
          <w:rFonts w:ascii="Times New Roman"/>
        </w:rPr>
      </w:pPr>
      <w:r>
        <w:rPr>
          <w:rFonts w:ascii="Times New Roman"/>
        </w:rPr>
        <w:t>6.1.3  房屋建筑蚁害人工检查，宜遵循</w:t>
      </w:r>
      <w:r>
        <w:rPr>
          <w:rFonts w:hint="eastAsia" w:ascii="Times New Roman"/>
        </w:rPr>
        <w:t>“</w:t>
      </w:r>
      <w:r>
        <w:rPr>
          <w:rFonts w:ascii="Times New Roman"/>
        </w:rPr>
        <w:t>一问、二看、三听、四探、五撬</w:t>
      </w:r>
      <w:r>
        <w:rPr>
          <w:rFonts w:hint="eastAsia" w:ascii="Times New Roman"/>
        </w:rPr>
        <w:t>”</w:t>
      </w:r>
      <w:r>
        <w:rPr>
          <w:rFonts w:ascii="Times New Roman"/>
        </w:rPr>
        <w:t>程序，具体步骤：</w:t>
      </w:r>
    </w:p>
    <w:p>
      <w:pPr>
        <w:pStyle w:val="77"/>
        <w:numPr>
          <w:ilvl w:val="0"/>
          <w:numId w:val="0"/>
        </w:numPr>
        <w:ind w:left="851"/>
        <w:rPr>
          <w:rFonts w:ascii="Times New Roman"/>
        </w:rPr>
      </w:pPr>
      <w:r>
        <w:rPr>
          <w:rFonts w:ascii="Times New Roman"/>
        </w:rPr>
        <w:t>1）问：询问业主白蚁分飞时间、分飞部位、防治历史、房屋结构和建筑年代等信息；</w:t>
      </w:r>
    </w:p>
    <w:p>
      <w:pPr>
        <w:pStyle w:val="77"/>
        <w:numPr>
          <w:ilvl w:val="0"/>
          <w:numId w:val="0"/>
        </w:numPr>
        <w:ind w:left="851"/>
        <w:rPr>
          <w:rFonts w:ascii="Times New Roman"/>
        </w:rPr>
      </w:pPr>
      <w:r>
        <w:rPr>
          <w:rFonts w:ascii="Times New Roman"/>
        </w:rPr>
        <w:t>2）看：查看白蚁活动的外露迹象，如蚁路、分飞孔、通气孔、汲水线等；</w:t>
      </w:r>
    </w:p>
    <w:p>
      <w:pPr>
        <w:pStyle w:val="77"/>
        <w:numPr>
          <w:ilvl w:val="0"/>
          <w:numId w:val="0"/>
        </w:numPr>
        <w:ind w:left="851"/>
        <w:rPr>
          <w:rFonts w:ascii="Times New Roman"/>
        </w:rPr>
      </w:pPr>
      <w:r>
        <w:rPr>
          <w:rFonts w:ascii="Times New Roman"/>
        </w:rPr>
        <w:t>3）听：用螺丝刀敲击白蚁可能危害的木构件，听是否发出空洞声等；</w:t>
      </w:r>
    </w:p>
    <w:p>
      <w:pPr>
        <w:pStyle w:val="77"/>
        <w:numPr>
          <w:ilvl w:val="0"/>
          <w:numId w:val="0"/>
        </w:numPr>
        <w:ind w:left="851"/>
        <w:rPr>
          <w:rFonts w:ascii="Times New Roman"/>
        </w:rPr>
      </w:pPr>
      <w:r>
        <w:rPr>
          <w:rFonts w:ascii="Times New Roman"/>
        </w:rPr>
        <w:t>4）探：试探木构件是否有空陷等情况；</w:t>
      </w:r>
    </w:p>
    <w:p>
      <w:pPr>
        <w:pStyle w:val="77"/>
        <w:numPr>
          <w:ilvl w:val="0"/>
          <w:numId w:val="0"/>
        </w:numPr>
        <w:ind w:left="1155" w:leftChars="400" w:hanging="315" w:hangingChars="150"/>
        <w:rPr>
          <w:rFonts w:ascii="Times New Roman"/>
        </w:rPr>
      </w:pPr>
      <w:r>
        <w:rPr>
          <w:rFonts w:ascii="Times New Roman"/>
        </w:rPr>
        <w:t>5）撬：当无明显外露痕迹，但又怀疑有蚁害时，应征得业主同意后，可用螺丝刀或其它工具轻轻撬开可疑处，观察是否有白蚁活动。</w:t>
      </w:r>
    </w:p>
    <w:p>
      <w:pPr>
        <w:pStyle w:val="77"/>
        <w:numPr>
          <w:ilvl w:val="0"/>
          <w:numId w:val="0"/>
        </w:numPr>
        <w:rPr>
          <w:rFonts w:ascii="Times New Roman"/>
        </w:rPr>
      </w:pPr>
      <w:r>
        <w:rPr>
          <w:rFonts w:ascii="Times New Roman"/>
        </w:rPr>
        <w:t>6.1.4  房屋建筑蚁害仪器探测检查，宜遵循</w:t>
      </w:r>
      <w:r>
        <w:rPr>
          <w:rFonts w:hint="eastAsia" w:ascii="Times New Roman"/>
        </w:rPr>
        <w:t>“</w:t>
      </w:r>
      <w:r>
        <w:rPr>
          <w:rFonts w:ascii="Times New Roman"/>
        </w:rPr>
        <w:t>问、看、探</w:t>
      </w:r>
      <w:r>
        <w:rPr>
          <w:rFonts w:hint="eastAsia" w:ascii="Times New Roman"/>
        </w:rPr>
        <w:t>”</w:t>
      </w:r>
      <w:r>
        <w:rPr>
          <w:rFonts w:ascii="Times New Roman"/>
        </w:rPr>
        <w:t>程序，具体步骤：</w:t>
      </w:r>
    </w:p>
    <w:p>
      <w:pPr>
        <w:pStyle w:val="77"/>
        <w:numPr>
          <w:ilvl w:val="0"/>
          <w:numId w:val="0"/>
        </w:numPr>
        <w:ind w:left="851"/>
        <w:rPr>
          <w:rFonts w:ascii="Times New Roman"/>
        </w:rPr>
      </w:pPr>
      <w:r>
        <w:rPr>
          <w:rFonts w:ascii="Times New Roman"/>
        </w:rPr>
        <w:t>1）问：询问业主白蚁分飞时间、分飞部位、防治历史、房屋结构和建筑年代等信息；</w:t>
      </w:r>
    </w:p>
    <w:p>
      <w:pPr>
        <w:pStyle w:val="77"/>
        <w:numPr>
          <w:ilvl w:val="0"/>
          <w:numId w:val="0"/>
        </w:numPr>
        <w:ind w:left="851"/>
        <w:rPr>
          <w:rFonts w:ascii="Times New Roman"/>
        </w:rPr>
      </w:pPr>
      <w:r>
        <w:rPr>
          <w:rFonts w:ascii="Times New Roman"/>
        </w:rPr>
        <w:t>2）看：仔细查看、查找白蚁活动的外露迹象以及白蚁可能的活动区域；</w:t>
      </w:r>
    </w:p>
    <w:p>
      <w:pPr>
        <w:pStyle w:val="77"/>
        <w:numPr>
          <w:ilvl w:val="0"/>
          <w:numId w:val="0"/>
        </w:numPr>
        <w:ind w:left="851"/>
        <w:rPr>
          <w:rFonts w:ascii="Times New Roman"/>
        </w:rPr>
      </w:pPr>
      <w:r>
        <w:rPr>
          <w:rFonts w:ascii="Times New Roman"/>
        </w:rPr>
        <w:t>3）探：对可疑点进行探测，确定白蚁活动和危害点。</w:t>
      </w:r>
    </w:p>
    <w:p>
      <w:pPr>
        <w:pStyle w:val="77"/>
        <w:numPr>
          <w:ilvl w:val="0"/>
          <w:numId w:val="0"/>
        </w:numPr>
        <w:rPr>
          <w:rFonts w:ascii="Times New Roman"/>
        </w:rPr>
      </w:pPr>
      <w:r>
        <w:rPr>
          <w:rFonts w:ascii="Times New Roman"/>
        </w:rPr>
        <w:t>6.1.5  房屋建筑蚁害通过安装监测装置方式检查，适用于白蚁区域综合治理时的蚁害检查，具体步骤：</w:t>
      </w:r>
    </w:p>
    <w:p>
      <w:pPr>
        <w:pStyle w:val="77"/>
        <w:numPr>
          <w:ilvl w:val="0"/>
          <w:numId w:val="0"/>
        </w:numPr>
        <w:ind w:left="1155" w:leftChars="400" w:hanging="315" w:hangingChars="150"/>
        <w:rPr>
          <w:rFonts w:ascii="Times New Roman"/>
        </w:rPr>
      </w:pPr>
      <w:r>
        <w:rPr>
          <w:rFonts w:ascii="Times New Roman"/>
        </w:rPr>
        <w:t>1）确定监测部位：区域综合治理范围内的房屋四周及绿化带，重点是有白蚁活动痕迹或曾发生过白蚁危害的地方及周边环境；</w:t>
      </w:r>
    </w:p>
    <w:p>
      <w:pPr>
        <w:pStyle w:val="77"/>
        <w:numPr>
          <w:ilvl w:val="0"/>
          <w:numId w:val="0"/>
        </w:numPr>
        <w:ind w:left="1155" w:leftChars="400" w:hanging="315" w:hangingChars="150"/>
        <w:rPr>
          <w:rFonts w:ascii="Times New Roman"/>
        </w:rPr>
      </w:pPr>
      <w:r>
        <w:rPr>
          <w:rFonts w:ascii="Times New Roman"/>
        </w:rPr>
        <w:t>2）安装监测装置：根据产品说明书进行安装，安装数量应根据监测区域的大小和间距确定，重点监测部位可适当加密装置数量；</w:t>
      </w:r>
    </w:p>
    <w:p>
      <w:pPr>
        <w:pStyle w:val="77"/>
        <w:numPr>
          <w:ilvl w:val="0"/>
          <w:numId w:val="0"/>
        </w:numPr>
        <w:ind w:left="1155" w:leftChars="400" w:hanging="315" w:hangingChars="150"/>
        <w:rPr>
          <w:rFonts w:ascii="Times New Roman"/>
        </w:rPr>
      </w:pPr>
      <w:r>
        <w:rPr>
          <w:rFonts w:ascii="Times New Roman"/>
        </w:rPr>
        <w:t>3）定期检查和维护：通过对监测装置</w:t>
      </w:r>
      <w:r>
        <w:rPr>
          <w:rFonts w:hint="eastAsia" w:ascii="Times New Roman"/>
        </w:rPr>
        <w:t>进行</w:t>
      </w:r>
      <w:r>
        <w:rPr>
          <w:rFonts w:ascii="Times New Roman"/>
        </w:rPr>
        <w:t>仪器探测或开盖查看，确定目标检查部位是否有白蚁活动情况及白蚁种类，对丧失监测功能的装置应进行维修或更换。</w:t>
      </w:r>
    </w:p>
    <w:p>
      <w:pPr>
        <w:pStyle w:val="77"/>
        <w:numPr>
          <w:ilvl w:val="0"/>
          <w:numId w:val="0"/>
        </w:numPr>
        <w:rPr>
          <w:rFonts w:ascii="Times New Roman"/>
        </w:rPr>
      </w:pPr>
      <w:r>
        <w:rPr>
          <w:rFonts w:ascii="Times New Roman"/>
        </w:rPr>
        <w:t>6.1.6  蚁害调查应符合下列要求：</w:t>
      </w:r>
    </w:p>
    <w:p>
      <w:pPr>
        <w:pStyle w:val="77"/>
        <w:numPr>
          <w:ilvl w:val="0"/>
          <w:numId w:val="0"/>
        </w:numPr>
        <w:ind w:left="851"/>
        <w:rPr>
          <w:rFonts w:ascii="Times New Roman"/>
        </w:rPr>
      </w:pPr>
      <w:r>
        <w:rPr>
          <w:rFonts w:ascii="Times New Roman"/>
        </w:rPr>
        <w:t>1）宜在白蚁觅食活跃期进行；</w:t>
      </w:r>
    </w:p>
    <w:p>
      <w:pPr>
        <w:pStyle w:val="77"/>
        <w:numPr>
          <w:ilvl w:val="0"/>
          <w:numId w:val="0"/>
        </w:numPr>
        <w:ind w:left="851"/>
        <w:rPr>
          <w:rFonts w:ascii="Times New Roman"/>
        </w:rPr>
      </w:pPr>
      <w:r>
        <w:rPr>
          <w:rFonts w:ascii="Times New Roman"/>
        </w:rPr>
        <w:t>2）应按自下而上、先室内后室外的顺序进行，对潮湿部位重点检查；</w:t>
      </w:r>
    </w:p>
    <w:p>
      <w:pPr>
        <w:pStyle w:val="77"/>
        <w:numPr>
          <w:ilvl w:val="0"/>
          <w:numId w:val="0"/>
        </w:numPr>
        <w:ind w:left="851"/>
        <w:rPr>
          <w:rFonts w:ascii="Times New Roman"/>
        </w:rPr>
      </w:pPr>
      <w:r>
        <w:rPr>
          <w:rFonts w:ascii="Times New Roman"/>
        </w:rPr>
        <w:t>3）对已有白蚁危害或有白蚁危害潜在风险的所有部位，均应进行检查；</w:t>
      </w:r>
    </w:p>
    <w:p>
      <w:pPr>
        <w:pStyle w:val="77"/>
        <w:numPr>
          <w:ilvl w:val="0"/>
          <w:numId w:val="0"/>
        </w:numPr>
        <w:ind w:left="851"/>
        <w:rPr>
          <w:rFonts w:ascii="Times New Roman"/>
        </w:rPr>
      </w:pPr>
      <w:r>
        <w:rPr>
          <w:rFonts w:ascii="Times New Roman"/>
        </w:rPr>
        <w:t>4）区域综合治理范围内的所有房屋建筑均应进行检查。</w:t>
      </w:r>
    </w:p>
    <w:p>
      <w:pPr>
        <w:pStyle w:val="77"/>
        <w:numPr>
          <w:ilvl w:val="0"/>
          <w:numId w:val="0"/>
        </w:numPr>
        <w:rPr>
          <w:rFonts w:ascii="Times New Roman"/>
        </w:rPr>
      </w:pPr>
      <w:r>
        <w:rPr>
          <w:rFonts w:ascii="Times New Roman"/>
        </w:rPr>
        <w:t>6.1.7  白蚁危害迹象、痕迹</w:t>
      </w:r>
      <w:r>
        <w:rPr>
          <w:rFonts w:hint="eastAsia" w:ascii="Times New Roman"/>
        </w:rPr>
        <w:t>调查</w:t>
      </w:r>
      <w:r>
        <w:rPr>
          <w:rFonts w:ascii="Times New Roman"/>
        </w:rPr>
        <w:t>应包括以下方面：</w:t>
      </w:r>
    </w:p>
    <w:p>
      <w:pPr>
        <w:pStyle w:val="77"/>
        <w:numPr>
          <w:ilvl w:val="0"/>
          <w:numId w:val="0"/>
        </w:numPr>
        <w:ind w:left="851"/>
        <w:rPr>
          <w:rFonts w:ascii="Times New Roman"/>
        </w:rPr>
      </w:pPr>
      <w:r>
        <w:rPr>
          <w:rFonts w:ascii="Times New Roman"/>
        </w:rPr>
        <w:t>1）蚁路或泥线、泥被；</w:t>
      </w:r>
    </w:p>
    <w:p>
      <w:pPr>
        <w:pStyle w:val="77"/>
        <w:numPr>
          <w:ilvl w:val="0"/>
          <w:numId w:val="0"/>
        </w:numPr>
        <w:ind w:left="851"/>
        <w:rPr>
          <w:rFonts w:ascii="Times New Roman"/>
        </w:rPr>
      </w:pPr>
      <w:r>
        <w:rPr>
          <w:rFonts w:ascii="Times New Roman"/>
        </w:rPr>
        <w:t>2）分飞孔、排泄物、有翅成虫或其脱落的翅；</w:t>
      </w:r>
    </w:p>
    <w:p>
      <w:pPr>
        <w:pStyle w:val="77"/>
        <w:numPr>
          <w:ilvl w:val="0"/>
          <w:numId w:val="0"/>
        </w:numPr>
        <w:ind w:left="851"/>
        <w:rPr>
          <w:rFonts w:ascii="Times New Roman"/>
        </w:rPr>
      </w:pPr>
      <w:r>
        <w:rPr>
          <w:rFonts w:ascii="Times New Roman"/>
        </w:rPr>
        <w:t>3）被白蚁蛀食空塌、空陷的危害物；</w:t>
      </w:r>
    </w:p>
    <w:p>
      <w:pPr>
        <w:pStyle w:val="77"/>
        <w:numPr>
          <w:ilvl w:val="0"/>
          <w:numId w:val="0"/>
        </w:numPr>
        <w:ind w:left="851"/>
        <w:rPr>
          <w:rFonts w:ascii="Times New Roman"/>
        </w:rPr>
      </w:pPr>
      <w:r>
        <w:rPr>
          <w:rFonts w:ascii="Times New Roman"/>
        </w:rPr>
        <w:t>4）白蚁活体等。</w:t>
      </w:r>
    </w:p>
    <w:p>
      <w:pPr>
        <w:pStyle w:val="77"/>
        <w:numPr>
          <w:ilvl w:val="0"/>
          <w:numId w:val="0"/>
        </w:numPr>
        <w:rPr>
          <w:rFonts w:ascii="Times New Roman"/>
        </w:rPr>
      </w:pPr>
      <w:r>
        <w:rPr>
          <w:rFonts w:ascii="Times New Roman"/>
        </w:rPr>
        <w:t>6.1.8  根据蚁害调查的结果，参照GB/T 51253-2017将房屋白蚁危害程度分为三级：</w:t>
      </w:r>
    </w:p>
    <w:p>
      <w:pPr>
        <w:pStyle w:val="77"/>
        <w:numPr>
          <w:ilvl w:val="0"/>
          <w:numId w:val="0"/>
        </w:numPr>
        <w:ind w:left="851"/>
        <w:rPr>
          <w:rFonts w:ascii="Times New Roman"/>
        </w:rPr>
      </w:pPr>
      <w:r>
        <w:rPr>
          <w:rFonts w:ascii="Times New Roman"/>
        </w:rPr>
        <w:t>1）Ⅰ 级：轻微危害或存在白蚁危害潜在风险；</w:t>
      </w:r>
    </w:p>
    <w:p>
      <w:pPr>
        <w:pStyle w:val="77"/>
        <w:numPr>
          <w:ilvl w:val="0"/>
          <w:numId w:val="0"/>
        </w:numPr>
        <w:ind w:left="851"/>
        <w:rPr>
          <w:rFonts w:ascii="Times New Roman"/>
        </w:rPr>
      </w:pPr>
      <w:r>
        <w:rPr>
          <w:rFonts w:ascii="Times New Roman"/>
        </w:rPr>
        <w:t>2）Ⅱ 级：中度危害；</w:t>
      </w:r>
    </w:p>
    <w:p>
      <w:pPr>
        <w:pStyle w:val="77"/>
        <w:numPr>
          <w:ilvl w:val="0"/>
          <w:numId w:val="0"/>
        </w:numPr>
        <w:ind w:left="851"/>
        <w:rPr>
          <w:rFonts w:ascii="Times New Roman"/>
        </w:rPr>
      </w:pPr>
      <w:r>
        <w:rPr>
          <w:rFonts w:ascii="Times New Roman"/>
        </w:rPr>
        <w:t>3）Ⅲ 级：严重危害，房屋本体已产生较重的白蚁危害或存在重大的危害风险。</w:t>
      </w:r>
    </w:p>
    <w:p>
      <w:pPr>
        <w:pStyle w:val="101"/>
        <w:numPr>
          <w:ilvl w:val="0"/>
          <w:numId w:val="0"/>
        </w:numPr>
        <w:spacing w:before="0" w:beforeLines="0" w:after="156"/>
        <w:jc w:val="both"/>
        <w:rPr>
          <w:rFonts w:ascii="Times New Roman" w:hAnsi="Times New Roman" w:eastAsia="宋体"/>
          <w:kern w:val="0"/>
        </w:rPr>
      </w:pPr>
      <w:r>
        <w:rPr>
          <w:rFonts w:ascii="Times New Roman" w:hAnsi="Times New Roman" w:eastAsia="宋体"/>
          <w:kern w:val="0"/>
        </w:rPr>
        <w:t>6.1.9  蚁害调查结束后，</w:t>
      </w:r>
      <w:r>
        <w:rPr>
          <w:rFonts w:hint="eastAsia" w:ascii="Times New Roman" w:hAnsi="Times New Roman" w:eastAsia="宋体"/>
          <w:kern w:val="0"/>
        </w:rPr>
        <w:t>宜</w:t>
      </w:r>
      <w:r>
        <w:rPr>
          <w:rFonts w:ascii="Times New Roman" w:hAnsi="Times New Roman" w:eastAsia="宋体"/>
          <w:kern w:val="0"/>
        </w:rPr>
        <w:t>填写房屋白蚁灭治蚁害调查表（参见附录B 表B.1）。</w:t>
      </w:r>
    </w:p>
    <w:p>
      <w:pPr>
        <w:pStyle w:val="55"/>
        <w:numPr>
          <w:ilvl w:val="0"/>
          <w:numId w:val="0"/>
        </w:numPr>
        <w:rPr>
          <w:rFonts w:ascii="Times New Roman"/>
        </w:rPr>
      </w:pPr>
      <w:bookmarkStart w:id="227" w:name="_Toc116553951"/>
      <w:r>
        <w:rPr>
          <w:rFonts w:ascii="Times New Roman"/>
        </w:rPr>
        <w:t>6.2  方案制定</w:t>
      </w:r>
      <w:bookmarkEnd w:id="227"/>
    </w:p>
    <w:p>
      <w:pPr>
        <w:pStyle w:val="77"/>
        <w:numPr>
          <w:ilvl w:val="0"/>
          <w:numId w:val="0"/>
        </w:numPr>
        <w:rPr>
          <w:rFonts w:ascii="Times New Roman"/>
        </w:rPr>
      </w:pPr>
      <w:r>
        <w:rPr>
          <w:rFonts w:ascii="Times New Roman"/>
        </w:rPr>
        <w:t>6.2.1  房屋建筑白蚁灭治技术方案应贯彻绿色发展的理念，符合我国白蚁防治技术水平及发展趋势的要求，具有科学性、合理性和可操作性。</w:t>
      </w:r>
    </w:p>
    <w:p>
      <w:pPr>
        <w:pStyle w:val="77"/>
        <w:numPr>
          <w:ilvl w:val="0"/>
          <w:numId w:val="0"/>
        </w:numPr>
        <w:rPr>
          <w:rFonts w:ascii="Times New Roman"/>
        </w:rPr>
      </w:pPr>
      <w:r>
        <w:rPr>
          <w:rFonts w:ascii="Times New Roman"/>
        </w:rPr>
        <w:t>6.2.2  房屋白蚁灭治可根据具体情况和要求分为局部控制和区域综合治理两类：</w:t>
      </w:r>
    </w:p>
    <w:p>
      <w:pPr>
        <w:pStyle w:val="77"/>
        <w:numPr>
          <w:ilvl w:val="0"/>
          <w:numId w:val="0"/>
        </w:numPr>
        <w:ind w:left="851"/>
        <w:rPr>
          <w:rFonts w:ascii="Times New Roman"/>
        </w:rPr>
      </w:pPr>
      <w:r>
        <w:rPr>
          <w:rFonts w:ascii="Times New Roman"/>
        </w:rPr>
        <w:t>1）白蚁轻微、中度危害的，或严重危害时的应急处理，</w:t>
      </w:r>
      <w:r>
        <w:rPr>
          <w:rFonts w:hint="eastAsia" w:ascii="Times New Roman"/>
        </w:rPr>
        <w:t>应</w:t>
      </w:r>
      <w:r>
        <w:rPr>
          <w:rFonts w:ascii="Times New Roman"/>
        </w:rPr>
        <w:t>实施白蚁局部控制；</w:t>
      </w:r>
    </w:p>
    <w:p>
      <w:pPr>
        <w:pStyle w:val="77"/>
        <w:numPr>
          <w:ilvl w:val="0"/>
          <w:numId w:val="0"/>
        </w:numPr>
        <w:ind w:left="851"/>
        <w:rPr>
          <w:rFonts w:ascii="Times New Roman"/>
        </w:rPr>
      </w:pPr>
      <w:r>
        <w:rPr>
          <w:rFonts w:ascii="Times New Roman"/>
        </w:rPr>
        <w:t>2）白蚁严重危害的，或白蚁中度危害但治理范围较大时，应实施白蚁区域综合治理。</w:t>
      </w:r>
    </w:p>
    <w:p>
      <w:pPr>
        <w:pStyle w:val="77"/>
        <w:numPr>
          <w:ilvl w:val="0"/>
          <w:numId w:val="0"/>
        </w:numPr>
        <w:rPr>
          <w:rFonts w:ascii="Times New Roman"/>
        </w:rPr>
      </w:pPr>
      <w:r>
        <w:rPr>
          <w:rFonts w:ascii="Times New Roman"/>
        </w:rPr>
        <w:t>6.2.3  白蚁局部控制应以保护局部区域免受白蚁危害为目标，及时消除和控制白蚁危害，并符合以下要求：</w:t>
      </w:r>
    </w:p>
    <w:p>
      <w:pPr>
        <w:pStyle w:val="77"/>
        <w:numPr>
          <w:ilvl w:val="0"/>
          <w:numId w:val="0"/>
        </w:numPr>
        <w:ind w:firstLine="840" w:firstLineChars="400"/>
        <w:rPr>
          <w:rFonts w:ascii="Times New Roman"/>
        </w:rPr>
      </w:pPr>
      <w:r>
        <w:rPr>
          <w:rFonts w:ascii="Times New Roman"/>
        </w:rPr>
        <w:t>1）白蚁局部控制重点处理已发现的白蚁危害点，对危害点所在自然间（开间）可能孳生白蚁</w:t>
      </w:r>
    </w:p>
    <w:p>
      <w:pPr>
        <w:pStyle w:val="77"/>
        <w:numPr>
          <w:ilvl w:val="0"/>
          <w:numId w:val="0"/>
        </w:numPr>
        <w:ind w:firstLine="1155" w:firstLineChars="550"/>
        <w:rPr>
          <w:rFonts w:ascii="Times New Roman"/>
        </w:rPr>
      </w:pPr>
      <w:r>
        <w:rPr>
          <w:rFonts w:ascii="Times New Roman"/>
        </w:rPr>
        <w:t>部位可同步处理，必要时处理范围可扩大到相邻自然间或整幢建筑；</w:t>
      </w:r>
    </w:p>
    <w:p>
      <w:pPr>
        <w:pStyle w:val="77"/>
        <w:numPr>
          <w:ilvl w:val="0"/>
          <w:numId w:val="0"/>
        </w:numPr>
        <w:ind w:left="1155" w:leftChars="400" w:hanging="315" w:hangingChars="150"/>
        <w:rPr>
          <w:rFonts w:ascii="Times New Roman"/>
        </w:rPr>
      </w:pPr>
      <w:r>
        <w:rPr>
          <w:rFonts w:ascii="Times New Roman"/>
        </w:rPr>
        <w:t>2）实施白蚁局部控制时，应根据白蚁种类、危害部位和程度等现场情况，</w:t>
      </w:r>
      <w:bookmarkStart w:id="228" w:name="OLE_LINK10"/>
      <w:bookmarkStart w:id="229" w:name="OLE_LINK9"/>
      <w:r>
        <w:rPr>
          <w:rFonts w:ascii="Times New Roman"/>
        </w:rPr>
        <w:t>同一现场同种白蚁宜采用1种最佳的白蚁防治技术，不宜多种方法并用</w:t>
      </w:r>
      <w:bookmarkEnd w:id="228"/>
      <w:bookmarkEnd w:id="229"/>
      <w:r>
        <w:rPr>
          <w:rFonts w:ascii="Times New Roman"/>
        </w:rPr>
        <w:t>。</w:t>
      </w:r>
    </w:p>
    <w:p>
      <w:pPr>
        <w:pStyle w:val="77"/>
        <w:numPr>
          <w:ilvl w:val="0"/>
          <w:numId w:val="0"/>
        </w:numPr>
        <w:rPr>
          <w:rFonts w:ascii="Times New Roman"/>
        </w:rPr>
      </w:pPr>
      <w:r>
        <w:rPr>
          <w:rFonts w:ascii="Times New Roman"/>
        </w:rPr>
        <w:t>6.2.4  白蚁区域综合治理应以显著降低区域内的白蚁种群密度使其不造成经济危害为目标，并符合以下要求：</w:t>
      </w:r>
    </w:p>
    <w:p>
      <w:pPr>
        <w:pStyle w:val="77"/>
        <w:numPr>
          <w:ilvl w:val="0"/>
          <w:numId w:val="0"/>
        </w:numPr>
        <w:ind w:left="1155" w:leftChars="400" w:hanging="315" w:hangingChars="150"/>
        <w:rPr>
          <w:rFonts w:ascii="Times New Roman"/>
        </w:rPr>
      </w:pPr>
      <w:r>
        <w:rPr>
          <w:rFonts w:ascii="Times New Roman"/>
        </w:rPr>
        <w:t>1）白蚁区域综合治理的治理范围应涵盖区域内的所有房屋建筑及室外环境，如有必要可适当扩展到区域之外的一定范围；</w:t>
      </w:r>
    </w:p>
    <w:p>
      <w:pPr>
        <w:pStyle w:val="77"/>
        <w:numPr>
          <w:ilvl w:val="0"/>
          <w:numId w:val="0"/>
        </w:numPr>
        <w:ind w:left="1155" w:leftChars="400" w:hanging="315" w:hangingChars="150"/>
        <w:rPr>
          <w:rFonts w:ascii="Times New Roman"/>
        </w:rPr>
      </w:pPr>
      <w:r>
        <w:rPr>
          <w:rFonts w:ascii="Times New Roman"/>
        </w:rPr>
        <w:t>2）白蚁区域综合治理的治理期宜按合同约定，治理期内每年应进行至少1次治理效果检查，并根据检查结果采取相应的处置措施</w:t>
      </w:r>
      <w:r>
        <w:rPr>
          <w:rFonts w:hint="eastAsia" w:ascii="Times New Roman"/>
        </w:rPr>
        <w:t>；</w:t>
      </w:r>
    </w:p>
    <w:p>
      <w:pPr>
        <w:pStyle w:val="77"/>
        <w:numPr>
          <w:ilvl w:val="0"/>
          <w:numId w:val="0"/>
        </w:numPr>
        <w:ind w:firstLine="840" w:firstLineChars="400"/>
        <w:rPr>
          <w:rFonts w:ascii="Times New Roman"/>
        </w:rPr>
      </w:pPr>
      <w:r>
        <w:rPr>
          <w:rFonts w:ascii="Times New Roman"/>
        </w:rPr>
        <w:t>3）治理到期后根据周边蚁情和被保护区域的需求，可进行长期白蚁监测。</w:t>
      </w:r>
    </w:p>
    <w:p>
      <w:pPr>
        <w:pStyle w:val="77"/>
        <w:numPr>
          <w:ilvl w:val="0"/>
          <w:numId w:val="0"/>
        </w:numPr>
        <w:rPr>
          <w:rFonts w:ascii="Times New Roman"/>
        </w:rPr>
      </w:pPr>
      <w:r>
        <w:rPr>
          <w:rFonts w:ascii="Times New Roman"/>
        </w:rPr>
        <w:t xml:space="preserve">6.2.5 </w:t>
      </w:r>
      <w:bookmarkStart w:id="230" w:name="OLE_LINK13"/>
      <w:bookmarkStart w:id="231" w:name="OLE_LINK14"/>
      <w:r>
        <w:rPr>
          <w:rFonts w:ascii="Times New Roman"/>
        </w:rPr>
        <w:t xml:space="preserve"> 白蚁区域综合治理技术方案应包括基本概况、白蚁危害现状、治理范围、目标和时间、治理策略与技术措施、施工安排、质量控制与安全管理、验收、经费预算、工作建议等内容</w:t>
      </w:r>
      <w:bookmarkEnd w:id="230"/>
      <w:bookmarkEnd w:id="231"/>
      <w:r>
        <w:rPr>
          <w:rFonts w:hint="eastAsia" w:ascii="Times New Roman"/>
        </w:rPr>
        <w:t>，</w:t>
      </w:r>
      <w:r>
        <w:rPr>
          <w:rFonts w:ascii="Times New Roman"/>
        </w:rPr>
        <w:t>填写白蚁</w:t>
      </w:r>
      <w:r>
        <w:rPr>
          <w:rFonts w:hint="eastAsia" w:ascii="Times New Roman"/>
        </w:rPr>
        <w:t>区域综合治理施工方案</w:t>
      </w:r>
      <w:r>
        <w:rPr>
          <w:rFonts w:ascii="Times New Roman"/>
        </w:rPr>
        <w:t>表（参见附录B 表B.3）；白蚁局部控制，可根据实际情况制定简易方案。</w:t>
      </w:r>
    </w:p>
    <w:p>
      <w:pPr>
        <w:pStyle w:val="77"/>
        <w:numPr>
          <w:ilvl w:val="0"/>
          <w:numId w:val="0"/>
        </w:numPr>
        <w:rPr>
          <w:rFonts w:ascii="Times New Roman"/>
        </w:rPr>
      </w:pPr>
      <w:r>
        <w:rPr>
          <w:rFonts w:ascii="Times New Roman"/>
        </w:rPr>
        <w:t>6.2.6  白蚁区域综合治理技术方案应由白蚁防治单位技术负责人审核合格后，经委托方同意后实施。</w:t>
      </w:r>
    </w:p>
    <w:p>
      <w:pPr>
        <w:pStyle w:val="77"/>
        <w:numPr>
          <w:ilvl w:val="0"/>
          <w:numId w:val="0"/>
        </w:numPr>
        <w:rPr>
          <w:rFonts w:ascii="Times New Roman"/>
        </w:rPr>
      </w:pPr>
      <w:r>
        <w:rPr>
          <w:rFonts w:ascii="Times New Roman"/>
        </w:rPr>
        <w:t>6.2.7  房屋建筑发生白蚁危害，且符合下列情况之一的，</w:t>
      </w:r>
      <w:r>
        <w:rPr>
          <w:rFonts w:hint="eastAsia" w:ascii="Times New Roman"/>
        </w:rPr>
        <w:t>宜</w:t>
      </w:r>
      <w:r>
        <w:rPr>
          <w:rFonts w:ascii="Times New Roman"/>
        </w:rPr>
        <w:t>采用液剂药杀法：</w:t>
      </w:r>
    </w:p>
    <w:p>
      <w:pPr>
        <w:pStyle w:val="77"/>
        <w:numPr>
          <w:ilvl w:val="0"/>
          <w:numId w:val="0"/>
        </w:numPr>
        <w:ind w:left="851"/>
        <w:rPr>
          <w:rFonts w:ascii="Times New Roman"/>
        </w:rPr>
      </w:pPr>
      <w:r>
        <w:rPr>
          <w:rFonts w:ascii="Times New Roman"/>
        </w:rPr>
        <w:t>1）散白蚁危害；</w:t>
      </w:r>
    </w:p>
    <w:p>
      <w:pPr>
        <w:pStyle w:val="77"/>
        <w:numPr>
          <w:ilvl w:val="0"/>
          <w:numId w:val="0"/>
        </w:numPr>
        <w:ind w:left="851"/>
        <w:rPr>
          <w:rFonts w:ascii="Times New Roman"/>
        </w:rPr>
      </w:pPr>
      <w:r>
        <w:rPr>
          <w:rFonts w:ascii="Times New Roman"/>
        </w:rPr>
        <w:t>2）需对白蚁危害物进行及时或应急性保护；</w:t>
      </w:r>
    </w:p>
    <w:p>
      <w:pPr>
        <w:pStyle w:val="77"/>
        <w:numPr>
          <w:ilvl w:val="0"/>
          <w:numId w:val="0"/>
        </w:numPr>
        <w:ind w:left="851"/>
        <w:rPr>
          <w:rFonts w:ascii="Times New Roman"/>
        </w:rPr>
      </w:pPr>
      <w:r>
        <w:rPr>
          <w:rFonts w:ascii="Times New Roman"/>
        </w:rPr>
        <w:t>3）危害范围小的干木白蚁危害；</w:t>
      </w:r>
    </w:p>
    <w:p>
      <w:pPr>
        <w:pStyle w:val="77"/>
        <w:numPr>
          <w:ilvl w:val="0"/>
          <w:numId w:val="0"/>
        </w:numPr>
        <w:ind w:left="851"/>
        <w:rPr>
          <w:rFonts w:ascii="Times New Roman"/>
        </w:rPr>
      </w:pPr>
      <w:r>
        <w:rPr>
          <w:rFonts w:ascii="Times New Roman"/>
        </w:rPr>
        <w:t>4）对白蚁有可能蔓延到的部位进行预防性处理。</w:t>
      </w:r>
    </w:p>
    <w:p>
      <w:pPr>
        <w:pStyle w:val="77"/>
        <w:numPr>
          <w:ilvl w:val="0"/>
          <w:numId w:val="0"/>
        </w:numPr>
        <w:rPr>
          <w:rFonts w:ascii="Times New Roman"/>
        </w:rPr>
      </w:pPr>
      <w:r>
        <w:rPr>
          <w:rFonts w:ascii="Times New Roman"/>
        </w:rPr>
        <w:t>6.2.8  房屋建筑发生白蚁危害，且符合下列情况之一的，宜用粉剂药杀法：</w:t>
      </w:r>
    </w:p>
    <w:p>
      <w:pPr>
        <w:pStyle w:val="77"/>
        <w:numPr>
          <w:ilvl w:val="0"/>
          <w:numId w:val="0"/>
        </w:numPr>
        <w:ind w:firstLine="840" w:firstLineChars="400"/>
        <w:rPr>
          <w:rFonts w:ascii="Times New Roman"/>
        </w:rPr>
      </w:pPr>
      <w:r>
        <w:rPr>
          <w:rFonts w:ascii="Times New Roman"/>
        </w:rPr>
        <w:t>1）在危害点、泥被、泥线、蚁路发现较多活动白蚁；</w:t>
      </w:r>
    </w:p>
    <w:p>
      <w:pPr>
        <w:pStyle w:val="77"/>
        <w:numPr>
          <w:ilvl w:val="0"/>
          <w:numId w:val="0"/>
        </w:numPr>
        <w:ind w:left="851"/>
        <w:rPr>
          <w:rFonts w:ascii="Times New Roman"/>
        </w:rPr>
      </w:pPr>
      <w:r>
        <w:rPr>
          <w:rFonts w:ascii="Times New Roman"/>
        </w:rPr>
        <w:t>2) 发现分飞孔，且尚在分飞期、有较多活动白蚁；</w:t>
      </w:r>
    </w:p>
    <w:p>
      <w:pPr>
        <w:pStyle w:val="77"/>
        <w:numPr>
          <w:ilvl w:val="0"/>
          <w:numId w:val="0"/>
        </w:numPr>
        <w:ind w:left="851"/>
        <w:rPr>
          <w:rFonts w:ascii="Times New Roman"/>
        </w:rPr>
      </w:pPr>
      <w:r>
        <w:rPr>
          <w:rFonts w:ascii="Times New Roman"/>
        </w:rPr>
        <w:t>3) 已确定白蚁巢位或发现白蚁巢体；</w:t>
      </w:r>
    </w:p>
    <w:p>
      <w:pPr>
        <w:pStyle w:val="77"/>
        <w:numPr>
          <w:ilvl w:val="0"/>
          <w:numId w:val="0"/>
        </w:numPr>
        <w:ind w:left="851"/>
        <w:rPr>
          <w:rFonts w:ascii="Times New Roman"/>
        </w:rPr>
      </w:pPr>
      <w:r>
        <w:rPr>
          <w:rFonts w:ascii="Times New Roman"/>
        </w:rPr>
        <w:t>4) 诱集器、监测装置内诱集到较多白蚁。</w:t>
      </w:r>
    </w:p>
    <w:p>
      <w:pPr>
        <w:pStyle w:val="77"/>
        <w:numPr>
          <w:ilvl w:val="0"/>
          <w:numId w:val="0"/>
        </w:numPr>
        <w:rPr>
          <w:rFonts w:ascii="Times New Roman"/>
        </w:rPr>
      </w:pPr>
      <w:r>
        <w:rPr>
          <w:rFonts w:ascii="Times New Roman"/>
        </w:rPr>
        <w:t>6.2.9  房屋建筑发生白蚁危害，且符合下列情况之一的，宜采用诱杀法：</w:t>
      </w:r>
    </w:p>
    <w:p>
      <w:pPr>
        <w:pStyle w:val="77"/>
        <w:numPr>
          <w:ilvl w:val="0"/>
          <w:numId w:val="0"/>
        </w:numPr>
        <w:ind w:left="851"/>
        <w:rPr>
          <w:rFonts w:ascii="Times New Roman"/>
        </w:rPr>
      </w:pPr>
      <w:r>
        <w:rPr>
          <w:rFonts w:ascii="Times New Roman"/>
        </w:rPr>
        <w:t>1）在白蚁危害部位发现有少量白蚁活动；</w:t>
      </w:r>
    </w:p>
    <w:p>
      <w:pPr>
        <w:pStyle w:val="77"/>
        <w:numPr>
          <w:ilvl w:val="0"/>
          <w:numId w:val="0"/>
        </w:numPr>
        <w:ind w:left="851"/>
        <w:rPr>
          <w:rFonts w:ascii="Times New Roman"/>
        </w:rPr>
      </w:pPr>
      <w:r>
        <w:rPr>
          <w:rFonts w:ascii="Times New Roman"/>
        </w:rPr>
        <w:t>2）发现泥被、泥线、蚁路、分飞孔等迹象且有白蚁活动；</w:t>
      </w:r>
    </w:p>
    <w:p>
      <w:pPr>
        <w:pStyle w:val="77"/>
        <w:numPr>
          <w:ilvl w:val="0"/>
          <w:numId w:val="0"/>
        </w:numPr>
        <w:ind w:left="851"/>
        <w:rPr>
          <w:rFonts w:ascii="Times New Roman"/>
        </w:rPr>
      </w:pPr>
      <w:r>
        <w:rPr>
          <w:rFonts w:ascii="Times New Roman"/>
        </w:rPr>
        <w:t>3）基本确定白蚁巢位，但白蚁活动不明显；</w:t>
      </w:r>
    </w:p>
    <w:p>
      <w:pPr>
        <w:pStyle w:val="77"/>
        <w:numPr>
          <w:ilvl w:val="0"/>
          <w:numId w:val="0"/>
        </w:numPr>
        <w:ind w:left="851"/>
        <w:rPr>
          <w:rFonts w:ascii="Times New Roman"/>
        </w:rPr>
      </w:pPr>
      <w:r>
        <w:rPr>
          <w:rFonts w:ascii="Times New Roman"/>
        </w:rPr>
        <w:t>4）诱集箱、监测装置内诱集到白蚁；</w:t>
      </w:r>
    </w:p>
    <w:p>
      <w:pPr>
        <w:pStyle w:val="77"/>
        <w:numPr>
          <w:ilvl w:val="0"/>
          <w:numId w:val="0"/>
        </w:numPr>
        <w:ind w:left="851"/>
        <w:rPr>
          <w:rFonts w:ascii="Times New Roman"/>
        </w:rPr>
      </w:pPr>
      <w:r>
        <w:rPr>
          <w:rFonts w:ascii="Times New Roman"/>
        </w:rPr>
        <w:t>5）疑似有白蚁危害或活动且白蚁有可能取食、</w:t>
      </w:r>
      <w:r>
        <w:rPr>
          <w:rFonts w:hint="eastAsia" w:ascii="Times New Roman"/>
        </w:rPr>
        <w:t>蔓延</w:t>
      </w:r>
      <w:r>
        <w:rPr>
          <w:rFonts w:ascii="Times New Roman"/>
        </w:rPr>
        <w:t>到的部位。</w:t>
      </w:r>
    </w:p>
    <w:p>
      <w:pPr>
        <w:pStyle w:val="77"/>
        <w:numPr>
          <w:ilvl w:val="0"/>
          <w:numId w:val="0"/>
        </w:numPr>
        <w:rPr>
          <w:rFonts w:ascii="Times New Roman"/>
        </w:rPr>
      </w:pPr>
      <w:r>
        <w:rPr>
          <w:rFonts w:ascii="Times New Roman"/>
        </w:rPr>
        <w:t>6.2.10  房屋建筑发生白蚁危害，且符合下列情况之一的，宜采用挖巢法：</w:t>
      </w:r>
    </w:p>
    <w:p>
      <w:pPr>
        <w:pStyle w:val="77"/>
        <w:numPr>
          <w:ilvl w:val="0"/>
          <w:numId w:val="0"/>
        </w:numPr>
        <w:ind w:left="851"/>
        <w:rPr>
          <w:rFonts w:ascii="Times New Roman"/>
        </w:rPr>
      </w:pPr>
      <w:r>
        <w:rPr>
          <w:rFonts w:ascii="Times New Roman"/>
        </w:rPr>
        <w:t>1）房屋或房屋周围发现乳白蚁或土白蚁危害；</w:t>
      </w:r>
    </w:p>
    <w:p>
      <w:pPr>
        <w:pStyle w:val="77"/>
        <w:numPr>
          <w:ilvl w:val="0"/>
          <w:numId w:val="0"/>
        </w:numPr>
        <w:ind w:left="851"/>
        <w:rPr>
          <w:rFonts w:ascii="Times New Roman"/>
        </w:rPr>
      </w:pPr>
      <w:r>
        <w:rPr>
          <w:rFonts w:ascii="Times New Roman"/>
        </w:rPr>
        <w:t>2）危害处有明显的白蚁巢的外露特征（如排泄物、分飞孔、通气孔）；</w:t>
      </w:r>
    </w:p>
    <w:p>
      <w:pPr>
        <w:pStyle w:val="77"/>
        <w:numPr>
          <w:ilvl w:val="0"/>
          <w:numId w:val="0"/>
        </w:numPr>
        <w:ind w:left="851"/>
        <w:rPr>
          <w:rFonts w:ascii="Times New Roman"/>
        </w:rPr>
      </w:pPr>
      <w:r>
        <w:rPr>
          <w:rFonts w:ascii="Times New Roman"/>
        </w:rPr>
        <w:t>3）基本确定白蚁巢位，并具备可开挖条件。</w:t>
      </w:r>
    </w:p>
    <w:p>
      <w:pPr>
        <w:pStyle w:val="77"/>
        <w:numPr>
          <w:ilvl w:val="0"/>
          <w:numId w:val="0"/>
        </w:numPr>
        <w:rPr>
          <w:rFonts w:ascii="Times New Roman"/>
        </w:rPr>
      </w:pPr>
      <w:r>
        <w:rPr>
          <w:rFonts w:ascii="Times New Roman"/>
        </w:rPr>
        <w:t xml:space="preserve">6.2.11  房屋建筑发生白蚁危害，且符合下列情况之一的，宜采用熏蒸法： </w:t>
      </w:r>
    </w:p>
    <w:p>
      <w:pPr>
        <w:pStyle w:val="77"/>
        <w:numPr>
          <w:ilvl w:val="0"/>
          <w:numId w:val="0"/>
        </w:numPr>
        <w:ind w:left="851"/>
        <w:rPr>
          <w:rFonts w:ascii="Times New Roman"/>
        </w:rPr>
      </w:pPr>
      <w:r>
        <w:rPr>
          <w:rFonts w:ascii="Times New Roman"/>
        </w:rPr>
        <w:t>1）木构件有干木白蚁危害，且危害物数量较多；</w:t>
      </w:r>
    </w:p>
    <w:p>
      <w:pPr>
        <w:pStyle w:val="77"/>
        <w:numPr>
          <w:ilvl w:val="0"/>
          <w:numId w:val="0"/>
        </w:numPr>
        <w:ind w:left="851"/>
        <w:rPr>
          <w:rFonts w:ascii="Times New Roman"/>
        </w:rPr>
      </w:pPr>
      <w:r>
        <w:rPr>
          <w:rFonts w:ascii="Times New Roman"/>
        </w:rPr>
        <w:t>2）木构件或木制品有干木白蚁危害，且可移动至密闭空间场所。</w:t>
      </w:r>
    </w:p>
    <w:p>
      <w:pPr>
        <w:pStyle w:val="77"/>
        <w:numPr>
          <w:ilvl w:val="0"/>
          <w:numId w:val="0"/>
        </w:numPr>
        <w:rPr>
          <w:rFonts w:ascii="Times New Roman"/>
        </w:rPr>
      </w:pPr>
      <w:r>
        <w:rPr>
          <w:rFonts w:ascii="Times New Roman"/>
        </w:rPr>
        <w:t>6.2.12  房屋建筑发生白蚁危害，且同时符合下列情况的，宜采用冷冻法：</w:t>
      </w:r>
    </w:p>
    <w:p>
      <w:pPr>
        <w:pStyle w:val="77"/>
        <w:numPr>
          <w:ilvl w:val="0"/>
          <w:numId w:val="0"/>
        </w:numPr>
        <w:ind w:left="851"/>
        <w:rPr>
          <w:rFonts w:ascii="Times New Roman"/>
        </w:rPr>
      </w:pPr>
      <w:r>
        <w:rPr>
          <w:rFonts w:ascii="Times New Roman"/>
        </w:rPr>
        <w:t>1）白蚁危害物为小型木构件或木制品；</w:t>
      </w:r>
    </w:p>
    <w:p>
      <w:pPr>
        <w:pStyle w:val="77"/>
        <w:numPr>
          <w:ilvl w:val="0"/>
          <w:numId w:val="0"/>
        </w:numPr>
        <w:ind w:left="851"/>
        <w:rPr>
          <w:rFonts w:ascii="Times New Roman"/>
        </w:rPr>
      </w:pPr>
      <w:r>
        <w:rPr>
          <w:rFonts w:ascii="Times New Roman"/>
        </w:rPr>
        <w:t>2）白蚁危害物可移动或易封闭；</w:t>
      </w:r>
    </w:p>
    <w:p>
      <w:pPr>
        <w:pStyle w:val="77"/>
        <w:numPr>
          <w:ilvl w:val="0"/>
          <w:numId w:val="0"/>
        </w:numPr>
        <w:ind w:left="851"/>
        <w:rPr>
          <w:rFonts w:ascii="Times New Roman"/>
        </w:rPr>
      </w:pPr>
      <w:r>
        <w:rPr>
          <w:rFonts w:ascii="Times New Roman"/>
        </w:rPr>
        <w:t>3）被处理的物品在-18 ℃条件下其性状不发生明显改变。</w:t>
      </w:r>
    </w:p>
    <w:p>
      <w:pPr>
        <w:pStyle w:val="77"/>
        <w:numPr>
          <w:ilvl w:val="0"/>
          <w:numId w:val="0"/>
        </w:numPr>
        <w:rPr>
          <w:rFonts w:ascii="Times New Roman"/>
        </w:rPr>
      </w:pPr>
      <w:r>
        <w:rPr>
          <w:rFonts w:ascii="Times New Roman"/>
        </w:rPr>
        <w:t>6.2.13  房屋建筑发生白蚁危害，且同时符合下列情况的，宜采用高温法：</w:t>
      </w:r>
    </w:p>
    <w:p>
      <w:pPr>
        <w:pStyle w:val="77"/>
        <w:numPr>
          <w:ilvl w:val="0"/>
          <w:numId w:val="0"/>
        </w:numPr>
        <w:ind w:left="851"/>
        <w:rPr>
          <w:rFonts w:ascii="Times New Roman"/>
        </w:rPr>
      </w:pPr>
      <w:r>
        <w:rPr>
          <w:rFonts w:ascii="Times New Roman"/>
        </w:rPr>
        <w:t>1）白蚁危害物为小型木构件或木制品；</w:t>
      </w:r>
    </w:p>
    <w:p>
      <w:pPr>
        <w:pStyle w:val="77"/>
        <w:numPr>
          <w:ilvl w:val="0"/>
          <w:numId w:val="0"/>
        </w:numPr>
        <w:ind w:left="851"/>
        <w:rPr>
          <w:rFonts w:ascii="Times New Roman"/>
        </w:rPr>
      </w:pPr>
      <w:r>
        <w:rPr>
          <w:rFonts w:ascii="Times New Roman"/>
        </w:rPr>
        <w:t>2）白蚁危害物可移动或易封闭；</w:t>
      </w:r>
    </w:p>
    <w:p>
      <w:pPr>
        <w:pStyle w:val="77"/>
        <w:numPr>
          <w:ilvl w:val="0"/>
          <w:numId w:val="0"/>
        </w:numPr>
        <w:ind w:left="851"/>
        <w:rPr>
          <w:rFonts w:ascii="Times New Roman"/>
        </w:rPr>
      </w:pPr>
      <w:r>
        <w:rPr>
          <w:rFonts w:ascii="Times New Roman"/>
        </w:rPr>
        <w:t>3）被处理的物品在45 ℃-50 ℃条件下其性状不发生明显改变。</w:t>
      </w:r>
    </w:p>
    <w:p>
      <w:pPr>
        <w:pStyle w:val="77"/>
        <w:numPr>
          <w:ilvl w:val="0"/>
          <w:numId w:val="0"/>
        </w:numPr>
        <w:rPr>
          <w:rFonts w:ascii="Times New Roman"/>
        </w:rPr>
      </w:pPr>
      <w:r>
        <w:rPr>
          <w:rFonts w:ascii="Times New Roman"/>
        </w:rPr>
        <w:t>6.2.14  房屋建筑发生白蚁危害或采取区域综合治理，且符合下列情况之一的，宜采用监测控制技术：</w:t>
      </w:r>
    </w:p>
    <w:p>
      <w:pPr>
        <w:pStyle w:val="77"/>
        <w:numPr>
          <w:ilvl w:val="0"/>
          <w:numId w:val="0"/>
        </w:numPr>
        <w:ind w:left="851"/>
        <w:rPr>
          <w:rFonts w:ascii="Times New Roman"/>
        </w:rPr>
      </w:pPr>
      <w:r>
        <w:rPr>
          <w:rFonts w:ascii="Times New Roman"/>
        </w:rPr>
        <w:t>1）在地面或近地面处发现白蚁危害点；</w:t>
      </w:r>
    </w:p>
    <w:p>
      <w:pPr>
        <w:pStyle w:val="77"/>
        <w:numPr>
          <w:ilvl w:val="0"/>
          <w:numId w:val="0"/>
        </w:numPr>
        <w:ind w:left="851"/>
        <w:rPr>
          <w:rFonts w:ascii="Times New Roman"/>
        </w:rPr>
      </w:pPr>
      <w:r>
        <w:rPr>
          <w:rFonts w:ascii="Times New Roman"/>
        </w:rPr>
        <w:t>2）在地面或近地面处发现泥被、泥线、蚁路、分飞孔等白蚁活动迹象；</w:t>
      </w:r>
    </w:p>
    <w:p>
      <w:pPr>
        <w:pStyle w:val="77"/>
        <w:numPr>
          <w:ilvl w:val="0"/>
          <w:numId w:val="0"/>
        </w:numPr>
        <w:ind w:left="851"/>
        <w:rPr>
          <w:rFonts w:ascii="Times New Roman"/>
        </w:rPr>
      </w:pPr>
      <w:r>
        <w:rPr>
          <w:rFonts w:ascii="Times New Roman"/>
        </w:rPr>
        <w:t>3）区域综合治理范围内的外环境；</w:t>
      </w:r>
    </w:p>
    <w:p>
      <w:pPr>
        <w:pStyle w:val="77"/>
        <w:numPr>
          <w:ilvl w:val="0"/>
          <w:numId w:val="0"/>
        </w:numPr>
        <w:ind w:left="851"/>
        <w:rPr>
          <w:rFonts w:ascii="Times New Roman"/>
        </w:rPr>
      </w:pPr>
      <w:r>
        <w:rPr>
          <w:rFonts w:ascii="Times New Roman"/>
        </w:rPr>
        <w:t>4）有必要对白蚁活动情况进行监测。</w:t>
      </w:r>
    </w:p>
    <w:p>
      <w:pPr>
        <w:pStyle w:val="55"/>
        <w:numPr>
          <w:ilvl w:val="0"/>
          <w:numId w:val="0"/>
        </w:numPr>
        <w:rPr>
          <w:rFonts w:ascii="Times New Roman"/>
        </w:rPr>
      </w:pPr>
      <w:bookmarkStart w:id="232" w:name="_Toc116553952"/>
      <w:r>
        <w:rPr>
          <w:rFonts w:ascii="Times New Roman"/>
        </w:rPr>
        <w:t>6.3  灭治施工</w:t>
      </w:r>
      <w:bookmarkEnd w:id="232"/>
    </w:p>
    <w:p>
      <w:pPr>
        <w:pStyle w:val="77"/>
        <w:numPr>
          <w:ilvl w:val="0"/>
          <w:numId w:val="0"/>
        </w:numPr>
        <w:rPr>
          <w:rFonts w:ascii="Times New Roman"/>
        </w:rPr>
      </w:pPr>
      <w:r>
        <w:rPr>
          <w:rFonts w:ascii="Times New Roman"/>
        </w:rPr>
        <w:t xml:space="preserve">6.3.1 </w:t>
      </w:r>
      <w:bookmarkStart w:id="233" w:name="OLE_LINK15"/>
      <w:r>
        <w:rPr>
          <w:rFonts w:ascii="Times New Roman"/>
        </w:rPr>
        <w:t xml:space="preserve"> 应严格按照技术方案施工，在实际施工时，如发现施工现场与设计的技术方案不符时，应根据实际情况变更技术方案，变更内容应有详细记录。</w:t>
      </w:r>
      <w:bookmarkEnd w:id="233"/>
    </w:p>
    <w:p>
      <w:pPr>
        <w:pStyle w:val="77"/>
        <w:numPr>
          <w:ilvl w:val="0"/>
          <w:numId w:val="0"/>
        </w:numPr>
        <w:rPr>
          <w:rFonts w:ascii="Times New Roman"/>
        </w:rPr>
      </w:pPr>
      <w:r>
        <w:rPr>
          <w:rFonts w:ascii="Times New Roman"/>
        </w:rPr>
        <w:t>6.3.2  房屋白蚁局部控制可采用液剂药杀法、粉剂药杀法、诱杀法、挖巢法、熏蒸法、冷冻法、高温法、监测控制技术等，同一现场同种白蚁宜选取1种最佳的防治方法进行施工处理。有蚁害的房屋外围可安装监测控制装置诱集白蚁，诱集到的白蚁应进行灭杀处理。</w:t>
      </w:r>
    </w:p>
    <w:p>
      <w:pPr>
        <w:pStyle w:val="77"/>
        <w:numPr>
          <w:ilvl w:val="0"/>
          <w:numId w:val="0"/>
        </w:numPr>
        <w:rPr>
          <w:rFonts w:ascii="Times New Roman"/>
        </w:rPr>
      </w:pPr>
      <w:r>
        <w:rPr>
          <w:rFonts w:ascii="Times New Roman"/>
        </w:rPr>
        <w:t>6.3.3  房屋白蚁区域综合治理应采用2种及以上的防治方法，并且在区域范围内的园林绿化地带安装监测控制装置或者采用诱杀法，达到降低区域白蚁种群密度的目的。</w:t>
      </w:r>
    </w:p>
    <w:p>
      <w:pPr>
        <w:pStyle w:val="77"/>
        <w:numPr>
          <w:ilvl w:val="0"/>
          <w:numId w:val="0"/>
        </w:numPr>
        <w:rPr>
          <w:rFonts w:ascii="Times New Roman"/>
        </w:rPr>
      </w:pPr>
      <w:r>
        <w:rPr>
          <w:rFonts w:ascii="Times New Roman"/>
        </w:rPr>
        <w:t>6.3.4  白蚁防治单位对白蚁区域综合治理项目应实行流程控制和过程管理，并满足下列要求：</w:t>
      </w:r>
    </w:p>
    <w:p>
      <w:pPr>
        <w:pStyle w:val="77"/>
        <w:numPr>
          <w:ilvl w:val="0"/>
          <w:numId w:val="0"/>
        </w:numPr>
        <w:ind w:left="851"/>
        <w:rPr>
          <w:rFonts w:ascii="Times New Roman"/>
        </w:rPr>
      </w:pPr>
      <w:r>
        <w:rPr>
          <w:rFonts w:ascii="Times New Roman"/>
        </w:rPr>
        <w:t>1）设立项目组，配备满足施工要求的各类人员，实行项目负责人制；</w:t>
      </w:r>
    </w:p>
    <w:p>
      <w:pPr>
        <w:pStyle w:val="77"/>
        <w:numPr>
          <w:ilvl w:val="0"/>
          <w:numId w:val="0"/>
        </w:numPr>
        <w:ind w:left="1155" w:leftChars="400" w:hanging="315" w:hangingChars="150"/>
        <w:rPr>
          <w:rFonts w:ascii="Times New Roman"/>
        </w:rPr>
      </w:pPr>
      <w:r>
        <w:rPr>
          <w:rFonts w:ascii="Times New Roman"/>
        </w:rPr>
        <w:t xml:space="preserve">2）委托方应对项目进行全过程监督，负责项目综合治理过程的协调和治理效果的验收。 </w:t>
      </w:r>
    </w:p>
    <w:p>
      <w:pPr>
        <w:pStyle w:val="77"/>
        <w:numPr>
          <w:ilvl w:val="0"/>
          <w:numId w:val="0"/>
        </w:numPr>
        <w:rPr>
          <w:rFonts w:ascii="Times New Roman"/>
        </w:rPr>
      </w:pPr>
      <w:r>
        <w:rPr>
          <w:rFonts w:ascii="Times New Roman"/>
        </w:rPr>
        <w:t>6.3.5  白蚁区域综合治理的治理期内，白蚁防治单位宜对治理区域范围内未发现白蚁危害、未采取防治措施的保护对象进行蚁情监测。</w:t>
      </w:r>
    </w:p>
    <w:p>
      <w:pPr>
        <w:pStyle w:val="77"/>
        <w:numPr>
          <w:ilvl w:val="0"/>
          <w:numId w:val="0"/>
        </w:numPr>
        <w:rPr>
          <w:rFonts w:ascii="Times New Roman"/>
        </w:rPr>
      </w:pPr>
      <w:r>
        <w:rPr>
          <w:rFonts w:ascii="Times New Roman"/>
        </w:rPr>
        <w:t>6.3.6  房屋白蚁灭治各种方法的施工要求、处理步骤见附录A。</w:t>
      </w:r>
    </w:p>
    <w:p>
      <w:pPr>
        <w:pStyle w:val="77"/>
        <w:numPr>
          <w:ilvl w:val="0"/>
          <w:numId w:val="0"/>
        </w:numPr>
        <w:rPr>
          <w:rFonts w:ascii="Times New Roman"/>
        </w:rPr>
      </w:pPr>
      <w:r>
        <w:rPr>
          <w:rFonts w:ascii="Times New Roman"/>
        </w:rPr>
        <w:t>6.3.7  施工结束后，施工人员应及时填写白蚁局部控制施工记录表或白蚁区域综合治理项目施工记录表（参见附录B表B.2或B.4）。</w:t>
      </w:r>
    </w:p>
    <w:p>
      <w:pPr>
        <w:pStyle w:val="55"/>
        <w:numPr>
          <w:ilvl w:val="0"/>
          <w:numId w:val="0"/>
        </w:numPr>
        <w:rPr>
          <w:rFonts w:ascii="Times New Roman"/>
        </w:rPr>
      </w:pPr>
      <w:bookmarkStart w:id="234" w:name="_Toc116553953"/>
      <w:r>
        <w:rPr>
          <w:rFonts w:ascii="Times New Roman"/>
        </w:rPr>
        <w:t>6.4  施工安全</w:t>
      </w:r>
      <w:bookmarkEnd w:id="234"/>
    </w:p>
    <w:p>
      <w:pPr>
        <w:pStyle w:val="77"/>
        <w:numPr>
          <w:ilvl w:val="0"/>
          <w:numId w:val="0"/>
        </w:numPr>
        <w:rPr>
          <w:rFonts w:ascii="Times New Roman"/>
        </w:rPr>
      </w:pPr>
      <w:r>
        <w:rPr>
          <w:rFonts w:ascii="Times New Roman"/>
        </w:rPr>
        <w:t>6.4.1  房屋白蚁防治单位应建立安全管理制度和应急处置预案，施工时应落实施工安全责任、做好岗前安全教育、加强施工现场安全管理和环境安全管理。</w:t>
      </w:r>
    </w:p>
    <w:p>
      <w:pPr>
        <w:pStyle w:val="77"/>
        <w:numPr>
          <w:ilvl w:val="0"/>
          <w:numId w:val="0"/>
        </w:numPr>
        <w:rPr>
          <w:rFonts w:ascii="Times New Roman"/>
        </w:rPr>
      </w:pPr>
      <w:r>
        <w:rPr>
          <w:rFonts w:ascii="Times New Roman"/>
        </w:rPr>
        <w:t>6.4.2  施工人员进入现场后，应对施工环境进行仔细检查，以防触电、摔伤等意外发生。</w:t>
      </w:r>
    </w:p>
    <w:p>
      <w:pPr>
        <w:pStyle w:val="77"/>
        <w:numPr>
          <w:ilvl w:val="0"/>
          <w:numId w:val="0"/>
        </w:numPr>
        <w:rPr>
          <w:rFonts w:ascii="Times New Roman"/>
        </w:rPr>
      </w:pPr>
      <w:r>
        <w:rPr>
          <w:rFonts w:ascii="Times New Roman"/>
        </w:rPr>
        <w:t>6.4.3  施工时，委托方应配合白蚁防治的施工安排，无关人员、宠物应撤离现场，对食品、用品等进行遮盖保护，保障施工顺利进行。</w:t>
      </w:r>
    </w:p>
    <w:p>
      <w:pPr>
        <w:pStyle w:val="77"/>
        <w:numPr>
          <w:ilvl w:val="0"/>
          <w:numId w:val="0"/>
        </w:numPr>
        <w:rPr>
          <w:rFonts w:ascii="Times New Roman"/>
        </w:rPr>
      </w:pPr>
      <w:r>
        <w:rPr>
          <w:rFonts w:ascii="Times New Roman"/>
        </w:rPr>
        <w:t>6.4.4  现场施工时，施工人员安全防护应符合下列要求：</w:t>
      </w:r>
    </w:p>
    <w:p>
      <w:pPr>
        <w:pStyle w:val="77"/>
        <w:numPr>
          <w:ilvl w:val="0"/>
          <w:numId w:val="0"/>
        </w:numPr>
        <w:ind w:left="1155" w:leftChars="400" w:hanging="315" w:hangingChars="150"/>
        <w:rPr>
          <w:rFonts w:ascii="Times New Roman"/>
        </w:rPr>
      </w:pPr>
      <w:r>
        <w:rPr>
          <w:rFonts w:ascii="Times New Roman"/>
        </w:rPr>
        <w:t>1）施工人员应经过专业培训，严格遵守施工现场相关安全生产规定，应穿戴好防护用具，如工作服、口罩、防护手套、安全帽、防护鞋等；</w:t>
      </w:r>
    </w:p>
    <w:p>
      <w:pPr>
        <w:pStyle w:val="77"/>
        <w:numPr>
          <w:ilvl w:val="0"/>
          <w:numId w:val="0"/>
        </w:numPr>
        <w:ind w:left="851"/>
        <w:rPr>
          <w:rFonts w:ascii="Times New Roman"/>
        </w:rPr>
      </w:pPr>
      <w:r>
        <w:rPr>
          <w:rFonts w:ascii="Times New Roman"/>
        </w:rPr>
        <w:t>2）施工人员不得在施工期间吸烟和进食，现场存放的药剂必须专人看管，防止丢失；</w:t>
      </w:r>
    </w:p>
    <w:p>
      <w:pPr>
        <w:pStyle w:val="77"/>
        <w:numPr>
          <w:ilvl w:val="0"/>
          <w:numId w:val="0"/>
        </w:numPr>
        <w:ind w:left="851"/>
        <w:rPr>
          <w:rFonts w:ascii="Times New Roman"/>
        </w:rPr>
      </w:pPr>
      <w:r>
        <w:rPr>
          <w:rFonts w:ascii="Times New Roman"/>
        </w:rPr>
        <w:t>3）当皮肤沾有药剂时，应及时用肥皂、冷水冲洗。</w:t>
      </w:r>
    </w:p>
    <w:p>
      <w:pPr>
        <w:pStyle w:val="77"/>
        <w:numPr>
          <w:ilvl w:val="0"/>
          <w:numId w:val="0"/>
        </w:numPr>
        <w:ind w:left="735" w:hanging="735" w:hangingChars="350"/>
        <w:rPr>
          <w:rFonts w:ascii="Times New Roman"/>
        </w:rPr>
      </w:pPr>
      <w:r>
        <w:rPr>
          <w:rFonts w:ascii="Times New Roman"/>
        </w:rPr>
        <w:t>6.4.5  施工操作完毕后，应及时清洗器械、双手、头脸等外露部位，及时更换衣物，应及时告知委托方及相关人员注意事项，以免发生药剂中毒。</w:t>
      </w:r>
    </w:p>
    <w:p>
      <w:pPr>
        <w:pStyle w:val="55"/>
        <w:numPr>
          <w:ilvl w:val="0"/>
          <w:numId w:val="0"/>
        </w:numPr>
        <w:rPr>
          <w:rFonts w:ascii="Times New Roman"/>
        </w:rPr>
      </w:pPr>
      <w:bookmarkStart w:id="235" w:name="_Toc116553954"/>
      <w:r>
        <w:rPr>
          <w:rFonts w:ascii="Times New Roman"/>
        </w:rPr>
        <w:t>6.5  效果评价</w:t>
      </w:r>
      <w:bookmarkEnd w:id="235"/>
    </w:p>
    <w:p>
      <w:pPr>
        <w:pStyle w:val="77"/>
        <w:numPr>
          <w:ilvl w:val="0"/>
          <w:numId w:val="0"/>
        </w:numPr>
        <w:rPr>
          <w:rFonts w:ascii="Times New Roman"/>
        </w:rPr>
      </w:pPr>
      <w:r>
        <w:rPr>
          <w:rFonts w:ascii="Times New Roman"/>
        </w:rPr>
        <w:t>6.5.1  白蚁灭治效果评价应包括技术资料</w:t>
      </w:r>
      <w:bookmarkStart w:id="236" w:name="OLE_LINK17"/>
      <w:bookmarkStart w:id="237" w:name="OLE_LINK16"/>
      <w:r>
        <w:rPr>
          <w:rFonts w:ascii="Times New Roman"/>
        </w:rPr>
        <w:t>的完整性、白蚁灭治施工的规范性、白蚁治理效果的合格性</w:t>
      </w:r>
      <w:bookmarkEnd w:id="236"/>
      <w:bookmarkEnd w:id="237"/>
      <w:r>
        <w:rPr>
          <w:rFonts w:ascii="Times New Roman"/>
        </w:rPr>
        <w:t>等内容。</w:t>
      </w:r>
    </w:p>
    <w:p>
      <w:pPr>
        <w:pStyle w:val="77"/>
        <w:numPr>
          <w:ilvl w:val="0"/>
          <w:numId w:val="0"/>
        </w:numPr>
        <w:rPr>
          <w:rFonts w:ascii="Times New Roman"/>
        </w:rPr>
      </w:pPr>
      <w:r>
        <w:rPr>
          <w:rFonts w:ascii="Times New Roman"/>
        </w:rPr>
        <w:t>6.5.2  技术资料应包括项目合同或相关文件、技术方案、蚁害调查资料、施工资料、安全管理记录等。</w:t>
      </w:r>
    </w:p>
    <w:p>
      <w:pPr>
        <w:pStyle w:val="77"/>
        <w:numPr>
          <w:ilvl w:val="0"/>
          <w:numId w:val="0"/>
        </w:numPr>
        <w:rPr>
          <w:rFonts w:ascii="Times New Roman"/>
        </w:rPr>
      </w:pPr>
      <w:r>
        <w:rPr>
          <w:rFonts w:ascii="Times New Roman"/>
        </w:rPr>
        <w:t>6.5.3  房屋白蚁局部控制效果合格应满足下列全部要求：</w:t>
      </w:r>
    </w:p>
    <w:p>
      <w:pPr>
        <w:pStyle w:val="77"/>
        <w:numPr>
          <w:ilvl w:val="0"/>
          <w:numId w:val="0"/>
        </w:numPr>
        <w:ind w:firstLine="840" w:firstLineChars="400"/>
        <w:rPr>
          <w:rFonts w:ascii="Times New Roman"/>
        </w:rPr>
      </w:pPr>
      <w:r>
        <w:rPr>
          <w:rFonts w:ascii="Times New Roman"/>
        </w:rPr>
        <w:t>1）</w:t>
      </w:r>
      <w:bookmarkStart w:id="238" w:name="OLE_LINK19"/>
      <w:bookmarkStart w:id="239" w:name="OLE_LINK18"/>
      <w:r>
        <w:rPr>
          <w:rFonts w:ascii="Times New Roman"/>
        </w:rPr>
        <w:t>房屋建筑本体原有蚁害部位未见白蚁活体；</w:t>
      </w:r>
    </w:p>
    <w:p>
      <w:pPr>
        <w:pStyle w:val="77"/>
        <w:numPr>
          <w:ilvl w:val="0"/>
          <w:numId w:val="0"/>
        </w:numPr>
        <w:ind w:left="851"/>
        <w:rPr>
          <w:rFonts w:ascii="Times New Roman"/>
        </w:rPr>
      </w:pPr>
      <w:r>
        <w:rPr>
          <w:rFonts w:ascii="Times New Roman"/>
        </w:rPr>
        <w:t>2）房屋建筑处理过的部位未出现新的白蚁活动迹象。</w:t>
      </w:r>
    </w:p>
    <w:bookmarkEnd w:id="238"/>
    <w:bookmarkEnd w:id="239"/>
    <w:p>
      <w:pPr>
        <w:pStyle w:val="77"/>
        <w:numPr>
          <w:ilvl w:val="0"/>
          <w:numId w:val="0"/>
        </w:numPr>
        <w:rPr>
          <w:rFonts w:ascii="Times New Roman"/>
        </w:rPr>
      </w:pPr>
      <w:r>
        <w:rPr>
          <w:rFonts w:ascii="Times New Roman"/>
        </w:rPr>
        <w:t>6.5.4  白蚁区域综合治理项目治理完成、到期时，白蚁防治单位可组织开展效果评价工作。评价人员应由白蚁防治单位、委托方和属地白蚁防治管理机构组成。</w:t>
      </w:r>
    </w:p>
    <w:p>
      <w:pPr>
        <w:pStyle w:val="77"/>
        <w:numPr>
          <w:ilvl w:val="0"/>
          <w:numId w:val="0"/>
        </w:numPr>
        <w:rPr>
          <w:rFonts w:ascii="Times New Roman"/>
        </w:rPr>
      </w:pPr>
      <w:r>
        <w:rPr>
          <w:rFonts w:ascii="Times New Roman"/>
        </w:rPr>
        <w:t>6.5.5  房屋白蚁区域综合治理效果合格应满足下列全部要求：</w:t>
      </w:r>
    </w:p>
    <w:p>
      <w:pPr>
        <w:pStyle w:val="77"/>
        <w:numPr>
          <w:ilvl w:val="0"/>
          <w:numId w:val="0"/>
        </w:numPr>
        <w:ind w:firstLine="840" w:firstLineChars="400"/>
        <w:rPr>
          <w:rFonts w:ascii="Times New Roman"/>
        </w:rPr>
      </w:pPr>
      <w:bookmarkStart w:id="240" w:name="OLE_LINK20"/>
      <w:bookmarkStart w:id="241" w:name="OLE_LINK21"/>
      <w:r>
        <w:rPr>
          <w:rFonts w:ascii="Times New Roman"/>
        </w:rPr>
        <w:t>1）区域内已发现的白蚁危害点经治理后未发现白蚁活体；</w:t>
      </w:r>
    </w:p>
    <w:p>
      <w:pPr>
        <w:pStyle w:val="77"/>
        <w:numPr>
          <w:ilvl w:val="0"/>
          <w:numId w:val="0"/>
        </w:numPr>
        <w:ind w:left="851"/>
        <w:rPr>
          <w:rFonts w:ascii="Times New Roman"/>
        </w:rPr>
      </w:pPr>
      <w:r>
        <w:rPr>
          <w:rFonts w:ascii="Times New Roman"/>
        </w:rPr>
        <w:t>2）治理区域内白蚁危害率下降90%及以上；</w:t>
      </w:r>
    </w:p>
    <w:p>
      <w:pPr>
        <w:pStyle w:val="77"/>
        <w:numPr>
          <w:ilvl w:val="0"/>
          <w:numId w:val="0"/>
        </w:numPr>
        <w:ind w:left="851"/>
        <w:rPr>
          <w:rFonts w:ascii="Times New Roman"/>
        </w:rPr>
      </w:pPr>
      <w:r>
        <w:rPr>
          <w:rFonts w:ascii="Times New Roman"/>
        </w:rPr>
        <w:t>3) 经治理的房屋未发现新的白蚁活动迹象；</w:t>
      </w:r>
    </w:p>
    <w:p>
      <w:pPr>
        <w:pStyle w:val="77"/>
        <w:numPr>
          <w:ilvl w:val="0"/>
          <w:numId w:val="0"/>
        </w:numPr>
        <w:ind w:left="1155" w:leftChars="400" w:hanging="315" w:hangingChars="150"/>
        <w:rPr>
          <w:rFonts w:ascii="Times New Roman"/>
        </w:rPr>
      </w:pPr>
      <w:r>
        <w:rPr>
          <w:rFonts w:ascii="Times New Roman"/>
        </w:rPr>
        <w:t>4) 治理区域内房屋建筑和园林植被白蚁危害等级按GB/ 51253-2017评定不高于I级。</w:t>
      </w:r>
    </w:p>
    <w:bookmarkEnd w:id="240"/>
    <w:bookmarkEnd w:id="241"/>
    <w:p>
      <w:pPr>
        <w:pStyle w:val="77"/>
        <w:numPr>
          <w:ilvl w:val="0"/>
          <w:numId w:val="0"/>
        </w:numPr>
        <w:rPr>
          <w:rFonts w:ascii="Times New Roman"/>
        </w:rPr>
      </w:pPr>
      <w:r>
        <w:rPr>
          <w:rFonts w:ascii="Times New Roman"/>
        </w:rPr>
        <w:t>6.5.6  白蚁区域综合治理效果评价的覆盖面应符合下列规定：</w:t>
      </w:r>
    </w:p>
    <w:p>
      <w:pPr>
        <w:pStyle w:val="77"/>
        <w:numPr>
          <w:ilvl w:val="0"/>
          <w:numId w:val="0"/>
        </w:numPr>
        <w:ind w:left="851"/>
        <w:rPr>
          <w:rFonts w:ascii="Times New Roman"/>
        </w:rPr>
      </w:pPr>
      <w:r>
        <w:rPr>
          <w:rFonts w:ascii="Times New Roman"/>
        </w:rPr>
        <w:t>1）治理区域内已发现的白蚁危害部位应全部进行评价；</w:t>
      </w:r>
    </w:p>
    <w:p>
      <w:pPr>
        <w:pStyle w:val="77"/>
        <w:numPr>
          <w:ilvl w:val="0"/>
          <w:numId w:val="0"/>
        </w:numPr>
        <w:ind w:left="1155" w:leftChars="400" w:hanging="315" w:hangingChars="150"/>
        <w:rPr>
          <w:rFonts w:ascii="Times New Roman"/>
        </w:rPr>
      </w:pPr>
      <w:r>
        <w:rPr>
          <w:rFonts w:ascii="Times New Roman"/>
        </w:rPr>
        <w:t>2）对发生过白蚁危害的治理对象，应抽取不少于5处房屋建筑、不少于3处园林植被作为评价点进行现场勘查；</w:t>
      </w:r>
    </w:p>
    <w:p>
      <w:pPr>
        <w:pStyle w:val="77"/>
        <w:numPr>
          <w:ilvl w:val="0"/>
          <w:numId w:val="0"/>
        </w:numPr>
        <w:ind w:left="1155" w:leftChars="400" w:hanging="315" w:hangingChars="150"/>
        <w:rPr>
          <w:rFonts w:ascii="Times New Roman"/>
        </w:rPr>
      </w:pPr>
      <w:r>
        <w:rPr>
          <w:rFonts w:ascii="Times New Roman"/>
        </w:rPr>
        <w:t>3）采用装置监测方法评价时，应在评价前至少3个月确定评价点并按要求安装监测装置。装置安装和评价活动应在白蚁活动盛期进行。</w:t>
      </w:r>
    </w:p>
    <w:p>
      <w:pPr>
        <w:pStyle w:val="77"/>
        <w:numPr>
          <w:ilvl w:val="0"/>
          <w:numId w:val="0"/>
        </w:numPr>
        <w:rPr>
          <w:rFonts w:ascii="Times New Roman"/>
        </w:rPr>
      </w:pPr>
      <w:r>
        <w:rPr>
          <w:rFonts w:ascii="Times New Roman"/>
        </w:rPr>
        <w:t>6.5.7  效果评价结束后，应填写白蚁区域综合治理项目效果评价表（参见附录B 表B.6）。</w:t>
      </w:r>
    </w:p>
    <w:bookmarkEnd w:id="223"/>
    <w:bookmarkEnd w:id="224"/>
    <w:p>
      <w:pPr>
        <w:pStyle w:val="59"/>
        <w:numPr>
          <w:ilvl w:val="0"/>
          <w:numId w:val="0"/>
        </w:numPr>
        <w:rPr>
          <w:rFonts w:ascii="Times New Roman"/>
        </w:rPr>
      </w:pPr>
      <w:r>
        <w:rPr>
          <w:rFonts w:ascii="Times New Roman"/>
        </w:rPr>
        <w:t>7  档案管理</w:t>
      </w:r>
    </w:p>
    <w:p>
      <w:pPr>
        <w:pStyle w:val="139"/>
        <w:numPr>
          <w:ilvl w:val="0"/>
          <w:numId w:val="0"/>
        </w:numPr>
        <w:rPr>
          <w:rFonts w:ascii="Times New Roman"/>
        </w:rPr>
      </w:pPr>
      <w:r>
        <w:rPr>
          <w:rFonts w:ascii="Times New Roman"/>
        </w:rPr>
        <w:t>7.1  房屋建筑白蚁灭治档案资料的收集、整理、归档应及时、准确，档案资料内容应真实、完整。</w:t>
      </w:r>
    </w:p>
    <w:p>
      <w:pPr>
        <w:pStyle w:val="139"/>
        <w:numPr>
          <w:ilvl w:val="0"/>
          <w:numId w:val="0"/>
        </w:numPr>
        <w:rPr>
          <w:rFonts w:ascii="Times New Roman"/>
        </w:rPr>
      </w:pPr>
      <w:r>
        <w:rPr>
          <w:rFonts w:ascii="Times New Roman"/>
        </w:rPr>
        <w:t>7.2  房屋建筑实施白蚁区域综合治理项目的档案收集，应实行“一个项目一个档案”。</w:t>
      </w:r>
    </w:p>
    <w:p>
      <w:pPr>
        <w:pStyle w:val="139"/>
        <w:numPr>
          <w:ilvl w:val="0"/>
          <w:numId w:val="0"/>
        </w:numPr>
        <w:rPr>
          <w:rFonts w:ascii="Times New Roman"/>
        </w:rPr>
      </w:pPr>
      <w:r>
        <w:rPr>
          <w:rFonts w:ascii="Times New Roman"/>
        </w:rPr>
        <w:t>7.3  收集的档案资料宜包括下列内容：</w:t>
      </w:r>
    </w:p>
    <w:p>
      <w:pPr>
        <w:pStyle w:val="139"/>
        <w:numPr>
          <w:ilvl w:val="0"/>
          <w:numId w:val="0"/>
        </w:numPr>
        <w:ind w:firstLine="840" w:firstLineChars="400"/>
        <w:rPr>
          <w:rFonts w:ascii="Times New Roman"/>
        </w:rPr>
      </w:pPr>
      <w:r>
        <w:rPr>
          <w:rFonts w:ascii="Times New Roman"/>
        </w:rPr>
        <w:t>1）合同、蚁害调查表、技术方案、施工记录表、效果评价表；</w:t>
      </w:r>
    </w:p>
    <w:p>
      <w:pPr>
        <w:pStyle w:val="139"/>
        <w:numPr>
          <w:ilvl w:val="0"/>
          <w:numId w:val="0"/>
        </w:numPr>
        <w:ind w:firstLine="840" w:firstLineChars="400"/>
        <w:rPr>
          <w:rFonts w:ascii="Times New Roman"/>
        </w:rPr>
      </w:pPr>
      <w:r>
        <w:rPr>
          <w:rFonts w:ascii="Times New Roman"/>
        </w:rPr>
        <w:t xml:space="preserve">2）项目所使用的白蚁防治药剂、监测控制系统等质量证明文件； </w:t>
      </w:r>
    </w:p>
    <w:p>
      <w:pPr>
        <w:pStyle w:val="139"/>
        <w:numPr>
          <w:ilvl w:val="0"/>
          <w:numId w:val="20"/>
        </w:numPr>
        <w:rPr>
          <w:rFonts w:ascii="Times New Roman"/>
        </w:rPr>
      </w:pPr>
      <w:r>
        <w:rPr>
          <w:rFonts w:ascii="Times New Roman"/>
        </w:rPr>
        <w:t>房屋建筑白蚁危害、施工、检查等拍摄的照片或视频。</w:t>
      </w:r>
    </w:p>
    <w:p>
      <w:pPr>
        <w:pStyle w:val="50"/>
        <w:rPr>
          <w:rFonts w:ascii="Times New Roman"/>
        </w:rPr>
      </w:pPr>
    </w:p>
    <w:p>
      <w:pPr>
        <w:pStyle w:val="112"/>
        <w:rPr>
          <w:rFonts w:ascii="Times New Roman" w:hAnsi="Times New Roman"/>
        </w:rPr>
      </w:pPr>
    </w:p>
    <w:p>
      <w:pPr>
        <w:pStyle w:val="100"/>
        <w:rPr>
          <w:rFonts w:ascii="Times New Roman" w:hAnsi="Times New Roman"/>
        </w:rPr>
      </w:pPr>
    </w:p>
    <w:p>
      <w:pPr>
        <w:pStyle w:val="98"/>
        <w:numPr>
          <w:ilvl w:val="0"/>
          <w:numId w:val="0"/>
        </w:numPr>
        <w:spacing w:before="0" w:after="0"/>
        <w:ind w:left="4112" w:firstLine="420" w:firstLineChars="200"/>
        <w:jc w:val="left"/>
        <w:rPr>
          <w:rFonts w:ascii="Times New Roman" w:hAnsi="Times New Roman"/>
        </w:rPr>
      </w:pPr>
      <w:bookmarkStart w:id="242" w:name="_Toc83227354"/>
      <w:bookmarkStart w:id="243" w:name="_Toc80259997"/>
      <w:bookmarkStart w:id="244" w:name="_Toc82873095"/>
      <w:bookmarkStart w:id="245" w:name="_Toc83913392"/>
      <w:bookmarkStart w:id="246" w:name="_Toc92721375"/>
      <w:bookmarkStart w:id="247" w:name="_Toc114057889"/>
      <w:bookmarkStart w:id="248" w:name="_Toc98856909"/>
      <w:bookmarkStart w:id="249" w:name="_Toc97562509"/>
      <w:bookmarkStart w:id="250" w:name="_Toc114062159"/>
      <w:bookmarkStart w:id="251" w:name="_Toc76376509"/>
      <w:bookmarkStart w:id="252" w:name="_Toc88482937"/>
      <w:bookmarkStart w:id="253" w:name="_Toc97891365"/>
      <w:bookmarkStart w:id="254" w:name="_Toc84862653"/>
      <w:bookmarkStart w:id="255" w:name="_Toc74824824"/>
      <w:bookmarkStart w:id="256" w:name="_Toc83827837"/>
      <w:r>
        <w:rPr>
          <w:rFonts w:ascii="Times New Roman" w:hAnsi="Times New Roman"/>
        </w:rPr>
        <w:t>附 录 A</w:t>
      </w:r>
    </w:p>
    <w:p>
      <w:pPr>
        <w:pStyle w:val="50"/>
        <w:jc w:val="center"/>
        <w:rPr>
          <w:rFonts w:ascii="Times New Roman" w:eastAsia="黑体"/>
        </w:rPr>
      </w:pPr>
      <w:r>
        <w:rPr>
          <w:rFonts w:ascii="Times New Roman" w:eastAsia="黑体"/>
        </w:rPr>
        <w:t>（规范性）</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pStyle w:val="50"/>
        <w:jc w:val="center"/>
        <w:rPr>
          <w:rFonts w:ascii="Times New Roman" w:eastAsia="黑体"/>
        </w:rPr>
      </w:pPr>
      <w:r>
        <w:rPr>
          <w:rFonts w:ascii="Times New Roman" w:eastAsia="黑体"/>
        </w:rPr>
        <w:t>房屋白蚁灭治施工要求</w:t>
      </w:r>
      <w:r>
        <w:rPr>
          <w:rFonts w:hint="eastAsia" w:ascii="Times New Roman" w:eastAsia="黑体"/>
        </w:rPr>
        <w:t>和处理</w:t>
      </w:r>
      <w:r>
        <w:rPr>
          <w:rFonts w:ascii="Times New Roman" w:eastAsia="黑体"/>
        </w:rPr>
        <w:t>步骤</w:t>
      </w:r>
    </w:p>
    <w:p>
      <w:pPr>
        <w:pStyle w:val="55"/>
        <w:numPr>
          <w:ilvl w:val="0"/>
          <w:numId w:val="0"/>
        </w:numPr>
        <w:rPr>
          <w:rFonts w:ascii="Times New Roman"/>
        </w:rPr>
      </w:pPr>
      <w:bookmarkStart w:id="257" w:name="_Toc116553957"/>
      <w:r>
        <w:rPr>
          <w:rFonts w:ascii="Times New Roman"/>
        </w:rPr>
        <w:t>A.1  液剂药杀法</w:t>
      </w:r>
      <w:bookmarkEnd w:id="257"/>
    </w:p>
    <w:p>
      <w:pPr>
        <w:pStyle w:val="77"/>
        <w:numPr>
          <w:ilvl w:val="0"/>
          <w:numId w:val="0"/>
        </w:numPr>
        <w:rPr>
          <w:rFonts w:ascii="Times New Roman"/>
        </w:rPr>
      </w:pPr>
      <w:r>
        <w:rPr>
          <w:rFonts w:ascii="Times New Roman"/>
        </w:rPr>
        <w:t>A.1.1  使用液剂药杀法进行房屋白蚁</w:t>
      </w:r>
      <w:r>
        <w:rPr>
          <w:rFonts w:hint="eastAsia" w:ascii="Times New Roman"/>
        </w:rPr>
        <w:t>灭治</w:t>
      </w:r>
      <w:r>
        <w:rPr>
          <w:rFonts w:ascii="Times New Roman"/>
        </w:rPr>
        <w:t>时，应使用专业器械进行施药，并按农药标签规定的使用浓度稀释药剂。应按照先上后下顺序全面、均匀喷洒，使注入的药液充分浸润、渗透白蚁活动或危害处。</w:t>
      </w:r>
    </w:p>
    <w:p>
      <w:pPr>
        <w:pStyle w:val="77"/>
        <w:numPr>
          <w:ilvl w:val="0"/>
          <w:numId w:val="0"/>
        </w:numPr>
        <w:rPr>
          <w:rFonts w:ascii="Times New Roman"/>
        </w:rPr>
      </w:pPr>
      <w:r>
        <w:rPr>
          <w:rFonts w:ascii="Times New Roman"/>
        </w:rPr>
        <w:t>A.1.2  液剂药杀法的施药方法可分为高压注射和低压注射，</w:t>
      </w:r>
      <w:r>
        <w:rPr>
          <w:rFonts w:hint="eastAsia" w:ascii="Times New Roman"/>
        </w:rPr>
        <w:t>应按</w:t>
      </w:r>
      <w:r>
        <w:rPr>
          <w:rFonts w:ascii="Times New Roman"/>
        </w:rPr>
        <w:t>下列</w:t>
      </w:r>
      <w:r>
        <w:rPr>
          <w:rFonts w:hint="eastAsia" w:ascii="Times New Roman"/>
        </w:rPr>
        <w:t>规定使用</w:t>
      </w:r>
      <w:r>
        <w:rPr>
          <w:rFonts w:ascii="Times New Roman"/>
        </w:rPr>
        <w:t>：</w:t>
      </w:r>
    </w:p>
    <w:p>
      <w:pPr>
        <w:pStyle w:val="77"/>
        <w:numPr>
          <w:ilvl w:val="0"/>
          <w:numId w:val="0"/>
        </w:numPr>
        <w:ind w:left="851"/>
        <w:rPr>
          <w:rFonts w:ascii="Times New Roman"/>
        </w:rPr>
      </w:pPr>
      <w:r>
        <w:rPr>
          <w:rFonts w:ascii="Times New Roman"/>
        </w:rPr>
        <w:t>1）高压注射法多用于木柱、门框、窗框、生活用具等木构件中白蚁的防治；</w:t>
      </w:r>
    </w:p>
    <w:p>
      <w:pPr>
        <w:pStyle w:val="77"/>
        <w:numPr>
          <w:ilvl w:val="0"/>
          <w:numId w:val="0"/>
        </w:numPr>
        <w:ind w:left="1155" w:leftChars="400" w:hanging="315" w:hangingChars="150"/>
        <w:rPr>
          <w:rFonts w:ascii="Times New Roman"/>
        </w:rPr>
      </w:pPr>
      <w:r>
        <w:rPr>
          <w:rFonts w:ascii="Times New Roman"/>
        </w:rPr>
        <w:t>2）高压注射时，先用钻孔工具在木构件上打孔，孔深、孔数和孔距应根据木构件的断面和长度而定；门框基部及上面的两大角、窗框的四大角、埋墙的木砖上应布点打孔。将注射枪嘴旋入孔内，使高压药液由内向外浸润、渗透，纵向浸润长度应达10-30cm；</w:t>
      </w:r>
    </w:p>
    <w:p>
      <w:pPr>
        <w:pStyle w:val="77"/>
        <w:numPr>
          <w:ilvl w:val="0"/>
          <w:numId w:val="0"/>
        </w:numPr>
        <w:ind w:left="1155" w:leftChars="400" w:hanging="315" w:hangingChars="150"/>
        <w:rPr>
          <w:rFonts w:ascii="Times New Roman"/>
        </w:rPr>
      </w:pPr>
      <w:r>
        <w:rPr>
          <w:rFonts w:ascii="Times New Roman"/>
        </w:rPr>
        <w:t>3）低压注射可用于门框、窗框及靠墙木框等木构件，可从正面斜向下钻孔，如内部有空洞，可向内部灌药液；如内部密实，可打孔至靠墙面灌注药液，易受白蚁蛀的木构件</w:t>
      </w:r>
      <w:r>
        <w:rPr>
          <w:rFonts w:hint="eastAsia" w:ascii="Times New Roman"/>
        </w:rPr>
        <w:t>部位</w:t>
      </w:r>
      <w:r>
        <w:rPr>
          <w:rFonts w:ascii="Times New Roman"/>
        </w:rPr>
        <w:t>均应施药。</w:t>
      </w:r>
    </w:p>
    <w:p>
      <w:pPr>
        <w:pStyle w:val="77"/>
        <w:numPr>
          <w:ilvl w:val="0"/>
          <w:numId w:val="0"/>
        </w:numPr>
        <w:rPr>
          <w:rFonts w:ascii="Times New Roman"/>
        </w:rPr>
      </w:pPr>
      <w:r>
        <w:rPr>
          <w:rFonts w:ascii="Times New Roman"/>
        </w:rPr>
        <w:t>A.1.3  不同构件的施药方法不同，</w:t>
      </w:r>
      <w:r>
        <w:rPr>
          <w:rFonts w:hint="eastAsia" w:ascii="Times New Roman"/>
        </w:rPr>
        <w:t>应</w:t>
      </w:r>
      <w:r>
        <w:rPr>
          <w:rFonts w:ascii="Times New Roman"/>
        </w:rPr>
        <w:t>符合下列</w:t>
      </w:r>
      <w:r>
        <w:rPr>
          <w:rFonts w:hint="eastAsia" w:ascii="Times New Roman"/>
        </w:rPr>
        <w:t>规定</w:t>
      </w:r>
      <w:r>
        <w:rPr>
          <w:rFonts w:ascii="Times New Roman"/>
        </w:rPr>
        <w:t>：</w:t>
      </w:r>
    </w:p>
    <w:p>
      <w:pPr>
        <w:pStyle w:val="77"/>
        <w:numPr>
          <w:ilvl w:val="0"/>
          <w:numId w:val="0"/>
        </w:numPr>
        <w:ind w:left="1155" w:leftChars="400" w:hanging="315" w:hangingChars="150"/>
        <w:rPr>
          <w:rFonts w:ascii="Times New Roman"/>
        </w:rPr>
      </w:pPr>
      <w:r>
        <w:rPr>
          <w:rFonts w:ascii="Times New Roman"/>
        </w:rPr>
        <w:t>1）地板施药应包括地板背面、地楞木的全部表面（包括插墙两端）、地板下离墙四周15cm的地表面、地垄间隔墙（承垫地楞木的墙）两面及距间隔墙15cm地表面；</w:t>
      </w:r>
    </w:p>
    <w:p>
      <w:pPr>
        <w:pStyle w:val="77"/>
        <w:numPr>
          <w:ilvl w:val="0"/>
          <w:numId w:val="0"/>
        </w:numPr>
        <w:ind w:left="851"/>
        <w:rPr>
          <w:rFonts w:ascii="Times New Roman"/>
        </w:rPr>
      </w:pPr>
      <w:r>
        <w:rPr>
          <w:rFonts w:ascii="Times New Roman"/>
        </w:rPr>
        <w:t>2）地板房有地窖时应尽可能在窖内施药；</w:t>
      </w:r>
    </w:p>
    <w:p>
      <w:pPr>
        <w:pStyle w:val="77"/>
        <w:numPr>
          <w:ilvl w:val="0"/>
          <w:numId w:val="0"/>
        </w:numPr>
        <w:ind w:left="851"/>
        <w:rPr>
          <w:rFonts w:ascii="Times New Roman"/>
        </w:rPr>
      </w:pPr>
      <w:r>
        <w:rPr>
          <w:rFonts w:ascii="Times New Roman"/>
        </w:rPr>
        <w:t>3）实铺地板施药时，可在地楞木两侧每隔30-50cm用电钻钻数个小孔，向小孔内喷洒药液；</w:t>
      </w:r>
    </w:p>
    <w:p>
      <w:pPr>
        <w:pStyle w:val="77"/>
        <w:numPr>
          <w:ilvl w:val="0"/>
          <w:numId w:val="0"/>
        </w:numPr>
        <w:ind w:left="1155" w:leftChars="400" w:hanging="315" w:hangingChars="150"/>
        <w:rPr>
          <w:rFonts w:ascii="Times New Roman"/>
        </w:rPr>
      </w:pPr>
      <w:r>
        <w:rPr>
          <w:rFonts w:ascii="Times New Roman"/>
        </w:rPr>
        <w:t>4）空心地板施药时，可在两间地垄墙中间撬起1条或数条地板。撬地板时，切忌用力过猛，应尽量保持被撬地板的完好，对不同的地板应采取不同的方法；</w:t>
      </w:r>
    </w:p>
    <w:p>
      <w:pPr>
        <w:pStyle w:val="77"/>
        <w:numPr>
          <w:ilvl w:val="0"/>
          <w:numId w:val="0"/>
        </w:numPr>
        <w:ind w:left="1155" w:leftChars="400" w:hanging="315" w:hangingChars="150"/>
        <w:rPr>
          <w:rFonts w:ascii="Times New Roman"/>
        </w:rPr>
      </w:pPr>
      <w:r>
        <w:rPr>
          <w:rFonts w:ascii="Times New Roman"/>
        </w:rPr>
        <w:t>5）近地贴墙的木构件施药前，应用螺丝刀撬开接地和入土部位的表层和下面的泥土、危害部位，让蚁路外露后，方可喷施药液</w:t>
      </w:r>
      <w:r>
        <w:rPr>
          <w:rFonts w:hint="eastAsia" w:ascii="Times New Roman"/>
        </w:rPr>
        <w:t>，</w:t>
      </w:r>
      <w:r>
        <w:rPr>
          <w:rFonts w:ascii="Times New Roman"/>
        </w:rPr>
        <w:t>也可以在危害部位钻孔灌入药液；</w:t>
      </w:r>
    </w:p>
    <w:p>
      <w:pPr>
        <w:pStyle w:val="77"/>
        <w:numPr>
          <w:ilvl w:val="0"/>
          <w:numId w:val="0"/>
        </w:numPr>
        <w:ind w:left="1155" w:leftChars="400" w:hanging="315" w:hangingChars="150"/>
        <w:rPr>
          <w:rFonts w:ascii="Times New Roman"/>
        </w:rPr>
      </w:pPr>
      <w:r>
        <w:rPr>
          <w:rFonts w:ascii="Times New Roman"/>
        </w:rPr>
        <w:t>6）护墙板</w:t>
      </w:r>
      <w:r>
        <w:rPr>
          <w:rFonts w:hint="eastAsia" w:ascii="Times New Roman"/>
        </w:rPr>
        <w:t>施药时，可</w:t>
      </w:r>
      <w:r>
        <w:rPr>
          <w:rFonts w:ascii="Times New Roman"/>
        </w:rPr>
        <w:t>沿上沿撬开灌注药液，当药液无法向下渗漏时，应在护墙板中部打两排孔向内灌注药液；</w:t>
      </w:r>
    </w:p>
    <w:p>
      <w:pPr>
        <w:pStyle w:val="77"/>
        <w:numPr>
          <w:ilvl w:val="0"/>
          <w:numId w:val="0"/>
        </w:numPr>
        <w:ind w:left="851"/>
        <w:rPr>
          <w:rFonts w:ascii="Times New Roman"/>
        </w:rPr>
      </w:pPr>
      <w:r>
        <w:rPr>
          <w:rFonts w:ascii="Times New Roman"/>
        </w:rPr>
        <w:t>7）踢脚线</w:t>
      </w:r>
      <w:r>
        <w:rPr>
          <w:rFonts w:hint="eastAsia" w:ascii="Times New Roman"/>
        </w:rPr>
        <w:t>施药时，可</w:t>
      </w:r>
      <w:r>
        <w:rPr>
          <w:rFonts w:ascii="Times New Roman"/>
        </w:rPr>
        <w:t>撬开踢脚线灌注药液，不便撬开的，每隔20cm-50cm打孔灌注药液；</w:t>
      </w:r>
    </w:p>
    <w:p>
      <w:pPr>
        <w:pStyle w:val="77"/>
        <w:numPr>
          <w:ilvl w:val="0"/>
          <w:numId w:val="0"/>
        </w:numPr>
        <w:ind w:left="1155" w:leftChars="400" w:hanging="315" w:hangingChars="150"/>
        <w:rPr>
          <w:rFonts w:ascii="Times New Roman"/>
        </w:rPr>
      </w:pPr>
      <w:r>
        <w:rPr>
          <w:rFonts w:ascii="Times New Roman"/>
        </w:rPr>
        <w:t>8）</w:t>
      </w:r>
      <w:r>
        <w:rPr>
          <w:rFonts w:hint="eastAsia" w:ascii="Times New Roman"/>
        </w:rPr>
        <w:t>木楼梯施药时，可</w:t>
      </w:r>
      <w:r>
        <w:rPr>
          <w:rFonts w:ascii="Times New Roman"/>
        </w:rPr>
        <w:t>撬开接墙处灌注药液，撬开接地处灌注药液，无法撬开时，每隔30cm打孔灌注药液，接地的最后一块木板、木框重点打孔灌注药液；</w:t>
      </w:r>
    </w:p>
    <w:p>
      <w:pPr>
        <w:pStyle w:val="77"/>
        <w:numPr>
          <w:ilvl w:val="0"/>
          <w:numId w:val="0"/>
        </w:numPr>
        <w:ind w:left="1155" w:leftChars="400" w:hanging="315" w:hangingChars="150"/>
        <w:rPr>
          <w:rFonts w:ascii="Times New Roman"/>
        </w:rPr>
      </w:pPr>
      <w:r>
        <w:rPr>
          <w:rFonts w:ascii="Times New Roman"/>
        </w:rPr>
        <w:t>9）地面缝隙施药前，应将裂缝适当凿宽20-30mm，在缝隙中喷施药液，用沙灰、泥土填实后，再喷一次药液，形成毒土缝，使白蚁无法钻出。为防止白蚁从沿墙四周的地方修蚁路爬出，应在沿墙四周喷洒药液。</w:t>
      </w:r>
    </w:p>
    <w:p>
      <w:pPr>
        <w:pStyle w:val="77"/>
        <w:numPr>
          <w:ilvl w:val="0"/>
          <w:numId w:val="0"/>
        </w:numPr>
        <w:rPr>
          <w:rFonts w:ascii="Times New Roman"/>
        </w:rPr>
      </w:pPr>
      <w:r>
        <w:rPr>
          <w:rFonts w:ascii="Times New Roman"/>
        </w:rPr>
        <w:t>A.1.4  对地板等木构件钻孔施药前，应全面了解地板下隐蔽的水、电、气等管线分布情况，避免误钻，确保施工安全。</w:t>
      </w:r>
    </w:p>
    <w:p>
      <w:pPr>
        <w:pStyle w:val="55"/>
        <w:numPr>
          <w:ilvl w:val="0"/>
          <w:numId w:val="0"/>
        </w:numPr>
        <w:rPr>
          <w:rFonts w:ascii="Times New Roman"/>
        </w:rPr>
      </w:pPr>
      <w:bookmarkStart w:id="258" w:name="_Toc116553958"/>
      <w:r>
        <w:rPr>
          <w:rFonts w:ascii="Times New Roman"/>
        </w:rPr>
        <w:t>A.2  粉剂药杀法</w:t>
      </w:r>
      <w:bookmarkEnd w:id="258"/>
    </w:p>
    <w:p>
      <w:pPr>
        <w:pStyle w:val="77"/>
        <w:numPr>
          <w:ilvl w:val="0"/>
          <w:numId w:val="0"/>
        </w:numPr>
        <w:rPr>
          <w:rFonts w:ascii="Times New Roman"/>
        </w:rPr>
      </w:pPr>
      <w:r>
        <w:rPr>
          <w:rFonts w:ascii="Times New Roman"/>
        </w:rPr>
        <w:t>A.2.1  粉剂药杀法适用于白蚁活动旺季或有翅成虫分飞前后。根据使用的工具，可分为手动喷粉球喷粉和电动喷粉机喷粉两种。</w:t>
      </w:r>
    </w:p>
    <w:p>
      <w:pPr>
        <w:pStyle w:val="77"/>
        <w:numPr>
          <w:ilvl w:val="0"/>
          <w:numId w:val="0"/>
        </w:numPr>
        <w:rPr>
          <w:rFonts w:ascii="Times New Roman"/>
        </w:rPr>
      </w:pPr>
      <w:r>
        <w:rPr>
          <w:rFonts w:ascii="Times New Roman"/>
        </w:rPr>
        <w:t>A.2.2  喷粉球由喷管和胶球组成，施药时胶球中的药粉不宜太多，以胶球容量的1/3-1/2为宜，施药时应对蚁路、分飞孔、危害物上或蚁巢中施药，做到</w:t>
      </w:r>
      <w:r>
        <w:rPr>
          <w:rFonts w:hint="eastAsia" w:ascii="Times New Roman"/>
        </w:rPr>
        <w:t>“</w:t>
      </w:r>
      <w:r>
        <w:rPr>
          <w:rFonts w:ascii="Times New Roman"/>
        </w:rPr>
        <w:t>深、匀、散</w:t>
      </w:r>
      <w:r>
        <w:rPr>
          <w:rFonts w:hint="eastAsia" w:ascii="Times New Roman"/>
        </w:rPr>
        <w:t>”</w:t>
      </w:r>
      <w:r>
        <w:rPr>
          <w:rFonts w:ascii="Times New Roman"/>
        </w:rPr>
        <w:t>，具体操作如下：</w:t>
      </w:r>
    </w:p>
    <w:p>
      <w:pPr>
        <w:pStyle w:val="77"/>
        <w:numPr>
          <w:ilvl w:val="0"/>
          <w:numId w:val="0"/>
        </w:numPr>
        <w:ind w:left="1155" w:leftChars="400" w:hanging="315" w:hangingChars="150"/>
        <w:rPr>
          <w:rFonts w:ascii="Times New Roman"/>
        </w:rPr>
      </w:pPr>
      <w:r>
        <w:rPr>
          <w:rFonts w:ascii="Times New Roman"/>
        </w:rPr>
        <w:t>1）施药时应尽量使喷管向上或平喷，使喷出的药粉呈雾状均匀分布于白蚁体表，且不影响白蚁的正常活动；</w:t>
      </w:r>
    </w:p>
    <w:p>
      <w:pPr>
        <w:pStyle w:val="77"/>
        <w:numPr>
          <w:ilvl w:val="0"/>
          <w:numId w:val="0"/>
        </w:numPr>
        <w:ind w:left="1155" w:leftChars="400" w:hanging="315" w:hangingChars="150"/>
        <w:rPr>
          <w:rFonts w:ascii="Times New Roman"/>
        </w:rPr>
      </w:pPr>
      <w:r>
        <w:rPr>
          <w:rFonts w:ascii="Times New Roman"/>
        </w:rPr>
        <w:t>2）应遵循</w:t>
      </w:r>
      <w:r>
        <w:rPr>
          <w:rFonts w:hint="eastAsia" w:ascii="Times New Roman"/>
        </w:rPr>
        <w:t>“</w:t>
      </w:r>
      <w:r>
        <w:rPr>
          <w:rFonts w:ascii="Times New Roman"/>
        </w:rPr>
        <w:t>见蚁施药，多点少施</w:t>
      </w:r>
      <w:r>
        <w:rPr>
          <w:rFonts w:hint="eastAsia" w:ascii="Times New Roman"/>
        </w:rPr>
        <w:t>”</w:t>
      </w:r>
      <w:r>
        <w:rPr>
          <w:rFonts w:ascii="Times New Roman"/>
        </w:rPr>
        <w:t>的原则，每个施药点的施药量不宜过多，喷2-3下即可，以免堵塞蚁路；</w:t>
      </w:r>
    </w:p>
    <w:p>
      <w:pPr>
        <w:pStyle w:val="77"/>
        <w:numPr>
          <w:ilvl w:val="0"/>
          <w:numId w:val="0"/>
        </w:numPr>
        <w:ind w:left="851"/>
        <w:rPr>
          <w:rFonts w:ascii="Times New Roman"/>
        </w:rPr>
      </w:pPr>
      <w:r>
        <w:rPr>
          <w:rFonts w:ascii="Times New Roman"/>
        </w:rPr>
        <w:t>3）对蚁路喷粉时，宜先将蚁路挑开一个小孔，再用喷粉器或者喷粉球向孔内喷药；</w:t>
      </w:r>
    </w:p>
    <w:p>
      <w:pPr>
        <w:pStyle w:val="77"/>
        <w:numPr>
          <w:ilvl w:val="0"/>
          <w:numId w:val="0"/>
        </w:numPr>
        <w:ind w:left="1155" w:leftChars="400" w:hanging="315" w:hangingChars="150"/>
        <w:rPr>
          <w:rFonts w:ascii="Times New Roman"/>
        </w:rPr>
      </w:pPr>
      <w:r>
        <w:rPr>
          <w:rFonts w:ascii="Times New Roman"/>
        </w:rPr>
        <w:t>4）对分飞孔喷粉时，</w:t>
      </w:r>
      <w:r>
        <w:rPr>
          <w:rFonts w:hint="eastAsia" w:ascii="Times New Roman"/>
        </w:rPr>
        <w:t>可</w:t>
      </w:r>
      <w:r>
        <w:rPr>
          <w:rFonts w:ascii="Times New Roman"/>
        </w:rPr>
        <w:t>用螺丝刀或</w:t>
      </w:r>
      <w:r>
        <w:rPr>
          <w:rFonts w:hint="eastAsia" w:ascii="Times New Roman"/>
        </w:rPr>
        <w:t>其它工具</w:t>
      </w:r>
      <w:r>
        <w:rPr>
          <w:rFonts w:ascii="Times New Roman"/>
        </w:rPr>
        <w:t>挑开孔口表面泥土，露出孔口后向孔内施药，每个孔口喷3-5下，喷完后用小棉球或纸团塞住孔口；</w:t>
      </w:r>
    </w:p>
    <w:p>
      <w:pPr>
        <w:pStyle w:val="77"/>
        <w:numPr>
          <w:ilvl w:val="0"/>
          <w:numId w:val="0"/>
        </w:numPr>
        <w:ind w:left="1155" w:leftChars="400" w:hanging="315" w:hangingChars="150"/>
        <w:rPr>
          <w:rFonts w:ascii="Times New Roman"/>
        </w:rPr>
      </w:pPr>
      <w:r>
        <w:rPr>
          <w:rFonts w:ascii="Times New Roman"/>
        </w:rPr>
        <w:t>5） 对蚁害严重处喷粉时，木质家具可从家具脚与地面连接部位挑开蚁路施药；屋梁木柱可用螺丝刀敲击梁柱，在出现空洞声音的地方（被蛀部位）挑开数个小孔，朝孔内施药；</w:t>
      </w:r>
    </w:p>
    <w:p>
      <w:pPr>
        <w:pStyle w:val="77"/>
        <w:numPr>
          <w:ilvl w:val="0"/>
          <w:numId w:val="0"/>
        </w:numPr>
        <w:ind w:left="851"/>
        <w:rPr>
          <w:rFonts w:ascii="Times New Roman"/>
        </w:rPr>
      </w:pPr>
      <w:r>
        <w:rPr>
          <w:rFonts w:ascii="Times New Roman"/>
        </w:rPr>
        <w:t>6）对白蚁巢体喷粉时，宜先在巢体上打孔，再将药粉喷到巢体内部；</w:t>
      </w:r>
    </w:p>
    <w:p>
      <w:pPr>
        <w:pStyle w:val="77"/>
        <w:numPr>
          <w:ilvl w:val="0"/>
          <w:numId w:val="0"/>
        </w:numPr>
        <w:ind w:left="1155" w:leftChars="400" w:hanging="315" w:hangingChars="150"/>
        <w:rPr>
          <w:rFonts w:ascii="Times New Roman"/>
        </w:rPr>
      </w:pPr>
      <w:r>
        <w:rPr>
          <w:rFonts w:ascii="Times New Roman"/>
        </w:rPr>
        <w:t>7）对诱集器、监测装置内的白蚁喷粉时，宜先取出或掰开饵料，药粉喷在白蚁体表后，复原装置。</w:t>
      </w:r>
    </w:p>
    <w:p>
      <w:pPr>
        <w:pStyle w:val="77"/>
        <w:numPr>
          <w:ilvl w:val="0"/>
          <w:numId w:val="0"/>
        </w:numPr>
        <w:rPr>
          <w:rFonts w:ascii="Times New Roman"/>
        </w:rPr>
      </w:pPr>
      <w:r>
        <w:rPr>
          <w:rFonts w:ascii="Times New Roman"/>
        </w:rPr>
        <w:t>A.2.3  电动喷粉机在使用前应检查电量是否充足，装粉量不超过盛药罐的2/3，具体操作如下：</w:t>
      </w:r>
    </w:p>
    <w:p>
      <w:pPr>
        <w:pStyle w:val="77"/>
        <w:numPr>
          <w:ilvl w:val="0"/>
          <w:numId w:val="0"/>
        </w:numPr>
        <w:ind w:left="1155" w:leftChars="400" w:hanging="315" w:hangingChars="150"/>
        <w:rPr>
          <w:rFonts w:ascii="Times New Roman"/>
        </w:rPr>
      </w:pPr>
      <w:r>
        <w:rPr>
          <w:rFonts w:ascii="Times New Roman"/>
        </w:rPr>
        <w:t>1）遵循</w:t>
      </w:r>
      <w:r>
        <w:rPr>
          <w:rFonts w:hint="eastAsia" w:ascii="Times New Roman"/>
        </w:rPr>
        <w:t>“</w:t>
      </w:r>
      <w:r>
        <w:rPr>
          <w:rFonts w:ascii="Times New Roman"/>
        </w:rPr>
        <w:t>准、通、远</w:t>
      </w:r>
      <w:r>
        <w:rPr>
          <w:rFonts w:hint="eastAsia" w:ascii="Times New Roman"/>
        </w:rPr>
        <w:t>”</w:t>
      </w:r>
      <w:r>
        <w:rPr>
          <w:rFonts w:ascii="Times New Roman"/>
        </w:rPr>
        <w:t>原则，即精准选择施药点，施药点与蚁道系统畅通，粉剂在封闭蚁道系统中飘散的足够远；</w:t>
      </w:r>
    </w:p>
    <w:p>
      <w:pPr>
        <w:pStyle w:val="77"/>
        <w:numPr>
          <w:ilvl w:val="0"/>
          <w:numId w:val="0"/>
        </w:numPr>
        <w:ind w:left="1155" w:leftChars="400" w:hanging="315" w:hangingChars="150"/>
        <w:rPr>
          <w:rFonts w:ascii="Times New Roman"/>
        </w:rPr>
      </w:pPr>
      <w:r>
        <w:rPr>
          <w:rFonts w:ascii="Times New Roman"/>
        </w:rPr>
        <w:t>2）施药点内有有一定数量</w:t>
      </w:r>
      <w:r>
        <w:rPr>
          <w:rFonts w:hint="eastAsia" w:ascii="Times New Roman"/>
        </w:rPr>
        <w:t>的</w:t>
      </w:r>
      <w:r>
        <w:rPr>
          <w:rFonts w:ascii="Times New Roman"/>
        </w:rPr>
        <w:t>活体白蚁时，可选择在分飞孔、蚁路开始处、白蚁危害处等，或者借助白蚁探测仪探测有白蚁活动且信号强烈处作为施药点，优先选择大的木结构作为施药点；</w:t>
      </w:r>
    </w:p>
    <w:p>
      <w:pPr>
        <w:pStyle w:val="77"/>
        <w:numPr>
          <w:ilvl w:val="0"/>
          <w:numId w:val="0"/>
        </w:numPr>
        <w:ind w:left="1155" w:leftChars="400" w:hanging="315" w:hangingChars="150"/>
        <w:rPr>
          <w:rFonts w:ascii="Times New Roman"/>
        </w:rPr>
      </w:pPr>
      <w:r>
        <w:rPr>
          <w:rFonts w:ascii="Times New Roman"/>
        </w:rPr>
        <w:t>3）挑开分飞孔、蚁路开始处，形成大小与喷粉枪出粉管大小一致的小孔，探测仪探测到的危害点需要辅助工具钻大小合适的喷粉孔；</w:t>
      </w:r>
    </w:p>
    <w:p>
      <w:pPr>
        <w:pStyle w:val="77"/>
        <w:numPr>
          <w:ilvl w:val="0"/>
          <w:numId w:val="0"/>
        </w:numPr>
        <w:ind w:left="1155" w:leftChars="400" w:hanging="315" w:hangingChars="150"/>
        <w:rPr>
          <w:rFonts w:ascii="Times New Roman"/>
        </w:rPr>
      </w:pPr>
      <w:r>
        <w:rPr>
          <w:rFonts w:ascii="Times New Roman"/>
        </w:rPr>
        <w:t>4）将喷粉机出粉管插入小孔内，出粉管四周用橡皮泥或湿纸巾封堵，采用低档试喷，如喷粉孔与蚁道系统不畅通，需清理喷粉孔或重新选择施药点；</w:t>
      </w:r>
    </w:p>
    <w:p>
      <w:pPr>
        <w:pStyle w:val="77"/>
        <w:numPr>
          <w:ilvl w:val="0"/>
          <w:numId w:val="0"/>
        </w:numPr>
        <w:ind w:left="1155" w:leftChars="400" w:hanging="315" w:hangingChars="150"/>
        <w:rPr>
          <w:rFonts w:ascii="Times New Roman"/>
        </w:rPr>
      </w:pPr>
      <w:r>
        <w:rPr>
          <w:rFonts w:ascii="Times New Roman"/>
        </w:rPr>
        <w:t>5）一个白蚁危害部位或一个木结构只需要选择一个喷粉点，喷粉过程中其它部位出现漏粉应及时进行封堵，确保粉剂在蚁道系统内充分扩散；</w:t>
      </w:r>
    </w:p>
    <w:p>
      <w:pPr>
        <w:pStyle w:val="77"/>
        <w:numPr>
          <w:ilvl w:val="0"/>
          <w:numId w:val="0"/>
        </w:numPr>
        <w:ind w:left="1155" w:leftChars="400" w:hanging="315" w:hangingChars="150"/>
        <w:rPr>
          <w:rFonts w:ascii="Times New Roman"/>
        </w:rPr>
      </w:pPr>
      <w:r>
        <w:rPr>
          <w:rFonts w:ascii="Times New Roman"/>
        </w:rPr>
        <w:t>6）每个施药点喷粉时间可根据危害程度、白蚁种类等确定，一般不少于1分钟，喷粉完成后对喷粉孔进行封堵。</w:t>
      </w:r>
    </w:p>
    <w:p>
      <w:pPr>
        <w:pStyle w:val="77"/>
        <w:numPr>
          <w:ilvl w:val="0"/>
          <w:numId w:val="0"/>
        </w:numPr>
        <w:rPr>
          <w:rFonts w:ascii="Times New Roman"/>
        </w:rPr>
      </w:pPr>
      <w:r>
        <w:rPr>
          <w:rFonts w:ascii="Times New Roman"/>
        </w:rPr>
        <w:t>A.2.4  施药后应及时进行药效复查，药效复查时间一般在施药后7-30天，具体操作如下：</w:t>
      </w:r>
    </w:p>
    <w:p>
      <w:pPr>
        <w:pStyle w:val="77"/>
        <w:numPr>
          <w:ilvl w:val="0"/>
          <w:numId w:val="0"/>
        </w:numPr>
        <w:ind w:left="851"/>
        <w:rPr>
          <w:rFonts w:ascii="Times New Roman"/>
        </w:rPr>
      </w:pPr>
      <w:r>
        <w:rPr>
          <w:rFonts w:ascii="Times New Roman"/>
        </w:rPr>
        <w:t>1）检查时，如没有发现白蚁，则药效合格；</w:t>
      </w:r>
    </w:p>
    <w:p>
      <w:pPr>
        <w:pStyle w:val="77"/>
        <w:numPr>
          <w:ilvl w:val="0"/>
          <w:numId w:val="0"/>
        </w:numPr>
        <w:ind w:left="1155" w:leftChars="400" w:hanging="315" w:hangingChars="150"/>
        <w:rPr>
          <w:rFonts w:ascii="Times New Roman"/>
        </w:rPr>
      </w:pPr>
      <w:r>
        <w:rPr>
          <w:rFonts w:ascii="Times New Roman"/>
        </w:rPr>
        <w:t>2）若仍有部分白蚁，但其行动缓慢，说明药效还没达到最终效果，宜过3-10天再次检查，查看白蚁是否全部死亡；</w:t>
      </w:r>
    </w:p>
    <w:p>
      <w:pPr>
        <w:pStyle w:val="77"/>
        <w:numPr>
          <w:ilvl w:val="0"/>
          <w:numId w:val="0"/>
        </w:numPr>
        <w:ind w:left="1155" w:leftChars="400" w:hanging="315" w:hangingChars="150"/>
        <w:rPr>
          <w:rFonts w:ascii="Times New Roman"/>
        </w:rPr>
      </w:pPr>
      <w:r>
        <w:rPr>
          <w:rFonts w:ascii="Times New Roman"/>
        </w:rPr>
        <w:t>3）若发现白蚁活动正常，应考虑是否漏喷，或另一群体未曾施药，应针对不同情况，及时补喷药粉。</w:t>
      </w:r>
    </w:p>
    <w:p>
      <w:pPr>
        <w:pStyle w:val="55"/>
        <w:numPr>
          <w:ilvl w:val="0"/>
          <w:numId w:val="0"/>
        </w:numPr>
        <w:rPr>
          <w:rFonts w:ascii="Times New Roman"/>
        </w:rPr>
      </w:pPr>
      <w:bookmarkStart w:id="259" w:name="_Toc116553959"/>
      <w:r>
        <w:rPr>
          <w:rFonts w:ascii="Times New Roman"/>
        </w:rPr>
        <w:t>A.3  诱杀法</w:t>
      </w:r>
      <w:bookmarkEnd w:id="259"/>
    </w:p>
    <w:p>
      <w:pPr>
        <w:pStyle w:val="77"/>
        <w:numPr>
          <w:ilvl w:val="0"/>
          <w:numId w:val="0"/>
        </w:numPr>
        <w:rPr>
          <w:rFonts w:ascii="Times New Roman"/>
        </w:rPr>
      </w:pPr>
      <w:r>
        <w:rPr>
          <w:rFonts w:ascii="Times New Roman"/>
        </w:rPr>
        <w:t>A.3.1  诱杀法可分为饵料诱杀法和饵剂诱杀法，一般在白蚁活动频繁季节使用。</w:t>
      </w:r>
    </w:p>
    <w:p>
      <w:pPr>
        <w:pStyle w:val="77"/>
        <w:numPr>
          <w:ilvl w:val="0"/>
          <w:numId w:val="0"/>
        </w:numPr>
        <w:rPr>
          <w:rFonts w:ascii="Times New Roman"/>
        </w:rPr>
      </w:pPr>
      <w:r>
        <w:rPr>
          <w:rFonts w:ascii="Times New Roman"/>
        </w:rPr>
        <w:t>A.3.2  饵料诱杀法是将白蚁用饵料先诱集再灭杀，使用时应符合下列规定：</w:t>
      </w:r>
    </w:p>
    <w:p>
      <w:pPr>
        <w:pStyle w:val="77"/>
        <w:numPr>
          <w:ilvl w:val="0"/>
          <w:numId w:val="0"/>
        </w:numPr>
        <w:ind w:left="851"/>
        <w:rPr>
          <w:rFonts w:ascii="Times New Roman"/>
        </w:rPr>
      </w:pPr>
      <w:r>
        <w:rPr>
          <w:rFonts w:ascii="Times New Roman"/>
        </w:rPr>
        <w:t>1）宜根据现场情况设置诱集箱、诱集堆、诱集坑等不同类型的诱集装置诱集白蚁；</w:t>
      </w:r>
    </w:p>
    <w:p>
      <w:pPr>
        <w:pStyle w:val="77"/>
        <w:numPr>
          <w:ilvl w:val="0"/>
          <w:numId w:val="0"/>
        </w:numPr>
        <w:ind w:left="851"/>
        <w:rPr>
          <w:rFonts w:ascii="Times New Roman"/>
        </w:rPr>
      </w:pPr>
      <w:r>
        <w:rPr>
          <w:rFonts w:ascii="Times New Roman"/>
        </w:rPr>
        <w:t>2）应根据不同白蚁种类选择适宜的饵料；</w:t>
      </w:r>
    </w:p>
    <w:p>
      <w:pPr>
        <w:pStyle w:val="77"/>
        <w:numPr>
          <w:ilvl w:val="0"/>
          <w:numId w:val="0"/>
        </w:numPr>
        <w:ind w:left="1155" w:leftChars="400" w:hanging="315" w:hangingChars="150"/>
        <w:rPr>
          <w:rFonts w:ascii="Times New Roman"/>
        </w:rPr>
      </w:pPr>
      <w:r>
        <w:rPr>
          <w:rFonts w:ascii="Times New Roman"/>
        </w:rPr>
        <w:t>3）诱集装置的安装位置宜选择有白蚁活动的危害点、蚁路、分飞孔等部位，或判定有白蚁危害或活动的部位；</w:t>
      </w:r>
    </w:p>
    <w:p>
      <w:pPr>
        <w:pStyle w:val="77"/>
        <w:numPr>
          <w:ilvl w:val="0"/>
          <w:numId w:val="0"/>
        </w:numPr>
        <w:ind w:left="1155" w:leftChars="400" w:hanging="315" w:hangingChars="150"/>
        <w:rPr>
          <w:rFonts w:ascii="Times New Roman"/>
        </w:rPr>
      </w:pPr>
      <w:r>
        <w:rPr>
          <w:rFonts w:ascii="Times New Roman"/>
        </w:rPr>
        <w:t xml:space="preserve">4）诱集装置的安装宜紧贴安装部位、不透光、保湿，在地面安装时应防止积水。当诱集装置诱集到较多白蚁时宜直接喷粉灭治白蚁，白蚁数量较少时可在装置内投放饵剂； </w:t>
      </w:r>
    </w:p>
    <w:p>
      <w:pPr>
        <w:pStyle w:val="77"/>
        <w:numPr>
          <w:ilvl w:val="0"/>
          <w:numId w:val="0"/>
        </w:numPr>
        <w:ind w:left="851"/>
        <w:rPr>
          <w:rFonts w:ascii="Times New Roman"/>
        </w:rPr>
      </w:pPr>
      <w:r>
        <w:rPr>
          <w:rFonts w:ascii="Times New Roman"/>
        </w:rPr>
        <w:t>5）施药处理后应按要求定期检查；</w:t>
      </w:r>
    </w:p>
    <w:p>
      <w:pPr>
        <w:pStyle w:val="77"/>
        <w:numPr>
          <w:ilvl w:val="0"/>
          <w:numId w:val="0"/>
        </w:numPr>
        <w:ind w:left="1155" w:leftChars="400" w:hanging="315" w:hangingChars="150"/>
        <w:rPr>
          <w:rFonts w:ascii="Times New Roman"/>
        </w:rPr>
      </w:pPr>
      <w:r>
        <w:rPr>
          <w:rFonts w:ascii="Times New Roman"/>
        </w:rPr>
        <w:t>6）施药处理后的诱集装置如未发现有白蚁且不能确定治理有效时，应在周边另设诱集装置继续监测。</w:t>
      </w:r>
    </w:p>
    <w:p>
      <w:pPr>
        <w:pStyle w:val="77"/>
        <w:numPr>
          <w:ilvl w:val="0"/>
          <w:numId w:val="0"/>
        </w:numPr>
        <w:rPr>
          <w:rFonts w:ascii="Times New Roman"/>
        </w:rPr>
      </w:pPr>
      <w:r>
        <w:rPr>
          <w:rFonts w:ascii="Times New Roman"/>
        </w:rPr>
        <w:t>A.3.3  饵剂诱杀法是直接采用饵剂诱杀白蚁，投放饵剂的方式可采用以下几种：</w:t>
      </w:r>
    </w:p>
    <w:p>
      <w:pPr>
        <w:pStyle w:val="77"/>
        <w:numPr>
          <w:ilvl w:val="0"/>
          <w:numId w:val="0"/>
        </w:numPr>
        <w:ind w:left="1155" w:leftChars="400" w:hanging="315" w:hangingChars="150"/>
        <w:rPr>
          <w:rFonts w:ascii="Times New Roman"/>
        </w:rPr>
      </w:pPr>
      <w:r>
        <w:rPr>
          <w:rFonts w:ascii="Times New Roman"/>
        </w:rPr>
        <w:t>1）挤入法。轻轻挑开蚁路、分飞孔或危害物表层，将饵剂挤入。挑开面不宜过大，挤入的药剂不宜将蚁路堵塞，挤入后，应尽量恢复原状；</w:t>
      </w:r>
    </w:p>
    <w:p>
      <w:pPr>
        <w:pStyle w:val="77"/>
        <w:numPr>
          <w:ilvl w:val="0"/>
          <w:numId w:val="0"/>
        </w:numPr>
        <w:ind w:left="1155" w:leftChars="400" w:hanging="315" w:hangingChars="150"/>
        <w:rPr>
          <w:rFonts w:ascii="Times New Roman"/>
        </w:rPr>
      </w:pPr>
      <w:r>
        <w:rPr>
          <w:rFonts w:ascii="Times New Roman"/>
        </w:rPr>
        <w:t>2）塞饵法。 轻轻挑开蚁路、分飞孔或危害物表层，将饵块、饵剂条塞进去，然后封闭，塞入的饵剂不宜过大，否则会引起白蚁拒食；</w:t>
      </w:r>
    </w:p>
    <w:p>
      <w:pPr>
        <w:pStyle w:val="77"/>
        <w:numPr>
          <w:ilvl w:val="0"/>
          <w:numId w:val="0"/>
        </w:numPr>
        <w:ind w:left="1155" w:leftChars="400" w:hanging="315" w:hangingChars="150"/>
        <w:rPr>
          <w:rFonts w:ascii="Times New Roman"/>
        </w:rPr>
      </w:pPr>
      <w:r>
        <w:rPr>
          <w:rFonts w:ascii="Times New Roman"/>
        </w:rPr>
        <w:t>3）挂饵法。将饵剂包挂贴在白蚁危害物的外层，使之固定并加覆盖物，覆盖物最好略湿润，易于白蚁取食；</w:t>
      </w:r>
    </w:p>
    <w:p>
      <w:pPr>
        <w:pStyle w:val="77"/>
        <w:numPr>
          <w:ilvl w:val="0"/>
          <w:numId w:val="0"/>
        </w:numPr>
        <w:ind w:firstLine="840" w:firstLineChars="400"/>
        <w:rPr>
          <w:rFonts w:ascii="Times New Roman"/>
        </w:rPr>
      </w:pPr>
      <w:r>
        <w:rPr>
          <w:rFonts w:ascii="Times New Roman"/>
        </w:rPr>
        <w:t>4）埋饵法。将饵剂埋置于白蚁地下蚁路处，埋放不宜过深，不宜超过20cm，也可随诱集装置</w:t>
      </w:r>
    </w:p>
    <w:p>
      <w:pPr>
        <w:pStyle w:val="77"/>
        <w:numPr>
          <w:ilvl w:val="0"/>
          <w:numId w:val="0"/>
        </w:numPr>
        <w:ind w:left="1050" w:leftChars="500"/>
        <w:rPr>
          <w:rFonts w:ascii="Times New Roman"/>
        </w:rPr>
      </w:pPr>
      <w:r>
        <w:rPr>
          <w:rFonts w:ascii="Times New Roman"/>
        </w:rPr>
        <w:t>一起埋放，防止水渍。</w:t>
      </w:r>
    </w:p>
    <w:p>
      <w:pPr>
        <w:pStyle w:val="77"/>
        <w:numPr>
          <w:ilvl w:val="0"/>
          <w:numId w:val="0"/>
        </w:numPr>
        <w:rPr>
          <w:rFonts w:ascii="Times New Roman"/>
        </w:rPr>
      </w:pPr>
      <w:r>
        <w:rPr>
          <w:rFonts w:ascii="Times New Roman"/>
        </w:rPr>
        <w:t>A.3.4  投放饵剂时，应符合下列规定：</w:t>
      </w:r>
    </w:p>
    <w:p>
      <w:pPr>
        <w:pStyle w:val="77"/>
        <w:numPr>
          <w:ilvl w:val="0"/>
          <w:numId w:val="0"/>
        </w:numPr>
        <w:ind w:firstLine="840" w:firstLineChars="400"/>
        <w:rPr>
          <w:rFonts w:ascii="Times New Roman"/>
        </w:rPr>
      </w:pPr>
      <w:r>
        <w:rPr>
          <w:rFonts w:ascii="Times New Roman"/>
        </w:rPr>
        <w:t xml:space="preserve">1）宜投放在有白蚁活动的部位； </w:t>
      </w:r>
    </w:p>
    <w:p>
      <w:pPr>
        <w:pStyle w:val="77"/>
        <w:numPr>
          <w:ilvl w:val="0"/>
          <w:numId w:val="0"/>
        </w:numPr>
        <w:ind w:firstLine="840" w:firstLineChars="400"/>
        <w:rPr>
          <w:rFonts w:ascii="Times New Roman"/>
        </w:rPr>
      </w:pPr>
      <w:r>
        <w:rPr>
          <w:rFonts w:ascii="Times New Roman"/>
        </w:rPr>
        <w:t>2）应根据白蚁种类、群体数量和白蚁危害程度选择饵剂产品及确定投放数量；</w:t>
      </w:r>
    </w:p>
    <w:p>
      <w:pPr>
        <w:pStyle w:val="77"/>
        <w:numPr>
          <w:ilvl w:val="0"/>
          <w:numId w:val="0"/>
        </w:numPr>
        <w:ind w:firstLine="840" w:firstLineChars="400"/>
        <w:rPr>
          <w:rFonts w:ascii="Times New Roman"/>
        </w:rPr>
      </w:pPr>
      <w:r>
        <w:rPr>
          <w:rFonts w:ascii="Times New Roman"/>
        </w:rPr>
        <w:t>3）投放饵剂时，应多点投放，对于活动范围较大的白蚁群体，传递距离应尽量缩短；</w:t>
      </w:r>
    </w:p>
    <w:p>
      <w:pPr>
        <w:pStyle w:val="77"/>
        <w:numPr>
          <w:ilvl w:val="0"/>
          <w:numId w:val="0"/>
        </w:numPr>
        <w:ind w:firstLine="840" w:firstLineChars="400"/>
        <w:rPr>
          <w:rFonts w:ascii="Times New Roman"/>
        </w:rPr>
      </w:pPr>
      <w:r>
        <w:rPr>
          <w:rFonts w:ascii="Times New Roman"/>
        </w:rPr>
        <w:t>4）当白蚁活动的部位不宜投放饵剂时，可根据房屋结构和白蚁危害情况，在白蚁有可能</w:t>
      </w:r>
      <w:r>
        <w:rPr>
          <w:rFonts w:hint="eastAsia" w:ascii="Times New Roman"/>
        </w:rPr>
        <w:t>蔓延</w:t>
      </w:r>
    </w:p>
    <w:p>
      <w:pPr>
        <w:pStyle w:val="77"/>
        <w:numPr>
          <w:ilvl w:val="0"/>
          <w:numId w:val="0"/>
        </w:numPr>
        <w:ind w:left="1050" w:leftChars="500" w:firstLine="105" w:firstLineChars="50"/>
        <w:rPr>
          <w:rFonts w:ascii="Times New Roman"/>
        </w:rPr>
      </w:pPr>
      <w:r>
        <w:rPr>
          <w:rFonts w:hint="eastAsia" w:ascii="Times New Roman"/>
        </w:rPr>
        <w:t>到</w:t>
      </w:r>
      <w:r>
        <w:rPr>
          <w:rFonts w:ascii="Times New Roman"/>
        </w:rPr>
        <w:t>的部位投放饵剂；</w:t>
      </w:r>
    </w:p>
    <w:p>
      <w:pPr>
        <w:pStyle w:val="77"/>
        <w:numPr>
          <w:ilvl w:val="0"/>
          <w:numId w:val="0"/>
        </w:numPr>
        <w:ind w:firstLine="840" w:firstLineChars="400"/>
        <w:rPr>
          <w:rFonts w:ascii="Times New Roman"/>
        </w:rPr>
      </w:pPr>
      <w:r>
        <w:rPr>
          <w:rFonts w:ascii="Times New Roman"/>
        </w:rPr>
        <w:t>5）投放饵剂应不影响白蚁的正常活动；</w:t>
      </w:r>
    </w:p>
    <w:p>
      <w:pPr>
        <w:pStyle w:val="77"/>
        <w:numPr>
          <w:ilvl w:val="0"/>
          <w:numId w:val="0"/>
        </w:numPr>
        <w:ind w:firstLine="840" w:firstLineChars="400"/>
        <w:rPr>
          <w:rFonts w:ascii="Times New Roman"/>
        </w:rPr>
      </w:pPr>
      <w:r>
        <w:rPr>
          <w:rFonts w:ascii="Times New Roman"/>
        </w:rPr>
        <w:t>6）贴挂在投放部位表面的饵剂，宜不透光、保湿；</w:t>
      </w:r>
    </w:p>
    <w:p>
      <w:pPr>
        <w:pStyle w:val="77"/>
        <w:numPr>
          <w:ilvl w:val="0"/>
          <w:numId w:val="0"/>
        </w:numPr>
        <w:ind w:firstLine="840" w:firstLineChars="400"/>
        <w:rPr>
          <w:rFonts w:ascii="Times New Roman"/>
        </w:rPr>
      </w:pPr>
      <w:r>
        <w:rPr>
          <w:rFonts w:ascii="Times New Roman"/>
        </w:rPr>
        <w:t>7）挤、塞到投放</w:t>
      </w:r>
      <w:r>
        <w:rPr>
          <w:rFonts w:hint="eastAsia" w:ascii="Times New Roman"/>
          <w:color w:val="000000" w:themeColor="text1"/>
        </w:rPr>
        <w:t>部位</w:t>
      </w:r>
      <w:r>
        <w:rPr>
          <w:rFonts w:ascii="Times New Roman"/>
        </w:rPr>
        <w:t>内部的饵剂，不应将蚁路、分飞孔等白蚁活动空间堵满，并应尽快封闭</w:t>
      </w:r>
    </w:p>
    <w:p>
      <w:pPr>
        <w:pStyle w:val="77"/>
        <w:numPr>
          <w:ilvl w:val="0"/>
          <w:numId w:val="0"/>
        </w:numPr>
        <w:ind w:left="1050" w:leftChars="500" w:firstLine="105" w:firstLineChars="50"/>
        <w:rPr>
          <w:rFonts w:ascii="Times New Roman"/>
        </w:rPr>
      </w:pPr>
      <w:r>
        <w:rPr>
          <w:rFonts w:ascii="Times New Roman"/>
        </w:rPr>
        <w:t>或复原投放口；</w:t>
      </w:r>
    </w:p>
    <w:p>
      <w:pPr>
        <w:pStyle w:val="77"/>
        <w:numPr>
          <w:ilvl w:val="0"/>
          <w:numId w:val="0"/>
        </w:numPr>
        <w:ind w:firstLine="840" w:firstLineChars="400"/>
        <w:rPr>
          <w:rFonts w:ascii="Times New Roman"/>
        </w:rPr>
      </w:pPr>
      <w:r>
        <w:rPr>
          <w:rFonts w:ascii="Times New Roman"/>
        </w:rPr>
        <w:t>8）埋入地下浅层投放点的饵剂，宜用物件覆盖；</w:t>
      </w:r>
    </w:p>
    <w:p>
      <w:pPr>
        <w:pStyle w:val="77"/>
        <w:numPr>
          <w:ilvl w:val="0"/>
          <w:numId w:val="0"/>
        </w:numPr>
        <w:ind w:firstLine="840" w:firstLineChars="400"/>
        <w:rPr>
          <w:rFonts w:ascii="Times New Roman"/>
        </w:rPr>
      </w:pPr>
      <w:r>
        <w:rPr>
          <w:rFonts w:ascii="Times New Roman"/>
        </w:rPr>
        <w:t>9）在引诱到白蚁的诱集装置内投放饵剂时，宜将饵剂投放在饵料上，且尽可能减少对白蚁的</w:t>
      </w:r>
    </w:p>
    <w:p>
      <w:pPr>
        <w:pStyle w:val="77"/>
        <w:numPr>
          <w:ilvl w:val="0"/>
          <w:numId w:val="0"/>
        </w:numPr>
        <w:ind w:left="840" w:leftChars="400" w:firstLine="315" w:firstLineChars="150"/>
        <w:rPr>
          <w:rFonts w:ascii="Times New Roman"/>
        </w:rPr>
      </w:pPr>
      <w:r>
        <w:rPr>
          <w:rFonts w:ascii="Times New Roman"/>
        </w:rPr>
        <w:t>干扰；</w:t>
      </w:r>
    </w:p>
    <w:p>
      <w:pPr>
        <w:pStyle w:val="77"/>
        <w:numPr>
          <w:ilvl w:val="0"/>
          <w:numId w:val="0"/>
        </w:numPr>
        <w:ind w:firstLine="840" w:firstLineChars="400"/>
        <w:rPr>
          <w:rFonts w:ascii="Times New Roman"/>
        </w:rPr>
      </w:pPr>
      <w:r>
        <w:rPr>
          <w:rFonts w:ascii="Times New Roman"/>
        </w:rPr>
        <w:t>10）投放饵剂后应适时检查饵剂被取食的情况和防治效果，也可补投饵剂；</w:t>
      </w:r>
    </w:p>
    <w:p>
      <w:pPr>
        <w:pStyle w:val="77"/>
        <w:numPr>
          <w:ilvl w:val="0"/>
          <w:numId w:val="0"/>
        </w:numPr>
        <w:ind w:firstLine="840" w:firstLineChars="400"/>
        <w:rPr>
          <w:rFonts w:ascii="Times New Roman"/>
        </w:rPr>
      </w:pPr>
      <w:r>
        <w:rPr>
          <w:rFonts w:ascii="Times New Roman"/>
        </w:rPr>
        <w:t>11）不应</w:t>
      </w:r>
      <w:r>
        <w:rPr>
          <w:rFonts w:hint="eastAsia" w:ascii="Times New Roman"/>
        </w:rPr>
        <w:t>在</w:t>
      </w:r>
      <w:r>
        <w:rPr>
          <w:rFonts w:ascii="Times New Roman"/>
        </w:rPr>
        <w:t>喷洒过白蚁防治</w:t>
      </w:r>
      <w:r>
        <w:rPr>
          <w:rFonts w:hint="eastAsia" w:ascii="Times New Roman"/>
        </w:rPr>
        <w:t>液剂</w:t>
      </w:r>
      <w:r>
        <w:rPr>
          <w:rFonts w:ascii="Times New Roman"/>
        </w:rPr>
        <w:t>且在药剂有效期内的部位投放饵剂。</w:t>
      </w:r>
    </w:p>
    <w:p>
      <w:pPr>
        <w:pStyle w:val="55"/>
        <w:numPr>
          <w:ilvl w:val="0"/>
          <w:numId w:val="0"/>
        </w:numPr>
        <w:rPr>
          <w:rFonts w:ascii="Times New Roman"/>
        </w:rPr>
      </w:pPr>
      <w:r>
        <w:rPr>
          <w:rFonts w:ascii="Times New Roman"/>
        </w:rPr>
        <w:t>A.4  监测控制技术</w:t>
      </w:r>
    </w:p>
    <w:p>
      <w:pPr>
        <w:pStyle w:val="77"/>
        <w:numPr>
          <w:ilvl w:val="0"/>
          <w:numId w:val="0"/>
        </w:numPr>
        <w:rPr>
          <w:rFonts w:ascii="Times New Roman"/>
        </w:rPr>
      </w:pPr>
      <w:r>
        <w:rPr>
          <w:rFonts w:ascii="Times New Roman"/>
        </w:rPr>
        <w:t>A.4.1  采用地上型饵剂装置进行白蚁治理时，应符合下列规定：</w:t>
      </w:r>
    </w:p>
    <w:p>
      <w:pPr>
        <w:pStyle w:val="77"/>
        <w:numPr>
          <w:ilvl w:val="0"/>
          <w:numId w:val="0"/>
        </w:numPr>
        <w:ind w:left="851"/>
        <w:rPr>
          <w:rFonts w:ascii="Times New Roman"/>
        </w:rPr>
      </w:pPr>
      <w:r>
        <w:rPr>
          <w:rFonts w:ascii="Times New Roman"/>
        </w:rPr>
        <w:t>1）宜安装在有白蚁活动的危害点、蚁路、分飞孔、白蚁出没的缝隙等</w:t>
      </w:r>
      <w:r>
        <w:rPr>
          <w:rFonts w:hint="eastAsia" w:ascii="Times New Roman"/>
        </w:rPr>
        <w:t>部位</w:t>
      </w:r>
      <w:r>
        <w:rPr>
          <w:rFonts w:ascii="Times New Roman"/>
        </w:rPr>
        <w:t xml:space="preserve">； </w:t>
      </w:r>
    </w:p>
    <w:p>
      <w:pPr>
        <w:pStyle w:val="77"/>
        <w:numPr>
          <w:ilvl w:val="0"/>
          <w:numId w:val="0"/>
        </w:numPr>
        <w:ind w:left="851"/>
        <w:rPr>
          <w:rFonts w:ascii="Times New Roman"/>
        </w:rPr>
      </w:pPr>
      <w:r>
        <w:rPr>
          <w:rFonts w:ascii="Times New Roman"/>
        </w:rPr>
        <w:t>2）应根据安装点的情况选择适宜的安装方法，宜遮光、紧贴、保湿；</w:t>
      </w:r>
    </w:p>
    <w:p>
      <w:pPr>
        <w:pStyle w:val="77"/>
        <w:numPr>
          <w:ilvl w:val="0"/>
          <w:numId w:val="0"/>
        </w:numPr>
        <w:ind w:left="851"/>
        <w:rPr>
          <w:rFonts w:ascii="Times New Roman"/>
        </w:rPr>
      </w:pPr>
      <w:r>
        <w:rPr>
          <w:rFonts w:ascii="Times New Roman"/>
        </w:rPr>
        <w:t>3）白蚁数量较多或白蚁危害较严重的</w:t>
      </w:r>
      <w:r>
        <w:rPr>
          <w:rFonts w:hint="eastAsia" w:ascii="Times New Roman"/>
        </w:rPr>
        <w:t>部位</w:t>
      </w:r>
      <w:r>
        <w:rPr>
          <w:rFonts w:ascii="Times New Roman"/>
        </w:rPr>
        <w:t>可并列安装或叠加安装；</w:t>
      </w:r>
    </w:p>
    <w:p>
      <w:pPr>
        <w:pStyle w:val="77"/>
        <w:numPr>
          <w:ilvl w:val="0"/>
          <w:numId w:val="0"/>
        </w:numPr>
        <w:ind w:left="851"/>
        <w:rPr>
          <w:rFonts w:ascii="Times New Roman"/>
        </w:rPr>
      </w:pPr>
      <w:r>
        <w:rPr>
          <w:rFonts w:ascii="Times New Roman"/>
        </w:rPr>
        <w:t>4）安装时应尽量不干扰白蚁的正常活动；</w:t>
      </w:r>
    </w:p>
    <w:p>
      <w:pPr>
        <w:pStyle w:val="77"/>
        <w:numPr>
          <w:ilvl w:val="0"/>
          <w:numId w:val="0"/>
        </w:numPr>
        <w:ind w:left="851"/>
        <w:rPr>
          <w:rFonts w:ascii="Times New Roman"/>
        </w:rPr>
      </w:pPr>
      <w:r>
        <w:rPr>
          <w:rFonts w:ascii="Times New Roman"/>
        </w:rPr>
        <w:t>5）应适时检查饵剂被白蚁取食的情况和白蚁治理效果，必要时补充饵剂；</w:t>
      </w:r>
    </w:p>
    <w:p>
      <w:pPr>
        <w:pStyle w:val="77"/>
        <w:numPr>
          <w:ilvl w:val="0"/>
          <w:numId w:val="0"/>
        </w:numPr>
        <w:ind w:left="851"/>
        <w:rPr>
          <w:rFonts w:ascii="Times New Roman"/>
        </w:rPr>
      </w:pPr>
      <w:r>
        <w:rPr>
          <w:rFonts w:ascii="Times New Roman"/>
        </w:rPr>
        <w:t>6）不应在喷洒过白蚁防治</w:t>
      </w:r>
      <w:r>
        <w:rPr>
          <w:rFonts w:hint="eastAsia" w:ascii="Times New Roman"/>
        </w:rPr>
        <w:t>液</w:t>
      </w:r>
      <w:r>
        <w:rPr>
          <w:rFonts w:ascii="Times New Roman"/>
        </w:rPr>
        <w:t>剂且在药剂有效期内的部位安装。</w:t>
      </w:r>
    </w:p>
    <w:p>
      <w:pPr>
        <w:pStyle w:val="77"/>
        <w:numPr>
          <w:ilvl w:val="0"/>
          <w:numId w:val="0"/>
        </w:numPr>
        <w:rPr>
          <w:rFonts w:ascii="Times New Roman"/>
        </w:rPr>
      </w:pPr>
      <w:r>
        <w:rPr>
          <w:rFonts w:ascii="Times New Roman"/>
        </w:rPr>
        <w:t>A.4.2  采用地下型监测装置进行蚁情动态监测和白蚁治理时，应符合下列规定：</w:t>
      </w:r>
    </w:p>
    <w:p>
      <w:pPr>
        <w:pStyle w:val="77"/>
        <w:numPr>
          <w:ilvl w:val="0"/>
          <w:numId w:val="0"/>
        </w:numPr>
        <w:ind w:left="851"/>
        <w:rPr>
          <w:rFonts w:ascii="Times New Roman"/>
        </w:rPr>
      </w:pPr>
      <w:r>
        <w:rPr>
          <w:rFonts w:ascii="Times New Roman"/>
        </w:rPr>
        <w:t>1）安装在地面或近地面处发现白蚁危害或容易受外围白蚁入侵的部位；</w:t>
      </w:r>
    </w:p>
    <w:p>
      <w:pPr>
        <w:pStyle w:val="77"/>
        <w:numPr>
          <w:ilvl w:val="0"/>
          <w:numId w:val="0"/>
        </w:numPr>
        <w:ind w:left="851"/>
        <w:rPr>
          <w:rFonts w:ascii="Times New Roman"/>
        </w:rPr>
      </w:pPr>
      <w:r>
        <w:rPr>
          <w:rFonts w:ascii="Times New Roman"/>
        </w:rPr>
        <w:t>2）监测装置应安装在有白蚁活动的区域；</w:t>
      </w:r>
    </w:p>
    <w:p>
      <w:pPr>
        <w:pStyle w:val="77"/>
        <w:numPr>
          <w:ilvl w:val="0"/>
          <w:numId w:val="0"/>
        </w:numPr>
        <w:ind w:left="1155" w:leftChars="400" w:hanging="315" w:hangingChars="150"/>
        <w:rPr>
          <w:rFonts w:ascii="Times New Roman"/>
        </w:rPr>
      </w:pPr>
      <w:r>
        <w:rPr>
          <w:rFonts w:ascii="Times New Roman"/>
        </w:rPr>
        <w:t>3）监测装置安装后的检查次数和时间间隔可根据气候条件、不同白蚁种类</w:t>
      </w:r>
    </w:p>
    <w:p>
      <w:pPr>
        <w:pStyle w:val="77"/>
        <w:numPr>
          <w:ilvl w:val="0"/>
          <w:numId w:val="0"/>
        </w:numPr>
        <w:ind w:left="1050" w:leftChars="500" w:firstLine="105" w:firstLineChars="50"/>
        <w:rPr>
          <w:rFonts w:ascii="Times New Roman"/>
        </w:rPr>
      </w:pPr>
      <w:r>
        <w:rPr>
          <w:rFonts w:ascii="Times New Roman"/>
        </w:rPr>
        <w:t>等因素确定；</w:t>
      </w:r>
    </w:p>
    <w:p>
      <w:pPr>
        <w:pStyle w:val="77"/>
        <w:numPr>
          <w:ilvl w:val="0"/>
          <w:numId w:val="0"/>
        </w:numPr>
        <w:ind w:left="851"/>
        <w:rPr>
          <w:rFonts w:ascii="Times New Roman"/>
        </w:rPr>
      </w:pPr>
      <w:r>
        <w:rPr>
          <w:rFonts w:ascii="Times New Roman"/>
        </w:rPr>
        <w:t>4）安装和维护监测装置时，施工人员应佩戴防高空坠物、防钉戳等安全防</w:t>
      </w:r>
    </w:p>
    <w:p>
      <w:pPr>
        <w:pStyle w:val="77"/>
        <w:numPr>
          <w:ilvl w:val="0"/>
          <w:numId w:val="0"/>
        </w:numPr>
        <w:ind w:left="840" w:leftChars="400" w:firstLine="315" w:firstLineChars="150"/>
        <w:rPr>
          <w:rFonts w:ascii="Times New Roman"/>
        </w:rPr>
      </w:pPr>
      <w:r>
        <w:rPr>
          <w:rFonts w:ascii="Times New Roman"/>
        </w:rPr>
        <w:t>护用品；</w:t>
      </w:r>
    </w:p>
    <w:p>
      <w:pPr>
        <w:pStyle w:val="77"/>
        <w:numPr>
          <w:ilvl w:val="0"/>
          <w:numId w:val="0"/>
        </w:numPr>
        <w:ind w:left="851"/>
        <w:rPr>
          <w:rFonts w:ascii="Times New Roman"/>
        </w:rPr>
      </w:pPr>
      <w:r>
        <w:rPr>
          <w:rFonts w:ascii="Times New Roman"/>
        </w:rPr>
        <w:t>5）用电动、机动工具安装检测装置时，应按操作说明书操作；</w:t>
      </w:r>
    </w:p>
    <w:p>
      <w:pPr>
        <w:pStyle w:val="77"/>
        <w:numPr>
          <w:ilvl w:val="0"/>
          <w:numId w:val="0"/>
        </w:numPr>
        <w:ind w:left="851"/>
        <w:rPr>
          <w:rFonts w:ascii="Times New Roman"/>
        </w:rPr>
      </w:pPr>
      <w:r>
        <w:rPr>
          <w:rFonts w:ascii="Times New Roman"/>
        </w:rPr>
        <w:t>6）监测装置不应安装在经化学药剂处理过或化学物质污染的土壤中；</w:t>
      </w:r>
    </w:p>
    <w:p>
      <w:pPr>
        <w:pStyle w:val="77"/>
        <w:numPr>
          <w:ilvl w:val="0"/>
          <w:numId w:val="0"/>
        </w:numPr>
        <w:ind w:left="1260" w:leftChars="400" w:hanging="420" w:hangingChars="200"/>
        <w:rPr>
          <w:rFonts w:ascii="Times New Roman"/>
        </w:rPr>
      </w:pPr>
      <w:r>
        <w:rPr>
          <w:rFonts w:ascii="Times New Roman"/>
        </w:rPr>
        <w:t>7）在土壤中安装监测装置，应使装置外壁与土壤紧密接触，四周不留缝隙；在混凝土、沥青上打孔时，应确保穿透硬化层至土壤层；</w:t>
      </w:r>
    </w:p>
    <w:p>
      <w:pPr>
        <w:pStyle w:val="77"/>
        <w:numPr>
          <w:ilvl w:val="0"/>
          <w:numId w:val="0"/>
        </w:numPr>
        <w:ind w:left="851"/>
        <w:rPr>
          <w:rFonts w:ascii="Times New Roman"/>
        </w:rPr>
      </w:pPr>
      <w:r>
        <w:rPr>
          <w:rFonts w:ascii="Times New Roman"/>
        </w:rPr>
        <w:t>8）监测装置安装后应统一编号，并具唯一性，可绘制监测装置安装示意图；</w:t>
      </w:r>
    </w:p>
    <w:p>
      <w:pPr>
        <w:pStyle w:val="77"/>
        <w:numPr>
          <w:ilvl w:val="0"/>
          <w:numId w:val="0"/>
        </w:numPr>
        <w:ind w:left="1260" w:leftChars="400" w:hanging="420" w:hangingChars="200"/>
        <w:rPr>
          <w:rFonts w:ascii="Times New Roman"/>
        </w:rPr>
      </w:pPr>
      <w:r>
        <w:rPr>
          <w:rFonts w:ascii="Times New Roman"/>
        </w:rPr>
        <w:t>9） 当监测装置内白蚁数量较多时</w:t>
      </w:r>
      <w:r>
        <w:rPr>
          <w:rFonts w:hint="eastAsia" w:ascii="Times New Roman"/>
        </w:rPr>
        <w:t>，</w:t>
      </w:r>
      <w:r>
        <w:rPr>
          <w:rFonts w:ascii="Times New Roman"/>
        </w:rPr>
        <w:t>宜直接喷粉灭杀白蚁，白蚁数量较少时可在装置内投放饵剂；</w:t>
      </w:r>
    </w:p>
    <w:p>
      <w:pPr>
        <w:pStyle w:val="77"/>
        <w:numPr>
          <w:ilvl w:val="0"/>
          <w:numId w:val="0"/>
        </w:numPr>
        <w:ind w:left="851"/>
        <w:rPr>
          <w:rFonts w:ascii="Times New Roman"/>
        </w:rPr>
      </w:pPr>
      <w:r>
        <w:rPr>
          <w:rFonts w:ascii="Times New Roman"/>
        </w:rPr>
        <w:t>10）应在白蚁活动旺盛期定期进行检查与维护；</w:t>
      </w:r>
    </w:p>
    <w:p>
      <w:pPr>
        <w:pStyle w:val="77"/>
        <w:numPr>
          <w:ilvl w:val="0"/>
          <w:numId w:val="0"/>
        </w:numPr>
        <w:ind w:left="1155" w:leftChars="400" w:hanging="315" w:hangingChars="150"/>
        <w:rPr>
          <w:rFonts w:ascii="Times New Roman"/>
        </w:rPr>
      </w:pPr>
      <w:r>
        <w:rPr>
          <w:rFonts w:ascii="Times New Roman"/>
        </w:rPr>
        <w:t>11）如监测装置内设有智能报警的检测设备，当远程实时白蚁监测系统软件平台显示白蚁侵入报警时，应在48 h内对监测装置打开检查及处理；</w:t>
      </w:r>
    </w:p>
    <w:p>
      <w:pPr>
        <w:pStyle w:val="77"/>
        <w:numPr>
          <w:ilvl w:val="0"/>
          <w:numId w:val="0"/>
        </w:numPr>
        <w:ind w:left="851"/>
        <w:rPr>
          <w:rFonts w:ascii="Times New Roman"/>
        </w:rPr>
      </w:pPr>
      <w:r>
        <w:rPr>
          <w:rFonts w:ascii="Times New Roman"/>
        </w:rPr>
        <w:t>12）当饵料被白蚁取食较多且无白蚁活动或有影响诱集效果的霉变时，应更换饵料。</w:t>
      </w:r>
    </w:p>
    <w:p>
      <w:pPr>
        <w:pStyle w:val="55"/>
        <w:numPr>
          <w:ilvl w:val="0"/>
          <w:numId w:val="0"/>
        </w:numPr>
        <w:rPr>
          <w:rFonts w:ascii="Times New Roman"/>
        </w:rPr>
      </w:pPr>
      <w:r>
        <w:rPr>
          <w:rFonts w:ascii="Times New Roman"/>
        </w:rPr>
        <w:t>A.5  挖巢法</w:t>
      </w:r>
    </w:p>
    <w:p>
      <w:pPr>
        <w:pStyle w:val="77"/>
        <w:numPr>
          <w:ilvl w:val="0"/>
          <w:numId w:val="0"/>
        </w:numPr>
        <w:rPr>
          <w:rFonts w:ascii="Times New Roman"/>
        </w:rPr>
      </w:pPr>
      <w:r>
        <w:rPr>
          <w:rFonts w:ascii="Times New Roman"/>
        </w:rPr>
        <w:t xml:space="preserve">A.5.1 </w:t>
      </w:r>
      <w:bookmarkStart w:id="260" w:name="OLE_LINK23"/>
      <w:bookmarkStart w:id="261" w:name="OLE_LINK22"/>
      <w:r>
        <w:rPr>
          <w:rFonts w:ascii="Times New Roman"/>
        </w:rPr>
        <w:t xml:space="preserve"> 施工人员应有丰富的挖巢经验。</w:t>
      </w:r>
    </w:p>
    <w:p>
      <w:pPr>
        <w:pStyle w:val="77"/>
        <w:numPr>
          <w:ilvl w:val="0"/>
          <w:numId w:val="0"/>
        </w:numPr>
        <w:rPr>
          <w:rFonts w:ascii="Times New Roman"/>
        </w:rPr>
      </w:pPr>
      <w:r>
        <w:rPr>
          <w:rFonts w:ascii="Times New Roman"/>
        </w:rPr>
        <w:t>A.5.2  适用于筑大型巢的白蚁危害处理。用人工方法将巢挖开，捉取蚁王、蚁后，可以完全消灭群体内无补充繁殖蚁的土白蚁和大白蚁巢群。</w:t>
      </w:r>
    </w:p>
    <w:p>
      <w:pPr>
        <w:pStyle w:val="77"/>
        <w:numPr>
          <w:ilvl w:val="0"/>
          <w:numId w:val="0"/>
        </w:numPr>
        <w:rPr>
          <w:rFonts w:ascii="Times New Roman"/>
        </w:rPr>
      </w:pPr>
      <w:r>
        <w:rPr>
          <w:rFonts w:ascii="Times New Roman"/>
        </w:rPr>
        <w:t>A.5.3  对于具有补充繁殖蚁的乳白蚁巢群，除了展示乳白蚁巢的特征和采集大量白蚁外，不宜采用人工挖巢的方式来灭治乳白蚁巢群。</w:t>
      </w:r>
    </w:p>
    <w:p>
      <w:pPr>
        <w:pStyle w:val="77"/>
        <w:numPr>
          <w:ilvl w:val="0"/>
          <w:numId w:val="0"/>
        </w:numPr>
        <w:rPr>
          <w:rFonts w:ascii="Times New Roman"/>
        </w:rPr>
      </w:pPr>
      <w:r>
        <w:rPr>
          <w:rFonts w:ascii="Times New Roman"/>
        </w:rPr>
        <w:t>A.5.4  乳白蚁人工挖巢时，可通过白蚁排泄物、分飞孔、通气孔、水渍、蚁路、汲水线等外部迹象寻找蚁巢。</w:t>
      </w:r>
    </w:p>
    <w:p>
      <w:pPr>
        <w:pStyle w:val="77"/>
        <w:numPr>
          <w:ilvl w:val="0"/>
          <w:numId w:val="0"/>
        </w:numPr>
        <w:rPr>
          <w:rFonts w:ascii="Times New Roman"/>
        </w:rPr>
      </w:pPr>
      <w:r>
        <w:rPr>
          <w:rFonts w:ascii="Times New Roman"/>
        </w:rPr>
        <w:t>A.5.5  土白蚁人工挖巢时，可通过主蚁道追挖找巢、根据鸡枞菌和炭棒菌找巢、探地雷达探测巢位。</w:t>
      </w:r>
    </w:p>
    <w:p>
      <w:pPr>
        <w:pStyle w:val="77"/>
        <w:numPr>
          <w:ilvl w:val="0"/>
          <w:numId w:val="0"/>
        </w:numPr>
        <w:rPr>
          <w:rFonts w:ascii="Times New Roman"/>
        </w:rPr>
      </w:pPr>
      <w:r>
        <w:rPr>
          <w:rFonts w:ascii="Times New Roman"/>
        </w:rPr>
        <w:t>A.5.6  挖巢不应对房屋主体产生物理性损坏。</w:t>
      </w:r>
    </w:p>
    <w:p>
      <w:pPr>
        <w:pStyle w:val="77"/>
        <w:numPr>
          <w:ilvl w:val="0"/>
          <w:numId w:val="0"/>
        </w:numPr>
        <w:rPr>
          <w:rFonts w:ascii="Times New Roman"/>
        </w:rPr>
      </w:pPr>
      <w:r>
        <w:rPr>
          <w:rFonts w:ascii="Times New Roman"/>
        </w:rPr>
        <w:t>A.5.7  挖巢宜在秋冬季进行。</w:t>
      </w:r>
    </w:p>
    <w:bookmarkEnd w:id="260"/>
    <w:bookmarkEnd w:id="261"/>
    <w:p>
      <w:pPr>
        <w:pStyle w:val="55"/>
        <w:numPr>
          <w:ilvl w:val="0"/>
          <w:numId w:val="0"/>
        </w:numPr>
        <w:rPr>
          <w:rFonts w:ascii="Times New Roman"/>
        </w:rPr>
      </w:pPr>
      <w:r>
        <w:rPr>
          <w:rFonts w:ascii="Times New Roman"/>
        </w:rPr>
        <w:t>A.6  熏蒸法</w:t>
      </w:r>
    </w:p>
    <w:p>
      <w:pPr>
        <w:pStyle w:val="77"/>
        <w:numPr>
          <w:ilvl w:val="0"/>
          <w:numId w:val="0"/>
        </w:numPr>
        <w:rPr>
          <w:rFonts w:ascii="Times New Roman"/>
        </w:rPr>
      </w:pPr>
      <w:r>
        <w:rPr>
          <w:rFonts w:ascii="Times New Roman"/>
        </w:rPr>
        <w:t>A.6.1  施工人员应受过熏蒸技术培训，熟悉熏蒸技术，能够熟练操作有关熏蒸施工设备。</w:t>
      </w:r>
    </w:p>
    <w:p>
      <w:pPr>
        <w:pStyle w:val="77"/>
        <w:numPr>
          <w:ilvl w:val="0"/>
          <w:numId w:val="0"/>
        </w:numPr>
        <w:rPr>
          <w:rFonts w:ascii="Times New Roman"/>
        </w:rPr>
      </w:pPr>
      <w:r>
        <w:rPr>
          <w:rFonts w:ascii="Times New Roman"/>
        </w:rPr>
        <w:t>A.6.2  施工人员在操作过程中应佩戴防毒面具，穿工作服，戴手套。</w:t>
      </w:r>
    </w:p>
    <w:p>
      <w:pPr>
        <w:pStyle w:val="77"/>
        <w:numPr>
          <w:ilvl w:val="0"/>
          <w:numId w:val="0"/>
        </w:numPr>
        <w:rPr>
          <w:rFonts w:ascii="Times New Roman"/>
        </w:rPr>
      </w:pPr>
      <w:r>
        <w:rPr>
          <w:rFonts w:ascii="Times New Roman"/>
        </w:rPr>
        <w:t>A.6.3  投药前应检查帐幕或其他熏蒸空间的气密性，对可能的漏气部位进行仔细的检查和封糊。</w:t>
      </w:r>
    </w:p>
    <w:p>
      <w:pPr>
        <w:pStyle w:val="77"/>
        <w:numPr>
          <w:ilvl w:val="0"/>
          <w:numId w:val="0"/>
        </w:numPr>
        <w:rPr>
          <w:rFonts w:ascii="Times New Roman"/>
        </w:rPr>
      </w:pPr>
      <w:r>
        <w:rPr>
          <w:rFonts w:ascii="Times New Roman"/>
        </w:rPr>
        <w:t>A.6.4  应在熏蒸现场外设立熏蒸有毒的危险性标志，并有专人值守。</w:t>
      </w:r>
    </w:p>
    <w:p>
      <w:pPr>
        <w:pStyle w:val="77"/>
        <w:numPr>
          <w:ilvl w:val="0"/>
          <w:numId w:val="0"/>
        </w:numPr>
        <w:rPr>
          <w:rFonts w:ascii="Times New Roman"/>
        </w:rPr>
      </w:pPr>
      <w:r>
        <w:rPr>
          <w:rFonts w:ascii="Times New Roman"/>
        </w:rPr>
        <w:t xml:space="preserve">A.6.5  熏蒸时长宜为24 h-72 h。 </w:t>
      </w:r>
    </w:p>
    <w:p>
      <w:pPr>
        <w:pStyle w:val="77"/>
        <w:numPr>
          <w:ilvl w:val="0"/>
          <w:numId w:val="0"/>
        </w:numPr>
        <w:rPr>
          <w:rFonts w:ascii="Times New Roman"/>
        </w:rPr>
      </w:pPr>
      <w:r>
        <w:rPr>
          <w:rFonts w:ascii="Times New Roman"/>
        </w:rPr>
        <w:t>A.6.6  熏蒸现场清理应在揭开帐幕或开窗通风至安全浓度后进行，通风时间不得少于48 h。</w:t>
      </w:r>
    </w:p>
    <w:p>
      <w:pPr>
        <w:pStyle w:val="55"/>
        <w:numPr>
          <w:ilvl w:val="0"/>
          <w:numId w:val="0"/>
        </w:numPr>
        <w:rPr>
          <w:rFonts w:ascii="Times New Roman"/>
        </w:rPr>
      </w:pPr>
      <w:r>
        <w:rPr>
          <w:rFonts w:ascii="Times New Roman"/>
        </w:rPr>
        <w:t>A.7  冷冻法</w:t>
      </w:r>
    </w:p>
    <w:p>
      <w:pPr>
        <w:pStyle w:val="77"/>
        <w:numPr>
          <w:ilvl w:val="0"/>
          <w:numId w:val="0"/>
        </w:numPr>
        <w:rPr>
          <w:rFonts w:ascii="Times New Roman"/>
        </w:rPr>
      </w:pPr>
      <w:r>
        <w:rPr>
          <w:rFonts w:ascii="Times New Roman"/>
        </w:rPr>
        <w:t>A.7.1  施工人员应受过相关技术培训，熟悉冷冻灭治白蚁技术，能够熟练操作相关仪器设备。</w:t>
      </w:r>
    </w:p>
    <w:p>
      <w:pPr>
        <w:pStyle w:val="77"/>
        <w:numPr>
          <w:ilvl w:val="0"/>
          <w:numId w:val="0"/>
        </w:numPr>
        <w:rPr>
          <w:rFonts w:ascii="Times New Roman"/>
        </w:rPr>
      </w:pPr>
      <w:r>
        <w:rPr>
          <w:rFonts w:ascii="Times New Roman"/>
        </w:rPr>
        <w:t>A.7.2  施工人员在操作过程中应做好防护措施。</w:t>
      </w:r>
    </w:p>
    <w:p>
      <w:pPr>
        <w:pStyle w:val="77"/>
        <w:numPr>
          <w:ilvl w:val="0"/>
          <w:numId w:val="0"/>
        </w:numPr>
        <w:ind w:left="630" w:hanging="630" w:hangingChars="300"/>
        <w:rPr>
          <w:rFonts w:ascii="Times New Roman"/>
        </w:rPr>
      </w:pPr>
      <w:r>
        <w:rPr>
          <w:rFonts w:ascii="Times New Roman"/>
        </w:rPr>
        <w:t>A.7.3  进行低温冷冻处理前</w:t>
      </w:r>
      <w:r>
        <w:rPr>
          <w:rFonts w:hint="eastAsia" w:ascii="Times New Roman"/>
        </w:rPr>
        <w:t>，</w:t>
      </w:r>
      <w:r>
        <w:rPr>
          <w:rFonts w:ascii="Times New Roman"/>
        </w:rPr>
        <w:t>应检查帐幕或其他低温空间的气密性，冷冻过程应密切关注处理物和环境变化。</w:t>
      </w:r>
    </w:p>
    <w:p>
      <w:pPr>
        <w:pStyle w:val="77"/>
        <w:numPr>
          <w:ilvl w:val="0"/>
          <w:numId w:val="0"/>
        </w:numPr>
        <w:rPr>
          <w:rFonts w:ascii="Times New Roman"/>
        </w:rPr>
      </w:pPr>
      <w:r>
        <w:rPr>
          <w:rFonts w:ascii="Times New Roman"/>
        </w:rPr>
        <w:t>A.7.4  处理温度宜为-18 ℃，处理时长宜为4 h。</w:t>
      </w:r>
    </w:p>
    <w:p>
      <w:pPr>
        <w:pStyle w:val="55"/>
        <w:numPr>
          <w:ilvl w:val="0"/>
          <w:numId w:val="0"/>
        </w:numPr>
        <w:rPr>
          <w:rFonts w:ascii="Times New Roman"/>
        </w:rPr>
      </w:pPr>
      <w:r>
        <w:rPr>
          <w:rFonts w:ascii="Times New Roman"/>
        </w:rPr>
        <w:t>A.8  高温法</w:t>
      </w:r>
    </w:p>
    <w:p>
      <w:pPr>
        <w:pStyle w:val="77"/>
        <w:numPr>
          <w:ilvl w:val="0"/>
          <w:numId w:val="0"/>
        </w:numPr>
        <w:rPr>
          <w:rFonts w:ascii="Times New Roman"/>
        </w:rPr>
      </w:pPr>
      <w:r>
        <w:rPr>
          <w:rFonts w:ascii="Times New Roman"/>
        </w:rPr>
        <w:t>A.8.1  施工人员应受过相关技术培训，熟悉高温灭治白蚁技术，能够熟练操作有关加热的仪器设备。</w:t>
      </w:r>
    </w:p>
    <w:p>
      <w:pPr>
        <w:pStyle w:val="77"/>
        <w:numPr>
          <w:ilvl w:val="0"/>
          <w:numId w:val="0"/>
        </w:numPr>
        <w:rPr>
          <w:rFonts w:ascii="Times New Roman"/>
        </w:rPr>
      </w:pPr>
      <w:r>
        <w:rPr>
          <w:rFonts w:ascii="Times New Roman"/>
        </w:rPr>
        <w:t>A.8.2  施工员在操作过程中应做好防护措施。</w:t>
      </w:r>
    </w:p>
    <w:p>
      <w:pPr>
        <w:pStyle w:val="77"/>
        <w:numPr>
          <w:ilvl w:val="0"/>
          <w:numId w:val="0"/>
        </w:numPr>
        <w:ind w:left="630" w:hanging="630" w:hangingChars="300"/>
        <w:rPr>
          <w:rFonts w:ascii="Times New Roman"/>
        </w:rPr>
      </w:pPr>
      <w:r>
        <w:rPr>
          <w:rFonts w:ascii="Times New Roman"/>
        </w:rPr>
        <w:t>A.8.3  进行高温处理前</w:t>
      </w:r>
      <w:r>
        <w:rPr>
          <w:rFonts w:hint="eastAsia" w:ascii="Times New Roman"/>
        </w:rPr>
        <w:t>，</w:t>
      </w:r>
      <w:r>
        <w:rPr>
          <w:rFonts w:ascii="Times New Roman"/>
        </w:rPr>
        <w:t>应检查帐幕或其他加热空间的气密性，加热过程应密切关注处理物及环境变化。</w:t>
      </w:r>
    </w:p>
    <w:p>
      <w:pPr>
        <w:pStyle w:val="77"/>
        <w:numPr>
          <w:ilvl w:val="0"/>
          <w:numId w:val="0"/>
        </w:numPr>
        <w:rPr>
          <w:rFonts w:ascii="Times New Roman"/>
        </w:rPr>
      </w:pPr>
      <w:r>
        <w:rPr>
          <w:rFonts w:ascii="Times New Roman"/>
        </w:rPr>
        <w:t>A.8.4  处理温度宜为45 ℃-50 ℃，处理时长宜为1 h-2 h。</w:t>
      </w:r>
      <w:bookmarkStart w:id="262" w:name="_Toc74824825"/>
      <w:bookmarkStart w:id="263" w:name="_Toc76376510"/>
      <w:bookmarkStart w:id="264" w:name="_Toc88482938"/>
      <w:bookmarkStart w:id="265" w:name="_Toc84862654"/>
      <w:bookmarkStart w:id="266" w:name="_Toc83827838"/>
      <w:bookmarkStart w:id="267" w:name="_Toc97891366"/>
      <w:bookmarkStart w:id="268" w:name="_Toc82873096"/>
      <w:bookmarkStart w:id="269" w:name="_Toc114057890"/>
      <w:bookmarkStart w:id="270" w:name="_Toc80259998"/>
      <w:bookmarkStart w:id="271" w:name="_Toc97562510"/>
      <w:bookmarkStart w:id="272" w:name="_Toc83913393"/>
      <w:bookmarkStart w:id="273" w:name="_Toc83227355"/>
      <w:bookmarkStart w:id="274" w:name="_Toc92721376"/>
      <w:bookmarkStart w:id="275" w:name="_Toc98856910"/>
      <w:bookmarkStart w:id="276" w:name="_Toc114062160"/>
      <w:r>
        <w:rPr>
          <w:rFonts w:ascii="Times New Roman"/>
        </w:rPr>
        <w:br w:type="textWrapping"/>
      </w: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77"/>
        <w:numPr>
          <w:ilvl w:val="0"/>
          <w:numId w:val="0"/>
        </w:numPr>
        <w:rPr>
          <w:rFonts w:ascii="Times New Roman"/>
        </w:rPr>
      </w:pPr>
    </w:p>
    <w:p>
      <w:pPr>
        <w:pStyle w:val="98"/>
        <w:numPr>
          <w:ilvl w:val="0"/>
          <w:numId w:val="0"/>
        </w:numPr>
        <w:spacing w:before="0" w:after="0"/>
        <w:ind w:left="4112" w:firstLine="420" w:firstLineChars="200"/>
        <w:jc w:val="both"/>
        <w:rPr>
          <w:rFonts w:ascii="Times New Roman" w:hAnsi="Times New Roman"/>
        </w:rPr>
      </w:pPr>
      <w:r>
        <w:rPr>
          <w:rFonts w:ascii="Times New Roman" w:hAnsi="Times New Roman"/>
        </w:rPr>
        <w:t>附 录 B</w:t>
      </w:r>
    </w:p>
    <w:p>
      <w:pPr>
        <w:pStyle w:val="50"/>
        <w:jc w:val="center"/>
        <w:rPr>
          <w:rFonts w:ascii="Times New Roman" w:eastAsia="黑体"/>
        </w:rPr>
      </w:pPr>
      <w:r>
        <w:rPr>
          <w:rFonts w:ascii="Times New Roman" w:eastAsia="黑体"/>
        </w:rPr>
        <w:t>（规范性）</w:t>
      </w:r>
      <w:r>
        <w:rPr>
          <w:rFonts w:ascii="Times New Roman" w:eastAsia="黑体"/>
        </w:rPr>
        <w:br w:type="textWrapping"/>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rFonts w:ascii="Times New Roman" w:eastAsia="黑体"/>
        </w:rPr>
        <w:t xml:space="preserve">   房屋白蚁灭治表样式</w:t>
      </w:r>
    </w:p>
    <w:p>
      <w:pPr>
        <w:pStyle w:val="50"/>
        <w:ind w:firstLine="0" w:firstLineChars="0"/>
        <w:rPr>
          <w:rFonts w:ascii="Times New Roman"/>
        </w:rPr>
      </w:pPr>
      <w:r>
        <w:rPr>
          <w:rFonts w:ascii="Times New Roman"/>
        </w:rPr>
        <w:t>房屋白蚁灭治表样式见表B.1～B.6.</w:t>
      </w:r>
    </w:p>
    <w:p>
      <w:pPr>
        <w:pStyle w:val="101"/>
        <w:numPr>
          <w:ilvl w:val="0"/>
          <w:numId w:val="0"/>
        </w:numPr>
        <w:spacing w:before="156" w:after="156"/>
        <w:rPr>
          <w:rFonts w:ascii="Times New Roman" w:hAnsi="Times New Roman"/>
        </w:rPr>
      </w:pPr>
      <w:r>
        <w:rPr>
          <w:rFonts w:ascii="Times New Roman" w:hAnsi="Times New Roman"/>
          <w:kern w:val="0"/>
        </w:rPr>
        <w:t xml:space="preserve">表B.1  </w:t>
      </w:r>
      <w:r>
        <w:rPr>
          <w:rFonts w:ascii="Times New Roman" w:hAnsi="Times New Roman"/>
        </w:rPr>
        <w:t>房屋白蚁灭治蚁害调查表</w:t>
      </w:r>
    </w:p>
    <w:tbl>
      <w:tblPr>
        <w:tblStyle w:val="33"/>
        <w:tblW w:w="4999"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2222"/>
        <w:gridCol w:w="1273"/>
        <w:gridCol w:w="1003"/>
        <w:gridCol w:w="1066"/>
        <w:gridCol w:w="840"/>
        <w:gridCol w:w="8"/>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360" w:firstLineChars="200"/>
              <w:rPr>
                <w:rFonts w:ascii="Times New Roman" w:hAnsi="Times New Roman" w:cs="Times New Roman"/>
                <w:sz w:val="18"/>
                <w:szCs w:val="18"/>
              </w:rPr>
            </w:pPr>
            <w:r>
              <w:rPr>
                <w:rFonts w:ascii="Times New Roman" w:hAnsi="Times New Roman" w:cs="Times New Roman"/>
                <w:sz w:val="18"/>
                <w:szCs w:val="18"/>
                <w:lang w:bidi="ar"/>
              </w:rPr>
              <w:t>地址</w:t>
            </w:r>
          </w:p>
        </w:tc>
        <w:tc>
          <w:tcPr>
            <w:tcW w:w="3194" w:type="pct"/>
            <w:gridSpan w:val="6"/>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44"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概况</w:t>
            </w: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房屋联系人</w:t>
            </w:r>
          </w:p>
        </w:tc>
        <w:tc>
          <w:tcPr>
            <w:tcW w:w="1189"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cs="Times New Roman"/>
                <w:sz w:val="18"/>
                <w:szCs w:val="18"/>
              </w:rPr>
            </w:pPr>
          </w:p>
        </w:tc>
        <w:tc>
          <w:tcPr>
            <w:tcW w:w="996"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联系方式</w:t>
            </w:r>
          </w:p>
        </w:tc>
        <w:tc>
          <w:tcPr>
            <w:tcW w:w="1008"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名称/幢号/房号</w:t>
            </w:r>
          </w:p>
        </w:tc>
        <w:tc>
          <w:tcPr>
            <w:tcW w:w="1189"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cs="Times New Roman"/>
                <w:sz w:val="18"/>
                <w:szCs w:val="18"/>
              </w:rPr>
            </w:pPr>
          </w:p>
        </w:tc>
        <w:tc>
          <w:tcPr>
            <w:tcW w:w="1000"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建造年份（年）</w:t>
            </w:r>
          </w:p>
        </w:tc>
        <w:tc>
          <w:tcPr>
            <w:tcW w:w="1004"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结构类型</w:t>
            </w:r>
          </w:p>
        </w:tc>
        <w:tc>
          <w:tcPr>
            <w:tcW w:w="1189" w:type="pct"/>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lang w:bidi="ar"/>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木结构  </w:t>
            </w:r>
            <w:r>
              <w:rPr>
                <w:rFonts w:hint="eastAsia" w:ascii="Times New Roman" w:hAnsi="Times New Roman" w:cs="Times New Roman"/>
                <w:sz w:val="18"/>
                <w:szCs w:val="18"/>
                <w:lang w:bidi="ar"/>
              </w:rPr>
              <w:t>□</w:t>
            </w:r>
            <w:r>
              <w:rPr>
                <w:rFonts w:ascii="Times New Roman" w:hAnsi="Times New Roman" w:cs="Times New Roman"/>
                <w:sz w:val="18"/>
                <w:szCs w:val="18"/>
                <w:lang w:bidi="ar"/>
              </w:rPr>
              <w:t>砌</w:t>
            </w:r>
            <w:r>
              <w:rPr>
                <w:rFonts w:hint="eastAsia" w:ascii="Times New Roman" w:hAnsi="Times New Roman" w:cs="Times New Roman"/>
                <w:sz w:val="18"/>
                <w:szCs w:val="18"/>
                <w:lang w:bidi="ar"/>
              </w:rPr>
              <w:t>体</w:t>
            </w:r>
            <w:r>
              <w:rPr>
                <w:rFonts w:ascii="Times New Roman" w:hAnsi="Times New Roman" w:cs="Times New Roman"/>
                <w:sz w:val="18"/>
                <w:szCs w:val="18"/>
                <w:lang w:bidi="ar"/>
              </w:rPr>
              <w:t xml:space="preserve">结构  </w:t>
            </w:r>
          </w:p>
          <w:p>
            <w:pP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钢混结构</w:t>
            </w:r>
          </w:p>
        </w:tc>
        <w:tc>
          <w:tcPr>
            <w:tcW w:w="996"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建筑面积（m</w:t>
            </w:r>
            <w:r>
              <w:rPr>
                <w:rFonts w:ascii="Times New Roman" w:hAnsi="Times New Roman" w:cs="Times New Roman"/>
                <w:sz w:val="18"/>
                <w:szCs w:val="18"/>
                <w:vertAlign w:val="superscript"/>
                <w:lang w:bidi="ar"/>
              </w:rPr>
              <w:t>2</w:t>
            </w:r>
            <w:r>
              <w:rPr>
                <w:rFonts w:ascii="Times New Roman" w:hAnsi="Times New Roman" w:cs="Times New Roman"/>
                <w:sz w:val="18"/>
                <w:szCs w:val="18"/>
                <w:lang w:bidi="ar"/>
              </w:rPr>
              <w:t>）</w:t>
            </w:r>
          </w:p>
        </w:tc>
        <w:tc>
          <w:tcPr>
            <w:tcW w:w="1008"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白蚁预防史</w:t>
            </w:r>
          </w:p>
        </w:tc>
        <w:tc>
          <w:tcPr>
            <w:tcW w:w="1189"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无</w:t>
            </w:r>
          </w:p>
        </w:tc>
        <w:tc>
          <w:tcPr>
            <w:tcW w:w="1000"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预防时间</w:t>
            </w:r>
          </w:p>
        </w:tc>
        <w:tc>
          <w:tcPr>
            <w:tcW w:w="1004" w:type="pct"/>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白蚁危害史</w:t>
            </w:r>
          </w:p>
        </w:tc>
        <w:tc>
          <w:tcPr>
            <w:tcW w:w="3194" w:type="pct"/>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p>
          <w:p>
            <w:pPr>
              <w:spacing w:line="360" w:lineRule="auto"/>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44"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lang w:bidi="ar"/>
              </w:rPr>
            </w:pPr>
            <w:r>
              <w:rPr>
                <w:rFonts w:ascii="Times New Roman" w:hAnsi="Times New Roman" w:cs="Times New Roman"/>
                <w:sz w:val="18"/>
                <w:szCs w:val="18"/>
                <w:lang w:bidi="ar"/>
              </w:rPr>
              <w:t>白蚁危害</w:t>
            </w:r>
          </w:p>
          <w:p>
            <w:pPr>
              <w:jc w:val="center"/>
              <w:rPr>
                <w:rFonts w:ascii="Times New Roman" w:hAnsi="Times New Roman" w:cs="Times New Roman"/>
                <w:sz w:val="18"/>
                <w:szCs w:val="18"/>
              </w:rPr>
            </w:pPr>
            <w:r>
              <w:rPr>
                <w:rFonts w:ascii="Times New Roman" w:hAnsi="Times New Roman" w:cs="Times New Roman"/>
                <w:sz w:val="18"/>
                <w:szCs w:val="18"/>
                <w:lang w:bidi="ar"/>
              </w:rPr>
              <w:t>现状</w:t>
            </w: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有无白蚁危害</w:t>
            </w:r>
          </w:p>
        </w:tc>
        <w:tc>
          <w:tcPr>
            <w:tcW w:w="3194" w:type="pct"/>
            <w:gridSpan w:val="6"/>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无（如无，以下不填）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vMerge w:val="restart"/>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Times New Roman" w:hAnsi="Times New Roman" w:cs="Times New Roman"/>
                <w:sz w:val="18"/>
                <w:szCs w:val="18"/>
              </w:rPr>
            </w:pPr>
            <w:r>
              <w:rPr>
                <w:rFonts w:ascii="Times New Roman" w:hAnsi="Times New Roman" w:cs="Times New Roman"/>
                <w:sz w:val="18"/>
                <w:szCs w:val="18"/>
                <w:lang w:bidi="ar"/>
              </w:rPr>
              <w:t>房屋白蚁危害情况</w:t>
            </w:r>
          </w:p>
        </w:tc>
        <w:tc>
          <w:tcPr>
            <w:tcW w:w="3194" w:type="pct"/>
            <w:gridSpan w:val="6"/>
            <w:tcBorders>
              <w:top w:val="single" w:color="auto" w:sz="4" w:space="0"/>
              <w:left w:val="single" w:color="auto" w:sz="4" w:space="0"/>
              <w:bottom w:val="single" w:color="auto" w:sz="4" w:space="0"/>
              <w:right w:val="single" w:color="auto" w:sz="4" w:space="0"/>
            </w:tcBorders>
            <w:vAlign w:val="center"/>
          </w:tcPr>
          <w:p>
            <w:pPr>
              <w:spacing w:line="360" w:lineRule="atLeast"/>
              <w:ind w:left="900" w:hanging="900" w:hangingChars="500"/>
              <w:rPr>
                <w:rFonts w:ascii="Times New Roman" w:hAnsi="Times New Roman" w:cs="Times New Roman"/>
                <w:sz w:val="18"/>
                <w:szCs w:val="18"/>
                <w:lang w:bidi="ar"/>
              </w:rPr>
            </w:pPr>
            <w:r>
              <w:rPr>
                <w:rFonts w:ascii="Times New Roman" w:hAnsi="Times New Roman" w:cs="Times New Roman"/>
                <w:sz w:val="18"/>
                <w:szCs w:val="18"/>
                <w:lang w:bidi="ar"/>
              </w:rPr>
              <w:t>白蚁种类：</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乳白蚁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散白蚁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土白蚁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大白蚁  </w:t>
            </w:r>
          </w:p>
          <w:p>
            <w:pPr>
              <w:spacing w:line="360" w:lineRule="atLeast"/>
              <w:ind w:firstLine="900" w:firstLineChars="500"/>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楹白蚁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堆砂白蚁  </w:t>
            </w:r>
            <w:r>
              <w:rPr>
                <w:rFonts w:hint="eastAsia" w:ascii="Times New Roman" w:hAnsi="Times New Roman" w:cs="Times New Roman"/>
                <w:sz w:val="18"/>
                <w:szCs w:val="18"/>
                <w:lang w:bidi="ar"/>
              </w:rPr>
              <w:t>□</w:t>
            </w:r>
            <w:r>
              <w:rPr>
                <w:rFonts w:ascii="Times New Roman" w:hAnsi="Times New Roman" w:cs="Times New Roman"/>
                <w:sz w:val="18"/>
                <w:szCs w:val="18"/>
                <w:lang w:bidi="ar"/>
              </w:rPr>
              <w:t>其他：</w:t>
            </w:r>
            <w:r>
              <w:rPr>
                <w:rFonts w:ascii="Times New Roman" w:hAnsi="Times New Roman" w:cs="Times New Roman"/>
                <w:sz w:val="18"/>
                <w:szCs w:val="18"/>
                <w:u w:val="single"/>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3194" w:type="pct"/>
            <w:gridSpan w:val="6"/>
            <w:tcBorders>
              <w:top w:val="single" w:color="auto" w:sz="4" w:space="0"/>
              <w:left w:val="single" w:color="auto" w:sz="4" w:space="0"/>
              <w:bottom w:val="single" w:color="auto" w:sz="4" w:space="0"/>
              <w:right w:val="single" w:color="auto" w:sz="4" w:space="0"/>
            </w:tcBorders>
            <w:vAlign w:val="center"/>
          </w:tcPr>
          <w:p>
            <w:pPr>
              <w:spacing w:line="360" w:lineRule="atLeast"/>
              <w:rPr>
                <w:rFonts w:ascii="Times New Roman" w:hAnsi="Times New Roman" w:cs="Times New Roman"/>
                <w:sz w:val="18"/>
                <w:szCs w:val="18"/>
              </w:rPr>
            </w:pPr>
            <w:r>
              <w:rPr>
                <w:rFonts w:ascii="Times New Roman" w:hAnsi="Times New Roman" w:cs="Times New Roman"/>
                <w:sz w:val="18"/>
                <w:szCs w:val="18"/>
                <w:lang w:bidi="ar"/>
              </w:rPr>
              <w:t>危害情况：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trPr>
        <w:tc>
          <w:tcPr>
            <w:tcW w:w="64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161" w:type="pct"/>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Times New Roman" w:hAnsi="Times New Roman" w:cs="Times New Roman"/>
                <w:sz w:val="18"/>
                <w:szCs w:val="18"/>
              </w:rPr>
            </w:pPr>
            <w:r>
              <w:rPr>
                <w:rFonts w:ascii="Times New Roman" w:hAnsi="Times New Roman" w:cs="Times New Roman"/>
                <w:sz w:val="18"/>
                <w:szCs w:val="18"/>
                <w:lang w:bidi="ar"/>
              </w:rPr>
              <w:t>周边环境白蚁危害情况</w:t>
            </w:r>
          </w:p>
        </w:tc>
        <w:tc>
          <w:tcPr>
            <w:tcW w:w="3194" w:type="pct"/>
            <w:gridSpan w:val="6"/>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cs="Times New Roman"/>
                <w:sz w:val="18"/>
                <w:szCs w:val="18"/>
              </w:rPr>
            </w:pPr>
          </w:p>
          <w:p>
            <w:pPr>
              <w:spacing w:line="360" w:lineRule="auto"/>
              <w:rPr>
                <w:rFonts w:ascii="Times New Roman" w:hAnsi="Times New Roman" w:cs="Times New Roman"/>
                <w:sz w:val="18"/>
                <w:szCs w:val="18"/>
              </w:rPr>
            </w:pPr>
          </w:p>
          <w:p>
            <w:pPr>
              <w:spacing w:line="360" w:lineRule="auto"/>
              <w:rPr>
                <w:rFonts w:ascii="Times New Roman" w:hAnsi="Times New Roman" w:cs="Times New Roman"/>
                <w:sz w:val="18"/>
                <w:szCs w:val="18"/>
              </w:rPr>
            </w:pPr>
          </w:p>
          <w:p>
            <w:pPr>
              <w:spacing w:line="360" w:lineRule="auto"/>
              <w:rPr>
                <w:rFonts w:ascii="Times New Roman" w:hAnsi="Times New Roman" w:cs="Times New Roman"/>
                <w:sz w:val="18"/>
                <w:szCs w:val="18"/>
              </w:rPr>
            </w:pPr>
          </w:p>
          <w:p>
            <w:pPr>
              <w:spacing w:line="360" w:lineRule="auto"/>
              <w:rPr>
                <w:rFonts w:ascii="Times New Roman" w:hAnsi="Times New Roman" w:cs="Times New Roman"/>
                <w:sz w:val="18"/>
                <w:szCs w:val="18"/>
              </w:rPr>
            </w:pPr>
          </w:p>
          <w:p>
            <w:pPr>
              <w:spacing w:line="360" w:lineRule="auto"/>
              <w:rPr>
                <w:rFonts w:ascii="Times New Roman" w:hAnsi="Times New Roman" w:cs="Times New Roman"/>
                <w:sz w:val="18"/>
                <w:szCs w:val="18"/>
              </w:rPr>
            </w:pPr>
          </w:p>
          <w:p>
            <w:pPr>
              <w:spacing w:line="360" w:lineRule="auto"/>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lang w:bidi="ar"/>
              </w:rPr>
            </w:pPr>
            <w:r>
              <w:rPr>
                <w:rFonts w:ascii="Times New Roman" w:hAnsi="Times New Roman" w:cs="Times New Roman"/>
                <w:sz w:val="18"/>
                <w:szCs w:val="18"/>
                <w:lang w:bidi="ar"/>
              </w:rPr>
              <w:t>白蚁危害</w:t>
            </w:r>
          </w:p>
          <w:p>
            <w:pPr>
              <w:jc w:val="center"/>
              <w:rPr>
                <w:rFonts w:ascii="Times New Roman" w:hAnsi="Times New Roman" w:cs="Times New Roman"/>
                <w:sz w:val="18"/>
                <w:szCs w:val="18"/>
              </w:rPr>
            </w:pPr>
            <w:r>
              <w:rPr>
                <w:rFonts w:ascii="Times New Roman" w:hAnsi="Times New Roman" w:cs="Times New Roman"/>
                <w:sz w:val="18"/>
                <w:szCs w:val="18"/>
                <w:lang w:bidi="ar"/>
              </w:rPr>
              <w:t>程度</w:t>
            </w:r>
          </w:p>
        </w:tc>
        <w:tc>
          <w:tcPr>
            <w:tcW w:w="4355" w:type="pct"/>
            <w:gridSpan w:val="7"/>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Ⅰ级（</w:t>
            </w:r>
            <w:r>
              <w:rPr>
                <w:rFonts w:hint="eastAsia" w:ascii="Times New Roman" w:hAnsi="Times New Roman" w:cs="Times New Roman"/>
                <w:sz w:val="18"/>
                <w:szCs w:val="18"/>
                <w:lang w:bidi="ar"/>
              </w:rPr>
              <w:t>轻微危害或存在白蚁危害潜在风险</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w:t>
            </w:r>
            <w:r>
              <w:rPr>
                <w:rFonts w:ascii="Times New Roman" w:hAnsi="Times New Roman" w:cs="Times New Roman"/>
                <w:sz w:val="18"/>
                <w:szCs w:val="18"/>
                <w:lang w:bidi="ar"/>
              </w:rPr>
              <w:t>Ⅱ级（</w:t>
            </w:r>
            <w:r>
              <w:rPr>
                <w:rFonts w:hint="eastAsia" w:ascii="Times New Roman" w:hAnsi="Times New Roman" w:cs="Times New Roman"/>
                <w:sz w:val="18"/>
                <w:szCs w:val="18"/>
                <w:lang w:bidi="ar"/>
              </w:rPr>
              <w:t>中度危害</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w:t>
            </w:r>
            <w:r>
              <w:rPr>
                <w:rFonts w:ascii="Times New Roman" w:hAnsi="Times New Roman" w:cs="Times New Roman"/>
                <w:sz w:val="18"/>
                <w:szCs w:val="18"/>
                <w:lang w:bidi="ar"/>
              </w:rPr>
              <w:t>Ⅲ级（严重</w:t>
            </w:r>
            <w:r>
              <w:rPr>
                <w:rFonts w:hint="eastAsia" w:ascii="Times New Roman" w:hAnsi="Times New Roman" w:cs="Times New Roman"/>
                <w:sz w:val="18"/>
                <w:szCs w:val="18"/>
                <w:lang w:bidi="ar"/>
              </w:rPr>
              <w:t>危害</w:t>
            </w:r>
            <w:r>
              <w:rPr>
                <w:rFonts w:ascii="Times New Roman" w:hAnsi="Times New Roman" w:cs="Times New Roman"/>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644" w:type="pct"/>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Times New Roman" w:hAnsi="Times New Roman" w:cs="Times New Roman"/>
                <w:sz w:val="18"/>
                <w:szCs w:val="18"/>
              </w:rPr>
            </w:pPr>
            <w:r>
              <w:rPr>
                <w:rFonts w:ascii="Times New Roman" w:hAnsi="Times New Roman" w:cs="Times New Roman"/>
                <w:sz w:val="18"/>
                <w:szCs w:val="18"/>
                <w:lang w:bidi="ar"/>
              </w:rPr>
              <w:t>调查人员</w:t>
            </w:r>
          </w:p>
        </w:tc>
        <w:tc>
          <w:tcPr>
            <w:tcW w:w="1826"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p>
        </w:tc>
        <w:tc>
          <w:tcPr>
            <w:tcW w:w="1081" w:type="pct"/>
            <w:gridSpan w:val="2"/>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ascii="Times New Roman" w:hAnsi="Times New Roman" w:cs="Times New Roman"/>
                <w:sz w:val="18"/>
                <w:szCs w:val="18"/>
              </w:rPr>
            </w:pPr>
            <w:r>
              <w:rPr>
                <w:rFonts w:ascii="Times New Roman" w:hAnsi="Times New Roman" w:cs="Times New Roman"/>
                <w:sz w:val="18"/>
                <w:szCs w:val="18"/>
                <w:lang w:bidi="ar"/>
              </w:rPr>
              <w:t>调查时间</w:t>
            </w:r>
          </w:p>
        </w:tc>
        <w:tc>
          <w:tcPr>
            <w:tcW w:w="1447"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lang w:bidi="ar"/>
              </w:rPr>
              <w:t>备注</w:t>
            </w:r>
          </w:p>
        </w:tc>
        <w:tc>
          <w:tcPr>
            <w:tcW w:w="4355" w:type="pct"/>
            <w:gridSpan w:val="7"/>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cs="Times New Roman"/>
                <w:sz w:val="18"/>
                <w:szCs w:val="18"/>
              </w:rPr>
            </w:pPr>
          </w:p>
          <w:p>
            <w:pPr>
              <w:spacing w:line="360" w:lineRule="auto"/>
              <w:jc w:val="center"/>
              <w:rPr>
                <w:rFonts w:ascii="Times New Roman" w:hAnsi="Times New Roman" w:cs="Times New Roman"/>
                <w:sz w:val="18"/>
                <w:szCs w:val="18"/>
              </w:rPr>
            </w:pPr>
          </w:p>
        </w:tc>
      </w:tr>
    </w:tbl>
    <w:p>
      <w:pPr>
        <w:pStyle w:val="50"/>
        <w:rPr>
          <w:rFonts w:ascii="Times New Roman"/>
        </w:rPr>
      </w:pPr>
    </w:p>
    <w:p>
      <w:pPr>
        <w:pStyle w:val="101"/>
        <w:numPr>
          <w:ilvl w:val="0"/>
          <w:numId w:val="0"/>
        </w:numPr>
        <w:spacing w:before="156" w:after="156"/>
        <w:rPr>
          <w:rFonts w:ascii="Times New Roman" w:hAnsi="Times New Roman"/>
          <w:kern w:val="0"/>
        </w:rPr>
      </w:pPr>
      <w:r>
        <w:rPr>
          <w:rFonts w:ascii="Times New Roman" w:hAnsi="Times New Roman"/>
        </w:rPr>
        <w:t xml:space="preserve">      表B.2</w:t>
      </w:r>
      <w:r>
        <w:rPr>
          <w:rFonts w:ascii="Times New Roman" w:hAnsi="Times New Roman"/>
          <w:kern w:val="0"/>
        </w:rPr>
        <w:t>白蚁局部控制施工记录表</w:t>
      </w:r>
    </w:p>
    <w:tbl>
      <w:tblPr>
        <w:tblStyle w:val="33"/>
        <w:tblW w:w="49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1293"/>
        <w:gridCol w:w="939"/>
        <w:gridCol w:w="2040"/>
        <w:gridCol w:w="2029"/>
        <w:gridCol w:w="59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57" w:type="pct"/>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0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地址</w:t>
            </w:r>
          </w:p>
        </w:tc>
        <w:tc>
          <w:tcPr>
            <w:tcW w:w="1102" w:type="pct"/>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联系人</w:t>
            </w:r>
          </w:p>
        </w:tc>
        <w:tc>
          <w:tcPr>
            <w:tcW w:w="2257" w:type="pct"/>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0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联系电话</w:t>
            </w:r>
          </w:p>
        </w:tc>
        <w:tc>
          <w:tcPr>
            <w:tcW w:w="1102" w:type="pct"/>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施工日期</w:t>
            </w:r>
          </w:p>
        </w:tc>
        <w:tc>
          <w:tcPr>
            <w:tcW w:w="2257" w:type="pct"/>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0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危害的白蚁种类</w:t>
            </w:r>
          </w:p>
        </w:tc>
        <w:tc>
          <w:tcPr>
            <w:tcW w:w="1102" w:type="pct"/>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施工人员</w:t>
            </w:r>
          </w:p>
        </w:tc>
        <w:tc>
          <w:tcPr>
            <w:tcW w:w="4430" w:type="pct"/>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技术措施</w:t>
            </w:r>
          </w:p>
        </w:tc>
        <w:tc>
          <w:tcPr>
            <w:tcW w:w="4430" w:type="pct"/>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r>
              <w:rPr>
                <w:rFonts w:hint="eastAsia" w:ascii="Times New Roman" w:hAnsi="Times New Roman" w:cs="Times New Roman"/>
                <w:sz w:val="18"/>
                <w:szCs w:val="18"/>
                <w:lang w:bidi="ar"/>
              </w:rPr>
              <w:t>□液剂药杀法</w:t>
            </w:r>
            <w:r>
              <w:rPr>
                <w:rFonts w:ascii="Times New Roman" w:hAnsi="Times New Roman" w:cs="Times New Roman"/>
                <w:sz w:val="18"/>
                <w:szCs w:val="18"/>
              </w:rPr>
              <w:t xml:space="preserve">   </w:t>
            </w:r>
            <w:r>
              <w:rPr>
                <w:rFonts w:hint="eastAsia" w:ascii="Times New Roman" w:hAnsi="Times New Roman" w:cs="Times New Roman"/>
                <w:sz w:val="18"/>
                <w:szCs w:val="18"/>
                <w:lang w:bidi="ar"/>
              </w:rPr>
              <w:t>□</w:t>
            </w:r>
            <w:r>
              <w:rPr>
                <w:rFonts w:ascii="Times New Roman" w:hAnsi="Times New Roman" w:cs="Times New Roman"/>
                <w:sz w:val="18"/>
                <w:szCs w:val="18"/>
              </w:rPr>
              <w:t>粉剂</w:t>
            </w:r>
            <w:r>
              <w:rPr>
                <w:rFonts w:hint="eastAsia" w:ascii="Times New Roman" w:hAnsi="Times New Roman" w:cs="Times New Roman"/>
                <w:sz w:val="18"/>
                <w:szCs w:val="18"/>
              </w:rPr>
              <w:t>药杀</w:t>
            </w:r>
            <w:r>
              <w:rPr>
                <w:rFonts w:ascii="Times New Roman" w:hAnsi="Times New Roman" w:cs="Times New Roman"/>
                <w:sz w:val="18"/>
                <w:szCs w:val="18"/>
              </w:rPr>
              <w:t xml:space="preserve">法   </w:t>
            </w:r>
            <w:r>
              <w:rPr>
                <w:rFonts w:hint="eastAsia" w:ascii="Times New Roman" w:hAnsi="Times New Roman" w:cs="Times New Roman"/>
                <w:sz w:val="18"/>
                <w:szCs w:val="18"/>
                <w:lang w:bidi="ar"/>
              </w:rPr>
              <w:t>□诱杀</w:t>
            </w:r>
            <w:r>
              <w:rPr>
                <w:rFonts w:ascii="Times New Roman" w:hAnsi="Times New Roman" w:cs="Times New Roman"/>
                <w:sz w:val="18"/>
                <w:szCs w:val="18"/>
              </w:rPr>
              <w:t>法</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hint="eastAsia" w:ascii="Times New Roman" w:hAnsi="Times New Roman" w:cs="Times New Roman"/>
                <w:sz w:val="18"/>
                <w:szCs w:val="18"/>
                <w:lang w:bidi="ar"/>
              </w:rPr>
              <w:t>□挖巢法</w:t>
            </w:r>
          </w:p>
          <w:p>
            <w:pPr>
              <w:rPr>
                <w:rFonts w:ascii="Times New Roman" w:hAnsi="Times New Roman" w:cs="Times New Roman"/>
                <w:sz w:val="18"/>
                <w:szCs w:val="18"/>
              </w:rPr>
            </w:pPr>
            <w:r>
              <w:rPr>
                <w:rFonts w:hint="eastAsia" w:ascii="Times New Roman" w:hAnsi="Times New Roman" w:cs="Times New Roman"/>
                <w:sz w:val="18"/>
                <w:szCs w:val="18"/>
                <w:lang w:bidi="ar"/>
              </w:rPr>
              <w:t>□</w:t>
            </w:r>
            <w:r>
              <w:rPr>
                <w:rFonts w:hint="eastAsia" w:ascii="Times New Roman" w:hAnsi="Times New Roman" w:cs="Times New Roman"/>
                <w:sz w:val="18"/>
                <w:szCs w:val="18"/>
              </w:rPr>
              <w:t>熏蒸</w:t>
            </w:r>
            <w:r>
              <w:rPr>
                <w:rFonts w:ascii="Times New Roman" w:hAnsi="Times New Roman" w:cs="Times New Roman"/>
                <w:sz w:val="18"/>
                <w:szCs w:val="18"/>
              </w:rPr>
              <w:t xml:space="preserve">法       </w:t>
            </w:r>
            <w:r>
              <w:rPr>
                <w:rFonts w:hint="eastAsia" w:ascii="Times New Roman" w:hAnsi="Times New Roman" w:cs="Times New Roman"/>
                <w:sz w:val="18"/>
                <w:szCs w:val="18"/>
                <w:lang w:bidi="ar"/>
              </w:rPr>
              <w:t>□冷冻法</w:t>
            </w:r>
            <w:r>
              <w:rPr>
                <w:rFonts w:ascii="Times New Roman" w:hAnsi="Times New Roman" w:cs="Times New Roman"/>
                <w:sz w:val="18"/>
                <w:szCs w:val="18"/>
              </w:rPr>
              <w:t xml:space="preserve">       </w:t>
            </w:r>
            <w:r>
              <w:rPr>
                <w:rFonts w:hint="eastAsia" w:ascii="Times New Roman" w:hAnsi="Times New Roman" w:cs="Times New Roman"/>
                <w:sz w:val="18"/>
                <w:szCs w:val="18"/>
                <w:lang w:bidi="ar"/>
              </w:rPr>
              <w:t>□高温</w:t>
            </w:r>
            <w:r>
              <w:rPr>
                <w:rFonts w:ascii="Times New Roman" w:hAnsi="Times New Roman" w:cs="Times New Roman"/>
                <w:sz w:val="18"/>
                <w:szCs w:val="18"/>
              </w:rPr>
              <w:t>法</w:t>
            </w:r>
            <w:r>
              <w:rPr>
                <w:rFonts w:hint="eastAsia" w:ascii="Times New Roman" w:hAnsi="Times New Roman" w:cs="Times New Roman"/>
                <w:sz w:val="18"/>
                <w:szCs w:val="18"/>
                <w:lang w:bidi="ar"/>
              </w:rPr>
              <w:t xml:space="preserve"> </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w:t>
            </w:r>
            <w:r>
              <w:rPr>
                <w:rFonts w:ascii="Times New Roman" w:hAnsi="Times New Roman" w:cs="Times New Roman"/>
                <w:sz w:val="18"/>
                <w:szCs w:val="18"/>
              </w:rPr>
              <w:t>监测控制</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w:t>
            </w:r>
            <w:r>
              <w:rPr>
                <w:rFonts w:ascii="Times New Roman" w:hAnsi="Times New Roman" w:cs="Times New Roman"/>
                <w:sz w:val="18"/>
                <w:szCs w:val="18"/>
              </w:rPr>
              <w:t>其</w:t>
            </w:r>
            <w:r>
              <w:rPr>
                <w:rFonts w:hint="eastAsia" w:ascii="Times New Roman" w:hAnsi="Times New Roman" w:cs="Times New Roman"/>
                <w:sz w:val="18"/>
                <w:szCs w:val="18"/>
              </w:rPr>
              <w:t>他</w:t>
            </w:r>
            <w:r>
              <w:rPr>
                <w:rFonts w:ascii="Times New Roman" w:hAnsi="Times New Roman" w:cs="Times New Roman"/>
                <w:sz w:val="18"/>
                <w:szCs w:val="18"/>
              </w:rPr>
              <w:t>：</w:t>
            </w:r>
            <w:r>
              <w:rPr>
                <w:rFonts w:hint="eastAsia" w:ascii="Times New Roman" w:hAnsi="Times New Roman" w:cs="Times New Roman"/>
                <w:sz w:val="18"/>
                <w:szCs w:val="18"/>
                <w:u w:val="single"/>
              </w:rPr>
              <w:t xml:space="preserve"> </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70"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药</w:t>
            </w:r>
            <w:r>
              <w:rPr>
                <w:rFonts w:hint="eastAsia" w:ascii="Times New Roman" w:hAnsi="Times New Roman" w:cs="Times New Roman"/>
                <w:sz w:val="18"/>
                <w:szCs w:val="18"/>
              </w:rPr>
              <w:t xml:space="preserve"> </w:t>
            </w:r>
            <w:r>
              <w:rPr>
                <w:rFonts w:ascii="Times New Roman" w:hAnsi="Times New Roman" w:cs="Times New Roman"/>
                <w:sz w:val="18"/>
                <w:szCs w:val="18"/>
              </w:rPr>
              <w:t>械</w:t>
            </w: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化学药剂</w:t>
            </w:r>
          </w:p>
        </w:tc>
        <w:tc>
          <w:tcPr>
            <w:tcW w:w="49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名称</w:t>
            </w:r>
          </w:p>
        </w:tc>
        <w:tc>
          <w:tcPr>
            <w:tcW w:w="1077"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388"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数量kg（或L）</w:t>
            </w:r>
          </w:p>
        </w:tc>
        <w:tc>
          <w:tcPr>
            <w:tcW w:w="785"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70"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监测装置</w:t>
            </w:r>
          </w:p>
        </w:tc>
        <w:tc>
          <w:tcPr>
            <w:tcW w:w="49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名称</w:t>
            </w:r>
          </w:p>
        </w:tc>
        <w:tc>
          <w:tcPr>
            <w:tcW w:w="1077"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388"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数量（套）</w:t>
            </w:r>
          </w:p>
        </w:tc>
        <w:tc>
          <w:tcPr>
            <w:tcW w:w="785"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70"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其</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他</w:t>
            </w:r>
          </w:p>
        </w:tc>
        <w:tc>
          <w:tcPr>
            <w:tcW w:w="49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名称</w:t>
            </w:r>
          </w:p>
        </w:tc>
        <w:tc>
          <w:tcPr>
            <w:tcW w:w="1077"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388"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数</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量</w:t>
            </w:r>
          </w:p>
        </w:tc>
        <w:tc>
          <w:tcPr>
            <w:tcW w:w="785" w:type="pc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83"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r>
              <w:rPr>
                <w:rFonts w:ascii="Times New Roman" w:hAnsi="Times New Roman" w:cs="Times New Roman"/>
                <w:sz w:val="18"/>
                <w:szCs w:val="18"/>
              </w:rPr>
              <w:t>危害部位描述：</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r>
              <w:rPr>
                <w:rFonts w:ascii="Times New Roman" w:hAnsi="Times New Roman" w:cs="Times New Roman"/>
                <w:sz w:val="18"/>
                <w:szCs w:val="18"/>
              </w:rPr>
              <w:t>处理过程简要描述：（数量、施药和安装部位等）</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r>
              <w:rPr>
                <w:rFonts w:ascii="Times New Roman" w:hAnsi="Times New Roman" w:cs="Times New Roman"/>
                <w:sz w:val="18"/>
                <w:szCs w:val="18"/>
              </w:rPr>
              <w:t>本住户／单位对上述《</w:t>
            </w:r>
            <w:r>
              <w:rPr>
                <w:rFonts w:hint="eastAsia" w:ascii="Times New Roman" w:hAnsi="Times New Roman" w:cs="Times New Roman"/>
                <w:sz w:val="18"/>
                <w:szCs w:val="18"/>
              </w:rPr>
              <w:t>白蚁局部控制</w:t>
            </w:r>
            <w:r>
              <w:rPr>
                <w:rFonts w:ascii="Times New Roman" w:hAnsi="Times New Roman" w:cs="Times New Roman"/>
                <w:sz w:val="18"/>
                <w:szCs w:val="18"/>
              </w:rPr>
              <w:t xml:space="preserve">施工记录表》之内容无异议，有关安全及注意事项已知晓。      </w:t>
            </w:r>
          </w:p>
          <w:p>
            <w:pPr>
              <w:rPr>
                <w:rFonts w:ascii="Times New Roman" w:hAnsi="Times New Roman" w:cs="Times New Roman"/>
                <w:sz w:val="18"/>
                <w:szCs w:val="18"/>
              </w:rPr>
            </w:pPr>
            <w:r>
              <w:rPr>
                <w:rFonts w:ascii="Times New Roman" w:hAnsi="Times New Roman" w:cs="Times New Roman"/>
                <w:sz w:val="18"/>
                <w:szCs w:val="18"/>
              </w:rPr>
              <w:t>客户满意度调查：</w:t>
            </w:r>
          </w:p>
          <w:p>
            <w:pPr>
              <w:rPr>
                <w:rFonts w:ascii="Times New Roman" w:hAnsi="Times New Roman" w:cs="Times New Roman"/>
                <w:sz w:val="18"/>
                <w:szCs w:val="18"/>
              </w:rPr>
            </w:pPr>
            <w:r>
              <w:rPr>
                <w:rFonts w:ascii="Times New Roman" w:hAnsi="Times New Roman" w:cs="Times New Roman"/>
                <w:sz w:val="18"/>
                <w:szCs w:val="18"/>
              </w:rPr>
              <w:t>满意</w:t>
            </w:r>
            <w:r>
              <w:rPr>
                <w:rFonts w:hint="eastAsia" w:ascii="Times New Roman" w:hAnsi="Times New Roman" w:cs="Times New Roman"/>
                <w:sz w:val="18"/>
                <w:szCs w:val="18"/>
                <w:lang w:bidi="ar"/>
              </w:rPr>
              <w:t>□</w:t>
            </w:r>
            <w:r>
              <w:rPr>
                <w:rFonts w:ascii="Times New Roman" w:hAnsi="Times New Roman" w:cs="Times New Roman"/>
                <w:sz w:val="18"/>
                <w:szCs w:val="18"/>
              </w:rPr>
              <w:t xml:space="preserve">        一般</w:t>
            </w:r>
            <w:r>
              <w:rPr>
                <w:rFonts w:hint="eastAsia" w:ascii="Times New Roman" w:hAnsi="Times New Roman" w:cs="Times New Roman"/>
                <w:sz w:val="18"/>
                <w:szCs w:val="18"/>
                <w:lang w:bidi="ar"/>
              </w:rPr>
              <w:t>□</w:t>
            </w:r>
            <w:r>
              <w:rPr>
                <w:rFonts w:ascii="Times New Roman" w:hAnsi="Times New Roman" w:cs="Times New Roman"/>
                <w:sz w:val="18"/>
                <w:szCs w:val="18"/>
              </w:rPr>
              <w:t xml:space="preserve">        不满意</w:t>
            </w:r>
            <w:r>
              <w:rPr>
                <w:rFonts w:hint="eastAsia" w:ascii="Times New Roman" w:hAnsi="Times New Roman" w:cs="Times New Roman"/>
                <w:sz w:val="18"/>
                <w:szCs w:val="18"/>
                <w:lang w:bidi="ar"/>
              </w:rPr>
              <w:t>□</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 xml:space="preserve">住户/单位经办人签字：        </w:t>
            </w: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 xml:space="preserve">现场处理负责人签字：  </w:t>
            </w:r>
            <w:r>
              <w:rPr>
                <w:rFonts w:ascii="Times New Roman" w:hAnsi="Times New Roman" w:cs="Times New Roman"/>
                <w:sz w:val="18"/>
                <w:szCs w:val="18"/>
              </w:rPr>
              <w:tab/>
            </w:r>
            <w:r>
              <w:rPr>
                <w:rFonts w:ascii="Times New Roman" w:hAnsi="Times New Roman" w:cs="Times New Roman"/>
                <w:sz w:val="18"/>
                <w:szCs w:val="18"/>
              </w:rPr>
              <w:t xml:space="preserve">     </w:t>
            </w:r>
          </w:p>
        </w:tc>
      </w:tr>
    </w:tbl>
    <w:p>
      <w:pPr>
        <w:pStyle w:val="101"/>
        <w:numPr>
          <w:ilvl w:val="0"/>
          <w:numId w:val="0"/>
        </w:numPr>
        <w:spacing w:before="156" w:after="156"/>
        <w:rPr>
          <w:rFonts w:ascii="Times New Roman" w:hAnsi="Times New Roman"/>
        </w:rPr>
      </w:pPr>
      <w:r>
        <w:rPr>
          <w:rFonts w:ascii="Times New Roman" w:hAnsi="Times New Roman"/>
        </w:rPr>
        <w:t>表B.3 白蚁区域综合治理施工方案表</w:t>
      </w:r>
    </w:p>
    <w:tbl>
      <w:tblPr>
        <w:tblStyle w:val="33"/>
        <w:tblW w:w="4999"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1"/>
        <w:gridCol w:w="3594"/>
        <w:gridCol w:w="1307"/>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项目地址</w:t>
            </w:r>
          </w:p>
        </w:tc>
        <w:tc>
          <w:tcPr>
            <w:tcW w:w="4064"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房屋联系人</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联系方式</w:t>
            </w:r>
          </w:p>
        </w:tc>
        <w:tc>
          <w:tcPr>
            <w:tcW w:w="150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施工联系人</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联系方式</w:t>
            </w:r>
          </w:p>
        </w:tc>
        <w:tc>
          <w:tcPr>
            <w:tcW w:w="150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房屋结构</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建筑面积</w:t>
            </w:r>
          </w:p>
        </w:tc>
        <w:tc>
          <w:tcPr>
            <w:tcW w:w="1503" w:type="pct"/>
            <w:tcBorders>
              <w:top w:val="single" w:color="auto" w:sz="4" w:space="0"/>
              <w:left w:val="single" w:color="auto" w:sz="4" w:space="0"/>
              <w:bottom w:val="single" w:color="auto" w:sz="4" w:space="0"/>
              <w:right w:val="single" w:color="auto" w:sz="4" w:space="0"/>
            </w:tcBorders>
            <w:vAlign w:val="center"/>
          </w:tcPr>
          <w:p>
            <w:pPr>
              <w:jc w:val="right"/>
              <w:rPr>
                <w:rFonts w:ascii="Times New Roman" w:hAnsi="Times New Roman" w:cs="Times New Roman"/>
                <w:sz w:val="18"/>
                <w:szCs w:val="18"/>
              </w:rPr>
            </w:pPr>
            <w:r>
              <w:rPr>
                <w:rFonts w:ascii="Times New Roman" w:hAnsi="Times New Roman" w:cs="Times New Roman"/>
                <w:sz w:val="18"/>
                <w:szCs w:val="18"/>
                <w:lang w:bidi="ar"/>
              </w:rPr>
              <w:t>m</w:t>
            </w:r>
            <w:r>
              <w:rPr>
                <w:rFonts w:ascii="Times New Roman" w:hAnsi="Times New Roman" w:cs="Times New Roman"/>
                <w:sz w:val="18"/>
                <w:szCs w:val="18"/>
                <w:vertAlign w:val="superscript"/>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药剂名称</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用药量</w:t>
            </w:r>
          </w:p>
        </w:tc>
        <w:tc>
          <w:tcPr>
            <w:tcW w:w="150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监测装置</w:t>
            </w:r>
          </w:p>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名称</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装置数量</w:t>
            </w:r>
          </w:p>
        </w:tc>
        <w:tc>
          <w:tcPr>
            <w:tcW w:w="150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其</w:t>
            </w:r>
            <w:r>
              <w:rPr>
                <w:rFonts w:hint="eastAsia" w:ascii="Times New Roman" w:hAnsi="Times New Roman" w:cs="Times New Roman"/>
                <w:sz w:val="18"/>
                <w:szCs w:val="18"/>
                <w:lang w:bidi="ar"/>
              </w:rPr>
              <w:t>它</w:t>
            </w:r>
            <w:r>
              <w:rPr>
                <w:rFonts w:ascii="Times New Roman" w:hAnsi="Times New Roman" w:cs="Times New Roman"/>
                <w:sz w:val="18"/>
                <w:szCs w:val="18"/>
                <w:lang w:bidi="ar"/>
              </w:rPr>
              <w:t>药剂</w:t>
            </w:r>
          </w:p>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及设备</w:t>
            </w:r>
          </w:p>
        </w:tc>
        <w:tc>
          <w:tcPr>
            <w:tcW w:w="4064" w:type="pct"/>
            <w:gridSpan w:val="3"/>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7" w:hRule="atLeast"/>
        </w:trPr>
        <w:tc>
          <w:tcPr>
            <w:tcW w:w="5000" w:type="pct"/>
            <w:gridSpan w:val="4"/>
            <w:tcBorders>
              <w:top w:val="single" w:color="auto" w:sz="4" w:space="0"/>
              <w:left w:val="single" w:color="auto" w:sz="4" w:space="0"/>
              <w:bottom w:val="single" w:color="auto" w:sz="4" w:space="0"/>
              <w:right w:val="single" w:color="auto" w:sz="4" w:space="0"/>
            </w:tcBorders>
          </w:tcPr>
          <w:p>
            <w:pPr>
              <w:ind w:firstLine="360" w:firstLineChars="200"/>
              <w:rPr>
                <w:rFonts w:ascii="Times New Roman" w:hAnsi="Times New Roman" w:cs="Times New Roman"/>
                <w:sz w:val="18"/>
                <w:szCs w:val="18"/>
              </w:rPr>
            </w:pPr>
            <w:r>
              <w:rPr>
                <w:rFonts w:ascii="Times New Roman" w:hAnsi="Times New Roman" w:cs="Times New Roman"/>
                <w:sz w:val="18"/>
                <w:szCs w:val="18"/>
                <w:lang w:bidi="ar"/>
              </w:rPr>
              <w:t>施工方案：</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r>
              <w:rPr>
                <w:rFonts w:ascii="Times New Roman" w:hAnsi="Times New Roman" w:cs="Times New Roman"/>
                <w:sz w:val="18"/>
                <w:szCs w:val="18"/>
                <w:lang w:bidi="ar"/>
              </w:rPr>
              <w:t>编制人：</w:t>
            </w:r>
          </w:p>
          <w:p>
            <w:pPr>
              <w:jc w:val="right"/>
              <w:rPr>
                <w:rFonts w:ascii="Times New Roman" w:hAnsi="Times New Roman" w:cs="Times New Roman"/>
                <w:sz w:val="18"/>
                <w:szCs w:val="18"/>
              </w:rPr>
            </w:pPr>
            <w:r>
              <w:rPr>
                <w:rFonts w:ascii="Times New Roman" w:hAnsi="Times New Roman" w:cs="Times New Roman"/>
                <w:sz w:val="18"/>
                <w:szCs w:val="18"/>
                <w:lang w:bidi="ar"/>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审核意见</w:t>
            </w:r>
          </w:p>
        </w:tc>
        <w:tc>
          <w:tcPr>
            <w:tcW w:w="4064" w:type="pct"/>
            <w:gridSpan w:val="3"/>
            <w:tcBorders>
              <w:top w:val="single" w:color="auto" w:sz="4" w:space="0"/>
              <w:left w:val="single" w:color="auto" w:sz="4" w:space="0"/>
              <w:bottom w:val="single" w:color="auto" w:sz="4" w:space="0"/>
              <w:right w:val="single" w:color="auto" w:sz="4" w:space="0"/>
            </w:tcBorders>
            <w:vAlign w:val="center"/>
          </w:tcPr>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r>
              <w:rPr>
                <w:rFonts w:ascii="Times New Roman" w:hAnsi="Times New Roman" w:cs="Times New Roman"/>
                <w:sz w:val="18"/>
                <w:szCs w:val="18"/>
                <w:lang w:bidi="ar"/>
              </w:rPr>
              <w:t>审核人：</w:t>
            </w:r>
          </w:p>
          <w:p>
            <w:pPr>
              <w:jc w:val="right"/>
              <w:rPr>
                <w:rFonts w:ascii="Times New Roman" w:hAnsi="Times New Roman" w:cs="Times New Roman"/>
                <w:sz w:val="18"/>
                <w:szCs w:val="18"/>
              </w:rPr>
            </w:pPr>
            <w:r>
              <w:rPr>
                <w:rFonts w:ascii="Times New Roman" w:hAnsi="Times New Roman" w:cs="Times New Roman"/>
                <w:sz w:val="18"/>
                <w:szCs w:val="18"/>
                <w:lang w:bidi="ar"/>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4"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变更情况</w:t>
            </w:r>
          </w:p>
        </w:tc>
        <w:tc>
          <w:tcPr>
            <w:tcW w:w="4064"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p>
            <w:pPr>
              <w:jc w:val="center"/>
              <w:rPr>
                <w:rFonts w:ascii="Times New Roman" w:hAnsi="Times New Roman" w:cs="Times New Roman"/>
                <w:sz w:val="18"/>
                <w:szCs w:val="18"/>
              </w:rPr>
            </w:pPr>
          </w:p>
          <w:p>
            <w:pPr>
              <w:jc w:val="center"/>
              <w:rPr>
                <w:rFonts w:ascii="Times New Roman" w:hAnsi="Times New Roman" w:cs="Times New Roman"/>
                <w:sz w:val="18"/>
                <w:szCs w:val="18"/>
              </w:rPr>
            </w:pPr>
          </w:p>
          <w:p>
            <w:pPr>
              <w:jc w:val="center"/>
              <w:rPr>
                <w:rFonts w:ascii="Times New Roman" w:hAnsi="Times New Roman" w:cs="Times New Roman"/>
                <w:sz w:val="18"/>
                <w:szCs w:val="18"/>
              </w:rPr>
            </w:pPr>
          </w:p>
          <w:p>
            <w:pPr>
              <w:jc w:val="center"/>
              <w:rPr>
                <w:rFonts w:ascii="Times New Roman" w:hAnsi="Times New Roman" w:cs="Times New Roman"/>
                <w:sz w:val="18"/>
                <w:szCs w:val="18"/>
              </w:rPr>
            </w:pPr>
          </w:p>
          <w:p>
            <w:pPr>
              <w:jc w:val="center"/>
              <w:rPr>
                <w:rFonts w:ascii="Times New Roman" w:hAnsi="Times New Roman" w:cs="Times New Roman"/>
                <w:sz w:val="18"/>
                <w:szCs w:val="18"/>
              </w:rPr>
            </w:pPr>
          </w:p>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备   注</w:t>
            </w:r>
          </w:p>
        </w:tc>
        <w:tc>
          <w:tcPr>
            <w:tcW w:w="4064"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p>
            <w:pPr>
              <w:rPr>
                <w:rFonts w:ascii="Times New Roman" w:hAnsi="Times New Roman" w:cs="Times New Roman"/>
                <w:sz w:val="18"/>
                <w:szCs w:val="18"/>
              </w:rPr>
            </w:pPr>
          </w:p>
          <w:p>
            <w:pPr>
              <w:jc w:val="center"/>
              <w:rPr>
                <w:rFonts w:ascii="Times New Roman" w:hAnsi="Times New Roman" w:cs="Times New Roman"/>
                <w:sz w:val="18"/>
                <w:szCs w:val="18"/>
              </w:rPr>
            </w:pPr>
          </w:p>
        </w:tc>
      </w:tr>
    </w:tbl>
    <w:p>
      <w:pPr>
        <w:pStyle w:val="101"/>
        <w:numPr>
          <w:ilvl w:val="0"/>
          <w:numId w:val="0"/>
        </w:numPr>
        <w:spacing w:before="156" w:after="156"/>
        <w:rPr>
          <w:rFonts w:ascii="Times New Roman" w:hAnsi="Times New Roman"/>
        </w:rPr>
      </w:pPr>
      <w:r>
        <w:rPr>
          <w:rFonts w:ascii="Times New Roman" w:hAnsi="Times New Roman"/>
        </w:rPr>
        <w:t>表B.4  白蚁区域综合治理项目施工记录表</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1"/>
        <w:gridCol w:w="3594"/>
        <w:gridCol w:w="1307"/>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项目地址</w:t>
            </w:r>
          </w:p>
        </w:tc>
        <w:tc>
          <w:tcPr>
            <w:tcW w:w="4063"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施工联系人</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联系方式</w:t>
            </w:r>
          </w:p>
        </w:tc>
        <w:tc>
          <w:tcPr>
            <w:tcW w:w="150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房屋结构</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建筑面积</w:t>
            </w:r>
          </w:p>
        </w:tc>
        <w:tc>
          <w:tcPr>
            <w:tcW w:w="1500" w:type="pct"/>
            <w:tcBorders>
              <w:top w:val="single" w:color="auto" w:sz="4" w:space="0"/>
              <w:left w:val="single" w:color="auto" w:sz="4" w:space="0"/>
              <w:bottom w:val="single" w:color="auto" w:sz="4" w:space="0"/>
              <w:right w:val="single" w:color="auto" w:sz="4" w:space="0"/>
            </w:tcBorders>
            <w:vAlign w:val="center"/>
          </w:tcPr>
          <w:p>
            <w:pPr>
              <w:jc w:val="right"/>
              <w:rPr>
                <w:rFonts w:ascii="Times New Roman" w:hAnsi="Times New Roman" w:cs="Times New Roman"/>
                <w:sz w:val="18"/>
                <w:szCs w:val="18"/>
              </w:rPr>
            </w:pPr>
            <w:r>
              <w:rPr>
                <w:rFonts w:ascii="Times New Roman" w:hAnsi="Times New Roman" w:cs="Times New Roman"/>
                <w:sz w:val="18"/>
                <w:szCs w:val="18"/>
                <w:lang w:bidi="ar"/>
              </w:rPr>
              <w:t>m</w:t>
            </w:r>
            <w:r>
              <w:rPr>
                <w:rFonts w:ascii="Times New Roman" w:hAnsi="Times New Roman" w:cs="Times New Roman"/>
                <w:sz w:val="18"/>
                <w:szCs w:val="18"/>
                <w:vertAlign w:val="superscript"/>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药剂名称</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用药量</w:t>
            </w:r>
          </w:p>
        </w:tc>
        <w:tc>
          <w:tcPr>
            <w:tcW w:w="150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监测装置</w:t>
            </w:r>
          </w:p>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名称</w:t>
            </w:r>
          </w:p>
        </w:tc>
        <w:tc>
          <w:tcPr>
            <w:tcW w:w="187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683"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装置数量</w:t>
            </w:r>
          </w:p>
        </w:tc>
        <w:tc>
          <w:tcPr>
            <w:tcW w:w="150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pct"/>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其他药剂</w:t>
            </w:r>
          </w:p>
          <w:p>
            <w:pPr>
              <w:spacing w:line="280" w:lineRule="exact"/>
              <w:jc w:val="center"/>
              <w:rPr>
                <w:rFonts w:ascii="Times New Roman" w:hAnsi="Times New Roman" w:cs="Times New Roman"/>
                <w:sz w:val="18"/>
                <w:szCs w:val="18"/>
              </w:rPr>
            </w:pPr>
            <w:r>
              <w:rPr>
                <w:rFonts w:ascii="Times New Roman" w:hAnsi="Times New Roman" w:cs="Times New Roman"/>
                <w:sz w:val="18"/>
                <w:szCs w:val="18"/>
                <w:lang w:bidi="ar"/>
              </w:rPr>
              <w:t>及设备</w:t>
            </w:r>
          </w:p>
        </w:tc>
        <w:tc>
          <w:tcPr>
            <w:tcW w:w="4063" w:type="pct"/>
            <w:gridSpan w:val="3"/>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r>
              <w:rPr>
                <w:rFonts w:ascii="Times New Roman" w:hAnsi="Times New Roman" w:cs="Times New Roman"/>
                <w:sz w:val="18"/>
                <w:szCs w:val="18"/>
                <w:lang w:bidi="ar"/>
              </w:rPr>
              <w:t>施工情况（如安装地下型监测控制装置需标注布点图）：</w:t>
            </w: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rPr>
                <w:rFonts w:ascii="Times New Roman" w:hAnsi="Times New Roman" w:cs="Times New Roman"/>
                <w:sz w:val="18"/>
                <w:szCs w:val="18"/>
              </w:rPr>
            </w:pPr>
          </w:p>
          <w:p>
            <w:pPr>
              <w:ind w:right="1680"/>
              <w:rPr>
                <w:rFonts w:ascii="Times New Roman" w:hAnsi="Times New Roman" w:cs="Times New Roman"/>
                <w:sz w:val="18"/>
                <w:szCs w:val="18"/>
              </w:rPr>
            </w:pPr>
          </w:p>
          <w:p>
            <w:pPr>
              <w:ind w:right="1680"/>
              <w:jc w:val="right"/>
              <w:rPr>
                <w:rFonts w:ascii="Times New Roman" w:hAnsi="Times New Roman" w:cs="Times New Roman"/>
                <w:sz w:val="18"/>
                <w:szCs w:val="18"/>
              </w:rPr>
            </w:pPr>
          </w:p>
          <w:p>
            <w:pPr>
              <w:ind w:right="1680"/>
              <w:jc w:val="right"/>
              <w:rPr>
                <w:rFonts w:ascii="Times New Roman" w:hAnsi="Times New Roman" w:cs="Times New Roman"/>
                <w:sz w:val="18"/>
                <w:szCs w:val="18"/>
              </w:rPr>
            </w:pPr>
            <w:r>
              <w:rPr>
                <w:rFonts w:ascii="Times New Roman" w:hAnsi="Times New Roman" w:cs="Times New Roman"/>
                <w:sz w:val="18"/>
                <w:szCs w:val="18"/>
                <w:lang w:bidi="ar"/>
              </w:rPr>
              <w:t>施工人员：</w:t>
            </w:r>
          </w:p>
          <w:p>
            <w:pPr>
              <w:jc w:val="right"/>
              <w:rPr>
                <w:rFonts w:ascii="Times New Roman" w:hAnsi="Times New Roman" w:cs="Times New Roman"/>
                <w:sz w:val="18"/>
                <w:szCs w:val="18"/>
              </w:rPr>
            </w:pPr>
            <w:r>
              <w:rPr>
                <w:rFonts w:ascii="Times New Roman" w:hAnsi="Times New Roman" w:cs="Times New Roman"/>
                <w:sz w:val="18"/>
                <w:szCs w:val="18"/>
                <w:lang w:bidi="ar"/>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项目联系人</w:t>
            </w:r>
          </w:p>
          <w:p>
            <w:pPr>
              <w:jc w:val="center"/>
              <w:rPr>
                <w:rFonts w:ascii="Times New Roman" w:hAnsi="Times New Roman" w:cs="Times New Roman"/>
                <w:sz w:val="18"/>
                <w:szCs w:val="18"/>
              </w:rPr>
            </w:pPr>
            <w:r>
              <w:rPr>
                <w:rFonts w:ascii="Times New Roman" w:hAnsi="Times New Roman" w:cs="Times New Roman"/>
                <w:sz w:val="18"/>
                <w:szCs w:val="18"/>
                <w:lang w:bidi="ar"/>
              </w:rPr>
              <w:t>意见</w:t>
            </w:r>
          </w:p>
        </w:tc>
        <w:tc>
          <w:tcPr>
            <w:tcW w:w="4063" w:type="pct"/>
            <w:gridSpan w:val="3"/>
            <w:tcBorders>
              <w:top w:val="single" w:color="auto" w:sz="4" w:space="0"/>
              <w:left w:val="single" w:color="auto" w:sz="4" w:space="0"/>
              <w:bottom w:val="single" w:color="auto" w:sz="4" w:space="0"/>
              <w:right w:val="single" w:color="auto" w:sz="4" w:space="0"/>
            </w:tcBorders>
            <w:vAlign w:val="center"/>
          </w:tcPr>
          <w:p>
            <w:pPr>
              <w:ind w:right="840"/>
              <w:jc w:val="right"/>
              <w:rPr>
                <w:rFonts w:ascii="Times New Roman" w:hAnsi="Times New Roman" w:cs="Times New Roman"/>
                <w:sz w:val="18"/>
                <w:szCs w:val="18"/>
              </w:rPr>
            </w:pPr>
          </w:p>
          <w:p>
            <w:pPr>
              <w:ind w:right="840"/>
              <w:jc w:val="right"/>
              <w:rPr>
                <w:rFonts w:ascii="Times New Roman" w:hAnsi="Times New Roman" w:cs="Times New Roman"/>
                <w:sz w:val="18"/>
                <w:szCs w:val="18"/>
              </w:rPr>
            </w:pPr>
          </w:p>
          <w:p>
            <w:pPr>
              <w:ind w:right="1470"/>
              <w:jc w:val="right"/>
              <w:rPr>
                <w:rFonts w:ascii="Times New Roman" w:hAnsi="Times New Roman" w:cs="Times New Roman"/>
                <w:sz w:val="18"/>
                <w:szCs w:val="18"/>
              </w:rPr>
            </w:pPr>
            <w:r>
              <w:rPr>
                <w:rFonts w:ascii="Times New Roman" w:hAnsi="Times New Roman" w:cs="Times New Roman"/>
                <w:sz w:val="18"/>
                <w:szCs w:val="18"/>
                <w:lang w:bidi="ar"/>
              </w:rPr>
              <w:t>签字：</w:t>
            </w:r>
          </w:p>
          <w:p>
            <w:pPr>
              <w:jc w:val="right"/>
              <w:rPr>
                <w:rFonts w:ascii="Times New Roman" w:hAnsi="Times New Roman" w:cs="Times New Roman"/>
                <w:sz w:val="18"/>
                <w:szCs w:val="18"/>
              </w:rPr>
            </w:pPr>
            <w:r>
              <w:rPr>
                <w:rFonts w:ascii="Times New Roman" w:hAnsi="Times New Roman" w:cs="Times New Roman"/>
                <w:sz w:val="18"/>
                <w:szCs w:val="18"/>
                <w:lang w:bidi="ar"/>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9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备   注</w:t>
            </w:r>
          </w:p>
        </w:tc>
        <w:tc>
          <w:tcPr>
            <w:tcW w:w="4063"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bl>
    <w:p>
      <w:pPr>
        <w:pStyle w:val="101"/>
        <w:numPr>
          <w:ilvl w:val="0"/>
          <w:numId w:val="0"/>
        </w:numPr>
        <w:spacing w:before="156" w:after="156"/>
        <w:rPr>
          <w:rFonts w:ascii="Times New Roman" w:hAnsi="Times New Roman"/>
        </w:rPr>
      </w:pPr>
    </w:p>
    <w:p>
      <w:pPr>
        <w:pStyle w:val="101"/>
        <w:numPr>
          <w:ilvl w:val="0"/>
          <w:numId w:val="0"/>
        </w:numPr>
        <w:spacing w:before="156" w:after="156"/>
        <w:rPr>
          <w:rFonts w:ascii="Times New Roman" w:hAnsi="Times New Roman"/>
        </w:rPr>
      </w:pPr>
      <w:r>
        <w:rPr>
          <w:rFonts w:ascii="Times New Roman" w:hAnsi="Times New Roman"/>
        </w:rPr>
        <w:t>表B.5  白蚁监测控制装置检查维护记录表</w:t>
      </w:r>
    </w:p>
    <w:tbl>
      <w:tblPr>
        <w:tblStyle w:val="33"/>
        <w:tblW w:w="4881" w:type="pct"/>
        <w:tblInd w:w="10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42"/>
        <w:gridCol w:w="796"/>
        <w:gridCol w:w="1149"/>
        <w:gridCol w:w="1674"/>
        <w:gridCol w:w="465"/>
        <w:gridCol w:w="964"/>
        <w:gridCol w:w="1175"/>
        <w:gridCol w:w="21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1" w:hRule="atLeast"/>
        </w:trPr>
        <w:tc>
          <w:tcPr>
            <w:tcW w:w="930" w:type="pct"/>
            <w:gridSpan w:val="2"/>
            <w:tcBorders>
              <w:top w:val="single" w:color="auto" w:sz="4" w:space="0"/>
              <w:left w:val="single" w:color="auto" w:sz="4" w:space="0"/>
              <w:bottom w:val="single" w:color="auto" w:sz="2" w:space="0"/>
              <w:right w:val="single" w:color="auto" w:sz="2" w:space="0"/>
            </w:tcBorders>
            <w:vAlign w:val="center"/>
          </w:tcPr>
          <w:p>
            <w:pPr>
              <w:jc w:val="center"/>
              <w:rPr>
                <w:rFonts w:ascii="Times New Roman" w:hAnsi="Times New Roman" w:cs="Times New Roman"/>
                <w:sz w:val="18"/>
                <w:szCs w:val="18"/>
              </w:rPr>
            </w:pPr>
            <w:bookmarkStart w:id="277" w:name="_Toc73347623"/>
            <w:r>
              <w:rPr>
                <w:rFonts w:ascii="Times New Roman" w:hAnsi="Times New Roman" w:cs="Times New Roman"/>
                <w:sz w:val="18"/>
                <w:szCs w:val="18"/>
              </w:rPr>
              <w:t>工程名称</w:t>
            </w:r>
          </w:p>
        </w:tc>
        <w:tc>
          <w:tcPr>
            <w:tcW w:w="1511" w:type="pct"/>
            <w:gridSpan w:val="2"/>
            <w:tcBorders>
              <w:top w:val="single" w:color="auto" w:sz="4" w:space="0"/>
              <w:left w:val="single" w:color="auto" w:sz="2" w:space="0"/>
              <w:bottom w:val="single" w:color="auto" w:sz="2" w:space="0"/>
              <w:right w:val="single" w:color="auto" w:sz="2" w:space="0"/>
            </w:tcBorders>
            <w:vAlign w:val="center"/>
          </w:tcPr>
          <w:p>
            <w:pPr>
              <w:jc w:val="center"/>
              <w:rPr>
                <w:rFonts w:ascii="Times New Roman" w:hAnsi="Times New Roman" w:cs="Times New Roman"/>
                <w:sz w:val="18"/>
                <w:szCs w:val="18"/>
              </w:rPr>
            </w:pPr>
          </w:p>
        </w:tc>
        <w:tc>
          <w:tcPr>
            <w:tcW w:w="765" w:type="pct"/>
            <w:gridSpan w:val="2"/>
            <w:tcBorders>
              <w:top w:val="single" w:color="auto" w:sz="4" w:space="0"/>
              <w:left w:val="single" w:color="auto" w:sz="2" w:space="0"/>
              <w:bottom w:val="single" w:color="auto" w:sz="2" w:space="0"/>
              <w:right w:val="single" w:color="auto" w:sz="2"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工程地址</w:t>
            </w:r>
          </w:p>
        </w:tc>
        <w:tc>
          <w:tcPr>
            <w:tcW w:w="1794" w:type="pct"/>
            <w:gridSpan w:val="2"/>
            <w:tcBorders>
              <w:top w:val="single" w:color="auto" w:sz="4" w:space="0"/>
              <w:left w:val="single" w:color="auto" w:sz="2" w:space="0"/>
              <w:bottom w:val="single" w:color="auto" w:sz="2" w:space="0"/>
              <w:right w:val="single" w:color="auto" w:sz="4" w:space="0"/>
            </w:tcBorders>
            <w:vAlign w:val="center"/>
          </w:tcPr>
          <w:p>
            <w:pPr>
              <w:jc w:val="center"/>
              <w:rPr>
                <w:rFonts w:ascii="Times New Roman" w:hAnsi="Times New Roman" w:cs="Times New Roman"/>
                <w:b/>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7" w:hRule="atLeast"/>
        </w:trPr>
        <w:tc>
          <w:tcPr>
            <w:tcW w:w="930" w:type="pct"/>
            <w:gridSpan w:val="2"/>
            <w:tcBorders>
              <w:top w:val="single" w:color="auto" w:sz="2" w:space="0"/>
              <w:left w:val="single" w:color="auto" w:sz="4" w:space="0"/>
              <w:bottom w:val="single" w:color="auto" w:sz="2" w:space="0"/>
              <w:right w:val="single" w:color="auto" w:sz="2"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联系人</w:t>
            </w:r>
          </w:p>
        </w:tc>
        <w:tc>
          <w:tcPr>
            <w:tcW w:w="1511" w:type="pct"/>
            <w:gridSpan w:val="2"/>
            <w:tcBorders>
              <w:top w:val="single" w:color="auto" w:sz="2" w:space="0"/>
              <w:left w:val="single" w:color="auto" w:sz="2" w:space="0"/>
              <w:bottom w:val="single" w:color="auto" w:sz="2" w:space="0"/>
              <w:right w:val="single" w:color="auto" w:sz="2" w:space="0"/>
            </w:tcBorders>
            <w:vAlign w:val="center"/>
          </w:tcPr>
          <w:p>
            <w:pPr>
              <w:jc w:val="center"/>
              <w:rPr>
                <w:rFonts w:ascii="Times New Roman" w:hAnsi="Times New Roman" w:cs="Times New Roman"/>
                <w:sz w:val="18"/>
                <w:szCs w:val="18"/>
              </w:rPr>
            </w:pPr>
          </w:p>
        </w:tc>
        <w:tc>
          <w:tcPr>
            <w:tcW w:w="765" w:type="pct"/>
            <w:gridSpan w:val="2"/>
            <w:tcBorders>
              <w:top w:val="single" w:color="auto" w:sz="2" w:space="0"/>
              <w:left w:val="single" w:color="auto" w:sz="2" w:space="0"/>
              <w:bottom w:val="single" w:color="auto" w:sz="2" w:space="0"/>
              <w:right w:val="single" w:color="auto" w:sz="2"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联系电话</w:t>
            </w:r>
          </w:p>
        </w:tc>
        <w:tc>
          <w:tcPr>
            <w:tcW w:w="1794" w:type="pct"/>
            <w:gridSpan w:val="2"/>
            <w:tcBorders>
              <w:top w:val="single" w:color="auto" w:sz="2" w:space="0"/>
              <w:left w:val="single" w:color="auto" w:sz="2" w:space="0"/>
              <w:bottom w:val="single" w:color="auto" w:sz="2" w:space="0"/>
              <w:right w:val="single" w:color="auto" w:sz="4" w:space="0"/>
            </w:tcBorders>
            <w:vAlign w:val="center"/>
          </w:tcPr>
          <w:p>
            <w:pPr>
              <w:jc w:val="center"/>
              <w:rPr>
                <w:rFonts w:ascii="Times New Roman" w:hAnsi="Times New Roman" w:cs="Times New Roman"/>
                <w:b/>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78" w:hRule="atLeast"/>
        </w:trPr>
        <w:tc>
          <w:tcPr>
            <w:tcW w:w="930" w:type="pct"/>
            <w:gridSpan w:val="2"/>
            <w:tcBorders>
              <w:top w:val="single" w:color="auto" w:sz="2" w:space="0"/>
              <w:left w:val="single" w:color="auto" w:sz="4" w:space="0"/>
              <w:bottom w:val="single" w:color="auto" w:sz="2" w:space="0"/>
              <w:right w:val="single" w:color="auto" w:sz="2"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安装</w:t>
            </w:r>
            <w:r>
              <w:rPr>
                <w:rFonts w:hint="eastAsia" w:ascii="Times New Roman" w:hAnsi="Times New Roman" w:cs="Times New Roman"/>
                <w:sz w:val="18"/>
                <w:szCs w:val="18"/>
              </w:rPr>
              <w:t>时间</w:t>
            </w:r>
          </w:p>
        </w:tc>
        <w:tc>
          <w:tcPr>
            <w:tcW w:w="1511" w:type="pct"/>
            <w:gridSpan w:val="2"/>
            <w:tcBorders>
              <w:top w:val="single" w:color="auto" w:sz="2" w:space="0"/>
              <w:left w:val="single" w:color="auto" w:sz="2" w:space="0"/>
              <w:bottom w:val="single" w:color="auto" w:sz="2" w:space="0"/>
              <w:right w:val="single" w:color="auto" w:sz="4" w:space="0"/>
            </w:tcBorders>
            <w:vAlign w:val="center"/>
          </w:tcPr>
          <w:p>
            <w:pPr>
              <w:jc w:val="center"/>
              <w:rPr>
                <w:rFonts w:ascii="Times New Roman" w:hAnsi="Times New Roman" w:cs="Times New Roman"/>
                <w:sz w:val="18"/>
                <w:szCs w:val="18"/>
              </w:rPr>
            </w:pPr>
          </w:p>
        </w:tc>
        <w:tc>
          <w:tcPr>
            <w:tcW w:w="765" w:type="pct"/>
            <w:gridSpan w:val="2"/>
            <w:tcBorders>
              <w:top w:val="single" w:color="auto" w:sz="2" w:space="0"/>
              <w:left w:val="single" w:color="auto" w:sz="4" w:space="0"/>
              <w:bottom w:val="single" w:color="auto" w:sz="2"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检查栋数</w:t>
            </w:r>
          </w:p>
        </w:tc>
        <w:tc>
          <w:tcPr>
            <w:tcW w:w="1794" w:type="pct"/>
            <w:gridSpan w:val="2"/>
            <w:tcBorders>
              <w:top w:val="single" w:color="auto" w:sz="2" w:space="0"/>
              <w:left w:val="single" w:color="auto" w:sz="4" w:space="0"/>
              <w:bottom w:val="single" w:color="auto" w:sz="2"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61" w:hRule="atLeast"/>
        </w:trPr>
        <w:tc>
          <w:tcPr>
            <w:tcW w:w="930" w:type="pct"/>
            <w:gridSpan w:val="2"/>
            <w:tcBorders>
              <w:top w:val="single" w:color="auto" w:sz="2" w:space="0"/>
              <w:left w:val="single" w:color="auto" w:sz="4" w:space="0"/>
              <w:bottom w:val="single" w:color="auto" w:sz="4" w:space="0"/>
              <w:right w:val="single" w:color="auto" w:sz="2"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安装</w:t>
            </w:r>
            <w:r>
              <w:rPr>
                <w:rFonts w:hint="eastAsia" w:ascii="Times New Roman" w:hAnsi="Times New Roman" w:cs="Times New Roman"/>
                <w:sz w:val="18"/>
                <w:szCs w:val="18"/>
              </w:rPr>
              <w:t>数量</w:t>
            </w:r>
          </w:p>
        </w:tc>
        <w:tc>
          <w:tcPr>
            <w:tcW w:w="1511" w:type="pct"/>
            <w:gridSpan w:val="2"/>
            <w:tcBorders>
              <w:top w:val="single" w:color="auto" w:sz="2" w:space="0"/>
              <w:left w:val="single" w:color="auto" w:sz="2"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765" w:type="pct"/>
            <w:gridSpan w:val="2"/>
            <w:tcBorders>
              <w:top w:val="single" w:color="auto" w:sz="2"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白蚁种类</w:t>
            </w:r>
          </w:p>
        </w:tc>
        <w:tc>
          <w:tcPr>
            <w:tcW w:w="1794" w:type="pct"/>
            <w:gridSpan w:val="2"/>
            <w:tcBorders>
              <w:top w:val="single" w:color="auto" w:sz="2"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30" w:hRule="atLeast"/>
        </w:trPr>
        <w:tc>
          <w:tcPr>
            <w:tcW w:w="504"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r>
              <w:rPr>
                <w:rFonts w:hint="eastAsia" w:ascii="Times New Roman" w:hAnsi="Times New Roman" w:cs="Times New Roman"/>
                <w:sz w:val="18"/>
                <w:szCs w:val="18"/>
              </w:rPr>
              <w:t>监测装置</w:t>
            </w:r>
            <w:r>
              <w:rPr>
                <w:rFonts w:ascii="Times New Roman" w:hAnsi="Times New Roman" w:cs="Times New Roman"/>
                <w:sz w:val="18"/>
                <w:szCs w:val="18"/>
              </w:rPr>
              <w:t>编号</w:t>
            </w:r>
          </w:p>
        </w:tc>
        <w:tc>
          <w:tcPr>
            <w:tcW w:w="4496" w:type="pct"/>
            <w:gridSpan w:val="7"/>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sz w:val="18"/>
                <w:szCs w:val="18"/>
              </w:rPr>
            </w:pPr>
            <w:r>
              <w:rPr>
                <w:rFonts w:ascii="Times New Roman" w:hAnsi="Times New Roman" w:cs="Times New Roman"/>
                <w:sz w:val="18"/>
                <w:szCs w:val="18"/>
              </w:rPr>
              <w:t>检  查  日  期</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85" w:hRule="atLeast"/>
        </w:trPr>
        <w:tc>
          <w:tcPr>
            <w:tcW w:w="504" w:type="pct"/>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sz w:val="18"/>
                <w:szCs w:val="18"/>
              </w:rPr>
            </w:pPr>
            <w:r>
              <w:rPr>
                <w:rFonts w:ascii="Times New Roman" w:hAnsi="Times New Roman" w:cs="Times New Roman"/>
                <w:sz w:val="18"/>
                <w:szCs w:val="18"/>
              </w:rPr>
              <w:t xml:space="preserve"> 年-月-日</w:t>
            </w:r>
          </w:p>
        </w:tc>
        <w:tc>
          <w:tcPr>
            <w:tcW w:w="1145" w:type="pct"/>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sz w:val="18"/>
                <w:szCs w:val="18"/>
              </w:rPr>
            </w:pPr>
            <w:r>
              <w:rPr>
                <w:rFonts w:ascii="Times New Roman" w:hAnsi="Times New Roman" w:cs="Times New Roman"/>
                <w:sz w:val="18"/>
                <w:szCs w:val="18"/>
              </w:rPr>
              <w:t xml:space="preserve"> 年-月-日</w:t>
            </w:r>
          </w:p>
        </w:tc>
        <w:tc>
          <w:tcPr>
            <w:tcW w:w="1145" w:type="pct"/>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sz w:val="18"/>
                <w:szCs w:val="18"/>
              </w:rPr>
            </w:pPr>
            <w:r>
              <w:rPr>
                <w:rFonts w:ascii="Times New Roman" w:hAnsi="Times New Roman" w:cs="Times New Roman"/>
                <w:sz w:val="18"/>
                <w:szCs w:val="18"/>
              </w:rPr>
              <w:t xml:space="preserve"> 年-月-日</w:t>
            </w:r>
          </w:p>
        </w:tc>
        <w:tc>
          <w:tcPr>
            <w:tcW w:w="1165"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sz w:val="18"/>
                <w:szCs w:val="18"/>
              </w:rPr>
            </w:pPr>
            <w:r>
              <w:rPr>
                <w:rFonts w:ascii="Times New Roman" w:hAnsi="Times New Roman" w:cs="Times New Roman"/>
                <w:sz w:val="18"/>
                <w:szCs w:val="18"/>
              </w:rPr>
              <w:t>年-月-日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7"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3"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5"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7"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5"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5"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0"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5"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9"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9"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0"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0"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0"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0"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7"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spacing w:val="-20"/>
                <w:sz w:val="18"/>
                <w:szCs w:val="18"/>
              </w:rPr>
            </w:pPr>
          </w:p>
        </w:tc>
        <w:tc>
          <w:tcPr>
            <w:tcW w:w="1041"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5"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4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4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4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6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检查人员</w:t>
            </w:r>
          </w:p>
        </w:tc>
        <w:tc>
          <w:tcPr>
            <w:tcW w:w="4496" w:type="pct"/>
            <w:gridSpan w:val="7"/>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52" w:hRule="atLeast"/>
        </w:trPr>
        <w:tc>
          <w:tcPr>
            <w:tcW w:w="504"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color w:val="FF0000"/>
                <w:sz w:val="18"/>
                <w:szCs w:val="18"/>
              </w:rPr>
            </w:pPr>
            <w:r>
              <w:rPr>
                <w:rFonts w:ascii="Times New Roman" w:hAnsi="Times New Roman" w:cs="Times New Roman"/>
                <w:sz w:val="18"/>
                <w:szCs w:val="18"/>
              </w:rPr>
              <w:t>物管公司或业主（签字）</w:t>
            </w:r>
          </w:p>
        </w:tc>
        <w:tc>
          <w:tcPr>
            <w:tcW w:w="4496" w:type="pct"/>
            <w:gridSpan w:val="7"/>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61" w:hRule="atLeast"/>
        </w:trPr>
        <w:tc>
          <w:tcPr>
            <w:tcW w:w="504" w:type="pct"/>
            <w:tcBorders>
              <w:top w:val="single" w:color="auto" w:sz="4" w:space="0"/>
              <w:left w:val="single" w:color="auto" w:sz="4" w:space="0"/>
              <w:bottom w:val="single" w:color="auto" w:sz="4" w:space="0"/>
              <w:right w:val="single" w:color="auto" w:sz="2"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lang w:bidi="ar"/>
              </w:rPr>
              <w:t>备</w:t>
            </w:r>
          </w:p>
          <w:p>
            <w:pPr>
              <w:jc w:val="center"/>
              <w:rPr>
                <w:rFonts w:ascii="Times New Roman" w:hAnsi="Times New Roman" w:cs="Times New Roman"/>
                <w:sz w:val="18"/>
                <w:szCs w:val="18"/>
              </w:rPr>
            </w:pPr>
            <w:r>
              <w:rPr>
                <w:rFonts w:ascii="Times New Roman" w:hAnsi="Times New Roman" w:cs="Times New Roman"/>
                <w:sz w:val="18"/>
                <w:szCs w:val="18"/>
              </w:rPr>
              <w:t>注</w:t>
            </w:r>
          </w:p>
        </w:tc>
        <w:tc>
          <w:tcPr>
            <w:tcW w:w="4496" w:type="pct"/>
            <w:gridSpan w:val="7"/>
            <w:tcBorders>
              <w:top w:val="single" w:color="auto" w:sz="4" w:space="0"/>
              <w:left w:val="single" w:color="auto" w:sz="2" w:space="0"/>
              <w:bottom w:val="single" w:color="auto" w:sz="4" w:space="0"/>
              <w:right w:val="single" w:color="auto" w:sz="4" w:space="0"/>
            </w:tcBorders>
          </w:tcPr>
          <w:p>
            <w:pPr>
              <w:rPr>
                <w:rFonts w:ascii="Times New Roman" w:hAnsi="Times New Roman" w:cs="Times New Roman"/>
                <w:sz w:val="18"/>
                <w:szCs w:val="18"/>
              </w:rPr>
            </w:pPr>
            <w:r>
              <w:rPr>
                <w:rFonts w:ascii="Times New Roman" w:hAnsi="Times New Roman" w:cs="Times New Roman"/>
                <w:sz w:val="18"/>
                <w:szCs w:val="18"/>
                <w:lang w:bidi="ar"/>
              </w:rPr>
              <w:t>表格记录方式：</w:t>
            </w:r>
          </w:p>
          <w:p>
            <w:pPr>
              <w:rPr>
                <w:rFonts w:ascii="Times New Roman" w:hAnsi="Times New Roman" w:cs="Times New Roman"/>
                <w:sz w:val="18"/>
                <w:szCs w:val="18"/>
              </w:rPr>
            </w:pPr>
            <w:r>
              <w:rPr>
                <w:rFonts w:ascii="Times New Roman" w:hAnsi="Times New Roman" w:cs="Times New Roman"/>
                <w:sz w:val="18"/>
                <w:szCs w:val="18"/>
              </w:rPr>
              <w:t>乳白蚁种群标记C，散白蚁种群标记R；有白蚁记＋，无白蚁记－；诱集材料被取食完记</w:t>
            </w:r>
            <w:r>
              <w:rPr>
                <w:rFonts w:ascii="Segoe UI Symbol" w:hAnsi="Segoe UI Symbol" w:cs="Segoe UI Symbol"/>
                <w:sz w:val="18"/>
                <w:szCs w:val="18"/>
              </w:rPr>
              <w:t>★</w:t>
            </w:r>
            <w:r>
              <w:rPr>
                <w:rFonts w:ascii="Times New Roman" w:hAnsi="Times New Roman" w:cs="Times New Roman"/>
                <w:sz w:val="18"/>
                <w:szCs w:val="18"/>
              </w:rPr>
              <w:t>，重新更换监测材料记</w:t>
            </w:r>
            <w:r>
              <w:rPr>
                <w:rFonts w:ascii="Segoe UI Symbol" w:hAnsi="Segoe UI Symbol" w:cs="Segoe UI Symbol"/>
                <w:sz w:val="18"/>
                <w:szCs w:val="18"/>
              </w:rPr>
              <w:t>☆</w:t>
            </w:r>
            <w:r>
              <w:rPr>
                <w:rFonts w:ascii="Times New Roman" w:hAnsi="Times New Roman" w:cs="Times New Roman"/>
                <w:sz w:val="18"/>
                <w:szCs w:val="18"/>
              </w:rPr>
              <w:t>；投入饵剂标记</w:t>
            </w:r>
            <w:r>
              <w:rPr>
                <w:rFonts w:ascii="Cambria Math" w:hAnsi="Cambria Math" w:cs="Cambria Math"/>
                <w:sz w:val="18"/>
                <w:szCs w:val="18"/>
              </w:rPr>
              <w:t>△</w:t>
            </w:r>
            <w:r>
              <w:rPr>
                <w:rFonts w:ascii="Times New Roman" w:hAnsi="Times New Roman" w:cs="Times New Roman"/>
                <w:sz w:val="18"/>
                <w:szCs w:val="18"/>
              </w:rPr>
              <w:t>，饵剂被取食记▲。</w:t>
            </w:r>
          </w:p>
        </w:tc>
      </w:tr>
    </w:tbl>
    <w:p>
      <w:pPr>
        <w:pStyle w:val="101"/>
        <w:numPr>
          <w:ilvl w:val="0"/>
          <w:numId w:val="0"/>
        </w:numPr>
        <w:spacing w:before="156" w:after="156"/>
        <w:rPr>
          <w:rFonts w:ascii="Times New Roman" w:hAnsi="Times New Roman"/>
        </w:rPr>
      </w:pPr>
      <w:r>
        <w:rPr>
          <w:rFonts w:ascii="Times New Roman" w:hAnsi="Times New Roman"/>
        </w:rPr>
        <w:t>表B.6 白蚁</w:t>
      </w:r>
      <w:bookmarkEnd w:id="277"/>
      <w:r>
        <w:rPr>
          <w:rFonts w:ascii="Times New Roman" w:hAnsi="Times New Roman"/>
        </w:rPr>
        <w:t>区域综合治理项目效果评价表</w:t>
      </w:r>
    </w:p>
    <w:tbl>
      <w:tblPr>
        <w:tblStyle w:val="33"/>
        <w:tblW w:w="500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839"/>
        <w:gridCol w:w="289"/>
        <w:gridCol w:w="2135"/>
        <w:gridCol w:w="995"/>
        <w:gridCol w:w="800"/>
        <w:gridCol w:w="23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512" w:type="pct"/>
            <w:tcBorders>
              <w:top w:val="single" w:color="auto" w:sz="8" w:space="0"/>
              <w:left w:val="single" w:color="auto" w:sz="8" w:space="0"/>
              <w:bottom w:val="single" w:color="auto" w:sz="8" w:space="0"/>
              <w:right w:val="single" w:color="auto" w:sz="4" w:space="0"/>
            </w:tcBorders>
            <w:vAlign w:val="center"/>
          </w:tcPr>
          <w:p>
            <w:pPr>
              <w:pStyle w:val="30"/>
              <w:widowControl/>
              <w:autoSpaceDE w:val="0"/>
              <w:autoSpaceDN w:val="0"/>
              <w:ind w:firstLine="180" w:firstLineChars="100"/>
              <w:jc w:val="center"/>
              <w:rPr>
                <w:rFonts w:ascii="Times New Roman" w:hAnsi="Times New Roman"/>
                <w:sz w:val="18"/>
                <w:szCs w:val="18"/>
              </w:rPr>
            </w:pPr>
            <w:r>
              <w:rPr>
                <w:rFonts w:ascii="Times New Roman" w:hAnsi="Times New Roman"/>
                <w:kern w:val="0"/>
                <w:sz w:val="18"/>
                <w:szCs w:val="18"/>
                <w:lang w:bidi="ar"/>
              </w:rPr>
              <w:t>项目名称</w:t>
            </w:r>
          </w:p>
        </w:tc>
        <w:tc>
          <w:tcPr>
            <w:tcW w:w="1291" w:type="pct"/>
            <w:gridSpan w:val="2"/>
            <w:tcBorders>
              <w:top w:val="single" w:color="auto" w:sz="8" w:space="0"/>
              <w:left w:val="single" w:color="auto" w:sz="4" w:space="0"/>
              <w:bottom w:val="single" w:color="auto" w:sz="8" w:space="0"/>
              <w:right w:val="single" w:color="auto" w:sz="4" w:space="0"/>
            </w:tcBorders>
            <w:vAlign w:val="center"/>
          </w:tcPr>
          <w:p>
            <w:pPr>
              <w:pStyle w:val="30"/>
              <w:widowControl/>
              <w:autoSpaceDE w:val="0"/>
              <w:autoSpaceDN w:val="0"/>
              <w:jc w:val="center"/>
              <w:rPr>
                <w:rFonts w:ascii="Times New Roman" w:hAnsi="Times New Roman"/>
                <w:sz w:val="18"/>
                <w:szCs w:val="18"/>
              </w:rPr>
            </w:pPr>
          </w:p>
        </w:tc>
        <w:tc>
          <w:tcPr>
            <w:tcW w:w="956" w:type="pct"/>
            <w:gridSpan w:val="2"/>
            <w:tcBorders>
              <w:top w:val="single" w:color="auto" w:sz="8" w:space="0"/>
              <w:left w:val="single" w:color="auto" w:sz="4" w:space="0"/>
              <w:bottom w:val="single" w:color="auto" w:sz="8" w:space="0"/>
              <w:right w:val="single" w:color="auto" w:sz="4" w:space="0"/>
            </w:tcBorders>
            <w:vAlign w:val="center"/>
          </w:tcPr>
          <w:p>
            <w:pPr>
              <w:pStyle w:val="30"/>
              <w:widowControl/>
              <w:autoSpaceDE w:val="0"/>
              <w:autoSpaceDN w:val="0"/>
              <w:jc w:val="center"/>
              <w:rPr>
                <w:rFonts w:ascii="Times New Roman" w:hAnsi="Times New Roman"/>
                <w:sz w:val="18"/>
                <w:szCs w:val="18"/>
              </w:rPr>
            </w:pPr>
            <w:r>
              <w:rPr>
                <w:rFonts w:ascii="Times New Roman" w:hAnsi="Times New Roman"/>
                <w:kern w:val="0"/>
                <w:sz w:val="18"/>
                <w:szCs w:val="18"/>
                <w:lang w:bidi="ar"/>
              </w:rPr>
              <w:t>评价日期</w:t>
            </w:r>
          </w:p>
        </w:tc>
        <w:tc>
          <w:tcPr>
            <w:tcW w:w="1241" w:type="pct"/>
            <w:tcBorders>
              <w:top w:val="single" w:color="auto" w:sz="8" w:space="0"/>
              <w:left w:val="single" w:color="auto" w:sz="4" w:space="0"/>
              <w:bottom w:val="single" w:color="auto" w:sz="8" w:space="0"/>
              <w:right w:val="single" w:color="auto" w:sz="8" w:space="0"/>
            </w:tcBorders>
            <w:vAlign w:val="center"/>
          </w:tcPr>
          <w:p>
            <w:pPr>
              <w:pStyle w:val="30"/>
              <w:widowControl/>
              <w:autoSpaceDE w:val="0"/>
              <w:autoSpaceDN w:val="0"/>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5000" w:type="pct"/>
            <w:gridSpan w:val="6"/>
            <w:tcBorders>
              <w:top w:val="single" w:color="auto" w:sz="8" w:space="0"/>
              <w:left w:val="single" w:color="auto" w:sz="8" w:space="0"/>
              <w:bottom w:val="single" w:color="auto" w:sz="4" w:space="0"/>
              <w:right w:val="single" w:color="auto" w:sz="8" w:space="0"/>
            </w:tcBorders>
            <w:vAlign w:val="center"/>
          </w:tcPr>
          <w:p>
            <w:pPr>
              <w:pStyle w:val="30"/>
              <w:widowControl/>
              <w:autoSpaceDE w:val="0"/>
              <w:autoSpaceDN w:val="0"/>
              <w:jc w:val="left"/>
              <w:rPr>
                <w:rFonts w:ascii="Times New Roman" w:hAnsi="Times New Roman"/>
                <w:sz w:val="18"/>
                <w:szCs w:val="18"/>
              </w:rPr>
            </w:pPr>
            <w:r>
              <w:rPr>
                <w:rFonts w:ascii="Times New Roman" w:hAnsi="Times New Roman"/>
                <w:kern w:val="0"/>
                <w:sz w:val="18"/>
                <w:szCs w:val="18"/>
                <w:lang w:bidi="ar"/>
              </w:rPr>
              <w:t>一、技术资料完整性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12" w:type="pct"/>
            <w:tcBorders>
              <w:top w:val="single" w:color="auto" w:sz="4" w:space="0"/>
              <w:left w:val="single" w:color="auto" w:sz="8"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kern w:val="0"/>
                <w:sz w:val="18"/>
                <w:szCs w:val="18"/>
                <w:lang w:bidi="ar"/>
              </w:rPr>
              <w:t>白蚁灭治合同或文件</w:t>
            </w:r>
          </w:p>
        </w:tc>
        <w:tc>
          <w:tcPr>
            <w:tcW w:w="1291"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无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全</w:t>
            </w:r>
          </w:p>
        </w:tc>
        <w:tc>
          <w:tcPr>
            <w:tcW w:w="956"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kern w:val="0"/>
                <w:sz w:val="18"/>
                <w:szCs w:val="18"/>
                <w:lang w:bidi="ar"/>
              </w:rPr>
              <w:t>蚁害调查记录表</w:t>
            </w:r>
          </w:p>
        </w:tc>
        <w:tc>
          <w:tcPr>
            <w:tcW w:w="1241" w:type="pct"/>
            <w:tcBorders>
              <w:top w:val="single" w:color="auto" w:sz="4" w:space="0"/>
              <w:left w:val="single" w:color="auto" w:sz="4" w:space="0"/>
              <w:bottom w:val="single" w:color="auto" w:sz="4" w:space="0"/>
              <w:right w:val="single" w:color="auto" w:sz="8"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无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512" w:type="pct"/>
            <w:tcBorders>
              <w:top w:val="single" w:color="auto" w:sz="4" w:space="0"/>
              <w:left w:val="single" w:color="auto" w:sz="8"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kern w:val="0"/>
                <w:sz w:val="18"/>
                <w:szCs w:val="18"/>
                <w:lang w:bidi="ar"/>
              </w:rPr>
              <w:t>白蚁灭治技术方案</w:t>
            </w:r>
          </w:p>
        </w:tc>
        <w:tc>
          <w:tcPr>
            <w:tcW w:w="1291"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无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全</w:t>
            </w:r>
          </w:p>
        </w:tc>
        <w:tc>
          <w:tcPr>
            <w:tcW w:w="956"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kern w:val="0"/>
                <w:sz w:val="18"/>
                <w:szCs w:val="18"/>
                <w:lang w:bidi="ar"/>
              </w:rPr>
              <w:t>白蚁灭治施工记录</w:t>
            </w:r>
          </w:p>
        </w:tc>
        <w:tc>
          <w:tcPr>
            <w:tcW w:w="1241" w:type="pct"/>
            <w:tcBorders>
              <w:top w:val="single" w:color="auto" w:sz="4" w:space="0"/>
              <w:left w:val="single" w:color="auto" w:sz="4" w:space="0"/>
              <w:bottom w:val="single" w:color="auto" w:sz="4" w:space="0"/>
              <w:right w:val="single" w:color="auto" w:sz="8"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无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1512" w:type="pct"/>
            <w:tcBorders>
              <w:top w:val="single" w:color="auto" w:sz="4" w:space="0"/>
              <w:left w:val="single" w:color="auto" w:sz="8"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rPr>
              <w:t>施工总结</w:t>
            </w:r>
          </w:p>
        </w:tc>
        <w:tc>
          <w:tcPr>
            <w:tcW w:w="1291"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无 </w:t>
            </w: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有 </w:t>
            </w:r>
            <w:r>
              <w:rPr>
                <w:rFonts w:hint="eastAsia" w:ascii="Times New Roman" w:hAnsi="Times New Roman" w:cs="Times New Roman"/>
                <w:sz w:val="18"/>
                <w:szCs w:val="18"/>
                <w:lang w:bidi="ar"/>
              </w:rPr>
              <w:t>□</w:t>
            </w:r>
            <w:r>
              <w:rPr>
                <w:rFonts w:ascii="Times New Roman" w:hAnsi="Times New Roman" w:cs="Times New Roman"/>
                <w:sz w:val="18"/>
                <w:szCs w:val="18"/>
                <w:lang w:bidi="ar"/>
              </w:rPr>
              <w:t>全</w:t>
            </w:r>
          </w:p>
        </w:tc>
        <w:tc>
          <w:tcPr>
            <w:tcW w:w="956"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color w:val="FF0000"/>
                <w:sz w:val="18"/>
                <w:szCs w:val="18"/>
              </w:rPr>
            </w:pPr>
            <w:r>
              <w:rPr>
                <w:rFonts w:ascii="Times New Roman" w:hAnsi="Times New Roman"/>
                <w:kern w:val="0"/>
                <w:sz w:val="18"/>
                <w:szCs w:val="18"/>
                <w:lang w:bidi="ar"/>
              </w:rPr>
              <w:t>其</w:t>
            </w:r>
            <w:r>
              <w:rPr>
                <w:rFonts w:hint="eastAsia" w:ascii="Times New Roman" w:hAnsi="Times New Roman"/>
                <w:kern w:val="0"/>
                <w:sz w:val="18"/>
                <w:szCs w:val="18"/>
                <w:lang w:bidi="ar"/>
              </w:rPr>
              <w:t>他</w:t>
            </w:r>
            <w:r>
              <w:rPr>
                <w:rFonts w:ascii="Times New Roman" w:hAnsi="Times New Roman"/>
                <w:kern w:val="0"/>
                <w:sz w:val="18"/>
                <w:szCs w:val="18"/>
                <w:lang w:bidi="ar"/>
              </w:rPr>
              <w:t>相关的技术资料</w:t>
            </w:r>
          </w:p>
        </w:tc>
        <w:tc>
          <w:tcPr>
            <w:tcW w:w="1241" w:type="pct"/>
            <w:tcBorders>
              <w:top w:val="single" w:color="auto" w:sz="4" w:space="0"/>
              <w:left w:val="single" w:color="auto" w:sz="4" w:space="0"/>
              <w:bottom w:val="single" w:color="auto" w:sz="4" w:space="0"/>
              <w:right w:val="single" w:color="auto" w:sz="8" w:space="0"/>
            </w:tcBorders>
            <w:vAlign w:val="center"/>
          </w:tcPr>
          <w:p>
            <w:pPr>
              <w:spacing w:line="240" w:lineRule="atLeast"/>
              <w:jc w:val="center"/>
              <w:rPr>
                <w:rFonts w:ascii="Times New Roman" w:hAnsi="Times New Roman"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5000" w:type="pct"/>
            <w:gridSpan w:val="6"/>
            <w:tcBorders>
              <w:top w:val="single" w:color="auto" w:sz="4" w:space="0"/>
              <w:left w:val="single" w:color="auto" w:sz="8" w:space="0"/>
              <w:bottom w:val="single" w:color="auto" w:sz="4" w:space="0"/>
              <w:right w:val="single" w:color="auto" w:sz="8" w:space="0"/>
            </w:tcBorders>
            <w:vAlign w:val="center"/>
          </w:tcPr>
          <w:p>
            <w:pPr>
              <w:pStyle w:val="30"/>
              <w:widowControl/>
              <w:autoSpaceDE w:val="0"/>
              <w:autoSpaceDN w:val="0"/>
              <w:jc w:val="left"/>
              <w:rPr>
                <w:rFonts w:ascii="Times New Roman" w:hAnsi="Times New Roman"/>
                <w:sz w:val="18"/>
                <w:szCs w:val="18"/>
              </w:rPr>
            </w:pPr>
            <w:r>
              <w:rPr>
                <w:rFonts w:ascii="Times New Roman" w:hAnsi="Times New Roman"/>
                <w:kern w:val="0"/>
                <w:sz w:val="18"/>
                <w:szCs w:val="18"/>
                <w:lang w:bidi="ar"/>
              </w:rPr>
              <w:t>二、药械的合规性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atLeast"/>
          <w:jc w:val="center"/>
        </w:trPr>
        <w:tc>
          <w:tcPr>
            <w:tcW w:w="1512" w:type="pct"/>
            <w:tcBorders>
              <w:top w:val="single" w:color="auto" w:sz="4" w:space="0"/>
              <w:left w:val="single" w:color="auto" w:sz="8"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sz w:val="18"/>
                <w:szCs w:val="18"/>
                <w:lang w:bidi="ar"/>
              </w:rPr>
              <w:t>白蚁防治药剂</w:t>
            </w:r>
          </w:p>
        </w:tc>
        <w:tc>
          <w:tcPr>
            <w:tcW w:w="1291"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ind w:right="420" w:firstLine="540" w:firstLineChars="300"/>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符合</w:t>
            </w:r>
          </w:p>
          <w:p>
            <w:pPr>
              <w:spacing w:line="240" w:lineRule="atLeast"/>
              <w:ind w:right="420" w:firstLine="540" w:firstLineChars="300"/>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不符合</w:t>
            </w:r>
          </w:p>
        </w:tc>
        <w:tc>
          <w:tcPr>
            <w:tcW w:w="956"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sz w:val="18"/>
                <w:szCs w:val="18"/>
                <w:lang w:bidi="ar"/>
              </w:rPr>
              <w:t>监测控制系统</w:t>
            </w:r>
          </w:p>
        </w:tc>
        <w:tc>
          <w:tcPr>
            <w:tcW w:w="1241" w:type="pct"/>
            <w:tcBorders>
              <w:top w:val="single" w:color="auto" w:sz="4" w:space="0"/>
              <w:left w:val="single" w:color="auto" w:sz="4" w:space="0"/>
              <w:bottom w:val="single" w:color="auto" w:sz="4" w:space="0"/>
              <w:right w:val="single" w:color="auto" w:sz="8" w:space="0"/>
            </w:tcBorders>
            <w:vAlign w:val="center"/>
          </w:tcPr>
          <w:p>
            <w:pPr>
              <w:spacing w:line="240" w:lineRule="atLeast"/>
              <w:ind w:right="420"/>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符合</w:t>
            </w:r>
          </w:p>
          <w:p>
            <w:pPr>
              <w:spacing w:line="240" w:lineRule="atLeast"/>
              <w:ind w:right="420"/>
              <w:jc w:val="center"/>
              <w:rPr>
                <w:rFonts w:ascii="Times New Roman" w:hAnsi="Times New Roman" w:cs="Times New Roman"/>
                <w:sz w:val="18"/>
                <w:szCs w:val="18"/>
              </w:rPr>
            </w:pPr>
            <w:r>
              <w:rPr>
                <w:rFonts w:hint="eastAsia" w:ascii="Times New Roman" w:hAnsi="Times New Roman" w:cs="Times New Roman"/>
                <w:sz w:val="18"/>
                <w:szCs w:val="18"/>
                <w:lang w:bidi="ar"/>
              </w:rPr>
              <w:t xml:space="preserve"> </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w:t>
            </w:r>
            <w:r>
              <w:rPr>
                <w:rFonts w:ascii="Times New Roman" w:hAnsi="Times New Roman" w:cs="Times New Roman"/>
                <w:sz w:val="18"/>
                <w:szCs w:val="18"/>
                <w:lang w:bidi="ar"/>
              </w:rPr>
              <w:t>不符合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2" w:hRule="atLeast"/>
          <w:jc w:val="center"/>
        </w:trPr>
        <w:tc>
          <w:tcPr>
            <w:tcW w:w="1512" w:type="pct"/>
            <w:tcBorders>
              <w:top w:val="single" w:color="auto" w:sz="4" w:space="0"/>
              <w:left w:val="single" w:color="auto" w:sz="8"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hint="eastAsia" w:ascii="Times New Roman" w:hAnsi="Times New Roman" w:cs="Times New Roman"/>
                <w:sz w:val="18"/>
                <w:szCs w:val="18"/>
              </w:rPr>
              <w:t>施工方法选择</w:t>
            </w:r>
          </w:p>
        </w:tc>
        <w:tc>
          <w:tcPr>
            <w:tcW w:w="1291"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ind w:right="420" w:firstLine="540" w:firstLineChars="300"/>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符合</w:t>
            </w:r>
          </w:p>
          <w:p>
            <w:pPr>
              <w:spacing w:line="240" w:lineRule="atLeast"/>
              <w:ind w:right="420" w:firstLine="540" w:firstLineChars="300"/>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不符合</w:t>
            </w:r>
          </w:p>
        </w:tc>
        <w:tc>
          <w:tcPr>
            <w:tcW w:w="956" w:type="pct"/>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18"/>
                <w:szCs w:val="18"/>
              </w:rPr>
            </w:pPr>
            <w:r>
              <w:rPr>
                <w:rFonts w:ascii="Times New Roman" w:hAnsi="Times New Roman" w:cs="Times New Roman"/>
                <w:sz w:val="18"/>
                <w:szCs w:val="18"/>
                <w:lang w:bidi="ar"/>
              </w:rPr>
              <w:t>其</w:t>
            </w:r>
            <w:r>
              <w:rPr>
                <w:rFonts w:hint="eastAsia" w:ascii="Times New Roman" w:hAnsi="Times New Roman" w:cs="Times New Roman"/>
                <w:sz w:val="18"/>
                <w:szCs w:val="18"/>
                <w:lang w:bidi="ar"/>
              </w:rPr>
              <w:t>他</w:t>
            </w:r>
          </w:p>
        </w:tc>
        <w:tc>
          <w:tcPr>
            <w:tcW w:w="1241" w:type="pct"/>
            <w:tcBorders>
              <w:top w:val="single" w:color="auto" w:sz="4" w:space="0"/>
              <w:left w:val="single" w:color="auto" w:sz="4" w:space="0"/>
              <w:bottom w:val="single" w:color="auto" w:sz="4" w:space="0"/>
              <w:right w:val="single" w:color="auto" w:sz="8" w:space="0"/>
            </w:tcBorders>
            <w:vAlign w:val="center"/>
          </w:tcPr>
          <w:p>
            <w:pPr>
              <w:spacing w:line="240" w:lineRule="atLeast"/>
              <w:ind w:right="420"/>
              <w:jc w:val="center"/>
              <w:rPr>
                <w:rFonts w:ascii="Times New Roman" w:hAnsi="Times New Roman" w:cs="Times New Roman"/>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5000" w:type="pct"/>
            <w:gridSpan w:val="6"/>
            <w:tcBorders>
              <w:top w:val="single" w:color="auto" w:sz="4" w:space="0"/>
              <w:left w:val="single" w:color="auto" w:sz="8" w:space="0"/>
              <w:bottom w:val="single" w:color="auto" w:sz="4" w:space="0"/>
              <w:right w:val="single" w:color="auto" w:sz="8" w:space="0"/>
            </w:tcBorders>
            <w:vAlign w:val="center"/>
          </w:tcPr>
          <w:p>
            <w:pPr>
              <w:pStyle w:val="30"/>
              <w:widowControl/>
              <w:autoSpaceDE w:val="0"/>
              <w:autoSpaceDN w:val="0"/>
              <w:jc w:val="left"/>
              <w:rPr>
                <w:rFonts w:ascii="Times New Roman" w:hAnsi="Times New Roman"/>
                <w:sz w:val="18"/>
                <w:szCs w:val="18"/>
              </w:rPr>
            </w:pPr>
            <w:r>
              <w:rPr>
                <w:rFonts w:ascii="Times New Roman" w:hAnsi="Times New Roman"/>
                <w:kern w:val="0"/>
                <w:sz w:val="18"/>
                <w:szCs w:val="18"/>
                <w:lang w:bidi="ar"/>
              </w:rPr>
              <w:t>三、白蚁</w:t>
            </w:r>
            <w:r>
              <w:rPr>
                <w:rFonts w:hint="eastAsia" w:ascii="Times New Roman" w:hAnsi="Times New Roman"/>
                <w:kern w:val="0"/>
                <w:sz w:val="18"/>
                <w:szCs w:val="18"/>
                <w:lang w:bidi="ar"/>
              </w:rPr>
              <w:t>区域</w:t>
            </w:r>
            <w:r>
              <w:rPr>
                <w:rFonts w:ascii="Times New Roman" w:hAnsi="Times New Roman"/>
                <w:kern w:val="0"/>
                <w:sz w:val="18"/>
                <w:szCs w:val="18"/>
                <w:lang w:bidi="ar"/>
              </w:rPr>
              <w:t>治理效果</w:t>
            </w:r>
            <w:r>
              <w:rPr>
                <w:rFonts w:hint="eastAsia" w:ascii="Times New Roman" w:hAnsi="Times New Roman"/>
                <w:kern w:val="0"/>
                <w:sz w:val="18"/>
                <w:szCs w:val="18"/>
                <w:lang w:bidi="ar"/>
              </w:rPr>
              <w:t>评价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3" w:type="pct"/>
            <w:gridSpan w:val="3"/>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18"/>
                <w:szCs w:val="18"/>
              </w:rPr>
            </w:pPr>
            <w:r>
              <w:rPr>
                <w:rFonts w:ascii="Times New Roman" w:hAnsi="Times New Roman" w:cs="Times New Roman"/>
                <w:sz w:val="18"/>
                <w:szCs w:val="18"/>
                <w:lang w:bidi="ar"/>
              </w:rPr>
              <w:t>指    标</w:t>
            </w:r>
          </w:p>
        </w:tc>
        <w:tc>
          <w:tcPr>
            <w:tcW w:w="2197" w:type="pct"/>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tLeast"/>
              <w:jc w:val="center"/>
              <w:rPr>
                <w:rFonts w:ascii="Times New Roman" w:hAnsi="Times New Roman" w:cs="Times New Roman"/>
                <w:sz w:val="18"/>
                <w:szCs w:val="18"/>
              </w:rPr>
            </w:pPr>
            <w:r>
              <w:rPr>
                <w:rFonts w:hint="eastAsia" w:ascii="Times New Roman" w:hAnsi="Times New Roman" w:cs="Times New Roman"/>
                <w:sz w:val="18"/>
                <w:szCs w:val="18"/>
              </w:rPr>
              <w:t>评价项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3" w:type="pct"/>
            <w:gridSpan w:val="3"/>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hint="eastAsia" w:ascii="Times New Roman" w:hAnsi="Times New Roman" w:cs="Times New Roman"/>
                <w:sz w:val="18"/>
                <w:szCs w:val="18"/>
                <w:lang w:bidi="ar"/>
              </w:rPr>
              <w:t>区域内已发现的白蚁危害点经治理后</w:t>
            </w:r>
            <w:r>
              <w:rPr>
                <w:rFonts w:ascii="Times New Roman" w:hAnsi="Times New Roman" w:cs="Times New Roman"/>
                <w:sz w:val="18"/>
                <w:szCs w:val="18"/>
                <w:lang w:bidi="ar"/>
              </w:rPr>
              <w:t>未见白蚁活体</w:t>
            </w:r>
          </w:p>
        </w:tc>
        <w:tc>
          <w:tcPr>
            <w:tcW w:w="2197" w:type="pct"/>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tLeast"/>
              <w:jc w:val="center"/>
              <w:rPr>
                <w:rFonts w:ascii="Times New Roman" w:hAnsi="Times New Roman" w:cs="Times New Roman"/>
                <w:sz w:val="18"/>
                <w:szCs w:val="18"/>
              </w:rPr>
            </w:pPr>
            <w:r>
              <w:rPr>
                <w:rFonts w:hint="eastAsia" w:ascii="Times New Roman" w:hAnsi="Times New Roman" w:cs="Times New Roman"/>
                <w:sz w:val="18"/>
                <w:szCs w:val="18"/>
                <w:lang w:bidi="ar"/>
              </w:rPr>
              <w:t>□</w:t>
            </w:r>
            <w:r>
              <w:rPr>
                <w:rFonts w:ascii="Times New Roman" w:hAnsi="Times New Roman" w:cs="Times New Roman"/>
                <w:sz w:val="18"/>
                <w:szCs w:val="18"/>
                <w:lang w:bidi="ar"/>
              </w:rPr>
              <w:t xml:space="preserve">符合   </w:t>
            </w:r>
            <w:r>
              <w:rPr>
                <w:rFonts w:hint="eastAsia" w:ascii="Times New Roman" w:hAnsi="Times New Roman" w:cs="Times New Roman"/>
                <w:sz w:val="18"/>
                <w:szCs w:val="18"/>
                <w:lang w:bidi="ar"/>
              </w:rPr>
              <w:t>□</w:t>
            </w:r>
            <w:r>
              <w:rPr>
                <w:rFonts w:ascii="Times New Roman" w:hAnsi="Times New Roman" w:cs="Times New Roman"/>
                <w:sz w:val="18"/>
                <w:szCs w:val="18"/>
                <w:lang w:bidi="ar"/>
              </w:rPr>
              <w:t>不符合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3" w:type="pct"/>
            <w:gridSpan w:val="3"/>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ascii="Times New Roman" w:hAnsi="Times New Roman" w:cs="Times New Roman"/>
                <w:sz w:val="18"/>
                <w:szCs w:val="18"/>
                <w:lang w:bidi="ar"/>
              </w:rPr>
              <w:t>已</w:t>
            </w:r>
            <w:r>
              <w:rPr>
                <w:rFonts w:hint="eastAsia" w:ascii="Times New Roman" w:hAnsi="Times New Roman" w:cs="Times New Roman"/>
                <w:sz w:val="18"/>
                <w:szCs w:val="18"/>
                <w:lang w:bidi="ar"/>
              </w:rPr>
              <w:t>治理房屋</w:t>
            </w:r>
            <w:r>
              <w:rPr>
                <w:rFonts w:ascii="Times New Roman" w:hAnsi="Times New Roman" w:cs="Times New Roman"/>
                <w:sz w:val="18"/>
                <w:szCs w:val="18"/>
                <w:lang w:bidi="ar"/>
              </w:rPr>
              <w:t>未出现新的白蚁活动迹象</w:t>
            </w:r>
          </w:p>
        </w:tc>
        <w:tc>
          <w:tcPr>
            <w:tcW w:w="2197" w:type="pct"/>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hint="eastAsia" w:ascii="Times New Roman" w:hAnsi="Times New Roman" w:cs="Times New Roman"/>
                <w:sz w:val="18"/>
                <w:szCs w:val="18"/>
                <w:lang w:bidi="ar"/>
              </w:rPr>
              <w:t>□</w:t>
            </w:r>
            <w:r>
              <w:rPr>
                <w:rFonts w:ascii="Times New Roman" w:hAnsi="Times New Roman" w:cs="Times New Roman"/>
                <w:sz w:val="18"/>
                <w:szCs w:val="18"/>
                <w:shd w:val="clear" w:color="auto" w:fill="FFFFFF"/>
                <w:lang w:bidi="ar"/>
              </w:rPr>
              <w:t xml:space="preserve">符合   </w:t>
            </w:r>
            <w:r>
              <w:rPr>
                <w:rFonts w:hint="eastAsia" w:ascii="Times New Roman" w:hAnsi="Times New Roman" w:cs="Times New Roman"/>
                <w:sz w:val="18"/>
                <w:szCs w:val="18"/>
                <w:lang w:bidi="ar"/>
              </w:rPr>
              <w:t>□</w:t>
            </w:r>
            <w:r>
              <w:rPr>
                <w:rFonts w:ascii="Times New Roman" w:hAnsi="Times New Roman" w:cs="Times New Roman"/>
                <w:sz w:val="18"/>
                <w:szCs w:val="18"/>
                <w:shd w:val="clear" w:color="auto" w:fill="FFFFFF"/>
                <w:lang w:bidi="ar"/>
              </w:rPr>
              <w:t>不符合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3" w:type="pct"/>
            <w:gridSpan w:val="3"/>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ascii="Times New Roman" w:hAnsi="Times New Roman" w:cs="Times New Roman"/>
                <w:sz w:val="18"/>
                <w:szCs w:val="18"/>
                <w:lang w:bidi="ar"/>
              </w:rPr>
              <w:t>治理区域内危害率下降90%以上</w:t>
            </w:r>
          </w:p>
        </w:tc>
        <w:tc>
          <w:tcPr>
            <w:tcW w:w="2197" w:type="pct"/>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hint="eastAsia" w:ascii="Times New Roman" w:hAnsi="Times New Roman" w:cs="Times New Roman"/>
                <w:sz w:val="18"/>
                <w:szCs w:val="18"/>
                <w:lang w:bidi="ar"/>
              </w:rPr>
              <w:t>□</w:t>
            </w:r>
            <w:r>
              <w:rPr>
                <w:rFonts w:ascii="Times New Roman" w:hAnsi="Times New Roman" w:cs="Times New Roman"/>
                <w:sz w:val="18"/>
                <w:szCs w:val="18"/>
                <w:shd w:val="clear" w:color="auto" w:fill="FFFFFF"/>
                <w:lang w:bidi="ar"/>
              </w:rPr>
              <w:t xml:space="preserve">符合   </w:t>
            </w:r>
            <w:r>
              <w:rPr>
                <w:rFonts w:hint="eastAsia" w:ascii="Times New Roman" w:hAnsi="Times New Roman" w:cs="Times New Roman"/>
                <w:sz w:val="18"/>
                <w:szCs w:val="18"/>
                <w:lang w:bidi="ar"/>
              </w:rPr>
              <w:t>□</w:t>
            </w:r>
            <w:r>
              <w:rPr>
                <w:rFonts w:ascii="Times New Roman" w:hAnsi="Times New Roman" w:cs="Times New Roman"/>
                <w:sz w:val="18"/>
                <w:szCs w:val="18"/>
                <w:shd w:val="clear" w:color="auto" w:fill="FFFFFF"/>
                <w:lang w:bidi="ar"/>
              </w:rPr>
              <w:t>不符合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3" w:type="pct"/>
            <w:gridSpan w:val="3"/>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ascii="Times New Roman" w:hAnsi="Times New Roman" w:cs="Times New Roman"/>
                <w:sz w:val="18"/>
                <w:szCs w:val="18"/>
                <w:lang w:bidi="ar"/>
              </w:rPr>
              <w:t>治理区域内房屋白蚁危害等级不高于Ⅰ级</w:t>
            </w:r>
          </w:p>
        </w:tc>
        <w:tc>
          <w:tcPr>
            <w:tcW w:w="2197" w:type="pct"/>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hint="eastAsia" w:ascii="Times New Roman" w:hAnsi="Times New Roman" w:cs="Times New Roman"/>
                <w:sz w:val="18"/>
                <w:szCs w:val="18"/>
                <w:lang w:bidi="ar"/>
              </w:rPr>
              <w:t xml:space="preserve">□符合 </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□不符合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3" w:type="pct"/>
            <w:gridSpan w:val="3"/>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ascii="Times New Roman" w:hAnsi="Times New Roman" w:cs="Times New Roman"/>
                <w:sz w:val="18"/>
                <w:szCs w:val="18"/>
                <w:lang w:bidi="ar"/>
              </w:rPr>
              <w:t>治理区域内园林植被白蚁危害等级不高于Ⅰ级</w:t>
            </w:r>
          </w:p>
        </w:tc>
        <w:tc>
          <w:tcPr>
            <w:tcW w:w="2197" w:type="pct"/>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tLeast"/>
              <w:jc w:val="center"/>
              <w:rPr>
                <w:rFonts w:ascii="Times New Roman" w:hAnsi="Times New Roman" w:cs="Times New Roman"/>
                <w:sz w:val="18"/>
                <w:szCs w:val="18"/>
                <w:lang w:bidi="ar"/>
              </w:rPr>
            </w:pPr>
            <w:r>
              <w:rPr>
                <w:rFonts w:hint="eastAsia" w:ascii="Times New Roman" w:hAnsi="Times New Roman" w:cs="Times New Roman"/>
                <w:sz w:val="18"/>
                <w:szCs w:val="18"/>
                <w:lang w:bidi="ar"/>
              </w:rPr>
              <w:t xml:space="preserve">□符合 </w:t>
            </w:r>
            <w:r>
              <w:rPr>
                <w:rFonts w:ascii="Times New Roman" w:hAnsi="Times New Roman" w:cs="Times New Roman"/>
                <w:sz w:val="18"/>
                <w:szCs w:val="18"/>
                <w:lang w:bidi="ar"/>
              </w:rPr>
              <w:t xml:space="preserve"> </w:t>
            </w:r>
            <w:r>
              <w:rPr>
                <w:rFonts w:hint="eastAsia" w:ascii="Times New Roman" w:hAnsi="Times New Roman" w:cs="Times New Roman"/>
                <w:sz w:val="18"/>
                <w:szCs w:val="18"/>
                <w:lang w:bidi="ar"/>
              </w:rPr>
              <w:t xml:space="preserve"> □不符合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34" w:hRule="atLeast"/>
          <w:jc w:val="center"/>
        </w:trPr>
        <w:tc>
          <w:tcPr>
            <w:tcW w:w="5000" w:type="pct"/>
            <w:gridSpan w:val="6"/>
            <w:tcBorders>
              <w:top w:val="single" w:color="auto" w:sz="4" w:space="0"/>
              <w:left w:val="single" w:color="auto" w:sz="8" w:space="0"/>
              <w:bottom w:val="single" w:color="auto" w:sz="4" w:space="0"/>
              <w:right w:val="single" w:color="auto" w:sz="8" w:space="0"/>
            </w:tcBorders>
            <w:vAlign w:val="center"/>
          </w:tcPr>
          <w:p>
            <w:pPr>
              <w:pStyle w:val="30"/>
              <w:widowControl/>
              <w:autoSpaceDE w:val="0"/>
              <w:autoSpaceDN w:val="0"/>
              <w:rPr>
                <w:rFonts w:ascii="Times New Roman" w:hAnsi="Times New Roman"/>
                <w:sz w:val="18"/>
                <w:szCs w:val="18"/>
              </w:rPr>
            </w:pPr>
            <w:r>
              <w:rPr>
                <w:rFonts w:hint="eastAsia" w:ascii="Times New Roman" w:hAnsi="Times New Roman"/>
                <w:kern w:val="0"/>
                <w:sz w:val="18"/>
                <w:szCs w:val="18"/>
                <w:lang w:bidi="ar"/>
              </w:rPr>
              <w:t>四、</w:t>
            </w:r>
            <w:r>
              <w:rPr>
                <w:rFonts w:ascii="Times New Roman" w:hAnsi="Times New Roman"/>
                <w:kern w:val="0"/>
                <w:sz w:val="18"/>
                <w:szCs w:val="18"/>
                <w:lang w:bidi="ar"/>
              </w:rPr>
              <w:t xml:space="preserve">评价结论（合格＼不合格） </w:t>
            </w:r>
          </w:p>
          <w:p>
            <w:pPr>
              <w:pStyle w:val="30"/>
              <w:widowControl/>
              <w:autoSpaceDE w:val="0"/>
              <w:autoSpaceDN w:val="0"/>
              <w:rPr>
                <w:rFonts w:ascii="Times New Roman" w:hAnsi="Times New Roman"/>
                <w:kern w:val="0"/>
                <w:sz w:val="18"/>
                <w:szCs w:val="18"/>
                <w:lang w:bidi="ar"/>
              </w:rPr>
            </w:pPr>
          </w:p>
          <w:p>
            <w:pPr>
              <w:pStyle w:val="30"/>
              <w:widowControl/>
              <w:autoSpaceDE w:val="0"/>
              <w:autoSpaceDN w:val="0"/>
              <w:rPr>
                <w:rFonts w:ascii="Times New Roman" w:hAnsi="Times New Roman"/>
                <w:kern w:val="0"/>
                <w:sz w:val="18"/>
                <w:szCs w:val="18"/>
                <w:lang w:bidi="ar"/>
              </w:rPr>
            </w:pPr>
          </w:p>
          <w:p>
            <w:pPr>
              <w:pStyle w:val="30"/>
              <w:widowControl/>
              <w:autoSpaceDE w:val="0"/>
              <w:autoSpaceDN w:val="0"/>
              <w:rPr>
                <w:rFonts w:ascii="Times New Roman" w:hAnsi="Times New Roman"/>
                <w:kern w:val="0"/>
                <w:sz w:val="18"/>
                <w:szCs w:val="18"/>
                <w:lang w:bidi="ar"/>
              </w:rPr>
            </w:pPr>
          </w:p>
          <w:p>
            <w:pPr>
              <w:pStyle w:val="30"/>
              <w:widowControl/>
              <w:autoSpaceDE w:val="0"/>
              <w:autoSpaceDN w:val="0"/>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6"/>
            <w:tcBorders>
              <w:top w:val="single" w:color="auto" w:sz="4" w:space="0"/>
              <w:left w:val="single" w:color="auto" w:sz="8" w:space="0"/>
              <w:bottom w:val="single" w:color="auto" w:sz="4" w:space="0"/>
              <w:right w:val="single" w:color="auto" w:sz="8" w:space="0"/>
            </w:tcBorders>
            <w:vAlign w:val="center"/>
          </w:tcPr>
          <w:p>
            <w:pPr>
              <w:pStyle w:val="30"/>
              <w:widowControl/>
              <w:autoSpaceDE w:val="0"/>
              <w:autoSpaceDN w:val="0"/>
              <w:jc w:val="left"/>
              <w:rPr>
                <w:rFonts w:ascii="Times New Roman" w:hAnsi="Times New Roman"/>
                <w:sz w:val="18"/>
                <w:szCs w:val="18"/>
              </w:rPr>
            </w:pPr>
            <w:r>
              <w:rPr>
                <w:rFonts w:ascii="Times New Roman" w:hAnsi="Times New Roman"/>
                <w:kern w:val="0"/>
                <w:sz w:val="18"/>
                <w:szCs w:val="18"/>
                <w:lang w:bidi="ar"/>
              </w:rPr>
              <w:t>评价人员签名：</w:t>
            </w:r>
          </w:p>
          <w:p>
            <w:pPr>
              <w:pStyle w:val="30"/>
              <w:widowControl/>
              <w:autoSpaceDE w:val="0"/>
              <w:autoSpaceDN w:val="0"/>
              <w:jc w:val="left"/>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45" w:hRule="atLeast"/>
          <w:jc w:val="center"/>
        </w:trPr>
        <w:tc>
          <w:tcPr>
            <w:tcW w:w="1666" w:type="pct"/>
            <w:gridSpan w:val="2"/>
            <w:tcBorders>
              <w:top w:val="single" w:color="auto" w:sz="4" w:space="0"/>
              <w:left w:val="single" w:color="auto" w:sz="8" w:space="0"/>
              <w:bottom w:val="single" w:color="auto" w:sz="4" w:space="0"/>
              <w:right w:val="single" w:color="auto" w:sz="8" w:space="0"/>
            </w:tcBorders>
          </w:tcPr>
          <w:p>
            <w:pPr>
              <w:spacing w:line="240" w:lineRule="atLeast"/>
              <w:rPr>
                <w:rFonts w:ascii="Times New Roman" w:hAnsi="Times New Roman" w:cs="Times New Roman"/>
                <w:sz w:val="18"/>
                <w:szCs w:val="18"/>
              </w:rPr>
            </w:pPr>
            <w:r>
              <w:rPr>
                <w:rFonts w:hint="eastAsia" w:ascii="Times New Roman" w:hAnsi="Times New Roman" w:cs="Times New Roman"/>
                <w:sz w:val="18"/>
                <w:szCs w:val="18"/>
              </w:rPr>
              <w:t>白蚁防治单位：</w:t>
            </w:r>
          </w:p>
        </w:tc>
        <w:tc>
          <w:tcPr>
            <w:tcW w:w="1667" w:type="pct"/>
            <w:gridSpan w:val="2"/>
            <w:tcBorders>
              <w:top w:val="single" w:color="auto" w:sz="4" w:space="0"/>
              <w:left w:val="single" w:color="auto" w:sz="8" w:space="0"/>
              <w:bottom w:val="single" w:color="auto" w:sz="4" w:space="0"/>
              <w:right w:val="single" w:color="auto" w:sz="8" w:space="0"/>
            </w:tcBorders>
          </w:tcPr>
          <w:p>
            <w:pPr>
              <w:spacing w:line="240" w:lineRule="atLeast"/>
              <w:rPr>
                <w:rFonts w:ascii="Times New Roman" w:hAnsi="Times New Roman" w:cs="Times New Roman"/>
                <w:sz w:val="18"/>
                <w:szCs w:val="18"/>
              </w:rPr>
            </w:pPr>
            <w:r>
              <w:rPr>
                <w:rFonts w:ascii="Times New Roman" w:hAnsi="Times New Roman" w:cs="Times New Roman"/>
                <w:sz w:val="18"/>
                <w:szCs w:val="18"/>
                <w:lang w:bidi="ar"/>
              </w:rPr>
              <w:t>委托方（公章）：</w:t>
            </w:r>
          </w:p>
        </w:tc>
        <w:tc>
          <w:tcPr>
            <w:tcW w:w="1667" w:type="pct"/>
            <w:gridSpan w:val="2"/>
            <w:tcBorders>
              <w:top w:val="single" w:color="auto" w:sz="4" w:space="0"/>
              <w:left w:val="single" w:color="auto" w:sz="8" w:space="0"/>
              <w:bottom w:val="single" w:color="auto" w:sz="4" w:space="0"/>
              <w:right w:val="single" w:color="auto" w:sz="8" w:space="0"/>
            </w:tcBorders>
          </w:tcPr>
          <w:p>
            <w:pPr>
              <w:spacing w:line="240" w:lineRule="atLeast"/>
              <w:rPr>
                <w:rFonts w:ascii="Times New Roman" w:hAnsi="Times New Roman" w:cs="Times New Roman"/>
                <w:sz w:val="18"/>
                <w:szCs w:val="18"/>
              </w:rPr>
            </w:pPr>
            <w:r>
              <w:rPr>
                <w:rFonts w:hint="eastAsia" w:ascii="Times New Roman" w:hAnsi="Times New Roman" w:cs="Times New Roman"/>
                <w:sz w:val="18"/>
                <w:szCs w:val="18"/>
              </w:rPr>
              <w:t>评价单位（评价专家）：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95" w:hRule="atLeast"/>
          <w:jc w:val="center"/>
        </w:trPr>
        <w:tc>
          <w:tcPr>
            <w:tcW w:w="5000" w:type="pct"/>
            <w:gridSpan w:val="6"/>
            <w:tcBorders>
              <w:top w:val="single" w:color="auto" w:sz="4" w:space="0"/>
              <w:left w:val="single" w:color="auto" w:sz="8" w:space="0"/>
              <w:bottom w:val="single" w:color="auto" w:sz="8" w:space="0"/>
              <w:right w:val="single" w:color="auto" w:sz="8" w:space="0"/>
            </w:tcBorders>
            <w:vAlign w:val="center"/>
          </w:tcPr>
          <w:p>
            <w:pPr>
              <w:pStyle w:val="30"/>
              <w:widowControl/>
              <w:autoSpaceDE w:val="0"/>
              <w:autoSpaceDN w:val="0"/>
              <w:jc w:val="left"/>
              <w:rPr>
                <w:rFonts w:ascii="Times New Roman" w:hAnsi="Times New Roman"/>
                <w:sz w:val="18"/>
                <w:szCs w:val="18"/>
              </w:rPr>
            </w:pPr>
            <w:r>
              <w:rPr>
                <w:rFonts w:ascii="Times New Roman" w:hAnsi="Times New Roman"/>
                <w:kern w:val="0"/>
                <w:sz w:val="18"/>
                <w:szCs w:val="18"/>
                <w:lang w:bidi="ar"/>
              </w:rPr>
              <w:t>备注</w:t>
            </w:r>
          </w:p>
        </w:tc>
      </w:tr>
    </w:tbl>
    <w:p>
      <w:pPr>
        <w:pStyle w:val="30"/>
        <w:keepNext/>
        <w:pageBreakBefore/>
        <w:widowControl/>
        <w:shd w:val="clear" w:color="auto" w:fill="FFFFFF"/>
        <w:spacing w:before="640" w:after="200"/>
        <w:jc w:val="center"/>
        <w:outlineLvl w:val="0"/>
        <w:rPr>
          <w:rFonts w:ascii="Times New Roman" w:hAnsi="Times New Roman"/>
          <w:szCs w:val="24"/>
        </w:rPr>
      </w:pPr>
      <w:bookmarkStart w:id="278" w:name="_Toc4557"/>
      <w:bookmarkStart w:id="279" w:name="_Toc32070"/>
      <w:bookmarkStart w:id="280" w:name="_Toc116553961"/>
      <w:r>
        <w:rPr>
          <w:rFonts w:ascii="Times New Roman" w:hAnsi="Times New Roman" w:eastAsia="黑体"/>
          <w:kern w:val="0"/>
          <w:szCs w:val="24"/>
          <w:lang w:bidi="ar"/>
        </w:rPr>
        <w:t>参 考 文 献</w:t>
      </w:r>
      <w:bookmarkEnd w:id="278"/>
      <w:bookmarkEnd w:id="279"/>
      <w:bookmarkEnd w:id="280"/>
    </w:p>
    <w:p>
      <w:pPr>
        <w:pStyle w:val="50"/>
        <w:rPr>
          <w:rFonts w:ascii="Times New Roman"/>
        </w:rPr>
      </w:pPr>
      <w:r>
        <w:rPr>
          <w:rFonts w:ascii="Times New Roman"/>
        </w:rPr>
        <w:t>[1]  GB/T 50768-2012  白蚁防治工程基本术语标准</w:t>
      </w:r>
    </w:p>
    <w:p>
      <w:pPr>
        <w:pStyle w:val="50"/>
        <w:rPr>
          <w:rFonts w:ascii="Times New Roman"/>
        </w:rPr>
      </w:pPr>
      <w:r>
        <w:rPr>
          <w:rFonts w:ascii="Times New Roman"/>
        </w:rPr>
        <w:t>[2]  DB32/T 3694-2019 房屋白蚁预防工程技术规程</w:t>
      </w:r>
    </w:p>
    <w:p>
      <w:pPr>
        <w:pStyle w:val="50"/>
        <w:rPr>
          <w:rFonts w:ascii="Times New Roman"/>
          <w:szCs w:val="21"/>
          <w:lang w:val="zh-CN"/>
        </w:rPr>
      </w:pPr>
      <w:r>
        <w:rPr>
          <w:rFonts w:ascii="Times New Roman"/>
          <w:szCs w:val="21"/>
          <w:lang w:val="zh-CN"/>
        </w:rPr>
        <w:t>[3]  农药管理条例</w:t>
      </w:r>
      <w:r>
        <w:rPr>
          <w:rFonts w:hint="eastAsia" w:ascii="Times New Roman"/>
          <w:szCs w:val="21"/>
          <w:lang w:val="zh-CN"/>
        </w:rPr>
        <w:t>（2</w:t>
      </w:r>
      <w:r>
        <w:rPr>
          <w:rFonts w:ascii="Times New Roman"/>
          <w:szCs w:val="21"/>
          <w:lang w:val="zh-CN"/>
        </w:rPr>
        <w:t>022</w:t>
      </w:r>
      <w:r>
        <w:rPr>
          <w:rFonts w:hint="eastAsia" w:ascii="Times New Roman"/>
          <w:szCs w:val="21"/>
          <w:lang w:val="zh-CN"/>
        </w:rPr>
        <w:t>年修订）（中华人民共和国国务院令第2</w:t>
      </w:r>
      <w:r>
        <w:rPr>
          <w:rFonts w:ascii="Times New Roman"/>
          <w:szCs w:val="21"/>
          <w:lang w:val="zh-CN"/>
        </w:rPr>
        <w:t>16</w:t>
      </w:r>
      <w:r>
        <w:rPr>
          <w:rFonts w:hint="eastAsia" w:ascii="Times New Roman"/>
          <w:szCs w:val="21"/>
          <w:lang w:val="zh-CN"/>
        </w:rPr>
        <w:t>号）</w:t>
      </w:r>
    </w:p>
    <w:p>
      <w:pPr>
        <w:pStyle w:val="50"/>
        <w:rPr>
          <w:rFonts w:ascii="Times New Roman"/>
        </w:rPr>
      </w:pPr>
      <w:r>
        <w:rPr>
          <w:rFonts w:ascii="Times New Roman"/>
        </w:rPr>
        <w:t>[4]  JGJ/T 245-2011 房屋白蚁预防技术规程</w:t>
      </w:r>
    </w:p>
    <w:p>
      <w:pPr>
        <w:pStyle w:val="50"/>
        <w:rPr>
          <w:rFonts w:ascii="Times New Roman"/>
        </w:rPr>
      </w:pPr>
      <w:r>
        <w:rPr>
          <w:rFonts w:ascii="Times New Roman"/>
        </w:rPr>
        <w:t>[5]  中国白蚁防治专业培训教程 浙江大学出版社</w:t>
      </w:r>
    </w:p>
    <w:p>
      <w:pPr>
        <w:pStyle w:val="50"/>
        <w:rPr>
          <w:rFonts w:ascii="Times New Roman"/>
        </w:rPr>
      </w:pPr>
      <w:r>
        <w:rPr>
          <w:rFonts w:ascii="Times New Roman"/>
        </w:rPr>
        <w:t>[6]  中国房屋白蚁综合治理培训教程  南京大学出版社</w:t>
      </w:r>
    </w:p>
    <w:p>
      <w:pPr>
        <w:pStyle w:val="50"/>
        <w:rPr>
          <w:rFonts w:ascii="Times New Roman"/>
        </w:rPr>
      </w:pPr>
      <w:r>
        <w:rPr>
          <w:rFonts w:hint="eastAsia" w:ascii="Times New Roman"/>
        </w:rPr>
        <w:t>[</w:t>
      </w:r>
      <w:r>
        <w:rPr>
          <w:rFonts w:ascii="Times New Roman"/>
        </w:rPr>
        <w:t xml:space="preserve">7]  </w:t>
      </w:r>
      <w:r>
        <w:rPr>
          <w:rFonts w:hint="eastAsia" w:ascii="Times New Roman"/>
        </w:rPr>
        <w:t>白蚁综合治理示范项目 浙江大学出版社</w:t>
      </w:r>
    </w:p>
    <w:p>
      <w:pPr>
        <w:ind w:firstLine="420" w:firstLineChars="200"/>
        <w:rPr>
          <w:rFonts w:ascii="Times New Roman"/>
        </w:rPr>
      </w:pPr>
      <w:r>
        <w:rPr>
          <w:rFonts w:hint="eastAsia" w:ascii="Times New Roman"/>
        </w:rPr>
        <w:t>[</w:t>
      </w:r>
      <w:r>
        <w:rPr>
          <w:rFonts w:ascii="Times New Roman"/>
        </w:rPr>
        <w:t xml:space="preserve">8]  </w:t>
      </w:r>
      <w:r>
        <w:rPr>
          <w:rFonts w:hint="eastAsia" w:ascii="Times New Roman"/>
        </w:rPr>
        <w:t xml:space="preserve">白蚁防治技术与管理现状 </w:t>
      </w:r>
      <w:r>
        <w:rPr>
          <w:rFonts w:ascii="Times New Roman" w:hAnsi="Times New Roman" w:cs="Times New Roman"/>
        </w:rPr>
        <w:t xml:space="preserve">—— </w:t>
      </w:r>
      <w:r>
        <w:rPr>
          <w:rFonts w:hint="eastAsia" w:ascii="Times New Roman"/>
        </w:rPr>
        <w:t>中国、美国、欧洲、东南亚 浙江大学出版社</w:t>
      </w:r>
    </w:p>
    <w:p>
      <w:pPr>
        <w:pStyle w:val="50"/>
        <w:ind w:firstLine="0" w:firstLineChars="0"/>
        <w:rPr>
          <w:rFonts w:ascii="Times New Roman"/>
        </w:rPr>
      </w:pPr>
    </w:p>
    <w:p>
      <w:pPr>
        <w:pStyle w:val="143"/>
        <w:framePr w:wrap="around"/>
        <w:rPr>
          <w:rFonts w:ascii="Times New Roman" w:hAnsi="Times New Roman"/>
        </w:rPr>
      </w:pPr>
      <w:r>
        <w:rPr>
          <w:rFonts w:ascii="Times New Roman" w:hAnsi="Times New Roman"/>
        </w:rPr>
        <w:t>_________________________________</w:t>
      </w:r>
    </w:p>
    <w:p>
      <w:pPr>
        <w:rPr>
          <w:rFonts w:ascii="Times New Roman" w:hAnsi="Times New Roman" w:cs="Times New Roman"/>
        </w:rPr>
      </w:pP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0" w:usb3="00000000" w:csb0="0002009F" w:csb1="0000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 PAGE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t>DB 32/T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BF85FD"/>
    <w:multiLevelType w:val="multilevel"/>
    <w:tmpl w:val="A9BF85FD"/>
    <w:lvl w:ilvl="0" w:tentative="0">
      <w:start w:val="1"/>
      <w:numFmt w:val="decimal"/>
      <w:lvlText w:val="%1）"/>
      <w:lvlJc w:val="left"/>
      <w:pPr>
        <w:ind w:left="785" w:hanging="360"/>
      </w:pPr>
    </w:lvl>
    <w:lvl w:ilvl="1" w:tentative="0">
      <w:start w:val="1"/>
      <w:numFmt w:val="lowerLetter"/>
      <w:lvlText w:val="%2)"/>
      <w:lvlJc w:val="left"/>
      <w:pPr>
        <w:ind w:left="1265" w:hanging="420"/>
      </w:pPr>
    </w:lvl>
    <w:lvl w:ilvl="2" w:tentative="0">
      <w:start w:val="1"/>
      <w:numFmt w:val="lowerRoman"/>
      <w:pStyle w:val="154"/>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79102AD"/>
    <w:multiLevelType w:val="multilevel"/>
    <w:tmpl w:val="079102AD"/>
    <w:lvl w:ilvl="0" w:tentative="0">
      <w:start w:val="1"/>
      <w:numFmt w:val="decimal"/>
      <w:pStyle w:val="7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3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66"/>
      <w:suff w:val="nothing"/>
      <w:lvlText w:val="%1示例："/>
      <w:lvlJc w:val="left"/>
      <w:pPr>
        <w:ind w:left="582" w:firstLine="363"/>
      </w:pPr>
      <w:rPr>
        <w:rFonts w:hint="eastAsia" w:ascii="黑体" w:eastAsia="黑体"/>
        <w:b w:val="0"/>
        <w:i w:val="0"/>
        <w:sz w:val="18"/>
        <w:szCs w:val="18"/>
      </w:rPr>
    </w:lvl>
    <w:lvl w:ilvl="1" w:tentative="0">
      <w:start w:val="1"/>
      <w:numFmt w:val="lowerLetter"/>
      <w:lvlText w:val="%2)"/>
      <w:lvlJc w:val="left"/>
      <w:pPr>
        <w:tabs>
          <w:tab w:val="left" w:pos="945"/>
        </w:tabs>
        <w:ind w:left="582" w:firstLine="363"/>
      </w:pPr>
      <w:rPr>
        <w:rFonts w:hint="eastAsia"/>
      </w:rPr>
    </w:lvl>
    <w:lvl w:ilvl="2" w:tentative="0">
      <w:start w:val="1"/>
      <w:numFmt w:val="lowerRoman"/>
      <w:lvlText w:val="%3."/>
      <w:lvlJc w:val="right"/>
      <w:pPr>
        <w:tabs>
          <w:tab w:val="left" w:pos="945"/>
        </w:tabs>
        <w:ind w:left="582" w:firstLine="363"/>
      </w:pPr>
      <w:rPr>
        <w:rFonts w:hint="eastAsia"/>
      </w:rPr>
    </w:lvl>
    <w:lvl w:ilvl="3" w:tentative="0">
      <w:start w:val="1"/>
      <w:numFmt w:val="decimal"/>
      <w:lvlText w:val="%4."/>
      <w:lvlJc w:val="left"/>
      <w:pPr>
        <w:tabs>
          <w:tab w:val="left" w:pos="945"/>
        </w:tabs>
        <w:ind w:left="582" w:firstLine="363"/>
      </w:pPr>
      <w:rPr>
        <w:rFonts w:hint="eastAsia"/>
      </w:rPr>
    </w:lvl>
    <w:lvl w:ilvl="4" w:tentative="0">
      <w:start w:val="1"/>
      <w:numFmt w:val="lowerLetter"/>
      <w:lvlText w:val="%5)"/>
      <w:lvlJc w:val="left"/>
      <w:pPr>
        <w:tabs>
          <w:tab w:val="left" w:pos="945"/>
        </w:tabs>
        <w:ind w:left="582" w:firstLine="363"/>
      </w:pPr>
      <w:rPr>
        <w:rFonts w:hint="eastAsia"/>
      </w:rPr>
    </w:lvl>
    <w:lvl w:ilvl="5" w:tentative="0">
      <w:start w:val="1"/>
      <w:numFmt w:val="lowerRoman"/>
      <w:lvlText w:val="%6."/>
      <w:lvlJc w:val="right"/>
      <w:pPr>
        <w:tabs>
          <w:tab w:val="left" w:pos="945"/>
        </w:tabs>
        <w:ind w:left="582" w:firstLine="363"/>
      </w:pPr>
      <w:rPr>
        <w:rFonts w:hint="eastAsia"/>
      </w:rPr>
    </w:lvl>
    <w:lvl w:ilvl="6" w:tentative="0">
      <w:start w:val="1"/>
      <w:numFmt w:val="decimal"/>
      <w:lvlText w:val="%7."/>
      <w:lvlJc w:val="left"/>
      <w:pPr>
        <w:tabs>
          <w:tab w:val="left" w:pos="945"/>
        </w:tabs>
        <w:ind w:left="582" w:firstLine="363"/>
      </w:pPr>
      <w:rPr>
        <w:rFonts w:hint="eastAsia"/>
      </w:rPr>
    </w:lvl>
    <w:lvl w:ilvl="7" w:tentative="0">
      <w:start w:val="1"/>
      <w:numFmt w:val="lowerLetter"/>
      <w:lvlText w:val="%8)"/>
      <w:lvlJc w:val="left"/>
      <w:pPr>
        <w:tabs>
          <w:tab w:val="left" w:pos="945"/>
        </w:tabs>
        <w:ind w:left="582" w:firstLine="363"/>
      </w:pPr>
      <w:rPr>
        <w:rFonts w:hint="eastAsia"/>
      </w:rPr>
    </w:lvl>
    <w:lvl w:ilvl="8" w:tentative="0">
      <w:start w:val="1"/>
      <w:numFmt w:val="lowerRoman"/>
      <w:lvlText w:val="%9."/>
      <w:lvlJc w:val="right"/>
      <w:pPr>
        <w:tabs>
          <w:tab w:val="left" w:pos="945"/>
        </w:tabs>
        <w:ind w:left="582" w:firstLine="363"/>
      </w:pPr>
      <w:rPr>
        <w:rFonts w:hint="eastAsia"/>
      </w:rPr>
    </w:lvl>
  </w:abstractNum>
  <w:abstractNum w:abstractNumId="4">
    <w:nsid w:val="0DDE2B46"/>
    <w:multiLevelType w:val="multilevel"/>
    <w:tmpl w:val="0DDE2B46"/>
    <w:lvl w:ilvl="0" w:tentative="0">
      <w:start w:val="1"/>
      <w:numFmt w:val="lowerLetter"/>
      <w:pStyle w:val="13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79"/>
      <w:suff w:val="nothing"/>
      <w:lvlText w:val="注%1："/>
      <w:lvlJc w:val="left"/>
      <w:pPr>
        <w:ind w:left="811" w:hanging="448"/>
      </w:pPr>
      <w:rPr>
        <w:rFonts w:hint="eastAsia" w:ascii="黑体" w:hAnsi="黑体" w:eastAsia="黑体"/>
        <w:b w:val="0"/>
        <w:i w:val="0"/>
        <w:sz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6">
    <w:nsid w:val="1FC91163"/>
    <w:multiLevelType w:val="multilevel"/>
    <w:tmpl w:val="1FC91163"/>
    <w:lvl w:ilvl="0" w:tentative="0">
      <w:start w:val="1"/>
      <w:numFmt w:val="decimal"/>
      <w:pStyle w:val="59"/>
      <w:suff w:val="nothing"/>
      <w:lvlText w:val="%1　"/>
      <w:lvlJc w:val="left"/>
      <w:pPr>
        <w:ind w:left="568" w:firstLine="0"/>
      </w:pPr>
      <w:rPr>
        <w:rFonts w:hint="default" w:ascii="Times New Roman" w:hAnsi="Times New Roman" w:eastAsia="黑体" w:cs="Times New Roman"/>
        <w:b w:val="0"/>
        <w:i w:val="0"/>
        <w:sz w:val="21"/>
        <w:szCs w:val="21"/>
      </w:rPr>
    </w:lvl>
    <w:lvl w:ilvl="1" w:tentative="0">
      <w:start w:val="1"/>
      <w:numFmt w:val="decimal"/>
      <w:pStyle w:val="55"/>
      <w:suff w:val="nothing"/>
      <w:lvlText w:val="%1.%2　"/>
      <w:lvlJc w:val="left"/>
      <w:pPr>
        <w:ind w:left="284" w:firstLine="0"/>
      </w:pPr>
      <w:rPr>
        <w:rFonts w:hint="default" w:ascii="Times New Roman"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0"/>
      <w:suff w:val="nothing"/>
      <w:lvlText w:val="%1.%2.%3　"/>
      <w:lvlJc w:val="left"/>
      <w:pPr>
        <w:ind w:left="851" w:firstLine="0"/>
      </w:pPr>
      <w:rPr>
        <w:rFonts w:hint="eastAsia" w:ascii="黑体" w:hAnsi="Times New Roman" w:eastAsia="黑体"/>
        <w:b w:val="0"/>
        <w:i w:val="0"/>
        <w:sz w:val="21"/>
      </w:rPr>
    </w:lvl>
    <w:lvl w:ilvl="3" w:tentative="0">
      <w:start w:val="1"/>
      <w:numFmt w:val="decimal"/>
      <w:pStyle w:val="65"/>
      <w:suff w:val="nothing"/>
      <w:lvlText w:val="%1.%2.%3.%4　"/>
      <w:lvlJc w:val="left"/>
      <w:pPr>
        <w:ind w:left="851"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7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12"/>
      <w:suff w:val="space"/>
      <w:lvlText w:val="%1"/>
      <w:lvlJc w:val="left"/>
      <w:pPr>
        <w:ind w:left="623" w:hanging="425"/>
      </w:pPr>
      <w:rPr>
        <w:rFonts w:hint="eastAsia"/>
      </w:rPr>
    </w:lvl>
    <w:lvl w:ilvl="1" w:tentative="0">
      <w:start w:val="1"/>
      <w:numFmt w:val="decimal"/>
      <w:pStyle w:val="11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62"/>
      <w:suff w:val="nothing"/>
      <w:lvlText w:val="%1——"/>
      <w:lvlJc w:val="left"/>
      <w:pPr>
        <w:ind w:left="833" w:hanging="408"/>
      </w:pPr>
      <w:rPr>
        <w:rFonts w:hint="eastAsia"/>
      </w:rPr>
    </w:lvl>
    <w:lvl w:ilvl="1" w:tentative="0">
      <w:start w:val="1"/>
      <w:numFmt w:val="bullet"/>
      <w:pStyle w:val="63"/>
      <w:lvlText w:val=""/>
      <w:lvlJc w:val="left"/>
      <w:pPr>
        <w:tabs>
          <w:tab w:val="left" w:pos="760"/>
        </w:tabs>
        <w:ind w:left="1264" w:hanging="413"/>
      </w:pPr>
      <w:rPr>
        <w:rFonts w:hint="default" w:ascii="Symbol" w:hAnsi="Symbol"/>
        <w:color w:val="auto"/>
      </w:rPr>
    </w:lvl>
    <w:lvl w:ilvl="2" w:tentative="0">
      <w:start w:val="1"/>
      <w:numFmt w:val="bullet"/>
      <w:pStyle w:val="7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73"/>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8"/>
      <w:lvlText w:val="%2)"/>
      <w:lvlJc w:val="left"/>
      <w:pPr>
        <w:tabs>
          <w:tab w:val="left" w:pos="1259"/>
        </w:tabs>
        <w:ind w:left="1259" w:hanging="420"/>
      </w:pPr>
      <w:rPr>
        <w:rFonts w:hint="eastAsia" w:ascii="宋体" w:hAnsi="宋体" w:eastAsia="宋体"/>
        <w:b w:val="0"/>
        <w:bCs w:val="0"/>
        <w:i w:val="0"/>
        <w:iCs w:val="0"/>
        <w:caps w:val="0"/>
        <w:strike w:val="0"/>
        <w:dstrike w:val="0"/>
        <w:outline w:val="0"/>
        <w:shadow w:val="0"/>
        <w:emboss w:val="0"/>
        <w:imprint w:val="0"/>
        <w:vanish w:val="0"/>
        <w:color w:val="auto"/>
        <w:spacing w:val="0"/>
        <w:kern w:val="0"/>
        <w:position w:val="0"/>
        <w:sz w:val="20"/>
        <w:szCs w:val="21"/>
        <w:u w:val="none"/>
        <w:vertAlign w:val="baseline"/>
      </w:rPr>
    </w:lvl>
    <w:lvl w:ilvl="2" w:tentative="0">
      <w:start w:val="1"/>
      <w:numFmt w:val="decimal"/>
      <w:pStyle w:val="75"/>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color w:val="auto"/>
        <w:sz w:val="21"/>
      </w:rPr>
    </w:lvl>
    <w:lvl w:ilvl="4" w:tentative="0">
      <w:start w:val="1"/>
      <w:numFmt w:val="lowerLetter"/>
      <w:lvlText w:val="%5)"/>
      <w:lvlJc w:val="left"/>
      <w:pPr>
        <w:tabs>
          <w:tab w:val="left" w:pos="2517"/>
        </w:tabs>
        <w:ind w:left="2517" w:hanging="419"/>
      </w:pPr>
      <w:rPr>
        <w:rFonts w:hint="eastAsia"/>
        <w:b w:val="0"/>
        <w:i w:val="0"/>
        <w:color w:val="auto"/>
        <w:sz w:val="21"/>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1">
    <w:nsid w:val="4B733A5F"/>
    <w:multiLevelType w:val="multilevel"/>
    <w:tmpl w:val="4B733A5F"/>
    <w:lvl w:ilvl="0" w:tentative="0">
      <w:start w:val="1"/>
      <w:numFmt w:val="decimal"/>
      <w:pStyle w:val="7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4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100"/>
      <w:lvlText w:val="%1"/>
      <w:lvlJc w:val="left"/>
      <w:pPr>
        <w:tabs>
          <w:tab w:val="left" w:pos="0"/>
        </w:tabs>
        <w:ind w:left="0" w:hanging="425"/>
      </w:pPr>
      <w:rPr>
        <w:rFonts w:hint="eastAsia"/>
      </w:rPr>
    </w:lvl>
    <w:lvl w:ilvl="1" w:tentative="0">
      <w:start w:val="1"/>
      <w:numFmt w:val="decimal"/>
      <w:pStyle w:val="101"/>
      <w:suff w:val="nothing"/>
      <w:lvlText w:val="表%1.%2　"/>
      <w:lvlJc w:val="left"/>
      <w:pPr>
        <w:ind w:left="3403"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4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98"/>
      <w:suff w:val="nothing"/>
      <w:lvlText w:val="附　录　%1"/>
      <w:lvlJc w:val="left"/>
      <w:pPr>
        <w:ind w:left="7372" w:firstLine="0"/>
      </w:pPr>
      <w:rPr>
        <w:rFonts w:hint="eastAsia" w:ascii="黑体" w:hAnsi="Times New Roman" w:eastAsia="黑体"/>
        <w:b w:val="0"/>
        <w:i w:val="0"/>
        <w:spacing w:val="0"/>
        <w:w w:val="100"/>
        <w:sz w:val="21"/>
      </w:rPr>
    </w:lvl>
    <w:lvl w:ilvl="1" w:tentative="0">
      <w:start w:val="1"/>
      <w:numFmt w:val="decimal"/>
      <w:pStyle w:val="116"/>
      <w:suff w:val="nothing"/>
      <w:lvlText w:val="%1.%2　"/>
      <w:lvlJc w:val="left"/>
      <w:pPr>
        <w:ind w:left="4112" w:firstLine="0"/>
      </w:pPr>
      <w:rPr>
        <w:rFonts w:hint="eastAsia" w:ascii="黑体" w:hAnsi="Times New Roman" w:eastAsia="黑体"/>
        <w:b w:val="0"/>
        <w:i w:val="0"/>
        <w:snapToGrid/>
        <w:spacing w:val="0"/>
        <w:w w:val="100"/>
        <w:kern w:val="21"/>
        <w:sz w:val="21"/>
      </w:rPr>
    </w:lvl>
    <w:lvl w:ilvl="2" w:tentative="0">
      <w:start w:val="1"/>
      <w:numFmt w:val="decimal"/>
      <w:pStyle w:val="117"/>
      <w:suff w:val="nothing"/>
      <w:lvlText w:val="%1.%2.%3　"/>
      <w:lvlJc w:val="left"/>
      <w:pPr>
        <w:ind w:left="4112" w:firstLine="0"/>
      </w:pPr>
      <w:rPr>
        <w:rFonts w:hint="eastAsia" w:ascii="黑体" w:hAnsi="Times New Roman" w:eastAsia="黑体"/>
        <w:b w:val="0"/>
        <w:i w:val="0"/>
        <w:sz w:val="21"/>
      </w:rPr>
    </w:lvl>
    <w:lvl w:ilvl="3" w:tentative="0">
      <w:start w:val="1"/>
      <w:numFmt w:val="decimal"/>
      <w:pStyle w:val="102"/>
      <w:suff w:val="nothing"/>
      <w:lvlText w:val="%1.%2.%3.%4　"/>
      <w:lvlJc w:val="left"/>
      <w:pPr>
        <w:ind w:left="4112" w:firstLine="0"/>
      </w:pPr>
      <w:rPr>
        <w:rFonts w:hint="eastAsia" w:ascii="黑体" w:hAnsi="Times New Roman" w:eastAsia="黑体"/>
        <w:b w:val="0"/>
        <w:i w:val="0"/>
        <w:sz w:val="21"/>
      </w:rPr>
    </w:lvl>
    <w:lvl w:ilvl="4" w:tentative="0">
      <w:start w:val="1"/>
      <w:numFmt w:val="decimal"/>
      <w:pStyle w:val="107"/>
      <w:suff w:val="nothing"/>
      <w:lvlText w:val="%1.%2.%3.%4.%5　"/>
      <w:lvlJc w:val="left"/>
      <w:pPr>
        <w:ind w:left="4112" w:firstLine="0"/>
      </w:pPr>
      <w:rPr>
        <w:rFonts w:hint="eastAsia" w:ascii="黑体" w:hAnsi="Times New Roman" w:eastAsia="黑体"/>
        <w:b w:val="0"/>
        <w:i w:val="0"/>
        <w:sz w:val="21"/>
      </w:rPr>
    </w:lvl>
    <w:lvl w:ilvl="5" w:tentative="0">
      <w:start w:val="1"/>
      <w:numFmt w:val="decimal"/>
      <w:pStyle w:val="110"/>
      <w:suff w:val="nothing"/>
      <w:lvlText w:val="%1.%2.%3.%4.%5.%6　"/>
      <w:lvlJc w:val="left"/>
      <w:pPr>
        <w:ind w:left="4112" w:firstLine="0"/>
      </w:pPr>
      <w:rPr>
        <w:rFonts w:hint="eastAsia" w:ascii="黑体" w:hAnsi="Times New Roman" w:eastAsia="黑体"/>
        <w:b w:val="0"/>
        <w:i w:val="0"/>
        <w:sz w:val="21"/>
      </w:rPr>
    </w:lvl>
    <w:lvl w:ilvl="6" w:tentative="0">
      <w:start w:val="1"/>
      <w:numFmt w:val="decimal"/>
      <w:pStyle w:val="114"/>
      <w:suff w:val="nothing"/>
      <w:lvlText w:val="%1.%2.%3.%4.%5.%6.%7　"/>
      <w:lvlJc w:val="left"/>
      <w:pPr>
        <w:ind w:left="4112" w:firstLine="0"/>
      </w:pPr>
      <w:rPr>
        <w:rFonts w:hint="eastAsia" w:ascii="黑体" w:hAnsi="Times New Roman" w:eastAsia="黑体"/>
        <w:b w:val="0"/>
        <w:i w:val="0"/>
        <w:sz w:val="21"/>
      </w:rPr>
    </w:lvl>
    <w:lvl w:ilvl="7" w:tentative="0">
      <w:start w:val="1"/>
      <w:numFmt w:val="decimal"/>
      <w:lvlText w:val="%1.%2.%3.%4.%5.%6.%7.%8"/>
      <w:lvlJc w:val="left"/>
      <w:pPr>
        <w:tabs>
          <w:tab w:val="left" w:pos="8506"/>
        </w:tabs>
        <w:ind w:left="8506" w:hanging="1418"/>
      </w:pPr>
      <w:rPr>
        <w:rFonts w:hint="eastAsia"/>
      </w:rPr>
    </w:lvl>
    <w:lvl w:ilvl="8" w:tentative="0">
      <w:start w:val="1"/>
      <w:numFmt w:val="decimal"/>
      <w:lvlText w:val="%1.%2.%3.%4.%5.%6.%7.%8.%9"/>
      <w:lvlJc w:val="left"/>
      <w:pPr>
        <w:tabs>
          <w:tab w:val="left" w:pos="9214"/>
        </w:tabs>
        <w:ind w:left="9214" w:hanging="1700"/>
      </w:pPr>
      <w:rPr>
        <w:rFonts w:hint="eastAsia"/>
      </w:rPr>
    </w:lvl>
  </w:abstractNum>
  <w:abstractNum w:abstractNumId="16">
    <w:nsid w:val="6D6C07CD"/>
    <w:multiLevelType w:val="multilevel"/>
    <w:tmpl w:val="6D6C07CD"/>
    <w:lvl w:ilvl="0" w:tentative="0">
      <w:start w:val="1"/>
      <w:numFmt w:val="lowerLetter"/>
      <w:pStyle w:val="119"/>
      <w:lvlText w:val="%1)"/>
      <w:lvlJc w:val="left"/>
      <w:pPr>
        <w:tabs>
          <w:tab w:val="left" w:pos="839"/>
        </w:tabs>
        <w:ind w:left="839" w:hanging="419"/>
      </w:pPr>
      <w:rPr>
        <w:rFonts w:hint="eastAsia" w:ascii="宋体" w:eastAsia="宋体"/>
        <w:b w:val="0"/>
        <w:i w:val="0"/>
        <w:sz w:val="21"/>
      </w:rPr>
    </w:lvl>
    <w:lvl w:ilvl="1" w:tentative="0">
      <w:start w:val="1"/>
      <w:numFmt w:val="decimal"/>
      <w:pStyle w:val="10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7032D"/>
    <w:multiLevelType w:val="multilevel"/>
    <w:tmpl w:val="6DB7032D"/>
    <w:lvl w:ilvl="0" w:tentative="0">
      <w:start w:val="1"/>
      <w:numFmt w:val="decimal"/>
      <w:lvlText w:val="%1）"/>
      <w:lvlJc w:val="left"/>
      <w:pPr>
        <w:tabs>
          <w:tab w:val="left" w:pos="851"/>
        </w:tabs>
        <w:ind w:left="851" w:hanging="426"/>
      </w:pPr>
      <w:rPr>
        <w:rFonts w:hint="default" w:ascii="Times New Roman" w:hAnsi="Times New Roman" w:eastAsia="宋体" w:cs="Times New Roman"/>
        <w:sz w:val="24"/>
        <w:szCs w:val="24"/>
      </w:rPr>
    </w:lvl>
    <w:lvl w:ilvl="1" w:tentative="0">
      <w:start w:val="1"/>
      <w:numFmt w:val="decimal"/>
      <w:lvlText w:val="%2)"/>
      <w:lvlJc w:val="left"/>
      <w:pPr>
        <w:tabs>
          <w:tab w:val="left" w:pos="1276"/>
        </w:tabs>
        <w:ind w:left="1276" w:hanging="425"/>
      </w:pPr>
      <w:rPr>
        <w:rFonts w:hint="eastAsia" w:ascii="宋体" w:hAnsi="Times New Roman" w:eastAsia="宋体" w:cs="宋体"/>
        <w:sz w:val="24"/>
        <w:szCs w:val="24"/>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pStyle w:val="155"/>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18">
    <w:nsid w:val="6DBF04F4"/>
    <w:multiLevelType w:val="multilevel"/>
    <w:tmpl w:val="6DBF04F4"/>
    <w:lvl w:ilvl="0" w:tentative="0">
      <w:start w:val="1"/>
      <w:numFmt w:val="none"/>
      <w:pStyle w:val="71"/>
      <w:suff w:val="nothing"/>
      <w:lvlText w:val="%1注："/>
      <w:lvlJc w:val="left"/>
      <w:pPr>
        <w:ind w:left="726" w:hanging="363"/>
      </w:pPr>
      <w:rPr>
        <w:rFonts w:hint="eastAsia" w:ascii="黑体" w:hAnsi="Times New Roman" w:eastAsia="黑体"/>
        <w:b w:val="0"/>
        <w:i w:val="0"/>
        <w:sz w:val="18"/>
        <w:lang w:val="en-US"/>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76B6652D"/>
    <w:multiLevelType w:val="multilevel"/>
    <w:tmpl w:val="76B6652D"/>
    <w:lvl w:ilvl="0" w:tentative="0">
      <w:start w:val="3"/>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9"/>
  </w:num>
  <w:num w:numId="2">
    <w:abstractNumId w:val="6"/>
  </w:num>
  <w:num w:numId="3">
    <w:abstractNumId w:val="8"/>
  </w:num>
  <w:num w:numId="4">
    <w:abstractNumId w:val="3"/>
  </w:num>
  <w:num w:numId="5">
    <w:abstractNumId w:val="10"/>
  </w:num>
  <w:num w:numId="6">
    <w:abstractNumId w:val="18"/>
  </w:num>
  <w:num w:numId="7">
    <w:abstractNumId w:val="1"/>
  </w:num>
  <w:num w:numId="8">
    <w:abstractNumId w:val="11"/>
  </w:num>
  <w:num w:numId="9">
    <w:abstractNumId w:val="5"/>
  </w:num>
  <w:num w:numId="10">
    <w:abstractNumId w:val="15"/>
  </w:num>
  <w:num w:numId="11">
    <w:abstractNumId w:val="13"/>
  </w:num>
  <w:num w:numId="12">
    <w:abstractNumId w:val="16"/>
  </w:num>
  <w:num w:numId="13">
    <w:abstractNumId w:val="7"/>
  </w:num>
  <w:num w:numId="14">
    <w:abstractNumId w:val="2"/>
  </w:num>
  <w:num w:numId="15">
    <w:abstractNumId w:val="4"/>
  </w:num>
  <w:num w:numId="16">
    <w:abstractNumId w:val="14"/>
  </w:num>
  <w:num w:numId="17">
    <w:abstractNumId w:val="12"/>
  </w:num>
  <w:num w:numId="18">
    <w:abstractNumId w:val="0"/>
  </w:num>
  <w:num w:numId="19">
    <w:abstractNumId w:val="1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FkMTJiNjkwZDE2ZDg4NTIwZjFjODk1OTBmZTBmNTEifQ=="/>
  </w:docVars>
  <w:rsids>
    <w:rsidRoot w:val="008E089C"/>
    <w:rsid w:val="000C5CDA"/>
    <w:rsid w:val="000F498B"/>
    <w:rsid w:val="00112E14"/>
    <w:rsid w:val="00117C9A"/>
    <w:rsid w:val="00127875"/>
    <w:rsid w:val="00141B58"/>
    <w:rsid w:val="00151BEA"/>
    <w:rsid w:val="00157363"/>
    <w:rsid w:val="00172CF9"/>
    <w:rsid w:val="001758F4"/>
    <w:rsid w:val="00185DE0"/>
    <w:rsid w:val="001C6BBF"/>
    <w:rsid w:val="001E602A"/>
    <w:rsid w:val="001F6F01"/>
    <w:rsid w:val="00225D74"/>
    <w:rsid w:val="00247B64"/>
    <w:rsid w:val="00255AF1"/>
    <w:rsid w:val="00277A08"/>
    <w:rsid w:val="00280CF4"/>
    <w:rsid w:val="002E114A"/>
    <w:rsid w:val="00314FEB"/>
    <w:rsid w:val="00337684"/>
    <w:rsid w:val="003929CA"/>
    <w:rsid w:val="00393A42"/>
    <w:rsid w:val="003D5A2A"/>
    <w:rsid w:val="00405F13"/>
    <w:rsid w:val="004330B6"/>
    <w:rsid w:val="004351EF"/>
    <w:rsid w:val="004364B4"/>
    <w:rsid w:val="00456772"/>
    <w:rsid w:val="004B6D2E"/>
    <w:rsid w:val="004D4B68"/>
    <w:rsid w:val="004E2072"/>
    <w:rsid w:val="00532EF9"/>
    <w:rsid w:val="00553268"/>
    <w:rsid w:val="0057138B"/>
    <w:rsid w:val="005A1445"/>
    <w:rsid w:val="005A2664"/>
    <w:rsid w:val="00601530"/>
    <w:rsid w:val="0060492E"/>
    <w:rsid w:val="0065407C"/>
    <w:rsid w:val="00662D87"/>
    <w:rsid w:val="006A5F66"/>
    <w:rsid w:val="006C3C6F"/>
    <w:rsid w:val="006D2917"/>
    <w:rsid w:val="006D40B9"/>
    <w:rsid w:val="00717A32"/>
    <w:rsid w:val="00736B52"/>
    <w:rsid w:val="00742A48"/>
    <w:rsid w:val="00766A52"/>
    <w:rsid w:val="007A232B"/>
    <w:rsid w:val="007D7E9A"/>
    <w:rsid w:val="007F5862"/>
    <w:rsid w:val="00811556"/>
    <w:rsid w:val="00820A68"/>
    <w:rsid w:val="008277A4"/>
    <w:rsid w:val="00855BD6"/>
    <w:rsid w:val="008D649C"/>
    <w:rsid w:val="008E089C"/>
    <w:rsid w:val="008E359D"/>
    <w:rsid w:val="009131C6"/>
    <w:rsid w:val="009235D9"/>
    <w:rsid w:val="00966B28"/>
    <w:rsid w:val="00985E64"/>
    <w:rsid w:val="00987FB2"/>
    <w:rsid w:val="009903D1"/>
    <w:rsid w:val="00A01814"/>
    <w:rsid w:val="00A103A9"/>
    <w:rsid w:val="00A25E28"/>
    <w:rsid w:val="00A66E0A"/>
    <w:rsid w:val="00AA1BB5"/>
    <w:rsid w:val="00AA1C6F"/>
    <w:rsid w:val="00AB0F67"/>
    <w:rsid w:val="00B14232"/>
    <w:rsid w:val="00B14913"/>
    <w:rsid w:val="00B158B7"/>
    <w:rsid w:val="00B1698B"/>
    <w:rsid w:val="00B242BF"/>
    <w:rsid w:val="00B476F5"/>
    <w:rsid w:val="00B50EAD"/>
    <w:rsid w:val="00B653F1"/>
    <w:rsid w:val="00B654C2"/>
    <w:rsid w:val="00B8529D"/>
    <w:rsid w:val="00BB767F"/>
    <w:rsid w:val="00C166FD"/>
    <w:rsid w:val="00C80903"/>
    <w:rsid w:val="00C924AC"/>
    <w:rsid w:val="00C96715"/>
    <w:rsid w:val="00CB0B62"/>
    <w:rsid w:val="00CC2003"/>
    <w:rsid w:val="00CD21EA"/>
    <w:rsid w:val="00D22460"/>
    <w:rsid w:val="00D2534F"/>
    <w:rsid w:val="00D378FA"/>
    <w:rsid w:val="00D50FEC"/>
    <w:rsid w:val="00D62449"/>
    <w:rsid w:val="00D81A83"/>
    <w:rsid w:val="00D86190"/>
    <w:rsid w:val="00D94B77"/>
    <w:rsid w:val="00DC154C"/>
    <w:rsid w:val="00DD6708"/>
    <w:rsid w:val="00E150DC"/>
    <w:rsid w:val="00E24C44"/>
    <w:rsid w:val="00E273D7"/>
    <w:rsid w:val="00E32921"/>
    <w:rsid w:val="00E603DC"/>
    <w:rsid w:val="00E66931"/>
    <w:rsid w:val="00E75411"/>
    <w:rsid w:val="00EB0398"/>
    <w:rsid w:val="00EC4ADF"/>
    <w:rsid w:val="00EC721F"/>
    <w:rsid w:val="00F03257"/>
    <w:rsid w:val="00F434EC"/>
    <w:rsid w:val="00F632E6"/>
    <w:rsid w:val="00F742A1"/>
    <w:rsid w:val="00FB397B"/>
    <w:rsid w:val="00FC5BF0"/>
    <w:rsid w:val="00FE3197"/>
    <w:rsid w:val="0F146893"/>
    <w:rsid w:val="2B191000"/>
    <w:rsid w:val="69AC0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name="toc 2"/>
    <w:lsdException w:qFormat="1" w:unhideWhenUsed="0" w:uiPriority="39" w:semiHidden="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99" w:name="Normal Indent"/>
    <w:lsdException w:qFormat="1" w:unhideWhenUsed="0" w:uiPriority="0"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0"/>
    <w:pPr>
      <w:keepNext/>
      <w:keepLines/>
      <w:spacing w:before="340" w:after="330" w:line="576" w:lineRule="auto"/>
      <w:outlineLvl w:val="0"/>
    </w:pPr>
    <w:rPr>
      <w:rFonts w:ascii="Calibri" w:hAnsi="Calibri" w:eastAsia="黑体" w:cs="Times New Roman"/>
      <w:bCs/>
      <w:kern w:val="44"/>
      <w:sz w:val="24"/>
      <w:szCs w:val="44"/>
    </w:rPr>
  </w:style>
  <w:style w:type="paragraph" w:styleId="3">
    <w:name w:val="heading 2"/>
    <w:basedOn w:val="1"/>
    <w:next w:val="1"/>
    <w:link w:val="43"/>
    <w:qFormat/>
    <w:uiPriority w:val="0"/>
    <w:pPr>
      <w:keepNext/>
      <w:keepLines/>
      <w:spacing w:before="260" w:after="260" w:line="415" w:lineRule="auto"/>
      <w:outlineLvl w:val="1"/>
    </w:pPr>
    <w:rPr>
      <w:rFonts w:ascii="Cambria" w:hAnsi="Cambria" w:eastAsia="黑体" w:cs="Times New Roman"/>
      <w:bCs/>
      <w:sz w:val="24"/>
      <w:szCs w:val="32"/>
    </w:rPr>
  </w:style>
  <w:style w:type="character" w:default="1" w:styleId="35">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hAnsi="Calibri" w:eastAsia="宋体" w:cs="Times New Roman"/>
      <w:szCs w:val="21"/>
    </w:rPr>
  </w:style>
  <w:style w:type="paragraph" w:styleId="5">
    <w:name w:val="index 8"/>
    <w:basedOn w:val="1"/>
    <w:next w:val="1"/>
    <w:qFormat/>
    <w:uiPriority w:val="0"/>
    <w:pPr>
      <w:ind w:left="1680" w:hanging="210"/>
      <w:jc w:val="left"/>
    </w:pPr>
    <w:rPr>
      <w:rFonts w:ascii="Calibri" w:hAnsi="Calibri" w:eastAsia="宋体" w:cs="Times New Roman"/>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eastAsia="宋体" w:cs="Times New Roman"/>
      <w:sz w:val="20"/>
      <w:szCs w:val="20"/>
    </w:rPr>
  </w:style>
  <w:style w:type="paragraph" w:styleId="8">
    <w:name w:val="Document Map"/>
    <w:basedOn w:val="1"/>
    <w:link w:val="45"/>
    <w:semiHidden/>
    <w:qFormat/>
    <w:uiPriority w:val="0"/>
    <w:pPr>
      <w:shd w:val="clear" w:color="auto" w:fill="000080"/>
    </w:pPr>
    <w:rPr>
      <w:rFonts w:ascii="Calibri" w:hAnsi="Calibri" w:eastAsia="宋体" w:cs="Times New Roman"/>
    </w:rPr>
  </w:style>
  <w:style w:type="paragraph" w:styleId="9">
    <w:name w:val="annotation text"/>
    <w:basedOn w:val="1"/>
    <w:link w:val="46"/>
    <w:qFormat/>
    <w:uiPriority w:val="0"/>
    <w:pPr>
      <w:jc w:val="left"/>
    </w:pPr>
    <w:rPr>
      <w:rFonts w:ascii="Calibri" w:hAnsi="Calibri" w:eastAsia="宋体" w:cs="Times New Roman"/>
    </w:rPr>
  </w:style>
  <w:style w:type="paragraph" w:styleId="10">
    <w:name w:val="index 6"/>
    <w:basedOn w:val="1"/>
    <w:next w:val="1"/>
    <w:qFormat/>
    <w:uiPriority w:val="0"/>
    <w:pPr>
      <w:ind w:left="1260" w:hanging="210"/>
      <w:jc w:val="left"/>
    </w:pPr>
    <w:rPr>
      <w:rFonts w:ascii="Calibri" w:hAnsi="Calibri" w:eastAsia="宋体" w:cs="Times New Roman"/>
      <w:sz w:val="20"/>
      <w:szCs w:val="20"/>
    </w:rPr>
  </w:style>
  <w:style w:type="paragraph" w:styleId="11">
    <w:name w:val="index 4"/>
    <w:basedOn w:val="1"/>
    <w:next w:val="1"/>
    <w:qFormat/>
    <w:uiPriority w:val="0"/>
    <w:pPr>
      <w:ind w:left="840" w:hanging="210"/>
      <w:jc w:val="left"/>
    </w:pPr>
    <w:rPr>
      <w:rFonts w:ascii="Calibri" w:hAnsi="Calibri" w:eastAsia="宋体" w:cs="Times New Roman"/>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hAnsi="Calibri" w:eastAsia="宋体" w:cs="Times New Roman"/>
      <w:szCs w:val="21"/>
    </w:rPr>
  </w:style>
  <w:style w:type="paragraph" w:styleId="13">
    <w:name w:val="toc 3"/>
    <w:basedOn w:val="1"/>
    <w:next w:val="1"/>
    <w:qFormat/>
    <w:uiPriority w:val="39"/>
    <w:pPr>
      <w:tabs>
        <w:tab w:val="right" w:leader="dot" w:pos="9241"/>
      </w:tabs>
      <w:ind w:firstLine="102" w:firstLineChars="100"/>
      <w:jc w:val="left"/>
    </w:pPr>
    <w:rPr>
      <w:rFonts w:ascii="宋体" w:hAnsi="Calibri" w:eastAsia="宋体" w:cs="Times New Roman"/>
      <w:szCs w:val="21"/>
    </w:rPr>
  </w:style>
  <w:style w:type="paragraph" w:styleId="14">
    <w:name w:val="toc 8"/>
    <w:basedOn w:val="1"/>
    <w:next w:val="1"/>
    <w:semiHidden/>
    <w:qFormat/>
    <w:uiPriority w:val="0"/>
    <w:pPr>
      <w:tabs>
        <w:tab w:val="right" w:leader="dot" w:pos="9241"/>
      </w:tabs>
      <w:ind w:firstLine="607" w:firstLineChars="600"/>
      <w:jc w:val="left"/>
    </w:pPr>
    <w:rPr>
      <w:rFonts w:ascii="宋体" w:hAnsi="Calibri" w:eastAsia="宋体" w:cs="Times New Roman"/>
      <w:szCs w:val="21"/>
    </w:rPr>
  </w:style>
  <w:style w:type="paragraph" w:styleId="15">
    <w:name w:val="index 3"/>
    <w:basedOn w:val="1"/>
    <w:next w:val="1"/>
    <w:qFormat/>
    <w:uiPriority w:val="0"/>
    <w:pPr>
      <w:ind w:left="630" w:hanging="210"/>
      <w:jc w:val="left"/>
    </w:pPr>
    <w:rPr>
      <w:rFonts w:ascii="Calibri" w:hAnsi="Calibri" w:eastAsia="宋体" w:cs="Times New Roman"/>
      <w:sz w:val="20"/>
      <w:szCs w:val="20"/>
    </w:rPr>
  </w:style>
  <w:style w:type="paragraph" w:styleId="16">
    <w:name w:val="endnote text"/>
    <w:basedOn w:val="1"/>
    <w:link w:val="47"/>
    <w:semiHidden/>
    <w:qFormat/>
    <w:uiPriority w:val="0"/>
    <w:pPr>
      <w:snapToGrid w:val="0"/>
      <w:jc w:val="left"/>
    </w:pPr>
    <w:rPr>
      <w:rFonts w:ascii="Calibri" w:hAnsi="Calibri" w:eastAsia="宋体" w:cs="Times New Roman"/>
    </w:rPr>
  </w:style>
  <w:style w:type="paragraph" w:styleId="17">
    <w:name w:val="Balloon Text"/>
    <w:basedOn w:val="1"/>
    <w:link w:val="161"/>
    <w:semiHidden/>
    <w:unhideWhenUsed/>
    <w:qFormat/>
    <w:uiPriority w:val="99"/>
    <w:rPr>
      <w:sz w:val="18"/>
      <w:szCs w:val="18"/>
    </w:rPr>
  </w:style>
  <w:style w:type="paragraph" w:styleId="18">
    <w:name w:val="footer"/>
    <w:basedOn w:val="1"/>
    <w:link w:val="48"/>
    <w:qFormat/>
    <w:uiPriority w:val="0"/>
    <w:pPr>
      <w:snapToGrid w:val="0"/>
      <w:ind w:right="210" w:rightChars="100"/>
      <w:jc w:val="right"/>
    </w:pPr>
    <w:rPr>
      <w:rFonts w:ascii="Calibri" w:hAnsi="Calibri" w:eastAsia="宋体" w:cs="Times New Roman"/>
      <w:sz w:val="18"/>
      <w:szCs w:val="18"/>
    </w:rPr>
  </w:style>
  <w:style w:type="paragraph" w:styleId="19">
    <w:name w:val="header"/>
    <w:basedOn w:val="1"/>
    <w:link w:val="49"/>
    <w:uiPriority w:val="99"/>
    <w:pPr>
      <w:snapToGrid w:val="0"/>
      <w:jc w:val="left"/>
    </w:pPr>
    <w:rPr>
      <w:rFonts w:ascii="Calibri" w:hAnsi="Calibri" w:eastAsia="宋体" w:cs="Times New Roman"/>
      <w:sz w:val="18"/>
      <w:szCs w:val="18"/>
    </w:rPr>
  </w:style>
  <w:style w:type="paragraph" w:styleId="20">
    <w:name w:val="toc 1"/>
    <w:basedOn w:val="1"/>
    <w:next w:val="1"/>
    <w:qFormat/>
    <w:uiPriority w:val="39"/>
    <w:pPr>
      <w:tabs>
        <w:tab w:val="right" w:leader="dot" w:pos="9241"/>
      </w:tabs>
      <w:spacing w:before="25" w:beforeLines="25" w:after="25" w:afterLines="25"/>
      <w:jc w:val="left"/>
    </w:pPr>
    <w:rPr>
      <w:rFonts w:ascii="宋体" w:hAnsi="Calibri" w:eastAsia="宋体" w:cs="Times New Roman"/>
      <w:szCs w:val="21"/>
    </w:rPr>
  </w:style>
  <w:style w:type="paragraph" w:styleId="21">
    <w:name w:val="toc 4"/>
    <w:basedOn w:val="1"/>
    <w:next w:val="1"/>
    <w:semiHidden/>
    <w:uiPriority w:val="0"/>
    <w:pPr>
      <w:tabs>
        <w:tab w:val="right" w:leader="dot" w:pos="9241"/>
      </w:tabs>
      <w:ind w:firstLine="198" w:firstLineChars="200"/>
      <w:jc w:val="left"/>
    </w:pPr>
    <w:rPr>
      <w:rFonts w:ascii="宋体" w:hAnsi="Calibri" w:eastAsia="宋体" w:cs="Times New Roman"/>
      <w:szCs w:val="21"/>
    </w:rPr>
  </w:style>
  <w:style w:type="paragraph" w:styleId="22">
    <w:name w:val="index heading"/>
    <w:basedOn w:val="1"/>
    <w:next w:val="23"/>
    <w:qFormat/>
    <w:uiPriority w:val="0"/>
    <w:pPr>
      <w:spacing w:before="120" w:after="120"/>
      <w:jc w:val="center"/>
    </w:pPr>
    <w:rPr>
      <w:rFonts w:ascii="Calibri" w:hAnsi="Calibri" w:eastAsia="宋体" w:cs="Times New Roman"/>
      <w:b/>
      <w:bCs/>
      <w:iCs/>
      <w:szCs w:val="20"/>
    </w:rPr>
  </w:style>
  <w:style w:type="paragraph" w:styleId="23">
    <w:name w:val="index 1"/>
    <w:basedOn w:val="1"/>
    <w:next w:val="1"/>
    <w:unhideWhenUsed/>
    <w:qFormat/>
    <w:uiPriority w:val="0"/>
  </w:style>
  <w:style w:type="paragraph" w:styleId="24">
    <w:name w:val="footnote text"/>
    <w:basedOn w:val="1"/>
    <w:link w:val="52"/>
    <w:qFormat/>
    <w:uiPriority w:val="0"/>
    <w:pPr>
      <w:numPr>
        <w:ilvl w:val="0"/>
        <w:numId w:val="1"/>
      </w:numPr>
      <w:snapToGrid w:val="0"/>
      <w:jc w:val="left"/>
    </w:pPr>
    <w:rPr>
      <w:rFonts w:ascii="宋体" w:hAnsi="Calibri" w:eastAsia="宋体" w:cs="Times New Roman"/>
      <w:sz w:val="18"/>
      <w:szCs w:val="18"/>
    </w:rPr>
  </w:style>
  <w:style w:type="paragraph" w:styleId="25">
    <w:name w:val="toc 6"/>
    <w:basedOn w:val="1"/>
    <w:next w:val="1"/>
    <w:semiHidden/>
    <w:uiPriority w:val="0"/>
    <w:pPr>
      <w:tabs>
        <w:tab w:val="right" w:leader="dot" w:pos="9241"/>
      </w:tabs>
      <w:ind w:firstLine="403" w:firstLineChars="400"/>
      <w:jc w:val="left"/>
    </w:pPr>
    <w:rPr>
      <w:rFonts w:ascii="宋体" w:hAnsi="Calibri" w:eastAsia="宋体" w:cs="Times New Roman"/>
      <w:szCs w:val="21"/>
    </w:rPr>
  </w:style>
  <w:style w:type="paragraph" w:styleId="26">
    <w:name w:val="index 7"/>
    <w:basedOn w:val="1"/>
    <w:next w:val="1"/>
    <w:qFormat/>
    <w:uiPriority w:val="0"/>
    <w:pPr>
      <w:ind w:left="1470" w:hanging="210"/>
      <w:jc w:val="left"/>
    </w:pPr>
    <w:rPr>
      <w:rFonts w:ascii="Calibri" w:hAnsi="Calibri" w:eastAsia="宋体" w:cs="Times New Roman"/>
      <w:sz w:val="20"/>
      <w:szCs w:val="20"/>
    </w:rPr>
  </w:style>
  <w:style w:type="paragraph" w:styleId="27">
    <w:name w:val="index 9"/>
    <w:basedOn w:val="1"/>
    <w:next w:val="1"/>
    <w:uiPriority w:val="0"/>
    <w:pPr>
      <w:ind w:left="1890" w:hanging="210"/>
      <w:jc w:val="left"/>
    </w:pPr>
    <w:rPr>
      <w:rFonts w:ascii="Calibri" w:hAnsi="Calibri" w:eastAsia="宋体" w:cs="Times New Roman"/>
      <w:sz w:val="20"/>
      <w:szCs w:val="20"/>
    </w:rPr>
  </w:style>
  <w:style w:type="paragraph" w:styleId="28">
    <w:name w:val="toc 2"/>
    <w:basedOn w:val="1"/>
    <w:next w:val="1"/>
    <w:semiHidden/>
    <w:uiPriority w:val="0"/>
    <w:pPr>
      <w:tabs>
        <w:tab w:val="right" w:leader="dot" w:pos="9241"/>
      </w:tabs>
    </w:pPr>
    <w:rPr>
      <w:rFonts w:ascii="宋体" w:hAnsi="Calibri" w:eastAsia="宋体" w:cs="Times New Roman"/>
      <w:szCs w:val="21"/>
    </w:rPr>
  </w:style>
  <w:style w:type="paragraph" w:styleId="29">
    <w:name w:val="toc 9"/>
    <w:basedOn w:val="1"/>
    <w:next w:val="1"/>
    <w:semiHidden/>
    <w:uiPriority w:val="0"/>
    <w:pPr>
      <w:ind w:left="1470"/>
      <w:jc w:val="left"/>
    </w:pPr>
    <w:rPr>
      <w:rFonts w:ascii="Calibri" w:hAnsi="Calibri" w:eastAsia="宋体" w:cs="Times New Roman"/>
      <w:sz w:val="20"/>
      <w:szCs w:val="20"/>
    </w:rPr>
  </w:style>
  <w:style w:type="paragraph" w:styleId="30">
    <w:name w:val="Normal (Web)"/>
    <w:basedOn w:val="1"/>
    <w:uiPriority w:val="0"/>
    <w:rPr>
      <w:rFonts w:ascii="Calibri" w:hAnsi="Calibri" w:eastAsia="宋体" w:cs="Times New Roman"/>
      <w:sz w:val="24"/>
    </w:rPr>
  </w:style>
  <w:style w:type="paragraph" w:styleId="31">
    <w:name w:val="index 2"/>
    <w:basedOn w:val="1"/>
    <w:next w:val="1"/>
    <w:uiPriority w:val="0"/>
    <w:pPr>
      <w:ind w:left="420" w:hanging="210"/>
      <w:jc w:val="left"/>
    </w:pPr>
    <w:rPr>
      <w:rFonts w:ascii="Calibri" w:hAnsi="Calibri" w:eastAsia="宋体" w:cs="Times New Roman"/>
      <w:sz w:val="20"/>
      <w:szCs w:val="20"/>
    </w:rPr>
  </w:style>
  <w:style w:type="paragraph" w:styleId="32">
    <w:name w:val="annotation subject"/>
    <w:basedOn w:val="9"/>
    <w:next w:val="9"/>
    <w:link w:val="162"/>
    <w:semiHidden/>
    <w:unhideWhenUsed/>
    <w:uiPriority w:val="99"/>
    <w:rPr>
      <w:rFonts w:asciiTheme="minorHAnsi" w:hAnsiTheme="minorHAnsi" w:eastAsiaTheme="minorEastAsia" w:cstheme="minorBidi"/>
      <w:b/>
      <w:bCs/>
    </w:rPr>
  </w:style>
  <w:style w:type="table" w:styleId="34">
    <w:name w:val="Table Grid"/>
    <w:basedOn w:val="33"/>
    <w:qFormat/>
    <w:uiPriority w:val="39"/>
    <w:rPr>
      <w:rFonts w:ascii="宋体" w:hAnsi="Calibri"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basedOn w:val="35"/>
    <w:semiHidden/>
    <w:qFormat/>
    <w:uiPriority w:val="0"/>
    <w:rPr>
      <w:vertAlign w:val="superscript"/>
    </w:rPr>
  </w:style>
  <w:style w:type="character" w:styleId="37">
    <w:name w:val="page number"/>
    <w:basedOn w:val="35"/>
    <w:uiPriority w:val="0"/>
    <w:rPr>
      <w:rFonts w:ascii="Times New Roman" w:hAnsi="Times New Roman" w:eastAsia="宋体"/>
      <w:sz w:val="18"/>
    </w:rPr>
  </w:style>
  <w:style w:type="character" w:styleId="38">
    <w:name w:val="FollowedHyperlink"/>
    <w:basedOn w:val="35"/>
    <w:qFormat/>
    <w:uiPriority w:val="0"/>
    <w:rPr>
      <w:color w:val="800080"/>
      <w:u w:val="single"/>
    </w:rPr>
  </w:style>
  <w:style w:type="character" w:styleId="39">
    <w:name w:val="Hyperlink"/>
    <w:basedOn w:val="35"/>
    <w:qFormat/>
    <w:uiPriority w:val="99"/>
    <w:rPr>
      <w:color w:val="0000FF"/>
      <w:spacing w:val="0"/>
      <w:w w:val="100"/>
      <w:szCs w:val="21"/>
      <w:u w:val="single"/>
      <w:lang w:val="en-US" w:eastAsia="zh-CN"/>
    </w:rPr>
  </w:style>
  <w:style w:type="character" w:styleId="40">
    <w:name w:val="annotation reference"/>
    <w:basedOn w:val="35"/>
    <w:qFormat/>
    <w:uiPriority w:val="0"/>
    <w:rPr>
      <w:sz w:val="21"/>
      <w:szCs w:val="21"/>
    </w:rPr>
  </w:style>
  <w:style w:type="character" w:styleId="41">
    <w:name w:val="footnote reference"/>
    <w:basedOn w:val="35"/>
    <w:semiHidden/>
    <w:qFormat/>
    <w:uiPriority w:val="0"/>
    <w:rPr>
      <w:vertAlign w:val="superscript"/>
    </w:rPr>
  </w:style>
  <w:style w:type="character" w:customStyle="1" w:styleId="42">
    <w:name w:val="标题 1 字符"/>
    <w:basedOn w:val="35"/>
    <w:qFormat/>
    <w:uiPriority w:val="0"/>
    <w:rPr>
      <w:b/>
      <w:bCs/>
      <w:kern w:val="44"/>
      <w:sz w:val="44"/>
      <w:szCs w:val="44"/>
    </w:rPr>
  </w:style>
  <w:style w:type="character" w:customStyle="1" w:styleId="43">
    <w:name w:val="标题 2 字符"/>
    <w:basedOn w:val="35"/>
    <w:link w:val="3"/>
    <w:qFormat/>
    <w:uiPriority w:val="0"/>
    <w:rPr>
      <w:rFonts w:ascii="Cambria" w:hAnsi="Cambria" w:eastAsia="黑体" w:cs="Times New Roman"/>
      <w:bCs/>
      <w:sz w:val="24"/>
      <w:szCs w:val="32"/>
    </w:rPr>
  </w:style>
  <w:style w:type="character" w:customStyle="1" w:styleId="44">
    <w:name w:val="标题 1 字符1"/>
    <w:basedOn w:val="35"/>
    <w:link w:val="2"/>
    <w:qFormat/>
    <w:uiPriority w:val="0"/>
    <w:rPr>
      <w:rFonts w:ascii="Calibri" w:hAnsi="Calibri" w:eastAsia="黑体" w:cs="Times New Roman"/>
      <w:bCs/>
      <w:kern w:val="44"/>
      <w:sz w:val="24"/>
      <w:szCs w:val="44"/>
    </w:rPr>
  </w:style>
  <w:style w:type="character" w:customStyle="1" w:styleId="45">
    <w:name w:val="文档结构图 字符"/>
    <w:basedOn w:val="35"/>
    <w:link w:val="8"/>
    <w:semiHidden/>
    <w:qFormat/>
    <w:uiPriority w:val="0"/>
    <w:rPr>
      <w:rFonts w:ascii="Calibri" w:hAnsi="Calibri" w:eastAsia="宋体" w:cs="Times New Roman"/>
      <w:shd w:val="clear" w:color="auto" w:fill="000080"/>
    </w:rPr>
  </w:style>
  <w:style w:type="character" w:customStyle="1" w:styleId="46">
    <w:name w:val="批注文字 字符"/>
    <w:basedOn w:val="35"/>
    <w:link w:val="9"/>
    <w:qFormat/>
    <w:uiPriority w:val="0"/>
    <w:rPr>
      <w:rFonts w:ascii="Calibri" w:hAnsi="Calibri" w:eastAsia="宋体" w:cs="Times New Roman"/>
    </w:rPr>
  </w:style>
  <w:style w:type="character" w:customStyle="1" w:styleId="47">
    <w:name w:val="尾注文本 字符"/>
    <w:basedOn w:val="35"/>
    <w:link w:val="16"/>
    <w:semiHidden/>
    <w:uiPriority w:val="0"/>
    <w:rPr>
      <w:rFonts w:ascii="Calibri" w:hAnsi="Calibri" w:eastAsia="宋体" w:cs="Times New Roman"/>
    </w:rPr>
  </w:style>
  <w:style w:type="character" w:customStyle="1" w:styleId="48">
    <w:name w:val="页脚 字符"/>
    <w:basedOn w:val="35"/>
    <w:link w:val="18"/>
    <w:qFormat/>
    <w:uiPriority w:val="0"/>
    <w:rPr>
      <w:rFonts w:ascii="Calibri" w:hAnsi="Calibri" w:eastAsia="宋体" w:cs="Times New Roman"/>
      <w:sz w:val="18"/>
      <w:szCs w:val="18"/>
    </w:rPr>
  </w:style>
  <w:style w:type="character" w:customStyle="1" w:styleId="49">
    <w:name w:val="页眉 字符"/>
    <w:basedOn w:val="35"/>
    <w:link w:val="19"/>
    <w:uiPriority w:val="99"/>
    <w:rPr>
      <w:rFonts w:ascii="Calibri" w:hAnsi="Calibri" w:eastAsia="宋体" w:cs="Times New Roman"/>
      <w:sz w:val="18"/>
      <w:szCs w:val="18"/>
    </w:rPr>
  </w:style>
  <w:style w:type="paragraph" w:customStyle="1" w:styleId="50">
    <w:name w:val="段"/>
    <w:link w:val="5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1">
    <w:name w:val="段 Char"/>
    <w:basedOn w:val="35"/>
    <w:link w:val="50"/>
    <w:qFormat/>
    <w:uiPriority w:val="0"/>
    <w:rPr>
      <w:rFonts w:ascii="宋体" w:hAnsi="Times New Roman" w:eastAsia="宋体" w:cs="Times New Roman"/>
      <w:kern w:val="0"/>
      <w:szCs w:val="20"/>
    </w:rPr>
  </w:style>
  <w:style w:type="character" w:customStyle="1" w:styleId="52">
    <w:name w:val="脚注文本 字符"/>
    <w:basedOn w:val="35"/>
    <w:link w:val="24"/>
    <w:qFormat/>
    <w:uiPriority w:val="0"/>
    <w:rPr>
      <w:rFonts w:ascii="宋体" w:hAnsi="Calibri" w:eastAsia="宋体" w:cs="Times New Roman"/>
      <w:sz w:val="18"/>
      <w:szCs w:val="18"/>
    </w:rPr>
  </w:style>
  <w:style w:type="character" w:customStyle="1" w:styleId="53">
    <w:name w:val="标题 2 Char"/>
    <w:basedOn w:val="35"/>
    <w:uiPriority w:val="0"/>
    <w:rPr>
      <w:rFonts w:hint="default" w:ascii="Cambria" w:hAnsi="Cambria" w:eastAsia="宋体" w:cs="Times New Roman"/>
      <w:b/>
      <w:bCs/>
      <w:kern w:val="2"/>
      <w:sz w:val="32"/>
      <w:szCs w:val="32"/>
    </w:rPr>
  </w:style>
  <w:style w:type="character" w:customStyle="1" w:styleId="54">
    <w:name w:val="批注文字 Char"/>
    <w:basedOn w:val="35"/>
    <w:qFormat/>
    <w:uiPriority w:val="0"/>
    <w:rPr>
      <w:rFonts w:hint="default" w:ascii="Calibri" w:hAnsi="Calibri" w:cs="黑体"/>
      <w:kern w:val="2"/>
      <w:sz w:val="21"/>
      <w:szCs w:val="22"/>
    </w:rPr>
  </w:style>
  <w:style w:type="paragraph" w:customStyle="1" w:styleId="55">
    <w:name w:val="一级条标题"/>
    <w:next w:val="50"/>
    <w:link w:val="56"/>
    <w:qFormat/>
    <w:uiPriority w:val="0"/>
    <w:pPr>
      <w:numPr>
        <w:ilvl w:val="1"/>
        <w:numId w:val="2"/>
      </w:numPr>
      <w:spacing w:before="156" w:beforeLines="50" w:after="156" w:afterLines="50"/>
      <w:ind w:left="1560"/>
      <w:outlineLvl w:val="2"/>
    </w:pPr>
    <w:rPr>
      <w:rFonts w:ascii="黑体" w:hAnsi="Times New Roman" w:eastAsia="黑体" w:cs="Times New Roman"/>
      <w:sz w:val="21"/>
      <w:szCs w:val="21"/>
      <w:lang w:val="en-US" w:eastAsia="zh-CN" w:bidi="ar-SA"/>
    </w:rPr>
  </w:style>
  <w:style w:type="character" w:customStyle="1" w:styleId="56">
    <w:name w:val="一级条标题 Char"/>
    <w:link w:val="55"/>
    <w:uiPriority w:val="0"/>
    <w:rPr>
      <w:rFonts w:ascii="黑体" w:hAnsi="Times New Roman" w:eastAsia="黑体" w:cs="Times New Roman"/>
      <w:kern w:val="0"/>
      <w:szCs w:val="21"/>
    </w:rPr>
  </w:style>
  <w:style w:type="paragraph" w:customStyle="1" w:styleId="5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章标题"/>
    <w:next w:val="50"/>
    <w:uiPriority w:val="0"/>
    <w:pPr>
      <w:numPr>
        <w:ilvl w:val="0"/>
        <w:numId w:val="2"/>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60">
    <w:name w:val="二级条标题"/>
    <w:basedOn w:val="55"/>
    <w:next w:val="50"/>
    <w:qFormat/>
    <w:uiPriority w:val="0"/>
    <w:pPr>
      <w:numPr>
        <w:ilvl w:val="2"/>
      </w:numPr>
      <w:spacing w:before="50" w:after="50"/>
      <w:outlineLvl w:val="3"/>
    </w:pPr>
  </w:style>
  <w:style w:type="paragraph" w:customStyle="1" w:styleId="6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63">
    <w:name w:val="列项●（二级）"/>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4">
    <w:name w:val="目次、标准名称标题"/>
    <w:basedOn w:val="1"/>
    <w:next w:val="50"/>
    <w:qFormat/>
    <w:uiPriority w:val="0"/>
    <w:pPr>
      <w:keepNext/>
      <w:pageBreakBefore/>
      <w:widowControl/>
      <w:shd w:val="clear" w:color="FFFFFF" w:fill="FFFFFF"/>
      <w:spacing w:before="640" w:after="560" w:line="460" w:lineRule="exact"/>
      <w:jc w:val="center"/>
      <w:outlineLvl w:val="0"/>
    </w:pPr>
    <w:rPr>
      <w:rFonts w:ascii="黑体" w:hAnsi="Calibri" w:eastAsia="黑体" w:cs="Times New Roman"/>
      <w:kern w:val="0"/>
      <w:sz w:val="32"/>
      <w:szCs w:val="20"/>
    </w:rPr>
  </w:style>
  <w:style w:type="paragraph" w:customStyle="1" w:styleId="65">
    <w:name w:val="三级条标题"/>
    <w:basedOn w:val="60"/>
    <w:next w:val="50"/>
    <w:qFormat/>
    <w:uiPriority w:val="0"/>
    <w:pPr>
      <w:numPr>
        <w:ilvl w:val="3"/>
      </w:numPr>
      <w:outlineLvl w:val="4"/>
    </w:pPr>
  </w:style>
  <w:style w:type="paragraph" w:customStyle="1" w:styleId="66">
    <w:name w:val="示例"/>
    <w:next w:val="67"/>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8">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9">
    <w:name w:val="四级条标题"/>
    <w:basedOn w:val="65"/>
    <w:next w:val="50"/>
    <w:uiPriority w:val="0"/>
    <w:pPr>
      <w:numPr>
        <w:ilvl w:val="4"/>
      </w:numPr>
      <w:outlineLvl w:val="5"/>
    </w:pPr>
  </w:style>
  <w:style w:type="paragraph" w:customStyle="1" w:styleId="70">
    <w:name w:val="五级条标题"/>
    <w:basedOn w:val="69"/>
    <w:next w:val="50"/>
    <w:uiPriority w:val="0"/>
    <w:pPr>
      <w:numPr>
        <w:ilvl w:val="5"/>
      </w:numPr>
      <w:outlineLvl w:val="6"/>
    </w:pPr>
  </w:style>
  <w:style w:type="paragraph" w:customStyle="1" w:styleId="71">
    <w:name w:val="注："/>
    <w:next w:val="50"/>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2">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3">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4">
    <w:name w:val="列项◆（三级）"/>
    <w:basedOn w:val="1"/>
    <w:uiPriority w:val="0"/>
    <w:pPr>
      <w:numPr>
        <w:ilvl w:val="2"/>
        <w:numId w:val="3"/>
      </w:numPr>
    </w:pPr>
    <w:rPr>
      <w:rFonts w:ascii="宋体" w:hAnsi="Calibri" w:eastAsia="宋体" w:cs="Times New Roman"/>
      <w:szCs w:val="21"/>
    </w:rPr>
  </w:style>
  <w:style w:type="paragraph" w:customStyle="1" w:styleId="75">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6">
    <w:name w:val="示例×："/>
    <w:basedOn w:val="59"/>
    <w:qFormat/>
    <w:uiPriority w:val="0"/>
    <w:pPr>
      <w:numPr>
        <w:numId w:val="8"/>
      </w:numPr>
      <w:spacing w:before="0" w:beforeLines="0" w:after="0" w:afterLines="0"/>
      <w:outlineLvl w:val="9"/>
    </w:pPr>
    <w:rPr>
      <w:rFonts w:ascii="宋体" w:eastAsia="宋体"/>
      <w:sz w:val="18"/>
      <w:szCs w:val="18"/>
    </w:rPr>
  </w:style>
  <w:style w:type="paragraph" w:customStyle="1" w:styleId="77">
    <w:name w:val="二级无"/>
    <w:basedOn w:val="60"/>
    <w:uiPriority w:val="0"/>
    <w:pPr>
      <w:spacing w:before="0" w:beforeLines="0" w:after="0" w:afterLines="0"/>
    </w:pPr>
    <w:rPr>
      <w:rFonts w:ascii="宋体" w:eastAsia="宋体"/>
    </w:rPr>
  </w:style>
  <w:style w:type="paragraph" w:customStyle="1" w:styleId="78">
    <w:name w:val="注：（正文）"/>
    <w:basedOn w:val="71"/>
    <w:next w:val="50"/>
    <w:uiPriority w:val="0"/>
  </w:style>
  <w:style w:type="paragraph" w:customStyle="1" w:styleId="79">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8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1">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3">
    <w:name w:val="标准书眉_偶数页"/>
    <w:basedOn w:val="58"/>
    <w:next w:val="1"/>
    <w:qFormat/>
    <w:uiPriority w:val="0"/>
    <w:pPr>
      <w:jc w:val="left"/>
    </w:pPr>
  </w:style>
  <w:style w:type="paragraph" w:customStyle="1" w:styleId="84">
    <w:name w:val="标准书眉一"/>
    <w:qFormat/>
    <w:uiPriority w:val="0"/>
    <w:pPr>
      <w:jc w:val="both"/>
    </w:pPr>
    <w:rPr>
      <w:rFonts w:ascii="Times New Roman" w:hAnsi="Times New Roman" w:eastAsia="宋体" w:cs="Times New Roman"/>
      <w:lang w:val="en-US" w:eastAsia="zh-CN" w:bidi="ar-SA"/>
    </w:rPr>
  </w:style>
  <w:style w:type="paragraph" w:customStyle="1" w:styleId="85">
    <w:name w:val="参考文献"/>
    <w:basedOn w:val="1"/>
    <w:next w:val="50"/>
    <w:uiPriority w:val="0"/>
    <w:pPr>
      <w:keepNext/>
      <w:pageBreakBefore/>
      <w:widowControl/>
      <w:shd w:val="clear" w:color="FFFFFF" w:fill="FFFFFF"/>
      <w:spacing w:before="640" w:after="200"/>
      <w:jc w:val="center"/>
      <w:outlineLvl w:val="0"/>
    </w:pPr>
    <w:rPr>
      <w:rFonts w:ascii="黑体" w:hAnsi="Calibri" w:eastAsia="黑体" w:cs="Times New Roman"/>
      <w:kern w:val="0"/>
      <w:szCs w:val="20"/>
    </w:rPr>
  </w:style>
  <w:style w:type="paragraph" w:customStyle="1" w:styleId="86">
    <w:name w:val="参考文献、索引标题"/>
    <w:basedOn w:val="1"/>
    <w:next w:val="50"/>
    <w:qFormat/>
    <w:uiPriority w:val="0"/>
    <w:pPr>
      <w:keepNext/>
      <w:pageBreakBefore/>
      <w:widowControl/>
      <w:shd w:val="clear" w:color="FFFFFF" w:fill="FFFFFF"/>
      <w:spacing w:before="640" w:after="200"/>
      <w:jc w:val="center"/>
      <w:outlineLvl w:val="0"/>
    </w:pPr>
    <w:rPr>
      <w:rFonts w:ascii="黑体" w:hAnsi="Calibri" w:eastAsia="黑体" w:cs="Times New Roman"/>
      <w:kern w:val="0"/>
      <w:szCs w:val="20"/>
    </w:rPr>
  </w:style>
  <w:style w:type="character" w:customStyle="1" w:styleId="87">
    <w:name w:val="发布"/>
    <w:basedOn w:val="35"/>
    <w:uiPriority w:val="0"/>
    <w:rPr>
      <w:rFonts w:ascii="黑体" w:eastAsia="黑体"/>
      <w:spacing w:val="85"/>
      <w:w w:val="100"/>
      <w:position w:val="3"/>
      <w:sz w:val="28"/>
      <w:szCs w:val="28"/>
    </w:rPr>
  </w:style>
  <w:style w:type="paragraph" w:customStyle="1" w:styleId="88">
    <w:name w:val="发布部门"/>
    <w:next w:val="50"/>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9">
    <w:name w:val="发布日期"/>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0">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1">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2">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3">
    <w:name w:val="封面标准英文名称"/>
    <w:basedOn w:val="92"/>
    <w:uiPriority w:val="0"/>
    <w:pPr>
      <w:framePr w:wrap="around"/>
      <w:spacing w:before="370" w:line="400" w:lineRule="exact"/>
    </w:pPr>
    <w:rPr>
      <w:rFonts w:ascii="Times New Roman"/>
      <w:sz w:val="28"/>
      <w:szCs w:val="28"/>
    </w:rPr>
  </w:style>
  <w:style w:type="paragraph" w:customStyle="1" w:styleId="94">
    <w:name w:val="封面一致性程度标识"/>
    <w:basedOn w:val="93"/>
    <w:qFormat/>
    <w:uiPriority w:val="0"/>
    <w:pPr>
      <w:framePr w:wrap="around"/>
      <w:spacing w:before="440"/>
    </w:pPr>
    <w:rPr>
      <w:rFonts w:ascii="宋体" w:eastAsia="宋体"/>
    </w:rPr>
  </w:style>
  <w:style w:type="paragraph" w:customStyle="1" w:styleId="95">
    <w:name w:val="封面标准文稿类别"/>
    <w:basedOn w:val="94"/>
    <w:uiPriority w:val="0"/>
    <w:pPr>
      <w:framePr w:wrap="around"/>
      <w:spacing w:after="160" w:line="240" w:lineRule="auto"/>
    </w:pPr>
    <w:rPr>
      <w:sz w:val="24"/>
    </w:rPr>
  </w:style>
  <w:style w:type="paragraph" w:customStyle="1" w:styleId="96">
    <w:name w:val="封面标准文稿编辑信息"/>
    <w:basedOn w:val="95"/>
    <w:qFormat/>
    <w:uiPriority w:val="0"/>
    <w:pPr>
      <w:framePr w:wrap="around"/>
      <w:spacing w:before="180" w:line="180" w:lineRule="exact"/>
    </w:pPr>
    <w:rPr>
      <w:sz w:val="21"/>
    </w:rPr>
  </w:style>
  <w:style w:type="paragraph" w:customStyle="1" w:styleId="97">
    <w:name w:val="封面正文"/>
    <w:uiPriority w:val="0"/>
    <w:pPr>
      <w:jc w:val="both"/>
    </w:pPr>
    <w:rPr>
      <w:rFonts w:ascii="Times New Roman" w:hAnsi="Times New Roman" w:eastAsia="宋体" w:cs="Times New Roman"/>
      <w:lang w:val="en-US" w:eastAsia="zh-CN" w:bidi="ar-SA"/>
    </w:rPr>
  </w:style>
  <w:style w:type="paragraph" w:customStyle="1" w:styleId="98">
    <w:name w:val="附录标识"/>
    <w:basedOn w:val="1"/>
    <w:next w:val="50"/>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hAnsi="Calibri" w:eastAsia="黑体" w:cs="Times New Roman"/>
      <w:kern w:val="0"/>
      <w:szCs w:val="20"/>
    </w:rPr>
  </w:style>
  <w:style w:type="paragraph" w:customStyle="1" w:styleId="99">
    <w:name w:val="附录标题"/>
    <w:basedOn w:val="50"/>
    <w:next w:val="50"/>
    <w:uiPriority w:val="0"/>
    <w:pPr>
      <w:ind w:firstLine="0" w:firstLineChars="0"/>
      <w:jc w:val="center"/>
    </w:pPr>
    <w:rPr>
      <w:rFonts w:ascii="黑体" w:eastAsia="黑体"/>
    </w:rPr>
  </w:style>
  <w:style w:type="paragraph" w:customStyle="1" w:styleId="100">
    <w:name w:val="附录表标号"/>
    <w:basedOn w:val="1"/>
    <w:next w:val="50"/>
    <w:qFormat/>
    <w:uiPriority w:val="0"/>
    <w:pPr>
      <w:numPr>
        <w:ilvl w:val="0"/>
        <w:numId w:val="11"/>
      </w:numPr>
      <w:tabs>
        <w:tab w:val="clear" w:pos="0"/>
      </w:tabs>
      <w:spacing w:line="14" w:lineRule="exact"/>
      <w:ind w:left="811" w:hanging="448"/>
      <w:jc w:val="center"/>
      <w:outlineLvl w:val="0"/>
    </w:pPr>
    <w:rPr>
      <w:rFonts w:ascii="Calibri" w:hAnsi="Calibri" w:eastAsia="宋体" w:cs="Times New Roman"/>
      <w:color w:val="FFFFFF"/>
    </w:rPr>
  </w:style>
  <w:style w:type="paragraph" w:customStyle="1" w:styleId="101">
    <w:name w:val="附录表标题"/>
    <w:basedOn w:val="1"/>
    <w:next w:val="50"/>
    <w:uiPriority w:val="0"/>
    <w:pPr>
      <w:numPr>
        <w:ilvl w:val="1"/>
        <w:numId w:val="11"/>
      </w:numPr>
      <w:tabs>
        <w:tab w:val="left" w:pos="180"/>
      </w:tabs>
      <w:spacing w:before="50" w:beforeLines="50" w:after="50" w:afterLines="50"/>
      <w:ind w:left="0" w:firstLine="0"/>
      <w:jc w:val="center"/>
    </w:pPr>
    <w:rPr>
      <w:rFonts w:ascii="黑体" w:hAnsi="Calibri" w:eastAsia="黑体" w:cs="Times New Roman"/>
      <w:szCs w:val="21"/>
    </w:rPr>
  </w:style>
  <w:style w:type="paragraph" w:customStyle="1" w:styleId="102">
    <w:name w:val="附录二级条标题"/>
    <w:basedOn w:val="1"/>
    <w:next w:val="50"/>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hAnsi="Calibri" w:eastAsia="黑体" w:cs="Times New Roman"/>
      <w:kern w:val="21"/>
      <w:szCs w:val="20"/>
    </w:rPr>
  </w:style>
  <w:style w:type="paragraph" w:customStyle="1" w:styleId="103">
    <w:name w:val="附录二级无"/>
    <w:basedOn w:val="102"/>
    <w:uiPriority w:val="0"/>
    <w:pPr>
      <w:tabs>
        <w:tab w:val="clear" w:pos="360"/>
      </w:tabs>
      <w:spacing w:before="0" w:beforeLines="0" w:after="0" w:afterLines="0"/>
    </w:pPr>
    <w:rPr>
      <w:rFonts w:ascii="宋体" w:eastAsia="宋体"/>
      <w:szCs w:val="21"/>
    </w:rPr>
  </w:style>
  <w:style w:type="paragraph" w:customStyle="1" w:styleId="104">
    <w:name w:val="附录公式"/>
    <w:basedOn w:val="50"/>
    <w:next w:val="50"/>
    <w:link w:val="105"/>
    <w:qFormat/>
    <w:uiPriority w:val="0"/>
  </w:style>
  <w:style w:type="character" w:customStyle="1" w:styleId="105">
    <w:name w:val="附录公式 Char"/>
    <w:basedOn w:val="51"/>
    <w:link w:val="104"/>
    <w:qFormat/>
    <w:uiPriority w:val="0"/>
    <w:rPr>
      <w:rFonts w:ascii="宋体" w:hAnsi="Times New Roman" w:eastAsia="宋体" w:cs="Times New Roman"/>
      <w:kern w:val="0"/>
      <w:szCs w:val="20"/>
    </w:rPr>
  </w:style>
  <w:style w:type="paragraph" w:customStyle="1" w:styleId="106">
    <w:name w:val="附录公式编号制表符"/>
    <w:basedOn w:val="1"/>
    <w:next w:val="50"/>
    <w:qFormat/>
    <w:uiPriority w:val="0"/>
    <w:pPr>
      <w:widowControl/>
      <w:tabs>
        <w:tab w:val="center" w:pos="4201"/>
        <w:tab w:val="right" w:leader="dot" w:pos="9298"/>
      </w:tabs>
      <w:autoSpaceDE w:val="0"/>
      <w:autoSpaceDN w:val="0"/>
    </w:pPr>
    <w:rPr>
      <w:rFonts w:ascii="宋体" w:hAnsi="Calibri" w:eastAsia="宋体" w:cs="Times New Roman"/>
      <w:kern w:val="0"/>
      <w:szCs w:val="20"/>
    </w:rPr>
  </w:style>
  <w:style w:type="paragraph" w:customStyle="1" w:styleId="107">
    <w:name w:val="附录三级条标题"/>
    <w:basedOn w:val="102"/>
    <w:next w:val="50"/>
    <w:qFormat/>
    <w:uiPriority w:val="0"/>
    <w:pPr>
      <w:numPr>
        <w:ilvl w:val="4"/>
      </w:numPr>
      <w:outlineLvl w:val="4"/>
    </w:pPr>
  </w:style>
  <w:style w:type="paragraph" w:customStyle="1" w:styleId="108">
    <w:name w:val="附录三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10">
    <w:name w:val="附录四级条标题"/>
    <w:basedOn w:val="107"/>
    <w:next w:val="50"/>
    <w:qFormat/>
    <w:uiPriority w:val="0"/>
    <w:pPr>
      <w:numPr>
        <w:ilvl w:val="5"/>
      </w:numPr>
      <w:outlineLvl w:val="5"/>
    </w:pPr>
  </w:style>
  <w:style w:type="paragraph" w:customStyle="1" w:styleId="111">
    <w:name w:val="附录四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图标号"/>
    <w:basedOn w:val="1"/>
    <w:qFormat/>
    <w:uiPriority w:val="0"/>
    <w:pPr>
      <w:keepNext/>
      <w:pageBreakBefore/>
      <w:widowControl/>
      <w:numPr>
        <w:ilvl w:val="0"/>
        <w:numId w:val="13"/>
      </w:numPr>
      <w:spacing w:line="14" w:lineRule="exact"/>
      <w:ind w:left="0" w:firstLine="363"/>
      <w:jc w:val="center"/>
      <w:outlineLvl w:val="0"/>
    </w:pPr>
    <w:rPr>
      <w:rFonts w:ascii="Calibri" w:hAnsi="Calibri" w:eastAsia="宋体" w:cs="Times New Roman"/>
      <w:color w:val="FFFFFF"/>
    </w:rPr>
  </w:style>
  <w:style w:type="paragraph" w:customStyle="1" w:styleId="113">
    <w:name w:val="附录图标题"/>
    <w:basedOn w:val="1"/>
    <w:next w:val="50"/>
    <w:qFormat/>
    <w:uiPriority w:val="0"/>
    <w:pPr>
      <w:numPr>
        <w:ilvl w:val="1"/>
        <w:numId w:val="13"/>
      </w:numPr>
      <w:tabs>
        <w:tab w:val="left" w:pos="363"/>
      </w:tabs>
      <w:spacing w:before="50" w:beforeLines="50" w:after="50" w:afterLines="50"/>
      <w:ind w:left="0" w:firstLine="0"/>
      <w:jc w:val="center"/>
    </w:pPr>
    <w:rPr>
      <w:rFonts w:ascii="黑体" w:hAnsi="Calibri" w:eastAsia="黑体" w:cs="Times New Roman"/>
      <w:szCs w:val="21"/>
    </w:rPr>
  </w:style>
  <w:style w:type="paragraph" w:customStyle="1" w:styleId="114">
    <w:name w:val="附录五级条标题"/>
    <w:basedOn w:val="110"/>
    <w:next w:val="50"/>
    <w:uiPriority w:val="0"/>
    <w:pPr>
      <w:numPr>
        <w:ilvl w:val="6"/>
      </w:numPr>
      <w:outlineLvl w:val="6"/>
    </w:pPr>
  </w:style>
  <w:style w:type="paragraph" w:customStyle="1" w:styleId="115">
    <w:name w:val="附录五级无"/>
    <w:basedOn w:val="114"/>
    <w:qFormat/>
    <w:uiPriority w:val="0"/>
    <w:pPr>
      <w:tabs>
        <w:tab w:val="clear" w:pos="360"/>
      </w:tabs>
      <w:spacing w:before="0" w:beforeLines="0" w:after="0" w:afterLines="0"/>
    </w:pPr>
    <w:rPr>
      <w:rFonts w:ascii="宋体" w:eastAsia="宋体"/>
      <w:szCs w:val="21"/>
    </w:rPr>
  </w:style>
  <w:style w:type="paragraph" w:customStyle="1" w:styleId="116">
    <w:name w:val="附录章标题"/>
    <w:next w:val="50"/>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7">
    <w:name w:val="附录一级条标题"/>
    <w:basedOn w:val="116"/>
    <w:next w:val="50"/>
    <w:qFormat/>
    <w:uiPriority w:val="0"/>
    <w:pPr>
      <w:numPr>
        <w:ilvl w:val="2"/>
      </w:numPr>
      <w:autoSpaceDN w:val="0"/>
      <w:spacing w:before="50" w:beforeLines="50" w:after="50" w:afterLines="50"/>
      <w:outlineLvl w:val="2"/>
    </w:pPr>
  </w:style>
  <w:style w:type="paragraph" w:customStyle="1" w:styleId="118">
    <w:name w:val="附录一级无"/>
    <w:basedOn w:val="117"/>
    <w:qFormat/>
    <w:uiPriority w:val="0"/>
    <w:pPr>
      <w:tabs>
        <w:tab w:val="clear" w:pos="360"/>
      </w:tabs>
      <w:spacing w:before="0" w:beforeLines="0" w:after="0" w:afterLines="0"/>
    </w:pPr>
    <w:rPr>
      <w:rFonts w:ascii="宋体" w:eastAsia="宋体"/>
      <w:szCs w:val="21"/>
    </w:rPr>
  </w:style>
  <w:style w:type="paragraph" w:customStyle="1" w:styleId="119">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20">
    <w:name w:val="列项说明"/>
    <w:basedOn w:val="1"/>
    <w:uiPriority w:val="0"/>
    <w:pPr>
      <w:adjustRightInd w:val="0"/>
      <w:spacing w:line="320" w:lineRule="exact"/>
      <w:ind w:left="400" w:leftChars="200" w:hanging="200" w:hangingChars="200"/>
      <w:jc w:val="left"/>
      <w:textAlignment w:val="baseline"/>
    </w:pPr>
    <w:rPr>
      <w:rFonts w:ascii="宋体" w:hAnsi="Calibri" w:eastAsia="宋体" w:cs="Times New Roman"/>
      <w:kern w:val="0"/>
      <w:szCs w:val="20"/>
    </w:rPr>
  </w:style>
  <w:style w:type="paragraph" w:customStyle="1" w:styleId="12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3">
    <w:name w:val="其他标准标志"/>
    <w:basedOn w:val="80"/>
    <w:qFormat/>
    <w:uiPriority w:val="0"/>
    <w:pPr>
      <w:framePr w:w="6101" w:wrap="around" w:vAnchor="page" w:hAnchor="page" w:x="4673" w:y="942"/>
    </w:pPr>
    <w:rPr>
      <w:w w:val="130"/>
    </w:rPr>
  </w:style>
  <w:style w:type="paragraph" w:customStyle="1" w:styleId="124">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5">
    <w:name w:val="其他发布部门"/>
    <w:basedOn w:val="88"/>
    <w:uiPriority w:val="0"/>
    <w:pPr>
      <w:framePr w:wrap="around" w:y="15310"/>
      <w:spacing w:line="0" w:lineRule="atLeast"/>
    </w:pPr>
    <w:rPr>
      <w:rFonts w:ascii="黑体" w:eastAsia="黑体"/>
      <w:b w:val="0"/>
    </w:rPr>
  </w:style>
  <w:style w:type="paragraph" w:customStyle="1" w:styleId="126">
    <w:name w:val="前言、引言标题"/>
    <w:next w:val="50"/>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7">
    <w:name w:val="三级无"/>
    <w:basedOn w:val="65"/>
    <w:uiPriority w:val="0"/>
    <w:pPr>
      <w:spacing w:before="0" w:beforeLines="0" w:after="0" w:afterLines="0"/>
    </w:pPr>
    <w:rPr>
      <w:rFonts w:ascii="宋体" w:eastAsia="宋体"/>
    </w:rPr>
  </w:style>
  <w:style w:type="paragraph" w:customStyle="1" w:styleId="128">
    <w:name w:val="实施日期"/>
    <w:basedOn w:val="89"/>
    <w:uiPriority w:val="0"/>
    <w:pPr>
      <w:framePr w:wrap="around" w:vAnchor="page" w:hAnchor="text"/>
      <w:jc w:val="right"/>
    </w:pPr>
  </w:style>
  <w:style w:type="paragraph" w:customStyle="1" w:styleId="129">
    <w:name w:val="示例后文字"/>
    <w:basedOn w:val="50"/>
    <w:next w:val="50"/>
    <w:qFormat/>
    <w:uiPriority w:val="0"/>
    <w:pPr>
      <w:ind w:firstLine="360"/>
    </w:pPr>
    <w:rPr>
      <w:sz w:val="18"/>
    </w:rPr>
  </w:style>
  <w:style w:type="paragraph" w:customStyle="1" w:styleId="130">
    <w:name w:val="首示例"/>
    <w:next w:val="50"/>
    <w:link w:val="131"/>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31">
    <w:name w:val="首示例 Char"/>
    <w:basedOn w:val="35"/>
    <w:link w:val="130"/>
    <w:uiPriority w:val="0"/>
    <w:rPr>
      <w:rFonts w:ascii="宋体" w:hAnsi="宋体" w:eastAsia="宋体" w:cs="Times New Roman"/>
      <w:sz w:val="18"/>
      <w:szCs w:val="18"/>
    </w:rPr>
  </w:style>
  <w:style w:type="paragraph" w:customStyle="1" w:styleId="132">
    <w:name w:val="四级无"/>
    <w:basedOn w:val="69"/>
    <w:uiPriority w:val="0"/>
    <w:pPr>
      <w:spacing w:before="0" w:beforeLines="0" w:after="0" w:afterLines="0"/>
    </w:pPr>
    <w:rPr>
      <w:rFonts w:ascii="宋体" w:eastAsia="宋体"/>
    </w:rPr>
  </w:style>
  <w:style w:type="paragraph" w:customStyle="1" w:styleId="133">
    <w:name w:val="条文脚注"/>
    <w:basedOn w:val="24"/>
    <w:qFormat/>
    <w:uiPriority w:val="0"/>
    <w:pPr>
      <w:numPr>
        <w:numId w:val="0"/>
      </w:numPr>
      <w:jc w:val="both"/>
    </w:pPr>
  </w:style>
  <w:style w:type="paragraph" w:customStyle="1" w:styleId="134">
    <w:name w:val="图标脚注说明"/>
    <w:basedOn w:val="50"/>
    <w:qFormat/>
    <w:uiPriority w:val="0"/>
    <w:pPr>
      <w:ind w:left="840" w:hanging="420" w:firstLineChars="0"/>
    </w:pPr>
    <w:rPr>
      <w:sz w:val="18"/>
      <w:szCs w:val="18"/>
    </w:rPr>
  </w:style>
  <w:style w:type="paragraph" w:customStyle="1" w:styleId="135">
    <w:name w:val="图表脚注说明"/>
    <w:basedOn w:val="1"/>
    <w:qFormat/>
    <w:uiPriority w:val="0"/>
    <w:pPr>
      <w:numPr>
        <w:ilvl w:val="0"/>
        <w:numId w:val="15"/>
      </w:numPr>
    </w:pPr>
    <w:rPr>
      <w:rFonts w:ascii="宋体" w:hAnsi="Calibri" w:eastAsia="宋体" w:cs="Times New Roman"/>
      <w:sz w:val="18"/>
      <w:szCs w:val="18"/>
    </w:rPr>
  </w:style>
  <w:style w:type="paragraph" w:customStyle="1" w:styleId="136">
    <w:name w:val="图的脚注"/>
    <w:next w:val="5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8">
    <w:name w:val="五级无"/>
    <w:basedOn w:val="70"/>
    <w:qFormat/>
    <w:uiPriority w:val="0"/>
    <w:pPr>
      <w:spacing w:before="0" w:beforeLines="0" w:after="0" w:afterLines="0"/>
    </w:pPr>
    <w:rPr>
      <w:rFonts w:ascii="宋体" w:eastAsia="宋体"/>
    </w:rPr>
  </w:style>
  <w:style w:type="paragraph" w:customStyle="1" w:styleId="139">
    <w:name w:val="一级无"/>
    <w:basedOn w:val="55"/>
    <w:qFormat/>
    <w:uiPriority w:val="0"/>
    <w:pPr>
      <w:spacing w:before="0" w:beforeLines="0" w:after="0" w:afterLines="0"/>
    </w:pPr>
    <w:rPr>
      <w:rFonts w:ascii="宋体" w:eastAsia="宋体"/>
    </w:rPr>
  </w:style>
  <w:style w:type="paragraph" w:customStyle="1" w:styleId="140">
    <w:name w:val="正文表标题"/>
    <w:next w:val="50"/>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1">
    <w:name w:val="正文公式编号制表符"/>
    <w:basedOn w:val="50"/>
    <w:next w:val="50"/>
    <w:qFormat/>
    <w:uiPriority w:val="0"/>
    <w:pPr>
      <w:ind w:firstLine="0" w:firstLineChars="0"/>
    </w:pPr>
  </w:style>
  <w:style w:type="paragraph" w:customStyle="1" w:styleId="142">
    <w:name w:val="正文图标题"/>
    <w:next w:val="50"/>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3">
    <w:name w:val="终结线"/>
    <w:basedOn w:val="1"/>
    <w:qFormat/>
    <w:uiPriority w:val="0"/>
    <w:pPr>
      <w:framePr w:hSpace="181" w:vSpace="181" w:wrap="around" w:vAnchor="text" w:hAnchor="margin" w:xAlign="center" w:y="285"/>
    </w:pPr>
    <w:rPr>
      <w:rFonts w:ascii="Calibri" w:hAnsi="Calibri" w:eastAsia="宋体" w:cs="Times New Roman"/>
    </w:rPr>
  </w:style>
  <w:style w:type="paragraph" w:customStyle="1" w:styleId="144">
    <w:name w:val="其他发布日期"/>
    <w:basedOn w:val="89"/>
    <w:uiPriority w:val="0"/>
    <w:pPr>
      <w:framePr w:wrap="around" w:vAnchor="page" w:hAnchor="text" w:x="1419"/>
    </w:pPr>
  </w:style>
  <w:style w:type="paragraph" w:customStyle="1" w:styleId="145">
    <w:name w:val="其他实施日期"/>
    <w:basedOn w:val="128"/>
    <w:qFormat/>
    <w:uiPriority w:val="0"/>
    <w:pPr>
      <w:framePr w:wrap="around"/>
    </w:pPr>
  </w:style>
  <w:style w:type="paragraph" w:customStyle="1" w:styleId="146">
    <w:name w:val="封面标准名称2"/>
    <w:basedOn w:val="92"/>
    <w:uiPriority w:val="0"/>
    <w:pPr>
      <w:framePr w:wrap="around" w:y="4469"/>
      <w:spacing w:before="630" w:beforeLines="630"/>
    </w:pPr>
  </w:style>
  <w:style w:type="paragraph" w:customStyle="1" w:styleId="147">
    <w:name w:val="封面标准英文名称2"/>
    <w:basedOn w:val="93"/>
    <w:uiPriority w:val="0"/>
    <w:pPr>
      <w:framePr w:wrap="around" w:y="4469"/>
    </w:pPr>
  </w:style>
  <w:style w:type="paragraph" w:customStyle="1" w:styleId="148">
    <w:name w:val="封面一致性程度标识2"/>
    <w:basedOn w:val="94"/>
    <w:qFormat/>
    <w:uiPriority w:val="0"/>
    <w:pPr>
      <w:framePr w:wrap="around" w:y="4469"/>
    </w:pPr>
  </w:style>
  <w:style w:type="paragraph" w:customStyle="1" w:styleId="149">
    <w:name w:val="封面标准文稿类别2"/>
    <w:basedOn w:val="95"/>
    <w:uiPriority w:val="0"/>
    <w:pPr>
      <w:framePr w:wrap="around" w:y="4469"/>
    </w:pPr>
  </w:style>
  <w:style w:type="paragraph" w:customStyle="1" w:styleId="150">
    <w:name w:val="封面标准文稿编辑信息2"/>
    <w:basedOn w:val="96"/>
    <w:uiPriority w:val="0"/>
    <w:pPr>
      <w:framePr w:wrap="around" w:y="4469"/>
    </w:pPr>
  </w:style>
  <w:style w:type="character" w:customStyle="1" w:styleId="151">
    <w:name w:val="标准文件_段 Char"/>
    <w:basedOn w:val="35"/>
    <w:link w:val="152"/>
    <w:qFormat/>
    <w:uiPriority w:val="0"/>
    <w:rPr>
      <w:rFonts w:ascii="宋体" w:hAnsi="宋体" w:eastAsia="宋体" w:cs="宋体"/>
    </w:rPr>
  </w:style>
  <w:style w:type="paragraph" w:customStyle="1" w:styleId="152">
    <w:name w:val="标准文件_段"/>
    <w:basedOn w:val="1"/>
    <w:link w:val="151"/>
    <w:uiPriority w:val="0"/>
    <w:pPr>
      <w:widowControl/>
      <w:autoSpaceDE w:val="0"/>
      <w:autoSpaceDN w:val="0"/>
      <w:ind w:firstLine="200" w:firstLineChars="200"/>
    </w:pPr>
    <w:rPr>
      <w:rFonts w:hint="eastAsia" w:ascii="宋体" w:hAnsi="宋体" w:eastAsia="宋体" w:cs="宋体"/>
    </w:rPr>
  </w:style>
  <w:style w:type="paragraph" w:customStyle="1" w:styleId="153">
    <w:name w:val="标准文件_字母编号列项（一级）"/>
    <w:basedOn w:val="1"/>
    <w:qFormat/>
    <w:uiPriority w:val="0"/>
    <w:pPr>
      <w:widowControl/>
      <w:tabs>
        <w:tab w:val="left" w:pos="360"/>
        <w:tab w:val="left" w:pos="851"/>
      </w:tabs>
    </w:pPr>
    <w:rPr>
      <w:rFonts w:hint="eastAsia" w:ascii="宋体" w:hAnsi="Times New Roman" w:eastAsia="宋体" w:cs="Times New Roman"/>
      <w:kern w:val="0"/>
      <w:szCs w:val="20"/>
    </w:rPr>
  </w:style>
  <w:style w:type="paragraph" w:customStyle="1" w:styleId="154">
    <w:name w:val="标准文件_编号列项（三级）"/>
    <w:basedOn w:val="1"/>
    <w:qFormat/>
    <w:uiPriority w:val="0"/>
    <w:pPr>
      <w:widowControl/>
      <w:numPr>
        <w:ilvl w:val="2"/>
        <w:numId w:val="18"/>
      </w:numPr>
      <w:jc w:val="left"/>
    </w:pPr>
    <w:rPr>
      <w:rFonts w:hint="eastAsia" w:ascii="宋体" w:hAnsi="Times New Roman" w:eastAsia="宋体" w:cs="Times New Roman"/>
      <w:kern w:val="0"/>
      <w:szCs w:val="20"/>
    </w:rPr>
  </w:style>
  <w:style w:type="paragraph" w:customStyle="1" w:styleId="155">
    <w:name w:val="标准文件_三级无标题"/>
    <w:basedOn w:val="1"/>
    <w:qFormat/>
    <w:uiPriority w:val="0"/>
    <w:pPr>
      <w:widowControl/>
      <w:numPr>
        <w:ilvl w:val="4"/>
        <w:numId w:val="19"/>
      </w:numPr>
    </w:pPr>
    <w:rPr>
      <w:rFonts w:hint="eastAsia" w:ascii="宋体" w:hAnsi="Times New Roman" w:eastAsia="宋体" w:cs="Times New Roman"/>
      <w:kern w:val="0"/>
      <w:szCs w:val="20"/>
    </w:rPr>
  </w:style>
  <w:style w:type="paragraph" w:customStyle="1" w:styleId="156">
    <w:name w:val="标准文件_附录二级条标题"/>
    <w:basedOn w:val="157"/>
    <w:next w:val="1"/>
    <w:uiPriority w:val="0"/>
    <w:pPr>
      <w:widowControl/>
      <w:wordWrap w:val="0"/>
      <w:overflowPunct w:val="0"/>
      <w:autoSpaceDE w:val="0"/>
      <w:autoSpaceDN w:val="0"/>
      <w:outlineLvl w:val="3"/>
    </w:pPr>
  </w:style>
  <w:style w:type="paragraph" w:customStyle="1" w:styleId="157">
    <w:name w:val="标准文件_附录一级条标题"/>
    <w:basedOn w:val="1"/>
    <w:next w:val="1"/>
    <w:uiPriority w:val="0"/>
    <w:pPr>
      <w:spacing w:beforeLines="50"/>
      <w:outlineLvl w:val="2"/>
    </w:pPr>
    <w:rPr>
      <w:rFonts w:hint="eastAsia" w:ascii="黑体" w:hAnsi="Times New Roman" w:eastAsia="黑体" w:cs="Times New Roman"/>
      <w:kern w:val="21"/>
      <w:szCs w:val="20"/>
    </w:rPr>
  </w:style>
  <w:style w:type="paragraph" w:customStyle="1" w:styleId="158">
    <w:name w:val="标准文件_数字编号列项（二级）"/>
    <w:basedOn w:val="1"/>
    <w:uiPriority w:val="0"/>
    <w:pPr>
      <w:widowControl/>
      <w:tabs>
        <w:tab w:val="left" w:pos="1276"/>
      </w:tabs>
      <w:ind w:left="1276" w:hanging="425"/>
    </w:pPr>
    <w:rPr>
      <w:rFonts w:hint="eastAsia" w:ascii="宋体" w:hAnsi="Times New Roman" w:eastAsia="宋体" w:cs="Times New Roman"/>
      <w:kern w:val="0"/>
      <w:szCs w:val="20"/>
    </w:rPr>
  </w:style>
  <w:style w:type="paragraph" w:customStyle="1" w:styleId="159">
    <w:name w:val="标准文件_表格"/>
    <w:basedOn w:val="1"/>
    <w:qFormat/>
    <w:uiPriority w:val="0"/>
    <w:pPr>
      <w:widowControl/>
      <w:autoSpaceDE w:val="0"/>
      <w:autoSpaceDN w:val="0"/>
      <w:jc w:val="center"/>
    </w:pPr>
    <w:rPr>
      <w:rFonts w:hint="eastAsia" w:ascii="宋体" w:hAnsi="Times New Roman" w:eastAsia="宋体" w:cs="Times New Roman"/>
      <w:kern w:val="0"/>
      <w:sz w:val="18"/>
      <w:szCs w:val="20"/>
    </w:rPr>
  </w:style>
  <w:style w:type="paragraph" w:customStyle="1" w:styleId="160">
    <w:name w:val="标准文件_附录表标题"/>
    <w:basedOn w:val="1"/>
    <w:qFormat/>
    <w:uiPriority w:val="0"/>
    <w:pPr>
      <w:widowControl/>
      <w:adjustRightInd w:val="0"/>
      <w:snapToGrid w:val="0"/>
      <w:spacing w:beforeLines="50"/>
      <w:ind w:left="4111"/>
      <w:jc w:val="center"/>
    </w:pPr>
    <w:rPr>
      <w:rFonts w:hint="eastAsia" w:ascii="黑体" w:hAnsi="Times New Roman" w:eastAsia="黑体" w:cs="Times New Roman"/>
      <w:kern w:val="21"/>
      <w:szCs w:val="20"/>
    </w:rPr>
  </w:style>
  <w:style w:type="character" w:customStyle="1" w:styleId="161">
    <w:name w:val="批注框文本 字符"/>
    <w:basedOn w:val="35"/>
    <w:link w:val="17"/>
    <w:semiHidden/>
    <w:qFormat/>
    <w:uiPriority w:val="99"/>
    <w:rPr>
      <w:sz w:val="18"/>
      <w:szCs w:val="18"/>
    </w:rPr>
  </w:style>
  <w:style w:type="character" w:customStyle="1" w:styleId="162">
    <w:name w:val="批注主题 字符"/>
    <w:basedOn w:val="46"/>
    <w:link w:val="32"/>
    <w:semiHidden/>
    <w:uiPriority w:val="99"/>
    <w:rPr>
      <w:rFonts w:ascii="Calibri" w:hAnsi="Calibri" w:eastAsia="宋体"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28"/>
    <customShpInfo spid="_x0000_s1030"/>
    <customShpInfo spid="_x0000_s1027"/>
    <customShpInfo spid="_x0000_s1026"/>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2425</Words>
  <Characters>13824</Characters>
  <Lines>115</Lines>
  <Paragraphs>32</Paragraphs>
  <TotalTime>1</TotalTime>
  <ScaleCrop>false</ScaleCrop>
  <LinksUpToDate>false</LinksUpToDate>
  <CharactersWithSpaces>16217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2023-04-19T09:21:00Z</dcterms:created>
  <dc:creator>shitian</dc:creator>
  <cp:lastModifiedBy>DELL</cp:lastModifiedBy>
  <cp:lastPrinted>2023-04-25T06:15:28Z</cp:lastPrinted>
  <dcterms:modified xsi:type="dcterms:W3CDTF">2023-04-25T06:18:21Z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B9B62C0BA02A4DCCB50A2FFFE35B1514_12</vt:lpwstr>
  </property>
</Properties>
</file>