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91</w:t>
            </w:r>
            <w:r>
              <w:rPr>
                <w:rFonts w:hint="eastAsia" w:ascii="黑体" w:hAnsi="黑体" w:eastAsia="黑体"/>
                <w:sz w:val="21"/>
                <w:szCs w:val="21"/>
              </w:rPr>
              <w:t>.</w:t>
            </w:r>
            <w:r>
              <w:rPr>
                <w:rFonts w:hint="eastAsia" w:ascii="黑体" w:hAnsi="黑体" w:eastAsia="黑体"/>
                <w:sz w:val="21"/>
                <w:szCs w:val="21"/>
                <w:lang w:val="en-US" w:eastAsia="zh-CN"/>
              </w:rPr>
              <w:t>08</w:t>
            </w:r>
            <w:r>
              <w:rPr>
                <w:rFonts w:hint="eastAsia" w:ascii="黑体" w:hAnsi="黑体" w:eastAsia="黑体"/>
                <w:sz w:val="21"/>
                <w:szCs w:val="21"/>
              </w:rPr>
              <w:t>0.</w:t>
            </w:r>
            <w:r>
              <w:rPr>
                <w:rFonts w:hint="eastAsia" w:ascii="黑体" w:hAnsi="黑体" w:eastAsia="黑体"/>
                <w:sz w:val="21"/>
                <w:szCs w:val="21"/>
                <w:lang w:val="en-US" w:eastAsia="zh-CN"/>
              </w:rPr>
              <w:t>4</w:t>
            </w:r>
            <w:r>
              <w:rPr>
                <w:rFonts w:hint="eastAsia" w:ascii="黑体" w:hAnsi="黑体" w:eastAsia="黑体"/>
                <w:sz w:val="21"/>
                <w:szCs w:val="21"/>
              </w:rPr>
              <w:t>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P</w:t>
            </w:r>
            <w:r>
              <w:rPr>
                <w:rFonts w:hint="eastAsia" w:ascii="黑体" w:hAnsi="黑体" w:eastAsia="黑体"/>
                <w:sz w:val="21"/>
                <w:szCs w:val="21"/>
                <w:lang w:val="en-US" w:eastAsia="zh-CN"/>
              </w:rPr>
              <w:t>30-39</w:t>
            </w:r>
            <w:r>
              <w:rPr>
                <w:rFonts w:ascii="黑体" w:hAnsi="黑体" w:eastAsia="黑体"/>
                <w:sz w:val="21"/>
                <w:szCs w:val="21"/>
              </w:rPr>
              <w:fldChar w:fldCharType="end"/>
            </w:r>
            <w:bookmarkEnd w:id="1"/>
          </w:p>
        </w:tc>
      </w:tr>
    </w:tbl>
    <w:p>
      <w:pPr>
        <w:pStyle w:val="52"/>
        <w:framePr w:w="9639" w:h="624" w:hRule="exact" w:hSpace="181" w:vSpace="181" w:wrap="around" w:hAnchor="page" w:x="1305" w:y="2269"/>
        <w:rPr>
          <w:rFonts w:ascii="黑体" w:hAnsi="黑体" w:eastAsia="黑体"/>
          <w:b w:val="0"/>
          <w:bCs w:val="0"/>
          <w:w w:val="100"/>
          <w:sz w:val="48"/>
          <w:szCs w:val="48"/>
        </w:rPr>
      </w:pPr>
      <w:bookmarkStart w:id="2" w:name="_Hlk26473981"/>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2"/>
    <w:p>
      <w:pPr>
        <w:pStyle w:val="197"/>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lang w:val="fr-FR"/>
        </w:rPr>
        <w:t>32</w:t>
      </w:r>
      <w:r>
        <w:rPr>
          <w:lang w:val="fr-FR"/>
        </w:rPr>
        <w:t>/T</w:t>
      </w:r>
      <w:r>
        <w:fldChar w:fldCharType="end"/>
      </w:r>
      <w:bookmarkEnd w:id="4"/>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rPr>
        <w:t>202</w:t>
      </w:r>
      <w:r>
        <w:rPr>
          <w:rFonts w:hint="eastAsia"/>
          <w:lang w:val="en-US" w:eastAsia="zh-CN"/>
        </w:rPr>
        <w:t>X</w:t>
      </w:r>
      <w:r>
        <w:fldChar w:fldCharType="end"/>
      </w:r>
      <w:bookmarkEnd w:id="6"/>
    </w:p>
    <w:p>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tbl>
      <w:tblPr>
        <w:tblStyle w:val="28"/>
        <w:tblpPr w:leftFromText="180" w:rightFromText="180" w:vertAnchor="text" w:horzAnchor="page" w:tblpX="4456" w:tblpY="-260"/>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8" w:name="c1"/>
            <w:r>
              <w:instrText xml:space="preserve"> FORMTEXT </w:instrText>
            </w:r>
            <w:r>
              <w:fldChar w:fldCharType="separate"/>
            </w:r>
            <w:r>
              <w:rPr>
                <w:rFonts w:hint="eastAsia"/>
              </w:rPr>
              <w:t>32</w:t>
            </w:r>
            <w:r>
              <w:fldChar w:fldCharType="end"/>
            </w:r>
            <w:bookmarkEnd w:id="8"/>
          </w:p>
        </w:tc>
      </w:tr>
    </w:tbl>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装配整体式叠合剪力墙结构技术规程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Standard for monolithic precast superposed shear wall structures</w:t>
      </w:r>
    </w:p>
    <w:p>
      <w:pPr>
        <w:pStyle w:val="127"/>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Lines="300" w:afterLines="30" w:line="240" w:lineRule="auto"/>
        <w:textAlignment w:val="bottom"/>
        <w:rPr>
          <w:b/>
          <w:sz w:val="21"/>
          <w:szCs w:val="28"/>
        </w:rPr>
      </w:pPr>
    </w:p>
    <w:p>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pgSz w:w="11906" w:h="16838"/>
          <w:pgMar w:top="1440" w:right="1800" w:bottom="1440" w:left="1800" w:header="851" w:footer="992" w:gutter="0"/>
          <w:cols w:space="425" w:num="1"/>
          <w:docGrid w:type="lines"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3"/>
        <w:spacing w:after="468"/>
      </w:pPr>
      <w:bookmarkStart w:id="20" w:name="BookMark1"/>
      <w:r>
        <w:rPr>
          <w:rFonts w:hint="eastAsia"/>
          <w:spacing w:val="320"/>
        </w:rPr>
        <w:t>目</w:t>
      </w:r>
      <w:r>
        <w:rPr>
          <w:rFonts w:hint="eastAsia"/>
        </w:rPr>
        <w:t>次</w:t>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"1-1" \h \t "标准文件_一级条标题,2,标准文件_二级条标题,3,标准文件_附录一级条标题,2,标准文件_附录二级条标题,3,"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_Toc4768 </w:instrText>
      </w:r>
      <w:r>
        <w:rPr>
          <w:rFonts w:hint="eastAsia" w:ascii="宋体" w:hAnsi="宋体" w:eastAsia="宋体" w:cs="宋体"/>
          <w:sz w:val="21"/>
          <w:szCs w:val="21"/>
        </w:rPr>
        <w:fldChar w:fldCharType="separate"/>
      </w:r>
      <w:r>
        <w:rPr>
          <w:rFonts w:hint="eastAsia" w:ascii="宋体" w:hAnsi="宋体" w:eastAsia="宋体" w:cs="宋体"/>
          <w:spacing w:val="320"/>
          <w:sz w:val="21"/>
          <w:szCs w:val="21"/>
        </w:rPr>
        <w:t>前</w:t>
      </w:r>
      <w:r>
        <w:rPr>
          <w:rFonts w:hint="eastAsia" w:ascii="宋体" w:hAnsi="宋体" w:eastAsia="宋体" w:cs="宋体"/>
          <w:sz w:val="21"/>
          <w:szCs w:val="21"/>
        </w:rPr>
        <w:t>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_Toc4768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_Toc7401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_Toc7401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_Toc5649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_Toc5649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_Toc7233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_Toc7233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_Toc18345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4 </w:t>
      </w:r>
      <w:r>
        <w:rPr>
          <w:rFonts w:hint="eastAsia" w:ascii="宋体" w:hAnsi="宋体" w:eastAsia="宋体" w:cs="宋体"/>
          <w:sz w:val="21"/>
          <w:szCs w:val="21"/>
        </w:rPr>
        <w:t>基本规定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_Toc18345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_Toc4794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5 </w:t>
      </w:r>
      <w:r>
        <w:rPr>
          <w:rFonts w:hint="eastAsia" w:ascii="宋体" w:hAnsi="宋体" w:eastAsia="宋体" w:cs="宋体"/>
          <w:sz w:val="21"/>
          <w:szCs w:val="21"/>
        </w:rPr>
        <w:t>材料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_Toc4794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_Toc29727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5.1 </w:t>
      </w:r>
      <w:r>
        <w:rPr>
          <w:rFonts w:hint="eastAsia" w:ascii="宋体" w:hAnsi="宋体" w:eastAsia="宋体" w:cs="宋体"/>
          <w:sz w:val="21"/>
          <w:szCs w:val="21"/>
          <w:lang w:eastAsia="zh-CN"/>
        </w:rPr>
        <w:t>混凝土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_Toc29727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_Toc18646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5.2 </w:t>
      </w:r>
      <w:r>
        <w:rPr>
          <w:rFonts w:hint="eastAsia" w:ascii="宋体" w:hAnsi="宋体" w:eastAsia="宋体" w:cs="宋体"/>
          <w:bCs w:val="0"/>
          <w:sz w:val="21"/>
          <w:szCs w:val="21"/>
        </w:rPr>
        <w:t>钢筋、钢材及连接材料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_Toc18646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_Toc24044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6 </w:t>
      </w:r>
      <w:r>
        <w:rPr>
          <w:rFonts w:hint="eastAsia" w:ascii="宋体" w:hAnsi="宋体" w:eastAsia="宋体" w:cs="宋体"/>
          <w:sz w:val="21"/>
          <w:szCs w:val="21"/>
        </w:rPr>
        <w:t>设计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_Toc24044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_Toc11046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6.1 </w:t>
      </w:r>
      <w:r>
        <w:rPr>
          <w:rFonts w:hint="eastAsia" w:ascii="宋体" w:hAnsi="宋体" w:eastAsia="宋体" w:cs="宋体"/>
          <w:sz w:val="21"/>
          <w:szCs w:val="21"/>
        </w:rPr>
        <w:t>一般规定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_Toc11046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_Toc2932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6.2 </w:t>
      </w:r>
      <w:r>
        <w:rPr>
          <w:rFonts w:hint="eastAsia" w:ascii="宋体" w:hAnsi="宋体" w:eastAsia="宋体" w:cs="宋体"/>
          <w:sz w:val="21"/>
          <w:szCs w:val="21"/>
          <w:lang w:eastAsia="zh-CN"/>
        </w:rPr>
        <w:t>结构布置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_Toc2932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_Toc2636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6.3 </w:t>
      </w:r>
      <w:r>
        <w:rPr>
          <w:rFonts w:hint="eastAsia" w:ascii="宋体" w:hAnsi="宋体" w:eastAsia="宋体" w:cs="宋体"/>
          <w:bCs w:val="0"/>
          <w:sz w:val="21"/>
          <w:szCs w:val="21"/>
        </w:rPr>
        <w:t>作用及作用组合</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_Toc2636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_Toc1902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6.4 </w:t>
      </w:r>
      <w:r>
        <w:rPr>
          <w:rFonts w:hint="eastAsia" w:ascii="宋体" w:hAnsi="宋体" w:eastAsia="宋体" w:cs="宋体"/>
          <w:bCs w:val="0"/>
          <w:sz w:val="21"/>
          <w:szCs w:val="21"/>
          <w:lang w:val="en-US" w:eastAsia="zh-CN"/>
        </w:rPr>
        <w:t>叠合剪力墙设计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_Toc1902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_Toc22581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rPr>
        <w:t xml:space="preserve">6.5 </w:t>
      </w:r>
      <w:r>
        <w:rPr>
          <w:rFonts w:hint="eastAsia" w:ascii="宋体" w:hAnsi="宋体" w:eastAsia="宋体" w:cs="宋体"/>
          <w:bCs w:val="0"/>
          <w:sz w:val="21"/>
          <w:szCs w:val="21"/>
          <w:lang w:val="en-US" w:eastAsia="zh-CN"/>
        </w:rPr>
        <w:t>楼盖设计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_Toc22581 \h </w:instrText>
      </w:r>
      <w:r>
        <w:rPr>
          <w:rFonts w:hint="eastAsia" w:ascii="宋体" w:hAnsi="宋体" w:eastAsia="宋体" w:cs="宋体"/>
          <w:sz w:val="21"/>
          <w:szCs w:val="21"/>
        </w:rPr>
        <w:fldChar w:fldCharType="separate"/>
      </w:r>
      <w:r>
        <w:rPr>
          <w:rFonts w:hint="eastAsia"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_Toc11720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7 </w:t>
      </w:r>
      <w:r>
        <w:rPr>
          <w:rFonts w:hint="eastAsia" w:ascii="宋体" w:hAnsi="宋体" w:eastAsia="宋体" w:cs="宋体"/>
          <w:sz w:val="21"/>
          <w:szCs w:val="21"/>
          <w:lang w:eastAsia="zh-CN"/>
        </w:rPr>
        <w:t>构件制作与运输</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_Toc11720 \h </w:instrText>
      </w:r>
      <w:r>
        <w:rPr>
          <w:rFonts w:hint="eastAsia" w:ascii="宋体" w:hAnsi="宋体" w:eastAsia="宋体" w:cs="宋体"/>
          <w:sz w:val="21"/>
          <w:szCs w:val="21"/>
        </w:rPr>
        <w:fldChar w:fldCharType="separate"/>
      </w:r>
      <w:r>
        <w:rPr>
          <w:rFonts w:hint="eastAsia"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_Toc13320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7.1 </w:t>
      </w:r>
      <w:r>
        <w:rPr>
          <w:rFonts w:hint="eastAsia" w:ascii="宋体" w:hAnsi="宋体" w:eastAsia="宋体" w:cs="宋体"/>
          <w:sz w:val="21"/>
          <w:szCs w:val="21"/>
          <w:lang w:eastAsia="zh-CN"/>
        </w:rPr>
        <w:t>一般规定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_Toc13320 \h </w:instrText>
      </w:r>
      <w:r>
        <w:rPr>
          <w:rFonts w:hint="eastAsia" w:ascii="宋体" w:hAnsi="宋体" w:eastAsia="宋体" w:cs="宋体"/>
          <w:sz w:val="21"/>
          <w:szCs w:val="21"/>
        </w:rPr>
        <w:fldChar w:fldCharType="separate"/>
      </w:r>
      <w:r>
        <w:rPr>
          <w:rFonts w:hint="eastAsia"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_Toc12366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7.2 </w:t>
      </w:r>
      <w:r>
        <w:rPr>
          <w:rFonts w:hint="eastAsia" w:ascii="宋体" w:hAnsi="宋体" w:eastAsia="宋体" w:cs="宋体"/>
          <w:bCs w:val="0"/>
          <w:sz w:val="21"/>
          <w:szCs w:val="21"/>
        </w:rPr>
        <w:t>构件制作</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_Toc12366 \h </w:instrText>
      </w:r>
      <w:r>
        <w:rPr>
          <w:rFonts w:hint="eastAsia" w:ascii="宋体" w:hAnsi="宋体" w:eastAsia="宋体" w:cs="宋体"/>
          <w:sz w:val="21"/>
          <w:szCs w:val="21"/>
        </w:rPr>
        <w:fldChar w:fldCharType="separate"/>
      </w:r>
      <w:r>
        <w:rPr>
          <w:rFonts w:hint="eastAsia"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_Toc25240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7.3 </w:t>
      </w:r>
      <w:r>
        <w:rPr>
          <w:rFonts w:hint="eastAsia" w:ascii="宋体" w:hAnsi="宋体" w:eastAsia="宋体" w:cs="宋体"/>
          <w:bCs w:val="0"/>
          <w:sz w:val="21"/>
          <w:szCs w:val="21"/>
        </w:rPr>
        <w:t>成型、养护及脱模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_Toc25240 \h </w:instrText>
      </w:r>
      <w:r>
        <w:rPr>
          <w:rFonts w:hint="eastAsia" w:ascii="宋体" w:hAnsi="宋体" w:eastAsia="宋体" w:cs="宋体"/>
          <w:sz w:val="21"/>
          <w:szCs w:val="21"/>
        </w:rPr>
        <w:fldChar w:fldCharType="separate"/>
      </w:r>
      <w:r>
        <w:rPr>
          <w:rFonts w:hint="eastAsia"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_Toc6620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7.4 </w:t>
      </w:r>
      <w:r>
        <w:rPr>
          <w:rFonts w:hint="eastAsia" w:ascii="宋体" w:hAnsi="宋体" w:eastAsia="宋体" w:cs="宋体"/>
          <w:bCs w:val="0"/>
          <w:sz w:val="21"/>
          <w:szCs w:val="21"/>
        </w:rPr>
        <w:t>运输与堆放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_Toc6620 \h </w:instrText>
      </w:r>
      <w:r>
        <w:rPr>
          <w:rFonts w:hint="eastAsia" w:ascii="宋体" w:hAnsi="宋体" w:eastAsia="宋体" w:cs="宋体"/>
          <w:sz w:val="21"/>
          <w:szCs w:val="21"/>
        </w:rPr>
        <w:fldChar w:fldCharType="separate"/>
      </w:r>
      <w:r>
        <w:rPr>
          <w:rFonts w:hint="eastAsia"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_Toc32603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8 </w:t>
      </w:r>
      <w:r>
        <w:rPr>
          <w:rFonts w:hint="eastAsia" w:ascii="宋体" w:hAnsi="宋体" w:eastAsia="宋体" w:cs="宋体"/>
          <w:bCs w:val="0"/>
          <w:sz w:val="21"/>
          <w:szCs w:val="21"/>
        </w:rPr>
        <w:t>施工安装</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_Toc32603 \h </w:instrText>
      </w:r>
      <w:r>
        <w:rPr>
          <w:rFonts w:hint="eastAsia" w:ascii="宋体" w:hAnsi="宋体" w:eastAsia="宋体" w:cs="宋体"/>
          <w:sz w:val="21"/>
          <w:szCs w:val="21"/>
        </w:rPr>
        <w:fldChar w:fldCharType="separate"/>
      </w:r>
      <w:r>
        <w:rPr>
          <w:rFonts w:hint="eastAsia"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_Toc3053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8.1 </w:t>
      </w:r>
      <w:r>
        <w:rPr>
          <w:rFonts w:hint="eastAsia" w:ascii="宋体" w:hAnsi="宋体" w:eastAsia="宋体" w:cs="宋体"/>
          <w:bCs w:val="0"/>
          <w:sz w:val="21"/>
          <w:szCs w:val="21"/>
        </w:rPr>
        <w:t>一般规定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_Toc3053 \h </w:instrText>
      </w:r>
      <w:r>
        <w:rPr>
          <w:rFonts w:hint="eastAsia" w:ascii="宋体" w:hAnsi="宋体" w:eastAsia="宋体" w:cs="宋体"/>
          <w:sz w:val="21"/>
          <w:szCs w:val="21"/>
        </w:rPr>
        <w:fldChar w:fldCharType="separate"/>
      </w:r>
      <w:r>
        <w:rPr>
          <w:rFonts w:hint="eastAsia"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_Toc21050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8.2 </w:t>
      </w:r>
      <w:r>
        <w:rPr>
          <w:rFonts w:hint="eastAsia" w:ascii="宋体" w:hAnsi="宋体" w:eastAsia="宋体" w:cs="宋体"/>
          <w:bCs w:val="0"/>
          <w:sz w:val="21"/>
          <w:szCs w:val="21"/>
        </w:rPr>
        <w:t>施工准备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_Toc21050 \h </w:instrText>
      </w:r>
      <w:r>
        <w:rPr>
          <w:rFonts w:hint="eastAsia" w:ascii="宋体" w:hAnsi="宋体" w:eastAsia="宋体" w:cs="宋体"/>
          <w:sz w:val="21"/>
          <w:szCs w:val="21"/>
        </w:rPr>
        <w:fldChar w:fldCharType="separate"/>
      </w:r>
      <w:r>
        <w:rPr>
          <w:rFonts w:hint="eastAsia"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_Toc4539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8.3 </w:t>
      </w:r>
      <w:r>
        <w:rPr>
          <w:rFonts w:hint="eastAsia" w:ascii="宋体" w:hAnsi="宋体" w:eastAsia="宋体" w:cs="宋体"/>
          <w:bCs w:val="0"/>
          <w:sz w:val="21"/>
          <w:szCs w:val="21"/>
        </w:rPr>
        <w:t>预制构件安装</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_Toc4539 \h </w:instrText>
      </w:r>
      <w:r>
        <w:rPr>
          <w:rFonts w:hint="eastAsia" w:ascii="宋体" w:hAnsi="宋体" w:eastAsia="宋体" w:cs="宋体"/>
          <w:sz w:val="21"/>
          <w:szCs w:val="21"/>
        </w:rPr>
        <w:fldChar w:fldCharType="separate"/>
      </w:r>
      <w:r>
        <w:rPr>
          <w:rFonts w:hint="eastAsia"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_Toc22705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rPr>
        <w:t xml:space="preserve">8.4 </w:t>
      </w:r>
      <w:r>
        <w:rPr>
          <w:rFonts w:hint="eastAsia" w:ascii="宋体" w:hAnsi="宋体" w:eastAsia="宋体" w:cs="宋体"/>
          <w:bCs w:val="0"/>
          <w:sz w:val="21"/>
          <w:szCs w:val="21"/>
          <w:lang w:val="en-US" w:eastAsia="zh-CN"/>
        </w:rPr>
        <w:t>成品保护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_Toc22705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_Toc32081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9 </w:t>
      </w:r>
      <w:r>
        <w:rPr>
          <w:rFonts w:hint="eastAsia" w:ascii="宋体" w:hAnsi="宋体" w:eastAsia="宋体" w:cs="宋体"/>
          <w:sz w:val="21"/>
          <w:szCs w:val="21"/>
          <w:lang w:eastAsia="zh-CN"/>
        </w:rPr>
        <w:t>质量验收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_Toc32081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_Toc17687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9.1 </w:t>
      </w:r>
      <w:r>
        <w:rPr>
          <w:rFonts w:hint="eastAsia" w:ascii="宋体" w:hAnsi="宋体" w:eastAsia="宋体" w:cs="宋体"/>
          <w:sz w:val="21"/>
          <w:szCs w:val="21"/>
          <w:lang w:eastAsia="zh-CN"/>
        </w:rPr>
        <w:t>一般规定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_Toc17687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_Toc9791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rPr>
        <w:t xml:space="preserve">9.2 </w:t>
      </w:r>
      <w:r>
        <w:rPr>
          <w:rFonts w:hint="eastAsia" w:ascii="宋体" w:hAnsi="宋体" w:eastAsia="宋体" w:cs="宋体"/>
          <w:sz w:val="21"/>
          <w:szCs w:val="21"/>
          <w:lang w:val="en-US" w:eastAsia="zh-CN"/>
        </w:rPr>
        <w:t>预制构件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_Toc9791 \h </w:instrText>
      </w:r>
      <w:r>
        <w:rPr>
          <w:rFonts w:hint="eastAsia" w:ascii="宋体" w:hAnsi="宋体" w:eastAsia="宋体" w:cs="宋体"/>
          <w:sz w:val="21"/>
          <w:szCs w:val="21"/>
        </w:rPr>
        <w:fldChar w:fldCharType="separate"/>
      </w:r>
      <w:r>
        <w:rPr>
          <w:rFonts w:hint="eastAsia" w:ascii="宋体" w:hAnsi="宋体" w:eastAsia="宋体" w:cs="宋体"/>
          <w:sz w:val="21"/>
          <w:szCs w:val="21"/>
        </w:rPr>
        <w:t>22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_Toc3339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rPr>
        <w:t xml:space="preserve">9.3 </w:t>
      </w:r>
      <w:r>
        <w:rPr>
          <w:rFonts w:hint="eastAsia" w:ascii="宋体" w:hAnsi="宋体" w:eastAsia="宋体" w:cs="宋体"/>
          <w:sz w:val="21"/>
          <w:szCs w:val="21"/>
          <w:lang w:val="en-US" w:eastAsia="zh-CN"/>
        </w:rPr>
        <w:t>安装与连接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_Toc3339 \h </w:instrText>
      </w:r>
      <w:r>
        <w:rPr>
          <w:rFonts w:hint="eastAsia" w:ascii="宋体" w:hAnsi="宋体" w:eastAsia="宋体" w:cs="宋体"/>
          <w:sz w:val="21"/>
          <w:szCs w:val="21"/>
        </w:rPr>
        <w:fldChar w:fldCharType="separate"/>
      </w:r>
      <w:r>
        <w:rPr>
          <w:rFonts w:hint="eastAsia" w:ascii="宋体" w:hAnsi="宋体" w:eastAsia="宋体" w:cs="宋体"/>
          <w:sz w:val="21"/>
          <w:szCs w:val="21"/>
        </w:rPr>
        <w:t>24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_Toc24268 </w:instrText>
      </w:r>
      <w:r>
        <w:rPr>
          <w:rFonts w:hint="eastAsia" w:ascii="宋体" w:hAnsi="宋体" w:eastAsia="宋体" w:cs="宋体"/>
          <w:sz w:val="21"/>
          <w:szCs w:val="21"/>
        </w:rPr>
        <w:fldChar w:fldCharType="separate"/>
      </w:r>
      <w:r>
        <w:rPr>
          <w:rFonts w:hint="eastAsia" w:ascii="宋体" w:hAnsi="宋体" w:eastAsia="宋体" w:cs="宋体"/>
          <w:spacing w:val="100"/>
          <w:sz w:val="21"/>
          <w:szCs w:val="21"/>
        </w:rPr>
        <w:t xml:space="preserve">附录A </w:t>
      </w:r>
      <w:r>
        <w:rPr>
          <w:rFonts w:hint="eastAsia" w:ascii="宋体" w:hAnsi="宋体" w:eastAsia="宋体" w:cs="宋体"/>
          <w:bCs w:val="0"/>
          <w:sz w:val="21"/>
          <w:szCs w:val="21"/>
        </w:rPr>
        <w:t>质量验收记录</w:t>
      </w:r>
      <w:r>
        <w:rPr>
          <w:rFonts w:hint="eastAsia" w:ascii="宋体" w:hAnsi="宋体" w:eastAsia="宋体" w:cs="宋体"/>
          <w:bCs w:val="0"/>
          <w:sz w:val="21"/>
          <w:szCs w:val="21"/>
          <w:lang w:eastAsia="zh-CN"/>
        </w:rPr>
        <w:t>（规范性）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_Toc24268 \h </w:instrText>
      </w:r>
      <w:r>
        <w:rPr>
          <w:rFonts w:hint="eastAsia" w:ascii="宋体" w:hAnsi="宋体" w:eastAsia="宋体" w:cs="宋体"/>
          <w:sz w:val="21"/>
          <w:szCs w:val="21"/>
        </w:rPr>
        <w:fldChar w:fldCharType="separate"/>
      </w:r>
      <w:r>
        <w:rPr>
          <w:rFonts w:hint="eastAsia" w:ascii="宋体" w:hAnsi="宋体" w:eastAsia="宋体" w:cs="宋体"/>
          <w:sz w:val="21"/>
          <w:szCs w:val="21"/>
        </w:rPr>
        <w:t>27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_Toc10321 </w:instrText>
      </w:r>
      <w:r>
        <w:rPr>
          <w:rFonts w:hint="eastAsia" w:ascii="宋体" w:hAnsi="宋体" w:eastAsia="宋体" w:cs="宋体"/>
          <w:sz w:val="21"/>
          <w:szCs w:val="21"/>
        </w:rPr>
        <w:fldChar w:fldCharType="separate"/>
      </w:r>
      <w:r>
        <w:rPr>
          <w:rFonts w:hint="eastAsia" w:ascii="宋体" w:hAnsi="宋体" w:eastAsia="宋体" w:cs="宋体"/>
          <w:bCs w:val="0"/>
          <w:spacing w:val="100"/>
          <w:sz w:val="21"/>
          <w:szCs w:val="21"/>
        </w:rPr>
        <w:t xml:space="preserve">附录B </w:t>
      </w:r>
      <w:r>
        <w:rPr>
          <w:rFonts w:hint="eastAsia" w:ascii="宋体" w:hAnsi="宋体" w:eastAsia="宋体" w:cs="宋体"/>
          <w:bCs w:val="0"/>
          <w:sz w:val="21"/>
          <w:szCs w:val="21"/>
        </w:rPr>
        <w:t>阵列超声成像法</w:t>
      </w:r>
      <w:r>
        <w:rPr>
          <w:rFonts w:hint="eastAsia" w:ascii="宋体" w:hAnsi="宋体" w:eastAsia="宋体" w:cs="宋体"/>
          <w:bCs w:val="0"/>
          <w:sz w:val="21"/>
          <w:szCs w:val="21"/>
          <w:lang w:eastAsia="zh-CN"/>
        </w:rPr>
        <w:t>（资料性）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_Toc10321 \h </w:instrText>
      </w:r>
      <w:r>
        <w:rPr>
          <w:rFonts w:hint="eastAsia" w:ascii="宋体" w:hAnsi="宋体" w:eastAsia="宋体" w:cs="宋体"/>
          <w:sz w:val="21"/>
          <w:szCs w:val="21"/>
        </w:rPr>
        <w:fldChar w:fldCharType="separate"/>
      </w:r>
      <w:r>
        <w:rPr>
          <w:rFonts w:hint="eastAsia" w:ascii="宋体" w:hAnsi="宋体" w:eastAsia="宋体" w:cs="宋体"/>
          <w:sz w:val="21"/>
          <w:szCs w:val="21"/>
        </w:rPr>
        <w:t>29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sectPr>
          <w:headerReference r:id="rId10" w:type="default"/>
          <w:footerReference r:id="rId12" w:type="default"/>
          <w:headerReference r:id="rId11" w:type="even"/>
          <w:footerReference r:id="rId13" w:type="even"/>
          <w:pgSz w:w="11906" w:h="16838"/>
          <w:pgMar w:top="567" w:right="1134" w:bottom="1134" w:left="1134" w:header="1418" w:footer="1134" w:gutter="284"/>
          <w:pgNumType w:fmt="upperRoman" w:start="1"/>
          <w:cols w:space="425" w:num="1"/>
          <w:formProt w:val="0"/>
          <w:docGrid w:type="lines" w:linePitch="312" w:charSpace="0"/>
        </w:sectPr>
      </w:pPr>
      <w:r>
        <w:rPr>
          <w:rFonts w:hint="eastAsia" w:ascii="宋体" w:hAnsi="宋体" w:eastAsia="宋体" w:cs="宋体"/>
          <w:sz w:val="21"/>
          <w:szCs w:val="21"/>
        </w:rPr>
        <w:fldChar w:fldCharType="end"/>
      </w:r>
    </w:p>
    <w:bookmarkEnd w:id="20"/>
    <w:p>
      <w:pPr>
        <w:pStyle w:val="91"/>
        <w:spacing w:after="468"/>
      </w:pPr>
      <w:bookmarkStart w:id="21" w:name="_Toc4768"/>
      <w:bookmarkStart w:id="22" w:name="BookMark2"/>
      <w:r>
        <w:rPr>
          <w:spacing w:val="320"/>
        </w:rPr>
        <w:t>前</w:t>
      </w:r>
      <w:r>
        <w:t>言</w:t>
      </w:r>
      <w:bookmarkEnd w:id="21"/>
    </w:p>
    <w:p>
      <w:pPr>
        <w:pStyle w:val="58"/>
        <w:ind w:firstLine="420"/>
      </w:pPr>
      <w:r>
        <w:rPr>
          <w:rFonts w:hint="eastAsia"/>
        </w:rPr>
        <w:t>本规程按照GB/T 1.1—2020《标准化工作导则  第1部分：标准化文件的结构和起草规则》的规定起草。</w:t>
      </w:r>
    </w:p>
    <w:p>
      <w:pPr>
        <w:pStyle w:val="58"/>
        <w:ind w:firstLine="420"/>
      </w:pPr>
      <w:r>
        <w:rPr>
          <w:rFonts w:hint="eastAsia"/>
        </w:rPr>
        <w:t>本规程由</w:t>
      </w:r>
      <w:r>
        <w:rPr>
          <w:rFonts w:ascii="Times New Roman"/>
        </w:rPr>
        <w:t>江苏省住房和城乡建设厅</w:t>
      </w:r>
      <w:r>
        <w:rPr>
          <w:rFonts w:hint="eastAsia"/>
        </w:rPr>
        <w:t>提出。</w:t>
      </w:r>
    </w:p>
    <w:p>
      <w:pPr>
        <w:pStyle w:val="58"/>
        <w:ind w:firstLine="420"/>
      </w:pPr>
      <w:r>
        <w:rPr>
          <w:rFonts w:hint="eastAsia"/>
        </w:rPr>
        <w:t>本规程由</w:t>
      </w:r>
      <w:r>
        <w:rPr>
          <w:rFonts w:ascii="Times New Roman"/>
        </w:rPr>
        <w:t>江苏省住房和城乡建设厅</w:t>
      </w:r>
      <w:r>
        <w:rPr>
          <w:rFonts w:hint="eastAsia"/>
        </w:rPr>
        <w:t>归口。</w:t>
      </w:r>
    </w:p>
    <w:p>
      <w:pPr>
        <w:pStyle w:val="233"/>
        <w:ind w:left="420" w:leftChars="200" w:firstLine="0" w:firstLineChars="0"/>
        <w:jc w:val="left"/>
      </w:pPr>
      <w:r>
        <w:rPr>
          <w:rFonts w:hint="eastAsia"/>
        </w:rPr>
        <w:t>本规程起草单位：启迪设计集团股份有限公司</w:t>
      </w:r>
      <w:r>
        <w:rPr>
          <w:rFonts w:hint="eastAsia"/>
          <w:lang w:eastAsia="zh-CN"/>
        </w:rPr>
        <w:t>、</w:t>
      </w:r>
      <w:r>
        <w:rPr>
          <w:rFonts w:hint="eastAsia"/>
        </w:rPr>
        <w:t>江苏省住房和城乡建设厅科技发展中心</w:t>
      </w:r>
      <w:r>
        <w:rPr>
          <w:rFonts w:hint="eastAsia"/>
          <w:lang w:eastAsia="zh-CN"/>
        </w:rPr>
        <w:t>、</w:t>
      </w:r>
      <w:r>
        <w:rPr>
          <w:rFonts w:hint="eastAsia"/>
        </w:rPr>
        <w:t>东南大学</w:t>
      </w:r>
      <w:r>
        <w:rPr>
          <w:rFonts w:hint="eastAsia"/>
          <w:lang w:eastAsia="zh-CN"/>
        </w:rPr>
        <w:t>、</w:t>
      </w:r>
      <w:r>
        <w:rPr>
          <w:rFonts w:hint="eastAsia"/>
        </w:rPr>
        <w:t>昆山市建设工程质量检测中心</w:t>
      </w:r>
      <w:r>
        <w:rPr>
          <w:rFonts w:hint="eastAsia"/>
          <w:lang w:eastAsia="zh-CN"/>
        </w:rPr>
        <w:t>、</w:t>
      </w:r>
      <w:r>
        <w:rPr>
          <w:rFonts w:hint="eastAsia"/>
        </w:rPr>
        <w:t>江苏元大科技有限公司</w:t>
      </w:r>
      <w:r>
        <w:rPr>
          <w:rFonts w:hint="eastAsia"/>
          <w:lang w:eastAsia="zh-CN"/>
        </w:rPr>
        <w:t>、</w:t>
      </w:r>
      <w:r>
        <w:rPr>
          <w:rFonts w:hint="eastAsia"/>
        </w:rPr>
        <w:t>美好建筑装配科技有限公司。</w:t>
      </w:r>
    </w:p>
    <w:p>
      <w:pPr>
        <w:pStyle w:val="58"/>
        <w:ind w:firstLine="420"/>
        <w:rPr>
          <w:rFonts w:hint="eastAsia" w:ascii="Times New Roman"/>
        </w:rPr>
        <w:sectPr>
          <w:headerReference r:id="rId14" w:type="default"/>
          <w:footerReference r:id="rId16" w:type="default"/>
          <w:headerReference r:id="rId15" w:type="even"/>
          <w:footerReference r:id="rId17" w:type="even"/>
          <w:pgSz w:w="11906" w:h="16838"/>
          <w:pgMar w:top="567" w:right="1134" w:bottom="1134" w:left="1134" w:header="1418" w:footer="1134" w:gutter="284"/>
          <w:pgNumType w:start="1"/>
          <w:cols w:space="425" w:num="1"/>
          <w:formProt w:val="0"/>
          <w:docGrid w:type="lines" w:linePitch="312" w:charSpace="0"/>
        </w:sectPr>
      </w:pPr>
      <w:r>
        <w:rPr>
          <w:rFonts w:hint="eastAsia"/>
        </w:rPr>
        <w:t>本</w:t>
      </w:r>
      <w:r>
        <w:rPr>
          <w:rFonts w:hint="eastAsia" w:ascii="Times New Roman"/>
        </w:rPr>
        <w:t>规程主要起草人：赵宏康，孙雪梅，郭正兴，石平府，张跃峰，吴京，江韩，樊桦，顾盛，徐以扬，方有珍，张显光，屈俊峰，谭园，李峰，张猛，陆亚珍，高乐旭</w:t>
      </w:r>
      <w:r>
        <w:rPr>
          <w:rFonts w:hint="eastAsia" w:ascii="Times New Roman"/>
          <w:lang w:eastAsia="zh-CN"/>
        </w:rPr>
        <w:t>，庄玮</w:t>
      </w:r>
      <w:r>
        <w:rPr>
          <w:rFonts w:hint="eastAsia" w:ascii="Times New Roman"/>
        </w:rPr>
        <w:t>。</w:t>
      </w:r>
    </w:p>
    <w:p>
      <w:pPr>
        <w:pStyle w:val="58"/>
        <w:ind w:firstLine="420"/>
        <w:rPr>
          <w:rFonts w:hint="eastAsia" w:ascii="Times New Roman"/>
        </w:rPr>
      </w:pPr>
    </w:p>
    <w:p>
      <w:pPr>
        <w:pStyle w:val="58"/>
        <w:ind w:firstLine="420"/>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db50828e-3ed8-4022-9e31-2acc7fe38b4b}"/>
        </w:placeholder>
      </w:sdtPr>
      <w:sdtContent>
        <w:p>
          <w:pPr>
            <w:pStyle w:val="179"/>
            <w:spacing w:beforeLines="182" w:afterLines="220"/>
          </w:pPr>
          <w:bookmarkStart w:id="24" w:name="NEW_STAND_NAME"/>
          <w:r>
            <w:rPr>
              <w:rFonts w:hint="eastAsia"/>
            </w:rPr>
            <w:t>装配整体式叠合剪力墙结构技术规程</w:t>
          </w:r>
        </w:p>
      </w:sdtContent>
    </w:sdt>
    <w:bookmarkEnd w:id="24"/>
    <w:p>
      <w:pPr>
        <w:pStyle w:val="106"/>
        <w:spacing w:before="312" w:after="312"/>
      </w:pPr>
      <w:bookmarkStart w:id="25" w:name="_Toc26648465"/>
      <w:bookmarkStart w:id="26" w:name="_Toc26718930"/>
      <w:bookmarkStart w:id="27" w:name="_Toc17233333"/>
      <w:bookmarkStart w:id="28" w:name="_Toc26986771"/>
      <w:bookmarkStart w:id="29" w:name="_Toc17233325"/>
      <w:bookmarkStart w:id="30" w:name="_Toc24884218"/>
      <w:bookmarkStart w:id="31" w:name="_Toc7401"/>
      <w:bookmarkStart w:id="32" w:name="_Toc24884211"/>
      <w:bookmarkStart w:id="33" w:name="_Toc26986530"/>
      <w:r>
        <w:rPr>
          <w:rFonts w:hint="eastAsia"/>
        </w:rPr>
        <w:t>范围</w:t>
      </w:r>
      <w:bookmarkEnd w:id="25"/>
      <w:bookmarkEnd w:id="26"/>
      <w:bookmarkEnd w:id="27"/>
      <w:bookmarkEnd w:id="28"/>
      <w:bookmarkEnd w:id="29"/>
      <w:bookmarkEnd w:id="30"/>
      <w:bookmarkEnd w:id="31"/>
      <w:bookmarkEnd w:id="32"/>
      <w:bookmarkEnd w:id="33"/>
    </w:p>
    <w:p>
      <w:pPr>
        <w:pStyle w:val="58"/>
        <w:ind w:firstLine="420"/>
        <w:rPr>
          <w:rFonts w:hint="eastAsia"/>
        </w:rPr>
      </w:pPr>
      <w:bookmarkStart w:id="34" w:name="_Toc17233334"/>
      <w:bookmarkStart w:id="35" w:name="_Toc24884219"/>
      <w:bookmarkStart w:id="36" w:name="_Toc26648466"/>
      <w:bookmarkStart w:id="37" w:name="_Toc24884212"/>
      <w:bookmarkStart w:id="38" w:name="_Toc17233326"/>
      <w:r>
        <w:rPr>
          <w:rFonts w:hint="eastAsia"/>
        </w:rPr>
        <w:t>本标准规定了装配整体式叠合剪力墙结构的设计、生产、施工及验收等内容。</w:t>
      </w:r>
    </w:p>
    <w:p>
      <w:pPr>
        <w:pStyle w:val="58"/>
        <w:ind w:firstLine="420"/>
        <w:rPr>
          <w:rFonts w:hint="eastAsia"/>
        </w:rPr>
      </w:pPr>
      <w:r>
        <w:rPr>
          <w:rFonts w:hint="eastAsia"/>
        </w:rPr>
        <w:t>本规程适用于江苏省行政区域内新建、扩建、改建的装配整体式叠合剪力墙结构工程项目的建设管理。</w:t>
      </w:r>
    </w:p>
    <w:p>
      <w:pPr>
        <w:pStyle w:val="106"/>
        <w:spacing w:before="312" w:after="312"/>
      </w:pPr>
      <w:bookmarkStart w:id="39" w:name="_Toc26986772"/>
      <w:bookmarkStart w:id="40" w:name="_Toc26718931"/>
      <w:bookmarkStart w:id="41" w:name="_Toc5649"/>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3d49199d-bbb3-48b3-907e-c36456ae979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int="eastAsia"/>
        </w:rPr>
      </w:pPr>
      <w:r>
        <w:rPr>
          <w:rFonts w:hint="eastAsia"/>
        </w:rPr>
        <w:t>GB50009</w:t>
      </w:r>
      <w:r>
        <w:rPr>
          <w:rFonts w:hint="eastAsia"/>
          <w:lang w:val="en-US" w:eastAsia="zh-CN"/>
        </w:rPr>
        <w:t xml:space="preserve"> </w:t>
      </w:r>
      <w:r>
        <w:rPr>
          <w:rFonts w:hint="eastAsia"/>
        </w:rPr>
        <w:t>建筑结构荷载规范</w:t>
      </w:r>
    </w:p>
    <w:p>
      <w:pPr>
        <w:pStyle w:val="58"/>
        <w:ind w:firstLine="420"/>
        <w:rPr>
          <w:rFonts w:hint="eastAsia"/>
        </w:rPr>
      </w:pPr>
      <w:r>
        <w:rPr>
          <w:rFonts w:hint="eastAsia"/>
        </w:rPr>
        <w:t>GB50010</w:t>
      </w:r>
      <w:r>
        <w:rPr>
          <w:rFonts w:hint="eastAsia"/>
          <w:lang w:val="en-US" w:eastAsia="zh-CN"/>
        </w:rPr>
        <w:t xml:space="preserve"> </w:t>
      </w:r>
      <w:r>
        <w:rPr>
          <w:rFonts w:hint="eastAsia"/>
        </w:rPr>
        <w:t>混凝土结构设计规范</w:t>
      </w:r>
    </w:p>
    <w:p>
      <w:pPr>
        <w:pStyle w:val="58"/>
        <w:ind w:firstLine="420"/>
        <w:rPr>
          <w:rFonts w:hint="eastAsia"/>
        </w:rPr>
      </w:pPr>
      <w:r>
        <w:rPr>
          <w:rFonts w:hint="eastAsia"/>
        </w:rPr>
        <w:t>GB50011</w:t>
      </w:r>
      <w:r>
        <w:rPr>
          <w:rFonts w:hint="eastAsia"/>
          <w:lang w:val="en-US" w:eastAsia="zh-CN"/>
        </w:rPr>
        <w:t xml:space="preserve"> </w:t>
      </w:r>
      <w:r>
        <w:rPr>
          <w:rFonts w:hint="eastAsia"/>
        </w:rPr>
        <w:t>建筑抗震设计规范</w:t>
      </w:r>
    </w:p>
    <w:p>
      <w:pPr>
        <w:pStyle w:val="58"/>
        <w:ind w:firstLine="420"/>
        <w:rPr>
          <w:rFonts w:hint="eastAsia"/>
        </w:rPr>
      </w:pPr>
      <w:r>
        <w:rPr>
          <w:rFonts w:hint="eastAsia"/>
        </w:rPr>
        <w:t>GB50017</w:t>
      </w:r>
      <w:r>
        <w:rPr>
          <w:rFonts w:hint="eastAsia"/>
          <w:lang w:val="en-US" w:eastAsia="zh-CN"/>
        </w:rPr>
        <w:t xml:space="preserve"> </w:t>
      </w:r>
      <w:r>
        <w:rPr>
          <w:rFonts w:hint="eastAsia"/>
        </w:rPr>
        <w:t>钢结构设计标准</w:t>
      </w:r>
    </w:p>
    <w:p>
      <w:pPr>
        <w:pStyle w:val="58"/>
        <w:ind w:firstLine="420"/>
        <w:rPr>
          <w:rFonts w:hint="eastAsia"/>
        </w:rPr>
      </w:pPr>
      <w:r>
        <w:rPr>
          <w:rFonts w:hint="default"/>
        </w:rPr>
        <w:t>GB/T50107</w:t>
      </w:r>
      <w:r>
        <w:rPr>
          <w:rFonts w:hint="eastAsia"/>
          <w:lang w:val="en-US" w:eastAsia="zh-CN"/>
        </w:rPr>
        <w:t xml:space="preserve"> </w:t>
      </w:r>
      <w:r>
        <w:rPr>
          <w:rFonts w:hint="default"/>
        </w:rPr>
        <w:t>混凝土强度检验评定标准</w:t>
      </w:r>
    </w:p>
    <w:p>
      <w:pPr>
        <w:pStyle w:val="58"/>
        <w:ind w:firstLine="420"/>
        <w:rPr>
          <w:rFonts w:hint="eastAsia"/>
        </w:rPr>
      </w:pPr>
      <w:r>
        <w:rPr>
          <w:rFonts w:hint="eastAsia"/>
        </w:rPr>
        <w:t>GB50204</w:t>
      </w:r>
      <w:r>
        <w:rPr>
          <w:rFonts w:hint="eastAsia"/>
          <w:lang w:val="en-US" w:eastAsia="zh-CN"/>
        </w:rPr>
        <w:t xml:space="preserve"> </w:t>
      </w:r>
      <w:r>
        <w:rPr>
          <w:rFonts w:hint="eastAsia"/>
        </w:rPr>
        <w:t>混凝土结构施工质量验收规范</w:t>
      </w:r>
    </w:p>
    <w:p>
      <w:pPr>
        <w:pStyle w:val="58"/>
        <w:ind w:firstLine="420"/>
        <w:rPr>
          <w:rFonts w:hint="eastAsia"/>
        </w:rPr>
      </w:pPr>
      <w:r>
        <w:rPr>
          <w:rFonts w:hint="eastAsia"/>
        </w:rPr>
        <w:t>GB50205</w:t>
      </w:r>
      <w:r>
        <w:rPr>
          <w:rFonts w:hint="eastAsia"/>
          <w:lang w:val="en-US" w:eastAsia="zh-CN"/>
        </w:rPr>
        <w:t xml:space="preserve"> </w:t>
      </w:r>
      <w:r>
        <w:rPr>
          <w:rFonts w:hint="eastAsia"/>
        </w:rPr>
        <w:t>钢结构工程施工质量验收标准</w:t>
      </w:r>
    </w:p>
    <w:p>
      <w:pPr>
        <w:pStyle w:val="58"/>
        <w:ind w:firstLine="420"/>
        <w:rPr>
          <w:rFonts w:hint="eastAsia"/>
        </w:rPr>
      </w:pPr>
      <w:r>
        <w:rPr>
          <w:rFonts w:hint="eastAsia"/>
        </w:rPr>
        <w:t>GB50210</w:t>
      </w:r>
      <w:r>
        <w:rPr>
          <w:rFonts w:hint="eastAsia"/>
          <w:lang w:val="en-US" w:eastAsia="zh-CN"/>
        </w:rPr>
        <w:t xml:space="preserve"> </w:t>
      </w:r>
      <w:r>
        <w:rPr>
          <w:rFonts w:hint="eastAsia"/>
        </w:rPr>
        <w:t>建筑装饰装修工程质量验收标准</w:t>
      </w:r>
    </w:p>
    <w:p>
      <w:pPr>
        <w:pStyle w:val="58"/>
        <w:ind w:firstLine="420"/>
        <w:rPr>
          <w:rFonts w:hint="eastAsia"/>
        </w:rPr>
      </w:pPr>
      <w:r>
        <w:rPr>
          <w:rFonts w:hint="eastAsia"/>
        </w:rPr>
        <w:t>GB50223</w:t>
      </w:r>
      <w:r>
        <w:rPr>
          <w:rFonts w:hint="eastAsia"/>
          <w:lang w:val="en-US" w:eastAsia="zh-CN"/>
        </w:rPr>
        <w:t xml:space="preserve"> </w:t>
      </w:r>
      <w:r>
        <w:rPr>
          <w:rFonts w:hint="eastAsia"/>
        </w:rPr>
        <w:t>建筑工程抗震设防分类标准</w:t>
      </w:r>
    </w:p>
    <w:p>
      <w:pPr>
        <w:pStyle w:val="58"/>
        <w:ind w:firstLine="420"/>
        <w:rPr>
          <w:rFonts w:hint="eastAsia"/>
        </w:rPr>
      </w:pPr>
      <w:r>
        <w:rPr>
          <w:rFonts w:hint="eastAsia"/>
        </w:rPr>
        <w:t>GB/T50476</w:t>
      </w:r>
      <w:r>
        <w:rPr>
          <w:rFonts w:hint="eastAsia"/>
          <w:lang w:val="en-US" w:eastAsia="zh-CN"/>
        </w:rPr>
        <w:t xml:space="preserve"> </w:t>
      </w:r>
      <w:r>
        <w:rPr>
          <w:rFonts w:hint="eastAsia"/>
        </w:rPr>
        <w:t>混凝土结构耐久性设计规范</w:t>
      </w:r>
    </w:p>
    <w:p>
      <w:pPr>
        <w:pStyle w:val="58"/>
        <w:ind w:firstLine="420"/>
        <w:rPr>
          <w:rFonts w:hint="eastAsia"/>
        </w:rPr>
      </w:pPr>
      <w:r>
        <w:rPr>
          <w:rFonts w:hint="eastAsia"/>
        </w:rPr>
        <w:t>GB50608</w:t>
      </w:r>
      <w:r>
        <w:rPr>
          <w:rFonts w:hint="eastAsia"/>
          <w:lang w:val="en-US" w:eastAsia="zh-CN"/>
        </w:rPr>
        <w:t xml:space="preserve"> </w:t>
      </w:r>
      <w:r>
        <w:rPr>
          <w:rFonts w:hint="eastAsia"/>
        </w:rPr>
        <w:t>纤维增强复合材料建设工程应用技术规范</w:t>
      </w:r>
    </w:p>
    <w:p>
      <w:pPr>
        <w:pStyle w:val="58"/>
        <w:ind w:firstLine="420"/>
        <w:rPr>
          <w:rFonts w:hint="eastAsia"/>
        </w:rPr>
      </w:pPr>
      <w:r>
        <w:rPr>
          <w:rFonts w:hint="eastAsia"/>
        </w:rPr>
        <w:t>GB50661</w:t>
      </w:r>
      <w:r>
        <w:rPr>
          <w:rFonts w:hint="eastAsia"/>
          <w:lang w:val="en-US" w:eastAsia="zh-CN"/>
        </w:rPr>
        <w:t xml:space="preserve"> </w:t>
      </w:r>
      <w:r>
        <w:rPr>
          <w:rFonts w:hint="eastAsia"/>
        </w:rPr>
        <w:t>钢结构焊接规范</w:t>
      </w:r>
    </w:p>
    <w:p>
      <w:pPr>
        <w:pStyle w:val="58"/>
        <w:ind w:firstLine="420"/>
        <w:rPr>
          <w:rFonts w:hint="eastAsia"/>
        </w:rPr>
      </w:pPr>
      <w:r>
        <w:rPr>
          <w:rFonts w:hint="eastAsia"/>
        </w:rPr>
        <w:t>GB50666</w:t>
      </w:r>
      <w:r>
        <w:rPr>
          <w:rFonts w:hint="eastAsia"/>
          <w:lang w:val="en-US" w:eastAsia="zh-CN"/>
        </w:rPr>
        <w:t xml:space="preserve"> </w:t>
      </w:r>
      <w:r>
        <w:rPr>
          <w:rFonts w:hint="eastAsia"/>
        </w:rPr>
        <w:t>混凝土结构工程施工规范</w:t>
      </w:r>
    </w:p>
    <w:p>
      <w:pPr>
        <w:pStyle w:val="58"/>
        <w:ind w:firstLine="420"/>
        <w:rPr>
          <w:rFonts w:hint="eastAsia"/>
        </w:rPr>
      </w:pPr>
      <w:r>
        <w:rPr>
          <w:rFonts w:hint="eastAsia"/>
        </w:rPr>
        <w:t>GB50755</w:t>
      </w:r>
      <w:r>
        <w:rPr>
          <w:rFonts w:hint="eastAsia"/>
          <w:lang w:val="en-US" w:eastAsia="zh-CN"/>
        </w:rPr>
        <w:t xml:space="preserve"> </w:t>
      </w:r>
      <w:r>
        <w:rPr>
          <w:rFonts w:hint="eastAsia"/>
        </w:rPr>
        <w:t>钢结构工程施工规范</w:t>
      </w:r>
    </w:p>
    <w:p>
      <w:pPr>
        <w:pStyle w:val="58"/>
        <w:ind w:firstLine="420"/>
        <w:rPr>
          <w:rFonts w:hint="eastAsia"/>
        </w:rPr>
      </w:pPr>
      <w:r>
        <w:rPr>
          <w:rFonts w:hint="eastAsia"/>
        </w:rPr>
        <w:t>GB/T51231</w:t>
      </w:r>
      <w:r>
        <w:rPr>
          <w:rFonts w:hint="eastAsia"/>
          <w:lang w:val="en-US" w:eastAsia="zh-CN"/>
        </w:rPr>
        <w:t xml:space="preserve"> </w:t>
      </w:r>
      <w:r>
        <w:rPr>
          <w:rFonts w:hint="eastAsia"/>
        </w:rPr>
        <w:t>装配式混凝土建筑技术标准</w:t>
      </w:r>
    </w:p>
    <w:p>
      <w:pPr>
        <w:pStyle w:val="58"/>
        <w:ind w:firstLine="420"/>
        <w:rPr>
          <w:rFonts w:hint="eastAsia"/>
        </w:rPr>
      </w:pPr>
      <w:r>
        <w:rPr>
          <w:rFonts w:hint="eastAsia"/>
        </w:rPr>
        <w:t>JGJ1</w:t>
      </w:r>
      <w:r>
        <w:rPr>
          <w:rFonts w:hint="eastAsia"/>
          <w:lang w:val="en-US" w:eastAsia="zh-CN"/>
        </w:rPr>
        <w:t xml:space="preserve"> </w:t>
      </w:r>
      <w:r>
        <w:rPr>
          <w:rFonts w:hint="eastAsia"/>
        </w:rPr>
        <w:t>装配式混凝土结构技术规程</w:t>
      </w:r>
    </w:p>
    <w:p>
      <w:pPr>
        <w:pStyle w:val="58"/>
        <w:ind w:firstLine="420"/>
        <w:rPr>
          <w:rFonts w:hint="eastAsia"/>
        </w:rPr>
      </w:pPr>
      <w:r>
        <w:rPr>
          <w:rFonts w:hint="eastAsia"/>
        </w:rPr>
        <w:t>JGJ3</w:t>
      </w:r>
      <w:r>
        <w:rPr>
          <w:rFonts w:hint="eastAsia"/>
          <w:lang w:val="en-US" w:eastAsia="zh-CN"/>
        </w:rPr>
        <w:t xml:space="preserve"> </w:t>
      </w:r>
      <w:r>
        <w:rPr>
          <w:rFonts w:hint="eastAsia"/>
        </w:rPr>
        <w:t>高层建筑混凝土结构技术规程</w:t>
      </w:r>
    </w:p>
    <w:p>
      <w:pPr>
        <w:pStyle w:val="58"/>
        <w:ind w:firstLine="420"/>
        <w:rPr>
          <w:rFonts w:hint="eastAsia"/>
        </w:rPr>
      </w:pPr>
      <w:r>
        <w:rPr>
          <w:rFonts w:hint="eastAsia"/>
        </w:rPr>
        <w:t>JGJ18</w:t>
      </w:r>
      <w:r>
        <w:rPr>
          <w:rFonts w:hint="eastAsia"/>
          <w:lang w:val="en-US" w:eastAsia="zh-CN"/>
        </w:rPr>
        <w:t xml:space="preserve"> </w:t>
      </w:r>
      <w:r>
        <w:rPr>
          <w:rFonts w:hint="eastAsia"/>
        </w:rPr>
        <w:t>钢筋焊接及验收规程</w:t>
      </w:r>
    </w:p>
    <w:p>
      <w:pPr>
        <w:pStyle w:val="58"/>
        <w:ind w:firstLine="420"/>
        <w:rPr>
          <w:rFonts w:hint="eastAsia"/>
        </w:rPr>
      </w:pPr>
      <w:r>
        <w:rPr>
          <w:rFonts w:hint="eastAsia"/>
        </w:rPr>
        <w:t>JGJ33</w:t>
      </w:r>
      <w:r>
        <w:rPr>
          <w:rFonts w:hint="eastAsia"/>
          <w:lang w:val="en-US" w:eastAsia="zh-CN"/>
        </w:rPr>
        <w:t xml:space="preserve"> </w:t>
      </w:r>
      <w:r>
        <w:rPr>
          <w:rFonts w:hint="eastAsia"/>
        </w:rPr>
        <w:t>建筑机械使用安全技术规程</w:t>
      </w:r>
    </w:p>
    <w:p>
      <w:pPr>
        <w:pStyle w:val="58"/>
        <w:ind w:firstLine="420"/>
        <w:rPr>
          <w:rFonts w:hint="eastAsia"/>
        </w:rPr>
      </w:pPr>
      <w:r>
        <w:rPr>
          <w:rFonts w:hint="eastAsia"/>
        </w:rPr>
        <w:t>JGJ46</w:t>
      </w:r>
      <w:r>
        <w:rPr>
          <w:rFonts w:hint="eastAsia"/>
          <w:lang w:val="en-US" w:eastAsia="zh-CN"/>
        </w:rPr>
        <w:t xml:space="preserve"> </w:t>
      </w:r>
      <w:r>
        <w:rPr>
          <w:rFonts w:hint="eastAsia"/>
        </w:rPr>
        <w:t>施工现场临时用电安全技术规范</w:t>
      </w:r>
    </w:p>
    <w:p>
      <w:pPr>
        <w:pStyle w:val="58"/>
        <w:ind w:firstLine="420"/>
        <w:rPr>
          <w:rFonts w:hint="eastAsia"/>
        </w:rPr>
      </w:pPr>
      <w:r>
        <w:rPr>
          <w:rFonts w:hint="eastAsia"/>
        </w:rPr>
        <w:t>JGJ80</w:t>
      </w:r>
      <w:r>
        <w:rPr>
          <w:rFonts w:hint="eastAsia"/>
          <w:lang w:val="en-US" w:eastAsia="zh-CN"/>
        </w:rPr>
        <w:t xml:space="preserve"> </w:t>
      </w:r>
      <w:r>
        <w:rPr>
          <w:rFonts w:hint="eastAsia"/>
        </w:rPr>
        <w:t>建筑施工高处作业安全技术规范</w:t>
      </w:r>
    </w:p>
    <w:p>
      <w:pPr>
        <w:pStyle w:val="58"/>
        <w:ind w:firstLine="420"/>
        <w:rPr>
          <w:rFonts w:hint="eastAsia"/>
        </w:rPr>
      </w:pPr>
      <w:r>
        <w:rPr>
          <w:rFonts w:hint="eastAsia"/>
        </w:rPr>
        <w:t>JGJ107</w:t>
      </w:r>
      <w:r>
        <w:rPr>
          <w:rFonts w:hint="eastAsia"/>
          <w:lang w:val="en-US" w:eastAsia="zh-CN"/>
        </w:rPr>
        <w:t xml:space="preserve"> </w:t>
      </w:r>
      <w:r>
        <w:rPr>
          <w:rFonts w:hint="eastAsia"/>
        </w:rPr>
        <w:t>钢筋机械连接技术规程</w:t>
      </w:r>
    </w:p>
    <w:p>
      <w:pPr>
        <w:pStyle w:val="58"/>
        <w:ind w:firstLine="420"/>
        <w:rPr>
          <w:rFonts w:hint="eastAsia"/>
        </w:rPr>
      </w:pPr>
      <w:r>
        <w:rPr>
          <w:rFonts w:hint="eastAsia"/>
        </w:rPr>
        <w:t>JGJ114</w:t>
      </w:r>
      <w:r>
        <w:rPr>
          <w:rFonts w:hint="eastAsia"/>
          <w:lang w:val="en-US" w:eastAsia="zh-CN"/>
        </w:rPr>
        <w:t xml:space="preserve"> </w:t>
      </w:r>
      <w:r>
        <w:rPr>
          <w:rFonts w:hint="eastAsia"/>
        </w:rPr>
        <w:t>钢筋焊接网混凝土结构技术规程</w:t>
      </w:r>
    </w:p>
    <w:p>
      <w:pPr>
        <w:pStyle w:val="58"/>
        <w:ind w:firstLine="420"/>
        <w:rPr>
          <w:rFonts w:hint="eastAsia"/>
        </w:rPr>
      </w:pPr>
      <w:r>
        <w:rPr>
          <w:rFonts w:hint="eastAsia"/>
        </w:rPr>
        <w:t>JGJ256</w:t>
      </w:r>
      <w:r>
        <w:rPr>
          <w:rFonts w:hint="eastAsia"/>
          <w:lang w:val="en-US" w:eastAsia="zh-CN"/>
        </w:rPr>
        <w:t xml:space="preserve"> </w:t>
      </w:r>
      <w:r>
        <w:rPr>
          <w:rFonts w:hint="eastAsia"/>
        </w:rPr>
        <w:t>钢筋锚固板应用技术规程</w:t>
      </w:r>
    </w:p>
    <w:p>
      <w:pPr>
        <w:pStyle w:val="58"/>
        <w:ind w:firstLine="420"/>
        <w:rPr>
          <w:rFonts w:hint="eastAsia"/>
        </w:rPr>
      </w:pPr>
      <w:r>
        <w:rPr>
          <w:rFonts w:hint="eastAsia"/>
        </w:rPr>
        <w:t>JG/T561</w:t>
      </w:r>
      <w:r>
        <w:rPr>
          <w:rFonts w:hint="eastAsia"/>
          <w:lang w:val="en-US" w:eastAsia="zh-CN"/>
        </w:rPr>
        <w:t xml:space="preserve"> </w:t>
      </w:r>
      <w:r>
        <w:rPr>
          <w:rFonts w:hint="eastAsia"/>
        </w:rPr>
        <w:t>预制保温墙体用纤维增强塑料连接件</w:t>
      </w:r>
    </w:p>
    <w:p>
      <w:pPr>
        <w:pStyle w:val="58"/>
        <w:ind w:firstLine="420"/>
        <w:rPr>
          <w:rFonts w:hint="eastAsia"/>
        </w:rPr>
      </w:pPr>
      <w:r>
        <w:rPr>
          <w:rFonts w:hint="eastAsia"/>
        </w:rPr>
        <w:t>DB32/T3689</w:t>
      </w:r>
      <w:r>
        <w:rPr>
          <w:rFonts w:hint="eastAsia"/>
          <w:lang w:val="en-US" w:eastAsia="zh-CN"/>
        </w:rPr>
        <w:t xml:space="preserve"> </w:t>
      </w:r>
      <w:r>
        <w:rPr>
          <w:rFonts w:hint="eastAsia"/>
        </w:rPr>
        <w:t>装配式混凝土建筑施工安全技术规程</w:t>
      </w:r>
    </w:p>
    <w:p>
      <w:pPr>
        <w:pStyle w:val="106"/>
        <w:spacing w:before="312" w:after="312"/>
      </w:pPr>
      <w:bookmarkStart w:id="43" w:name="_Toc7233"/>
      <w:r>
        <w:rPr>
          <w:rFonts w:hint="eastAsia"/>
          <w:szCs w:val="21"/>
        </w:rPr>
        <w:t>术语和定义</w:t>
      </w:r>
      <w:bookmarkEnd w:id="43"/>
    </w:p>
    <w:sdt>
      <w:sdtPr>
        <w:id w:val="-1909835108"/>
        <w:placeholder>
          <w:docPart w:val="{b9d7da9b-1b7f-43d3-97af-7ffc64edc2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4" w:name="_Toc26986532"/>
          <w:bookmarkEnd w:id="44"/>
          <w:r>
            <w:t>下列术语和定义适用于本文件。</w:t>
          </w:r>
        </w:p>
      </w:sdtContent>
    </w:sdt>
    <w:p>
      <w:pPr>
        <w:pStyle w:val="225"/>
        <w:keepNext w:val="0"/>
        <w:keepLines w:val="0"/>
        <w:pageBreakBefore w:val="0"/>
        <w:widowControl/>
        <w:kinsoku/>
        <w:wordWrap/>
        <w:overflowPunct/>
        <w:topLinePunct w:val="0"/>
        <w:autoSpaceDE/>
        <w:autoSpaceDN/>
        <w:bidi w:val="0"/>
        <w:adjustRightInd/>
        <w:snapToGrid/>
        <w:ind w:left="0" w:firstLine="0" w:firstLineChars="0"/>
        <w:textAlignment w:val="auto"/>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ascii="黑体" w:hAnsi="黑体" w:eastAsia="黑体"/>
        </w:rPr>
      </w:pPr>
      <w:r>
        <w:rPr>
          <w:rFonts w:hint="eastAsia" w:ascii="黑体" w:hAnsi="黑体" w:eastAsia="黑体"/>
        </w:rPr>
        <w:t>装配整体式叠合剪力墙结构 monolithic precast superposed shear wall structure</w:t>
      </w:r>
    </w:p>
    <w:p>
      <w:pPr>
        <w:pStyle w:val="58"/>
        <w:ind w:firstLine="420"/>
        <w:rPr>
          <w:rFonts w:hint="eastAsia"/>
        </w:rPr>
      </w:pPr>
      <w:r>
        <w:rPr>
          <w:rFonts w:hint="eastAsia"/>
        </w:rPr>
        <w:t>全部或部分剪力墙采用叠合剪力墙，通过可靠连接形成整体的装配整体式混凝土剪力墙结构。</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叠合剪力墙 superposed shear wall</w:t>
      </w:r>
    </w:p>
    <w:p>
      <w:pPr>
        <w:pStyle w:val="58"/>
        <w:ind w:firstLine="420"/>
        <w:rPr>
          <w:rFonts w:hint="eastAsia"/>
        </w:rPr>
      </w:pPr>
      <w:r>
        <w:rPr>
          <w:rFonts w:hint="eastAsia"/>
        </w:rPr>
        <w:t>两侧预制钢筋混凝土板通过可靠连接形成具有中间空腔的墙板部件，经现场安装定位后，与中间空腔中现场浇筑的混凝土形成整体的剪力墙。叠合剪力墙包括双面叠合剪力墙、单面叠合剪力墙以及夹心保温叠合剪力墙。</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双面叠合剪力墙 double-side superposed shear wall</w:t>
      </w:r>
    </w:p>
    <w:p>
      <w:pPr>
        <w:pStyle w:val="58"/>
        <w:ind w:firstLine="420"/>
        <w:rPr>
          <w:rFonts w:hint="eastAsia"/>
        </w:rPr>
      </w:pPr>
      <w:r>
        <w:rPr>
          <w:rFonts w:hint="eastAsia"/>
        </w:rPr>
        <w:t>两侧预制板均参与结构体的叠合，与中间空腔的后浇混凝土共同受力形成的叠合墙为双面叠合墙。其内、外侧预制板分别称为内叶板和外叶板。当双面叠合墙作为结构抗震墙时，称为双面叠合剪力墙。</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单面叠合剪力墙 single-side superposed shear wall</w:t>
      </w:r>
    </w:p>
    <w:p>
      <w:pPr>
        <w:pStyle w:val="58"/>
        <w:ind w:firstLine="420"/>
        <w:rPr>
          <w:rFonts w:hint="eastAsia"/>
        </w:rPr>
      </w:pPr>
      <w:r>
        <w:rPr>
          <w:rFonts w:hint="eastAsia"/>
        </w:rPr>
        <w:t>由单面叠合墙板在现场安装就位后作为钢筋混凝土墙体的一侧模板，在钢筋桁架另一侧支设模板并浇筑混凝土，形成预制和后浇共同受力的整体钢筋混凝土墙体为单面叠合墙。当单面叠合墙作为结构抗震墙时，称为单面叠合剪力墙。</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夹心保温叠合剪力墙 Precast sandwich composite concrete shear wall</w:t>
      </w:r>
    </w:p>
    <w:p>
      <w:pPr>
        <w:pStyle w:val="58"/>
        <w:ind w:firstLine="420"/>
        <w:rPr>
          <w:rFonts w:hint="eastAsia"/>
        </w:rPr>
      </w:pPr>
      <w:r>
        <w:rPr>
          <w:rFonts w:hint="eastAsia"/>
          <w:lang w:val="en-US" w:eastAsia="zh-CN"/>
        </w:rPr>
        <w:t>含</w:t>
      </w:r>
      <w:r>
        <w:rPr>
          <w:rFonts w:hint="eastAsia"/>
        </w:rPr>
        <w:t>保温</w:t>
      </w:r>
      <w:r>
        <w:rPr>
          <w:rFonts w:hint="eastAsia"/>
          <w:lang w:eastAsia="zh-CN"/>
        </w:rPr>
        <w:t>夹层的</w:t>
      </w:r>
      <w:r>
        <w:rPr>
          <w:rFonts w:hint="eastAsia"/>
        </w:rPr>
        <w:t>双面叠合墙板在现场安装就位后，在内、外叶板中部空腔内浇筑混凝土，形成内叶预制墙板和现浇混凝土共同受力的整体钢筋混凝土墙。外叶预制墙板仅作为施工时的模板及保温层的外保护板，不参与结构受力。当夹心保温叠合墙作为结构抗震墙时，称为夹心保温叠合剪力墙。</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叠合受弯构件 composite flexural component</w:t>
      </w:r>
    </w:p>
    <w:p>
      <w:pPr>
        <w:pStyle w:val="58"/>
        <w:ind w:firstLine="420"/>
        <w:rPr>
          <w:rFonts w:hint="eastAsia"/>
          <w:lang w:val="en-US" w:eastAsia="zh-CN"/>
        </w:rPr>
      </w:pPr>
      <w:r>
        <w:rPr>
          <w:rFonts w:hint="eastAsia"/>
          <w:lang w:val="en-US" w:eastAsia="zh-CN"/>
        </w:rPr>
        <w:t>预制混凝土梁、板顶部在现场后浇混凝土而形成的整体受弯构件，简称叠合梁、叠合板。</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连接节点 connection</w:t>
      </w:r>
    </w:p>
    <w:p>
      <w:pPr>
        <w:pStyle w:val="58"/>
        <w:ind w:firstLine="420"/>
        <w:rPr>
          <w:rFonts w:hint="eastAsia"/>
          <w:lang w:val="en-US" w:eastAsia="zh-CN"/>
        </w:rPr>
      </w:pPr>
      <w:r>
        <w:rPr>
          <w:rFonts w:hint="eastAsia"/>
          <w:lang w:val="en-US" w:eastAsia="zh-CN"/>
        </w:rPr>
        <w:t>预制构件之间的连接部位。</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叠合面 laminated interface</w:t>
      </w:r>
    </w:p>
    <w:p>
      <w:pPr>
        <w:pStyle w:val="58"/>
        <w:ind w:firstLine="420"/>
        <w:rPr>
          <w:rFonts w:hint="eastAsia"/>
          <w:lang w:val="en-US" w:eastAsia="zh-CN"/>
        </w:rPr>
      </w:pPr>
      <w:r>
        <w:rPr>
          <w:rFonts w:hint="eastAsia"/>
          <w:lang w:val="en-US" w:eastAsia="zh-CN"/>
        </w:rPr>
        <w:t>预制混凝土部件和现场后浇混凝土的结合面。</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混凝土粗糙面 rough surface of concrete</w:t>
      </w:r>
    </w:p>
    <w:p>
      <w:pPr>
        <w:pStyle w:val="58"/>
        <w:ind w:firstLine="420"/>
        <w:rPr>
          <w:rFonts w:hint="eastAsia"/>
          <w:lang w:val="en-US" w:eastAsia="zh-CN"/>
        </w:rPr>
      </w:pPr>
      <w:r>
        <w:rPr>
          <w:rFonts w:hint="eastAsia"/>
          <w:lang w:val="en-US" w:eastAsia="zh-CN"/>
        </w:rPr>
        <w:t>预制构件叠合面上凹凸不平或骨料出露的表面。</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钢筋桁架 steel-bar truss</w:t>
      </w:r>
    </w:p>
    <w:p>
      <w:pPr>
        <w:pStyle w:val="58"/>
        <w:ind w:firstLine="420"/>
        <w:rPr>
          <w:rFonts w:hint="eastAsia"/>
          <w:lang w:val="en-US" w:eastAsia="zh-CN"/>
        </w:rPr>
      </w:pPr>
      <w:r>
        <w:rPr>
          <w:rFonts w:hint="eastAsia"/>
          <w:lang w:val="en-US" w:eastAsia="zh-CN"/>
        </w:rPr>
        <w:t>由上弦钢筋、下弦钢筋与斜腹杆钢筋经点焊而成的具有三角形单元的空间桁架，可设置在叠合剪力墙中连接两侧预制板，或叠合板中连接预制混凝土板和后浇混凝土叠合层。</w:t>
      </w:r>
    </w:p>
    <w:p>
      <w:pPr>
        <w:pStyle w:val="225"/>
        <w:ind w:left="420" w:hanging="420" w:hangingChars="200"/>
        <w:rPr>
          <w:rFonts w:ascii="黑体" w:hAnsi="黑体" w:eastAsia="黑体"/>
        </w:rPr>
      </w:pPr>
    </w:p>
    <w:p>
      <w:pPr>
        <w:pStyle w:val="225"/>
        <w:keepNext w:val="0"/>
        <w:keepLines w:val="0"/>
        <w:pageBreakBefore w:val="0"/>
        <w:widowControl/>
        <w:numPr>
          <w:ilvl w:val="2"/>
          <w:numId w:val="0"/>
        </w:numPr>
        <w:kinsoku/>
        <w:wordWrap/>
        <w:overflowPunct/>
        <w:topLinePunct w:val="0"/>
        <w:autoSpaceDE/>
        <w:autoSpaceDN/>
        <w:bidi w:val="0"/>
        <w:adjustRightInd/>
        <w:snapToGrid/>
        <w:ind w:left="420" w:leftChars="200" w:firstLine="0" w:firstLineChars="0"/>
        <w:textAlignment w:val="auto"/>
        <w:rPr>
          <w:rFonts w:hint="eastAsia" w:ascii="黑体" w:hAnsi="黑体" w:eastAsia="黑体"/>
        </w:rPr>
      </w:pPr>
      <w:r>
        <w:rPr>
          <w:rFonts w:hint="eastAsia" w:ascii="黑体" w:hAnsi="黑体" w:eastAsia="黑体"/>
        </w:rPr>
        <w:t>连接件 connector</w:t>
      </w:r>
    </w:p>
    <w:p>
      <w:pPr>
        <w:pStyle w:val="58"/>
        <w:ind w:firstLine="420"/>
        <w:rPr>
          <w:rFonts w:hint="eastAsia"/>
          <w:lang w:val="en-US" w:eastAsia="zh-CN"/>
        </w:rPr>
      </w:pPr>
      <w:r>
        <w:rPr>
          <w:rFonts w:hint="eastAsia"/>
          <w:lang w:val="en-US" w:eastAsia="zh-CN"/>
        </w:rPr>
        <w:t>用于连接双面叠合剪力墙或预制夹芯保温墙体中内、外叶预制混凝土板，使其形成整体的连接器件，可采用钩头钢筋或纤维增强材料。</w:t>
      </w:r>
    </w:p>
    <w:p>
      <w:pPr>
        <w:pStyle w:val="106"/>
        <w:spacing w:before="312" w:after="312"/>
      </w:pPr>
      <w:bookmarkStart w:id="45" w:name="_Toc18345"/>
      <w:r>
        <w:rPr>
          <w:rFonts w:hint="eastAsia"/>
        </w:rPr>
        <w:t>基本规定</w:t>
      </w:r>
      <w:bookmarkEnd w:id="45"/>
    </w:p>
    <w:p>
      <w:pPr>
        <w:pStyle w:val="167"/>
        <w:rPr>
          <w:rFonts w:hint="eastAsia"/>
        </w:rPr>
      </w:pPr>
      <w:r>
        <w:rPr>
          <w:rFonts w:hint="eastAsia"/>
        </w:rPr>
        <w:t>装配整体式叠合剪力墙结构从建筑方案设计到施工安装的全过程，应统筹协调建设、设计、制作、施工各方之间的关系，并应加强建筑、结构、设备、内外装修等各专业之间的配合。</w:t>
      </w:r>
    </w:p>
    <w:p>
      <w:pPr>
        <w:pStyle w:val="167"/>
        <w:rPr>
          <w:rFonts w:hint="eastAsia"/>
        </w:rPr>
      </w:pPr>
      <w:r>
        <w:rPr>
          <w:rFonts w:hint="eastAsia"/>
        </w:rPr>
        <w:t>装配整体式叠合剪力墙结构的设计应按现行国家标准《建筑工程抗震设防分类标准》GB 50223确定抗震设防类别。</w:t>
      </w:r>
    </w:p>
    <w:p>
      <w:pPr>
        <w:pStyle w:val="167"/>
        <w:rPr>
          <w:rFonts w:hint="eastAsia"/>
        </w:rPr>
      </w:pPr>
      <w:r>
        <w:rPr>
          <w:rFonts w:hint="eastAsia"/>
        </w:rPr>
        <w:t>叠合剪力墙结构的设计应符合现行国家标准的相关要求，还应符合下列规定：</w:t>
      </w:r>
    </w:p>
    <w:p>
      <w:pPr>
        <w:pStyle w:val="176"/>
        <w:rPr>
          <w:rFonts w:hint="eastAsia"/>
        </w:rPr>
      </w:pPr>
      <w:r>
        <w:rPr>
          <w:rFonts w:hint="eastAsia"/>
        </w:rPr>
        <w:t>应采取有效措施确保结构的整体性；</w:t>
      </w:r>
    </w:p>
    <w:p>
      <w:pPr>
        <w:pStyle w:val="176"/>
        <w:rPr>
          <w:rFonts w:hint="eastAsia"/>
        </w:rPr>
      </w:pPr>
      <w:r>
        <w:rPr>
          <w:rFonts w:hint="eastAsia"/>
        </w:rPr>
        <w:t>预制构件的连接宜设置在结构受力较小的部位，并应满足承载力、延性和耐久性要求；</w:t>
      </w:r>
    </w:p>
    <w:p>
      <w:pPr>
        <w:pStyle w:val="176"/>
        <w:rPr>
          <w:rFonts w:hint="eastAsia"/>
        </w:rPr>
      </w:pPr>
      <w:r>
        <w:rPr>
          <w:rFonts w:hint="eastAsia"/>
        </w:rPr>
        <w:t>预制构件的连接方式应传力可靠、构造简单、施工方便。</w:t>
      </w:r>
    </w:p>
    <w:p>
      <w:pPr>
        <w:pStyle w:val="167"/>
        <w:rPr>
          <w:rFonts w:hint="eastAsia"/>
        </w:rPr>
      </w:pPr>
      <w:r>
        <w:rPr>
          <w:rFonts w:hint="eastAsia"/>
        </w:rPr>
        <w:t>装配整体式叠合剪力墙结构适用于平面形状简单、规则，平面上质量、刚度及承载力分布均匀；竖向体型规则、均匀，无过大的外挑及收进且侧向刚度下大上小，逐渐均匀变化的建筑，不适用于特别不规则的建筑。</w:t>
      </w:r>
    </w:p>
    <w:p>
      <w:pPr>
        <w:pStyle w:val="167"/>
        <w:rPr>
          <w:rFonts w:hint="eastAsia"/>
        </w:rPr>
      </w:pPr>
      <w:r>
        <w:rPr>
          <w:rFonts w:hint="eastAsia"/>
        </w:rPr>
        <w:t>装配整体式叠合剪力墙结构中的预制部分应符合下列规定：</w:t>
      </w:r>
    </w:p>
    <w:p>
      <w:pPr>
        <w:pStyle w:val="176"/>
        <w:numPr>
          <w:ilvl w:val="0"/>
          <w:numId w:val="32"/>
        </w:numPr>
        <w:rPr>
          <w:rFonts w:hint="eastAsia"/>
        </w:rPr>
      </w:pPr>
      <w:r>
        <w:rPr>
          <w:rFonts w:hint="eastAsia"/>
        </w:rPr>
        <w:t>遵循少规格、多组合原则，按模数化、标准化要求进行设计；</w:t>
      </w:r>
    </w:p>
    <w:p>
      <w:pPr>
        <w:pStyle w:val="176"/>
        <w:numPr>
          <w:ilvl w:val="0"/>
          <w:numId w:val="32"/>
        </w:numPr>
        <w:rPr>
          <w:rFonts w:hint="eastAsia"/>
        </w:rPr>
      </w:pPr>
      <w:r>
        <w:rPr>
          <w:rFonts w:hint="eastAsia"/>
        </w:rPr>
        <w:t>根据预制部分的安装部位、连接方式、制作方法、施工精度及质量控制等要求，确定合理的尺寸公差；</w:t>
      </w:r>
    </w:p>
    <w:p>
      <w:pPr>
        <w:pStyle w:val="176"/>
        <w:numPr>
          <w:ilvl w:val="0"/>
          <w:numId w:val="32"/>
        </w:numPr>
        <w:rPr>
          <w:rFonts w:hint="eastAsia"/>
        </w:rPr>
      </w:pPr>
      <w:r>
        <w:rPr>
          <w:rFonts w:hint="eastAsia"/>
        </w:rPr>
        <w:t>满足制作、运输、存放、安装及质量控制要求。</w:t>
      </w:r>
    </w:p>
    <w:p>
      <w:pPr>
        <w:pStyle w:val="167"/>
        <w:rPr>
          <w:rFonts w:hint="eastAsia"/>
        </w:rPr>
      </w:pPr>
      <w:r>
        <w:rPr>
          <w:rFonts w:hint="eastAsia"/>
        </w:rPr>
        <w:t>装配整体式叠合剪力墙结构中的非承重墙体宜采用轻质墙板，非承重墙体与主体结构之间应有可靠的连接，并应满足承载力、稳定性和变形要求。</w:t>
      </w:r>
    </w:p>
    <w:p>
      <w:pPr>
        <w:pStyle w:val="167"/>
        <w:rPr>
          <w:rFonts w:hint="eastAsia"/>
        </w:rPr>
      </w:pPr>
      <w:r>
        <w:rPr>
          <w:rFonts w:hint="eastAsia"/>
        </w:rPr>
        <w:t>装配整体式叠合剪力墙结构应进行预制构件的深化设计，深化设计应满足建筑、结构和机电等专业以及构件制作、运输、安装等环节的综合要求。</w:t>
      </w:r>
    </w:p>
    <w:p>
      <w:pPr>
        <w:pStyle w:val="106"/>
        <w:spacing w:before="312" w:after="312"/>
      </w:pPr>
      <w:bookmarkStart w:id="46" w:name="_Toc4794"/>
      <w:r>
        <w:rPr>
          <w:rFonts w:hint="eastAsia"/>
        </w:rPr>
        <w:t>材料</w:t>
      </w:r>
      <w:bookmarkEnd w:id="46"/>
    </w:p>
    <w:p>
      <w:pPr>
        <w:pStyle w:val="107"/>
        <w:spacing w:before="156" w:after="156"/>
      </w:pPr>
      <w:bookmarkStart w:id="47" w:name="_Toc29727"/>
      <w:r>
        <w:rPr>
          <w:rFonts w:hint="eastAsia"/>
          <w:lang w:eastAsia="zh-CN"/>
        </w:rPr>
        <w:t>混凝土</w:t>
      </w:r>
      <w:bookmarkEnd w:id="47"/>
    </w:p>
    <w:p>
      <w:pPr>
        <w:pStyle w:val="167"/>
        <w:rPr>
          <w:rFonts w:hint="eastAsia"/>
        </w:rPr>
      </w:pPr>
      <w:r>
        <w:rPr>
          <w:rFonts w:hint="eastAsia"/>
        </w:rPr>
        <w:t>混凝土的力学性能和耐久性要求等应符合现行国家标准《混凝土结构设计规范》GB50010和《混凝土结构耐久性设计规范》GB/T 50476 的规定。</w:t>
      </w:r>
    </w:p>
    <w:p>
      <w:pPr>
        <w:pStyle w:val="167"/>
        <w:rPr>
          <w:rFonts w:hint="eastAsia"/>
        </w:rPr>
      </w:pPr>
      <w:r>
        <w:rPr>
          <w:rFonts w:hint="eastAsia"/>
        </w:rPr>
        <w:t>叠合剪力墙结构的预制墙板、预制楼板及其他预制构件的混凝土强度等级不宜低于C30。</w:t>
      </w:r>
    </w:p>
    <w:p>
      <w:pPr>
        <w:pStyle w:val="167"/>
        <w:rPr>
          <w:rFonts w:hint="eastAsia"/>
        </w:rPr>
      </w:pPr>
      <w:r>
        <w:rPr>
          <w:rFonts w:hint="eastAsia"/>
        </w:rPr>
        <w:t>叠合剪力墙空腔内的后浇混凝土可采用自密实混凝土或普通混凝土。当采用自密实混凝土时，应符合现行行业标准《自密实混凝土应用技术规程》JGJ/T 283的规定；当采用普通混凝土时，混凝土粗骨料最大粒径不应大于空腔厚度的1/4和钢筋最小净间距的3/4，且不宜大于20mm，并应通过现场工艺试验确定混凝土工作性能要求及施工方法。</w:t>
      </w:r>
    </w:p>
    <w:p>
      <w:pPr>
        <w:pStyle w:val="107"/>
        <w:spacing w:before="156" w:after="156"/>
      </w:pPr>
      <w:bookmarkStart w:id="48" w:name="_Toc18646"/>
      <w:r>
        <w:rPr>
          <w:rFonts w:hint="eastAsia" w:ascii="黑体" w:hAnsi="黑体" w:eastAsia="黑体" w:cs="黑体"/>
          <w:b w:val="0"/>
          <w:bCs w:val="0"/>
        </w:rPr>
        <w:t>钢筋、钢材及连接材料</w:t>
      </w:r>
      <w:bookmarkEnd w:id="48"/>
    </w:p>
    <w:p>
      <w:pPr>
        <w:pStyle w:val="167"/>
        <w:rPr>
          <w:rFonts w:hint="eastAsia"/>
        </w:rPr>
      </w:pPr>
      <w:r>
        <w:rPr>
          <w:rFonts w:hint="eastAsia"/>
        </w:rPr>
        <w:t>钢筋应符合现行国家标准《混凝土结构设计规范》GB 50010和《建筑抗震设计规范》GB 50011的规定，纵向受力钢筋宜采用强度等级400MPa及以上钢筋。</w:t>
      </w:r>
    </w:p>
    <w:p>
      <w:pPr>
        <w:pStyle w:val="167"/>
        <w:rPr>
          <w:rFonts w:hint="eastAsia"/>
        </w:rPr>
      </w:pPr>
      <w:r>
        <w:rPr>
          <w:rFonts w:hint="eastAsia"/>
        </w:rPr>
        <w:t>预制墙板和预制楼板中宜采用钢筋焊接网，钢筋焊接网应符合现行行业标准《钢筋焊接网混凝土结构技术规程》JGJ 114 的规定。</w:t>
      </w:r>
    </w:p>
    <w:p>
      <w:pPr>
        <w:pStyle w:val="167"/>
        <w:rPr>
          <w:rFonts w:hint="eastAsia"/>
        </w:rPr>
      </w:pPr>
      <w:r>
        <w:rPr>
          <w:rFonts w:hint="eastAsia"/>
        </w:rPr>
        <w:t>预制构件的吊环应采用未经冷加工的HPB300级钢筋或Q235B钢材制作。预制构件脱模、翻转、吊装及临时支撑用内埋式螺母或内埋式吊杆及配套吊具应符合国家现行《混凝土结构设计规范》GB 50010和《混凝土结构工程施工规范》GB50666等的规定。</w:t>
      </w:r>
    </w:p>
    <w:p>
      <w:pPr>
        <w:pStyle w:val="167"/>
        <w:rPr>
          <w:rFonts w:hint="eastAsia"/>
        </w:rPr>
      </w:pPr>
      <w:r>
        <w:rPr>
          <w:rFonts w:hint="eastAsia"/>
        </w:rPr>
        <w:t>预制构件连接用预埋件、型钢、螺栓、钢筋以及焊接材料应符合现行国家标准《钢结构设计标准》GB 50017、《混凝土结构设计规范》GB 50010、《钢结构焊接规范》GB 50661以及现行行业标准《钢筋焊接及验收规程》JGJ 18、《钢筋锚固板应用技术规程》JGJ256的规定。</w:t>
      </w:r>
    </w:p>
    <w:p>
      <w:pPr>
        <w:pStyle w:val="167"/>
        <w:rPr>
          <w:rFonts w:hint="eastAsia"/>
        </w:rPr>
      </w:pPr>
      <w:r>
        <w:rPr>
          <w:rFonts w:hint="eastAsia"/>
        </w:rPr>
        <w:t>夹心保温叠合剪力墙墙体中连接件应满足下列要求：</w:t>
      </w:r>
    </w:p>
    <w:p>
      <w:pPr>
        <w:pStyle w:val="176"/>
        <w:numPr>
          <w:ilvl w:val="0"/>
          <w:numId w:val="33"/>
        </w:numPr>
        <w:rPr>
          <w:rFonts w:hint="eastAsia"/>
        </w:rPr>
      </w:pPr>
      <w:r>
        <w:rPr>
          <w:rFonts w:hint="eastAsia"/>
        </w:rPr>
        <w:t>当采用非金属连接件时，应为耐碱材料；当采用金属连接件时，应采取可靠的阻断热桥措施；</w:t>
      </w:r>
    </w:p>
    <w:p>
      <w:pPr>
        <w:pStyle w:val="176"/>
        <w:numPr>
          <w:ilvl w:val="0"/>
          <w:numId w:val="33"/>
        </w:numPr>
        <w:rPr>
          <w:rFonts w:hint="eastAsia"/>
        </w:rPr>
      </w:pPr>
      <w:r>
        <w:rPr>
          <w:rFonts w:hint="eastAsia"/>
        </w:rPr>
        <w:t>金属及非金属材料连接件均应具有规定的承载力、变形和耐久性能，满足建筑节能设计要求；</w:t>
      </w:r>
    </w:p>
    <w:p>
      <w:pPr>
        <w:pStyle w:val="176"/>
        <w:numPr>
          <w:ilvl w:val="0"/>
          <w:numId w:val="33"/>
        </w:numPr>
        <w:rPr>
          <w:rFonts w:hint="eastAsia"/>
        </w:rPr>
      </w:pPr>
      <w:r>
        <w:rPr>
          <w:rFonts w:hint="eastAsia"/>
        </w:rPr>
        <w:t>纤维增强复合材料 (FRP)保温连接件的性能应符合现行国家标准 《纤维增强复合材料建设工程应用技术规范》GB50608、建筑工业行业产 品标准《预制保温墙体用纤维增强塑料连接件》JG/T561的有关规定。</w:t>
      </w:r>
    </w:p>
    <w:p>
      <w:pPr>
        <w:pStyle w:val="106"/>
        <w:spacing w:before="312" w:after="312"/>
      </w:pPr>
      <w:bookmarkStart w:id="49" w:name="_Toc24044"/>
      <w:r>
        <w:rPr>
          <w:rFonts w:hint="eastAsia"/>
        </w:rPr>
        <w:t>设计</w:t>
      </w:r>
      <w:bookmarkEnd w:id="49"/>
    </w:p>
    <w:p>
      <w:pPr>
        <w:pStyle w:val="107"/>
        <w:spacing w:before="156" w:after="156"/>
      </w:pPr>
      <w:bookmarkStart w:id="50" w:name="_Toc11046"/>
      <w:r>
        <w:rPr>
          <w:rFonts w:hint="eastAsia"/>
        </w:rPr>
        <w:t>一般规定</w:t>
      </w:r>
      <w:bookmarkEnd w:id="50"/>
    </w:p>
    <w:p>
      <w:pPr>
        <w:pStyle w:val="167"/>
        <w:rPr>
          <w:rFonts w:hint="eastAsia"/>
        </w:rPr>
      </w:pPr>
      <w:r>
        <w:rPr>
          <w:rFonts w:hint="eastAsia"/>
        </w:rPr>
        <w:t>装配整体式叠合剪力墙结构建筑的最大适用高度应符合表5.1.1 的规定。在规定的水平力作用下，当叠合剪力墙构件底部承担的总剪力大于该层总剪力的50%时，其最大适用高度应适当降低；当叠合剪力墙构件底部承担的总剪力大于该层总剪力的80%时，其最大适用高度应取表5.1.1中括号内的数值。</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 xml:space="preserve">表 </w:t>
      </w:r>
      <w:r>
        <w:rPr>
          <w:rFonts w:hint="eastAsia" w:ascii="黑体" w:hAnsi="黑体" w:eastAsia="黑体" w:cs="Times New Roman"/>
          <w:sz w:val="21"/>
          <w:szCs w:val="21"/>
          <w:lang w:val="en-US" w:eastAsia="zh-CN"/>
        </w:rPr>
        <w:t>6</w:t>
      </w:r>
      <w:r>
        <w:rPr>
          <w:rFonts w:hint="eastAsia" w:ascii="黑体" w:hAnsi="黑体" w:eastAsia="黑体" w:cs="Times New Roman"/>
          <w:sz w:val="21"/>
          <w:szCs w:val="21"/>
        </w:rPr>
        <w:t>.1.1 装配整体式叠合剪力墙结构建筑的最大适用高度（m）</w:t>
      </w:r>
    </w:p>
    <w:tbl>
      <w:tblPr>
        <w:tblStyle w:val="2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结构类型</w:t>
            </w:r>
          </w:p>
        </w:tc>
        <w:tc>
          <w:tcPr>
            <w:tcW w:w="6818" w:type="dxa"/>
            <w:gridSpan w:val="4"/>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抗震设防烈度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70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6度</w:t>
            </w:r>
          </w:p>
        </w:tc>
        <w:tc>
          <w:tcPr>
            <w:tcW w:w="1704"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7度</w:t>
            </w:r>
          </w:p>
        </w:tc>
        <w:tc>
          <w:tcPr>
            <w:tcW w:w="1705"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8度（0.2g）</w:t>
            </w:r>
          </w:p>
        </w:tc>
        <w:tc>
          <w:tcPr>
            <w:tcW w:w="1705"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8度（0.3g）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0" w:hRule="atLeast"/>
        </w:trPr>
        <w:tc>
          <w:tcPr>
            <w:tcW w:w="1704"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装配整体式叠合剪力墙结构</w:t>
            </w:r>
          </w:p>
        </w:tc>
        <w:tc>
          <w:tcPr>
            <w:tcW w:w="1704"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110（</w:t>
            </w:r>
            <w:r>
              <w:rPr>
                <w:rFonts w:hint="eastAsia" w:ascii="Times New Roman" w:hAnsi="Times New Roman" w:cs="Times New Roman"/>
                <w:kern w:val="0"/>
                <w:sz w:val="21"/>
                <w:szCs w:val="21"/>
              </w:rPr>
              <w:t>10</w:t>
            </w:r>
            <w:r>
              <w:rPr>
                <w:rFonts w:ascii="Times New Roman" w:hAnsi="Times New Roman" w:cs="Times New Roman"/>
                <w:kern w:val="0"/>
                <w:sz w:val="21"/>
                <w:szCs w:val="21"/>
              </w:rPr>
              <w:t>0）</w:t>
            </w:r>
          </w:p>
        </w:tc>
        <w:tc>
          <w:tcPr>
            <w:tcW w:w="1704"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100（</w:t>
            </w:r>
            <w:r>
              <w:rPr>
                <w:rFonts w:hint="eastAsia" w:ascii="Times New Roman" w:hAnsi="Times New Roman" w:cs="Times New Roman"/>
                <w:kern w:val="0"/>
                <w:sz w:val="21"/>
                <w:szCs w:val="21"/>
              </w:rPr>
              <w:t>9</w:t>
            </w:r>
            <w:r>
              <w:rPr>
                <w:rFonts w:ascii="Times New Roman" w:hAnsi="Times New Roman" w:cs="Times New Roman"/>
                <w:kern w:val="0"/>
                <w:sz w:val="21"/>
                <w:szCs w:val="21"/>
              </w:rPr>
              <w:t>0）</w:t>
            </w:r>
          </w:p>
        </w:tc>
        <w:tc>
          <w:tcPr>
            <w:tcW w:w="1705"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80（</w:t>
            </w:r>
            <w:r>
              <w:rPr>
                <w:rFonts w:hint="eastAsia" w:ascii="Times New Roman" w:hAnsi="Times New Roman" w:cs="Times New Roman"/>
                <w:kern w:val="0"/>
                <w:sz w:val="21"/>
                <w:szCs w:val="21"/>
              </w:rPr>
              <w:t>7</w:t>
            </w:r>
            <w:r>
              <w:rPr>
                <w:rFonts w:ascii="Times New Roman" w:hAnsi="Times New Roman" w:cs="Times New Roman"/>
                <w:kern w:val="0"/>
                <w:sz w:val="21"/>
                <w:szCs w:val="21"/>
              </w:rPr>
              <w:t>0）</w:t>
            </w:r>
          </w:p>
        </w:tc>
        <w:tc>
          <w:tcPr>
            <w:tcW w:w="1705"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60（50）</w:t>
            </w:r>
          </w:p>
        </w:tc>
      </w:tr>
    </w:tbl>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cs="Times New Roman"/>
          <w:kern w:val="0"/>
          <w:sz w:val="21"/>
          <w:szCs w:val="21"/>
        </w:rPr>
      </w:pPr>
      <w:r>
        <w:rPr>
          <w:rFonts w:ascii="Times New Roman" w:hAnsi="Times New Roman" w:cs="Times New Roman"/>
          <w:kern w:val="0"/>
          <w:sz w:val="21"/>
          <w:szCs w:val="21"/>
        </w:rPr>
        <w:t>注：建筑高度指室外地面到主要屋面的高度，不包括局部突出屋面的部分。</w:t>
      </w:r>
      <w:r>
        <w:rPr>
          <w:rFonts w:hint="eastAsia" w:ascii="Times New Roman" w:hAnsi="Times New Roman" w:cs="Times New Roman"/>
          <w:kern w:val="0"/>
          <w:sz w:val="21"/>
          <w:szCs w:val="21"/>
        </w:rPr>
        <w:t xml:space="preserve"> </w:t>
      </w:r>
    </w:p>
    <w:p>
      <w:pPr>
        <w:pStyle w:val="167"/>
        <w:rPr>
          <w:rFonts w:hint="eastAsia"/>
        </w:rPr>
      </w:pPr>
      <w:r>
        <w:rPr>
          <w:rFonts w:hint="eastAsia"/>
        </w:rPr>
        <w:t>叠合剪力墙</w:t>
      </w:r>
      <w:r>
        <w:rPr>
          <w:rFonts w:hint="eastAsia"/>
          <w:lang w:eastAsia="zh-CN"/>
        </w:rPr>
        <w:t>的</w:t>
      </w:r>
      <w:bookmarkStart w:id="84" w:name="_GoBack"/>
      <w:bookmarkEnd w:id="84"/>
      <w:r>
        <w:rPr>
          <w:rFonts w:hint="eastAsia"/>
          <w:lang w:eastAsia="zh-CN"/>
        </w:rPr>
        <w:t>适用</w:t>
      </w:r>
      <w:r>
        <w:rPr>
          <w:rFonts w:hint="eastAsia"/>
        </w:rPr>
        <w:t>部位</w:t>
      </w:r>
      <w:r>
        <w:rPr>
          <w:rFonts w:hint="eastAsia"/>
          <w:lang w:eastAsia="zh-CN"/>
        </w:rPr>
        <w:t>可按表</w:t>
      </w:r>
      <w:r>
        <w:rPr>
          <w:rFonts w:hint="eastAsia"/>
          <w:lang w:val="en-US" w:eastAsia="zh-CN"/>
        </w:rPr>
        <w:t>6.1.2取用</w:t>
      </w:r>
      <w:r>
        <w:rPr>
          <w:rFonts w:hint="eastAsia"/>
        </w:rPr>
        <w:t>。</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lang w:eastAsia="zh-CN"/>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6</w:t>
      </w:r>
      <w:r>
        <w:rPr>
          <w:rFonts w:hint="eastAsia" w:ascii="黑体" w:hAnsi="黑体" w:eastAsia="黑体" w:cs="Times New Roman"/>
          <w:sz w:val="21"/>
          <w:szCs w:val="21"/>
        </w:rPr>
        <w:t>.1.</w:t>
      </w:r>
      <w:r>
        <w:rPr>
          <w:rFonts w:hint="eastAsia" w:ascii="黑体" w:hAnsi="黑体" w:eastAsia="黑体" w:cs="Times New Roman"/>
          <w:sz w:val="21"/>
          <w:szCs w:val="21"/>
          <w:lang w:val="en-US" w:eastAsia="zh-CN"/>
        </w:rPr>
        <w:t>2</w:t>
      </w:r>
      <w:r>
        <w:rPr>
          <w:rFonts w:hint="eastAsia" w:ascii="黑体" w:hAnsi="黑体" w:eastAsia="黑体" w:cs="Times New Roman"/>
          <w:sz w:val="21"/>
          <w:szCs w:val="21"/>
        </w:rPr>
        <w:t xml:space="preserve"> 叠合剪力墙的适用</w:t>
      </w:r>
      <w:r>
        <w:rPr>
          <w:rFonts w:hint="eastAsia" w:ascii="黑体" w:hAnsi="黑体" w:eastAsia="黑体" w:cs="Times New Roman"/>
          <w:sz w:val="21"/>
          <w:szCs w:val="21"/>
          <w:lang w:eastAsia="zh-CN"/>
        </w:rPr>
        <w:t>部位</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lang w:eastAsia="zh-CN"/>
              </w:rPr>
              <w:t>剪力墙部位</w:t>
            </w:r>
          </w:p>
        </w:tc>
        <w:tc>
          <w:tcPr>
            <w:tcW w:w="5682" w:type="dxa"/>
            <w:gridSpan w:val="2"/>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ascii="Times New Roman" w:hAnsi="Times New Roman" w:cs="Times New Roman"/>
                <w:kern w:val="0"/>
                <w:sz w:val="21"/>
                <w:szCs w:val="21"/>
              </w:rPr>
              <w:t>抗震设防烈度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p>
        </w:tc>
        <w:tc>
          <w:tcPr>
            <w:tcW w:w="2841" w:type="dxa"/>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ascii="Times New Roman" w:hAnsi="Times New Roman" w:cs="Times New Roman"/>
                <w:kern w:val="0"/>
                <w:sz w:val="21"/>
                <w:szCs w:val="21"/>
              </w:rPr>
              <w:t>6度</w:t>
            </w:r>
            <w:r>
              <w:rPr>
                <w:rFonts w:hint="eastAsia" w:ascii="Times New Roman" w:hAnsi="Times New Roman" w:cs="Times New Roman"/>
                <w:kern w:val="0"/>
                <w:sz w:val="21"/>
                <w:szCs w:val="21"/>
                <w:lang w:eastAsia="zh-CN"/>
              </w:rPr>
              <w:t>、</w:t>
            </w:r>
            <w:r>
              <w:rPr>
                <w:rFonts w:ascii="Times New Roman" w:hAnsi="Times New Roman" w:cs="Times New Roman"/>
                <w:kern w:val="0"/>
                <w:sz w:val="21"/>
                <w:szCs w:val="21"/>
              </w:rPr>
              <w:t>7度</w:t>
            </w:r>
          </w:p>
        </w:tc>
        <w:tc>
          <w:tcPr>
            <w:tcW w:w="2841" w:type="dxa"/>
            <w:vMerge w:val="restart"/>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p>
        </w:tc>
        <w:tc>
          <w:tcPr>
            <w:tcW w:w="2841" w:type="dxa"/>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rPr>
              <w:t>10层以下或房屋高度不大于28 m的居住建筑</w:t>
            </w:r>
          </w:p>
        </w:tc>
        <w:tc>
          <w:tcPr>
            <w:tcW w:w="2841" w:type="dxa"/>
            <w:vMerge w:val="continue"/>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lang w:eastAsia="zh-CN"/>
              </w:rPr>
              <w:t>底部加强部位</w:t>
            </w:r>
          </w:p>
        </w:tc>
        <w:tc>
          <w:tcPr>
            <w:tcW w:w="2841" w:type="dxa"/>
            <w:vMerge w:val="restart"/>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rPr>
              <w:t>可采用双面叠合剪力墙</w:t>
            </w:r>
          </w:p>
        </w:tc>
        <w:tc>
          <w:tcPr>
            <w:tcW w:w="2841" w:type="dxa"/>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ascii="Times New Roman" w:hAnsi="Times New Roman" w:cs="Times New Roman"/>
                <w:kern w:val="0"/>
                <w:sz w:val="21"/>
                <w:szCs w:val="21"/>
              </w:rPr>
              <w:t>应采用现浇</w:t>
            </w:r>
            <w:r>
              <w:rPr>
                <w:rFonts w:hint="eastAsia" w:ascii="Times New Roman" w:hAnsi="Times New Roman" w:cs="Times New Roman"/>
                <w:kern w:val="0"/>
                <w:sz w:val="21"/>
                <w:szCs w:val="21"/>
              </w:rPr>
              <w:t>混凝土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lang w:eastAsia="zh-CN"/>
              </w:rPr>
              <w:t>其他部位</w:t>
            </w:r>
          </w:p>
        </w:tc>
        <w:tc>
          <w:tcPr>
            <w:tcW w:w="2841" w:type="dxa"/>
            <w:vMerge w:val="continue"/>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p>
        </w:tc>
        <w:tc>
          <w:tcPr>
            <w:tcW w:w="2841" w:type="dxa"/>
            <w:vAlign w:val="center"/>
          </w:tcPr>
          <w:p>
            <w:pPr>
              <w:keepNext w:val="0"/>
              <w:keepLines w:val="0"/>
              <w:pageBreakBefore w:val="0"/>
              <w:widowControl w:val="0"/>
              <w:tabs>
                <w:tab w:val="left" w:pos="1102"/>
                <w:tab w:val="left" w:pos="4345"/>
                <w:tab w:val="left" w:pos="4783"/>
              </w:tabs>
              <w:kinsoku/>
              <w:wordWrap/>
              <w:overflowPunct/>
              <w:topLinePunct w:val="0"/>
              <w:autoSpaceDE/>
              <w:autoSpaceDN/>
              <w:bidi w:val="0"/>
              <w:adjustRightInd/>
              <w:snapToGrid/>
              <w:spacing w:line="360" w:lineRule="auto"/>
              <w:jc w:val="center"/>
              <w:textAlignment w:val="auto"/>
              <w:rPr>
                <w:rFonts w:hint="eastAsia" w:ascii="黑体" w:hAnsi="黑体" w:eastAsia="黑体" w:cs="Times New Roman"/>
                <w:sz w:val="21"/>
                <w:szCs w:val="21"/>
                <w:vertAlign w:val="baseline"/>
                <w:lang w:eastAsia="zh-CN"/>
              </w:rPr>
            </w:pPr>
            <w:r>
              <w:rPr>
                <w:rFonts w:hint="eastAsia" w:ascii="Times New Roman" w:hAnsi="Times New Roman" w:cs="Times New Roman"/>
                <w:kern w:val="0"/>
                <w:sz w:val="21"/>
                <w:szCs w:val="21"/>
              </w:rPr>
              <w:t>可采用双面叠合剪力墙</w:t>
            </w:r>
          </w:p>
        </w:tc>
      </w:tr>
    </w:tbl>
    <w:p>
      <w:pPr>
        <w:pStyle w:val="167"/>
        <w:rPr>
          <w:rFonts w:hint="eastAsia"/>
        </w:rPr>
      </w:pPr>
      <w:r>
        <w:rPr>
          <w:rFonts w:hint="eastAsia"/>
        </w:rPr>
        <w:t>装配整体式叠合剪力墙结构建筑的高宽比不宜超过表</w:t>
      </w:r>
      <w:r>
        <w:rPr>
          <w:rFonts w:hint="eastAsia"/>
          <w:lang w:val="en-US" w:eastAsia="zh-CN"/>
        </w:rPr>
        <w:t>6</w:t>
      </w:r>
      <w:r>
        <w:rPr>
          <w:rFonts w:hint="eastAsia"/>
        </w:rPr>
        <w:t>.1.3的数值。</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6</w:t>
      </w:r>
      <w:r>
        <w:rPr>
          <w:rFonts w:hint="eastAsia" w:ascii="黑体" w:hAnsi="黑体" w:eastAsia="黑体" w:cs="Times New Roman"/>
          <w:sz w:val="21"/>
          <w:szCs w:val="21"/>
        </w:rPr>
        <w:t>.1.3 高层叠合剪力墙结构适用的最大高宽比</w:t>
      </w:r>
    </w:p>
    <w:tbl>
      <w:tblPr>
        <w:tblStyle w:val="28"/>
        <w:tblW w:w="804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840"/>
        <w:gridCol w:w="2625"/>
        <w:gridCol w:w="258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840"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bCs/>
                <w:sz w:val="21"/>
                <w:szCs w:val="21"/>
              </w:rPr>
            </w:pPr>
            <w:r>
              <w:rPr>
                <w:rFonts w:ascii="Times New Roman" w:hAnsi="Times New Roman" w:cs="Times New Roman"/>
                <w:bCs/>
                <w:sz w:val="21"/>
                <w:szCs w:val="21"/>
              </w:rPr>
              <w:t>抗震设防烈度</w:t>
            </w:r>
          </w:p>
        </w:tc>
        <w:tc>
          <w:tcPr>
            <w:tcW w:w="2625"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bCs/>
                <w:sz w:val="21"/>
                <w:szCs w:val="21"/>
              </w:rPr>
            </w:pPr>
            <w:r>
              <w:rPr>
                <w:rFonts w:ascii="Times New Roman" w:hAnsi="Times New Roman" w:cs="Times New Roman"/>
                <w:bCs/>
                <w:sz w:val="21"/>
                <w:szCs w:val="21"/>
              </w:rPr>
              <w:t>6度、7度</w:t>
            </w:r>
          </w:p>
        </w:tc>
        <w:tc>
          <w:tcPr>
            <w:tcW w:w="2581"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bCs/>
                <w:sz w:val="21"/>
                <w:szCs w:val="21"/>
              </w:rPr>
            </w:pPr>
            <w:r>
              <w:rPr>
                <w:rFonts w:ascii="Times New Roman" w:hAnsi="Times New Roman" w:cs="Times New Roman"/>
                <w:bCs/>
                <w:sz w:val="21"/>
                <w:szCs w:val="21"/>
              </w:rPr>
              <w:t>8度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840"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bCs/>
                <w:sz w:val="21"/>
                <w:szCs w:val="21"/>
              </w:rPr>
            </w:pPr>
            <w:r>
              <w:rPr>
                <w:rFonts w:ascii="Times New Roman" w:hAnsi="Times New Roman" w:cs="Times New Roman"/>
                <w:bCs/>
                <w:kern w:val="0"/>
                <w:sz w:val="21"/>
                <w:szCs w:val="21"/>
              </w:rPr>
              <w:t>最大高宽比</w:t>
            </w:r>
          </w:p>
        </w:tc>
        <w:tc>
          <w:tcPr>
            <w:tcW w:w="2625"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bCs/>
                <w:sz w:val="21"/>
                <w:szCs w:val="21"/>
              </w:rPr>
            </w:pPr>
            <w:r>
              <w:rPr>
                <w:rFonts w:ascii="Times New Roman" w:hAnsi="Times New Roman" w:cs="Times New Roman"/>
                <w:bCs/>
                <w:sz w:val="21"/>
                <w:szCs w:val="21"/>
              </w:rPr>
              <w:t>6</w:t>
            </w:r>
          </w:p>
        </w:tc>
        <w:tc>
          <w:tcPr>
            <w:tcW w:w="2581"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bCs/>
                <w:sz w:val="21"/>
                <w:szCs w:val="21"/>
              </w:rPr>
            </w:pPr>
            <w:r>
              <w:rPr>
                <w:rFonts w:ascii="Times New Roman" w:hAnsi="Times New Roman" w:cs="Times New Roman"/>
                <w:bCs/>
                <w:sz w:val="21"/>
                <w:szCs w:val="21"/>
              </w:rPr>
              <w:t>5</w:t>
            </w:r>
          </w:p>
        </w:tc>
      </w:tr>
    </w:tbl>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cs="Times New Roman"/>
          <w:kern w:val="0"/>
          <w:sz w:val="21"/>
          <w:szCs w:val="21"/>
        </w:rPr>
      </w:pPr>
    </w:p>
    <w:p>
      <w:pPr>
        <w:pStyle w:val="167"/>
        <w:rPr>
          <w:rFonts w:hint="eastAsia"/>
        </w:rPr>
      </w:pPr>
      <w:r>
        <w:rPr>
          <w:rFonts w:hint="eastAsia"/>
        </w:rPr>
        <w:t>标准设防类装配整体式叠合剪力墙结构的抗震等级，应符合表</w:t>
      </w:r>
      <w:r>
        <w:rPr>
          <w:rFonts w:hint="eastAsia"/>
          <w:lang w:val="en-US" w:eastAsia="zh-CN"/>
        </w:rPr>
        <w:t>6</w:t>
      </w:r>
      <w:r>
        <w:rPr>
          <w:rFonts w:hint="eastAsia"/>
        </w:rPr>
        <w:t>.1.4的规定。重点设防类装配整体式叠合剪力墙结构应按本地区抗震设防烈度提高一度确定其抗震等级。当建筑场地为Ⅲ、Ⅳ类时，对设计基本地震加速度为0.15g的地区，宜按抗震设防烈度8度(0.20g)时各类建筑的要求采取抗震构造措施。</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6</w:t>
      </w:r>
      <w:r>
        <w:rPr>
          <w:rFonts w:hint="eastAsia" w:ascii="黑体" w:hAnsi="黑体" w:eastAsia="黑体" w:cs="Times New Roman"/>
          <w:sz w:val="21"/>
          <w:szCs w:val="21"/>
        </w:rPr>
        <w:t>.1.4 标准设防类装配整体式叠合剪力墙结构的抗震等级</w:t>
      </w:r>
    </w:p>
    <w:tbl>
      <w:tblPr>
        <w:tblStyle w:val="28"/>
        <w:tblW w:w="877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93"/>
        <w:gridCol w:w="889"/>
        <w:gridCol w:w="741"/>
        <w:gridCol w:w="681"/>
        <w:gridCol w:w="655"/>
        <w:gridCol w:w="1241"/>
        <w:gridCol w:w="791"/>
        <w:gridCol w:w="777"/>
        <w:gridCol w:w="1391"/>
        <w:gridCol w:w="7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82" w:type="dxa"/>
            <w:gridSpan w:val="2"/>
            <w:tcBorders>
              <w:bottom w:val="single" w:color="auto" w:sz="4" w:space="0"/>
            </w:tcBorders>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设防烈度</w:t>
            </w:r>
          </w:p>
        </w:tc>
        <w:tc>
          <w:tcPr>
            <w:tcW w:w="1422" w:type="dxa"/>
            <w:gridSpan w:val="2"/>
            <w:tcBorders>
              <w:bottom w:val="single" w:color="auto" w:sz="4" w:space="0"/>
            </w:tcBorders>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6度</w:t>
            </w:r>
          </w:p>
        </w:tc>
        <w:tc>
          <w:tcPr>
            <w:tcW w:w="2687" w:type="dxa"/>
            <w:gridSpan w:val="3"/>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7度</w:t>
            </w:r>
          </w:p>
        </w:tc>
        <w:tc>
          <w:tcPr>
            <w:tcW w:w="2887" w:type="dxa"/>
            <w:gridSpan w:val="3"/>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8度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93" w:type="dxa"/>
            <w:vMerge w:val="restart"/>
            <w:tcBorders>
              <w:right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叠合剪力墙结构</w:t>
            </w:r>
          </w:p>
        </w:tc>
        <w:tc>
          <w:tcPr>
            <w:tcW w:w="889" w:type="dxa"/>
            <w:tcBorders>
              <w:left w:val="single" w:color="auto" w:sz="4" w:space="0"/>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高度（m）</w:t>
            </w:r>
          </w:p>
        </w:tc>
        <w:tc>
          <w:tcPr>
            <w:tcW w:w="741"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w:t>
            </w:r>
            <w:r>
              <w:rPr>
                <w:rFonts w:hint="eastAsia" w:ascii="Times New Roman" w:hAnsi="Times New Roman" w:cs="Times New Roman"/>
                <w:sz w:val="21"/>
                <w:szCs w:val="21"/>
              </w:rPr>
              <w:t>7</w:t>
            </w:r>
            <w:r>
              <w:rPr>
                <w:rFonts w:ascii="Times New Roman" w:hAnsi="Times New Roman" w:cs="Times New Roman"/>
                <w:sz w:val="21"/>
                <w:szCs w:val="21"/>
              </w:rPr>
              <w:t>0</w:t>
            </w:r>
          </w:p>
        </w:tc>
        <w:tc>
          <w:tcPr>
            <w:tcW w:w="681"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w:t>
            </w:r>
            <w:r>
              <w:rPr>
                <w:rFonts w:hint="eastAsia" w:ascii="Times New Roman" w:hAnsi="Times New Roman" w:cs="Times New Roman"/>
                <w:sz w:val="21"/>
                <w:szCs w:val="21"/>
              </w:rPr>
              <w:t>7</w:t>
            </w:r>
            <w:r>
              <w:rPr>
                <w:rFonts w:ascii="Times New Roman" w:hAnsi="Times New Roman" w:cs="Times New Roman"/>
                <w:sz w:val="21"/>
                <w:szCs w:val="21"/>
              </w:rPr>
              <w:t>0</w:t>
            </w:r>
          </w:p>
        </w:tc>
        <w:tc>
          <w:tcPr>
            <w:tcW w:w="655"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≤24</w:t>
            </w:r>
          </w:p>
        </w:tc>
        <w:tc>
          <w:tcPr>
            <w:tcW w:w="1241"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＞24且≤</w:t>
            </w:r>
            <w:r>
              <w:rPr>
                <w:rFonts w:hint="eastAsia" w:ascii="Times New Roman" w:hAnsi="Times New Roman" w:cs="Times New Roman"/>
                <w:sz w:val="21"/>
                <w:szCs w:val="21"/>
              </w:rPr>
              <w:t>7</w:t>
            </w:r>
            <w:r>
              <w:rPr>
                <w:rFonts w:ascii="Times New Roman" w:hAnsi="Times New Roman" w:cs="Times New Roman"/>
                <w:sz w:val="21"/>
                <w:szCs w:val="21"/>
              </w:rPr>
              <w:t>0</w:t>
            </w:r>
          </w:p>
        </w:tc>
        <w:tc>
          <w:tcPr>
            <w:tcW w:w="791"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w:t>
            </w:r>
            <w:r>
              <w:rPr>
                <w:rFonts w:hint="eastAsia" w:ascii="Times New Roman" w:hAnsi="Times New Roman" w:cs="Times New Roman"/>
                <w:sz w:val="21"/>
                <w:szCs w:val="21"/>
              </w:rPr>
              <w:t>7</w:t>
            </w:r>
            <w:r>
              <w:rPr>
                <w:rFonts w:ascii="Times New Roman" w:hAnsi="Times New Roman" w:cs="Times New Roman"/>
                <w:sz w:val="21"/>
                <w:szCs w:val="21"/>
              </w:rPr>
              <w:t>0</w:t>
            </w:r>
          </w:p>
        </w:tc>
        <w:tc>
          <w:tcPr>
            <w:tcW w:w="7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≤24</w:t>
            </w:r>
          </w:p>
        </w:tc>
        <w:tc>
          <w:tcPr>
            <w:tcW w:w="1391"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＞24且≤</w:t>
            </w:r>
            <w:r>
              <w:rPr>
                <w:rFonts w:hint="eastAsia" w:ascii="Times New Roman" w:hAnsi="Times New Roman" w:cs="Times New Roman"/>
                <w:sz w:val="21"/>
                <w:szCs w:val="21"/>
              </w:rPr>
              <w:t>6</w:t>
            </w:r>
            <w:r>
              <w:rPr>
                <w:rFonts w:ascii="Times New Roman" w:hAnsi="Times New Roman" w:cs="Times New Roman"/>
                <w:sz w:val="21"/>
                <w:szCs w:val="21"/>
              </w:rPr>
              <w:t>0</w:t>
            </w:r>
          </w:p>
        </w:tc>
        <w:tc>
          <w:tcPr>
            <w:tcW w:w="71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w:t>
            </w:r>
            <w:r>
              <w:rPr>
                <w:rFonts w:hint="eastAsia" w:ascii="Times New Roman" w:hAnsi="Times New Roman" w:cs="Times New Roman"/>
                <w:sz w:val="21"/>
                <w:szCs w:val="21"/>
              </w:rPr>
              <w:t>6</w:t>
            </w:r>
            <w:r>
              <w:rPr>
                <w:rFonts w:ascii="Times New Roman" w:hAnsi="Times New Roman" w:cs="Times New Roman"/>
                <w:sz w:val="21"/>
                <w:szCs w:val="21"/>
              </w:rPr>
              <w:t>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93" w:type="dxa"/>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p>
        </w:tc>
        <w:tc>
          <w:tcPr>
            <w:tcW w:w="889"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剪力墙</w:t>
            </w:r>
          </w:p>
        </w:tc>
        <w:tc>
          <w:tcPr>
            <w:tcW w:w="741"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四</w:t>
            </w:r>
          </w:p>
        </w:tc>
        <w:tc>
          <w:tcPr>
            <w:tcW w:w="681"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三</w:t>
            </w:r>
          </w:p>
        </w:tc>
        <w:tc>
          <w:tcPr>
            <w:tcW w:w="655"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四</w:t>
            </w:r>
          </w:p>
        </w:tc>
        <w:tc>
          <w:tcPr>
            <w:tcW w:w="1241"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三</w:t>
            </w:r>
          </w:p>
        </w:tc>
        <w:tc>
          <w:tcPr>
            <w:tcW w:w="791"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二</w:t>
            </w:r>
          </w:p>
        </w:tc>
        <w:tc>
          <w:tcPr>
            <w:tcW w:w="777"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三</w:t>
            </w:r>
          </w:p>
        </w:tc>
        <w:tc>
          <w:tcPr>
            <w:tcW w:w="1391"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二</w:t>
            </w:r>
          </w:p>
        </w:tc>
        <w:tc>
          <w:tcPr>
            <w:tcW w:w="719" w:type="dxa"/>
            <w:tcBorders>
              <w:bottom w:val="single" w:color="auto" w:sz="4" w:space="0"/>
            </w:tcBorders>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t>一</w:t>
            </w:r>
          </w:p>
        </w:tc>
      </w:tr>
    </w:tbl>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cs="Times New Roman"/>
          <w:i/>
          <w:iCs/>
          <w:color w:val="0000FF"/>
          <w:kern w:val="0"/>
          <w:sz w:val="21"/>
          <w:szCs w:val="21"/>
        </w:rPr>
      </w:pPr>
    </w:p>
    <w:p>
      <w:pPr>
        <w:pStyle w:val="167"/>
        <w:rPr>
          <w:rFonts w:hint="eastAsia"/>
        </w:rPr>
      </w:pPr>
      <w:r>
        <w:rPr>
          <w:rFonts w:hint="eastAsia"/>
        </w:rPr>
        <w:t>装配整体式叠合剪力墙结构可采用与现浇剪力墙结构相同的方法进行结构分析。按弹性方法计算的风荷载或多遇地震标准值作用下的楼层层间最大水平位移与层高之比△u/h不应大于1/1000。</w:t>
      </w:r>
    </w:p>
    <w:p>
      <w:pPr>
        <w:pStyle w:val="167"/>
        <w:rPr>
          <w:rFonts w:hint="eastAsia"/>
        </w:rPr>
      </w:pPr>
      <w:r>
        <w:rPr>
          <w:rFonts w:hint="eastAsia"/>
        </w:rPr>
        <w:t>抗震设计时，当同一层内既有叠合剪力墙墙肢又有现浇剪力墙墙肢时，现浇墙肢在水平地震作用下的弯矩和剪力宜乘以不小于1.1的放大系数。</w:t>
      </w:r>
    </w:p>
    <w:p>
      <w:pPr>
        <w:pStyle w:val="167"/>
        <w:rPr>
          <w:rFonts w:hint="eastAsia"/>
        </w:rPr>
      </w:pPr>
      <w:r>
        <w:rPr>
          <w:rFonts w:hint="eastAsia"/>
        </w:rPr>
        <w:t>进行结构内力与位移计算时，应考虑楼板对梁刚度的增加作用，梁刚度增大系数可根据翼缘情况近似取为 1. 3~2。</w:t>
      </w:r>
    </w:p>
    <w:p>
      <w:pPr>
        <w:pStyle w:val="167"/>
        <w:rPr>
          <w:rFonts w:hint="eastAsia"/>
        </w:rPr>
      </w:pPr>
      <w:r>
        <w:rPr>
          <w:rFonts w:hint="eastAsia"/>
        </w:rPr>
        <w:t>在设防地震作用下，不宜出现墙肢平均名义拉应力超过ftk的小偏心受拉装配整体式叠合剪力墙墙肢。</w:t>
      </w:r>
    </w:p>
    <w:p>
      <w:pPr>
        <w:pStyle w:val="107"/>
        <w:spacing w:before="156" w:after="156"/>
      </w:pPr>
      <w:bookmarkStart w:id="51" w:name="_Toc2932"/>
      <w:r>
        <w:rPr>
          <w:rFonts w:hint="eastAsia"/>
          <w:lang w:eastAsia="zh-CN"/>
        </w:rPr>
        <w:t>结构布置</w:t>
      </w:r>
      <w:bookmarkEnd w:id="51"/>
    </w:p>
    <w:p>
      <w:pPr>
        <w:pStyle w:val="167"/>
        <w:rPr>
          <w:rFonts w:hint="eastAsia"/>
        </w:rPr>
      </w:pPr>
      <w:r>
        <w:rPr>
          <w:rFonts w:hint="eastAsia"/>
        </w:rPr>
        <w:t>装配整体式叠合剪力墙结构的平面形状宜简单、规则，质量、刚度分布宜均匀。应符合国家现行标准《建筑抗震设计规范》GB 50011 和《高层建筑混凝土结构技术规程》JGJ 3的相关规定，不应采用特别不规则的结构。</w:t>
      </w:r>
    </w:p>
    <w:p>
      <w:pPr>
        <w:pStyle w:val="167"/>
        <w:rPr>
          <w:rFonts w:hint="eastAsia"/>
        </w:rPr>
      </w:pPr>
      <w:r>
        <w:rPr>
          <w:rFonts w:hint="eastAsia"/>
        </w:rPr>
        <w:t xml:space="preserve">装配整体式叠合剪力墙结构中剪力墙布置应符合下列规定： </w:t>
      </w:r>
    </w:p>
    <w:p>
      <w:pPr>
        <w:pStyle w:val="176"/>
        <w:numPr>
          <w:ilvl w:val="0"/>
          <w:numId w:val="34"/>
        </w:numPr>
        <w:rPr>
          <w:rFonts w:hint="eastAsia"/>
        </w:rPr>
      </w:pPr>
      <w:r>
        <w:rPr>
          <w:rFonts w:hint="eastAsia"/>
        </w:rPr>
        <w:t xml:space="preserve">应沿两个主轴方向或其他方向双向均匀布置，在两个主轴方向的动力特性不宜相差过大，不应采用仅单向设墙的结构布置； </w:t>
      </w:r>
    </w:p>
    <w:p>
      <w:pPr>
        <w:pStyle w:val="176"/>
        <w:numPr>
          <w:ilvl w:val="0"/>
          <w:numId w:val="34"/>
        </w:numPr>
        <w:rPr>
          <w:rFonts w:hint="eastAsia"/>
        </w:rPr>
      </w:pPr>
      <w:r>
        <w:rPr>
          <w:rFonts w:hint="eastAsia"/>
        </w:rPr>
        <w:t xml:space="preserve">剪力墙平面布置宜简单、规则，自下到上宜连续布置，避免层间侧向刚度突变； </w:t>
      </w:r>
    </w:p>
    <w:p>
      <w:pPr>
        <w:pStyle w:val="176"/>
        <w:numPr>
          <w:ilvl w:val="0"/>
          <w:numId w:val="34"/>
        </w:numPr>
        <w:rPr>
          <w:rFonts w:hint="eastAsia"/>
        </w:rPr>
      </w:pPr>
      <w:r>
        <w:rPr>
          <w:rFonts w:hint="eastAsia"/>
        </w:rPr>
        <w:t>叠合剪力墙构件在结构平面中应均匀分布；</w:t>
      </w:r>
    </w:p>
    <w:p>
      <w:pPr>
        <w:pStyle w:val="176"/>
        <w:numPr>
          <w:ilvl w:val="0"/>
          <w:numId w:val="34"/>
        </w:numPr>
        <w:rPr>
          <w:rFonts w:hint="eastAsia"/>
        </w:rPr>
      </w:pPr>
      <w:r>
        <w:rPr>
          <w:rFonts w:hint="eastAsia"/>
        </w:rPr>
        <w:t>剪力墙门窗洞口应上下对齐、成列布置，全高不应采用错洞墙；</w:t>
      </w:r>
    </w:p>
    <w:p>
      <w:pPr>
        <w:pStyle w:val="176"/>
        <w:numPr>
          <w:ilvl w:val="0"/>
          <w:numId w:val="34"/>
        </w:numPr>
        <w:rPr>
          <w:rFonts w:hint="eastAsia"/>
        </w:rPr>
      </w:pPr>
      <w:r>
        <w:rPr>
          <w:rFonts w:hint="eastAsia"/>
        </w:rPr>
        <w:t xml:space="preserve">剪力墙的墙段长度不宜大于8m； </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4" w:firstLineChars="202"/>
        <w:jc w:val="left"/>
        <w:textAlignment w:val="auto"/>
        <w:rPr>
          <w:rFonts w:ascii="Times New Roman" w:hAnsi="Times New Roman" w:cs="Times New Roman"/>
          <w:kern w:val="0"/>
          <w:sz w:val="21"/>
          <w:szCs w:val="21"/>
        </w:rPr>
      </w:pPr>
      <w:r>
        <w:rPr>
          <w:rFonts w:ascii="Times New Roman" w:hAnsi="Times New Roman" w:cs="Times New Roman"/>
          <w:kern w:val="0"/>
          <w:sz w:val="21"/>
          <w:szCs w:val="21"/>
        </w:rPr>
        <w:t xml:space="preserve">6 </w:t>
      </w:r>
      <w:r>
        <w:rPr>
          <w:rFonts w:hint="eastAsia" w:ascii="Times New Roman" w:hAnsi="Times New Roman" w:cs="Times New Roman"/>
          <w:kern w:val="0"/>
          <w:sz w:val="21"/>
          <w:szCs w:val="21"/>
        </w:rPr>
        <w:t>8度区</w:t>
      </w:r>
      <w:r>
        <w:rPr>
          <w:rFonts w:ascii="Times New Roman" w:hAnsi="Times New Roman" w:cs="Times New Roman"/>
          <w:kern w:val="0"/>
          <w:sz w:val="21"/>
          <w:szCs w:val="21"/>
        </w:rPr>
        <w:t xml:space="preserve">电梯井、楼梯间等部位宜采用现浇剪力墙。 </w:t>
      </w:r>
    </w:p>
    <w:p>
      <w:pPr>
        <w:pStyle w:val="167"/>
        <w:rPr>
          <w:rFonts w:hint="eastAsia"/>
        </w:rPr>
      </w:pPr>
      <w:r>
        <w:rPr>
          <w:rFonts w:hint="eastAsia"/>
        </w:rPr>
        <w:t>当楼面梁与叠合剪力墙在平面外单侧刚性连接时，可采取以下措施之一来减小梁端部弯矩对叠合剪力墙的不利影响：</w:t>
      </w:r>
    </w:p>
    <w:p>
      <w:pPr>
        <w:pStyle w:val="176"/>
        <w:numPr>
          <w:ilvl w:val="0"/>
          <w:numId w:val="35"/>
        </w:numPr>
        <w:rPr>
          <w:rFonts w:hint="eastAsia"/>
        </w:rPr>
      </w:pPr>
      <w:r>
        <w:rPr>
          <w:rFonts w:hint="eastAsia"/>
        </w:rPr>
        <w:t>在叠合墙与梁相交处设置现浇扶壁柱，扶壁柱截面宽度不小于梁宽，按计算结果确定扶壁柱的截面及配筋；</w:t>
      </w:r>
    </w:p>
    <w:p>
      <w:pPr>
        <w:pStyle w:val="176"/>
        <w:numPr>
          <w:ilvl w:val="0"/>
          <w:numId w:val="35"/>
        </w:numPr>
        <w:rPr>
          <w:rFonts w:hint="eastAsia"/>
        </w:rPr>
      </w:pPr>
      <w:r>
        <w:rPr>
          <w:rFonts w:hint="eastAsia"/>
        </w:rPr>
        <w:t>当不能设置扶壁柱时，可在叠合墙、梁相交处设置现浇暗柱；暗柱截面高度不小于墙的厚度，按计算结果确定暗柱的截面宽度和配筋。</w:t>
      </w:r>
    </w:p>
    <w:p>
      <w:pPr>
        <w:pStyle w:val="167"/>
        <w:rPr>
          <w:rFonts w:hint="eastAsia"/>
        </w:rPr>
      </w:pPr>
      <w:r>
        <w:rPr>
          <w:rFonts w:hint="eastAsia"/>
        </w:rPr>
        <w:t>装配整体式叠合剪力墙结构作为上部结构嵌固部位的地下室楼面、地下室顶板应采用现浇楼盖；平面复杂或开洞较大的楼层宜采用现浇楼盖。</w:t>
      </w:r>
    </w:p>
    <w:p>
      <w:pPr>
        <w:pStyle w:val="167"/>
        <w:rPr>
          <w:rFonts w:hint="eastAsia"/>
        </w:rPr>
      </w:pPr>
      <w:r>
        <w:rPr>
          <w:rFonts w:hint="eastAsia"/>
        </w:rPr>
        <w:t xml:space="preserve">高层装配整体式叠合剪力墙结构宜符合下列规定： </w:t>
      </w:r>
    </w:p>
    <w:p>
      <w:pPr>
        <w:pStyle w:val="176"/>
        <w:numPr>
          <w:ilvl w:val="0"/>
          <w:numId w:val="36"/>
        </w:numPr>
        <w:rPr>
          <w:rFonts w:hint="eastAsia"/>
        </w:rPr>
      </w:pPr>
      <w:r>
        <w:rPr>
          <w:rFonts w:hint="eastAsia"/>
        </w:rPr>
        <w:t xml:space="preserve">宜设置地下室，地下室结构宜采用现浇混凝土结构； </w:t>
      </w:r>
    </w:p>
    <w:p>
      <w:pPr>
        <w:pStyle w:val="176"/>
        <w:numPr>
          <w:ilvl w:val="0"/>
          <w:numId w:val="36"/>
        </w:numPr>
        <w:rPr>
          <w:rFonts w:hint="eastAsia"/>
        </w:rPr>
      </w:pPr>
      <w:r>
        <w:rPr>
          <w:rFonts w:hint="eastAsia"/>
        </w:rPr>
        <w:t>底部加强部位及轴压比大于0.3的墙肢相邻上一层的剪力墙应采用现浇剪力墙，叠合剪力墙结构底部加强部位的高度可取墙体总高度的1/10和底部两层的较大值。</w:t>
      </w:r>
    </w:p>
    <w:p>
      <w:pPr>
        <w:pStyle w:val="176"/>
        <w:numPr>
          <w:ilvl w:val="0"/>
          <w:numId w:val="36"/>
        </w:numPr>
        <w:rPr>
          <w:rFonts w:hint="eastAsia"/>
        </w:rPr>
      </w:pPr>
      <w:r>
        <w:rPr>
          <w:rFonts w:hint="eastAsia"/>
        </w:rPr>
        <w:t>当抗震设防烈度为6度、7度、8度（0.20g）、8度（0.30g）且对应房屋高度超过100m、90m、70m、50m时，约束边缘构件范围应延伸至底部加强部位以上一层。</w:t>
      </w:r>
    </w:p>
    <w:p>
      <w:pPr>
        <w:pStyle w:val="167"/>
        <w:rPr>
          <w:rFonts w:hint="eastAsia"/>
        </w:rPr>
      </w:pPr>
      <w:r>
        <w:rPr>
          <w:rFonts w:hint="eastAsia"/>
        </w:rPr>
        <w:t>建筑外墙宜采用夹芯保温叠合剪力墙。</w:t>
      </w:r>
    </w:p>
    <w:p>
      <w:pPr>
        <w:pStyle w:val="167"/>
        <w:rPr>
          <w:rFonts w:hint="eastAsia"/>
        </w:rPr>
      </w:pPr>
      <w:r>
        <w:rPr>
          <w:rFonts w:hint="eastAsia"/>
        </w:rPr>
        <w:t>无上部结构的地下室和上部结构相关范围以外的地下室内、外墙，可采用叠合混凝土墙体。</w:t>
      </w:r>
    </w:p>
    <w:p>
      <w:pPr>
        <w:pStyle w:val="107"/>
        <w:spacing w:before="156" w:after="156"/>
      </w:pPr>
      <w:bookmarkStart w:id="52" w:name="_Toc2636"/>
      <w:r>
        <w:rPr>
          <w:rFonts w:hint="eastAsia" w:ascii="黑体" w:hAnsi="黑体" w:eastAsia="黑体" w:cs="黑体"/>
          <w:b w:val="0"/>
          <w:bCs w:val="0"/>
        </w:rPr>
        <w:t>作用及作用组合</w:t>
      </w:r>
      <w:bookmarkEnd w:id="52"/>
    </w:p>
    <w:p>
      <w:pPr>
        <w:pStyle w:val="167"/>
        <w:rPr>
          <w:rFonts w:hint="eastAsia"/>
        </w:rPr>
      </w:pPr>
      <w:r>
        <w:rPr>
          <w:rFonts w:hint="eastAsia"/>
        </w:rPr>
        <w:t>装配整体式叠合剪力墙结构的作用及作用组合应根据国家现行标准《建筑结构荷载规范》GB 50009、《建筑抗震设计规范》GB 50011、《高层建筑混凝土结构技术规程》JGJ 3和《混凝土结构工程施工规范》GB 50666等确定。</w:t>
      </w:r>
    </w:p>
    <w:p>
      <w:pPr>
        <w:pStyle w:val="167"/>
        <w:rPr>
          <w:rFonts w:hint="eastAsia"/>
        </w:rPr>
      </w:pPr>
      <w:r>
        <w:rPr>
          <w:rFonts w:hint="eastAsia"/>
        </w:rPr>
        <w:t>预制构件在进行翻转、吊装、运输、安装等短暂设计状况下的施工验算时，构件自重标准值应乘以动力系数。构件运输、吊运时，动力系数可根据实际情况确定，并不宜小于1.5；构件翻转及安装过程中就位、临时固定时，动力系数可取1.2。</w:t>
      </w:r>
    </w:p>
    <w:p>
      <w:pPr>
        <w:pStyle w:val="167"/>
        <w:rPr>
          <w:rFonts w:hint="eastAsia"/>
        </w:rPr>
      </w:pPr>
      <w:r>
        <w:rPr>
          <w:rFonts w:hint="eastAsia"/>
        </w:rPr>
        <w:t>预制构件进行脱模验算时，等效静力荷载标准值应取构件自重标准值乘以动力系数后与脱模吸附力之和，且不宜小于构件自重标准值的1.5倍。动力系数不宜小于1.2；脱模吸附力应根据构件和模具的实际情况取用，且不宜小于1.5kN/m2。</w:t>
      </w:r>
    </w:p>
    <w:p>
      <w:pPr>
        <w:pStyle w:val="167"/>
        <w:rPr>
          <w:rFonts w:hint="eastAsia"/>
        </w:rPr>
      </w:pPr>
      <w:r>
        <w:rPr>
          <w:rFonts w:hint="eastAsia"/>
        </w:rPr>
        <w:t>叠合楼板施工阶段验算时，施工活荷载应根据施工时的实际情况考虑，且不宜小于1.5kN/m</w:t>
      </w:r>
      <w:r>
        <w:rPr>
          <w:rFonts w:hint="eastAsia"/>
          <w:vertAlign w:val="superscript"/>
        </w:rPr>
        <w:t>2</w:t>
      </w:r>
      <w:r>
        <w:rPr>
          <w:rFonts w:hint="eastAsia"/>
        </w:rPr>
        <w:t>。</w:t>
      </w:r>
    </w:p>
    <w:p>
      <w:pPr>
        <w:pStyle w:val="107"/>
        <w:spacing w:before="156" w:after="156"/>
      </w:pPr>
      <w:bookmarkStart w:id="53" w:name="_Toc1902"/>
      <w:r>
        <w:rPr>
          <w:rFonts w:hint="eastAsia" w:ascii="黑体" w:hAnsi="黑体" w:eastAsia="黑体" w:cs="黑体"/>
          <w:b w:val="0"/>
          <w:bCs w:val="0"/>
          <w:lang w:val="en-US" w:eastAsia="zh-CN"/>
        </w:rPr>
        <w:t>叠合剪力墙设计</w:t>
      </w:r>
      <w:bookmarkEnd w:id="53"/>
    </w:p>
    <w:p>
      <w:pPr>
        <w:pStyle w:val="167"/>
        <w:rPr>
          <w:rFonts w:hint="eastAsia"/>
        </w:rPr>
      </w:pPr>
      <w:r>
        <w:rPr>
          <w:rFonts w:hint="eastAsia"/>
        </w:rPr>
        <w:t>叠合剪力墙预制构件的设计，应符合下列规定：</w:t>
      </w:r>
    </w:p>
    <w:p>
      <w:pPr>
        <w:pStyle w:val="176"/>
        <w:numPr>
          <w:ilvl w:val="0"/>
          <w:numId w:val="37"/>
        </w:numPr>
        <w:rPr>
          <w:rFonts w:hint="eastAsia"/>
        </w:rPr>
      </w:pPr>
      <w:r>
        <w:rPr>
          <w:rFonts w:hint="eastAsia"/>
        </w:rPr>
        <w:t>对持久设计状况，应对预制构件进行承载力、变形、裂缝控制验算；</w:t>
      </w:r>
    </w:p>
    <w:p>
      <w:pPr>
        <w:pStyle w:val="176"/>
        <w:numPr>
          <w:ilvl w:val="0"/>
          <w:numId w:val="37"/>
        </w:numPr>
        <w:rPr>
          <w:rFonts w:hint="eastAsia"/>
        </w:rPr>
      </w:pPr>
      <w:r>
        <w:rPr>
          <w:rFonts w:hint="eastAsia"/>
        </w:rPr>
        <w:t>对地震设计状况，应对预制构件进行承载力验算；</w:t>
      </w:r>
    </w:p>
    <w:p>
      <w:pPr>
        <w:pStyle w:val="176"/>
        <w:numPr>
          <w:ilvl w:val="0"/>
          <w:numId w:val="37"/>
        </w:numPr>
        <w:rPr>
          <w:rFonts w:hint="eastAsia"/>
        </w:rPr>
      </w:pPr>
      <w:r>
        <w:rPr>
          <w:rFonts w:hint="eastAsia"/>
        </w:rPr>
        <w:t>对制作、运输和堆放、安装等短暂设计状况，预制构件验算应符合现行国家标准《混凝土结构工程施工规范》GB 50666的有关规定。</w:t>
      </w:r>
    </w:p>
    <w:p>
      <w:pPr>
        <w:pStyle w:val="167"/>
        <w:rPr>
          <w:rFonts w:hint="eastAsia"/>
        </w:rPr>
      </w:pPr>
      <w:r>
        <w:rPr>
          <w:rFonts w:hint="eastAsia"/>
        </w:rPr>
        <w:t>对于双面叠合剪力墙和单面叠合剪力墙，剪力墙计算厚度b</w:t>
      </w:r>
      <w:r>
        <w:rPr>
          <w:rFonts w:hint="eastAsia"/>
          <w:vertAlign w:val="subscript"/>
        </w:rPr>
        <w:t>w</w:t>
      </w:r>
      <w:r>
        <w:rPr>
          <w:rFonts w:hint="eastAsia"/>
        </w:rPr>
        <w:t>取全截面厚度；对于夹心保温叠合剪力墙，b</w:t>
      </w:r>
      <w:r>
        <w:rPr>
          <w:rFonts w:hint="eastAsia"/>
          <w:vertAlign w:val="subscript"/>
        </w:rPr>
        <w:t>w</w:t>
      </w:r>
      <w:r>
        <w:rPr>
          <w:rFonts w:hint="eastAsia"/>
        </w:rPr>
        <w:t>取后浇混凝土厚度与预制内叶板厚度之和，不包括预制外叶板厚度和保温层厚度。</w:t>
      </w:r>
    </w:p>
    <w:p>
      <w:pPr>
        <w:pStyle w:val="167"/>
        <w:rPr>
          <w:rFonts w:hint="eastAsia"/>
        </w:rPr>
      </w:pPr>
      <w:r>
        <w:rPr>
          <w:rFonts w:hint="eastAsia"/>
        </w:rPr>
        <w:t>叠合剪力墙墙肢面内承载力计算可按与现浇剪力墙相同的方法进行。</w:t>
      </w:r>
    </w:p>
    <w:p>
      <w:pPr>
        <w:pStyle w:val="167"/>
        <w:rPr>
          <w:rFonts w:hint="eastAsia"/>
        </w:rPr>
      </w:pPr>
      <w:r>
        <w:rPr>
          <w:rFonts w:hint="eastAsia"/>
        </w:rPr>
        <w:t>叠合剪力墙的设计应符合以下规定：</w:t>
      </w:r>
    </w:p>
    <w:p>
      <w:pPr>
        <w:pStyle w:val="176"/>
        <w:numPr>
          <w:ilvl w:val="0"/>
          <w:numId w:val="38"/>
        </w:numPr>
        <w:rPr>
          <w:rFonts w:hint="eastAsia"/>
        </w:rPr>
      </w:pPr>
      <w:r>
        <w:rPr>
          <w:rFonts w:hint="eastAsia"/>
        </w:rPr>
        <w:t>叠合剪力墙构件后浇混凝土强度不应低于预制墙板混凝土强度。</w:t>
      </w:r>
    </w:p>
    <w:p>
      <w:pPr>
        <w:pStyle w:val="176"/>
        <w:numPr>
          <w:ilvl w:val="0"/>
          <w:numId w:val="38"/>
        </w:numPr>
        <w:rPr>
          <w:rFonts w:hint="eastAsia"/>
        </w:rPr>
      </w:pPr>
      <w:r>
        <w:rPr>
          <w:rFonts w:hint="eastAsia"/>
        </w:rPr>
        <w:t>参与叠合受力的预制墙板钢筋，应根据计算确定，并应符合《高层建筑混凝土结构技术规程》JGJ 3中关于剪力墙配筋率的规定。</w:t>
      </w:r>
    </w:p>
    <w:p>
      <w:pPr>
        <w:pStyle w:val="176"/>
        <w:numPr>
          <w:ilvl w:val="0"/>
          <w:numId w:val="38"/>
        </w:numPr>
        <w:rPr>
          <w:rFonts w:hint="eastAsia"/>
        </w:rPr>
      </w:pPr>
      <w:r>
        <w:rPr>
          <w:rFonts w:hint="eastAsia"/>
        </w:rPr>
        <w:t>预制墙板钢筋宜选用不低于HRB400级的热轧钢筋。竖向分布钢筋直径不应小于10mm，水平分布钢筋直径不应小于8mm，间距不宜大于200mm。</w:t>
      </w:r>
    </w:p>
    <w:p>
      <w:pPr>
        <w:pStyle w:val="176"/>
        <w:numPr>
          <w:ilvl w:val="0"/>
          <w:numId w:val="38"/>
        </w:numPr>
        <w:rPr>
          <w:rFonts w:hint="eastAsia"/>
        </w:rPr>
      </w:pPr>
      <w:r>
        <w:rPr>
          <w:rFonts w:hint="eastAsia"/>
        </w:rPr>
        <w:t>预制墙板的混凝土保护层厚度应符合现行国家标准《混凝土结构设计规范》GB 50010的规定。</w:t>
      </w:r>
    </w:p>
    <w:p>
      <w:pPr>
        <w:pStyle w:val="176"/>
        <w:numPr>
          <w:ilvl w:val="0"/>
          <w:numId w:val="38"/>
        </w:numPr>
        <w:rPr>
          <w:rFonts w:hint="eastAsia"/>
        </w:rPr>
      </w:pPr>
      <w:r>
        <w:rPr>
          <w:rFonts w:hint="eastAsia"/>
        </w:rPr>
        <w:t>叠合剪力墙的墙肢厚度不应小于200mm，单叶预制墙板厚度不应小于50mm。对于双面叠合剪力墙，后浇混凝土厚度不应小于100mm；对于单面叠合剪力墙，后浇混凝土厚度不宜小于150mm。预制板内表面严禁出现浮浆。单面叠合剪力墙预制墙板内表面及叠合剪力墙预制墙板侧面接缝面应设置人工粗糙面，粗糙面凹凸深度不应小于4mm。</w:t>
      </w:r>
    </w:p>
    <w:p>
      <w:pPr>
        <w:pStyle w:val="176"/>
        <w:numPr>
          <w:ilvl w:val="0"/>
          <w:numId w:val="38"/>
        </w:numPr>
        <w:rPr>
          <w:rFonts w:hint="eastAsia"/>
        </w:rPr>
      </w:pPr>
      <w:r>
        <w:rPr>
          <w:rFonts w:hint="eastAsia"/>
        </w:rPr>
        <w:t>墙板两侧的分布筋之间应可靠拉结，可设置钢筋桁架通过点焊、绑扎拉结，也可采用拉筋等其他可靠方式。</w:t>
      </w:r>
    </w:p>
    <w:p>
      <w:pPr>
        <w:pStyle w:val="176"/>
        <w:numPr>
          <w:ilvl w:val="0"/>
          <w:numId w:val="38"/>
        </w:numPr>
        <w:rPr>
          <w:rFonts w:hint="eastAsia"/>
        </w:rPr>
      </w:pPr>
      <w:r>
        <w:rPr>
          <w:rFonts w:hint="eastAsia"/>
        </w:rPr>
        <w:t>对于采用桁架钢筋构造的叠合剪力墙，预制墙板中的钢筋桁架应满足运输、吊装和两块预制墙板之间空腔内后浇混凝土施工的要求，且单片预制叠合剪力墙墙肢不应少于2道。钢筋桁架的上弦钢筋直径不宜小于10mm，下弦钢筋及腹杆钢筋直径不宜小于6mm，斜腹筋与弦筋的角度可为60°。钢筋桁架的上、下弦钢筋可选用HRB400级热轧钢筋，斜腹筋可选用HPB300级热轧钢筋。钢筋桁架在预制墙板中应竖向布置，其榀间距应根据计算确定，且不宜大于400mm，不应大于600mm及竖向分布筋间距的2倍。钢筋桁架距叠合剪力墙板边缘的水平距离不宜大于150mm。带桁架钢筋的双面叠合剪力墙中钢筋桁架的布置要求如图</w:t>
      </w:r>
      <w:r>
        <w:rPr>
          <w:rFonts w:hint="eastAsia"/>
          <w:lang w:val="en-US" w:eastAsia="zh-CN"/>
        </w:rPr>
        <w:t>6</w:t>
      </w:r>
      <w:r>
        <w:rPr>
          <w:rFonts w:hint="eastAsia"/>
        </w:rPr>
        <w:t>.4.</w:t>
      </w:r>
      <w:r>
        <w:rPr>
          <w:rFonts w:hint="eastAsia"/>
          <w:lang w:val="en-US" w:eastAsia="zh-CN"/>
        </w:rPr>
        <w:t>5</w:t>
      </w:r>
      <w:r>
        <w:rPr>
          <w:rFonts w:hint="eastAsia"/>
        </w:rPr>
        <w:t>-1所示，带桁架钢筋的双面叠合剪力墙、单面叠合剪力墙和夹心保温叠合剪力墙的构造如图</w:t>
      </w:r>
      <w:r>
        <w:rPr>
          <w:rFonts w:hint="eastAsia"/>
          <w:lang w:val="en-US" w:eastAsia="zh-CN"/>
        </w:rPr>
        <w:t>6</w:t>
      </w:r>
      <w:r>
        <w:rPr>
          <w:rFonts w:hint="eastAsia"/>
        </w:rPr>
        <w:t>.4.</w:t>
      </w:r>
      <w:r>
        <w:rPr>
          <w:rFonts w:hint="eastAsia"/>
          <w:lang w:val="en-US" w:eastAsia="zh-CN"/>
        </w:rPr>
        <w:t>4</w:t>
      </w:r>
      <w:r>
        <w:rPr>
          <w:rFonts w:hint="eastAsia"/>
        </w:rPr>
        <w:t>-2所示。当采用夹心保温叠合剪力墙时，内、外叶预制墙板间应有可靠连接。</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kern w:val="0"/>
          <w:sz w:val="21"/>
          <w:szCs w:val="21"/>
        </w:rPr>
        <w:drawing>
          <wp:inline distT="0" distB="0" distL="114300" distR="114300">
            <wp:extent cx="3996055" cy="3934460"/>
            <wp:effectExtent l="0" t="0" r="4445" b="0"/>
            <wp:docPr id="8" name="图片 8" descr="图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5.4.3-1"/>
                    <pic:cNvPicPr>
                      <a:picLocks noChangeAspect="1"/>
                    </pic:cNvPicPr>
                  </pic:nvPicPr>
                  <pic:blipFill>
                    <a:blip r:embed="rId20" cstate="print"/>
                    <a:srcRect l="28002" t="14137" r="41094" b="10417"/>
                    <a:stretch>
                      <a:fillRect/>
                    </a:stretch>
                  </pic:blipFill>
                  <pic:spPr>
                    <a:xfrm>
                      <a:off x="0" y="0"/>
                      <a:ext cx="3996055" cy="3934460"/>
                    </a:xfrm>
                    <a:prstGeom prst="rect">
                      <a:avLst/>
                    </a:prstGeom>
                  </pic:spPr>
                </pic:pic>
              </a:graphicData>
            </a:graphic>
          </wp:inline>
        </w:drawing>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kern w:val="0"/>
          <w:sz w:val="21"/>
          <w:szCs w:val="21"/>
        </w:rPr>
      </w:pPr>
      <w:r>
        <w:rPr>
          <w:rFonts w:ascii="Times New Roman" w:hAnsi="Times New Roman" w:cs="Times New Roman"/>
          <w:sz w:val="21"/>
          <w:szCs w:val="21"/>
        </w:rPr>
        <w:t>图</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w:t>
      </w:r>
      <w:r>
        <w:rPr>
          <w:rFonts w:hint="eastAsia" w:ascii="Times New Roman" w:hAnsi="Times New Roman" w:cs="Times New Roman"/>
          <w:kern w:val="0"/>
          <w:sz w:val="21"/>
          <w:szCs w:val="21"/>
          <w:lang w:val="en-US" w:eastAsia="zh-CN"/>
        </w:rPr>
        <w:t>4</w:t>
      </w:r>
      <w:r>
        <w:rPr>
          <w:rFonts w:ascii="Times New Roman" w:hAnsi="Times New Roman" w:cs="Times New Roman"/>
          <w:kern w:val="0"/>
          <w:sz w:val="21"/>
          <w:szCs w:val="21"/>
        </w:rPr>
        <w:t>-1 双面叠合剪力墙中钢筋桁架的布置要求</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4010025" cy="1482725"/>
            <wp:effectExtent l="0" t="0" r="9525" b="3175"/>
            <wp:docPr id="10" name="图片 10" descr="图5.4.3-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5.4.3-2a"/>
                    <pic:cNvPicPr>
                      <a:picLocks noChangeAspect="1"/>
                    </pic:cNvPicPr>
                  </pic:nvPicPr>
                  <pic:blipFill>
                    <a:blip r:embed="rId21" cstate="print"/>
                    <a:srcRect l="9491" t="7440" r="14453" b="23065"/>
                    <a:stretch>
                      <a:fillRect/>
                    </a:stretch>
                  </pic:blipFill>
                  <pic:spPr>
                    <a:xfrm>
                      <a:off x="0" y="0"/>
                      <a:ext cx="4010025" cy="1482725"/>
                    </a:xfrm>
                    <a:prstGeom prst="rect">
                      <a:avLst/>
                    </a:prstGeom>
                  </pic:spPr>
                </pic:pic>
              </a:graphicData>
            </a:graphic>
          </wp:inline>
        </w:drawing>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w:t>
      </w:r>
      <w:r>
        <w:rPr>
          <w:rFonts w:hint="eastAsia" w:ascii="Times New Roman" w:hAnsi="Times New Roman" w:cs="Times New Roman"/>
          <w:sz w:val="21"/>
          <w:szCs w:val="21"/>
          <w:lang w:val="en-US" w:eastAsia="zh-CN"/>
        </w:rPr>
        <w:t>4</w:t>
      </w:r>
      <w:r>
        <w:rPr>
          <w:rFonts w:ascii="Times New Roman" w:hAnsi="Times New Roman" w:cs="Times New Roman"/>
          <w:sz w:val="21"/>
          <w:szCs w:val="21"/>
        </w:rPr>
        <w:t>-2a 双面叠合剪力墙构造（带桁架筋）</w:t>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406650" cy="1417320"/>
            <wp:effectExtent l="0" t="0" r="12700" b="11430"/>
            <wp:docPr id="17" name="图片 17" descr="图5.4.3-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5.4.3-2b"/>
                    <pic:cNvPicPr>
                      <a:picLocks noChangeAspect="1"/>
                    </pic:cNvPicPr>
                  </pic:nvPicPr>
                  <pic:blipFill>
                    <a:blip r:embed="rId22"/>
                    <a:srcRect l="32426" t="9070" r="21939" b="26046"/>
                    <a:stretch>
                      <a:fillRect/>
                    </a:stretch>
                  </pic:blipFill>
                  <pic:spPr>
                    <a:xfrm>
                      <a:off x="0" y="0"/>
                      <a:ext cx="2406650" cy="1417320"/>
                    </a:xfrm>
                    <a:prstGeom prst="rect">
                      <a:avLst/>
                    </a:prstGeom>
                  </pic:spPr>
                </pic:pic>
              </a:graphicData>
            </a:graphic>
          </wp:inline>
        </w:drawing>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w:t>
      </w:r>
      <w:r>
        <w:rPr>
          <w:rFonts w:hint="eastAsia" w:ascii="Times New Roman" w:hAnsi="Times New Roman" w:cs="Times New Roman"/>
          <w:sz w:val="21"/>
          <w:szCs w:val="21"/>
          <w:lang w:val="en-US" w:eastAsia="zh-CN"/>
        </w:rPr>
        <w:t>4</w:t>
      </w:r>
      <w:r>
        <w:rPr>
          <w:rFonts w:ascii="Times New Roman" w:hAnsi="Times New Roman" w:cs="Times New Roman"/>
          <w:sz w:val="21"/>
          <w:szCs w:val="21"/>
        </w:rPr>
        <w:t>-2b 单面叠合剪力墙构造（带桁架筋）</w:t>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5292090" cy="1870075"/>
            <wp:effectExtent l="0" t="0" r="3810" b="0"/>
            <wp:docPr id="16" name="图片 16" descr="图5.4.3-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5.4.3-2c"/>
                    <pic:cNvPicPr>
                      <a:picLocks noChangeAspect="1"/>
                    </pic:cNvPicPr>
                  </pic:nvPicPr>
                  <pic:blipFill>
                    <a:blip r:embed="rId23" cstate="print"/>
                    <a:srcRect l="5119" t="8542" r="7226" b="14881"/>
                    <a:stretch>
                      <a:fillRect/>
                    </a:stretch>
                  </pic:blipFill>
                  <pic:spPr>
                    <a:xfrm>
                      <a:off x="0" y="0"/>
                      <a:ext cx="5292090" cy="1870075"/>
                    </a:xfrm>
                    <a:prstGeom prst="rect">
                      <a:avLst/>
                    </a:prstGeom>
                  </pic:spPr>
                </pic:pic>
              </a:graphicData>
            </a:graphic>
          </wp:inline>
        </w:drawing>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w:t>
      </w:r>
      <w:r>
        <w:rPr>
          <w:rFonts w:hint="eastAsia" w:ascii="Times New Roman" w:hAnsi="Times New Roman" w:cs="Times New Roman"/>
          <w:sz w:val="21"/>
          <w:szCs w:val="21"/>
          <w:lang w:val="en-US" w:eastAsia="zh-CN"/>
        </w:rPr>
        <w:t>4</w:t>
      </w:r>
      <w:r>
        <w:rPr>
          <w:rFonts w:ascii="Times New Roman" w:hAnsi="Times New Roman" w:cs="Times New Roman"/>
          <w:sz w:val="21"/>
          <w:szCs w:val="21"/>
        </w:rPr>
        <w:t xml:space="preserve">-2c </w:t>
      </w:r>
      <w:r>
        <w:rPr>
          <w:rFonts w:hint="eastAsia" w:ascii="Times New Roman" w:hAnsi="Times New Roman" w:cs="Times New Roman"/>
          <w:sz w:val="21"/>
          <w:szCs w:val="21"/>
        </w:rPr>
        <w:t>夹心保温叠合剪力墙</w:t>
      </w:r>
      <w:r>
        <w:rPr>
          <w:rFonts w:ascii="Times New Roman" w:hAnsi="Times New Roman" w:cs="Times New Roman"/>
          <w:sz w:val="21"/>
          <w:szCs w:val="21"/>
        </w:rPr>
        <w:t>构造（带桁架筋和夹芯保温层）</w:t>
      </w:r>
    </w:p>
    <w:p>
      <w:pPr>
        <w:pStyle w:val="176"/>
        <w:numPr>
          <w:ilvl w:val="0"/>
          <w:numId w:val="38"/>
        </w:numPr>
        <w:rPr>
          <w:rFonts w:hint="eastAsia"/>
        </w:rPr>
      </w:pPr>
      <w:r>
        <w:rPr>
          <w:rFonts w:hint="eastAsia"/>
        </w:rPr>
        <w:t>对于采用三向钢筋笼构造的叠合剪力墙，可采用点焊形成的三向钢筋笼，也可采用带弯钩拉筋构成的三向钢筋笼。</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drawing>
          <wp:inline distT="0" distB="0" distL="114300" distR="114300">
            <wp:extent cx="5219700" cy="1470025"/>
            <wp:effectExtent l="0" t="0" r="0" b="15875"/>
            <wp:docPr id="18" name="图片 18" descr="图5.4.3-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5.4.3-2d"/>
                    <pic:cNvPicPr>
                      <a:picLocks noChangeAspect="1"/>
                    </pic:cNvPicPr>
                  </pic:nvPicPr>
                  <pic:blipFill>
                    <a:blip r:embed="rId24" cstate="print"/>
                    <a:srcRect l="17018" t="34970" r="14597" b="17500"/>
                    <a:stretch>
                      <a:fillRect/>
                    </a:stretch>
                  </pic:blipFill>
                  <pic:spPr>
                    <a:xfrm>
                      <a:off x="0" y="0"/>
                      <a:ext cx="5219700" cy="1470025"/>
                    </a:xfrm>
                    <a:prstGeom prst="rect">
                      <a:avLst/>
                    </a:prstGeom>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kern w:val="0"/>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w:t>
      </w:r>
      <w:r>
        <w:rPr>
          <w:rFonts w:hint="eastAsia" w:ascii="Times New Roman" w:hAnsi="Times New Roman" w:cs="Times New Roman"/>
          <w:sz w:val="21"/>
          <w:szCs w:val="21"/>
          <w:lang w:val="en-US" w:eastAsia="zh-CN"/>
        </w:rPr>
        <w:t>4</w:t>
      </w:r>
      <w:r>
        <w:rPr>
          <w:rFonts w:ascii="Times New Roman" w:hAnsi="Times New Roman" w:cs="Times New Roman"/>
          <w:sz w:val="21"/>
          <w:szCs w:val="21"/>
        </w:rPr>
        <w:t>-2</w:t>
      </w:r>
      <w:r>
        <w:rPr>
          <w:rFonts w:hint="eastAsia" w:ascii="Times New Roman" w:hAnsi="Times New Roman" w:cs="Times New Roman"/>
          <w:sz w:val="21"/>
          <w:szCs w:val="21"/>
        </w:rPr>
        <w:t>d</w:t>
      </w:r>
      <w:r>
        <w:rPr>
          <w:rFonts w:ascii="Times New Roman" w:hAnsi="Times New Roman" w:cs="Times New Roman"/>
          <w:sz w:val="21"/>
          <w:szCs w:val="21"/>
        </w:rPr>
        <w:t xml:space="preserve"> </w:t>
      </w:r>
      <w:r>
        <w:rPr>
          <w:rFonts w:hint="eastAsia" w:ascii="Times New Roman" w:hAnsi="Times New Roman" w:cs="Times New Roman"/>
          <w:sz w:val="21"/>
          <w:szCs w:val="21"/>
        </w:rPr>
        <w:t>双</w:t>
      </w:r>
      <w:r>
        <w:rPr>
          <w:rFonts w:ascii="Times New Roman" w:hAnsi="Times New Roman" w:cs="Times New Roman"/>
          <w:sz w:val="21"/>
          <w:szCs w:val="21"/>
        </w:rPr>
        <w:t>面叠合剪力墙构造（</w:t>
      </w:r>
      <w:r>
        <w:rPr>
          <w:rFonts w:hint="eastAsia" w:ascii="Times New Roman" w:hAnsi="Times New Roman" w:cs="Times New Roman"/>
          <w:sz w:val="21"/>
          <w:szCs w:val="21"/>
        </w:rPr>
        <w:t>不</w:t>
      </w:r>
      <w:r>
        <w:rPr>
          <w:rFonts w:ascii="Times New Roman" w:hAnsi="Times New Roman" w:cs="Times New Roman"/>
          <w:sz w:val="21"/>
          <w:szCs w:val="21"/>
        </w:rPr>
        <w:t>带桁架筋，</w:t>
      </w:r>
      <w:r>
        <w:rPr>
          <w:rFonts w:hint="eastAsia" w:ascii="Times New Roman" w:hAnsi="Times New Roman" w:cs="Times New Roman"/>
          <w:sz w:val="21"/>
          <w:szCs w:val="21"/>
        </w:rPr>
        <w:t>三向钢筋笼</w:t>
      </w:r>
      <w:r>
        <w:rPr>
          <w:rFonts w:ascii="Times New Roman" w:hAnsi="Times New Roman" w:cs="Times New Roman"/>
          <w:sz w:val="21"/>
          <w:szCs w:val="21"/>
        </w:rPr>
        <w:t>）</w:t>
      </w:r>
    </w:p>
    <w:p>
      <w:pPr>
        <w:pStyle w:val="167"/>
        <w:rPr>
          <w:rFonts w:hint="eastAsia"/>
        </w:rPr>
      </w:pPr>
      <w:r>
        <w:rPr>
          <w:rFonts w:hint="eastAsia"/>
        </w:rPr>
        <w:t>抗震等级为一级的叠合剪力墙，水平接缝处抗剪承载力设计值应按下式计算：</w:t>
      </w:r>
    </w:p>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jc w:val="left"/>
        <w:textAlignment w:val="auto"/>
        <w:rPr>
          <w:rFonts w:ascii="Times New Roman" w:hAnsi="Times New Roman" w:eastAsia="宋体" w:cs="Times New Roman"/>
          <w:kern w:val="0"/>
          <w:sz w:val="21"/>
          <w:szCs w:val="21"/>
        </w:rPr>
      </w:pPr>
      <w:r>
        <w:rPr>
          <w:rFonts w:ascii="Times New Roman" w:hAnsi="Times New Roman" w:cs="Times New Roman"/>
          <w:i/>
          <w:iCs/>
          <w:kern w:val="0"/>
          <w:sz w:val="21"/>
          <w:szCs w:val="21"/>
        </w:rPr>
        <w:t xml:space="preserve">            </w:t>
      </w:r>
      <w:r>
        <w:rPr>
          <w:rFonts w:ascii="Times New Roman" w:hAnsi="Times New Roman" w:cs="Times New Roman"/>
          <w:i/>
          <w:iCs/>
          <w:kern w:val="0"/>
          <w:position w:val="-14"/>
          <w:sz w:val="21"/>
          <w:szCs w:val="21"/>
        </w:rPr>
        <w:object>
          <v:shape id="_x0000_i1025" o:spt="75" type="#_x0000_t75" style="height:18.8pt;width:99.95pt;" o:ole="t" filled="f" o:preferrelative="t" stroked="f" coordsize="21600,21600">
            <v:path/>
            <v:fill on="f" focussize="0,0"/>
            <v:stroke on="f" joinstyle="miter"/>
            <v:imagedata r:id="rId26" o:title=""/>
            <o:lock v:ext="edit" aspectratio="t"/>
            <w10:wrap type="none"/>
            <w10:anchorlock/>
          </v:shape>
          <o:OLEObject Type="Embed" ProgID="Equation.KSEE3" ShapeID="_x0000_i1025" DrawAspect="Content" ObjectID="_1468075725" r:id="rId25">
            <o:LockedField>false</o:LockedField>
          </o:OLEObject>
        </w:object>
      </w:r>
      <w:r>
        <w:rPr>
          <w:rFonts w:ascii="Times New Roman" w:hAnsi="Times New Roman" w:cs="Times New Roman"/>
          <w:i/>
          <w:iCs/>
          <w:kern w:val="0"/>
          <w:sz w:val="21"/>
          <w:szCs w:val="21"/>
        </w:rPr>
        <w:t xml:space="preserve">               </w:t>
      </w:r>
      <w:r>
        <w:rPr>
          <w:rFonts w:hint="eastAsia" w:ascii="Times New Roman" w:hAnsi="Times New Roman" w:cs="Times New Roman"/>
          <w:i/>
          <w:iCs/>
          <w:kern w:val="0"/>
          <w:sz w:val="21"/>
          <w:szCs w:val="21"/>
        </w:rPr>
        <w:t xml:space="preserve">      </w:t>
      </w:r>
      <w:r>
        <w:rPr>
          <w:rFonts w:ascii="Times New Roman" w:hAnsi="Times New Roman" w:cs="Times New Roman"/>
          <w:i/>
          <w:iCs/>
          <w:kern w:val="0"/>
          <w:sz w:val="21"/>
          <w:szCs w:val="21"/>
        </w:rPr>
        <w:t xml:space="preserve">     </w:t>
      </w:r>
      <w:r>
        <w:rPr>
          <w:rFonts w:ascii="Times New Roman" w:hAnsi="Times New Roman" w:eastAsia="宋体" w:cs="Times New Roman"/>
          <w:kern w:val="0"/>
          <w:sz w:val="21"/>
          <w:szCs w:val="21"/>
        </w:rPr>
        <w:t xml:space="preserve">  （</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.4.5</w:t>
      </w:r>
      <w:r>
        <w:rPr>
          <w:rFonts w:ascii="Times New Roman" w:hAnsi="Times New Roman" w:eastAsia="宋体" w:cs="Times New Roman"/>
          <w:kern w:val="0"/>
          <w:sz w:val="21"/>
          <w:szCs w:val="21"/>
        </w:rPr>
        <w:t>）</w:t>
      </w:r>
    </w:p>
    <w:p>
      <w:pPr>
        <w:keepNext w:val="0"/>
        <w:keepLines w:val="0"/>
        <w:pageBreakBefore w:val="0"/>
        <w:kinsoku/>
        <w:wordWrap/>
        <w:overflowPunct/>
        <w:topLinePunct w:val="0"/>
        <w:autoSpaceDE w:val="0"/>
        <w:autoSpaceDN w:val="0"/>
        <w:bidi w:val="0"/>
        <w:adjustRightInd w:val="0"/>
        <w:snapToGrid/>
        <w:spacing w:line="240" w:lineRule="auto"/>
        <w:ind w:left="0" w:leftChars="0"/>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式中： </w:t>
      </w:r>
      <w:r>
        <w:rPr>
          <w:rFonts w:ascii="Times New Roman" w:hAnsi="Times New Roman" w:cs="Times New Roman"/>
          <w:i/>
          <w:iCs/>
          <w:kern w:val="0"/>
          <w:sz w:val="21"/>
          <w:szCs w:val="21"/>
        </w:rPr>
        <w:t>V</w:t>
      </w:r>
      <w:r>
        <w:rPr>
          <w:rFonts w:ascii="Times New Roman" w:hAnsi="Times New Roman" w:cs="Times New Roman"/>
          <w:kern w:val="0"/>
          <w:sz w:val="21"/>
          <w:szCs w:val="21"/>
        </w:rPr>
        <w:t xml:space="preserve">j </w:t>
      </w:r>
      <w:r>
        <w:rPr>
          <w:rFonts w:ascii="Times New Roman" w:hAnsi="Times New Roman" w:eastAsia="TimesNewRomanPSMT" w:cs="Times New Roman"/>
          <w:kern w:val="0"/>
          <w:sz w:val="21"/>
          <w:szCs w:val="21"/>
        </w:rPr>
        <w:t xml:space="preserve">—— </w:t>
      </w:r>
      <w:r>
        <w:rPr>
          <w:rFonts w:ascii="Times New Roman" w:hAnsi="Times New Roman" w:eastAsia="宋体" w:cs="Times New Roman"/>
          <w:kern w:val="0"/>
          <w:sz w:val="21"/>
          <w:szCs w:val="21"/>
        </w:rPr>
        <w:t>叠合剪力墙水平接缝处</w:t>
      </w:r>
      <w:r>
        <w:rPr>
          <w:rFonts w:hint="eastAsia" w:ascii="Times New Roman" w:hAnsi="Times New Roman" w:eastAsia="宋体" w:cs="Times New Roman"/>
          <w:kern w:val="0"/>
          <w:sz w:val="21"/>
          <w:szCs w:val="21"/>
        </w:rPr>
        <w:t>抗剪承载力</w:t>
      </w:r>
      <w:r>
        <w:rPr>
          <w:rFonts w:ascii="Times New Roman" w:hAnsi="Times New Roman" w:eastAsia="宋体" w:cs="Times New Roman"/>
          <w:kern w:val="0"/>
          <w:sz w:val="21"/>
          <w:szCs w:val="21"/>
        </w:rPr>
        <w:t>设计值；</w:t>
      </w:r>
    </w:p>
    <w:p>
      <w:pPr>
        <w:keepNext w:val="0"/>
        <w:keepLines w:val="0"/>
        <w:pageBreakBefore w:val="0"/>
        <w:kinsoku/>
        <w:wordWrap/>
        <w:overflowPunct/>
        <w:topLinePunct w:val="0"/>
        <w:autoSpaceDE w:val="0"/>
        <w:autoSpaceDN w:val="0"/>
        <w:bidi w:val="0"/>
        <w:adjustRightInd w:val="0"/>
        <w:snapToGrid/>
        <w:spacing w:line="240" w:lineRule="auto"/>
        <w:ind w:left="0" w:leftChars="0"/>
        <w:jc w:val="left"/>
        <w:textAlignment w:val="auto"/>
        <w:rPr>
          <w:rFonts w:ascii="Times New Roman" w:hAnsi="Times New Roman" w:eastAsia="宋体" w:cs="Times New Roman"/>
          <w:kern w:val="0"/>
          <w:sz w:val="21"/>
          <w:szCs w:val="21"/>
        </w:rPr>
      </w:pPr>
      <w:r>
        <w:rPr>
          <w:rFonts w:ascii="Times New Roman" w:hAnsi="Times New Roman" w:cs="Times New Roman"/>
          <w:i/>
          <w:iCs/>
          <w:kern w:val="0"/>
          <w:sz w:val="21"/>
          <w:szCs w:val="21"/>
        </w:rPr>
        <w:t xml:space="preserve">       A</w:t>
      </w:r>
      <w:r>
        <w:rPr>
          <w:rFonts w:ascii="Times New Roman" w:hAnsi="Times New Roman" w:cs="Times New Roman"/>
          <w:kern w:val="0"/>
          <w:sz w:val="21"/>
          <w:szCs w:val="21"/>
        </w:rPr>
        <w:t xml:space="preserve">s </w:t>
      </w:r>
      <w:r>
        <w:rPr>
          <w:rFonts w:ascii="Times New Roman" w:hAnsi="Times New Roman" w:eastAsia="TimesNewRomanPSMT" w:cs="Times New Roman"/>
          <w:kern w:val="0"/>
          <w:sz w:val="21"/>
          <w:szCs w:val="21"/>
        </w:rPr>
        <w:t xml:space="preserve">—— </w:t>
      </w:r>
      <w:r>
        <w:rPr>
          <w:rFonts w:ascii="Times New Roman" w:hAnsi="Times New Roman" w:eastAsia="宋体" w:cs="Times New Roman"/>
          <w:kern w:val="0"/>
          <w:sz w:val="21"/>
          <w:szCs w:val="21"/>
        </w:rPr>
        <w:t>叠合剪力墙水平接缝处的竖向连接钢筋与边缘构件中的竖向钢筋面积之和；</w:t>
      </w:r>
    </w:p>
    <w:p>
      <w:pPr>
        <w:keepNext w:val="0"/>
        <w:keepLines w:val="0"/>
        <w:pageBreakBefore w:val="0"/>
        <w:widowControl/>
        <w:kinsoku/>
        <w:wordWrap/>
        <w:overflowPunct/>
        <w:topLinePunct w:val="0"/>
        <w:bidi w:val="0"/>
        <w:snapToGrid/>
        <w:spacing w:line="240" w:lineRule="auto"/>
        <w:ind w:left="0" w:leftChars="0"/>
        <w:jc w:val="left"/>
        <w:textAlignment w:val="auto"/>
        <w:rPr>
          <w:rFonts w:ascii="Times New Roman" w:hAnsi="Times New Roman" w:eastAsia="宋体" w:cs="Times New Roman"/>
          <w:kern w:val="0"/>
          <w:sz w:val="21"/>
          <w:szCs w:val="21"/>
        </w:rPr>
      </w:pPr>
      <w:r>
        <w:rPr>
          <w:rFonts w:ascii="Times New Roman" w:hAnsi="Times New Roman" w:cs="Times New Roman"/>
          <w:i/>
          <w:iCs/>
          <w:kern w:val="0"/>
          <w:sz w:val="21"/>
          <w:szCs w:val="21"/>
        </w:rPr>
        <w:t xml:space="preserve">        f</w:t>
      </w:r>
      <w:r>
        <w:rPr>
          <w:rFonts w:ascii="Times New Roman" w:hAnsi="Times New Roman" w:cs="Times New Roman"/>
          <w:kern w:val="0"/>
          <w:sz w:val="21"/>
          <w:szCs w:val="21"/>
        </w:rPr>
        <w:t xml:space="preserve">y </w:t>
      </w:r>
      <w:r>
        <w:rPr>
          <w:rFonts w:ascii="Times New Roman" w:hAnsi="Times New Roman" w:eastAsia="TimesNewRomanPSMT" w:cs="Times New Roman"/>
          <w:kern w:val="0"/>
          <w:sz w:val="21"/>
          <w:szCs w:val="21"/>
        </w:rPr>
        <w:t xml:space="preserve">—— </w:t>
      </w:r>
      <w:r>
        <w:rPr>
          <w:rFonts w:ascii="Times New Roman" w:hAnsi="Times New Roman" w:eastAsia="宋体" w:cs="Times New Roman"/>
          <w:kern w:val="0"/>
          <w:sz w:val="21"/>
          <w:szCs w:val="21"/>
        </w:rPr>
        <w:t>竖向钢筋抗拉强度设计值</w:t>
      </w:r>
      <w:r>
        <w:rPr>
          <w:rFonts w:hint="eastAsia" w:ascii="Times New Roman" w:hAnsi="Times New Roman" w:eastAsia="宋体" w:cs="Times New Roman"/>
          <w:kern w:val="0"/>
          <w:sz w:val="21"/>
          <w:szCs w:val="21"/>
        </w:rPr>
        <w:t>；</w:t>
      </w:r>
    </w:p>
    <w:p>
      <w:pPr>
        <w:keepNext w:val="0"/>
        <w:keepLines w:val="0"/>
        <w:pageBreakBefore w:val="0"/>
        <w:kinsoku/>
        <w:wordWrap/>
        <w:overflowPunct/>
        <w:topLinePunct w:val="0"/>
        <w:autoSpaceDE w:val="0"/>
        <w:autoSpaceDN w:val="0"/>
        <w:bidi w:val="0"/>
        <w:adjustRightInd w:val="0"/>
        <w:snapToGrid/>
        <w:spacing w:line="240" w:lineRule="auto"/>
        <w:ind w:left="0" w:leftChars="0" w:firstLine="840" w:firstLineChars="400"/>
        <w:jc w:val="left"/>
        <w:textAlignment w:val="auto"/>
        <w:rPr>
          <w:rFonts w:ascii="Times New Roman" w:hAnsi="Times New Roman" w:eastAsia="宋体" w:cs="Times New Roman"/>
          <w:kern w:val="0"/>
          <w:sz w:val="21"/>
          <w:szCs w:val="21"/>
        </w:rPr>
      </w:pPr>
      <w:r>
        <w:rPr>
          <w:rFonts w:hint="eastAsia" w:ascii="Times New Roman" w:hAnsi="Times New Roman" w:cs="Times New Roman"/>
          <w:i/>
          <w:iCs/>
          <w:kern w:val="0"/>
          <w:sz w:val="21"/>
          <w:szCs w:val="21"/>
        </w:rPr>
        <w:t>N</w:t>
      </w:r>
      <w:r>
        <w:rPr>
          <w:rFonts w:ascii="Times New Roman" w:hAnsi="Times New Roman" w:eastAsia="TimesNewRomanPSMT" w:cs="Times New Roman"/>
          <w:kern w:val="0"/>
          <w:sz w:val="21"/>
          <w:szCs w:val="21"/>
        </w:rPr>
        <w:t>——</w:t>
      </w:r>
      <w:r>
        <w:rPr>
          <w:rFonts w:ascii="Times New Roman" w:hAnsi="Times New Roman" w:eastAsia="宋体" w:cs="Times New Roman"/>
          <w:kern w:val="0"/>
          <w:sz w:val="21"/>
          <w:szCs w:val="21"/>
        </w:rPr>
        <w:t>与接缝处剪力设计值相对应的垂直于水平接缝的轴向力设计值，压力取正值，拉力取负值</w:t>
      </w:r>
      <w:r>
        <w:rPr>
          <w:rFonts w:hint="eastAsia" w:ascii="Times New Roman" w:hAnsi="Times New Roman" w:eastAsia="宋体" w:cs="Times New Roman"/>
          <w:kern w:val="0"/>
          <w:sz w:val="21"/>
          <w:szCs w:val="21"/>
        </w:rPr>
        <w:t>；</w:t>
      </w:r>
      <w:r>
        <w:rPr>
          <w:rFonts w:ascii="Times New Roman" w:hAnsi="Times New Roman" w:eastAsia="宋体" w:cs="Times New Roman"/>
          <w:kern w:val="0"/>
          <w:sz w:val="21"/>
          <w:szCs w:val="21"/>
        </w:rPr>
        <w:t>当大于0.</w:t>
      </w:r>
      <w:r>
        <w:rPr>
          <w:rFonts w:hint="eastAsia" w:ascii="Times New Roman" w:hAnsi="Times New Roman" w:eastAsia="宋体" w:cs="Times New Roman"/>
          <w:kern w:val="0"/>
          <w:sz w:val="21"/>
          <w:szCs w:val="21"/>
        </w:rPr>
        <w:t>6</w:t>
      </w:r>
      <w:r>
        <w:rPr>
          <w:rFonts w:hint="eastAsia" w:ascii="Times New Roman" w:hAnsi="Times New Roman" w:eastAsia="宋体" w:cs="Times New Roman"/>
          <w:i/>
          <w:iCs/>
          <w:kern w:val="0"/>
          <w:sz w:val="21"/>
          <w:szCs w:val="21"/>
        </w:rPr>
        <w:t>f</w:t>
      </w:r>
      <w:r>
        <w:rPr>
          <w:rFonts w:hint="eastAsia" w:ascii="Times New Roman" w:hAnsi="Times New Roman" w:eastAsia="宋体" w:cs="Times New Roman"/>
          <w:i/>
          <w:iCs/>
          <w:kern w:val="0"/>
          <w:sz w:val="21"/>
          <w:szCs w:val="21"/>
          <w:vertAlign w:val="subscript"/>
        </w:rPr>
        <w:t>c</w:t>
      </w:r>
      <w:r>
        <w:rPr>
          <w:rFonts w:ascii="Times New Roman" w:hAnsi="Times New Roman" w:eastAsia="宋体" w:cs="Times New Roman"/>
          <w:i/>
          <w:iCs/>
          <w:kern w:val="0"/>
          <w:sz w:val="21"/>
          <w:szCs w:val="21"/>
        </w:rPr>
        <w:t>b</w:t>
      </w:r>
      <w:r>
        <w:rPr>
          <w:rFonts w:ascii="Times New Roman" w:hAnsi="Times New Roman" w:eastAsia="宋体" w:cs="Times New Roman"/>
          <w:i/>
          <w:iCs/>
          <w:kern w:val="0"/>
          <w:sz w:val="21"/>
          <w:szCs w:val="21"/>
          <w:vertAlign w:val="subscript"/>
        </w:rPr>
        <w:t>w</w:t>
      </w:r>
      <w:r>
        <w:rPr>
          <w:rFonts w:ascii="Times New Roman" w:hAnsi="Times New Roman" w:eastAsia="宋体" w:cs="Times New Roman"/>
          <w:i/>
          <w:iCs/>
          <w:kern w:val="0"/>
          <w:sz w:val="21"/>
          <w:szCs w:val="21"/>
        </w:rPr>
        <w:t>h</w:t>
      </w:r>
      <w:r>
        <w:rPr>
          <w:rFonts w:ascii="Times New Roman" w:hAnsi="Times New Roman" w:eastAsia="宋体" w:cs="Times New Roman"/>
          <w:i/>
          <w:iCs/>
          <w:kern w:val="0"/>
          <w:sz w:val="21"/>
          <w:szCs w:val="21"/>
          <w:vertAlign w:val="subscript"/>
        </w:rPr>
        <w:t>w</w:t>
      </w:r>
      <w:r>
        <w:rPr>
          <w:rFonts w:hint="eastAsia" w:ascii="Times New Roman" w:hAnsi="Times New Roman" w:eastAsia="宋体" w:cs="Times New Roman"/>
          <w:i/>
          <w:iCs/>
          <w:kern w:val="0"/>
          <w:sz w:val="21"/>
          <w:szCs w:val="21"/>
          <w:vertAlign w:val="subscript"/>
        </w:rPr>
        <w:t>0</w:t>
      </w:r>
      <w:r>
        <w:rPr>
          <w:rFonts w:hint="eastAsia" w:ascii="Times New Roman" w:hAnsi="Times New Roman" w:eastAsia="宋体" w:cs="Times New Roman"/>
          <w:kern w:val="0"/>
          <w:sz w:val="21"/>
          <w:szCs w:val="21"/>
        </w:rPr>
        <w:t>时，取</w:t>
      </w:r>
      <w:r>
        <w:rPr>
          <w:rFonts w:ascii="Times New Roman" w:hAnsi="Times New Roman" w:eastAsia="宋体" w:cs="Times New Roman"/>
          <w:kern w:val="0"/>
          <w:sz w:val="21"/>
          <w:szCs w:val="21"/>
        </w:rPr>
        <w:t>0.</w:t>
      </w:r>
      <w:r>
        <w:rPr>
          <w:rFonts w:hint="eastAsia" w:ascii="Times New Roman" w:hAnsi="Times New Roman" w:eastAsia="宋体" w:cs="Times New Roman"/>
          <w:kern w:val="0"/>
          <w:sz w:val="21"/>
          <w:szCs w:val="21"/>
        </w:rPr>
        <w:t>6</w:t>
      </w:r>
      <w:r>
        <w:rPr>
          <w:rFonts w:hint="eastAsia" w:ascii="Times New Roman" w:hAnsi="Times New Roman" w:eastAsia="宋体" w:cs="Times New Roman"/>
          <w:i/>
          <w:iCs/>
          <w:kern w:val="0"/>
          <w:sz w:val="21"/>
          <w:szCs w:val="21"/>
        </w:rPr>
        <w:t>f</w:t>
      </w:r>
      <w:r>
        <w:rPr>
          <w:rFonts w:hint="eastAsia" w:ascii="Times New Roman" w:hAnsi="Times New Roman" w:eastAsia="宋体" w:cs="Times New Roman"/>
          <w:i/>
          <w:iCs/>
          <w:kern w:val="0"/>
          <w:sz w:val="21"/>
          <w:szCs w:val="21"/>
          <w:vertAlign w:val="subscript"/>
        </w:rPr>
        <w:t>c</w:t>
      </w:r>
      <w:r>
        <w:rPr>
          <w:rFonts w:ascii="Times New Roman" w:hAnsi="Times New Roman" w:eastAsia="宋体" w:cs="Times New Roman"/>
          <w:i/>
          <w:iCs/>
          <w:kern w:val="0"/>
          <w:sz w:val="21"/>
          <w:szCs w:val="21"/>
        </w:rPr>
        <w:t>b</w:t>
      </w:r>
      <w:r>
        <w:rPr>
          <w:rFonts w:ascii="Times New Roman" w:hAnsi="Times New Roman" w:eastAsia="宋体" w:cs="Times New Roman"/>
          <w:i/>
          <w:iCs/>
          <w:kern w:val="0"/>
          <w:sz w:val="21"/>
          <w:szCs w:val="21"/>
          <w:vertAlign w:val="subscript"/>
        </w:rPr>
        <w:t>w</w:t>
      </w:r>
      <w:r>
        <w:rPr>
          <w:rFonts w:ascii="Times New Roman" w:hAnsi="Times New Roman" w:eastAsia="宋体" w:cs="Times New Roman"/>
          <w:i/>
          <w:iCs/>
          <w:kern w:val="0"/>
          <w:sz w:val="21"/>
          <w:szCs w:val="21"/>
        </w:rPr>
        <w:t>h</w:t>
      </w:r>
      <w:r>
        <w:rPr>
          <w:rFonts w:ascii="Times New Roman" w:hAnsi="Times New Roman" w:eastAsia="宋体" w:cs="Times New Roman"/>
          <w:i/>
          <w:iCs/>
          <w:kern w:val="0"/>
          <w:sz w:val="21"/>
          <w:szCs w:val="21"/>
          <w:vertAlign w:val="subscript"/>
        </w:rPr>
        <w:t>w</w:t>
      </w:r>
      <w:r>
        <w:rPr>
          <w:rFonts w:hint="eastAsia" w:ascii="Times New Roman" w:hAnsi="Times New Roman" w:eastAsia="宋体" w:cs="Times New Roman"/>
          <w:i/>
          <w:iCs/>
          <w:kern w:val="0"/>
          <w:sz w:val="21"/>
          <w:szCs w:val="21"/>
          <w:vertAlign w:val="subscript"/>
        </w:rPr>
        <w:t>0</w:t>
      </w:r>
      <w:r>
        <w:rPr>
          <w:rFonts w:hint="eastAsia" w:ascii="Times New Roman" w:hAnsi="Times New Roman" w:eastAsia="宋体" w:cs="Times New Roman"/>
          <w:i/>
          <w:iCs/>
          <w:kern w:val="0"/>
          <w:sz w:val="21"/>
          <w:szCs w:val="21"/>
        </w:rPr>
        <w:t>，</w:t>
      </w:r>
      <w:r>
        <w:rPr>
          <w:rFonts w:ascii="Times New Roman" w:hAnsi="Times New Roman" w:eastAsia="宋体" w:cs="Times New Roman"/>
          <w:kern w:val="0"/>
          <w:sz w:val="21"/>
          <w:szCs w:val="21"/>
        </w:rPr>
        <w:t>此处</w:t>
      </w:r>
      <w:r>
        <w:rPr>
          <w:rFonts w:hint="eastAsia" w:ascii="Times New Roman" w:hAnsi="Times New Roman" w:eastAsia="宋体" w:cs="Times New Roman"/>
          <w:i/>
          <w:iCs/>
          <w:kern w:val="0"/>
          <w:sz w:val="21"/>
          <w:szCs w:val="21"/>
        </w:rPr>
        <w:t>f</w:t>
      </w:r>
      <w:r>
        <w:rPr>
          <w:rFonts w:hint="eastAsia" w:ascii="Times New Roman" w:hAnsi="Times New Roman" w:eastAsia="宋体" w:cs="Times New Roman"/>
          <w:i/>
          <w:iCs/>
          <w:kern w:val="0"/>
          <w:sz w:val="21"/>
          <w:szCs w:val="21"/>
          <w:vertAlign w:val="subscript"/>
        </w:rPr>
        <w:t>c</w:t>
      </w:r>
      <w:r>
        <w:rPr>
          <w:rFonts w:ascii="Times New Roman" w:hAnsi="Times New Roman" w:eastAsia="宋体" w:cs="Times New Roman"/>
          <w:kern w:val="0"/>
          <w:sz w:val="21"/>
          <w:szCs w:val="21"/>
        </w:rPr>
        <w:t>为混凝土轴心抗拉强度设计值，</w:t>
      </w:r>
      <w:r>
        <w:rPr>
          <w:rFonts w:ascii="Times New Roman" w:hAnsi="Times New Roman" w:eastAsia="宋体" w:cs="Times New Roman"/>
          <w:i/>
          <w:iCs/>
          <w:kern w:val="0"/>
          <w:sz w:val="21"/>
          <w:szCs w:val="21"/>
        </w:rPr>
        <w:t>b</w:t>
      </w:r>
      <w:r>
        <w:rPr>
          <w:rFonts w:ascii="Times New Roman" w:hAnsi="Times New Roman" w:eastAsia="宋体" w:cs="Times New Roman"/>
          <w:i/>
          <w:iCs/>
          <w:kern w:val="0"/>
          <w:sz w:val="21"/>
          <w:szCs w:val="21"/>
          <w:vertAlign w:val="subscript"/>
        </w:rPr>
        <w:t>w</w:t>
      </w:r>
      <w:r>
        <w:rPr>
          <w:rFonts w:ascii="Times New Roman" w:hAnsi="Times New Roman" w:eastAsia="宋体" w:cs="Times New Roman"/>
          <w:kern w:val="0"/>
          <w:sz w:val="21"/>
          <w:szCs w:val="21"/>
        </w:rPr>
        <w:t>为叠合剪力墙截面宽度，</w:t>
      </w:r>
      <w:r>
        <w:rPr>
          <w:rFonts w:ascii="Times New Roman" w:hAnsi="Times New Roman" w:eastAsia="宋体" w:cs="Times New Roman"/>
          <w:i/>
          <w:iCs/>
          <w:kern w:val="0"/>
          <w:sz w:val="21"/>
          <w:szCs w:val="21"/>
        </w:rPr>
        <w:t>h</w:t>
      </w:r>
      <w:r>
        <w:rPr>
          <w:rFonts w:ascii="Times New Roman" w:hAnsi="Times New Roman" w:eastAsia="宋体" w:cs="Times New Roman"/>
          <w:i/>
          <w:iCs/>
          <w:kern w:val="0"/>
          <w:sz w:val="21"/>
          <w:szCs w:val="21"/>
          <w:vertAlign w:val="subscript"/>
        </w:rPr>
        <w:t>w</w:t>
      </w:r>
      <w:r>
        <w:rPr>
          <w:rFonts w:hint="eastAsia" w:ascii="Times New Roman" w:hAnsi="Times New Roman" w:eastAsia="宋体" w:cs="Times New Roman"/>
          <w:i/>
          <w:iCs/>
          <w:kern w:val="0"/>
          <w:sz w:val="21"/>
          <w:szCs w:val="21"/>
          <w:vertAlign w:val="subscript"/>
        </w:rPr>
        <w:t>0</w:t>
      </w:r>
      <w:r>
        <w:rPr>
          <w:rFonts w:ascii="Times New Roman" w:hAnsi="Times New Roman" w:eastAsia="宋体" w:cs="Times New Roman"/>
          <w:kern w:val="0"/>
          <w:sz w:val="21"/>
          <w:szCs w:val="21"/>
        </w:rPr>
        <w:t xml:space="preserve">为剪力墙截面有效高度。 </w:t>
      </w:r>
    </w:p>
    <w:p>
      <w:pPr>
        <w:pStyle w:val="167"/>
        <w:rPr>
          <w:rFonts w:hint="eastAsia"/>
        </w:rPr>
      </w:pPr>
      <w:r>
        <w:rPr>
          <w:rFonts w:hint="eastAsia"/>
        </w:rPr>
        <w:t>在重力荷载代表值作用下，抗震等级为一级的叠合剪力墙墙肢的轴压比不宜大于0.5，抗震等级为二、三级叠合剪力墙墙肢的轴压比不宜大于0.6。</w:t>
      </w:r>
    </w:p>
    <w:p>
      <w:pPr>
        <w:pStyle w:val="167"/>
        <w:rPr>
          <w:rFonts w:hint="eastAsia"/>
        </w:rPr>
      </w:pPr>
      <w:r>
        <w:rPr>
          <w:rFonts w:hint="eastAsia"/>
        </w:rPr>
        <w:t>在非边缘构件位置，叠合剪力墙竖向接缝可通过混凝土后浇段连接，后浇段的宽度不应小于墙厚且不宜小于200mm。预制板两侧另加的水平连接钢筋的直径不应小于预制墙板中水平分布钢筋的直径，其间距宜与预制墙板中水平分布钢筋的间距相同，且不宜大于200mm。</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hint="eastAsia" w:ascii="Times New Roman" w:hAnsi="Times New Roman" w:cs="Times New Roman"/>
          <w:sz w:val="21"/>
          <w:szCs w:val="21"/>
        </w:rPr>
        <w:drawing>
          <wp:inline distT="0" distB="0" distL="114300" distR="114300">
            <wp:extent cx="4500245" cy="2980690"/>
            <wp:effectExtent l="0" t="0" r="14605" b="0"/>
            <wp:docPr id="13" name="图片 13" descr="图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5.4.8"/>
                    <pic:cNvPicPr>
                      <a:picLocks noChangeAspect="1"/>
                    </pic:cNvPicPr>
                  </pic:nvPicPr>
                  <pic:blipFill>
                    <a:blip r:embed="rId27" cstate="print"/>
                    <a:srcRect l="26858" t="16667" r="26256" b="6845"/>
                    <a:stretch>
                      <a:fillRect/>
                    </a:stretch>
                  </pic:blipFill>
                  <pic:spPr>
                    <a:xfrm>
                      <a:off x="0" y="0"/>
                      <a:ext cx="4500245" cy="2980690"/>
                    </a:xfrm>
                    <a:prstGeom prst="rect">
                      <a:avLst/>
                    </a:prstGeom>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eastAsia="宋体" w:cs="Times New Roman"/>
          <w:kern w:val="0"/>
          <w:sz w:val="21"/>
          <w:szCs w:val="21"/>
        </w:rPr>
        <w:t>图</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w:t>
      </w:r>
      <w:r>
        <w:rPr>
          <w:rFonts w:hint="eastAsia" w:ascii="Times New Roman" w:hAnsi="Times New Roman" w:cs="Times New Roman"/>
          <w:kern w:val="0"/>
          <w:sz w:val="21"/>
          <w:szCs w:val="21"/>
          <w:lang w:val="en-US" w:eastAsia="zh-CN"/>
        </w:rPr>
        <w:t>7</w:t>
      </w:r>
      <w:r>
        <w:rPr>
          <w:rFonts w:ascii="Times New Roman" w:hAnsi="Times New Roman" w:cs="Times New Roman"/>
          <w:kern w:val="0"/>
          <w:sz w:val="21"/>
          <w:szCs w:val="21"/>
        </w:rPr>
        <w:t xml:space="preserve"> 双面叠合剪力墙竖向接缝连接构造</w:t>
      </w:r>
    </w:p>
    <w:p>
      <w:pPr>
        <w:pStyle w:val="167"/>
        <w:rPr>
          <w:rFonts w:hint="eastAsia"/>
        </w:rPr>
      </w:pPr>
      <w:r>
        <w:rPr>
          <w:rFonts w:hint="eastAsia"/>
        </w:rPr>
        <w:t>叠合剪力墙的水平接缝应设在楼面标高处，并应采用整体式接缝连接，水平接缝高度Δ不宜小于50mm，也不宜大于100mm，接缝处后浇混凝土应浇筑密实（图</w:t>
      </w:r>
      <w:r>
        <w:rPr>
          <w:rFonts w:hint="eastAsia"/>
          <w:lang w:val="en-US" w:eastAsia="zh-CN"/>
        </w:rPr>
        <w:t>6</w:t>
      </w:r>
      <w:r>
        <w:rPr>
          <w:rFonts w:hint="eastAsia"/>
        </w:rPr>
        <w:t>.4.</w:t>
      </w:r>
      <w:r>
        <w:rPr>
          <w:rFonts w:hint="eastAsia"/>
          <w:lang w:val="en-US" w:eastAsia="zh-CN"/>
        </w:rPr>
        <w:t>8</w:t>
      </w:r>
      <w:r>
        <w:rPr>
          <w:rFonts w:hint="eastAsia"/>
        </w:rPr>
        <w:t>）。</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915920" cy="1964690"/>
            <wp:effectExtent l="0" t="0" r="17780" b="16510"/>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pic:cNvPicPr>
                      <a:picLocks noChangeAspect="1"/>
                    </pic:cNvPicPr>
                  </pic:nvPicPr>
                  <pic:blipFill>
                    <a:blip r:embed="rId28" cstate="print"/>
                    <a:stretch>
                      <a:fillRect/>
                    </a:stretch>
                  </pic:blipFill>
                  <pic:spPr>
                    <a:xfrm>
                      <a:off x="0" y="0"/>
                      <a:ext cx="2915920" cy="1964690"/>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w:t>
      </w:r>
      <w:r>
        <w:rPr>
          <w:rFonts w:hint="eastAsia" w:ascii="Times New Roman" w:hAnsi="Times New Roman" w:cs="Times New Roman"/>
          <w:sz w:val="21"/>
          <w:szCs w:val="21"/>
          <w:lang w:val="en-US" w:eastAsia="zh-CN"/>
        </w:rPr>
        <w:t>8</w:t>
      </w:r>
      <w:r>
        <w:rPr>
          <w:rFonts w:ascii="Times New Roman" w:hAnsi="Times New Roman" w:cs="Times New Roman"/>
          <w:sz w:val="21"/>
          <w:szCs w:val="21"/>
        </w:rPr>
        <w:t xml:space="preserve"> 双面叠合剪力墙水平接缝高度要求</w:t>
      </w:r>
    </w:p>
    <w:p>
      <w:pPr>
        <w:pStyle w:val="167"/>
        <w:rPr>
          <w:rFonts w:hint="eastAsia"/>
        </w:rPr>
      </w:pPr>
      <w:r>
        <w:rPr>
          <w:rFonts w:hint="eastAsia"/>
        </w:rPr>
        <w:t>叠合剪力墙水平接缝应通过竖向连接钢筋连接。竖向连接钢筋应按水平接缝处的正截面承载力计算和受剪承载力计算确定，并应符合下列规定：</w:t>
      </w:r>
    </w:p>
    <w:p>
      <w:pPr>
        <w:pStyle w:val="176"/>
        <w:numPr>
          <w:ilvl w:val="0"/>
          <w:numId w:val="39"/>
        </w:numPr>
        <w:rPr>
          <w:rFonts w:hint="eastAsia"/>
        </w:rPr>
      </w:pPr>
      <w:r>
        <w:rPr>
          <w:rFonts w:hint="eastAsia"/>
        </w:rPr>
        <w:t>非抗震设计时，竖向连接钢筋搭接长度不应小于1.2la；抗震设计时，竖向连接钢筋搭接长度不应小于1.2laE（图5.4.</w:t>
      </w:r>
      <w:r>
        <w:rPr>
          <w:rFonts w:hint="eastAsia"/>
          <w:lang w:val="en-US" w:eastAsia="zh-CN"/>
        </w:rPr>
        <w:t>9</w:t>
      </w:r>
      <w:r>
        <w:rPr>
          <w:rFonts w:hint="eastAsia"/>
        </w:rPr>
        <w:t>-1）；</w:t>
      </w:r>
    </w:p>
    <w:p>
      <w:pPr>
        <w:pStyle w:val="176"/>
        <w:numPr>
          <w:ilvl w:val="0"/>
          <w:numId w:val="39"/>
        </w:numPr>
        <w:rPr>
          <w:rFonts w:hint="eastAsia"/>
        </w:rPr>
      </w:pPr>
      <w:r>
        <w:rPr>
          <w:rFonts w:hint="eastAsia"/>
        </w:rPr>
        <w:t>竖向连接钢筋的间距不应大于叠合剪力墙的预制板中竖向分布钢筋的间距，且不宜大于200mm；竖向连接钢筋截面中心与近侧预制板表面距离宜为20mm。</w:t>
      </w:r>
    </w:p>
    <w:p>
      <w:pPr>
        <w:pStyle w:val="176"/>
        <w:numPr>
          <w:ilvl w:val="0"/>
          <w:numId w:val="39"/>
        </w:numPr>
        <w:rPr>
          <w:rFonts w:hint="eastAsia"/>
        </w:rPr>
      </w:pPr>
      <w:r>
        <w:rPr>
          <w:rFonts w:hint="eastAsia"/>
        </w:rPr>
        <w:t>竖向连接钢筋的直径不应小于叠合剪力墙的预制板中竖向分布钢筋的直径。</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sz w:val="21"/>
          <w:szCs w:val="21"/>
        </w:rPr>
        <w:drawing>
          <wp:inline distT="0" distB="0" distL="114300" distR="114300">
            <wp:extent cx="3708400" cy="2663825"/>
            <wp:effectExtent l="0" t="0" r="6350" b="317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29"/>
                    <a:stretch>
                      <a:fillRect/>
                    </a:stretch>
                  </pic:blipFill>
                  <pic:spPr>
                    <a:xfrm>
                      <a:off x="0" y="0"/>
                      <a:ext cx="3708400" cy="2663825"/>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kern w:val="0"/>
          <w:sz w:val="21"/>
          <w:szCs w:val="21"/>
        </w:rPr>
        <w:t>图</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w:t>
      </w:r>
      <w:r>
        <w:rPr>
          <w:rFonts w:hint="eastAsia" w:ascii="Times New Roman" w:hAnsi="Times New Roman" w:cs="Times New Roman"/>
          <w:kern w:val="0"/>
          <w:sz w:val="21"/>
          <w:szCs w:val="21"/>
          <w:lang w:val="en-US" w:eastAsia="zh-CN"/>
        </w:rPr>
        <w:t>9</w:t>
      </w:r>
      <w:r>
        <w:rPr>
          <w:rFonts w:ascii="Times New Roman" w:hAnsi="Times New Roman" w:cs="Times New Roman"/>
          <w:kern w:val="0"/>
          <w:sz w:val="21"/>
          <w:szCs w:val="21"/>
        </w:rPr>
        <w:t>-1 竖向连接钢筋搭接构造（一）</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3199130" cy="2286635"/>
            <wp:effectExtent l="0" t="0" r="1270" b="18415"/>
            <wp:docPr id="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pic:cNvPicPr>
                      <a:picLocks noChangeAspect="1"/>
                    </pic:cNvPicPr>
                  </pic:nvPicPr>
                  <pic:blipFill>
                    <a:blip r:embed="rId30" cstate="print"/>
                    <a:stretch>
                      <a:fillRect/>
                    </a:stretch>
                  </pic:blipFill>
                  <pic:spPr>
                    <a:xfrm>
                      <a:off x="0" y="0"/>
                      <a:ext cx="3199130" cy="2286635"/>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3560445" cy="2039620"/>
            <wp:effectExtent l="0" t="0" r="1905" b="17780"/>
            <wp:docPr id="6" name="图片 6" descr="图5.4.10-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5.4.10-2B"/>
                    <pic:cNvPicPr>
                      <a:picLocks noChangeAspect="1"/>
                    </pic:cNvPicPr>
                  </pic:nvPicPr>
                  <pic:blipFill>
                    <a:blip r:embed="rId31" cstate="print"/>
                    <a:srcRect l="4334" t="2924" r="13983" b="2491"/>
                    <a:stretch>
                      <a:fillRect/>
                    </a:stretch>
                  </pic:blipFill>
                  <pic:spPr>
                    <a:xfrm>
                      <a:off x="0" y="0"/>
                      <a:ext cx="3560445" cy="2039620"/>
                    </a:xfrm>
                    <a:prstGeom prst="rect">
                      <a:avLst/>
                    </a:prstGeom>
                  </pic:spPr>
                </pic:pic>
              </a:graphicData>
            </a:graphic>
          </wp:inline>
        </w:drawing>
      </w:r>
      <w:r>
        <w:rPr>
          <w:rFonts w:ascii="Times New Roman" w:hAnsi="Times New Roman" w:cs="Times New Roman"/>
          <w:sz w:val="21"/>
          <w:szCs w:val="21"/>
        </w:rPr>
        <w:drawing>
          <wp:inline distT="0" distB="0" distL="114300" distR="114300">
            <wp:extent cx="3561080" cy="335915"/>
            <wp:effectExtent l="0" t="0" r="1270" b="6985"/>
            <wp:docPr id="4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3"/>
                    <pic:cNvPicPr>
                      <a:picLocks noChangeAspect="1"/>
                    </pic:cNvPicPr>
                  </pic:nvPicPr>
                  <pic:blipFill>
                    <a:blip r:embed="rId32" cstate="print"/>
                    <a:srcRect t="82946"/>
                    <a:stretch>
                      <a:fillRect/>
                    </a:stretch>
                  </pic:blipFill>
                  <pic:spPr>
                    <a:xfrm>
                      <a:off x="0" y="0"/>
                      <a:ext cx="3561080" cy="335915"/>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color w:val="FF0000"/>
          <w:sz w:val="21"/>
          <w:szCs w:val="21"/>
        </w:rPr>
      </w:pPr>
      <w:r>
        <w:rPr>
          <w:rFonts w:ascii="Times New Roman" w:hAnsi="Times New Roman" w:eastAsia="宋体" w:cs="Times New Roman"/>
          <w:kern w:val="0"/>
          <w:sz w:val="21"/>
          <w:szCs w:val="21"/>
        </w:rPr>
        <w:t>图</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w:t>
      </w:r>
      <w:r>
        <w:rPr>
          <w:rFonts w:hint="eastAsia" w:ascii="Times New Roman" w:hAnsi="Times New Roman" w:cs="Times New Roman"/>
          <w:kern w:val="0"/>
          <w:sz w:val="21"/>
          <w:szCs w:val="21"/>
          <w:lang w:val="en-US" w:eastAsia="zh-CN"/>
        </w:rPr>
        <w:t>9</w:t>
      </w:r>
      <w:r>
        <w:rPr>
          <w:rFonts w:ascii="Times New Roman" w:hAnsi="Times New Roman" w:cs="Times New Roman"/>
          <w:kern w:val="0"/>
          <w:sz w:val="21"/>
          <w:szCs w:val="21"/>
        </w:rPr>
        <w:t>-2 双面叠合剪力墙水平接缝连接构造（二）</w:t>
      </w:r>
    </w:p>
    <w:p>
      <w:pPr>
        <w:pStyle w:val="167"/>
        <w:rPr>
          <w:rFonts w:hint="eastAsia"/>
        </w:rPr>
      </w:pPr>
      <w:r>
        <w:rPr>
          <w:rFonts w:hint="eastAsia"/>
        </w:rPr>
        <w:t>双面叠合剪力墙约束边缘构件的阴影区域，应采用后浇混凝土，并在后浇段内设置封闭箍筋，约束边缘构件阴影区域可采用图</w:t>
      </w:r>
      <w:r>
        <w:rPr>
          <w:rFonts w:hint="eastAsia"/>
          <w:lang w:val="en-US" w:eastAsia="zh-CN"/>
        </w:rPr>
        <w:t>6</w:t>
      </w:r>
      <w:r>
        <w:rPr>
          <w:rFonts w:hint="eastAsia"/>
        </w:rPr>
        <w:t>.4.1</w:t>
      </w:r>
      <w:r>
        <w:rPr>
          <w:rFonts w:hint="eastAsia"/>
          <w:lang w:val="en-US" w:eastAsia="zh-CN"/>
        </w:rPr>
        <w:t>0</w:t>
      </w:r>
      <w:r>
        <w:rPr>
          <w:rFonts w:hint="eastAsia"/>
        </w:rPr>
        <w:t>-1中所示的构造形式。约束边缘构件非阴影区的拉筋可由叠合墙板的钢筋桁架或其他可靠拉结筋代替，钢筋桁架的面积、直径、间距或其他可靠拉结筋应满足拉筋的相关规定。构造边缘构件阴影区域宜采用后浇混凝土，构造边缘构件阴影区域可采用图</w:t>
      </w:r>
      <w:r>
        <w:rPr>
          <w:rFonts w:hint="eastAsia"/>
          <w:lang w:val="en-US" w:eastAsia="zh-CN"/>
        </w:rPr>
        <w:t>6</w:t>
      </w:r>
      <w:r>
        <w:rPr>
          <w:rFonts w:hint="eastAsia"/>
        </w:rPr>
        <w:t>.4.1</w:t>
      </w:r>
      <w:r>
        <w:rPr>
          <w:rFonts w:hint="eastAsia"/>
          <w:lang w:val="en-US" w:eastAsia="zh-CN"/>
        </w:rPr>
        <w:t>0</w:t>
      </w:r>
      <w:r>
        <w:rPr>
          <w:rFonts w:hint="eastAsia"/>
        </w:rPr>
        <w:t>-2中所示的构造形式。</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5219700" cy="3088005"/>
            <wp:effectExtent l="0" t="0" r="0" b="0"/>
            <wp:docPr id="14" name="图片 14" descr="图5.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5.4.11-1"/>
                    <pic:cNvPicPr>
                      <a:picLocks noChangeAspect="1"/>
                    </pic:cNvPicPr>
                  </pic:nvPicPr>
                  <pic:blipFill>
                    <a:blip r:embed="rId33" cstate="print"/>
                    <a:srcRect l="24569" t="14583" r="21679" b="7143"/>
                    <a:stretch>
                      <a:fillRect/>
                    </a:stretch>
                  </pic:blipFill>
                  <pic:spPr>
                    <a:xfrm>
                      <a:off x="0" y="0"/>
                      <a:ext cx="5219700" cy="3088005"/>
                    </a:xfrm>
                    <a:prstGeom prst="rect">
                      <a:avLst/>
                    </a:prstGeom>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hint="eastAsia" w:ascii="Times New Roman" w:hAnsi="Times New Roman" w:cs="Times New Roman"/>
          <w:sz w:val="21"/>
          <w:szCs w:val="21"/>
          <w:lang w:eastAsia="zh-CN"/>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.4.1</w:t>
      </w:r>
      <w:r>
        <w:rPr>
          <w:rFonts w:hint="eastAsia" w:ascii="Times New Roman" w:hAnsi="Times New Roman" w:cs="Times New Roman"/>
          <w:sz w:val="21"/>
          <w:szCs w:val="21"/>
          <w:lang w:val="en-US" w:eastAsia="zh-CN"/>
        </w:rPr>
        <w:t>0</w:t>
      </w:r>
      <w:r>
        <w:rPr>
          <w:rFonts w:hint="eastAsia" w:ascii="Times New Roman" w:hAnsi="Times New Roman" w:cs="Times New Roman"/>
          <w:sz w:val="21"/>
          <w:szCs w:val="21"/>
        </w:rPr>
        <w:t>-1</w:t>
      </w:r>
      <w:r>
        <w:rPr>
          <w:rFonts w:ascii="Times New Roman" w:hAnsi="Times New Roman" w:cs="Times New Roman"/>
          <w:sz w:val="21"/>
          <w:szCs w:val="21"/>
        </w:rPr>
        <w:t xml:space="preserve"> 双面叠合剪力墙约束边缘构件</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5219700" cy="3378835"/>
            <wp:effectExtent l="0" t="0" r="0" b="0"/>
            <wp:docPr id="15" name="图片 15" descr="图5.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5.4.11-3"/>
                    <pic:cNvPicPr>
                      <a:picLocks noChangeAspect="1"/>
                    </pic:cNvPicPr>
                  </pic:nvPicPr>
                  <pic:blipFill>
                    <a:blip r:embed="rId34" cstate="print"/>
                    <a:srcRect l="30712" t="5655" r="16259" b="9524"/>
                    <a:stretch>
                      <a:fillRect/>
                    </a:stretch>
                  </pic:blipFill>
                  <pic:spPr>
                    <a:xfrm>
                      <a:off x="0" y="0"/>
                      <a:ext cx="5219700" cy="3378835"/>
                    </a:xfrm>
                    <a:prstGeom prst="rect">
                      <a:avLst/>
                    </a:prstGeom>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hint="eastAsia" w:ascii="Times New Roman" w:hAnsi="Times New Roman" w:cs="Times New Roman"/>
          <w:sz w:val="21"/>
          <w:szCs w:val="21"/>
          <w:lang w:eastAsia="zh-CN"/>
        </w:rPr>
        <w:t>图</w:t>
      </w:r>
      <w:r>
        <w:rPr>
          <w:rFonts w:hint="eastAsia" w:ascii="Times New Roman" w:hAnsi="Times New Roman" w:cs="Times New Roman"/>
          <w:sz w:val="21"/>
          <w:szCs w:val="21"/>
          <w:lang w:val="en-US" w:eastAsia="zh-CN"/>
        </w:rPr>
        <w:t>6</w:t>
      </w:r>
      <w:r>
        <w:rPr>
          <w:rFonts w:ascii="Times New Roman" w:hAnsi="Times New Roman" w:cs="Times New Roman"/>
          <w:sz w:val="21"/>
          <w:szCs w:val="21"/>
        </w:rPr>
        <w:t>.4.1</w:t>
      </w:r>
      <w:r>
        <w:rPr>
          <w:rFonts w:hint="eastAsia" w:ascii="Times New Roman" w:hAnsi="Times New Roman" w:cs="Times New Roman"/>
          <w:sz w:val="21"/>
          <w:szCs w:val="21"/>
          <w:lang w:val="en-US" w:eastAsia="zh-CN"/>
        </w:rPr>
        <w:t>0</w:t>
      </w:r>
      <w:r>
        <w:rPr>
          <w:rFonts w:ascii="Times New Roman" w:hAnsi="Times New Roman" w:cs="Times New Roman"/>
          <w:sz w:val="21"/>
          <w:szCs w:val="21"/>
        </w:rPr>
        <w:t>-</w:t>
      </w:r>
      <w:r>
        <w:rPr>
          <w:rFonts w:hint="eastAsia" w:ascii="Times New Roman" w:hAnsi="Times New Roman" w:cs="Times New Roman"/>
          <w:sz w:val="21"/>
          <w:szCs w:val="21"/>
        </w:rPr>
        <w:t>2</w:t>
      </w:r>
      <w:r>
        <w:rPr>
          <w:rFonts w:ascii="Times New Roman" w:hAnsi="Times New Roman" w:cs="Times New Roman"/>
          <w:sz w:val="21"/>
          <w:szCs w:val="21"/>
        </w:rPr>
        <w:t xml:space="preserve"> 双面叠合剪力墙构造边缘构件</w:t>
      </w:r>
    </w:p>
    <w:p>
      <w:pPr>
        <w:pStyle w:val="167"/>
        <w:rPr>
          <w:rFonts w:hint="eastAsia"/>
        </w:rPr>
      </w:pPr>
      <w:r>
        <w:rPr>
          <w:rFonts w:hint="eastAsia"/>
        </w:rPr>
        <w:t>加强区现浇混凝土剪力墙与上层叠合墙水平施工缝的竖向钢筋连接的面积应不小于墙体竖向分布筋的1.1 倍。</w:t>
      </w:r>
    </w:p>
    <w:p>
      <w:pPr>
        <w:pStyle w:val="167"/>
        <w:rPr>
          <w:rFonts w:hint="eastAsia"/>
        </w:rPr>
      </w:pPr>
      <w:r>
        <w:rPr>
          <w:rFonts w:hint="eastAsia"/>
        </w:rPr>
        <w:t>带门窗洞口的叠合剪力墙洞口至板边距离不应小于350mm，洞口不宜跨板边布置。门窗洞口处叠合墙应增加相应的连接U形钢筋，加强预制板之间的连接。</w:t>
      </w:r>
    </w:p>
    <w:p>
      <w:pPr>
        <w:pStyle w:val="167"/>
        <w:rPr>
          <w:rFonts w:ascii="Times New Roman" w:hAnsi="Times New Roman" w:eastAsia="宋体" w:cs="Times New Roman"/>
          <w:kern w:val="0"/>
          <w:sz w:val="21"/>
          <w:szCs w:val="21"/>
        </w:rPr>
      </w:pPr>
      <w:r>
        <w:rPr>
          <w:rFonts w:hint="eastAsia"/>
        </w:rPr>
        <w:t>叠合墙用于地下室外墙时，其预制墙板的垂直拼缝应采用错位构造（图</w:t>
      </w:r>
      <w:r>
        <w:rPr>
          <w:rFonts w:hint="eastAsia"/>
          <w:lang w:val="en-US" w:eastAsia="zh-CN"/>
        </w:rPr>
        <w:t>6</w:t>
      </w:r>
      <w:r>
        <w:rPr>
          <w:rFonts w:hint="eastAsia"/>
        </w:rPr>
        <w:t>.4.13</w:t>
      </w:r>
      <w:r>
        <w:rPr>
          <w:rFonts w:hint="eastAsia"/>
          <w:lang w:eastAsia="zh-CN"/>
        </w:rPr>
        <w:t>）</w:t>
      </w:r>
      <w:r>
        <w:rPr>
          <w:rFonts w:hint="eastAsia"/>
        </w:rPr>
        <w:t>。</w:t>
      </w:r>
      <w:r>
        <w:rPr>
          <w:rFonts w:ascii="Times New Roman" w:hAnsi="Times New Roman" w:eastAsia="宋体" w:cs="Times New Roman"/>
          <w:kern w:val="0"/>
          <w:sz w:val="21"/>
          <w:szCs w:val="21"/>
        </w:rPr>
        <w:t xml:space="preserve"> </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021840" cy="1031240"/>
            <wp:effectExtent l="0" t="0" r="16510" b="16510"/>
            <wp:docPr id="11" name="图片 11" descr="图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5.4.14"/>
                    <pic:cNvPicPr>
                      <a:picLocks noChangeAspect="1"/>
                    </pic:cNvPicPr>
                  </pic:nvPicPr>
                  <pic:blipFill>
                    <a:blip r:embed="rId35" cstate="print"/>
                    <a:srcRect l="25810" t="17976" r="35842" b="33690"/>
                    <a:stretch>
                      <a:fillRect/>
                    </a:stretch>
                  </pic:blipFill>
                  <pic:spPr>
                    <a:xfrm>
                      <a:off x="0" y="0"/>
                      <a:ext cx="2021840" cy="1031240"/>
                    </a:xfrm>
                    <a:prstGeom prst="rect">
                      <a:avLst/>
                    </a:prstGeom>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eastAsia="宋体" w:cs="Times New Roman"/>
          <w:kern w:val="0"/>
          <w:sz w:val="21"/>
          <w:szCs w:val="21"/>
        </w:rPr>
        <w:t>图</w:t>
      </w:r>
      <w:r>
        <w:rPr>
          <w:rFonts w:hint="eastAsia" w:ascii="Times New Roman" w:hAnsi="Times New Roman" w:cs="Times New Roman"/>
          <w:kern w:val="0"/>
          <w:sz w:val="21"/>
          <w:szCs w:val="21"/>
          <w:lang w:val="en-US" w:eastAsia="zh-CN"/>
        </w:rPr>
        <w:t>6</w:t>
      </w:r>
      <w:r>
        <w:rPr>
          <w:rFonts w:ascii="Times New Roman" w:hAnsi="Times New Roman" w:eastAsia="宋体" w:cs="Times New Roman"/>
          <w:kern w:val="0"/>
          <w:sz w:val="21"/>
          <w:szCs w:val="21"/>
        </w:rPr>
        <w:t>.4.1</w:t>
      </w:r>
      <w:r>
        <w:rPr>
          <w:rFonts w:hint="eastAsia" w:ascii="Times New Roman" w:hAnsi="Times New Roman" w:eastAsia="宋体" w:cs="Times New Roman"/>
          <w:kern w:val="0"/>
          <w:sz w:val="21"/>
          <w:szCs w:val="21"/>
        </w:rPr>
        <w:t>3</w:t>
      </w:r>
      <w:r>
        <w:rPr>
          <w:rFonts w:ascii="Times New Roman" w:hAnsi="Times New Roman" w:eastAsia="宋体" w:cs="Times New Roman"/>
          <w:kern w:val="0"/>
          <w:sz w:val="21"/>
          <w:szCs w:val="21"/>
        </w:rPr>
        <w:t xml:space="preserve"> 预制外墙板的垂直拼缝错位</w:t>
      </w:r>
    </w:p>
    <w:p>
      <w:pPr>
        <w:pStyle w:val="167"/>
        <w:rPr>
          <w:rFonts w:hint="eastAsia"/>
        </w:rPr>
      </w:pPr>
      <w:r>
        <w:rPr>
          <w:rFonts w:hint="eastAsia"/>
        </w:rPr>
        <w:t>夹心保温叠合剪力墙的竖向接缝应通过后浇段连接，可采用图</w:t>
      </w:r>
      <w:r>
        <w:rPr>
          <w:rFonts w:hint="eastAsia"/>
          <w:lang w:val="en-US" w:eastAsia="zh-CN"/>
        </w:rPr>
        <w:t>6</w:t>
      </w:r>
      <w:r>
        <w:rPr>
          <w:rFonts w:hint="eastAsia"/>
        </w:rPr>
        <w:t>.4.1</w:t>
      </w:r>
      <w:r>
        <w:rPr>
          <w:rFonts w:hint="eastAsia"/>
          <w:lang w:val="en-US" w:eastAsia="zh-CN"/>
        </w:rPr>
        <w:t>4</w:t>
      </w:r>
      <w:r>
        <w:rPr>
          <w:rFonts w:hint="eastAsia"/>
        </w:rPr>
        <w:t>所示的连接构造。</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3937000" cy="1171575"/>
            <wp:effectExtent l="0" t="0" r="6350" b="9525"/>
            <wp:docPr id="5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0"/>
                    <pic:cNvPicPr>
                      <a:picLocks noChangeAspect="1"/>
                    </pic:cNvPicPr>
                  </pic:nvPicPr>
                  <pic:blipFill>
                    <a:blip r:embed="rId36" cstate="print"/>
                    <a:stretch>
                      <a:fillRect/>
                    </a:stretch>
                  </pic:blipFill>
                  <pic:spPr>
                    <a:xfrm>
                      <a:off x="0" y="0"/>
                      <a:ext cx="3937000" cy="1171575"/>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eastAsia="宋体" w:cs="Times New Roman"/>
          <w:kern w:val="0"/>
          <w:sz w:val="21"/>
          <w:szCs w:val="21"/>
        </w:rPr>
        <w:t>图</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.4.1</w:t>
      </w:r>
      <w:r>
        <w:rPr>
          <w:rFonts w:hint="eastAsia" w:ascii="Times New Roman" w:hAnsi="Times New Roman" w:cs="Times New Roman"/>
          <w:kern w:val="0"/>
          <w:sz w:val="21"/>
          <w:szCs w:val="21"/>
        </w:rPr>
        <w:t>4</w:t>
      </w:r>
      <w:r>
        <w:rPr>
          <w:rFonts w:ascii="Times New Roman" w:hAnsi="Times New Roman" w:cs="Times New Roman"/>
          <w:kern w:val="0"/>
          <w:sz w:val="21"/>
          <w:szCs w:val="21"/>
        </w:rPr>
        <w:t xml:space="preserve"> </w:t>
      </w:r>
      <w:r>
        <w:rPr>
          <w:rFonts w:hint="eastAsia" w:ascii="Times New Roman" w:hAnsi="Times New Roman" w:cs="Times New Roman"/>
          <w:kern w:val="0"/>
          <w:sz w:val="21"/>
          <w:szCs w:val="21"/>
        </w:rPr>
        <w:t>夹心保温</w:t>
      </w:r>
      <w:r>
        <w:rPr>
          <w:rFonts w:ascii="Times New Roman" w:hAnsi="Times New Roman" w:cs="Times New Roman"/>
          <w:kern w:val="0"/>
          <w:sz w:val="21"/>
          <w:szCs w:val="21"/>
        </w:rPr>
        <w:t>叠合剪力墙竖向接缝连接构造</w:t>
      </w:r>
    </w:p>
    <w:p>
      <w:pPr>
        <w:pStyle w:val="167"/>
        <w:rPr>
          <w:rFonts w:hint="eastAsia"/>
        </w:rPr>
      </w:pPr>
      <w:r>
        <w:rPr>
          <w:rFonts w:hint="eastAsia"/>
        </w:rPr>
        <w:t>夹心保温叠合剪力墙水平接缝高度，外叶板处Δ</w:t>
      </w:r>
      <w:r>
        <w:rPr>
          <w:rFonts w:hint="eastAsia"/>
          <w:vertAlign w:val="subscript"/>
        </w:rPr>
        <w:t>2</w:t>
      </w:r>
      <w:r>
        <w:rPr>
          <w:rFonts w:hint="eastAsia"/>
        </w:rPr>
        <w:t>宜为20mm，内叶板处Δ</w:t>
      </w:r>
      <w:r>
        <w:rPr>
          <w:rFonts w:hint="eastAsia"/>
          <w:vertAlign w:val="subscript"/>
        </w:rPr>
        <w:t>1</w:t>
      </w:r>
      <w:r>
        <w:rPr>
          <w:rFonts w:hint="eastAsia"/>
        </w:rPr>
        <w:t>宜为50mm。内叶板接缝处后浇混凝土应浇筑密实（图</w:t>
      </w:r>
      <w:r>
        <w:rPr>
          <w:rFonts w:hint="eastAsia"/>
          <w:lang w:val="en-US" w:eastAsia="zh-CN"/>
        </w:rPr>
        <w:t>6</w:t>
      </w:r>
      <w:r>
        <w:rPr>
          <w:rFonts w:hint="eastAsia"/>
        </w:rPr>
        <w:t>.4.1</w:t>
      </w:r>
      <w:r>
        <w:rPr>
          <w:rFonts w:hint="eastAsia"/>
          <w:lang w:val="en-US" w:eastAsia="zh-CN"/>
        </w:rPr>
        <w:t>5</w:t>
      </w:r>
      <w:r>
        <w:rPr>
          <w:rFonts w:hint="eastAsia"/>
        </w:rPr>
        <w:t>）。</w:t>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sz w:val="21"/>
          <w:szCs w:val="21"/>
        </w:rPr>
        <w:drawing>
          <wp:inline distT="0" distB="0" distL="114300" distR="114300">
            <wp:extent cx="1998345" cy="2453005"/>
            <wp:effectExtent l="0" t="0" r="190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7"/>
                    <a:stretch>
                      <a:fillRect/>
                    </a:stretch>
                  </pic:blipFill>
                  <pic:spPr>
                    <a:xfrm>
                      <a:off x="0" y="0"/>
                      <a:ext cx="1998345" cy="2453005"/>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kern w:val="0"/>
          <w:sz w:val="21"/>
          <w:szCs w:val="21"/>
        </w:rPr>
      </w:pPr>
      <w:r>
        <w:rPr>
          <w:rFonts w:ascii="Times New Roman" w:hAnsi="Times New Roman" w:eastAsia="宋体" w:cs="Times New Roman"/>
          <w:kern w:val="0"/>
          <w:sz w:val="21"/>
          <w:szCs w:val="21"/>
        </w:rPr>
        <w:t>图</w:t>
      </w:r>
      <w:r>
        <w:rPr>
          <w:rFonts w:hint="eastAsia" w:ascii="Times New Roman" w:hAnsi="Times New Roman" w:cs="Times New Roman"/>
          <w:kern w:val="0"/>
          <w:sz w:val="21"/>
          <w:szCs w:val="21"/>
          <w:lang w:val="en-US" w:eastAsia="zh-CN"/>
        </w:rPr>
        <w:t>6</w:t>
      </w:r>
      <w:r>
        <w:rPr>
          <w:rFonts w:ascii="Times New Roman" w:hAnsi="Times New Roman" w:cs="Times New Roman"/>
          <w:kern w:val="0"/>
          <w:sz w:val="21"/>
          <w:szCs w:val="21"/>
        </w:rPr>
        <w:t>.4.1</w:t>
      </w:r>
      <w:r>
        <w:rPr>
          <w:rFonts w:hint="eastAsia" w:ascii="Times New Roman" w:hAnsi="Times New Roman" w:cs="Times New Roman"/>
          <w:kern w:val="0"/>
          <w:sz w:val="21"/>
          <w:szCs w:val="21"/>
        </w:rPr>
        <w:t>5</w:t>
      </w:r>
      <w:r>
        <w:rPr>
          <w:rFonts w:ascii="Times New Roman" w:hAnsi="Times New Roman" w:cs="Times New Roman"/>
          <w:kern w:val="0"/>
          <w:sz w:val="21"/>
          <w:szCs w:val="21"/>
        </w:rPr>
        <w:t xml:space="preserve"> </w:t>
      </w:r>
      <w:r>
        <w:rPr>
          <w:rFonts w:hint="eastAsia" w:ascii="Times New Roman" w:hAnsi="Times New Roman" w:eastAsia="宋体" w:cs="Times New Roman"/>
          <w:kern w:val="0"/>
          <w:sz w:val="21"/>
          <w:szCs w:val="21"/>
        </w:rPr>
        <w:t>夹心保温</w:t>
      </w:r>
      <w:r>
        <w:rPr>
          <w:rFonts w:ascii="Times New Roman" w:hAnsi="Times New Roman" w:cs="Times New Roman"/>
          <w:kern w:val="0"/>
          <w:sz w:val="21"/>
          <w:szCs w:val="21"/>
        </w:rPr>
        <w:t>叠合剪力墙水平接缝高度要求</w:t>
      </w:r>
    </w:p>
    <w:p>
      <w:pPr>
        <w:pStyle w:val="107"/>
        <w:spacing w:before="156" w:after="156"/>
        <w:rPr>
          <w:rFonts w:hint="eastAsia" w:ascii="黑体" w:hAnsi="黑体" w:eastAsia="黑体" w:cs="黑体"/>
          <w:b w:val="0"/>
          <w:bCs w:val="0"/>
          <w:lang w:val="en-US" w:eastAsia="zh-CN"/>
        </w:rPr>
      </w:pPr>
      <w:bookmarkStart w:id="54" w:name="_Toc2943"/>
      <w:bookmarkStart w:id="55" w:name="_Toc22581"/>
      <w:r>
        <w:rPr>
          <w:rFonts w:hint="eastAsia" w:ascii="黑体" w:hAnsi="黑体" w:eastAsia="黑体" w:cs="黑体"/>
          <w:b w:val="0"/>
          <w:bCs w:val="0"/>
          <w:lang w:val="en-US" w:eastAsia="zh-CN"/>
        </w:rPr>
        <w:t>楼盖设计</w:t>
      </w:r>
      <w:bookmarkEnd w:id="54"/>
      <w:bookmarkEnd w:id="55"/>
    </w:p>
    <w:p>
      <w:pPr>
        <w:pStyle w:val="167"/>
        <w:rPr>
          <w:rFonts w:hint="eastAsia"/>
        </w:rPr>
      </w:pPr>
      <w:r>
        <w:rPr>
          <w:rFonts w:hint="eastAsia"/>
        </w:rPr>
        <w:t>叠合楼板设计应符合《混凝土结构设计规范》GB 50010 和《装配式混凝土结构技术规程》JGJ1的规定。</w:t>
      </w:r>
    </w:p>
    <w:p>
      <w:pPr>
        <w:pStyle w:val="167"/>
        <w:rPr>
          <w:rFonts w:hint="eastAsia"/>
        </w:rPr>
      </w:pPr>
      <w:r>
        <w:rPr>
          <w:rFonts w:hint="eastAsia"/>
        </w:rPr>
        <w:t>装配整体式叠合剪力墙结构的楼面梁可采用现浇、预制或叠合梁，楼板可采用现浇或叠合板。</w:t>
      </w:r>
    </w:p>
    <w:p>
      <w:pPr>
        <w:pStyle w:val="167"/>
        <w:rPr>
          <w:rFonts w:hint="eastAsia"/>
        </w:rPr>
      </w:pPr>
      <w:r>
        <w:rPr>
          <w:rFonts w:hint="eastAsia"/>
        </w:rPr>
        <w:t>梁与梁、梁与墙、梁与板的连接节点应传力可靠、构造合理，满足承载力、变形、延性和耐久性等要求。</w:t>
      </w:r>
    </w:p>
    <w:p>
      <w:pPr>
        <w:pStyle w:val="167"/>
        <w:rPr>
          <w:rFonts w:hint="eastAsia"/>
        </w:rPr>
      </w:pPr>
      <w:r>
        <w:rPr>
          <w:rFonts w:hint="eastAsia"/>
        </w:rPr>
        <w:t>楼面梁采用叠合梁时，叠合梁的构造设计及两端竖向接缝的受剪承载力计算应满足现行行业标准《装配式混凝土结构技术规程》JGJ 1的相关规定。</w:t>
      </w:r>
    </w:p>
    <w:p>
      <w:pPr>
        <w:pStyle w:val="167"/>
        <w:rPr>
          <w:rFonts w:hint="eastAsia"/>
        </w:rPr>
      </w:pPr>
      <w:r>
        <w:rPr>
          <w:rFonts w:hint="eastAsia"/>
        </w:rPr>
        <w:t>叠合楼板支座处的纵向钢筋应符合下列规定：</w:t>
      </w:r>
    </w:p>
    <w:p>
      <w:pPr>
        <w:pStyle w:val="176"/>
        <w:numPr>
          <w:ilvl w:val="0"/>
          <w:numId w:val="40"/>
        </w:numPr>
        <w:rPr>
          <w:rFonts w:hint="eastAsia"/>
        </w:rPr>
      </w:pPr>
      <w:r>
        <w:rPr>
          <w:rFonts w:hint="eastAsia"/>
        </w:rPr>
        <w:t>板端支座处，预制板内的下部纵向受力钢筋宜从板端伸出并锚入支承梁或墙的后浇混凝土中，锚固长度不应小于5d（d 为纵向受力钢筋直径），且宜伸过支座中心线。</w:t>
      </w:r>
    </w:p>
    <w:p>
      <w:pPr>
        <w:pStyle w:val="176"/>
        <w:numPr>
          <w:ilvl w:val="0"/>
          <w:numId w:val="40"/>
        </w:numPr>
        <w:rPr>
          <w:rFonts w:hint="eastAsia"/>
        </w:rPr>
      </w:pPr>
      <w:r>
        <w:rPr>
          <w:rFonts w:hint="eastAsia"/>
        </w:rPr>
        <w:t>板侧支座处，当预制板内的板底分布钢筋伸入支承梁或墙的后浇混凝土中时，应符合本条第1 款的要求；当板底分布钢筋不伸入支座时，后浇混凝土厚度应不小于70mm，宜贴预制板顶面的后浇混凝土叠合层中设置附加钢筋，附加钢筋截面面积不宜小于预制板内的同向分布钢筋面积，间距不宜大于300mm。附加钢筋在单向板的后浇混凝土叠合层内锚固长度不应小于15d，在双向板的后浇混凝土叠合层内锚固长度不应小于ll，附加钢筋在支座内锚固长度不应小于15d（d 为附加钢筋直径）且宜伸过支座中心线。</w:t>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drawing>
          <wp:inline distT="0" distB="0" distL="114300" distR="114300">
            <wp:extent cx="3628390" cy="19805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8" cstate="print"/>
                    <a:stretch>
                      <a:fillRect/>
                    </a:stretch>
                  </pic:blipFill>
                  <pic:spPr>
                    <a:xfrm>
                      <a:off x="0" y="0"/>
                      <a:ext cx="3628390" cy="1980565"/>
                    </a:xfrm>
                    <a:prstGeom prst="rect">
                      <a:avLst/>
                    </a:prstGeom>
                    <a:noFill/>
                    <a:ln>
                      <a:noFill/>
                    </a:ln>
                  </pic:spPr>
                </pic:pic>
              </a:graphicData>
            </a:graphic>
          </wp:inline>
        </w:drawing>
      </w:r>
    </w:p>
    <w:p>
      <w:pPr>
        <w:pStyle w:val="240"/>
        <w:pageBreakBefore w:val="0"/>
        <w:numPr>
          <w:ilvl w:val="0"/>
          <w:numId w:val="41"/>
        </w:numPr>
        <w:kinsoku/>
        <w:wordWrap/>
        <w:overflowPunct/>
        <w:topLinePunct w:val="0"/>
        <w:autoSpaceDE w:val="0"/>
        <w:autoSpaceDN w:val="0"/>
        <w:bidi w:val="0"/>
        <w:adjustRightInd w:val="0"/>
        <w:snapToGrid/>
        <w:spacing w:line="240" w:lineRule="auto"/>
        <w:ind w:left="0" w:leftChars="0" w:firstLineChars="0"/>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双面叠合剪力墙；</w:t>
      </w:r>
      <w:r>
        <w:rPr>
          <w:rFonts w:ascii="Times New Roman" w:hAnsi="Times New Roman" w:eastAsia="TimesNewRomanPSMT" w:cs="Times New Roman"/>
          <w:kern w:val="0"/>
          <w:sz w:val="21"/>
          <w:szCs w:val="21"/>
        </w:rPr>
        <w:t>2—</w:t>
      </w:r>
      <w:r>
        <w:rPr>
          <w:rFonts w:ascii="Times New Roman" w:hAnsi="Times New Roman" w:cs="Times New Roman"/>
          <w:kern w:val="0"/>
          <w:sz w:val="21"/>
          <w:szCs w:val="21"/>
        </w:rPr>
        <w:t>预制板；</w:t>
      </w:r>
      <w:r>
        <w:rPr>
          <w:rFonts w:ascii="Times New Roman" w:hAnsi="Times New Roman" w:eastAsia="TimesNewRomanPSMT" w:cs="Times New Roman"/>
          <w:kern w:val="0"/>
          <w:sz w:val="21"/>
          <w:szCs w:val="21"/>
        </w:rPr>
        <w:t>3—</w:t>
      </w:r>
      <w:r>
        <w:rPr>
          <w:rFonts w:ascii="Times New Roman" w:hAnsi="Times New Roman" w:cs="Times New Roman"/>
          <w:kern w:val="0"/>
          <w:sz w:val="21"/>
          <w:szCs w:val="21"/>
        </w:rPr>
        <w:t>纵向受力钢筋；</w:t>
      </w:r>
      <w:r>
        <w:rPr>
          <w:rFonts w:ascii="Times New Roman" w:hAnsi="Times New Roman" w:eastAsia="TimesNewRomanPSMT" w:cs="Times New Roman"/>
          <w:kern w:val="0"/>
          <w:sz w:val="21"/>
          <w:szCs w:val="21"/>
        </w:rPr>
        <w:t>4—</w:t>
      </w:r>
      <w:r>
        <w:rPr>
          <w:rFonts w:ascii="Times New Roman" w:hAnsi="Times New Roman" w:cs="Times New Roman"/>
          <w:kern w:val="0"/>
          <w:sz w:val="21"/>
          <w:szCs w:val="21"/>
        </w:rPr>
        <w:t>附加钢筋；</w:t>
      </w:r>
    </w:p>
    <w:p>
      <w:pPr>
        <w:pageBreakBefore w:val="0"/>
        <w:kinsoku/>
        <w:wordWrap/>
        <w:overflowPunct/>
        <w:topLinePunct w:val="0"/>
        <w:bidi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hint="eastAsia" w:ascii="Times New Roman" w:hAnsi="Times New Roman" w:cs="Times New Roman"/>
          <w:sz w:val="21"/>
          <w:szCs w:val="21"/>
        </w:rPr>
        <w:t>.5.</w:t>
      </w:r>
      <w:r>
        <w:rPr>
          <w:rFonts w:ascii="Times New Roman" w:hAnsi="Times New Roman" w:cs="Times New Roman"/>
          <w:sz w:val="21"/>
          <w:szCs w:val="21"/>
        </w:rPr>
        <w:t>5 双面叠合剪力墙与叠合楼板连接节点构造示意</w:t>
      </w:r>
    </w:p>
    <w:p>
      <w:pPr>
        <w:pStyle w:val="167"/>
        <w:rPr>
          <w:rFonts w:hint="eastAsia"/>
        </w:rPr>
      </w:pPr>
      <w:r>
        <w:rPr>
          <w:rFonts w:hint="eastAsia"/>
        </w:rPr>
        <w:t>叠合剪力墙结构的连梁可采用叠合连梁，也可采用现浇连梁。叠合连梁可采用如图5.5.6 所示的叠合连梁，其配筋及构造应符合现行行业标准 《高层建筑混凝土结构技术规程》JGJ 3的有关规定。</w:t>
      </w:r>
    </w:p>
    <w:p>
      <w:pPr>
        <w:pageBreakBefore w:val="0"/>
        <w:kinsoku/>
        <w:wordWrap/>
        <w:overflowPunct/>
        <w:topLinePunct w:val="0"/>
        <w:autoSpaceDE w:val="0"/>
        <w:autoSpaceDN w:val="0"/>
        <w:bidi w:val="0"/>
        <w:adjustRightInd w:val="0"/>
        <w:snapToGrid/>
        <w:spacing w:line="240" w:lineRule="auto"/>
        <w:ind w:left="0" w:leftChars="0"/>
        <w:jc w:val="left"/>
        <w:textAlignment w:val="auto"/>
        <w:rPr>
          <w:rFonts w:ascii="Times New Roman" w:hAnsi="Times New Roman" w:eastAsia="宋体" w:cs="Times New Roman"/>
          <w:kern w:val="0"/>
          <w:sz w:val="21"/>
          <w:szCs w:val="21"/>
        </w:rPr>
      </w:pP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eastAsia="宋体" w:cs="Times New Roman"/>
          <w:kern w:val="0"/>
          <w:sz w:val="21"/>
          <w:szCs w:val="21"/>
        </w:rPr>
      </w:pPr>
      <w:r>
        <w:rPr>
          <w:rFonts w:ascii="Times New Roman" w:hAnsi="Times New Roman" w:cs="Times New Roman"/>
          <w:sz w:val="21"/>
          <w:szCs w:val="21"/>
        </w:rPr>
        <w:drawing>
          <wp:inline distT="0" distB="0" distL="114300" distR="114300">
            <wp:extent cx="3936365" cy="1920875"/>
            <wp:effectExtent l="0" t="0" r="698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9" cstate="print"/>
                    <a:stretch>
                      <a:fillRect/>
                    </a:stretch>
                  </pic:blipFill>
                  <pic:spPr>
                    <a:xfrm>
                      <a:off x="0" y="0"/>
                      <a:ext cx="3936365" cy="1920875"/>
                    </a:xfrm>
                    <a:prstGeom prst="rect">
                      <a:avLst/>
                    </a:prstGeom>
                    <a:noFill/>
                    <a:ln>
                      <a:noFill/>
                    </a:ln>
                  </pic:spPr>
                </pic:pic>
              </a:graphicData>
            </a:graphic>
          </wp:inline>
        </w:drawing>
      </w:r>
    </w:p>
    <w:p>
      <w:pPr>
        <w:pageBreakBefore w:val="0"/>
        <w:kinsoku/>
        <w:wordWrap/>
        <w:overflowPunct/>
        <w:topLinePunct w:val="0"/>
        <w:autoSpaceDE w:val="0"/>
        <w:autoSpaceDN w:val="0"/>
        <w:bidi w:val="0"/>
        <w:adjustRightInd w:val="0"/>
        <w:snapToGrid/>
        <w:spacing w:line="240" w:lineRule="auto"/>
        <w:ind w:left="0" w:leftChars="0"/>
        <w:jc w:val="center"/>
        <w:textAlignment w:val="auto"/>
        <w:rPr>
          <w:rFonts w:ascii="Times New Roman" w:hAnsi="Times New Roman" w:cs="Times New Roman"/>
          <w:sz w:val="21"/>
          <w:szCs w:val="21"/>
        </w:rPr>
      </w:pPr>
      <w:r>
        <w:rPr>
          <w:rFonts w:ascii="Times New Roman" w:hAnsi="Times New Roman" w:cs="Times New Roman"/>
          <w:sz w:val="21"/>
          <w:szCs w:val="21"/>
        </w:rPr>
        <w:t>图</w:t>
      </w:r>
      <w:r>
        <w:rPr>
          <w:rFonts w:hint="eastAsia" w:ascii="Times New Roman" w:hAnsi="Times New Roman" w:cs="Times New Roman"/>
          <w:sz w:val="21"/>
          <w:szCs w:val="21"/>
          <w:lang w:val="en-US" w:eastAsia="zh-CN"/>
        </w:rPr>
        <w:t>6</w:t>
      </w:r>
      <w:r>
        <w:rPr>
          <w:rFonts w:hint="eastAsia" w:ascii="Times New Roman" w:hAnsi="Times New Roman" w:cs="Times New Roman"/>
          <w:sz w:val="21"/>
          <w:szCs w:val="21"/>
        </w:rPr>
        <w:t>.5.</w:t>
      </w:r>
      <w:r>
        <w:rPr>
          <w:rFonts w:ascii="Times New Roman" w:hAnsi="Times New Roman" w:cs="Times New Roman"/>
          <w:sz w:val="21"/>
          <w:szCs w:val="21"/>
        </w:rPr>
        <w:t>6 叠合剪力墙的连梁示意图</w:t>
      </w:r>
    </w:p>
    <w:p>
      <w:pPr>
        <w:pageBreakBefore w:val="0"/>
        <w:kinsoku/>
        <w:wordWrap/>
        <w:overflowPunct/>
        <w:topLinePunct w:val="0"/>
        <w:bidi w:val="0"/>
        <w:snapToGrid/>
        <w:spacing w:line="240" w:lineRule="auto"/>
        <w:ind w:left="0" w:leftChars="0"/>
        <w:textAlignment w:val="auto"/>
        <w:rPr>
          <w:rFonts w:ascii="Times New Roman" w:hAnsi="Times New Roman" w:cs="Times New Roman"/>
          <w:sz w:val="21"/>
          <w:szCs w:val="21"/>
        </w:rPr>
        <w:sectPr>
          <w:pgSz w:w="11906" w:h="16838"/>
          <w:pgMar w:top="1440" w:right="1800" w:bottom="1440" w:left="1800" w:header="851" w:footer="992" w:gutter="0"/>
          <w:cols w:space="425" w:num="1"/>
          <w:docGrid w:type="lines" w:linePitch="312" w:charSpace="0"/>
        </w:sectPr>
      </w:pPr>
    </w:p>
    <w:p>
      <w:pPr>
        <w:pStyle w:val="106"/>
        <w:spacing w:before="312" w:after="312"/>
      </w:pPr>
      <w:bookmarkStart w:id="56" w:name="_Toc11720"/>
      <w:r>
        <w:rPr>
          <w:rFonts w:hint="eastAsia"/>
          <w:lang w:eastAsia="zh-CN"/>
        </w:rPr>
        <w:t>构件制作与运输</w:t>
      </w:r>
      <w:bookmarkEnd w:id="56"/>
    </w:p>
    <w:p>
      <w:pPr>
        <w:pStyle w:val="107"/>
        <w:spacing w:before="156" w:after="156"/>
      </w:pPr>
      <w:bookmarkStart w:id="57" w:name="_Toc13320"/>
      <w:r>
        <w:rPr>
          <w:rFonts w:hint="eastAsia"/>
          <w:lang w:eastAsia="zh-CN"/>
        </w:rPr>
        <w:t>一般规定</w:t>
      </w:r>
      <w:bookmarkEnd w:id="57"/>
    </w:p>
    <w:p>
      <w:pPr>
        <w:pStyle w:val="167"/>
        <w:rPr>
          <w:rFonts w:hint="eastAsia" w:ascii="Times New Roman"/>
        </w:rPr>
      </w:pPr>
      <w:r>
        <w:rPr>
          <w:rFonts w:hint="eastAsia" w:ascii="Times New Roman"/>
        </w:rPr>
        <w:t>装配整体式叠合墙结构的构件预制应制定预制构件产品标准，生产单位应具有质量可靠的生产工艺设施和试验检测条件，建立完善的质量管理体系、施工质量控制和检验制度，并宜建立质量可追溯的信息化管理系统。</w:t>
      </w:r>
    </w:p>
    <w:p>
      <w:pPr>
        <w:pStyle w:val="167"/>
        <w:rPr>
          <w:rFonts w:hint="eastAsia" w:ascii="Times New Roman"/>
        </w:rPr>
      </w:pPr>
      <w:r>
        <w:rPr>
          <w:rFonts w:hint="eastAsia" w:ascii="Times New Roman"/>
        </w:rPr>
        <w:t>预制构件生产前，应由建设单位组织设计、生产、施工、监理等单位进行设计文件交底和会审；应根据设计文件、生产工艺、运输方案、吊装方案等编制深化详图（包括预制构件拆分和现场安装的深化设计），并经原设计单位审核确认；应根据设计文件和施工组织设计的要求制定具体的生产方案，并应经监理单位审核批准后组织实施。生产方案应包含生产工艺、模具方案、生产计划、技术质量控制措施、成品保护、堆放及运输方案等内容。</w:t>
      </w:r>
    </w:p>
    <w:p>
      <w:pPr>
        <w:pStyle w:val="167"/>
        <w:rPr>
          <w:rFonts w:hint="eastAsia" w:ascii="Times New Roman"/>
        </w:rPr>
      </w:pPr>
      <w:r>
        <w:rPr>
          <w:rFonts w:hint="eastAsia" w:ascii="Times New Roman"/>
        </w:rPr>
        <w:t>预制构件制作前应完成以下深化图设计和验算：</w:t>
      </w:r>
    </w:p>
    <w:p>
      <w:pPr>
        <w:pStyle w:val="176"/>
        <w:numPr>
          <w:ilvl w:val="0"/>
          <w:numId w:val="42"/>
        </w:numPr>
        <w:rPr>
          <w:rFonts w:hint="eastAsia" w:ascii="Times New Roman"/>
        </w:rPr>
      </w:pPr>
      <w:r>
        <w:rPr>
          <w:rFonts w:hint="eastAsia" w:ascii="Times New Roman"/>
        </w:rPr>
        <w:t>预制构件外形尺寸图、配筋图、吊件及埋件的细部构造图等；</w:t>
      </w:r>
    </w:p>
    <w:p>
      <w:pPr>
        <w:pStyle w:val="176"/>
        <w:numPr>
          <w:ilvl w:val="0"/>
          <w:numId w:val="42"/>
        </w:numPr>
        <w:rPr>
          <w:rFonts w:hint="eastAsia" w:ascii="Times New Roman"/>
        </w:rPr>
      </w:pPr>
      <w:r>
        <w:rPr>
          <w:rFonts w:hint="eastAsia" w:ascii="Times New Roman"/>
        </w:rPr>
        <w:t>预制构件脱模、翻转过程中混凝土强度、构件承载力、构件变形以及预埋吊件的承载力验算等。</w:t>
      </w:r>
    </w:p>
    <w:p>
      <w:pPr>
        <w:pStyle w:val="167"/>
        <w:rPr>
          <w:rFonts w:hint="eastAsia" w:ascii="Times New Roman"/>
        </w:rPr>
      </w:pPr>
      <w:r>
        <w:rPr>
          <w:rFonts w:hint="eastAsia" w:ascii="Times New Roman"/>
        </w:rPr>
        <w:t>预制构件质量检测和质量评定应符合《混凝土结构施工质量验收规范》GB50204和《装配式混凝土建筑技术标准》GB/T 51231的规定。带有表面装饰的预制墙板构件，其质量应符合国家现行标准《建筑装饰装修工程质量验收标准》GB 50210的规定。</w:t>
      </w:r>
    </w:p>
    <w:p>
      <w:pPr>
        <w:pStyle w:val="167"/>
        <w:rPr>
          <w:rFonts w:hint="eastAsia" w:ascii="Times New Roman"/>
        </w:rPr>
      </w:pPr>
      <w:r>
        <w:rPr>
          <w:rFonts w:hint="eastAsia" w:ascii="Times New Roman"/>
        </w:rPr>
        <w:t>叠合墙板</w:t>
      </w:r>
      <w:r>
        <w:rPr>
          <w:rFonts w:hint="eastAsia" w:ascii="Times New Roman"/>
          <w:lang w:eastAsia="zh-CN"/>
        </w:rPr>
        <w:t>宜</w:t>
      </w:r>
      <w:r>
        <w:rPr>
          <w:rFonts w:hint="eastAsia" w:ascii="Times New Roman"/>
        </w:rPr>
        <w:t>采用流水线方式生产，以提高构件的生产效率和产品质量。</w:t>
      </w:r>
    </w:p>
    <w:p>
      <w:pPr>
        <w:pStyle w:val="107"/>
        <w:spacing w:before="156" w:after="156"/>
      </w:pPr>
      <w:bookmarkStart w:id="58" w:name="_Toc12366"/>
      <w:r>
        <w:rPr>
          <w:rFonts w:hint="eastAsia" w:ascii="黑体" w:hAnsi="黑体" w:eastAsia="黑体" w:cs="黑体"/>
          <w:b w:val="0"/>
          <w:bCs w:val="0"/>
        </w:rPr>
        <w:t>构件制作</w:t>
      </w:r>
      <w:bookmarkEnd w:id="58"/>
    </w:p>
    <w:p>
      <w:pPr>
        <w:pStyle w:val="167"/>
        <w:rPr>
          <w:rFonts w:hint="eastAsia" w:ascii="Times New Roman"/>
        </w:rPr>
      </w:pPr>
      <w:r>
        <w:rPr>
          <w:rFonts w:hint="eastAsia" w:ascii="Times New Roman"/>
        </w:rPr>
        <w:t>制作预制构件的场地应平整，坚实。当采用钢台座生产预制构件时，台座表面应进行整体磨平处理，2m 长度内表面平整度不应大于2mm。</w:t>
      </w:r>
    </w:p>
    <w:p>
      <w:pPr>
        <w:pStyle w:val="167"/>
        <w:rPr>
          <w:rFonts w:hint="eastAsia" w:ascii="Times New Roman"/>
        </w:rPr>
      </w:pPr>
      <w:r>
        <w:rPr>
          <w:rFonts w:hint="eastAsia" w:ascii="Times New Roman"/>
        </w:rPr>
        <w:t>应根据生产工艺、产品类型等制定模具方案。模具的强度、刚度和整体稳定性应满足生产要求，并应能满足预制构件预留孔、插筋、预埋吊件等的定位要求。</w:t>
      </w:r>
    </w:p>
    <w:p>
      <w:pPr>
        <w:pStyle w:val="167"/>
        <w:rPr>
          <w:rFonts w:hint="eastAsia" w:ascii="Times New Roman"/>
        </w:rPr>
      </w:pPr>
      <w:r>
        <w:rPr>
          <w:rFonts w:hint="eastAsia" w:ascii="Times New Roman"/>
        </w:rPr>
        <w:t>预制构件模具尺寸的允许偏差和检验方法应符合表6.2.3 规定。</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 xml:space="preserve">表 </w:t>
      </w:r>
      <w:r>
        <w:rPr>
          <w:rFonts w:hint="eastAsia" w:ascii="黑体" w:hAnsi="黑体" w:eastAsia="黑体" w:cs="Times New Roman"/>
          <w:sz w:val="21"/>
          <w:szCs w:val="21"/>
          <w:lang w:val="en-US" w:eastAsia="zh-CN"/>
        </w:rPr>
        <w:t>7</w:t>
      </w:r>
      <w:r>
        <w:rPr>
          <w:rFonts w:hint="eastAsia" w:ascii="黑体" w:hAnsi="黑体" w:eastAsia="黑体" w:cs="Times New Roman"/>
          <w:sz w:val="21"/>
          <w:szCs w:val="21"/>
        </w:rPr>
        <w:t>.2.3 预制构件模具尺寸允许偏差和检验方法</w:t>
      </w:r>
    </w:p>
    <w:tbl>
      <w:tblPr>
        <w:tblStyle w:val="28"/>
        <w:tblpPr w:leftFromText="180" w:rightFromText="180" w:vertAnchor="text" w:horzAnchor="page" w:tblpX="1794" w:tblpY="295"/>
        <w:tblOverlap w:val="never"/>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1"/>
        <w:gridCol w:w="936"/>
        <w:gridCol w:w="1824"/>
        <w:gridCol w:w="1550"/>
        <w:gridCol w:w="35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项次</w:t>
            </w:r>
          </w:p>
        </w:tc>
        <w:tc>
          <w:tcPr>
            <w:tcW w:w="2760" w:type="dxa"/>
            <w:gridSpan w:val="2"/>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检验项目、内容</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允许偏差（</w:t>
            </w:r>
            <w:r>
              <w:rPr>
                <w:rFonts w:ascii="Times New Roman" w:hAnsi="Times New Roman" w:eastAsia="黑体" w:cs="Times New Roman"/>
                <w:kern w:val="0"/>
                <w:sz w:val="21"/>
                <w:szCs w:val="21"/>
              </w:rPr>
              <w:t>mm</w:t>
            </w:r>
            <w:r>
              <w:rPr>
                <w:rFonts w:ascii="Times New Roman" w:hAnsi="Times New Roman" w:eastAsia="宋体" w:cs="Times New Roman"/>
                <w:kern w:val="0"/>
                <w:sz w:val="21"/>
                <w:szCs w:val="21"/>
              </w:rPr>
              <w:t>）</w:t>
            </w:r>
          </w:p>
        </w:tc>
        <w:tc>
          <w:tcPr>
            <w:tcW w:w="3541"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检验方法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vMerge w:val="restart"/>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w:t>
            </w:r>
          </w:p>
        </w:tc>
        <w:tc>
          <w:tcPr>
            <w:tcW w:w="936" w:type="dxa"/>
            <w:vMerge w:val="restart"/>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长度</w:t>
            </w:r>
          </w:p>
        </w:tc>
        <w:tc>
          <w:tcPr>
            <w:tcW w:w="1824"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6m</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1,</w:t>
            </w: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2</w:t>
            </w:r>
          </w:p>
        </w:tc>
        <w:tc>
          <w:tcPr>
            <w:tcW w:w="3541" w:type="dxa"/>
            <w:vMerge w:val="restart"/>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用钢尺量平行构件高度方向，取其中偏差绝对值最大处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c>
          <w:tcPr>
            <w:tcW w:w="936"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c>
          <w:tcPr>
            <w:tcW w:w="1824"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6m</w:t>
            </w:r>
            <w:r>
              <w:rPr>
                <w:rFonts w:ascii="Times New Roman" w:hAnsi="Times New Roman" w:eastAsia="宋体" w:cs="Times New Roman"/>
                <w:kern w:val="0"/>
                <w:sz w:val="21"/>
                <w:szCs w:val="21"/>
              </w:rPr>
              <w:t>且≤</w:t>
            </w:r>
            <w:r>
              <w:rPr>
                <w:rFonts w:ascii="Times New Roman" w:hAnsi="Times New Roman" w:eastAsia="黑体" w:cs="Times New Roman"/>
                <w:kern w:val="0"/>
                <w:sz w:val="21"/>
                <w:szCs w:val="21"/>
              </w:rPr>
              <w:t>12m</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2,</w:t>
            </w: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4</w:t>
            </w:r>
          </w:p>
        </w:tc>
        <w:tc>
          <w:tcPr>
            <w:tcW w:w="3541"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c>
          <w:tcPr>
            <w:tcW w:w="936"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c>
          <w:tcPr>
            <w:tcW w:w="1824"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12m</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3,</w:t>
            </w: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5</w:t>
            </w:r>
          </w:p>
        </w:tc>
        <w:tc>
          <w:tcPr>
            <w:tcW w:w="3541"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vMerge w:val="restart"/>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2</w:t>
            </w:r>
          </w:p>
        </w:tc>
        <w:tc>
          <w:tcPr>
            <w:tcW w:w="936" w:type="dxa"/>
            <w:vMerge w:val="restart"/>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宽度、高（厚）度</w:t>
            </w:r>
          </w:p>
        </w:tc>
        <w:tc>
          <w:tcPr>
            <w:tcW w:w="1824"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墙板</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1,</w:t>
            </w: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2</w:t>
            </w:r>
          </w:p>
        </w:tc>
        <w:tc>
          <w:tcPr>
            <w:tcW w:w="3541" w:type="dxa"/>
            <w:vMerge w:val="restart"/>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用钢尺测量两端或中部，取其中偏差绝对值最大处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vMerge w:val="continue"/>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c>
          <w:tcPr>
            <w:tcW w:w="936" w:type="dxa"/>
            <w:vMerge w:val="continue"/>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c>
          <w:tcPr>
            <w:tcW w:w="1824" w:type="dxa"/>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其它构件</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2,</w:t>
            </w:r>
            <w:r>
              <w:rPr>
                <w:rFonts w:ascii="Times New Roman" w:hAnsi="Times New Roman" w:eastAsia="宋体" w:cs="Times New Roman"/>
                <w:kern w:val="0"/>
                <w:sz w:val="21"/>
                <w:szCs w:val="21"/>
              </w:rPr>
              <w:t>－</w:t>
            </w:r>
            <w:r>
              <w:rPr>
                <w:rFonts w:ascii="Times New Roman" w:hAnsi="Times New Roman" w:eastAsia="黑体" w:cs="Times New Roman"/>
                <w:kern w:val="0"/>
                <w:sz w:val="21"/>
                <w:szCs w:val="21"/>
              </w:rPr>
              <w:t>4</w:t>
            </w:r>
          </w:p>
        </w:tc>
        <w:tc>
          <w:tcPr>
            <w:tcW w:w="3541"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1" w:type="dxa"/>
            <w:tcBorders>
              <w:top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3</w:t>
            </w:r>
          </w:p>
        </w:tc>
        <w:tc>
          <w:tcPr>
            <w:tcW w:w="2760" w:type="dxa"/>
            <w:gridSpan w:val="2"/>
            <w:tcBorders>
              <w:top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底模表面平整度</w:t>
            </w:r>
          </w:p>
        </w:tc>
        <w:tc>
          <w:tcPr>
            <w:tcW w:w="1550"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2</w:t>
            </w:r>
          </w:p>
        </w:tc>
        <w:tc>
          <w:tcPr>
            <w:tcW w:w="3541" w:type="dxa"/>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用</w:t>
            </w:r>
            <w:r>
              <w:rPr>
                <w:rFonts w:ascii="Times New Roman" w:hAnsi="Times New Roman" w:eastAsia="黑体" w:cs="Times New Roman"/>
                <w:kern w:val="0"/>
                <w:sz w:val="21"/>
                <w:szCs w:val="21"/>
              </w:rPr>
              <w:t>2m</w:t>
            </w:r>
            <w:r>
              <w:rPr>
                <w:rFonts w:ascii="Times New Roman" w:hAnsi="Times New Roman" w:eastAsia="宋体" w:cs="Times New Roman"/>
                <w:kern w:val="0"/>
                <w:sz w:val="21"/>
                <w:szCs w:val="21"/>
              </w:rPr>
              <w:t>靠尺和塞尺量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0" w:hRule="atLeast"/>
        </w:trPr>
        <w:tc>
          <w:tcPr>
            <w:tcW w:w="671" w:type="dxa"/>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4</w:t>
            </w:r>
          </w:p>
        </w:tc>
        <w:tc>
          <w:tcPr>
            <w:tcW w:w="2760" w:type="dxa"/>
            <w:gridSpan w:val="2"/>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对角线差</w:t>
            </w:r>
          </w:p>
        </w:tc>
        <w:tc>
          <w:tcPr>
            <w:tcW w:w="1550" w:type="dxa"/>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3</w:t>
            </w:r>
          </w:p>
        </w:tc>
        <w:tc>
          <w:tcPr>
            <w:tcW w:w="3541" w:type="dxa"/>
            <w:tcBorders>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用钢尺量对角线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9" w:hRule="atLeast"/>
        </w:trPr>
        <w:tc>
          <w:tcPr>
            <w:tcW w:w="67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5</w:t>
            </w:r>
          </w:p>
        </w:tc>
        <w:tc>
          <w:tcPr>
            <w:tcW w:w="2760" w:type="dxa"/>
            <w:gridSpan w:val="2"/>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侧向弯曲</w:t>
            </w:r>
          </w:p>
        </w:tc>
        <w:tc>
          <w:tcPr>
            <w:tcW w:w="1550"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i/>
                <w:iCs/>
                <w:kern w:val="0"/>
                <w:sz w:val="21"/>
                <w:szCs w:val="21"/>
              </w:rPr>
              <w:t>L</w:t>
            </w:r>
            <w:r>
              <w:rPr>
                <w:rFonts w:ascii="Times New Roman" w:hAnsi="Times New Roman" w:eastAsia="黑体" w:cs="Times New Roman"/>
                <w:kern w:val="0"/>
                <w:sz w:val="21"/>
                <w:szCs w:val="21"/>
              </w:rPr>
              <w:t xml:space="preserve">/1500 </w:t>
            </w:r>
            <w:r>
              <w:rPr>
                <w:rFonts w:ascii="Times New Roman" w:hAnsi="Times New Roman" w:eastAsia="宋体" w:cs="Times New Roman"/>
                <w:kern w:val="0"/>
                <w:sz w:val="21"/>
                <w:szCs w:val="21"/>
              </w:rPr>
              <w:t>且≤</w:t>
            </w:r>
            <w:r>
              <w:rPr>
                <w:rFonts w:ascii="Times New Roman" w:hAnsi="Times New Roman" w:eastAsia="黑体" w:cs="Times New Roman"/>
                <w:kern w:val="0"/>
                <w:sz w:val="21"/>
                <w:szCs w:val="21"/>
              </w:rPr>
              <w:t>5</w:t>
            </w:r>
          </w:p>
        </w:tc>
        <w:tc>
          <w:tcPr>
            <w:tcW w:w="354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拉线，用尺量测侧向弯曲最大处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2" w:hRule="atLeast"/>
        </w:trPr>
        <w:tc>
          <w:tcPr>
            <w:tcW w:w="67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6</w:t>
            </w:r>
          </w:p>
        </w:tc>
        <w:tc>
          <w:tcPr>
            <w:tcW w:w="2760" w:type="dxa"/>
            <w:gridSpan w:val="2"/>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翘曲</w:t>
            </w:r>
          </w:p>
        </w:tc>
        <w:tc>
          <w:tcPr>
            <w:tcW w:w="1550"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i/>
                <w:iCs/>
                <w:kern w:val="0"/>
                <w:sz w:val="21"/>
                <w:szCs w:val="21"/>
              </w:rPr>
              <w:t>L</w:t>
            </w:r>
            <w:r>
              <w:rPr>
                <w:rFonts w:ascii="Times New Roman" w:hAnsi="Times New Roman" w:eastAsia="黑体" w:cs="Times New Roman"/>
                <w:kern w:val="0"/>
                <w:sz w:val="21"/>
                <w:szCs w:val="21"/>
              </w:rPr>
              <w:t>/1500</w:t>
            </w:r>
          </w:p>
        </w:tc>
        <w:tc>
          <w:tcPr>
            <w:tcW w:w="354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对角拉线测量交点间距离值的两倍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0" w:hRule="atLeast"/>
        </w:trPr>
        <w:tc>
          <w:tcPr>
            <w:tcW w:w="67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7</w:t>
            </w:r>
          </w:p>
        </w:tc>
        <w:tc>
          <w:tcPr>
            <w:tcW w:w="2760" w:type="dxa"/>
            <w:gridSpan w:val="2"/>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组装缝隙</w:t>
            </w:r>
          </w:p>
        </w:tc>
        <w:tc>
          <w:tcPr>
            <w:tcW w:w="1550"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1</w:t>
            </w:r>
          </w:p>
        </w:tc>
        <w:tc>
          <w:tcPr>
            <w:tcW w:w="3541" w:type="dxa"/>
            <w:tcBorders>
              <w:top w:val="single" w:color="auto" w:sz="4" w:space="0"/>
              <w:bottom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用塞片或塞尺量测，取最大值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0" w:hRule="atLeast"/>
        </w:trPr>
        <w:tc>
          <w:tcPr>
            <w:tcW w:w="671" w:type="dxa"/>
            <w:tcBorders>
              <w:top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8</w:t>
            </w:r>
          </w:p>
        </w:tc>
        <w:tc>
          <w:tcPr>
            <w:tcW w:w="2760" w:type="dxa"/>
            <w:gridSpan w:val="2"/>
            <w:tcBorders>
              <w:top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端模与侧模高低差</w:t>
            </w:r>
          </w:p>
        </w:tc>
        <w:tc>
          <w:tcPr>
            <w:tcW w:w="1550" w:type="dxa"/>
            <w:tcBorders>
              <w:top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黑体" w:cs="Times New Roman"/>
                <w:kern w:val="0"/>
                <w:sz w:val="21"/>
                <w:szCs w:val="21"/>
              </w:rPr>
              <w:t>1</w:t>
            </w:r>
          </w:p>
        </w:tc>
        <w:tc>
          <w:tcPr>
            <w:tcW w:w="3541" w:type="dxa"/>
            <w:tcBorders>
              <w:top w:val="single" w:color="auto" w:sz="4" w:space="0"/>
            </w:tcBorders>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用钢尺量</w:t>
            </w:r>
          </w:p>
        </w:tc>
      </w:tr>
    </w:tbl>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注：</w:t>
      </w:r>
      <w:r>
        <w:rPr>
          <w:rFonts w:ascii="Times New Roman" w:hAnsi="Times New Roman" w:eastAsia="黑体" w:cs="Times New Roman"/>
          <w:i/>
          <w:iCs/>
          <w:kern w:val="0"/>
          <w:sz w:val="21"/>
          <w:szCs w:val="21"/>
        </w:rPr>
        <w:t xml:space="preserve">L </w:t>
      </w:r>
      <w:r>
        <w:rPr>
          <w:rFonts w:ascii="Times New Roman" w:hAnsi="Times New Roman" w:eastAsia="宋体" w:cs="Times New Roman"/>
          <w:kern w:val="0"/>
          <w:sz w:val="21"/>
          <w:szCs w:val="21"/>
        </w:rPr>
        <w:t>为模具与混凝土构件接触面中最长边的尺寸，单位</w:t>
      </w:r>
      <w:r>
        <w:rPr>
          <w:rFonts w:ascii="Times New Roman" w:hAnsi="Times New Roman" w:eastAsia="黑体" w:cs="Times New Roman"/>
          <w:kern w:val="0"/>
          <w:sz w:val="21"/>
          <w:szCs w:val="21"/>
        </w:rPr>
        <w:t>mm</w:t>
      </w:r>
      <w:r>
        <w:rPr>
          <w:rFonts w:ascii="Times New Roman" w:hAnsi="Times New Roman" w:eastAsia="宋体" w:cs="Times New Roman"/>
          <w:kern w:val="0"/>
          <w:sz w:val="21"/>
          <w:szCs w:val="21"/>
        </w:rPr>
        <w:t>。</w:t>
      </w:r>
    </w:p>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cs="Times New Roman"/>
          <w:kern w:val="0"/>
          <w:sz w:val="21"/>
          <w:szCs w:val="21"/>
        </w:rPr>
      </w:pPr>
    </w:p>
    <w:p>
      <w:pPr>
        <w:pStyle w:val="167"/>
        <w:rPr>
          <w:rFonts w:hint="eastAsia" w:ascii="Times New Roman"/>
        </w:rPr>
      </w:pPr>
      <w:r>
        <w:rPr>
          <w:rFonts w:hint="eastAsia" w:ascii="Times New Roman"/>
        </w:rPr>
        <w:t>钢筋网片和钢筋骨架的尺寸允许偏差和检验方法应符合表</w:t>
      </w:r>
      <w:r>
        <w:rPr>
          <w:rFonts w:hint="eastAsia" w:ascii="Times New Roman"/>
          <w:lang w:val="en-US" w:eastAsia="zh-CN"/>
        </w:rPr>
        <w:t>7</w:t>
      </w:r>
      <w:r>
        <w:rPr>
          <w:rFonts w:hint="eastAsia" w:ascii="Times New Roman"/>
        </w:rPr>
        <w:t>.2.4-1的规定，钢筋桁架的尺寸偏差应符合表</w:t>
      </w:r>
      <w:r>
        <w:rPr>
          <w:rFonts w:hint="eastAsia" w:ascii="Times New Roman"/>
          <w:lang w:val="en-US" w:eastAsia="zh-CN"/>
        </w:rPr>
        <w:t>7</w:t>
      </w:r>
      <w:r>
        <w:rPr>
          <w:rFonts w:hint="eastAsia" w:ascii="Times New Roman"/>
        </w:rPr>
        <w:t>.2.4-2的规定。</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7</w:t>
      </w:r>
      <w:r>
        <w:rPr>
          <w:rFonts w:hint="eastAsia" w:ascii="黑体" w:hAnsi="黑体" w:eastAsia="黑体" w:cs="Times New Roman"/>
          <w:sz w:val="21"/>
          <w:szCs w:val="21"/>
        </w:rPr>
        <w:t>.2.4-1 钢筋网片和钢筋骨架尺寸允许偏差和检验方法</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782"/>
        <w:gridCol w:w="882"/>
        <w:gridCol w:w="1882"/>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0"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项目</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允许偏差（mm）</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钢筋</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网片</w:t>
            </w: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长、宽</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网眼尺寸</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±10</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钢尺量连续三挡，取最大值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对角线</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端头不齐</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钢筋</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骨架</w:t>
            </w: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长</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0，-5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宽</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高（厚）</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主筋间距</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±10</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钢尺量两端、中间各一点，取最大值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主筋排距</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钢尺量两端、中间各一点，取最大值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箍筋间距</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±10</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钢尺量连续三档，取最大值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弯起点位置</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15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166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端头不齐</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782"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保护层</w:t>
            </w:r>
          </w:p>
        </w:tc>
        <w:tc>
          <w:tcPr>
            <w:tcW w:w="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柱、梁</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66"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782"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tc>
        <w:tc>
          <w:tcPr>
            <w:tcW w:w="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板、墙</w:t>
            </w:r>
          </w:p>
        </w:tc>
        <w:tc>
          <w:tcPr>
            <w:tcW w:w="1882"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±3</w:t>
            </w:r>
          </w:p>
        </w:tc>
        <w:tc>
          <w:tcPr>
            <w:tcW w:w="411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钢尺检查</w:t>
            </w:r>
          </w:p>
        </w:tc>
      </w:tr>
    </w:tbl>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cs="Times New Roman"/>
          <w:kern w:val="0"/>
          <w:sz w:val="21"/>
          <w:szCs w:val="21"/>
        </w:rPr>
      </w:pP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7</w:t>
      </w:r>
      <w:r>
        <w:rPr>
          <w:rFonts w:hint="eastAsia" w:ascii="黑体" w:hAnsi="黑体" w:eastAsia="黑体" w:cs="Times New Roman"/>
          <w:sz w:val="21"/>
          <w:szCs w:val="21"/>
        </w:rPr>
        <w:t>.2.4-2 钢筋桁架尺寸允许偏差</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2140"/>
        <w:gridCol w:w="4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项次</w:t>
            </w:r>
          </w:p>
        </w:tc>
        <w:tc>
          <w:tcPr>
            <w:tcW w:w="2140"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检查项目</w:t>
            </w:r>
          </w:p>
        </w:tc>
        <w:tc>
          <w:tcPr>
            <w:tcW w:w="4618"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允许偏差（mm）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1</w:t>
            </w:r>
          </w:p>
        </w:tc>
        <w:tc>
          <w:tcPr>
            <w:tcW w:w="2140"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长度</w:t>
            </w:r>
          </w:p>
        </w:tc>
        <w:tc>
          <w:tcPr>
            <w:tcW w:w="4618"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总长度的±0.3%，且不超过±10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2</w:t>
            </w:r>
          </w:p>
        </w:tc>
        <w:tc>
          <w:tcPr>
            <w:tcW w:w="2140"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高度</w:t>
            </w:r>
          </w:p>
        </w:tc>
        <w:tc>
          <w:tcPr>
            <w:tcW w:w="4618"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3</w:t>
            </w:r>
          </w:p>
        </w:tc>
        <w:tc>
          <w:tcPr>
            <w:tcW w:w="2140"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宽度</w:t>
            </w:r>
          </w:p>
        </w:tc>
        <w:tc>
          <w:tcPr>
            <w:tcW w:w="4618"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4</w:t>
            </w:r>
          </w:p>
        </w:tc>
        <w:tc>
          <w:tcPr>
            <w:tcW w:w="2140"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扭翘</w:t>
            </w:r>
          </w:p>
        </w:tc>
        <w:tc>
          <w:tcPr>
            <w:tcW w:w="4618" w:type="dxa"/>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t>≤5</w:t>
            </w:r>
          </w:p>
        </w:tc>
      </w:tr>
    </w:tbl>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p>
    <w:p>
      <w:pPr>
        <w:pStyle w:val="167"/>
        <w:rPr>
          <w:rFonts w:ascii="Times New Roman"/>
        </w:rPr>
      </w:pPr>
      <w:r>
        <w:rPr>
          <w:rFonts w:ascii="Times New Roman"/>
        </w:rPr>
        <w:t xml:space="preserve">混凝土的配合比应满足浇筑方式和台模振动密实方式的需要，还应满足加热蒸汽养护方式的需要。 </w:t>
      </w:r>
    </w:p>
    <w:p>
      <w:pPr>
        <w:pStyle w:val="167"/>
        <w:rPr>
          <w:rFonts w:ascii="Times New Roman"/>
        </w:rPr>
      </w:pPr>
      <w:r>
        <w:rPr>
          <w:rFonts w:ascii="Times New Roman"/>
        </w:rPr>
        <w:t xml:space="preserve">带保温材料的预制构件宜采用水平浇筑方式预制成型，并宜采用专用具有低传热性能的连接件连接内外两层混凝土，其数量及间距应符合设计要求。 </w:t>
      </w:r>
    </w:p>
    <w:p>
      <w:pPr>
        <w:pStyle w:val="167"/>
        <w:rPr>
          <w:rFonts w:ascii="Times New Roman"/>
        </w:rPr>
      </w:pPr>
      <w:r>
        <w:rPr>
          <w:rFonts w:ascii="Times New Roman"/>
        </w:rPr>
        <w:t>带门窗的预制构件制作应在台座上放置并固定门窗框，采取措施保护</w:t>
      </w:r>
      <w:r>
        <w:rPr>
          <w:rFonts w:hint="eastAsia" w:ascii="Times New Roman"/>
        </w:rPr>
        <w:t>其不受</w:t>
      </w:r>
      <w:r>
        <w:rPr>
          <w:rFonts w:ascii="Times New Roman"/>
        </w:rPr>
        <w:t>污染。</w:t>
      </w:r>
    </w:p>
    <w:p>
      <w:pPr>
        <w:pStyle w:val="107"/>
        <w:spacing w:before="156" w:after="156"/>
      </w:pPr>
      <w:bookmarkStart w:id="59" w:name="_Toc25240"/>
      <w:r>
        <w:rPr>
          <w:rFonts w:hint="eastAsia" w:ascii="黑体" w:hAnsi="黑体" w:eastAsia="黑体" w:cs="黑体"/>
          <w:b w:val="0"/>
          <w:bCs w:val="0"/>
        </w:rPr>
        <w:t>成型、养护及脱模</w:t>
      </w:r>
      <w:bookmarkEnd w:id="59"/>
    </w:p>
    <w:p>
      <w:pPr>
        <w:pStyle w:val="167"/>
        <w:rPr>
          <w:rFonts w:hint="eastAsia" w:ascii="Times New Roman"/>
        </w:rPr>
      </w:pPr>
      <w:r>
        <w:rPr>
          <w:rFonts w:hint="eastAsia" w:ascii="Times New Roman"/>
        </w:rPr>
        <w:t>叠合墙板的成型宜采用移动式钢模台自动翻转装置制造。</w:t>
      </w:r>
    </w:p>
    <w:p>
      <w:pPr>
        <w:pStyle w:val="167"/>
        <w:rPr>
          <w:rFonts w:hint="eastAsia" w:ascii="Times New Roman"/>
        </w:rPr>
      </w:pPr>
      <w:r>
        <w:rPr>
          <w:rFonts w:hint="eastAsia" w:ascii="Times New Roman"/>
        </w:rPr>
        <w:t>钢筋宜采用自动化机械设备加工，并应符合现行国家标准《混凝土结构工程施工规范》GB 50666的有关规定。接头连接力学性能应符合现行国家规范的相关规定。</w:t>
      </w:r>
    </w:p>
    <w:p>
      <w:pPr>
        <w:pStyle w:val="167"/>
        <w:rPr>
          <w:rFonts w:hint="eastAsia" w:ascii="Times New Roman"/>
        </w:rPr>
      </w:pPr>
      <w:r>
        <w:rPr>
          <w:rFonts w:hint="eastAsia" w:ascii="Times New Roman"/>
        </w:rPr>
        <w:t>钢筋半成品、钢筋网片、钢筋桁架和钢筋骨架（三向钢筋笼）应检查合格后方可进行安装，并应符合下列规定：</w:t>
      </w:r>
    </w:p>
    <w:p>
      <w:pPr>
        <w:pStyle w:val="176"/>
        <w:numPr>
          <w:ilvl w:val="0"/>
          <w:numId w:val="43"/>
        </w:numPr>
        <w:rPr>
          <w:rFonts w:hint="eastAsia" w:ascii="Times New Roman"/>
        </w:rPr>
      </w:pPr>
      <w:r>
        <w:rPr>
          <w:rFonts w:hint="eastAsia" w:ascii="Times New Roman"/>
        </w:rPr>
        <w:t>钢筋表面不得有油污、腐蚀。钢筋焊点无裂纹或烧伤等缺陷，焊点脱焊、漏焊的数量不超过5%,且相邻的焊点无脱焊、漏焊。同一批次半成品抽样比例不低于10%，且不少于3 件。对于焊接不合格的，应修整合格后再次送检，并全检。</w:t>
      </w:r>
    </w:p>
    <w:p>
      <w:pPr>
        <w:pStyle w:val="176"/>
        <w:numPr>
          <w:ilvl w:val="0"/>
          <w:numId w:val="43"/>
        </w:numPr>
        <w:rPr>
          <w:rFonts w:hint="eastAsia" w:ascii="Times New Roman"/>
        </w:rPr>
      </w:pPr>
      <w:r>
        <w:rPr>
          <w:rFonts w:hint="eastAsia" w:ascii="Times New Roman"/>
        </w:rPr>
        <w:t>钢筋网片和钢筋骨架宜采用吊架进行吊运。</w:t>
      </w:r>
    </w:p>
    <w:p>
      <w:pPr>
        <w:pStyle w:val="176"/>
        <w:numPr>
          <w:ilvl w:val="0"/>
          <w:numId w:val="43"/>
        </w:numPr>
        <w:rPr>
          <w:rFonts w:hint="eastAsia" w:ascii="Times New Roman"/>
        </w:rPr>
      </w:pPr>
      <w:r>
        <w:rPr>
          <w:rFonts w:hint="eastAsia" w:ascii="Times New Roman"/>
        </w:rPr>
        <w:t>混凝土保护层厚度应满足设计要求。保护层垫块宜与钢筋骨架或网片绑扎牢固，按梅花状布置，间距满足钢筋限位及控制变形要求，钢筋绑扎丝甩扣弯向构件内侧。</w:t>
      </w:r>
    </w:p>
    <w:p>
      <w:pPr>
        <w:pStyle w:val="167"/>
        <w:rPr>
          <w:rFonts w:hint="eastAsia" w:ascii="Times New Roman"/>
        </w:rPr>
      </w:pPr>
      <w:r>
        <w:rPr>
          <w:rFonts w:hint="eastAsia" w:ascii="Times New Roman"/>
        </w:rPr>
        <w:t>预制构件生产单位应在混凝土浇筑前进行隐蔽工程检查，检查项目应包括：</w:t>
      </w:r>
    </w:p>
    <w:p>
      <w:pPr>
        <w:pStyle w:val="176"/>
        <w:numPr>
          <w:ilvl w:val="0"/>
          <w:numId w:val="44"/>
        </w:numPr>
        <w:rPr>
          <w:rFonts w:hint="eastAsia" w:ascii="Times New Roman"/>
        </w:rPr>
      </w:pPr>
      <w:r>
        <w:rPr>
          <w:rFonts w:hint="eastAsia" w:ascii="Times New Roman"/>
        </w:rPr>
        <w:t>钢筋的牌号、规格、数量、位置和间距；</w:t>
      </w:r>
    </w:p>
    <w:p>
      <w:pPr>
        <w:pStyle w:val="176"/>
        <w:numPr>
          <w:ilvl w:val="0"/>
          <w:numId w:val="44"/>
        </w:numPr>
        <w:rPr>
          <w:rFonts w:hint="eastAsia" w:ascii="Times New Roman"/>
        </w:rPr>
      </w:pPr>
      <w:r>
        <w:rPr>
          <w:rFonts w:hint="eastAsia" w:ascii="Times New Roman"/>
        </w:rPr>
        <w:t>纵向受力钢筋的连接方式、接头位置、接头质量、接头面积百分率、搭接长度、锚固方式及锚固长度；</w:t>
      </w:r>
    </w:p>
    <w:p>
      <w:pPr>
        <w:pStyle w:val="176"/>
        <w:numPr>
          <w:ilvl w:val="0"/>
          <w:numId w:val="44"/>
        </w:numPr>
        <w:rPr>
          <w:rFonts w:hint="eastAsia" w:ascii="Times New Roman"/>
        </w:rPr>
      </w:pPr>
      <w:r>
        <w:rPr>
          <w:rFonts w:hint="eastAsia" w:ascii="Times New Roman"/>
        </w:rPr>
        <w:t>箍筋、拉筋弯钩的弯折角度及平直段长度；</w:t>
      </w:r>
    </w:p>
    <w:p>
      <w:pPr>
        <w:pStyle w:val="176"/>
        <w:numPr>
          <w:ilvl w:val="0"/>
          <w:numId w:val="44"/>
        </w:numPr>
        <w:rPr>
          <w:rFonts w:hint="eastAsia" w:ascii="Times New Roman"/>
        </w:rPr>
      </w:pPr>
      <w:r>
        <w:rPr>
          <w:rFonts w:hint="eastAsia" w:ascii="Times New Roman"/>
        </w:rPr>
        <w:t>墙身所配钢筋应形成完整的三向钢筋笼，墙身两侧的分布筋之间应有可靠拉结；</w:t>
      </w:r>
    </w:p>
    <w:p>
      <w:pPr>
        <w:pStyle w:val="176"/>
        <w:numPr>
          <w:ilvl w:val="0"/>
          <w:numId w:val="44"/>
        </w:numPr>
        <w:rPr>
          <w:rFonts w:hint="eastAsia" w:ascii="Times New Roman"/>
        </w:rPr>
      </w:pPr>
      <w:r>
        <w:rPr>
          <w:rFonts w:hint="eastAsia" w:ascii="Times New Roman"/>
        </w:rPr>
        <w:t>钢筋的混凝土保护层厚度；</w:t>
      </w:r>
    </w:p>
    <w:p>
      <w:pPr>
        <w:pStyle w:val="176"/>
        <w:numPr>
          <w:ilvl w:val="0"/>
          <w:numId w:val="44"/>
        </w:numPr>
        <w:rPr>
          <w:rFonts w:hint="eastAsia" w:ascii="Times New Roman"/>
        </w:rPr>
      </w:pPr>
      <w:r>
        <w:rPr>
          <w:rFonts w:hint="eastAsia" w:ascii="Times New Roman"/>
        </w:rPr>
        <w:t>预埋件、吊环、插筋、预留孔洞的规格、数量、位置及固定措施；</w:t>
      </w:r>
    </w:p>
    <w:p>
      <w:pPr>
        <w:pStyle w:val="176"/>
        <w:numPr>
          <w:ilvl w:val="0"/>
          <w:numId w:val="44"/>
        </w:numPr>
        <w:rPr>
          <w:rFonts w:hint="eastAsia" w:ascii="Times New Roman"/>
        </w:rPr>
      </w:pPr>
      <w:r>
        <w:rPr>
          <w:rFonts w:hint="eastAsia" w:ascii="Times New Roman"/>
        </w:rPr>
        <w:t>预埋线盒和管线的规格、数量、位置及固定措施；</w:t>
      </w:r>
    </w:p>
    <w:p>
      <w:pPr>
        <w:pStyle w:val="176"/>
        <w:numPr>
          <w:ilvl w:val="0"/>
          <w:numId w:val="44"/>
        </w:numPr>
        <w:rPr>
          <w:rFonts w:hint="eastAsia" w:ascii="Times New Roman"/>
        </w:rPr>
      </w:pPr>
      <w:r>
        <w:rPr>
          <w:rFonts w:hint="eastAsia" w:ascii="Times New Roman"/>
        </w:rPr>
        <w:t>叠合墙板保温层位置和厚度，拉结件的规格、数量和位置。</w:t>
      </w:r>
    </w:p>
    <w:p>
      <w:pPr>
        <w:pStyle w:val="167"/>
        <w:rPr>
          <w:rFonts w:hint="eastAsia" w:ascii="Times New Roman"/>
        </w:rPr>
      </w:pPr>
      <w:r>
        <w:rPr>
          <w:rFonts w:hint="eastAsia" w:ascii="Times New Roman"/>
        </w:rPr>
        <w:t>混凝土浇筑应符合下列规定：</w:t>
      </w:r>
    </w:p>
    <w:p>
      <w:pPr>
        <w:pStyle w:val="176"/>
        <w:numPr>
          <w:ilvl w:val="0"/>
          <w:numId w:val="45"/>
        </w:numPr>
        <w:rPr>
          <w:rFonts w:hint="eastAsia" w:ascii="Times New Roman"/>
        </w:rPr>
      </w:pPr>
      <w:r>
        <w:rPr>
          <w:rFonts w:hint="eastAsia" w:ascii="Times New Roman"/>
        </w:rPr>
        <w:t>混凝土浇筑前，预埋件及预留钢筋的外露部分宜采取防止污染的措施；</w:t>
      </w:r>
    </w:p>
    <w:p>
      <w:pPr>
        <w:pStyle w:val="176"/>
        <w:numPr>
          <w:ilvl w:val="0"/>
          <w:numId w:val="45"/>
        </w:numPr>
        <w:rPr>
          <w:rFonts w:hint="eastAsia" w:ascii="Times New Roman"/>
        </w:rPr>
      </w:pPr>
      <w:r>
        <w:rPr>
          <w:rFonts w:hint="eastAsia" w:ascii="Times New Roman"/>
        </w:rPr>
        <w:t>混凝土落模高度不宜大于600mm，并应均匀摊铺；</w:t>
      </w:r>
    </w:p>
    <w:p>
      <w:pPr>
        <w:pStyle w:val="176"/>
        <w:numPr>
          <w:ilvl w:val="0"/>
          <w:numId w:val="45"/>
        </w:numPr>
        <w:rPr>
          <w:rFonts w:hint="eastAsia" w:ascii="Times New Roman"/>
        </w:rPr>
      </w:pPr>
      <w:r>
        <w:rPr>
          <w:rFonts w:hint="eastAsia" w:ascii="Times New Roman"/>
        </w:rPr>
        <w:t>混凝土浇筑应连续进行；</w:t>
      </w:r>
    </w:p>
    <w:p>
      <w:pPr>
        <w:pStyle w:val="176"/>
        <w:numPr>
          <w:ilvl w:val="0"/>
          <w:numId w:val="45"/>
        </w:numPr>
        <w:rPr>
          <w:rFonts w:hint="eastAsia" w:ascii="Times New Roman"/>
        </w:rPr>
      </w:pPr>
      <w:r>
        <w:rPr>
          <w:rFonts w:hint="eastAsia" w:ascii="Times New Roman"/>
        </w:rPr>
        <w:t>混凝土从出机到浇筑完毕的延续时间，气温高于25℃时不宜超过60min，气温不高于25℃时不宜超过90min。</w:t>
      </w:r>
    </w:p>
    <w:p>
      <w:pPr>
        <w:pStyle w:val="167"/>
        <w:rPr>
          <w:rFonts w:hint="eastAsia" w:ascii="Times New Roman"/>
        </w:rPr>
      </w:pPr>
      <w:r>
        <w:rPr>
          <w:rFonts w:hint="eastAsia" w:ascii="Times New Roman"/>
        </w:rPr>
        <w:t>混凝土振捣除满足《混凝土结构工程施工规范》GB 50666有关规定外还应符合下列规定：</w:t>
      </w:r>
    </w:p>
    <w:p>
      <w:pPr>
        <w:pStyle w:val="176"/>
        <w:numPr>
          <w:ilvl w:val="0"/>
          <w:numId w:val="46"/>
        </w:numPr>
        <w:rPr>
          <w:rFonts w:hint="eastAsia" w:ascii="Times New Roman"/>
        </w:rPr>
      </w:pPr>
      <w:r>
        <w:rPr>
          <w:rFonts w:hint="eastAsia" w:ascii="Times New Roman"/>
        </w:rPr>
        <w:t>混凝土宜采用机械振捣方式成型。振捣设备应根据混凝土的品种、预制构件的规格和形状等因素确定，应制定振捣成型操作规程；</w:t>
      </w:r>
    </w:p>
    <w:p>
      <w:pPr>
        <w:pStyle w:val="176"/>
        <w:numPr>
          <w:ilvl w:val="0"/>
          <w:numId w:val="46"/>
        </w:numPr>
        <w:rPr>
          <w:rFonts w:hint="eastAsia" w:ascii="Times New Roman"/>
        </w:rPr>
      </w:pPr>
      <w:r>
        <w:rPr>
          <w:rFonts w:hint="eastAsia" w:ascii="Times New Roman"/>
        </w:rPr>
        <w:t>当采用振捣棒时，混凝土振捣过程中不应碰触钢筋骨架、面砖和预埋件；</w:t>
      </w:r>
    </w:p>
    <w:p>
      <w:pPr>
        <w:pStyle w:val="176"/>
        <w:numPr>
          <w:ilvl w:val="0"/>
          <w:numId w:val="46"/>
        </w:numPr>
        <w:rPr>
          <w:rFonts w:hint="eastAsia" w:ascii="Times New Roman"/>
        </w:rPr>
      </w:pPr>
      <w:r>
        <w:rPr>
          <w:rFonts w:hint="eastAsia" w:ascii="Times New Roman"/>
        </w:rPr>
        <w:t>混凝土振捣过程中应随时检查模具有无漏浆、变形以及预埋件有无移位等现象。</w:t>
      </w:r>
    </w:p>
    <w:p>
      <w:pPr>
        <w:pStyle w:val="167"/>
        <w:rPr>
          <w:rFonts w:hint="eastAsia" w:ascii="Times New Roman"/>
        </w:rPr>
      </w:pPr>
      <w:r>
        <w:rPr>
          <w:rFonts w:hint="eastAsia" w:ascii="Times New Roman"/>
        </w:rPr>
        <w:t>预制构件的养护，应符合现行国家标准《混凝土结构工程施工规范》GB 50666 的要求。预制构件采用加热养护时，应制定养护方案对静停、升温、恒温和降温时间进行控制，宜在常温下静停2h～6h，升温、降温速度不应超过20℃/h，最高养护温度不宜超过70℃，预制构件出窑的表面温度与环境温度的差值不宜超过25℃。在流水生产线上，蒸汽养护时应合理控制升温、降温速度和最高温度，构件表面宜保持90%~100%的相对湿度。</w:t>
      </w:r>
    </w:p>
    <w:p>
      <w:pPr>
        <w:pStyle w:val="167"/>
        <w:rPr>
          <w:rFonts w:ascii="Times New Roman"/>
        </w:rPr>
      </w:pPr>
      <w:r>
        <w:rPr>
          <w:rFonts w:ascii="Times New Roman"/>
        </w:rPr>
        <w:t>预制构件的饰面应符合设计要求。带面砖或石材饰面的预制构件宜采用反打成型制作。</w:t>
      </w:r>
    </w:p>
    <w:p>
      <w:pPr>
        <w:pStyle w:val="167"/>
        <w:rPr>
          <w:rFonts w:ascii="Times New Roman"/>
        </w:rPr>
      </w:pPr>
      <w:r>
        <w:rPr>
          <w:rFonts w:ascii="Times New Roman"/>
        </w:rPr>
        <w:t>采用现浇混凝土或砂浆连接的预制构件结合面，制作时应按设计要求进行处理。设计无具体要求时，宜进行拉毛、凿毛处理，或采用露骨料粗糙面。</w:t>
      </w:r>
    </w:p>
    <w:p>
      <w:pPr>
        <w:pStyle w:val="167"/>
        <w:rPr>
          <w:rFonts w:ascii="Times New Roman"/>
        </w:rPr>
      </w:pPr>
      <w:r>
        <w:rPr>
          <w:rFonts w:ascii="Times New Roman"/>
        </w:rPr>
        <w:t>预制构件侧模拆除时的混凝土强度应能保证其表面及棱角不受损伤。脱模起吊时预制构件的混凝土强度应满足最低强度的要求，当设计无规定时不应小于15MPa。</w:t>
      </w:r>
    </w:p>
    <w:p>
      <w:pPr>
        <w:pStyle w:val="107"/>
        <w:spacing w:before="156" w:after="156"/>
      </w:pPr>
      <w:bookmarkStart w:id="60" w:name="_Toc6620"/>
      <w:r>
        <w:rPr>
          <w:rFonts w:hint="eastAsia" w:ascii="黑体" w:hAnsi="黑体" w:eastAsia="黑体" w:cs="黑体"/>
          <w:b w:val="0"/>
          <w:bCs w:val="0"/>
        </w:rPr>
        <w:t>运输与堆放</w:t>
      </w:r>
      <w:bookmarkEnd w:id="60"/>
    </w:p>
    <w:p>
      <w:pPr>
        <w:pStyle w:val="167"/>
        <w:rPr>
          <w:rFonts w:hint="eastAsia" w:ascii="Times New Roman"/>
        </w:rPr>
      </w:pPr>
      <w:r>
        <w:rPr>
          <w:rFonts w:hint="eastAsia" w:ascii="Times New Roman"/>
        </w:rPr>
        <w:t xml:space="preserve">预制构件运输宜选用低平板车，车上应设有专用架，且有可靠的稳定构件的措施。预制构件混凝土强度应达到设计规定的强度时方可运输，当设计无规定时，不应小于设计混凝土强度标准值的75%。 </w:t>
      </w:r>
    </w:p>
    <w:p>
      <w:pPr>
        <w:pStyle w:val="167"/>
        <w:rPr>
          <w:rFonts w:hint="eastAsia" w:ascii="Times New Roman"/>
        </w:rPr>
      </w:pPr>
      <w:r>
        <w:rPr>
          <w:rFonts w:hint="eastAsia" w:ascii="Times New Roman"/>
        </w:rPr>
        <w:t xml:space="preserve">预制构件采用装箱方式运输时，箱内四周应采用木材、混凝土块作为支撑物，构件接触部位应用柔性垫片填实，支撑牢固不得松动。 </w:t>
      </w:r>
    </w:p>
    <w:p>
      <w:pPr>
        <w:pStyle w:val="167"/>
        <w:rPr>
          <w:rFonts w:hint="eastAsia" w:ascii="Times New Roman"/>
        </w:rPr>
      </w:pPr>
      <w:r>
        <w:rPr>
          <w:rFonts w:hint="eastAsia" w:ascii="Times New Roman"/>
        </w:rPr>
        <w:t xml:space="preserve">预制墙板宜采用竖直立放式运输，并应采用专用靠架。 </w:t>
      </w:r>
    </w:p>
    <w:p>
      <w:pPr>
        <w:pStyle w:val="167"/>
        <w:rPr>
          <w:rFonts w:hint="eastAsia" w:ascii="Times New Roman"/>
        </w:rPr>
      </w:pPr>
      <w:r>
        <w:rPr>
          <w:rFonts w:hint="eastAsia" w:ascii="Times New Roman"/>
        </w:rPr>
        <w:t xml:space="preserve">预制构件运送到施工现场后，应按规格、品种、所用部位、吊装顺序分别设置堆场。现场驳放堆场应设置在起重机械工作半径范围内，堆垛之间宜设置通道。 </w:t>
      </w:r>
    </w:p>
    <w:p>
      <w:pPr>
        <w:pStyle w:val="167"/>
        <w:rPr>
          <w:rFonts w:hint="eastAsia" w:ascii="Times New Roman"/>
        </w:rPr>
      </w:pPr>
      <w:r>
        <w:rPr>
          <w:rFonts w:hint="eastAsia" w:ascii="Times New Roman"/>
        </w:rPr>
        <w:t xml:space="preserve">现场运输道路和堆放堆场应平整坚实，并应有排水措施。运输车辆进入施工现场的道路，应满足预制构件的运输要求。卸放、吊装工作范围内不应有障碍物，并应有满足预制构件周转使用的场地。 </w:t>
      </w:r>
    </w:p>
    <w:p>
      <w:pPr>
        <w:pStyle w:val="167"/>
        <w:rPr>
          <w:rFonts w:hint="eastAsia" w:ascii="Times New Roman"/>
        </w:rPr>
      </w:pPr>
      <w:r>
        <w:rPr>
          <w:rFonts w:hint="eastAsia" w:ascii="Times New Roman"/>
        </w:rPr>
        <w:t xml:space="preserve">预制墙板可采用插放或靠放，堆放架应有足够的刚度，并需支垫稳固。宜将相邻堆放架连成整体，预制外墙板应外饰面朝外，其倾斜角度应保持大于85°。连接止水条、高低口、墙体转角等薄弱部位，应采用定型保护垫块或专用护套加强保护。 </w:t>
      </w:r>
    </w:p>
    <w:p>
      <w:pPr>
        <w:pStyle w:val="167"/>
        <w:rPr>
          <w:rFonts w:hint="eastAsia" w:ascii="Times New Roman"/>
        </w:rPr>
      </w:pPr>
      <w:r>
        <w:rPr>
          <w:rFonts w:hint="eastAsia" w:ascii="Times New Roman"/>
        </w:rPr>
        <w:t>预制叠合楼板可采用叠放方式堆放，层与层之间应垫平、垫实，各层支垫应上下对齐，最下面一层支垫应通长设置。</w:t>
      </w:r>
    </w:p>
    <w:p>
      <w:pPr>
        <w:pStyle w:val="106"/>
        <w:spacing w:before="312" w:after="312"/>
      </w:pPr>
      <w:bookmarkStart w:id="61" w:name="_Toc32603"/>
      <w:r>
        <w:rPr>
          <w:rFonts w:hint="eastAsia" w:ascii="黑体" w:hAnsi="黑体" w:eastAsia="黑体" w:cs="黑体"/>
          <w:b w:val="0"/>
          <w:bCs w:val="0"/>
        </w:rPr>
        <w:t>施工安装</w:t>
      </w:r>
      <w:bookmarkEnd w:id="61"/>
    </w:p>
    <w:p>
      <w:pPr>
        <w:pStyle w:val="107"/>
        <w:spacing w:before="156" w:after="156"/>
      </w:pPr>
      <w:bookmarkStart w:id="62" w:name="_Toc3053"/>
      <w:r>
        <w:rPr>
          <w:rFonts w:hint="eastAsia" w:ascii="黑体" w:hAnsi="黑体" w:eastAsia="黑体" w:cs="黑体"/>
          <w:b w:val="0"/>
          <w:bCs w:val="0"/>
        </w:rPr>
        <w:t>一般规定</w:t>
      </w:r>
      <w:bookmarkEnd w:id="62"/>
    </w:p>
    <w:p>
      <w:pPr>
        <w:pStyle w:val="167"/>
        <w:rPr>
          <w:rFonts w:hint="eastAsia" w:ascii="Times New Roman"/>
        </w:rPr>
      </w:pPr>
      <w:r>
        <w:rPr>
          <w:rFonts w:hint="eastAsia" w:ascii="Times New Roman"/>
        </w:rPr>
        <w:t xml:space="preserve">装配整体式叠合剪力墙结构的施工质量控制应贯穿于从预制构件运至现场到结构装配施工完成全过程。 </w:t>
      </w:r>
    </w:p>
    <w:p>
      <w:pPr>
        <w:pStyle w:val="167"/>
        <w:rPr>
          <w:rFonts w:hint="eastAsia" w:ascii="Times New Roman"/>
        </w:rPr>
      </w:pPr>
      <w:r>
        <w:rPr>
          <w:rFonts w:hint="eastAsia" w:ascii="Times New Roman"/>
        </w:rPr>
        <w:t xml:space="preserve"> 施工单位应对管理人员、施工作业人员进行质量、安全和技术交底</w:t>
      </w:r>
    </w:p>
    <w:p>
      <w:pPr>
        <w:pStyle w:val="167"/>
        <w:rPr>
          <w:rFonts w:hint="eastAsia" w:ascii="Times New Roman"/>
        </w:rPr>
      </w:pPr>
      <w:r>
        <w:rPr>
          <w:rFonts w:hint="eastAsia" w:ascii="Times New Roman"/>
        </w:rPr>
        <w:t xml:space="preserve">装配整体式叠合剪力墙体系结构施工前应编制专项施工方案，施工方案宜包括下列内容： </w:t>
      </w:r>
    </w:p>
    <w:p>
      <w:pPr>
        <w:pStyle w:val="176"/>
        <w:numPr>
          <w:ilvl w:val="0"/>
          <w:numId w:val="47"/>
        </w:numPr>
        <w:rPr>
          <w:rFonts w:hint="eastAsia" w:ascii="Times New Roman"/>
        </w:rPr>
      </w:pPr>
      <w:r>
        <w:rPr>
          <w:rFonts w:hint="eastAsia" w:ascii="Times New Roman"/>
        </w:rPr>
        <w:t xml:space="preserve">工程概况：分部分项工程概况、施工平面布置、施工要求和技术保证条件； </w:t>
      </w:r>
    </w:p>
    <w:p>
      <w:pPr>
        <w:pStyle w:val="176"/>
        <w:numPr>
          <w:ilvl w:val="0"/>
          <w:numId w:val="47"/>
        </w:numPr>
        <w:rPr>
          <w:rFonts w:hint="eastAsia" w:ascii="Times New Roman"/>
        </w:rPr>
      </w:pPr>
      <w:r>
        <w:rPr>
          <w:rFonts w:hint="eastAsia" w:ascii="Times New Roman"/>
        </w:rPr>
        <w:t xml:space="preserve">编制依据：相关规范性文件、标准、规范及图纸、施工组织设计等； </w:t>
      </w:r>
    </w:p>
    <w:p>
      <w:pPr>
        <w:pStyle w:val="176"/>
        <w:numPr>
          <w:ilvl w:val="0"/>
          <w:numId w:val="47"/>
        </w:numPr>
        <w:rPr>
          <w:rFonts w:hint="eastAsia" w:ascii="Times New Roman"/>
        </w:rPr>
      </w:pPr>
      <w:r>
        <w:rPr>
          <w:rFonts w:hint="eastAsia" w:ascii="Times New Roman"/>
        </w:rPr>
        <w:t xml:space="preserve">整体进度计划：结构总体施工进度计划，预制构件生产、安装计划，材料、设备及劳动力计划等； </w:t>
      </w:r>
    </w:p>
    <w:p>
      <w:pPr>
        <w:pStyle w:val="176"/>
        <w:numPr>
          <w:ilvl w:val="0"/>
          <w:numId w:val="47"/>
        </w:numPr>
        <w:rPr>
          <w:rFonts w:hint="eastAsia" w:ascii="Times New Roman"/>
        </w:rPr>
      </w:pPr>
      <w:r>
        <w:rPr>
          <w:rFonts w:hint="eastAsia" w:ascii="Times New Roman"/>
        </w:rPr>
        <w:t xml:space="preserve">预制构件运输方案：车辆型号数量，运输路线，现场装卸方法等； </w:t>
      </w:r>
    </w:p>
    <w:p>
      <w:pPr>
        <w:pStyle w:val="176"/>
        <w:numPr>
          <w:ilvl w:val="0"/>
          <w:numId w:val="47"/>
        </w:numPr>
        <w:rPr>
          <w:rFonts w:hint="eastAsia" w:ascii="Times New Roman"/>
        </w:rPr>
      </w:pPr>
      <w:r>
        <w:rPr>
          <w:rFonts w:hint="eastAsia" w:ascii="Times New Roman"/>
        </w:rPr>
        <w:t xml:space="preserve">施工场地布置：场内通道，吊装设备，构件堆放场地等； </w:t>
      </w:r>
    </w:p>
    <w:p>
      <w:pPr>
        <w:pStyle w:val="176"/>
        <w:numPr>
          <w:ilvl w:val="0"/>
          <w:numId w:val="47"/>
        </w:numPr>
        <w:rPr>
          <w:rFonts w:hint="eastAsia" w:ascii="Times New Roman"/>
        </w:rPr>
      </w:pPr>
      <w:r>
        <w:rPr>
          <w:rFonts w:hint="eastAsia" w:ascii="Times New Roman"/>
        </w:rPr>
        <w:t xml:space="preserve">专项安装方案：技术参数，工艺流程，吊装、节点施工，防水施工，后浇混凝土养护，全过程的成品保护及修补措施以及信息化管理等； </w:t>
      </w:r>
    </w:p>
    <w:p>
      <w:pPr>
        <w:pStyle w:val="176"/>
        <w:numPr>
          <w:ilvl w:val="0"/>
          <w:numId w:val="47"/>
        </w:numPr>
        <w:rPr>
          <w:rFonts w:hint="eastAsia" w:ascii="Times New Roman"/>
        </w:rPr>
      </w:pPr>
      <w:r>
        <w:rPr>
          <w:rFonts w:hint="eastAsia" w:ascii="Times New Roman"/>
        </w:rPr>
        <w:t xml:space="preserve">施工安全保证措施：大型塔吊附着安全措施、吊装安全措施、预制墙板和预制板支撑专项施工安全措施、组织保障、监测监控、应急预案、对应的安全生产规章制度等； </w:t>
      </w:r>
    </w:p>
    <w:p>
      <w:pPr>
        <w:pStyle w:val="176"/>
        <w:numPr>
          <w:ilvl w:val="0"/>
          <w:numId w:val="47"/>
        </w:numPr>
        <w:rPr>
          <w:rFonts w:hint="eastAsia" w:ascii="Times New Roman"/>
        </w:rPr>
      </w:pPr>
      <w:r>
        <w:rPr>
          <w:rFonts w:hint="eastAsia" w:ascii="Times New Roman"/>
        </w:rPr>
        <w:t xml:space="preserve">质量管理：构件安装的专项施工质量管理； </w:t>
      </w:r>
    </w:p>
    <w:p>
      <w:pPr>
        <w:pStyle w:val="176"/>
        <w:numPr>
          <w:ilvl w:val="0"/>
          <w:numId w:val="47"/>
        </w:numPr>
        <w:rPr>
          <w:rFonts w:hint="eastAsia" w:ascii="Times New Roman"/>
        </w:rPr>
      </w:pPr>
      <w:r>
        <w:rPr>
          <w:rFonts w:hint="eastAsia" w:ascii="Times New Roman"/>
        </w:rPr>
        <w:t xml:space="preserve">绿色施工与环境保护措施。 </w:t>
      </w:r>
    </w:p>
    <w:p>
      <w:pPr>
        <w:pStyle w:val="167"/>
        <w:rPr>
          <w:rFonts w:hint="eastAsia" w:ascii="Times New Roman"/>
        </w:rPr>
      </w:pPr>
      <w:r>
        <w:rPr>
          <w:rFonts w:hint="eastAsia" w:ascii="Times New Roman"/>
        </w:rPr>
        <w:t xml:space="preserve">装配整体式叠合剪力墙体系结构施工前应按设计要求和专项施工方案进行必要的施工验算。施工验算应包括以下内容： </w:t>
      </w:r>
    </w:p>
    <w:p>
      <w:pPr>
        <w:pStyle w:val="176"/>
        <w:numPr>
          <w:ilvl w:val="0"/>
          <w:numId w:val="48"/>
        </w:numPr>
        <w:rPr>
          <w:rFonts w:hint="eastAsia" w:ascii="Times New Roman"/>
        </w:rPr>
      </w:pPr>
      <w:r>
        <w:rPr>
          <w:rFonts w:hint="eastAsia" w:ascii="Times New Roman"/>
        </w:rPr>
        <w:t>预制构件运输路线和堆放位置地下室顶板支撑设置和承载力验算；</w:t>
      </w:r>
    </w:p>
    <w:p>
      <w:pPr>
        <w:pStyle w:val="176"/>
        <w:numPr>
          <w:ilvl w:val="0"/>
          <w:numId w:val="48"/>
        </w:numPr>
        <w:rPr>
          <w:rFonts w:hint="eastAsia" w:ascii="Times New Roman"/>
        </w:rPr>
      </w:pPr>
      <w:r>
        <w:rPr>
          <w:rFonts w:hint="eastAsia" w:ascii="Times New Roman"/>
        </w:rPr>
        <w:t xml:space="preserve">构件吊装的吊索具及扁担梁或吊框承载力验算； </w:t>
      </w:r>
    </w:p>
    <w:p>
      <w:pPr>
        <w:pStyle w:val="176"/>
        <w:numPr>
          <w:ilvl w:val="0"/>
          <w:numId w:val="48"/>
        </w:numPr>
        <w:rPr>
          <w:rFonts w:ascii="Times New Roman" w:hAnsi="Times New Roman" w:cs="Times New Roman"/>
          <w:kern w:val="0"/>
          <w:sz w:val="21"/>
          <w:szCs w:val="21"/>
        </w:rPr>
      </w:pPr>
      <w:r>
        <w:rPr>
          <w:rFonts w:hint="eastAsia" w:ascii="Times New Roman"/>
        </w:rPr>
        <w:t>预制构件安装过程中施工临时荷载作用下预制构件支撑系统和临时固定装置的承载力验算。</w:t>
      </w:r>
      <w:r>
        <w:rPr>
          <w:rFonts w:ascii="Times New Roman" w:hAnsi="Times New Roman" w:cs="Times New Roman"/>
          <w:kern w:val="0"/>
          <w:sz w:val="21"/>
          <w:szCs w:val="21"/>
        </w:rPr>
        <w:t xml:space="preserve"> </w:t>
      </w:r>
    </w:p>
    <w:p>
      <w:pPr>
        <w:pStyle w:val="167"/>
        <w:rPr>
          <w:rFonts w:ascii="Times New Roman"/>
        </w:rPr>
      </w:pPr>
      <w:r>
        <w:rPr>
          <w:rFonts w:ascii="Times New Roman"/>
        </w:rPr>
        <w:t xml:space="preserve">施工单位进行装配整体式叠合剪力墙体系结构施工前，为避免疏漏，应确认预制构件中所涉及的各专业预留预埋情况。 </w:t>
      </w:r>
    </w:p>
    <w:p>
      <w:pPr>
        <w:pStyle w:val="167"/>
        <w:rPr>
          <w:rFonts w:ascii="Times New Roman"/>
        </w:rPr>
      </w:pPr>
      <w:r>
        <w:rPr>
          <w:rFonts w:ascii="Times New Roman"/>
        </w:rPr>
        <w:t xml:space="preserve">装配整体式叠合剪力墙体系结构的后浇混凝土部位在浇筑前应进行隐蔽工程验收。 </w:t>
      </w:r>
    </w:p>
    <w:p>
      <w:pPr>
        <w:pStyle w:val="167"/>
        <w:rPr>
          <w:rFonts w:ascii="Times New Roman"/>
        </w:rPr>
      </w:pPr>
      <w:r>
        <w:rPr>
          <w:rFonts w:ascii="Times New Roman"/>
        </w:rPr>
        <w:t>装配整体式叠合剪力墙体系安装用材料及配件等应符合设计要求及国家现行有关标准的规定。吊装用吊具应按国家现行有关标准的规定进行设计、验算或试验检验。吊具应根据预制构件形状、尺寸及重量等参数进行配置，吊索水平夹角不宜</w:t>
      </w:r>
      <w:r>
        <w:rPr>
          <w:rFonts w:hint="eastAsia" w:ascii="Times New Roman"/>
        </w:rPr>
        <w:t>小</w:t>
      </w:r>
      <w:r>
        <w:rPr>
          <w:rFonts w:ascii="Times New Roman"/>
        </w:rPr>
        <w:t>于60°，且不应小于45°；对尺寸较大或形状复杂的预制构件，宜采用有分配梁或分配框的专用吊具。</w:t>
      </w:r>
    </w:p>
    <w:p>
      <w:pPr>
        <w:pStyle w:val="167"/>
        <w:rPr>
          <w:rFonts w:ascii="Times New Roman"/>
        </w:rPr>
      </w:pPr>
      <w:r>
        <w:rPr>
          <w:rFonts w:ascii="Times New Roman"/>
        </w:rPr>
        <w:t xml:space="preserve">未经设计允许不得对预制构件进行切割、开洞。 </w:t>
      </w:r>
    </w:p>
    <w:p>
      <w:pPr>
        <w:pStyle w:val="167"/>
        <w:rPr>
          <w:rFonts w:ascii="Times New Roman"/>
        </w:rPr>
      </w:pPr>
      <w:r>
        <w:rPr>
          <w:rFonts w:ascii="Times New Roman"/>
        </w:rPr>
        <w:t xml:space="preserve">装配整体式叠合剪力墙体系结构施工过程中应采取安全措施，并应符合行业现行标准《建筑施工高处作业安全技术规范》JGJ 80、《建筑机械使用安全技术规程》JGJ 33 、《施工现场临时用电安全技术规范》JGJ 46、江苏省工程建设标准《装配式混凝土建筑施工安全技术规程》DB32/T3689等的有关规定。 </w:t>
      </w:r>
    </w:p>
    <w:p>
      <w:pPr>
        <w:pStyle w:val="167"/>
        <w:rPr>
          <w:rFonts w:ascii="Times New Roman"/>
        </w:rPr>
      </w:pPr>
      <w:r>
        <w:rPr>
          <w:rFonts w:ascii="Times New Roman"/>
        </w:rPr>
        <w:t>装配整体式叠合剪力墙体系结构施工应有完整的质量控制及验收资料。</w:t>
      </w:r>
    </w:p>
    <w:p>
      <w:pPr>
        <w:pStyle w:val="107"/>
        <w:spacing w:before="156" w:after="156"/>
      </w:pPr>
      <w:bookmarkStart w:id="63" w:name="_Toc21050"/>
      <w:r>
        <w:rPr>
          <w:rFonts w:hint="eastAsia" w:ascii="黑体" w:hAnsi="黑体" w:eastAsia="黑体" w:cs="黑体"/>
          <w:b w:val="0"/>
          <w:bCs w:val="0"/>
        </w:rPr>
        <w:t>施工准备</w:t>
      </w:r>
      <w:bookmarkEnd w:id="63"/>
    </w:p>
    <w:p>
      <w:pPr>
        <w:pStyle w:val="167"/>
        <w:rPr>
          <w:rFonts w:ascii="Times New Roman"/>
        </w:rPr>
      </w:pPr>
      <w:r>
        <w:rPr>
          <w:rFonts w:ascii="Times New Roman"/>
        </w:rPr>
        <w:t>安装施工前，应核对已施工完成结构的混凝土强度、外观质量、尺寸偏差等</w:t>
      </w:r>
      <w:r>
        <w:rPr>
          <w:rFonts w:hint="eastAsia" w:ascii="Times New Roman"/>
        </w:rPr>
        <w:t>应</w:t>
      </w:r>
      <w:r>
        <w:rPr>
          <w:rFonts w:ascii="Times New Roman"/>
        </w:rPr>
        <w:t xml:space="preserve">符合国家现行标准《混凝土结构工程施工规范》GB 50066和本规程的有关规定，并应核对预制构件的混凝土强度及预制构件和配件的型号、规格、数量等符合设计要求。 </w:t>
      </w:r>
    </w:p>
    <w:p>
      <w:pPr>
        <w:pStyle w:val="167"/>
        <w:rPr>
          <w:rFonts w:ascii="Times New Roman"/>
        </w:rPr>
      </w:pPr>
      <w:r>
        <w:rPr>
          <w:rFonts w:ascii="Times New Roman"/>
        </w:rPr>
        <w:t>应合理规划构件运输通道和临时堆放场地，做好成品堆放保护措施</w:t>
      </w:r>
      <w:r>
        <w:rPr>
          <w:rFonts w:hint="eastAsia" w:ascii="Times New Roman"/>
        </w:rPr>
        <w:t>。</w:t>
      </w:r>
    </w:p>
    <w:p>
      <w:pPr>
        <w:pStyle w:val="167"/>
        <w:rPr>
          <w:rFonts w:ascii="Times New Roman"/>
        </w:rPr>
      </w:pPr>
      <w:r>
        <w:rPr>
          <w:rFonts w:ascii="Times New Roman"/>
        </w:rPr>
        <w:t xml:space="preserve">预制构件吊装前，应进行测量放线、设置构件安装定位标志。 </w:t>
      </w:r>
    </w:p>
    <w:p>
      <w:pPr>
        <w:pStyle w:val="167"/>
        <w:rPr>
          <w:rFonts w:ascii="Times New Roman"/>
        </w:rPr>
      </w:pPr>
      <w:r>
        <w:rPr>
          <w:rFonts w:ascii="Times New Roman"/>
        </w:rPr>
        <w:t xml:space="preserve">预制构件吊装前，应复核构件装配位置、节点连接构造及临时支撑设置等。 </w:t>
      </w:r>
    </w:p>
    <w:p>
      <w:pPr>
        <w:pStyle w:val="167"/>
        <w:rPr>
          <w:rFonts w:ascii="Times New Roman"/>
        </w:rPr>
      </w:pPr>
      <w:r>
        <w:rPr>
          <w:rFonts w:ascii="Times New Roman"/>
        </w:rPr>
        <w:t>预制构件吊装前，应检查复核吊装设备及吊具处于可安全使用状态。</w:t>
      </w:r>
    </w:p>
    <w:p>
      <w:pPr>
        <w:pStyle w:val="167"/>
        <w:rPr>
          <w:rFonts w:ascii="Times New Roman"/>
        </w:rPr>
      </w:pPr>
      <w:r>
        <w:rPr>
          <w:rFonts w:ascii="Times New Roman"/>
        </w:rPr>
        <w:t xml:space="preserve">预制构件吊装前，应核实现场环境、天气、道路状况满足吊装施工要求。 </w:t>
      </w:r>
    </w:p>
    <w:p>
      <w:pPr>
        <w:pStyle w:val="167"/>
        <w:rPr>
          <w:rFonts w:ascii="Times New Roman"/>
        </w:rPr>
      </w:pPr>
      <w:r>
        <w:rPr>
          <w:rFonts w:ascii="Times New Roman"/>
        </w:rPr>
        <w:t>预制构件吊装前，应根据专项施工方案中的预制构件的单件重量、形状、安装高度、吊装现场条件等技术参数来确认起重机械型号与配套吊具，起升工作半径应覆盖吊装区域。</w:t>
      </w:r>
    </w:p>
    <w:p>
      <w:pPr>
        <w:pStyle w:val="167"/>
        <w:rPr>
          <w:rFonts w:ascii="Times New Roman"/>
        </w:rPr>
      </w:pPr>
      <w:r>
        <w:rPr>
          <w:rFonts w:ascii="Times New Roman"/>
        </w:rPr>
        <w:t>装配整体式叠合剪力墙体系结构施工前，宜选择有代表性的拼装单元进行预制构件试安装，并应根据试安装结果及时调整完善施工方案和施工工艺。</w:t>
      </w:r>
    </w:p>
    <w:p>
      <w:pPr>
        <w:pStyle w:val="107"/>
        <w:spacing w:before="156" w:after="156"/>
      </w:pPr>
      <w:bookmarkStart w:id="64" w:name="_Toc4539"/>
      <w:r>
        <w:rPr>
          <w:rFonts w:hint="eastAsia" w:ascii="黑体" w:hAnsi="黑体" w:eastAsia="黑体" w:cs="黑体"/>
          <w:b w:val="0"/>
          <w:bCs w:val="0"/>
        </w:rPr>
        <w:t>预制构件安装</w:t>
      </w:r>
      <w:bookmarkEnd w:id="64"/>
    </w:p>
    <w:p>
      <w:pPr>
        <w:pStyle w:val="167"/>
        <w:rPr>
          <w:rFonts w:hint="eastAsia" w:ascii="Times New Roman"/>
          <w:sz w:val="21"/>
          <w:szCs w:val="21"/>
        </w:rPr>
      </w:pPr>
      <w:r>
        <w:rPr>
          <w:rFonts w:hint="eastAsia" w:ascii="Times New Roman"/>
          <w:sz w:val="21"/>
          <w:szCs w:val="21"/>
        </w:rPr>
        <w:t xml:space="preserve">预制构件吊装就位后，应及时校准并采取临时固定措施。 </w:t>
      </w:r>
    </w:p>
    <w:p>
      <w:pPr>
        <w:pStyle w:val="167"/>
        <w:rPr>
          <w:rFonts w:hint="eastAsia" w:ascii="Times New Roman"/>
          <w:sz w:val="21"/>
          <w:szCs w:val="21"/>
        </w:rPr>
      </w:pPr>
      <w:r>
        <w:rPr>
          <w:rFonts w:hint="eastAsia" w:ascii="Times New Roman"/>
          <w:sz w:val="21"/>
          <w:szCs w:val="21"/>
        </w:rPr>
        <w:t xml:space="preserve">在叠合剪力墙预制墙板就位前，应检查插入在下层预制墙板中空区域灌芯混凝土内竖向连接钢筋的规格、数量、位置和外露长度，当连接钢筋偏位时，应进行校直。 </w:t>
      </w:r>
    </w:p>
    <w:p>
      <w:pPr>
        <w:pStyle w:val="167"/>
        <w:rPr>
          <w:rFonts w:hint="eastAsia" w:ascii="Times New Roman"/>
          <w:sz w:val="21"/>
          <w:szCs w:val="21"/>
        </w:rPr>
      </w:pPr>
      <w:r>
        <w:rPr>
          <w:rFonts w:hint="eastAsia" w:ascii="Times New Roman"/>
          <w:sz w:val="21"/>
          <w:szCs w:val="21"/>
        </w:rPr>
        <w:t xml:space="preserve">焊接或螺栓连接的施工应符合国家现行标准《钢筋焊接及验收规程》JGJ 18、《钢结构焊接规范》GB 50661、《钢结构工程施工规范》GB 50755 和《钢结构工程施工质量验收标准》GB 50205 的有关规定。采用焊接连接时，应采取防止因连续施焊引起的连接部位混凝土开裂的措施。 </w:t>
      </w:r>
    </w:p>
    <w:p>
      <w:pPr>
        <w:pStyle w:val="167"/>
        <w:rPr>
          <w:rFonts w:hint="eastAsia" w:ascii="Times New Roman"/>
          <w:sz w:val="21"/>
          <w:szCs w:val="21"/>
        </w:rPr>
      </w:pPr>
      <w:r>
        <w:rPr>
          <w:rFonts w:hint="eastAsia" w:ascii="Times New Roman"/>
          <w:sz w:val="21"/>
          <w:szCs w:val="21"/>
        </w:rPr>
        <w:t xml:space="preserve">现浇混凝土结构部分钢筋机械连接的施工应符合现行行业标准《钢筋机械连接技术规程》JGJ 107 和《钢筋焊接及验收技术规程》JGJ18的有关规定。 </w:t>
      </w:r>
    </w:p>
    <w:p>
      <w:pPr>
        <w:pStyle w:val="167"/>
        <w:rPr>
          <w:rFonts w:hint="eastAsia" w:ascii="Times New Roman"/>
          <w:sz w:val="21"/>
          <w:szCs w:val="21"/>
        </w:rPr>
      </w:pPr>
      <w:r>
        <w:rPr>
          <w:rFonts w:hint="eastAsia" w:ascii="Times New Roman"/>
          <w:sz w:val="21"/>
          <w:szCs w:val="21"/>
        </w:rPr>
        <w:t xml:space="preserve">装配整体式叠合剪力墙的安装应符合下列规定： </w:t>
      </w:r>
    </w:p>
    <w:p>
      <w:pPr>
        <w:pStyle w:val="176"/>
        <w:numPr>
          <w:ilvl w:val="0"/>
          <w:numId w:val="49"/>
        </w:numPr>
        <w:rPr>
          <w:rFonts w:hint="eastAsia" w:ascii="Times New Roman"/>
        </w:rPr>
      </w:pPr>
      <w:r>
        <w:rPr>
          <w:rFonts w:hint="eastAsia" w:ascii="Times New Roman"/>
        </w:rPr>
        <w:t>构件安装前，应清洁结合面；</w:t>
      </w:r>
    </w:p>
    <w:p>
      <w:pPr>
        <w:pStyle w:val="176"/>
        <w:numPr>
          <w:ilvl w:val="0"/>
          <w:numId w:val="49"/>
        </w:numPr>
        <w:rPr>
          <w:rFonts w:hint="eastAsia" w:ascii="Times New Roman"/>
        </w:rPr>
      </w:pPr>
      <w:r>
        <w:rPr>
          <w:rFonts w:hint="eastAsia" w:ascii="Times New Roman"/>
        </w:rPr>
        <w:t xml:space="preserve">构件底部应设置可调整接缝厚度和底部标高的垫块； </w:t>
      </w:r>
    </w:p>
    <w:p>
      <w:pPr>
        <w:pStyle w:val="176"/>
        <w:numPr>
          <w:ilvl w:val="0"/>
          <w:numId w:val="49"/>
        </w:numPr>
        <w:rPr>
          <w:rFonts w:hint="eastAsia" w:ascii="Times New Roman"/>
        </w:rPr>
      </w:pPr>
      <w:r>
        <w:rPr>
          <w:rFonts w:hint="eastAsia" w:ascii="Times New Roman"/>
        </w:rPr>
        <w:t xml:space="preserve">装配整体式混凝土双面叠合剪力墙底部不采用座浆材料时，其下口预留的水平缝应采取可靠的封堵措施；采用座浆材料时，其厚度不宜大于30mm。 </w:t>
      </w:r>
    </w:p>
    <w:p>
      <w:pPr>
        <w:pStyle w:val="176"/>
        <w:numPr>
          <w:ilvl w:val="0"/>
          <w:numId w:val="49"/>
        </w:numPr>
        <w:rPr>
          <w:rFonts w:hint="eastAsia" w:ascii="Times New Roman"/>
        </w:rPr>
      </w:pPr>
      <w:r>
        <w:rPr>
          <w:rFonts w:hint="eastAsia" w:ascii="Times New Roman"/>
        </w:rPr>
        <w:t>装配整体式混凝土双面叠合剪力墙单元构件应保证不少于2点的垂直可调斜撑，斜撑上端支撑点距离底部的距离不宜小于高度的2/3，且不应小于高度的1/2。斜撑底部应与混凝土叠合楼面可靠连接，宜采用膨胀螺栓连接（图</w:t>
      </w:r>
      <w:r>
        <w:rPr>
          <w:rFonts w:hint="eastAsia" w:ascii="Times New Roman"/>
          <w:lang w:val="en-US" w:eastAsia="zh-CN"/>
        </w:rPr>
        <w:t>8</w:t>
      </w:r>
      <w:r>
        <w:rPr>
          <w:rFonts w:hint="eastAsia" w:ascii="Times New Roman"/>
        </w:rPr>
        <w:t>.3.5）。</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hint="eastAsia" w:ascii="Times New Roman" w:hAnsi="Times New Roman" w:cs="Times New Roman"/>
          <w:kern w:val="0"/>
          <w:sz w:val="21"/>
          <w:szCs w:val="21"/>
        </w:rPr>
        <w:drawing>
          <wp:inline distT="0" distB="0" distL="114300" distR="114300">
            <wp:extent cx="1964690" cy="2072005"/>
            <wp:effectExtent l="0" t="0" r="16510" b="4445"/>
            <wp:docPr id="7" name="图片 7" descr="图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8.3.5"/>
                    <pic:cNvPicPr>
                      <a:picLocks noChangeAspect="1"/>
                    </pic:cNvPicPr>
                  </pic:nvPicPr>
                  <pic:blipFill>
                    <a:blip r:embed="rId40" cstate="print"/>
                    <a:srcRect l="23881" t="6934" r="32517"/>
                    <a:stretch>
                      <a:fillRect/>
                    </a:stretch>
                  </pic:blipFill>
                  <pic:spPr>
                    <a:xfrm>
                      <a:off x="0" y="0"/>
                      <a:ext cx="1964690" cy="2072005"/>
                    </a:xfrm>
                    <a:prstGeom prst="rect">
                      <a:avLst/>
                    </a:prstGeom>
                  </pic:spPr>
                </pic:pic>
              </a:graphicData>
            </a:graphic>
          </wp:inline>
        </w:drawing>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图</w:t>
      </w:r>
      <w:r>
        <w:rPr>
          <w:rFonts w:hint="eastAsia" w:ascii="Times New Roman" w:hAnsi="Times New Roman" w:cs="Times New Roman"/>
          <w:kern w:val="0"/>
          <w:sz w:val="21"/>
          <w:szCs w:val="21"/>
          <w:lang w:val="en-US" w:eastAsia="zh-CN"/>
        </w:rPr>
        <w:t>8</w:t>
      </w:r>
      <w:r>
        <w:rPr>
          <w:rFonts w:hint="eastAsia" w:ascii="Times New Roman" w:hAnsi="Times New Roman" w:cs="Times New Roman"/>
          <w:kern w:val="0"/>
          <w:sz w:val="21"/>
          <w:szCs w:val="21"/>
        </w:rPr>
        <w:t>.3</w:t>
      </w:r>
      <w:r>
        <w:rPr>
          <w:rFonts w:ascii="Times New Roman" w:hAnsi="Times New Roman" w:cs="Times New Roman"/>
          <w:kern w:val="0"/>
          <w:sz w:val="21"/>
          <w:szCs w:val="21"/>
        </w:rPr>
        <w:t>.5 预制混凝土叠合剪力墙单元构件的斜撑固定</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 xml:space="preserve">装配整体式叠合剪力墙中空区域现场灌芯混凝土应符合设计和节点连接施工方案的要求，并符合国家现行有关规范。 </w:t>
      </w:r>
    </w:p>
    <w:p>
      <w:pPr>
        <w:pStyle w:val="167"/>
        <w:keepNext w:val="0"/>
        <w:keepLines w:val="0"/>
        <w:pageBreakBefore w:val="0"/>
        <w:widowControl w:val="0"/>
        <w:kinsoku/>
        <w:wordWrap/>
        <w:overflowPunct/>
        <w:topLinePunct w:val="0"/>
        <w:bidi w:val="0"/>
        <w:snapToGrid/>
        <w:spacing w:beforeLines="0" w:afterLines="0"/>
        <w:textAlignment w:val="auto"/>
        <w:rPr>
          <w:rFonts w:ascii="Times New Roman" w:hAnsi="Times New Roman" w:cs="Times New Roman"/>
          <w:kern w:val="0"/>
          <w:sz w:val="21"/>
          <w:szCs w:val="21"/>
        </w:rPr>
      </w:pPr>
      <w:r>
        <w:rPr>
          <w:rFonts w:hint="eastAsia" w:ascii="Times New Roman"/>
          <w:sz w:val="21"/>
          <w:szCs w:val="21"/>
        </w:rPr>
        <w:t>叠合墙板的现浇混凝土施工应符合下列规定：</w:t>
      </w:r>
      <w:r>
        <w:rPr>
          <w:rFonts w:ascii="Times New Roman" w:hAnsi="Times New Roman" w:cs="Times New Roman"/>
          <w:kern w:val="0"/>
          <w:sz w:val="21"/>
          <w:szCs w:val="21"/>
        </w:rPr>
        <w:t xml:space="preserve"> </w:t>
      </w:r>
    </w:p>
    <w:p>
      <w:pPr>
        <w:pStyle w:val="176"/>
        <w:numPr>
          <w:ilvl w:val="0"/>
          <w:numId w:val="50"/>
        </w:numPr>
        <w:rPr>
          <w:rFonts w:hint="eastAsia" w:ascii="Times New Roman"/>
        </w:rPr>
      </w:pPr>
      <w:r>
        <w:rPr>
          <w:rFonts w:hint="eastAsia" w:ascii="Times New Roman"/>
        </w:rPr>
        <w:t>叠合墙板预制构件的叠合面在浇筑混凝土前应清理干净并应洒水充分润湿 ；</w:t>
      </w:r>
    </w:p>
    <w:p>
      <w:pPr>
        <w:pStyle w:val="176"/>
        <w:numPr>
          <w:ilvl w:val="0"/>
          <w:numId w:val="50"/>
        </w:numPr>
        <w:rPr>
          <w:rFonts w:hint="eastAsia" w:ascii="Times New Roman"/>
        </w:rPr>
      </w:pPr>
      <w:r>
        <w:rPr>
          <w:rFonts w:hint="eastAsia" w:ascii="Times New Roman"/>
        </w:rPr>
        <w:t>双面叠合墙板空腔内后浇混凝土应分层连续浇筑，分层厚度不大于1m。应先做浇筑工艺试验，并制定严密的泵送墙板混凝土和叠合板普通混凝土的施工措施；当采用粗骨料粒径不大于20mm的塌落度为180~200mm混凝土时，双面叠合墙体空腔部位宜采用直径为35mm的振捣棒振捣，边缘构件现浇混凝土部位宜采用直径为50mm的振捣棒振捣，并应分层振捣密实 。</w:t>
      </w:r>
    </w:p>
    <w:p>
      <w:pPr>
        <w:pStyle w:val="176"/>
        <w:numPr>
          <w:ilvl w:val="0"/>
          <w:numId w:val="50"/>
        </w:numPr>
        <w:rPr>
          <w:rFonts w:hint="eastAsia" w:ascii="Times New Roman"/>
        </w:rPr>
      </w:pPr>
      <w:r>
        <w:rPr>
          <w:rFonts w:hint="eastAsia" w:ascii="Times New Roman"/>
        </w:rPr>
        <w:t xml:space="preserve">应保证现浇混凝土部分模板形状、尺寸和位置准确，并应防止漏浆； </w:t>
      </w:r>
    </w:p>
    <w:p>
      <w:pPr>
        <w:pStyle w:val="176"/>
        <w:numPr>
          <w:ilvl w:val="0"/>
          <w:numId w:val="50"/>
        </w:numPr>
        <w:rPr>
          <w:rFonts w:hint="eastAsia" w:ascii="Times New Roman"/>
        </w:rPr>
      </w:pPr>
      <w:r>
        <w:rPr>
          <w:rFonts w:hint="eastAsia" w:ascii="Times New Roman"/>
        </w:rPr>
        <w:t>用于检验混凝土强度的试件应在浇筑地点随机取样，检查数量应符合现行国家标准《混凝土结构工 程施工质量验收规范》GB50204的相关要求。</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 xml:space="preserve">受弯叠合构件的装配施工应符合下列规定： </w:t>
      </w:r>
    </w:p>
    <w:p>
      <w:pPr>
        <w:pStyle w:val="176"/>
        <w:numPr>
          <w:ilvl w:val="0"/>
          <w:numId w:val="51"/>
        </w:numPr>
        <w:rPr>
          <w:rFonts w:hint="eastAsia" w:ascii="Times New Roman"/>
        </w:rPr>
      </w:pPr>
      <w:r>
        <w:rPr>
          <w:rFonts w:hint="eastAsia" w:ascii="Times New Roman"/>
        </w:rPr>
        <w:t>应根据设计或施工方案要求设置临时支撑，临时支撑梁应平整， 实际安装的顶面高度与设计高度相比，应小于3mm；</w:t>
      </w:r>
    </w:p>
    <w:p>
      <w:pPr>
        <w:pStyle w:val="176"/>
        <w:numPr>
          <w:ilvl w:val="0"/>
          <w:numId w:val="51"/>
        </w:numPr>
        <w:rPr>
          <w:rFonts w:hint="eastAsia" w:ascii="Times New Roman"/>
        </w:rPr>
      </w:pPr>
      <w:r>
        <w:rPr>
          <w:rFonts w:hint="eastAsia" w:ascii="Times New Roman"/>
        </w:rPr>
        <w:t xml:space="preserve">施工荷载宜均匀分布，并不应超过设计规定； </w:t>
      </w:r>
    </w:p>
    <w:p>
      <w:pPr>
        <w:pStyle w:val="176"/>
        <w:numPr>
          <w:ilvl w:val="0"/>
          <w:numId w:val="51"/>
        </w:numPr>
        <w:rPr>
          <w:rFonts w:hint="eastAsia" w:ascii="Times New Roman"/>
        </w:rPr>
      </w:pPr>
      <w:r>
        <w:rPr>
          <w:rFonts w:hint="eastAsia" w:ascii="Times New Roman"/>
        </w:rPr>
        <w:t xml:space="preserve">在混凝土浇筑前，应按设计要求检查结合面的粗糙度及预制构件的外露钢筋； </w:t>
      </w:r>
    </w:p>
    <w:p>
      <w:pPr>
        <w:pStyle w:val="176"/>
        <w:numPr>
          <w:ilvl w:val="0"/>
          <w:numId w:val="51"/>
        </w:numPr>
        <w:rPr>
          <w:rFonts w:hint="eastAsia" w:ascii="Times New Roman"/>
        </w:rPr>
      </w:pPr>
      <w:r>
        <w:rPr>
          <w:rFonts w:hint="eastAsia" w:ascii="Times New Roman"/>
        </w:rPr>
        <w:t>叠合构件应在现浇叠合层混凝土强度达到设计要求后，方可拆除临时支撑。</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4140200" cy="1737360"/>
            <wp:effectExtent l="0" t="0" r="12700" b="152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41" cstate="print"/>
                    <a:stretch>
                      <a:fillRect/>
                    </a:stretch>
                  </pic:blipFill>
                  <pic:spPr>
                    <a:xfrm>
                      <a:off x="0" y="0"/>
                      <a:ext cx="4140200" cy="173736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cs="Times New Roman"/>
          <w:kern w:val="0"/>
          <w:sz w:val="21"/>
          <w:szCs w:val="21"/>
        </w:rPr>
      </w:pPr>
      <w:r>
        <w:rPr>
          <w:rFonts w:ascii="Times New Roman" w:hAnsi="Times New Roman" w:cs="Times New Roman"/>
          <w:kern w:val="0"/>
          <w:sz w:val="21"/>
          <w:szCs w:val="21"/>
        </w:rPr>
        <w:t>图</w:t>
      </w:r>
      <w:r>
        <w:rPr>
          <w:rFonts w:hint="eastAsia" w:ascii="Times New Roman" w:hAnsi="Times New Roman" w:cs="Times New Roman"/>
          <w:kern w:val="0"/>
          <w:sz w:val="21"/>
          <w:szCs w:val="21"/>
          <w:lang w:val="en-US" w:eastAsia="zh-CN"/>
        </w:rPr>
        <w:t>8</w:t>
      </w:r>
      <w:r>
        <w:rPr>
          <w:rFonts w:hint="eastAsia" w:ascii="Times New Roman" w:hAnsi="Times New Roman" w:cs="Times New Roman"/>
          <w:kern w:val="0"/>
          <w:sz w:val="21"/>
          <w:szCs w:val="21"/>
        </w:rPr>
        <w:t>.3</w:t>
      </w:r>
      <w:r>
        <w:rPr>
          <w:rFonts w:ascii="Times New Roman" w:hAnsi="Times New Roman" w:cs="Times New Roman"/>
          <w:kern w:val="0"/>
          <w:sz w:val="21"/>
          <w:szCs w:val="21"/>
        </w:rPr>
        <w:t xml:space="preserve">.8 叠合楼板临时支撑示意图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 xml:space="preserve">安装预制受弯构件时，端部的搁置长度应符合设计要求。当设计无要求， 且预制受弯构件下方布置临时支撑时，其端部的搁置长度宜为15mm。端部与支承构件之间应坐浆或设置支承垫块，坐浆或支承垫块厚度不宜大于20mm。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 xml:space="preserve">预制外挂墙板的连接节点及接缝构造应符合设计要求；墙板安装完成后， 应及时移除临时支承支座、墙板接缝内的传力垫块。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 xml:space="preserve">外墙板接缝防水施工应符合下列规定： </w:t>
      </w:r>
    </w:p>
    <w:p>
      <w:pPr>
        <w:pStyle w:val="176"/>
        <w:numPr>
          <w:ilvl w:val="0"/>
          <w:numId w:val="52"/>
        </w:numPr>
        <w:rPr>
          <w:rFonts w:hint="eastAsia" w:ascii="Times New Roman"/>
        </w:rPr>
      </w:pPr>
      <w:r>
        <w:rPr>
          <w:rFonts w:hint="eastAsia" w:ascii="Times New Roman"/>
        </w:rPr>
        <w:t xml:space="preserve">防水施工前，应将墙板接缝的侧面内腔清理干净； </w:t>
      </w:r>
    </w:p>
    <w:p>
      <w:pPr>
        <w:pStyle w:val="176"/>
        <w:numPr>
          <w:ilvl w:val="0"/>
          <w:numId w:val="52"/>
        </w:numPr>
        <w:rPr>
          <w:rFonts w:hint="eastAsia" w:ascii="Times New Roman"/>
        </w:rPr>
      </w:pPr>
      <w:r>
        <w:rPr>
          <w:rFonts w:hint="eastAsia" w:ascii="Times New Roman"/>
        </w:rPr>
        <w:t xml:space="preserve">应按设计要求填塞背衬材料； </w:t>
      </w:r>
    </w:p>
    <w:p>
      <w:pPr>
        <w:pStyle w:val="176"/>
        <w:numPr>
          <w:ilvl w:val="0"/>
          <w:numId w:val="52"/>
        </w:numPr>
        <w:rPr>
          <w:rFonts w:hint="eastAsia" w:ascii="Times New Roman"/>
        </w:rPr>
      </w:pPr>
      <w:r>
        <w:rPr>
          <w:rFonts w:hint="eastAsia" w:ascii="Times New Roman"/>
        </w:rPr>
        <w:t xml:space="preserve">密封材料嵌填应饱满、密实、均匀、顺直、表面平滑，其厚度应符合设计要求。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 xml:space="preserve">外墙板预制构件校核与调整应符合下列规定： </w:t>
      </w:r>
    </w:p>
    <w:p>
      <w:pPr>
        <w:pStyle w:val="176"/>
        <w:numPr>
          <w:ilvl w:val="0"/>
          <w:numId w:val="53"/>
        </w:numPr>
        <w:rPr>
          <w:rFonts w:hint="eastAsia" w:ascii="Times New Roman"/>
        </w:rPr>
      </w:pPr>
      <w:r>
        <w:rPr>
          <w:rFonts w:hint="eastAsia" w:ascii="Times New Roman"/>
        </w:rPr>
        <w:t xml:space="preserve">预制外墙板侧面中线与板面垂直度的校核，应以中线为主进行调整。 </w:t>
      </w:r>
    </w:p>
    <w:p>
      <w:pPr>
        <w:pStyle w:val="176"/>
        <w:numPr>
          <w:ilvl w:val="0"/>
          <w:numId w:val="53"/>
        </w:numPr>
        <w:rPr>
          <w:rFonts w:hint="eastAsia" w:ascii="Times New Roman"/>
        </w:rPr>
      </w:pPr>
      <w:r>
        <w:rPr>
          <w:rFonts w:hint="eastAsia" w:ascii="Times New Roman"/>
        </w:rPr>
        <w:t xml:space="preserve">预制外墙板上下校正时，应以竖缝为主进行调整。 </w:t>
      </w:r>
    </w:p>
    <w:p>
      <w:pPr>
        <w:pStyle w:val="176"/>
        <w:numPr>
          <w:ilvl w:val="0"/>
          <w:numId w:val="53"/>
        </w:numPr>
        <w:rPr>
          <w:rFonts w:hint="eastAsia" w:ascii="Times New Roman"/>
        </w:rPr>
      </w:pPr>
      <w:r>
        <w:rPr>
          <w:rFonts w:hint="eastAsia" w:ascii="Times New Roman"/>
        </w:rPr>
        <w:t xml:space="preserve">预制外墙板接缝应满足外墙面平整为主，内墙面不平或翘曲时，可在内装饰或内保温层内调整。 </w:t>
      </w:r>
    </w:p>
    <w:p>
      <w:pPr>
        <w:pStyle w:val="176"/>
        <w:numPr>
          <w:ilvl w:val="0"/>
          <w:numId w:val="53"/>
        </w:numPr>
        <w:rPr>
          <w:rFonts w:hint="eastAsia" w:ascii="Times New Roman"/>
        </w:rPr>
      </w:pPr>
      <w:r>
        <w:rPr>
          <w:rFonts w:hint="eastAsia" w:ascii="Times New Roman"/>
        </w:rPr>
        <w:t xml:space="preserve">预制外墙板山墙阳角与相邻板的校正，以阳角为基准进行调整。 </w:t>
      </w:r>
    </w:p>
    <w:p>
      <w:pPr>
        <w:pStyle w:val="176"/>
        <w:numPr>
          <w:ilvl w:val="0"/>
          <w:numId w:val="53"/>
        </w:numPr>
        <w:rPr>
          <w:rFonts w:hint="eastAsia" w:ascii="Times New Roman"/>
        </w:rPr>
      </w:pPr>
      <w:r>
        <w:rPr>
          <w:rFonts w:hint="eastAsia" w:ascii="Times New Roman"/>
        </w:rPr>
        <w:t xml:space="preserve">预制外墙板拼缝平整的校核，应以楼地面水平线为准进行调整。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rPr>
      </w:pPr>
      <w:r>
        <w:rPr>
          <w:rFonts w:hint="eastAsia" w:ascii="Times New Roman"/>
          <w:sz w:val="21"/>
          <w:szCs w:val="21"/>
        </w:rPr>
        <w:t>预制构件连接部位座浆材料的强度等级应不低于被连接构件混凝土的强度等级，且应满足表</w:t>
      </w:r>
      <w:r>
        <w:rPr>
          <w:rFonts w:hint="eastAsia" w:ascii="Times New Roman"/>
          <w:sz w:val="21"/>
          <w:szCs w:val="21"/>
          <w:lang w:val="en-US" w:eastAsia="zh-CN"/>
        </w:rPr>
        <w:t>8</w:t>
      </w:r>
      <w:r>
        <w:rPr>
          <w:rFonts w:hint="eastAsia" w:ascii="Times New Roman"/>
          <w:sz w:val="21"/>
          <w:szCs w:val="21"/>
        </w:rPr>
        <w:t>.3.13的要求。 后浇混凝土及座浆料的强度达到设计要求后，方可拆除临时固定措施。</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8</w:t>
      </w:r>
      <w:r>
        <w:rPr>
          <w:rFonts w:hint="eastAsia" w:ascii="黑体" w:hAnsi="黑体" w:eastAsia="黑体" w:cs="Times New Roman"/>
          <w:sz w:val="21"/>
          <w:szCs w:val="21"/>
        </w:rPr>
        <w:t>.3.13 座浆用灌浆料性能要求</w:t>
      </w:r>
    </w:p>
    <w:tbl>
      <w:tblPr>
        <w:tblStyle w:val="28"/>
        <w:tblW w:w="0" w:type="auto"/>
        <w:tblInd w:w="1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46"/>
        <w:gridCol w:w="1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项目</w:t>
            </w:r>
          </w:p>
        </w:tc>
        <w:tc>
          <w:tcPr>
            <w:tcW w:w="1746"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性能指标</w:t>
            </w:r>
          </w:p>
        </w:tc>
        <w:tc>
          <w:tcPr>
            <w:tcW w:w="1895"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流动度</w:t>
            </w:r>
          </w:p>
        </w:tc>
        <w:tc>
          <w:tcPr>
            <w:tcW w:w="1746"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130mm~170 mm</w:t>
            </w:r>
          </w:p>
        </w:tc>
        <w:tc>
          <w:tcPr>
            <w:tcW w:w="1895"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GB/T 2419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抗压强度_1d</w:t>
            </w:r>
          </w:p>
        </w:tc>
        <w:tc>
          <w:tcPr>
            <w:tcW w:w="1746"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30 MPa</w:t>
            </w:r>
          </w:p>
        </w:tc>
        <w:tc>
          <w:tcPr>
            <w:tcW w:w="1895" w:type="dxa"/>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kern w:val="0"/>
                <w:sz w:val="21"/>
                <w:szCs w:val="21"/>
              </w:rPr>
            </w:pPr>
            <w:r>
              <w:rPr>
                <w:rFonts w:ascii="Times New Roman" w:hAnsi="Times New Roman" w:eastAsia="宋体" w:cs="Times New Roman"/>
                <w:color w:val="000000"/>
                <w:sz w:val="21"/>
                <w:szCs w:val="21"/>
              </w:rPr>
              <w:t>GB/T 17671</w:t>
            </w:r>
          </w:p>
        </w:tc>
      </w:tr>
    </w:tbl>
    <w:p>
      <w:pPr>
        <w:pStyle w:val="107"/>
        <w:spacing w:before="156" w:after="156"/>
        <w:rPr>
          <w:rFonts w:hint="eastAsia" w:ascii="黑体" w:hAnsi="黑体" w:eastAsia="黑体" w:cs="黑体"/>
          <w:b w:val="0"/>
          <w:bCs w:val="0"/>
          <w:lang w:val="en-US" w:eastAsia="zh-CN"/>
        </w:rPr>
      </w:pPr>
      <w:bookmarkStart w:id="65" w:name="_Toc22705"/>
      <w:bookmarkStart w:id="66" w:name="_Toc30104"/>
      <w:r>
        <w:rPr>
          <w:rFonts w:hint="eastAsia" w:ascii="黑体" w:hAnsi="黑体" w:eastAsia="黑体" w:cs="黑体"/>
          <w:b w:val="0"/>
          <w:bCs w:val="0"/>
          <w:lang w:val="en-US" w:eastAsia="zh-CN"/>
        </w:rPr>
        <w:t>成品保护</w:t>
      </w:r>
      <w:bookmarkEnd w:id="65"/>
      <w:bookmarkEnd w:id="66"/>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lang w:val="en-US" w:eastAsia="zh-CN"/>
        </w:rPr>
      </w:pPr>
      <w:r>
        <w:rPr>
          <w:rFonts w:hint="eastAsia" w:ascii="Times New Roman"/>
          <w:sz w:val="21"/>
          <w:szCs w:val="21"/>
          <w:lang w:val="en-US" w:eastAsia="zh-CN"/>
        </w:rPr>
        <w:t xml:space="preserve">预制构件在生产、吊运、翻转、运输、堆放、安装施工过程中及装配后应采取包、裹、盖、遮等有效的成品保护措施，防止预制构件损坏或污染。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lang w:val="en-US" w:eastAsia="zh-CN"/>
        </w:rPr>
      </w:pPr>
      <w:r>
        <w:rPr>
          <w:rFonts w:hint="eastAsia" w:ascii="Times New Roman"/>
          <w:sz w:val="21"/>
          <w:szCs w:val="21"/>
          <w:lang w:val="en-US" w:eastAsia="zh-CN"/>
        </w:rPr>
        <w:t xml:space="preserve">预制构件在运输过程中宜在构件与刚性搁置点处填塞柔性垫片。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lang w:val="en-US" w:eastAsia="zh-CN"/>
        </w:rPr>
      </w:pPr>
      <w:r>
        <w:rPr>
          <w:rFonts w:hint="eastAsia" w:ascii="Times New Roman"/>
          <w:sz w:val="21"/>
          <w:szCs w:val="21"/>
          <w:lang w:val="en-US" w:eastAsia="zh-CN"/>
        </w:rPr>
        <w:t xml:space="preserve">预制外墙板饰面层、窗户宜采用贴膜保护。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lang w:val="en-US" w:eastAsia="zh-CN"/>
        </w:rPr>
      </w:pPr>
      <w:r>
        <w:rPr>
          <w:rFonts w:hint="eastAsia" w:ascii="Times New Roman"/>
          <w:sz w:val="21"/>
          <w:szCs w:val="21"/>
          <w:lang w:val="en-US" w:eastAsia="zh-CN"/>
        </w:rPr>
        <w:t xml:space="preserve">预制构件暴露在空气中的预埋铁件应涂抹防锈漆，防止产生锈蚀。预埋螺栓孔应采用海绵棒进行填塞，防止混凝土浇筑时将其堵塞。 </w:t>
      </w:r>
    </w:p>
    <w:p>
      <w:pPr>
        <w:pStyle w:val="167"/>
        <w:keepNext w:val="0"/>
        <w:keepLines w:val="0"/>
        <w:pageBreakBefore w:val="0"/>
        <w:widowControl w:val="0"/>
        <w:kinsoku/>
        <w:wordWrap/>
        <w:overflowPunct/>
        <w:topLinePunct w:val="0"/>
        <w:bidi w:val="0"/>
        <w:snapToGrid/>
        <w:spacing w:beforeLines="0" w:afterLines="0"/>
        <w:textAlignment w:val="auto"/>
        <w:rPr>
          <w:rFonts w:hint="eastAsia" w:ascii="Times New Roman"/>
          <w:sz w:val="21"/>
          <w:szCs w:val="21"/>
          <w:lang w:val="en-US" w:eastAsia="zh-CN"/>
        </w:rPr>
      </w:pPr>
      <w:r>
        <w:rPr>
          <w:rFonts w:hint="eastAsia" w:ascii="Times New Roman"/>
          <w:sz w:val="21"/>
          <w:szCs w:val="21"/>
          <w:lang w:val="en-US" w:eastAsia="zh-CN"/>
        </w:rPr>
        <w:t>预制外墙板安装完成后，门、窗框应采取相应保护措施。</w:t>
      </w:r>
    </w:p>
    <w:p>
      <w:pPr>
        <w:pStyle w:val="106"/>
        <w:spacing w:before="312" w:after="312"/>
      </w:pPr>
      <w:bookmarkStart w:id="67" w:name="_Toc32081"/>
      <w:r>
        <w:rPr>
          <w:rFonts w:hint="eastAsia"/>
          <w:lang w:eastAsia="zh-CN"/>
        </w:rPr>
        <w:t>质量验收</w:t>
      </w:r>
      <w:bookmarkEnd w:id="67"/>
    </w:p>
    <w:p>
      <w:pPr>
        <w:pStyle w:val="107"/>
        <w:spacing w:before="156" w:after="156"/>
      </w:pPr>
      <w:bookmarkStart w:id="68" w:name="_Toc17687"/>
      <w:r>
        <w:rPr>
          <w:rFonts w:hint="eastAsia"/>
          <w:lang w:eastAsia="zh-CN"/>
        </w:rPr>
        <w:t>一般规定</w:t>
      </w:r>
      <w:bookmarkEnd w:id="68"/>
    </w:p>
    <w:p>
      <w:pPr>
        <w:pStyle w:val="167"/>
        <w:rPr>
          <w:rFonts w:hint="eastAsia" w:ascii="Times New Roman"/>
          <w:lang w:val="en-US" w:eastAsia="zh-CN"/>
        </w:rPr>
      </w:pPr>
      <w:r>
        <w:rPr>
          <w:rFonts w:hint="eastAsia" w:ascii="Times New Roman"/>
          <w:lang w:val="en-US" w:eastAsia="zh-CN"/>
        </w:rPr>
        <w:t>装配整体式叠合剪力墙结构子分部工程应按项目施工具体划分的现浇结构分项工程和装配式结构分项工程进行验收。</w:t>
      </w:r>
    </w:p>
    <w:p>
      <w:pPr>
        <w:pStyle w:val="167"/>
        <w:rPr>
          <w:rFonts w:hint="eastAsia" w:ascii="Times New Roman"/>
          <w:lang w:val="en-US" w:eastAsia="zh-CN"/>
        </w:rPr>
      </w:pPr>
      <w:bookmarkStart w:id="69" w:name="_Hlk52973624"/>
      <w:r>
        <w:rPr>
          <w:rFonts w:hint="eastAsia" w:ascii="Times New Roman"/>
          <w:lang w:val="en-US" w:eastAsia="zh-CN"/>
        </w:rPr>
        <w:t>装配整体式叠合剪力墙</w:t>
      </w:r>
      <w:bookmarkEnd w:id="69"/>
      <w:r>
        <w:rPr>
          <w:rFonts w:hint="eastAsia" w:ascii="Times New Roman"/>
          <w:lang w:val="en-US" w:eastAsia="zh-CN"/>
        </w:rPr>
        <w:t>结构焊接、螺栓等连接用材料的进场验收应符合《钢结构工程施工质量验收规范》GB 50205的有关规定。</w:t>
      </w:r>
    </w:p>
    <w:p>
      <w:pPr>
        <w:pStyle w:val="167"/>
        <w:rPr>
          <w:rFonts w:hint="eastAsia" w:ascii="Times New Roman"/>
          <w:lang w:val="en-US" w:eastAsia="zh-CN"/>
        </w:rPr>
      </w:pPr>
      <w:r>
        <w:rPr>
          <w:rFonts w:hint="eastAsia" w:ascii="Times New Roman"/>
          <w:lang w:val="en-US" w:eastAsia="zh-CN"/>
        </w:rPr>
        <w:t>装配整体式叠合剪力墙结构工程各工序应按施工技术标准进行质量控制，每道工序完成自检后，相关各专业工种之间应进行交接验收，并经监理工程师检查认可。</w:t>
      </w:r>
    </w:p>
    <w:p>
      <w:pPr>
        <w:pStyle w:val="167"/>
        <w:rPr>
          <w:rFonts w:hint="eastAsia" w:ascii="Times New Roman"/>
          <w:lang w:val="en-US" w:eastAsia="zh-CN"/>
        </w:rPr>
      </w:pPr>
      <w:r>
        <w:rPr>
          <w:rFonts w:hint="eastAsia" w:ascii="Times New Roman"/>
          <w:lang w:val="en-US" w:eastAsia="zh-CN"/>
        </w:rPr>
        <w:t xml:space="preserve">装配整体式叠合剪力墙结构子分部工程除应按现行国家标准《混凝土结构工程施工质量验收规范》GB 50204的有关规定进行隐蔽项目验收，尚应进行下列隐蔽项目验收： </w:t>
      </w:r>
    </w:p>
    <w:p>
      <w:pPr>
        <w:pStyle w:val="176"/>
        <w:numPr>
          <w:ilvl w:val="0"/>
          <w:numId w:val="53"/>
        </w:numPr>
        <w:rPr>
          <w:rFonts w:hint="eastAsia" w:ascii="Times New Roman"/>
        </w:rPr>
      </w:pPr>
      <w:r>
        <w:rPr>
          <w:rFonts w:hint="eastAsia" w:ascii="Times New Roman"/>
        </w:rPr>
        <w:t>混凝土结合面质量；</w:t>
      </w:r>
    </w:p>
    <w:p>
      <w:pPr>
        <w:pStyle w:val="176"/>
        <w:numPr>
          <w:ilvl w:val="0"/>
          <w:numId w:val="54"/>
        </w:numPr>
        <w:rPr>
          <w:rFonts w:hint="eastAsia" w:ascii="Times New Roman"/>
        </w:rPr>
      </w:pPr>
      <w:r>
        <w:rPr>
          <w:rFonts w:hint="eastAsia" w:ascii="Times New Roman"/>
        </w:rPr>
        <w:t xml:space="preserve">后浇混凝土处钢筋的牌号、规格、数量、位置、间距、锚固长度等； </w:t>
      </w:r>
    </w:p>
    <w:p>
      <w:pPr>
        <w:pStyle w:val="176"/>
        <w:numPr>
          <w:ilvl w:val="0"/>
          <w:numId w:val="54"/>
        </w:numPr>
        <w:rPr>
          <w:rFonts w:hint="eastAsia" w:ascii="Times New Roman"/>
        </w:rPr>
      </w:pPr>
      <w:r>
        <w:rPr>
          <w:rFonts w:hint="eastAsia" w:ascii="Times New Roman"/>
        </w:rPr>
        <w:t xml:space="preserve">钢筋的连接方式、接头位置、数量、搭接长度； </w:t>
      </w:r>
    </w:p>
    <w:p>
      <w:pPr>
        <w:pStyle w:val="176"/>
        <w:numPr>
          <w:ilvl w:val="0"/>
          <w:numId w:val="54"/>
        </w:numPr>
        <w:rPr>
          <w:rFonts w:hint="eastAsia" w:ascii="Times New Roman"/>
        </w:rPr>
      </w:pPr>
      <w:r>
        <w:rPr>
          <w:rFonts w:hint="eastAsia" w:ascii="Times New Roman"/>
        </w:rPr>
        <w:t>预埋件、预留管线规格、数量、位置；</w:t>
      </w:r>
    </w:p>
    <w:p>
      <w:pPr>
        <w:pStyle w:val="176"/>
        <w:numPr>
          <w:ilvl w:val="0"/>
          <w:numId w:val="54"/>
        </w:numPr>
        <w:rPr>
          <w:rFonts w:hint="eastAsia" w:ascii="Times New Roman"/>
        </w:rPr>
      </w:pPr>
      <w:r>
        <w:rPr>
          <w:rFonts w:hint="eastAsia" w:ascii="Times New Roman"/>
        </w:rPr>
        <w:t>预制构件之间及预制构件与后浇混凝土之间隐蔽的节点 、接缝；</w:t>
      </w:r>
    </w:p>
    <w:p>
      <w:pPr>
        <w:pStyle w:val="176"/>
        <w:numPr>
          <w:ilvl w:val="0"/>
          <w:numId w:val="54"/>
        </w:numPr>
        <w:rPr>
          <w:rFonts w:hint="eastAsia" w:ascii="Times New Roman"/>
        </w:rPr>
      </w:pPr>
      <w:r>
        <w:rPr>
          <w:rFonts w:hint="eastAsia" w:ascii="Times New Roman"/>
        </w:rPr>
        <w:t>预制混凝土构件接缝处的防水措施等；</w:t>
      </w:r>
    </w:p>
    <w:p>
      <w:pPr>
        <w:pStyle w:val="176"/>
        <w:numPr>
          <w:ilvl w:val="0"/>
          <w:numId w:val="54"/>
        </w:numPr>
        <w:rPr>
          <w:rFonts w:hint="eastAsia" w:ascii="Times New Roman"/>
        </w:rPr>
      </w:pPr>
      <w:r>
        <w:rPr>
          <w:rFonts w:hint="eastAsia" w:ascii="Times New Roman"/>
        </w:rPr>
        <w:t>其他隐蔽项目。</w:t>
      </w:r>
    </w:p>
    <w:p>
      <w:pPr>
        <w:pStyle w:val="167"/>
        <w:rPr>
          <w:rFonts w:hint="eastAsia" w:ascii="Times New Roman"/>
          <w:lang w:val="en-US" w:eastAsia="zh-CN"/>
        </w:rPr>
      </w:pPr>
      <w:r>
        <w:rPr>
          <w:rFonts w:hint="eastAsia" w:ascii="Times New Roman"/>
          <w:lang w:val="en-US" w:eastAsia="zh-CN"/>
        </w:rPr>
        <w:t>装配整体式叠合剪力墙结构验收时，除应按</w:t>
      </w:r>
      <w:bookmarkStart w:id="70" w:name="_Hlk52975940"/>
      <w:r>
        <w:rPr>
          <w:rFonts w:hint="eastAsia" w:ascii="Times New Roman"/>
          <w:lang w:val="en-US" w:eastAsia="zh-CN"/>
        </w:rPr>
        <w:t>现行国家标准</w:t>
      </w:r>
      <w:bookmarkEnd w:id="70"/>
      <w:r>
        <w:rPr>
          <w:rFonts w:hint="eastAsia" w:ascii="Times New Roman"/>
          <w:lang w:val="en-US" w:eastAsia="zh-CN"/>
        </w:rPr>
        <w:t xml:space="preserve">《混凝土结构工程施工质量验收规范》GB 50204的要求提供文件和记录外，尚应提供下列文件和记录： </w:t>
      </w:r>
    </w:p>
    <w:p>
      <w:pPr>
        <w:pStyle w:val="176"/>
        <w:numPr>
          <w:ilvl w:val="0"/>
          <w:numId w:val="55"/>
        </w:numPr>
        <w:rPr>
          <w:rFonts w:hint="eastAsia" w:ascii="Times New Roman"/>
        </w:rPr>
      </w:pPr>
      <w:r>
        <w:rPr>
          <w:rFonts w:hint="eastAsia" w:ascii="Times New Roman"/>
        </w:rPr>
        <w:t xml:space="preserve">工程设计文件、预制构件安装施工图和加工制作详图； </w:t>
      </w:r>
    </w:p>
    <w:p>
      <w:pPr>
        <w:pStyle w:val="176"/>
        <w:numPr>
          <w:ilvl w:val="0"/>
          <w:numId w:val="55"/>
        </w:numPr>
        <w:rPr>
          <w:rFonts w:hint="eastAsia" w:ascii="Times New Roman"/>
        </w:rPr>
      </w:pPr>
      <w:r>
        <w:rPr>
          <w:rFonts w:hint="eastAsia" w:ascii="Times New Roman"/>
        </w:rPr>
        <w:t xml:space="preserve">主要材料、配件及预制构件和部品的质量证明文件、进场验收记录、抽样复验报告； </w:t>
      </w:r>
    </w:p>
    <w:p>
      <w:pPr>
        <w:pStyle w:val="176"/>
        <w:numPr>
          <w:ilvl w:val="0"/>
          <w:numId w:val="55"/>
        </w:numPr>
        <w:rPr>
          <w:rFonts w:hint="eastAsia" w:ascii="Times New Roman"/>
        </w:rPr>
      </w:pPr>
      <w:r>
        <w:rPr>
          <w:rFonts w:hint="eastAsia" w:ascii="Times New Roman"/>
        </w:rPr>
        <w:t xml:space="preserve">预制构件和部品安装施工验收记录；  </w:t>
      </w:r>
    </w:p>
    <w:p>
      <w:pPr>
        <w:pStyle w:val="176"/>
        <w:numPr>
          <w:ilvl w:val="0"/>
          <w:numId w:val="55"/>
        </w:numPr>
        <w:rPr>
          <w:rFonts w:hint="eastAsia" w:ascii="Times New Roman"/>
        </w:rPr>
      </w:pPr>
      <w:r>
        <w:rPr>
          <w:rFonts w:hint="eastAsia" w:ascii="Times New Roman"/>
        </w:rPr>
        <w:t xml:space="preserve">隐蔽工程检查验收文件；  </w:t>
      </w:r>
    </w:p>
    <w:p>
      <w:pPr>
        <w:pStyle w:val="176"/>
        <w:numPr>
          <w:ilvl w:val="0"/>
          <w:numId w:val="55"/>
        </w:numPr>
        <w:rPr>
          <w:rFonts w:hint="eastAsia" w:ascii="Times New Roman"/>
        </w:rPr>
      </w:pPr>
      <w:r>
        <w:rPr>
          <w:rFonts w:hint="eastAsia" w:ascii="Times New Roman"/>
        </w:rPr>
        <w:t xml:space="preserve">座浆料强度检测报告； </w:t>
      </w:r>
    </w:p>
    <w:p>
      <w:pPr>
        <w:pStyle w:val="176"/>
        <w:numPr>
          <w:ilvl w:val="0"/>
          <w:numId w:val="55"/>
        </w:numPr>
        <w:rPr>
          <w:rFonts w:hint="eastAsia" w:ascii="Times New Roman"/>
        </w:rPr>
      </w:pPr>
      <w:r>
        <w:rPr>
          <w:rFonts w:hint="eastAsia" w:ascii="Times New Roman"/>
        </w:rPr>
        <w:t>密封材料检测报告；</w:t>
      </w:r>
    </w:p>
    <w:p>
      <w:pPr>
        <w:pStyle w:val="176"/>
        <w:numPr>
          <w:ilvl w:val="0"/>
          <w:numId w:val="55"/>
        </w:numPr>
        <w:rPr>
          <w:rFonts w:hint="eastAsia" w:ascii="Times New Roman"/>
        </w:rPr>
      </w:pPr>
      <w:r>
        <w:rPr>
          <w:rFonts w:hint="eastAsia" w:ascii="Times New Roman"/>
        </w:rPr>
        <w:t>叠合墙板空腔部位后浇混凝土密实度检测报告；</w:t>
      </w:r>
    </w:p>
    <w:p>
      <w:pPr>
        <w:pStyle w:val="176"/>
        <w:numPr>
          <w:ilvl w:val="0"/>
          <w:numId w:val="55"/>
        </w:numPr>
        <w:rPr>
          <w:rFonts w:hint="eastAsia" w:ascii="Times New Roman"/>
        </w:rPr>
      </w:pPr>
      <w:r>
        <w:rPr>
          <w:rFonts w:hint="eastAsia" w:ascii="Times New Roman"/>
        </w:rPr>
        <w:t xml:space="preserve">与装配式施工工艺相关的分部、分项工程质量验收文件；  </w:t>
      </w:r>
    </w:p>
    <w:p>
      <w:pPr>
        <w:pStyle w:val="176"/>
        <w:numPr>
          <w:ilvl w:val="0"/>
          <w:numId w:val="55"/>
        </w:numPr>
        <w:rPr>
          <w:rFonts w:hint="eastAsia" w:ascii="Times New Roman"/>
        </w:rPr>
      </w:pPr>
      <w:r>
        <w:rPr>
          <w:rFonts w:hint="eastAsia" w:ascii="Times New Roman"/>
        </w:rPr>
        <w:t xml:space="preserve">装配式工程的重大质量问题的处理方案和验收记录。 </w:t>
      </w:r>
    </w:p>
    <w:p>
      <w:pPr>
        <w:pStyle w:val="176"/>
        <w:numPr>
          <w:ilvl w:val="0"/>
          <w:numId w:val="55"/>
        </w:numPr>
        <w:rPr>
          <w:rFonts w:hint="eastAsia" w:ascii="Times New Roman"/>
        </w:rPr>
      </w:pPr>
      <w:r>
        <w:rPr>
          <w:rFonts w:hint="eastAsia" w:ascii="Times New Roman"/>
        </w:rPr>
        <w:t xml:space="preserve">其他资料。 </w:t>
      </w:r>
    </w:p>
    <w:p>
      <w:pPr>
        <w:pStyle w:val="167"/>
        <w:rPr>
          <w:rFonts w:hint="default" w:ascii="Times New Roman"/>
          <w:lang w:val="en-US" w:eastAsia="zh-CN"/>
        </w:rPr>
      </w:pPr>
      <w:r>
        <w:rPr>
          <w:rFonts w:hint="default" w:ascii="Times New Roman"/>
          <w:lang w:val="en-US" w:eastAsia="zh-CN"/>
        </w:rPr>
        <w:t xml:space="preserve">装配整体式叠合剪力墙结构子分部工程施工质量验收合格应符合下列规定： </w:t>
      </w:r>
    </w:p>
    <w:p>
      <w:pPr>
        <w:pStyle w:val="176"/>
        <w:numPr>
          <w:ilvl w:val="0"/>
          <w:numId w:val="56"/>
        </w:numPr>
        <w:rPr>
          <w:rFonts w:hint="eastAsia" w:ascii="Times New Roman"/>
        </w:rPr>
      </w:pPr>
      <w:r>
        <w:rPr>
          <w:rFonts w:hint="eastAsia" w:ascii="Times New Roman"/>
        </w:rPr>
        <w:t xml:space="preserve">所含分项工程施工质量均验收合格； </w:t>
      </w:r>
    </w:p>
    <w:p>
      <w:pPr>
        <w:pStyle w:val="176"/>
        <w:numPr>
          <w:ilvl w:val="0"/>
          <w:numId w:val="56"/>
        </w:numPr>
        <w:rPr>
          <w:rFonts w:hint="eastAsia" w:ascii="Times New Roman"/>
        </w:rPr>
      </w:pPr>
      <w:r>
        <w:rPr>
          <w:rFonts w:hint="eastAsia" w:ascii="Times New Roman"/>
        </w:rPr>
        <w:t xml:space="preserve">质量控制资料应完整； </w:t>
      </w:r>
    </w:p>
    <w:p>
      <w:pPr>
        <w:pStyle w:val="176"/>
        <w:numPr>
          <w:ilvl w:val="0"/>
          <w:numId w:val="56"/>
        </w:numPr>
        <w:rPr>
          <w:rFonts w:hint="eastAsia" w:ascii="Times New Roman"/>
        </w:rPr>
      </w:pPr>
      <w:r>
        <w:rPr>
          <w:rFonts w:hint="eastAsia" w:ascii="Times New Roman"/>
        </w:rPr>
        <w:t xml:space="preserve">观感质量验收应合格； </w:t>
      </w:r>
    </w:p>
    <w:p>
      <w:pPr>
        <w:pStyle w:val="176"/>
        <w:numPr>
          <w:ilvl w:val="0"/>
          <w:numId w:val="56"/>
        </w:numPr>
        <w:rPr>
          <w:rFonts w:hint="eastAsia" w:ascii="Times New Roman"/>
        </w:rPr>
      </w:pPr>
      <w:r>
        <w:rPr>
          <w:rFonts w:hint="eastAsia" w:ascii="Times New Roman"/>
        </w:rPr>
        <w:t>结构实体检验结果符合设计、本规程及现行有关验收标准的要求。</w:t>
      </w:r>
    </w:p>
    <w:p>
      <w:pPr>
        <w:pStyle w:val="167"/>
        <w:rPr>
          <w:rFonts w:hint="default" w:ascii="Times New Roman"/>
          <w:lang w:val="en-US" w:eastAsia="zh-CN"/>
        </w:rPr>
      </w:pPr>
      <w:r>
        <w:rPr>
          <w:rFonts w:hint="default" w:ascii="Times New Roman"/>
          <w:lang w:val="en-US" w:eastAsia="zh-CN"/>
        </w:rPr>
        <w:t>检验批的质量验收按本规程附录A附表1-1、附表1-2及《混凝土结构工程施工质量验收规范》GB 50204的相关规定进行验收及记录。</w:t>
      </w:r>
    </w:p>
    <w:p>
      <w:pPr>
        <w:pStyle w:val="107"/>
        <w:spacing w:before="156" w:after="156"/>
      </w:pPr>
      <w:bookmarkStart w:id="71" w:name="_Toc9791"/>
      <w:r>
        <w:rPr>
          <w:rFonts w:hint="eastAsia"/>
          <w:lang w:val="en-US" w:eastAsia="zh-CN"/>
        </w:rPr>
        <w:t>预制构件</w:t>
      </w:r>
      <w:bookmarkEnd w:id="71"/>
    </w:p>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b w:val="0"/>
          <w:bCs/>
          <w:sz w:val="21"/>
          <w:szCs w:val="21"/>
        </w:rPr>
      </w:pPr>
      <w:r>
        <w:rPr>
          <w:rFonts w:ascii="Times New Roman" w:hAnsi="Times New Roman" w:eastAsia="宋体" w:cs="Times New Roman"/>
          <w:b w:val="0"/>
          <w:bCs/>
          <w:sz w:val="21"/>
          <w:szCs w:val="21"/>
        </w:rPr>
        <w:t>主控项目</w:t>
      </w:r>
    </w:p>
    <w:p>
      <w:pPr>
        <w:pStyle w:val="167"/>
        <w:rPr>
          <w:rFonts w:hint="default" w:ascii="Times New Roman"/>
          <w:lang w:val="en-US" w:eastAsia="zh-CN"/>
        </w:rPr>
      </w:pPr>
      <w:r>
        <w:rPr>
          <w:rFonts w:hint="default" w:ascii="Times New Roman"/>
          <w:lang w:val="en-US" w:eastAsia="zh-CN"/>
        </w:rPr>
        <w:t>进入施工现场的预制构件</w:t>
      </w:r>
      <w:r>
        <w:rPr>
          <w:rFonts w:hint="eastAsia" w:ascii="Times New Roman"/>
          <w:lang w:val="en-US" w:eastAsia="zh-CN"/>
        </w:rPr>
        <w:t>的规格和型号</w:t>
      </w:r>
      <w:r>
        <w:rPr>
          <w:rFonts w:hint="default" w:ascii="Times New Roman"/>
          <w:lang w:val="en-US" w:eastAsia="zh-CN"/>
        </w:rPr>
        <w:t xml:space="preserve">应符合设计要求。 </w:t>
      </w:r>
    </w:p>
    <w:p>
      <w:pPr>
        <w:keepNext w:val="0"/>
        <w:keepLines w:val="0"/>
        <w:pageBreakBefore w:val="0"/>
        <w:widowControl w:val="0"/>
        <w:kinsoku/>
        <w:wordWrap/>
        <w:overflowPunct/>
        <w:topLinePunct w:val="0"/>
        <w:bidi w:val="0"/>
        <w:snapToGrid/>
        <w:spacing w:line="240" w:lineRule="auto"/>
        <w:ind w:firstLine="480"/>
        <w:textAlignment w:val="auto"/>
        <w:rPr>
          <w:rFonts w:ascii="Times New Roman" w:hAnsi="Times New Roman" w:eastAsia="宋体" w:cs="Times New Roman"/>
          <w:sz w:val="21"/>
          <w:szCs w:val="21"/>
        </w:rPr>
      </w:pPr>
      <w:r>
        <w:rPr>
          <w:rFonts w:ascii="Times New Roman" w:hAnsi="Times New Roman" w:eastAsia="宋体" w:cs="Times New Roman"/>
          <w:sz w:val="21"/>
          <w:szCs w:val="21"/>
        </w:rPr>
        <w:t xml:space="preserve">检查数量：全数检查。 </w:t>
      </w:r>
    </w:p>
    <w:p>
      <w:pPr>
        <w:keepNext w:val="0"/>
        <w:keepLines w:val="0"/>
        <w:pageBreakBefore w:val="0"/>
        <w:widowControl w:val="0"/>
        <w:kinsoku/>
        <w:wordWrap/>
        <w:overflowPunct/>
        <w:topLinePunct w:val="0"/>
        <w:bidi w:val="0"/>
        <w:snapToGrid/>
        <w:spacing w:line="240" w:lineRule="auto"/>
        <w:ind w:firstLine="480"/>
        <w:textAlignment w:val="auto"/>
        <w:rPr>
          <w:rFonts w:ascii="Times New Roman" w:hAnsi="Times New Roman" w:eastAsia="宋体" w:cs="Times New Roman"/>
          <w:sz w:val="21"/>
          <w:szCs w:val="21"/>
        </w:rPr>
      </w:pPr>
      <w:r>
        <w:rPr>
          <w:rFonts w:ascii="Times New Roman" w:hAnsi="Times New Roman" w:eastAsia="宋体" w:cs="Times New Roman"/>
          <w:sz w:val="21"/>
          <w:szCs w:val="21"/>
        </w:rPr>
        <w:t>检验方法：检查构件出厂质量合格证明文件、型式检验报告、现场抽样检测报告。</w:t>
      </w:r>
    </w:p>
    <w:p>
      <w:pPr>
        <w:pStyle w:val="167"/>
        <w:rPr>
          <w:rFonts w:hint="eastAsia" w:ascii="Times New Roman"/>
          <w:lang w:val="en-US" w:eastAsia="zh-CN"/>
        </w:rPr>
      </w:pPr>
      <w:r>
        <w:rPr>
          <w:rFonts w:hint="eastAsia" w:ascii="Times New Roman"/>
          <w:lang w:val="en-US" w:eastAsia="zh-CN"/>
        </w:rPr>
        <w:t>专业企业生产的预制构件进场时，预制构件结构性能检验应按现行国家标准《混凝土结构工程施工质量验收规范》GB 50204，《装配式混凝土建筑技术标准》GB/T 51231的规定进行验收。</w:t>
      </w:r>
    </w:p>
    <w:p>
      <w:pPr>
        <w:keepNext w:val="0"/>
        <w:keepLines w:val="0"/>
        <w:pageBreakBefore w:val="0"/>
        <w:widowControl w:val="0"/>
        <w:kinsoku/>
        <w:wordWrap/>
        <w:overflowPunct/>
        <w:topLinePunct w:val="0"/>
        <w:bidi w:val="0"/>
        <w:snapToGrid/>
        <w:spacing w:line="240" w:lineRule="auto"/>
        <w:ind w:firstLine="480"/>
        <w:textAlignment w:val="auto"/>
        <w:rPr>
          <w:rFonts w:ascii="Times New Roman" w:hAnsi="Times New Roman" w:eastAsia="宋体" w:cs="Times New Roman"/>
          <w:sz w:val="21"/>
          <w:szCs w:val="21"/>
        </w:rPr>
      </w:pPr>
      <w:r>
        <w:rPr>
          <w:rFonts w:ascii="Times New Roman" w:hAnsi="Times New Roman" w:eastAsia="宋体" w:cs="Times New Roman"/>
          <w:sz w:val="21"/>
          <w:szCs w:val="21"/>
        </w:rPr>
        <w:t xml:space="preserve">检查数量：每批进场同类型构件不超过1000个为一批，在每批中应随机抽取1个构件进行检验。 </w:t>
      </w:r>
    </w:p>
    <w:p>
      <w:pPr>
        <w:keepNext w:val="0"/>
        <w:keepLines w:val="0"/>
        <w:pageBreakBefore w:val="0"/>
        <w:widowControl w:val="0"/>
        <w:kinsoku/>
        <w:wordWrap/>
        <w:overflowPunct/>
        <w:topLinePunct w:val="0"/>
        <w:bidi w:val="0"/>
        <w:snapToGrid/>
        <w:spacing w:line="240" w:lineRule="auto"/>
        <w:ind w:firstLine="480"/>
        <w:textAlignment w:val="auto"/>
        <w:rPr>
          <w:rFonts w:ascii="Times New Roman" w:hAnsi="Times New Roman" w:eastAsia="宋体" w:cs="Times New Roman"/>
          <w:sz w:val="21"/>
          <w:szCs w:val="21"/>
        </w:rPr>
      </w:pPr>
      <w:r>
        <w:rPr>
          <w:rFonts w:ascii="Times New Roman" w:hAnsi="Times New Roman" w:eastAsia="宋体" w:cs="Times New Roman"/>
          <w:sz w:val="21"/>
          <w:szCs w:val="21"/>
        </w:rPr>
        <w:t>检验方法：检查结构性能检验报告或实体检验报告。</w:t>
      </w:r>
    </w:p>
    <w:p>
      <w:pPr>
        <w:pStyle w:val="167"/>
        <w:rPr>
          <w:rFonts w:hint="eastAsia" w:ascii="Times New Roman"/>
          <w:lang w:val="en-US" w:eastAsia="zh-CN"/>
        </w:rPr>
      </w:pPr>
      <w:r>
        <w:rPr>
          <w:rFonts w:hint="eastAsia" w:ascii="Times New Roman"/>
          <w:lang w:val="en-US" w:eastAsia="zh-CN"/>
        </w:rPr>
        <w:t>预制叠合墙板可不进行结构性能检验，但应采取下列措施：</w:t>
      </w:r>
    </w:p>
    <w:p>
      <w:pPr>
        <w:pStyle w:val="176"/>
        <w:numPr>
          <w:ilvl w:val="0"/>
          <w:numId w:val="57"/>
        </w:numPr>
        <w:rPr>
          <w:rFonts w:hint="eastAsia" w:ascii="Times New Roman"/>
          <w:lang w:val="en-US"/>
        </w:rPr>
      </w:pPr>
      <w:r>
        <w:rPr>
          <w:rFonts w:hint="eastAsia" w:ascii="Times New Roman"/>
          <w:lang w:val="en-US"/>
        </w:rPr>
        <w:t>施工单位或监理单位代表应驻厂监督生产过程。</w:t>
      </w:r>
    </w:p>
    <w:p>
      <w:pPr>
        <w:pStyle w:val="176"/>
        <w:numPr>
          <w:ilvl w:val="0"/>
          <w:numId w:val="57"/>
        </w:numPr>
        <w:rPr>
          <w:rFonts w:hint="eastAsia" w:ascii="Times New Roman"/>
        </w:rPr>
      </w:pPr>
      <w:r>
        <w:rPr>
          <w:rFonts w:hint="eastAsia" w:ascii="Times New Roman"/>
        </w:rPr>
        <w:t>当无驻厂监督时，预制构件进场时应对其主要受力钢筋数量、规格、间距、保护层厚度及混凝土强度等进行实体检验。</w:t>
      </w:r>
    </w:p>
    <w:p>
      <w:pPr>
        <w:pStyle w:val="167"/>
        <w:rPr>
          <w:rFonts w:hint="eastAsia" w:ascii="Times New Roman"/>
          <w:lang w:val="en-US" w:eastAsia="zh-CN"/>
        </w:rPr>
      </w:pPr>
      <w:r>
        <w:rPr>
          <w:rFonts w:hint="eastAsia" w:ascii="Times New Roman"/>
          <w:lang w:val="en-US" w:eastAsia="zh-CN"/>
        </w:rPr>
        <w:t>预制构件的外观质量不应有严重缺陷，且不应有影响结构性能和安装、使用功能的尺寸偏差。对超过尺寸允许偏差且影响结构性能和安装、使用功能的部位，应按技术处理方案进行处理，并重新检查验收。</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检查数量：全数检查。</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检验方法：观察、尺量；检查技术处理方案。</w:t>
      </w:r>
    </w:p>
    <w:p>
      <w:pPr>
        <w:pStyle w:val="167"/>
        <w:rPr>
          <w:rFonts w:hint="eastAsia" w:ascii="Times New Roman"/>
          <w:lang w:val="en-US" w:eastAsia="zh-CN"/>
        </w:rPr>
      </w:pPr>
      <w:r>
        <w:rPr>
          <w:rFonts w:hint="eastAsia" w:ascii="Times New Roman"/>
          <w:lang w:val="en-US" w:eastAsia="zh-CN"/>
        </w:rPr>
        <w:t>预制构件上的预埋件、插筋和预留孔洞的规格和数量应符合设计要求。</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检查数量：全数检查。</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检验方法：观察，钢尺量测检查。</w:t>
      </w:r>
    </w:p>
    <w:p>
      <w:pPr>
        <w:pStyle w:val="167"/>
        <w:rPr>
          <w:rFonts w:hint="eastAsia" w:ascii="Times New Roman"/>
          <w:lang w:val="en-US" w:eastAsia="zh-CN"/>
        </w:rPr>
      </w:pPr>
      <w:r>
        <w:rPr>
          <w:rFonts w:hint="eastAsia" w:ascii="Times New Roman"/>
          <w:lang w:val="en-US" w:eastAsia="zh-CN"/>
        </w:rPr>
        <w:t>预制构件的混凝土强度、钢筋直径和钢筋位置应符合设计要求。</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检查数量：全数检查。</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检验方法：检查抽样检测报告。</w:t>
      </w:r>
    </w:p>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b/>
          <w:sz w:val="21"/>
          <w:szCs w:val="21"/>
        </w:rPr>
      </w:pPr>
      <w:r>
        <w:rPr>
          <w:rFonts w:ascii="Times New Roman" w:hAnsi="Times New Roman" w:eastAsia="宋体" w:cs="Times New Roman"/>
          <w:b/>
          <w:sz w:val="21"/>
          <w:szCs w:val="21"/>
        </w:rPr>
        <w:t>一般项目</w:t>
      </w:r>
    </w:p>
    <w:p>
      <w:pPr>
        <w:pStyle w:val="167"/>
        <w:rPr>
          <w:rFonts w:hint="eastAsia" w:ascii="Times New Roman"/>
          <w:lang w:val="en-US" w:eastAsia="zh-CN"/>
        </w:rPr>
      </w:pPr>
      <w:r>
        <w:rPr>
          <w:rFonts w:hint="eastAsia" w:ascii="Times New Roman"/>
          <w:lang w:val="en-US" w:eastAsia="zh-CN"/>
        </w:rPr>
        <w:t xml:space="preserve">预制构件其外观尺寸偏差应符合表 9.2.7 的规定。 </w:t>
      </w:r>
    </w:p>
    <w:p>
      <w:pPr>
        <w:pStyle w:val="242"/>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检查数量：按照进场检验批,同一规格(品种)的构件每次抽检数量不应少于该规格(品种)数量的5%且不少于3件。</w:t>
      </w:r>
    </w:p>
    <w:p>
      <w:pPr>
        <w:pStyle w:val="242"/>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检验方法：按表</w:t>
      </w:r>
      <w:r>
        <w:rPr>
          <w:rFonts w:hint="eastAsia" w:ascii="Times New Roman" w:hAnsi="Times New Roman" w:cs="Times New Roman"/>
          <w:color w:val="auto"/>
          <w:sz w:val="21"/>
          <w:szCs w:val="21"/>
          <w:lang w:val="en-US" w:eastAsia="zh-CN" w:bidi="ar-SA"/>
        </w:rPr>
        <w:t>9</w:t>
      </w:r>
      <w:r>
        <w:rPr>
          <w:rFonts w:hint="eastAsia" w:ascii="Times New Roman" w:hAnsi="Times New Roman" w:cs="Times New Roman"/>
          <w:color w:val="auto"/>
          <w:sz w:val="21"/>
          <w:szCs w:val="21"/>
          <w:lang w:val="en-US" w:bidi="ar-SA"/>
        </w:rPr>
        <w:t>.2</w:t>
      </w:r>
      <w:r>
        <w:rPr>
          <w:rFonts w:ascii="Times New Roman" w:hAnsi="Times New Roman" w:cs="Times New Roman"/>
          <w:color w:val="auto"/>
          <w:sz w:val="21"/>
          <w:szCs w:val="21"/>
          <w:lang w:val="en-US" w:bidi="ar-SA"/>
        </w:rPr>
        <w:t xml:space="preserve">.7。 </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9</w:t>
      </w:r>
      <w:r>
        <w:rPr>
          <w:rFonts w:hint="eastAsia" w:ascii="黑体" w:hAnsi="黑体" w:eastAsia="黑体" w:cs="Times New Roman"/>
          <w:sz w:val="21"/>
          <w:szCs w:val="21"/>
        </w:rPr>
        <w:t>.2.7 预制构件尺寸允许偏差和检验方法</w:t>
      </w:r>
    </w:p>
    <w:tbl>
      <w:tblPr>
        <w:tblStyle w:val="27"/>
        <w:tblW w:w="893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609"/>
        <w:gridCol w:w="1610"/>
        <w:gridCol w:w="216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8" w:type="dxa"/>
            <w:gridSpan w:val="3"/>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项目</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允许偏差（mm）</w:t>
            </w:r>
          </w:p>
        </w:tc>
        <w:tc>
          <w:tcPr>
            <w:tcW w:w="2126"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141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长度</w:t>
            </w:r>
          </w:p>
        </w:tc>
        <w:tc>
          <w:tcPr>
            <w:tcW w:w="160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钢筋桁架预制板、梁、楼梯</w:t>
            </w:r>
          </w:p>
        </w:tc>
        <w:tc>
          <w:tcPr>
            <w:tcW w:w="1610" w:type="dxa"/>
            <w:shd w:val="clear" w:color="auto" w:fill="auto"/>
            <w:vAlign w:val="center"/>
          </w:tcPr>
          <w:p>
            <w:pPr>
              <w:keepNext w:val="0"/>
              <w:keepLines w:val="0"/>
              <w:pageBreakBefore w:val="0"/>
              <w:widowControl w:val="0"/>
              <w:kinsoku/>
              <w:wordWrap/>
              <w:overflowPunct/>
              <w:topLinePunct w:val="0"/>
              <w:bidi w:val="0"/>
              <w:snapToGrid/>
              <w:spacing w:line="240" w:lineRule="auto"/>
              <w:ind w:firstLine="440"/>
              <w:textAlignment w:val="auto"/>
              <w:rPr>
                <w:rFonts w:ascii="Times New Roman" w:hAnsi="Times New Roman" w:eastAsia="宋体" w:cs="Times New Roman"/>
                <w:sz w:val="21"/>
                <w:szCs w:val="21"/>
              </w:rPr>
            </w:pPr>
            <w:r>
              <w:rPr>
                <w:rFonts w:ascii="Times New Roman" w:hAnsi="Times New Roman" w:eastAsia="宋体" w:cs="Times New Roman"/>
                <w:sz w:val="21"/>
                <w:szCs w:val="21"/>
              </w:rPr>
              <w:t>&lt;12m</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126"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141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160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1610"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≥12 m</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±10</w:t>
            </w:r>
          </w:p>
        </w:tc>
        <w:tc>
          <w:tcPr>
            <w:tcW w:w="2126"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预制混凝土双板、外挂墙板</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2126"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41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宽度、高（厚）度</w:t>
            </w: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钢筋桁架预制板、梁、楼梯</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126"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尺量一端及中部，取其中较大值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41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预制混凝土双板、外挂墙板</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126"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侧向弯曲</w:t>
            </w: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钢筋桁架预制板、梁、楼梯</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L/750且≤20</w:t>
            </w:r>
          </w:p>
        </w:tc>
        <w:tc>
          <w:tcPr>
            <w:tcW w:w="2126"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拉线、直尺量最大侧向弯曲处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预制混凝土双板、外挂墙板</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L/1000且≤20</w:t>
            </w:r>
          </w:p>
        </w:tc>
        <w:tc>
          <w:tcPr>
            <w:tcW w:w="2126"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对角线差</w:t>
            </w: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楼板</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10</w:t>
            </w:r>
          </w:p>
        </w:tc>
        <w:tc>
          <w:tcPr>
            <w:tcW w:w="2126"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尺量两对角线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墙板</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126"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表面平整度</w:t>
            </w: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板、梁、墙板内表面</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126"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2m靠尺和塞尺检查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墙板外表面</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126"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翘曲</w:t>
            </w:r>
          </w:p>
        </w:tc>
        <w:tc>
          <w:tcPr>
            <w:tcW w:w="3219"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板</w:t>
            </w:r>
          </w:p>
        </w:tc>
        <w:tc>
          <w:tcPr>
            <w:tcW w:w="216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L/750</w:t>
            </w:r>
          </w:p>
        </w:tc>
        <w:tc>
          <w:tcPr>
            <w:tcW w:w="2126"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调平尺在两端量测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3219" w:type="dxa"/>
            <w:gridSpan w:val="2"/>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墙板</w:t>
            </w:r>
          </w:p>
        </w:tc>
        <w:tc>
          <w:tcPr>
            <w:tcW w:w="2167" w:type="dxa"/>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L/1000</w:t>
            </w:r>
          </w:p>
        </w:tc>
        <w:tc>
          <w:tcPr>
            <w:tcW w:w="2126" w:type="dxa"/>
            <w:vMerge w:val="continue"/>
            <w:shd w:val="clear" w:color="auto" w:fill="auto"/>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黑体" w:cs="Times New Roman"/>
                <w:sz w:val="21"/>
                <w:szCs w:val="21"/>
              </w:rPr>
            </w:pPr>
          </w:p>
        </w:tc>
      </w:tr>
    </w:tbl>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注：</w:t>
      </w:r>
      <w:r>
        <w:rPr>
          <w:rFonts w:hint="eastAsia" w:ascii="Times New Roman" w:hAnsi="Times New Roman" w:cs="Times New Roman"/>
          <w:sz w:val="21"/>
          <w:szCs w:val="21"/>
          <w:lang w:val="en-US" w:eastAsia="zh-CN"/>
        </w:rPr>
        <w:t xml:space="preserve">a) </w:t>
      </w:r>
      <w:r>
        <w:rPr>
          <w:rFonts w:ascii="Times New Roman" w:hAnsi="Times New Roman" w:eastAsia="宋体" w:cs="Times New Roman"/>
          <w:sz w:val="21"/>
          <w:szCs w:val="21"/>
        </w:rPr>
        <w:t xml:space="preserve">L 为构件长度（mm）； </w:t>
      </w:r>
    </w:p>
    <w:p>
      <w:pPr>
        <w:keepNext w:val="0"/>
        <w:keepLines w:val="0"/>
        <w:pageBreakBefore w:val="0"/>
        <w:widowControl w:val="0"/>
        <w:numPr>
          <w:ilvl w:val="0"/>
          <w:numId w:val="0"/>
        </w:numPr>
        <w:kinsoku/>
        <w:wordWrap/>
        <w:overflowPunct/>
        <w:topLinePunct w:val="0"/>
        <w:bidi w:val="0"/>
        <w:snapToGrid/>
        <w:spacing w:line="240" w:lineRule="auto"/>
        <w:ind w:left="425" w:leftChars="0"/>
        <w:textAlignment w:val="auto"/>
        <w:rPr>
          <w:rFonts w:ascii="Times New Roman" w:hAnsi="Times New Roman" w:eastAsia="宋体" w:cs="Times New Roman"/>
          <w:sz w:val="21"/>
          <w:szCs w:val="21"/>
        </w:rPr>
      </w:pPr>
      <w:r>
        <w:rPr>
          <w:rFonts w:hint="eastAsia" w:ascii="Times New Roman" w:hAnsi="Times New Roman" w:cs="Times New Roman"/>
          <w:sz w:val="21"/>
          <w:szCs w:val="21"/>
          <w:lang w:val="en-US" w:eastAsia="zh-CN"/>
        </w:rPr>
        <w:t xml:space="preserve">b) </w:t>
      </w:r>
      <w:r>
        <w:rPr>
          <w:rFonts w:ascii="Times New Roman" w:hAnsi="Times New Roman" w:eastAsia="宋体" w:cs="Times New Roman"/>
          <w:sz w:val="21"/>
          <w:szCs w:val="21"/>
        </w:rPr>
        <w:t>检查中心线、螺栓和孔道位置时，应由纵、横两个方向量测，并取其中的较大值；</w:t>
      </w:r>
    </w:p>
    <w:p>
      <w:pPr>
        <w:keepNext w:val="0"/>
        <w:keepLines w:val="0"/>
        <w:pageBreakBefore w:val="0"/>
        <w:widowControl w:val="0"/>
        <w:kinsoku/>
        <w:wordWrap/>
        <w:overflowPunct/>
        <w:topLinePunct w:val="0"/>
        <w:bidi w:val="0"/>
        <w:snapToGrid/>
        <w:spacing w:line="240" w:lineRule="auto"/>
        <w:ind w:firstLine="420"/>
        <w:textAlignment w:val="auto"/>
        <w:rPr>
          <w:rFonts w:ascii="Times New Roman" w:hAnsi="Times New Roman" w:eastAsia="宋体" w:cs="Times New Roman"/>
          <w:sz w:val="21"/>
          <w:szCs w:val="21"/>
        </w:rPr>
      </w:pPr>
      <w:r>
        <w:rPr>
          <w:rFonts w:hint="eastAsia" w:ascii="Times New Roman" w:hAnsi="Times New Roman" w:cs="Times New Roman"/>
          <w:sz w:val="21"/>
          <w:szCs w:val="21"/>
          <w:lang w:val="en-US" w:eastAsia="zh-CN"/>
        </w:rPr>
        <w:t xml:space="preserve">c) </w:t>
      </w:r>
      <w:r>
        <w:rPr>
          <w:rFonts w:ascii="Times New Roman" w:hAnsi="Times New Roman" w:eastAsia="宋体" w:cs="Times New Roman"/>
          <w:sz w:val="21"/>
          <w:szCs w:val="21"/>
        </w:rPr>
        <w:t>对形状复杂或有特殊要求的构件，其尺寸偏差应符合标准图或设计的要求。</w:t>
      </w:r>
    </w:p>
    <w:p>
      <w:pPr>
        <w:pStyle w:val="167"/>
        <w:rPr>
          <w:rFonts w:hint="eastAsia" w:ascii="Times New Roman"/>
          <w:lang w:val="en-US" w:eastAsia="zh-CN"/>
        </w:rPr>
      </w:pPr>
      <w:r>
        <w:rPr>
          <w:rFonts w:hint="eastAsia" w:ascii="Times New Roman"/>
          <w:lang w:val="en-US" w:eastAsia="zh-CN"/>
        </w:rPr>
        <w:t>预制构件的一般缺陷应由监理（建设）单位、施工单位对其进行检查并记录，及时按相关技术处理方案处理，并重新检查验收。</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 xml:space="preserve">检查数量：全数检查。 </w:t>
      </w:r>
    </w:p>
    <w:p>
      <w:pPr>
        <w:pStyle w:val="242"/>
        <w:keepNext w:val="0"/>
        <w:keepLines w:val="0"/>
        <w:pageBreakBefore w:val="0"/>
        <w:widowControl w:val="0"/>
        <w:kinsoku/>
        <w:wordWrap/>
        <w:overflowPunct/>
        <w:topLinePunct w:val="0"/>
        <w:bidi w:val="0"/>
        <w:snapToGrid/>
        <w:spacing w:line="240" w:lineRule="auto"/>
        <w:ind w:firstLine="420" w:firstLineChars="200"/>
        <w:jc w:val="both"/>
        <w:textAlignment w:val="auto"/>
        <w:rPr>
          <w:rFonts w:ascii="Times New Roman" w:hAnsi="Times New Roman" w:cs="Times New Roman"/>
          <w:color w:val="auto"/>
          <w:sz w:val="21"/>
          <w:szCs w:val="21"/>
          <w:lang w:val="en-US" w:bidi="ar-SA"/>
        </w:rPr>
      </w:pPr>
      <w:r>
        <w:rPr>
          <w:rFonts w:ascii="Times New Roman" w:hAnsi="Times New Roman" w:cs="Times New Roman"/>
          <w:color w:val="auto"/>
          <w:sz w:val="21"/>
          <w:szCs w:val="21"/>
          <w:lang w:val="en-US" w:bidi="ar-SA"/>
        </w:rPr>
        <w:t>检验方法：观察，检查技术处理方案。</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9</w:t>
      </w:r>
      <w:r>
        <w:rPr>
          <w:rFonts w:hint="eastAsia" w:ascii="黑体" w:hAnsi="黑体" w:eastAsia="黑体" w:cs="Times New Roman"/>
          <w:sz w:val="21"/>
          <w:szCs w:val="21"/>
        </w:rPr>
        <w:t>.2.8 预制构件外观质量缺陷</w:t>
      </w:r>
    </w:p>
    <w:tbl>
      <w:tblPr>
        <w:tblStyle w:val="27"/>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552"/>
        <w:gridCol w:w="2714"/>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名称</w:t>
            </w:r>
          </w:p>
        </w:tc>
        <w:tc>
          <w:tcPr>
            <w:tcW w:w="2552" w:type="dxa"/>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现象</w:t>
            </w:r>
          </w:p>
        </w:tc>
        <w:tc>
          <w:tcPr>
            <w:tcW w:w="2714" w:type="dxa"/>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严重缺陷</w:t>
            </w:r>
          </w:p>
        </w:tc>
        <w:tc>
          <w:tcPr>
            <w:tcW w:w="2506" w:type="dxa"/>
            <w:shd w:val="clear" w:color="auto" w:fill="auto"/>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一般缺陷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bottom"/>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p>
            <w:pPr>
              <w:keepNext w:val="0"/>
              <w:keepLines w:val="0"/>
              <w:pageBreakBefore w:val="0"/>
              <w:widowControl w:val="0"/>
              <w:kinsoku/>
              <w:wordWrap/>
              <w:overflowPunct/>
              <w:topLinePunct w:val="0"/>
              <w:bidi w:val="0"/>
              <w:snapToGrid/>
              <w:spacing w:line="240" w:lineRule="auto"/>
              <w:ind w:firstLine="210" w:firstLineChars="100"/>
              <w:textAlignment w:val="auto"/>
              <w:rPr>
                <w:rFonts w:ascii="Times New Roman" w:hAnsi="Times New Roman" w:eastAsia="宋体" w:cs="Times New Roman"/>
                <w:sz w:val="21"/>
                <w:szCs w:val="21"/>
              </w:rPr>
            </w:pPr>
            <w:r>
              <w:rPr>
                <w:rFonts w:ascii="Times New Roman" w:hAnsi="Times New Roman" w:eastAsia="宋体" w:cs="Times New Roman"/>
                <w:sz w:val="21"/>
                <w:szCs w:val="21"/>
              </w:rPr>
              <w:t>裂缝</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c>
          <w:tcPr>
            <w:tcW w:w="2552"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缝隙从混凝土表面延伸至混凝土内部</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c>
          <w:tcPr>
            <w:tcW w:w="2714"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构件主要受力部位有影响结构性能或使用功能的裂缝</w:t>
            </w:r>
          </w:p>
        </w:tc>
        <w:tc>
          <w:tcPr>
            <w:tcW w:w="2506"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其他部位有少量不影响结构性能或使用功能的裂缝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bottom"/>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连接部位</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缺陷</w:t>
            </w:r>
          </w:p>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2552" w:type="dxa"/>
            <w:shd w:val="clear" w:color="auto" w:fill="auto"/>
            <w:vAlign w:val="bottom"/>
          </w:tcPr>
          <w:p>
            <w:pPr>
              <w:keepNext w:val="0"/>
              <w:keepLines w:val="0"/>
              <w:pageBreakBefore w:val="0"/>
              <w:widowControl w:val="0"/>
              <w:kinsoku/>
              <w:wordWrap/>
              <w:overflowPunct/>
              <w:topLinePunct w:val="0"/>
              <w:bidi w:val="0"/>
              <w:snapToGrid/>
              <w:spacing w:line="240" w:lineRule="auto"/>
              <w:jc w:val="left"/>
              <w:textAlignment w:val="auto"/>
              <w:rPr>
                <w:rFonts w:ascii="Times New Roman" w:hAnsi="Times New Roman" w:eastAsia="宋体" w:cs="Times New Roman"/>
                <w:sz w:val="21"/>
                <w:szCs w:val="21"/>
              </w:rPr>
            </w:pPr>
            <w:r>
              <w:rPr>
                <w:rFonts w:ascii="Times New Roman" w:hAnsi="Times New Roman" w:eastAsia="宋体" w:cs="Times New Roman"/>
                <w:sz w:val="21"/>
                <w:szCs w:val="21"/>
              </w:rPr>
              <w:t>构件连接处混凝土缺陷及连接钢筋,连接铁件松动</w:t>
            </w:r>
          </w:p>
        </w:tc>
        <w:tc>
          <w:tcPr>
            <w:tcW w:w="2714"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连接部位有影响结构传力性能的缺陷</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c>
          <w:tcPr>
            <w:tcW w:w="2506" w:type="dxa"/>
            <w:shd w:val="clear" w:color="auto" w:fill="auto"/>
            <w:vAlign w:val="bottom"/>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连接部位有基本不影响结构传力性能的缺陷</w:t>
            </w:r>
          </w:p>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bottom"/>
          </w:tcPr>
          <w:p>
            <w:pPr>
              <w:keepNext w:val="0"/>
              <w:keepLines w:val="0"/>
              <w:pageBreakBefore w:val="0"/>
              <w:widowControl w:val="0"/>
              <w:kinsoku/>
              <w:wordWrap/>
              <w:overflowPunct/>
              <w:topLinePunct w:val="0"/>
              <w:autoSpaceDE/>
              <w:autoSpaceDN/>
              <w:bidi w:val="0"/>
              <w:adjustRightInd w:val="0"/>
              <w:snapToGrid/>
              <w:spacing w:line="240" w:lineRule="auto"/>
              <w:ind w:right="0"/>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外形缺陷</w:t>
            </w:r>
          </w:p>
          <w:p>
            <w:pPr>
              <w:keepNext w:val="0"/>
              <w:keepLines w:val="0"/>
              <w:pageBreakBefore w:val="0"/>
              <w:widowControl w:val="0"/>
              <w:kinsoku/>
              <w:wordWrap/>
              <w:overflowPunct/>
              <w:topLinePunct w:val="0"/>
              <w:bidi w:val="0"/>
              <w:snapToGrid/>
              <w:spacing w:line="240" w:lineRule="auto"/>
              <w:ind w:right="440"/>
              <w:jc w:val="center"/>
              <w:textAlignment w:val="auto"/>
              <w:rPr>
                <w:rFonts w:ascii="Times New Roman" w:hAnsi="Times New Roman" w:eastAsia="宋体" w:cs="Times New Roman"/>
                <w:sz w:val="21"/>
                <w:szCs w:val="21"/>
              </w:rPr>
            </w:pPr>
          </w:p>
        </w:tc>
        <w:tc>
          <w:tcPr>
            <w:tcW w:w="2552"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缺凌掉角、棱角不直、翘曲不平、飞出凸肋等</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c>
          <w:tcPr>
            <w:tcW w:w="2714"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清水混凝土构件内有影响使用功能或装饰效果的外形缺陷</w:t>
            </w:r>
          </w:p>
        </w:tc>
        <w:tc>
          <w:tcPr>
            <w:tcW w:w="2506"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其他混凝土构件有不影响使用功能的外形缺陷</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bottom"/>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外表缺陷</w:t>
            </w:r>
          </w:p>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2552"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构件表面麻面、掉皮、起砂、沾污等</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c>
          <w:tcPr>
            <w:tcW w:w="2714"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具有重要装饰效果的清水混凝土构件有外表缺陷</w:t>
            </w:r>
          </w:p>
        </w:tc>
        <w:tc>
          <w:tcPr>
            <w:tcW w:w="2506" w:type="dxa"/>
            <w:shd w:val="clear" w:color="auto" w:fill="auto"/>
            <w:vAlign w:val="bottom"/>
          </w:tcPr>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其他混凝土构件有不影响使用功能的外表缺陷</w:t>
            </w:r>
          </w:p>
          <w:p>
            <w:pPr>
              <w:keepNext w:val="0"/>
              <w:keepLines w:val="0"/>
              <w:pageBreakBefore w:val="0"/>
              <w:widowControl w:val="0"/>
              <w:kinsoku/>
              <w:wordWrap/>
              <w:overflowPunct/>
              <w:topLinePunct w:val="0"/>
              <w:bidi w:val="0"/>
              <w:snapToGrid/>
              <w:spacing w:line="240" w:lineRule="auto"/>
              <w:textAlignment w:val="auto"/>
              <w:rPr>
                <w:rFonts w:ascii="Times New Roman" w:hAnsi="Times New Roman" w:eastAsia="宋体" w:cs="Times New Roman"/>
                <w:sz w:val="21"/>
                <w:szCs w:val="21"/>
              </w:rPr>
            </w:pPr>
          </w:p>
        </w:tc>
      </w:tr>
    </w:tbl>
    <w:p>
      <w:pPr>
        <w:pStyle w:val="167"/>
        <w:rPr>
          <w:rFonts w:hint="eastAsia" w:ascii="Times New Roman"/>
          <w:lang w:val="en-US"/>
        </w:rPr>
      </w:pPr>
      <w:r>
        <w:rPr>
          <w:rFonts w:hint="eastAsia" w:ascii="Times New Roman"/>
          <w:lang w:val="en-US" w:eastAsia="zh-CN"/>
        </w:rPr>
        <w:t>预制构件的预埋件、预留孔和预留洞均不得遗漏，且应安装牢固，其偏差应符合表9.2.9 的规定。</w:t>
      </w:r>
      <w:r>
        <w:rPr>
          <w:rFonts w:hint="eastAsia" w:ascii="Times New Roman"/>
          <w:lang w:val="en-US"/>
        </w:rPr>
        <w:t xml:space="preserve"> </w:t>
      </w:r>
    </w:p>
    <w:p>
      <w:pPr>
        <w:pStyle w:val="167"/>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rPr>
          <w:rFonts w:ascii="Times New Roman" w:hAnsi="Times New Roman" w:cs="Times New Roman"/>
          <w:color w:val="auto"/>
          <w:sz w:val="21"/>
          <w:szCs w:val="21"/>
          <w:lang w:val="en-US" w:bidi="ar-SA"/>
        </w:rPr>
      </w:pPr>
      <w:r>
        <w:rPr>
          <w:rFonts w:hint="eastAsia" w:ascii="Times New Roman"/>
          <w:lang w:val="en-US"/>
        </w:rPr>
        <w:t>检查数量：在同一检验批内，对预制墙和板，应按有代表性的自然间抽查</w:t>
      </w:r>
      <w:r>
        <w:rPr>
          <w:rFonts w:ascii="Times New Roman" w:hAnsi="Times New Roman" w:cs="Times New Roman"/>
          <w:color w:val="auto"/>
          <w:sz w:val="21"/>
          <w:szCs w:val="21"/>
          <w:lang w:val="en-US" w:bidi="ar-SA"/>
        </w:rPr>
        <w:t xml:space="preserve">10%，且不少于 3 间。  </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表</w:t>
      </w:r>
      <w:r>
        <w:rPr>
          <w:rFonts w:hint="eastAsia" w:ascii="黑体" w:hAnsi="黑体" w:eastAsia="黑体" w:cs="Times New Roman"/>
          <w:sz w:val="21"/>
          <w:szCs w:val="21"/>
          <w:lang w:val="en-US" w:eastAsia="zh-CN"/>
        </w:rPr>
        <w:t>9</w:t>
      </w:r>
      <w:r>
        <w:rPr>
          <w:rFonts w:hint="eastAsia" w:ascii="黑体" w:hAnsi="黑体" w:eastAsia="黑体" w:cs="Times New Roman"/>
          <w:sz w:val="21"/>
          <w:szCs w:val="21"/>
        </w:rPr>
        <w:t>.2.</w:t>
      </w:r>
      <w:r>
        <w:rPr>
          <w:rFonts w:hint="eastAsia" w:ascii="黑体" w:hAnsi="黑体" w:eastAsia="黑体" w:cs="Times New Roman"/>
          <w:sz w:val="21"/>
          <w:szCs w:val="21"/>
          <w:lang w:val="en-US" w:eastAsia="zh-CN"/>
        </w:rPr>
        <w:t xml:space="preserve">9 </w:t>
      </w:r>
      <w:r>
        <w:rPr>
          <w:rFonts w:hint="eastAsia" w:ascii="黑体" w:hAnsi="黑体" w:eastAsia="黑体" w:cs="Times New Roman"/>
          <w:sz w:val="21"/>
          <w:szCs w:val="21"/>
        </w:rPr>
        <w:t>预埋件和预留孔洞的允许偏差</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2"/>
        <w:gridCol w:w="2841"/>
        <w:gridCol w:w="2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3"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项目</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允许偏差（mm）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3"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预埋件锚板中心线位置</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3" w:type="dxa"/>
            <w:gridSpan w:val="2"/>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预埋管、接线盒预留孔中心线位置</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32"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bookmarkStart w:id="72" w:name="OLE_LINK2" w:colFirst="0" w:colLast="0"/>
            <w:r>
              <w:rPr>
                <w:rFonts w:ascii="Times New Roman" w:hAnsi="Times New Roman" w:eastAsia="宋体" w:cs="Times New Roman"/>
                <w:sz w:val="21"/>
                <w:szCs w:val="21"/>
              </w:rPr>
              <w:t>插筋</w:t>
            </w:r>
          </w:p>
        </w:tc>
        <w:tc>
          <w:tcPr>
            <w:tcW w:w="2841"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中心线位置</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2841"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外露长度</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732"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预埋螺栓</w:t>
            </w:r>
          </w:p>
        </w:tc>
        <w:tc>
          <w:tcPr>
            <w:tcW w:w="2841"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中心线位置</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2841"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外露长度</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Merge w:val="restart"/>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预留洞</w:t>
            </w:r>
          </w:p>
        </w:tc>
        <w:tc>
          <w:tcPr>
            <w:tcW w:w="2841"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中心线位置</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5</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Merge w:val="continue"/>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p>
        </w:tc>
        <w:tc>
          <w:tcPr>
            <w:tcW w:w="2841"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尺寸</w:t>
            </w:r>
          </w:p>
        </w:tc>
        <w:tc>
          <w:tcPr>
            <w:tcW w:w="2649"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w:t>
            </w:r>
            <w:r>
              <w:rPr>
                <w:rFonts w:hint="eastAsia" w:ascii="Times New Roman" w:hAnsi="Times New Roman" w:eastAsia="宋体" w:cs="Times New Roman"/>
                <w:sz w:val="21"/>
                <w:szCs w:val="21"/>
              </w:rPr>
              <w:t>5</w:t>
            </w:r>
          </w:p>
        </w:tc>
      </w:tr>
    </w:tbl>
    <w:p>
      <w:pPr>
        <w:keepNext w:val="0"/>
        <w:keepLines w:val="0"/>
        <w:pageBreakBefore w:val="0"/>
        <w:widowControl w:val="0"/>
        <w:kinsoku/>
        <w:wordWrap/>
        <w:overflowPunct/>
        <w:topLinePunct w:val="0"/>
        <w:bidi w:val="0"/>
        <w:snapToGrid/>
        <w:spacing w:line="240" w:lineRule="auto"/>
        <w:ind w:firstLine="420"/>
        <w:jc w:val="left"/>
        <w:textAlignment w:val="auto"/>
        <w:rPr>
          <w:rFonts w:ascii="Times New Roman" w:hAnsi="Times New Roman" w:eastAsia="黑体" w:cs="Times New Roman"/>
          <w:sz w:val="21"/>
          <w:szCs w:val="21"/>
        </w:rPr>
      </w:pPr>
      <w:r>
        <w:rPr>
          <w:rFonts w:ascii="Times New Roman" w:hAnsi="Times New Roman" w:eastAsia="宋体" w:cs="Times New Roman"/>
          <w:sz w:val="21"/>
          <w:szCs w:val="21"/>
        </w:rPr>
        <w:t>注：检查中心线位置时，应沿纵、横两个方向量测，并取其中的较大值</w:t>
      </w:r>
      <w:r>
        <w:rPr>
          <w:rFonts w:ascii="Times New Roman" w:hAnsi="Times New Roman" w:eastAsia="黑体" w:cs="Times New Roman"/>
          <w:sz w:val="21"/>
          <w:szCs w:val="21"/>
        </w:rPr>
        <w:t>。</w:t>
      </w:r>
    </w:p>
    <w:p>
      <w:pPr>
        <w:pStyle w:val="107"/>
        <w:spacing w:before="156" w:after="156"/>
        <w:rPr>
          <w:rFonts w:hint="eastAsia"/>
          <w:lang w:val="en-US" w:eastAsia="zh-CN"/>
        </w:rPr>
      </w:pPr>
      <w:bookmarkStart w:id="73" w:name="_Toc7598"/>
      <w:bookmarkStart w:id="74" w:name="_Toc14516"/>
      <w:bookmarkStart w:id="75" w:name="_Toc3339"/>
      <w:r>
        <w:rPr>
          <w:rFonts w:hint="eastAsia"/>
          <w:lang w:val="en-US" w:eastAsia="zh-CN"/>
        </w:rPr>
        <w:t>安装与连接</w:t>
      </w:r>
      <w:bookmarkEnd w:id="73"/>
      <w:bookmarkEnd w:id="74"/>
      <w:bookmarkEnd w:id="75"/>
    </w:p>
    <w:p>
      <w:pPr>
        <w:pageBreakBefore w:val="0"/>
        <w:kinsoku/>
        <w:wordWrap/>
        <w:overflowPunct/>
        <w:topLinePunct w:val="0"/>
        <w:bidi w:val="0"/>
        <w:snapToGrid/>
        <w:spacing w:line="240" w:lineRule="auto"/>
        <w:ind w:firstLine="175" w:firstLineChars="83"/>
        <w:jc w:val="center"/>
        <w:textAlignment w:val="auto"/>
        <w:rPr>
          <w:rFonts w:hint="eastAsia" w:ascii="宋体" w:hAnsi="宋体" w:eastAsia="宋体" w:cs="宋体"/>
          <w:b/>
          <w:sz w:val="21"/>
          <w:szCs w:val="21"/>
        </w:rPr>
      </w:pPr>
      <w:r>
        <w:rPr>
          <w:rFonts w:hint="eastAsia" w:ascii="宋体" w:hAnsi="宋体" w:eastAsia="宋体" w:cs="宋体"/>
          <w:b/>
          <w:sz w:val="21"/>
          <w:szCs w:val="21"/>
        </w:rPr>
        <w:t>主控项目</w:t>
      </w:r>
    </w:p>
    <w:p>
      <w:pPr>
        <w:pStyle w:val="167"/>
        <w:rPr>
          <w:rFonts w:hint="eastAsia" w:ascii="Times New Roman"/>
          <w:lang w:val="en-US" w:eastAsia="zh-CN"/>
        </w:rPr>
      </w:pPr>
      <w:r>
        <w:rPr>
          <w:rFonts w:hint="eastAsia" w:ascii="Times New Roman"/>
          <w:lang w:val="en-US" w:eastAsia="zh-CN"/>
        </w:rPr>
        <w:t>预制构件吊装时，混凝土强度必须符合设计要求和本规程6.4.1条的规定。</w:t>
      </w:r>
    </w:p>
    <w:p>
      <w:pPr>
        <w:pStyle w:val="242"/>
        <w:pageBreakBefore w:val="0"/>
        <w:kinsoku/>
        <w:wordWrap/>
        <w:overflowPunct/>
        <w:topLinePunct w:val="0"/>
        <w:bidi w:val="0"/>
        <w:snapToGrid/>
        <w:spacing w:line="240" w:lineRule="auto"/>
        <w:ind w:firstLine="420" w:firstLineChars="200"/>
        <w:jc w:val="both"/>
        <w:textAlignment w:val="auto"/>
        <w:rPr>
          <w:rFonts w:hint="eastAsia" w:ascii="宋体" w:hAnsi="宋体" w:eastAsia="宋体" w:cs="宋体"/>
          <w:color w:val="auto"/>
          <w:sz w:val="21"/>
          <w:szCs w:val="21"/>
          <w:lang w:val="en-US" w:bidi="ar-SA"/>
        </w:rPr>
      </w:pPr>
      <w:r>
        <w:rPr>
          <w:rFonts w:hint="eastAsia" w:ascii="宋体" w:hAnsi="宋体" w:eastAsia="宋体" w:cs="宋体"/>
          <w:color w:val="auto"/>
          <w:sz w:val="21"/>
          <w:szCs w:val="21"/>
          <w:lang w:val="en-US" w:bidi="ar-SA"/>
        </w:rPr>
        <w:t>检查数量：按批检查。</w:t>
      </w:r>
    </w:p>
    <w:p>
      <w:pPr>
        <w:pStyle w:val="242"/>
        <w:pageBreakBefore w:val="0"/>
        <w:kinsoku/>
        <w:wordWrap/>
        <w:overflowPunct/>
        <w:topLinePunct w:val="0"/>
        <w:bidi w:val="0"/>
        <w:snapToGrid/>
        <w:spacing w:line="240" w:lineRule="auto"/>
        <w:ind w:firstLine="420" w:firstLineChars="200"/>
        <w:jc w:val="both"/>
        <w:textAlignment w:val="auto"/>
        <w:rPr>
          <w:rFonts w:hint="eastAsia" w:ascii="宋体" w:hAnsi="宋体" w:eastAsia="宋体" w:cs="宋体"/>
          <w:color w:val="auto"/>
          <w:sz w:val="21"/>
          <w:szCs w:val="21"/>
          <w:lang w:val="en-US" w:bidi="ar-SA"/>
        </w:rPr>
      </w:pPr>
      <w:r>
        <w:rPr>
          <w:rFonts w:hint="eastAsia" w:ascii="宋体" w:hAnsi="宋体" w:eastAsia="宋体" w:cs="宋体"/>
          <w:color w:val="auto"/>
          <w:sz w:val="21"/>
          <w:szCs w:val="21"/>
          <w:lang w:val="en-US" w:bidi="ar-SA"/>
        </w:rPr>
        <w:t>检验方法：检查构件检验报告。</w:t>
      </w:r>
    </w:p>
    <w:p>
      <w:pPr>
        <w:pStyle w:val="167"/>
        <w:rPr>
          <w:rFonts w:hint="eastAsia" w:ascii="Times New Roman"/>
          <w:lang w:val="en-US" w:eastAsia="zh-CN"/>
        </w:rPr>
      </w:pPr>
      <w:r>
        <w:rPr>
          <w:rFonts w:hint="eastAsia" w:ascii="Times New Roman"/>
          <w:lang w:val="en-US" w:eastAsia="zh-CN"/>
        </w:rPr>
        <w:t>预制构件之间、预制构件和现浇构件间的连接节点钢筋搭接长度及钢筋间距应满足结构设计和预制构件深化设计要求。</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检查数量：全数检查。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检验方法：观察，检查施工质量验收记录。</w:t>
      </w:r>
    </w:p>
    <w:p>
      <w:pPr>
        <w:pStyle w:val="167"/>
        <w:rPr>
          <w:rFonts w:hint="eastAsia" w:ascii="Times New Roman"/>
          <w:lang w:val="en-US" w:eastAsia="zh-CN"/>
        </w:rPr>
      </w:pPr>
      <w:r>
        <w:rPr>
          <w:rFonts w:hint="eastAsia" w:ascii="Times New Roman"/>
          <w:lang w:val="en-US" w:eastAsia="zh-CN"/>
        </w:rPr>
        <w:t>叠合墙板</w:t>
      </w:r>
      <w:bookmarkStart w:id="76" w:name="_Hlk52976127"/>
      <w:r>
        <w:rPr>
          <w:rFonts w:hint="eastAsia" w:ascii="Times New Roman"/>
          <w:lang w:val="en-US" w:eastAsia="zh-CN"/>
        </w:rPr>
        <w:t>空腔内的后浇混凝土</w:t>
      </w:r>
      <w:bookmarkEnd w:id="76"/>
      <w:r>
        <w:rPr>
          <w:rFonts w:hint="eastAsia" w:ascii="Times New Roman"/>
          <w:lang w:val="en-US" w:eastAsia="zh-CN"/>
        </w:rPr>
        <w:t>必须浇捣密实，养护充分，不应存在新旧混凝土结合面缺陷及后浇混凝土内部缺陷。</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检查数量：按批检验。以每层为一检验批，每层</w:t>
      </w:r>
      <w:r>
        <w:rPr>
          <w:rFonts w:hint="eastAsia" w:ascii="宋体" w:hAnsi="宋体" w:eastAsia="宋体" w:cs="宋体"/>
          <w:kern w:val="0"/>
          <w:sz w:val="21"/>
          <w:szCs w:val="21"/>
        </w:rPr>
        <w:t>双面叠合墙板的检测数量不应少于该类构件总数的10%，且不应少于2个。</w:t>
      </w:r>
      <w:r>
        <w:rPr>
          <w:rFonts w:hint="eastAsia" w:ascii="宋体" w:hAnsi="宋体" w:eastAsia="宋体" w:cs="宋体"/>
          <w:sz w:val="21"/>
          <w:szCs w:val="21"/>
        </w:rPr>
        <w:t>当一次检测出现不合格时，每检验批</w:t>
      </w:r>
      <w:r>
        <w:rPr>
          <w:rFonts w:hint="eastAsia" w:ascii="宋体" w:hAnsi="宋体" w:eastAsia="宋体" w:cs="宋体"/>
          <w:kern w:val="0"/>
          <w:sz w:val="21"/>
          <w:szCs w:val="21"/>
        </w:rPr>
        <w:t>的检测数量不应少于该类构件总数的30%，且不应少于6个。</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检验方法：钻芯法及超声法检测，当一次检测出现不合格时可补充采用阵列超声成像法检测，</w:t>
      </w:r>
      <w:bookmarkStart w:id="77" w:name="_Hlk45025779"/>
      <w:r>
        <w:rPr>
          <w:rFonts w:hint="eastAsia" w:ascii="宋体" w:hAnsi="宋体" w:eastAsia="宋体" w:cs="宋体"/>
          <w:sz w:val="21"/>
          <w:szCs w:val="21"/>
        </w:rPr>
        <w:t>阵列超声成像法</w:t>
      </w:r>
      <w:bookmarkEnd w:id="77"/>
      <w:r>
        <w:rPr>
          <w:rFonts w:hint="eastAsia" w:ascii="宋体" w:hAnsi="宋体" w:eastAsia="宋体" w:cs="宋体"/>
          <w:sz w:val="21"/>
          <w:szCs w:val="21"/>
        </w:rPr>
        <w:t xml:space="preserve">按本规程附录B执行。 </w:t>
      </w:r>
    </w:p>
    <w:p>
      <w:pPr>
        <w:pStyle w:val="167"/>
        <w:rPr>
          <w:rFonts w:hint="eastAsia" w:ascii="Times New Roman"/>
          <w:lang w:val="en-US" w:eastAsia="zh-CN"/>
        </w:rPr>
      </w:pPr>
      <w:r>
        <w:rPr>
          <w:rFonts w:hint="eastAsia" w:ascii="Times New Roman"/>
          <w:lang w:val="en-US" w:eastAsia="zh-CN"/>
        </w:rPr>
        <w:t xml:space="preserve">叠合墙板空腔内后浇混凝土强度应按现行国家标准《混凝土强度检验评定标准》GB/T 50107的规定分批检验评定并满足设计要求。 </w:t>
      </w:r>
    </w:p>
    <w:p>
      <w:pPr>
        <w:pStyle w:val="242"/>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bidi="ar-SA"/>
        </w:rPr>
      </w:pPr>
      <w:r>
        <w:rPr>
          <w:rFonts w:hint="eastAsia" w:ascii="宋体" w:hAnsi="宋体" w:eastAsia="宋体" w:cs="宋体"/>
          <w:color w:val="auto"/>
          <w:kern w:val="0"/>
          <w:sz w:val="21"/>
          <w:szCs w:val="21"/>
          <w:lang w:val="en-US" w:bidi="ar-SA"/>
        </w:rPr>
        <w:t>检查数量：按批检验。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检验方法：检查混凝土强度试验报告及检验评定记录。</w:t>
      </w:r>
    </w:p>
    <w:p>
      <w:pPr>
        <w:pStyle w:val="167"/>
        <w:rPr>
          <w:rFonts w:hint="eastAsia" w:ascii="Times New Roman"/>
          <w:lang w:val="en-US" w:eastAsia="zh-CN"/>
        </w:rPr>
      </w:pPr>
      <w:r>
        <w:rPr>
          <w:rFonts w:hint="eastAsia" w:ascii="Times New Roman"/>
          <w:lang w:val="en-US" w:eastAsia="zh-CN"/>
        </w:rPr>
        <w:t xml:space="preserve">叠合墙板构件底部的接缝座浆强度应满足设计要求。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检查数量：按批检验，以每层为一检验批；每工作班应制作一组且每层不应少于三组边长为 70.7mm 的立方体试件，标准养护 28d 后进行抗压强度试验。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检验方法：检查座浆强度试验报告及评定记录。</w:t>
      </w:r>
    </w:p>
    <w:p>
      <w:pPr>
        <w:pStyle w:val="167"/>
        <w:rPr>
          <w:rFonts w:hint="eastAsia" w:ascii="Times New Roman"/>
          <w:lang w:val="en-US" w:eastAsia="zh-CN"/>
        </w:rPr>
      </w:pPr>
      <w:r>
        <w:rPr>
          <w:rFonts w:hint="eastAsia" w:ascii="Times New Roman"/>
          <w:lang w:val="en-US" w:eastAsia="zh-CN"/>
        </w:rPr>
        <w:t xml:space="preserve">钢筋采用焊接连接时，其焊接质量应符合现行行业标准《钢筋焊接及验收规程》JGJ 18 的有关规定。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检查数量：按现行行业标准《钢筋焊接及验收规程》JGJ 18 的规定确定。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检验方法：检查钢筋焊接施工记录及平行试件的强度试验报告。</w:t>
      </w:r>
    </w:p>
    <w:p>
      <w:pPr>
        <w:pStyle w:val="167"/>
        <w:rPr>
          <w:rFonts w:hint="eastAsia" w:ascii="Times New Roman"/>
          <w:lang w:val="en-US" w:eastAsia="zh-CN"/>
        </w:rPr>
      </w:pPr>
      <w:r>
        <w:rPr>
          <w:rFonts w:hint="eastAsia" w:ascii="Times New Roman"/>
          <w:lang w:val="en-US" w:eastAsia="zh-CN"/>
        </w:rPr>
        <w:t xml:space="preserve">现浇剪力墙边缘构件的钢筋采用机械连接时，其接头质量应符合现行行业标准《钢筋机械连接技术规程》JGJ 107 的有关规定。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检查数量：按现行行业标准《钢筋机械连接技术规程》JGJ 107 的规定确定。</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检验方法：检查钢筋机械连接施工记录及平行试件的强度试验报告。</w:t>
      </w:r>
    </w:p>
    <w:p>
      <w:pPr>
        <w:pStyle w:val="167"/>
        <w:rPr>
          <w:rFonts w:hint="eastAsia" w:ascii="Times New Roman"/>
          <w:lang w:val="en-US" w:eastAsia="zh-CN"/>
        </w:rPr>
      </w:pPr>
      <w:r>
        <w:rPr>
          <w:rFonts w:hint="eastAsia" w:ascii="Times New Roman"/>
          <w:lang w:val="en-US" w:eastAsia="zh-CN"/>
        </w:rPr>
        <w:t xml:space="preserve">预制构件采用焊接连接时，钢材焊接的焊缝尺寸应满足设计要求，焊缝质量应符合现行国家标准《钢结构焊接规范》GB 50661 和《钢结构工程施工质量验收标准》GB 50205 的有关规定。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检查数量：全数检查。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检验方法：按现行国家标准《钢结构工程施工质量验收标准》GB 50205 的要求进行。</w:t>
      </w:r>
    </w:p>
    <w:p>
      <w:pPr>
        <w:pStyle w:val="167"/>
        <w:rPr>
          <w:rFonts w:hint="eastAsia" w:ascii="Times New Roman"/>
          <w:lang w:val="en-US" w:eastAsia="zh-CN"/>
        </w:rPr>
      </w:pPr>
      <w:r>
        <w:rPr>
          <w:rFonts w:hint="eastAsia" w:ascii="Times New Roman"/>
          <w:lang w:val="en-US" w:eastAsia="zh-CN"/>
        </w:rPr>
        <w:t>预制构件采用螺栓连接时，螺栓的材质、规格、拧紧力矩应符合设计要求。</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检查数量：按螺栓数抽查 10%，且不应少于 3 个。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检验方法：按现行国家标准《钢结构工程施工质量验收标准》GB 50205的要求进行。 </w:t>
      </w:r>
    </w:p>
    <w:p>
      <w:pPr>
        <w:pStyle w:val="167"/>
        <w:rPr>
          <w:rFonts w:hint="eastAsia" w:ascii="Times New Roman"/>
          <w:lang w:val="en-US" w:eastAsia="zh-CN"/>
        </w:rPr>
      </w:pPr>
      <w:r>
        <w:rPr>
          <w:rFonts w:hint="eastAsia" w:ascii="Times New Roman"/>
          <w:lang w:val="en-US" w:eastAsia="zh-CN"/>
        </w:rPr>
        <w:t xml:space="preserve">预制外墙板接缝处不得渗水。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检查数量：按批检验。每1000m</w:t>
      </w:r>
      <w:r>
        <w:rPr>
          <w:rFonts w:hint="eastAsia" w:ascii="宋体" w:hAnsi="宋体" w:eastAsia="宋体" w:cs="宋体"/>
          <w:sz w:val="21"/>
          <w:szCs w:val="21"/>
          <w:vertAlign w:val="superscript"/>
        </w:rPr>
        <w:t>2</w:t>
      </w:r>
      <w:r>
        <w:rPr>
          <w:rFonts w:hint="eastAsia" w:ascii="宋体" w:hAnsi="宋体" w:eastAsia="宋体" w:cs="宋体"/>
          <w:sz w:val="21"/>
          <w:szCs w:val="21"/>
        </w:rPr>
        <w:t>外墙面积应划分为一个检验批，不足 1000m</w:t>
      </w:r>
      <w:r>
        <w:rPr>
          <w:rFonts w:hint="eastAsia" w:ascii="宋体" w:hAnsi="宋体" w:eastAsia="宋体" w:cs="宋体"/>
          <w:sz w:val="21"/>
          <w:szCs w:val="21"/>
          <w:vertAlign w:val="superscript"/>
        </w:rPr>
        <w:t>2</w:t>
      </w:r>
      <w:r>
        <w:rPr>
          <w:rFonts w:hint="eastAsia" w:ascii="宋体" w:hAnsi="宋体" w:eastAsia="宋体" w:cs="宋体"/>
          <w:sz w:val="21"/>
          <w:szCs w:val="21"/>
        </w:rPr>
        <w:t>时也应划分为一个检验批；每个检验批每100m</w:t>
      </w:r>
      <w:r>
        <w:rPr>
          <w:rFonts w:hint="eastAsia" w:ascii="宋体" w:hAnsi="宋体" w:eastAsia="宋体" w:cs="宋体"/>
          <w:sz w:val="21"/>
          <w:szCs w:val="21"/>
          <w:vertAlign w:val="superscript"/>
        </w:rPr>
        <w:t>2</w:t>
      </w:r>
      <w:r>
        <w:rPr>
          <w:rFonts w:hint="eastAsia" w:ascii="宋体" w:hAnsi="宋体" w:eastAsia="宋体" w:cs="宋体"/>
          <w:sz w:val="21"/>
          <w:szCs w:val="21"/>
        </w:rPr>
        <w:t>应至少抽查一处，抽查部位应为相邻两层墙板形成的水平和竖向十字接缝区域，每处不得少于10m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检验方法：检查现场淋水试验报告。</w:t>
      </w:r>
    </w:p>
    <w:p>
      <w:pPr>
        <w:pageBreakBefore w:val="0"/>
        <w:kinsoku/>
        <w:wordWrap/>
        <w:overflowPunct/>
        <w:topLinePunct w:val="0"/>
        <w:bidi w:val="0"/>
        <w:snapToGrid/>
        <w:spacing w:line="240" w:lineRule="auto"/>
        <w:ind w:firstLine="480"/>
        <w:jc w:val="center"/>
        <w:textAlignment w:val="auto"/>
        <w:rPr>
          <w:rFonts w:hint="eastAsia" w:ascii="宋体" w:hAnsi="宋体" w:eastAsia="宋体" w:cs="宋体"/>
          <w:sz w:val="21"/>
          <w:szCs w:val="21"/>
        </w:rPr>
      </w:pPr>
    </w:p>
    <w:p>
      <w:pPr>
        <w:pageBreakBefore w:val="0"/>
        <w:kinsoku/>
        <w:wordWrap/>
        <w:overflowPunct/>
        <w:topLinePunct w:val="0"/>
        <w:bidi w:val="0"/>
        <w:snapToGrid/>
        <w:spacing w:line="240" w:lineRule="auto"/>
        <w:ind w:firstLine="480"/>
        <w:jc w:val="center"/>
        <w:textAlignment w:val="auto"/>
        <w:rPr>
          <w:rFonts w:hint="eastAsia" w:ascii="宋体" w:hAnsi="宋体" w:eastAsia="宋体" w:cs="宋体"/>
          <w:sz w:val="21"/>
          <w:szCs w:val="21"/>
        </w:rPr>
      </w:pPr>
      <w:r>
        <w:rPr>
          <w:rFonts w:hint="eastAsia" w:ascii="宋体" w:hAnsi="宋体" w:eastAsia="宋体" w:cs="宋体"/>
          <w:sz w:val="21"/>
          <w:szCs w:val="21"/>
        </w:rPr>
        <w:t>一般项目</w:t>
      </w:r>
    </w:p>
    <w:p>
      <w:pPr>
        <w:pStyle w:val="167"/>
        <w:rPr>
          <w:rFonts w:hint="eastAsia" w:ascii="Times New Roman"/>
          <w:lang w:val="en-US" w:eastAsia="zh-CN"/>
        </w:rPr>
      </w:pPr>
      <w:r>
        <w:rPr>
          <w:rFonts w:hint="eastAsia" w:ascii="Times New Roman"/>
          <w:lang w:val="en-US" w:eastAsia="zh-CN"/>
        </w:rPr>
        <w:t>预制构件吊装前，应按设计要求在构件和相应的支承结构上标志中心线、标高等控制尺寸，按标准图或设计文件校核预埋件及连接钢筋等，并作出标志。</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检查数量：全数检查。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检验方法：观察，钢尺检查。</w:t>
      </w:r>
    </w:p>
    <w:p>
      <w:pPr>
        <w:pStyle w:val="167"/>
        <w:rPr>
          <w:rFonts w:hint="eastAsia" w:ascii="Times New Roman"/>
          <w:lang w:val="en-US" w:eastAsia="zh-CN"/>
        </w:rPr>
      </w:pPr>
      <w:r>
        <w:rPr>
          <w:rFonts w:hint="eastAsia" w:ascii="Times New Roman"/>
          <w:lang w:val="en-US" w:eastAsia="zh-CN"/>
        </w:rPr>
        <w:t xml:space="preserve">装配施工完成的叠合墙体系结构尺寸允许偏差应符合设计要求，且应符合表 8.3.13 中的规定。 </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检查数量：按楼层、结构缝或施工段划分检验批。在同一检验批内，对梁，应抽查构件数量的 10%，且不少于 3 件；对墙和板，应按有代表性的自然间抽查10%，且不少于 3 间。 </w:t>
      </w: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 xml:space="preserve">表 </w:t>
      </w:r>
      <w:r>
        <w:rPr>
          <w:rFonts w:hint="eastAsia" w:ascii="黑体" w:hAnsi="黑体" w:eastAsia="黑体" w:cs="Times New Roman"/>
          <w:sz w:val="21"/>
          <w:szCs w:val="21"/>
          <w:lang w:val="en-US" w:eastAsia="zh-CN"/>
        </w:rPr>
        <w:t>9</w:t>
      </w:r>
      <w:r>
        <w:rPr>
          <w:rFonts w:hint="eastAsia" w:ascii="黑体" w:hAnsi="黑体" w:eastAsia="黑体" w:cs="Times New Roman"/>
          <w:sz w:val="21"/>
          <w:szCs w:val="21"/>
        </w:rPr>
        <w:t>.3.1</w:t>
      </w:r>
      <w:r>
        <w:rPr>
          <w:rFonts w:hint="eastAsia" w:ascii="黑体" w:hAnsi="黑体" w:eastAsia="黑体" w:cs="Times New Roman"/>
          <w:sz w:val="21"/>
          <w:szCs w:val="21"/>
          <w:lang w:val="en-US" w:eastAsia="zh-CN"/>
        </w:rPr>
        <w:t>2</w:t>
      </w:r>
      <w:r>
        <w:rPr>
          <w:rFonts w:hint="eastAsia" w:ascii="黑体" w:hAnsi="黑体" w:eastAsia="黑体" w:cs="Times New Roman"/>
          <w:sz w:val="21"/>
          <w:szCs w:val="21"/>
        </w:rPr>
        <w:t xml:space="preserve"> 叠合剪力墙体系结构尺寸允许偏差及检验方法</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3"/>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项目</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允许偏差（mm）</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校验方法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构件中心线对轴线位置</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基础</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15</w:t>
            </w:r>
          </w:p>
        </w:tc>
        <w:tc>
          <w:tcPr>
            <w:tcW w:w="1705"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竖向构件（墙、外挂板）</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水平构件（梁、板）</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构件标高</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梁、墙、板底面或顶面</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水准仪或尺量检查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构件垂直度</w:t>
            </w:r>
          </w:p>
        </w:tc>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墙、外挂板</w:t>
            </w: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＜5m</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经纬仪或全站仪量测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≥5m且＜10m</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≥10m</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20</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构件倾斜度</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梁</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垂线、钢尺量测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相邻构件平整度</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板端面</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vMerge w:val="restart"/>
            <w:shd w:val="clear" w:color="auto" w:fill="auto"/>
            <w:vAlign w:val="center"/>
          </w:tcPr>
          <w:p>
            <w:pPr>
              <w:pageBreakBefore w:val="0"/>
              <w:kinsoku/>
              <w:wordWrap/>
              <w:overflowPunct/>
              <w:topLinePunct w:val="0"/>
              <w:bidi w:val="0"/>
              <w:snapToGrid/>
              <w:spacing w:line="240" w:lineRule="auto"/>
              <w:ind w:firstLine="480"/>
              <w:jc w:val="center"/>
              <w:textAlignment w:val="auto"/>
              <w:rPr>
                <w:rFonts w:hint="eastAsia" w:ascii="宋体" w:hAnsi="宋体" w:eastAsia="宋体" w:cs="宋体"/>
                <w:sz w:val="21"/>
                <w:szCs w:val="21"/>
              </w:rPr>
            </w:pPr>
            <w:r>
              <w:rPr>
                <w:rFonts w:hint="eastAsia" w:ascii="宋体" w:hAnsi="宋体" w:eastAsia="宋体" w:cs="宋体"/>
                <w:sz w:val="21"/>
                <w:szCs w:val="21"/>
              </w:rPr>
              <w:t>钢尺、塞尺量测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梁、板底面</w:t>
            </w: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抹灰</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不抹灰</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墙侧面</w:t>
            </w: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外露</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不外露</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构件搁置长度</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梁、板</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支座、支垫中心位置</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板、梁、墙、外挂板</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1705" w:type="dxa"/>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墙板接缝</w:t>
            </w: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宽度</w:t>
            </w:r>
          </w:p>
        </w:tc>
        <w:tc>
          <w:tcPr>
            <w:tcW w:w="1705"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705" w:type="dxa"/>
            <w:vMerge w:val="restart"/>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3408" w:type="dxa"/>
            <w:gridSpan w:val="2"/>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中心线位置</w:t>
            </w: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c>
          <w:tcPr>
            <w:tcW w:w="1705" w:type="dxa"/>
            <w:vMerge w:val="continue"/>
            <w:shd w:val="clear" w:color="auto" w:fill="auto"/>
            <w:vAlign w:val="center"/>
          </w:tcPr>
          <w:p>
            <w:pPr>
              <w:pageBreakBefore w:val="0"/>
              <w:kinsoku/>
              <w:wordWrap/>
              <w:overflowPunct/>
              <w:topLinePunct w:val="0"/>
              <w:bidi w:val="0"/>
              <w:snapToGrid/>
              <w:spacing w:line="240" w:lineRule="auto"/>
              <w:jc w:val="center"/>
              <w:textAlignment w:val="auto"/>
              <w:rPr>
                <w:rFonts w:hint="eastAsia" w:ascii="宋体" w:hAnsi="宋体" w:eastAsia="宋体" w:cs="宋体"/>
                <w:sz w:val="21"/>
                <w:szCs w:val="21"/>
              </w:rPr>
            </w:pPr>
          </w:p>
        </w:tc>
      </w:tr>
    </w:tbl>
    <w:p>
      <w:pPr>
        <w:pStyle w:val="58"/>
        <w:pageBreakBefore w:val="0"/>
        <w:kinsoku/>
        <w:wordWrap/>
        <w:overflowPunct/>
        <w:topLinePunct w:val="0"/>
        <w:bidi w:val="0"/>
        <w:snapToGrid/>
        <w:spacing w:line="240" w:lineRule="auto"/>
        <w:ind w:firstLine="420"/>
        <w:textAlignment w:val="auto"/>
        <w:rPr>
          <w:rFonts w:hint="eastAsia" w:ascii="宋体" w:hAnsi="宋体" w:eastAsia="宋体" w:cs="宋体"/>
          <w:sz w:val="21"/>
          <w:szCs w:val="21"/>
        </w:rPr>
      </w:pPr>
    </w:p>
    <w:p>
      <w:pPr>
        <w:pStyle w:val="58"/>
        <w:ind w:firstLine="420"/>
      </w:pPr>
    </w:p>
    <w:p>
      <w:pPr>
        <w:pStyle w:val="58"/>
        <w:ind w:firstLine="420"/>
        <w:sectPr>
          <w:pgSz w:w="11906" w:h="16838"/>
          <w:pgMar w:top="567" w:right="1134" w:bottom="1134" w:left="1134" w:header="1418" w:footer="1134" w:gutter="284"/>
          <w:cols w:space="425" w:num="1"/>
          <w:formProt w:val="0"/>
          <w:docGrid w:type="lines" w:linePitch="312" w:charSpace="0"/>
        </w:sectPr>
      </w:pPr>
    </w:p>
    <w:bookmarkEnd w:id="23"/>
    <w:p>
      <w:pPr>
        <w:pStyle w:val="200"/>
      </w:pPr>
      <w:bookmarkStart w:id="78" w:name="BookMark5"/>
    </w:p>
    <w:p>
      <w:pPr>
        <w:pStyle w:val="201"/>
      </w:pPr>
    </w:p>
    <w:p>
      <w:pPr>
        <w:pStyle w:val="78"/>
        <w:spacing w:before="78" w:after="156"/>
      </w:pPr>
      <w:bookmarkStart w:id="79" w:name="_Toc24268"/>
      <w:r>
        <w:rPr>
          <w:rFonts w:hint="eastAsia" w:ascii="黑体" w:hAnsi="黑体" w:eastAsia="黑体" w:cs="黑体"/>
          <w:b w:val="0"/>
          <w:bCs w:val="0"/>
        </w:rPr>
        <w:t>质量验收记录</w:t>
      </w:r>
      <w:r>
        <w:rPr>
          <w:rFonts w:hint="eastAsia" w:hAnsi="黑体" w:cs="黑体"/>
          <w:b w:val="0"/>
          <w:bCs w:val="0"/>
          <w:lang w:eastAsia="zh-CN"/>
        </w:rPr>
        <w:t>（规范性）</w:t>
      </w:r>
      <w:bookmarkEnd w:id="79"/>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附表A-1 预制构件检验批质量验收记录</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
        <w:gridCol w:w="626"/>
        <w:gridCol w:w="985"/>
        <w:gridCol w:w="1413"/>
        <w:gridCol w:w="1415"/>
        <w:gridCol w:w="845"/>
        <w:gridCol w:w="540"/>
        <w:gridCol w:w="1398"/>
        <w:gridCol w:w="333"/>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工程名称</w:t>
            </w:r>
          </w:p>
        </w:tc>
        <w:tc>
          <w:tcPr>
            <w:tcW w:w="4067" w:type="pct"/>
            <w:gridSpan w:val="7"/>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分项工程名</w:t>
            </w:r>
          </w:p>
        </w:tc>
        <w:tc>
          <w:tcPr>
            <w:tcW w:w="755"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c>
          <w:tcPr>
            <w:tcW w:w="75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验收部位</w:t>
            </w:r>
          </w:p>
        </w:tc>
        <w:tc>
          <w:tcPr>
            <w:tcW w:w="2556" w:type="pct"/>
            <w:gridSpan w:val="5"/>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施工单位</w:t>
            </w:r>
          </w:p>
        </w:tc>
        <w:tc>
          <w:tcPr>
            <w:tcW w:w="755"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c>
          <w:tcPr>
            <w:tcW w:w="75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r>
              <w:rPr>
                <w:rFonts w:ascii="Times New Roman" w:hAnsi="Times New Roman" w:eastAsia="宋体" w:cs="Times New Roman"/>
                <w:sz w:val="18"/>
                <w:szCs w:val="18"/>
              </w:rPr>
              <w:t>项目负责人</w:t>
            </w:r>
          </w:p>
        </w:tc>
        <w:tc>
          <w:tcPr>
            <w:tcW w:w="757"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c>
          <w:tcPr>
            <w:tcW w:w="747"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r>
              <w:rPr>
                <w:rFonts w:ascii="Times New Roman" w:hAnsi="Times New Roman" w:eastAsia="宋体" w:cs="Times New Roman"/>
                <w:sz w:val="18"/>
                <w:szCs w:val="18"/>
              </w:rPr>
              <w:t>专业工长</w:t>
            </w:r>
          </w:p>
        </w:tc>
        <w:tc>
          <w:tcPr>
            <w:tcW w:w="1051"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分包单位</w:t>
            </w:r>
          </w:p>
        </w:tc>
        <w:tc>
          <w:tcPr>
            <w:tcW w:w="755"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c>
          <w:tcPr>
            <w:tcW w:w="75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r>
              <w:rPr>
                <w:rFonts w:ascii="Times New Roman" w:hAnsi="Times New Roman" w:eastAsia="宋体" w:cs="Times New Roman"/>
                <w:sz w:val="18"/>
                <w:szCs w:val="18"/>
              </w:rPr>
              <w:t>项目负责人</w:t>
            </w:r>
          </w:p>
        </w:tc>
        <w:tc>
          <w:tcPr>
            <w:tcW w:w="757"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c>
          <w:tcPr>
            <w:tcW w:w="747"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r>
              <w:rPr>
                <w:rFonts w:ascii="Times New Roman" w:hAnsi="Times New Roman" w:eastAsia="宋体" w:cs="Times New Roman"/>
                <w:sz w:val="18"/>
                <w:szCs w:val="18"/>
              </w:rPr>
              <w:t>施工班组长</w:t>
            </w:r>
          </w:p>
        </w:tc>
        <w:tc>
          <w:tcPr>
            <w:tcW w:w="1051"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施工执行</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标准名称及编号</w:t>
            </w:r>
          </w:p>
        </w:tc>
        <w:tc>
          <w:tcPr>
            <w:tcW w:w="4067" w:type="pct"/>
            <w:gridSpan w:val="7"/>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trPr>
        <w:tc>
          <w:tcPr>
            <w:tcW w:w="221"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主控项目</w:t>
            </w:r>
          </w:p>
        </w:tc>
        <w:tc>
          <w:tcPr>
            <w:tcW w:w="2681" w:type="pct"/>
            <w:gridSpan w:val="5"/>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验收规程的规定</w:t>
            </w:r>
          </w:p>
        </w:tc>
        <w:tc>
          <w:tcPr>
            <w:tcW w:w="1236"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r>
              <w:rPr>
                <w:rFonts w:ascii="Times New Roman" w:hAnsi="Times New Roman" w:eastAsia="宋体" w:cs="Times New Roman"/>
                <w:sz w:val="18"/>
                <w:szCs w:val="18"/>
              </w:rPr>
              <w:t>施工、分包单位检查记录</w:t>
            </w:r>
          </w:p>
        </w:tc>
        <w:tc>
          <w:tcPr>
            <w:tcW w:w="861"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left="-630" w:leftChars="-300" w:right="-630" w:rightChars="-300" w:firstLine="720" w:firstLineChars="400"/>
              <w:textAlignment w:val="auto"/>
              <w:rPr>
                <w:rFonts w:ascii="Times New Roman" w:hAnsi="Times New Roman" w:eastAsia="宋体" w:cs="Times New Roman"/>
                <w:sz w:val="18"/>
                <w:szCs w:val="18"/>
              </w:rPr>
            </w:pPr>
            <w:r>
              <w:rPr>
                <w:rFonts w:ascii="Times New Roman" w:hAnsi="Times New Roman" w:eastAsia="宋体" w:cs="Times New Roman"/>
                <w:sz w:val="18"/>
                <w:szCs w:val="18"/>
              </w:rPr>
              <w:t>监理单位验收记录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进场预制构件应在明显部位有主要构件的生产单位、 构件型号、生产日期、质量验收标志、型式检验报告和现场抽样检测报告。</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restar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 xml:space="preserve">预制构件结构性能检验符合要求。 </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3</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预制构件的外观无严重缺陷，或对严重缺陷按照技术处理方案做了妥善修补处理。</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4</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构件上的预埋件、插筋、预留孔洞的规格、位置和数量符合深化设计要求。</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5</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 xml:space="preserve">预制构件的混凝土强度、钢筋保护层厚度的实体抽检结果符合要求。 </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221"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一般项目</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预制构件的外观尺寸偏差应符合要求。</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restar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预制构件的外观一般缺陷。</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ascii="Times New Roman" w:hAnsi="Times New Roman" w:eastAsia="宋体" w:cs="Times New Roman"/>
                <w:sz w:val="18"/>
                <w:szCs w:val="18"/>
              </w:rPr>
            </w:pPr>
          </w:p>
        </w:tc>
        <w:tc>
          <w:tcPr>
            <w:tcW w:w="178"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2503" w:type="pct"/>
            <w:gridSpan w:val="4"/>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ascii="Times New Roman" w:hAnsi="Times New Roman" w:eastAsia="宋体" w:cs="Times New Roman"/>
                <w:sz w:val="18"/>
                <w:szCs w:val="18"/>
              </w:rPr>
            </w:pPr>
            <w:r>
              <w:rPr>
                <w:rFonts w:ascii="Times New Roman" w:hAnsi="Times New Roman" w:eastAsia="宋体" w:cs="Times New Roman"/>
                <w:sz w:val="18"/>
                <w:szCs w:val="18"/>
              </w:rPr>
              <w:t>预制构件的预埋件、预留孔和预留洞应安装牢固，其尺寸偏差应符合规定。</w:t>
            </w:r>
          </w:p>
        </w:tc>
        <w:tc>
          <w:tcPr>
            <w:tcW w:w="1236" w:type="pct"/>
            <w:gridSpan w:val="3"/>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c>
          <w:tcPr>
            <w:tcW w:w="861"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ascii="Times New Roman" w:hAnsi="Times New Roman" w:eastAsia="宋体" w:cs="Times New Roman"/>
                <w:sz w:val="18"/>
                <w:szCs w:val="18"/>
              </w:rPr>
            </w:pPr>
          </w:p>
        </w:tc>
      </w:tr>
    </w:tbl>
    <w:p>
      <w:pPr>
        <w:ind w:firstLine="440"/>
        <w:rPr>
          <w:rFonts w:ascii="Times New Roman" w:hAnsi="Times New Roman" w:cs="Times New Roman"/>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ind w:firstLine="402"/>
        <w:jc w:val="center"/>
        <w:rPr>
          <w:rFonts w:ascii="宋体" w:hAnsi="宋体" w:eastAsia="宋体" w:cs="宋体"/>
          <w:b/>
          <w:color w:val="000000"/>
          <w:sz w:val="20"/>
          <w:szCs w:val="20"/>
        </w:rPr>
      </w:pPr>
    </w:p>
    <w:p>
      <w:pPr>
        <w:keepNext w:val="0"/>
        <w:keepLines w:val="0"/>
        <w:pageBreakBefore w:val="0"/>
        <w:widowControl w:val="0"/>
        <w:tabs>
          <w:tab w:val="left" w:pos="1102"/>
          <w:tab w:val="left" w:pos="4345"/>
          <w:tab w:val="left" w:pos="4783"/>
        </w:tabs>
        <w:kinsoku/>
        <w:wordWrap/>
        <w:overflowPunct/>
        <w:topLinePunct w:val="0"/>
        <w:bidi w:val="0"/>
        <w:snapToGrid/>
        <w:spacing w:line="240" w:lineRule="auto"/>
        <w:jc w:val="center"/>
        <w:textAlignment w:val="auto"/>
        <w:rPr>
          <w:rFonts w:hint="eastAsia" w:ascii="黑体" w:hAnsi="黑体" w:eastAsia="黑体" w:cs="Times New Roman"/>
          <w:sz w:val="21"/>
          <w:szCs w:val="21"/>
        </w:rPr>
      </w:pPr>
      <w:r>
        <w:rPr>
          <w:rFonts w:hint="eastAsia" w:ascii="黑体" w:hAnsi="黑体" w:eastAsia="黑体" w:cs="Times New Roman"/>
          <w:sz w:val="21"/>
          <w:szCs w:val="21"/>
        </w:rPr>
        <w:t>附表A-2 预制构件安装与连接检验批质量验收记录</w:t>
      </w:r>
    </w:p>
    <w:tbl>
      <w:tblPr>
        <w:tblStyle w:val="27"/>
        <w:tblW w:w="50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689"/>
        <w:gridCol w:w="997"/>
        <w:gridCol w:w="219"/>
        <w:gridCol w:w="96"/>
        <w:gridCol w:w="123"/>
        <w:gridCol w:w="855"/>
        <w:gridCol w:w="386"/>
        <w:gridCol w:w="987"/>
        <w:gridCol w:w="840"/>
        <w:gridCol w:w="257"/>
        <w:gridCol w:w="248"/>
        <w:gridCol w:w="48"/>
        <w:gridCol w:w="200"/>
        <w:gridCol w:w="248"/>
        <w:gridCol w:w="248"/>
        <w:gridCol w:w="248"/>
        <w:gridCol w:w="248"/>
        <w:gridCol w:w="125"/>
        <w:gridCol w:w="125"/>
        <w:gridCol w:w="248"/>
        <w:gridCol w:w="256"/>
        <w:gridCol w:w="6"/>
        <w:gridCol w:w="1095"/>
        <w:gridCol w:w="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Pr>
        <w:tc>
          <w:tcPr>
            <w:tcW w:w="1282"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工程名称</w:t>
            </w:r>
          </w:p>
        </w:tc>
        <w:tc>
          <w:tcPr>
            <w:tcW w:w="3697" w:type="pct"/>
            <w:gridSpan w:val="21"/>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Pr>
        <w:tc>
          <w:tcPr>
            <w:tcW w:w="1282"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分项工程名</w:t>
            </w:r>
          </w:p>
        </w:tc>
        <w:tc>
          <w:tcPr>
            <w:tcW w:w="673"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c>
          <w:tcPr>
            <w:tcW w:w="714"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验收部位</w:t>
            </w:r>
          </w:p>
        </w:tc>
        <w:tc>
          <w:tcPr>
            <w:tcW w:w="2310" w:type="pct"/>
            <w:gridSpan w:val="15"/>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Pr>
        <w:tc>
          <w:tcPr>
            <w:tcW w:w="1282"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施工单位</w:t>
            </w:r>
          </w:p>
        </w:tc>
        <w:tc>
          <w:tcPr>
            <w:tcW w:w="673"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c>
          <w:tcPr>
            <w:tcW w:w="714"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项目负责人</w:t>
            </w:r>
          </w:p>
        </w:tc>
        <w:tc>
          <w:tcPr>
            <w:tcW w:w="724"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c>
          <w:tcPr>
            <w:tcW w:w="685"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专业工长</w:t>
            </w:r>
          </w:p>
        </w:tc>
        <w:tc>
          <w:tcPr>
            <w:tcW w:w="900" w:type="pct"/>
            <w:gridSpan w:val="5"/>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Pr>
        <w:tc>
          <w:tcPr>
            <w:tcW w:w="1282"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分包单位</w:t>
            </w:r>
          </w:p>
        </w:tc>
        <w:tc>
          <w:tcPr>
            <w:tcW w:w="673"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c>
          <w:tcPr>
            <w:tcW w:w="714"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项目负责人</w:t>
            </w:r>
          </w:p>
        </w:tc>
        <w:tc>
          <w:tcPr>
            <w:tcW w:w="724"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c>
          <w:tcPr>
            <w:tcW w:w="685"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施工班组长</w:t>
            </w:r>
          </w:p>
        </w:tc>
        <w:tc>
          <w:tcPr>
            <w:tcW w:w="900" w:type="pct"/>
            <w:gridSpan w:val="5"/>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Pr>
        <w:tc>
          <w:tcPr>
            <w:tcW w:w="1282"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施工执行</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标准名称及编号</w:t>
            </w:r>
          </w:p>
        </w:tc>
        <w:tc>
          <w:tcPr>
            <w:tcW w:w="3697" w:type="pct"/>
            <w:gridSpan w:val="21"/>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6" w:hRule="atLeast"/>
        </w:trPr>
        <w:tc>
          <w:tcPr>
            <w:tcW w:w="404"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主</w:t>
            </w:r>
          </w:p>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主控项目</w:t>
            </w:r>
          </w:p>
        </w:tc>
        <w:tc>
          <w:tcPr>
            <w:tcW w:w="2702" w:type="pct"/>
            <w:gridSpan w:val="9"/>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320"/>
              <w:jc w:val="center"/>
              <w:textAlignment w:val="auto"/>
              <w:rPr>
                <w:rFonts w:hint="eastAsia" w:ascii="宋体" w:hAnsi="宋体" w:eastAsia="宋体" w:cs="宋体"/>
                <w:sz w:val="18"/>
                <w:szCs w:val="18"/>
              </w:rPr>
            </w:pPr>
            <w:r>
              <w:rPr>
                <w:rFonts w:hint="eastAsia" w:ascii="宋体" w:hAnsi="宋体" w:eastAsia="宋体" w:cs="宋体"/>
                <w:sz w:val="18"/>
                <w:szCs w:val="18"/>
              </w:rPr>
              <w:t>验收规程的规定</w:t>
            </w:r>
          </w:p>
        </w:tc>
        <w:tc>
          <w:tcPr>
            <w:tcW w:w="1300" w:type="pct"/>
            <w:gridSpan w:val="1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施工、分包单位检查记录</w:t>
            </w:r>
          </w:p>
        </w:tc>
        <w:tc>
          <w:tcPr>
            <w:tcW w:w="571"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监理单位验收记录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jc w:val="left"/>
              <w:textAlignment w:val="auto"/>
              <w:rPr>
                <w:rFonts w:hint="eastAsia" w:ascii="宋体" w:hAnsi="宋体" w:eastAsia="宋体" w:cs="宋体"/>
                <w:sz w:val="18"/>
                <w:szCs w:val="18"/>
              </w:rPr>
            </w:pPr>
            <w:r>
              <w:rPr>
                <w:rFonts w:hint="eastAsia" w:ascii="宋体" w:hAnsi="宋体" w:eastAsia="宋体" w:cs="宋体"/>
                <w:sz w:val="18"/>
                <w:szCs w:val="18"/>
              </w:rPr>
              <w:t>预制构件吊装时，混凝土强度必须满足要求。</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restar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left="-105" w:leftChars="-50" w:right="-105" w:rightChars="-50" w:firstLine="320"/>
              <w:jc w:val="left"/>
              <w:textAlignment w:val="auto"/>
              <w:rPr>
                <w:rFonts w:hint="eastAsia" w:ascii="宋体" w:hAnsi="宋体" w:eastAsia="宋体" w:cs="宋体"/>
                <w:sz w:val="18"/>
                <w:szCs w:val="18"/>
              </w:rPr>
            </w:pPr>
            <w:r>
              <w:rPr>
                <w:rFonts w:hint="eastAsia" w:ascii="宋体" w:hAnsi="宋体" w:eastAsia="宋体" w:cs="宋体"/>
                <w:sz w:val="18"/>
                <w:szCs w:val="18"/>
              </w:rPr>
              <w:t xml:space="preserve"> 外墙板接缝处不得渗水，检查现场淋水试验报告。</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3</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预制构件间、预制构件和现浇构件间的连接节点钢筋搭接长度及钢筋间距应满足深化设计要求。</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后浇混凝土内部及新旧混凝土结合面均不应存在缺陷，混凝土强度必须符合设计要求。</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5</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预制构件底部接缝应密实，其强度必须符合要求。</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钢筋焊接连接和机械连接接头质量应符合要求，钢材焊接的焊缝尺寸应满足设计要求，焊缝质量应符合规定。</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7</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预制构件采用螺栓连接时，螺栓材质、规格、拧紧力矩应符合设计要求。</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一</w:t>
            </w:r>
          </w:p>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一般项目</w:t>
            </w:r>
          </w:p>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预制构件吊装前，应按设计要求在构件和相应的支承结构上标志中心线、标高等控制尺寸，按标准图或设计文件校核预埋件及连接钢筋等，并作出标志。</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restar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pct"/>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2343" w:type="pct"/>
            <w:gridSpan w:val="8"/>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安装的结构尺寸允许偏差应符合规定。</w:t>
            </w:r>
          </w:p>
        </w:tc>
        <w:tc>
          <w:tcPr>
            <w:tcW w:w="1300" w:type="pct"/>
            <w:gridSpan w:val="1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71"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hint="eastAsia" w:ascii="宋体" w:hAnsi="宋体" w:eastAsia="宋体" w:cs="宋体"/>
                <w:sz w:val="18"/>
                <w:szCs w:val="18"/>
                <w:lang w:eastAsia="zh-CN"/>
              </w:rPr>
            </w:pPr>
            <w:r>
              <w:rPr>
                <w:rFonts w:hint="eastAsia" w:ascii="宋体" w:hAnsi="宋体" w:cs="宋体"/>
                <w:sz w:val="18"/>
                <w:szCs w:val="18"/>
                <w:lang w:val="en-US" w:eastAsia="zh-CN"/>
              </w:rPr>
              <w:t>3</w:t>
            </w:r>
          </w:p>
        </w:tc>
        <w:tc>
          <w:tcPr>
            <w:tcW w:w="1393"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项  目</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允许偏差(mm)</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restar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683" w:type="pct"/>
            <w:gridSpan w:val="3"/>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轴线位置</w:t>
            </w:r>
          </w:p>
        </w:tc>
        <w:tc>
          <w:tcPr>
            <w:tcW w:w="709"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基础</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683" w:type="pct"/>
            <w:gridSpan w:val="3"/>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p>
        </w:tc>
        <w:tc>
          <w:tcPr>
            <w:tcW w:w="709"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竖向构件</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10</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683" w:type="pct"/>
            <w:gridSpan w:val="3"/>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p>
        </w:tc>
        <w:tc>
          <w:tcPr>
            <w:tcW w:w="709" w:type="pct"/>
            <w:gridSpan w:val="3"/>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水平构件</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93"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构件标高</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633" w:type="pct"/>
            <w:gridSpan w:val="2"/>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构件垂直度（墙、板）</w:t>
            </w:r>
          </w:p>
        </w:tc>
        <w:tc>
          <w:tcPr>
            <w:tcW w:w="759"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＜5m</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633"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p>
        </w:tc>
        <w:tc>
          <w:tcPr>
            <w:tcW w:w="759"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≥5m且＜10m</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10</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633" w:type="pct"/>
            <w:gridSpan w:val="2"/>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p>
        </w:tc>
        <w:tc>
          <w:tcPr>
            <w:tcW w:w="759" w:type="pct"/>
            <w:gridSpan w:val="4"/>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≥10m</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93"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构件倾斜度（梁）</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93"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构件搁置长度（梁、楼板）</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93" w:type="pct"/>
            <w:gridSpan w:val="6"/>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支座、支垫中心位置（楼板、梁、柱、墙板）</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10</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747" w:type="pct"/>
            <w:gridSpan w:val="4"/>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墙板接缝宽度</w:t>
            </w:r>
          </w:p>
        </w:tc>
        <w:tc>
          <w:tcPr>
            <w:tcW w:w="645"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宽度</w:t>
            </w:r>
          </w:p>
        </w:tc>
        <w:tc>
          <w:tcPr>
            <w:tcW w:w="95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rPr>
        <w:tc>
          <w:tcPr>
            <w:tcW w:w="404"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440"/>
              <w:textAlignment w:val="auto"/>
              <w:rPr>
                <w:rFonts w:hint="eastAsia" w:ascii="宋体" w:hAnsi="宋体" w:eastAsia="宋体" w:cs="宋体"/>
                <w:sz w:val="18"/>
                <w:szCs w:val="18"/>
              </w:rPr>
            </w:pPr>
          </w:p>
        </w:tc>
        <w:tc>
          <w:tcPr>
            <w:tcW w:w="359" w:type="pct"/>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747" w:type="pct"/>
            <w:gridSpan w:val="4"/>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p>
        </w:tc>
        <w:tc>
          <w:tcPr>
            <w:tcW w:w="645"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sz w:val="18"/>
                <w:szCs w:val="18"/>
              </w:rPr>
            </w:pPr>
            <w:r>
              <w:rPr>
                <w:rFonts w:hint="eastAsia" w:ascii="宋体" w:hAnsi="宋体" w:eastAsia="宋体" w:cs="宋体"/>
                <w:sz w:val="18"/>
                <w:szCs w:val="18"/>
              </w:rPr>
              <w:t>中心线位置</w:t>
            </w:r>
          </w:p>
        </w:tc>
        <w:tc>
          <w:tcPr>
            <w:tcW w:w="950" w:type="pct"/>
            <w:gridSpan w:val="2"/>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134"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0"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29" w:type="pct"/>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136" w:type="pct"/>
            <w:gridSpan w:val="2"/>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c>
          <w:tcPr>
            <w:tcW w:w="587" w:type="pct"/>
            <w:gridSpan w:val="2"/>
            <w:vMerge w:val="continue"/>
            <w:shd w:val="clear" w:color="auto" w:fill="auto"/>
          </w:tcPr>
          <w:p>
            <w:pPr>
              <w:keepNext w:val="0"/>
              <w:keepLines w:val="0"/>
              <w:pageBreakBefore w:val="0"/>
              <w:widowControl w:val="0"/>
              <w:kinsoku/>
              <w:wordWrap/>
              <w:overflowPunct/>
              <w:topLinePunct w:val="0"/>
              <w:autoSpaceDE/>
              <w:autoSpaceDN/>
              <w:bidi w:val="0"/>
              <w:adjustRightInd w:val="0"/>
              <w:snapToGrid/>
              <w:spacing w:line="240" w:lineRule="auto"/>
              <w:ind w:firstLine="320"/>
              <w:textAlignment w:val="auto"/>
              <w:rPr>
                <w:rFonts w:hint="eastAsia" w:ascii="宋体" w:hAnsi="宋体" w:eastAsia="宋体" w:cs="宋体"/>
                <w:sz w:val="18"/>
                <w:szCs w:val="18"/>
              </w:rPr>
            </w:pPr>
          </w:p>
        </w:tc>
      </w:tr>
    </w:tbl>
    <w:p>
      <w:pPr>
        <w:ind w:firstLine="440"/>
        <w:rPr>
          <w:rFonts w:ascii="Times New Roman" w:hAnsi="Times New Roman" w:cs="Times New Roman"/>
        </w:rPr>
      </w:pPr>
    </w:p>
    <w:p>
      <w:pPr>
        <w:rPr>
          <w:rFonts w:ascii="Times New Roman" w:hAnsi="Times New Roman" w:cs="Times New Roman"/>
          <w:szCs w:val="21"/>
        </w:rPr>
      </w:pPr>
    </w:p>
    <w:p>
      <w:pPr>
        <w:pStyle w:val="200"/>
      </w:pPr>
    </w:p>
    <w:p>
      <w:pPr>
        <w:pStyle w:val="201"/>
      </w:pPr>
    </w:p>
    <w:bookmarkEnd w:id="78"/>
    <w:p>
      <w:pPr>
        <w:pStyle w:val="85"/>
        <w:numPr>
          <w:ilvl w:val="1"/>
          <w:numId w:val="0"/>
        </w:numPr>
        <w:spacing w:before="156" w:after="156"/>
        <w:ind w:left="420" w:leftChars="0"/>
        <w:jc w:val="both"/>
        <w:sectPr>
          <w:pgSz w:w="11906" w:h="16838"/>
          <w:pgMar w:top="567" w:right="1134" w:bottom="1134" w:left="1134" w:header="1418" w:footer="1134" w:gutter="284"/>
          <w:cols w:space="425" w:num="1"/>
          <w:formProt w:val="0"/>
          <w:docGrid w:type="lines" w:linePitch="312" w:charSpace="0"/>
        </w:sectPr>
      </w:pPr>
    </w:p>
    <w:p>
      <w:pPr>
        <w:pStyle w:val="78"/>
        <w:shd w:val="clear" w:color="FFFFFF" w:fill="FFFFFF"/>
        <w:spacing w:before="78" w:after="156"/>
        <w:rPr>
          <w:rFonts w:hint="eastAsia" w:ascii="黑体" w:hAnsi="黑体" w:eastAsia="黑体" w:cs="黑体"/>
          <w:b w:val="0"/>
          <w:bCs w:val="0"/>
        </w:rPr>
      </w:pPr>
      <w:bookmarkStart w:id="80" w:name="_Toc8512"/>
      <w:bookmarkStart w:id="81" w:name="_Toc19454"/>
      <w:bookmarkStart w:id="82" w:name="_Toc11551"/>
      <w:bookmarkStart w:id="83" w:name="_Toc10321"/>
      <w:r>
        <w:rPr>
          <w:rFonts w:hint="eastAsia" w:ascii="黑体" w:hAnsi="黑体" w:eastAsia="黑体" w:cs="黑体"/>
          <w:b w:val="0"/>
          <w:bCs w:val="0"/>
        </w:rPr>
        <w:t>阵列超声成像法</w:t>
      </w:r>
      <w:bookmarkEnd w:id="80"/>
      <w:bookmarkEnd w:id="81"/>
      <w:bookmarkEnd w:id="82"/>
      <w:r>
        <w:rPr>
          <w:rFonts w:hint="eastAsia" w:hAnsi="黑体" w:cs="黑体"/>
          <w:b w:val="0"/>
          <w:bCs w:val="0"/>
          <w:lang w:eastAsia="zh-CN"/>
        </w:rPr>
        <w:t>（资料性）</w:t>
      </w:r>
      <w:bookmarkEnd w:id="83"/>
    </w:p>
    <w:p>
      <w:pPr>
        <w:pStyle w:val="213"/>
        <w:rPr>
          <w:rFonts w:hint="eastAsia"/>
          <w:color w:val="000000"/>
          <w:kern w:val="0"/>
        </w:rPr>
      </w:pPr>
      <w:r>
        <w:rPr>
          <w:rFonts w:hint="eastAsia"/>
          <w:color w:val="000000"/>
          <w:kern w:val="0"/>
        </w:rPr>
        <w:t>本附录适用于采用阵列超声设备检测装配整体式叠合剪力墙内部与测试面平行、剖面尺寸不小于20㎜的缺陷，可包括以下缺陷类型：</w:t>
      </w:r>
    </w:p>
    <w:p>
      <w:pPr>
        <w:pStyle w:val="176"/>
        <w:numPr>
          <w:ilvl w:val="0"/>
          <w:numId w:val="58"/>
        </w:numPr>
        <w:rPr>
          <w:rFonts w:hint="eastAsia" w:ascii="Times New Roman"/>
        </w:rPr>
      </w:pPr>
      <w:r>
        <w:rPr>
          <w:rFonts w:hint="eastAsia" w:ascii="Times New Roman"/>
        </w:rPr>
        <w:t>现浇混凝土内部的空洞、不密实区、裂缝等缺陷。</w:t>
      </w:r>
    </w:p>
    <w:p>
      <w:pPr>
        <w:pStyle w:val="176"/>
        <w:numPr>
          <w:ilvl w:val="0"/>
          <w:numId w:val="58"/>
        </w:numPr>
        <w:rPr>
          <w:rFonts w:hint="eastAsia" w:ascii="Times New Roman"/>
        </w:rPr>
      </w:pPr>
      <w:r>
        <w:rPr>
          <w:rFonts w:hint="eastAsia" w:ascii="Times New Roman"/>
        </w:rPr>
        <w:t>混凝土结合面的剥离、脱空。</w:t>
      </w:r>
    </w:p>
    <w:p>
      <w:pPr>
        <w:pStyle w:val="213"/>
        <w:rPr>
          <w:rFonts w:hint="eastAsia"/>
          <w:color w:val="000000"/>
          <w:kern w:val="0"/>
        </w:rPr>
      </w:pPr>
      <w:r>
        <w:rPr>
          <w:rFonts w:hint="eastAsia"/>
          <w:color w:val="000000"/>
          <w:kern w:val="0"/>
        </w:rPr>
        <w:t>阵列超声成像设备宜符合下列规定：</w:t>
      </w:r>
    </w:p>
    <w:p>
      <w:pPr>
        <w:pStyle w:val="176"/>
        <w:numPr>
          <w:ilvl w:val="0"/>
          <w:numId w:val="59"/>
        </w:numPr>
        <w:rPr>
          <w:rFonts w:hint="eastAsia" w:ascii="Times New Roman"/>
        </w:rPr>
      </w:pPr>
      <w:r>
        <w:rPr>
          <w:rFonts w:hint="eastAsia" w:ascii="Times New Roman"/>
        </w:rPr>
        <w:t>设备应由主机、阵列探头和分析软件等组成，每个探头都宜装载独立的弹簧悬架。</w:t>
      </w:r>
    </w:p>
    <w:p>
      <w:pPr>
        <w:pStyle w:val="176"/>
        <w:numPr>
          <w:ilvl w:val="0"/>
          <w:numId w:val="59"/>
        </w:numPr>
        <w:rPr>
          <w:rFonts w:hint="eastAsia" w:ascii="Times New Roman"/>
        </w:rPr>
      </w:pPr>
      <w:r>
        <w:rPr>
          <w:rFonts w:hint="eastAsia" w:ascii="Times New Roman"/>
        </w:rPr>
        <w:t>仪器应具备扫描成像、波形及图像查看、原始数据保存和导出等功能。</w:t>
      </w:r>
    </w:p>
    <w:p>
      <w:pPr>
        <w:pStyle w:val="176"/>
        <w:numPr>
          <w:ilvl w:val="0"/>
          <w:numId w:val="59"/>
        </w:numPr>
        <w:rPr>
          <w:rFonts w:hint="eastAsia" w:ascii="Times New Roman"/>
        </w:rPr>
      </w:pPr>
      <w:r>
        <w:rPr>
          <w:rFonts w:hint="eastAsia" w:ascii="Times New Roman"/>
        </w:rPr>
        <w:t>仪器应配置主频不大于100kHz的宽频带探头，探头宜采用穿透性强的干耦合式换能器，探头数量不宜少于24个。</w:t>
      </w:r>
    </w:p>
    <w:p>
      <w:pPr>
        <w:pStyle w:val="176"/>
        <w:numPr>
          <w:ilvl w:val="0"/>
          <w:numId w:val="59"/>
        </w:numPr>
        <w:rPr>
          <w:rFonts w:hint="eastAsia" w:ascii="Times New Roman"/>
        </w:rPr>
      </w:pPr>
      <w:r>
        <w:rPr>
          <w:rFonts w:hint="eastAsia" w:ascii="Times New Roman"/>
        </w:rPr>
        <w:t>仪器的模拟增益不宜小于40dB。</w:t>
      </w:r>
    </w:p>
    <w:p>
      <w:pPr>
        <w:pStyle w:val="176"/>
        <w:numPr>
          <w:ilvl w:val="0"/>
          <w:numId w:val="59"/>
        </w:numPr>
        <w:rPr>
          <w:rFonts w:hint="eastAsia" w:ascii="Times New Roman"/>
        </w:rPr>
      </w:pPr>
      <w:r>
        <w:rPr>
          <w:rFonts w:hint="eastAsia" w:ascii="Times New Roman"/>
        </w:rPr>
        <w:t>仪器的采样频率不宜小于1MHz。</w:t>
      </w:r>
    </w:p>
    <w:p>
      <w:pPr>
        <w:pStyle w:val="213"/>
        <w:rPr>
          <w:rFonts w:hint="eastAsia"/>
          <w:color w:val="000000"/>
          <w:kern w:val="0"/>
        </w:rPr>
      </w:pPr>
      <w:r>
        <w:rPr>
          <w:rFonts w:hint="eastAsia"/>
          <w:color w:val="000000"/>
          <w:kern w:val="0"/>
        </w:rPr>
        <w:t>检测前应做好如下工作：</w:t>
      </w:r>
    </w:p>
    <w:p>
      <w:pPr>
        <w:pStyle w:val="176"/>
        <w:numPr>
          <w:ilvl w:val="0"/>
          <w:numId w:val="60"/>
        </w:numPr>
        <w:rPr>
          <w:rFonts w:hint="eastAsia" w:ascii="Times New Roman"/>
        </w:rPr>
      </w:pPr>
      <w:r>
        <w:rPr>
          <w:rFonts w:hint="eastAsia" w:ascii="Times New Roman"/>
        </w:rPr>
        <w:t>确定检测设备是否正常。</w:t>
      </w:r>
    </w:p>
    <w:p>
      <w:pPr>
        <w:pStyle w:val="176"/>
        <w:numPr>
          <w:ilvl w:val="0"/>
          <w:numId w:val="60"/>
        </w:numPr>
        <w:rPr>
          <w:rFonts w:hint="eastAsia" w:ascii="Times New Roman"/>
        </w:rPr>
      </w:pPr>
      <w:r>
        <w:rPr>
          <w:rFonts w:hint="eastAsia" w:ascii="Times New Roman"/>
        </w:rPr>
        <w:t>确定叠合剪力墙的总厚度及预制墙板的厚度。</w:t>
      </w:r>
    </w:p>
    <w:p>
      <w:pPr>
        <w:pStyle w:val="176"/>
        <w:numPr>
          <w:ilvl w:val="0"/>
          <w:numId w:val="60"/>
        </w:numPr>
        <w:rPr>
          <w:rFonts w:hint="eastAsia" w:ascii="Times New Roman"/>
        </w:rPr>
      </w:pPr>
      <w:r>
        <w:rPr>
          <w:rFonts w:hint="eastAsia" w:ascii="Times New Roman"/>
        </w:rPr>
        <w:t>根据检测要求及测试条件，确定待测部位。</w:t>
      </w:r>
    </w:p>
    <w:p>
      <w:pPr>
        <w:pStyle w:val="213"/>
        <w:rPr>
          <w:rFonts w:hint="eastAsia"/>
          <w:color w:val="000000"/>
          <w:kern w:val="0"/>
        </w:rPr>
      </w:pPr>
      <w:r>
        <w:rPr>
          <w:rFonts w:hint="eastAsia"/>
          <w:color w:val="000000"/>
          <w:kern w:val="0"/>
        </w:rPr>
        <w:t>单块叠合剪力墙上的测点布置应符合下列规定：</w:t>
      </w:r>
    </w:p>
    <w:p>
      <w:pPr>
        <w:pStyle w:val="176"/>
        <w:numPr>
          <w:ilvl w:val="0"/>
          <w:numId w:val="61"/>
        </w:numPr>
        <w:rPr>
          <w:rFonts w:hint="eastAsia" w:ascii="Times New Roman"/>
        </w:rPr>
      </w:pPr>
      <w:r>
        <w:rPr>
          <w:rFonts w:hint="eastAsia" w:ascii="Times New Roman"/>
        </w:rPr>
        <w:t>正常初测时，测点宜在墙上以单点形式均匀布置，且数量不应少于6个。</w:t>
      </w:r>
    </w:p>
    <w:p>
      <w:pPr>
        <w:pStyle w:val="176"/>
        <w:numPr>
          <w:ilvl w:val="0"/>
          <w:numId w:val="61"/>
        </w:numPr>
        <w:rPr>
          <w:rFonts w:hint="eastAsia" w:ascii="Times New Roman"/>
        </w:rPr>
      </w:pPr>
      <w:r>
        <w:rPr>
          <w:rFonts w:hint="eastAsia" w:ascii="Times New Roman"/>
        </w:rPr>
        <w:t>对怀疑有缺陷的部位进行初测或复测时，测点宜连续布置，测点网格应覆盖怀疑存在缺陷的全部范围。</w:t>
      </w:r>
    </w:p>
    <w:p>
      <w:pPr>
        <w:pStyle w:val="176"/>
        <w:numPr>
          <w:ilvl w:val="0"/>
          <w:numId w:val="61"/>
        </w:numPr>
        <w:rPr>
          <w:rFonts w:hint="eastAsia" w:ascii="Times New Roman"/>
        </w:rPr>
      </w:pPr>
      <w:r>
        <w:rPr>
          <w:rFonts w:hint="eastAsia" w:ascii="Times New Roman"/>
        </w:rPr>
        <w:t>测点布置时，应保证仪器测试边缘至墙边缘的距离不小于墙的厚度。</w:t>
      </w:r>
    </w:p>
    <w:p>
      <w:pPr>
        <w:pStyle w:val="176"/>
        <w:numPr>
          <w:ilvl w:val="0"/>
          <w:numId w:val="61"/>
        </w:numPr>
        <w:rPr>
          <w:rFonts w:hint="eastAsia" w:ascii="Times New Roman"/>
        </w:rPr>
      </w:pPr>
      <w:r>
        <w:rPr>
          <w:rFonts w:hint="eastAsia" w:ascii="Times New Roman"/>
        </w:rPr>
        <w:t>测点上应有清晰的编号。</w:t>
      </w:r>
    </w:p>
    <w:p>
      <w:pPr>
        <w:pStyle w:val="213"/>
        <w:rPr>
          <w:rFonts w:hint="eastAsia"/>
          <w:color w:val="000000"/>
          <w:kern w:val="0"/>
        </w:rPr>
      </w:pPr>
      <w:r>
        <w:rPr>
          <w:rFonts w:hint="eastAsia"/>
          <w:color w:val="000000"/>
          <w:kern w:val="0"/>
        </w:rPr>
        <w:t>阵列超声成像检测应遵循下列步骤：</w:t>
      </w:r>
    </w:p>
    <w:p>
      <w:pPr>
        <w:pStyle w:val="176"/>
        <w:numPr>
          <w:ilvl w:val="0"/>
          <w:numId w:val="62"/>
        </w:numPr>
        <w:rPr>
          <w:rFonts w:hint="eastAsia" w:ascii="Times New Roman"/>
        </w:rPr>
      </w:pPr>
      <w:r>
        <w:rPr>
          <w:rFonts w:hint="eastAsia" w:ascii="Times New Roman"/>
        </w:rPr>
        <w:t>对所测试的混凝土进行波速标定。</w:t>
      </w:r>
    </w:p>
    <w:p>
      <w:pPr>
        <w:pStyle w:val="176"/>
        <w:numPr>
          <w:ilvl w:val="0"/>
          <w:numId w:val="62"/>
        </w:numPr>
        <w:rPr>
          <w:rFonts w:hint="eastAsia" w:ascii="Times New Roman"/>
        </w:rPr>
      </w:pPr>
      <w:r>
        <w:rPr>
          <w:rFonts w:hint="eastAsia" w:ascii="Times New Roman"/>
        </w:rPr>
        <w:t>对被测区域进行试测，根据叠合剪力墙的厚度及仪器对墙体背面的反射成像效果，调试仪器的工作频率、彩色增益、波速等参数。</w:t>
      </w:r>
    </w:p>
    <w:p>
      <w:pPr>
        <w:pStyle w:val="176"/>
        <w:numPr>
          <w:ilvl w:val="0"/>
          <w:numId w:val="62"/>
        </w:numPr>
        <w:rPr>
          <w:rFonts w:hint="eastAsia" w:ascii="Times New Roman"/>
        </w:rPr>
      </w:pPr>
      <w:r>
        <w:rPr>
          <w:rFonts w:hint="eastAsia" w:ascii="Times New Roman"/>
        </w:rPr>
        <w:t>依次对每个测点进行扫描成像，保存测试数据。</w:t>
      </w:r>
    </w:p>
    <w:p>
      <w:pPr>
        <w:pStyle w:val="176"/>
        <w:numPr>
          <w:ilvl w:val="0"/>
          <w:numId w:val="62"/>
        </w:numPr>
        <w:rPr>
          <w:rFonts w:hint="eastAsia" w:ascii="Times New Roman"/>
        </w:rPr>
      </w:pPr>
      <w:r>
        <w:rPr>
          <w:rFonts w:hint="eastAsia" w:ascii="Times New Roman"/>
        </w:rPr>
        <w:t>检测中出现可疑数据时应及时查找原因，必要时应进行复测或测点加密补测。</w:t>
      </w:r>
    </w:p>
    <w:p>
      <w:pPr>
        <w:pStyle w:val="213"/>
        <w:rPr>
          <w:rFonts w:hint="eastAsia"/>
          <w:color w:val="000000"/>
          <w:kern w:val="0"/>
        </w:rPr>
      </w:pPr>
      <w:r>
        <w:rPr>
          <w:rFonts w:hint="eastAsia"/>
          <w:color w:val="000000"/>
          <w:kern w:val="0"/>
        </w:rPr>
        <w:t>混凝土内部缺陷的判定应符合下列规则：</w:t>
      </w:r>
    </w:p>
    <w:p>
      <w:pPr>
        <w:pStyle w:val="176"/>
        <w:numPr>
          <w:ilvl w:val="0"/>
          <w:numId w:val="63"/>
        </w:numPr>
        <w:rPr>
          <w:rFonts w:hint="eastAsia" w:ascii="Times New Roman"/>
        </w:rPr>
      </w:pPr>
      <w:r>
        <w:rPr>
          <w:rFonts w:hint="eastAsia" w:ascii="Times New Roman"/>
        </w:rPr>
        <w:t>采用单点测试时，当显示存在反射信号的位置位于墙体背面反射之前时，该测点判定为存在疑似缺陷。</w:t>
      </w:r>
    </w:p>
    <w:p>
      <w:pPr>
        <w:pStyle w:val="176"/>
        <w:numPr>
          <w:ilvl w:val="0"/>
          <w:numId w:val="63"/>
        </w:numPr>
        <w:rPr>
          <w:rFonts w:hint="eastAsia" w:ascii="Times New Roman"/>
        </w:rPr>
      </w:pPr>
      <w:r>
        <w:rPr>
          <w:rFonts w:hint="eastAsia" w:ascii="Times New Roman"/>
        </w:rPr>
        <w:t>采用连续测试时，当合成的三维图像中存在反射信号的位置位于墙体背面反射之前时，该区域判定为存在疑似缺陷。</w:t>
      </w:r>
    </w:p>
    <w:p>
      <w:pPr>
        <w:pStyle w:val="176"/>
        <w:numPr>
          <w:ilvl w:val="0"/>
          <w:numId w:val="63"/>
        </w:numPr>
        <w:rPr>
          <w:rFonts w:hint="eastAsia" w:ascii="Times New Roman"/>
        </w:rPr>
      </w:pPr>
      <w:r>
        <w:rPr>
          <w:rFonts w:hint="eastAsia" w:ascii="Times New Roman"/>
        </w:rPr>
        <w:t>根据设置图纸或剔凿验证，当存在疑似缺陷的位置未见钢筋或预埋管线的反射时，可判定该位置存在缺陷。</w:t>
      </w:r>
    </w:p>
    <w:p>
      <w:pPr>
        <w:pStyle w:val="176"/>
        <w:numPr>
          <w:ilvl w:val="0"/>
          <w:numId w:val="63"/>
        </w:numPr>
        <w:rPr>
          <w:rFonts w:hint="eastAsia" w:ascii="Times New Roman"/>
        </w:rPr>
      </w:pPr>
      <w:r>
        <w:rPr>
          <w:rFonts w:hint="eastAsia" w:ascii="Times New Roman"/>
        </w:rPr>
        <w:t>根据异常的反射点位置和反射区域的大小，确定缺陷的位置和大小。</w:t>
      </w:r>
    </w:p>
    <w:p>
      <w:pPr>
        <w:pStyle w:val="58"/>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DB32/TXXXX—202X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DB32/TXXXX—202X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11B02B3"/>
    <w:multiLevelType w:val="multilevel"/>
    <w:tmpl w:val="611B02B3"/>
    <w:lvl w:ilvl="0" w:tentative="0">
      <w:start w:val="1"/>
      <w:numFmt w:val="decimal"/>
      <w:lvlText w:val="%1—"/>
      <w:lvlJc w:val="left"/>
      <w:pPr>
        <w:ind w:left="360" w:hanging="360"/>
      </w:pPr>
      <w:rPr>
        <w:rFonts w:hint="default" w:ascii="TimesNewRomanPSMT" w:hAnsi="TimesNewRomanPSMT" w:eastAsia="TimesNewRomanPSMT" w:cs="TimesNewRomanPSM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N2ZkYjE5NWNiMGMyNTg1ZWJhNDQ2MGY0ZjgyMTQifQ=="/>
  </w:docVars>
  <w:rsids>
    <w:rsidRoot w:val="382B19E3"/>
    <w:rsid w:val="00D9012D"/>
    <w:rsid w:val="00ED68FA"/>
    <w:rsid w:val="03191C3D"/>
    <w:rsid w:val="041F679F"/>
    <w:rsid w:val="079C1EB4"/>
    <w:rsid w:val="082707B5"/>
    <w:rsid w:val="08982558"/>
    <w:rsid w:val="09683DAD"/>
    <w:rsid w:val="09873C60"/>
    <w:rsid w:val="0AB31A28"/>
    <w:rsid w:val="0B7A11EC"/>
    <w:rsid w:val="0D7F37CA"/>
    <w:rsid w:val="0ECC12D1"/>
    <w:rsid w:val="118C11EC"/>
    <w:rsid w:val="124C3E81"/>
    <w:rsid w:val="135B2AB4"/>
    <w:rsid w:val="15E622AE"/>
    <w:rsid w:val="169A1CB5"/>
    <w:rsid w:val="19284D12"/>
    <w:rsid w:val="1E681AD2"/>
    <w:rsid w:val="22D6044E"/>
    <w:rsid w:val="2A534147"/>
    <w:rsid w:val="2B8566AF"/>
    <w:rsid w:val="2D14584D"/>
    <w:rsid w:val="2D6C5D01"/>
    <w:rsid w:val="2DA60AE7"/>
    <w:rsid w:val="2FB53AF8"/>
    <w:rsid w:val="2FDE6441"/>
    <w:rsid w:val="2FF2145F"/>
    <w:rsid w:val="31355FA4"/>
    <w:rsid w:val="31A40A28"/>
    <w:rsid w:val="3465010C"/>
    <w:rsid w:val="368E791B"/>
    <w:rsid w:val="36DF5E37"/>
    <w:rsid w:val="379441F8"/>
    <w:rsid w:val="37C62747"/>
    <w:rsid w:val="382B19E3"/>
    <w:rsid w:val="38D4105B"/>
    <w:rsid w:val="3C8A5EC6"/>
    <w:rsid w:val="3E131F56"/>
    <w:rsid w:val="40D86C78"/>
    <w:rsid w:val="43B60FD0"/>
    <w:rsid w:val="49CC416F"/>
    <w:rsid w:val="4ACF1226"/>
    <w:rsid w:val="4EAA4E4E"/>
    <w:rsid w:val="4F980780"/>
    <w:rsid w:val="5105122F"/>
    <w:rsid w:val="51E1554A"/>
    <w:rsid w:val="53676F08"/>
    <w:rsid w:val="547D49D8"/>
    <w:rsid w:val="56180D2B"/>
    <w:rsid w:val="565A22EB"/>
    <w:rsid w:val="582076D1"/>
    <w:rsid w:val="5846301D"/>
    <w:rsid w:val="5A2C21F1"/>
    <w:rsid w:val="5A8D1209"/>
    <w:rsid w:val="5C814A76"/>
    <w:rsid w:val="5E6324D6"/>
    <w:rsid w:val="5F456A73"/>
    <w:rsid w:val="5F7A618F"/>
    <w:rsid w:val="609109A8"/>
    <w:rsid w:val="60EB5C13"/>
    <w:rsid w:val="611B3B94"/>
    <w:rsid w:val="62E92C1D"/>
    <w:rsid w:val="63CE673E"/>
    <w:rsid w:val="666914E4"/>
    <w:rsid w:val="6B9F792F"/>
    <w:rsid w:val="6BFB6158"/>
    <w:rsid w:val="6D651098"/>
    <w:rsid w:val="73F161DC"/>
    <w:rsid w:val="7B0F4F9E"/>
    <w:rsid w:val="7D4D77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rFonts w:ascii="Calibri" w:hAnsi="Calibri" w:eastAsia="宋体" w:cs="Times New Roman"/>
      <w:b/>
      <w:bCs/>
    </w:rPr>
  </w:style>
  <w:style w:type="character" w:styleId="31">
    <w:name w:val="page number"/>
    <w:qFormat/>
    <w:uiPriority w:val="0"/>
    <w:rPr>
      <w:rFonts w:ascii="宋体" w:hAnsi="Times New Roman" w:eastAsia="宋体" w:cs="Times New Roman"/>
      <w:sz w:val="18"/>
    </w:rPr>
  </w:style>
  <w:style w:type="character" w:styleId="32">
    <w:name w:val="Emphasis"/>
    <w:qFormat/>
    <w:uiPriority w:val="20"/>
    <w:rPr>
      <w:rFonts w:ascii="Calibri" w:hAnsi="Calibri" w:eastAsia="宋体" w:cs="Times New Roman"/>
      <w:i/>
      <w:iCs/>
    </w:rPr>
  </w:style>
  <w:style w:type="character" w:styleId="33">
    <w:name w:val="Hyperlink"/>
    <w:qFormat/>
    <w:uiPriority w:val="99"/>
    <w:rPr>
      <w:rFonts w:ascii="宋体" w:hAnsi="Times New Roman" w:eastAsia="宋体" w:cs="Times New Roman"/>
      <w:color w:val="auto"/>
      <w:spacing w:val="0"/>
      <w:w w:val="100"/>
      <w:position w:val="0"/>
      <w:sz w:val="21"/>
      <w:u w:val="none"/>
      <w:vertAlign w:val="baseline"/>
    </w:rPr>
  </w:style>
  <w:style w:type="character" w:styleId="34">
    <w:name w:val="annotation reference"/>
    <w:basedOn w:val="29"/>
    <w:qFormat/>
    <w:uiPriority w:val="99"/>
    <w:rPr>
      <w:rFonts w:ascii="Calibri" w:hAnsi="Calibri" w:eastAsia="宋体" w:cs="Times New Roman"/>
      <w:sz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rFonts w:ascii="Calibri" w:hAnsi="Calibri" w:eastAsia="宋体" w:cs="Times New Roman"/>
      <w:b/>
      <w:bCs/>
      <w:kern w:val="44"/>
      <w:sz w:val="44"/>
      <w:szCs w:val="44"/>
    </w:rPr>
  </w:style>
  <w:style w:type="character" w:customStyle="1" w:styleId="37">
    <w:name w:val="标题 2 Char"/>
    <w:link w:val="3"/>
    <w:qFormat/>
    <w:uiPriority w:val="0"/>
    <w:rPr>
      <w:rFonts w:ascii="Arial" w:hAnsi="Arial" w:eastAsia="黑体" w:cs="Times New Roman"/>
      <w:b/>
      <w:bCs/>
      <w:sz w:val="32"/>
      <w:szCs w:val="32"/>
    </w:rPr>
  </w:style>
  <w:style w:type="character" w:customStyle="1" w:styleId="38">
    <w:name w:val="标题 3 Char"/>
    <w:link w:val="4"/>
    <w:qFormat/>
    <w:uiPriority w:val="0"/>
    <w:rPr>
      <w:rFonts w:ascii="Calibri" w:hAnsi="Calibri" w:eastAsia="宋体" w:cs="Times New Roman"/>
      <w:b/>
      <w:bCs/>
      <w:sz w:val="32"/>
      <w:szCs w:val="32"/>
    </w:rPr>
  </w:style>
  <w:style w:type="character" w:customStyle="1" w:styleId="39">
    <w:name w:val="标题 4 Char"/>
    <w:link w:val="5"/>
    <w:qFormat/>
    <w:uiPriority w:val="0"/>
    <w:rPr>
      <w:rFonts w:ascii="Arial" w:hAnsi="Arial" w:eastAsia="黑体" w:cs="Times New Roman"/>
      <w:b/>
      <w:bCs/>
      <w:sz w:val="28"/>
      <w:szCs w:val="28"/>
    </w:rPr>
  </w:style>
  <w:style w:type="character" w:customStyle="1" w:styleId="40">
    <w:name w:val="标题 5 Char"/>
    <w:link w:val="6"/>
    <w:qFormat/>
    <w:uiPriority w:val="0"/>
    <w:rPr>
      <w:rFonts w:ascii="Calibri" w:hAnsi="Calibri"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Calibri" w:hAnsi="Calibri"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rPr>
  </w:style>
  <w:style w:type="character" w:customStyle="1" w:styleId="45">
    <w:name w:val="页眉 Char"/>
    <w:link w:val="19"/>
    <w:qFormat/>
    <w:uiPriority w:val="99"/>
    <w:rPr>
      <w:rFonts w:ascii="Calibri" w:hAnsi="Calibri" w:eastAsia="宋体" w:cs="Times New Roman"/>
      <w:sz w:val="18"/>
      <w:szCs w:val="18"/>
    </w:rPr>
  </w:style>
  <w:style w:type="character" w:customStyle="1" w:styleId="46">
    <w:name w:val="页脚 Char"/>
    <w:link w:val="18"/>
    <w:qFormat/>
    <w:uiPriority w:val="99"/>
    <w:rPr>
      <w:rFonts w:ascii="宋体" w:hAnsi="Calibri" w:eastAsia="宋体" w:cs="Times New Roman"/>
      <w:sz w:val="18"/>
      <w:szCs w:val="18"/>
    </w:rPr>
  </w:style>
  <w:style w:type="character" w:customStyle="1" w:styleId="47">
    <w:name w:val="批注框文本 Char"/>
    <w:link w:val="17"/>
    <w:semiHidden/>
    <w:qFormat/>
    <w:uiPriority w:val="99"/>
    <w:rPr>
      <w:rFonts w:ascii="Calibri" w:hAnsi="Calibri" w:eastAsia="宋体" w:cs="Times New Roman"/>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rFonts w:ascii="Calibri" w:hAnsi="Calibri" w:eastAsia="宋体" w:cs="Times New Roman"/>
      <w:i/>
      <w:iCs/>
      <w:color w:val="000000"/>
    </w:rPr>
  </w:style>
  <w:style w:type="character" w:customStyle="1" w:styleId="50">
    <w:name w:val="标题 Char"/>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hAnsi="Calibri" w:eastAsia="黑体" w:cs="Times New Roman"/>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rFonts w:ascii="Calibri" w:hAnsi="Calibri" w:eastAsia="宋体" w:cs="Times New Roman"/>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rFonts w:ascii="Calibri" w:hAnsi="Calibri" w:eastAsia="宋体" w:cs="Times New Roman"/>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hAnsi="Calibri"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eastAsia="宋体" w:cs="Times New Roman"/>
      <w:sz w:val="21"/>
      <w:lang w:val="en-US" w:eastAsia="zh-CN" w:bidi="ar-SA"/>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rFonts w:ascii="Calibri" w:hAnsi="Calibri" w:eastAsia="宋体" w:cs="Times New Roman"/>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ascii="Calibri" w:hAnsi="Calibri" w:eastAsia="宋体" w:cs="Times New Roman"/>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hAnsi="Calibri" w:eastAsia="黑体" w:cs="Times New Roman"/>
      <w:spacing w:val="85"/>
      <w:w w:val="100"/>
      <w:position w:val="3"/>
      <w:sz w:val="28"/>
      <w:szCs w:val="28"/>
    </w:rPr>
  </w:style>
  <w:style w:type="character" w:customStyle="1" w:styleId="232">
    <w:name w:val="文档结构图 Char"/>
    <w:basedOn w:val="29"/>
    <w:link w:val="13"/>
    <w:semiHidden/>
    <w:qFormat/>
    <w:uiPriority w:val="99"/>
    <w:rPr>
      <w:rFonts w:ascii="宋体" w:hAnsi="Calibri" w:eastAsia="宋体" w:cs="Times New Roman"/>
      <w:sz w:val="18"/>
      <w:szCs w:val="1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locked/>
    <w:uiPriority w:val="0"/>
    <w:rPr>
      <w:rFonts w:ascii="宋体" w:hAnsi="Times New Roman" w:eastAsia="宋体" w:cs="Times New Roman"/>
      <w:sz w:val="21"/>
      <w:lang w:val="en-US" w:eastAsia="zh-CN" w:bidi="ar-SA"/>
    </w:rPr>
  </w:style>
  <w:style w:type="paragraph" w:customStyle="1" w:styleId="235">
    <w:name w:val="数字编号列项（二级）"/>
    <w:qFormat/>
    <w:uiPriority w:val="99"/>
    <w:pPr>
      <w:tabs>
        <w:tab w:val="left" w:pos="1259"/>
      </w:tabs>
      <w:ind w:left="1259" w:hanging="420"/>
      <w:jc w:val="both"/>
    </w:pPr>
    <w:rPr>
      <w:rFonts w:ascii="宋体" w:hAnsi="Times New Roman" w:eastAsia="宋体" w:cs="Times New Roman"/>
      <w:sz w:val="21"/>
      <w:lang w:val="en-US" w:eastAsia="zh-CN" w:bidi="ar-SA"/>
    </w:rPr>
  </w:style>
  <w:style w:type="paragraph" w:customStyle="1" w:styleId="236">
    <w:name w:val="字母编号列项（一级）"/>
    <w:qFormat/>
    <w:uiPriority w:val="99"/>
    <w:pPr>
      <w:tabs>
        <w:tab w:val="left" w:pos="839"/>
      </w:tabs>
      <w:ind w:left="839" w:hanging="419"/>
      <w:jc w:val="both"/>
    </w:pPr>
    <w:rPr>
      <w:rFonts w:ascii="宋体" w:hAnsi="Times New Roman" w:eastAsia="宋体" w:cs="Times New Roman"/>
      <w:sz w:val="21"/>
      <w:lang w:val="en-US" w:eastAsia="zh-CN" w:bidi="ar-SA"/>
    </w:rPr>
  </w:style>
  <w:style w:type="paragraph" w:customStyle="1" w:styleId="237">
    <w:name w:val="编号列项（三级）"/>
    <w:qFormat/>
    <w:uiPriority w:val="99"/>
    <w:pPr>
      <w:tabs>
        <w:tab w:val="left" w:pos="0"/>
      </w:tabs>
      <w:ind w:left="1678" w:hanging="419"/>
    </w:pPr>
    <w:rPr>
      <w:rFonts w:ascii="宋体" w:hAnsi="Times New Roman" w:eastAsia="宋体" w:cs="Times New Roman"/>
      <w:sz w:val="21"/>
      <w:lang w:val="en-US" w:eastAsia="zh-CN" w:bidi="ar-SA"/>
    </w:rPr>
  </w:style>
  <w:style w:type="character" w:customStyle="1" w:styleId="238">
    <w:name w:val="font81"/>
    <w:qFormat/>
    <w:uiPriority w:val="0"/>
    <w:rPr>
      <w:rFonts w:hint="eastAsia" w:ascii="宋体" w:hAnsi="宋体" w:eastAsia="宋体" w:cs="宋体"/>
      <w:color w:val="000000"/>
      <w:sz w:val="22"/>
      <w:szCs w:val="22"/>
      <w:u w:val="none"/>
    </w:rPr>
  </w:style>
  <w:style w:type="character" w:customStyle="1" w:styleId="239">
    <w:name w:val="font71"/>
    <w:qFormat/>
    <w:uiPriority w:val="0"/>
    <w:rPr>
      <w:rFonts w:hint="eastAsia" w:ascii="宋体" w:hAnsi="宋体" w:eastAsia="宋体" w:cs="宋体"/>
      <w:color w:val="000000"/>
      <w:sz w:val="22"/>
      <w:szCs w:val="22"/>
      <w:u w:val="none"/>
    </w:rPr>
  </w:style>
  <w:style w:type="paragraph" w:styleId="240">
    <w:name w:val="List Paragraph"/>
    <w:basedOn w:val="1"/>
    <w:qFormat/>
    <w:uiPriority w:val="34"/>
    <w:pPr>
      <w:ind w:firstLine="420" w:firstLineChars="200"/>
    </w:pPr>
  </w:style>
  <w:style w:type="character" w:customStyle="1" w:styleId="241">
    <w:name w:val="标题 2 字符"/>
    <w:basedOn w:val="29"/>
    <w:link w:val="3"/>
    <w:qFormat/>
    <w:uiPriority w:val="9"/>
    <w:rPr>
      <w:rFonts w:eastAsia="黑体" w:asciiTheme="majorAscii" w:hAnsiTheme="majorAscii" w:cstheme="majorBidi"/>
      <w:b/>
      <w:bCs/>
      <w:sz w:val="28"/>
      <w:szCs w:val="32"/>
    </w:rPr>
  </w:style>
  <w:style w:type="paragraph" w:customStyle="1" w:styleId="242">
    <w:name w:val="Body text|1"/>
    <w:basedOn w:val="1"/>
    <w:qFormat/>
    <w:uiPriority w:val="0"/>
    <w:pPr>
      <w:spacing w:line="348" w:lineRule="auto"/>
      <w:jc w:val="left"/>
    </w:pPr>
    <w:rPr>
      <w:rFonts w:ascii="宋体" w:hAnsi="宋体" w:eastAsia="宋体" w:cs="宋体"/>
      <w:color w:val="1B1B1A"/>
      <w:sz w:val="19"/>
      <w:szCs w:val="19"/>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glossaryDocument" Target="glossary/document.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22.png"/><Relationship Id="rId40" Type="http://schemas.openxmlformats.org/officeDocument/2006/relationships/image" Target="media/image21.wmf"/><Relationship Id="rId4" Type="http://schemas.openxmlformats.org/officeDocument/2006/relationships/endnotes" Target="endnotes.xml"/><Relationship Id="rId39" Type="http://schemas.openxmlformats.org/officeDocument/2006/relationships/image" Target="media/image20.png"/><Relationship Id="rId38" Type="http://schemas.openxmlformats.org/officeDocument/2006/relationships/image" Target="media/image19.emf"/><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image" Target="media/image15.wmf"/><Relationship Id="rId33" Type="http://schemas.openxmlformats.org/officeDocument/2006/relationships/image" Target="media/image14.wmf"/><Relationship Id="rId32" Type="http://schemas.openxmlformats.org/officeDocument/2006/relationships/image" Target="media/image13.png"/><Relationship Id="rId31" Type="http://schemas.openxmlformats.org/officeDocument/2006/relationships/image" Target="media/image12.wmf"/><Relationship Id="rId30" Type="http://schemas.openxmlformats.org/officeDocument/2006/relationships/image" Target="media/image11.png"/><Relationship Id="rId3" Type="http://schemas.openxmlformats.org/officeDocument/2006/relationships/footnotes" Target="footnotes.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wmf"/><Relationship Id="rId26" Type="http://schemas.openxmlformats.org/officeDocument/2006/relationships/image" Target="media/image7.wmf"/><Relationship Id="rId25" Type="http://schemas.openxmlformats.org/officeDocument/2006/relationships/oleObject" Target="embeddings/oleObject1.bin"/><Relationship Id="rId24" Type="http://schemas.openxmlformats.org/officeDocument/2006/relationships/image" Target="media/image6.wmf"/><Relationship Id="rId23" Type="http://schemas.openxmlformats.org/officeDocument/2006/relationships/image" Target="media/image5.wmf"/><Relationship Id="rId22" Type="http://schemas.openxmlformats.org/officeDocument/2006/relationships/image" Target="media/image4.wmf"/><Relationship Id="rId21" Type="http://schemas.openxmlformats.org/officeDocument/2006/relationships/image" Target="media/image3.wmf"/><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b50828e-3ed8-4022-9e31-2acc7fe38b4b}"/>
        <w:style w:val=""/>
        <w:category>
          <w:name w:val="常规"/>
          <w:gallery w:val="placeholder"/>
        </w:category>
        <w:types>
          <w:type w:val="bbPlcHdr"/>
        </w:types>
        <w:behaviors>
          <w:behavior w:val="content"/>
        </w:behaviors>
        <w:description w:val=""/>
        <w:guid w:val="{db50828e-3ed8-4022-9e31-2acc7fe38b4b}"/>
      </w:docPartPr>
      <w:docPartBody>
        <w:p>
          <w:pPr>
            <w:pStyle w:val="5"/>
          </w:pPr>
          <w:r>
            <w:rPr>
              <w:rStyle w:val="4"/>
              <w:rFonts w:hint="eastAsia"/>
            </w:rPr>
            <w:t>单击或点击此处输入文字。</w:t>
          </w:r>
        </w:p>
      </w:docPartBody>
    </w:docPart>
    <w:docPart>
      <w:docPartPr>
        <w:name w:val="{3d49199d-bbb3-48b3-907e-c36456ae979c}"/>
        <w:style w:val=""/>
        <w:category>
          <w:name w:val="常规"/>
          <w:gallery w:val="placeholder"/>
        </w:category>
        <w:types>
          <w:type w:val="bbPlcHdr"/>
        </w:types>
        <w:behaviors>
          <w:behavior w:val="content"/>
        </w:behaviors>
        <w:description w:val=""/>
        <w:guid w:val="{3d49199d-bbb3-48b3-907e-c36456ae979c}"/>
      </w:docPartPr>
      <w:docPartBody>
        <w:p>
          <w:pPr>
            <w:pStyle w:val="6"/>
          </w:pPr>
          <w:r>
            <w:rPr>
              <w:rStyle w:val="4"/>
              <w:rFonts w:hint="eastAsia"/>
            </w:rPr>
            <w:t>选择一项。</w:t>
          </w:r>
        </w:p>
      </w:docPartBody>
    </w:docPart>
    <w:docPart>
      <w:docPartPr>
        <w:name w:val="{b9d7da9b-1b7f-43d3-97af-7ffc64edc2a3}"/>
        <w:style w:val=""/>
        <w:category>
          <w:name w:val="常规"/>
          <w:gallery w:val="placeholder"/>
        </w:category>
        <w:types>
          <w:type w:val="bbPlcHdr"/>
        </w:types>
        <w:behaviors>
          <w:behavior w:val="content"/>
        </w:behaviors>
        <w:description w:val=""/>
        <w:guid w:val="{b9d7da9b-1b7f-43d3-97af-7ffc64edc2a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rPr>
      <w:rFonts w:asciiTheme="minorHAnsi" w:hAnsiTheme="minorHAnsi" w:eastAsiaTheme="minorEastAsia" w:cstheme="minorBidi"/>
    </w:rPr>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B9AC1DAF4D94C6BB6F8661462FD8D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61532C5FF6E4BFBA109D27D2165E6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CC8D6C67D014AA0ADC4A6423145A28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31</Pages>
  <Words>19942</Words>
  <Characters>21624</Characters>
  <Lines>181</Lines>
  <Paragraphs>51</Paragraphs>
  <TotalTime>1</TotalTime>
  <ScaleCrop>false</ScaleCrop>
  <LinksUpToDate>false</LinksUpToDate>
  <CharactersWithSpaces>22099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2021-05-06T00:17:00Z</dcterms:created>
  <dc:creator>胥文婷</dc:creator>
  <dc:description>&lt;config cover="true" show_menu="true" version="1.0.0" doctype="SDKXY"&gt;_x000d_
&lt;/config&gt;</dc:description>
  <cp:lastModifiedBy>赵宏康</cp:lastModifiedBy>
  <cp:lastPrinted>2020-08-30T10:00:00Z</cp:lastPrinted>
  <dcterms:modified xsi:type="dcterms:W3CDTF">2023-02-21T13:38:11Z</dcterms:modified>
  <dc:title>地方标准</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3EE804F9E9F94AC69CB9AD6DFDFF7F52</vt:lpwstr>
  </property>
  <property fmtid="{D5CDD505-2E9C-101B-9397-08002B2CF9AE}" pid="4" name="doctype">
    <vt:lpwstr>SDKXY</vt:lpwstr>
  </property>
  <property fmtid="{D5CDD505-2E9C-101B-9397-08002B2CF9AE}" pid="5" name="cover">
    <vt:lpwstr>true</vt:lpwstr>
  </property>
  <property fmtid="{D5CDD505-2E9C-101B-9397-08002B2CF9AE}" pid="6" name="show_menu">
    <vt:lpwstr>true</vt:lpwstr>
  </property>
  <property fmtid="{D5CDD505-2E9C-101B-9397-08002B2CF9AE}" pid="7" name="version">
    <vt:lpwstr>1.0.0</vt:lpwstr>
  </property>
  <property fmtid="{D5CDD505-2E9C-101B-9397-08002B2CF9AE}" pid="8" name="xmlname">
    <vt:lpwstr>地方标准</vt:lpwstr>
  </property>
  <property fmtid="{D5CDD505-2E9C-101B-9397-08002B2CF9AE}" pid="9" name="NSTD_CODE">
    <vt:lpwstr>GB/T-</vt:lpwstr>
  </property>
  <property fmtid="{D5CDD505-2E9C-101B-9397-08002B2CF9AE}" pid="10" name="OSTD_CODE">
    <vt:lpwstr>代替 GB/T-</vt:lpwstr>
  </property>
  <property fmtid="{D5CDD505-2E9C-101B-9397-08002B2CF9AE}" pid="11" name="flag_zhengwen">
    <vt:lpwstr>1</vt:lpwstr>
  </property>
  <property fmtid="{D5CDD505-2E9C-101B-9397-08002B2CF9AE}" pid="12" name="flag_fulu">
    <vt:lpwstr>0</vt:lpwstr>
  </property>
  <property fmtid="{D5CDD505-2E9C-101B-9397-08002B2CF9AE}" pid="13" name="flag_pic">
    <vt:lpwstr>False</vt:lpwstr>
  </property>
  <property fmtid="{D5CDD505-2E9C-101B-9397-08002B2CF9AE}" pid="14" name="flag_tab">
    <vt:lpwstr>false</vt:lpwstr>
  </property>
  <property fmtid="{D5CDD505-2E9C-101B-9397-08002B2CF9AE}" pid="15" name="NumList">
    <vt:lpwstr>false</vt:lpwstr>
  </property>
  <property fmtid="{D5CDD505-2E9C-101B-9397-08002B2CF9AE}" pid="16" name="DoublePage">
    <vt:lpwstr>false</vt:lpwstr>
  </property>
</Properties>
</file>