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590" w:lineRule="exact"/>
        <w:jc w:val="left"/>
        <w:textAlignment w:val="auto"/>
        <w:rPr>
          <w:rFonts w:hint="eastAsia" w:ascii="方正仿宋_GBK" w:eastAsia="方正仿宋_GBK"/>
          <w:b/>
          <w:color w:val="auto"/>
          <w:sz w:val="32"/>
          <w:szCs w:val="32"/>
          <w:lang w:eastAsia="zh-CN"/>
        </w:rPr>
      </w:pPr>
      <w:bookmarkStart w:id="0" w:name="_GoBack"/>
      <w:r>
        <w:rPr>
          <w:rFonts w:hint="eastAsia" w:ascii="方正仿宋_GBK" w:eastAsia="方正仿宋_GBK"/>
          <w:b/>
          <w:color w:val="auto"/>
          <w:sz w:val="32"/>
          <w:szCs w:val="32"/>
        </w:rPr>
        <w:t>附件</w:t>
      </w:r>
      <w:r>
        <w:rPr>
          <w:rFonts w:hint="eastAsia" w:ascii="方正仿宋_GBK" w:eastAsia="方正仿宋_GBK"/>
          <w:b/>
          <w:color w:val="auto"/>
          <w:sz w:val="32"/>
          <w:szCs w:val="32"/>
          <w:lang w:val="en-US" w:eastAsia="zh-CN"/>
        </w:rPr>
        <w:t>1</w:t>
      </w:r>
    </w:p>
    <w:p>
      <w:pPr>
        <w:keepNext w:val="0"/>
        <w:keepLines w:val="0"/>
        <w:pageBreakBefore w:val="0"/>
        <w:suppressAutoHyphens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9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</w:rPr>
        <w:t>部分</w:t>
      </w:r>
      <w:r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  <w:lang w:eastAsia="zh-CN"/>
        </w:rPr>
        <w:t>不合格</w:t>
      </w:r>
      <w:r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</w:rPr>
        <w:t>项目的</w:t>
      </w:r>
      <w:r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  <w:lang w:eastAsia="zh-CN"/>
        </w:rPr>
        <w:t>小知识</w:t>
      </w:r>
    </w:p>
    <w:p>
      <w:pPr>
        <w:keepNext w:val="0"/>
        <w:keepLines w:val="0"/>
        <w:pageBreakBefore w:val="0"/>
        <w:suppressAutoHyphens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9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</w:rPr>
      </w:pPr>
    </w:p>
    <w:p>
      <w:pPr>
        <w:spacing w:line="640" w:lineRule="exact"/>
        <w:ind w:firstLine="592" w:firstLineChars="200"/>
        <w:rPr>
          <w:rFonts w:ascii="Times New Roman" w:hAnsi="Times New Roman" w:eastAsia="黑体" w:cs="Times New Roman"/>
          <w:color w:val="auto"/>
          <w:spacing w:val="-12"/>
          <w:sz w:val="32"/>
          <w:szCs w:val="32"/>
        </w:rPr>
      </w:pPr>
      <w:r>
        <w:rPr>
          <w:rFonts w:hint="eastAsia" w:eastAsia="黑体"/>
          <w:color w:val="auto"/>
          <w:spacing w:val="-12"/>
          <w:sz w:val="32"/>
          <w:szCs w:val="32"/>
          <w:lang w:val="en-US" w:eastAsia="zh-CN"/>
        </w:rPr>
        <w:t>一、</w:t>
      </w:r>
      <w:r>
        <w:rPr>
          <w:rFonts w:ascii="Times New Roman" w:hAnsi="Times New Roman" w:eastAsia="黑体" w:cs="Times New Roman"/>
          <w:color w:val="auto"/>
          <w:spacing w:val="-12"/>
          <w:sz w:val="32"/>
          <w:szCs w:val="32"/>
        </w:rPr>
        <w:t>恩诺沙星</w:t>
      </w:r>
    </w:p>
    <w:p>
      <w:pPr>
        <w:spacing w:line="594" w:lineRule="exact"/>
        <w:ind w:firstLine="640" w:firstLineChars="200"/>
        <w:rPr>
          <w:rFonts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ascii="Times New Roman" w:hAnsi="Times New Roman" w:eastAsia="仿宋_GB2312" w:cs="Times New Roman"/>
          <w:color w:val="auto"/>
          <w:sz w:val="32"/>
          <w:szCs w:val="32"/>
        </w:rPr>
        <w:t>恩诺沙星属于氟喹诺酮类药物，是一类人工合成的广谱抗菌药，用于治疗动物的皮肤感染、呼吸道感染等，是动物专属用药。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鱼</w:t>
      </w:r>
      <w:r>
        <w:rPr>
          <w:rFonts w:ascii="Times New Roman" w:hAnsi="Times New Roman" w:eastAsia="仿宋_GB2312" w:cs="Times New Roman"/>
          <w:color w:val="auto"/>
          <w:sz w:val="32"/>
          <w:szCs w:val="32"/>
        </w:rPr>
        <w:t>中恩诺沙星超标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</w:rPr>
        <w:t>的原因，</w:t>
      </w:r>
      <w:r>
        <w:rPr>
          <w:rFonts w:ascii="Times New Roman" w:hAnsi="Times New Roman" w:eastAsia="仿宋_GB2312" w:cs="Times New Roman"/>
          <w:color w:val="auto"/>
          <w:sz w:val="32"/>
          <w:szCs w:val="32"/>
        </w:rPr>
        <w:t>可能是养殖户在养殖过程中违规使用相关兽药。摄入恩诺沙星超标的食品，可能引起头晕、头痛、睡眠不良、胃肠道不适等症状，甚至还可能引起肝损害。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590" w:lineRule="exact"/>
        <w:ind w:firstLine="592" w:firstLineChars="200"/>
        <w:textAlignment w:val="auto"/>
        <w:rPr>
          <w:rFonts w:hint="eastAsia" w:ascii="黑体" w:hAnsi="黑体" w:eastAsia="黑体"/>
          <w:color w:val="auto"/>
          <w:sz w:val="32"/>
          <w:szCs w:val="32"/>
          <w:lang w:val="en-US" w:eastAsia="zh-CN"/>
        </w:rPr>
      </w:pPr>
      <w:r>
        <w:rPr>
          <w:rFonts w:hint="eastAsia" w:eastAsia="黑体"/>
          <w:color w:val="auto"/>
          <w:spacing w:val="-12"/>
          <w:sz w:val="32"/>
          <w:szCs w:val="32"/>
          <w:lang w:val="en-US" w:eastAsia="zh-CN"/>
        </w:rPr>
        <w:t>二、</w:t>
      </w:r>
      <w:r>
        <w:rPr>
          <w:rFonts w:hint="eastAsia" w:ascii="黑体" w:hAnsi="黑体" w:eastAsia="黑体"/>
          <w:color w:val="auto"/>
          <w:sz w:val="32"/>
          <w:szCs w:val="32"/>
          <w:lang w:val="en-US" w:eastAsia="zh-CN"/>
        </w:rPr>
        <w:t>霉菌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590" w:lineRule="exact"/>
        <w:ind w:firstLine="640" w:firstLineChars="200"/>
        <w:textAlignment w:val="auto"/>
        <w:rPr>
          <w:rFonts w:hint="eastAsia" w:ascii="仿宋_GB2312" w:hAnsi="Times New Roman" w:eastAsia="仿宋_GB2312" w:cs="Times New Roman"/>
          <w:color w:val="auto"/>
          <w:sz w:val="32"/>
          <w:szCs w:val="32"/>
        </w:rPr>
      </w:pPr>
      <w:r>
        <w:rPr>
          <w:rFonts w:hint="eastAsia" w:ascii="仿宋_GB2312" w:hAnsi="Times New Roman" w:eastAsia="仿宋_GB2312" w:cs="Times New Roman"/>
          <w:color w:val="auto"/>
          <w:sz w:val="32"/>
          <w:szCs w:val="32"/>
        </w:rPr>
        <w:t>霉菌是自然界中常见的真菌，食品中霉菌超标原因可能是加工用原料受霉菌污染，或者是产品存储、运输条件控制不当导致流通环节抽取的样品被霉菌污染。霉菌污染可使食品腐败变质，破坏食品的色、香、味，降低食品的食用价值。</w:t>
      </w:r>
    </w:p>
    <w:p>
      <w:pPr>
        <w:spacing w:line="594" w:lineRule="exact"/>
        <w:ind w:firstLine="592" w:firstLineChars="200"/>
        <w:textAlignment w:val="baseline"/>
        <w:rPr>
          <w:rFonts w:hint="eastAsia" w:ascii="Times New Roman" w:hAnsi="Times New Roman" w:eastAsia="黑体" w:cs="Times New Roman"/>
          <w:color w:val="auto"/>
          <w:sz w:val="32"/>
          <w:szCs w:val="32"/>
          <w:lang w:val="en-US" w:eastAsia="zh-CN"/>
        </w:rPr>
      </w:pPr>
      <w:r>
        <w:rPr>
          <w:rFonts w:hint="eastAsia" w:eastAsia="黑体"/>
          <w:color w:val="auto"/>
          <w:spacing w:val="-12"/>
          <w:sz w:val="32"/>
          <w:szCs w:val="32"/>
          <w:lang w:val="en-US" w:eastAsia="zh-CN"/>
        </w:rPr>
        <w:t>三、</w:t>
      </w:r>
      <w:r>
        <w:rPr>
          <w:rFonts w:hint="eastAsia" w:ascii="Times New Roman" w:hAnsi="Times New Roman" w:eastAsia="黑体" w:cs="Times New Roman"/>
          <w:color w:val="auto"/>
          <w:sz w:val="32"/>
          <w:szCs w:val="32"/>
          <w:lang w:val="en-US" w:eastAsia="zh-CN"/>
        </w:rPr>
        <w:t>菌落总数</w:t>
      </w:r>
    </w:p>
    <w:p>
      <w:pPr>
        <w:numPr>
          <w:ilvl w:val="0"/>
          <w:numId w:val="0"/>
        </w:numPr>
        <w:spacing w:line="600" w:lineRule="exact"/>
        <w:ind w:firstLine="640" w:firstLineChars="200"/>
        <w:rPr>
          <w:rFonts w:hint="eastAsia" w:ascii="Times New Roman" w:hAnsi="Times New Roman" w:eastAsia="黑体" w:cs="Times New Roman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ˎ̥" w:eastAsia="仿宋_GB2312" w:cs="Arial"/>
          <w:color w:val="auto"/>
          <w:sz w:val="32"/>
          <w:szCs w:val="32"/>
        </w:rPr>
        <w:t>菌落总数是指示性微生物指标，并非致病菌指标，主要用来评价食品清洁度，反映食品在生产过程中是否符合卫生要求。菌落总数超标可能是个别企业所使用的原辅料初始菌数较高，又未按要求严格控制生产加工过程的卫生条件，或者包装容器清洗消毒不到位，还有可能与产品包装密封不严、储运条件控制不当等有关</w:t>
      </w:r>
      <w:r>
        <w:rPr>
          <w:rFonts w:hint="eastAsia" w:ascii="仿宋_GB2312" w:hAnsi="ˎ̥" w:eastAsia="仿宋_GB2312" w:cs="Arial"/>
          <w:color w:val="auto"/>
          <w:sz w:val="32"/>
          <w:szCs w:val="32"/>
          <w:lang w:val="en-US" w:eastAsia="zh-CN"/>
        </w:rPr>
        <w:t>。</w:t>
      </w:r>
    </w:p>
    <w:p>
      <w:pPr>
        <w:spacing w:line="594" w:lineRule="exact"/>
        <w:ind w:firstLine="640" w:firstLineChars="200"/>
        <w:textAlignment w:val="baseline"/>
        <w:rPr>
          <w:rFonts w:hint="eastAsia" w:ascii="Times New Roman" w:hAnsi="Times New Roman" w:eastAsia="黑体" w:cs="Times New Roman"/>
          <w:color w:val="auto"/>
          <w:sz w:val="32"/>
          <w:szCs w:val="32"/>
          <w:lang w:val="en-US" w:eastAsia="zh-CN"/>
        </w:rPr>
      </w:pPr>
    </w:p>
    <w:p>
      <w:pPr>
        <w:spacing w:line="594" w:lineRule="exact"/>
        <w:ind w:firstLine="640" w:firstLineChars="200"/>
        <w:textAlignment w:val="baseline"/>
        <w:rPr>
          <w:rFonts w:hint="eastAsia" w:ascii="Times New Roman" w:hAnsi="Times New Roman" w:eastAsia="黑体" w:cs="Times New Roman"/>
          <w:color w:val="auto"/>
          <w:sz w:val="32"/>
          <w:szCs w:val="32"/>
          <w:lang w:val="en-US" w:eastAsia="zh-CN"/>
        </w:rPr>
      </w:pPr>
      <w:r>
        <w:rPr>
          <w:rFonts w:hint="eastAsia" w:ascii="Times New Roman" w:hAnsi="Times New Roman" w:eastAsia="黑体" w:cs="Times New Roman"/>
          <w:color w:val="auto"/>
          <w:sz w:val="32"/>
          <w:szCs w:val="32"/>
          <w:lang w:val="en-US" w:eastAsia="zh-CN"/>
        </w:rPr>
        <w:t>四、镉</w:t>
      </w:r>
    </w:p>
    <w:p>
      <w:pPr>
        <w:ind w:firstLine="640" w:firstLineChars="200"/>
        <w:rPr>
          <w:rFonts w:hint="eastAsia" w:ascii="仿宋_GB2312" w:eastAsia="仿宋_GB2312"/>
          <w:color w:val="auto"/>
          <w:sz w:val="32"/>
          <w:szCs w:val="32"/>
        </w:rPr>
      </w:pPr>
      <w:r>
        <w:rPr>
          <w:rFonts w:hint="eastAsia" w:ascii="仿宋_GB2312" w:eastAsia="仿宋_GB2312"/>
          <w:color w:val="auto"/>
          <w:sz w:val="32"/>
          <w:szCs w:val="32"/>
        </w:rPr>
        <w:t>镉是食</w:t>
      </w:r>
      <w:r>
        <w:rPr>
          <w:rFonts w:hint="eastAsia" w:ascii="仿宋_GB2312" w:eastAsia="仿宋_GB2312"/>
          <w:color w:val="auto"/>
          <w:sz w:val="32"/>
          <w:szCs w:val="32"/>
          <w:lang w:val="en-US" w:eastAsia="zh-CN"/>
        </w:rPr>
        <w:t>品</w:t>
      </w:r>
      <w:r>
        <w:rPr>
          <w:rFonts w:hint="eastAsia" w:ascii="仿宋_GB2312" w:eastAsia="仿宋_GB2312"/>
          <w:color w:val="auto"/>
          <w:sz w:val="32"/>
          <w:szCs w:val="32"/>
        </w:rPr>
        <w:t>中最常见的污染重金属元素之一，联合国环境规划署(DNFP)和国际职业卫生重金属委员会将镉列入重点研究的环境污染物，世界卫生组织(WHO)则将其作为优先研究的食品污染物。《食品安全国家标准 食品中污染物限量》中规定</w:t>
      </w:r>
      <w:r>
        <w:rPr>
          <w:rFonts w:hint="eastAsia" w:ascii="仿宋_GB2312" w:eastAsia="仿宋_GB2312"/>
          <w:color w:val="auto"/>
          <w:sz w:val="32"/>
          <w:szCs w:val="32"/>
          <w:lang w:val="en-US" w:eastAsia="zh-CN"/>
        </w:rPr>
        <w:t>水产品</w:t>
      </w:r>
      <w:r>
        <w:rPr>
          <w:rFonts w:hint="eastAsia" w:ascii="仿宋_GB2312" w:eastAsia="仿宋_GB2312"/>
          <w:color w:val="auto"/>
          <w:sz w:val="32"/>
          <w:szCs w:val="32"/>
        </w:rPr>
        <w:t>中镉的限量为≤0.5mg/kg。镉对人体的危害主要是慢性蓄积性，长期大量摄入镉含量超标的食品可能导致肾和骨骼损伤等。</w:t>
      </w:r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bidi w:val="0"/>
        <w:snapToGrid/>
        <w:spacing w:line="640" w:lineRule="exact"/>
        <w:ind w:firstLine="640" w:firstLineChars="200"/>
        <w:outlineLvl w:val="9"/>
        <w:rPr>
          <w:rFonts w:hint="eastAsia" w:ascii="Times New Roman" w:hAnsi="Times New Roman" w:eastAsia="黑体"/>
          <w:color w:val="auto"/>
          <w:sz w:val="32"/>
          <w:szCs w:val="32"/>
          <w:lang w:eastAsia="zh-CN"/>
        </w:rPr>
      </w:pPr>
      <w:r>
        <w:rPr>
          <w:rFonts w:hint="eastAsia" w:ascii="黑体" w:hAnsi="黑体" w:eastAsia="黑体"/>
          <w:color w:val="auto"/>
          <w:sz w:val="32"/>
          <w:szCs w:val="32"/>
          <w:lang w:val="en-US" w:eastAsia="zh-CN"/>
        </w:rPr>
        <w:t>五</w:t>
      </w:r>
      <w:r>
        <w:rPr>
          <w:rFonts w:hint="eastAsia" w:ascii="黑体" w:hAnsi="黑体" w:eastAsia="黑体"/>
          <w:color w:val="auto"/>
          <w:sz w:val="32"/>
          <w:szCs w:val="32"/>
        </w:rPr>
        <w:t>、</w:t>
      </w:r>
      <w:r>
        <w:rPr>
          <w:rFonts w:hint="eastAsia" w:ascii="Times New Roman" w:hAnsi="Times New Roman" w:eastAsia="黑体"/>
          <w:color w:val="auto"/>
          <w:kern w:val="0"/>
          <w:sz w:val="32"/>
          <w:szCs w:val="32"/>
          <w:lang w:eastAsia="zh-CN"/>
        </w:rPr>
        <w:t>酒精度</w:t>
      </w:r>
    </w:p>
    <w:p>
      <w:pPr>
        <w:spacing w:line="594" w:lineRule="exact"/>
        <w:ind w:firstLine="640" w:firstLineChars="200"/>
        <w:rPr>
          <w:rFonts w:hint="eastAsia" w:ascii="Times New Roman" w:hAnsi="Times New Roman" w:eastAsia="仿宋_GB2312"/>
          <w:color w:val="auto"/>
          <w:sz w:val="32"/>
          <w:szCs w:val="32"/>
        </w:rPr>
      </w:pPr>
      <w:r>
        <w:rPr>
          <w:rFonts w:hint="eastAsia" w:ascii="Times New Roman" w:hAnsi="Times New Roman" w:eastAsia="仿宋_GB2312" w:cs="Times New Roman"/>
          <w:color w:val="auto"/>
          <w:sz w:val="32"/>
          <w:szCs w:val="32"/>
        </w:rPr>
        <w:t>酒精度又叫酒度，是指在20℃时，100毫升酒中含有乙醇（酒精）的毫升数，即体积（容量）的百分数。酒精度是白酒的质量指标，《酱香型白酒》（GB/T 26760—2011）、《清香型白酒》GB/T 10781.2—2006）中规定，酒精度实测值与产品标签明示要求允许差为±1.0%vol，其含量应符合相关要求。酒精度未达到产品标签明示要求的原因，可能是包装不严密造成酒精挥发；还可能是企业用低度酒冒充高度酒</w:t>
      </w:r>
      <w:r>
        <w:rPr>
          <w:rFonts w:hint="eastAsia" w:ascii="Times New Roman" w:hAnsi="Times New Roman" w:eastAsia="仿宋_GB2312"/>
          <w:color w:val="auto"/>
          <w:sz w:val="32"/>
          <w:szCs w:val="32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napToGrid/>
        <w:spacing w:line="640" w:lineRule="exact"/>
        <w:ind w:firstLine="640" w:firstLineChars="200"/>
        <w:textAlignment w:val="auto"/>
        <w:rPr>
          <w:rFonts w:hint="eastAsia" w:ascii="黑体" w:hAnsi="黑体" w:eastAsia="黑体"/>
          <w:color w:val="auto"/>
          <w:sz w:val="32"/>
          <w:szCs w:val="32"/>
          <w:lang w:val="en-US" w:eastAsia="zh-CN"/>
        </w:rPr>
      </w:pPr>
      <w:r>
        <w:rPr>
          <w:rFonts w:hint="eastAsia" w:ascii="黑体" w:hAnsi="黑体" w:eastAsia="黑体"/>
          <w:color w:val="auto"/>
          <w:sz w:val="32"/>
          <w:szCs w:val="32"/>
          <w:lang w:val="en-US" w:eastAsia="zh-CN"/>
        </w:rPr>
        <w:t>六、酸价</w:t>
      </w:r>
    </w:p>
    <w:p>
      <w:pPr>
        <w:spacing w:line="600" w:lineRule="exact"/>
        <w:ind w:firstLine="640" w:firstLineChars="200"/>
        <w:rPr>
          <w:rFonts w:hint="eastAsia" w:ascii="Times New Roman" w:hAnsi="Times New Roman" w:eastAsia="仿宋_GB2312"/>
          <w:color w:val="auto"/>
          <w:sz w:val="32"/>
          <w:szCs w:val="32"/>
          <w:lang w:val="en-US" w:eastAsia="zh-CN" w:bidi="ar"/>
        </w:rPr>
      </w:pPr>
      <w:r>
        <w:rPr>
          <w:rFonts w:hint="eastAsia" w:ascii="仿宋_GB2312" w:hAnsi="宋体" w:eastAsia="仿宋_GB2312" w:cs="黑体"/>
          <w:color w:val="auto"/>
          <w:kern w:val="0"/>
          <w:sz w:val="32"/>
          <w:szCs w:val="32"/>
          <w:lang w:val="en-US" w:eastAsia="zh-CN" w:bidi="ar-SA"/>
        </w:rPr>
        <w:t>酸价主要反映食品中的油脂酸败程度。《食品安全国家标准坚果与籽类食品》（GB 19300-2014）规定熟制坚果与籽类食品酸价的限量值为3 mg/g。造成酸价不合格的主要原因可能是企业原料采购把关不严、生产工艺不达标、产品储藏条件不当，特别是存贮温度较高时易导致食品中的脂肪氧化酸败。油脂酸败产生的醛酮类化合物长期摄入会对健康有一定影响</w:t>
      </w:r>
      <w:r>
        <w:rPr>
          <w:rFonts w:ascii="Times New Roman" w:hAnsi="Times New Roman" w:eastAsia="仿宋_GB2312"/>
          <w:color w:val="auto"/>
          <w:sz w:val="32"/>
          <w:szCs w:val="32"/>
        </w:rPr>
        <w:t>。</w:t>
      </w:r>
    </w:p>
    <w:p>
      <w:pPr>
        <w:spacing w:line="600" w:lineRule="exact"/>
        <w:ind w:firstLine="592" w:firstLineChars="200"/>
        <w:rPr>
          <w:rFonts w:hint="eastAsia" w:ascii="黑体" w:hAnsi="黑体" w:eastAsia="黑体"/>
          <w:color w:val="auto"/>
          <w:spacing w:val="-12"/>
          <w:sz w:val="32"/>
          <w:szCs w:val="32"/>
        </w:rPr>
      </w:pPr>
      <w:r>
        <w:rPr>
          <w:rFonts w:hint="eastAsia" w:ascii="黑体" w:hAnsi="黑体" w:eastAsia="黑体"/>
          <w:color w:val="auto"/>
          <w:spacing w:val="-12"/>
          <w:sz w:val="32"/>
          <w:szCs w:val="32"/>
          <w:lang w:val="en-US" w:eastAsia="zh-CN"/>
        </w:rPr>
        <w:t>七</w:t>
      </w:r>
      <w:r>
        <w:rPr>
          <w:rFonts w:hint="eastAsia" w:ascii="黑体" w:hAnsi="黑体" w:eastAsia="黑体"/>
          <w:color w:val="auto"/>
          <w:spacing w:val="-12"/>
          <w:sz w:val="32"/>
          <w:szCs w:val="32"/>
        </w:rPr>
        <w:t>、氟苯尼考</w:t>
      </w:r>
    </w:p>
    <w:p>
      <w:pPr>
        <w:autoSpaceDE w:val="0"/>
        <w:autoSpaceDN w:val="0"/>
        <w:adjustRightInd w:val="0"/>
        <w:spacing w:line="600" w:lineRule="exact"/>
        <w:ind w:firstLine="640" w:firstLineChars="200"/>
        <w:rPr>
          <w:rFonts w:hint="eastAsia" w:ascii="Times New Roman" w:hAnsi="Times New Roman" w:eastAsia="仿宋_GB2312"/>
          <w:color w:val="auto"/>
          <w:sz w:val="32"/>
          <w:szCs w:val="32"/>
          <w:lang w:bidi="ar"/>
        </w:rPr>
      </w:pPr>
      <w:r>
        <w:rPr>
          <w:rFonts w:hint="eastAsia" w:ascii="Times New Roman" w:hAnsi="Times New Roman" w:eastAsia="仿宋_GB2312"/>
          <w:color w:val="auto"/>
          <w:sz w:val="32"/>
          <w:szCs w:val="32"/>
        </w:rPr>
        <w:t>氟苯尼考又称氟甲砜霉素，是农业部批准使用的动物专用抗菌药，主要用于敏感细菌所致的猪、鸡、鱼的细菌性疾病。正常情况下消费者不必对</w:t>
      </w:r>
      <w:r>
        <w:rPr>
          <w:rFonts w:hint="eastAsia" w:ascii="Times New Roman" w:hAnsi="Times New Roman" w:eastAsia="仿宋_GB2312"/>
          <w:color w:val="auto"/>
          <w:sz w:val="32"/>
          <w:szCs w:val="32"/>
          <w:lang w:val="en-US" w:eastAsia="zh-CN"/>
        </w:rPr>
        <w:t>鸡蛋</w:t>
      </w:r>
      <w:r>
        <w:rPr>
          <w:rFonts w:hint="eastAsia" w:ascii="Times New Roman" w:hAnsi="Times New Roman" w:eastAsia="仿宋_GB2312"/>
          <w:color w:val="auto"/>
          <w:sz w:val="32"/>
          <w:szCs w:val="32"/>
        </w:rPr>
        <w:t>中检</w:t>
      </w:r>
      <w:r>
        <w:rPr>
          <w:rFonts w:hint="eastAsia" w:ascii="Times New Roman" w:hAnsi="Times New Roman" w:eastAsia="仿宋_GB2312"/>
          <w:color w:val="auto"/>
          <w:sz w:val="32"/>
          <w:szCs w:val="32"/>
          <w:lang w:bidi="ar"/>
        </w:rPr>
        <w:t>出氟苯尼考过分担心，但长期食用氟苯尼考残留超标的食品，对人体健康有一定影响。</w:t>
      </w:r>
    </w:p>
    <w:p>
      <w:pPr>
        <w:keepNext w:val="0"/>
        <w:keepLines w:val="0"/>
        <w:pageBreakBefore w:val="0"/>
        <w:numPr>
          <w:numId w:val="0"/>
        </w:numPr>
        <w:kinsoku/>
        <w:wordWrap/>
        <w:overflowPunct/>
        <w:topLinePunct w:val="0"/>
        <w:bidi w:val="0"/>
        <w:snapToGrid/>
        <w:spacing w:line="640" w:lineRule="exact"/>
        <w:ind w:firstLine="640" w:firstLineChars="200"/>
        <w:outlineLvl w:val="9"/>
        <w:rPr>
          <w:rFonts w:hint="eastAsia" w:ascii="Times New Roman" w:hAnsi="Times New Roman" w:eastAsia="黑体"/>
          <w:color w:val="auto"/>
          <w:kern w:val="0"/>
          <w:sz w:val="32"/>
          <w:szCs w:val="32"/>
          <w:lang w:eastAsia="zh-CN"/>
        </w:rPr>
      </w:pPr>
      <w:r>
        <w:rPr>
          <w:rFonts w:hint="eastAsia" w:ascii="Times New Roman" w:hAnsi="Times New Roman" w:eastAsia="黑体"/>
          <w:color w:val="auto"/>
          <w:kern w:val="0"/>
          <w:sz w:val="32"/>
          <w:szCs w:val="32"/>
          <w:lang w:val="en-US" w:eastAsia="zh-CN"/>
        </w:rPr>
        <w:t>八、</w:t>
      </w:r>
      <w:r>
        <w:rPr>
          <w:rFonts w:hint="eastAsia" w:ascii="Times New Roman" w:hAnsi="Times New Roman" w:eastAsia="黑体"/>
          <w:color w:val="auto"/>
          <w:kern w:val="0"/>
          <w:sz w:val="32"/>
          <w:szCs w:val="32"/>
          <w:lang w:eastAsia="zh-CN"/>
        </w:rPr>
        <w:t>铜绿假单胞菌</w:t>
      </w:r>
    </w:p>
    <w:p>
      <w:pPr>
        <w:autoSpaceDE w:val="0"/>
        <w:autoSpaceDN w:val="0"/>
        <w:adjustRightInd w:val="0"/>
        <w:spacing w:line="600" w:lineRule="exact"/>
        <w:ind w:firstLine="640" w:firstLineChars="200"/>
        <w:rPr>
          <w:rFonts w:hint="eastAsia" w:ascii="Times New Roman" w:hAnsi="Times New Roman" w:eastAsia="仿宋_GB2312"/>
          <w:color w:val="auto"/>
          <w:sz w:val="32"/>
          <w:szCs w:val="32"/>
          <w:lang w:bidi="ar"/>
        </w:rPr>
      </w:pPr>
      <w:r>
        <w:rPr>
          <w:rFonts w:hint="eastAsia" w:ascii="仿宋_GB2312" w:eastAsia="仿宋_GB2312" w:hAnsiTheme="minorHAnsi" w:cstheme="minorBidi"/>
          <w:color w:val="auto"/>
          <w:kern w:val="2"/>
          <w:sz w:val="32"/>
          <w:szCs w:val="32"/>
          <w:lang w:val="en-US" w:eastAsia="zh-CN" w:bidi="ar-SA"/>
        </w:rPr>
        <w:t>铜绿假单胞菌是一种常见的条件致病菌，属于非发酵革兰氏阴性杆菌。本菌普遍存在，而在潮湿环境尤甚。饮用水中</w:t>
      </w:r>
      <w:r>
        <w:rPr>
          <w:rFonts w:hint="eastAsia" w:ascii="仿宋_GB2312" w:eastAsia="仿宋_GB2312" w:cstheme="minorBidi"/>
          <w:color w:val="auto"/>
          <w:kern w:val="2"/>
          <w:sz w:val="32"/>
          <w:szCs w:val="32"/>
          <w:lang w:val="en-US" w:eastAsia="zh-CN" w:bidi="ar-SA"/>
        </w:rPr>
        <w:t>超标可能是由于个别企业</w:t>
      </w:r>
      <w:r>
        <w:rPr>
          <w:rFonts w:hint="eastAsia" w:ascii="仿宋_GB2312" w:eastAsia="仿宋_GB2312"/>
          <w:color w:val="auto"/>
          <w:sz w:val="32"/>
          <w:szCs w:val="32"/>
        </w:rPr>
        <w:t>未按要求严格控制生产加工过程的卫生条件，或者包装容器清洗消毒不到位等有关</w:t>
      </w:r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bidi w:val="0"/>
        <w:snapToGrid/>
        <w:spacing w:line="640" w:lineRule="exact"/>
        <w:ind w:firstLine="640" w:firstLineChars="200"/>
        <w:outlineLvl w:val="9"/>
        <w:rPr>
          <w:rFonts w:hint="eastAsia" w:ascii="Times New Roman" w:hAnsi="Times New Roman" w:eastAsia="黑体"/>
          <w:color w:val="auto"/>
          <w:kern w:val="0"/>
          <w:sz w:val="32"/>
          <w:szCs w:val="32"/>
          <w:lang w:eastAsia="zh-CN"/>
        </w:rPr>
      </w:pPr>
      <w:r>
        <w:rPr>
          <w:rFonts w:hint="eastAsia" w:ascii="Times New Roman" w:hAnsi="Times New Roman" w:eastAsia="黑体"/>
          <w:color w:val="auto"/>
          <w:kern w:val="0"/>
          <w:sz w:val="32"/>
          <w:szCs w:val="32"/>
          <w:lang w:val="en-US" w:eastAsia="zh-CN"/>
        </w:rPr>
        <w:t>九、</w:t>
      </w:r>
      <w:r>
        <w:rPr>
          <w:rFonts w:hint="eastAsia" w:ascii="Times New Roman" w:hAnsi="Times New Roman" w:eastAsia="黑体"/>
          <w:color w:val="auto"/>
          <w:kern w:val="0"/>
          <w:sz w:val="32"/>
          <w:szCs w:val="32"/>
          <w:lang w:eastAsia="zh-CN"/>
        </w:rPr>
        <w:t>甲氧苄啶</w:t>
      </w:r>
    </w:p>
    <w:p>
      <w:pPr>
        <w:ind w:firstLine="640" w:firstLineChars="200"/>
        <w:rPr>
          <w:rFonts w:hint="default" w:ascii="仿宋_GB2312" w:eastAsia="仿宋_GB2312"/>
          <w:color w:val="auto"/>
          <w:sz w:val="32"/>
          <w:szCs w:val="32"/>
          <w:lang w:val="en-US" w:eastAsia="zh-CN"/>
        </w:rPr>
      </w:pPr>
      <w:r>
        <w:rPr>
          <w:rFonts w:hint="eastAsia" w:ascii="仿宋_GB2312" w:eastAsia="仿宋_GB2312" w:hAnsiTheme="minorHAnsi" w:cstheme="minorBidi"/>
          <w:color w:val="auto"/>
          <w:kern w:val="2"/>
          <w:sz w:val="32"/>
          <w:szCs w:val="32"/>
          <w:lang w:val="en-US" w:eastAsia="zh-CN" w:bidi="ar-SA"/>
        </w:rPr>
        <w:t>甲氧苄啶，为</w:t>
      </w:r>
      <w:r>
        <w:rPr>
          <w:rFonts w:hint="eastAsia" w:ascii="仿宋_GB2312" w:eastAsia="仿宋_GB2312" w:hAnsiTheme="minorHAnsi" w:cstheme="minorBidi"/>
          <w:color w:val="auto"/>
          <w:kern w:val="2"/>
          <w:sz w:val="32"/>
          <w:szCs w:val="32"/>
          <w:lang w:val="en-US" w:eastAsia="zh-CN" w:bidi="ar-SA"/>
        </w:rPr>
        <w:fldChar w:fldCharType="begin"/>
      </w:r>
      <w:r>
        <w:rPr>
          <w:rFonts w:hint="eastAsia" w:ascii="仿宋_GB2312" w:eastAsia="仿宋_GB2312" w:hAnsiTheme="minorHAnsi" w:cstheme="minorBidi"/>
          <w:color w:val="auto"/>
          <w:kern w:val="2"/>
          <w:sz w:val="32"/>
          <w:szCs w:val="32"/>
          <w:lang w:val="en-US" w:eastAsia="zh-CN" w:bidi="ar-SA"/>
        </w:rPr>
        <w:instrText xml:space="preserve"> HYPERLINK "http://www.yixue.com/%E5%B9%BF%E8%B0%B1" \o "广谱" </w:instrText>
      </w:r>
      <w:r>
        <w:rPr>
          <w:rFonts w:hint="eastAsia" w:ascii="仿宋_GB2312" w:eastAsia="仿宋_GB2312" w:hAnsiTheme="minorHAnsi" w:cstheme="minorBidi"/>
          <w:color w:val="auto"/>
          <w:kern w:val="2"/>
          <w:sz w:val="32"/>
          <w:szCs w:val="32"/>
          <w:lang w:val="en-US" w:eastAsia="zh-CN" w:bidi="ar-SA"/>
        </w:rPr>
        <w:fldChar w:fldCharType="separate"/>
      </w:r>
      <w:r>
        <w:rPr>
          <w:rFonts w:hint="eastAsia" w:ascii="仿宋_GB2312" w:eastAsia="仿宋_GB2312" w:hAnsiTheme="minorHAnsi" w:cstheme="minorBidi"/>
          <w:color w:val="auto"/>
          <w:kern w:val="2"/>
          <w:sz w:val="32"/>
          <w:szCs w:val="32"/>
          <w:lang w:val="en-US" w:eastAsia="zh-CN" w:bidi="ar-SA"/>
        </w:rPr>
        <w:t>广谱</w:t>
      </w:r>
      <w:r>
        <w:rPr>
          <w:rFonts w:hint="eastAsia" w:ascii="仿宋_GB2312" w:eastAsia="仿宋_GB2312" w:hAnsiTheme="minorHAnsi" w:cstheme="minorBidi"/>
          <w:color w:val="auto"/>
          <w:kern w:val="2"/>
          <w:sz w:val="32"/>
          <w:szCs w:val="32"/>
          <w:lang w:val="en-US" w:eastAsia="zh-CN" w:bidi="ar-SA"/>
        </w:rPr>
        <w:fldChar w:fldCharType="end"/>
      </w:r>
      <w:r>
        <w:rPr>
          <w:rFonts w:hint="eastAsia" w:ascii="仿宋_GB2312" w:eastAsia="仿宋_GB2312" w:hAnsiTheme="minorHAnsi" w:cstheme="minorBidi"/>
          <w:color w:val="auto"/>
          <w:kern w:val="2"/>
          <w:sz w:val="32"/>
          <w:szCs w:val="32"/>
          <w:lang w:val="en-US" w:eastAsia="zh-CN" w:bidi="ar-SA"/>
        </w:rPr>
        <w:fldChar w:fldCharType="begin"/>
      </w:r>
      <w:r>
        <w:rPr>
          <w:rFonts w:hint="eastAsia" w:ascii="仿宋_GB2312" w:eastAsia="仿宋_GB2312" w:hAnsiTheme="minorHAnsi" w:cstheme="minorBidi"/>
          <w:color w:val="auto"/>
          <w:kern w:val="2"/>
          <w:sz w:val="32"/>
          <w:szCs w:val="32"/>
          <w:lang w:val="en-US" w:eastAsia="zh-CN" w:bidi="ar-SA"/>
        </w:rPr>
        <w:instrText xml:space="preserve"> HYPERLINK "http://www.yixue.com/%E6%8A%97%E8%8F%8C%E8%8D%AF" \o "抗菌药" </w:instrText>
      </w:r>
      <w:r>
        <w:rPr>
          <w:rFonts w:hint="eastAsia" w:ascii="仿宋_GB2312" w:eastAsia="仿宋_GB2312" w:hAnsiTheme="minorHAnsi" w:cstheme="minorBidi"/>
          <w:color w:val="auto"/>
          <w:kern w:val="2"/>
          <w:sz w:val="32"/>
          <w:szCs w:val="32"/>
          <w:lang w:val="en-US" w:eastAsia="zh-CN" w:bidi="ar-SA"/>
        </w:rPr>
        <w:fldChar w:fldCharType="separate"/>
      </w:r>
      <w:r>
        <w:rPr>
          <w:rFonts w:hint="eastAsia" w:ascii="仿宋_GB2312" w:eastAsia="仿宋_GB2312" w:hAnsiTheme="minorHAnsi" w:cstheme="minorBidi"/>
          <w:color w:val="auto"/>
          <w:kern w:val="2"/>
          <w:sz w:val="32"/>
          <w:szCs w:val="32"/>
          <w:lang w:val="en-US" w:eastAsia="zh-CN" w:bidi="ar-SA"/>
        </w:rPr>
        <w:t>抗菌药</w:t>
      </w:r>
      <w:r>
        <w:rPr>
          <w:rFonts w:hint="eastAsia" w:ascii="仿宋_GB2312" w:eastAsia="仿宋_GB2312" w:hAnsiTheme="minorHAnsi" w:cstheme="minorBidi"/>
          <w:color w:val="auto"/>
          <w:kern w:val="2"/>
          <w:sz w:val="32"/>
          <w:szCs w:val="32"/>
          <w:lang w:val="en-US" w:eastAsia="zh-CN" w:bidi="ar-SA"/>
        </w:rPr>
        <w:fldChar w:fldCharType="end"/>
      </w:r>
      <w:r>
        <w:rPr>
          <w:rFonts w:hint="eastAsia" w:ascii="仿宋_GB2312" w:eastAsia="仿宋_GB2312" w:hAnsiTheme="minorHAnsi" w:cstheme="minorBidi"/>
          <w:color w:val="auto"/>
          <w:kern w:val="2"/>
          <w:sz w:val="32"/>
          <w:szCs w:val="32"/>
          <w:lang w:val="en-US" w:eastAsia="zh-CN" w:bidi="ar-SA"/>
        </w:rPr>
        <w:t>，</w:t>
      </w:r>
      <w:r>
        <w:rPr>
          <w:rFonts w:hint="eastAsia" w:ascii="仿宋_GB2312" w:eastAsia="仿宋_GB2312" w:hAnsiTheme="minorHAnsi" w:cstheme="minorBidi"/>
          <w:color w:val="auto"/>
          <w:kern w:val="2"/>
          <w:sz w:val="32"/>
          <w:szCs w:val="32"/>
          <w:lang w:val="en-US" w:eastAsia="zh-CN" w:bidi="ar-SA"/>
        </w:rPr>
        <w:fldChar w:fldCharType="begin"/>
      </w:r>
      <w:r>
        <w:rPr>
          <w:rFonts w:hint="eastAsia" w:ascii="仿宋_GB2312" w:eastAsia="仿宋_GB2312" w:hAnsiTheme="minorHAnsi" w:cstheme="minorBidi"/>
          <w:color w:val="auto"/>
          <w:kern w:val="2"/>
          <w:sz w:val="32"/>
          <w:szCs w:val="32"/>
          <w:lang w:val="en-US" w:eastAsia="zh-CN" w:bidi="ar-SA"/>
        </w:rPr>
        <w:instrText xml:space="preserve"> HYPERLINK "http://www.yixue.com/%E6%8A%97%E8%8F%8C" \o "抗菌" </w:instrText>
      </w:r>
      <w:r>
        <w:rPr>
          <w:rFonts w:hint="eastAsia" w:ascii="仿宋_GB2312" w:eastAsia="仿宋_GB2312" w:hAnsiTheme="minorHAnsi" w:cstheme="minorBidi"/>
          <w:color w:val="auto"/>
          <w:kern w:val="2"/>
          <w:sz w:val="32"/>
          <w:szCs w:val="32"/>
          <w:lang w:val="en-US" w:eastAsia="zh-CN" w:bidi="ar-SA"/>
        </w:rPr>
        <w:fldChar w:fldCharType="separate"/>
      </w:r>
      <w:r>
        <w:rPr>
          <w:rFonts w:hint="eastAsia" w:ascii="仿宋_GB2312" w:eastAsia="仿宋_GB2312" w:hAnsiTheme="minorHAnsi" w:cstheme="minorBidi"/>
          <w:color w:val="auto"/>
          <w:kern w:val="2"/>
          <w:sz w:val="32"/>
          <w:szCs w:val="32"/>
          <w:lang w:val="en-US" w:eastAsia="zh-CN" w:bidi="ar-SA"/>
        </w:rPr>
        <w:t>抗菌</w:t>
      </w:r>
      <w:r>
        <w:rPr>
          <w:rFonts w:hint="eastAsia" w:ascii="仿宋_GB2312" w:eastAsia="仿宋_GB2312" w:hAnsiTheme="minorHAnsi" w:cstheme="minorBidi"/>
          <w:color w:val="auto"/>
          <w:kern w:val="2"/>
          <w:sz w:val="32"/>
          <w:szCs w:val="32"/>
          <w:lang w:val="en-US" w:eastAsia="zh-CN" w:bidi="ar-SA"/>
        </w:rPr>
        <w:fldChar w:fldCharType="end"/>
      </w:r>
      <w:r>
        <w:rPr>
          <w:rFonts w:hint="eastAsia" w:ascii="仿宋_GB2312" w:eastAsia="仿宋_GB2312" w:hAnsiTheme="minorHAnsi" w:cstheme="minorBidi"/>
          <w:color w:val="auto"/>
          <w:kern w:val="2"/>
          <w:sz w:val="32"/>
          <w:szCs w:val="32"/>
          <w:lang w:val="en-US" w:eastAsia="zh-CN" w:bidi="ar-SA"/>
        </w:rPr>
        <w:t>谱与</w:t>
      </w:r>
      <w:r>
        <w:rPr>
          <w:rFonts w:hint="eastAsia" w:ascii="仿宋_GB2312" w:eastAsia="仿宋_GB2312" w:hAnsiTheme="minorHAnsi" w:cstheme="minorBidi"/>
          <w:color w:val="auto"/>
          <w:kern w:val="2"/>
          <w:sz w:val="32"/>
          <w:szCs w:val="32"/>
          <w:lang w:val="en-US" w:eastAsia="zh-CN" w:bidi="ar-SA"/>
        </w:rPr>
        <w:fldChar w:fldCharType="begin"/>
      </w:r>
      <w:r>
        <w:rPr>
          <w:rFonts w:hint="eastAsia" w:ascii="仿宋_GB2312" w:eastAsia="仿宋_GB2312" w:hAnsiTheme="minorHAnsi" w:cstheme="minorBidi"/>
          <w:color w:val="auto"/>
          <w:kern w:val="2"/>
          <w:sz w:val="32"/>
          <w:szCs w:val="32"/>
          <w:lang w:val="en-US" w:eastAsia="zh-CN" w:bidi="ar-SA"/>
        </w:rPr>
        <w:instrText xml:space="preserve"> HYPERLINK "http://www.yixue.com/%E7%A3%BA%E8%83%BA%E8%8D%AF" \o "磺胺药" </w:instrText>
      </w:r>
      <w:r>
        <w:rPr>
          <w:rFonts w:hint="eastAsia" w:ascii="仿宋_GB2312" w:eastAsia="仿宋_GB2312" w:hAnsiTheme="minorHAnsi" w:cstheme="minorBidi"/>
          <w:color w:val="auto"/>
          <w:kern w:val="2"/>
          <w:sz w:val="32"/>
          <w:szCs w:val="32"/>
          <w:lang w:val="en-US" w:eastAsia="zh-CN" w:bidi="ar-SA"/>
        </w:rPr>
        <w:fldChar w:fldCharType="separate"/>
      </w:r>
      <w:r>
        <w:rPr>
          <w:rFonts w:hint="eastAsia" w:ascii="仿宋_GB2312" w:eastAsia="仿宋_GB2312" w:hAnsiTheme="minorHAnsi" w:cstheme="minorBidi"/>
          <w:color w:val="auto"/>
          <w:kern w:val="2"/>
          <w:sz w:val="32"/>
          <w:szCs w:val="32"/>
          <w:lang w:val="en-US" w:eastAsia="zh-CN" w:bidi="ar-SA"/>
        </w:rPr>
        <w:t>磺胺药</w:t>
      </w:r>
      <w:r>
        <w:rPr>
          <w:rFonts w:hint="eastAsia" w:ascii="仿宋_GB2312" w:eastAsia="仿宋_GB2312" w:hAnsiTheme="minorHAnsi" w:cstheme="minorBidi"/>
          <w:color w:val="auto"/>
          <w:kern w:val="2"/>
          <w:sz w:val="32"/>
          <w:szCs w:val="32"/>
          <w:lang w:val="en-US" w:eastAsia="zh-CN" w:bidi="ar-SA"/>
        </w:rPr>
        <w:fldChar w:fldCharType="end"/>
      </w:r>
      <w:r>
        <w:rPr>
          <w:rFonts w:hint="eastAsia" w:ascii="仿宋_GB2312" w:eastAsia="仿宋_GB2312" w:hAnsiTheme="minorHAnsi" w:cstheme="minorBidi"/>
          <w:color w:val="auto"/>
          <w:kern w:val="2"/>
          <w:sz w:val="32"/>
          <w:szCs w:val="32"/>
          <w:lang w:val="en-US" w:eastAsia="zh-CN" w:bidi="ar-SA"/>
        </w:rPr>
        <w:t>类似</w:t>
      </w:r>
      <w:r>
        <w:rPr>
          <w:rFonts w:hint="eastAsia" w:ascii="仿宋_GB2312" w:eastAsia="仿宋_GB2312"/>
          <w:color w:val="auto"/>
          <w:sz w:val="32"/>
          <w:szCs w:val="32"/>
          <w:lang w:val="en-US" w:eastAsia="zh-CN"/>
        </w:rPr>
        <w:t>。</w:t>
      </w:r>
      <w:r>
        <w:rPr>
          <w:rFonts w:hint="eastAsia" w:ascii="仿宋_GB2312" w:eastAsia="仿宋_GB2312"/>
          <w:color w:val="auto"/>
          <w:sz w:val="32"/>
          <w:szCs w:val="32"/>
        </w:rPr>
        <w:t>GB 31650-2019《食品安全国家标准</w:t>
      </w:r>
      <w:r>
        <w:rPr>
          <w:rFonts w:hint="eastAsia" w:ascii="仿宋_GB2312" w:eastAsia="仿宋_GB2312"/>
          <w:color w:val="auto"/>
          <w:sz w:val="32"/>
          <w:szCs w:val="32"/>
          <w:lang w:val="en-US" w:eastAsia="zh-CN"/>
        </w:rPr>
        <w:t xml:space="preserve"> </w:t>
      </w:r>
      <w:r>
        <w:rPr>
          <w:rFonts w:hint="eastAsia" w:ascii="仿宋_GB2312" w:eastAsia="仿宋_GB2312"/>
          <w:color w:val="auto"/>
          <w:sz w:val="32"/>
          <w:szCs w:val="32"/>
        </w:rPr>
        <w:t>食品中兽药最大残留限量》</w:t>
      </w:r>
      <w:r>
        <w:rPr>
          <w:rFonts w:hint="eastAsia" w:ascii="仿宋_GB2312" w:eastAsia="仿宋_GB2312"/>
          <w:color w:val="auto"/>
          <w:sz w:val="32"/>
          <w:szCs w:val="32"/>
          <w:lang w:val="en-US" w:eastAsia="zh-CN"/>
        </w:rPr>
        <w:t>规定，黄鳝中甲氧苄啶含量不超过50μg/kg。</w:t>
      </w:r>
      <w:r>
        <w:rPr>
          <w:rFonts w:ascii="Times New Roman" w:hAnsi="Times New Roman" w:eastAsia="仿宋_GB2312" w:cs="Times New Roman"/>
          <w:color w:val="auto"/>
          <w:sz w:val="32"/>
          <w:szCs w:val="32"/>
        </w:rPr>
        <w:t>超标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</w:rPr>
        <w:t>的原因，</w:t>
      </w:r>
      <w:r>
        <w:rPr>
          <w:rFonts w:ascii="Times New Roman" w:hAnsi="Times New Roman" w:eastAsia="仿宋_GB2312" w:cs="Times New Roman"/>
          <w:color w:val="auto"/>
          <w:sz w:val="32"/>
          <w:szCs w:val="32"/>
        </w:rPr>
        <w:t>可能是养殖户在养殖过程中违规使用相关兽药。</w:t>
      </w:r>
    </w:p>
    <w:bookmarkEnd w:id="0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小标宋简体">
    <w:altName w:val="Arial Unicode MS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ˎ̥">
    <w:altName w:val="Times New Roman"/>
    <w:panose1 w:val="00000000000000000000"/>
    <w:charset w:val="00"/>
    <w:family w:val="roman"/>
    <w:pitch w:val="default"/>
    <w:sig w:usb0="00000000" w:usb1="00000000" w:usb2="00000000" w:usb3="00000000" w:csb0="00040001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5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07955"/>
    <w:rsid w:val="00004AF7"/>
    <w:rsid w:val="0001200F"/>
    <w:rsid w:val="00093CF5"/>
    <w:rsid w:val="000A6B95"/>
    <w:rsid w:val="000F3898"/>
    <w:rsid w:val="00115004"/>
    <w:rsid w:val="0012314B"/>
    <w:rsid w:val="00123E64"/>
    <w:rsid w:val="00127EED"/>
    <w:rsid w:val="0016663F"/>
    <w:rsid w:val="001902B4"/>
    <w:rsid w:val="003315E0"/>
    <w:rsid w:val="00337EED"/>
    <w:rsid w:val="00345260"/>
    <w:rsid w:val="00352572"/>
    <w:rsid w:val="003D2E81"/>
    <w:rsid w:val="003F677D"/>
    <w:rsid w:val="0043621E"/>
    <w:rsid w:val="004864C3"/>
    <w:rsid w:val="00490214"/>
    <w:rsid w:val="004A3448"/>
    <w:rsid w:val="00507955"/>
    <w:rsid w:val="00520975"/>
    <w:rsid w:val="005A5540"/>
    <w:rsid w:val="005A75F4"/>
    <w:rsid w:val="005F0C5D"/>
    <w:rsid w:val="005F4B2D"/>
    <w:rsid w:val="006405D0"/>
    <w:rsid w:val="00645FBB"/>
    <w:rsid w:val="006666DD"/>
    <w:rsid w:val="006D5330"/>
    <w:rsid w:val="00720093"/>
    <w:rsid w:val="007459EC"/>
    <w:rsid w:val="00770938"/>
    <w:rsid w:val="00797EB4"/>
    <w:rsid w:val="007A0255"/>
    <w:rsid w:val="007F685A"/>
    <w:rsid w:val="008076EA"/>
    <w:rsid w:val="0082458E"/>
    <w:rsid w:val="00884CC5"/>
    <w:rsid w:val="00924988"/>
    <w:rsid w:val="009463F1"/>
    <w:rsid w:val="009F1C77"/>
    <w:rsid w:val="009F4723"/>
    <w:rsid w:val="00A56708"/>
    <w:rsid w:val="00A73159"/>
    <w:rsid w:val="00A91A30"/>
    <w:rsid w:val="00A963A9"/>
    <w:rsid w:val="00AC5197"/>
    <w:rsid w:val="00AE45B8"/>
    <w:rsid w:val="00AE7483"/>
    <w:rsid w:val="00AF442F"/>
    <w:rsid w:val="00B00D41"/>
    <w:rsid w:val="00BA1E23"/>
    <w:rsid w:val="00BF6851"/>
    <w:rsid w:val="00C14A0A"/>
    <w:rsid w:val="00C74245"/>
    <w:rsid w:val="00C904C0"/>
    <w:rsid w:val="00C93814"/>
    <w:rsid w:val="00CC2B2E"/>
    <w:rsid w:val="00D854CA"/>
    <w:rsid w:val="00DB42CD"/>
    <w:rsid w:val="00EB080C"/>
    <w:rsid w:val="00EB6150"/>
    <w:rsid w:val="00EC0E42"/>
    <w:rsid w:val="00ED73BA"/>
    <w:rsid w:val="00EE180D"/>
    <w:rsid w:val="00F66EA7"/>
    <w:rsid w:val="00F6775F"/>
    <w:rsid w:val="00F71F33"/>
    <w:rsid w:val="00F77CAB"/>
    <w:rsid w:val="01BF015D"/>
    <w:rsid w:val="02317036"/>
    <w:rsid w:val="05B075F0"/>
    <w:rsid w:val="07503655"/>
    <w:rsid w:val="09613572"/>
    <w:rsid w:val="098168D4"/>
    <w:rsid w:val="09E0572E"/>
    <w:rsid w:val="0A4011CE"/>
    <w:rsid w:val="0B443F79"/>
    <w:rsid w:val="0B505CFE"/>
    <w:rsid w:val="0C0B1D8D"/>
    <w:rsid w:val="0C705556"/>
    <w:rsid w:val="0CCE6341"/>
    <w:rsid w:val="0D374F84"/>
    <w:rsid w:val="0D4279C5"/>
    <w:rsid w:val="0D852F3F"/>
    <w:rsid w:val="0DE12CCF"/>
    <w:rsid w:val="0E284B04"/>
    <w:rsid w:val="0EC12409"/>
    <w:rsid w:val="0F751D38"/>
    <w:rsid w:val="0F8E03D8"/>
    <w:rsid w:val="0FA90066"/>
    <w:rsid w:val="0FC01C62"/>
    <w:rsid w:val="1034205B"/>
    <w:rsid w:val="104362FC"/>
    <w:rsid w:val="107C1AA5"/>
    <w:rsid w:val="11F95E33"/>
    <w:rsid w:val="12F708C4"/>
    <w:rsid w:val="14FB2159"/>
    <w:rsid w:val="153E37EC"/>
    <w:rsid w:val="155E31D5"/>
    <w:rsid w:val="15F30177"/>
    <w:rsid w:val="164271B3"/>
    <w:rsid w:val="16C74C86"/>
    <w:rsid w:val="16E15A77"/>
    <w:rsid w:val="172A0F96"/>
    <w:rsid w:val="17BC2306"/>
    <w:rsid w:val="18165D76"/>
    <w:rsid w:val="187D413F"/>
    <w:rsid w:val="18B93A69"/>
    <w:rsid w:val="18CE1A06"/>
    <w:rsid w:val="19580406"/>
    <w:rsid w:val="19D1085A"/>
    <w:rsid w:val="1A6251F7"/>
    <w:rsid w:val="1ACE2642"/>
    <w:rsid w:val="1B0616C5"/>
    <w:rsid w:val="1BAD4A7C"/>
    <w:rsid w:val="1C157453"/>
    <w:rsid w:val="1C1845BD"/>
    <w:rsid w:val="1CB27E9B"/>
    <w:rsid w:val="1DAD3FFF"/>
    <w:rsid w:val="1DFF41B9"/>
    <w:rsid w:val="207F2166"/>
    <w:rsid w:val="209E7837"/>
    <w:rsid w:val="20DD5D1B"/>
    <w:rsid w:val="21EF72E6"/>
    <w:rsid w:val="224D6ADB"/>
    <w:rsid w:val="227B2998"/>
    <w:rsid w:val="22A141AA"/>
    <w:rsid w:val="22BF0461"/>
    <w:rsid w:val="22DF1FFB"/>
    <w:rsid w:val="239D0E6B"/>
    <w:rsid w:val="24B573DE"/>
    <w:rsid w:val="25481A61"/>
    <w:rsid w:val="25915938"/>
    <w:rsid w:val="25A92365"/>
    <w:rsid w:val="261F7110"/>
    <w:rsid w:val="268048E5"/>
    <w:rsid w:val="268C2746"/>
    <w:rsid w:val="26A0668D"/>
    <w:rsid w:val="26AB6C21"/>
    <w:rsid w:val="26DF3697"/>
    <w:rsid w:val="27332D86"/>
    <w:rsid w:val="27727CA4"/>
    <w:rsid w:val="27F74C72"/>
    <w:rsid w:val="28600ED5"/>
    <w:rsid w:val="28B77FCD"/>
    <w:rsid w:val="28E51ADB"/>
    <w:rsid w:val="290E4770"/>
    <w:rsid w:val="2A066B4A"/>
    <w:rsid w:val="2A0F4184"/>
    <w:rsid w:val="2A14107F"/>
    <w:rsid w:val="2AB22B74"/>
    <w:rsid w:val="2B1206C2"/>
    <w:rsid w:val="2C243C54"/>
    <w:rsid w:val="2C414036"/>
    <w:rsid w:val="2D7D65C0"/>
    <w:rsid w:val="2EE02088"/>
    <w:rsid w:val="2EEE4150"/>
    <w:rsid w:val="2F026C43"/>
    <w:rsid w:val="2F192827"/>
    <w:rsid w:val="2F6C5736"/>
    <w:rsid w:val="2F8746A4"/>
    <w:rsid w:val="2F9200D3"/>
    <w:rsid w:val="3036111F"/>
    <w:rsid w:val="30C52F74"/>
    <w:rsid w:val="31390AFB"/>
    <w:rsid w:val="31727237"/>
    <w:rsid w:val="31E4442C"/>
    <w:rsid w:val="31F75EEE"/>
    <w:rsid w:val="320944EF"/>
    <w:rsid w:val="32671426"/>
    <w:rsid w:val="326A386A"/>
    <w:rsid w:val="327A4A98"/>
    <w:rsid w:val="32B12BD0"/>
    <w:rsid w:val="337F4F63"/>
    <w:rsid w:val="33A308EA"/>
    <w:rsid w:val="36731FE9"/>
    <w:rsid w:val="367B7D6F"/>
    <w:rsid w:val="36970865"/>
    <w:rsid w:val="37246F64"/>
    <w:rsid w:val="37975EBC"/>
    <w:rsid w:val="37980617"/>
    <w:rsid w:val="37D8062F"/>
    <w:rsid w:val="37F96A05"/>
    <w:rsid w:val="383060A2"/>
    <w:rsid w:val="38642EE5"/>
    <w:rsid w:val="39666407"/>
    <w:rsid w:val="39A57DA5"/>
    <w:rsid w:val="39AF2A0A"/>
    <w:rsid w:val="39E66244"/>
    <w:rsid w:val="3A4E210D"/>
    <w:rsid w:val="3A937552"/>
    <w:rsid w:val="3AA9213C"/>
    <w:rsid w:val="3B6949B8"/>
    <w:rsid w:val="3B932D55"/>
    <w:rsid w:val="3C07791D"/>
    <w:rsid w:val="3C52405A"/>
    <w:rsid w:val="3C87360C"/>
    <w:rsid w:val="3D625FAB"/>
    <w:rsid w:val="3D7846F0"/>
    <w:rsid w:val="3D8F3232"/>
    <w:rsid w:val="3DDA184A"/>
    <w:rsid w:val="3E3A3BD1"/>
    <w:rsid w:val="3E793D02"/>
    <w:rsid w:val="3E974FD9"/>
    <w:rsid w:val="3F944EF2"/>
    <w:rsid w:val="40787187"/>
    <w:rsid w:val="40B86FDC"/>
    <w:rsid w:val="40D0460A"/>
    <w:rsid w:val="40F91F4F"/>
    <w:rsid w:val="4167249D"/>
    <w:rsid w:val="41D76D12"/>
    <w:rsid w:val="420E6C2D"/>
    <w:rsid w:val="42400E64"/>
    <w:rsid w:val="425665EF"/>
    <w:rsid w:val="426A0D65"/>
    <w:rsid w:val="43842684"/>
    <w:rsid w:val="43C70ADF"/>
    <w:rsid w:val="44F63D12"/>
    <w:rsid w:val="45B97969"/>
    <w:rsid w:val="47492C28"/>
    <w:rsid w:val="494214A7"/>
    <w:rsid w:val="49697DDF"/>
    <w:rsid w:val="4B5049B4"/>
    <w:rsid w:val="4BC137FA"/>
    <w:rsid w:val="4C297156"/>
    <w:rsid w:val="4C36294C"/>
    <w:rsid w:val="4CCB074B"/>
    <w:rsid w:val="4D8A2EE5"/>
    <w:rsid w:val="4D9B4661"/>
    <w:rsid w:val="4E0B1BC2"/>
    <w:rsid w:val="4EC26E4B"/>
    <w:rsid w:val="4EED2BC8"/>
    <w:rsid w:val="4F932387"/>
    <w:rsid w:val="4FAB5F46"/>
    <w:rsid w:val="50163F73"/>
    <w:rsid w:val="50C17233"/>
    <w:rsid w:val="51896A13"/>
    <w:rsid w:val="51FD239C"/>
    <w:rsid w:val="52941F38"/>
    <w:rsid w:val="52A6769D"/>
    <w:rsid w:val="53DD4918"/>
    <w:rsid w:val="5473169E"/>
    <w:rsid w:val="54C904D3"/>
    <w:rsid w:val="550115C8"/>
    <w:rsid w:val="554D75AB"/>
    <w:rsid w:val="55515C48"/>
    <w:rsid w:val="55BE0029"/>
    <w:rsid w:val="566F178F"/>
    <w:rsid w:val="583D6A55"/>
    <w:rsid w:val="58C52A1E"/>
    <w:rsid w:val="5900754B"/>
    <w:rsid w:val="591702CA"/>
    <w:rsid w:val="59203A01"/>
    <w:rsid w:val="59A56ED4"/>
    <w:rsid w:val="5AF17BBB"/>
    <w:rsid w:val="5B7936AC"/>
    <w:rsid w:val="5BDC6E44"/>
    <w:rsid w:val="5C6258A4"/>
    <w:rsid w:val="5C6607D4"/>
    <w:rsid w:val="5CF357D6"/>
    <w:rsid w:val="5E3C6DCB"/>
    <w:rsid w:val="5E82604C"/>
    <w:rsid w:val="5E9F7D04"/>
    <w:rsid w:val="5EB3567B"/>
    <w:rsid w:val="5FB4017C"/>
    <w:rsid w:val="5FF86B48"/>
    <w:rsid w:val="616D5BEF"/>
    <w:rsid w:val="62106968"/>
    <w:rsid w:val="62733EE5"/>
    <w:rsid w:val="62A23EF9"/>
    <w:rsid w:val="62E64A8D"/>
    <w:rsid w:val="637B6589"/>
    <w:rsid w:val="63E519B6"/>
    <w:rsid w:val="63E60C8E"/>
    <w:rsid w:val="645F7C77"/>
    <w:rsid w:val="64BA3CE8"/>
    <w:rsid w:val="65660390"/>
    <w:rsid w:val="6655217A"/>
    <w:rsid w:val="66F73F16"/>
    <w:rsid w:val="67734C92"/>
    <w:rsid w:val="67C1146A"/>
    <w:rsid w:val="67DF1954"/>
    <w:rsid w:val="67E22ABE"/>
    <w:rsid w:val="681044FB"/>
    <w:rsid w:val="681A5C55"/>
    <w:rsid w:val="686B67ED"/>
    <w:rsid w:val="6A7367C6"/>
    <w:rsid w:val="6B0A631F"/>
    <w:rsid w:val="6B2F57E8"/>
    <w:rsid w:val="6B3B7A45"/>
    <w:rsid w:val="6C2A5933"/>
    <w:rsid w:val="6C532497"/>
    <w:rsid w:val="6C6A3D48"/>
    <w:rsid w:val="6D262A1C"/>
    <w:rsid w:val="6ED77804"/>
    <w:rsid w:val="70433045"/>
    <w:rsid w:val="71236AF0"/>
    <w:rsid w:val="72050BDB"/>
    <w:rsid w:val="72084E58"/>
    <w:rsid w:val="72C44654"/>
    <w:rsid w:val="731C59A6"/>
    <w:rsid w:val="740B7597"/>
    <w:rsid w:val="75A57FA1"/>
    <w:rsid w:val="76077A0F"/>
    <w:rsid w:val="76C43BAF"/>
    <w:rsid w:val="77100CAA"/>
    <w:rsid w:val="77450FC0"/>
    <w:rsid w:val="7746130E"/>
    <w:rsid w:val="7802718C"/>
    <w:rsid w:val="78516857"/>
    <w:rsid w:val="787917F5"/>
    <w:rsid w:val="78941FDE"/>
    <w:rsid w:val="79425C88"/>
    <w:rsid w:val="79E41CD7"/>
    <w:rsid w:val="7A27777B"/>
    <w:rsid w:val="7B5D2F26"/>
    <w:rsid w:val="7B7721FC"/>
    <w:rsid w:val="7C833972"/>
    <w:rsid w:val="7ECE751F"/>
    <w:rsid w:val="7EF80517"/>
    <w:rsid w:val="7F4D5AB1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qFormat="1"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qFormat="1" w:unhideWhenUsed="0" w:uiPriority="0" w:semiHidden="0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semiHidden="0" w:name="Hyperlink"/>
    <w:lsdException w:qFormat="1" w:uiPriority="99" w:semiHidden="0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qFormat="1"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uiPriority="59" w:name="Table Grid"/>
    <w:lsdException w:uiPriority="99" w:name="Table Theme"/>
    <w:lsdException w:qFormat="1" w:unhideWhenUsed="0" w:uiPriority="1" w:semiHidden="0" w:name="No Spacing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10">
    <w:name w:val="Default Paragraph Font"/>
    <w:semiHidden/>
    <w:unhideWhenUsed/>
    <w:qFormat/>
    <w:uiPriority w:val="1"/>
  </w:style>
  <w:style w:type="table" w:default="1" w:styleId="9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link w:val="22"/>
    <w:semiHidden/>
    <w:unhideWhenUsed/>
    <w:qFormat/>
    <w:uiPriority w:val="99"/>
    <w:pPr>
      <w:spacing w:after="120"/>
    </w:pPr>
  </w:style>
  <w:style w:type="paragraph" w:styleId="3">
    <w:name w:val="Balloon Text"/>
    <w:basedOn w:val="1"/>
    <w:link w:val="21"/>
    <w:semiHidden/>
    <w:unhideWhenUsed/>
    <w:qFormat/>
    <w:uiPriority w:val="99"/>
    <w:rPr>
      <w:sz w:val="18"/>
      <w:szCs w:val="18"/>
    </w:rPr>
  </w:style>
  <w:style w:type="paragraph" w:styleId="4">
    <w:name w:val="footer"/>
    <w:basedOn w:val="1"/>
    <w:link w:val="16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link w:val="15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6">
    <w:name w:val="HTML Preformatted"/>
    <w:basedOn w:val="1"/>
    <w:semiHidden/>
    <w:unhideWhenUsed/>
    <w:qFormat/>
    <w:uiPriority w:val="99"/>
    <w:pPr>
      <w:widowControl/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jc w:val="left"/>
    </w:pPr>
    <w:rPr>
      <w:rFonts w:ascii="宋体" w:hAnsi="宋体" w:eastAsia="宋体" w:cs="宋体"/>
      <w:kern w:val="0"/>
      <w:sz w:val="24"/>
      <w:szCs w:val="24"/>
    </w:rPr>
  </w:style>
  <w:style w:type="paragraph" w:styleId="7">
    <w:name w:val="Normal (Web)"/>
    <w:basedOn w:val="1"/>
    <w:semiHidden/>
    <w:unhideWhenUsed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paragraph" w:styleId="8">
    <w:name w:val="Body Text First Indent"/>
    <w:basedOn w:val="2"/>
    <w:link w:val="23"/>
    <w:qFormat/>
    <w:uiPriority w:val="0"/>
    <w:pPr>
      <w:ind w:firstLine="420" w:firstLineChars="100"/>
    </w:pPr>
    <w:rPr>
      <w:rFonts w:ascii="Times New Roman" w:hAnsi="Times New Roman" w:eastAsia="宋体" w:cs="Times New Roman"/>
      <w:szCs w:val="24"/>
    </w:rPr>
  </w:style>
  <w:style w:type="character" w:styleId="11">
    <w:name w:val="Strong"/>
    <w:basedOn w:val="10"/>
    <w:qFormat/>
    <w:uiPriority w:val="22"/>
    <w:rPr>
      <w:b/>
    </w:rPr>
  </w:style>
  <w:style w:type="character" w:styleId="12">
    <w:name w:val="FollowedHyperlink"/>
    <w:basedOn w:val="10"/>
    <w:unhideWhenUsed/>
    <w:qFormat/>
    <w:uiPriority w:val="99"/>
    <w:rPr>
      <w:color w:val="000099"/>
      <w:sz w:val="18"/>
      <w:szCs w:val="18"/>
      <w:u w:val="single"/>
    </w:rPr>
  </w:style>
  <w:style w:type="character" w:styleId="13">
    <w:name w:val="Emphasis"/>
    <w:qFormat/>
    <w:uiPriority w:val="20"/>
    <w:rPr>
      <w:i/>
      <w:iCs/>
    </w:rPr>
  </w:style>
  <w:style w:type="character" w:styleId="14">
    <w:name w:val="Hyperlink"/>
    <w:basedOn w:val="10"/>
    <w:unhideWhenUsed/>
    <w:qFormat/>
    <w:uiPriority w:val="99"/>
    <w:rPr>
      <w:color w:val="000099"/>
      <w:sz w:val="18"/>
      <w:szCs w:val="18"/>
      <w:u w:val="single"/>
    </w:rPr>
  </w:style>
  <w:style w:type="character" w:customStyle="1" w:styleId="15">
    <w:name w:val="页眉 Char"/>
    <w:basedOn w:val="10"/>
    <w:link w:val="5"/>
    <w:semiHidden/>
    <w:qFormat/>
    <w:uiPriority w:val="99"/>
    <w:rPr>
      <w:sz w:val="18"/>
      <w:szCs w:val="18"/>
    </w:rPr>
  </w:style>
  <w:style w:type="character" w:customStyle="1" w:styleId="16">
    <w:name w:val="页脚 Char"/>
    <w:basedOn w:val="10"/>
    <w:link w:val="4"/>
    <w:semiHidden/>
    <w:qFormat/>
    <w:uiPriority w:val="99"/>
    <w:rPr>
      <w:sz w:val="18"/>
      <w:szCs w:val="18"/>
    </w:rPr>
  </w:style>
  <w:style w:type="character" w:customStyle="1" w:styleId="17">
    <w:name w:val="apple-converted-space"/>
    <w:basedOn w:val="10"/>
    <w:qFormat/>
    <w:uiPriority w:val="0"/>
  </w:style>
  <w:style w:type="paragraph" w:customStyle="1" w:styleId="18">
    <w:name w:val="reader-word-layer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paragraph" w:styleId="19">
    <w:name w:val="List Paragraph"/>
    <w:basedOn w:val="1"/>
    <w:unhideWhenUsed/>
    <w:qFormat/>
    <w:uiPriority w:val="99"/>
    <w:pPr>
      <w:ind w:firstLine="420" w:firstLineChars="200"/>
    </w:pPr>
  </w:style>
  <w:style w:type="character" w:customStyle="1" w:styleId="20">
    <w:name w:val="description"/>
    <w:basedOn w:val="10"/>
    <w:qFormat/>
    <w:uiPriority w:val="0"/>
  </w:style>
  <w:style w:type="character" w:customStyle="1" w:styleId="21">
    <w:name w:val="批注框文本 Char"/>
    <w:basedOn w:val="10"/>
    <w:link w:val="3"/>
    <w:semiHidden/>
    <w:qFormat/>
    <w:uiPriority w:val="99"/>
    <w:rPr>
      <w:rFonts w:asciiTheme="minorHAnsi" w:hAnsiTheme="minorHAnsi" w:eastAsiaTheme="minorEastAsia" w:cstheme="minorBidi"/>
      <w:kern w:val="2"/>
      <w:sz w:val="18"/>
      <w:szCs w:val="18"/>
    </w:rPr>
  </w:style>
  <w:style w:type="character" w:customStyle="1" w:styleId="22">
    <w:name w:val="正文文本 Char"/>
    <w:basedOn w:val="10"/>
    <w:link w:val="2"/>
    <w:semiHidden/>
    <w:qFormat/>
    <w:uiPriority w:val="99"/>
    <w:rPr>
      <w:rFonts w:asciiTheme="minorHAnsi" w:hAnsiTheme="minorHAnsi" w:eastAsiaTheme="minorEastAsia" w:cstheme="minorBidi"/>
      <w:kern w:val="2"/>
      <w:sz w:val="21"/>
      <w:szCs w:val="22"/>
    </w:rPr>
  </w:style>
  <w:style w:type="character" w:customStyle="1" w:styleId="23">
    <w:name w:val="正文首行缩进 Char"/>
    <w:basedOn w:val="22"/>
    <w:link w:val="8"/>
    <w:qFormat/>
    <w:uiPriority w:val="0"/>
    <w:rPr>
      <w:rFonts w:asciiTheme="minorHAnsi" w:hAnsiTheme="minorHAnsi" w:eastAsiaTheme="minorEastAsia" w:cstheme="minorBidi"/>
      <w:kern w:val="2"/>
      <w:sz w:val="21"/>
      <w:szCs w:val="24"/>
    </w:rPr>
  </w:style>
  <w:style w:type="character" w:customStyle="1" w:styleId="24">
    <w:name w:val="不明显强调1"/>
    <w:basedOn w:val="10"/>
    <w:qFormat/>
    <w:uiPriority w:val="19"/>
    <w:rPr>
      <w:i/>
      <w:iCs/>
      <w:color w:val="808080" w:themeColor="text1" w:themeTint="80"/>
      <w14:textFill>
        <w14:solidFill>
          <w14:schemeClr w14:val="tx1">
            <w14:lumMod w14:val="50000"/>
            <w14:lumOff w14:val="50000"/>
          </w14:schemeClr>
        </w14:solidFill>
      </w14:textFill>
    </w:rPr>
  </w:style>
  <w:style w:type="paragraph" w:styleId="25">
    <w:name w:val="No Spacing"/>
    <w:qFormat/>
    <w:uiPriority w:val="1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6">
    <w:name w:val="Default"/>
    <w:qFormat/>
    <w:uiPriority w:val="0"/>
    <w:pPr>
      <w:widowControl w:val="0"/>
      <w:autoSpaceDE w:val="0"/>
      <w:autoSpaceDN w:val="0"/>
      <w:adjustRightInd w:val="0"/>
    </w:pPr>
    <w:rPr>
      <w:rFonts w:ascii="仿宋_GB2312" w:hAnsi="仿宋_GB2312" w:eastAsia="宋体" w:cs="仿宋_GB2312"/>
      <w:color w:val="000000"/>
      <w:sz w:val="24"/>
      <w:szCs w:val="24"/>
      <w:lang w:val="en-US" w:eastAsia="zh-CN" w:bidi="ar-SA"/>
    </w:rPr>
  </w:style>
  <w:style w:type="character" w:customStyle="1" w:styleId="27">
    <w:name w:val="不明显强调2"/>
    <w:basedOn w:val="10"/>
    <w:qFormat/>
    <w:uiPriority w:val="19"/>
    <w:rPr>
      <w:i/>
      <w:iCs/>
      <w:color w:val="808080" w:themeColor="text1" w:themeTint="80"/>
      <w14:textFill>
        <w14:solidFill>
          <w14:schemeClr w14:val="tx1">
            <w14:lumMod w14:val="50000"/>
            <w14:lumOff w14:val="50000"/>
          </w14:schemeClr>
        </w14:solidFill>
      </w14:textFill>
    </w:rPr>
  </w:style>
  <w:style w:type="character" w:customStyle="1" w:styleId="28">
    <w:name w:val="Subtle Emphasis"/>
    <w:basedOn w:val="10"/>
    <w:qFormat/>
    <w:uiPriority w:val="19"/>
    <w:rPr>
      <w:i/>
      <w:iCs/>
      <w:color w:val="808080" w:themeColor="text1" w:themeTint="80"/>
      <w14:textFill>
        <w14:solidFill>
          <w14:schemeClr w14:val="tx1">
            <w14:lumMod w14:val="50000"/>
            <w14:lumOff w14:val="50000"/>
          </w14:schemeClr>
        </w14:solidFill>
      </w14:textFill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2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C052EC1E-4758-4E6B-B008-BC491F078588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微软中国</Company>
  <Pages>3</Pages>
  <Words>157</Words>
  <Characters>899</Characters>
  <Lines>7</Lines>
  <Paragraphs>2</Paragraphs>
  <TotalTime>1</TotalTime>
  <ScaleCrop>false</ScaleCrop>
  <LinksUpToDate>false</LinksUpToDate>
  <CharactersWithSpaces>1054</CharactersWithSpaces>
  <Application>WPS Office_11.1.0.10132_F1E327BC-269C-435d-A152-05C5408002CA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2018-12-24T03:58:00Z</dcterms:created>
  <dc:creator>USER</dc:creator>
  <cp:lastModifiedBy>zwq</cp:lastModifiedBy>
  <cp:lastPrinted>2019-01-28T02:50:00Z</cp:lastPrinted>
  <dcterms:modified xsi:type="dcterms:W3CDTF">2020-11-10T05:49:27Z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2052-11.1.0.10132</vt:lpwstr>
  </property>
  <property fmtid="{D5CDD505-2E9C-101B-9397-08002B2CF9AE}" pid="3" name="KSORubyTemplateID" linkTarget="0">
    <vt:lpwstr>6</vt:lpwstr>
  </property>
</Properties>
</file>