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8EA73D">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_GBK" w:hAnsi="方正小标宋_GBK" w:eastAsia="方正小标宋_GBK" w:cs="方正小标宋_GBK"/>
          <w:color w:val="auto"/>
          <w:sz w:val="44"/>
          <w:szCs w:val="44"/>
        </w:rPr>
      </w:pPr>
      <w:bookmarkStart w:id="0" w:name="_GoBack"/>
      <w:r>
        <w:rPr>
          <w:rFonts w:hint="eastAsia" w:ascii="方正小标宋_GBK" w:hAnsi="方正小标宋_GBK" w:eastAsia="方正小标宋_GBK" w:cs="方正小标宋_GBK"/>
          <w:color w:val="auto"/>
          <w:sz w:val="44"/>
          <w:szCs w:val="44"/>
        </w:rPr>
        <w:t>江苏省市场监管领域轻微违法行为</w:t>
      </w:r>
    </w:p>
    <w:p w14:paraId="246A5320">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_GBK" w:hAnsi="方正小标宋_GBK" w:eastAsia="方正小标宋_GBK" w:cs="方正小标宋_GBK"/>
          <w:color w:val="auto"/>
          <w:sz w:val="44"/>
          <w:szCs w:val="44"/>
        </w:rPr>
      </w:pPr>
      <w:r>
        <w:rPr>
          <w:rFonts w:hint="eastAsia" w:ascii="方正小标宋_GBK" w:hAnsi="方正小标宋_GBK" w:eastAsia="方正小标宋_GBK" w:cs="方正小标宋_GBK"/>
          <w:color w:val="auto"/>
          <w:sz w:val="44"/>
          <w:szCs w:val="44"/>
        </w:rPr>
        <w:t>不予处罚和从轻减轻处罚规定</w:t>
      </w:r>
    </w:p>
    <w:p w14:paraId="68A536EA">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楷体_GBK" w:hAnsi="方正楷体_GBK" w:eastAsia="方正楷体_GBK" w:cs="方正楷体_GBK"/>
          <w:color w:val="auto"/>
          <w:sz w:val="32"/>
          <w:szCs w:val="32"/>
          <w:lang w:eastAsia="zh-CN"/>
        </w:rPr>
      </w:pPr>
      <w:r>
        <w:rPr>
          <w:rFonts w:hint="eastAsia" w:ascii="方正楷体_GBK" w:hAnsi="方正楷体_GBK" w:eastAsia="方正楷体_GBK" w:cs="方正楷体_GBK"/>
          <w:color w:val="auto"/>
          <w:sz w:val="32"/>
          <w:szCs w:val="32"/>
          <w:lang w:eastAsia="zh-CN"/>
        </w:rPr>
        <w:t>（</w:t>
      </w:r>
      <w:r>
        <w:rPr>
          <w:rFonts w:hint="eastAsia" w:ascii="方正楷体_GBK" w:hAnsi="方正楷体_GBK" w:eastAsia="方正楷体_GBK" w:cs="方正楷体_GBK"/>
          <w:color w:val="auto"/>
          <w:sz w:val="32"/>
          <w:szCs w:val="32"/>
          <w:lang w:val="en-US" w:eastAsia="zh-CN"/>
        </w:rPr>
        <w:t>征求意见稿</w:t>
      </w:r>
      <w:r>
        <w:rPr>
          <w:rFonts w:hint="eastAsia" w:ascii="方正楷体_GBK" w:hAnsi="方正楷体_GBK" w:eastAsia="方正楷体_GBK" w:cs="方正楷体_GBK"/>
          <w:color w:val="auto"/>
          <w:sz w:val="32"/>
          <w:szCs w:val="32"/>
          <w:lang w:eastAsia="zh-CN"/>
        </w:rPr>
        <w:t>）</w:t>
      </w:r>
    </w:p>
    <w:p w14:paraId="41F57CA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方正黑体_GBK" w:hAnsi="方正黑体_GBK" w:eastAsia="方正黑体_GBK" w:cs="方正黑体_GBK"/>
          <w:color w:val="auto"/>
          <w:sz w:val="32"/>
          <w:szCs w:val="32"/>
        </w:rPr>
      </w:pPr>
    </w:p>
    <w:p w14:paraId="6EF9A21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方正仿宋_GBK" w:hAnsi="方正仿宋_GBK" w:eastAsia="方正仿宋_GBK" w:cs="方正仿宋_GBK"/>
          <w:color w:val="auto"/>
          <w:sz w:val="32"/>
          <w:szCs w:val="32"/>
        </w:rPr>
      </w:pPr>
      <w:r>
        <w:rPr>
          <w:rFonts w:hint="eastAsia" w:ascii="方正黑体_GBK" w:hAnsi="方正黑体_GBK" w:eastAsia="方正黑体_GBK" w:cs="方正黑体_GBK"/>
          <w:color w:val="auto"/>
          <w:sz w:val="32"/>
          <w:szCs w:val="32"/>
        </w:rPr>
        <w:t>第一条</w:t>
      </w:r>
      <w:r>
        <w:rPr>
          <w:rFonts w:hint="eastAsia" w:ascii="方正仿宋_GBK" w:hAnsi="方正仿宋_GBK" w:eastAsia="方正仿宋_GBK" w:cs="方正仿宋_GBK"/>
          <w:color w:val="auto"/>
          <w:sz w:val="32"/>
          <w:szCs w:val="32"/>
        </w:rPr>
        <w:t>　为推进市场监管领域包容审慎监管，规范市场监管执法行为，持续优化营商环境，根据《中华人民共和国行政处罚法》《优化营商环境条例》《市场监督管理行政处罚程序规定》等法律法规规章以及上级文件精神，制定本规定。</w:t>
      </w:r>
    </w:p>
    <w:p w14:paraId="380A27E1">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　　</w:t>
      </w:r>
      <w:r>
        <w:rPr>
          <w:rFonts w:hint="eastAsia" w:ascii="方正黑体_GBK" w:hAnsi="方正黑体_GBK" w:eastAsia="方正黑体_GBK" w:cs="方正黑体_GBK"/>
          <w:color w:val="auto"/>
          <w:sz w:val="32"/>
          <w:szCs w:val="32"/>
        </w:rPr>
        <w:t>第二条</w:t>
      </w:r>
      <w:r>
        <w:rPr>
          <w:rFonts w:hint="eastAsia" w:ascii="方正仿宋_GBK" w:hAnsi="方正仿宋_GBK" w:eastAsia="方正仿宋_GBK" w:cs="方正仿宋_GBK"/>
          <w:color w:val="auto"/>
          <w:sz w:val="32"/>
          <w:szCs w:val="32"/>
        </w:rPr>
        <w:t>　本规定适用于全省市场监管领域行政处罚工作。</w:t>
      </w:r>
    </w:p>
    <w:p w14:paraId="4D1FE550">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　　</w:t>
      </w:r>
      <w:r>
        <w:rPr>
          <w:rFonts w:hint="eastAsia" w:ascii="方正黑体_GBK" w:hAnsi="方正黑体_GBK" w:eastAsia="方正黑体_GBK" w:cs="方正黑体_GBK"/>
          <w:color w:val="auto"/>
          <w:sz w:val="32"/>
          <w:szCs w:val="32"/>
        </w:rPr>
        <w:t>第三条</w:t>
      </w:r>
      <w:r>
        <w:rPr>
          <w:rFonts w:hint="eastAsia" w:ascii="方正仿宋_GBK" w:hAnsi="方正仿宋_GBK" w:eastAsia="方正仿宋_GBK" w:cs="方正仿宋_GBK"/>
          <w:color w:val="auto"/>
          <w:sz w:val="32"/>
          <w:szCs w:val="32"/>
        </w:rPr>
        <w:t>　本规定所称不予行政处罚是指因法定原因对特定违法行为不给予行政处罚。</w:t>
      </w:r>
    </w:p>
    <w:p w14:paraId="27DA8AFF">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　　减轻行政处罚是指适用法定行政处罚最低限度以下的处罚种类或者处罚幅度，包括在违法行为应当受到的一种或者几种处罚种类之外选择更轻的处罚种类，或者在应当并处时不并处，或者在法定最低罚款限值以下确定罚款数额。</w:t>
      </w:r>
    </w:p>
    <w:p w14:paraId="59ABD025">
      <w:pPr>
        <w:keepNext w:val="0"/>
        <w:keepLines w:val="0"/>
        <w:pageBreakBefore w:val="0"/>
        <w:widowControl w:val="0"/>
        <w:kinsoku/>
        <w:wordWrap/>
        <w:overflowPunct/>
        <w:topLinePunct w:val="0"/>
        <w:autoSpaceDE/>
        <w:autoSpaceDN/>
        <w:bidi w:val="0"/>
        <w:adjustRightInd w:val="0"/>
        <w:snapToGrid w:val="0"/>
        <w:spacing w:line="560" w:lineRule="exact"/>
        <w:ind w:firstLine="655"/>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从轻行政处罚是指在依法可以选择的处罚种类和处罚幅度内，适用较轻、较少的处罚种类或者较低的处罚幅度。其中，罚款的数额应当在从最低限到最高限这一幅度中较低的30%部分</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lang w:val="en-US" w:eastAsia="zh-CN"/>
        </w:rPr>
        <w:t>含本数）</w:t>
      </w:r>
      <w:r>
        <w:rPr>
          <w:rFonts w:hint="eastAsia" w:ascii="方正仿宋_GBK" w:hAnsi="方正仿宋_GBK" w:eastAsia="方正仿宋_GBK" w:cs="方正仿宋_GBK"/>
          <w:color w:val="auto"/>
          <w:sz w:val="32"/>
          <w:szCs w:val="32"/>
        </w:rPr>
        <w:t>。</w:t>
      </w:r>
    </w:p>
    <w:p w14:paraId="2658B0C7">
      <w:pPr>
        <w:keepNext w:val="0"/>
        <w:keepLines w:val="0"/>
        <w:pageBreakBefore w:val="0"/>
        <w:widowControl w:val="0"/>
        <w:kinsoku/>
        <w:wordWrap/>
        <w:overflowPunct/>
        <w:topLinePunct w:val="0"/>
        <w:autoSpaceDE/>
        <w:autoSpaceDN/>
        <w:bidi w:val="0"/>
        <w:adjustRightInd w:val="0"/>
        <w:snapToGrid w:val="0"/>
        <w:spacing w:line="560" w:lineRule="exact"/>
        <w:ind w:firstLine="655"/>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除法律、法规、规章另有规定外，对同一个违法行为规定可以并处处罚</w:t>
      </w:r>
      <w:r>
        <w:rPr>
          <w:rFonts w:hint="eastAsia" w:ascii="方正仿宋_GBK" w:hAnsi="方正仿宋_GBK" w:eastAsia="方正仿宋_GBK" w:cs="方正仿宋_GBK"/>
          <w:color w:val="auto"/>
          <w:sz w:val="32"/>
          <w:szCs w:val="32"/>
          <w:lang w:val="en-US" w:eastAsia="zh-CN"/>
        </w:rPr>
        <w:t>的</w:t>
      </w:r>
      <w:r>
        <w:rPr>
          <w:rFonts w:hint="eastAsia" w:ascii="方正仿宋_GBK" w:hAnsi="方正仿宋_GBK" w:eastAsia="方正仿宋_GBK" w:cs="方正仿宋_GBK"/>
          <w:color w:val="auto"/>
          <w:sz w:val="32"/>
          <w:szCs w:val="32"/>
        </w:rPr>
        <w:t>，</w:t>
      </w:r>
      <w:r>
        <w:rPr>
          <w:rFonts w:hint="eastAsia" w:ascii="方正仿宋_GBK" w:hAnsi="方正仿宋_GBK" w:eastAsia="方正仿宋_GBK" w:cs="方正仿宋_GBK"/>
          <w:color w:val="auto"/>
          <w:sz w:val="32"/>
          <w:szCs w:val="32"/>
          <w:lang w:val="en-US" w:eastAsia="zh-CN"/>
        </w:rPr>
        <w:t>市场监管部门</w:t>
      </w:r>
      <w:r>
        <w:rPr>
          <w:rFonts w:hint="eastAsia" w:ascii="方正仿宋_GBK" w:hAnsi="方正仿宋_GBK" w:eastAsia="方正仿宋_GBK" w:cs="方正仿宋_GBK"/>
          <w:color w:val="auto"/>
          <w:sz w:val="32"/>
          <w:szCs w:val="32"/>
        </w:rPr>
        <w:t>认定减轻处罚</w:t>
      </w:r>
      <w:r>
        <w:rPr>
          <w:rFonts w:hint="eastAsia" w:ascii="方正仿宋_GBK" w:hAnsi="方正仿宋_GBK" w:eastAsia="方正仿宋_GBK" w:cs="方正仿宋_GBK"/>
          <w:color w:val="auto"/>
          <w:sz w:val="32"/>
          <w:szCs w:val="32"/>
          <w:lang w:val="en-US" w:eastAsia="zh-CN"/>
        </w:rPr>
        <w:t>时</w:t>
      </w:r>
      <w:r>
        <w:rPr>
          <w:rFonts w:hint="eastAsia" w:ascii="方正仿宋_GBK" w:hAnsi="方正仿宋_GBK" w:eastAsia="方正仿宋_GBK" w:cs="方正仿宋_GBK"/>
          <w:color w:val="auto"/>
          <w:sz w:val="32"/>
          <w:szCs w:val="32"/>
        </w:rPr>
        <w:t>，应当实施单处；认定从轻处罚</w:t>
      </w:r>
      <w:r>
        <w:rPr>
          <w:rFonts w:hint="eastAsia" w:ascii="方正仿宋_GBK" w:hAnsi="方正仿宋_GBK" w:eastAsia="方正仿宋_GBK" w:cs="方正仿宋_GBK"/>
          <w:color w:val="auto"/>
          <w:sz w:val="32"/>
          <w:szCs w:val="32"/>
          <w:lang w:val="en-US" w:eastAsia="zh-CN"/>
        </w:rPr>
        <w:t>时</w:t>
      </w:r>
      <w:r>
        <w:rPr>
          <w:rFonts w:hint="eastAsia" w:ascii="方正仿宋_GBK" w:hAnsi="方正仿宋_GBK" w:eastAsia="方正仿宋_GBK" w:cs="方正仿宋_GBK"/>
          <w:color w:val="auto"/>
          <w:sz w:val="32"/>
          <w:szCs w:val="32"/>
        </w:rPr>
        <w:t>，可以实施单处或者并处。</w:t>
      </w:r>
    </w:p>
    <w:p w14:paraId="1A1F2685">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　　</w:t>
      </w:r>
      <w:r>
        <w:rPr>
          <w:rFonts w:hint="eastAsia" w:ascii="方正黑体_GBK" w:hAnsi="方正黑体_GBK" w:eastAsia="方正黑体_GBK" w:cs="方正黑体_GBK"/>
          <w:color w:val="auto"/>
          <w:sz w:val="32"/>
          <w:szCs w:val="32"/>
        </w:rPr>
        <w:t>第四条</w:t>
      </w:r>
      <w:r>
        <w:rPr>
          <w:rFonts w:hint="eastAsia" w:ascii="方正仿宋_GBK" w:hAnsi="方正仿宋_GBK" w:eastAsia="方正仿宋_GBK" w:cs="方正仿宋_GBK"/>
          <w:color w:val="auto"/>
          <w:sz w:val="32"/>
          <w:szCs w:val="32"/>
        </w:rPr>
        <w:t>　市场监管部门对轻微违法行为作出不予处罚和从轻减轻处罚的决定，应当以事实为依据，遵守法定程序，坚持过罚相当，根据法律、法规、规章的规定，综合考虑违法行为的事实、性质、情节、社会危害程度，兼顾地区经济社会发展状况、当事人主客观情况等因素，合理、规范行使裁量权。</w:t>
      </w:r>
    </w:p>
    <w:p w14:paraId="3A300C19">
      <w:pPr>
        <w:keepNext w:val="0"/>
        <w:keepLines w:val="0"/>
        <w:pageBreakBefore w:val="0"/>
        <w:widowControl w:val="0"/>
        <w:kinsoku/>
        <w:wordWrap/>
        <w:overflowPunct/>
        <w:topLinePunct w:val="0"/>
        <w:autoSpaceDE/>
        <w:autoSpaceDN/>
        <w:bidi w:val="0"/>
        <w:adjustRightInd w:val="0"/>
        <w:snapToGrid w:val="0"/>
        <w:spacing w:line="560" w:lineRule="exact"/>
        <w:ind w:firstLine="655"/>
        <w:textAlignment w:val="auto"/>
        <w:rPr>
          <w:rFonts w:hint="default" w:ascii="方正仿宋_GBK" w:hAnsi="方正仿宋_GBK" w:eastAsia="方正仿宋_GBK" w:cs="方正仿宋_GBK"/>
          <w:color w:val="auto"/>
          <w:sz w:val="32"/>
          <w:szCs w:val="32"/>
          <w:lang w:val="en-US" w:eastAsia="zh-CN"/>
        </w:rPr>
      </w:pPr>
      <w:r>
        <w:rPr>
          <w:rFonts w:hint="eastAsia" w:ascii="方正黑体_GBK" w:hAnsi="方正黑体_GBK" w:eastAsia="方正黑体_GBK" w:cs="方正黑体_GBK"/>
          <w:color w:val="auto"/>
          <w:sz w:val="32"/>
          <w:szCs w:val="32"/>
        </w:rPr>
        <w:t>第五条</w:t>
      </w:r>
      <w:r>
        <w:rPr>
          <w:rFonts w:hint="eastAsia" w:ascii="方正仿宋_GBK" w:hAnsi="方正仿宋_GBK" w:eastAsia="方正仿宋_GBK" w:cs="方正仿宋_GBK"/>
          <w:color w:val="auto"/>
          <w:sz w:val="32"/>
          <w:szCs w:val="32"/>
        </w:rPr>
        <w:t>　市场监管部门对轻微违法行为作出不予处罚和从轻减轻处罚的决定，应当坚持处罚与教育相结合，充分运用约谈、引导、建议、提醒、回访等行政指导手段，加强法治宣传和教育，促进当事人依法合规开展生产经营活动，提升法律意识和主体责任意识。</w:t>
      </w:r>
      <w:r>
        <w:rPr>
          <w:rFonts w:hint="eastAsia" w:ascii="方正仿宋_GBK" w:hAnsi="方正仿宋_GBK" w:eastAsia="方正仿宋_GBK" w:cs="方正仿宋_GBK"/>
          <w:color w:val="auto"/>
          <w:sz w:val="32"/>
          <w:szCs w:val="32"/>
          <w:lang w:val="en-US" w:eastAsia="zh-CN"/>
        </w:rPr>
        <w:t>对合规意愿较高的企业，可以指导企业自主开展合规建设。</w:t>
      </w:r>
    </w:p>
    <w:p w14:paraId="7386D64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方正仿宋_GBK" w:hAnsi="方正仿宋_GBK" w:eastAsia="方正仿宋_GBK" w:cs="方正仿宋_GBK"/>
          <w:color w:val="auto"/>
          <w:sz w:val="32"/>
          <w:szCs w:val="32"/>
        </w:rPr>
      </w:pPr>
      <w:r>
        <w:rPr>
          <w:rFonts w:hint="eastAsia" w:ascii="方正黑体_GBK" w:hAnsi="方正黑体_GBK" w:eastAsia="方正黑体_GBK" w:cs="方正黑体_GBK"/>
          <w:color w:val="auto"/>
          <w:sz w:val="32"/>
          <w:szCs w:val="32"/>
        </w:rPr>
        <w:t>第六条</w:t>
      </w:r>
      <w:r>
        <w:rPr>
          <w:rFonts w:hint="eastAsia" w:ascii="方正仿宋_GBK" w:hAnsi="方正仿宋_GBK" w:eastAsia="方正仿宋_GBK" w:cs="方正仿宋_GBK"/>
          <w:color w:val="auto"/>
          <w:sz w:val="32"/>
          <w:szCs w:val="32"/>
        </w:rPr>
        <w:t>　有下列情形之一的，应当依法不予行政处罚：</w:t>
      </w:r>
    </w:p>
    <w:p w14:paraId="65B2C9FE">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　　（一）不满十四周岁的未成年人有违法行为的；</w:t>
      </w:r>
    </w:p>
    <w:p w14:paraId="00DB4CFA">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　　（二）精神病人、智力残疾人在不能辨认或者不能控制自己行为时有违法行为的；</w:t>
      </w:r>
    </w:p>
    <w:p w14:paraId="643BD869">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　　（三）违法行为轻微并及时改正，没有造成危害后果的；</w:t>
      </w:r>
    </w:p>
    <w:p w14:paraId="6CDF8AF5">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　　（四）除法律、行政法规另有规定外，当事人有证据足以证明没有主观过错的；</w:t>
      </w:r>
    </w:p>
    <w:p w14:paraId="32F45813">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　　（五）除法律另有规定外，涉及公民生命健康安全、金融安全且有危害后果的违法行为在五年内未被发现的，其他违法行为在二年内未被发现的；</w:t>
      </w:r>
    </w:p>
    <w:p w14:paraId="76EB8112">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　　（六）其他依法应当不予行政处罚的。</w:t>
      </w:r>
    </w:p>
    <w:p w14:paraId="2C0C5496">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　　初次违法且危害后果轻微并及时改正的，可以不予行政处罚。</w:t>
      </w:r>
    </w:p>
    <w:p w14:paraId="613C0EC1">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　　</w:t>
      </w:r>
      <w:r>
        <w:rPr>
          <w:rFonts w:hint="eastAsia" w:ascii="方正黑体_GBK" w:hAnsi="方正黑体_GBK" w:eastAsia="方正黑体_GBK" w:cs="方正黑体_GBK"/>
          <w:color w:val="auto"/>
          <w:sz w:val="32"/>
          <w:szCs w:val="32"/>
        </w:rPr>
        <w:t>第七条</w:t>
      </w:r>
      <w:r>
        <w:rPr>
          <w:rFonts w:hint="eastAsia" w:ascii="方正仿宋_GBK" w:hAnsi="方正仿宋_GBK" w:eastAsia="方正仿宋_GBK" w:cs="方正仿宋_GBK"/>
          <w:color w:val="auto"/>
          <w:sz w:val="32"/>
          <w:szCs w:val="32"/>
        </w:rPr>
        <w:t>　有下列情形之一的，应当依法从轻或者减轻行政处罚：</w:t>
      </w:r>
    </w:p>
    <w:p w14:paraId="05A547F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（一）已满十四周岁不满十八周岁的未成年人有违法行为的；</w:t>
      </w:r>
    </w:p>
    <w:p w14:paraId="0D08148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（二）主动消除或者减轻违法行为危害后果的；</w:t>
      </w:r>
    </w:p>
    <w:p w14:paraId="6336A65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（三）受他人胁迫或者诱骗实施违法行为的；</w:t>
      </w:r>
    </w:p>
    <w:p w14:paraId="393EB9C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（四）主动供述市场监管部门尚未掌握的违法行为的；</w:t>
      </w:r>
    </w:p>
    <w:p w14:paraId="77CE4BC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（五）配合市场监管部门查处违法行为有立功表现的</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rPr>
        <w:t>包括但不限于当事人揭发市场监管领域其他重大违法行为或者提供查处市场监管领域其他重大违法行为的关键线索或证据，并经查证属实的；</w:t>
      </w:r>
    </w:p>
    <w:p w14:paraId="1327C20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（六）其他依法应当从轻或者减轻行政处罚的。</w:t>
      </w:r>
    </w:p>
    <w:p w14:paraId="257BB496">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　　</w:t>
      </w:r>
      <w:r>
        <w:rPr>
          <w:rFonts w:hint="eastAsia" w:ascii="方正黑体_GBK" w:hAnsi="方正黑体_GBK" w:eastAsia="方正黑体_GBK" w:cs="方正黑体_GBK"/>
          <w:color w:val="auto"/>
          <w:sz w:val="32"/>
          <w:szCs w:val="32"/>
        </w:rPr>
        <w:t>第八条</w:t>
      </w:r>
      <w:r>
        <w:rPr>
          <w:rFonts w:hint="eastAsia" w:ascii="方正仿宋_GBK" w:hAnsi="方正仿宋_GBK" w:eastAsia="方正仿宋_GBK" w:cs="方正仿宋_GBK"/>
          <w:color w:val="auto"/>
          <w:sz w:val="32"/>
          <w:szCs w:val="32"/>
        </w:rPr>
        <w:t>　有下列情形之一的，可以依法从轻或者减轻行政处罚：</w:t>
      </w:r>
    </w:p>
    <w:p w14:paraId="005A5AA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（一）尚未完全丧失辨认或者控制自己行为能力的精神病人、智力残疾人有违法行为的；</w:t>
      </w:r>
    </w:p>
    <w:p w14:paraId="79CFA2C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（二）积极配合市场监管部门调查并主动提供证据材料的；</w:t>
      </w:r>
    </w:p>
    <w:p w14:paraId="18B41CD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（三）违法行为轻微，社会危害性较小的；</w:t>
      </w:r>
    </w:p>
    <w:p w14:paraId="37CDAB8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（四）在共同违法行为中起次要或者辅助作用的；</w:t>
      </w:r>
    </w:p>
    <w:p w14:paraId="0CBDD40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（五）当事人因残疾或者重大疾病等原因生活确有困难的；</w:t>
      </w:r>
    </w:p>
    <w:p w14:paraId="4C175E2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lang w:val="en-US" w:eastAsia="zh-CN"/>
        </w:rPr>
        <w:t>六</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rPr>
        <w:t>其他依法可以从轻或者减轻行政处罚的。</w:t>
      </w:r>
    </w:p>
    <w:p w14:paraId="1DF7F60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方正仿宋_GBK" w:hAnsi="方正仿宋_GBK" w:eastAsia="方正仿宋_GBK" w:cs="方正仿宋_GBK"/>
          <w:color w:val="auto"/>
          <w:sz w:val="32"/>
          <w:szCs w:val="32"/>
          <w:lang w:val="en-US" w:eastAsia="zh-CN"/>
        </w:rPr>
      </w:pPr>
      <w:r>
        <w:rPr>
          <w:rFonts w:hint="eastAsia" w:ascii="方正黑体_GBK" w:hAnsi="方正黑体_GBK" w:eastAsia="方正黑体_GBK" w:cs="方正黑体_GBK"/>
          <w:color w:val="auto"/>
          <w:sz w:val="32"/>
          <w:szCs w:val="32"/>
          <w:lang w:val="en-US" w:eastAsia="zh-CN"/>
        </w:rPr>
        <w:t>第九条</w:t>
      </w:r>
      <w:r>
        <w:rPr>
          <w:rFonts w:hint="eastAsia" w:ascii="方正仿宋_GBK" w:hAnsi="方正仿宋_GBK" w:eastAsia="方正仿宋_GBK" w:cs="方正仿宋_GBK"/>
          <w:color w:val="auto"/>
          <w:sz w:val="32"/>
          <w:szCs w:val="32"/>
          <w:lang w:val="en-US" w:eastAsia="zh-CN"/>
        </w:rPr>
        <w:t xml:space="preserve">  当事人违法行为不能全部符合本规定第六条第一款第三项或者第二款，以及不予行政处罚清单所列不予行政处罚的条件，但情节明显轻微，按照法定幅度实施行政处罚过罚不当的，可以综合裁量减轻行政处罚。</w:t>
      </w:r>
    </w:p>
    <w:p w14:paraId="2C9CE865">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　　</w:t>
      </w:r>
      <w:r>
        <w:rPr>
          <w:rFonts w:hint="eastAsia" w:ascii="方正黑体_GBK" w:hAnsi="方正黑体_GBK" w:eastAsia="方正黑体_GBK" w:cs="方正黑体_GBK"/>
          <w:color w:val="auto"/>
          <w:sz w:val="32"/>
          <w:szCs w:val="32"/>
        </w:rPr>
        <w:t>第</w:t>
      </w:r>
      <w:r>
        <w:rPr>
          <w:rFonts w:hint="eastAsia" w:ascii="方正黑体_GBK" w:hAnsi="方正黑体_GBK" w:eastAsia="方正黑体_GBK" w:cs="方正黑体_GBK"/>
          <w:color w:val="auto"/>
          <w:sz w:val="32"/>
          <w:szCs w:val="32"/>
          <w:lang w:val="en-US" w:eastAsia="zh-CN"/>
        </w:rPr>
        <w:t>十</w:t>
      </w:r>
      <w:r>
        <w:rPr>
          <w:rFonts w:hint="eastAsia" w:ascii="方正黑体_GBK" w:hAnsi="方正黑体_GBK" w:eastAsia="方正黑体_GBK" w:cs="方正黑体_GBK"/>
          <w:color w:val="auto"/>
          <w:sz w:val="32"/>
          <w:szCs w:val="32"/>
        </w:rPr>
        <w:t>条</w:t>
      </w:r>
      <w:r>
        <w:rPr>
          <w:rFonts w:hint="eastAsia" w:ascii="方正仿宋_GBK" w:hAnsi="方正仿宋_GBK" w:eastAsia="方正仿宋_GBK" w:cs="方正仿宋_GBK"/>
          <w:color w:val="auto"/>
          <w:sz w:val="32"/>
          <w:szCs w:val="32"/>
        </w:rPr>
        <w:t>　违法行为轻微，可以结合下列因素综合认定：</w:t>
      </w:r>
    </w:p>
    <w:p w14:paraId="597A94F0">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　　（一）主观过错较小；</w:t>
      </w:r>
    </w:p>
    <w:p w14:paraId="4CBCE1FC">
      <w:pPr>
        <w:keepNext w:val="0"/>
        <w:keepLines w:val="0"/>
        <w:pageBreakBefore w:val="0"/>
        <w:widowControl w:val="0"/>
        <w:kinsoku/>
        <w:wordWrap/>
        <w:overflowPunct/>
        <w:topLinePunct w:val="0"/>
        <w:autoSpaceDE/>
        <w:autoSpaceDN/>
        <w:bidi w:val="0"/>
        <w:adjustRightInd w:val="0"/>
        <w:snapToGrid w:val="0"/>
        <w:spacing w:line="560" w:lineRule="exact"/>
        <w:ind w:firstLine="64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（二）初次违法；</w:t>
      </w:r>
    </w:p>
    <w:p w14:paraId="14F12505">
      <w:pPr>
        <w:keepNext w:val="0"/>
        <w:keepLines w:val="0"/>
        <w:pageBreakBefore w:val="0"/>
        <w:widowControl w:val="0"/>
        <w:kinsoku/>
        <w:wordWrap/>
        <w:overflowPunct/>
        <w:topLinePunct w:val="0"/>
        <w:autoSpaceDE/>
        <w:autoSpaceDN/>
        <w:bidi w:val="0"/>
        <w:adjustRightInd w:val="0"/>
        <w:snapToGrid w:val="0"/>
        <w:spacing w:line="560" w:lineRule="exact"/>
        <w:ind w:firstLine="64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lang w:val="en-US" w:eastAsia="zh-CN"/>
        </w:rPr>
        <w:t>（三）违法手段轻微；</w:t>
      </w:r>
    </w:p>
    <w:p w14:paraId="03A36635">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　　（</w:t>
      </w:r>
      <w:r>
        <w:rPr>
          <w:rFonts w:hint="eastAsia" w:ascii="方正仿宋_GBK" w:hAnsi="方正仿宋_GBK" w:eastAsia="方正仿宋_GBK" w:cs="方正仿宋_GBK"/>
          <w:color w:val="auto"/>
          <w:sz w:val="32"/>
          <w:szCs w:val="32"/>
          <w:lang w:val="en-US" w:eastAsia="zh-CN"/>
        </w:rPr>
        <w:t>四</w:t>
      </w:r>
      <w:r>
        <w:rPr>
          <w:rFonts w:hint="eastAsia" w:ascii="方正仿宋_GBK" w:hAnsi="方正仿宋_GBK" w:eastAsia="方正仿宋_GBK" w:cs="方正仿宋_GBK"/>
          <w:color w:val="auto"/>
          <w:sz w:val="32"/>
          <w:szCs w:val="32"/>
        </w:rPr>
        <w:t>）违法行为持续时间较短；</w:t>
      </w:r>
    </w:p>
    <w:p w14:paraId="23DF2493">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　　（</w:t>
      </w:r>
      <w:r>
        <w:rPr>
          <w:rFonts w:hint="eastAsia" w:ascii="方正仿宋_GBK" w:hAnsi="方正仿宋_GBK" w:eastAsia="方正仿宋_GBK" w:cs="方正仿宋_GBK"/>
          <w:color w:val="auto"/>
          <w:sz w:val="32"/>
          <w:szCs w:val="32"/>
          <w:lang w:val="en-US" w:eastAsia="zh-CN"/>
        </w:rPr>
        <w:t>五</w:t>
      </w:r>
      <w:r>
        <w:rPr>
          <w:rFonts w:hint="eastAsia" w:ascii="方正仿宋_GBK" w:hAnsi="方正仿宋_GBK" w:eastAsia="方正仿宋_GBK" w:cs="方正仿宋_GBK"/>
          <w:color w:val="auto"/>
          <w:sz w:val="32"/>
          <w:szCs w:val="32"/>
        </w:rPr>
        <w:t>）及时中止违法行为；</w:t>
      </w:r>
    </w:p>
    <w:p w14:paraId="1E377942">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　　（</w:t>
      </w:r>
      <w:r>
        <w:rPr>
          <w:rFonts w:hint="eastAsia" w:ascii="方正仿宋_GBK" w:hAnsi="方正仿宋_GBK" w:eastAsia="方正仿宋_GBK" w:cs="方正仿宋_GBK"/>
          <w:color w:val="auto"/>
          <w:sz w:val="32"/>
          <w:szCs w:val="32"/>
          <w:lang w:val="en-US" w:eastAsia="zh-CN"/>
        </w:rPr>
        <w:t>六</w:t>
      </w:r>
      <w:r>
        <w:rPr>
          <w:rFonts w:hint="eastAsia" w:ascii="方正仿宋_GBK" w:hAnsi="方正仿宋_GBK" w:eastAsia="方正仿宋_GBK" w:cs="方正仿宋_GBK"/>
          <w:color w:val="auto"/>
          <w:sz w:val="32"/>
          <w:szCs w:val="32"/>
        </w:rPr>
        <w:t>）没有违法所得或者违法所得金额较小；</w:t>
      </w:r>
    </w:p>
    <w:p w14:paraId="058AE6DC">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　　（</w:t>
      </w:r>
      <w:r>
        <w:rPr>
          <w:rFonts w:hint="eastAsia" w:ascii="方正仿宋_GBK" w:hAnsi="方正仿宋_GBK" w:eastAsia="方正仿宋_GBK" w:cs="方正仿宋_GBK"/>
          <w:color w:val="auto"/>
          <w:sz w:val="32"/>
          <w:szCs w:val="32"/>
          <w:lang w:val="en-US" w:eastAsia="zh-CN"/>
        </w:rPr>
        <w:t>七</w:t>
      </w:r>
      <w:r>
        <w:rPr>
          <w:rFonts w:hint="eastAsia" w:ascii="方正仿宋_GBK" w:hAnsi="方正仿宋_GBK" w:eastAsia="方正仿宋_GBK" w:cs="方正仿宋_GBK"/>
          <w:color w:val="auto"/>
          <w:sz w:val="32"/>
          <w:szCs w:val="32"/>
        </w:rPr>
        <w:t>）案涉货值金额较小</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lang w:val="en-US" w:eastAsia="zh-CN"/>
        </w:rPr>
        <w:t>涉案产品、服务数量较少</w:t>
      </w:r>
      <w:r>
        <w:rPr>
          <w:rFonts w:hint="eastAsia" w:ascii="方正仿宋_GBK" w:hAnsi="方正仿宋_GBK" w:eastAsia="方正仿宋_GBK" w:cs="方正仿宋_GBK"/>
          <w:color w:val="auto"/>
          <w:sz w:val="32"/>
          <w:szCs w:val="32"/>
        </w:rPr>
        <w:t>；</w:t>
      </w:r>
    </w:p>
    <w:p w14:paraId="49D2D1A3">
      <w:pPr>
        <w:keepNext w:val="0"/>
        <w:keepLines w:val="0"/>
        <w:pageBreakBefore w:val="0"/>
        <w:widowControl w:val="0"/>
        <w:kinsoku/>
        <w:wordWrap/>
        <w:overflowPunct/>
        <w:topLinePunct w:val="0"/>
        <w:autoSpaceDE/>
        <w:autoSpaceDN/>
        <w:bidi w:val="0"/>
        <w:adjustRightInd w:val="0"/>
        <w:snapToGrid w:val="0"/>
        <w:spacing w:line="560" w:lineRule="exact"/>
        <w:ind w:firstLine="64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w:t>
      </w:r>
      <w:r>
        <w:rPr>
          <w:rFonts w:hint="eastAsia" w:ascii="方正仿宋_GBK" w:hAnsi="方正仿宋_GBK" w:eastAsia="方正仿宋_GBK" w:cs="方正仿宋_GBK"/>
          <w:color w:val="auto"/>
          <w:sz w:val="32"/>
          <w:szCs w:val="32"/>
          <w:lang w:val="en-US" w:eastAsia="zh-CN"/>
        </w:rPr>
        <w:t>八</w:t>
      </w:r>
      <w:r>
        <w:rPr>
          <w:rFonts w:hint="eastAsia" w:ascii="方正仿宋_GBK" w:hAnsi="方正仿宋_GBK" w:eastAsia="方正仿宋_GBK" w:cs="方正仿宋_GBK"/>
          <w:color w:val="auto"/>
          <w:sz w:val="32"/>
          <w:szCs w:val="32"/>
        </w:rPr>
        <w:t>）案涉产品</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rPr>
        <w:t>服务合格或者符合标准；</w:t>
      </w:r>
    </w:p>
    <w:p w14:paraId="0FDA3AE3">
      <w:pPr>
        <w:keepNext w:val="0"/>
        <w:keepLines w:val="0"/>
        <w:pageBreakBefore w:val="0"/>
        <w:widowControl w:val="0"/>
        <w:kinsoku/>
        <w:wordWrap/>
        <w:overflowPunct/>
        <w:topLinePunct w:val="0"/>
        <w:autoSpaceDE/>
        <w:autoSpaceDN/>
        <w:bidi w:val="0"/>
        <w:adjustRightInd w:val="0"/>
        <w:snapToGrid w:val="0"/>
        <w:spacing w:line="560" w:lineRule="exact"/>
        <w:ind w:firstLine="64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w:t>
      </w:r>
      <w:r>
        <w:rPr>
          <w:rFonts w:hint="eastAsia" w:ascii="方正仿宋_GBK" w:hAnsi="方正仿宋_GBK" w:eastAsia="方正仿宋_GBK" w:cs="方正仿宋_GBK"/>
          <w:color w:val="auto"/>
          <w:sz w:val="32"/>
          <w:szCs w:val="32"/>
          <w:lang w:val="en-US" w:eastAsia="zh-CN"/>
        </w:rPr>
        <w:t>九</w:t>
      </w:r>
      <w:r>
        <w:rPr>
          <w:rFonts w:hint="eastAsia" w:ascii="方正仿宋_GBK" w:hAnsi="方正仿宋_GBK" w:eastAsia="方正仿宋_GBK" w:cs="方正仿宋_GBK"/>
          <w:color w:val="auto"/>
          <w:sz w:val="32"/>
          <w:szCs w:val="32"/>
        </w:rPr>
        <w:t>）其他能够反映违法行为轻微的因素。</w:t>
      </w:r>
    </w:p>
    <w:p w14:paraId="7C96615A">
      <w:pPr>
        <w:keepNext w:val="0"/>
        <w:keepLines w:val="0"/>
        <w:pageBreakBefore w:val="0"/>
        <w:widowControl w:val="0"/>
        <w:kinsoku/>
        <w:wordWrap/>
        <w:overflowPunct/>
        <w:topLinePunct w:val="0"/>
        <w:autoSpaceDE/>
        <w:autoSpaceDN/>
        <w:bidi w:val="0"/>
        <w:adjustRightInd w:val="0"/>
        <w:snapToGrid w:val="0"/>
        <w:spacing w:line="560" w:lineRule="exact"/>
        <w:ind w:firstLine="640"/>
        <w:textAlignment w:val="auto"/>
        <w:rPr>
          <w:rFonts w:hint="eastAsia" w:ascii="方正仿宋_GBK" w:hAnsi="方正仿宋_GBK" w:eastAsia="方正仿宋_GBK" w:cs="方正仿宋_GBK"/>
          <w:color w:val="auto"/>
          <w:sz w:val="32"/>
          <w:szCs w:val="32"/>
        </w:rPr>
      </w:pPr>
      <w:r>
        <w:rPr>
          <w:rFonts w:hint="eastAsia" w:ascii="方正黑体_GBK" w:hAnsi="方正黑体_GBK" w:eastAsia="方正黑体_GBK" w:cs="方正黑体_GBK"/>
          <w:color w:val="auto"/>
          <w:sz w:val="32"/>
          <w:szCs w:val="32"/>
        </w:rPr>
        <w:t>第十</w:t>
      </w:r>
      <w:r>
        <w:rPr>
          <w:rFonts w:hint="eastAsia" w:ascii="方正黑体_GBK" w:hAnsi="方正黑体_GBK" w:eastAsia="方正黑体_GBK" w:cs="方正黑体_GBK"/>
          <w:color w:val="auto"/>
          <w:sz w:val="32"/>
          <w:szCs w:val="32"/>
          <w:lang w:val="en-US" w:eastAsia="zh-CN"/>
        </w:rPr>
        <w:t>一</w:t>
      </w:r>
      <w:r>
        <w:rPr>
          <w:rFonts w:hint="eastAsia" w:ascii="方正黑体_GBK" w:hAnsi="方正黑体_GBK" w:eastAsia="方正黑体_GBK" w:cs="方正黑体_GBK"/>
          <w:color w:val="auto"/>
          <w:sz w:val="32"/>
          <w:szCs w:val="32"/>
        </w:rPr>
        <w:t>条</w:t>
      </w:r>
      <w:r>
        <w:rPr>
          <w:rFonts w:hint="eastAsia" w:ascii="方正仿宋_GBK" w:hAnsi="方正仿宋_GBK" w:eastAsia="方正仿宋_GBK" w:cs="方正仿宋_GBK"/>
          <w:color w:val="auto"/>
          <w:sz w:val="32"/>
          <w:szCs w:val="32"/>
        </w:rPr>
        <w:t>　危害后果轻微，可以结合下列因素综合认定：</w:t>
      </w:r>
    </w:p>
    <w:p w14:paraId="790F7DDB">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　　（一）危害程度较轻，如对市场秩序的扰乱程度轻微，对消费者欺骗、误导作用较小</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lang w:val="en-US" w:eastAsia="zh-CN"/>
        </w:rPr>
        <w:t>涉案产品安全风险较小，仅造成较小财产损失未直接</w:t>
      </w:r>
      <w:r>
        <w:rPr>
          <w:rFonts w:hint="eastAsia" w:ascii="方正仿宋_GBK" w:hAnsi="方正仿宋_GBK" w:eastAsia="方正仿宋_GBK" w:cs="方正仿宋_GBK"/>
          <w:color w:val="auto"/>
          <w:sz w:val="32"/>
          <w:szCs w:val="32"/>
          <w:lang w:eastAsia="zh-CN"/>
        </w:rPr>
        <w:t>造成人身伤害</w:t>
      </w:r>
      <w:r>
        <w:rPr>
          <w:rFonts w:hint="eastAsia" w:ascii="方正仿宋_GBK" w:hAnsi="方正仿宋_GBK" w:eastAsia="方正仿宋_GBK" w:cs="方正仿宋_GBK"/>
          <w:color w:val="auto"/>
          <w:sz w:val="32"/>
          <w:szCs w:val="32"/>
        </w:rPr>
        <w:t>等；</w:t>
      </w:r>
    </w:p>
    <w:p w14:paraId="5D7A180A">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　　（二）危害范围较小</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lang w:val="en-US" w:eastAsia="zh-CN"/>
        </w:rPr>
        <w:t>包括区域范围、受众范围等</w:t>
      </w:r>
      <w:r>
        <w:rPr>
          <w:rFonts w:hint="eastAsia" w:ascii="方正仿宋_GBK" w:hAnsi="方正仿宋_GBK" w:eastAsia="方正仿宋_GBK" w:cs="方正仿宋_GBK"/>
          <w:color w:val="auto"/>
          <w:sz w:val="32"/>
          <w:szCs w:val="32"/>
        </w:rPr>
        <w:t>；</w:t>
      </w:r>
    </w:p>
    <w:p w14:paraId="342E3E13">
      <w:pPr>
        <w:keepNext w:val="0"/>
        <w:keepLines w:val="0"/>
        <w:pageBreakBefore w:val="0"/>
        <w:widowControl w:val="0"/>
        <w:kinsoku/>
        <w:wordWrap/>
        <w:overflowPunct/>
        <w:topLinePunct w:val="0"/>
        <w:autoSpaceDE/>
        <w:autoSpaceDN/>
        <w:bidi w:val="0"/>
        <w:adjustRightInd w:val="0"/>
        <w:snapToGrid w:val="0"/>
        <w:spacing w:line="560" w:lineRule="exact"/>
        <w:ind w:firstLine="640"/>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lang w:val="en-US" w:eastAsia="zh-CN"/>
        </w:rPr>
        <w:t>三</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lang w:val="en-US" w:eastAsia="zh-CN"/>
        </w:rPr>
        <w:t>未造成明显社会影响；</w:t>
      </w:r>
    </w:p>
    <w:p w14:paraId="4849BBA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w:t>
      </w:r>
      <w:r>
        <w:rPr>
          <w:rFonts w:hint="eastAsia" w:ascii="方正仿宋_GBK" w:hAnsi="方正仿宋_GBK" w:eastAsia="方正仿宋_GBK" w:cs="方正仿宋_GBK"/>
          <w:color w:val="auto"/>
          <w:sz w:val="32"/>
          <w:szCs w:val="32"/>
          <w:lang w:val="en-US" w:eastAsia="zh-CN"/>
        </w:rPr>
        <w:t>四</w:t>
      </w:r>
      <w:r>
        <w:rPr>
          <w:rFonts w:hint="eastAsia" w:ascii="方正仿宋_GBK" w:hAnsi="方正仿宋_GBK" w:eastAsia="方正仿宋_GBK" w:cs="方正仿宋_GBK"/>
          <w:color w:val="auto"/>
          <w:sz w:val="32"/>
          <w:szCs w:val="32"/>
        </w:rPr>
        <w:t>）危害后果易于消除或者减轻；</w:t>
      </w:r>
    </w:p>
    <w:p w14:paraId="54408771">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　　（</w:t>
      </w:r>
      <w:r>
        <w:rPr>
          <w:rFonts w:hint="eastAsia" w:ascii="方正仿宋_GBK" w:hAnsi="方正仿宋_GBK" w:eastAsia="方正仿宋_GBK" w:cs="方正仿宋_GBK"/>
          <w:color w:val="auto"/>
          <w:sz w:val="32"/>
          <w:szCs w:val="32"/>
          <w:lang w:val="en-US" w:eastAsia="zh-CN"/>
        </w:rPr>
        <w:t>五</w:t>
      </w:r>
      <w:r>
        <w:rPr>
          <w:rFonts w:hint="eastAsia" w:ascii="方正仿宋_GBK" w:hAnsi="方正仿宋_GBK" w:eastAsia="方正仿宋_GBK" w:cs="方正仿宋_GBK"/>
          <w:color w:val="auto"/>
          <w:sz w:val="32"/>
          <w:szCs w:val="32"/>
        </w:rPr>
        <w:t>）主动消除或者减轻违法行为危害后果；</w:t>
      </w:r>
    </w:p>
    <w:p w14:paraId="5AA45E5E">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　　（</w:t>
      </w:r>
      <w:r>
        <w:rPr>
          <w:rFonts w:hint="eastAsia" w:ascii="方正仿宋_GBK" w:hAnsi="方正仿宋_GBK" w:eastAsia="方正仿宋_GBK" w:cs="方正仿宋_GBK"/>
          <w:color w:val="auto"/>
          <w:sz w:val="32"/>
          <w:szCs w:val="32"/>
          <w:lang w:val="en-US" w:eastAsia="zh-CN"/>
        </w:rPr>
        <w:t>六</w:t>
      </w:r>
      <w:r>
        <w:rPr>
          <w:rFonts w:hint="eastAsia" w:ascii="方正仿宋_GBK" w:hAnsi="方正仿宋_GBK" w:eastAsia="方正仿宋_GBK" w:cs="方正仿宋_GBK"/>
          <w:color w:val="auto"/>
          <w:sz w:val="32"/>
          <w:szCs w:val="32"/>
        </w:rPr>
        <w:t>）主动与违法行为损害的对象达成和解；</w:t>
      </w:r>
    </w:p>
    <w:p w14:paraId="770B598F">
      <w:pPr>
        <w:keepNext w:val="0"/>
        <w:keepLines w:val="0"/>
        <w:pageBreakBefore w:val="0"/>
        <w:widowControl w:val="0"/>
        <w:kinsoku/>
        <w:wordWrap/>
        <w:overflowPunct/>
        <w:topLinePunct w:val="0"/>
        <w:autoSpaceDE/>
        <w:autoSpaceDN/>
        <w:bidi w:val="0"/>
        <w:adjustRightInd w:val="0"/>
        <w:snapToGrid w:val="0"/>
        <w:spacing w:line="560" w:lineRule="exact"/>
        <w:ind w:firstLine="640"/>
        <w:textAlignment w:val="auto"/>
        <w:rPr>
          <w:rFonts w:hint="default"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rPr>
        <w:t>（</w:t>
      </w:r>
      <w:r>
        <w:rPr>
          <w:rFonts w:hint="eastAsia" w:ascii="方正仿宋_GBK" w:hAnsi="方正仿宋_GBK" w:eastAsia="方正仿宋_GBK" w:cs="方正仿宋_GBK"/>
          <w:color w:val="auto"/>
          <w:sz w:val="32"/>
          <w:szCs w:val="32"/>
          <w:lang w:val="en-US" w:eastAsia="zh-CN"/>
        </w:rPr>
        <w:t>七</w:t>
      </w:r>
      <w:r>
        <w:rPr>
          <w:rFonts w:hint="eastAsia" w:ascii="方正仿宋_GBK" w:hAnsi="方正仿宋_GBK" w:eastAsia="方正仿宋_GBK" w:cs="方正仿宋_GBK"/>
          <w:color w:val="auto"/>
          <w:sz w:val="32"/>
          <w:szCs w:val="32"/>
        </w:rPr>
        <w:t>）其他能够反映危害后果轻微的因素。</w:t>
      </w:r>
    </w:p>
    <w:p w14:paraId="6FCD3647">
      <w:pPr>
        <w:keepNext w:val="0"/>
        <w:keepLines w:val="0"/>
        <w:pageBreakBefore w:val="0"/>
        <w:widowControl w:val="0"/>
        <w:kinsoku/>
        <w:wordWrap/>
        <w:overflowPunct/>
        <w:topLinePunct w:val="0"/>
        <w:autoSpaceDE/>
        <w:autoSpaceDN/>
        <w:bidi w:val="0"/>
        <w:adjustRightInd w:val="0"/>
        <w:snapToGrid w:val="0"/>
        <w:spacing w:line="560" w:lineRule="exact"/>
        <w:ind w:firstLine="64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违法行为有特定对象，未造成特定对象任何人身伤害</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rPr>
        <w:t>财产损失的，可以认定为没有危害后果</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rPr>
        <w:t>违法行为没有特定对象，</w:t>
      </w:r>
      <w:r>
        <w:rPr>
          <w:rFonts w:hint="eastAsia" w:ascii="方正仿宋_GBK" w:hAnsi="方正仿宋_GBK" w:eastAsia="方正仿宋_GBK" w:cs="方正仿宋_GBK"/>
          <w:color w:val="auto"/>
          <w:sz w:val="32"/>
          <w:szCs w:val="32"/>
          <w:lang w:val="en-US" w:eastAsia="zh-CN"/>
        </w:rPr>
        <w:t>持续时间较短，</w:t>
      </w:r>
      <w:r>
        <w:rPr>
          <w:rFonts w:hint="eastAsia" w:ascii="方正仿宋_GBK" w:hAnsi="方正仿宋_GBK" w:eastAsia="方正仿宋_GBK" w:cs="方正仿宋_GBK"/>
          <w:color w:val="auto"/>
          <w:sz w:val="32"/>
          <w:szCs w:val="32"/>
        </w:rPr>
        <w:t>未造成</w:t>
      </w:r>
      <w:r>
        <w:rPr>
          <w:rFonts w:hint="eastAsia" w:ascii="方正仿宋_GBK" w:hAnsi="方正仿宋_GBK" w:eastAsia="方正仿宋_GBK" w:cs="方正仿宋_GBK"/>
          <w:color w:val="auto"/>
          <w:sz w:val="32"/>
          <w:szCs w:val="32"/>
          <w:lang w:val="en-US" w:eastAsia="zh-CN"/>
        </w:rPr>
        <w:t>不良</w:t>
      </w:r>
      <w:r>
        <w:rPr>
          <w:rFonts w:hint="eastAsia" w:ascii="方正仿宋_GBK" w:hAnsi="方正仿宋_GBK" w:eastAsia="方正仿宋_GBK" w:cs="方正仿宋_GBK"/>
          <w:color w:val="auto"/>
          <w:sz w:val="32"/>
          <w:szCs w:val="32"/>
        </w:rPr>
        <w:t>社会影响的，可以认定为没有危害后果。</w:t>
      </w:r>
    </w:p>
    <w:p w14:paraId="02C8E20A">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　　</w:t>
      </w:r>
      <w:r>
        <w:rPr>
          <w:rFonts w:hint="eastAsia" w:ascii="方正黑体_GBK" w:hAnsi="方正黑体_GBK" w:eastAsia="方正黑体_GBK" w:cs="方正黑体_GBK"/>
          <w:color w:val="auto"/>
          <w:sz w:val="32"/>
          <w:szCs w:val="32"/>
        </w:rPr>
        <w:t>第十</w:t>
      </w:r>
      <w:r>
        <w:rPr>
          <w:rFonts w:hint="eastAsia" w:ascii="方正黑体_GBK" w:hAnsi="方正黑体_GBK" w:eastAsia="方正黑体_GBK" w:cs="方正黑体_GBK"/>
          <w:color w:val="auto"/>
          <w:sz w:val="32"/>
          <w:szCs w:val="32"/>
          <w:lang w:val="en-US" w:eastAsia="zh-CN"/>
        </w:rPr>
        <w:t>二</w:t>
      </w:r>
      <w:r>
        <w:rPr>
          <w:rFonts w:hint="eastAsia" w:ascii="方正黑体_GBK" w:hAnsi="方正黑体_GBK" w:eastAsia="方正黑体_GBK" w:cs="方正黑体_GBK"/>
          <w:color w:val="auto"/>
          <w:sz w:val="32"/>
          <w:szCs w:val="32"/>
        </w:rPr>
        <w:t>条</w:t>
      </w:r>
      <w:r>
        <w:rPr>
          <w:rFonts w:hint="eastAsia" w:ascii="方正仿宋_GBK" w:hAnsi="方正仿宋_GBK" w:eastAsia="方正仿宋_GBK" w:cs="方正仿宋_GBK"/>
          <w:color w:val="auto"/>
          <w:sz w:val="32"/>
          <w:szCs w:val="32"/>
        </w:rPr>
        <w:t>　当事人有下列情形之一的，属于及时改正：</w:t>
      </w:r>
    </w:p>
    <w:p w14:paraId="3DBA856E">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　　（一）在市场监管部门发现违法行为线索之前主动改正；</w:t>
      </w:r>
    </w:p>
    <w:p w14:paraId="514C0E66">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　　（二）在市场监管部门发现违法行为线索之后，责令改正之前主动改正；</w:t>
      </w:r>
    </w:p>
    <w:p w14:paraId="15E2C931">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　　（三）在市场监管部门责令改正后按要求改正。</w:t>
      </w:r>
    </w:p>
    <w:p w14:paraId="48950A7B">
      <w:pPr>
        <w:keepNext w:val="0"/>
        <w:keepLines w:val="0"/>
        <w:pageBreakBefore w:val="0"/>
        <w:widowControl w:val="0"/>
        <w:kinsoku/>
        <w:wordWrap/>
        <w:overflowPunct/>
        <w:topLinePunct w:val="0"/>
        <w:autoSpaceDE/>
        <w:autoSpaceDN/>
        <w:bidi w:val="0"/>
        <w:adjustRightInd w:val="0"/>
        <w:snapToGrid w:val="0"/>
        <w:spacing w:line="560" w:lineRule="exact"/>
        <w:ind w:firstLine="64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前款所列三种情形的及时性、主动性依次减弱，市场监管部门在作出从轻、减轻处罚或者不予行政处罚的决定时，应当综合考虑改正情节。</w:t>
      </w:r>
    </w:p>
    <w:p w14:paraId="52B460E2">
      <w:pPr>
        <w:keepNext w:val="0"/>
        <w:keepLines w:val="0"/>
        <w:pageBreakBefore w:val="0"/>
        <w:widowControl w:val="0"/>
        <w:kinsoku/>
        <w:wordWrap/>
        <w:overflowPunct/>
        <w:topLinePunct w:val="0"/>
        <w:autoSpaceDE/>
        <w:autoSpaceDN/>
        <w:bidi w:val="0"/>
        <w:adjustRightInd w:val="0"/>
        <w:snapToGrid w:val="0"/>
        <w:spacing w:line="560" w:lineRule="exact"/>
        <w:ind w:firstLine="640"/>
        <w:textAlignment w:val="auto"/>
        <w:rPr>
          <w:rFonts w:hint="eastAsia" w:ascii="方正仿宋_GBK" w:hAnsi="方正仿宋_GBK" w:eastAsia="方正仿宋_GBK" w:cs="方正仿宋_GBK"/>
          <w:color w:val="auto"/>
          <w:sz w:val="32"/>
          <w:szCs w:val="32"/>
          <w:lang w:eastAsia="zh-CN"/>
        </w:rPr>
      </w:pPr>
      <w:r>
        <w:rPr>
          <w:rFonts w:hint="eastAsia" w:ascii="方正仿宋_GBK" w:hAnsi="方正仿宋_GBK" w:eastAsia="方正仿宋_GBK" w:cs="方正仿宋_GBK"/>
          <w:color w:val="auto"/>
          <w:sz w:val="32"/>
          <w:szCs w:val="32"/>
        </w:rPr>
        <w:t>改正的方式包括停止并纠正违法行为、召回或者下架案涉产品、退还违法所得等。</w:t>
      </w:r>
    </w:p>
    <w:p w14:paraId="70091BF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方正仿宋_GBK" w:hAnsi="方正仿宋_GBK" w:eastAsia="方正仿宋_GBK" w:cs="方正仿宋_GBK"/>
          <w:color w:val="auto"/>
          <w:sz w:val="32"/>
          <w:szCs w:val="32"/>
        </w:rPr>
      </w:pPr>
      <w:r>
        <w:rPr>
          <w:rFonts w:hint="eastAsia" w:ascii="方正黑体_GBK" w:hAnsi="方正黑体_GBK" w:eastAsia="方正黑体_GBK" w:cs="方正黑体_GBK"/>
          <w:color w:val="auto"/>
          <w:sz w:val="32"/>
          <w:szCs w:val="32"/>
        </w:rPr>
        <w:t>第</w:t>
      </w:r>
      <w:r>
        <w:rPr>
          <w:rFonts w:hint="eastAsia" w:ascii="方正黑体_GBK" w:hAnsi="方正黑体_GBK" w:eastAsia="方正黑体_GBK" w:cs="方正黑体_GBK"/>
          <w:color w:val="auto"/>
          <w:sz w:val="32"/>
          <w:szCs w:val="32"/>
          <w:lang w:val="en-US" w:eastAsia="zh-CN"/>
        </w:rPr>
        <w:t>十三</w:t>
      </w:r>
      <w:r>
        <w:rPr>
          <w:rFonts w:hint="eastAsia" w:ascii="方正黑体_GBK" w:hAnsi="方正黑体_GBK" w:eastAsia="方正黑体_GBK" w:cs="方正黑体_GBK"/>
          <w:color w:val="auto"/>
          <w:sz w:val="32"/>
          <w:szCs w:val="32"/>
        </w:rPr>
        <w:t>条</w:t>
      </w:r>
      <w:r>
        <w:rPr>
          <w:rFonts w:hint="eastAsia" w:ascii="方正仿宋_GBK" w:hAnsi="方正仿宋_GBK" w:eastAsia="方正仿宋_GBK" w:cs="方正仿宋_GBK"/>
          <w:color w:val="auto"/>
          <w:sz w:val="32"/>
          <w:szCs w:val="32"/>
        </w:rPr>
        <w:t>　初次违法是指当事人</w:t>
      </w:r>
      <w:r>
        <w:rPr>
          <w:rFonts w:hint="eastAsia" w:ascii="方正仿宋_GBK" w:hAnsi="方正仿宋_GBK" w:eastAsia="方正仿宋_GBK" w:cs="方正仿宋_GBK"/>
          <w:color w:val="auto"/>
          <w:sz w:val="32"/>
          <w:szCs w:val="32"/>
          <w:lang w:val="en-US" w:eastAsia="zh-CN"/>
        </w:rPr>
        <w:t>五年内</w:t>
      </w:r>
      <w:r>
        <w:rPr>
          <w:rFonts w:hint="eastAsia" w:ascii="方正仿宋_GBK" w:hAnsi="方正仿宋_GBK" w:eastAsia="方正仿宋_GBK" w:cs="方正仿宋_GBK"/>
          <w:color w:val="auto"/>
          <w:sz w:val="32"/>
          <w:szCs w:val="32"/>
        </w:rPr>
        <w:t>第一次实施该性质违法行为。</w:t>
      </w:r>
    </w:p>
    <w:p w14:paraId="642FB5A5">
      <w:pPr>
        <w:keepNext w:val="0"/>
        <w:keepLines w:val="0"/>
        <w:pageBreakBefore w:val="0"/>
        <w:widowControl w:val="0"/>
        <w:kinsoku/>
        <w:wordWrap/>
        <w:overflowPunct/>
        <w:topLinePunct w:val="0"/>
        <w:autoSpaceDE/>
        <w:autoSpaceDN/>
        <w:bidi w:val="0"/>
        <w:adjustRightInd w:val="0"/>
        <w:snapToGrid w:val="0"/>
        <w:spacing w:line="560" w:lineRule="exact"/>
        <w:ind w:firstLine="64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经询问当事人，并查询国家企业信用信息公示系统以及执法办案系统，未发现当事人</w:t>
      </w:r>
      <w:r>
        <w:rPr>
          <w:rFonts w:hint="eastAsia" w:ascii="方正仿宋_GBK" w:hAnsi="方正仿宋_GBK" w:eastAsia="方正仿宋_GBK" w:cs="方正仿宋_GBK"/>
          <w:color w:val="auto"/>
          <w:sz w:val="32"/>
          <w:szCs w:val="32"/>
          <w:lang w:val="en-US" w:eastAsia="zh-CN"/>
        </w:rPr>
        <w:t>五年内</w:t>
      </w:r>
      <w:r>
        <w:rPr>
          <w:rFonts w:hint="eastAsia" w:ascii="方正仿宋_GBK" w:hAnsi="方正仿宋_GBK" w:eastAsia="方正仿宋_GBK" w:cs="方正仿宋_GBK"/>
          <w:color w:val="auto"/>
          <w:sz w:val="32"/>
          <w:szCs w:val="32"/>
        </w:rPr>
        <w:t>有同一性质违法行为的，可以认定为初次违法。</w:t>
      </w:r>
    </w:p>
    <w:p w14:paraId="179CDF19">
      <w:pPr>
        <w:keepNext w:val="0"/>
        <w:keepLines w:val="0"/>
        <w:pageBreakBefore w:val="0"/>
        <w:widowControl w:val="0"/>
        <w:kinsoku/>
        <w:wordWrap/>
        <w:overflowPunct/>
        <w:topLinePunct w:val="0"/>
        <w:autoSpaceDE/>
        <w:autoSpaceDN/>
        <w:bidi w:val="0"/>
        <w:adjustRightInd w:val="0"/>
        <w:snapToGrid w:val="0"/>
        <w:spacing w:line="560" w:lineRule="exact"/>
        <w:ind w:firstLine="64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前款规定的五年内，是指当事人前一次违法行为处理决定生效之日与本次违法行为发生之日的时间间隔不超过五年；同一性质违法行为，是指市场监管部门适用相同的法律条款作出定性和处理的违法行为。</w:t>
      </w:r>
    </w:p>
    <w:p w14:paraId="02D2FD09">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　　</w:t>
      </w:r>
      <w:r>
        <w:rPr>
          <w:rFonts w:hint="eastAsia" w:ascii="方正黑体_GBK" w:hAnsi="方正黑体_GBK" w:eastAsia="方正黑体_GBK" w:cs="方正黑体_GBK"/>
          <w:color w:val="auto"/>
          <w:sz w:val="32"/>
          <w:szCs w:val="32"/>
        </w:rPr>
        <w:t>第</w:t>
      </w:r>
      <w:r>
        <w:rPr>
          <w:rFonts w:hint="eastAsia" w:ascii="方正黑体_GBK" w:hAnsi="方正黑体_GBK" w:eastAsia="方正黑体_GBK" w:cs="方正黑体_GBK"/>
          <w:color w:val="auto"/>
          <w:sz w:val="32"/>
          <w:szCs w:val="32"/>
          <w:lang w:val="en-US" w:eastAsia="zh-CN"/>
        </w:rPr>
        <w:t>十四</w:t>
      </w:r>
      <w:r>
        <w:rPr>
          <w:rFonts w:hint="eastAsia" w:ascii="方正黑体_GBK" w:hAnsi="方正黑体_GBK" w:eastAsia="方正黑体_GBK" w:cs="方正黑体_GBK"/>
          <w:color w:val="auto"/>
          <w:sz w:val="32"/>
          <w:szCs w:val="32"/>
        </w:rPr>
        <w:t>条</w:t>
      </w:r>
      <w:r>
        <w:rPr>
          <w:rFonts w:hint="eastAsia" w:ascii="方正仿宋_GBK" w:hAnsi="方正仿宋_GBK" w:eastAsia="方正仿宋_GBK" w:cs="方正仿宋_GBK"/>
          <w:color w:val="auto"/>
          <w:sz w:val="32"/>
          <w:szCs w:val="32"/>
        </w:rPr>
        <w:t>　当事人的主观过错包括故意和过失，故意的过错程度大于过失。</w:t>
      </w:r>
    </w:p>
    <w:p w14:paraId="599AF9DA">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　　没有主观过错的举证责任由当事人承担。</w:t>
      </w:r>
    </w:p>
    <w:p w14:paraId="16DEEC40">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　　当事人是否存在主观过错，可以结合下列因素综合认定：</w:t>
      </w:r>
    </w:p>
    <w:p w14:paraId="3AAD2B36">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　　（一）当事人对违法行为是否明知或者应知；</w:t>
      </w:r>
    </w:p>
    <w:p w14:paraId="717B3719">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　　（二）当事人是否有能力控制违法行为及其后果；</w:t>
      </w:r>
    </w:p>
    <w:p w14:paraId="0BB8401E">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　　（三）当事人是否履行了法定的生产经营责任；</w:t>
      </w:r>
    </w:p>
    <w:p w14:paraId="4AB4F41F">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　　（四）当事人是否通过合法途径取得商品；</w:t>
      </w:r>
    </w:p>
    <w:p w14:paraId="638E8FD9">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　　（五）当事人是否取得生产经营活动的合法授权；</w:t>
      </w:r>
    </w:p>
    <w:p w14:paraId="5ADDED5F">
      <w:pPr>
        <w:keepNext w:val="0"/>
        <w:keepLines w:val="0"/>
        <w:pageBreakBefore w:val="0"/>
        <w:widowControl w:val="0"/>
        <w:kinsoku/>
        <w:wordWrap/>
        <w:overflowPunct/>
        <w:topLinePunct w:val="0"/>
        <w:autoSpaceDE/>
        <w:autoSpaceDN/>
        <w:bidi w:val="0"/>
        <w:adjustRightInd w:val="0"/>
        <w:snapToGrid w:val="0"/>
        <w:spacing w:line="560" w:lineRule="exact"/>
        <w:ind w:firstLine="64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（六）其他能够反映当事人主观状态的因素。</w:t>
      </w:r>
    </w:p>
    <w:p w14:paraId="262D3E77">
      <w:pPr>
        <w:keepNext w:val="0"/>
        <w:keepLines w:val="0"/>
        <w:pageBreakBefore w:val="0"/>
        <w:widowControl w:val="0"/>
        <w:kinsoku/>
        <w:wordWrap/>
        <w:overflowPunct/>
        <w:topLinePunct w:val="0"/>
        <w:autoSpaceDE/>
        <w:autoSpaceDN/>
        <w:bidi w:val="0"/>
        <w:adjustRightInd w:val="0"/>
        <w:snapToGrid w:val="0"/>
        <w:spacing w:line="560" w:lineRule="exact"/>
        <w:ind w:firstLine="64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法律、行政法规另有规定的，从其规定。</w:t>
      </w:r>
    </w:p>
    <w:p w14:paraId="7BD5329C">
      <w:pPr>
        <w:keepNext w:val="0"/>
        <w:keepLines w:val="0"/>
        <w:pageBreakBefore w:val="0"/>
        <w:widowControl w:val="0"/>
        <w:kinsoku/>
        <w:wordWrap/>
        <w:overflowPunct/>
        <w:topLinePunct w:val="0"/>
        <w:autoSpaceDE/>
        <w:autoSpaceDN/>
        <w:bidi w:val="0"/>
        <w:adjustRightInd w:val="0"/>
        <w:snapToGrid w:val="0"/>
        <w:spacing w:line="560" w:lineRule="exact"/>
        <w:ind w:firstLine="640"/>
        <w:textAlignment w:val="auto"/>
        <w:rPr>
          <w:rFonts w:hint="eastAsia" w:ascii="方正仿宋_GBK" w:hAnsi="方正仿宋_GBK" w:eastAsia="方正仿宋_GBK" w:cs="方正仿宋_GBK"/>
          <w:color w:val="auto"/>
          <w:sz w:val="32"/>
          <w:szCs w:val="32"/>
        </w:rPr>
      </w:pPr>
      <w:r>
        <w:rPr>
          <w:rFonts w:hint="eastAsia" w:ascii="方正黑体_GBK" w:hAnsi="方正黑体_GBK" w:eastAsia="方正黑体_GBK" w:cs="方正黑体_GBK"/>
          <w:color w:val="auto"/>
          <w:sz w:val="32"/>
          <w:szCs w:val="32"/>
        </w:rPr>
        <w:t>第</w:t>
      </w:r>
      <w:r>
        <w:rPr>
          <w:rFonts w:hint="eastAsia" w:ascii="方正黑体_GBK" w:hAnsi="方正黑体_GBK" w:eastAsia="方正黑体_GBK" w:cs="方正黑体_GBK"/>
          <w:color w:val="auto"/>
          <w:sz w:val="32"/>
          <w:szCs w:val="32"/>
          <w:lang w:val="en-US" w:eastAsia="zh-CN"/>
        </w:rPr>
        <w:t>十五</w:t>
      </w:r>
      <w:r>
        <w:rPr>
          <w:rFonts w:hint="eastAsia" w:ascii="方正黑体_GBK" w:hAnsi="方正黑体_GBK" w:eastAsia="方正黑体_GBK" w:cs="方正黑体_GBK"/>
          <w:color w:val="auto"/>
          <w:sz w:val="32"/>
          <w:szCs w:val="32"/>
        </w:rPr>
        <w:t>条</w:t>
      </w:r>
      <w:r>
        <w:rPr>
          <w:rFonts w:hint="eastAsia" w:ascii="方正仿宋_GBK" w:hAnsi="方正仿宋_GBK" w:eastAsia="方正仿宋_GBK" w:cs="方正仿宋_GBK"/>
          <w:color w:val="auto"/>
          <w:sz w:val="32"/>
          <w:szCs w:val="32"/>
        </w:rPr>
        <w:t>　当事人违法行为未列入</w:t>
      </w:r>
      <w:r>
        <w:rPr>
          <w:rFonts w:hint="eastAsia" w:ascii="方正仿宋_GBK" w:hAnsi="方正仿宋_GBK" w:eastAsia="方正仿宋_GBK" w:cs="方正仿宋_GBK"/>
          <w:color w:val="auto"/>
          <w:kern w:val="0"/>
          <w:sz w:val="32"/>
          <w:szCs w:val="32"/>
        </w:rPr>
        <w:t>不予处罚</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rPr>
        <w:t>减轻处罚清单</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rPr>
        <w:t>或者不符合其中所列条件的，市场监管部门应当按照《行政处罚法》等法律法规规章，</w:t>
      </w:r>
      <w:r>
        <w:rPr>
          <w:rFonts w:hint="default" w:ascii="方正仿宋_GBK" w:hAnsi="方正仿宋_GBK" w:eastAsia="方正仿宋_GBK" w:cs="方正仿宋_GBK"/>
          <w:color w:val="auto"/>
          <w:sz w:val="32"/>
          <w:szCs w:val="32"/>
          <w:lang w:val="en-US"/>
        </w:rPr>
        <w:t>结合</w:t>
      </w:r>
      <w:r>
        <w:rPr>
          <w:rFonts w:hint="eastAsia" w:ascii="方正仿宋_GBK" w:hAnsi="方正仿宋_GBK" w:eastAsia="方正仿宋_GBK" w:cs="方正仿宋_GBK"/>
          <w:color w:val="auto"/>
          <w:sz w:val="32"/>
          <w:szCs w:val="32"/>
        </w:rPr>
        <w:t>本规定，综合裁量作出是否不予处罚或者从轻、减轻处罚的决定。</w:t>
      </w:r>
    </w:p>
    <w:p w14:paraId="05A34A38">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　　</w:t>
      </w:r>
      <w:r>
        <w:rPr>
          <w:rFonts w:hint="eastAsia" w:ascii="方正黑体_GBK" w:hAnsi="方正黑体_GBK" w:eastAsia="方正黑体_GBK" w:cs="方正黑体_GBK"/>
          <w:color w:val="auto"/>
          <w:sz w:val="32"/>
          <w:szCs w:val="32"/>
        </w:rPr>
        <w:t>第</w:t>
      </w:r>
      <w:r>
        <w:rPr>
          <w:rFonts w:hint="eastAsia" w:ascii="方正黑体_GBK" w:hAnsi="方正黑体_GBK" w:eastAsia="方正黑体_GBK" w:cs="方正黑体_GBK"/>
          <w:color w:val="auto"/>
          <w:sz w:val="32"/>
          <w:szCs w:val="32"/>
          <w:lang w:val="en-US" w:eastAsia="zh-CN"/>
        </w:rPr>
        <w:t>十六</w:t>
      </w:r>
      <w:r>
        <w:rPr>
          <w:rFonts w:hint="eastAsia" w:ascii="方正黑体_GBK" w:hAnsi="方正黑体_GBK" w:eastAsia="方正黑体_GBK" w:cs="方正黑体_GBK"/>
          <w:color w:val="auto"/>
          <w:sz w:val="32"/>
          <w:szCs w:val="32"/>
        </w:rPr>
        <w:t>条</w:t>
      </w:r>
      <w:r>
        <w:rPr>
          <w:rFonts w:hint="eastAsia" w:ascii="方正仿宋_GBK" w:hAnsi="方正仿宋_GBK" w:eastAsia="方正仿宋_GBK" w:cs="方正仿宋_GBK"/>
          <w:color w:val="auto"/>
          <w:sz w:val="32"/>
          <w:szCs w:val="32"/>
        </w:rPr>
        <w:t>　对有证据证明严重危害公民身体健康和生命安全、造成重大财产损失等严重危害后果的违法行为，不得不予行政处罚或者从轻、减轻行政处罚。</w:t>
      </w:r>
    </w:p>
    <w:p w14:paraId="673DCFDC">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　　当事人既有从轻或者减轻行政处罚情节，又有从重行政处罚情节的，市场监管部门应当结合案件情况综合考虑后作出裁量决定。</w:t>
      </w:r>
    </w:p>
    <w:p w14:paraId="77FC4FC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方正仿宋_GBK" w:hAnsi="方正仿宋_GBK" w:eastAsia="方正仿宋_GBK" w:cs="方正仿宋_GBK"/>
          <w:color w:val="auto"/>
          <w:sz w:val="32"/>
          <w:szCs w:val="32"/>
        </w:rPr>
      </w:pPr>
      <w:r>
        <w:rPr>
          <w:rFonts w:hint="eastAsia" w:ascii="方正黑体_GBK" w:hAnsi="方正黑体_GBK" w:eastAsia="方正黑体_GBK" w:cs="方正黑体_GBK"/>
          <w:color w:val="auto"/>
          <w:sz w:val="32"/>
          <w:szCs w:val="32"/>
        </w:rPr>
        <w:t>第</w:t>
      </w:r>
      <w:r>
        <w:rPr>
          <w:rFonts w:hint="eastAsia" w:ascii="方正黑体_GBK" w:hAnsi="方正黑体_GBK" w:eastAsia="方正黑体_GBK" w:cs="方正黑体_GBK"/>
          <w:color w:val="auto"/>
          <w:sz w:val="32"/>
          <w:szCs w:val="32"/>
          <w:lang w:val="en-US" w:eastAsia="zh-CN"/>
        </w:rPr>
        <w:t>十七</w:t>
      </w:r>
      <w:r>
        <w:rPr>
          <w:rFonts w:hint="eastAsia" w:ascii="方正黑体_GBK" w:hAnsi="方正黑体_GBK" w:eastAsia="方正黑体_GBK" w:cs="方正黑体_GBK"/>
          <w:color w:val="auto"/>
          <w:sz w:val="32"/>
          <w:szCs w:val="32"/>
        </w:rPr>
        <w:t>条</w:t>
      </w:r>
      <w:r>
        <w:rPr>
          <w:rFonts w:hint="eastAsia" w:ascii="方正仿宋_GBK" w:hAnsi="方正仿宋_GBK" w:eastAsia="方正仿宋_GBK" w:cs="方正仿宋_GBK"/>
          <w:color w:val="auto"/>
          <w:sz w:val="32"/>
          <w:szCs w:val="32"/>
        </w:rPr>
        <w:t>　在立案前的核查阶段已查清事实，符合《市场监督管理行政处罚程序规定》第二十条所列情形的，可以不予立案。不予立案的，应当填写不予立案审批表，阐明核查情况及不予立案理由，报市场监管部门负责人批准，核查材料、不予立案审批表等留档备查。</w:t>
      </w:r>
    </w:p>
    <w:p w14:paraId="754DBBE7">
      <w:pPr>
        <w:keepNext w:val="0"/>
        <w:keepLines w:val="0"/>
        <w:pageBreakBefore w:val="0"/>
        <w:widowControl w:val="0"/>
        <w:kinsoku/>
        <w:wordWrap/>
        <w:overflowPunct/>
        <w:topLinePunct w:val="0"/>
        <w:autoSpaceDE/>
        <w:autoSpaceDN/>
        <w:bidi w:val="0"/>
        <w:adjustRightInd w:val="0"/>
        <w:snapToGrid w:val="0"/>
        <w:spacing w:line="560" w:lineRule="exact"/>
        <w:ind w:firstLine="640"/>
        <w:textAlignment w:val="auto"/>
        <w:rPr>
          <w:rFonts w:hint="eastAsia" w:ascii="方正仿宋_GBK" w:hAnsi="方正仿宋_GBK" w:eastAsia="方正仿宋_GBK" w:cs="方正仿宋_GBK"/>
          <w:color w:val="auto"/>
          <w:sz w:val="32"/>
          <w:szCs w:val="32"/>
        </w:rPr>
      </w:pPr>
      <w:r>
        <w:rPr>
          <w:rFonts w:hint="eastAsia" w:ascii="方正黑体_GBK" w:hAnsi="方正黑体_GBK" w:eastAsia="方正黑体_GBK" w:cs="方正黑体_GBK"/>
          <w:color w:val="auto"/>
          <w:sz w:val="32"/>
          <w:szCs w:val="32"/>
          <w:lang w:val="en-US" w:eastAsia="zh-CN"/>
        </w:rPr>
        <w:t>第十八条</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在立案后查清事实，拟作出不予处罚或者从轻、减轻处罚决定的，应当依照相关程序要求办理，制发《不予行政处罚决定书》或者《行政处罚决定书》，阐明</w:t>
      </w:r>
      <w:r>
        <w:rPr>
          <w:rFonts w:hint="eastAsia" w:ascii="方正仿宋_GBK" w:hAnsi="方正仿宋_GBK" w:eastAsia="方正仿宋_GBK" w:cs="方正仿宋_GBK"/>
          <w:color w:val="auto"/>
          <w:sz w:val="32"/>
          <w:szCs w:val="32"/>
          <w:lang w:val="en-US" w:eastAsia="zh-CN"/>
        </w:rPr>
        <w:t>裁量的</w:t>
      </w:r>
      <w:r>
        <w:rPr>
          <w:rFonts w:hint="eastAsia" w:ascii="方正仿宋_GBK" w:hAnsi="方正仿宋_GBK" w:eastAsia="方正仿宋_GBK" w:cs="方正仿宋_GBK"/>
          <w:color w:val="auto"/>
          <w:sz w:val="32"/>
          <w:szCs w:val="32"/>
        </w:rPr>
        <w:t>事实和理由，</w:t>
      </w:r>
      <w:r>
        <w:rPr>
          <w:rFonts w:hint="eastAsia" w:ascii="方正仿宋_GBK" w:hAnsi="方正仿宋_GBK" w:eastAsia="方正仿宋_GBK" w:cs="方正仿宋_GBK"/>
          <w:color w:val="auto"/>
          <w:sz w:val="32"/>
          <w:szCs w:val="32"/>
          <w:lang w:val="en-US" w:eastAsia="zh-CN"/>
        </w:rPr>
        <w:t>并说明裁量依据适用情况。</w:t>
      </w:r>
      <w:r>
        <w:rPr>
          <w:rFonts w:hint="eastAsia" w:ascii="方正仿宋_GBK" w:hAnsi="方正仿宋_GBK" w:eastAsia="方正仿宋_GBK" w:cs="方正仿宋_GBK"/>
          <w:color w:val="auto"/>
          <w:sz w:val="32"/>
          <w:szCs w:val="32"/>
        </w:rPr>
        <w:t>结案后按照《市场监督管理行政处罚程序规定》第七十八条的规定予以立卷归档备查。</w:t>
      </w:r>
    </w:p>
    <w:p w14:paraId="51CCA386">
      <w:pPr>
        <w:keepNext w:val="0"/>
        <w:keepLines w:val="0"/>
        <w:pageBreakBefore w:val="0"/>
        <w:widowControl w:val="0"/>
        <w:kinsoku/>
        <w:wordWrap/>
        <w:overflowPunct/>
        <w:topLinePunct w:val="0"/>
        <w:autoSpaceDE/>
        <w:autoSpaceDN/>
        <w:bidi w:val="0"/>
        <w:adjustRightInd w:val="0"/>
        <w:snapToGrid w:val="0"/>
        <w:spacing w:line="560" w:lineRule="exact"/>
        <w:ind w:firstLine="640"/>
        <w:textAlignment w:val="auto"/>
        <w:rPr>
          <w:rFonts w:hint="eastAsia" w:ascii="方正仿宋_GBK" w:hAnsi="方正仿宋_GBK" w:eastAsia="方正仿宋_GBK" w:cs="方正仿宋_GBK"/>
          <w:color w:val="auto"/>
          <w:sz w:val="32"/>
          <w:szCs w:val="32"/>
        </w:rPr>
      </w:pPr>
      <w:r>
        <w:rPr>
          <w:rFonts w:hint="eastAsia" w:ascii="方正黑体_GBK" w:hAnsi="方正黑体_GBK" w:eastAsia="方正黑体_GBK" w:cs="方正黑体_GBK"/>
          <w:color w:val="auto"/>
          <w:sz w:val="32"/>
          <w:szCs w:val="32"/>
          <w:lang w:val="en-US" w:eastAsia="zh-CN"/>
        </w:rPr>
        <w:t>第十九条</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责令改正的期限按照法律、法规、规章或者技术规范的规定执行。法律、法规、规章或者技术规范没有规定的，应当按照违法行为的实际情形确定合理期限，一般不超过30日。</w:t>
      </w:r>
    </w:p>
    <w:p w14:paraId="6FE3F0E7">
      <w:pPr>
        <w:keepNext w:val="0"/>
        <w:keepLines w:val="0"/>
        <w:pageBreakBefore w:val="0"/>
        <w:widowControl w:val="0"/>
        <w:kinsoku/>
        <w:wordWrap/>
        <w:overflowPunct/>
        <w:topLinePunct w:val="0"/>
        <w:autoSpaceDE/>
        <w:autoSpaceDN/>
        <w:bidi w:val="0"/>
        <w:adjustRightInd w:val="0"/>
        <w:snapToGrid w:val="0"/>
        <w:spacing w:line="560" w:lineRule="exact"/>
        <w:ind w:firstLine="640"/>
        <w:textAlignment w:val="auto"/>
        <w:rPr>
          <w:rFonts w:hint="eastAsia" w:ascii="方正仿宋_GBK" w:hAnsi="方正仿宋_GBK" w:eastAsia="方正仿宋_GBK" w:cs="方正仿宋_GBK"/>
          <w:color w:val="auto"/>
          <w:sz w:val="32"/>
          <w:szCs w:val="32"/>
        </w:rPr>
      </w:pPr>
      <w:r>
        <w:rPr>
          <w:rFonts w:hint="eastAsia" w:ascii="方正黑体_GBK" w:hAnsi="方正黑体_GBK" w:eastAsia="方正黑体_GBK" w:cs="方正黑体_GBK"/>
          <w:color w:val="auto"/>
          <w:sz w:val="32"/>
          <w:szCs w:val="32"/>
        </w:rPr>
        <w:t>第</w:t>
      </w:r>
      <w:r>
        <w:rPr>
          <w:rFonts w:hint="eastAsia" w:ascii="方正黑体_GBK" w:hAnsi="方正黑体_GBK" w:eastAsia="方正黑体_GBK" w:cs="方正黑体_GBK"/>
          <w:color w:val="auto"/>
          <w:sz w:val="32"/>
          <w:szCs w:val="32"/>
          <w:lang w:val="en-US" w:eastAsia="zh-CN"/>
        </w:rPr>
        <w:t>二十</w:t>
      </w:r>
      <w:r>
        <w:rPr>
          <w:rFonts w:hint="eastAsia" w:ascii="方正黑体_GBK" w:hAnsi="方正黑体_GBK" w:eastAsia="方正黑体_GBK" w:cs="方正黑体_GBK"/>
          <w:color w:val="auto"/>
          <w:sz w:val="32"/>
          <w:szCs w:val="32"/>
        </w:rPr>
        <w:t>条</w:t>
      </w:r>
      <w:r>
        <w:rPr>
          <w:rFonts w:hint="eastAsia" w:ascii="方正仿宋_GBK" w:hAnsi="方正仿宋_GBK" w:eastAsia="方正仿宋_GBK" w:cs="方正仿宋_GBK"/>
          <w:color w:val="auto"/>
          <w:sz w:val="32"/>
          <w:szCs w:val="32"/>
        </w:rPr>
        <w:t>　本规定施行后，法律、法规、规章或者上级文件对不予处罚或者从轻、减轻处罚另有规定的，从其规定。</w:t>
      </w:r>
    </w:p>
    <w:p w14:paraId="50F3A5E6">
      <w:pPr>
        <w:keepNext w:val="0"/>
        <w:keepLines w:val="0"/>
        <w:pageBreakBefore w:val="0"/>
        <w:widowControl w:val="0"/>
        <w:kinsoku/>
        <w:wordWrap/>
        <w:overflowPunct/>
        <w:topLinePunct w:val="0"/>
        <w:autoSpaceDE/>
        <w:autoSpaceDN/>
        <w:bidi w:val="0"/>
        <w:adjustRightInd w:val="0"/>
        <w:snapToGrid w:val="0"/>
        <w:spacing w:line="560" w:lineRule="exact"/>
        <w:ind w:firstLine="64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设区市市场监督管理局在不违反法律、法规、规章及本规定的情况下，可以对清单范围、适用情形、处罚幅度等作出具体规定。</w:t>
      </w:r>
    </w:p>
    <w:p w14:paraId="0FCD1E30">
      <w:pPr>
        <w:keepNext w:val="0"/>
        <w:keepLines w:val="0"/>
        <w:pageBreakBefore w:val="0"/>
        <w:widowControl w:val="0"/>
        <w:kinsoku/>
        <w:wordWrap/>
        <w:overflowPunct/>
        <w:topLinePunct w:val="0"/>
        <w:autoSpaceDE/>
        <w:autoSpaceDN/>
        <w:bidi w:val="0"/>
        <w:adjustRightInd w:val="0"/>
        <w:snapToGrid w:val="0"/>
        <w:spacing w:line="560" w:lineRule="exact"/>
        <w:ind w:firstLine="640"/>
        <w:textAlignment w:val="auto"/>
        <w:rPr>
          <w:rFonts w:hint="eastAsia" w:ascii="方正仿宋_GBK" w:hAnsi="方正仿宋_GBK" w:eastAsia="方正仿宋_GBK" w:cs="方正仿宋_GBK"/>
          <w:color w:val="auto"/>
          <w:sz w:val="32"/>
          <w:szCs w:val="32"/>
        </w:rPr>
      </w:pPr>
      <w:r>
        <w:rPr>
          <w:rFonts w:hint="eastAsia" w:ascii="方正黑体_GBK" w:hAnsi="方正黑体_GBK" w:eastAsia="方正黑体_GBK" w:cs="方正黑体_GBK"/>
          <w:color w:val="auto"/>
          <w:sz w:val="32"/>
          <w:szCs w:val="32"/>
        </w:rPr>
        <w:t>第</w:t>
      </w:r>
      <w:r>
        <w:rPr>
          <w:rFonts w:hint="eastAsia" w:ascii="方正黑体_GBK" w:hAnsi="方正黑体_GBK" w:eastAsia="方正黑体_GBK" w:cs="方正黑体_GBK"/>
          <w:color w:val="auto"/>
          <w:sz w:val="32"/>
          <w:szCs w:val="32"/>
          <w:lang w:val="en-US" w:eastAsia="zh-CN"/>
        </w:rPr>
        <w:t>二十一</w:t>
      </w:r>
      <w:r>
        <w:rPr>
          <w:rFonts w:hint="eastAsia" w:ascii="方正黑体_GBK" w:hAnsi="方正黑体_GBK" w:eastAsia="方正黑体_GBK" w:cs="方正黑体_GBK"/>
          <w:color w:val="auto"/>
          <w:sz w:val="32"/>
          <w:szCs w:val="32"/>
        </w:rPr>
        <w:t>条</w:t>
      </w:r>
      <w:r>
        <w:rPr>
          <w:rFonts w:hint="eastAsia" w:ascii="方正仿宋_GBK" w:hAnsi="方正仿宋_GBK" w:eastAsia="方正仿宋_GBK" w:cs="方正仿宋_GBK"/>
          <w:color w:val="auto"/>
          <w:sz w:val="32"/>
          <w:szCs w:val="32"/>
        </w:rPr>
        <w:t>　本规定自202</w:t>
      </w:r>
      <w:r>
        <w:rPr>
          <w:rFonts w:hint="eastAsia" w:ascii="方正仿宋_GBK" w:hAnsi="方正仿宋_GBK" w:eastAsia="方正仿宋_GBK" w:cs="方正仿宋_GBK"/>
          <w:color w:val="auto"/>
          <w:sz w:val="32"/>
          <w:szCs w:val="32"/>
          <w:lang w:val="en-US" w:eastAsia="zh-CN"/>
        </w:rPr>
        <w:t>4</w:t>
      </w:r>
      <w:r>
        <w:rPr>
          <w:rFonts w:hint="eastAsia" w:ascii="方正仿宋_GBK" w:hAnsi="方正仿宋_GBK" w:eastAsia="方正仿宋_GBK" w:cs="方正仿宋_GBK"/>
          <w:color w:val="auto"/>
          <w:sz w:val="32"/>
          <w:szCs w:val="32"/>
        </w:rPr>
        <w:t>年</w:t>
      </w:r>
      <w:r>
        <w:rPr>
          <w:rFonts w:hint="eastAsia" w:ascii="方正仿宋_GBK" w:hAnsi="方正仿宋_GBK" w:eastAsia="方正仿宋_GBK" w:cs="方正仿宋_GBK"/>
          <w:color w:val="auto"/>
          <w:sz w:val="32"/>
          <w:szCs w:val="32"/>
          <w:lang w:val="en-US" w:eastAsia="zh-CN"/>
        </w:rPr>
        <w:t>X</w:t>
      </w:r>
      <w:r>
        <w:rPr>
          <w:rFonts w:hint="eastAsia" w:ascii="方正仿宋_GBK" w:hAnsi="方正仿宋_GBK" w:eastAsia="方正仿宋_GBK" w:cs="方正仿宋_GBK"/>
          <w:color w:val="auto"/>
          <w:sz w:val="32"/>
          <w:szCs w:val="32"/>
        </w:rPr>
        <w:t>月</w:t>
      </w:r>
      <w:r>
        <w:rPr>
          <w:rFonts w:hint="eastAsia" w:ascii="方正仿宋_GBK" w:hAnsi="方正仿宋_GBK" w:eastAsia="方正仿宋_GBK" w:cs="方正仿宋_GBK"/>
          <w:color w:val="auto"/>
          <w:sz w:val="32"/>
          <w:szCs w:val="32"/>
          <w:lang w:val="en-US" w:eastAsia="zh-CN"/>
        </w:rPr>
        <w:t>X</w:t>
      </w:r>
      <w:r>
        <w:rPr>
          <w:rFonts w:hint="eastAsia" w:ascii="方正仿宋_GBK" w:hAnsi="方正仿宋_GBK" w:eastAsia="方正仿宋_GBK" w:cs="方正仿宋_GBK"/>
          <w:color w:val="auto"/>
          <w:sz w:val="32"/>
          <w:szCs w:val="32"/>
        </w:rPr>
        <w:t>日起施行，有效期</w:t>
      </w:r>
      <w:r>
        <w:rPr>
          <w:rFonts w:hint="eastAsia" w:ascii="方正仿宋_GBK" w:hAnsi="方正仿宋_GBK" w:eastAsia="方正仿宋_GBK" w:cs="方正仿宋_GBK"/>
          <w:color w:val="auto"/>
          <w:sz w:val="32"/>
          <w:szCs w:val="32"/>
          <w:lang w:val="en-US" w:eastAsia="zh-CN"/>
        </w:rPr>
        <w:t>至2029年X月X日</w:t>
      </w:r>
      <w:r>
        <w:rPr>
          <w:rFonts w:hint="eastAsia" w:ascii="方正仿宋_GBK" w:hAnsi="方正仿宋_GBK" w:eastAsia="方正仿宋_GBK" w:cs="方正仿宋_GBK"/>
          <w:color w:val="auto"/>
          <w:sz w:val="32"/>
          <w:szCs w:val="32"/>
        </w:rPr>
        <w:t>。2021年12月31日公布的《江苏省市场监管领域轻微违法行为不予处罚和从轻减轻处罚规定》同时废止。</w:t>
      </w:r>
    </w:p>
    <w:p w14:paraId="0DB06449">
      <w:pPr>
        <w:keepNext w:val="0"/>
        <w:keepLines w:val="0"/>
        <w:pageBreakBefore w:val="0"/>
        <w:widowControl w:val="0"/>
        <w:kinsoku/>
        <w:wordWrap/>
        <w:overflowPunct/>
        <w:topLinePunct w:val="0"/>
        <w:autoSpaceDE/>
        <w:autoSpaceDN/>
        <w:bidi w:val="0"/>
        <w:adjustRightInd w:val="0"/>
        <w:snapToGrid w:val="0"/>
        <w:spacing w:line="560" w:lineRule="exact"/>
        <w:ind w:firstLine="640"/>
        <w:textAlignment w:val="auto"/>
        <w:rPr>
          <w:rFonts w:hint="eastAsia" w:ascii="方正仿宋_GBK" w:hAnsi="方正仿宋_GBK" w:eastAsia="方正仿宋_GBK" w:cs="方正仿宋_GBK"/>
          <w:color w:val="auto"/>
          <w:sz w:val="32"/>
          <w:szCs w:val="32"/>
        </w:rPr>
      </w:pPr>
    </w:p>
    <w:p w14:paraId="2C034E0F">
      <w:pPr>
        <w:keepNext w:val="0"/>
        <w:keepLines w:val="0"/>
        <w:pageBreakBefore w:val="0"/>
        <w:widowControl w:val="0"/>
        <w:kinsoku/>
        <w:wordWrap/>
        <w:overflowPunct/>
        <w:topLinePunct w:val="0"/>
        <w:autoSpaceDE/>
        <w:autoSpaceDN/>
        <w:bidi w:val="0"/>
        <w:adjustRightInd w:val="0"/>
        <w:snapToGrid w:val="0"/>
        <w:spacing w:line="560" w:lineRule="exact"/>
        <w:ind w:firstLine="64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附件：1．江苏省市场监管领域违法行为</w:t>
      </w:r>
      <w:r>
        <w:rPr>
          <w:rFonts w:hint="eastAsia" w:ascii="方正仿宋_GBK" w:hAnsi="方正仿宋_GBK" w:eastAsia="方正仿宋_GBK" w:cs="方正仿宋_GBK"/>
          <w:color w:val="auto"/>
          <w:sz w:val="32"/>
          <w:szCs w:val="32"/>
          <w:lang w:val="en-US" w:eastAsia="zh-CN"/>
        </w:rPr>
        <w:t>轻微</w:t>
      </w:r>
      <w:r>
        <w:rPr>
          <w:rFonts w:hint="eastAsia" w:ascii="方正仿宋_GBK" w:hAnsi="方正仿宋_GBK" w:eastAsia="方正仿宋_GBK" w:cs="方正仿宋_GBK"/>
          <w:color w:val="auto"/>
          <w:sz w:val="32"/>
          <w:szCs w:val="32"/>
        </w:rPr>
        <w:t>不予处罚清单</w:t>
      </w:r>
    </w:p>
    <w:p w14:paraId="5D70A95C">
      <w:pPr>
        <w:keepNext w:val="0"/>
        <w:keepLines w:val="0"/>
        <w:pageBreakBefore w:val="0"/>
        <w:widowControl w:val="0"/>
        <w:kinsoku/>
        <w:wordWrap/>
        <w:overflowPunct/>
        <w:topLinePunct w:val="0"/>
        <w:autoSpaceDE/>
        <w:autoSpaceDN/>
        <w:bidi w:val="0"/>
        <w:adjustRightInd w:val="0"/>
        <w:snapToGrid w:val="0"/>
        <w:spacing w:line="560" w:lineRule="exact"/>
        <w:ind w:firstLine="1609" w:firstLineChars="503"/>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rPr>
        <w:t>2．江苏省市场监管领域</w:t>
      </w:r>
      <w:r>
        <w:rPr>
          <w:rFonts w:hint="eastAsia" w:ascii="方正仿宋_GBK" w:hAnsi="方正仿宋_GBK" w:eastAsia="方正仿宋_GBK" w:cs="方正仿宋_GBK"/>
          <w:color w:val="auto"/>
          <w:sz w:val="32"/>
          <w:szCs w:val="32"/>
          <w:lang w:val="en-US" w:eastAsia="zh-CN"/>
        </w:rPr>
        <w:t>初次违法不予处罚清单</w:t>
      </w:r>
    </w:p>
    <w:p w14:paraId="5320C036">
      <w:pPr>
        <w:keepNext w:val="0"/>
        <w:keepLines w:val="0"/>
        <w:pageBreakBefore w:val="0"/>
        <w:widowControl w:val="0"/>
        <w:kinsoku/>
        <w:wordWrap/>
        <w:overflowPunct/>
        <w:topLinePunct w:val="0"/>
        <w:autoSpaceDE/>
        <w:autoSpaceDN/>
        <w:bidi w:val="0"/>
        <w:adjustRightInd w:val="0"/>
        <w:snapToGrid w:val="0"/>
        <w:spacing w:line="560" w:lineRule="exact"/>
        <w:ind w:firstLine="1609" w:firstLineChars="503"/>
        <w:textAlignment w:val="auto"/>
        <w:rPr>
          <w:rFonts w:hint="eastAsia" w:ascii="方正仿宋_GBK" w:hAnsi="方正仿宋_GBK" w:eastAsia="方正仿宋_GBK" w:cs="方正仿宋_GBK"/>
          <w:color w:val="auto"/>
          <w:sz w:val="32"/>
          <w:szCs w:val="32"/>
        </w:rPr>
        <w:sectPr>
          <w:pgSz w:w="11906" w:h="16838"/>
          <w:pgMar w:top="2098" w:right="1474" w:bottom="1984" w:left="1587" w:header="851" w:footer="992" w:gutter="0"/>
          <w:pgBorders>
            <w:top w:val="none" w:sz="0" w:space="0"/>
            <w:left w:val="none" w:sz="0" w:space="0"/>
            <w:bottom w:val="none" w:sz="0" w:space="0"/>
            <w:right w:val="none" w:sz="0" w:space="0"/>
          </w:pgBorders>
          <w:cols w:space="425" w:num="1"/>
          <w:docGrid w:type="lines" w:linePitch="312" w:charSpace="0"/>
        </w:sectPr>
      </w:pPr>
      <w:r>
        <w:rPr>
          <w:rFonts w:hint="eastAsia" w:ascii="方正仿宋_GBK" w:hAnsi="方正仿宋_GBK" w:eastAsia="方正仿宋_GBK" w:cs="方正仿宋_GBK"/>
          <w:color w:val="auto"/>
          <w:sz w:val="32"/>
          <w:szCs w:val="32"/>
          <w:lang w:val="en-US" w:eastAsia="zh-CN"/>
        </w:rPr>
        <w:t>3. 江苏省市场监管领域轻微违法行为</w:t>
      </w:r>
      <w:r>
        <w:rPr>
          <w:rFonts w:hint="eastAsia" w:ascii="方正仿宋_GBK" w:hAnsi="方正仿宋_GBK" w:eastAsia="方正仿宋_GBK" w:cs="方正仿宋_GBK"/>
          <w:color w:val="auto"/>
          <w:sz w:val="32"/>
          <w:szCs w:val="32"/>
        </w:rPr>
        <w:t>减轻处罚清单</w:t>
      </w:r>
    </w:p>
    <w:p w14:paraId="008784CC">
      <w:pPr>
        <w:keepNext w:val="0"/>
        <w:keepLines w:val="0"/>
        <w:pageBreakBefore w:val="0"/>
        <w:widowControl w:val="0"/>
        <w:kinsoku/>
        <w:wordWrap/>
        <w:overflowPunct/>
        <w:topLinePunct w:val="0"/>
        <w:autoSpaceDE/>
        <w:autoSpaceDN/>
        <w:bidi w:val="0"/>
        <w:adjustRightInd w:val="0"/>
        <w:snapToGrid w:val="0"/>
        <w:spacing w:line="500" w:lineRule="exact"/>
        <w:textAlignment w:val="auto"/>
        <w:rPr>
          <w:rFonts w:hint="eastAsia" w:ascii="方正黑体_GBK" w:hAnsi="方正黑体_GBK" w:eastAsia="方正黑体_GBK" w:cs="方正黑体_GBK"/>
          <w:color w:val="auto"/>
          <w:sz w:val="32"/>
          <w:szCs w:val="32"/>
          <w:lang w:val="en-US" w:eastAsia="zh-CN"/>
        </w:rPr>
      </w:pPr>
      <w:r>
        <w:rPr>
          <w:rFonts w:hint="eastAsia" w:ascii="方正黑体_GBK" w:hAnsi="方正黑体_GBK" w:eastAsia="方正黑体_GBK" w:cs="方正黑体_GBK"/>
          <w:color w:val="auto"/>
          <w:sz w:val="32"/>
          <w:szCs w:val="32"/>
          <w:lang w:val="en-US" w:eastAsia="zh-CN"/>
        </w:rPr>
        <w:t>附件1</w:t>
      </w:r>
    </w:p>
    <w:p w14:paraId="2308E69B">
      <w:pPr>
        <w:keepNext w:val="0"/>
        <w:keepLines w:val="0"/>
        <w:pageBreakBefore w:val="0"/>
        <w:widowControl w:val="0"/>
        <w:kinsoku/>
        <w:wordWrap/>
        <w:overflowPunct/>
        <w:topLinePunct w:val="0"/>
        <w:autoSpaceDE/>
        <w:autoSpaceDN/>
        <w:bidi w:val="0"/>
        <w:adjustRightInd w:val="0"/>
        <w:snapToGrid w:val="0"/>
        <w:spacing w:line="500" w:lineRule="exact"/>
        <w:jc w:val="center"/>
        <w:textAlignment w:val="auto"/>
        <w:rPr>
          <w:rFonts w:hint="eastAsia" w:ascii="方正小标宋_GBK" w:hAnsi="方正小标宋_GBK" w:eastAsia="方正小标宋_GBK" w:cs="方正小标宋_GBK"/>
          <w:color w:val="auto"/>
          <w:sz w:val="44"/>
          <w:szCs w:val="44"/>
          <w:lang w:val="en-US" w:eastAsia="zh-CN"/>
        </w:rPr>
      </w:pPr>
      <w:r>
        <w:rPr>
          <w:rFonts w:hint="eastAsia" w:ascii="方正小标宋_GBK" w:hAnsi="方正小标宋_GBK" w:eastAsia="方正小标宋_GBK" w:cs="方正小标宋_GBK"/>
          <w:color w:val="auto"/>
          <w:sz w:val="44"/>
          <w:szCs w:val="44"/>
          <w:lang w:val="en-US" w:eastAsia="zh-CN"/>
        </w:rPr>
        <w:t>江苏省市场监管领域违法行为轻微不予处罚清单</w:t>
      </w:r>
    </w:p>
    <w:p w14:paraId="1A0AE79F">
      <w:pPr>
        <w:keepNext w:val="0"/>
        <w:keepLines w:val="0"/>
        <w:pageBreakBefore w:val="0"/>
        <w:widowControl w:val="0"/>
        <w:kinsoku/>
        <w:wordWrap/>
        <w:overflowPunct/>
        <w:topLinePunct w:val="0"/>
        <w:autoSpaceDE/>
        <w:autoSpaceDN/>
        <w:bidi w:val="0"/>
        <w:adjustRightInd w:val="0"/>
        <w:snapToGrid w:val="0"/>
        <w:spacing w:line="560" w:lineRule="exact"/>
        <w:ind w:firstLine="640"/>
        <w:textAlignment w:val="auto"/>
        <w:rPr>
          <w:rFonts w:hint="eastAsia" w:ascii="方正仿宋_GBK" w:hAnsi="方正仿宋_GBK" w:eastAsia="方正仿宋_GBK" w:cs="方正仿宋_GBK"/>
          <w:color w:val="auto"/>
          <w:sz w:val="32"/>
          <w:szCs w:val="32"/>
        </w:rPr>
      </w:pPr>
    </w:p>
    <w:tbl>
      <w:tblPr>
        <w:tblStyle w:val="4"/>
        <w:tblW w:w="6054" w:type="pct"/>
        <w:tblInd w:w="-130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Layout w:type="fixed"/>
        <w:tblCellMar>
          <w:top w:w="0" w:type="dxa"/>
          <w:left w:w="108" w:type="dxa"/>
          <w:bottom w:w="0" w:type="dxa"/>
          <w:right w:w="108" w:type="dxa"/>
        </w:tblCellMar>
      </w:tblPr>
      <w:tblGrid>
        <w:gridCol w:w="796"/>
        <w:gridCol w:w="735"/>
        <w:gridCol w:w="1560"/>
        <w:gridCol w:w="2639"/>
        <w:gridCol w:w="4726"/>
        <w:gridCol w:w="5251"/>
      </w:tblGrid>
      <w:tr w14:paraId="10C268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29" w:hRule="atLeast"/>
          <w:tblHeader/>
        </w:trPr>
        <w:tc>
          <w:tcPr>
            <w:tcW w:w="253" w:type="pct"/>
            <w:tcBorders>
              <w:tl2br w:val="nil"/>
              <w:tr2bl w:val="nil"/>
            </w:tcBorders>
            <w:shd w:val="clear" w:color="auto" w:fill="auto"/>
            <w:noWrap/>
            <w:vAlign w:val="center"/>
          </w:tcPr>
          <w:p w14:paraId="53F12568">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黑体_GBK" w:hAnsi="方正黑体_GBK" w:eastAsia="方正黑体_GBK" w:cs="方正黑体_GBK"/>
                <w:i w:val="0"/>
                <w:iCs w:val="0"/>
                <w:color w:val="auto"/>
                <w:sz w:val="24"/>
                <w:szCs w:val="24"/>
                <w:u w:val="none"/>
              </w:rPr>
            </w:pPr>
            <w:r>
              <w:rPr>
                <w:rFonts w:hint="eastAsia" w:ascii="方正黑体_GBK" w:hAnsi="方正黑体_GBK" w:eastAsia="方正黑体_GBK" w:cs="方正黑体_GBK"/>
                <w:i w:val="0"/>
                <w:iCs w:val="0"/>
                <w:color w:val="auto"/>
                <w:kern w:val="0"/>
                <w:sz w:val="24"/>
                <w:szCs w:val="24"/>
                <w:u w:val="none"/>
                <w:lang w:val="en-US" w:eastAsia="zh-CN" w:bidi="ar"/>
              </w:rPr>
              <w:t>序号</w:t>
            </w:r>
          </w:p>
        </w:tc>
        <w:tc>
          <w:tcPr>
            <w:tcW w:w="233" w:type="pct"/>
            <w:tcBorders>
              <w:tl2br w:val="nil"/>
              <w:tr2bl w:val="nil"/>
            </w:tcBorders>
            <w:shd w:val="clear" w:color="auto" w:fill="auto"/>
            <w:vAlign w:val="center"/>
          </w:tcPr>
          <w:p w14:paraId="661B7834">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黑体_GBK" w:hAnsi="方正黑体_GBK" w:eastAsia="方正黑体_GBK" w:cs="方正黑体_GBK"/>
                <w:i w:val="0"/>
                <w:iCs w:val="0"/>
                <w:color w:val="auto"/>
                <w:sz w:val="24"/>
                <w:szCs w:val="24"/>
                <w:u w:val="none"/>
              </w:rPr>
            </w:pPr>
            <w:r>
              <w:rPr>
                <w:rFonts w:hint="eastAsia" w:ascii="方正黑体_GBK" w:hAnsi="方正黑体_GBK" w:eastAsia="方正黑体_GBK" w:cs="方正黑体_GBK"/>
                <w:i w:val="0"/>
                <w:iCs w:val="0"/>
                <w:color w:val="auto"/>
                <w:kern w:val="0"/>
                <w:sz w:val="24"/>
                <w:szCs w:val="24"/>
                <w:u w:val="none"/>
                <w:lang w:val="en-US" w:eastAsia="zh-CN" w:bidi="ar"/>
              </w:rPr>
              <w:t>类别</w:t>
            </w:r>
          </w:p>
        </w:tc>
        <w:tc>
          <w:tcPr>
            <w:tcW w:w="496" w:type="pct"/>
            <w:tcBorders>
              <w:tl2br w:val="nil"/>
              <w:tr2bl w:val="nil"/>
            </w:tcBorders>
            <w:shd w:val="clear" w:color="auto" w:fill="auto"/>
            <w:vAlign w:val="center"/>
          </w:tcPr>
          <w:p w14:paraId="6ACBEA16">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黑体_GBK" w:hAnsi="方正黑体_GBK" w:eastAsia="方正黑体_GBK" w:cs="方正黑体_GBK"/>
                <w:i w:val="0"/>
                <w:iCs w:val="0"/>
                <w:color w:val="auto"/>
                <w:sz w:val="24"/>
                <w:szCs w:val="24"/>
                <w:u w:val="none"/>
              </w:rPr>
            </w:pPr>
            <w:r>
              <w:rPr>
                <w:rFonts w:hint="eastAsia" w:ascii="方正黑体_GBK" w:hAnsi="方正黑体_GBK" w:eastAsia="方正黑体_GBK" w:cs="方正黑体_GBK"/>
                <w:i w:val="0"/>
                <w:iCs w:val="0"/>
                <w:color w:val="auto"/>
                <w:kern w:val="0"/>
                <w:sz w:val="24"/>
                <w:szCs w:val="24"/>
                <w:u w:val="none"/>
                <w:lang w:val="en-US" w:eastAsia="zh-CN" w:bidi="ar"/>
              </w:rPr>
              <w:t>违法行为</w:t>
            </w:r>
          </w:p>
        </w:tc>
        <w:tc>
          <w:tcPr>
            <w:tcW w:w="840" w:type="pct"/>
            <w:tcBorders>
              <w:tl2br w:val="nil"/>
              <w:tr2bl w:val="nil"/>
            </w:tcBorders>
            <w:shd w:val="clear" w:color="auto" w:fill="auto"/>
            <w:vAlign w:val="center"/>
          </w:tcPr>
          <w:p w14:paraId="50BF653F">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黑体_GBK" w:hAnsi="方正黑体_GBK" w:eastAsia="方正黑体_GBK" w:cs="方正黑体_GBK"/>
                <w:i w:val="0"/>
                <w:iCs w:val="0"/>
                <w:color w:val="auto"/>
                <w:sz w:val="24"/>
                <w:szCs w:val="24"/>
                <w:u w:val="none"/>
              </w:rPr>
            </w:pPr>
            <w:r>
              <w:rPr>
                <w:rFonts w:hint="eastAsia" w:ascii="方正黑体_GBK" w:hAnsi="方正黑体_GBK" w:eastAsia="方正黑体_GBK" w:cs="方正黑体_GBK"/>
                <w:i w:val="0"/>
                <w:iCs w:val="0"/>
                <w:color w:val="auto"/>
                <w:kern w:val="0"/>
                <w:sz w:val="24"/>
                <w:szCs w:val="24"/>
                <w:u w:val="none"/>
                <w:lang w:val="en-US" w:eastAsia="zh-CN" w:bidi="ar"/>
              </w:rPr>
              <w:t>不予处罚的适用情形</w:t>
            </w:r>
          </w:p>
        </w:tc>
        <w:tc>
          <w:tcPr>
            <w:tcW w:w="1504" w:type="pct"/>
            <w:tcBorders>
              <w:tl2br w:val="nil"/>
              <w:tr2bl w:val="nil"/>
            </w:tcBorders>
            <w:shd w:val="clear" w:color="auto" w:fill="auto"/>
            <w:vAlign w:val="center"/>
          </w:tcPr>
          <w:p w14:paraId="014C0F72">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黑体_GBK" w:hAnsi="方正黑体_GBK" w:eastAsia="方正黑体_GBK" w:cs="方正黑体_GBK"/>
                <w:i w:val="0"/>
                <w:iCs w:val="0"/>
                <w:color w:val="auto"/>
                <w:sz w:val="24"/>
                <w:szCs w:val="24"/>
                <w:u w:val="none"/>
              </w:rPr>
            </w:pPr>
            <w:r>
              <w:rPr>
                <w:rFonts w:hint="eastAsia" w:ascii="方正黑体_GBK" w:hAnsi="方正黑体_GBK" w:eastAsia="方正黑体_GBK" w:cs="方正黑体_GBK"/>
                <w:i w:val="0"/>
                <w:iCs w:val="0"/>
                <w:color w:val="auto"/>
                <w:kern w:val="0"/>
                <w:sz w:val="24"/>
                <w:szCs w:val="24"/>
                <w:u w:val="none"/>
                <w:lang w:val="en-US" w:eastAsia="zh-CN" w:bidi="ar"/>
              </w:rPr>
              <w:t>违法行为的定性依据</w:t>
            </w:r>
          </w:p>
        </w:tc>
        <w:tc>
          <w:tcPr>
            <w:tcW w:w="1671" w:type="pct"/>
            <w:tcBorders>
              <w:tl2br w:val="nil"/>
              <w:tr2bl w:val="nil"/>
            </w:tcBorders>
            <w:shd w:val="clear" w:color="auto" w:fill="auto"/>
            <w:vAlign w:val="center"/>
          </w:tcPr>
          <w:p w14:paraId="15259D09">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黑体_GBK" w:hAnsi="方正黑体_GBK" w:eastAsia="方正黑体_GBK" w:cs="方正黑体_GBK"/>
                <w:i w:val="0"/>
                <w:iCs w:val="0"/>
                <w:color w:val="auto"/>
                <w:sz w:val="24"/>
                <w:szCs w:val="24"/>
                <w:u w:val="none"/>
              </w:rPr>
            </w:pPr>
            <w:r>
              <w:rPr>
                <w:rFonts w:hint="eastAsia" w:ascii="方正黑体_GBK" w:hAnsi="方正黑体_GBK" w:eastAsia="方正黑体_GBK" w:cs="方正黑体_GBK"/>
                <w:i w:val="0"/>
                <w:iCs w:val="0"/>
                <w:color w:val="auto"/>
                <w:kern w:val="0"/>
                <w:sz w:val="24"/>
                <w:szCs w:val="24"/>
                <w:u w:val="none"/>
                <w:lang w:val="en-US" w:eastAsia="zh-CN" w:bidi="ar"/>
              </w:rPr>
              <w:t>违法行为的处罚依据</w:t>
            </w:r>
          </w:p>
        </w:tc>
      </w:tr>
      <w:tr w14:paraId="758F2F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55" w:hRule="atLeast"/>
        </w:trPr>
        <w:tc>
          <w:tcPr>
            <w:tcW w:w="253" w:type="pct"/>
            <w:tcBorders>
              <w:tl2br w:val="nil"/>
              <w:tr2bl w:val="nil"/>
            </w:tcBorders>
            <w:shd w:val="clear" w:color="auto" w:fill="auto"/>
            <w:noWrap/>
            <w:vAlign w:val="center"/>
          </w:tcPr>
          <w:p w14:paraId="0A3DC1A6">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1</w:t>
            </w:r>
          </w:p>
        </w:tc>
        <w:tc>
          <w:tcPr>
            <w:tcW w:w="233" w:type="pct"/>
            <w:vMerge w:val="restart"/>
            <w:tcBorders>
              <w:tl2br w:val="nil"/>
              <w:tr2bl w:val="nil"/>
            </w:tcBorders>
            <w:shd w:val="clear" w:color="auto" w:fill="auto"/>
            <w:noWrap/>
            <w:vAlign w:val="center"/>
          </w:tcPr>
          <w:p w14:paraId="744EAA7C">
            <w:pPr>
              <w:keepNext w:val="0"/>
              <w:keepLines w:val="0"/>
              <w:pageBreakBefore w:val="0"/>
              <w:widowControl/>
              <w:kinsoku/>
              <w:wordWrap/>
              <w:overflowPunct/>
              <w:topLinePunct w:val="0"/>
              <w:autoSpaceDE/>
              <w:autoSpaceDN/>
              <w:bidi w:val="0"/>
              <w:adjustRightInd w:val="0"/>
              <w:snapToGrid w:val="0"/>
              <w:spacing w:line="280" w:lineRule="exact"/>
              <w:jc w:val="center"/>
              <w:rPr>
                <w:rFonts w:hint="default" w:ascii="方正黑体_GBK" w:hAnsi="方正黑体_GBK" w:eastAsia="方正黑体_GBK" w:cs="方正黑体_GBK"/>
                <w:i w:val="0"/>
                <w:iCs w:val="0"/>
                <w:color w:val="auto"/>
                <w:sz w:val="24"/>
                <w:szCs w:val="24"/>
                <w:u w:val="none"/>
                <w:lang w:val="en-US" w:eastAsia="zh-CN"/>
              </w:rPr>
            </w:pPr>
            <w:r>
              <w:rPr>
                <w:rFonts w:hint="eastAsia" w:ascii="方正黑体_GBK" w:hAnsi="方正黑体_GBK" w:eastAsia="方正黑体_GBK" w:cs="方正黑体_GBK"/>
                <w:i w:val="0"/>
                <w:iCs w:val="0"/>
                <w:color w:val="auto"/>
                <w:sz w:val="24"/>
                <w:szCs w:val="24"/>
                <w:u w:val="none"/>
                <w:lang w:val="en-US" w:eastAsia="zh-CN"/>
              </w:rPr>
              <w:t>市场主体登记</w:t>
            </w:r>
          </w:p>
        </w:tc>
        <w:tc>
          <w:tcPr>
            <w:tcW w:w="496" w:type="pct"/>
            <w:tcBorders>
              <w:tl2br w:val="nil"/>
              <w:tr2bl w:val="nil"/>
            </w:tcBorders>
            <w:shd w:val="clear" w:color="auto" w:fill="auto"/>
            <w:noWrap/>
            <w:vAlign w:val="center"/>
          </w:tcPr>
          <w:p w14:paraId="725D6DDC">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个人独资企业使用的名称与其在登记机关登记的名称不相符合</w:t>
            </w:r>
          </w:p>
        </w:tc>
        <w:tc>
          <w:tcPr>
            <w:tcW w:w="840" w:type="pct"/>
            <w:tcBorders>
              <w:tl2br w:val="nil"/>
              <w:tr2bl w:val="nil"/>
            </w:tcBorders>
            <w:shd w:val="clear" w:color="auto" w:fill="auto"/>
            <w:vAlign w:val="center"/>
          </w:tcPr>
          <w:p w14:paraId="07C92DB0">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1.持续时间较短，或违法经营额较小；</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2.企业使用的名称已及时变更与登记名称一致，或已停止使用；</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3.没有造成危害后果。</w:t>
            </w:r>
          </w:p>
        </w:tc>
        <w:tc>
          <w:tcPr>
            <w:tcW w:w="1504" w:type="pct"/>
            <w:tcBorders>
              <w:tl2br w:val="nil"/>
              <w:tr2bl w:val="nil"/>
            </w:tcBorders>
            <w:shd w:val="clear" w:color="auto" w:fill="auto"/>
            <w:noWrap/>
            <w:vAlign w:val="center"/>
          </w:tcPr>
          <w:p w14:paraId="72696883">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《个人独资企业法》第十一条 </w:t>
            </w:r>
            <w:r>
              <w:rPr>
                <w:rFonts w:hint="eastAsia" w:ascii="方正仿宋_GBK" w:hAnsi="方正仿宋_GBK" w:eastAsia="方正仿宋_GBK" w:cs="方正仿宋_GBK"/>
                <w:i w:val="0"/>
                <w:iCs w:val="0"/>
                <w:color w:val="auto"/>
                <w:kern w:val="0"/>
                <w:sz w:val="24"/>
                <w:szCs w:val="24"/>
                <w:u w:val="none"/>
                <w:lang w:val="en-US" w:eastAsia="zh-CN" w:bidi="ar"/>
              </w:rPr>
              <w:t>个人独资企业的名称应当与其责任形式及从事的营业相符合。</w:t>
            </w:r>
          </w:p>
        </w:tc>
        <w:tc>
          <w:tcPr>
            <w:tcW w:w="1671" w:type="pct"/>
            <w:tcBorders>
              <w:tl2br w:val="nil"/>
              <w:tr2bl w:val="nil"/>
            </w:tcBorders>
            <w:shd w:val="clear" w:color="auto" w:fill="auto"/>
            <w:noWrap/>
            <w:vAlign w:val="center"/>
          </w:tcPr>
          <w:p w14:paraId="2E9FD1A7">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《个人独资企业法》第三十四条</w:t>
            </w:r>
            <w:r>
              <w:rPr>
                <w:rFonts w:hint="eastAsia" w:ascii="方正仿宋_GBK" w:hAnsi="方正仿宋_GBK" w:eastAsia="方正仿宋_GBK" w:cs="方正仿宋_GBK"/>
                <w:i w:val="0"/>
                <w:iCs w:val="0"/>
                <w:color w:val="auto"/>
                <w:kern w:val="0"/>
                <w:sz w:val="24"/>
                <w:szCs w:val="24"/>
                <w:u w:val="none"/>
                <w:lang w:val="en-US" w:eastAsia="zh-CN" w:bidi="ar"/>
              </w:rPr>
              <w:t xml:space="preserve">  违反本法规定，个人独资企业使用的名称与其在登记机关登记的名称不相符合的，责令限期改正，处以二千元以下的罚款。</w:t>
            </w:r>
          </w:p>
        </w:tc>
      </w:tr>
      <w:tr w14:paraId="4F4EA2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185" w:hRule="atLeast"/>
        </w:trPr>
        <w:tc>
          <w:tcPr>
            <w:tcW w:w="253" w:type="pct"/>
            <w:tcBorders>
              <w:tl2br w:val="nil"/>
              <w:tr2bl w:val="nil"/>
            </w:tcBorders>
            <w:shd w:val="clear" w:color="auto" w:fill="auto"/>
            <w:noWrap/>
            <w:vAlign w:val="center"/>
          </w:tcPr>
          <w:p w14:paraId="2C127E49">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2</w:t>
            </w:r>
          </w:p>
        </w:tc>
        <w:tc>
          <w:tcPr>
            <w:tcW w:w="233" w:type="pct"/>
            <w:vMerge w:val="continue"/>
            <w:tcBorders>
              <w:tl2br w:val="nil"/>
              <w:tr2bl w:val="nil"/>
            </w:tcBorders>
            <w:shd w:val="clear" w:color="auto" w:fill="auto"/>
            <w:noWrap/>
            <w:vAlign w:val="center"/>
          </w:tcPr>
          <w:p w14:paraId="408D5458">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496" w:type="pct"/>
            <w:tcBorders>
              <w:tl2br w:val="nil"/>
              <w:tr2bl w:val="nil"/>
            </w:tcBorders>
            <w:shd w:val="clear" w:color="auto" w:fill="auto"/>
            <w:noWrap/>
            <w:vAlign w:val="center"/>
          </w:tcPr>
          <w:p w14:paraId="20CF95EE">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未经设立登记从事经营活动</w:t>
            </w:r>
          </w:p>
        </w:tc>
        <w:tc>
          <w:tcPr>
            <w:tcW w:w="840" w:type="pct"/>
            <w:tcBorders>
              <w:tl2br w:val="nil"/>
              <w:tr2bl w:val="nil"/>
            </w:tcBorders>
            <w:shd w:val="clear" w:color="auto" w:fill="auto"/>
            <w:vAlign w:val="center"/>
          </w:tcPr>
          <w:p w14:paraId="6C23EDEF">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1.持续时间较短，或违法经营额较小；</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2.及时改正；</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3.没有造成危害后果。</w:t>
            </w:r>
          </w:p>
        </w:tc>
        <w:tc>
          <w:tcPr>
            <w:tcW w:w="1504" w:type="pct"/>
            <w:tcBorders>
              <w:tl2br w:val="nil"/>
              <w:tr2bl w:val="nil"/>
            </w:tcBorders>
            <w:shd w:val="clear" w:color="auto" w:fill="auto"/>
            <w:noWrap/>
            <w:vAlign w:val="center"/>
          </w:tcPr>
          <w:p w14:paraId="14532254">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《市场主体登记管理条例》第三条</w:t>
            </w:r>
            <w:r>
              <w:rPr>
                <w:rFonts w:hint="eastAsia" w:ascii="方正仿宋_GBK" w:hAnsi="方正仿宋_GBK" w:eastAsia="方正仿宋_GBK" w:cs="方正仿宋_GBK"/>
                <w:i w:val="0"/>
                <w:iCs w:val="0"/>
                <w:color w:val="auto"/>
                <w:kern w:val="0"/>
                <w:sz w:val="24"/>
                <w:szCs w:val="24"/>
                <w:u w:val="none"/>
                <w:lang w:val="en-US" w:eastAsia="zh-CN" w:bidi="ar"/>
              </w:rPr>
              <w:t xml:space="preserve">  市场主体应当依照本条例办理登记。未经登记，不得以市场主体名义从事经营活动。法律、行政法规规定无需办理登记的除外。 市场主体登记包括设立登记、变更登记和注销登记。</w:t>
            </w:r>
          </w:p>
        </w:tc>
        <w:tc>
          <w:tcPr>
            <w:tcW w:w="1671" w:type="pct"/>
            <w:tcBorders>
              <w:tl2br w:val="nil"/>
              <w:tr2bl w:val="nil"/>
            </w:tcBorders>
            <w:shd w:val="clear" w:color="auto" w:fill="auto"/>
            <w:vAlign w:val="center"/>
          </w:tcPr>
          <w:p w14:paraId="32D75AC3">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《市场主体登记管理条例》第四十三条 </w:t>
            </w:r>
            <w:r>
              <w:rPr>
                <w:rFonts w:hint="eastAsia" w:ascii="方正仿宋_GBK" w:hAnsi="方正仿宋_GBK" w:eastAsia="方正仿宋_GBK" w:cs="方正仿宋_GBK"/>
                <w:i w:val="0"/>
                <w:iCs w:val="0"/>
                <w:color w:val="auto"/>
                <w:kern w:val="0"/>
                <w:sz w:val="24"/>
                <w:szCs w:val="24"/>
                <w:u w:val="none"/>
                <w:lang w:val="en-US" w:eastAsia="zh-CN" w:bidi="ar"/>
              </w:rPr>
              <w:t xml:space="preserve"> 未经设立登记从事经营活动的，由登记机关责令改正，没收违法所得；拒不改正的，处1万元以上10万元以下的罚款；情节严重的，依法责令关闭停业，并处10万元以上50万元以下的罚款。</w:t>
            </w:r>
          </w:p>
        </w:tc>
      </w:tr>
      <w:tr w14:paraId="44DAA6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4420" w:hRule="atLeast"/>
        </w:trPr>
        <w:tc>
          <w:tcPr>
            <w:tcW w:w="253" w:type="pct"/>
            <w:tcBorders>
              <w:tl2br w:val="nil"/>
              <w:tr2bl w:val="nil"/>
            </w:tcBorders>
            <w:shd w:val="clear" w:color="auto" w:fill="auto"/>
            <w:noWrap/>
            <w:vAlign w:val="center"/>
          </w:tcPr>
          <w:p w14:paraId="2DC4962F">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3</w:t>
            </w:r>
          </w:p>
        </w:tc>
        <w:tc>
          <w:tcPr>
            <w:tcW w:w="233" w:type="pct"/>
            <w:vMerge w:val="restart"/>
            <w:tcBorders>
              <w:tl2br w:val="nil"/>
              <w:tr2bl w:val="nil"/>
            </w:tcBorders>
            <w:shd w:val="clear" w:color="auto" w:fill="auto"/>
            <w:noWrap/>
            <w:vAlign w:val="center"/>
          </w:tcPr>
          <w:p w14:paraId="20E70D49">
            <w:pPr>
              <w:keepNext w:val="0"/>
              <w:keepLines w:val="0"/>
              <w:pageBreakBefore w:val="0"/>
              <w:widowControl/>
              <w:kinsoku/>
              <w:wordWrap/>
              <w:overflowPunct/>
              <w:topLinePunct w:val="0"/>
              <w:autoSpaceDE/>
              <w:autoSpaceDN/>
              <w:bidi w:val="0"/>
              <w:adjustRightInd w:val="0"/>
              <w:snapToGrid w:val="0"/>
              <w:spacing w:line="280" w:lineRule="exact"/>
              <w:jc w:val="center"/>
              <w:rPr>
                <w:rFonts w:hint="default" w:ascii="方正黑体_GBK" w:hAnsi="方正黑体_GBK" w:eastAsia="方正黑体_GBK" w:cs="方正黑体_GBK"/>
                <w:i w:val="0"/>
                <w:iCs w:val="0"/>
                <w:color w:val="auto"/>
                <w:sz w:val="24"/>
                <w:szCs w:val="24"/>
                <w:u w:val="none"/>
                <w:lang w:val="en-US" w:eastAsia="zh-CN"/>
              </w:rPr>
            </w:pPr>
            <w:r>
              <w:rPr>
                <w:rFonts w:hint="eastAsia" w:ascii="方正黑体_GBK" w:hAnsi="方正黑体_GBK" w:eastAsia="方正黑体_GBK" w:cs="方正黑体_GBK"/>
                <w:i w:val="0"/>
                <w:iCs w:val="0"/>
                <w:color w:val="auto"/>
                <w:sz w:val="24"/>
                <w:szCs w:val="24"/>
                <w:u w:val="none"/>
                <w:lang w:val="en-US" w:eastAsia="zh-CN"/>
              </w:rPr>
              <w:t>商品条码和标识</w:t>
            </w:r>
          </w:p>
        </w:tc>
        <w:tc>
          <w:tcPr>
            <w:tcW w:w="496" w:type="pct"/>
            <w:tcBorders>
              <w:tl2br w:val="nil"/>
              <w:tr2bl w:val="nil"/>
            </w:tcBorders>
            <w:shd w:val="clear" w:color="auto" w:fill="auto"/>
            <w:noWrap/>
            <w:vAlign w:val="center"/>
          </w:tcPr>
          <w:p w14:paraId="5DD96D25">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产品页面未按规定展示能效标识，或者销售应标注而未标注能效标识的产品</w:t>
            </w:r>
          </w:p>
        </w:tc>
        <w:tc>
          <w:tcPr>
            <w:tcW w:w="840" w:type="pct"/>
            <w:tcBorders>
              <w:tl2br w:val="nil"/>
              <w:tr2bl w:val="nil"/>
            </w:tcBorders>
            <w:shd w:val="clear" w:color="auto" w:fill="auto"/>
            <w:vAlign w:val="center"/>
          </w:tcPr>
          <w:p w14:paraId="65CFDD24">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1.产品已经检验检测确定能效等级；</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2.及时改正；</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3.没有造成危害后果；</w:t>
            </w:r>
          </w:p>
        </w:tc>
        <w:tc>
          <w:tcPr>
            <w:tcW w:w="1504" w:type="pct"/>
            <w:tcBorders>
              <w:tl2br w:val="nil"/>
              <w:tr2bl w:val="nil"/>
            </w:tcBorders>
            <w:shd w:val="clear" w:color="auto" w:fill="auto"/>
            <w:vAlign w:val="center"/>
          </w:tcPr>
          <w:p w14:paraId="09AE0B93">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《能源效率标识管理办法》第六条第二款</w:t>
            </w:r>
            <w:r>
              <w:rPr>
                <w:rFonts w:hint="eastAsia" w:ascii="方正仿宋_GBK" w:hAnsi="方正仿宋_GBK" w:eastAsia="方正仿宋_GBK" w:cs="方正仿宋_GBK"/>
                <w:i w:val="0"/>
                <w:iCs w:val="0"/>
                <w:color w:val="auto"/>
                <w:kern w:val="0"/>
                <w:sz w:val="24"/>
                <w:szCs w:val="24"/>
                <w:u w:val="none"/>
                <w:lang w:val="en-US" w:eastAsia="zh-CN" w:bidi="ar"/>
              </w:rPr>
              <w:t xml:space="preserve">  列入《目录》的用能产品通过网络交易的，还应当在产品信息展示主页面醒目位置展示相应的能效标识。</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b/>
                <w:bCs/>
                <w:i w:val="0"/>
                <w:iCs w:val="0"/>
                <w:color w:val="auto"/>
                <w:kern w:val="0"/>
                <w:sz w:val="24"/>
                <w:szCs w:val="24"/>
                <w:u w:val="none"/>
                <w:lang w:val="en-US" w:eastAsia="zh-CN" w:bidi="ar"/>
              </w:rPr>
              <w:t>《能源效率标识管理办法》第十六条第一款</w:t>
            </w:r>
            <w:r>
              <w:rPr>
                <w:rFonts w:hint="eastAsia" w:ascii="方正仿宋_GBK" w:hAnsi="方正仿宋_GBK" w:eastAsia="方正仿宋_GBK" w:cs="方正仿宋_GBK"/>
                <w:i w:val="0"/>
                <w:iCs w:val="0"/>
                <w:color w:val="auto"/>
                <w:kern w:val="0"/>
                <w:sz w:val="24"/>
                <w:szCs w:val="24"/>
                <w:u w:val="none"/>
                <w:lang w:val="en-US" w:eastAsia="zh-CN" w:bidi="ar"/>
              </w:rPr>
              <w:t xml:space="preserve"> 销售者（含网络商品经营者）应当建立并执行进货检查验收制度，验明列入《目录》的用能产品能效标识，不得销售应当标注而未标注能效标识的产品。</w:t>
            </w:r>
          </w:p>
        </w:tc>
        <w:tc>
          <w:tcPr>
            <w:tcW w:w="1671" w:type="pct"/>
            <w:tcBorders>
              <w:tl2br w:val="nil"/>
              <w:tr2bl w:val="nil"/>
            </w:tcBorders>
            <w:shd w:val="clear" w:color="auto" w:fill="auto"/>
            <w:vAlign w:val="center"/>
          </w:tcPr>
          <w:p w14:paraId="5D4B8BBE">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《能源效率标识管理办法》第二十七条</w:t>
            </w:r>
            <w:r>
              <w:rPr>
                <w:rFonts w:hint="eastAsia" w:ascii="方正仿宋_GBK" w:hAnsi="方正仿宋_GBK" w:eastAsia="方正仿宋_GBK" w:cs="方正仿宋_GBK"/>
                <w:i w:val="0"/>
                <w:iCs w:val="0"/>
                <w:color w:val="auto"/>
                <w:kern w:val="0"/>
                <w:sz w:val="24"/>
                <w:szCs w:val="24"/>
                <w:u w:val="none"/>
                <w:lang w:val="en-US" w:eastAsia="zh-CN" w:bidi="ar"/>
              </w:rPr>
              <w:t xml:space="preserve"> 违反本办法规定，应当标注能效标识而未标注的，未办理能效标识备案的，使用的能效标识不符合有关样式、规格等标注规定的（包括不符合网络交易产品能效标识展示要求的），伪造、冒用能效标识或者利用能效标识进行虚假宣传的，依据《中华人民共和国节约能源法》第七十三条予以处罚。</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b/>
                <w:bCs/>
                <w:i w:val="0"/>
                <w:iCs w:val="0"/>
                <w:color w:val="auto"/>
                <w:kern w:val="0"/>
                <w:sz w:val="24"/>
                <w:szCs w:val="24"/>
                <w:u w:val="none"/>
                <w:lang w:val="en-US" w:eastAsia="zh-CN" w:bidi="ar"/>
              </w:rPr>
              <w:t>《节约能源法》第七十三条</w:t>
            </w:r>
            <w:r>
              <w:rPr>
                <w:rFonts w:hint="eastAsia" w:ascii="方正仿宋_GBK" w:hAnsi="方正仿宋_GBK" w:eastAsia="方正仿宋_GBK" w:cs="方正仿宋_GBK"/>
                <w:i w:val="0"/>
                <w:iCs w:val="0"/>
                <w:color w:val="auto"/>
                <w:kern w:val="0"/>
                <w:sz w:val="24"/>
                <w:szCs w:val="24"/>
                <w:u w:val="none"/>
                <w:lang w:val="en-US" w:eastAsia="zh-CN" w:bidi="ar"/>
              </w:rPr>
              <w:t>　违反本法规定，应当标注能源效率标识而未标注的，由市场监督管理部门责令改正，处三万元以上五万元以下罚款。</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违反本法规定，未办理能源效率标识备案，或者使用的能源效率标识不符合规定的，由市场监督管理部门责令限期改正；逾期不改正的，处一万元以上三万元以下罚款。</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伪造、冒用能源效率标识或者利用能源效率标识进行虚假宣传的，由市场监督管理部门责令改正，处五万元以上十万元以下罚款；情节严重的，吊销营业执照。</w:t>
            </w:r>
          </w:p>
        </w:tc>
      </w:tr>
      <w:tr w14:paraId="5E8FA7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65" w:hRule="atLeast"/>
        </w:trPr>
        <w:tc>
          <w:tcPr>
            <w:tcW w:w="253" w:type="pct"/>
            <w:tcBorders>
              <w:tl2br w:val="nil"/>
              <w:tr2bl w:val="nil"/>
            </w:tcBorders>
            <w:shd w:val="clear" w:color="auto" w:fill="auto"/>
            <w:noWrap/>
            <w:vAlign w:val="center"/>
          </w:tcPr>
          <w:p w14:paraId="6F514C91">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4</w:t>
            </w:r>
          </w:p>
        </w:tc>
        <w:tc>
          <w:tcPr>
            <w:tcW w:w="233" w:type="pct"/>
            <w:vMerge w:val="continue"/>
            <w:tcBorders>
              <w:tl2br w:val="nil"/>
              <w:tr2bl w:val="nil"/>
            </w:tcBorders>
            <w:shd w:val="clear" w:color="auto" w:fill="auto"/>
            <w:noWrap/>
            <w:vAlign w:val="center"/>
          </w:tcPr>
          <w:p w14:paraId="2CD2E506">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496" w:type="pct"/>
            <w:tcBorders>
              <w:tl2br w:val="nil"/>
              <w:tr2bl w:val="nil"/>
            </w:tcBorders>
            <w:shd w:val="clear" w:color="auto" w:fill="auto"/>
            <w:noWrap/>
            <w:vAlign w:val="center"/>
          </w:tcPr>
          <w:p w14:paraId="2437AF8E">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未按法律规定在产品页面展示水效标识，或者销售应当标注但未标注水效标识的产品</w:t>
            </w:r>
          </w:p>
        </w:tc>
        <w:tc>
          <w:tcPr>
            <w:tcW w:w="840" w:type="pct"/>
            <w:tcBorders>
              <w:tl2br w:val="nil"/>
              <w:tr2bl w:val="nil"/>
            </w:tcBorders>
            <w:shd w:val="clear" w:color="auto" w:fill="auto"/>
            <w:vAlign w:val="center"/>
          </w:tcPr>
          <w:p w14:paraId="6461C03E">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1.产品已经检验检测确定水效等级；</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2.及时改正；</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3.没有造成危害后果；</w:t>
            </w:r>
          </w:p>
        </w:tc>
        <w:tc>
          <w:tcPr>
            <w:tcW w:w="1504" w:type="pct"/>
            <w:tcBorders>
              <w:tl2br w:val="nil"/>
              <w:tr2bl w:val="nil"/>
            </w:tcBorders>
            <w:shd w:val="clear" w:color="auto" w:fill="auto"/>
            <w:vAlign w:val="center"/>
          </w:tcPr>
          <w:p w14:paraId="039E699A">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《水效标识管理办法》第八条</w:t>
            </w:r>
            <w:r>
              <w:rPr>
                <w:rFonts w:hint="eastAsia" w:ascii="方正仿宋_GBK" w:hAnsi="方正仿宋_GBK" w:eastAsia="方正仿宋_GBK" w:cs="方正仿宋_GBK"/>
                <w:i w:val="0"/>
                <w:iCs w:val="0"/>
                <w:color w:val="auto"/>
                <w:kern w:val="0"/>
                <w:sz w:val="24"/>
                <w:szCs w:val="24"/>
                <w:u w:val="none"/>
                <w:lang w:val="en-US" w:eastAsia="zh-CN" w:bidi="ar"/>
              </w:rPr>
              <w:t>　凡列入《目录》的产品，应当在产品或者产品最小包装的明显部位标注水效标识，并在产品使用说明书中予以说明。对于网络交易，销售者应当在产品信息展示主页面醒目位置展示相应的水效标识。</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b/>
                <w:bCs/>
                <w:i w:val="0"/>
                <w:iCs w:val="0"/>
                <w:color w:val="auto"/>
                <w:kern w:val="0"/>
                <w:sz w:val="24"/>
                <w:szCs w:val="24"/>
                <w:u w:val="none"/>
                <w:lang w:val="en-US" w:eastAsia="zh-CN" w:bidi="ar"/>
              </w:rPr>
              <w:t>《水效标识管理办法》第二十一条</w:t>
            </w:r>
            <w:r>
              <w:rPr>
                <w:rFonts w:hint="eastAsia" w:ascii="方正仿宋_GBK" w:hAnsi="方正仿宋_GBK" w:eastAsia="方正仿宋_GBK" w:cs="方正仿宋_GBK"/>
                <w:i w:val="0"/>
                <w:iCs w:val="0"/>
                <w:color w:val="auto"/>
                <w:kern w:val="0"/>
                <w:sz w:val="24"/>
                <w:szCs w:val="24"/>
                <w:u w:val="none"/>
                <w:lang w:val="en-US" w:eastAsia="zh-CN" w:bidi="ar"/>
              </w:rPr>
              <w:t>　销售者（含网络商品经营者）应当建立并执行进货检查验收制度，对列入《目录》的产品，验明产品水效标识，不得销售应当标注但未标注水效标识的产品，不得伪造或者冒用水效标识。</w:t>
            </w:r>
          </w:p>
        </w:tc>
        <w:tc>
          <w:tcPr>
            <w:tcW w:w="1671" w:type="pct"/>
            <w:tcBorders>
              <w:tl2br w:val="nil"/>
              <w:tr2bl w:val="nil"/>
            </w:tcBorders>
            <w:shd w:val="clear" w:color="auto" w:fill="auto"/>
            <w:vAlign w:val="center"/>
          </w:tcPr>
          <w:p w14:paraId="7C1CF8AA">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《水效标识管理办法》第二十八条　</w:t>
            </w:r>
            <w:r>
              <w:rPr>
                <w:rFonts w:hint="eastAsia" w:ascii="方正仿宋_GBK" w:hAnsi="方正仿宋_GBK" w:eastAsia="方正仿宋_GBK" w:cs="方正仿宋_GBK"/>
                <w:i w:val="0"/>
                <w:iCs w:val="0"/>
                <w:color w:val="auto"/>
                <w:kern w:val="0"/>
                <w:sz w:val="24"/>
                <w:szCs w:val="24"/>
                <w:u w:val="none"/>
                <w:lang w:val="en-US" w:eastAsia="zh-CN" w:bidi="ar"/>
              </w:rPr>
              <w:t>违反本办法规定，销售者（含网络商品经营者）有下列情形之一的，予以通报，并处1万元以上3万元以下罚款：</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（一）销售应当标注但未标注</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水效标识的产品的；</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（二）销售使用不符合规定的水效标识的产品的；</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（三）在网络交易产品信息主页面展示的水效标识不符合规定的；</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（四）伪造、冒用水效标识的。</w:t>
            </w:r>
          </w:p>
        </w:tc>
      </w:tr>
      <w:tr w14:paraId="788D8B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1995" w:hRule="atLeast"/>
        </w:trPr>
        <w:tc>
          <w:tcPr>
            <w:tcW w:w="253" w:type="pct"/>
            <w:tcBorders>
              <w:tl2br w:val="nil"/>
              <w:tr2bl w:val="nil"/>
            </w:tcBorders>
            <w:shd w:val="clear" w:color="auto" w:fill="auto"/>
            <w:noWrap/>
            <w:vAlign w:val="center"/>
          </w:tcPr>
          <w:p w14:paraId="0486A6CB">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5</w:t>
            </w:r>
          </w:p>
        </w:tc>
        <w:tc>
          <w:tcPr>
            <w:tcW w:w="233" w:type="pct"/>
            <w:vMerge w:val="continue"/>
            <w:tcBorders>
              <w:tl2br w:val="nil"/>
              <w:tr2bl w:val="nil"/>
            </w:tcBorders>
            <w:shd w:val="clear" w:color="auto" w:fill="auto"/>
            <w:noWrap/>
            <w:vAlign w:val="center"/>
          </w:tcPr>
          <w:p w14:paraId="04C2375C">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496" w:type="pct"/>
            <w:tcBorders>
              <w:tl2br w:val="nil"/>
              <w:tr2bl w:val="nil"/>
            </w:tcBorders>
            <w:shd w:val="clear" w:color="auto" w:fill="auto"/>
            <w:noWrap/>
            <w:vAlign w:val="center"/>
          </w:tcPr>
          <w:p w14:paraId="2E1750CF">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经销的商品印有未经核准注册、备案或者伪造的商品条码</w:t>
            </w:r>
          </w:p>
        </w:tc>
        <w:tc>
          <w:tcPr>
            <w:tcW w:w="840" w:type="pct"/>
            <w:tcBorders>
              <w:tl2br w:val="nil"/>
              <w:tr2bl w:val="nil"/>
            </w:tcBorders>
            <w:shd w:val="clear" w:color="auto" w:fill="auto"/>
            <w:vAlign w:val="center"/>
          </w:tcPr>
          <w:p w14:paraId="5637B633">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1.能够说明商品来源；</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2.该商品条码并非由经营者印刷或附加；</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3.及时改正；</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4.没有造成危害后果。</w:t>
            </w:r>
          </w:p>
        </w:tc>
        <w:tc>
          <w:tcPr>
            <w:tcW w:w="1504" w:type="pct"/>
            <w:tcBorders>
              <w:tl2br w:val="nil"/>
              <w:tr2bl w:val="nil"/>
            </w:tcBorders>
            <w:shd w:val="clear" w:color="auto" w:fill="auto"/>
            <w:vAlign w:val="center"/>
          </w:tcPr>
          <w:p w14:paraId="4A09543F">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《商品条码管理办法》第二十一条</w:t>
            </w:r>
            <w:r>
              <w:rPr>
                <w:rFonts w:hint="eastAsia" w:ascii="方正仿宋_GBK" w:hAnsi="方正仿宋_GBK" w:eastAsia="方正仿宋_GBK" w:cs="方正仿宋_GBK"/>
                <w:i w:val="0"/>
                <w:iCs w:val="0"/>
                <w:color w:val="auto"/>
                <w:kern w:val="0"/>
                <w:sz w:val="24"/>
                <w:szCs w:val="24"/>
                <w:u w:val="none"/>
                <w:lang w:val="en-US" w:eastAsia="zh-CN" w:bidi="ar"/>
              </w:rPr>
              <w:t>　任何单位和个人未经核准注册不得使用厂商识别代码和相应的条码。</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任何单位和个人不得在商品包装上使用其他条码冒充商品条码；不得伪造商品条码。</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b/>
                <w:bCs/>
                <w:i w:val="0"/>
                <w:iCs w:val="0"/>
                <w:color w:val="auto"/>
                <w:kern w:val="0"/>
                <w:sz w:val="24"/>
                <w:szCs w:val="24"/>
                <w:u w:val="none"/>
                <w:lang w:val="en-US" w:eastAsia="zh-CN" w:bidi="ar"/>
              </w:rPr>
              <w:t>《商品条码管理办法》第二十四条</w:t>
            </w:r>
            <w:r>
              <w:rPr>
                <w:rFonts w:hint="eastAsia" w:ascii="方正仿宋_GBK" w:hAnsi="方正仿宋_GBK" w:eastAsia="方正仿宋_GBK" w:cs="方正仿宋_GBK"/>
                <w:i w:val="0"/>
                <w:iCs w:val="0"/>
                <w:color w:val="auto"/>
                <w:kern w:val="0"/>
                <w:sz w:val="24"/>
                <w:szCs w:val="24"/>
                <w:u w:val="none"/>
                <w:lang w:val="en-US" w:eastAsia="zh-CN" w:bidi="ar"/>
              </w:rPr>
              <w:t>　销售者不得经销违反第二十一条规定的商品。</w:t>
            </w:r>
          </w:p>
        </w:tc>
        <w:tc>
          <w:tcPr>
            <w:tcW w:w="1671" w:type="pct"/>
            <w:tcBorders>
              <w:tl2br w:val="nil"/>
              <w:tr2bl w:val="nil"/>
            </w:tcBorders>
            <w:shd w:val="clear" w:color="auto" w:fill="auto"/>
            <w:noWrap/>
            <w:vAlign w:val="center"/>
          </w:tcPr>
          <w:p w14:paraId="27775679">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《商品条码管理办法》第三十六条</w:t>
            </w:r>
            <w:r>
              <w:rPr>
                <w:rFonts w:hint="eastAsia" w:ascii="方正仿宋_GBK" w:hAnsi="方正仿宋_GBK" w:eastAsia="方正仿宋_GBK" w:cs="方正仿宋_GBK"/>
                <w:i w:val="0"/>
                <w:iCs w:val="0"/>
                <w:color w:val="auto"/>
                <w:kern w:val="0"/>
                <w:sz w:val="24"/>
                <w:szCs w:val="24"/>
                <w:u w:val="none"/>
                <w:lang w:val="en-US" w:eastAsia="zh-CN" w:bidi="ar"/>
              </w:rPr>
              <w:t xml:space="preserve"> 经销的商品印有未经核准注册、备案或者伪造的商品条码的，责令其改正，处以10000元以下罚款。</w:t>
            </w:r>
          </w:p>
        </w:tc>
      </w:tr>
      <w:tr w14:paraId="1B4069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1660" w:hRule="atLeast"/>
        </w:trPr>
        <w:tc>
          <w:tcPr>
            <w:tcW w:w="253" w:type="pct"/>
            <w:tcBorders>
              <w:tl2br w:val="nil"/>
              <w:tr2bl w:val="nil"/>
            </w:tcBorders>
            <w:shd w:val="clear" w:color="auto" w:fill="auto"/>
            <w:noWrap/>
            <w:vAlign w:val="center"/>
          </w:tcPr>
          <w:p w14:paraId="332CB6A5">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6</w:t>
            </w:r>
          </w:p>
        </w:tc>
        <w:tc>
          <w:tcPr>
            <w:tcW w:w="233" w:type="pct"/>
            <w:vMerge w:val="continue"/>
            <w:tcBorders>
              <w:tl2br w:val="nil"/>
              <w:tr2bl w:val="nil"/>
            </w:tcBorders>
            <w:shd w:val="clear" w:color="auto" w:fill="auto"/>
            <w:noWrap/>
            <w:vAlign w:val="center"/>
          </w:tcPr>
          <w:p w14:paraId="6CBFD080">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496" w:type="pct"/>
            <w:tcBorders>
              <w:tl2br w:val="nil"/>
              <w:tr2bl w:val="nil"/>
            </w:tcBorders>
            <w:shd w:val="clear" w:color="auto" w:fill="auto"/>
            <w:noWrap/>
            <w:vAlign w:val="center"/>
          </w:tcPr>
          <w:p w14:paraId="56670E83">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使用已经注销的厂商识别代码和相应商品条码</w:t>
            </w:r>
          </w:p>
        </w:tc>
        <w:tc>
          <w:tcPr>
            <w:tcW w:w="840" w:type="pct"/>
            <w:tcBorders>
              <w:tl2br w:val="nil"/>
              <w:tr2bl w:val="nil"/>
            </w:tcBorders>
            <w:shd w:val="clear" w:color="auto" w:fill="auto"/>
            <w:vAlign w:val="center"/>
          </w:tcPr>
          <w:p w14:paraId="3C76FF1F">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同时具备以下条件的：</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1.在责令改正期限内重新申请注册厂商识别代码；</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2.没有造成危害后果。</w:t>
            </w:r>
          </w:p>
        </w:tc>
        <w:tc>
          <w:tcPr>
            <w:tcW w:w="1504" w:type="pct"/>
            <w:tcBorders>
              <w:tl2br w:val="nil"/>
              <w:tr2bl w:val="nil"/>
            </w:tcBorders>
            <w:shd w:val="clear" w:color="auto" w:fill="auto"/>
            <w:vAlign w:val="center"/>
          </w:tcPr>
          <w:p w14:paraId="149CA09A">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《商品条码管理办法》第三十二条 </w:t>
            </w:r>
            <w:r>
              <w:rPr>
                <w:rFonts w:hint="eastAsia" w:ascii="方正仿宋_GBK" w:hAnsi="方正仿宋_GBK" w:eastAsia="方正仿宋_GBK" w:cs="方正仿宋_GBK"/>
                <w:i w:val="0"/>
                <w:iCs w:val="0"/>
                <w:color w:val="auto"/>
                <w:kern w:val="0"/>
                <w:sz w:val="24"/>
                <w:szCs w:val="24"/>
                <w:u w:val="none"/>
                <w:lang w:val="en-US" w:eastAsia="zh-CN" w:bidi="ar"/>
              </w:rPr>
              <w:t>任何单位和个人不得擅自使用已经注销的厂商识别代码和相应条码。</w:t>
            </w:r>
          </w:p>
        </w:tc>
        <w:tc>
          <w:tcPr>
            <w:tcW w:w="1671" w:type="pct"/>
            <w:tcBorders>
              <w:tl2br w:val="nil"/>
              <w:tr2bl w:val="nil"/>
            </w:tcBorders>
            <w:shd w:val="clear" w:color="auto" w:fill="auto"/>
            <w:noWrap/>
            <w:vAlign w:val="center"/>
          </w:tcPr>
          <w:p w14:paraId="6FAC7551">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《商品条码管理办法》</w:t>
            </w:r>
            <w:r>
              <w:rPr>
                <w:rFonts w:hint="eastAsia" w:ascii="方正仿宋_GBK" w:hAnsi="方正仿宋_GBK" w:eastAsia="方正仿宋_GBK" w:cs="方正仿宋_GBK"/>
                <w:i w:val="0"/>
                <w:iCs w:val="0"/>
                <w:color w:val="auto"/>
                <w:kern w:val="0"/>
                <w:sz w:val="24"/>
                <w:szCs w:val="24"/>
                <w:u w:val="none"/>
                <w:lang w:val="en-US" w:eastAsia="zh-CN" w:bidi="ar"/>
              </w:rPr>
              <w:t>第三十五条 未经核准注册使用厂商识别代码和相应商品条码的，在商品包装上使用其他条码冒充商品条码或伪造商品条码的，或者使用已经注销的厂商识别代码和相应商品条码的，责令其改正，处以30000元以下罚款。</w:t>
            </w:r>
          </w:p>
        </w:tc>
      </w:tr>
      <w:tr w14:paraId="75E6AD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460" w:hRule="atLeast"/>
        </w:trPr>
        <w:tc>
          <w:tcPr>
            <w:tcW w:w="253" w:type="pct"/>
            <w:tcBorders>
              <w:tl2br w:val="nil"/>
              <w:tr2bl w:val="nil"/>
            </w:tcBorders>
            <w:shd w:val="clear" w:color="auto" w:fill="auto"/>
            <w:noWrap/>
            <w:vAlign w:val="center"/>
          </w:tcPr>
          <w:p w14:paraId="49167C88">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7</w:t>
            </w:r>
          </w:p>
        </w:tc>
        <w:tc>
          <w:tcPr>
            <w:tcW w:w="233" w:type="pct"/>
            <w:tcBorders>
              <w:tl2br w:val="nil"/>
              <w:tr2bl w:val="nil"/>
            </w:tcBorders>
            <w:shd w:val="clear" w:color="auto" w:fill="auto"/>
            <w:noWrap/>
            <w:vAlign w:val="center"/>
          </w:tcPr>
          <w:p w14:paraId="3AF98F18">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lang w:val="en-US" w:eastAsia="zh-CN"/>
              </w:rPr>
            </w:pPr>
            <w:r>
              <w:rPr>
                <w:rFonts w:hint="eastAsia" w:ascii="方正黑体_GBK" w:hAnsi="方正黑体_GBK" w:eastAsia="方正黑体_GBK" w:cs="方正黑体_GBK"/>
                <w:i w:val="0"/>
                <w:iCs w:val="0"/>
                <w:color w:val="auto"/>
                <w:sz w:val="24"/>
                <w:szCs w:val="24"/>
                <w:u w:val="none"/>
                <w:lang w:val="en-US" w:eastAsia="zh-CN"/>
              </w:rPr>
              <w:t>价格</w:t>
            </w:r>
          </w:p>
        </w:tc>
        <w:tc>
          <w:tcPr>
            <w:tcW w:w="496" w:type="pct"/>
            <w:tcBorders>
              <w:tl2br w:val="nil"/>
              <w:tr2bl w:val="nil"/>
            </w:tcBorders>
            <w:shd w:val="clear" w:color="auto" w:fill="auto"/>
            <w:noWrap/>
            <w:vAlign w:val="center"/>
          </w:tcPr>
          <w:p w14:paraId="1D42EB9A">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经营者在标价之外加价出售商品或者提供服务</w:t>
            </w:r>
          </w:p>
        </w:tc>
        <w:tc>
          <w:tcPr>
            <w:tcW w:w="840" w:type="pct"/>
            <w:tcBorders>
              <w:tl2br w:val="nil"/>
              <w:tr2bl w:val="nil"/>
            </w:tcBorders>
            <w:shd w:val="clear" w:color="auto" w:fill="auto"/>
            <w:vAlign w:val="center"/>
          </w:tcPr>
          <w:p w14:paraId="0D36C155">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1.经营商品种类、数量较多，因非主观故意因素导致个别商品的标示价格与结算价格不一致；</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2.案涉商品数量较少，或加收的金额较小；</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3.及时退赔加收的费用。</w:t>
            </w:r>
          </w:p>
        </w:tc>
        <w:tc>
          <w:tcPr>
            <w:tcW w:w="1504" w:type="pct"/>
            <w:tcBorders>
              <w:tl2br w:val="nil"/>
              <w:tr2bl w:val="nil"/>
            </w:tcBorders>
            <w:shd w:val="clear" w:color="auto" w:fill="auto"/>
            <w:vAlign w:val="center"/>
          </w:tcPr>
          <w:p w14:paraId="3B51DD03">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《价格法》第十三条第一款</w:t>
            </w:r>
            <w:r>
              <w:rPr>
                <w:rFonts w:hint="eastAsia" w:ascii="方正仿宋_GBK" w:hAnsi="方正仿宋_GBK" w:eastAsia="方正仿宋_GBK" w:cs="方正仿宋_GBK"/>
                <w:i w:val="0"/>
                <w:iCs w:val="0"/>
                <w:color w:val="auto"/>
                <w:kern w:val="0"/>
                <w:sz w:val="24"/>
                <w:szCs w:val="24"/>
                <w:u w:val="none"/>
                <w:lang w:val="en-US" w:eastAsia="zh-CN" w:bidi="ar"/>
              </w:rPr>
              <w:t xml:space="preserve">  经营者销售、收购商品和提供服务，应当按照政府价格主管部门的规定明码标价，注明商品的品名、产地、规格、等级、计价单位、价格或者服务的项目、收费标准等有关情况。</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b/>
                <w:bCs/>
                <w:i w:val="0"/>
                <w:iCs w:val="0"/>
                <w:color w:val="auto"/>
                <w:kern w:val="0"/>
                <w:sz w:val="24"/>
                <w:szCs w:val="24"/>
                <w:u w:val="none"/>
                <w:lang w:val="en-US" w:eastAsia="zh-CN" w:bidi="ar"/>
              </w:rPr>
              <w:t xml:space="preserve">《明码标价和禁止价格欺诈规定》第八条  </w:t>
            </w:r>
            <w:r>
              <w:rPr>
                <w:rFonts w:hint="eastAsia" w:ascii="方正仿宋_GBK" w:hAnsi="方正仿宋_GBK" w:eastAsia="方正仿宋_GBK" w:cs="方正仿宋_GBK"/>
                <w:i w:val="0"/>
                <w:iCs w:val="0"/>
                <w:color w:val="auto"/>
                <w:kern w:val="0"/>
                <w:sz w:val="24"/>
                <w:szCs w:val="24"/>
                <w:u w:val="none"/>
                <w:lang w:val="en-US" w:eastAsia="zh-CN" w:bidi="ar"/>
              </w:rPr>
              <w:t>经营者在销售商品或者提供服务时，不得在标价之外加价出售商品或者提供服务，不得收取任何未予标明的费用。</w:t>
            </w:r>
          </w:p>
        </w:tc>
        <w:tc>
          <w:tcPr>
            <w:tcW w:w="1671" w:type="pct"/>
            <w:tcBorders>
              <w:tl2br w:val="nil"/>
              <w:tr2bl w:val="nil"/>
            </w:tcBorders>
            <w:shd w:val="clear" w:color="auto" w:fill="auto"/>
            <w:noWrap/>
            <w:vAlign w:val="center"/>
          </w:tcPr>
          <w:p w14:paraId="08603D17">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《价格法》第四十二条 </w:t>
            </w:r>
            <w:r>
              <w:rPr>
                <w:rFonts w:hint="eastAsia" w:ascii="方正仿宋_GBK" w:hAnsi="方正仿宋_GBK" w:eastAsia="方正仿宋_GBK" w:cs="方正仿宋_GBK"/>
                <w:i w:val="0"/>
                <w:iCs w:val="0"/>
                <w:color w:val="auto"/>
                <w:kern w:val="0"/>
                <w:sz w:val="24"/>
                <w:szCs w:val="24"/>
                <w:u w:val="none"/>
                <w:lang w:val="en-US" w:eastAsia="zh-CN" w:bidi="ar"/>
              </w:rPr>
              <w:t xml:space="preserve"> 经营者违反明码标价规定的，责令改正，没收违法所得，可以并处五千元以下的罚款。</w:t>
            </w:r>
          </w:p>
        </w:tc>
      </w:tr>
      <w:tr w14:paraId="15D1F8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6620" w:hRule="atLeast"/>
        </w:trPr>
        <w:tc>
          <w:tcPr>
            <w:tcW w:w="253" w:type="pct"/>
            <w:tcBorders>
              <w:tl2br w:val="nil"/>
              <w:tr2bl w:val="nil"/>
            </w:tcBorders>
            <w:shd w:val="clear" w:color="auto" w:fill="auto"/>
            <w:noWrap/>
            <w:vAlign w:val="center"/>
          </w:tcPr>
          <w:p w14:paraId="4D22338D">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8</w:t>
            </w:r>
          </w:p>
        </w:tc>
        <w:tc>
          <w:tcPr>
            <w:tcW w:w="233" w:type="pct"/>
            <w:vMerge w:val="restart"/>
            <w:tcBorders>
              <w:tl2br w:val="nil"/>
              <w:tr2bl w:val="nil"/>
            </w:tcBorders>
            <w:shd w:val="clear" w:color="auto" w:fill="auto"/>
            <w:noWrap/>
            <w:vAlign w:val="center"/>
          </w:tcPr>
          <w:p w14:paraId="51383E2E">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黑体_GBK" w:hAnsi="方正黑体_GBK" w:eastAsia="方正黑体_GBK" w:cs="方正黑体_GBK"/>
                <w:i w:val="0"/>
                <w:iCs w:val="0"/>
                <w:color w:val="auto"/>
                <w:sz w:val="24"/>
                <w:szCs w:val="24"/>
                <w:u w:val="none"/>
              </w:rPr>
            </w:pPr>
            <w:r>
              <w:rPr>
                <w:rFonts w:hint="eastAsia" w:ascii="方正黑体_GBK" w:hAnsi="方正黑体_GBK" w:eastAsia="方正黑体_GBK" w:cs="方正黑体_GBK"/>
                <w:i w:val="0"/>
                <w:iCs w:val="0"/>
                <w:color w:val="auto"/>
                <w:kern w:val="0"/>
                <w:sz w:val="24"/>
                <w:szCs w:val="24"/>
                <w:u w:val="none"/>
                <w:lang w:val="en-US" w:eastAsia="zh-CN" w:bidi="ar"/>
              </w:rPr>
              <w:t>广告</w:t>
            </w:r>
          </w:p>
        </w:tc>
        <w:tc>
          <w:tcPr>
            <w:tcW w:w="496" w:type="pct"/>
            <w:tcBorders>
              <w:tl2br w:val="nil"/>
              <w:tr2bl w:val="nil"/>
            </w:tcBorders>
            <w:shd w:val="clear" w:color="auto" w:fill="auto"/>
            <w:noWrap/>
            <w:vAlign w:val="center"/>
          </w:tcPr>
          <w:p w14:paraId="72017B1E">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发布的药品、医疗器械、保健食品和特殊医学用途配方食品广告与广告批准文件内容不一致</w:t>
            </w:r>
          </w:p>
        </w:tc>
        <w:tc>
          <w:tcPr>
            <w:tcW w:w="840" w:type="pct"/>
            <w:tcBorders>
              <w:tl2br w:val="nil"/>
              <w:tr2bl w:val="nil"/>
            </w:tcBorders>
            <w:shd w:val="clear" w:color="auto" w:fill="auto"/>
            <w:vAlign w:val="center"/>
          </w:tcPr>
          <w:p w14:paraId="0DA6A5AF">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1.已取得广告批准文号且在有效期内；</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2.超出原审查批准广告发布的内容不虚假且不会对消费者产生误导；</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3.及时改正；</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4.没有造成危害后果。</w:t>
            </w:r>
          </w:p>
        </w:tc>
        <w:tc>
          <w:tcPr>
            <w:tcW w:w="1504" w:type="pct"/>
            <w:tcBorders>
              <w:tl2br w:val="nil"/>
              <w:tr2bl w:val="nil"/>
            </w:tcBorders>
            <w:shd w:val="clear" w:color="auto" w:fill="auto"/>
            <w:vAlign w:val="center"/>
          </w:tcPr>
          <w:p w14:paraId="0D0E02BE">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《互联网广告管理办法》 第七条</w:t>
            </w:r>
            <w:r>
              <w:rPr>
                <w:rFonts w:hint="eastAsia" w:ascii="方正仿宋_GBK" w:hAnsi="方正仿宋_GBK" w:eastAsia="方正仿宋_GBK" w:cs="方正仿宋_GBK"/>
                <w:i w:val="0"/>
                <w:iCs w:val="0"/>
                <w:color w:val="auto"/>
                <w:kern w:val="0"/>
                <w:sz w:val="24"/>
                <w:szCs w:val="24"/>
                <w:u w:val="none"/>
                <w:lang w:val="en-US" w:eastAsia="zh-CN" w:bidi="ar"/>
              </w:rPr>
              <w:t xml:space="preserve"> 对须经审查的互联网广告，应当严格按照审查通过的内容发布，不得剪辑、拼接、修改。已经审查通过的广告内容需要改动的，应当重新申请广告审查。</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b/>
                <w:bCs/>
                <w:i w:val="0"/>
                <w:iCs w:val="0"/>
                <w:color w:val="auto"/>
                <w:kern w:val="0"/>
                <w:sz w:val="24"/>
                <w:szCs w:val="24"/>
                <w:u w:val="none"/>
                <w:lang w:val="en-US" w:eastAsia="zh-CN" w:bidi="ar"/>
              </w:rPr>
              <w:t>《药品、医疗器械、保健食品、特殊医学用途配方食品广告审查管理暂行办法》 第二十条</w:t>
            </w:r>
            <w:r>
              <w:rPr>
                <w:rFonts w:hint="eastAsia" w:ascii="方正仿宋_GBK" w:hAnsi="方正仿宋_GBK" w:eastAsia="方正仿宋_GBK" w:cs="方正仿宋_GBK"/>
                <w:i w:val="0"/>
                <w:iCs w:val="0"/>
                <w:color w:val="auto"/>
                <w:kern w:val="0"/>
                <w:sz w:val="24"/>
                <w:szCs w:val="24"/>
                <w:u w:val="none"/>
                <w:lang w:val="en-US" w:eastAsia="zh-CN" w:bidi="ar"/>
              </w:rPr>
              <w:t xml:space="preserve"> 广告主、广告经营者、广告发布者应当严格按照审查通过的内容发布药品、医疗器械、保健食品和特殊医学用途配方食品广告，不得进行剪辑、拼接、修改。已经审查通过的广告内容需要改动的，应当重新申请广告审查。</w:t>
            </w:r>
          </w:p>
        </w:tc>
        <w:tc>
          <w:tcPr>
            <w:tcW w:w="1671" w:type="pct"/>
            <w:tcBorders>
              <w:tl2br w:val="nil"/>
              <w:tr2bl w:val="nil"/>
            </w:tcBorders>
            <w:shd w:val="clear" w:color="auto" w:fill="auto"/>
            <w:vAlign w:val="center"/>
          </w:tcPr>
          <w:p w14:paraId="22252BA6">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《药品、医疗器械、保健食品、特殊医学用途配方食品广告审查管理暂行办法》 第二十六条</w:t>
            </w:r>
            <w:r>
              <w:rPr>
                <w:rFonts w:hint="eastAsia" w:ascii="方正仿宋_GBK" w:hAnsi="方正仿宋_GBK" w:eastAsia="方正仿宋_GBK" w:cs="方正仿宋_GBK"/>
                <w:i w:val="0"/>
                <w:iCs w:val="0"/>
                <w:color w:val="auto"/>
                <w:kern w:val="0"/>
                <w:sz w:val="24"/>
                <w:szCs w:val="24"/>
                <w:u w:val="none"/>
                <w:lang w:val="en-US" w:eastAsia="zh-CN" w:bidi="ar"/>
              </w:rPr>
              <w:t xml:space="preserve"> 有下列情形之一的，按照《中华人民共和国广告法》第五十八条处罚：（三）违反本办法第二十条规定，未按照审查通过的内容发布药品、医疗器械、保健食品和特殊医学用途配方食品广告。</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b/>
                <w:bCs/>
                <w:i w:val="0"/>
                <w:iCs w:val="0"/>
                <w:color w:val="auto"/>
                <w:kern w:val="0"/>
                <w:sz w:val="24"/>
                <w:szCs w:val="24"/>
                <w:u w:val="none"/>
                <w:lang w:val="en-US" w:eastAsia="zh-CN" w:bidi="ar"/>
              </w:rPr>
              <w:t>《广告法》 第五十八条第一款第十四项</w:t>
            </w:r>
            <w:r>
              <w:rPr>
                <w:rFonts w:hint="eastAsia" w:ascii="方正仿宋_GBK" w:hAnsi="方正仿宋_GBK" w:eastAsia="方正仿宋_GBK" w:cs="方正仿宋_GBK"/>
                <w:i w:val="0"/>
                <w:iCs w:val="0"/>
                <w:color w:val="auto"/>
                <w:kern w:val="0"/>
                <w:sz w:val="24"/>
                <w:szCs w:val="24"/>
                <w:u w:val="none"/>
                <w:lang w:val="en-US" w:eastAsia="zh-CN" w:bidi="ar"/>
              </w:rPr>
              <w:t>　有下列行为之一的，由市场监督管理部门责令停止发布广告，责令广告主在相应范围内消除影响，处广告费用一倍以上三倍以下的罚款，广告费用无法计算或者明显偏低的，处十万元以上二十万元以下的罚款；情节严重的，处广告费用三倍以上五倍以下的罚款，广告费用无法计算或者明显偏低的，处二十万元以上一百万元以下的罚款，可以吊销营业执照，并由广告审查机关撤销广告审查批准文件、一年内不受理其广告审查申请：（十四）违反本法第四十六条规定，未经审查发布广告的。</w:t>
            </w:r>
          </w:p>
        </w:tc>
      </w:tr>
      <w:tr w14:paraId="56BE3C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7235" w:hRule="atLeast"/>
        </w:trPr>
        <w:tc>
          <w:tcPr>
            <w:tcW w:w="253" w:type="pct"/>
            <w:tcBorders>
              <w:tl2br w:val="nil"/>
              <w:tr2bl w:val="nil"/>
            </w:tcBorders>
            <w:shd w:val="clear" w:color="auto" w:fill="auto"/>
            <w:noWrap/>
            <w:vAlign w:val="center"/>
          </w:tcPr>
          <w:p w14:paraId="7CC50E91">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9</w:t>
            </w:r>
          </w:p>
        </w:tc>
        <w:tc>
          <w:tcPr>
            <w:tcW w:w="233" w:type="pct"/>
            <w:vMerge w:val="continue"/>
            <w:tcBorders>
              <w:tl2br w:val="nil"/>
              <w:tr2bl w:val="nil"/>
            </w:tcBorders>
            <w:shd w:val="clear" w:color="auto" w:fill="auto"/>
            <w:noWrap/>
            <w:vAlign w:val="center"/>
          </w:tcPr>
          <w:p w14:paraId="6916FDCD">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496" w:type="pct"/>
            <w:tcBorders>
              <w:tl2br w:val="nil"/>
              <w:tr2bl w:val="nil"/>
            </w:tcBorders>
            <w:shd w:val="clear" w:color="auto" w:fill="auto"/>
            <w:noWrap/>
            <w:vAlign w:val="center"/>
          </w:tcPr>
          <w:p w14:paraId="4926B93D">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发布医疗、药品、医疗器械、农药、兽药和保健食品以及其他依法需要审查的广告，未标注已取得的审查批准文号</w:t>
            </w:r>
          </w:p>
        </w:tc>
        <w:tc>
          <w:tcPr>
            <w:tcW w:w="840" w:type="pct"/>
            <w:tcBorders>
              <w:tl2br w:val="nil"/>
              <w:tr2bl w:val="nil"/>
            </w:tcBorders>
            <w:shd w:val="clear" w:color="auto" w:fill="auto"/>
            <w:vAlign w:val="center"/>
          </w:tcPr>
          <w:p w14:paraId="67C477FA">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1.已取得审查批准文号且在有效期内；</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2.广告发布内容与原审查批准内容一致；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3.及时改正；</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4.没有造成危害后果。</w:t>
            </w:r>
          </w:p>
        </w:tc>
        <w:tc>
          <w:tcPr>
            <w:tcW w:w="1504" w:type="pct"/>
            <w:tcBorders>
              <w:tl2br w:val="nil"/>
              <w:tr2bl w:val="nil"/>
            </w:tcBorders>
            <w:shd w:val="clear" w:color="auto" w:fill="auto"/>
            <w:vAlign w:val="center"/>
          </w:tcPr>
          <w:p w14:paraId="2C542181">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《广告法》第四十六条</w:t>
            </w:r>
            <w:r>
              <w:rPr>
                <w:rFonts w:hint="eastAsia" w:ascii="方正仿宋_GBK" w:hAnsi="方正仿宋_GBK" w:eastAsia="方正仿宋_GBK" w:cs="方正仿宋_GBK"/>
                <w:i w:val="0"/>
                <w:iCs w:val="0"/>
                <w:color w:val="auto"/>
                <w:kern w:val="0"/>
                <w:sz w:val="24"/>
                <w:szCs w:val="24"/>
                <w:u w:val="none"/>
                <w:lang w:val="en-US" w:eastAsia="zh-CN" w:bidi="ar"/>
              </w:rPr>
              <w:t xml:space="preserve">  发布医疗、药品、医疗器械、农药、兽药和保健食品广告，以及法律、行政法规规定应当进行审查的其他广告，应当在发布前由有关部门（以下称广告审查机关）对广告内容进行审查；未经审查，不得发布。</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b/>
                <w:bCs/>
                <w:i w:val="0"/>
                <w:iCs w:val="0"/>
                <w:color w:val="auto"/>
                <w:kern w:val="0"/>
                <w:sz w:val="24"/>
                <w:szCs w:val="24"/>
                <w:u w:val="none"/>
                <w:lang w:val="en-US" w:eastAsia="zh-CN" w:bidi="ar"/>
              </w:rPr>
              <w:t>《药品、医疗器械、保健食品、特殊医学用途配方食品广告审查管理暂行办法》第九条</w:t>
            </w:r>
            <w:r>
              <w:rPr>
                <w:rFonts w:hint="eastAsia" w:ascii="方正仿宋_GBK" w:hAnsi="方正仿宋_GBK" w:eastAsia="方正仿宋_GBK" w:cs="方正仿宋_GBK"/>
                <w:i w:val="0"/>
                <w:iCs w:val="0"/>
                <w:color w:val="auto"/>
                <w:kern w:val="0"/>
                <w:sz w:val="24"/>
                <w:szCs w:val="24"/>
                <w:u w:val="none"/>
                <w:lang w:val="en-US" w:eastAsia="zh-CN" w:bidi="ar"/>
              </w:rPr>
              <w:t xml:space="preserve"> 药品、医疗器械、保健食品和特殊医学用途配方食品广告应当显著标明广告批准文号。</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b/>
                <w:bCs/>
                <w:i w:val="0"/>
                <w:iCs w:val="0"/>
                <w:color w:val="auto"/>
                <w:kern w:val="0"/>
                <w:sz w:val="24"/>
                <w:szCs w:val="24"/>
                <w:u w:val="none"/>
                <w:lang w:val="en-US" w:eastAsia="zh-CN" w:bidi="ar"/>
              </w:rPr>
              <w:t xml:space="preserve">第十条 </w:t>
            </w:r>
            <w:r>
              <w:rPr>
                <w:rFonts w:hint="eastAsia" w:ascii="方正仿宋_GBK" w:hAnsi="方正仿宋_GBK" w:eastAsia="方正仿宋_GBK" w:cs="方正仿宋_GBK"/>
                <w:i w:val="0"/>
                <w:iCs w:val="0"/>
                <w:color w:val="auto"/>
                <w:kern w:val="0"/>
                <w:sz w:val="24"/>
                <w:szCs w:val="24"/>
                <w:u w:val="none"/>
                <w:lang w:val="en-US" w:eastAsia="zh-CN" w:bidi="ar"/>
              </w:rPr>
              <w:t>药品、医疗器械、保健食品和特殊医学用途配方食品广告中应当显著标明的内容，其字体和颜色必须清晰可见、易于辨认，在视频广告中应当持续显示。</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b/>
                <w:bCs/>
                <w:i w:val="0"/>
                <w:iCs w:val="0"/>
                <w:color w:val="auto"/>
                <w:kern w:val="0"/>
                <w:sz w:val="24"/>
                <w:szCs w:val="24"/>
                <w:u w:val="none"/>
                <w:lang w:val="en-US" w:eastAsia="zh-CN" w:bidi="ar"/>
              </w:rPr>
              <w:t xml:space="preserve">《江苏省广告条例》第九条第四款 </w:t>
            </w:r>
            <w:r>
              <w:rPr>
                <w:rFonts w:hint="eastAsia" w:ascii="方正仿宋_GBK" w:hAnsi="方正仿宋_GBK" w:eastAsia="方正仿宋_GBK" w:cs="方正仿宋_GBK"/>
                <w:i w:val="0"/>
                <w:iCs w:val="0"/>
                <w:color w:val="auto"/>
                <w:kern w:val="0"/>
                <w:sz w:val="24"/>
                <w:szCs w:val="24"/>
                <w:u w:val="none"/>
                <w:lang w:val="en-US" w:eastAsia="zh-CN" w:bidi="ar"/>
              </w:rPr>
              <w:t xml:space="preserve"> 药品、医疗、医疗器械、保健食品、特殊医学用途配方食品、农药、兽药以及其他依法需要由有关部门（以下称广告审查机关）审查的广告，应当明示广告审查批准文号。</w:t>
            </w:r>
          </w:p>
        </w:tc>
        <w:tc>
          <w:tcPr>
            <w:tcW w:w="1671" w:type="pct"/>
            <w:tcBorders>
              <w:tl2br w:val="nil"/>
              <w:tr2bl w:val="nil"/>
            </w:tcBorders>
            <w:shd w:val="clear" w:color="auto" w:fill="auto"/>
            <w:vAlign w:val="center"/>
          </w:tcPr>
          <w:p w14:paraId="4D544C16">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《药品、医疗器械、保健食品、特殊医学用途配方食品广告审查管理暂行办法》第二十五条</w:t>
            </w:r>
            <w:r>
              <w:rPr>
                <w:rFonts w:hint="eastAsia" w:ascii="方正仿宋_GBK" w:hAnsi="方正仿宋_GBK" w:eastAsia="方正仿宋_GBK" w:cs="方正仿宋_GBK"/>
                <w:i w:val="0"/>
                <w:iCs w:val="0"/>
                <w:color w:val="auto"/>
                <w:kern w:val="0"/>
                <w:sz w:val="24"/>
                <w:szCs w:val="24"/>
                <w:u w:val="none"/>
                <w:lang w:val="en-US" w:eastAsia="zh-CN" w:bidi="ar"/>
              </w:rPr>
              <w:t xml:space="preserve"> 违反本办法第十条规定，未显著、清晰表示广告中应当显著标明内容的，按照《中华人民共和国广告法》第五十九条处罚。</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b/>
                <w:bCs/>
                <w:i w:val="0"/>
                <w:iCs w:val="0"/>
                <w:color w:val="auto"/>
                <w:kern w:val="0"/>
                <w:sz w:val="24"/>
                <w:szCs w:val="24"/>
                <w:u w:val="none"/>
                <w:lang w:val="en-US" w:eastAsia="zh-CN" w:bidi="ar"/>
              </w:rPr>
              <w:t>《广告法》第五十九条</w:t>
            </w:r>
            <w:r>
              <w:rPr>
                <w:rFonts w:hint="eastAsia" w:ascii="方正仿宋_GBK" w:hAnsi="方正仿宋_GBK" w:eastAsia="方正仿宋_GBK" w:cs="方正仿宋_GBK"/>
                <w:i w:val="0"/>
                <w:iCs w:val="0"/>
                <w:color w:val="auto"/>
                <w:kern w:val="0"/>
                <w:sz w:val="24"/>
                <w:szCs w:val="24"/>
                <w:u w:val="none"/>
                <w:lang w:val="en-US" w:eastAsia="zh-CN" w:bidi="ar"/>
              </w:rPr>
              <w:t xml:space="preserve"> 有下列行为之一的，由市场监督管理部门责令停止发布广告，对广告主处十万元以下的罚款：……</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b/>
                <w:bCs/>
                <w:i w:val="0"/>
                <w:iCs w:val="0"/>
                <w:color w:val="auto"/>
                <w:kern w:val="0"/>
                <w:sz w:val="24"/>
                <w:szCs w:val="24"/>
                <w:u w:val="none"/>
                <w:lang w:val="en-US" w:eastAsia="zh-CN" w:bidi="ar"/>
              </w:rPr>
              <w:t>《江苏省广告条例》第五十四条第一款　</w:t>
            </w:r>
            <w:r>
              <w:rPr>
                <w:rFonts w:hint="eastAsia" w:ascii="方正仿宋_GBK" w:hAnsi="方正仿宋_GBK" w:eastAsia="方正仿宋_GBK" w:cs="方正仿宋_GBK"/>
                <w:i w:val="0"/>
                <w:iCs w:val="0"/>
                <w:color w:val="auto"/>
                <w:kern w:val="0"/>
                <w:sz w:val="24"/>
                <w:szCs w:val="24"/>
                <w:u w:val="none"/>
                <w:lang w:val="en-US" w:eastAsia="zh-CN" w:bidi="ar"/>
              </w:rPr>
              <w:t>违反本条例第九条第二款至第五款规定，发布广告未明示有关内容的，由市场监督管理部门责令停止发布，对广告主处以一万元以上十万元以下的罚款。</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b/>
                <w:bCs/>
                <w:i w:val="0"/>
                <w:iCs w:val="0"/>
                <w:color w:val="auto"/>
                <w:kern w:val="0"/>
                <w:sz w:val="24"/>
                <w:szCs w:val="24"/>
                <w:u w:val="none"/>
                <w:lang w:val="en-US" w:eastAsia="zh-CN" w:bidi="ar"/>
              </w:rPr>
              <w:t>第五十九条第四项</w:t>
            </w:r>
            <w:r>
              <w:rPr>
                <w:rFonts w:hint="eastAsia" w:ascii="方正仿宋_GBK" w:hAnsi="方正仿宋_GBK" w:eastAsia="方正仿宋_GBK" w:cs="方正仿宋_GBK"/>
                <w:i w:val="0"/>
                <w:iCs w:val="0"/>
                <w:color w:val="auto"/>
                <w:kern w:val="0"/>
                <w:sz w:val="24"/>
                <w:szCs w:val="24"/>
                <w:u w:val="none"/>
                <w:lang w:val="en-US" w:eastAsia="zh-CN" w:bidi="ar"/>
              </w:rPr>
              <w:t xml:space="preserve"> 有下列情形之一，违法事实清楚，当场可以查实，且当事人及时改正，主动消除或者减轻危害后果的，依法从轻、减轻处罚；违法行为轻微并及时纠正，没有造成危害后果的，依法不予处罚：（四）已取得药品、医疗、医疗器械、保健食品、特殊医学用途配方食品、农药、兽药以及其他依法需要审查的广告的审查批准文号，但未标注的。</w:t>
            </w:r>
          </w:p>
        </w:tc>
      </w:tr>
      <w:tr w14:paraId="25E046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4120" w:hRule="atLeast"/>
        </w:trPr>
        <w:tc>
          <w:tcPr>
            <w:tcW w:w="253" w:type="pct"/>
            <w:tcBorders>
              <w:tl2br w:val="nil"/>
              <w:tr2bl w:val="nil"/>
            </w:tcBorders>
            <w:shd w:val="clear" w:color="auto" w:fill="auto"/>
            <w:noWrap/>
            <w:vAlign w:val="center"/>
          </w:tcPr>
          <w:p w14:paraId="60C2864C">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10</w:t>
            </w:r>
          </w:p>
        </w:tc>
        <w:tc>
          <w:tcPr>
            <w:tcW w:w="233" w:type="pct"/>
            <w:vMerge w:val="continue"/>
            <w:tcBorders>
              <w:tl2br w:val="nil"/>
              <w:tr2bl w:val="nil"/>
            </w:tcBorders>
            <w:shd w:val="clear" w:color="auto" w:fill="auto"/>
            <w:noWrap/>
            <w:vAlign w:val="center"/>
          </w:tcPr>
          <w:p w14:paraId="065D2BA8">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496" w:type="pct"/>
            <w:tcBorders>
              <w:tl2br w:val="nil"/>
              <w:tr2bl w:val="nil"/>
            </w:tcBorders>
            <w:shd w:val="clear" w:color="auto" w:fill="auto"/>
            <w:noWrap/>
            <w:vAlign w:val="center"/>
          </w:tcPr>
          <w:p w14:paraId="4F8BD73A">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广告主发布广告使用“国家级”“最高级”“最佳”等用语</w:t>
            </w:r>
          </w:p>
        </w:tc>
        <w:tc>
          <w:tcPr>
            <w:tcW w:w="840" w:type="pct"/>
            <w:tcBorders>
              <w:tl2br w:val="nil"/>
              <w:tr2bl w:val="nil"/>
            </w:tcBorders>
            <w:shd w:val="clear" w:color="auto" w:fill="auto"/>
            <w:vAlign w:val="center"/>
          </w:tcPr>
          <w:p w14:paraId="1F7DE9DD">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1.在其经营场所、自设网站或拥有合法使用权的其他媒介发布广告；</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2.持续时间较短，或浏览人数较少，或案涉商品或者服务经营额较少；</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3.及时改正；</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4.没有造成危害后果。</w:t>
            </w:r>
          </w:p>
        </w:tc>
        <w:tc>
          <w:tcPr>
            <w:tcW w:w="1504" w:type="pct"/>
            <w:tcBorders>
              <w:tl2br w:val="nil"/>
              <w:tr2bl w:val="nil"/>
            </w:tcBorders>
            <w:shd w:val="clear" w:color="auto" w:fill="auto"/>
            <w:vAlign w:val="center"/>
          </w:tcPr>
          <w:p w14:paraId="316A1650">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《广告法》第九条第三项  </w:t>
            </w:r>
            <w:r>
              <w:rPr>
                <w:rFonts w:hint="eastAsia" w:ascii="方正仿宋_GBK" w:hAnsi="方正仿宋_GBK" w:eastAsia="方正仿宋_GBK" w:cs="方正仿宋_GBK"/>
                <w:i w:val="0"/>
                <w:iCs w:val="0"/>
                <w:color w:val="auto"/>
                <w:kern w:val="0"/>
                <w:sz w:val="24"/>
                <w:szCs w:val="24"/>
                <w:u w:val="none"/>
                <w:lang w:val="en-US" w:eastAsia="zh-CN" w:bidi="ar"/>
              </w:rPr>
              <w:t>广告不得有下列情形：（三）使用“国家级”、“最高级”、“最佳”等用语；</w:t>
            </w:r>
          </w:p>
        </w:tc>
        <w:tc>
          <w:tcPr>
            <w:tcW w:w="1671" w:type="pct"/>
            <w:tcBorders>
              <w:tl2br w:val="nil"/>
              <w:tr2bl w:val="nil"/>
            </w:tcBorders>
            <w:shd w:val="clear" w:color="auto" w:fill="auto"/>
            <w:vAlign w:val="center"/>
          </w:tcPr>
          <w:p w14:paraId="6043D44C">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《广告法》第五十七条第一项  </w:t>
            </w:r>
            <w:r>
              <w:rPr>
                <w:rFonts w:hint="eastAsia" w:ascii="方正仿宋_GBK" w:hAnsi="方正仿宋_GBK" w:eastAsia="方正仿宋_GBK" w:cs="方正仿宋_GBK"/>
                <w:i w:val="0"/>
                <w:iCs w:val="0"/>
                <w:color w:val="auto"/>
                <w:kern w:val="0"/>
                <w:sz w:val="24"/>
                <w:szCs w:val="24"/>
                <w:u w:val="none"/>
                <w:lang w:val="en-US" w:eastAsia="zh-CN" w:bidi="ar"/>
              </w:rPr>
              <w:t>有下列行为之一的，由市场监督管理部门责令停止发布广告，对广告主处二十万元以上一百万元以下的罚款，情节严重的，并可以吊销营业执照，由广告审查机关撤销广告审查批准文件、一年内不受理其广告审查申请；对广告经营者、广告发布者，由市场监督管理部门没收广告费用，处二十万元以上一百万元以下的罚款，情节严重的，并可以吊销营业执照：（一）发布有本法第九条、第十条规定的禁止情形的广告的；</w:t>
            </w:r>
            <w:r>
              <w:rPr>
                <w:rFonts w:hint="eastAsia" w:ascii="方正仿宋_GBK" w:hAnsi="方正仿宋_GBK" w:eastAsia="方正仿宋_GBK" w:cs="方正仿宋_GBK"/>
                <w:b/>
                <w:bCs/>
                <w:i w:val="0"/>
                <w:iCs w:val="0"/>
                <w:color w:val="auto"/>
                <w:kern w:val="0"/>
                <w:sz w:val="24"/>
                <w:szCs w:val="24"/>
                <w:u w:val="none"/>
                <w:lang w:val="en-US" w:eastAsia="zh-CN" w:bidi="ar"/>
              </w:rPr>
              <w:br w:type="textWrapping"/>
            </w:r>
            <w:r>
              <w:rPr>
                <w:rFonts w:hint="eastAsia" w:ascii="方正仿宋_GBK" w:hAnsi="方正仿宋_GBK" w:eastAsia="方正仿宋_GBK" w:cs="方正仿宋_GBK"/>
                <w:b/>
                <w:bCs/>
                <w:i w:val="0"/>
                <w:iCs w:val="0"/>
                <w:color w:val="auto"/>
                <w:kern w:val="0"/>
                <w:sz w:val="24"/>
                <w:szCs w:val="24"/>
                <w:u w:val="none"/>
                <w:lang w:val="en-US" w:eastAsia="zh-CN" w:bidi="ar"/>
              </w:rPr>
              <w:t xml:space="preserve">《江苏省广告条例》第五十九条第一项  </w:t>
            </w:r>
            <w:r>
              <w:rPr>
                <w:rFonts w:hint="eastAsia" w:ascii="方正仿宋_GBK" w:hAnsi="方正仿宋_GBK" w:eastAsia="方正仿宋_GBK" w:cs="方正仿宋_GBK"/>
                <w:i w:val="0"/>
                <w:iCs w:val="0"/>
                <w:color w:val="auto"/>
                <w:kern w:val="0"/>
                <w:sz w:val="24"/>
                <w:szCs w:val="24"/>
                <w:u w:val="none"/>
                <w:lang w:val="en-US" w:eastAsia="zh-CN" w:bidi="ar"/>
              </w:rPr>
              <w:t>有下列情形之一，违法事实清楚，当场可以查实，且当事人及时改正，主动消除或者减轻危害后果的，依法从轻、减轻处罚；违法行为轻微并及时纠正，没有造成危害后果的，依法不予处罚：（一）广告主在其经营场所或者利用自有媒体发布自有商品或者服务广告使用"国家级""最高级""最佳"等用语的；</w:t>
            </w:r>
          </w:p>
        </w:tc>
      </w:tr>
      <w:tr w14:paraId="23EDD4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1800" w:hRule="atLeast"/>
        </w:trPr>
        <w:tc>
          <w:tcPr>
            <w:tcW w:w="253" w:type="pct"/>
            <w:tcBorders>
              <w:tl2br w:val="nil"/>
              <w:tr2bl w:val="nil"/>
            </w:tcBorders>
            <w:shd w:val="clear" w:color="auto" w:fill="auto"/>
            <w:noWrap/>
            <w:vAlign w:val="center"/>
          </w:tcPr>
          <w:p w14:paraId="6197EF27">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11</w:t>
            </w:r>
          </w:p>
        </w:tc>
        <w:tc>
          <w:tcPr>
            <w:tcW w:w="233" w:type="pct"/>
            <w:vMerge w:val="continue"/>
            <w:tcBorders>
              <w:tl2br w:val="nil"/>
              <w:tr2bl w:val="nil"/>
            </w:tcBorders>
            <w:shd w:val="clear" w:color="auto" w:fill="auto"/>
            <w:noWrap/>
            <w:vAlign w:val="center"/>
          </w:tcPr>
          <w:p w14:paraId="65426B23">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496" w:type="pct"/>
            <w:tcBorders>
              <w:tl2br w:val="nil"/>
              <w:tr2bl w:val="nil"/>
            </w:tcBorders>
            <w:shd w:val="clear" w:color="auto" w:fill="auto"/>
            <w:noWrap/>
            <w:vAlign w:val="center"/>
          </w:tcPr>
          <w:p w14:paraId="76B08832">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广告使用的语言文字、数字、标点符号和计量单位等不符合国家有关规范、标准和规定</w:t>
            </w:r>
          </w:p>
        </w:tc>
        <w:tc>
          <w:tcPr>
            <w:tcW w:w="840" w:type="pct"/>
            <w:tcBorders>
              <w:tl2br w:val="nil"/>
              <w:tr2bl w:val="nil"/>
            </w:tcBorders>
            <w:shd w:val="clear" w:color="auto" w:fill="auto"/>
            <w:vAlign w:val="center"/>
          </w:tcPr>
          <w:p w14:paraId="182D092D">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1.及时改正；                     2.没有造成危害后果。</w:t>
            </w:r>
          </w:p>
        </w:tc>
        <w:tc>
          <w:tcPr>
            <w:tcW w:w="1504" w:type="pct"/>
            <w:tcBorders>
              <w:tl2br w:val="nil"/>
              <w:tr2bl w:val="nil"/>
            </w:tcBorders>
            <w:shd w:val="clear" w:color="auto" w:fill="auto"/>
            <w:vAlign w:val="center"/>
          </w:tcPr>
          <w:p w14:paraId="1AC2A0FE">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《江苏省广告条例》第八条 </w:t>
            </w:r>
            <w:r>
              <w:rPr>
                <w:rFonts w:hint="eastAsia" w:ascii="方正仿宋_GBK" w:hAnsi="方正仿宋_GBK" w:eastAsia="方正仿宋_GBK" w:cs="方正仿宋_GBK"/>
                <w:i w:val="0"/>
                <w:iCs w:val="0"/>
                <w:color w:val="auto"/>
                <w:kern w:val="0"/>
                <w:sz w:val="24"/>
                <w:szCs w:val="24"/>
                <w:u w:val="none"/>
                <w:lang w:val="en-US" w:eastAsia="zh-CN" w:bidi="ar"/>
              </w:rPr>
              <w:t xml:space="preserve"> 广告使用的语言文字应当清晰、准确，符合国家通用语言文字的规范和标准。</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    广告中使用的数字、标点符号和计量单位等，应当符合国家标准和有关规定。</w:t>
            </w:r>
          </w:p>
        </w:tc>
        <w:tc>
          <w:tcPr>
            <w:tcW w:w="1671" w:type="pct"/>
            <w:tcBorders>
              <w:tl2br w:val="nil"/>
              <w:tr2bl w:val="nil"/>
            </w:tcBorders>
            <w:shd w:val="clear" w:color="auto" w:fill="auto"/>
            <w:noWrap/>
            <w:vAlign w:val="center"/>
          </w:tcPr>
          <w:p w14:paraId="3DC69124">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《江苏省广告条例》第五十三条</w:t>
            </w:r>
            <w:r>
              <w:rPr>
                <w:rFonts w:hint="eastAsia" w:ascii="方正仿宋_GBK" w:hAnsi="方正仿宋_GBK" w:eastAsia="方正仿宋_GBK" w:cs="方正仿宋_GBK"/>
                <w:i w:val="0"/>
                <w:iCs w:val="0"/>
                <w:color w:val="auto"/>
                <w:kern w:val="0"/>
                <w:sz w:val="24"/>
                <w:szCs w:val="24"/>
                <w:u w:val="none"/>
                <w:lang w:val="en-US" w:eastAsia="zh-CN" w:bidi="ar"/>
              </w:rPr>
              <w:t xml:space="preserve">  违反本条例第八条规定，广告使用的语言文字、数字、标点符号和计量单位等不符合国家有关规范、标准和规定的，由市场监督管理部门责令广告发布者限期改正，给予警告。</w:t>
            </w:r>
          </w:p>
        </w:tc>
      </w:tr>
      <w:tr w14:paraId="1F743F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565" w:hRule="atLeast"/>
        </w:trPr>
        <w:tc>
          <w:tcPr>
            <w:tcW w:w="253" w:type="pct"/>
            <w:tcBorders>
              <w:tl2br w:val="nil"/>
              <w:tr2bl w:val="nil"/>
            </w:tcBorders>
            <w:shd w:val="clear" w:color="auto" w:fill="auto"/>
            <w:noWrap/>
            <w:vAlign w:val="center"/>
          </w:tcPr>
          <w:p w14:paraId="5104A8EF">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12</w:t>
            </w:r>
          </w:p>
        </w:tc>
        <w:tc>
          <w:tcPr>
            <w:tcW w:w="233" w:type="pct"/>
            <w:vMerge w:val="continue"/>
            <w:tcBorders>
              <w:tl2br w:val="nil"/>
              <w:tr2bl w:val="nil"/>
            </w:tcBorders>
            <w:shd w:val="clear" w:color="auto" w:fill="auto"/>
            <w:noWrap/>
            <w:vAlign w:val="center"/>
          </w:tcPr>
          <w:p w14:paraId="7974E69B">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496" w:type="pct"/>
            <w:tcBorders>
              <w:tl2br w:val="nil"/>
              <w:tr2bl w:val="nil"/>
            </w:tcBorders>
            <w:shd w:val="clear" w:color="auto" w:fill="auto"/>
            <w:noWrap/>
            <w:vAlign w:val="center"/>
          </w:tcPr>
          <w:p w14:paraId="443AF07A">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广告中涉及专利产品或者专利方法，未标明专利号或者专利种类</w:t>
            </w:r>
          </w:p>
        </w:tc>
        <w:tc>
          <w:tcPr>
            <w:tcW w:w="840" w:type="pct"/>
            <w:tcBorders>
              <w:tl2br w:val="nil"/>
              <w:tr2bl w:val="nil"/>
            </w:tcBorders>
            <w:shd w:val="clear" w:color="auto" w:fill="auto"/>
            <w:noWrap/>
            <w:vAlign w:val="center"/>
          </w:tcPr>
          <w:p w14:paraId="1DE3952C">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 专利有效；</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 及时改正；</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 没有造成危害后果。</w:t>
            </w:r>
          </w:p>
        </w:tc>
        <w:tc>
          <w:tcPr>
            <w:tcW w:w="1504" w:type="pct"/>
            <w:tcBorders>
              <w:tl2br w:val="nil"/>
              <w:tr2bl w:val="nil"/>
            </w:tcBorders>
            <w:shd w:val="clear" w:color="auto" w:fill="auto"/>
            <w:vAlign w:val="center"/>
          </w:tcPr>
          <w:p w14:paraId="6E72FE53">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《广告法》第十二条 </w:t>
            </w:r>
            <w:r>
              <w:rPr>
                <w:rFonts w:hint="eastAsia" w:ascii="方正仿宋_GBK" w:hAnsi="方正仿宋_GBK" w:eastAsia="方正仿宋_GBK" w:cs="方正仿宋_GBK"/>
                <w:i w:val="0"/>
                <w:iCs w:val="0"/>
                <w:color w:val="auto"/>
                <w:kern w:val="0"/>
                <w:sz w:val="24"/>
                <w:szCs w:val="24"/>
                <w:u w:val="none"/>
                <w:lang w:val="en-US" w:eastAsia="zh-CN" w:bidi="ar"/>
              </w:rPr>
              <w:t>广告中涉及专利产品或者专利方法的，应当标明专利号和专利种类。</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未取得专利权的，不得在广告中谎称取得专利权。</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禁止使用未授予专利权的专利申请和已经终止、撤销、无效的专利作广告。</w:t>
            </w:r>
          </w:p>
        </w:tc>
        <w:tc>
          <w:tcPr>
            <w:tcW w:w="1671" w:type="pct"/>
            <w:tcBorders>
              <w:tl2br w:val="nil"/>
              <w:tr2bl w:val="nil"/>
            </w:tcBorders>
            <w:shd w:val="clear" w:color="auto" w:fill="auto"/>
            <w:vAlign w:val="center"/>
          </w:tcPr>
          <w:p w14:paraId="32F0CFA6">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《广告法》第五十九条第一款第三项</w:t>
            </w:r>
            <w:r>
              <w:rPr>
                <w:rFonts w:hint="eastAsia" w:ascii="方正仿宋_GBK" w:hAnsi="方正仿宋_GBK" w:eastAsia="方正仿宋_GBK" w:cs="方正仿宋_GBK"/>
                <w:i w:val="0"/>
                <w:iCs w:val="0"/>
                <w:color w:val="auto"/>
                <w:kern w:val="0"/>
                <w:sz w:val="24"/>
                <w:szCs w:val="24"/>
                <w:u w:val="none"/>
                <w:lang w:val="en-US" w:eastAsia="zh-CN" w:bidi="ar"/>
              </w:rPr>
              <w:t xml:space="preserve"> 有下列行为之一的，由市场监督管理部门责令停止发布广告，对广告主处十万元以下的罚款：（三）涉及专利的广告违反本法第十二条规定的；</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b/>
                <w:bCs/>
                <w:i w:val="0"/>
                <w:iCs w:val="0"/>
                <w:color w:val="auto"/>
                <w:kern w:val="0"/>
                <w:sz w:val="24"/>
                <w:szCs w:val="24"/>
                <w:u w:val="none"/>
                <w:lang w:val="en-US" w:eastAsia="zh-CN" w:bidi="ar"/>
              </w:rPr>
              <w:t xml:space="preserve">《江苏省广告条例》第五十九条第三项 </w:t>
            </w:r>
            <w:r>
              <w:rPr>
                <w:rFonts w:hint="eastAsia" w:ascii="方正仿宋_GBK" w:hAnsi="方正仿宋_GBK" w:eastAsia="方正仿宋_GBK" w:cs="方正仿宋_GBK"/>
                <w:i w:val="0"/>
                <w:iCs w:val="0"/>
                <w:color w:val="auto"/>
                <w:kern w:val="0"/>
                <w:sz w:val="24"/>
                <w:szCs w:val="24"/>
                <w:u w:val="none"/>
                <w:lang w:val="en-US" w:eastAsia="zh-CN" w:bidi="ar"/>
              </w:rPr>
              <w:t>有下列情形之一，违法事实清楚，当场可以查实，且当事人及时改正，主动消除或者减轻危害后果的，依法从轻、减轻处罚；违法行为轻微并及时纠正，没有造成危害后果的，依法不予处罚：（三）广告中涉及专利产品或者专利方法，未标明专利号或者专利种类，但专利是有效的。</w:t>
            </w:r>
          </w:p>
        </w:tc>
      </w:tr>
      <w:tr w14:paraId="5EA8C2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280" w:hRule="atLeast"/>
        </w:trPr>
        <w:tc>
          <w:tcPr>
            <w:tcW w:w="253" w:type="pct"/>
            <w:tcBorders>
              <w:tl2br w:val="nil"/>
              <w:tr2bl w:val="nil"/>
            </w:tcBorders>
            <w:shd w:val="clear" w:color="auto" w:fill="auto"/>
            <w:noWrap/>
            <w:vAlign w:val="center"/>
          </w:tcPr>
          <w:p w14:paraId="2308035A">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13</w:t>
            </w:r>
          </w:p>
        </w:tc>
        <w:tc>
          <w:tcPr>
            <w:tcW w:w="233" w:type="pct"/>
            <w:vMerge w:val="continue"/>
            <w:tcBorders>
              <w:tl2br w:val="nil"/>
              <w:tr2bl w:val="nil"/>
            </w:tcBorders>
            <w:shd w:val="clear" w:color="auto" w:fill="auto"/>
            <w:noWrap/>
            <w:vAlign w:val="center"/>
          </w:tcPr>
          <w:p w14:paraId="5C33C0BF">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496" w:type="pct"/>
            <w:tcBorders>
              <w:tl2br w:val="nil"/>
              <w:tr2bl w:val="nil"/>
            </w:tcBorders>
            <w:shd w:val="clear" w:color="auto" w:fill="auto"/>
            <w:vAlign w:val="center"/>
          </w:tcPr>
          <w:p w14:paraId="793A733C">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发布房地产预售、销售广告未载明开发企业名称、中介服务机构名称</w:t>
            </w:r>
          </w:p>
        </w:tc>
        <w:tc>
          <w:tcPr>
            <w:tcW w:w="840" w:type="pct"/>
            <w:tcBorders>
              <w:tl2br w:val="nil"/>
              <w:tr2bl w:val="nil"/>
            </w:tcBorders>
            <w:shd w:val="clear" w:color="auto" w:fill="auto"/>
            <w:vAlign w:val="center"/>
          </w:tcPr>
          <w:p w14:paraId="045D0796">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1.房地产开发企业、中介服务机构具有合法经营资质，且已经取得预售或销售许可证书；</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2.及时停止发布或更正；</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3.没有造成危害后果。</w:t>
            </w:r>
          </w:p>
        </w:tc>
        <w:tc>
          <w:tcPr>
            <w:tcW w:w="1504" w:type="pct"/>
            <w:tcBorders>
              <w:tl2br w:val="nil"/>
              <w:tr2bl w:val="nil"/>
            </w:tcBorders>
            <w:shd w:val="clear" w:color="auto" w:fill="auto"/>
            <w:vAlign w:val="center"/>
          </w:tcPr>
          <w:p w14:paraId="5E6EB77B">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《房地产广告发布规定》第七条</w:t>
            </w:r>
            <w:r>
              <w:rPr>
                <w:rFonts w:hint="eastAsia" w:ascii="方正仿宋_GBK" w:hAnsi="方正仿宋_GBK" w:eastAsia="方正仿宋_GBK" w:cs="方正仿宋_GBK"/>
                <w:i w:val="0"/>
                <w:iCs w:val="0"/>
                <w:color w:val="auto"/>
                <w:kern w:val="0"/>
                <w:sz w:val="24"/>
                <w:szCs w:val="24"/>
                <w:u w:val="none"/>
                <w:lang w:val="en-US" w:eastAsia="zh-CN" w:bidi="ar"/>
              </w:rPr>
              <w:t xml:space="preserve"> 房地产预售、销售广告，必须载明以下事项：</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（一）开发企业名称；</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（二）中介服务机构代理销售的，载明该机构名称；</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（三）预售或者销售许可证书号。</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广告中仅介绍房地产项目名称的，可以不必载明上述事项。</w:t>
            </w:r>
          </w:p>
        </w:tc>
        <w:tc>
          <w:tcPr>
            <w:tcW w:w="1671" w:type="pct"/>
            <w:tcBorders>
              <w:tl2br w:val="nil"/>
              <w:tr2bl w:val="nil"/>
            </w:tcBorders>
            <w:shd w:val="clear" w:color="auto" w:fill="auto"/>
            <w:noWrap/>
            <w:vAlign w:val="center"/>
          </w:tcPr>
          <w:p w14:paraId="7FB88C28">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《房地产广告发布规定》第二十一条</w:t>
            </w:r>
            <w:r>
              <w:rPr>
                <w:rFonts w:hint="eastAsia" w:ascii="方正仿宋_GBK" w:hAnsi="方正仿宋_GBK" w:eastAsia="方正仿宋_GBK" w:cs="方正仿宋_GBK"/>
                <w:i w:val="0"/>
                <w:iCs w:val="0"/>
                <w:color w:val="auto"/>
                <w:kern w:val="0"/>
                <w:sz w:val="24"/>
                <w:szCs w:val="24"/>
                <w:u w:val="none"/>
                <w:lang w:val="en-US" w:eastAsia="zh-CN" w:bidi="ar"/>
              </w:rPr>
              <w:t xml:space="preserve"> 违反本规定发布广告，《广告法》及其他法律法规有规定的，依照有关法律法规规定予以处罚。法律法规没有规定的，对负有责任的广告主、广告经营者、广告发布者，处以违法所得三倍以下但不超过三万元的罚款；没有违法所得的，处以一万元以下的罚款。</w:t>
            </w:r>
          </w:p>
        </w:tc>
      </w:tr>
      <w:tr w14:paraId="31F05C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280" w:hRule="atLeast"/>
        </w:trPr>
        <w:tc>
          <w:tcPr>
            <w:tcW w:w="253" w:type="pct"/>
            <w:tcBorders>
              <w:tl2br w:val="nil"/>
              <w:tr2bl w:val="nil"/>
            </w:tcBorders>
            <w:shd w:val="clear" w:color="auto" w:fill="auto"/>
            <w:noWrap/>
            <w:vAlign w:val="center"/>
          </w:tcPr>
          <w:p w14:paraId="59F88470">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14</w:t>
            </w:r>
          </w:p>
        </w:tc>
        <w:tc>
          <w:tcPr>
            <w:tcW w:w="233" w:type="pct"/>
            <w:vMerge w:val="continue"/>
            <w:tcBorders>
              <w:tl2br w:val="nil"/>
              <w:tr2bl w:val="nil"/>
            </w:tcBorders>
            <w:shd w:val="clear" w:color="auto" w:fill="auto"/>
            <w:noWrap/>
            <w:vAlign w:val="center"/>
          </w:tcPr>
          <w:p w14:paraId="2499F9F6">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496" w:type="pct"/>
            <w:tcBorders>
              <w:tl2br w:val="nil"/>
              <w:tr2bl w:val="nil"/>
            </w:tcBorders>
            <w:shd w:val="clear" w:color="auto" w:fill="auto"/>
            <w:noWrap/>
            <w:vAlign w:val="center"/>
          </w:tcPr>
          <w:p w14:paraId="58AEACE1">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发布房地产预售或者销售广告未载明预售或者销售许可证书号</w:t>
            </w:r>
          </w:p>
        </w:tc>
        <w:tc>
          <w:tcPr>
            <w:tcW w:w="840" w:type="pct"/>
            <w:tcBorders>
              <w:tl2br w:val="nil"/>
              <w:tr2bl w:val="nil"/>
            </w:tcBorders>
            <w:shd w:val="clear" w:color="auto" w:fill="auto"/>
            <w:vAlign w:val="center"/>
          </w:tcPr>
          <w:p w14:paraId="11B06080">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1.已取得预售或者销售许可证，仅未载明许可证书号；</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2.及时停止发布或更正；</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3.没有造成危害后果。</w:t>
            </w:r>
          </w:p>
        </w:tc>
        <w:tc>
          <w:tcPr>
            <w:tcW w:w="1504" w:type="pct"/>
            <w:tcBorders>
              <w:tl2br w:val="nil"/>
              <w:tr2bl w:val="nil"/>
            </w:tcBorders>
            <w:shd w:val="clear" w:color="auto" w:fill="auto"/>
            <w:vAlign w:val="center"/>
          </w:tcPr>
          <w:p w14:paraId="1F4CDA50">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《房地产广告发布规定》第七条</w:t>
            </w:r>
            <w:r>
              <w:rPr>
                <w:rFonts w:hint="eastAsia" w:ascii="方正仿宋_GBK" w:hAnsi="方正仿宋_GBK" w:eastAsia="方正仿宋_GBK" w:cs="方正仿宋_GBK"/>
                <w:i w:val="0"/>
                <w:iCs w:val="0"/>
                <w:color w:val="auto"/>
                <w:kern w:val="0"/>
                <w:sz w:val="24"/>
                <w:szCs w:val="24"/>
                <w:u w:val="none"/>
                <w:lang w:val="en-US" w:eastAsia="zh-CN" w:bidi="ar"/>
              </w:rPr>
              <w:t xml:space="preserve"> 房地产预售、销售广告，必须载明以下事项：</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（一）开发企业名称；</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（二）中介服务机构代理销售的，载明该机构名称；</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（三）预售或者销售许可证书号。</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广告中仅介绍房地产项目名称的，可以不必载明上述事项。</w:t>
            </w:r>
          </w:p>
        </w:tc>
        <w:tc>
          <w:tcPr>
            <w:tcW w:w="1671" w:type="pct"/>
            <w:tcBorders>
              <w:tl2br w:val="nil"/>
              <w:tr2bl w:val="nil"/>
            </w:tcBorders>
            <w:shd w:val="clear" w:color="auto" w:fill="auto"/>
            <w:noWrap/>
            <w:vAlign w:val="center"/>
          </w:tcPr>
          <w:p w14:paraId="3B1CCF60">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《房地产广告发布规定》第二十一条</w:t>
            </w:r>
            <w:r>
              <w:rPr>
                <w:rFonts w:hint="eastAsia" w:ascii="方正仿宋_GBK" w:hAnsi="方正仿宋_GBK" w:eastAsia="方正仿宋_GBK" w:cs="方正仿宋_GBK"/>
                <w:i w:val="0"/>
                <w:iCs w:val="0"/>
                <w:color w:val="auto"/>
                <w:kern w:val="0"/>
                <w:sz w:val="24"/>
                <w:szCs w:val="24"/>
                <w:u w:val="none"/>
                <w:lang w:val="en-US" w:eastAsia="zh-CN" w:bidi="ar"/>
              </w:rPr>
              <w:t xml:space="preserve"> 违反本规定发布广告，《广告法》及其他法律法规有规定的，依照有关法律法规规定予以处罚。法律法规没有规定的，对负有责任的广告主、广告经营者、广告发布者，处以违法所得三倍以下但不超过三万元的罚款；没有违法所得的，处以一万元以下的罚款。</w:t>
            </w:r>
          </w:p>
        </w:tc>
      </w:tr>
      <w:tr w14:paraId="79A2BE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560" w:hRule="atLeast"/>
        </w:trPr>
        <w:tc>
          <w:tcPr>
            <w:tcW w:w="253" w:type="pct"/>
            <w:tcBorders>
              <w:tl2br w:val="nil"/>
              <w:tr2bl w:val="nil"/>
            </w:tcBorders>
            <w:shd w:val="clear" w:color="auto" w:fill="auto"/>
            <w:noWrap/>
            <w:vAlign w:val="center"/>
          </w:tcPr>
          <w:p w14:paraId="4812C9ED">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15</w:t>
            </w:r>
          </w:p>
        </w:tc>
        <w:tc>
          <w:tcPr>
            <w:tcW w:w="233" w:type="pct"/>
            <w:vMerge w:val="continue"/>
            <w:tcBorders>
              <w:tl2br w:val="nil"/>
              <w:tr2bl w:val="nil"/>
            </w:tcBorders>
            <w:shd w:val="clear" w:color="auto" w:fill="auto"/>
            <w:noWrap/>
            <w:vAlign w:val="center"/>
          </w:tcPr>
          <w:p w14:paraId="71E35B67">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496" w:type="pct"/>
            <w:tcBorders>
              <w:tl2br w:val="nil"/>
              <w:tr2bl w:val="nil"/>
            </w:tcBorders>
            <w:shd w:val="clear" w:color="auto" w:fill="auto"/>
            <w:noWrap/>
            <w:vAlign w:val="center"/>
          </w:tcPr>
          <w:p w14:paraId="6CBDFD78">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广告中使用已经终止的专利</w:t>
            </w:r>
          </w:p>
        </w:tc>
        <w:tc>
          <w:tcPr>
            <w:tcW w:w="840" w:type="pct"/>
            <w:tcBorders>
              <w:tl2br w:val="nil"/>
              <w:tr2bl w:val="nil"/>
            </w:tcBorders>
            <w:shd w:val="clear" w:color="auto" w:fill="auto"/>
            <w:vAlign w:val="center"/>
          </w:tcPr>
          <w:p w14:paraId="089B81E9">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1.广告仅在广告主自有经营场所（含自有网站）发布，或广告浏览人数较少；</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2.专利终止时间较短；</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3.及时改正；</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4.没有造成危害后果。</w:t>
            </w:r>
          </w:p>
        </w:tc>
        <w:tc>
          <w:tcPr>
            <w:tcW w:w="1504" w:type="pct"/>
            <w:tcBorders>
              <w:tl2br w:val="nil"/>
              <w:tr2bl w:val="nil"/>
            </w:tcBorders>
            <w:shd w:val="clear" w:color="auto" w:fill="auto"/>
            <w:noWrap/>
            <w:vAlign w:val="center"/>
          </w:tcPr>
          <w:p w14:paraId="3CDC3D52">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《广告法》第十二条第三款</w:t>
            </w:r>
            <w:r>
              <w:rPr>
                <w:rFonts w:hint="eastAsia" w:ascii="方正仿宋_GBK" w:hAnsi="方正仿宋_GBK" w:eastAsia="方正仿宋_GBK" w:cs="方正仿宋_GBK"/>
                <w:i w:val="0"/>
                <w:iCs w:val="0"/>
                <w:color w:val="auto"/>
                <w:kern w:val="0"/>
                <w:sz w:val="24"/>
                <w:szCs w:val="24"/>
                <w:u w:val="none"/>
                <w:lang w:val="en-US" w:eastAsia="zh-CN" w:bidi="ar"/>
              </w:rPr>
              <w:t xml:space="preserve"> 禁止使用未授予专利权的专利申请和已经终止、撤销、无效的专利作广告。   </w:t>
            </w:r>
          </w:p>
        </w:tc>
        <w:tc>
          <w:tcPr>
            <w:tcW w:w="1671" w:type="pct"/>
            <w:tcBorders>
              <w:tl2br w:val="nil"/>
              <w:tr2bl w:val="nil"/>
            </w:tcBorders>
            <w:shd w:val="clear" w:color="auto" w:fill="auto"/>
            <w:vAlign w:val="center"/>
          </w:tcPr>
          <w:p w14:paraId="22002582">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《广告法》第五十九条第一款第三项</w:t>
            </w:r>
            <w:r>
              <w:rPr>
                <w:rFonts w:hint="eastAsia" w:ascii="方正仿宋_GBK" w:hAnsi="方正仿宋_GBK" w:eastAsia="方正仿宋_GBK" w:cs="方正仿宋_GBK"/>
                <w:i w:val="0"/>
                <w:iCs w:val="0"/>
                <w:color w:val="auto"/>
                <w:kern w:val="0"/>
                <w:sz w:val="24"/>
                <w:szCs w:val="24"/>
                <w:u w:val="none"/>
                <w:lang w:val="en-US" w:eastAsia="zh-CN" w:bidi="ar"/>
              </w:rPr>
              <w:t xml:space="preserve"> 有下列行为之一的，由市场监督管理部门责令停止发布广告，对广告主处十万元以下的罚款：（三）涉及专利的广告违反本法第十二条规定的；</w:t>
            </w:r>
          </w:p>
        </w:tc>
      </w:tr>
      <w:tr w14:paraId="1ABAA9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6840" w:hRule="atLeast"/>
        </w:trPr>
        <w:tc>
          <w:tcPr>
            <w:tcW w:w="253" w:type="pct"/>
            <w:tcBorders>
              <w:tl2br w:val="nil"/>
              <w:tr2bl w:val="nil"/>
            </w:tcBorders>
            <w:shd w:val="clear" w:color="auto" w:fill="auto"/>
            <w:noWrap/>
            <w:vAlign w:val="center"/>
          </w:tcPr>
          <w:p w14:paraId="2556C1B7">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16</w:t>
            </w:r>
          </w:p>
        </w:tc>
        <w:tc>
          <w:tcPr>
            <w:tcW w:w="233" w:type="pct"/>
            <w:vMerge w:val="restart"/>
            <w:tcBorders>
              <w:tl2br w:val="nil"/>
              <w:tr2bl w:val="nil"/>
            </w:tcBorders>
            <w:shd w:val="clear" w:color="auto" w:fill="auto"/>
            <w:noWrap/>
            <w:vAlign w:val="center"/>
          </w:tcPr>
          <w:p w14:paraId="1444AAA0">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黑体_GBK" w:hAnsi="方正黑体_GBK" w:eastAsia="方正黑体_GBK" w:cs="方正黑体_GBK"/>
                <w:i w:val="0"/>
                <w:iCs w:val="0"/>
                <w:color w:val="auto"/>
                <w:sz w:val="24"/>
                <w:szCs w:val="24"/>
                <w:u w:val="none"/>
              </w:rPr>
            </w:pPr>
            <w:r>
              <w:rPr>
                <w:rFonts w:hint="eastAsia" w:ascii="方正黑体_GBK" w:hAnsi="方正黑体_GBK" w:eastAsia="方正黑体_GBK" w:cs="方正黑体_GBK"/>
                <w:i w:val="0"/>
                <w:iCs w:val="0"/>
                <w:color w:val="auto"/>
                <w:kern w:val="0"/>
                <w:sz w:val="24"/>
                <w:szCs w:val="24"/>
                <w:u w:val="none"/>
                <w:lang w:val="en-US" w:eastAsia="zh-CN" w:bidi="ar"/>
              </w:rPr>
              <w:t>消费者权益</w:t>
            </w:r>
          </w:p>
        </w:tc>
        <w:tc>
          <w:tcPr>
            <w:tcW w:w="496" w:type="pct"/>
            <w:tcBorders>
              <w:tl2br w:val="nil"/>
              <w:tr2bl w:val="nil"/>
            </w:tcBorders>
            <w:shd w:val="clear" w:color="auto" w:fill="auto"/>
            <w:noWrap/>
            <w:vAlign w:val="center"/>
          </w:tcPr>
          <w:p w14:paraId="52B1DDDB">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经营者格式条款违法行为</w:t>
            </w:r>
          </w:p>
        </w:tc>
        <w:tc>
          <w:tcPr>
            <w:tcW w:w="840" w:type="pct"/>
            <w:tcBorders>
              <w:tl2br w:val="nil"/>
              <w:tr2bl w:val="nil"/>
            </w:tcBorders>
            <w:shd w:val="clear" w:color="auto" w:fill="auto"/>
            <w:vAlign w:val="center"/>
          </w:tcPr>
          <w:p w14:paraId="72C80DE9">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1.格式条款相关的消费次数较少；</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2.及时改正；</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3.尚未产生有关消费争议，消费者未因格式条款受到实际损失。</w:t>
            </w:r>
          </w:p>
        </w:tc>
        <w:tc>
          <w:tcPr>
            <w:tcW w:w="1504" w:type="pct"/>
            <w:tcBorders>
              <w:tl2br w:val="nil"/>
              <w:tr2bl w:val="nil"/>
            </w:tcBorders>
            <w:shd w:val="clear" w:color="auto" w:fill="auto"/>
            <w:vAlign w:val="center"/>
          </w:tcPr>
          <w:p w14:paraId="61948346">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《侵害消费者权益行为处罚办法》第十二条</w:t>
            </w:r>
            <w:r>
              <w:rPr>
                <w:rFonts w:hint="eastAsia" w:ascii="方正仿宋_GBK" w:hAnsi="方正仿宋_GBK" w:eastAsia="方正仿宋_GBK" w:cs="方正仿宋_GBK"/>
                <w:i w:val="0"/>
                <w:iCs w:val="0"/>
                <w:color w:val="auto"/>
                <w:kern w:val="0"/>
                <w:sz w:val="24"/>
                <w:szCs w:val="24"/>
                <w:u w:val="none"/>
                <w:lang w:val="en-US" w:eastAsia="zh-CN" w:bidi="ar"/>
              </w:rPr>
              <w:t xml:space="preserve"> 经营者向消费者提供商品或者服务使用格式条款、通知、声明、店堂告示等的，应当以显著方式提请消费者注意与消费者有重大利害关系的内容，并按照消费者的要求予以说明，不得作出含有下列内容的规定：</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   （一）免除或者部分免除经营者对其所提供的商品或者服务应当承担的修理、重作、更换、退货、补足商品数量、退还货款和服务费用、赔偿损失等责任；</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   （二）排除或者限制消费者提出修理、更换、退货、赔偿损失以及获得违约金和其他合理赔偿的权利；</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   （三）排除或者限制消费者依法投诉、举报、提起诉讼的权利；</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   （四）强制或者变相强制消费者购买和使用其提供的或者其指定的经营者提供的商品或者服务，对不接受其不合理条件的消费者拒绝提供相应商品或者服务，或者提高收费标准；</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   （五）规定经营者有权任意变更或者解除合同，限制消费者依法变更或者解除合同权利；</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   （六）规定经营者单方享有解释权或者最终解释权；</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   （七）其他对消费者不公平、不合理的规定。</w:t>
            </w:r>
          </w:p>
        </w:tc>
        <w:tc>
          <w:tcPr>
            <w:tcW w:w="1671" w:type="pct"/>
            <w:tcBorders>
              <w:tl2br w:val="nil"/>
              <w:tr2bl w:val="nil"/>
            </w:tcBorders>
            <w:shd w:val="clear" w:color="auto" w:fill="auto"/>
            <w:noWrap/>
            <w:vAlign w:val="center"/>
          </w:tcPr>
          <w:p w14:paraId="239DAD1C">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《侵害消费者权益行为处罚办法》第十五条 </w:t>
            </w:r>
            <w:r>
              <w:rPr>
                <w:rFonts w:hint="eastAsia" w:ascii="方正仿宋_GBK" w:hAnsi="方正仿宋_GBK" w:eastAsia="方正仿宋_GBK" w:cs="方正仿宋_GBK"/>
                <w:i w:val="0"/>
                <w:iCs w:val="0"/>
                <w:color w:val="auto"/>
                <w:kern w:val="0"/>
                <w:sz w:val="24"/>
                <w:szCs w:val="24"/>
                <w:u w:val="none"/>
                <w:lang w:val="en-US" w:eastAsia="zh-CN" w:bidi="ar"/>
              </w:rPr>
              <w:t>经营者违反本办法第十二条、第十三条规定，其他法律、法规有规定的，依照法律、法规的规定执行；法律、法规未作规定的，由市场监督管理部门责令改正，可以单处或者并处警告，违法所得三倍以下、但最高不超过三万元的罚款，没有违法所得的，处以一万元以下的罚款。</w:t>
            </w:r>
          </w:p>
        </w:tc>
      </w:tr>
      <w:tr w14:paraId="22123F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620" w:hRule="atLeast"/>
        </w:trPr>
        <w:tc>
          <w:tcPr>
            <w:tcW w:w="253" w:type="pct"/>
            <w:tcBorders>
              <w:tl2br w:val="nil"/>
              <w:tr2bl w:val="nil"/>
            </w:tcBorders>
            <w:shd w:val="clear" w:color="auto" w:fill="auto"/>
            <w:noWrap/>
            <w:vAlign w:val="center"/>
          </w:tcPr>
          <w:p w14:paraId="37A89911">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17</w:t>
            </w:r>
          </w:p>
        </w:tc>
        <w:tc>
          <w:tcPr>
            <w:tcW w:w="233" w:type="pct"/>
            <w:vMerge w:val="continue"/>
            <w:tcBorders>
              <w:tl2br w:val="nil"/>
              <w:tr2bl w:val="nil"/>
            </w:tcBorders>
            <w:shd w:val="clear" w:color="auto" w:fill="auto"/>
            <w:noWrap/>
            <w:vAlign w:val="center"/>
          </w:tcPr>
          <w:p w14:paraId="71A4581C">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496" w:type="pct"/>
            <w:tcBorders>
              <w:tl2br w:val="nil"/>
              <w:tr2bl w:val="nil"/>
            </w:tcBorders>
            <w:shd w:val="clear" w:color="auto" w:fill="auto"/>
            <w:noWrap/>
            <w:vAlign w:val="center"/>
          </w:tcPr>
          <w:p w14:paraId="30CC0B46">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经营者未出具发票等购货凭证、服务单据或者收费清单</w:t>
            </w:r>
          </w:p>
        </w:tc>
        <w:tc>
          <w:tcPr>
            <w:tcW w:w="840" w:type="pct"/>
            <w:tcBorders>
              <w:tl2br w:val="nil"/>
              <w:tr2bl w:val="nil"/>
            </w:tcBorders>
            <w:shd w:val="clear" w:color="auto" w:fill="auto"/>
            <w:vAlign w:val="center"/>
          </w:tcPr>
          <w:p w14:paraId="5FE8F873">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1.已充分保障消费者的知情权；</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2.持续时间较短，或案涉商品或者服务经营额较少；</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3.及时改正；</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4.没有造成相关消费者权益争议。</w:t>
            </w:r>
          </w:p>
        </w:tc>
        <w:tc>
          <w:tcPr>
            <w:tcW w:w="1504" w:type="pct"/>
            <w:tcBorders>
              <w:tl2br w:val="nil"/>
              <w:tr2bl w:val="nil"/>
            </w:tcBorders>
            <w:shd w:val="clear" w:color="auto" w:fill="auto"/>
            <w:noWrap/>
            <w:vAlign w:val="center"/>
          </w:tcPr>
          <w:p w14:paraId="41DC2BB0">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《江苏省消费者权益保护条例》第十四条</w:t>
            </w:r>
            <w:r>
              <w:rPr>
                <w:rFonts w:hint="eastAsia" w:ascii="方正仿宋_GBK" w:hAnsi="方正仿宋_GBK" w:eastAsia="方正仿宋_GBK" w:cs="方正仿宋_GBK"/>
                <w:i w:val="0"/>
                <w:iCs w:val="0"/>
                <w:color w:val="auto"/>
                <w:kern w:val="0"/>
                <w:sz w:val="24"/>
                <w:szCs w:val="24"/>
                <w:u w:val="none"/>
                <w:lang w:val="en-US" w:eastAsia="zh-CN" w:bidi="ar"/>
              </w:rPr>
              <w:t xml:space="preserve">  经营者提供商品或者服务，应当按照国家有关规定或者商业惯例，向消费者出具发票等购货凭证、服务单据；征得消费者同意后，可以电子化形式出具。消费者要求提供购货凭证、服务单据以外的收费清单的，经营者应当提供。</w:t>
            </w:r>
          </w:p>
        </w:tc>
        <w:tc>
          <w:tcPr>
            <w:tcW w:w="1671" w:type="pct"/>
            <w:tcBorders>
              <w:tl2br w:val="nil"/>
              <w:tr2bl w:val="nil"/>
            </w:tcBorders>
            <w:shd w:val="clear" w:color="auto" w:fill="auto"/>
            <w:noWrap/>
            <w:vAlign w:val="center"/>
          </w:tcPr>
          <w:p w14:paraId="5DD37B8B">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《江苏省消费者权益保护条例》第六十一条第四项</w:t>
            </w:r>
            <w:r>
              <w:rPr>
                <w:rFonts w:hint="eastAsia" w:ascii="方正仿宋_GBK" w:hAnsi="方正仿宋_GBK" w:eastAsia="方正仿宋_GBK" w:cs="方正仿宋_GBK"/>
                <w:i w:val="0"/>
                <w:iCs w:val="0"/>
                <w:color w:val="auto"/>
                <w:kern w:val="0"/>
                <w:sz w:val="24"/>
                <w:szCs w:val="24"/>
                <w:u w:val="none"/>
                <w:lang w:val="en-US" w:eastAsia="zh-CN" w:bidi="ar"/>
              </w:rPr>
              <w:t xml:space="preserve">  经营者等有下列情形之一的，由工商行政管理部门或者其他有关行政部门责令改正，可以根据情节单处或者并处警告、五千元以上五万元以下的罚款；情节严重的，责令停业整顿：（四）违反第十四条规定，未按照国家有关规定、商业惯例和消费者要求，出具发票等购货凭证、服务单据或者收费清单的。</w:t>
            </w:r>
          </w:p>
        </w:tc>
      </w:tr>
      <w:tr w14:paraId="52584B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35" w:hRule="atLeast"/>
        </w:trPr>
        <w:tc>
          <w:tcPr>
            <w:tcW w:w="253" w:type="pct"/>
            <w:tcBorders>
              <w:tl2br w:val="nil"/>
              <w:tr2bl w:val="nil"/>
            </w:tcBorders>
            <w:shd w:val="clear" w:color="auto" w:fill="auto"/>
            <w:noWrap/>
            <w:vAlign w:val="center"/>
          </w:tcPr>
          <w:p w14:paraId="7A17533D">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18</w:t>
            </w:r>
          </w:p>
        </w:tc>
        <w:tc>
          <w:tcPr>
            <w:tcW w:w="233" w:type="pct"/>
            <w:tcBorders>
              <w:tl2br w:val="nil"/>
              <w:tr2bl w:val="nil"/>
            </w:tcBorders>
            <w:shd w:val="clear" w:color="auto" w:fill="auto"/>
            <w:noWrap/>
            <w:vAlign w:val="center"/>
          </w:tcPr>
          <w:p w14:paraId="58ABC26C">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lang w:val="en-US" w:eastAsia="zh-CN"/>
              </w:rPr>
            </w:pPr>
            <w:r>
              <w:rPr>
                <w:rFonts w:hint="eastAsia" w:ascii="方正黑体_GBK" w:hAnsi="方正黑体_GBK" w:eastAsia="方正黑体_GBK" w:cs="方正黑体_GBK"/>
                <w:i w:val="0"/>
                <w:iCs w:val="0"/>
                <w:color w:val="auto"/>
                <w:sz w:val="24"/>
                <w:szCs w:val="24"/>
                <w:u w:val="none"/>
                <w:lang w:val="en-US" w:eastAsia="zh-CN"/>
              </w:rPr>
              <w:t>商标</w:t>
            </w:r>
          </w:p>
        </w:tc>
        <w:tc>
          <w:tcPr>
            <w:tcW w:w="496" w:type="pct"/>
            <w:tcBorders>
              <w:tl2br w:val="nil"/>
              <w:tr2bl w:val="nil"/>
            </w:tcBorders>
            <w:shd w:val="clear" w:color="auto" w:fill="auto"/>
            <w:noWrap/>
            <w:vAlign w:val="center"/>
          </w:tcPr>
          <w:p w14:paraId="448807C6">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销售侵犯注册商标专用权的商品</w:t>
            </w:r>
          </w:p>
        </w:tc>
        <w:tc>
          <w:tcPr>
            <w:tcW w:w="840" w:type="pct"/>
            <w:tcBorders>
              <w:tl2br w:val="nil"/>
              <w:tr2bl w:val="nil"/>
            </w:tcBorders>
            <w:shd w:val="clear" w:color="auto" w:fill="auto"/>
            <w:vAlign w:val="center"/>
          </w:tcPr>
          <w:p w14:paraId="6A976DB7">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1.销售不知道是侵犯注册商标专用权的商品；</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2.能证明该商品是自己合法取得并说明提供者。</w:t>
            </w:r>
          </w:p>
        </w:tc>
        <w:tc>
          <w:tcPr>
            <w:tcW w:w="1504" w:type="pct"/>
            <w:tcBorders>
              <w:tl2br w:val="nil"/>
              <w:tr2bl w:val="nil"/>
            </w:tcBorders>
            <w:shd w:val="clear" w:color="auto" w:fill="auto"/>
            <w:noWrap/>
            <w:vAlign w:val="center"/>
          </w:tcPr>
          <w:p w14:paraId="604CF72B">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《商标法》第五十七条第三项</w:t>
            </w:r>
            <w:r>
              <w:rPr>
                <w:rFonts w:hint="eastAsia" w:ascii="方正仿宋_GBK" w:hAnsi="方正仿宋_GBK" w:eastAsia="方正仿宋_GBK" w:cs="方正仿宋_GBK"/>
                <w:i w:val="0"/>
                <w:iCs w:val="0"/>
                <w:color w:val="auto"/>
                <w:kern w:val="0"/>
                <w:sz w:val="24"/>
                <w:szCs w:val="24"/>
                <w:u w:val="none"/>
                <w:lang w:val="en-US" w:eastAsia="zh-CN" w:bidi="ar"/>
              </w:rPr>
              <w:t xml:space="preserve"> 有下列行为之一的，均属侵犯注册商标专用权：（三）销售侵犯注册商标专用权的商品的；</w:t>
            </w:r>
          </w:p>
        </w:tc>
        <w:tc>
          <w:tcPr>
            <w:tcW w:w="1671" w:type="pct"/>
            <w:tcBorders>
              <w:tl2br w:val="nil"/>
              <w:tr2bl w:val="nil"/>
            </w:tcBorders>
            <w:shd w:val="clear" w:color="auto" w:fill="auto"/>
            <w:vAlign w:val="center"/>
          </w:tcPr>
          <w:p w14:paraId="05C49A76">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《商标法》第六十条第一、二款</w:t>
            </w:r>
            <w:r>
              <w:rPr>
                <w:rFonts w:hint="eastAsia" w:ascii="方正仿宋_GBK" w:hAnsi="方正仿宋_GBK" w:eastAsia="方正仿宋_GBK" w:cs="方正仿宋_GBK"/>
                <w:i w:val="0"/>
                <w:iCs w:val="0"/>
                <w:color w:val="auto"/>
                <w:kern w:val="0"/>
                <w:sz w:val="24"/>
                <w:szCs w:val="24"/>
                <w:u w:val="none"/>
                <w:lang w:val="en-US" w:eastAsia="zh-CN" w:bidi="ar"/>
              </w:rPr>
              <w:t xml:space="preserve">  有本法第五十七条所列侵犯注册商标专用权行为之一，引起纠纷的，由当事人协商解决；不愿协商或者协商不成的，商标注册人或者利害关系人可以向人民法院起诉，也可以请求工商行政管理部门处理。</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    工商行政管理部门处理时，认定侵权行为成立的，责令立即停止侵权行为，没收、销毁侵权商品和主要用于制造侵权商品、伪造注册商标标识的工具，违法经营额五万元以上的，可以处违法经营额五倍以下的罚款，没有违法经营额或者违法经营额不足五万元的，可以处二十五万元以下的罚款。对五年内实施两次以上商标侵权行为或者有其他严重情节的，应当从重处罚。销售不知道是侵犯注册商标专用权的商品，能证明该商品是自己合法取得并说明提供者的，由工商行政管理部门责令停止销售。</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b/>
                <w:bCs/>
                <w:i w:val="0"/>
                <w:iCs w:val="0"/>
                <w:color w:val="auto"/>
                <w:kern w:val="0"/>
                <w:sz w:val="24"/>
                <w:szCs w:val="24"/>
                <w:u w:val="none"/>
                <w:lang w:val="en-US" w:eastAsia="zh-CN" w:bidi="ar"/>
              </w:rPr>
              <w:t>第六十一条</w:t>
            </w:r>
            <w:r>
              <w:rPr>
                <w:rFonts w:hint="eastAsia" w:ascii="方正仿宋_GBK" w:hAnsi="方正仿宋_GBK" w:eastAsia="方正仿宋_GBK" w:cs="方正仿宋_GBK"/>
                <w:i w:val="0"/>
                <w:iCs w:val="0"/>
                <w:color w:val="auto"/>
                <w:kern w:val="0"/>
                <w:sz w:val="24"/>
                <w:szCs w:val="24"/>
                <w:u w:val="none"/>
                <w:lang w:val="en-US" w:eastAsia="zh-CN" w:bidi="ar"/>
              </w:rPr>
              <w:t xml:space="preserve"> 对侵犯注册商标专用权的行为，工商行政管理部门有权依法查处；涉嫌犯罪的，应当及时移送司法机关依法处理。</w:t>
            </w:r>
          </w:p>
        </w:tc>
      </w:tr>
      <w:tr w14:paraId="213853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280" w:hRule="atLeast"/>
        </w:trPr>
        <w:tc>
          <w:tcPr>
            <w:tcW w:w="253" w:type="pct"/>
            <w:tcBorders>
              <w:tl2br w:val="nil"/>
              <w:tr2bl w:val="nil"/>
            </w:tcBorders>
            <w:shd w:val="clear" w:color="auto" w:fill="auto"/>
            <w:noWrap/>
            <w:vAlign w:val="center"/>
          </w:tcPr>
          <w:p w14:paraId="656DF186">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19</w:t>
            </w:r>
          </w:p>
        </w:tc>
        <w:tc>
          <w:tcPr>
            <w:tcW w:w="233" w:type="pct"/>
            <w:tcBorders>
              <w:tl2br w:val="nil"/>
              <w:tr2bl w:val="nil"/>
            </w:tcBorders>
            <w:shd w:val="clear" w:color="auto" w:fill="auto"/>
            <w:noWrap/>
            <w:vAlign w:val="center"/>
          </w:tcPr>
          <w:p w14:paraId="0E39B2DA">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lang w:val="en-US" w:eastAsia="zh-CN"/>
              </w:rPr>
            </w:pPr>
            <w:r>
              <w:rPr>
                <w:rFonts w:hint="eastAsia" w:ascii="方正黑体_GBK" w:hAnsi="方正黑体_GBK" w:eastAsia="方正黑体_GBK" w:cs="方正黑体_GBK"/>
                <w:i w:val="0"/>
                <w:iCs w:val="0"/>
                <w:color w:val="auto"/>
                <w:sz w:val="24"/>
                <w:szCs w:val="24"/>
                <w:u w:val="none"/>
                <w:lang w:val="en-US" w:eastAsia="zh-CN"/>
              </w:rPr>
              <w:t>专利</w:t>
            </w:r>
          </w:p>
        </w:tc>
        <w:tc>
          <w:tcPr>
            <w:tcW w:w="496" w:type="pct"/>
            <w:tcBorders>
              <w:tl2br w:val="nil"/>
              <w:tr2bl w:val="nil"/>
            </w:tcBorders>
            <w:shd w:val="clear" w:color="auto" w:fill="auto"/>
            <w:noWrap/>
            <w:vAlign w:val="center"/>
          </w:tcPr>
          <w:p w14:paraId="17073F85">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销售假冒专利的产品</w:t>
            </w:r>
          </w:p>
        </w:tc>
        <w:tc>
          <w:tcPr>
            <w:tcW w:w="840" w:type="pct"/>
            <w:tcBorders>
              <w:tl2br w:val="nil"/>
              <w:tr2bl w:val="nil"/>
            </w:tcBorders>
            <w:shd w:val="clear" w:color="auto" w:fill="auto"/>
            <w:vAlign w:val="center"/>
          </w:tcPr>
          <w:p w14:paraId="125B8FFD">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同时具备以下条件，免除罚款：</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1.销售不知道是假冒专利的产品，并且能够证明该产品合法来源；</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2.及时改正。</w:t>
            </w:r>
          </w:p>
        </w:tc>
        <w:tc>
          <w:tcPr>
            <w:tcW w:w="1504" w:type="pct"/>
            <w:tcBorders>
              <w:tl2br w:val="nil"/>
              <w:tr2bl w:val="nil"/>
            </w:tcBorders>
            <w:shd w:val="clear" w:color="auto" w:fill="auto"/>
            <w:noWrap/>
            <w:vAlign w:val="center"/>
          </w:tcPr>
          <w:p w14:paraId="772238DD">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《专利法实施细则》第八十四条第一款第一、二项</w:t>
            </w:r>
            <w:r>
              <w:rPr>
                <w:rFonts w:hint="eastAsia" w:ascii="方正仿宋_GBK" w:hAnsi="方正仿宋_GBK" w:eastAsia="方正仿宋_GBK" w:cs="方正仿宋_GBK"/>
                <w:i w:val="0"/>
                <w:iCs w:val="0"/>
                <w:color w:val="auto"/>
                <w:kern w:val="0"/>
                <w:sz w:val="24"/>
                <w:szCs w:val="24"/>
                <w:u w:val="none"/>
                <w:lang w:val="en-US" w:eastAsia="zh-CN" w:bidi="ar"/>
              </w:rPr>
              <w:t>　下列行为属于专利法第六十三条规定的假冒专利的行为：　（一）在未被授予专利权的产品或者其包装上标注专利标识，专利权被宣告无效后或者终止后继续在产品或者其包装上标注专利标识，或者未经许可在产品或者产品包装上标注他人的专利号；（二）销售第（一）项所述产品；</w:t>
            </w:r>
          </w:p>
        </w:tc>
        <w:tc>
          <w:tcPr>
            <w:tcW w:w="1671" w:type="pct"/>
            <w:tcBorders>
              <w:tl2br w:val="nil"/>
              <w:tr2bl w:val="nil"/>
            </w:tcBorders>
            <w:shd w:val="clear" w:color="auto" w:fill="auto"/>
            <w:vAlign w:val="center"/>
          </w:tcPr>
          <w:p w14:paraId="445BC5B9">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《专利法》第六十八条</w:t>
            </w:r>
            <w:r>
              <w:rPr>
                <w:rFonts w:hint="eastAsia" w:ascii="方正仿宋_GBK" w:hAnsi="方正仿宋_GBK" w:eastAsia="方正仿宋_GBK" w:cs="方正仿宋_GBK"/>
                <w:i w:val="0"/>
                <w:iCs w:val="0"/>
                <w:color w:val="auto"/>
                <w:kern w:val="0"/>
                <w:sz w:val="24"/>
                <w:szCs w:val="24"/>
                <w:u w:val="none"/>
                <w:lang w:val="en-US" w:eastAsia="zh-CN" w:bidi="ar"/>
              </w:rPr>
              <w:t>　假冒专利的，除依法承担民事责任外，由负责专利执法的部门责令改正并予公告，没收违法所得，可以处违法所得五倍以下的罚款；没有违法所得或者违法所得在五万元以下的，可以处二十五万元以下的罚款；构成犯罪的，依法追究刑事责任。</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b/>
                <w:bCs/>
                <w:i w:val="0"/>
                <w:iCs w:val="0"/>
                <w:color w:val="auto"/>
                <w:kern w:val="0"/>
                <w:sz w:val="24"/>
                <w:szCs w:val="24"/>
                <w:u w:val="none"/>
                <w:lang w:val="en-US" w:eastAsia="zh-CN" w:bidi="ar"/>
              </w:rPr>
              <w:t>《专利法实施细则》第八十四条第三款</w:t>
            </w:r>
            <w:r>
              <w:rPr>
                <w:rFonts w:hint="eastAsia" w:ascii="方正仿宋_GBK" w:hAnsi="方正仿宋_GBK" w:eastAsia="方正仿宋_GBK" w:cs="方正仿宋_GBK"/>
                <w:i w:val="0"/>
                <w:iCs w:val="0"/>
                <w:color w:val="auto"/>
                <w:kern w:val="0"/>
                <w:sz w:val="24"/>
                <w:szCs w:val="24"/>
                <w:u w:val="none"/>
                <w:lang w:val="en-US" w:eastAsia="zh-CN" w:bidi="ar"/>
              </w:rPr>
              <w:t xml:space="preserve"> 销售不知道是假冒专利的产品，并且能够证明该产品合法来源的，由管理专利工作的部门责令停止销售，但免除罚款的处罚。</w:t>
            </w:r>
          </w:p>
        </w:tc>
      </w:tr>
      <w:tr w14:paraId="039B50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135" w:hRule="atLeast"/>
        </w:trPr>
        <w:tc>
          <w:tcPr>
            <w:tcW w:w="253" w:type="pct"/>
            <w:tcBorders>
              <w:tl2br w:val="nil"/>
              <w:tr2bl w:val="nil"/>
            </w:tcBorders>
            <w:shd w:val="clear" w:color="auto" w:fill="auto"/>
            <w:noWrap/>
            <w:vAlign w:val="center"/>
          </w:tcPr>
          <w:p w14:paraId="3E384A61">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20</w:t>
            </w:r>
          </w:p>
        </w:tc>
        <w:tc>
          <w:tcPr>
            <w:tcW w:w="233" w:type="pct"/>
            <w:vMerge w:val="restart"/>
            <w:tcBorders>
              <w:tl2br w:val="nil"/>
              <w:tr2bl w:val="nil"/>
            </w:tcBorders>
            <w:shd w:val="clear" w:color="auto" w:fill="auto"/>
            <w:noWrap/>
            <w:vAlign w:val="center"/>
          </w:tcPr>
          <w:p w14:paraId="5E31FA2E">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黑体_GBK" w:hAnsi="方正黑体_GBK" w:eastAsia="方正黑体_GBK" w:cs="方正黑体_GBK"/>
                <w:i w:val="0"/>
                <w:iCs w:val="0"/>
                <w:color w:val="auto"/>
                <w:sz w:val="24"/>
                <w:szCs w:val="24"/>
                <w:u w:val="none"/>
              </w:rPr>
            </w:pPr>
            <w:r>
              <w:rPr>
                <w:rFonts w:hint="eastAsia" w:ascii="方正黑体_GBK" w:hAnsi="方正黑体_GBK" w:eastAsia="方正黑体_GBK" w:cs="方正黑体_GBK"/>
                <w:i w:val="0"/>
                <w:iCs w:val="0"/>
                <w:color w:val="auto"/>
                <w:kern w:val="0"/>
                <w:sz w:val="24"/>
                <w:szCs w:val="24"/>
                <w:u w:val="none"/>
                <w:lang w:val="en-US" w:eastAsia="zh-CN" w:bidi="ar"/>
              </w:rPr>
              <w:t>计量</w:t>
            </w:r>
          </w:p>
        </w:tc>
        <w:tc>
          <w:tcPr>
            <w:tcW w:w="496" w:type="pct"/>
            <w:tcBorders>
              <w:tl2br w:val="nil"/>
              <w:tr2bl w:val="nil"/>
            </w:tcBorders>
            <w:shd w:val="clear" w:color="auto" w:fill="auto"/>
            <w:vAlign w:val="center"/>
          </w:tcPr>
          <w:p w14:paraId="52E34C72">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属于非强制检定范围的计量器具未自行定期检定或者送其他计量检定机构定期检定</w:t>
            </w:r>
          </w:p>
        </w:tc>
        <w:tc>
          <w:tcPr>
            <w:tcW w:w="840" w:type="pct"/>
            <w:tcBorders>
              <w:tl2br w:val="nil"/>
              <w:tr2bl w:val="nil"/>
            </w:tcBorders>
            <w:shd w:val="clear" w:color="auto" w:fill="auto"/>
            <w:vAlign w:val="center"/>
          </w:tcPr>
          <w:p w14:paraId="344BC22A">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1.经发现后主动送检；</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2.实际使用的计量器具经检定合格。</w:t>
            </w:r>
          </w:p>
        </w:tc>
        <w:tc>
          <w:tcPr>
            <w:tcW w:w="1504" w:type="pct"/>
            <w:tcBorders>
              <w:tl2br w:val="nil"/>
              <w:tr2bl w:val="nil"/>
            </w:tcBorders>
            <w:shd w:val="clear" w:color="auto" w:fill="auto"/>
            <w:vAlign w:val="center"/>
          </w:tcPr>
          <w:p w14:paraId="2F9B3B5E">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《计量法》第九条 </w:t>
            </w:r>
            <w:r>
              <w:rPr>
                <w:rFonts w:hint="eastAsia" w:ascii="方正仿宋_GBK" w:hAnsi="方正仿宋_GBK" w:eastAsia="方正仿宋_GBK" w:cs="方正仿宋_GBK"/>
                <w:i w:val="0"/>
                <w:iCs w:val="0"/>
                <w:color w:val="auto"/>
                <w:kern w:val="0"/>
                <w:sz w:val="24"/>
                <w:szCs w:val="24"/>
                <w:u w:val="none"/>
                <w:lang w:val="en-US" w:eastAsia="zh-CN" w:bidi="ar"/>
              </w:rPr>
              <w:t xml:space="preserve">县级以上人民政府计量行政部门对社会公用计量标准器具，部门和企业、事业单位使用的最高计量标准器具，以及用于贸易结算、安全防护、医疗卫生、环境监测方面的列入强制检定目录的工作计量器具，实行强制检定。未按照规定申请检定或者检定不合格的，不得使用。实行强制检定的工作计量器具的目录和管理办法，由国务院制定。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    对前款规定以外的其他计量标准器具和工作计量器具，使用单位应当自行定期检定或者送其他计量检定机构检定。</w:t>
            </w:r>
          </w:p>
        </w:tc>
        <w:tc>
          <w:tcPr>
            <w:tcW w:w="1671" w:type="pct"/>
            <w:tcBorders>
              <w:tl2br w:val="nil"/>
              <w:tr2bl w:val="nil"/>
            </w:tcBorders>
            <w:shd w:val="clear" w:color="auto" w:fill="auto"/>
            <w:vAlign w:val="center"/>
          </w:tcPr>
          <w:p w14:paraId="69EAADE8">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《计量法实施细则》第四十三条 </w:t>
            </w:r>
            <w:r>
              <w:rPr>
                <w:rFonts w:hint="eastAsia" w:ascii="方正仿宋_GBK" w:hAnsi="方正仿宋_GBK" w:eastAsia="方正仿宋_GBK" w:cs="方正仿宋_GBK"/>
                <w:i w:val="0"/>
                <w:iCs w:val="0"/>
                <w:color w:val="auto"/>
                <w:kern w:val="0"/>
                <w:sz w:val="24"/>
                <w:szCs w:val="24"/>
                <w:u w:val="none"/>
                <w:lang w:val="en-US" w:eastAsia="zh-CN" w:bidi="ar"/>
              </w:rPr>
              <w:t>属于强制检定范围的计量器具，未按照规定申请检定和属于非强制检定范围的计量器具未自行定期检定或者送其他计量检定机构定期检定的，以及经检定不合格继续使用的，责令其停止使用，可并处1000元以下的罚款。</w:t>
            </w:r>
          </w:p>
        </w:tc>
      </w:tr>
      <w:tr w14:paraId="0318AC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120" w:hRule="atLeast"/>
        </w:trPr>
        <w:tc>
          <w:tcPr>
            <w:tcW w:w="253" w:type="pct"/>
            <w:tcBorders>
              <w:tl2br w:val="nil"/>
              <w:tr2bl w:val="nil"/>
            </w:tcBorders>
            <w:shd w:val="clear" w:color="auto" w:fill="auto"/>
            <w:noWrap/>
            <w:vAlign w:val="center"/>
          </w:tcPr>
          <w:p w14:paraId="712AF85E">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21</w:t>
            </w:r>
          </w:p>
        </w:tc>
        <w:tc>
          <w:tcPr>
            <w:tcW w:w="233" w:type="pct"/>
            <w:vMerge w:val="continue"/>
            <w:tcBorders>
              <w:tl2br w:val="nil"/>
              <w:tr2bl w:val="nil"/>
            </w:tcBorders>
            <w:shd w:val="clear" w:color="auto" w:fill="auto"/>
            <w:noWrap/>
            <w:vAlign w:val="center"/>
          </w:tcPr>
          <w:p w14:paraId="3C0761A7">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496" w:type="pct"/>
            <w:tcBorders>
              <w:tl2br w:val="nil"/>
              <w:tr2bl w:val="nil"/>
            </w:tcBorders>
            <w:shd w:val="clear" w:color="auto" w:fill="auto"/>
            <w:vAlign w:val="center"/>
          </w:tcPr>
          <w:p w14:paraId="4E5549D1">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使用非法定计量单位</w:t>
            </w:r>
          </w:p>
        </w:tc>
        <w:tc>
          <w:tcPr>
            <w:tcW w:w="840" w:type="pct"/>
            <w:tcBorders>
              <w:tl2br w:val="nil"/>
              <w:tr2bl w:val="nil"/>
            </w:tcBorders>
            <w:shd w:val="clear" w:color="auto" w:fill="auto"/>
            <w:vAlign w:val="center"/>
          </w:tcPr>
          <w:p w14:paraId="22BBB234">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1.及时改正；</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2.消费者未因违法行为多付价款。</w:t>
            </w:r>
          </w:p>
        </w:tc>
        <w:tc>
          <w:tcPr>
            <w:tcW w:w="1504" w:type="pct"/>
            <w:tcBorders>
              <w:tl2br w:val="nil"/>
              <w:tr2bl w:val="nil"/>
            </w:tcBorders>
            <w:shd w:val="clear" w:color="auto" w:fill="auto"/>
            <w:vAlign w:val="center"/>
          </w:tcPr>
          <w:p w14:paraId="535E11A4">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《计量法实施细则》第二条  </w:t>
            </w:r>
            <w:r>
              <w:rPr>
                <w:rFonts w:hint="eastAsia" w:ascii="方正仿宋_GBK" w:hAnsi="方正仿宋_GBK" w:eastAsia="方正仿宋_GBK" w:cs="方正仿宋_GBK"/>
                <w:i w:val="0"/>
                <w:iCs w:val="0"/>
                <w:color w:val="auto"/>
                <w:kern w:val="0"/>
                <w:sz w:val="24"/>
                <w:szCs w:val="24"/>
                <w:u w:val="none"/>
                <w:lang w:val="en-US" w:eastAsia="zh-CN" w:bidi="ar"/>
              </w:rPr>
              <w:t>国家实行法定计量单位制度。国家法定计量单位的名称、符号和非国家法定计量单位的废除办法，按照国务院关于在我国统一实行法定计量单位的有关规定执行。</w:t>
            </w:r>
            <w:r>
              <w:rPr>
                <w:rFonts w:hint="eastAsia" w:ascii="方正仿宋_GBK" w:hAnsi="方正仿宋_GBK" w:eastAsia="方正仿宋_GBK" w:cs="方正仿宋_GBK"/>
                <w:b/>
                <w:bCs/>
                <w:i w:val="0"/>
                <w:iCs w:val="0"/>
                <w:color w:val="auto"/>
                <w:kern w:val="0"/>
                <w:sz w:val="24"/>
                <w:szCs w:val="24"/>
                <w:u w:val="none"/>
                <w:lang w:val="en-US" w:eastAsia="zh-CN" w:bidi="ar"/>
              </w:rPr>
              <w:br w:type="textWrapping"/>
            </w:r>
            <w:r>
              <w:rPr>
                <w:rFonts w:hint="eastAsia" w:ascii="方正仿宋_GBK" w:hAnsi="方正仿宋_GBK" w:eastAsia="方正仿宋_GBK" w:cs="方正仿宋_GBK"/>
                <w:b/>
                <w:bCs/>
                <w:i w:val="0"/>
                <w:iCs w:val="0"/>
                <w:color w:val="auto"/>
                <w:kern w:val="0"/>
                <w:sz w:val="24"/>
                <w:szCs w:val="24"/>
                <w:u w:val="none"/>
                <w:lang w:val="en-US" w:eastAsia="zh-CN" w:bidi="ar"/>
              </w:rPr>
              <w:t xml:space="preserve">《非法定计量单位限制使用管理办法》第五条  </w:t>
            </w:r>
            <w:r>
              <w:rPr>
                <w:rFonts w:hint="eastAsia" w:ascii="方正仿宋_GBK" w:hAnsi="方正仿宋_GBK" w:eastAsia="方正仿宋_GBK" w:cs="方正仿宋_GBK"/>
                <w:i w:val="0"/>
                <w:iCs w:val="0"/>
                <w:color w:val="auto"/>
                <w:kern w:val="0"/>
                <w:sz w:val="24"/>
                <w:szCs w:val="24"/>
                <w:u w:val="none"/>
                <w:lang w:val="en-US" w:eastAsia="zh-CN" w:bidi="ar"/>
              </w:rPr>
              <w:t>任何单位和个人应当按照有关法律法规、强制性标准和计量技术规范的要求正确使用计量单位。</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    国家明令禁止的非法定计量单位不得使用，其他非法定计量单位应当根据本办法规定限制使用。</w:t>
            </w:r>
          </w:p>
        </w:tc>
        <w:tc>
          <w:tcPr>
            <w:tcW w:w="1671" w:type="pct"/>
            <w:tcBorders>
              <w:tl2br w:val="nil"/>
              <w:tr2bl w:val="nil"/>
            </w:tcBorders>
            <w:shd w:val="clear" w:color="auto" w:fill="auto"/>
            <w:vAlign w:val="center"/>
          </w:tcPr>
          <w:p w14:paraId="54053B0C">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《计量法实施细则》第四十条 </w:t>
            </w:r>
            <w:r>
              <w:rPr>
                <w:rFonts w:hint="eastAsia" w:ascii="方正仿宋_GBK" w:hAnsi="方正仿宋_GBK" w:eastAsia="方正仿宋_GBK" w:cs="方正仿宋_GBK"/>
                <w:i w:val="0"/>
                <w:iCs w:val="0"/>
                <w:color w:val="auto"/>
                <w:kern w:val="0"/>
                <w:sz w:val="24"/>
                <w:szCs w:val="24"/>
                <w:u w:val="none"/>
                <w:lang w:val="en-US" w:eastAsia="zh-CN" w:bidi="ar"/>
              </w:rPr>
              <w:t>违反本细则第二条规定，使用非法定计量单位的，责令其改正；属出版物的，责令其停止销售，可并处1000元以下的罚款。</w:t>
            </w:r>
            <w:r>
              <w:rPr>
                <w:rFonts w:hint="eastAsia" w:ascii="方正仿宋_GBK" w:hAnsi="方正仿宋_GBK" w:eastAsia="方正仿宋_GBK" w:cs="方正仿宋_GBK"/>
                <w:b/>
                <w:bCs/>
                <w:i w:val="0"/>
                <w:iCs w:val="0"/>
                <w:color w:val="auto"/>
                <w:kern w:val="0"/>
                <w:sz w:val="24"/>
                <w:szCs w:val="24"/>
                <w:u w:val="none"/>
                <w:lang w:val="en-US" w:eastAsia="zh-CN" w:bidi="ar"/>
              </w:rPr>
              <w:br w:type="textWrapping"/>
            </w:r>
            <w:r>
              <w:rPr>
                <w:rFonts w:hint="eastAsia" w:ascii="方正仿宋_GBK" w:hAnsi="方正仿宋_GBK" w:eastAsia="方正仿宋_GBK" w:cs="方正仿宋_GBK"/>
                <w:b/>
                <w:bCs/>
                <w:i w:val="0"/>
                <w:iCs w:val="0"/>
                <w:color w:val="auto"/>
                <w:kern w:val="0"/>
                <w:sz w:val="24"/>
                <w:szCs w:val="24"/>
                <w:u w:val="none"/>
                <w:lang w:val="en-US" w:eastAsia="zh-CN" w:bidi="ar"/>
              </w:rPr>
              <w:t xml:space="preserve">《非法定计量单位限制使用管理办法》第十二条  </w:t>
            </w:r>
            <w:r>
              <w:rPr>
                <w:rFonts w:hint="eastAsia" w:ascii="方正仿宋_GBK" w:hAnsi="方正仿宋_GBK" w:eastAsia="方正仿宋_GBK" w:cs="方正仿宋_GBK"/>
                <w:i w:val="0"/>
                <w:iCs w:val="0"/>
                <w:color w:val="auto"/>
                <w:kern w:val="0"/>
                <w:sz w:val="24"/>
                <w:szCs w:val="24"/>
                <w:u w:val="none"/>
                <w:lang w:val="en-US" w:eastAsia="zh-CN" w:bidi="ar"/>
              </w:rPr>
              <w:t>在本办法第七条规定情形以外使用非法定计量单位的，由县级以上地方市场监督管理部门责令其改正；属于出版物的，责令其停止销售，可并处1000元以下的罚款。</w:t>
            </w:r>
          </w:p>
        </w:tc>
      </w:tr>
      <w:tr w14:paraId="2919E6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995" w:hRule="atLeast"/>
        </w:trPr>
        <w:tc>
          <w:tcPr>
            <w:tcW w:w="253" w:type="pct"/>
            <w:tcBorders>
              <w:tl2br w:val="nil"/>
              <w:tr2bl w:val="nil"/>
            </w:tcBorders>
            <w:shd w:val="clear" w:color="auto" w:fill="auto"/>
            <w:noWrap/>
            <w:vAlign w:val="center"/>
          </w:tcPr>
          <w:p w14:paraId="7277E7A0">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22</w:t>
            </w:r>
          </w:p>
        </w:tc>
        <w:tc>
          <w:tcPr>
            <w:tcW w:w="233" w:type="pct"/>
            <w:vMerge w:val="continue"/>
            <w:tcBorders>
              <w:tl2br w:val="nil"/>
              <w:tr2bl w:val="nil"/>
            </w:tcBorders>
            <w:shd w:val="clear" w:color="auto" w:fill="auto"/>
            <w:noWrap/>
            <w:vAlign w:val="center"/>
          </w:tcPr>
          <w:p w14:paraId="023A1FD2">
            <w:pPr>
              <w:keepNext w:val="0"/>
              <w:keepLines w:val="0"/>
              <w:pageBreakBefore w:val="0"/>
              <w:widowControl/>
              <w:kinsoku/>
              <w:wordWrap/>
              <w:overflowPunct/>
              <w:topLinePunct w:val="0"/>
              <w:autoSpaceDE/>
              <w:autoSpaceDN/>
              <w:bidi w:val="0"/>
              <w:adjustRightInd w:val="0"/>
              <w:snapToGrid w:val="0"/>
              <w:spacing w:line="280" w:lineRule="exact"/>
              <w:rPr>
                <w:rFonts w:hint="eastAsia" w:ascii="方正黑体_GBK" w:hAnsi="方正黑体_GBK" w:eastAsia="方正黑体_GBK" w:cs="方正黑体_GBK"/>
                <w:i w:val="0"/>
                <w:iCs w:val="0"/>
                <w:color w:val="auto"/>
                <w:sz w:val="24"/>
                <w:szCs w:val="24"/>
                <w:u w:val="none"/>
              </w:rPr>
            </w:pPr>
          </w:p>
        </w:tc>
        <w:tc>
          <w:tcPr>
            <w:tcW w:w="496" w:type="pct"/>
            <w:tcBorders>
              <w:tl2br w:val="nil"/>
              <w:tr2bl w:val="nil"/>
            </w:tcBorders>
            <w:shd w:val="clear" w:color="auto" w:fill="auto"/>
            <w:vAlign w:val="center"/>
          </w:tcPr>
          <w:p w14:paraId="6399D148">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销售批量定量包装商品的平均实际含量小于其标注净含量</w:t>
            </w:r>
          </w:p>
        </w:tc>
        <w:tc>
          <w:tcPr>
            <w:tcW w:w="840" w:type="pct"/>
            <w:tcBorders>
              <w:tl2br w:val="nil"/>
              <w:tr2bl w:val="nil"/>
            </w:tcBorders>
            <w:shd w:val="clear" w:color="auto" w:fill="auto"/>
            <w:vAlign w:val="center"/>
          </w:tcPr>
          <w:p w14:paraId="53DE7098">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1.能够说明合法来源及提供者；</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2.及时改正；</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3.实际净含量与标注净含量的差额较小，不经计量难以发现。</w:t>
            </w:r>
          </w:p>
        </w:tc>
        <w:tc>
          <w:tcPr>
            <w:tcW w:w="1504" w:type="pct"/>
            <w:tcBorders>
              <w:tl2br w:val="nil"/>
              <w:tr2bl w:val="nil"/>
            </w:tcBorders>
            <w:shd w:val="clear" w:color="auto" w:fill="auto"/>
            <w:vAlign w:val="center"/>
          </w:tcPr>
          <w:p w14:paraId="44AEB1E5">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《定量包装商品计量监督管理办法》第九条第一款  </w:t>
            </w:r>
            <w:r>
              <w:rPr>
                <w:rFonts w:hint="eastAsia" w:ascii="方正仿宋_GBK" w:hAnsi="方正仿宋_GBK" w:eastAsia="方正仿宋_GBK" w:cs="方正仿宋_GBK"/>
                <w:i w:val="0"/>
                <w:iCs w:val="0"/>
                <w:color w:val="auto"/>
                <w:kern w:val="0"/>
                <w:sz w:val="24"/>
                <w:szCs w:val="24"/>
                <w:u w:val="none"/>
                <w:lang w:val="en-US" w:eastAsia="zh-CN" w:bidi="ar"/>
              </w:rPr>
              <w:t>批量定量包装商品的平均实际含量应当大于或者等于其标注净含量。</w:t>
            </w:r>
          </w:p>
        </w:tc>
        <w:tc>
          <w:tcPr>
            <w:tcW w:w="1671" w:type="pct"/>
            <w:tcBorders>
              <w:tl2br w:val="nil"/>
              <w:tr2bl w:val="nil"/>
            </w:tcBorders>
            <w:shd w:val="clear" w:color="auto" w:fill="auto"/>
            <w:vAlign w:val="center"/>
          </w:tcPr>
          <w:p w14:paraId="4F1E977E">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《定量包装商品计量监督管理办法》第十八条  </w:t>
            </w:r>
            <w:r>
              <w:rPr>
                <w:rFonts w:hint="eastAsia" w:ascii="方正仿宋_GBK" w:hAnsi="方正仿宋_GBK" w:eastAsia="方正仿宋_GBK" w:cs="方正仿宋_GBK"/>
                <w:i w:val="0"/>
                <w:iCs w:val="0"/>
                <w:color w:val="auto"/>
                <w:kern w:val="0"/>
                <w:sz w:val="24"/>
                <w:szCs w:val="24"/>
                <w:u w:val="none"/>
                <w:lang w:val="en-US" w:eastAsia="zh-CN" w:bidi="ar"/>
              </w:rPr>
              <w:t>生产、销售的定量包装商品，经检验违反本办法第八条、第九条规定的，由县级以上地方市场监督管理部门责令改正，处三万元以下罚款。</w:t>
            </w:r>
          </w:p>
        </w:tc>
      </w:tr>
      <w:tr w14:paraId="70A79E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620" w:hRule="atLeast"/>
        </w:trPr>
        <w:tc>
          <w:tcPr>
            <w:tcW w:w="253" w:type="pct"/>
            <w:tcBorders>
              <w:tl2br w:val="nil"/>
              <w:tr2bl w:val="nil"/>
            </w:tcBorders>
            <w:shd w:val="clear" w:color="auto" w:fill="auto"/>
            <w:noWrap/>
            <w:vAlign w:val="center"/>
          </w:tcPr>
          <w:p w14:paraId="2F4B51F9">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23</w:t>
            </w:r>
          </w:p>
        </w:tc>
        <w:tc>
          <w:tcPr>
            <w:tcW w:w="233" w:type="pct"/>
            <w:tcBorders>
              <w:tl2br w:val="nil"/>
              <w:tr2bl w:val="nil"/>
            </w:tcBorders>
            <w:shd w:val="clear" w:color="auto" w:fill="auto"/>
            <w:vAlign w:val="center"/>
          </w:tcPr>
          <w:p w14:paraId="042E3690">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lang w:val="en-US" w:eastAsia="zh-CN"/>
              </w:rPr>
            </w:pPr>
            <w:r>
              <w:rPr>
                <w:rFonts w:hint="eastAsia" w:ascii="方正黑体_GBK" w:hAnsi="方正黑体_GBK" w:eastAsia="方正黑体_GBK" w:cs="方正黑体_GBK"/>
                <w:i w:val="0"/>
                <w:iCs w:val="0"/>
                <w:color w:val="auto"/>
                <w:sz w:val="24"/>
                <w:szCs w:val="24"/>
                <w:u w:val="none"/>
                <w:lang w:val="en-US" w:eastAsia="zh-CN"/>
              </w:rPr>
              <w:t>认证</w:t>
            </w:r>
          </w:p>
        </w:tc>
        <w:tc>
          <w:tcPr>
            <w:tcW w:w="496" w:type="pct"/>
            <w:tcBorders>
              <w:tl2br w:val="nil"/>
              <w:tr2bl w:val="nil"/>
            </w:tcBorders>
            <w:shd w:val="clear" w:color="auto" w:fill="auto"/>
            <w:vAlign w:val="center"/>
          </w:tcPr>
          <w:p w14:paraId="6D6E19A2">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认证机构的认证程序不规范</w:t>
            </w:r>
          </w:p>
        </w:tc>
        <w:tc>
          <w:tcPr>
            <w:tcW w:w="840" w:type="pct"/>
            <w:tcBorders>
              <w:tl2br w:val="nil"/>
              <w:tr2bl w:val="nil"/>
            </w:tcBorders>
            <w:shd w:val="clear" w:color="auto" w:fill="auto"/>
            <w:vAlign w:val="center"/>
          </w:tcPr>
          <w:p w14:paraId="16204B86">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1.情节轻微且不影响认证结论的客观、真实或者认证有效性；</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2.及时改正。</w:t>
            </w:r>
          </w:p>
        </w:tc>
        <w:tc>
          <w:tcPr>
            <w:tcW w:w="1504" w:type="pct"/>
            <w:tcBorders>
              <w:tl2br w:val="nil"/>
              <w:tr2bl w:val="nil"/>
            </w:tcBorders>
            <w:shd w:val="clear" w:color="auto" w:fill="auto"/>
            <w:vAlign w:val="center"/>
          </w:tcPr>
          <w:p w14:paraId="27F3B997">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《认证认可条例》第二十一条第一款　</w:t>
            </w:r>
            <w:r>
              <w:rPr>
                <w:rFonts w:hint="eastAsia" w:ascii="方正仿宋_GBK" w:hAnsi="方正仿宋_GBK" w:eastAsia="方正仿宋_GBK" w:cs="方正仿宋_GBK"/>
                <w:i w:val="0"/>
                <w:iCs w:val="0"/>
                <w:color w:val="auto"/>
                <w:kern w:val="0"/>
                <w:sz w:val="24"/>
                <w:szCs w:val="24"/>
                <w:u w:val="none"/>
                <w:lang w:val="en-US" w:eastAsia="zh-CN" w:bidi="ar"/>
              </w:rPr>
              <w:t>认证机构以及与认证有关的检查机构、实验室从事认证以及与认证有关的检查、检测活动，应当完成认证基本规范、认证规则规定的程序，确保认证、检查、检测的完整、客观、真实，不得增加、减少、遗漏程序。</w:t>
            </w:r>
          </w:p>
        </w:tc>
        <w:tc>
          <w:tcPr>
            <w:tcW w:w="1671" w:type="pct"/>
            <w:tcBorders>
              <w:tl2br w:val="nil"/>
              <w:tr2bl w:val="nil"/>
            </w:tcBorders>
            <w:shd w:val="clear" w:color="auto" w:fill="auto"/>
            <w:vAlign w:val="center"/>
          </w:tcPr>
          <w:p w14:paraId="06A3BC6C">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《认证认可条例》第五十九条第一款第二项　</w:t>
            </w:r>
            <w:r>
              <w:rPr>
                <w:rFonts w:hint="eastAsia" w:ascii="方正仿宋_GBK" w:hAnsi="方正仿宋_GBK" w:eastAsia="方正仿宋_GBK" w:cs="方正仿宋_GBK"/>
                <w:i w:val="0"/>
                <w:iCs w:val="0"/>
                <w:color w:val="auto"/>
                <w:kern w:val="0"/>
                <w:sz w:val="24"/>
                <w:szCs w:val="24"/>
                <w:u w:val="none"/>
                <w:lang w:val="en-US" w:eastAsia="zh-CN" w:bidi="ar"/>
              </w:rPr>
              <w:t>认证机构有下列情形之一的，责令改正，处5万元以上20万元以下的罚款，有违法所得的，没收违法所得；情节严重的，责令停业整顿，直至撤销批准文件，并予公布：(二)增加、减少、遗漏认证基本规范、认证规则规定的程序的；</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b/>
                <w:bCs/>
                <w:i w:val="0"/>
                <w:iCs w:val="0"/>
                <w:color w:val="auto"/>
                <w:kern w:val="0"/>
                <w:sz w:val="24"/>
                <w:szCs w:val="24"/>
                <w:u w:val="none"/>
                <w:lang w:val="en-US" w:eastAsia="zh-CN" w:bidi="ar"/>
              </w:rPr>
              <w:t xml:space="preserve">《认证机构管理办法》第三十九条第二款 </w:t>
            </w:r>
            <w:r>
              <w:rPr>
                <w:rFonts w:hint="eastAsia" w:ascii="方正仿宋_GBK" w:hAnsi="方正仿宋_GBK" w:eastAsia="方正仿宋_GBK" w:cs="方正仿宋_GBK"/>
                <w:i w:val="0"/>
                <w:iCs w:val="0"/>
                <w:color w:val="auto"/>
                <w:kern w:val="0"/>
                <w:sz w:val="24"/>
                <w:szCs w:val="24"/>
                <w:u w:val="none"/>
                <w:lang w:val="en-US" w:eastAsia="zh-CN" w:bidi="ar"/>
              </w:rPr>
              <w:t xml:space="preserve"> 认证机构增加、减少、遗漏程序要求，情节轻微且不影响认证结论的客观、真实或者认证有效性的，应当责令其限期改正。逾期未改正或者经改正仍不符合要求的，依照前款规定进行处罚。</w:t>
            </w:r>
          </w:p>
        </w:tc>
      </w:tr>
      <w:tr w14:paraId="4146B6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520" w:hRule="atLeast"/>
        </w:trPr>
        <w:tc>
          <w:tcPr>
            <w:tcW w:w="253" w:type="pct"/>
            <w:tcBorders>
              <w:tl2br w:val="nil"/>
              <w:tr2bl w:val="nil"/>
            </w:tcBorders>
            <w:shd w:val="clear" w:color="auto" w:fill="auto"/>
            <w:noWrap/>
            <w:vAlign w:val="center"/>
          </w:tcPr>
          <w:p w14:paraId="58F0538E">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24</w:t>
            </w:r>
          </w:p>
        </w:tc>
        <w:tc>
          <w:tcPr>
            <w:tcW w:w="233" w:type="pct"/>
            <w:vMerge w:val="restart"/>
            <w:tcBorders>
              <w:tl2br w:val="nil"/>
              <w:tr2bl w:val="nil"/>
            </w:tcBorders>
            <w:shd w:val="clear" w:color="auto" w:fill="auto"/>
            <w:vAlign w:val="center"/>
          </w:tcPr>
          <w:p w14:paraId="49A4BF39">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lang w:val="en-US" w:eastAsia="zh-CN"/>
              </w:rPr>
            </w:pPr>
            <w:r>
              <w:rPr>
                <w:rFonts w:hint="eastAsia" w:ascii="方正黑体_GBK" w:hAnsi="方正黑体_GBK" w:eastAsia="方正黑体_GBK" w:cs="方正黑体_GBK"/>
                <w:i w:val="0"/>
                <w:iCs w:val="0"/>
                <w:color w:val="auto"/>
                <w:sz w:val="24"/>
                <w:szCs w:val="24"/>
                <w:u w:val="none"/>
                <w:lang w:val="en-US" w:eastAsia="zh-CN"/>
              </w:rPr>
              <w:t>食品</w:t>
            </w:r>
          </w:p>
        </w:tc>
        <w:tc>
          <w:tcPr>
            <w:tcW w:w="496" w:type="pct"/>
            <w:tcBorders>
              <w:tl2br w:val="nil"/>
              <w:tr2bl w:val="nil"/>
            </w:tcBorders>
            <w:shd w:val="clear" w:color="auto" w:fill="auto"/>
            <w:vAlign w:val="center"/>
          </w:tcPr>
          <w:p w14:paraId="3978A7B0">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食品销售者销售混有异物的食品</w:t>
            </w:r>
          </w:p>
        </w:tc>
        <w:tc>
          <w:tcPr>
            <w:tcW w:w="840" w:type="pct"/>
            <w:tcBorders>
              <w:tl2br w:val="nil"/>
              <w:tr2bl w:val="nil"/>
            </w:tcBorders>
            <w:shd w:val="clear" w:color="auto" w:fill="auto"/>
            <w:vAlign w:val="center"/>
          </w:tcPr>
          <w:p w14:paraId="2BC3E6F7">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1.混有的异物较少，难以发现；</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2.非销售环节造成；</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3.及时改正；</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4.不影响食品安全。</w:t>
            </w:r>
          </w:p>
        </w:tc>
        <w:tc>
          <w:tcPr>
            <w:tcW w:w="1504" w:type="pct"/>
            <w:tcBorders>
              <w:tl2br w:val="nil"/>
              <w:tr2bl w:val="nil"/>
            </w:tcBorders>
            <w:shd w:val="clear" w:color="auto" w:fill="auto"/>
            <w:vAlign w:val="center"/>
          </w:tcPr>
          <w:p w14:paraId="1D951B1F">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《中华人民共和国食品安全法》第三十四条</w:t>
            </w:r>
            <w:r>
              <w:rPr>
                <w:rFonts w:hint="eastAsia" w:ascii="方正仿宋_GBK" w:hAnsi="方正仿宋_GBK" w:eastAsia="方正仿宋_GBK" w:cs="方正仿宋_GBK"/>
                <w:i w:val="0"/>
                <w:iCs w:val="0"/>
                <w:color w:val="auto"/>
                <w:kern w:val="0"/>
                <w:sz w:val="24"/>
                <w:szCs w:val="24"/>
                <w:u w:val="none"/>
                <w:lang w:val="en-US" w:eastAsia="zh-CN" w:bidi="ar"/>
              </w:rPr>
              <w:t>　禁止生产经营下列食品、食品添加剂、食品相关产品：（六）腐败变质、油脂酸败、霉变生虫、污秽不洁、混有异物、掺假掺杂或者感官性状异常的食品、食品添加剂。</w:t>
            </w:r>
          </w:p>
        </w:tc>
        <w:tc>
          <w:tcPr>
            <w:tcW w:w="1671" w:type="pct"/>
            <w:tcBorders>
              <w:tl2br w:val="nil"/>
              <w:tr2bl w:val="nil"/>
            </w:tcBorders>
            <w:shd w:val="clear" w:color="auto" w:fill="auto"/>
            <w:vAlign w:val="center"/>
          </w:tcPr>
          <w:p w14:paraId="541C0598">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《中华人民共和国食品安全法》第一百二十四条</w:t>
            </w:r>
            <w:r>
              <w:rPr>
                <w:rFonts w:hint="eastAsia" w:ascii="方正仿宋_GBK" w:hAnsi="方正仿宋_GBK" w:eastAsia="方正仿宋_GBK" w:cs="方正仿宋_GBK"/>
                <w:i w:val="0"/>
                <w:iCs w:val="0"/>
                <w:color w:val="auto"/>
                <w:kern w:val="0"/>
                <w:sz w:val="24"/>
                <w:szCs w:val="24"/>
                <w:u w:val="none"/>
                <w:lang w:val="en-US" w:eastAsia="zh-CN" w:bidi="ar"/>
              </w:rPr>
              <w:t xml:space="preserve">  违反本法规定，有下列情形之一，尚不构成犯罪的，由县级以上人民政府食品安全监督管理部门没收违法所得和违法生产经营的食品、食品添加剂，并可以没收用于违法生产经营的工具、设备、原料等物品；违法生产经营的食品、食品添加剂货值金额不足一万元的，并处五万元以上十万元以下罚款；货值金额一万元以上的，并处货值金额十倍以上二十倍以下罚款；情节严重的，吊销许可证：（四）生产经营腐败变质、油脂酸败、霉变生虫、污秽不洁、混有异物、掺假掺杂或者感官性状异常的食品、食品添加剂；</w:t>
            </w:r>
          </w:p>
        </w:tc>
      </w:tr>
      <w:tr w14:paraId="3AE4F1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70" w:hRule="atLeast"/>
        </w:trPr>
        <w:tc>
          <w:tcPr>
            <w:tcW w:w="253" w:type="pct"/>
            <w:tcBorders>
              <w:tl2br w:val="nil"/>
              <w:tr2bl w:val="nil"/>
            </w:tcBorders>
            <w:shd w:val="clear" w:color="auto" w:fill="auto"/>
            <w:noWrap/>
            <w:vAlign w:val="center"/>
          </w:tcPr>
          <w:p w14:paraId="703B92B6">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25</w:t>
            </w:r>
          </w:p>
        </w:tc>
        <w:tc>
          <w:tcPr>
            <w:tcW w:w="233" w:type="pct"/>
            <w:vMerge w:val="continue"/>
            <w:tcBorders>
              <w:tl2br w:val="nil"/>
              <w:tr2bl w:val="nil"/>
            </w:tcBorders>
            <w:shd w:val="clear" w:color="auto" w:fill="auto"/>
            <w:vAlign w:val="center"/>
          </w:tcPr>
          <w:p w14:paraId="3F15668D">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496" w:type="pct"/>
            <w:tcBorders>
              <w:tl2br w:val="nil"/>
              <w:tr2bl w:val="nil"/>
            </w:tcBorders>
            <w:shd w:val="clear" w:color="auto" w:fill="auto"/>
            <w:vAlign w:val="center"/>
          </w:tcPr>
          <w:p w14:paraId="447F1F3E">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生产经营的食品、食品添加剂的标签、说明书不符合规定</w:t>
            </w:r>
          </w:p>
        </w:tc>
        <w:tc>
          <w:tcPr>
            <w:tcW w:w="840" w:type="pct"/>
            <w:tcBorders>
              <w:tl2br w:val="nil"/>
              <w:tr2bl w:val="nil"/>
            </w:tcBorders>
            <w:shd w:val="clear" w:color="auto" w:fill="auto"/>
            <w:vAlign w:val="center"/>
          </w:tcPr>
          <w:p w14:paraId="6094289F">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1.标签、说明书存在瑕疵，但不影响食品安全；</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2.及时改正；</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3.没有对消费者造成误导。</w:t>
            </w:r>
          </w:p>
        </w:tc>
        <w:tc>
          <w:tcPr>
            <w:tcW w:w="1504" w:type="pct"/>
            <w:tcBorders>
              <w:tl2br w:val="nil"/>
              <w:tr2bl w:val="nil"/>
            </w:tcBorders>
            <w:shd w:val="clear" w:color="auto" w:fill="auto"/>
            <w:vAlign w:val="center"/>
          </w:tcPr>
          <w:p w14:paraId="66DABC9F">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《食品安全法》第六十七条</w:t>
            </w:r>
            <w:r>
              <w:rPr>
                <w:rFonts w:hint="eastAsia" w:ascii="方正仿宋_GBK" w:hAnsi="方正仿宋_GBK" w:eastAsia="方正仿宋_GBK" w:cs="方正仿宋_GBK"/>
                <w:i w:val="0"/>
                <w:iCs w:val="0"/>
                <w:color w:val="auto"/>
                <w:kern w:val="0"/>
                <w:sz w:val="24"/>
                <w:szCs w:val="24"/>
                <w:u w:val="none"/>
                <w:lang w:val="en-US" w:eastAsia="zh-CN" w:bidi="ar"/>
              </w:rPr>
              <w:t xml:space="preserve">　预包装食品的包装上应当有标签。标签应当标明下列事项：（一）名称、规格、净含量、生产日期；（二）成分或者配料表；（三）生产者的名称、地址、联系方式；（四）保质期；（五）产品标准代号；（六）贮存条件；（七）所使用的食品添加剂在国家标准中的通用名称；（八）生产许可证编号；（九）法律、法规或者食品安全标准规定应当标明的其他事项。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    专供婴幼儿和其他特定人群的主辅食品，其标签还应当标明主要营养成分及其含量。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   </w:t>
            </w:r>
            <w:r>
              <w:rPr>
                <w:rFonts w:hint="eastAsia" w:ascii="方正仿宋_GBK" w:hAnsi="方正仿宋_GBK" w:eastAsia="方正仿宋_GBK" w:cs="方正仿宋_GBK"/>
                <w:b/>
                <w:bCs/>
                <w:i w:val="0"/>
                <w:iCs w:val="0"/>
                <w:color w:val="auto"/>
                <w:kern w:val="0"/>
                <w:sz w:val="24"/>
                <w:szCs w:val="24"/>
                <w:u w:val="none"/>
                <w:lang w:val="en-US" w:eastAsia="zh-CN" w:bidi="ar"/>
              </w:rPr>
              <w:t xml:space="preserve"> 第七十一条第二、三款 </w:t>
            </w:r>
            <w:r>
              <w:rPr>
                <w:rFonts w:hint="eastAsia" w:ascii="方正仿宋_GBK" w:hAnsi="方正仿宋_GBK" w:eastAsia="方正仿宋_GBK" w:cs="方正仿宋_GBK"/>
                <w:i w:val="0"/>
                <w:iCs w:val="0"/>
                <w:color w:val="auto"/>
                <w:kern w:val="0"/>
                <w:sz w:val="24"/>
                <w:szCs w:val="24"/>
                <w:u w:val="none"/>
                <w:lang w:val="en-US" w:eastAsia="zh-CN" w:bidi="ar"/>
              </w:rPr>
              <w:t xml:space="preserve"> 食品和食品添加剂的标签、说明书应当清楚、明显，生产日期、保质期等事项应当显著标注，容易辨识。</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食品和食品添加剂与其标签、说明书的内容不符的，不得上市销售。</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b/>
                <w:bCs/>
                <w:i w:val="0"/>
                <w:iCs w:val="0"/>
                <w:color w:val="auto"/>
                <w:kern w:val="0"/>
                <w:sz w:val="24"/>
                <w:szCs w:val="24"/>
                <w:u w:val="none"/>
                <w:lang w:val="en-US" w:eastAsia="zh-CN" w:bidi="ar"/>
              </w:rPr>
              <w:t xml:space="preserve">    第七十条、第七十八条、第九十七条。（略）</w:t>
            </w:r>
          </w:p>
        </w:tc>
        <w:tc>
          <w:tcPr>
            <w:tcW w:w="1671" w:type="pct"/>
            <w:tcBorders>
              <w:tl2br w:val="nil"/>
              <w:tr2bl w:val="nil"/>
            </w:tcBorders>
            <w:shd w:val="clear" w:color="auto" w:fill="auto"/>
            <w:vAlign w:val="center"/>
          </w:tcPr>
          <w:p w14:paraId="0F149569">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《食品安全法》第一百二十五条</w:t>
            </w:r>
            <w:r>
              <w:rPr>
                <w:rFonts w:hint="eastAsia" w:ascii="方正仿宋_GBK" w:hAnsi="方正仿宋_GBK" w:eastAsia="方正仿宋_GBK" w:cs="方正仿宋_GBK"/>
                <w:i w:val="0"/>
                <w:iCs w:val="0"/>
                <w:color w:val="auto"/>
                <w:kern w:val="0"/>
                <w:sz w:val="24"/>
                <w:szCs w:val="24"/>
                <w:u w:val="none"/>
                <w:lang w:val="en-US" w:eastAsia="zh-CN" w:bidi="ar"/>
              </w:rPr>
              <w:t>　违反本法规定，有下列情形之一的，由县级以上人民政府食品安全监督管理部门没收违法所得和违法生产经营的食品、食品添加剂，并可以没收用于违法生产经营的工具、设备、原料等物品；违法生产经营的食品、食品添加剂货值金额不足一万元的，并处五千元以上五万元以下罚款；货值金额一万元以上的，并处货值金额五倍以上十倍以下罚款；情节严重的，责令停产停业，直至吊销许可证：（二）生产经营无标签的预包装食品、食品添加剂或者标签、说明书不符合本法规定的食品、食品添加剂；</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    生产经营的食品、食品添加剂的标签、说明书存在瑕疵但不影响食品安全且不会对消费者造成误导的，由县级以上人民政府食品安全监督管理部门责令改正；拒不改正的，处二千元以下罚款。</w:t>
            </w:r>
          </w:p>
        </w:tc>
      </w:tr>
      <w:tr w14:paraId="7E7842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4040" w:hRule="atLeast"/>
        </w:trPr>
        <w:tc>
          <w:tcPr>
            <w:tcW w:w="253" w:type="pct"/>
            <w:tcBorders>
              <w:tl2br w:val="nil"/>
              <w:tr2bl w:val="nil"/>
            </w:tcBorders>
            <w:shd w:val="clear" w:color="auto" w:fill="auto"/>
            <w:noWrap/>
            <w:vAlign w:val="center"/>
          </w:tcPr>
          <w:p w14:paraId="145DE016">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default" w:ascii="方正仿宋_GBK" w:hAnsi="方正仿宋_GBK" w:eastAsia="方正仿宋_GBK" w:cs="方正仿宋_GBK"/>
                <w:i w:val="0"/>
                <w:iCs w:val="0"/>
                <w:color w:val="auto"/>
                <w:kern w:val="0"/>
                <w:sz w:val="24"/>
                <w:szCs w:val="24"/>
                <w:u w:val="none"/>
                <w:lang w:val="en-US" w:eastAsia="zh-CN" w:bidi="ar"/>
              </w:rPr>
            </w:pPr>
            <w:r>
              <w:rPr>
                <w:rFonts w:hint="eastAsia" w:ascii="方正仿宋_GBK" w:hAnsi="方正仿宋_GBK" w:eastAsia="方正仿宋_GBK" w:cs="方正仿宋_GBK"/>
                <w:i w:val="0"/>
                <w:iCs w:val="0"/>
                <w:color w:val="auto"/>
                <w:kern w:val="0"/>
                <w:sz w:val="24"/>
                <w:szCs w:val="24"/>
                <w:u w:val="none"/>
                <w:lang w:val="en-US" w:eastAsia="zh-CN" w:bidi="ar"/>
              </w:rPr>
              <w:t>26</w:t>
            </w:r>
          </w:p>
        </w:tc>
        <w:tc>
          <w:tcPr>
            <w:tcW w:w="233" w:type="pct"/>
            <w:tcBorders>
              <w:tl2br w:val="nil"/>
              <w:tr2bl w:val="nil"/>
            </w:tcBorders>
            <w:shd w:val="clear" w:color="auto" w:fill="auto"/>
            <w:vAlign w:val="center"/>
          </w:tcPr>
          <w:p w14:paraId="2C7A3163">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黑体_GBK" w:hAnsi="方正黑体_GBK" w:eastAsia="方正黑体_GBK" w:cs="方正黑体_GBK"/>
                <w:i w:val="0"/>
                <w:iCs w:val="0"/>
                <w:color w:val="auto"/>
                <w:sz w:val="24"/>
                <w:szCs w:val="24"/>
                <w:u w:val="none"/>
              </w:rPr>
            </w:pPr>
            <w:r>
              <w:rPr>
                <w:rFonts w:hint="eastAsia" w:ascii="方正黑体_GBK" w:hAnsi="方正黑体_GBK" w:eastAsia="方正黑体_GBK" w:cs="方正黑体_GBK"/>
                <w:i w:val="0"/>
                <w:iCs w:val="0"/>
                <w:color w:val="auto"/>
                <w:kern w:val="0"/>
                <w:sz w:val="24"/>
                <w:szCs w:val="24"/>
                <w:u w:val="none"/>
                <w:lang w:val="en-US" w:eastAsia="zh-CN" w:bidi="ar"/>
              </w:rPr>
              <w:t>特种设备</w:t>
            </w:r>
          </w:p>
        </w:tc>
        <w:tc>
          <w:tcPr>
            <w:tcW w:w="496" w:type="pct"/>
            <w:tcBorders>
              <w:tl2br w:val="nil"/>
              <w:tr2bl w:val="nil"/>
            </w:tcBorders>
            <w:shd w:val="clear" w:color="auto" w:fill="auto"/>
            <w:vAlign w:val="center"/>
          </w:tcPr>
          <w:p w14:paraId="3AF418A9">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kern w:val="0"/>
                <w:sz w:val="24"/>
                <w:szCs w:val="24"/>
                <w:u w:val="none"/>
                <w:lang w:val="en-US" w:eastAsia="zh-CN" w:bidi="ar"/>
              </w:rPr>
            </w:pPr>
            <w:r>
              <w:rPr>
                <w:rFonts w:hint="eastAsia" w:ascii="方正仿宋_GBK" w:hAnsi="方正仿宋_GBK" w:eastAsia="方正仿宋_GBK" w:cs="方正仿宋_GBK"/>
                <w:i w:val="0"/>
                <w:iCs w:val="0"/>
                <w:color w:val="auto"/>
                <w:kern w:val="0"/>
                <w:sz w:val="24"/>
                <w:szCs w:val="24"/>
                <w:u w:val="none"/>
                <w:lang w:val="en-US" w:eastAsia="zh-CN" w:bidi="ar"/>
              </w:rPr>
              <w:t>电梯维护保养单位未按照《中华人民共和国特种设备安全法》以及安全技术规范的要求，进行电梯维护保养</w:t>
            </w:r>
          </w:p>
        </w:tc>
        <w:tc>
          <w:tcPr>
            <w:tcW w:w="840" w:type="pct"/>
            <w:tcBorders>
              <w:tl2br w:val="nil"/>
              <w:tr2bl w:val="nil"/>
            </w:tcBorders>
            <w:shd w:val="clear" w:color="auto" w:fill="auto"/>
            <w:vAlign w:val="center"/>
          </w:tcPr>
          <w:p w14:paraId="6C96C1D4">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kern w:val="0"/>
                <w:sz w:val="24"/>
                <w:szCs w:val="24"/>
                <w:u w:val="none"/>
                <w:lang w:val="en-US" w:eastAsia="zh-CN" w:bidi="ar"/>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1.在维护保养中，已严格执行安全技术规范对维保项目和维保间隔的要求，保证电梯安全性能，并已落实现场安全防护措施；</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2.仅维保记录填写有误；</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3.及时改正；</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4.没有造成危害后果。</w:t>
            </w:r>
          </w:p>
        </w:tc>
        <w:tc>
          <w:tcPr>
            <w:tcW w:w="1504" w:type="pct"/>
            <w:tcBorders>
              <w:tl2br w:val="nil"/>
              <w:tr2bl w:val="nil"/>
            </w:tcBorders>
            <w:shd w:val="clear" w:color="auto" w:fill="auto"/>
            <w:vAlign w:val="center"/>
          </w:tcPr>
          <w:p w14:paraId="77BCD7F2">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kern w:val="0"/>
                <w:sz w:val="24"/>
                <w:szCs w:val="24"/>
                <w:u w:val="none"/>
                <w:lang w:val="en-US" w:eastAsia="zh-CN" w:bidi="ar"/>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《中华人民共和国特种设备安全法》第四十五条第二款 </w:t>
            </w:r>
            <w:r>
              <w:rPr>
                <w:rFonts w:hint="eastAsia" w:ascii="方正仿宋_GBK" w:hAnsi="方正仿宋_GBK" w:eastAsia="方正仿宋_GBK" w:cs="方正仿宋_GBK"/>
                <w:i w:val="0"/>
                <w:iCs w:val="0"/>
                <w:color w:val="auto"/>
                <w:kern w:val="0"/>
                <w:sz w:val="24"/>
                <w:szCs w:val="24"/>
                <w:u w:val="none"/>
                <w:lang w:val="en-US" w:eastAsia="zh-CN" w:bidi="ar"/>
              </w:rPr>
              <w:t>电梯的维护保养单位应当在维护保养中严格执行安全技术规范的要求，保证其维护保养的电梯的安全性能，并负责落实现场安全防护措施，保证施工安全。</w:t>
            </w:r>
          </w:p>
        </w:tc>
        <w:tc>
          <w:tcPr>
            <w:tcW w:w="1671" w:type="pct"/>
            <w:tcBorders>
              <w:tl2br w:val="nil"/>
              <w:tr2bl w:val="nil"/>
            </w:tcBorders>
            <w:shd w:val="clear" w:color="auto" w:fill="auto"/>
            <w:vAlign w:val="center"/>
          </w:tcPr>
          <w:p w14:paraId="4407DE4B">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kern w:val="0"/>
                <w:sz w:val="24"/>
                <w:szCs w:val="24"/>
                <w:u w:val="none"/>
                <w:lang w:val="en-US" w:eastAsia="zh-CN" w:bidi="ar"/>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《中华人民共和国特种设备安全法》第八十八条 </w:t>
            </w:r>
            <w:r>
              <w:rPr>
                <w:rFonts w:hint="eastAsia" w:ascii="方正仿宋_GBK" w:hAnsi="方正仿宋_GBK" w:eastAsia="方正仿宋_GBK" w:cs="方正仿宋_GBK"/>
                <w:i w:val="0"/>
                <w:iCs w:val="0"/>
                <w:color w:val="auto"/>
                <w:kern w:val="0"/>
                <w:sz w:val="24"/>
                <w:szCs w:val="24"/>
                <w:u w:val="none"/>
                <w:lang w:val="en-US" w:eastAsia="zh-CN" w:bidi="ar"/>
              </w:rPr>
              <w:t>违反本法规定，未经许可，擅自从事电梯维护保养的，责令停止违法行为，处一万元以上十万元以下罚款；有违法所得的，没收违法所得。</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    电梯的维护保养单位未按照本法规定以及安全技术规范的要求，进行电梯维护保养的，依照前款规定处罚。</w:t>
            </w:r>
          </w:p>
        </w:tc>
      </w:tr>
      <w:tr w14:paraId="2D02BA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280" w:hRule="atLeast"/>
        </w:trPr>
        <w:tc>
          <w:tcPr>
            <w:tcW w:w="253" w:type="pct"/>
            <w:tcBorders>
              <w:tl2br w:val="nil"/>
              <w:tr2bl w:val="nil"/>
            </w:tcBorders>
            <w:shd w:val="clear" w:color="auto" w:fill="auto"/>
            <w:noWrap/>
            <w:vAlign w:val="center"/>
          </w:tcPr>
          <w:p w14:paraId="3CC192F2">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27</w:t>
            </w:r>
          </w:p>
        </w:tc>
        <w:tc>
          <w:tcPr>
            <w:tcW w:w="233" w:type="pct"/>
            <w:tcBorders>
              <w:tl2br w:val="nil"/>
              <w:tr2bl w:val="nil"/>
            </w:tcBorders>
            <w:shd w:val="clear" w:color="auto" w:fill="auto"/>
            <w:vAlign w:val="center"/>
          </w:tcPr>
          <w:p w14:paraId="13C02EBC">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黑体_GBK" w:hAnsi="方正黑体_GBK" w:eastAsia="方正黑体_GBK" w:cs="方正黑体_GBK"/>
                <w:i w:val="0"/>
                <w:iCs w:val="0"/>
                <w:color w:val="auto"/>
                <w:sz w:val="24"/>
                <w:szCs w:val="24"/>
                <w:u w:val="none"/>
              </w:rPr>
            </w:pPr>
            <w:r>
              <w:rPr>
                <w:rFonts w:hint="eastAsia" w:ascii="方正黑体_GBK" w:hAnsi="方正黑体_GBK" w:eastAsia="方正黑体_GBK" w:cs="方正黑体_GBK"/>
                <w:i w:val="0"/>
                <w:iCs w:val="0"/>
                <w:color w:val="auto"/>
                <w:kern w:val="0"/>
                <w:sz w:val="24"/>
                <w:szCs w:val="24"/>
                <w:u w:val="none"/>
                <w:lang w:val="en-US" w:eastAsia="zh-CN" w:bidi="ar"/>
              </w:rPr>
              <w:t>产品质量</w:t>
            </w:r>
          </w:p>
        </w:tc>
        <w:tc>
          <w:tcPr>
            <w:tcW w:w="496" w:type="pct"/>
            <w:tcBorders>
              <w:tl2br w:val="nil"/>
              <w:tr2bl w:val="nil"/>
            </w:tcBorders>
            <w:shd w:val="clear" w:color="auto" w:fill="auto"/>
            <w:vAlign w:val="center"/>
          </w:tcPr>
          <w:p w14:paraId="2FF8F88F">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销售伪造或者冒用他人的厂名、厂址、认证标志等质量标志，伪造产地的产品</w:t>
            </w:r>
          </w:p>
        </w:tc>
        <w:tc>
          <w:tcPr>
            <w:tcW w:w="840" w:type="pct"/>
            <w:tcBorders>
              <w:tl2br w:val="nil"/>
              <w:tr2bl w:val="nil"/>
            </w:tcBorders>
            <w:shd w:val="clear" w:color="auto" w:fill="auto"/>
            <w:vAlign w:val="center"/>
          </w:tcPr>
          <w:p w14:paraId="581D79BC">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1.通过合法渠道进货，履行进货检查验收义务；</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2.不知道销售的商品是伪造或者冒用他人的厂名、厂址并如实说明进货来源；</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3.及时停止销售。</w:t>
            </w:r>
          </w:p>
        </w:tc>
        <w:tc>
          <w:tcPr>
            <w:tcW w:w="1504" w:type="pct"/>
            <w:tcBorders>
              <w:tl2br w:val="nil"/>
              <w:tr2bl w:val="nil"/>
            </w:tcBorders>
            <w:shd w:val="clear" w:color="auto" w:fill="auto"/>
            <w:vAlign w:val="center"/>
          </w:tcPr>
          <w:p w14:paraId="1586F633">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《产品质量法》第五条  </w:t>
            </w:r>
            <w:r>
              <w:rPr>
                <w:rFonts w:hint="eastAsia" w:ascii="方正仿宋_GBK" w:hAnsi="方正仿宋_GBK" w:eastAsia="方正仿宋_GBK" w:cs="方正仿宋_GBK"/>
                <w:i w:val="0"/>
                <w:iCs w:val="0"/>
                <w:color w:val="auto"/>
                <w:kern w:val="0"/>
                <w:sz w:val="24"/>
                <w:szCs w:val="24"/>
                <w:u w:val="none"/>
                <w:lang w:val="en-US" w:eastAsia="zh-CN" w:bidi="ar"/>
              </w:rPr>
              <w:t>禁止伪造或者冒用认证标志等质量标志；禁止伪造产品的产地，伪造或者冒用他人的厂名、厂址；禁止在生产、销售的产品中掺杂、掺假，以假充真，以次充好。</w:t>
            </w:r>
          </w:p>
        </w:tc>
        <w:tc>
          <w:tcPr>
            <w:tcW w:w="1671" w:type="pct"/>
            <w:tcBorders>
              <w:tl2br w:val="nil"/>
              <w:tr2bl w:val="nil"/>
            </w:tcBorders>
            <w:shd w:val="clear" w:color="auto" w:fill="auto"/>
            <w:vAlign w:val="center"/>
          </w:tcPr>
          <w:p w14:paraId="6CC8F273">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《产品质量法》第五十三条</w:t>
            </w:r>
            <w:r>
              <w:rPr>
                <w:rFonts w:hint="eastAsia" w:ascii="方正仿宋_GBK" w:hAnsi="方正仿宋_GBK" w:eastAsia="方正仿宋_GBK" w:cs="方正仿宋_GBK"/>
                <w:i w:val="0"/>
                <w:iCs w:val="0"/>
                <w:color w:val="auto"/>
                <w:kern w:val="0"/>
                <w:sz w:val="24"/>
                <w:szCs w:val="24"/>
                <w:u w:val="none"/>
                <w:lang w:val="en-US" w:eastAsia="zh-CN" w:bidi="ar"/>
              </w:rPr>
              <w:t xml:space="preserve"> 伪造产品产地的，伪造或者冒用他人厂名、厂址的，伪造或者冒用认证标志等质量标志的，责令改正，没收违法生产、销售的产品，并处违法生产、销售产品货值金额等值以下的罚款；有违法所得的，并处没收违法所得；情节严重的，吊销营业执照。</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b/>
                <w:bCs/>
                <w:i w:val="0"/>
                <w:iCs w:val="0"/>
                <w:color w:val="auto"/>
                <w:kern w:val="0"/>
                <w:sz w:val="24"/>
                <w:szCs w:val="24"/>
                <w:u w:val="none"/>
                <w:lang w:val="en-US" w:eastAsia="zh-CN" w:bidi="ar"/>
              </w:rPr>
              <w:t>第五十五条</w:t>
            </w:r>
            <w:r>
              <w:rPr>
                <w:rFonts w:hint="eastAsia" w:ascii="方正仿宋_GBK" w:hAnsi="方正仿宋_GBK" w:eastAsia="方正仿宋_GBK" w:cs="方正仿宋_GBK"/>
                <w:i w:val="0"/>
                <w:iCs w:val="0"/>
                <w:color w:val="auto"/>
                <w:kern w:val="0"/>
                <w:sz w:val="24"/>
                <w:szCs w:val="24"/>
                <w:u w:val="none"/>
                <w:lang w:val="en-US" w:eastAsia="zh-CN" w:bidi="ar"/>
              </w:rPr>
              <w:t xml:space="preserve">  销售者销售本法第四十九条至第五十三条规定禁止销售的产品，有充分证据证明其不知道该产品为禁止销售的产品并如实说明其进货来源的，可以从轻或者减轻处罚。</w:t>
            </w:r>
          </w:p>
        </w:tc>
      </w:tr>
    </w:tbl>
    <w:p w14:paraId="59AB1E3C">
      <w:pPr>
        <w:keepNext w:val="0"/>
        <w:keepLines w:val="0"/>
        <w:pageBreakBefore w:val="0"/>
        <w:widowControl w:val="0"/>
        <w:kinsoku/>
        <w:wordWrap/>
        <w:overflowPunct/>
        <w:topLinePunct w:val="0"/>
        <w:autoSpaceDE/>
        <w:autoSpaceDN/>
        <w:bidi w:val="0"/>
        <w:adjustRightInd w:val="0"/>
        <w:snapToGrid w:val="0"/>
        <w:spacing w:line="560" w:lineRule="exact"/>
        <w:ind w:firstLine="640"/>
        <w:textAlignment w:val="auto"/>
        <w:rPr>
          <w:rFonts w:hint="eastAsia" w:ascii="方正仿宋_GBK" w:hAnsi="方正仿宋_GBK" w:eastAsia="方正仿宋_GBK" w:cs="方正仿宋_GBK"/>
          <w:color w:val="auto"/>
          <w:sz w:val="32"/>
          <w:szCs w:val="32"/>
        </w:rPr>
        <w:sectPr>
          <w:pgSz w:w="16838" w:h="11906" w:orient="landscape"/>
          <w:pgMar w:top="1587" w:right="2098" w:bottom="1474" w:left="1984" w:header="851" w:footer="992" w:gutter="0"/>
          <w:pgBorders>
            <w:top w:val="none" w:sz="0" w:space="0"/>
            <w:left w:val="none" w:sz="0" w:space="0"/>
            <w:bottom w:val="none" w:sz="0" w:space="0"/>
            <w:right w:val="none" w:sz="0" w:space="0"/>
          </w:pgBorders>
          <w:cols w:space="425" w:num="1"/>
          <w:docGrid w:type="lines" w:linePitch="312" w:charSpace="0"/>
        </w:sectPr>
      </w:pPr>
    </w:p>
    <w:p w14:paraId="163592C4">
      <w:pPr>
        <w:keepNext w:val="0"/>
        <w:keepLines w:val="0"/>
        <w:pageBreakBefore w:val="0"/>
        <w:widowControl w:val="0"/>
        <w:kinsoku/>
        <w:wordWrap/>
        <w:overflowPunct/>
        <w:topLinePunct w:val="0"/>
        <w:autoSpaceDE/>
        <w:autoSpaceDN/>
        <w:bidi w:val="0"/>
        <w:adjustRightInd w:val="0"/>
        <w:snapToGrid w:val="0"/>
        <w:spacing w:line="500" w:lineRule="exact"/>
        <w:textAlignment w:val="auto"/>
        <w:rPr>
          <w:rFonts w:hint="eastAsia" w:ascii="方正黑体_GBK" w:hAnsi="方正黑体_GBK" w:eastAsia="方正黑体_GBK" w:cs="方正黑体_GBK"/>
          <w:color w:val="auto"/>
          <w:sz w:val="32"/>
          <w:szCs w:val="32"/>
          <w:lang w:val="en-US" w:eastAsia="zh-CN"/>
        </w:rPr>
      </w:pPr>
      <w:r>
        <w:rPr>
          <w:rFonts w:hint="eastAsia" w:ascii="方正黑体_GBK" w:hAnsi="方正黑体_GBK" w:eastAsia="方正黑体_GBK" w:cs="方正黑体_GBK"/>
          <w:color w:val="auto"/>
          <w:sz w:val="32"/>
          <w:szCs w:val="32"/>
          <w:lang w:val="en-US" w:eastAsia="zh-CN"/>
        </w:rPr>
        <w:t>附件2</w:t>
      </w:r>
    </w:p>
    <w:p w14:paraId="0B17A257">
      <w:pPr>
        <w:keepNext w:val="0"/>
        <w:keepLines w:val="0"/>
        <w:pageBreakBefore w:val="0"/>
        <w:widowControl w:val="0"/>
        <w:kinsoku/>
        <w:wordWrap/>
        <w:overflowPunct/>
        <w:topLinePunct w:val="0"/>
        <w:autoSpaceDE/>
        <w:autoSpaceDN/>
        <w:bidi w:val="0"/>
        <w:adjustRightInd w:val="0"/>
        <w:snapToGrid w:val="0"/>
        <w:spacing w:line="500" w:lineRule="exact"/>
        <w:jc w:val="center"/>
        <w:textAlignment w:val="auto"/>
        <w:rPr>
          <w:rFonts w:hint="eastAsia" w:ascii="方正小标宋_GBK" w:hAnsi="方正小标宋_GBK" w:eastAsia="方正小标宋_GBK" w:cs="方正小标宋_GBK"/>
          <w:color w:val="auto"/>
          <w:sz w:val="44"/>
          <w:szCs w:val="44"/>
          <w:lang w:val="en-US" w:eastAsia="zh-CN"/>
        </w:rPr>
      </w:pPr>
      <w:r>
        <w:rPr>
          <w:rFonts w:hint="eastAsia" w:ascii="方正小标宋_GBK" w:hAnsi="方正小标宋_GBK" w:eastAsia="方正小标宋_GBK" w:cs="方正小标宋_GBK"/>
          <w:color w:val="auto"/>
          <w:sz w:val="44"/>
          <w:szCs w:val="44"/>
          <w:lang w:val="en-US" w:eastAsia="zh-CN"/>
        </w:rPr>
        <w:t>江苏省市场监管领域初次违法不予处罚清单</w:t>
      </w:r>
    </w:p>
    <w:p w14:paraId="058B538B">
      <w:pPr>
        <w:keepNext w:val="0"/>
        <w:keepLines w:val="0"/>
        <w:pageBreakBefore w:val="0"/>
        <w:widowControl w:val="0"/>
        <w:kinsoku/>
        <w:wordWrap/>
        <w:overflowPunct/>
        <w:topLinePunct w:val="0"/>
        <w:autoSpaceDE/>
        <w:autoSpaceDN/>
        <w:bidi w:val="0"/>
        <w:adjustRightInd w:val="0"/>
        <w:snapToGrid w:val="0"/>
        <w:spacing w:line="500" w:lineRule="exact"/>
        <w:textAlignment w:val="auto"/>
        <w:rPr>
          <w:rFonts w:hint="default" w:ascii="方正仿宋_GBK" w:hAnsi="方正仿宋_GBK" w:eastAsia="方正仿宋_GBK" w:cs="方正仿宋_GBK"/>
          <w:color w:val="auto"/>
          <w:sz w:val="32"/>
          <w:szCs w:val="32"/>
          <w:lang w:val="en-US" w:eastAsia="zh-CN"/>
        </w:rPr>
      </w:pPr>
    </w:p>
    <w:tbl>
      <w:tblPr>
        <w:tblStyle w:val="4"/>
        <w:tblW w:w="6058" w:type="pct"/>
        <w:tblInd w:w="-12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80"/>
        <w:gridCol w:w="735"/>
        <w:gridCol w:w="1755"/>
        <w:gridCol w:w="2805"/>
        <w:gridCol w:w="4259"/>
        <w:gridCol w:w="5383"/>
      </w:tblGrid>
      <w:tr w14:paraId="0CD0B8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9" w:hRule="atLeast"/>
          <w:tblHeader/>
        </w:trPr>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0217AF">
            <w:pPr>
              <w:keepNext w:val="0"/>
              <w:keepLines w:val="0"/>
              <w:widowControl/>
              <w:suppressLineNumbers w:val="0"/>
              <w:jc w:val="center"/>
              <w:textAlignment w:val="center"/>
              <w:rPr>
                <w:rFonts w:hint="eastAsia" w:ascii="方正黑体_GBK" w:hAnsi="方正黑体_GBK" w:eastAsia="方正黑体_GBK" w:cs="方正黑体_GBK"/>
                <w:i w:val="0"/>
                <w:iCs w:val="0"/>
                <w:color w:val="auto"/>
                <w:kern w:val="0"/>
                <w:sz w:val="24"/>
                <w:szCs w:val="24"/>
                <w:u w:val="none"/>
                <w:lang w:val="en-US" w:eastAsia="zh-CN" w:bidi="ar"/>
              </w:rPr>
            </w:pPr>
            <w:r>
              <w:rPr>
                <w:rFonts w:hint="eastAsia" w:ascii="方正黑体_GBK" w:hAnsi="方正黑体_GBK" w:eastAsia="方正黑体_GBK" w:cs="方正黑体_GBK"/>
                <w:i w:val="0"/>
                <w:iCs w:val="0"/>
                <w:color w:val="auto"/>
                <w:kern w:val="0"/>
                <w:sz w:val="24"/>
                <w:szCs w:val="24"/>
                <w:u w:val="none"/>
                <w:lang w:val="en-US" w:eastAsia="zh-CN" w:bidi="ar"/>
              </w:rPr>
              <w:t>序号</w:t>
            </w:r>
          </w:p>
        </w:tc>
        <w:tc>
          <w:tcPr>
            <w:tcW w:w="2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B9BE0F">
            <w:pPr>
              <w:keepNext w:val="0"/>
              <w:keepLines w:val="0"/>
              <w:widowControl/>
              <w:suppressLineNumbers w:val="0"/>
              <w:jc w:val="center"/>
              <w:textAlignment w:val="center"/>
              <w:rPr>
                <w:rFonts w:hint="eastAsia" w:ascii="方正黑体_GBK" w:hAnsi="方正黑体_GBK" w:eastAsia="方正黑体_GBK" w:cs="方正黑体_GBK"/>
                <w:i w:val="0"/>
                <w:iCs w:val="0"/>
                <w:color w:val="auto"/>
                <w:kern w:val="0"/>
                <w:sz w:val="24"/>
                <w:szCs w:val="24"/>
                <w:u w:val="none"/>
                <w:lang w:val="en-US" w:eastAsia="zh-CN" w:bidi="ar"/>
              </w:rPr>
            </w:pPr>
            <w:r>
              <w:rPr>
                <w:rFonts w:hint="eastAsia" w:ascii="方正黑体_GBK" w:hAnsi="方正黑体_GBK" w:eastAsia="方正黑体_GBK" w:cs="方正黑体_GBK"/>
                <w:i w:val="0"/>
                <w:iCs w:val="0"/>
                <w:color w:val="auto"/>
                <w:kern w:val="0"/>
                <w:sz w:val="24"/>
                <w:szCs w:val="24"/>
                <w:u w:val="none"/>
                <w:lang w:val="en-US" w:eastAsia="zh-CN" w:bidi="ar"/>
              </w:rPr>
              <w:t>类别</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D47B74">
            <w:pPr>
              <w:keepNext w:val="0"/>
              <w:keepLines w:val="0"/>
              <w:widowControl/>
              <w:suppressLineNumbers w:val="0"/>
              <w:jc w:val="center"/>
              <w:textAlignment w:val="center"/>
              <w:rPr>
                <w:rFonts w:hint="eastAsia" w:ascii="方正黑体_GBK" w:hAnsi="方正黑体_GBK" w:eastAsia="方正黑体_GBK" w:cs="方正黑体_GBK"/>
                <w:i w:val="0"/>
                <w:iCs w:val="0"/>
                <w:color w:val="auto"/>
                <w:kern w:val="0"/>
                <w:sz w:val="24"/>
                <w:szCs w:val="24"/>
                <w:u w:val="none"/>
                <w:lang w:val="en-US" w:eastAsia="zh-CN" w:bidi="ar"/>
              </w:rPr>
            </w:pPr>
            <w:r>
              <w:rPr>
                <w:rFonts w:hint="eastAsia" w:ascii="方正黑体_GBK" w:hAnsi="方正黑体_GBK" w:eastAsia="方正黑体_GBK" w:cs="方正黑体_GBK"/>
                <w:i w:val="0"/>
                <w:iCs w:val="0"/>
                <w:color w:val="auto"/>
                <w:kern w:val="0"/>
                <w:sz w:val="24"/>
                <w:szCs w:val="24"/>
                <w:u w:val="none"/>
                <w:lang w:val="en-US" w:eastAsia="zh-CN" w:bidi="ar"/>
              </w:rPr>
              <w:t>违法行为</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FA86CF">
            <w:pPr>
              <w:keepNext w:val="0"/>
              <w:keepLines w:val="0"/>
              <w:widowControl/>
              <w:suppressLineNumbers w:val="0"/>
              <w:jc w:val="center"/>
              <w:textAlignment w:val="center"/>
              <w:rPr>
                <w:rFonts w:hint="eastAsia" w:ascii="方正黑体_GBK" w:hAnsi="方正黑体_GBK" w:eastAsia="方正黑体_GBK" w:cs="方正黑体_GBK"/>
                <w:i w:val="0"/>
                <w:iCs w:val="0"/>
                <w:color w:val="auto"/>
                <w:kern w:val="0"/>
                <w:sz w:val="24"/>
                <w:szCs w:val="24"/>
                <w:u w:val="none"/>
                <w:lang w:val="en-US" w:eastAsia="zh-CN" w:bidi="ar"/>
              </w:rPr>
            </w:pPr>
            <w:r>
              <w:rPr>
                <w:rFonts w:hint="eastAsia" w:ascii="方正黑体_GBK" w:hAnsi="方正黑体_GBK" w:eastAsia="方正黑体_GBK" w:cs="方正黑体_GBK"/>
                <w:i w:val="0"/>
                <w:iCs w:val="0"/>
                <w:color w:val="auto"/>
                <w:kern w:val="0"/>
                <w:sz w:val="24"/>
                <w:szCs w:val="24"/>
                <w:u w:val="none"/>
                <w:lang w:val="en-US" w:eastAsia="zh-CN" w:bidi="ar"/>
              </w:rPr>
              <w:t>不予处罚的适用情形</w:t>
            </w:r>
          </w:p>
        </w:tc>
        <w:tc>
          <w:tcPr>
            <w:tcW w:w="13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2A108A">
            <w:pPr>
              <w:keepNext w:val="0"/>
              <w:keepLines w:val="0"/>
              <w:widowControl/>
              <w:suppressLineNumbers w:val="0"/>
              <w:jc w:val="center"/>
              <w:textAlignment w:val="center"/>
              <w:rPr>
                <w:rFonts w:hint="eastAsia" w:ascii="方正黑体_GBK" w:hAnsi="方正黑体_GBK" w:eastAsia="方正黑体_GBK" w:cs="方正黑体_GBK"/>
                <w:i w:val="0"/>
                <w:iCs w:val="0"/>
                <w:color w:val="auto"/>
                <w:kern w:val="0"/>
                <w:sz w:val="24"/>
                <w:szCs w:val="24"/>
                <w:u w:val="none"/>
                <w:lang w:val="en-US" w:eastAsia="zh-CN" w:bidi="ar"/>
              </w:rPr>
            </w:pPr>
            <w:r>
              <w:rPr>
                <w:rFonts w:hint="eastAsia" w:ascii="方正黑体_GBK" w:hAnsi="方正黑体_GBK" w:eastAsia="方正黑体_GBK" w:cs="方正黑体_GBK"/>
                <w:i w:val="0"/>
                <w:iCs w:val="0"/>
                <w:color w:val="auto"/>
                <w:kern w:val="0"/>
                <w:sz w:val="24"/>
                <w:szCs w:val="24"/>
                <w:u w:val="none"/>
                <w:lang w:val="en-US" w:eastAsia="zh-CN" w:bidi="ar"/>
              </w:rPr>
              <w:t>违法行为的定性依据</w:t>
            </w:r>
          </w:p>
        </w:tc>
        <w:tc>
          <w:tcPr>
            <w:tcW w:w="17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8A210D">
            <w:pPr>
              <w:keepNext w:val="0"/>
              <w:keepLines w:val="0"/>
              <w:widowControl/>
              <w:suppressLineNumbers w:val="0"/>
              <w:jc w:val="center"/>
              <w:textAlignment w:val="center"/>
              <w:rPr>
                <w:rFonts w:hint="eastAsia" w:ascii="方正黑体_GBK" w:hAnsi="方正黑体_GBK" w:eastAsia="方正黑体_GBK" w:cs="方正黑体_GBK"/>
                <w:i w:val="0"/>
                <w:iCs w:val="0"/>
                <w:color w:val="auto"/>
                <w:kern w:val="0"/>
                <w:sz w:val="24"/>
                <w:szCs w:val="24"/>
                <w:u w:val="none"/>
                <w:lang w:val="en-US" w:eastAsia="zh-CN" w:bidi="ar"/>
              </w:rPr>
            </w:pPr>
            <w:r>
              <w:rPr>
                <w:rFonts w:hint="eastAsia" w:ascii="方正黑体_GBK" w:hAnsi="方正黑体_GBK" w:eastAsia="方正黑体_GBK" w:cs="方正黑体_GBK"/>
                <w:i w:val="0"/>
                <w:iCs w:val="0"/>
                <w:color w:val="auto"/>
                <w:kern w:val="0"/>
                <w:sz w:val="24"/>
                <w:szCs w:val="24"/>
                <w:u w:val="none"/>
                <w:lang w:val="en-US" w:eastAsia="zh-CN" w:bidi="ar"/>
              </w:rPr>
              <w:t>违法行为的处罚依据</w:t>
            </w:r>
          </w:p>
        </w:tc>
      </w:tr>
      <w:tr w14:paraId="1DFF91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80" w:hRule="atLeast"/>
        </w:trPr>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F15A66">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1</w:t>
            </w:r>
          </w:p>
        </w:tc>
        <w:tc>
          <w:tcPr>
            <w:tcW w:w="2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B599CCA">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黑体_GBK" w:hAnsi="方正黑体_GBK" w:eastAsia="方正黑体_GBK" w:cs="方正黑体_GBK"/>
                <w:i w:val="0"/>
                <w:iCs w:val="0"/>
                <w:color w:val="auto"/>
                <w:sz w:val="24"/>
                <w:szCs w:val="24"/>
                <w:u w:val="none"/>
              </w:rPr>
            </w:pPr>
            <w:r>
              <w:rPr>
                <w:rFonts w:hint="eastAsia" w:ascii="方正黑体_GBK" w:hAnsi="方正黑体_GBK" w:eastAsia="方正黑体_GBK" w:cs="方正黑体_GBK"/>
                <w:i w:val="0"/>
                <w:iCs w:val="0"/>
                <w:color w:val="auto"/>
                <w:kern w:val="0"/>
                <w:sz w:val="24"/>
                <w:szCs w:val="24"/>
                <w:u w:val="none"/>
                <w:lang w:val="en-US" w:eastAsia="zh-CN" w:bidi="ar"/>
              </w:rPr>
              <w:t>市场主体登记</w:t>
            </w: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A1E3D9">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市场主体未按照法律、行政法规规定的期限公示或者报送年度报告</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516525">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2.在下一年度年报开始前按要求提交。</w:t>
            </w:r>
          </w:p>
        </w:tc>
        <w:tc>
          <w:tcPr>
            <w:tcW w:w="13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1C103C">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《市场主体登记管理条例》第三十五条</w:t>
            </w:r>
            <w:r>
              <w:rPr>
                <w:rFonts w:hint="eastAsia" w:ascii="方正仿宋_GBK" w:hAnsi="方正仿宋_GBK" w:eastAsia="方正仿宋_GBK" w:cs="方正仿宋_GBK"/>
                <w:i w:val="0"/>
                <w:iCs w:val="0"/>
                <w:color w:val="auto"/>
                <w:kern w:val="0"/>
                <w:sz w:val="24"/>
                <w:szCs w:val="24"/>
                <w:u w:val="none"/>
                <w:lang w:val="en-US" w:eastAsia="zh-CN" w:bidi="ar"/>
              </w:rPr>
              <w:t xml:space="preserve">  市场主体应当按照国家有关规定公示年度报告和登记相关信息。</w:t>
            </w:r>
          </w:p>
        </w:tc>
        <w:tc>
          <w:tcPr>
            <w:tcW w:w="17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02A4FD">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《主体登记管理条例实施细则》第七十条 </w:t>
            </w:r>
            <w:r>
              <w:rPr>
                <w:rFonts w:hint="eastAsia" w:ascii="方正仿宋_GBK" w:hAnsi="方正仿宋_GBK" w:eastAsia="方正仿宋_GBK" w:cs="方正仿宋_GBK"/>
                <w:i w:val="0"/>
                <w:iCs w:val="0"/>
                <w:color w:val="auto"/>
                <w:kern w:val="0"/>
                <w:sz w:val="24"/>
                <w:szCs w:val="24"/>
                <w:u w:val="none"/>
                <w:lang w:val="en-US" w:eastAsia="zh-CN" w:bidi="ar"/>
              </w:rPr>
              <w:t>市场主体未按照法律、行政法规规定的期限公示或者报送年度报告的，由登记机关列入经营异常名录，可以处1万元以下的罚款。</w:t>
            </w:r>
          </w:p>
        </w:tc>
      </w:tr>
      <w:tr w14:paraId="484673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25" w:hRule="atLeast"/>
        </w:trPr>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2771FC">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2</w:t>
            </w:r>
          </w:p>
        </w:tc>
        <w:tc>
          <w:tcPr>
            <w:tcW w:w="2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BA8C14">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E21960">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未依照《外国企业常驻代表机构登记管理条例》规定提交年度报告</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A40636">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2.在下一年度年报开始前按要求提交。</w:t>
            </w:r>
          </w:p>
        </w:tc>
        <w:tc>
          <w:tcPr>
            <w:tcW w:w="1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440C71">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《外国企业常驻代表机构登记管理条例》第六条 </w:t>
            </w:r>
            <w:r>
              <w:rPr>
                <w:rFonts w:hint="eastAsia" w:ascii="方正仿宋_GBK" w:hAnsi="方正仿宋_GBK" w:eastAsia="方正仿宋_GBK" w:cs="方正仿宋_GBK"/>
                <w:i w:val="0"/>
                <w:iCs w:val="0"/>
                <w:color w:val="auto"/>
                <w:kern w:val="0"/>
                <w:sz w:val="24"/>
                <w:szCs w:val="24"/>
                <w:u w:val="none"/>
                <w:lang w:val="en-US" w:eastAsia="zh-CN" w:bidi="ar"/>
              </w:rPr>
              <w:t>代表机构应当于每年3月1日至6月30日向登记机关提交年度报告。年度报告的内容包括外国企业的合法存续情况、代表机构的业务活动开展情况及其经会计师事务所审计的费用收支情况等相关情况。</w:t>
            </w:r>
          </w:p>
        </w:tc>
        <w:tc>
          <w:tcPr>
            <w:tcW w:w="17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43BC3A">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《外国企业常驻代表机构登记管理条例》第三十八条</w:t>
            </w:r>
            <w:r>
              <w:rPr>
                <w:rFonts w:hint="eastAsia" w:ascii="方正仿宋_GBK" w:hAnsi="方正仿宋_GBK" w:eastAsia="方正仿宋_GBK" w:cs="方正仿宋_GBK"/>
                <w:i w:val="0"/>
                <w:iCs w:val="0"/>
                <w:color w:val="auto"/>
                <w:kern w:val="0"/>
                <w:sz w:val="24"/>
                <w:szCs w:val="24"/>
                <w:u w:val="none"/>
                <w:lang w:val="en-US" w:eastAsia="zh-CN" w:bidi="ar"/>
              </w:rPr>
              <w:t xml:space="preserve"> 有下列情形之一的，由登记机关责令限期改正，处以1万元以上3万元以下的罚款；逾期未改正的，吊销登记证：（一）未依照本条例规定提交年度报告的。</w:t>
            </w:r>
          </w:p>
        </w:tc>
      </w:tr>
      <w:tr w14:paraId="6597F6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40" w:hRule="atLeast"/>
        </w:trPr>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2B7F4E">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3</w:t>
            </w:r>
          </w:p>
        </w:tc>
        <w:tc>
          <w:tcPr>
            <w:tcW w:w="2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5D2A9F">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黑体_GBK" w:hAnsi="方正黑体_GBK" w:eastAsia="方正黑体_GBK" w:cs="方正黑体_GBK"/>
                <w:i w:val="0"/>
                <w:iCs w:val="0"/>
                <w:color w:val="auto"/>
                <w:sz w:val="24"/>
                <w:szCs w:val="24"/>
                <w:u w:val="none"/>
              </w:rPr>
            </w:pPr>
            <w:r>
              <w:rPr>
                <w:rFonts w:hint="eastAsia" w:ascii="方正黑体_GBK" w:hAnsi="方正黑体_GBK" w:eastAsia="方正黑体_GBK" w:cs="方正黑体_GBK"/>
                <w:i w:val="0"/>
                <w:iCs w:val="0"/>
                <w:color w:val="auto"/>
                <w:kern w:val="0"/>
                <w:sz w:val="24"/>
                <w:szCs w:val="24"/>
                <w:u w:val="none"/>
                <w:lang w:val="en-US" w:eastAsia="zh-CN" w:bidi="ar"/>
              </w:rPr>
              <w:t>商品条码与标识</w:t>
            </w: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8AFC19">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系统成员转让厂商识别代码和相应条码</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1FAFD1">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2.受转让方使用该厂商识别代码和相应条码的次数较少，对商品流通管理的影响较小；</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3.及时改正。</w:t>
            </w:r>
          </w:p>
        </w:tc>
        <w:tc>
          <w:tcPr>
            <w:tcW w:w="1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E0C090">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《商品条码管理办法》第二十条</w:t>
            </w:r>
            <w:r>
              <w:rPr>
                <w:rFonts w:hint="eastAsia" w:ascii="方正仿宋_GBK" w:hAnsi="方正仿宋_GBK" w:eastAsia="方正仿宋_GBK" w:cs="方正仿宋_GBK"/>
                <w:i w:val="0"/>
                <w:iCs w:val="0"/>
                <w:color w:val="auto"/>
                <w:kern w:val="0"/>
                <w:sz w:val="24"/>
                <w:szCs w:val="24"/>
                <w:u w:val="none"/>
                <w:lang w:val="en-US" w:eastAsia="zh-CN" w:bidi="ar"/>
              </w:rPr>
              <w:t>　系统成员不得将其厂商识别代码和相应的商品条码转让他人使用。</w:t>
            </w:r>
          </w:p>
        </w:tc>
        <w:tc>
          <w:tcPr>
            <w:tcW w:w="17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D5A5A5">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《商品条码管理办法》第三十四条 </w:t>
            </w:r>
            <w:r>
              <w:rPr>
                <w:rFonts w:hint="eastAsia" w:ascii="方正仿宋_GBK" w:hAnsi="方正仿宋_GBK" w:eastAsia="方正仿宋_GBK" w:cs="方正仿宋_GBK"/>
                <w:i w:val="0"/>
                <w:iCs w:val="0"/>
                <w:color w:val="auto"/>
                <w:kern w:val="0"/>
                <w:sz w:val="24"/>
                <w:szCs w:val="24"/>
                <w:u w:val="none"/>
                <w:lang w:val="en-US" w:eastAsia="zh-CN" w:bidi="ar"/>
              </w:rPr>
              <w:t>系统成员转让厂商识别代码和相应条码的，责令其改正，没收违法所得，处以3000元罚款。</w:t>
            </w:r>
          </w:p>
        </w:tc>
      </w:tr>
      <w:tr w14:paraId="7DB07A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05" w:hRule="atLeast"/>
        </w:trPr>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FBA830">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4</w:t>
            </w:r>
          </w:p>
        </w:tc>
        <w:tc>
          <w:tcPr>
            <w:tcW w:w="2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019C106">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黑体_GBK" w:hAnsi="方正黑体_GBK" w:eastAsia="方正黑体_GBK" w:cs="方正黑体_GBK"/>
                <w:i w:val="0"/>
                <w:iCs w:val="0"/>
                <w:color w:val="auto"/>
                <w:sz w:val="24"/>
                <w:szCs w:val="24"/>
                <w:u w:val="none"/>
              </w:rPr>
            </w:pPr>
            <w:r>
              <w:rPr>
                <w:rFonts w:hint="eastAsia" w:ascii="方正黑体_GBK" w:hAnsi="方正黑体_GBK" w:eastAsia="方正黑体_GBK" w:cs="方正黑体_GBK"/>
                <w:i w:val="0"/>
                <w:iCs w:val="0"/>
                <w:color w:val="auto"/>
                <w:kern w:val="0"/>
                <w:sz w:val="24"/>
                <w:szCs w:val="24"/>
                <w:u w:val="none"/>
                <w:lang w:val="en-US" w:eastAsia="zh-CN" w:bidi="ar"/>
              </w:rPr>
              <w:t>价格</w:t>
            </w: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9526EA">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经营者未真实准确标明被比较价格的详细信息</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6486E8">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2.被比较价格有真实依据，对消费者欺骗、误导作用较小；</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3.及时改正。</w:t>
            </w:r>
          </w:p>
        </w:tc>
        <w:tc>
          <w:tcPr>
            <w:tcW w:w="13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E91DB1">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《明码标价和禁止价格欺诈规定》第十六条</w:t>
            </w:r>
            <w:r>
              <w:rPr>
                <w:rFonts w:hint="eastAsia" w:ascii="方正仿宋_GBK" w:hAnsi="方正仿宋_GBK" w:eastAsia="方正仿宋_GBK" w:cs="方正仿宋_GBK"/>
                <w:i w:val="0"/>
                <w:iCs w:val="0"/>
                <w:color w:val="auto"/>
                <w:kern w:val="0"/>
                <w:sz w:val="24"/>
                <w:szCs w:val="24"/>
                <w:u w:val="none"/>
                <w:lang w:val="en-US" w:eastAsia="zh-CN" w:bidi="ar"/>
              </w:rPr>
              <w:t xml:space="preserve"> 经营者在销售商品或提供服务时进行价格比较的，标明的被比较价格信息应当真实准确。</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    经营者未标明被比较价格的详细信息的，被比较价格应当不高于该经营者在同一经营场所进行价格比较前七日内的最低成交价格；前七日内没有交易的，应当不高于本次价格比较前最后一次交易价格。</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    与厂商建议零售价进行价格比较的，应当明确标示被比较价格为厂商建议零售价。厂商建议零售价发生变动时，应当立即更新。</w:t>
            </w:r>
          </w:p>
        </w:tc>
        <w:tc>
          <w:tcPr>
            <w:tcW w:w="17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A709E3">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《明码标价和禁止价格欺诈规定》第二十三条</w:t>
            </w:r>
            <w:r>
              <w:rPr>
                <w:rFonts w:hint="eastAsia" w:ascii="方正仿宋_GBK" w:hAnsi="方正仿宋_GBK" w:eastAsia="方正仿宋_GBK" w:cs="方正仿宋_GBK"/>
                <w:i w:val="0"/>
                <w:iCs w:val="0"/>
                <w:color w:val="auto"/>
                <w:kern w:val="0"/>
                <w:sz w:val="24"/>
                <w:szCs w:val="24"/>
                <w:u w:val="none"/>
                <w:lang w:val="en-US" w:eastAsia="zh-CN" w:bidi="ar"/>
              </w:rPr>
              <w:t xml:space="preserve"> 经营者违反本规定第十六条至第二十条规定的，由县级以上市场监督管理部门依照《中华人民共和国价格法》、《中华人民共和国反不正当竞争法》、《中华人民共和国电子商务法》、《价格违法行为行政处罚规定》等法律、行政法规进行处罚。</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b/>
                <w:bCs/>
                <w:i w:val="0"/>
                <w:iCs w:val="0"/>
                <w:color w:val="auto"/>
                <w:kern w:val="0"/>
                <w:sz w:val="24"/>
                <w:szCs w:val="24"/>
                <w:u w:val="none"/>
                <w:lang w:val="en-US" w:eastAsia="zh-CN" w:bidi="ar"/>
              </w:rPr>
              <w:t>《价格法》第四十条</w:t>
            </w:r>
            <w:r>
              <w:rPr>
                <w:rFonts w:hint="eastAsia" w:ascii="方正仿宋_GBK" w:hAnsi="方正仿宋_GBK" w:eastAsia="方正仿宋_GBK" w:cs="方正仿宋_GBK"/>
                <w:i w:val="0"/>
                <w:iCs w:val="0"/>
                <w:color w:val="auto"/>
                <w:kern w:val="0"/>
                <w:sz w:val="24"/>
                <w:szCs w:val="24"/>
                <w:u w:val="none"/>
                <w:lang w:val="en-US" w:eastAsia="zh-CN" w:bidi="ar"/>
              </w:rPr>
              <w:t xml:space="preserve"> 经营者有本法第十四条所列行为之一的，责令改正，没收违法所得，可以并处违法所得五倍以下的罚款；没有违法所得的，予以警告，可以并处罚款；情节严重的，责令停业整顿，或者由工商行政管理机关吊销营业执照。有关法律对本法第十四条所列行为的处罚及处罚机关另有规定的，可以依照有关法律的规定执行。</w:t>
            </w:r>
          </w:p>
        </w:tc>
      </w:tr>
      <w:tr w14:paraId="76435C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10" w:hRule="atLeast"/>
        </w:trPr>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368E21">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5</w:t>
            </w:r>
          </w:p>
        </w:tc>
        <w:tc>
          <w:tcPr>
            <w:tcW w:w="2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19D3DB">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EA3A58">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商品和服务不符合明码标价规定</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30219C">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2.有证据证明事先充分保障了消费者的知情权与选择权；</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3.及时改正。</w:t>
            </w:r>
          </w:p>
        </w:tc>
        <w:tc>
          <w:tcPr>
            <w:tcW w:w="13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448109">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《价格法》第十三条第一款</w:t>
            </w:r>
            <w:r>
              <w:rPr>
                <w:rFonts w:hint="eastAsia" w:ascii="方正仿宋_GBK" w:hAnsi="方正仿宋_GBK" w:eastAsia="方正仿宋_GBK" w:cs="方正仿宋_GBK"/>
                <w:i w:val="0"/>
                <w:iCs w:val="0"/>
                <w:color w:val="auto"/>
                <w:kern w:val="0"/>
                <w:sz w:val="24"/>
                <w:szCs w:val="24"/>
                <w:u w:val="none"/>
                <w:lang w:val="en-US" w:eastAsia="zh-CN" w:bidi="ar"/>
              </w:rPr>
              <w:t xml:space="preserve">  经营者销售、收购商品和提供服务，应当按照政府价格主管部门的规定明码标价，注明商品的品名、产地、规格、等级、计价单位、价格或者服务的项目、收费标准等有关情况。</w:t>
            </w:r>
          </w:p>
        </w:tc>
        <w:tc>
          <w:tcPr>
            <w:tcW w:w="17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2C02FC">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《价格法》第四十二条</w:t>
            </w:r>
            <w:r>
              <w:rPr>
                <w:rFonts w:hint="eastAsia" w:ascii="方正仿宋_GBK" w:hAnsi="方正仿宋_GBK" w:eastAsia="方正仿宋_GBK" w:cs="方正仿宋_GBK"/>
                <w:i w:val="0"/>
                <w:iCs w:val="0"/>
                <w:color w:val="auto"/>
                <w:kern w:val="0"/>
                <w:sz w:val="24"/>
                <w:szCs w:val="24"/>
                <w:u w:val="none"/>
                <w:lang w:val="en-US" w:eastAsia="zh-CN" w:bidi="ar"/>
              </w:rPr>
              <w:t xml:space="preserve">  经营者违反明码标价规定的，责令改正，没收违法所得，可以并处五千元以下的罚款。</w:t>
            </w:r>
          </w:p>
        </w:tc>
      </w:tr>
      <w:tr w14:paraId="7B47B4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40" w:hRule="atLeast"/>
        </w:trPr>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702EA4">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6</w:t>
            </w:r>
          </w:p>
        </w:tc>
        <w:tc>
          <w:tcPr>
            <w:tcW w:w="2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B894BBB">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黑体_GBK" w:hAnsi="方正黑体_GBK" w:eastAsia="方正黑体_GBK" w:cs="方正黑体_GBK"/>
                <w:i w:val="0"/>
                <w:iCs w:val="0"/>
                <w:color w:val="auto"/>
                <w:sz w:val="24"/>
                <w:szCs w:val="24"/>
                <w:u w:val="none"/>
              </w:rPr>
            </w:pPr>
            <w:r>
              <w:rPr>
                <w:rFonts w:hint="eastAsia" w:ascii="方正黑体_GBK" w:hAnsi="方正黑体_GBK" w:eastAsia="方正黑体_GBK" w:cs="方正黑体_GBK"/>
                <w:i w:val="0"/>
                <w:iCs w:val="0"/>
                <w:color w:val="auto"/>
                <w:kern w:val="0"/>
                <w:sz w:val="24"/>
                <w:szCs w:val="24"/>
                <w:u w:val="none"/>
                <w:lang w:val="en-US" w:eastAsia="zh-CN" w:bidi="ar"/>
              </w:rPr>
              <w:t>电子商务</w:t>
            </w: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D8C66D">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电子商务经营者未依法在首页显著位置公示营业执照信息等信息</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11194F">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2.持续时间较短；</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3.及时改正。</w:t>
            </w:r>
          </w:p>
        </w:tc>
        <w:tc>
          <w:tcPr>
            <w:tcW w:w="13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279F80">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《电子商务法》第十五条</w:t>
            </w:r>
            <w:r>
              <w:rPr>
                <w:rFonts w:hint="eastAsia" w:ascii="方正仿宋_GBK" w:hAnsi="方正仿宋_GBK" w:eastAsia="方正仿宋_GBK" w:cs="方正仿宋_GBK"/>
                <w:i w:val="0"/>
                <w:iCs w:val="0"/>
                <w:color w:val="auto"/>
                <w:kern w:val="0"/>
                <w:sz w:val="24"/>
                <w:szCs w:val="24"/>
                <w:u w:val="none"/>
                <w:lang w:val="en-US" w:eastAsia="zh-CN" w:bidi="ar"/>
              </w:rPr>
              <w:t>　电子商务经营者应当在其首页显著位置，持续公示营业执照信息、与其经营业务有关的行政许可信息、属于依照本法第十条规定的不需要办理市场主体登记情形等信息，或者上述信息的链接标识。</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    前款规定的信息发生变更的，电子商务经营者应当及时更新公示信息。</w:t>
            </w:r>
          </w:p>
        </w:tc>
        <w:tc>
          <w:tcPr>
            <w:tcW w:w="17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2E55BE">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《电子商务法》第七十六条第一款第一项</w:t>
            </w:r>
            <w:r>
              <w:rPr>
                <w:rFonts w:hint="eastAsia" w:ascii="方正仿宋_GBK" w:hAnsi="方正仿宋_GBK" w:eastAsia="方正仿宋_GBK" w:cs="方正仿宋_GBK"/>
                <w:i w:val="0"/>
                <w:iCs w:val="0"/>
                <w:color w:val="auto"/>
                <w:kern w:val="0"/>
                <w:sz w:val="24"/>
                <w:szCs w:val="24"/>
                <w:u w:val="none"/>
                <w:lang w:val="en-US" w:eastAsia="zh-CN" w:bidi="ar"/>
              </w:rPr>
              <w:t xml:space="preserve">  电子商务经营者违反本法规定，有下列行为之一的，由市场监督管理部门责令限期改正，可以处一万元以下的罚款，对其中的电子商务平台经营者，依照本法第八十一条第一款的规定处罚：（一）未在首页显著位置公示营业执照信息、行政许可信息、属于不需要办理市场主体登记情形等信息，或者上述信息的链接标识的；</w:t>
            </w:r>
          </w:p>
        </w:tc>
      </w:tr>
      <w:tr w14:paraId="6093AF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40" w:hRule="atLeast"/>
        </w:trPr>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7BBCE5">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7</w:t>
            </w:r>
          </w:p>
        </w:tc>
        <w:tc>
          <w:tcPr>
            <w:tcW w:w="2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0590B9">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405564">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营业执照等信息发生变更时，电子商务经营者未依法及时更新公示信息</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13EC18">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2.持续时间较短；</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3.及时改正。</w:t>
            </w:r>
          </w:p>
        </w:tc>
        <w:tc>
          <w:tcPr>
            <w:tcW w:w="13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4915DD">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《电子商务法》第十五条</w:t>
            </w:r>
            <w:r>
              <w:rPr>
                <w:rFonts w:hint="eastAsia" w:ascii="方正仿宋_GBK" w:hAnsi="方正仿宋_GBK" w:eastAsia="方正仿宋_GBK" w:cs="方正仿宋_GBK"/>
                <w:i w:val="0"/>
                <w:iCs w:val="0"/>
                <w:color w:val="auto"/>
                <w:kern w:val="0"/>
                <w:sz w:val="24"/>
                <w:szCs w:val="24"/>
                <w:u w:val="none"/>
                <w:lang w:val="en-US" w:eastAsia="zh-CN" w:bidi="ar"/>
              </w:rPr>
              <w:t>　电子商务经营者应当在其首页显著位置，持续公示营业执照信息、与其经营业务有关的行政许可信息、属于依照本法第十条规定的不需要办理市场主体登记情形等信息，或者上述信息的链接标识。</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    前款规定的信息发生变更的，电子商务经营者应当及时更新公示信息。</w:t>
            </w:r>
          </w:p>
        </w:tc>
        <w:tc>
          <w:tcPr>
            <w:tcW w:w="17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3FC872">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《电子商务法》第七十六条第一款第一项</w:t>
            </w:r>
            <w:r>
              <w:rPr>
                <w:rFonts w:hint="eastAsia" w:ascii="方正仿宋_GBK" w:hAnsi="方正仿宋_GBK" w:eastAsia="方正仿宋_GBK" w:cs="方正仿宋_GBK"/>
                <w:i w:val="0"/>
                <w:iCs w:val="0"/>
                <w:color w:val="auto"/>
                <w:kern w:val="0"/>
                <w:sz w:val="24"/>
                <w:szCs w:val="24"/>
                <w:u w:val="none"/>
                <w:lang w:val="en-US" w:eastAsia="zh-CN" w:bidi="ar"/>
              </w:rPr>
              <w:t xml:space="preserve">  电子商务经营者违反本法规定，有下列行为之一的，由市场监督管理部门责令限期改正，可以处一万元以下的罚款，对其中的电子商务平台经营者，依照本法第八十一条第一款的规定处罚：（一）未在首页显著位置公示营业执照信息、行政许可信息、属于不需要办理市场主体登记情形等信息，或者上述信息的链接标识的；</w:t>
            </w:r>
          </w:p>
        </w:tc>
      </w:tr>
      <w:tr w14:paraId="62CAD2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80" w:hRule="atLeast"/>
        </w:trPr>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CA6050">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8</w:t>
            </w:r>
          </w:p>
        </w:tc>
        <w:tc>
          <w:tcPr>
            <w:tcW w:w="2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08AAF4">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2AFD3B">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电子商务经营者未依法公示终止电子商务的信息</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320793">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2.对消费者权益造成的影响较小；</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3.及时改正。</w:t>
            </w:r>
          </w:p>
        </w:tc>
        <w:tc>
          <w:tcPr>
            <w:tcW w:w="1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B1F510">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《电子商务法》第十六条 </w:t>
            </w:r>
            <w:r>
              <w:rPr>
                <w:rFonts w:hint="eastAsia" w:ascii="方正仿宋_GBK" w:hAnsi="方正仿宋_GBK" w:eastAsia="方正仿宋_GBK" w:cs="方正仿宋_GBK"/>
                <w:i w:val="0"/>
                <w:iCs w:val="0"/>
                <w:color w:val="auto"/>
                <w:kern w:val="0"/>
                <w:sz w:val="24"/>
                <w:szCs w:val="24"/>
                <w:u w:val="none"/>
                <w:lang w:val="en-US" w:eastAsia="zh-CN" w:bidi="ar"/>
              </w:rPr>
              <w:t xml:space="preserve"> 电子商务经营者自行终止从事电子商务的，应当提前三十日在首页显著位置持续公示有关信息。</w:t>
            </w:r>
          </w:p>
        </w:tc>
        <w:tc>
          <w:tcPr>
            <w:tcW w:w="17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5B5990">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《电子商务法》第七十六条第一款第二项 </w:t>
            </w:r>
            <w:r>
              <w:rPr>
                <w:rFonts w:hint="eastAsia" w:ascii="方正仿宋_GBK" w:hAnsi="方正仿宋_GBK" w:eastAsia="方正仿宋_GBK" w:cs="方正仿宋_GBK"/>
                <w:i w:val="0"/>
                <w:iCs w:val="0"/>
                <w:color w:val="auto"/>
                <w:kern w:val="0"/>
                <w:sz w:val="24"/>
                <w:szCs w:val="24"/>
                <w:u w:val="none"/>
                <w:lang w:val="en-US" w:eastAsia="zh-CN" w:bidi="ar"/>
              </w:rPr>
              <w:t xml:space="preserve"> 电子商务经营者违反本法规定，有下列行为之一的，由市场监督管理部门责令限期改正，可以处一万元以下的罚款，对其中的电子商务平台经营者，依照本法第八十一条第一款的规定处罚：（二）未在首页显著位置持续公示终止电子商务的有关信息的；</w:t>
            </w:r>
          </w:p>
        </w:tc>
      </w:tr>
      <w:tr w14:paraId="2C5957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95" w:hRule="atLeast"/>
        </w:trPr>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43B024">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9</w:t>
            </w:r>
          </w:p>
        </w:tc>
        <w:tc>
          <w:tcPr>
            <w:tcW w:w="2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D36CCF">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166F2F">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电子商务经营者未明示用户信息查询、更正、删除以及用户注销的方式、程序</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6B6324">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2.消费者可以实现用户信息查询、更正、删除以及用户注销；</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3.及时改正。</w:t>
            </w:r>
          </w:p>
        </w:tc>
        <w:tc>
          <w:tcPr>
            <w:tcW w:w="1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548262">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《电子商务法》第二十四条第一款 </w:t>
            </w:r>
            <w:r>
              <w:rPr>
                <w:rFonts w:hint="eastAsia" w:ascii="方正仿宋_GBK" w:hAnsi="方正仿宋_GBK" w:eastAsia="方正仿宋_GBK" w:cs="方正仿宋_GBK"/>
                <w:i w:val="0"/>
                <w:iCs w:val="0"/>
                <w:color w:val="auto"/>
                <w:kern w:val="0"/>
                <w:sz w:val="24"/>
                <w:szCs w:val="24"/>
                <w:u w:val="none"/>
                <w:lang w:val="en-US" w:eastAsia="zh-CN" w:bidi="ar"/>
              </w:rPr>
              <w:t xml:space="preserve"> 电子商务经营者应当明示用户信息查询、更正、删除以及用户注销的方式、程序，不得对用户信息查询、更正、删除以及用户注销设置不合理条件。</w:t>
            </w:r>
          </w:p>
        </w:tc>
        <w:tc>
          <w:tcPr>
            <w:tcW w:w="17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D3AA97">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《电子商务法》第七十六条第一款第三项</w:t>
            </w:r>
            <w:r>
              <w:rPr>
                <w:rFonts w:hint="eastAsia" w:ascii="方正仿宋_GBK" w:hAnsi="方正仿宋_GBK" w:eastAsia="方正仿宋_GBK" w:cs="方正仿宋_GBK"/>
                <w:i w:val="0"/>
                <w:iCs w:val="0"/>
                <w:color w:val="auto"/>
                <w:kern w:val="0"/>
                <w:sz w:val="24"/>
                <w:szCs w:val="24"/>
                <w:u w:val="none"/>
                <w:lang w:val="en-US" w:eastAsia="zh-CN" w:bidi="ar"/>
              </w:rPr>
              <w:t xml:space="preserve">  电子商务经营者违反本法规定，有下列行为之一的，由市场监督管理部门责令限期改正，可以处一万元以下的罚款，对其中的电子商务平台经营者，依照本法第八十一条第一款的规定处罚：（三）未明示用户信息查询、更正、删除以及用户注销的方式、程序，或者对用户信息查询、更正、删除以及用户注销设置不合理条件的。</w:t>
            </w:r>
          </w:p>
        </w:tc>
      </w:tr>
      <w:tr w14:paraId="0A3B84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0" w:hRule="atLeast"/>
        </w:trPr>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A8A2A0">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10</w:t>
            </w:r>
          </w:p>
        </w:tc>
        <w:tc>
          <w:tcPr>
            <w:tcW w:w="2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4FCC7B5">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黑体_GBK" w:hAnsi="方正黑体_GBK" w:eastAsia="方正黑体_GBK" w:cs="方正黑体_GBK"/>
                <w:i w:val="0"/>
                <w:iCs w:val="0"/>
                <w:color w:val="auto"/>
                <w:sz w:val="24"/>
                <w:szCs w:val="24"/>
                <w:u w:val="none"/>
              </w:rPr>
            </w:pPr>
            <w:r>
              <w:rPr>
                <w:rFonts w:hint="eastAsia" w:ascii="方正黑体_GBK" w:hAnsi="方正黑体_GBK" w:eastAsia="方正黑体_GBK" w:cs="方正黑体_GBK"/>
                <w:i w:val="0"/>
                <w:iCs w:val="0"/>
                <w:color w:val="auto"/>
                <w:kern w:val="0"/>
                <w:sz w:val="24"/>
                <w:szCs w:val="24"/>
                <w:u w:val="none"/>
                <w:lang w:val="en-US" w:eastAsia="zh-CN" w:bidi="ar"/>
              </w:rPr>
              <w:t>广告</w:t>
            </w: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052AF0">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发布医疗广告未标注医疗机构第一名称和《医疗广告审查证明》文号</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799074">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2.该医疗机构具有从事广告所称医疗活动的合法资格，且已取得《医疗广告审查证明》并在有效期内，且发布的医疗广告内容与批准内容一致；</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3.及时改正。</w:t>
            </w:r>
          </w:p>
        </w:tc>
        <w:tc>
          <w:tcPr>
            <w:tcW w:w="1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56E4C8">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《医疗广告管理办法》第十四条</w:t>
            </w:r>
            <w:r>
              <w:rPr>
                <w:rFonts w:hint="eastAsia" w:ascii="方正仿宋_GBK" w:hAnsi="方正仿宋_GBK" w:eastAsia="方正仿宋_GBK" w:cs="方正仿宋_GBK"/>
                <w:i w:val="0"/>
                <w:iCs w:val="0"/>
                <w:color w:val="auto"/>
                <w:kern w:val="0"/>
                <w:sz w:val="24"/>
                <w:szCs w:val="24"/>
                <w:u w:val="none"/>
                <w:lang w:val="en-US" w:eastAsia="zh-CN" w:bidi="ar"/>
              </w:rPr>
              <w:t>　发布医疗广告应当标注医疗机构第一名称和《医疗广告审查证明》文号。</w:t>
            </w:r>
          </w:p>
        </w:tc>
        <w:tc>
          <w:tcPr>
            <w:tcW w:w="17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A30830">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《医疗广告管理办法》第二十二条　</w:t>
            </w:r>
            <w:r>
              <w:rPr>
                <w:rFonts w:hint="eastAsia" w:ascii="方正仿宋_GBK" w:hAnsi="方正仿宋_GBK" w:eastAsia="方正仿宋_GBK" w:cs="方正仿宋_GBK"/>
                <w:i w:val="0"/>
                <w:iCs w:val="0"/>
                <w:color w:val="auto"/>
                <w:kern w:val="0"/>
                <w:sz w:val="24"/>
                <w:szCs w:val="24"/>
                <w:u w:val="none"/>
                <w:lang w:val="en-US" w:eastAsia="zh-CN" w:bidi="ar"/>
              </w:rPr>
              <w:t>工商行政管理机关对违反本办法规定的广告主、广告经营者、广告发布者依据《广告法》、《反不正当竞争法》予以处罚，对情节严重，造成严重后果的，可以并处一至六个月暂停发布医疗广告、直至取消广告经营者、广告发布者的医疗广告经营和发布资格的处罚。法律法规没有规定的，工商行政管理机关应当对负有责任的广告主、广告经营者、广告发布者给予警告或者处以一万元以上三万元以下的罚款；医疗广告内容涉嫌虚假的，工商行政管理机关可根据需要会同卫生行政部门、中医药管理部门作出认定。</w:t>
            </w:r>
          </w:p>
        </w:tc>
      </w:tr>
      <w:tr w14:paraId="690502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0" w:hRule="atLeast"/>
        </w:trPr>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7A0DBD">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11</w:t>
            </w:r>
          </w:p>
        </w:tc>
        <w:tc>
          <w:tcPr>
            <w:tcW w:w="2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0AFDEA">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E06A5E">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发布以项目到达某一具体参照物的所需时间表示项目位置的房地产广告</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71B374">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2.持续时间较短，或浏览人数较少；</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3.对消费者的欺骗、误导作用较小；</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4.及时改正。</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   </w:t>
            </w:r>
          </w:p>
        </w:tc>
        <w:tc>
          <w:tcPr>
            <w:tcW w:w="13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2433DF">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《广告法》第二十六条第二项</w:t>
            </w:r>
            <w:r>
              <w:rPr>
                <w:rFonts w:hint="eastAsia" w:ascii="方正仿宋_GBK" w:hAnsi="方正仿宋_GBK" w:eastAsia="方正仿宋_GBK" w:cs="方正仿宋_GBK"/>
                <w:i w:val="0"/>
                <w:iCs w:val="0"/>
                <w:color w:val="auto"/>
                <w:kern w:val="0"/>
                <w:sz w:val="24"/>
                <w:szCs w:val="24"/>
                <w:u w:val="none"/>
                <w:lang w:val="en-US" w:eastAsia="zh-CN" w:bidi="ar"/>
              </w:rPr>
              <w:t xml:space="preserve"> 房地产广告，房源信息应当真实，面积应当表明为建筑面积或者套内建筑面积，并不得含有下列内容：</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（二）以项目到达某一具体参照物的所需时间表示项目位置；</w:t>
            </w:r>
          </w:p>
        </w:tc>
        <w:tc>
          <w:tcPr>
            <w:tcW w:w="17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9B6652">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《广告法》第五十八条第八项 </w:t>
            </w:r>
            <w:r>
              <w:rPr>
                <w:rFonts w:hint="eastAsia" w:ascii="方正仿宋_GBK" w:hAnsi="方正仿宋_GBK" w:eastAsia="方正仿宋_GBK" w:cs="方正仿宋_GBK"/>
                <w:i w:val="0"/>
                <w:iCs w:val="0"/>
                <w:color w:val="auto"/>
                <w:kern w:val="0"/>
                <w:sz w:val="24"/>
                <w:szCs w:val="24"/>
                <w:u w:val="none"/>
                <w:lang w:val="en-US" w:eastAsia="zh-CN" w:bidi="ar"/>
              </w:rPr>
              <w:t>有下列行为之一的，由市场监督管理部门责令停止发布广告，责令广告主在相应范围内消除影响，处广告费用一倍以上三倍以下的罚款，广告费用无法计算或者明显偏低的，处十万元以上二十万元以下的罚款；情节严重的，处广告费用三倍以上五倍以下的罚款，广告费用无法计算或者明显偏低的，处二十万元以上一百万元以下的罚款，可以吊销营业执照，并由广告审查机关撤销广告审查批准文件、一年内不受理其广告审查申请：（八）违反本法第二十六条规定发布房地产广告的。</w:t>
            </w:r>
          </w:p>
        </w:tc>
      </w:tr>
      <w:tr w14:paraId="2808EB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30" w:hRule="atLeast"/>
        </w:trPr>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FC4281">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12</w:t>
            </w:r>
          </w:p>
        </w:tc>
        <w:tc>
          <w:tcPr>
            <w:tcW w:w="2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6CE208">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932115">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发布出现饮酒的动作的酒类广告</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4CCA52">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                                   2.持续时间较短，或浏览人数较少；</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3.及时改正。              </w:t>
            </w:r>
          </w:p>
        </w:tc>
        <w:tc>
          <w:tcPr>
            <w:tcW w:w="13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2CFBD7">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《广告法》第二十三条第二项  </w:t>
            </w:r>
            <w:r>
              <w:rPr>
                <w:rFonts w:hint="eastAsia" w:ascii="方正仿宋_GBK" w:hAnsi="方正仿宋_GBK" w:eastAsia="方正仿宋_GBK" w:cs="方正仿宋_GBK"/>
                <w:i w:val="0"/>
                <w:iCs w:val="0"/>
                <w:color w:val="auto"/>
                <w:kern w:val="0"/>
                <w:sz w:val="24"/>
                <w:szCs w:val="24"/>
                <w:u w:val="none"/>
                <w:lang w:val="en-US" w:eastAsia="zh-CN" w:bidi="ar"/>
              </w:rPr>
              <w:t>酒类广告不得含有下列内容：（二）出现饮酒的动作；</w:t>
            </w:r>
          </w:p>
        </w:tc>
        <w:tc>
          <w:tcPr>
            <w:tcW w:w="17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35C42D">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《广告法》第五十八条第一款第五项  </w:t>
            </w:r>
            <w:r>
              <w:rPr>
                <w:rFonts w:hint="eastAsia" w:ascii="方正仿宋_GBK" w:hAnsi="方正仿宋_GBK" w:eastAsia="方正仿宋_GBK" w:cs="方正仿宋_GBK"/>
                <w:i w:val="0"/>
                <w:iCs w:val="0"/>
                <w:color w:val="auto"/>
                <w:kern w:val="0"/>
                <w:sz w:val="24"/>
                <w:szCs w:val="24"/>
                <w:u w:val="none"/>
                <w:lang w:val="en-US" w:eastAsia="zh-CN" w:bidi="ar"/>
              </w:rPr>
              <w:t>有下列行为之一的，由市场监督管理部门责令停止发布广告，责令广告主在相应范围内消除影响，处广告费用一倍以上三倍以下的罚款，广告费用无法计算或者明显偏低的，处十万元以上二十万元以下的罚款；情节严重的，处广告费用三倍以上五倍以下的罚款，广告费用无法计算或者明显偏低的，处二十万元以上一百万元以下的罚款，可以吊销营业执照，并由广告审查机关撤销广告审查批准文件、一年内不受理其广告审查申请：（五）违反本法第二十三条规定发布酒类广告的。</w:t>
            </w:r>
          </w:p>
        </w:tc>
      </w:tr>
      <w:tr w14:paraId="17672F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20" w:hRule="atLeast"/>
        </w:trPr>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239126">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13</w:t>
            </w:r>
          </w:p>
        </w:tc>
        <w:tc>
          <w:tcPr>
            <w:tcW w:w="2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42F7CF">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3365DC">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未经用户同意、请求或者用户明确表示拒绝的，在用户发送的电子邮件或者互联网即时通讯信息中附加广告或者广告链接</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410EC4">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2.受众范围较小；</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3.广告内容符合规定；</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4.及时改正。</w:t>
            </w:r>
          </w:p>
        </w:tc>
        <w:tc>
          <w:tcPr>
            <w:tcW w:w="13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E477E9">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《互联网广告管理办法》第十七条第二款</w:t>
            </w:r>
            <w:r>
              <w:rPr>
                <w:rFonts w:hint="eastAsia" w:ascii="方正仿宋_GBK" w:hAnsi="方正仿宋_GBK" w:eastAsia="方正仿宋_GBK" w:cs="方正仿宋_GBK"/>
                <w:i w:val="0"/>
                <w:iCs w:val="0"/>
                <w:color w:val="auto"/>
                <w:kern w:val="0"/>
                <w:sz w:val="24"/>
                <w:szCs w:val="24"/>
                <w:u w:val="none"/>
                <w:lang w:val="en-US" w:eastAsia="zh-CN" w:bidi="ar"/>
              </w:rPr>
              <w:t xml:space="preserve"> 未经用户同意、请求或者用户明确表示拒绝的，不得向其交通工具、导航设备、智能家电等发送互联网广告，不得在用户发送的电子邮件或者互联网即时通讯信息中附加广告或者广告链接。</w:t>
            </w:r>
          </w:p>
        </w:tc>
        <w:tc>
          <w:tcPr>
            <w:tcW w:w="17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CF06F3">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《互联网广告管理办法》第三十条第二款 </w:t>
            </w:r>
            <w:r>
              <w:rPr>
                <w:rFonts w:hint="eastAsia" w:ascii="方正仿宋_GBK" w:hAnsi="方正仿宋_GBK" w:eastAsia="方正仿宋_GBK" w:cs="方正仿宋_GBK"/>
                <w:i w:val="0"/>
                <w:iCs w:val="0"/>
                <w:color w:val="auto"/>
                <w:kern w:val="0"/>
                <w:sz w:val="24"/>
                <w:szCs w:val="24"/>
                <w:u w:val="none"/>
                <w:lang w:val="en-US" w:eastAsia="zh-CN" w:bidi="ar"/>
              </w:rPr>
              <w:t>违反本办法第十七条第二款规定，未经用户同意、请求或者用户明确表示拒绝，向其交通工具、导航设备、智能家电等发送互联网广告的，依照广告法第六十二条第一款规定予以处罚；在用户发送的电子邮件或者互联网即时通讯信息中附加广告或者广告链接的，由县级以上市场监督管理部门责令改正，处五千元以上三万元以下的罚款。</w:t>
            </w:r>
          </w:p>
        </w:tc>
      </w:tr>
      <w:tr w14:paraId="269EA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0" w:hRule="atLeast"/>
        </w:trPr>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FAAA5A">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14</w:t>
            </w:r>
          </w:p>
        </w:tc>
        <w:tc>
          <w:tcPr>
            <w:tcW w:w="2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527248">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3FE195">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广告未依法显著、清晰表示有关内容</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9A524B">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2.对市场秩序的扰乱程度较轻，对消费者欺骗、误导作用较小；</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3.及时改正。</w:t>
            </w:r>
          </w:p>
        </w:tc>
        <w:tc>
          <w:tcPr>
            <w:tcW w:w="13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33266A">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《广告法》第八条</w:t>
            </w:r>
            <w:r>
              <w:rPr>
                <w:rFonts w:hint="eastAsia" w:ascii="方正仿宋_GBK" w:hAnsi="方正仿宋_GBK" w:eastAsia="方正仿宋_GBK" w:cs="方正仿宋_GBK"/>
                <w:i w:val="0"/>
                <w:iCs w:val="0"/>
                <w:color w:val="auto"/>
                <w:kern w:val="0"/>
                <w:sz w:val="24"/>
                <w:szCs w:val="24"/>
                <w:u w:val="none"/>
                <w:lang w:val="en-US" w:eastAsia="zh-CN" w:bidi="ar"/>
              </w:rPr>
              <w:t xml:space="preserve">  广告中对商品的性能、功能、产地、用途、质量、成分、价格、生产者、有效期限、允诺等或者对服务的内容、提供者、形式、质量、价格、允诺等有表示的，应当准确、清楚、明白。</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广告中表明推销的商品或者服务附带赠送的，应当明示所附带赠送商品或者服务的品种、规格、数量、期限和方式。</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法律、行政法规规定广告中应当明示的内容，应当显著、清晰表示。</w:t>
            </w:r>
          </w:p>
        </w:tc>
        <w:tc>
          <w:tcPr>
            <w:tcW w:w="17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2C5B79">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《广告法》第五十九条第一款第一项</w:t>
            </w:r>
            <w:r>
              <w:rPr>
                <w:rFonts w:hint="eastAsia" w:ascii="方正仿宋_GBK" w:hAnsi="方正仿宋_GBK" w:eastAsia="方正仿宋_GBK" w:cs="方正仿宋_GBK"/>
                <w:i w:val="0"/>
                <w:iCs w:val="0"/>
                <w:color w:val="auto"/>
                <w:kern w:val="0"/>
                <w:sz w:val="24"/>
                <w:szCs w:val="24"/>
                <w:u w:val="none"/>
                <w:lang w:val="en-US" w:eastAsia="zh-CN" w:bidi="ar"/>
              </w:rPr>
              <w:t xml:space="preserve">  有下列行为之一的，由市场监督管理部门责令停止发布广告，对广告主处十万元以下的罚款：（一）广告内容违反本法第八条规定的；</w:t>
            </w:r>
          </w:p>
        </w:tc>
      </w:tr>
      <w:tr w14:paraId="5AA2E6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40" w:hRule="atLeast"/>
        </w:trPr>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3D858C">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15</w:t>
            </w:r>
          </w:p>
        </w:tc>
        <w:tc>
          <w:tcPr>
            <w:tcW w:w="2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8F7A5B">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FC3780">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广告引证内容未表明出处</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351999">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2.引证内容真实、准确；</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3.及时改正。</w:t>
            </w:r>
          </w:p>
        </w:tc>
        <w:tc>
          <w:tcPr>
            <w:tcW w:w="1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822905">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《广告法》第十一条第二款</w:t>
            </w:r>
            <w:r>
              <w:rPr>
                <w:rFonts w:hint="eastAsia" w:ascii="方正仿宋_GBK" w:hAnsi="方正仿宋_GBK" w:eastAsia="方正仿宋_GBK" w:cs="方正仿宋_GBK"/>
                <w:i w:val="0"/>
                <w:iCs w:val="0"/>
                <w:color w:val="auto"/>
                <w:kern w:val="0"/>
                <w:sz w:val="24"/>
                <w:szCs w:val="24"/>
                <w:u w:val="none"/>
                <w:lang w:val="en-US" w:eastAsia="zh-CN" w:bidi="ar"/>
              </w:rPr>
              <w:t xml:space="preserve">  广告使用数据、统计资料、调查结果、文摘、引用语等引证内容的，应当真实、准确，并表明出处。引证内容有适用范围和有效期限的，应当明确表示。</w:t>
            </w:r>
          </w:p>
        </w:tc>
        <w:tc>
          <w:tcPr>
            <w:tcW w:w="17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FB3C8C">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《广告法》第五十九条第一款第二项</w:t>
            </w:r>
            <w:r>
              <w:rPr>
                <w:rFonts w:hint="eastAsia" w:ascii="方正仿宋_GBK" w:hAnsi="方正仿宋_GBK" w:eastAsia="方正仿宋_GBK" w:cs="方正仿宋_GBK"/>
                <w:i w:val="0"/>
                <w:iCs w:val="0"/>
                <w:color w:val="auto"/>
                <w:kern w:val="0"/>
                <w:sz w:val="24"/>
                <w:szCs w:val="24"/>
                <w:u w:val="none"/>
                <w:lang w:val="en-US" w:eastAsia="zh-CN" w:bidi="ar"/>
              </w:rPr>
              <w:t xml:space="preserve"> 有下列行为之一的，由市场监督管理部门责令停止发布广告，对广告主处十万元以下的罚款：（二）广告引证内容违反本法第十一条规定的；</w:t>
            </w:r>
          </w:p>
        </w:tc>
      </w:tr>
      <w:tr w14:paraId="0A6011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80" w:hRule="atLeast"/>
        </w:trPr>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81B60F">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16</w:t>
            </w:r>
          </w:p>
        </w:tc>
        <w:tc>
          <w:tcPr>
            <w:tcW w:w="2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444B39">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4A4D10">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通过大众传媒发布的广告未显著标明“广告”字样</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A0F88F">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1.首次通过大众传播媒介发布；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2.能够使消费者辨明其为广告；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3.没有造成危害后果；</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4.及时改正。</w:t>
            </w:r>
          </w:p>
        </w:tc>
        <w:tc>
          <w:tcPr>
            <w:tcW w:w="13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2B75D9">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《广告法》第十四条</w:t>
            </w:r>
            <w:r>
              <w:rPr>
                <w:rFonts w:hint="eastAsia" w:ascii="方正仿宋_GBK" w:hAnsi="方正仿宋_GBK" w:eastAsia="方正仿宋_GBK" w:cs="方正仿宋_GBK"/>
                <w:i w:val="0"/>
                <w:iCs w:val="0"/>
                <w:color w:val="auto"/>
                <w:kern w:val="0"/>
                <w:sz w:val="24"/>
                <w:szCs w:val="24"/>
                <w:u w:val="none"/>
                <w:lang w:val="en-US" w:eastAsia="zh-CN" w:bidi="ar"/>
              </w:rPr>
              <w:t xml:space="preserve"> 广告应当具有可识别性，能够使消费者辨明其为广告。</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大众传播媒介不得以新闻报道形式变相发布广告。通过大众传播媒介发布的广告应当显著标明“广告”，与其他非广告信息相区别，不得使消费者产生误解。</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广播电台、电视台发布广告，应当遵守国务院有关部门关于时长、方式的规定，并应当对广告时长作出明显提示。</w:t>
            </w:r>
          </w:p>
        </w:tc>
        <w:tc>
          <w:tcPr>
            <w:tcW w:w="17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DC7402">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《广告法》第五十九条第三款</w:t>
            </w:r>
            <w:r>
              <w:rPr>
                <w:rFonts w:hint="eastAsia" w:ascii="方正仿宋_GBK" w:hAnsi="方正仿宋_GBK" w:eastAsia="方正仿宋_GBK" w:cs="方正仿宋_GBK"/>
                <w:i w:val="0"/>
                <w:iCs w:val="0"/>
                <w:color w:val="auto"/>
                <w:kern w:val="0"/>
                <w:sz w:val="24"/>
                <w:szCs w:val="24"/>
                <w:u w:val="none"/>
                <w:lang w:val="en-US" w:eastAsia="zh-CN" w:bidi="ar"/>
              </w:rPr>
              <w:t xml:space="preserve"> 广告违反本法第十四条规定，不具有可识别性的，或者违反本法第十九条规定，变相发布医疗、药品、医疗器械、保健食品广告的，由市场监督管理部门责令改正，对广告发布者处十万元以下的罚款。</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b/>
                <w:bCs/>
                <w:i w:val="0"/>
                <w:iCs w:val="0"/>
                <w:color w:val="auto"/>
                <w:kern w:val="0"/>
                <w:sz w:val="24"/>
                <w:szCs w:val="24"/>
                <w:u w:val="none"/>
                <w:lang w:val="en-US" w:eastAsia="zh-CN" w:bidi="ar"/>
              </w:rPr>
              <w:t xml:space="preserve">《江苏省广告条例》第五十九条第二项 </w:t>
            </w:r>
            <w:r>
              <w:rPr>
                <w:rFonts w:hint="eastAsia" w:ascii="方正仿宋_GBK" w:hAnsi="方正仿宋_GBK" w:eastAsia="方正仿宋_GBK" w:cs="方正仿宋_GBK"/>
                <w:i w:val="0"/>
                <w:iCs w:val="0"/>
                <w:color w:val="auto"/>
                <w:kern w:val="0"/>
                <w:sz w:val="24"/>
                <w:szCs w:val="24"/>
                <w:u w:val="none"/>
                <w:lang w:val="en-US" w:eastAsia="zh-CN" w:bidi="ar"/>
              </w:rPr>
              <w:t>有下列情形之一，违法事实清楚，当场可以查实，且当事人及时改正，主动消除或者减轻危害后果的，依法从轻、减轻处罚；违法行为轻微并及时纠正，没有造成危害后果的，依法不予处罚：（二）通过大众传播媒介首次发布的广告未显著标明“广告”字样，但能够使消费者辨明其为广告的。</w:t>
            </w:r>
          </w:p>
        </w:tc>
      </w:tr>
      <w:tr w14:paraId="55DF9B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60" w:hRule="atLeast"/>
        </w:trPr>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8C06B2">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17</w:t>
            </w:r>
          </w:p>
        </w:tc>
        <w:tc>
          <w:tcPr>
            <w:tcW w:w="2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8684F1">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E9D131">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违法发布虚假广告</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F9B798">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1.初次违法；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2.在自有经营场所或者互联网自媒体发布自有商品或者服务广告，广告影响力和影响范围较小；</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3.对市场秩序的扰乱程度较轻，对消费者欺骗、误导作用较小；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4.持续时间较短，或浏览人数较少，或案涉商品或者服务经营额较少；</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5.及时改正。</w:t>
            </w:r>
          </w:p>
        </w:tc>
        <w:tc>
          <w:tcPr>
            <w:tcW w:w="13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DBC651">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《广告法》第四条第一款 </w:t>
            </w:r>
            <w:r>
              <w:rPr>
                <w:rFonts w:hint="eastAsia" w:ascii="方正仿宋_GBK" w:hAnsi="方正仿宋_GBK" w:eastAsia="方正仿宋_GBK" w:cs="方正仿宋_GBK"/>
                <w:i w:val="0"/>
                <w:iCs w:val="0"/>
                <w:color w:val="auto"/>
                <w:kern w:val="0"/>
                <w:sz w:val="24"/>
                <w:szCs w:val="24"/>
                <w:u w:val="none"/>
                <w:lang w:val="en-US" w:eastAsia="zh-CN" w:bidi="ar"/>
              </w:rPr>
              <w:t xml:space="preserve">广告不得含有虚假或者引人误解的内容，不得欺骗、误导消费者。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b/>
                <w:bCs/>
                <w:i w:val="0"/>
                <w:iCs w:val="0"/>
                <w:color w:val="auto"/>
                <w:kern w:val="0"/>
                <w:sz w:val="24"/>
                <w:szCs w:val="24"/>
                <w:u w:val="none"/>
                <w:lang w:val="en-US" w:eastAsia="zh-CN" w:bidi="ar"/>
              </w:rPr>
              <w:t>第二十八条第一款</w:t>
            </w:r>
            <w:r>
              <w:rPr>
                <w:rFonts w:hint="eastAsia" w:ascii="方正仿宋_GBK" w:hAnsi="方正仿宋_GBK" w:eastAsia="方正仿宋_GBK" w:cs="方正仿宋_GBK"/>
                <w:i w:val="0"/>
                <w:iCs w:val="0"/>
                <w:color w:val="auto"/>
                <w:kern w:val="0"/>
                <w:sz w:val="24"/>
                <w:szCs w:val="24"/>
                <w:u w:val="none"/>
                <w:lang w:val="en-US" w:eastAsia="zh-CN" w:bidi="ar"/>
              </w:rPr>
              <w:t xml:space="preserve"> 广告以虚假或者引人误解的内容欺骗、误导消费者的，构成虚假广告。</w:t>
            </w:r>
          </w:p>
        </w:tc>
        <w:tc>
          <w:tcPr>
            <w:tcW w:w="17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3DBA96">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《广告法》第五十五条 </w:t>
            </w:r>
            <w:r>
              <w:rPr>
                <w:rFonts w:hint="eastAsia" w:ascii="方正仿宋_GBK" w:hAnsi="方正仿宋_GBK" w:eastAsia="方正仿宋_GBK" w:cs="方正仿宋_GBK"/>
                <w:i w:val="0"/>
                <w:iCs w:val="0"/>
                <w:color w:val="auto"/>
                <w:kern w:val="0"/>
                <w:sz w:val="24"/>
                <w:szCs w:val="24"/>
                <w:u w:val="none"/>
                <w:lang w:val="en-US" w:eastAsia="zh-CN" w:bidi="ar"/>
              </w:rPr>
              <w:t>违反本法规定，发布虚假广告的，由市场监督管理部门责令停止发布广告，责令广告主在相应范围内消除影响，处广告费用三倍以上五倍以下的罚款，广告费用无法计算或者明显偏低的，处二十万元以上一百万元以下的罚款；两年内有三次以上违法行为或者有其他严重情节的，处广告费用五倍以上十倍以下的罚款，广告费用无法计算或者明显偏低的，处一百万元以上二百万元以下的罚款，可以吊销营业执照，并由广告审查机关撤销广告审查批准文件、一年内不受理其广告审查申请。</w:t>
            </w:r>
          </w:p>
        </w:tc>
      </w:tr>
      <w:tr w14:paraId="721840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25" w:hRule="atLeast"/>
        </w:trPr>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8A8B69">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18</w:t>
            </w:r>
          </w:p>
        </w:tc>
        <w:tc>
          <w:tcPr>
            <w:tcW w:w="2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3EF881">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5BFDD9">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广告经营者、广告发布者未按照国家有关规定建立、健全广告业务管理制度</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C49806">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2.未造成次生广告违法行为；</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3.及时改正。</w:t>
            </w:r>
          </w:p>
        </w:tc>
        <w:tc>
          <w:tcPr>
            <w:tcW w:w="13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CAA615">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《广告法》第三十四条第一款</w:t>
            </w:r>
            <w:r>
              <w:rPr>
                <w:rFonts w:hint="eastAsia" w:ascii="方正仿宋_GBK" w:hAnsi="方正仿宋_GBK" w:eastAsia="方正仿宋_GBK" w:cs="方正仿宋_GBK"/>
                <w:i w:val="0"/>
                <w:iCs w:val="0"/>
                <w:color w:val="auto"/>
                <w:kern w:val="0"/>
                <w:sz w:val="24"/>
                <w:szCs w:val="24"/>
                <w:u w:val="none"/>
                <w:lang w:val="en-US" w:eastAsia="zh-CN" w:bidi="ar"/>
              </w:rPr>
              <w:t>　广告经营者、广告发布者应当按照国家有关规定，建立、健全广告业务的承接登记、审核、档案管理制度。</w:t>
            </w:r>
          </w:p>
        </w:tc>
        <w:tc>
          <w:tcPr>
            <w:tcW w:w="17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510F4E">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《广告法》第六十条</w:t>
            </w:r>
            <w:r>
              <w:rPr>
                <w:rFonts w:hint="eastAsia" w:ascii="方正仿宋_GBK" w:hAnsi="方正仿宋_GBK" w:eastAsia="方正仿宋_GBK" w:cs="方正仿宋_GBK"/>
                <w:i w:val="0"/>
                <w:iCs w:val="0"/>
                <w:color w:val="auto"/>
                <w:kern w:val="0"/>
                <w:sz w:val="24"/>
                <w:szCs w:val="24"/>
                <w:u w:val="none"/>
                <w:lang w:val="en-US" w:eastAsia="zh-CN" w:bidi="ar"/>
              </w:rPr>
              <w:t>　违反本法第三十四条规定，广告经营者、广告发布者未按照国家有关规定建立、健全广告业务管理制度的，由市场监督管理部门责令改正，可以处五万元以下的罚款。</w:t>
            </w:r>
          </w:p>
        </w:tc>
      </w:tr>
      <w:tr w14:paraId="59B45B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6C4D85">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19</w:t>
            </w:r>
          </w:p>
        </w:tc>
        <w:tc>
          <w:tcPr>
            <w:tcW w:w="2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717695">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DBFE4A">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利用互联网发布广告，未显著标明关闭标志，确保一键关闭</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A5F142">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2.关闭标志不够显著，但能够实现一键关闭；</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3.广告浏览人数较少；</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4.及时改正。</w:t>
            </w:r>
          </w:p>
        </w:tc>
        <w:tc>
          <w:tcPr>
            <w:tcW w:w="13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13EFCB">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《广告法》第四十四条第二款 </w:t>
            </w:r>
            <w:r>
              <w:rPr>
                <w:rFonts w:hint="eastAsia" w:ascii="方正仿宋_GBK" w:hAnsi="方正仿宋_GBK" w:eastAsia="方正仿宋_GBK" w:cs="方正仿宋_GBK"/>
                <w:i w:val="0"/>
                <w:iCs w:val="0"/>
                <w:color w:val="auto"/>
                <w:kern w:val="0"/>
                <w:sz w:val="24"/>
                <w:szCs w:val="24"/>
                <w:u w:val="none"/>
                <w:lang w:val="en-US" w:eastAsia="zh-CN" w:bidi="ar"/>
              </w:rPr>
              <w:t xml:space="preserve"> 利用互联网发布、发送广告，不得影响用户正常使用网络。在互联网页面以弹出等形式发布的广告，应当显著标明关闭标志，确保一键关闭。</w:t>
            </w:r>
          </w:p>
        </w:tc>
        <w:tc>
          <w:tcPr>
            <w:tcW w:w="17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9FCDDE">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《广告法》第六十二条第二款</w:t>
            </w:r>
            <w:r>
              <w:rPr>
                <w:rFonts w:hint="eastAsia" w:ascii="方正仿宋_GBK" w:hAnsi="方正仿宋_GBK" w:eastAsia="方正仿宋_GBK" w:cs="方正仿宋_GBK"/>
                <w:i w:val="0"/>
                <w:iCs w:val="0"/>
                <w:color w:val="auto"/>
                <w:kern w:val="0"/>
                <w:sz w:val="24"/>
                <w:szCs w:val="24"/>
                <w:u w:val="none"/>
                <w:lang w:val="en-US" w:eastAsia="zh-CN" w:bidi="ar"/>
              </w:rPr>
              <w:t xml:space="preserve">  违反本法第四十四条第二款规定，利用互联网发布广告，未显著标明关闭标志，确保一键关闭的，由市场监督管理部门责令改正，对广告主处五千元以上三万元以下的罚款。</w:t>
            </w:r>
          </w:p>
        </w:tc>
      </w:tr>
      <w:tr w14:paraId="6D19AA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60" w:hRule="atLeast"/>
        </w:trPr>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4F7745">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20</w:t>
            </w:r>
          </w:p>
        </w:tc>
        <w:tc>
          <w:tcPr>
            <w:tcW w:w="2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DCCA75">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A62307">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发布其他食品广告宣传具有保健功能</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00F6C6">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1.初次违法；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2.在自有经营场所或者互联网自媒体发布自有商品或者服务广告，广告影响力和影响范围较小；</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3.对市场秩序的扰乱程度较轻，对消费者欺骗、误导作用较小；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4.持续时间较短，或浏览人数较少，或案涉商品或者服务经营额较少；</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5.及时改正。</w:t>
            </w:r>
          </w:p>
        </w:tc>
        <w:tc>
          <w:tcPr>
            <w:tcW w:w="1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C9D626">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《江苏省广告条例》第十六条第二款</w:t>
            </w:r>
            <w:r>
              <w:rPr>
                <w:rFonts w:hint="eastAsia" w:ascii="方正仿宋_GBK" w:hAnsi="方正仿宋_GBK" w:eastAsia="方正仿宋_GBK" w:cs="方正仿宋_GBK"/>
                <w:i w:val="0"/>
                <w:iCs w:val="0"/>
                <w:color w:val="auto"/>
                <w:kern w:val="0"/>
                <w:sz w:val="24"/>
                <w:szCs w:val="24"/>
                <w:u w:val="none"/>
                <w:lang w:val="en-US" w:eastAsia="zh-CN" w:bidi="ar"/>
              </w:rPr>
              <w:t xml:space="preserve">  其他食品广告不得宣传具有保健功能，也不得借助宣传某些成分的作用明示或者暗示其具有保健功能。</w:t>
            </w:r>
          </w:p>
        </w:tc>
        <w:tc>
          <w:tcPr>
            <w:tcW w:w="17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8D0537">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《江苏省广告条例》第五十五条第一款 </w:t>
            </w:r>
            <w:r>
              <w:rPr>
                <w:rFonts w:hint="eastAsia" w:ascii="方正仿宋_GBK" w:hAnsi="方正仿宋_GBK" w:eastAsia="方正仿宋_GBK" w:cs="方正仿宋_GBK"/>
                <w:i w:val="0"/>
                <w:iCs w:val="0"/>
                <w:color w:val="auto"/>
                <w:kern w:val="0"/>
                <w:sz w:val="24"/>
                <w:szCs w:val="24"/>
                <w:u w:val="none"/>
                <w:lang w:val="en-US" w:eastAsia="zh-CN" w:bidi="ar"/>
              </w:rPr>
              <w:t xml:space="preserve"> 违反本条例第十六条第二款规定发布其他食品广告的，由市场监督管理部门责令停止发布广告，对广告主处以广告费用一倍以上三倍以下的罚款，广告费用无法计算或者明显偏低的，处以十万元以上二十万元以下的罚款；情节严重的，处以广告费用三倍以上五倍以下的罚款，广告费用无法计算或者明显偏低的，处以二十万元以上一百万元以下的罚款。</w:t>
            </w:r>
          </w:p>
        </w:tc>
      </w:tr>
      <w:tr w14:paraId="0C796F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40" w:hRule="atLeast"/>
        </w:trPr>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F39015">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21</w:t>
            </w:r>
          </w:p>
        </w:tc>
        <w:tc>
          <w:tcPr>
            <w:tcW w:w="2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7FED78">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2E047F">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发布涉及优惠措施的广告，未明示优惠的范围、期限和内容</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DD3420">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1.初次违法；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2.持续时间较短，或浏览人数较少，或案涉商品或者服务经营额较少；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3.对消费者欺骗、误导作用较小；</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4.及时改正。</w:t>
            </w:r>
          </w:p>
        </w:tc>
        <w:tc>
          <w:tcPr>
            <w:tcW w:w="1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C9F5D1">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《江苏省广告条例》第九条第二款</w:t>
            </w:r>
            <w:r>
              <w:rPr>
                <w:rFonts w:hint="eastAsia" w:ascii="方正仿宋_GBK" w:hAnsi="方正仿宋_GBK" w:eastAsia="方正仿宋_GBK" w:cs="方正仿宋_GBK"/>
                <w:i w:val="0"/>
                <w:iCs w:val="0"/>
                <w:color w:val="auto"/>
                <w:kern w:val="0"/>
                <w:sz w:val="24"/>
                <w:szCs w:val="24"/>
                <w:u w:val="none"/>
                <w:lang w:val="en-US" w:eastAsia="zh-CN" w:bidi="ar"/>
              </w:rPr>
              <w:t xml:space="preserve">  涉及优惠措施的广告，应当明示优惠的范围、期限和内容。</w:t>
            </w:r>
          </w:p>
        </w:tc>
        <w:tc>
          <w:tcPr>
            <w:tcW w:w="17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43D097">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《江苏省广告条例》第五十四条第一款</w:t>
            </w:r>
            <w:r>
              <w:rPr>
                <w:rFonts w:hint="eastAsia" w:ascii="方正仿宋_GBK" w:hAnsi="方正仿宋_GBK" w:eastAsia="方正仿宋_GBK" w:cs="方正仿宋_GBK"/>
                <w:i w:val="0"/>
                <w:iCs w:val="0"/>
                <w:color w:val="auto"/>
                <w:kern w:val="0"/>
                <w:sz w:val="24"/>
                <w:szCs w:val="24"/>
                <w:u w:val="none"/>
                <w:lang w:val="en-US" w:eastAsia="zh-CN" w:bidi="ar"/>
              </w:rPr>
              <w:t>　违反本条例第九条第二款至第五款规定，发布广告未明示有关内容的，由市场监督管理部门责令停止发布，对广告主处以一万元以上十万元以下的罚款。</w:t>
            </w:r>
          </w:p>
        </w:tc>
      </w:tr>
      <w:tr w14:paraId="6C1990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40" w:hRule="atLeast"/>
        </w:trPr>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227B2F">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22</w:t>
            </w:r>
          </w:p>
        </w:tc>
        <w:tc>
          <w:tcPr>
            <w:tcW w:w="2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13E051">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41216C">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发布推销有专用附件商品的广告，未明示该商品必须购买的附件</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B88AFE">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1.初次违法；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2.持续时间较短，或浏览人数较少，或案涉商品或者服务经营额较少；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3.不附赠相关附件符合行业做法；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4.及时改正。</w:t>
            </w:r>
          </w:p>
        </w:tc>
        <w:tc>
          <w:tcPr>
            <w:tcW w:w="1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77EFAA">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《江苏省广告条例》第九条第三款</w:t>
            </w:r>
            <w:r>
              <w:rPr>
                <w:rFonts w:hint="eastAsia" w:ascii="方正仿宋_GBK" w:hAnsi="方正仿宋_GBK" w:eastAsia="方正仿宋_GBK" w:cs="方正仿宋_GBK"/>
                <w:i w:val="0"/>
                <w:iCs w:val="0"/>
                <w:color w:val="auto"/>
                <w:kern w:val="0"/>
                <w:sz w:val="24"/>
                <w:szCs w:val="24"/>
                <w:u w:val="none"/>
                <w:lang w:val="en-US" w:eastAsia="zh-CN" w:bidi="ar"/>
              </w:rPr>
              <w:t xml:space="preserve">  推销有专用附件商品的广告，应当明示该商品必须购买的附件。</w:t>
            </w:r>
          </w:p>
        </w:tc>
        <w:tc>
          <w:tcPr>
            <w:tcW w:w="17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E71995">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《江苏省广告条例》第五十四条第一款</w:t>
            </w:r>
            <w:r>
              <w:rPr>
                <w:rFonts w:hint="eastAsia" w:ascii="方正仿宋_GBK" w:hAnsi="方正仿宋_GBK" w:eastAsia="方正仿宋_GBK" w:cs="方正仿宋_GBK"/>
                <w:i w:val="0"/>
                <w:iCs w:val="0"/>
                <w:color w:val="auto"/>
                <w:kern w:val="0"/>
                <w:sz w:val="24"/>
                <w:szCs w:val="24"/>
                <w:u w:val="none"/>
                <w:lang w:val="en-US" w:eastAsia="zh-CN" w:bidi="ar"/>
              </w:rPr>
              <w:t>　违反本条例第九条第二款至第五款规定，发布广告未明示有关内容的，由市场监督管理部门责令停止发布，对广告主处以一万元以上十万元以下的罚款。</w:t>
            </w:r>
          </w:p>
        </w:tc>
      </w:tr>
      <w:tr w14:paraId="7C7312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80" w:hRule="atLeast"/>
        </w:trPr>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B96FDF">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23</w:t>
            </w:r>
          </w:p>
        </w:tc>
        <w:tc>
          <w:tcPr>
            <w:tcW w:w="2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2FD2B7">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FA6CFE">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发布推销设备、技术、种子、种苗、种畜、种禽、种兽以及加工承揽广告，表明回收产品的，未明确回收的期限、价格、数量、质量要求等内容</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4DD974">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1.初次违法；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2.持续时间较短，或浏览人数较少，或案涉商品或者服务经营额较少；</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3.对消费者欺骗、误导作用较小；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4.及时改正。</w:t>
            </w:r>
          </w:p>
        </w:tc>
        <w:tc>
          <w:tcPr>
            <w:tcW w:w="1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3778D5">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《江苏省广告条例》第九条第五款</w:t>
            </w:r>
            <w:r>
              <w:rPr>
                <w:rFonts w:hint="eastAsia" w:ascii="方正仿宋_GBK" w:hAnsi="方正仿宋_GBK" w:eastAsia="方正仿宋_GBK" w:cs="方正仿宋_GBK"/>
                <w:i w:val="0"/>
                <w:iCs w:val="0"/>
                <w:color w:val="auto"/>
                <w:kern w:val="0"/>
                <w:sz w:val="24"/>
                <w:szCs w:val="24"/>
                <w:u w:val="none"/>
                <w:lang w:val="en-US" w:eastAsia="zh-CN" w:bidi="ar"/>
              </w:rPr>
              <w:t xml:space="preserve">  推销设备、技术、种子、种苗、种畜、种禽、种兽以及加工承揽广告，表明回收产品的，应当明确回收的期限、价格、数量、质量要求等内容。</w:t>
            </w:r>
          </w:p>
        </w:tc>
        <w:tc>
          <w:tcPr>
            <w:tcW w:w="17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1162EF">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《江苏省广告条例》第五十四条第一款　</w:t>
            </w:r>
            <w:r>
              <w:rPr>
                <w:rFonts w:hint="eastAsia" w:ascii="方正仿宋_GBK" w:hAnsi="方正仿宋_GBK" w:eastAsia="方正仿宋_GBK" w:cs="方正仿宋_GBK"/>
                <w:i w:val="0"/>
                <w:iCs w:val="0"/>
                <w:color w:val="auto"/>
                <w:kern w:val="0"/>
                <w:sz w:val="24"/>
                <w:szCs w:val="24"/>
                <w:u w:val="none"/>
                <w:lang w:val="en-US" w:eastAsia="zh-CN" w:bidi="ar"/>
              </w:rPr>
              <w:t>违反本条例第九条第二款至第五款规定，发布广告未明示有关内容的，由市场监督管理部门责令停止发布，对广告主处以一万元以上十万元以下的罚款。</w:t>
            </w:r>
          </w:p>
        </w:tc>
      </w:tr>
      <w:tr w14:paraId="7EFDAF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80" w:hRule="atLeast"/>
        </w:trPr>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BCA6F5">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24</w:t>
            </w:r>
          </w:p>
        </w:tc>
        <w:tc>
          <w:tcPr>
            <w:tcW w:w="2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1EE7078">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黑体_GBK" w:hAnsi="方正黑体_GBK" w:eastAsia="方正黑体_GBK" w:cs="方正黑体_GBK"/>
                <w:i w:val="0"/>
                <w:iCs w:val="0"/>
                <w:color w:val="auto"/>
                <w:sz w:val="24"/>
                <w:szCs w:val="24"/>
                <w:u w:val="none"/>
              </w:rPr>
            </w:pPr>
            <w:r>
              <w:rPr>
                <w:rFonts w:hint="eastAsia" w:ascii="方正黑体_GBK" w:hAnsi="方正黑体_GBK" w:eastAsia="方正黑体_GBK" w:cs="方正黑体_GBK"/>
                <w:i w:val="0"/>
                <w:iCs w:val="0"/>
                <w:color w:val="auto"/>
                <w:kern w:val="0"/>
                <w:sz w:val="24"/>
                <w:szCs w:val="24"/>
                <w:u w:val="none"/>
                <w:lang w:val="en-US" w:eastAsia="zh-CN" w:bidi="ar"/>
              </w:rPr>
              <w:t>促销</w:t>
            </w: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58A28A">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有奖销售公布的信息不全面</w:t>
            </w:r>
          </w:p>
        </w:tc>
        <w:tc>
          <w:tcPr>
            <w:tcW w:w="89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CAD9AC">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2.缺漏的信息不属于所设奖的种类、兑奖条件、奖金金额或者奖品等影响兑奖的信息；</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3.及时改正。</w:t>
            </w:r>
          </w:p>
        </w:tc>
        <w:tc>
          <w:tcPr>
            <w:tcW w:w="1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2D1D86">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《规范促销行为暂行规定》第十三条第一款 </w:t>
            </w:r>
            <w:r>
              <w:rPr>
                <w:rFonts w:hint="eastAsia" w:ascii="方正仿宋_GBK" w:hAnsi="方正仿宋_GBK" w:eastAsia="方正仿宋_GBK" w:cs="方正仿宋_GBK"/>
                <w:i w:val="0"/>
                <w:iCs w:val="0"/>
                <w:color w:val="auto"/>
                <w:kern w:val="0"/>
                <w:sz w:val="24"/>
                <w:szCs w:val="24"/>
                <w:u w:val="none"/>
                <w:lang w:val="en-US" w:eastAsia="zh-CN" w:bidi="ar"/>
              </w:rPr>
              <w:t>经营者在有奖销售前，应当明确公布奖项种类、参与条件、参与方式、开奖时间、开奖方式、奖金金额或者奖品价格、奖品品名、奖品种类、奖品数量或者中奖概率、兑奖时间、兑奖条件、兑奖方式、奖品交付方式、弃奖条件、主办方及其联系方式等信息，不得变更，不得附加条件，不得影响兑奖，但有利于消费者的除外。</w:t>
            </w:r>
          </w:p>
        </w:tc>
        <w:tc>
          <w:tcPr>
            <w:tcW w:w="17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1B0034">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《规范促销行为暂行规定》第二十七条 </w:t>
            </w:r>
            <w:r>
              <w:rPr>
                <w:rFonts w:hint="eastAsia" w:ascii="方正仿宋_GBK" w:hAnsi="方正仿宋_GBK" w:eastAsia="方正仿宋_GBK" w:cs="方正仿宋_GBK"/>
                <w:i w:val="0"/>
                <w:iCs w:val="0"/>
                <w:color w:val="auto"/>
                <w:kern w:val="0"/>
                <w:sz w:val="24"/>
                <w:szCs w:val="24"/>
                <w:u w:val="none"/>
                <w:lang w:val="en-US" w:eastAsia="zh-CN" w:bidi="ar"/>
              </w:rPr>
              <w:t xml:space="preserve">违反本规定第十三条第一款、第十四条、第十五条、第十六条、第十七条，由市场监督管理部门依据反不正当竞争法第二十二条的规定进行处罚。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b/>
                <w:bCs/>
                <w:i w:val="0"/>
                <w:iCs w:val="0"/>
                <w:color w:val="auto"/>
                <w:kern w:val="0"/>
                <w:sz w:val="24"/>
                <w:szCs w:val="24"/>
                <w:u w:val="none"/>
                <w:lang w:val="en-US" w:eastAsia="zh-CN" w:bidi="ar"/>
              </w:rPr>
              <w:t>《反不正当竞争法》第二十二条</w:t>
            </w:r>
            <w:r>
              <w:rPr>
                <w:rFonts w:hint="eastAsia" w:ascii="方正仿宋_GBK" w:hAnsi="方正仿宋_GBK" w:eastAsia="方正仿宋_GBK" w:cs="方正仿宋_GBK"/>
                <w:i w:val="0"/>
                <w:iCs w:val="0"/>
                <w:color w:val="auto"/>
                <w:kern w:val="0"/>
                <w:sz w:val="24"/>
                <w:szCs w:val="24"/>
                <w:u w:val="none"/>
                <w:lang w:val="en-US" w:eastAsia="zh-CN" w:bidi="ar"/>
              </w:rPr>
              <w:t>　经营者违反本法第十条规定进行有奖销售的，由监督检查部门责令停止违法行为，处五万元以上五十万元以下的罚款。</w:t>
            </w:r>
          </w:p>
        </w:tc>
      </w:tr>
      <w:tr w14:paraId="1ED925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95" w:hRule="atLeast"/>
        </w:trPr>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4E6AFB">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25</w:t>
            </w:r>
          </w:p>
        </w:tc>
        <w:tc>
          <w:tcPr>
            <w:tcW w:w="2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E8EF49">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94F53C">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现场开奖，未随时公布超过五百元奖项的兑奖情况</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0B91F5">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2.对消费者的消费意愿影响较小；</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3.及时改正。</w:t>
            </w:r>
          </w:p>
        </w:tc>
        <w:tc>
          <w:tcPr>
            <w:tcW w:w="1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A1E726">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《规范促销行为暂行规定》第十三条第二款</w:t>
            </w:r>
            <w:r>
              <w:rPr>
                <w:rFonts w:hint="eastAsia" w:ascii="方正仿宋_GBK" w:hAnsi="方正仿宋_GBK" w:eastAsia="方正仿宋_GBK" w:cs="方正仿宋_GBK"/>
                <w:i w:val="0"/>
                <w:iCs w:val="0"/>
                <w:color w:val="auto"/>
                <w:kern w:val="0"/>
                <w:sz w:val="24"/>
                <w:szCs w:val="24"/>
                <w:u w:val="none"/>
                <w:lang w:val="en-US" w:eastAsia="zh-CN" w:bidi="ar"/>
              </w:rPr>
              <w:t xml:space="preserve">  在现场即时开奖的有奖销售活动中，对超过五百元奖项的兑奖情况，应当随时公示。</w:t>
            </w:r>
          </w:p>
        </w:tc>
        <w:tc>
          <w:tcPr>
            <w:tcW w:w="17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E9012E">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《规范促销行为暂行规定》第二十八条</w:t>
            </w:r>
            <w:r>
              <w:rPr>
                <w:rFonts w:hint="eastAsia" w:ascii="方正仿宋_GBK" w:hAnsi="方正仿宋_GBK" w:eastAsia="方正仿宋_GBK" w:cs="方正仿宋_GBK"/>
                <w:i w:val="0"/>
                <w:iCs w:val="0"/>
                <w:color w:val="auto"/>
                <w:kern w:val="0"/>
                <w:sz w:val="24"/>
                <w:szCs w:val="24"/>
                <w:u w:val="none"/>
                <w:lang w:val="en-US" w:eastAsia="zh-CN" w:bidi="ar"/>
              </w:rPr>
              <w:t xml:space="preserve">  违反本规定第十三条第二款、第十九条，由县级以上市场监督管理部门责令改正，可以处一万元以下罚款。</w:t>
            </w:r>
          </w:p>
        </w:tc>
      </w:tr>
      <w:tr w14:paraId="4152ED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95" w:hRule="atLeast"/>
        </w:trPr>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CDF844">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26</w:t>
            </w:r>
          </w:p>
        </w:tc>
        <w:tc>
          <w:tcPr>
            <w:tcW w:w="2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4015AF">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24FD77">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经营者未按规定建立有奖销售档案</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926231">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2.有奖销售没有引起消费者权益争议，或者不影响市场监管部门对相关争议的调查处理；</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3.及时改正。</w:t>
            </w:r>
          </w:p>
        </w:tc>
        <w:tc>
          <w:tcPr>
            <w:tcW w:w="1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D54DB8">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《规范促销行为暂行规定》第十九条 </w:t>
            </w:r>
            <w:r>
              <w:rPr>
                <w:rFonts w:hint="eastAsia" w:ascii="方正仿宋_GBK" w:hAnsi="方正仿宋_GBK" w:eastAsia="方正仿宋_GBK" w:cs="方正仿宋_GBK"/>
                <w:i w:val="0"/>
                <w:iCs w:val="0"/>
                <w:color w:val="auto"/>
                <w:kern w:val="0"/>
                <w:sz w:val="24"/>
                <w:szCs w:val="24"/>
                <w:u w:val="none"/>
                <w:lang w:val="en-US" w:eastAsia="zh-CN" w:bidi="ar"/>
              </w:rPr>
              <w:t xml:space="preserve"> 经营者应当建立档案，如实、准确、完整地记录设奖规则、公示信息、兑奖结果、获奖人员等内容，妥善保存两年并依法接受监督检查。</w:t>
            </w:r>
          </w:p>
        </w:tc>
        <w:tc>
          <w:tcPr>
            <w:tcW w:w="17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44DB32">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《规范促销行为暂行规定》第二十八条 </w:t>
            </w:r>
            <w:r>
              <w:rPr>
                <w:rFonts w:hint="eastAsia" w:ascii="方正仿宋_GBK" w:hAnsi="方正仿宋_GBK" w:eastAsia="方正仿宋_GBK" w:cs="方正仿宋_GBK"/>
                <w:i w:val="0"/>
                <w:iCs w:val="0"/>
                <w:color w:val="auto"/>
                <w:kern w:val="0"/>
                <w:sz w:val="24"/>
                <w:szCs w:val="24"/>
                <w:u w:val="none"/>
                <w:lang w:val="en-US" w:eastAsia="zh-CN" w:bidi="ar"/>
              </w:rPr>
              <w:t xml:space="preserve"> 违反本规定第十三条第二款、第十九条，由县级以上市场监督管理部门责令改正，可以处一万元以下罚款。</w:t>
            </w:r>
          </w:p>
        </w:tc>
      </w:tr>
      <w:tr w14:paraId="5971C7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25" w:hRule="atLeast"/>
        </w:trPr>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5D3242">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27</w:t>
            </w:r>
          </w:p>
        </w:tc>
        <w:tc>
          <w:tcPr>
            <w:tcW w:w="2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0303FA">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0A46D6">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经营者未履行优惠承诺</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A275DA">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2.对消费者权益的影响较小；</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3.及时改正。</w:t>
            </w:r>
          </w:p>
        </w:tc>
        <w:tc>
          <w:tcPr>
            <w:tcW w:w="1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86D5FA">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《规范促销行为暂行规定》第六条 </w:t>
            </w:r>
            <w:r>
              <w:rPr>
                <w:rFonts w:hint="eastAsia" w:ascii="方正仿宋_GBK" w:hAnsi="方正仿宋_GBK" w:eastAsia="方正仿宋_GBK" w:cs="方正仿宋_GBK"/>
                <w:i w:val="0"/>
                <w:iCs w:val="0"/>
                <w:color w:val="auto"/>
                <w:kern w:val="0"/>
                <w:sz w:val="24"/>
                <w:szCs w:val="24"/>
                <w:u w:val="none"/>
                <w:lang w:val="en-US" w:eastAsia="zh-CN" w:bidi="ar"/>
              </w:rPr>
              <w:t xml:space="preserve"> 经营者通过商业广告、产品说明、销售推介、实物样品或者通知、声明、店堂告示等方式作出优惠承诺的，应当履行承诺。</w:t>
            </w:r>
          </w:p>
        </w:tc>
        <w:tc>
          <w:tcPr>
            <w:tcW w:w="17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41D8D8">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《规范促销行为暂行规定》第二十四条</w:t>
            </w:r>
            <w:r>
              <w:rPr>
                <w:rFonts w:hint="eastAsia" w:ascii="方正仿宋_GBK" w:hAnsi="方正仿宋_GBK" w:eastAsia="方正仿宋_GBK" w:cs="方正仿宋_GBK"/>
                <w:i w:val="0"/>
                <w:iCs w:val="0"/>
                <w:color w:val="auto"/>
                <w:kern w:val="0"/>
                <w:sz w:val="24"/>
                <w:szCs w:val="24"/>
                <w:u w:val="none"/>
                <w:lang w:val="en-US" w:eastAsia="zh-CN" w:bidi="ar"/>
              </w:rPr>
              <w:t xml:space="preserve"> 违反本规定第六条、第八条、第十条，法律法规有规定的，从其规定；法律法规没有规定的，由县级以上市场监督管理部门责令改正；可处违法所得三倍以下罚款，但最高不超过三万元；没有违法所得的，可处一万元以下罚款。</w:t>
            </w:r>
          </w:p>
        </w:tc>
      </w:tr>
      <w:tr w14:paraId="30E1B0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60" w:hRule="atLeast"/>
        </w:trPr>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F00AA3">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28</w:t>
            </w:r>
          </w:p>
        </w:tc>
        <w:tc>
          <w:tcPr>
            <w:tcW w:w="2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66549B5">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黑体_GBK" w:hAnsi="方正黑体_GBK" w:eastAsia="方正黑体_GBK" w:cs="方正黑体_GBK"/>
                <w:i w:val="0"/>
                <w:iCs w:val="0"/>
                <w:color w:val="auto"/>
                <w:sz w:val="24"/>
                <w:szCs w:val="24"/>
                <w:u w:val="none"/>
              </w:rPr>
            </w:pPr>
            <w:r>
              <w:rPr>
                <w:rFonts w:hint="eastAsia" w:ascii="方正黑体_GBK" w:hAnsi="方正黑体_GBK" w:eastAsia="方正黑体_GBK" w:cs="方正黑体_GBK"/>
                <w:i w:val="0"/>
                <w:iCs w:val="0"/>
                <w:color w:val="auto"/>
                <w:kern w:val="0"/>
                <w:sz w:val="24"/>
                <w:szCs w:val="24"/>
                <w:u w:val="none"/>
                <w:lang w:val="en-US" w:eastAsia="zh-CN" w:bidi="ar"/>
              </w:rPr>
              <w:t>消费者权益保护</w:t>
            </w: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1B156B">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经营者未在经营场所和网站、网店首页的显著位置标明真实名称和标记</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D41C67">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2.不影响消费者识别经营者身份；</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3.及时改正。</w:t>
            </w:r>
          </w:p>
        </w:tc>
        <w:tc>
          <w:tcPr>
            <w:tcW w:w="1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052250">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《江苏省消费者权益保护条例》第十条第一款</w:t>
            </w:r>
            <w:r>
              <w:rPr>
                <w:rFonts w:hint="eastAsia" w:ascii="方正仿宋_GBK" w:hAnsi="方正仿宋_GBK" w:eastAsia="方正仿宋_GBK" w:cs="方正仿宋_GBK"/>
                <w:i w:val="0"/>
                <w:iCs w:val="0"/>
                <w:color w:val="auto"/>
                <w:kern w:val="0"/>
                <w:sz w:val="24"/>
                <w:szCs w:val="24"/>
                <w:u w:val="none"/>
                <w:lang w:val="en-US" w:eastAsia="zh-CN" w:bidi="ar"/>
              </w:rPr>
              <w:t xml:space="preserve"> 经营者应当在经营场所和网站、网店首页的显著位置标明其真实名称和标记。标明经营者名称的位置、字体、颜色等，应当便于识别。</w:t>
            </w:r>
          </w:p>
        </w:tc>
        <w:tc>
          <w:tcPr>
            <w:tcW w:w="17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D7BED5">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《江苏省消费者权益保护条例》第六十一条第二项 </w:t>
            </w:r>
            <w:r>
              <w:rPr>
                <w:rFonts w:hint="eastAsia" w:ascii="方正仿宋_GBK" w:hAnsi="方正仿宋_GBK" w:eastAsia="方正仿宋_GBK" w:cs="方正仿宋_GBK"/>
                <w:i w:val="0"/>
                <w:iCs w:val="0"/>
                <w:color w:val="auto"/>
                <w:kern w:val="0"/>
                <w:sz w:val="24"/>
                <w:szCs w:val="24"/>
                <w:u w:val="none"/>
                <w:lang w:val="en-US" w:eastAsia="zh-CN" w:bidi="ar"/>
              </w:rPr>
              <w:t>经营者等有下列情形之一的，由工商行政管理部门或者其他有关行政部门责令改正，可以根据情节单处或者并处警告、五千元以上五万元以下的罚款；情节严重的，责令停业整顿：（二）违反第十条第一款规定，未按规定在显著位置标明真实名称和标记的；</w:t>
            </w:r>
          </w:p>
        </w:tc>
      </w:tr>
      <w:tr w14:paraId="197F8B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80" w:hRule="atLeast"/>
        </w:trPr>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6F5EEC">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29</w:t>
            </w:r>
          </w:p>
        </w:tc>
        <w:tc>
          <w:tcPr>
            <w:tcW w:w="2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397348">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13F769">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餐饮业经营者未提供符合卫生条件的免费餐具供消费者选择</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9B5568">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2.持续时间较短，或案涉餐具收费金额较少；</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3.及时改正。</w:t>
            </w:r>
          </w:p>
        </w:tc>
        <w:tc>
          <w:tcPr>
            <w:tcW w:w="13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E5A1BB">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《江苏省消费者权益保护条例》第三十五条第二款</w:t>
            </w:r>
            <w:r>
              <w:rPr>
                <w:rFonts w:hint="eastAsia" w:ascii="方正仿宋_GBK" w:hAnsi="方正仿宋_GBK" w:eastAsia="方正仿宋_GBK" w:cs="方正仿宋_GBK"/>
                <w:i w:val="0"/>
                <w:iCs w:val="0"/>
                <w:color w:val="auto"/>
                <w:kern w:val="0"/>
                <w:sz w:val="24"/>
                <w:szCs w:val="24"/>
                <w:u w:val="none"/>
                <w:lang w:val="en-US" w:eastAsia="zh-CN" w:bidi="ar"/>
              </w:rPr>
              <w:t xml:space="preserve">  餐饮业经营者应当提供符合卫生标准的餐具，使用集中消毒套装收费餐具的经营者应当同时提供免费餐具供消费者选择。</w:t>
            </w:r>
          </w:p>
        </w:tc>
        <w:tc>
          <w:tcPr>
            <w:tcW w:w="17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36ED3B">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《江苏省消费者权益保护条例》第六十五条第二项</w:t>
            </w:r>
            <w:r>
              <w:rPr>
                <w:rFonts w:hint="eastAsia" w:ascii="方正仿宋_GBK" w:hAnsi="方正仿宋_GBK" w:eastAsia="方正仿宋_GBK" w:cs="方正仿宋_GBK"/>
                <w:i w:val="0"/>
                <w:iCs w:val="0"/>
                <w:color w:val="auto"/>
                <w:kern w:val="0"/>
                <w:sz w:val="24"/>
                <w:szCs w:val="24"/>
                <w:u w:val="none"/>
                <w:lang w:val="en-US" w:eastAsia="zh-CN" w:bidi="ar"/>
              </w:rPr>
              <w:t xml:space="preserve">  经营者有下列情形之一，法律、法规对处罚机关和处罚方式已有规定的，从其规定；法律、法规未作规定的，由工商行政管理部门或者其他有关行政部门责令改正，没收违法所得，可以并处五千元以上五万元以下的罚款；情节严重的，处以五万元以上十万元以下的罚款，责令停业整顿：（二）违反第三十五条规定，未经显著方式明示收取费用或者未提供符合卫生条件的免费餐具供消费者选择的；</w:t>
            </w:r>
          </w:p>
        </w:tc>
      </w:tr>
      <w:tr w14:paraId="458615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CF80C4">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30</w:t>
            </w:r>
          </w:p>
        </w:tc>
        <w:tc>
          <w:tcPr>
            <w:tcW w:w="2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554D4B2">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黑体_GBK" w:hAnsi="方正黑体_GBK" w:eastAsia="方正黑体_GBK" w:cs="方正黑体_GBK"/>
                <w:i w:val="0"/>
                <w:iCs w:val="0"/>
                <w:color w:val="auto"/>
                <w:sz w:val="24"/>
                <w:szCs w:val="24"/>
                <w:u w:val="none"/>
              </w:rPr>
            </w:pPr>
            <w:r>
              <w:rPr>
                <w:rFonts w:hint="eastAsia" w:ascii="方正黑体_GBK" w:hAnsi="方正黑体_GBK" w:eastAsia="方正黑体_GBK" w:cs="方正黑体_GBK"/>
                <w:i w:val="0"/>
                <w:iCs w:val="0"/>
                <w:color w:val="auto"/>
                <w:kern w:val="0"/>
                <w:sz w:val="24"/>
                <w:szCs w:val="24"/>
                <w:u w:val="none"/>
                <w:lang w:val="en-US" w:eastAsia="zh-CN" w:bidi="ar"/>
              </w:rPr>
              <w:t>商标</w:t>
            </w: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F079EC">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将驰名商标用于商品、商品包装或者容器上，或者用于广告宣传、展览以及其他商业活动中</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E28A45">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                      2.曾获得“驰名商标”认定或获保护记录，在其经营场所或者自有媒体未突出使用“驰名商标”字样；</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3.及时改正。</w:t>
            </w:r>
          </w:p>
        </w:tc>
        <w:tc>
          <w:tcPr>
            <w:tcW w:w="1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115289">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《商标法》第十四条第五款</w:t>
            </w:r>
            <w:r>
              <w:rPr>
                <w:rFonts w:hint="eastAsia" w:ascii="方正仿宋_GBK" w:hAnsi="方正仿宋_GBK" w:eastAsia="方正仿宋_GBK" w:cs="方正仿宋_GBK"/>
                <w:i w:val="0"/>
                <w:iCs w:val="0"/>
                <w:color w:val="auto"/>
                <w:kern w:val="0"/>
                <w:sz w:val="24"/>
                <w:szCs w:val="24"/>
                <w:u w:val="none"/>
                <w:lang w:val="en-US" w:eastAsia="zh-CN" w:bidi="ar"/>
              </w:rPr>
              <w:t xml:space="preserve">  生产、经营者不得将“驰名商标”字样用于商品、商品包装或者容器上，或者用于广告宣传、展览以及其他商业活动中。</w:t>
            </w:r>
          </w:p>
        </w:tc>
        <w:tc>
          <w:tcPr>
            <w:tcW w:w="17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7B6525">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《商标法》第五十三条</w:t>
            </w:r>
            <w:r>
              <w:rPr>
                <w:rFonts w:hint="eastAsia" w:ascii="方正仿宋_GBK" w:hAnsi="方正仿宋_GBK" w:eastAsia="方正仿宋_GBK" w:cs="方正仿宋_GBK"/>
                <w:i w:val="0"/>
                <w:iCs w:val="0"/>
                <w:color w:val="auto"/>
                <w:kern w:val="0"/>
                <w:sz w:val="24"/>
                <w:szCs w:val="24"/>
                <w:u w:val="none"/>
                <w:lang w:val="en-US" w:eastAsia="zh-CN" w:bidi="ar"/>
              </w:rPr>
              <w:t xml:space="preserve">  违反本法第十四条第五款规定的，由地方工商行政管理部门责令改正，处十万元罚款。</w:t>
            </w:r>
          </w:p>
        </w:tc>
      </w:tr>
      <w:tr w14:paraId="423C51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3A737E">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31</w:t>
            </w:r>
          </w:p>
        </w:tc>
        <w:tc>
          <w:tcPr>
            <w:tcW w:w="2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E57D39">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624C94">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商标印制档案及出入库台账未按要求存档备查</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FE1742">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                       2.能通过其他方式查明商标印制和出入库情况；</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3.及时改正。</w:t>
            </w:r>
          </w:p>
        </w:tc>
        <w:tc>
          <w:tcPr>
            <w:tcW w:w="1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6D07B8">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《商标印制管理办法》第十条</w:t>
            </w:r>
            <w:r>
              <w:rPr>
                <w:rFonts w:hint="eastAsia" w:ascii="方正仿宋_GBK" w:hAnsi="方正仿宋_GBK" w:eastAsia="方正仿宋_GBK" w:cs="方正仿宋_GBK"/>
                <w:i w:val="0"/>
                <w:iCs w:val="0"/>
                <w:color w:val="auto"/>
                <w:kern w:val="0"/>
                <w:sz w:val="24"/>
                <w:szCs w:val="24"/>
                <w:u w:val="none"/>
                <w:lang w:val="en-US" w:eastAsia="zh-CN" w:bidi="ar"/>
              </w:rPr>
              <w:t xml:space="preserve">  商标印制档案及商标标识出入库台帐应当存档备查，存查期为两年。</w:t>
            </w:r>
          </w:p>
        </w:tc>
        <w:tc>
          <w:tcPr>
            <w:tcW w:w="17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6CDCA1">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《商标印制管理办法》第十一条</w:t>
            </w:r>
            <w:r>
              <w:rPr>
                <w:rFonts w:hint="eastAsia" w:ascii="方正仿宋_GBK" w:hAnsi="方正仿宋_GBK" w:eastAsia="方正仿宋_GBK" w:cs="方正仿宋_GBK"/>
                <w:i w:val="0"/>
                <w:iCs w:val="0"/>
                <w:color w:val="auto"/>
                <w:kern w:val="0"/>
                <w:sz w:val="24"/>
                <w:szCs w:val="24"/>
                <w:u w:val="none"/>
                <w:lang w:val="en-US" w:eastAsia="zh-CN" w:bidi="ar"/>
              </w:rPr>
              <w:t xml:space="preserve">  商标印制单位违反本办法第七条至第十条规定的，由所在地市场监督管理部门责令其限期改正，并视其情节予以警告，处以非法所得额三倍以下的罚款，但最高不超过三万元，没有违法所得的，可以处以一万元以下的罚款。</w:t>
            </w:r>
          </w:p>
        </w:tc>
      </w:tr>
      <w:tr w14:paraId="2B3D38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80" w:hRule="atLeast"/>
        </w:trPr>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0D4B4C">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32</w:t>
            </w:r>
          </w:p>
        </w:tc>
        <w:tc>
          <w:tcPr>
            <w:tcW w:w="2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923517">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F49E24">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法律、行政法规规定必须使用注册商标的商品未经核准注册商标在市场销售</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20E989">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1.初次违法；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2.商品符合质量要求；</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3.持续时间较短；</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4.及时申请商标注册并获核准。</w:t>
            </w:r>
          </w:p>
        </w:tc>
        <w:tc>
          <w:tcPr>
            <w:tcW w:w="1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532F6B">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《商标法》第六条</w:t>
            </w:r>
            <w:r>
              <w:rPr>
                <w:rFonts w:hint="eastAsia" w:ascii="方正仿宋_GBK" w:hAnsi="方正仿宋_GBK" w:eastAsia="方正仿宋_GBK" w:cs="方正仿宋_GBK"/>
                <w:i w:val="0"/>
                <w:iCs w:val="0"/>
                <w:color w:val="auto"/>
                <w:kern w:val="0"/>
                <w:sz w:val="24"/>
                <w:szCs w:val="24"/>
                <w:u w:val="none"/>
                <w:lang w:val="en-US" w:eastAsia="zh-CN" w:bidi="ar"/>
              </w:rPr>
              <w:t xml:space="preserve">  法律、行政法规规定必须使用注册商标的商品，必须申请商标注册，未经核准注册的，不得在市场销售。</w:t>
            </w:r>
          </w:p>
        </w:tc>
        <w:tc>
          <w:tcPr>
            <w:tcW w:w="17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48298C">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《商标法》第五十一条 </w:t>
            </w:r>
            <w:r>
              <w:rPr>
                <w:rFonts w:hint="eastAsia" w:ascii="方正仿宋_GBK" w:hAnsi="方正仿宋_GBK" w:eastAsia="方正仿宋_GBK" w:cs="方正仿宋_GBK"/>
                <w:i w:val="0"/>
                <w:iCs w:val="0"/>
                <w:color w:val="auto"/>
                <w:kern w:val="0"/>
                <w:sz w:val="24"/>
                <w:szCs w:val="24"/>
                <w:u w:val="none"/>
                <w:lang w:val="en-US" w:eastAsia="zh-CN" w:bidi="ar"/>
              </w:rPr>
              <w:t>违反本法第六条规定的，由地方工商行政管理部门责令限期申请注册，违法经营额五万元以上的，可以处违法经营额百分之二十以下的罚款，没有违法经营额或者违法经营额不足五万元的，可以处一万元以下的罚款。</w:t>
            </w:r>
          </w:p>
        </w:tc>
      </w:tr>
      <w:tr w14:paraId="4480B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80" w:hRule="atLeast"/>
        </w:trPr>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D6598E">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33</w:t>
            </w:r>
          </w:p>
        </w:tc>
        <w:tc>
          <w:tcPr>
            <w:tcW w:w="2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4D8D38">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黑体_GBK" w:hAnsi="方正黑体_GBK" w:eastAsia="方正黑体_GBK" w:cs="方正黑体_GBK"/>
                <w:i w:val="0"/>
                <w:iCs w:val="0"/>
                <w:color w:val="auto"/>
                <w:sz w:val="24"/>
                <w:szCs w:val="24"/>
                <w:u w:val="none"/>
              </w:rPr>
            </w:pPr>
            <w:r>
              <w:rPr>
                <w:rFonts w:hint="eastAsia" w:ascii="方正黑体_GBK" w:hAnsi="方正黑体_GBK" w:eastAsia="方正黑体_GBK" w:cs="方正黑体_GBK"/>
                <w:i w:val="0"/>
                <w:iCs w:val="0"/>
                <w:color w:val="auto"/>
                <w:kern w:val="0"/>
                <w:sz w:val="24"/>
                <w:szCs w:val="24"/>
                <w:u w:val="none"/>
                <w:lang w:val="en-US" w:eastAsia="zh-CN" w:bidi="ar"/>
              </w:rPr>
              <w:t>工业产品生产许可</w:t>
            </w: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DE5D28">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取得工业产品生产许可的企业未能持续保持规定条件</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2D2DED">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2.持续时间较短；</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3.期间未生产不合格的产品，或未流入市场，或流入市场数量较少并及时召回；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4.及时改正。</w:t>
            </w:r>
          </w:p>
        </w:tc>
        <w:tc>
          <w:tcPr>
            <w:tcW w:w="13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6165A3">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《工业产品生产许可证管理条例实施办法》第四十六条</w:t>
            </w:r>
            <w:r>
              <w:rPr>
                <w:rFonts w:hint="eastAsia" w:ascii="方正仿宋_GBK" w:hAnsi="方正仿宋_GBK" w:eastAsia="方正仿宋_GBK" w:cs="方正仿宋_GBK"/>
                <w:i w:val="0"/>
                <w:iCs w:val="0"/>
                <w:color w:val="auto"/>
                <w:kern w:val="0"/>
                <w:sz w:val="24"/>
                <w:szCs w:val="24"/>
                <w:u w:val="none"/>
                <w:lang w:val="en-US" w:eastAsia="zh-CN" w:bidi="ar"/>
              </w:rPr>
              <w:t xml:space="preserve">  取得生产许可的企业应当保证产品质量稳定合格，并持续保持取得生产许可的规定条件。</w:t>
            </w:r>
          </w:p>
        </w:tc>
        <w:tc>
          <w:tcPr>
            <w:tcW w:w="17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2F5167">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《工业产品生产许可证管理条例实施办法》第四十九条  </w:t>
            </w:r>
            <w:r>
              <w:rPr>
                <w:rFonts w:hint="eastAsia" w:ascii="方正仿宋_GBK" w:hAnsi="方正仿宋_GBK" w:eastAsia="方正仿宋_GBK" w:cs="方正仿宋_GBK"/>
                <w:i w:val="0"/>
                <w:iCs w:val="0"/>
                <w:color w:val="auto"/>
                <w:kern w:val="0"/>
                <w:sz w:val="24"/>
                <w:szCs w:val="24"/>
                <w:u w:val="none"/>
                <w:lang w:val="en-US" w:eastAsia="zh-CN" w:bidi="ar"/>
              </w:rPr>
              <w:t>违反本办法第四十六条规定，取得生产许可的企业未能持续保持取得生产许可的规定条件的，责令改正，处1万元以上3万元以下罚款。</w:t>
            </w:r>
          </w:p>
        </w:tc>
      </w:tr>
      <w:tr w14:paraId="544E88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80" w:hRule="atLeast"/>
        </w:trPr>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25CD74">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34</w:t>
            </w:r>
          </w:p>
        </w:tc>
        <w:tc>
          <w:tcPr>
            <w:tcW w:w="2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231051">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黑体_GBK" w:hAnsi="方正黑体_GBK" w:eastAsia="方正黑体_GBK" w:cs="方正黑体_GBK"/>
                <w:i w:val="0"/>
                <w:iCs w:val="0"/>
                <w:color w:val="auto"/>
                <w:sz w:val="24"/>
                <w:szCs w:val="24"/>
                <w:u w:val="none"/>
              </w:rPr>
            </w:pPr>
            <w:r>
              <w:rPr>
                <w:rFonts w:hint="eastAsia" w:ascii="方正黑体_GBK" w:hAnsi="方正黑体_GBK" w:eastAsia="方正黑体_GBK" w:cs="方正黑体_GBK"/>
                <w:i w:val="0"/>
                <w:iCs w:val="0"/>
                <w:color w:val="auto"/>
                <w:kern w:val="0"/>
                <w:sz w:val="24"/>
                <w:szCs w:val="24"/>
                <w:u w:val="none"/>
                <w:lang w:val="en-US" w:eastAsia="zh-CN" w:bidi="ar"/>
              </w:rPr>
              <w:t>特种设备</w:t>
            </w:r>
          </w:p>
        </w:tc>
        <w:tc>
          <w:tcPr>
            <w:tcW w:w="55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E5B90D">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使用未经定期检验的特种设备</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4C2ED1">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2.在检验有效期届满前已向检验机构申请检验；</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3.在检验有效期届满后、检验机构出具检验合格报告前，因生产工艺的连续或公众生活所需、采取必要的安全保障措施后，继续使用时间较短；</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4.没有造成危害后果。</w:t>
            </w:r>
          </w:p>
        </w:tc>
        <w:tc>
          <w:tcPr>
            <w:tcW w:w="13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1EEC37">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《特种设备安全法》第四十条 </w:t>
            </w:r>
            <w:r>
              <w:rPr>
                <w:rFonts w:hint="eastAsia" w:ascii="方正仿宋_GBK" w:hAnsi="方正仿宋_GBK" w:eastAsia="方正仿宋_GBK" w:cs="方正仿宋_GBK"/>
                <w:i w:val="0"/>
                <w:iCs w:val="0"/>
                <w:color w:val="auto"/>
                <w:kern w:val="0"/>
                <w:sz w:val="24"/>
                <w:szCs w:val="24"/>
                <w:u w:val="none"/>
                <w:lang w:val="en-US" w:eastAsia="zh-CN" w:bidi="ar"/>
              </w:rPr>
              <w:t xml:space="preserve"> 特种设备使用单位应当按照安全技术规范的要求，在检验合格有效期届满前一个月向特种设备检验机构提出定期检验要求。</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    特种设备检验机构接到定期检验要求后，应当按照安全技术规范的要求及时进行安全性能检验。特种设备使用单位应当将定期检验标志置于该特种设备的显著位置。</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    未经定期检验或者检验不合格的特种设备，不得继续使用。</w:t>
            </w:r>
          </w:p>
        </w:tc>
        <w:tc>
          <w:tcPr>
            <w:tcW w:w="17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D3E5BF">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《特种设备安全法》第八十四条第一项 </w:t>
            </w:r>
            <w:r>
              <w:rPr>
                <w:rFonts w:hint="eastAsia" w:ascii="方正仿宋_GBK" w:hAnsi="方正仿宋_GBK" w:eastAsia="方正仿宋_GBK" w:cs="方正仿宋_GBK"/>
                <w:i w:val="0"/>
                <w:iCs w:val="0"/>
                <w:color w:val="auto"/>
                <w:kern w:val="0"/>
                <w:sz w:val="24"/>
                <w:szCs w:val="24"/>
                <w:u w:val="none"/>
                <w:lang w:val="en-US" w:eastAsia="zh-CN" w:bidi="ar"/>
              </w:rPr>
              <w:t>违反本法规定，特种设备使用单位有下列行为之一的，责令停止使用有关特种设备，处三万元以上三十万元以下罚款：（一）使用未取得许可生产，未经检验或者检验不合格的特种设备，或者国家明令淘汰、已经报废的特种设备的；</w:t>
            </w:r>
          </w:p>
        </w:tc>
      </w:tr>
      <w:tr w14:paraId="5BCBA8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80" w:hRule="atLeast"/>
        </w:trPr>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C7F195">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35</w:t>
            </w:r>
          </w:p>
        </w:tc>
        <w:tc>
          <w:tcPr>
            <w:tcW w:w="2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1FBD167">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黑体_GBK" w:hAnsi="方正黑体_GBK" w:eastAsia="方正黑体_GBK" w:cs="方正黑体_GBK"/>
                <w:i w:val="0"/>
                <w:iCs w:val="0"/>
                <w:color w:val="auto"/>
                <w:sz w:val="24"/>
                <w:szCs w:val="24"/>
                <w:u w:val="none"/>
              </w:rPr>
            </w:pPr>
            <w:r>
              <w:rPr>
                <w:rFonts w:hint="eastAsia" w:ascii="方正黑体_GBK" w:hAnsi="方正黑体_GBK" w:eastAsia="方正黑体_GBK" w:cs="方正黑体_GBK"/>
                <w:i w:val="0"/>
                <w:iCs w:val="0"/>
                <w:color w:val="auto"/>
                <w:kern w:val="0"/>
                <w:sz w:val="24"/>
                <w:szCs w:val="24"/>
                <w:u w:val="none"/>
                <w:lang w:val="en-US" w:eastAsia="zh-CN" w:bidi="ar"/>
              </w:rPr>
              <w:t>计量</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920C44">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眼镜制配者使用未经检定、超过检定周期或者经检定不合格的计量器具</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FA7590">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2.违法经营时间较短；</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3.经发现后及时检定；</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4.实际使用的计量器具经检定合格。</w:t>
            </w:r>
          </w:p>
        </w:tc>
        <w:tc>
          <w:tcPr>
            <w:tcW w:w="13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9D7A76">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《眼镜制配计量监督管理办法》第四条第四项</w:t>
            </w:r>
            <w:r>
              <w:rPr>
                <w:rFonts w:hint="eastAsia" w:ascii="方正仿宋_GBK" w:hAnsi="方正仿宋_GBK" w:eastAsia="方正仿宋_GBK" w:cs="方正仿宋_GBK"/>
                <w:i w:val="0"/>
                <w:iCs w:val="0"/>
                <w:color w:val="auto"/>
                <w:kern w:val="0"/>
                <w:sz w:val="24"/>
                <w:szCs w:val="24"/>
                <w:u w:val="none"/>
                <w:lang w:val="en-US" w:eastAsia="zh-CN" w:bidi="ar"/>
              </w:rPr>
              <w:t xml:space="preserve"> 眼镜制配者应当遵守以下规定：（四）不得使用未经检定、超过检定周期或者经检定不合格的计量器具。</w:t>
            </w:r>
          </w:p>
        </w:tc>
        <w:tc>
          <w:tcPr>
            <w:tcW w:w="17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FA0A7A">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《眼镜制配计量监督管理办法》第九条第一项</w:t>
            </w:r>
            <w:r>
              <w:rPr>
                <w:rFonts w:hint="eastAsia" w:ascii="方正仿宋_GBK" w:hAnsi="方正仿宋_GBK" w:eastAsia="方正仿宋_GBK" w:cs="方正仿宋_GBK"/>
                <w:i w:val="0"/>
                <w:iCs w:val="0"/>
                <w:color w:val="auto"/>
                <w:kern w:val="0"/>
                <w:sz w:val="24"/>
                <w:szCs w:val="24"/>
                <w:u w:val="none"/>
                <w:lang w:val="en-US" w:eastAsia="zh-CN" w:bidi="ar"/>
              </w:rPr>
              <w:t xml:space="preserve">  眼镜制配者违反本办法第四条有关规定，应当按照下列规定进行处罚：（一）属于强制检定范围的计量器具，未按照规定申请检定和属于非强制检定范围的计量器具未自行定期检定或者送其他计量检定机构定期检定的，以及经检定不合格继续使用的，责令其停止使用，可并处1000元以下的罚款。</w:t>
            </w:r>
          </w:p>
        </w:tc>
      </w:tr>
      <w:tr w14:paraId="17C1F2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40" w:hRule="atLeast"/>
        </w:trPr>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35663B">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36</w:t>
            </w:r>
          </w:p>
        </w:tc>
        <w:tc>
          <w:tcPr>
            <w:tcW w:w="2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583EC1">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32877F">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集贸市场入场经营者未对配置和使用的计量器具进行维护和管理</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7813F5">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2.案涉计量器具合格；</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3.及时改正。</w:t>
            </w:r>
          </w:p>
        </w:tc>
        <w:tc>
          <w:tcPr>
            <w:tcW w:w="13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B47055">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《集贸市场计量监督管理办法》第六条第二项</w:t>
            </w:r>
            <w:r>
              <w:rPr>
                <w:rFonts w:hint="eastAsia" w:ascii="方正仿宋_GBK" w:hAnsi="方正仿宋_GBK" w:eastAsia="方正仿宋_GBK" w:cs="方正仿宋_GBK"/>
                <w:i w:val="0"/>
                <w:iCs w:val="0"/>
                <w:color w:val="auto"/>
                <w:kern w:val="0"/>
                <w:sz w:val="24"/>
                <w:szCs w:val="24"/>
                <w:u w:val="none"/>
                <w:lang w:val="en-US" w:eastAsia="zh-CN" w:bidi="ar"/>
              </w:rPr>
              <w:t>　经营者应当做到：（二）对配置和使用的计量器具进行维护和管理，定期接受市场监督管理部门指定的法定计量检定机构对计量器具的强制检定。</w:t>
            </w:r>
          </w:p>
        </w:tc>
        <w:tc>
          <w:tcPr>
            <w:tcW w:w="17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08ADCC">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《集贸市场计量监督管理办法》第十二条第一款</w:t>
            </w:r>
            <w:r>
              <w:rPr>
                <w:rFonts w:hint="eastAsia" w:ascii="方正仿宋_GBK" w:hAnsi="方正仿宋_GBK" w:eastAsia="方正仿宋_GBK" w:cs="方正仿宋_GBK"/>
                <w:i w:val="0"/>
                <w:iCs w:val="0"/>
                <w:color w:val="auto"/>
                <w:kern w:val="0"/>
                <w:sz w:val="24"/>
                <w:szCs w:val="24"/>
                <w:u w:val="none"/>
                <w:lang w:val="en-US" w:eastAsia="zh-CN" w:bidi="ar"/>
              </w:rPr>
              <w:t xml:space="preserve">  经营者违反本办法第六条第（二）项规定的，责令其停止使用，可并处以1000元以下的罚款。</w:t>
            </w:r>
          </w:p>
        </w:tc>
      </w:tr>
      <w:tr w14:paraId="75D463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00" w:hRule="atLeast"/>
        </w:trPr>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90EC97">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37</w:t>
            </w:r>
          </w:p>
        </w:tc>
        <w:tc>
          <w:tcPr>
            <w:tcW w:w="2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E6B3EB">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171EAE">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制造、修理计量器具的个体工商户未在规定场所从事经营活动</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FC0340">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2.持续时间较短；</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3.及时改正。</w:t>
            </w:r>
          </w:p>
        </w:tc>
        <w:tc>
          <w:tcPr>
            <w:tcW w:w="13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A529D5">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《计量法实施细则》第十四条</w:t>
            </w:r>
            <w:r>
              <w:rPr>
                <w:rFonts w:hint="eastAsia" w:ascii="方正仿宋_GBK" w:hAnsi="方正仿宋_GBK" w:eastAsia="方正仿宋_GBK" w:cs="方正仿宋_GBK"/>
                <w:i w:val="0"/>
                <w:iCs w:val="0"/>
                <w:color w:val="auto"/>
                <w:kern w:val="0"/>
                <w:sz w:val="24"/>
                <w:szCs w:val="24"/>
                <w:u w:val="none"/>
                <w:lang w:val="en-US" w:eastAsia="zh-CN" w:bidi="ar"/>
              </w:rPr>
              <w:t>　制造、修理计量器具的企业、事业单位和个体工商户须在固定的场所从事经营，具有符合国家规定的生产设施、检验条件、技术人员等，并满足安全要求。</w:t>
            </w:r>
          </w:p>
        </w:tc>
        <w:tc>
          <w:tcPr>
            <w:tcW w:w="17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FF9B54">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《计量法实施细则》第四十九条</w:t>
            </w:r>
            <w:r>
              <w:rPr>
                <w:rFonts w:hint="eastAsia" w:ascii="方正仿宋_GBK" w:hAnsi="方正仿宋_GBK" w:eastAsia="方正仿宋_GBK" w:cs="方正仿宋_GBK"/>
                <w:i w:val="0"/>
                <w:iCs w:val="0"/>
                <w:color w:val="auto"/>
                <w:kern w:val="0"/>
                <w:sz w:val="24"/>
                <w:szCs w:val="24"/>
                <w:u w:val="none"/>
                <w:lang w:val="en-US" w:eastAsia="zh-CN" w:bidi="ar"/>
              </w:rPr>
              <w:t>　个体工商户制造、修理国家规定范围以外的计量器具或者不按照规定场所从事经营活动的，责令其停止制造、修理，没收全部违法所得，可并处以500元以下的罚款。</w:t>
            </w:r>
          </w:p>
        </w:tc>
      </w:tr>
      <w:tr w14:paraId="6066A9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4BD164">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38</w:t>
            </w:r>
          </w:p>
        </w:tc>
        <w:tc>
          <w:tcPr>
            <w:tcW w:w="2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45AFDA1">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黑体_GBK" w:hAnsi="方正黑体_GBK" w:eastAsia="方正黑体_GBK" w:cs="方正黑体_GBK"/>
                <w:i w:val="0"/>
                <w:iCs w:val="0"/>
                <w:color w:val="auto"/>
                <w:sz w:val="24"/>
                <w:szCs w:val="24"/>
                <w:u w:val="none"/>
              </w:rPr>
            </w:pPr>
            <w:r>
              <w:rPr>
                <w:rFonts w:hint="eastAsia" w:ascii="方正黑体_GBK" w:hAnsi="方正黑体_GBK" w:eastAsia="方正黑体_GBK" w:cs="方正黑体_GBK"/>
                <w:i w:val="0"/>
                <w:iCs w:val="0"/>
                <w:color w:val="auto"/>
                <w:kern w:val="0"/>
                <w:sz w:val="24"/>
                <w:szCs w:val="24"/>
                <w:u w:val="none"/>
                <w:lang w:val="en-US" w:eastAsia="zh-CN" w:bidi="ar"/>
              </w:rPr>
              <w:t>食品</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62B995">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食品经营者超过许可的经营项目加工销售植物类冷食类食品（包含线下和入网销售）</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F3F636">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1.初次违法；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2.食品原料来源合法，使用的食品原料和加工的食品不存在食品安全风险；</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3.持续时间较短，或案涉食品货值较小；</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4.及时终止违法行为，或者及时取得变更许可。</w:t>
            </w:r>
          </w:p>
        </w:tc>
        <w:tc>
          <w:tcPr>
            <w:tcW w:w="13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142196">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Style w:val="19"/>
                <w:rFonts w:hint="eastAsia" w:ascii="方正仿宋_GBK" w:hAnsi="方正仿宋_GBK" w:eastAsia="方正仿宋_GBK" w:cs="方正仿宋_GBK"/>
                <w:color w:val="auto"/>
                <w:lang w:val="en-US" w:eastAsia="zh-CN" w:bidi="ar"/>
              </w:rPr>
              <w:t>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b/>
                <w:bCs/>
                <w:i w:val="0"/>
                <w:iCs w:val="0"/>
                <w:color w:val="auto"/>
                <w:kern w:val="0"/>
                <w:sz w:val="24"/>
                <w:szCs w:val="24"/>
                <w:u w:val="none"/>
                <w:lang w:val="en-US" w:eastAsia="zh-CN" w:bidi="ar"/>
              </w:rPr>
              <w:t>《食品安全法》第三十五条第一款</w:t>
            </w:r>
            <w:r>
              <w:rPr>
                <w:rFonts w:hint="eastAsia" w:ascii="方正仿宋_GBK" w:hAnsi="方正仿宋_GBK" w:eastAsia="方正仿宋_GBK" w:cs="方正仿宋_GBK"/>
                <w:i w:val="0"/>
                <w:iCs w:val="0"/>
                <w:color w:val="auto"/>
                <w:kern w:val="0"/>
                <w:sz w:val="24"/>
                <w:szCs w:val="24"/>
                <w:u w:val="none"/>
                <w:lang w:val="en-US" w:eastAsia="zh-CN" w:bidi="ar"/>
              </w:rPr>
              <w:t xml:space="preserve">  国家对食品生产经营实行许可制度。从事食品生产、食品销售、餐饮服务，应当依法取得许可。但是，销售食用农产品和仅销售预包装食品的，不需要取得许可。仅销售预包装食品的，应当报所在地县级以上地方人民政府食品安全监督管理部门备案。</w:t>
            </w:r>
            <w:r>
              <w:rPr>
                <w:rStyle w:val="19"/>
                <w:rFonts w:hint="eastAsia" w:ascii="方正仿宋_GBK" w:hAnsi="方正仿宋_GBK" w:eastAsia="方正仿宋_GBK" w:cs="方正仿宋_GBK"/>
                <w:color w:val="auto"/>
                <w:lang w:val="en-US" w:eastAsia="zh-CN" w:bidi="ar"/>
              </w:rPr>
              <w:br w:type="textWrapping"/>
            </w:r>
            <w:r>
              <w:rPr>
                <w:rFonts w:hint="eastAsia" w:ascii="方正仿宋_GBK" w:hAnsi="方正仿宋_GBK" w:eastAsia="方正仿宋_GBK" w:cs="方正仿宋_GBK"/>
                <w:b/>
                <w:bCs/>
                <w:i w:val="0"/>
                <w:iCs w:val="0"/>
                <w:color w:val="auto"/>
                <w:kern w:val="0"/>
                <w:sz w:val="24"/>
                <w:szCs w:val="24"/>
                <w:u w:val="none"/>
                <w:lang w:val="en-US" w:eastAsia="zh-CN" w:bidi="ar"/>
              </w:rPr>
              <w:t xml:space="preserve">《网络食品安全违法行为查处办法》第十六条 </w:t>
            </w:r>
            <w:r>
              <w:rPr>
                <w:rFonts w:hint="eastAsia" w:ascii="方正仿宋_GBK" w:hAnsi="方正仿宋_GBK" w:eastAsia="方正仿宋_GBK" w:cs="方正仿宋_GBK"/>
                <w:i w:val="0"/>
                <w:iCs w:val="0"/>
                <w:color w:val="auto"/>
                <w:kern w:val="0"/>
                <w:sz w:val="24"/>
                <w:szCs w:val="24"/>
                <w:u w:val="none"/>
                <w:lang w:val="en-US" w:eastAsia="zh-CN" w:bidi="ar"/>
              </w:rPr>
              <w:t xml:space="preserve"> 入网食品生产经营者应当依法取得许可，入网食品生产者应当按照许可的类别范围销售食品，入网食品经营者应当按照许可的经营项目范围从事食品经营。法律、法规规定不需要取得食品生产经营许可的除外。</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   取得食品生产许可的食品生产者，通过网络销售其生产的食品，不需要取得食品经营许可。取得食品经营许可的食品经营者通过网络销售其制作加工的食品，不需要取得食品生产许可。</w:t>
            </w:r>
            <w:r>
              <w:rPr>
                <w:rStyle w:val="19"/>
                <w:rFonts w:hint="eastAsia" w:ascii="方正仿宋_GBK" w:hAnsi="方正仿宋_GBK" w:eastAsia="方正仿宋_GBK" w:cs="方正仿宋_GBK"/>
                <w:color w:val="auto"/>
                <w:lang w:val="en-US" w:eastAsia="zh-CN" w:bidi="ar"/>
              </w:rPr>
              <w:br w:type="textWrapping"/>
            </w:r>
            <w:r>
              <w:rPr>
                <w:rFonts w:hint="eastAsia" w:ascii="方正仿宋_GBK" w:hAnsi="方正仿宋_GBK" w:eastAsia="方正仿宋_GBK" w:cs="方正仿宋_GBK"/>
                <w:b/>
                <w:bCs/>
                <w:i w:val="0"/>
                <w:iCs w:val="0"/>
                <w:color w:val="auto"/>
                <w:kern w:val="0"/>
                <w:sz w:val="24"/>
                <w:szCs w:val="24"/>
                <w:u w:val="none"/>
                <w:lang w:val="en-US" w:eastAsia="zh-CN" w:bidi="ar"/>
              </w:rPr>
              <w:t>《食品经营许可和备案管理办法》第二十九条</w:t>
            </w:r>
            <w:r>
              <w:rPr>
                <w:rFonts w:hint="eastAsia" w:ascii="方正仿宋_GBK" w:hAnsi="方正仿宋_GBK" w:eastAsia="方正仿宋_GBK" w:cs="方正仿宋_GBK"/>
                <w:i w:val="0"/>
                <w:iCs w:val="0"/>
                <w:color w:val="auto"/>
                <w:kern w:val="0"/>
                <w:sz w:val="24"/>
                <w:szCs w:val="24"/>
                <w:u w:val="none"/>
                <w:lang w:val="en-US" w:eastAsia="zh-CN" w:bidi="ar"/>
              </w:rPr>
              <w:t xml:space="preserve">  食品经营许可证载明的事项发生变化的，食品经营者应当在变化后十个工作日内向原发证的市场监督管理部门申请变更食品经营许可。食品经营者地址迁移，不在原许可经营场所从事食品经营活动的，应当重新申请食品经营许可。</w:t>
            </w:r>
          </w:p>
        </w:tc>
        <w:tc>
          <w:tcPr>
            <w:tcW w:w="17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55EC9E">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《食品安全法》第一百二十二条第一款 </w:t>
            </w:r>
            <w:r>
              <w:rPr>
                <w:rFonts w:hint="eastAsia" w:ascii="方正仿宋_GBK" w:hAnsi="方正仿宋_GBK" w:eastAsia="方正仿宋_GBK" w:cs="方正仿宋_GBK"/>
                <w:i w:val="0"/>
                <w:iCs w:val="0"/>
                <w:color w:val="auto"/>
                <w:kern w:val="0"/>
                <w:sz w:val="24"/>
                <w:szCs w:val="24"/>
                <w:u w:val="none"/>
                <w:lang w:val="en-US" w:eastAsia="zh-CN" w:bidi="ar"/>
              </w:rPr>
              <w:t xml:space="preserve"> 违反本法规定，未取得食品生产经营许可从事食品生产经营活动，或者未取得食品添加剂生产许可从事食品添加剂生产活动的，由县级以上人民政府食品药品监督管理部门没收违法所得和违法生产经营的食品、食品添加剂以及用于违法生产经营的工具、设备、原料等物品；违法生产经营的食品、食品添加剂货值金额不足一万元的，并处五万元以上十万元以下罚款；货值金额一万元以上的，并处货值金额十倍以上二十倍以下罚款。</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b/>
                <w:bCs/>
                <w:i w:val="0"/>
                <w:iCs w:val="0"/>
                <w:color w:val="auto"/>
                <w:kern w:val="0"/>
                <w:sz w:val="24"/>
                <w:szCs w:val="24"/>
                <w:u w:val="none"/>
                <w:lang w:val="en-US" w:eastAsia="zh-CN" w:bidi="ar"/>
              </w:rPr>
              <w:t>《网络食品安全违法行为查处办法》第三十八条</w:t>
            </w:r>
            <w:r>
              <w:rPr>
                <w:rFonts w:hint="eastAsia" w:ascii="方正仿宋_GBK" w:hAnsi="方正仿宋_GBK" w:eastAsia="方正仿宋_GBK" w:cs="方正仿宋_GBK"/>
                <w:i w:val="0"/>
                <w:iCs w:val="0"/>
                <w:color w:val="auto"/>
                <w:kern w:val="0"/>
                <w:sz w:val="24"/>
                <w:szCs w:val="24"/>
                <w:u w:val="none"/>
                <w:lang w:val="en-US" w:eastAsia="zh-CN" w:bidi="ar"/>
              </w:rPr>
              <w:t xml:space="preserve">  违反本办法第十六条规定，入网食品生产经营者未依法取得食品生产经营许可的，或者入网食品生产者超过许可的类别范围销售食品、入网食品经营者超过许可的经营项目范围从事食品经营的，依照食品安全法第一百二十二条的规定处罚。</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b/>
                <w:bCs/>
                <w:i w:val="0"/>
                <w:iCs w:val="0"/>
                <w:color w:val="auto"/>
                <w:kern w:val="0"/>
                <w:sz w:val="24"/>
                <w:szCs w:val="24"/>
                <w:u w:val="none"/>
                <w:lang w:val="en-US" w:eastAsia="zh-CN" w:bidi="ar"/>
              </w:rPr>
              <w:t>《食品经营许可和备案管理办法》第五十二条第三款</w:t>
            </w:r>
            <w:r>
              <w:rPr>
                <w:rFonts w:hint="eastAsia" w:ascii="方正仿宋_GBK" w:hAnsi="方正仿宋_GBK" w:eastAsia="方正仿宋_GBK" w:cs="方正仿宋_GBK"/>
                <w:i w:val="0"/>
                <w:iCs w:val="0"/>
                <w:color w:val="auto"/>
                <w:kern w:val="0"/>
                <w:sz w:val="24"/>
                <w:szCs w:val="24"/>
                <w:u w:val="none"/>
                <w:lang w:val="en-US" w:eastAsia="zh-CN" w:bidi="ar"/>
              </w:rPr>
              <w:t xml:space="preserve">  食品经营许可证载明的主体业态、经营项目等许可事项发生变化，食品经营者未按照规定申请变更的，由县级以上地方市场监督管理部门依照《中华人民共和国食品安全法》第一百二十二条的规定给予处罚。但是，有下列情形之一，依照《中华人民共和国行政处罚法》第三十二条、第三十三条的规定从轻、减轻或者不予行政处罚：</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（一）主体业态、经营项目发生变化，但食品安全风险等级未升高的；</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（二）增加经营项目类型，但增加的经营项目所需的经营条件被已经取得许可的经营项目涵盖的；</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（三）违法行为轻微，未对消费者人身健康和生命安全等造成危害后果的；</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（四）法律、法规、规章规定的其他情形。 </w:t>
            </w:r>
          </w:p>
        </w:tc>
      </w:tr>
      <w:tr w14:paraId="0DA877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15" w:hRule="atLeast"/>
        </w:trPr>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6BE0EB">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39</w:t>
            </w:r>
          </w:p>
        </w:tc>
        <w:tc>
          <w:tcPr>
            <w:tcW w:w="2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B5349E">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81455F">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销售污染物质以及其他危害人体健康的物质含量超过食品安全标准限量的食品农产品</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E699A5">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符合《食品安全法》第一百三十六条规定，或同时具备以下条件：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1.初次违法；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2.货值金额较小；</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3.非销售环节造成；</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4.未造成食源性疾病或者食品安全事故；</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5.及时停止销售并销毁不合格食用农产品；</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6.依法实施召回。</w:t>
            </w:r>
          </w:p>
        </w:tc>
        <w:tc>
          <w:tcPr>
            <w:tcW w:w="13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67398C">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《食品安全法》第三十四条第二项 </w:t>
            </w:r>
            <w:r>
              <w:rPr>
                <w:rFonts w:hint="eastAsia" w:ascii="方正仿宋_GBK" w:hAnsi="方正仿宋_GBK" w:eastAsia="方正仿宋_GBK" w:cs="方正仿宋_GBK"/>
                <w:i w:val="0"/>
                <w:iCs w:val="0"/>
                <w:color w:val="auto"/>
                <w:kern w:val="0"/>
                <w:sz w:val="24"/>
                <w:szCs w:val="24"/>
                <w:u w:val="none"/>
                <w:lang w:val="en-US" w:eastAsia="zh-CN" w:bidi="ar"/>
              </w:rPr>
              <w:t xml:space="preserve"> 禁止生产经营下列食品、食品添加剂、食品相关产品：(二)致病性微生物，农药残留、兽药残留、生物毒素、重金属等污染物质以及其他危害人体健康的物质含量超过食品安全标准限量的食品、食品添加剂、食品相关产品。</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b/>
                <w:bCs/>
                <w:i w:val="0"/>
                <w:iCs w:val="0"/>
                <w:color w:val="auto"/>
                <w:kern w:val="0"/>
                <w:sz w:val="24"/>
                <w:szCs w:val="24"/>
                <w:u w:val="none"/>
                <w:lang w:val="en-US" w:eastAsia="zh-CN" w:bidi="ar"/>
              </w:rPr>
              <w:t>《食用农产品市场销售质量安全监督管理办法》第十五条第一款</w:t>
            </w:r>
            <w:r>
              <w:rPr>
                <w:rFonts w:hint="eastAsia" w:ascii="方正仿宋_GBK" w:hAnsi="方正仿宋_GBK" w:eastAsia="方正仿宋_GBK" w:cs="方正仿宋_GBK"/>
                <w:i w:val="0"/>
                <w:iCs w:val="0"/>
                <w:color w:val="auto"/>
                <w:kern w:val="0"/>
                <w:sz w:val="24"/>
                <w:szCs w:val="24"/>
                <w:u w:val="none"/>
                <w:lang w:val="en-US" w:eastAsia="zh-CN" w:bidi="ar"/>
              </w:rPr>
              <w:t xml:space="preserve">  禁止销售者采购、销售食品安全法第三十四条规定情形的食用农产品。</w:t>
            </w:r>
          </w:p>
        </w:tc>
        <w:tc>
          <w:tcPr>
            <w:tcW w:w="17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7779D6">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 xml:space="preserve">   </w:t>
            </w:r>
            <w:r>
              <w:rPr>
                <w:rFonts w:hint="eastAsia" w:ascii="方正仿宋_GBK" w:hAnsi="方正仿宋_GBK" w:eastAsia="方正仿宋_GBK" w:cs="方正仿宋_GBK"/>
                <w:b/>
                <w:bCs/>
                <w:i w:val="0"/>
                <w:iCs w:val="0"/>
                <w:color w:val="auto"/>
                <w:kern w:val="0"/>
                <w:sz w:val="24"/>
                <w:szCs w:val="24"/>
                <w:u w:val="none"/>
                <w:lang w:val="en-US" w:eastAsia="zh-CN" w:bidi="ar"/>
              </w:rPr>
              <w:t xml:space="preserve"> 《食品安全法》第一百二十四条第一款第一项</w:t>
            </w:r>
            <w:r>
              <w:rPr>
                <w:rFonts w:hint="eastAsia" w:ascii="方正仿宋_GBK" w:hAnsi="方正仿宋_GBK" w:eastAsia="方正仿宋_GBK" w:cs="方正仿宋_GBK"/>
                <w:i w:val="0"/>
                <w:iCs w:val="0"/>
                <w:color w:val="auto"/>
                <w:kern w:val="0"/>
                <w:sz w:val="24"/>
                <w:szCs w:val="24"/>
                <w:u w:val="none"/>
                <w:lang w:val="en-US" w:eastAsia="zh-CN" w:bidi="ar"/>
              </w:rPr>
              <w:t xml:space="preserve">  违反本法规定，有下列情形之一，尚不构成犯罪的，没收违法所得和违法生产经营的食品、食品添加剂，并可以没收用于违法生产经营的工具、设备、原料等物品;违法生产经营的食品、食品添加剂货值金额不足一万元的，并处五万元以上十万元以下罚款:货值金额一万元以上的，并处货值金额十倍以上二十倍以下罚款;情节严重的，吊销许可证:(一)生产经营致病性微生物，农药残留、兽药残留、生物毒素、重金属等污染物质以及其他危害人体健康的物质含量超过食品安全标准限量的食品、食品添加剂；</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b/>
                <w:bCs/>
                <w:i w:val="0"/>
                <w:iCs w:val="0"/>
                <w:color w:val="auto"/>
                <w:kern w:val="0"/>
                <w:sz w:val="24"/>
                <w:szCs w:val="24"/>
                <w:u w:val="none"/>
                <w:lang w:val="en-US" w:eastAsia="zh-CN" w:bidi="ar"/>
              </w:rPr>
              <w:t>《食用农产品市场销售质量安全监督管理办法》第四十二条</w:t>
            </w:r>
            <w:r>
              <w:rPr>
                <w:rFonts w:hint="eastAsia" w:ascii="方正仿宋_GBK" w:hAnsi="方正仿宋_GBK" w:eastAsia="方正仿宋_GBK" w:cs="方正仿宋_GBK"/>
                <w:i w:val="0"/>
                <w:iCs w:val="0"/>
                <w:color w:val="auto"/>
                <w:kern w:val="0"/>
                <w:sz w:val="24"/>
                <w:szCs w:val="24"/>
                <w:u w:val="none"/>
                <w:lang w:val="en-US" w:eastAsia="zh-CN" w:bidi="ar"/>
              </w:rPr>
              <w:t xml:space="preserve">  销售者违反本办法第十五条规定，采购、销售食品安全法第三十四条规定情形的食用农产品的，由县级以上市场监督管理部门依照食品安全法有关规定给予处罚。</w:t>
            </w:r>
          </w:p>
        </w:tc>
      </w:tr>
      <w:tr w14:paraId="412E1C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0" w:hRule="atLeast"/>
        </w:trPr>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B64041">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40</w:t>
            </w:r>
          </w:p>
        </w:tc>
        <w:tc>
          <w:tcPr>
            <w:tcW w:w="2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4130A2">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A04487">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餐饮业经营者经营添加未列入药食同源目录的中药材的食品</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2D8A50">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2.中药材添加量较小；</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3.有食用该中药材的传统习惯；</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4.案涉食品货值金额较小；</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5.未造成人身损害；</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6.及时改正。</w:t>
            </w:r>
          </w:p>
        </w:tc>
        <w:tc>
          <w:tcPr>
            <w:tcW w:w="13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3FF854">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《中华人民共和国食品安全法》第三十八条</w:t>
            </w:r>
            <w:r>
              <w:rPr>
                <w:rFonts w:hint="eastAsia" w:ascii="方正仿宋_GBK" w:hAnsi="方正仿宋_GBK" w:eastAsia="方正仿宋_GBK" w:cs="方正仿宋_GBK"/>
                <w:i w:val="0"/>
                <w:iCs w:val="0"/>
                <w:color w:val="auto"/>
                <w:kern w:val="0"/>
                <w:sz w:val="24"/>
                <w:szCs w:val="24"/>
                <w:u w:val="none"/>
                <w:lang w:val="en-US" w:eastAsia="zh-CN" w:bidi="ar"/>
              </w:rPr>
              <w:t xml:space="preserve"> 生产经营的食品中不得添加药品，但是可以添加按照传统既是食品又是中药材的物质。按照传统既是食品又是中药材的物质目录由国务院卫生行政部门会同国务院食品药品监督管理部门制定、公布。</w:t>
            </w:r>
          </w:p>
        </w:tc>
        <w:tc>
          <w:tcPr>
            <w:tcW w:w="17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694920">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《中华人民共和国食品安全法》第一百二十三条第一款第六项 </w:t>
            </w:r>
            <w:r>
              <w:rPr>
                <w:rFonts w:hint="eastAsia" w:ascii="方正仿宋_GBK" w:hAnsi="方正仿宋_GBK" w:eastAsia="方正仿宋_GBK" w:cs="方正仿宋_GBK"/>
                <w:i w:val="0"/>
                <w:iCs w:val="0"/>
                <w:color w:val="auto"/>
                <w:kern w:val="0"/>
                <w:sz w:val="24"/>
                <w:szCs w:val="24"/>
                <w:u w:val="none"/>
                <w:lang w:val="en-US" w:eastAsia="zh-CN" w:bidi="ar"/>
              </w:rPr>
              <w:t>违反本法规定，有下列情形之一，尚不构成犯罪的，由县级以上人民政府食品安全监督管理部门没收违法所得和违法生产经营的食品，并可以没收用于违法生产经营的工具、设备、原料等物品；违法生产经营的食品货值金额不足一万元的，并处十万元以上十五万元以下罚款；货值金额一万元以上的，并处货值金额十五倍以上三十倍以下罚款；情节严重的，吊销许可证，并可以由公安机关对其直接负责的主管人员和其他直接责任人员处五日以上十五日以下拘留： (六)生产经营添加药品的食品。</w:t>
            </w:r>
          </w:p>
        </w:tc>
      </w:tr>
      <w:tr w14:paraId="6128D0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75" w:hRule="atLeast"/>
        </w:trPr>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DC14C7">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41</w:t>
            </w:r>
          </w:p>
        </w:tc>
        <w:tc>
          <w:tcPr>
            <w:tcW w:w="2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A283D5">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B9E1B4">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食品经营者、从事食品贮存、运输和装卸的，未按要求进行食品贮存、运输和装卸</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8A6E4B">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2.未与有毒、有害物品一同贮存、运输；</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3.不影响食品安全；</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4.及时改正。</w:t>
            </w:r>
          </w:p>
        </w:tc>
        <w:tc>
          <w:tcPr>
            <w:tcW w:w="13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2E0F8A">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《中华人民共和国食品安全法》第三十三条第一款第六项  </w:t>
            </w:r>
            <w:r>
              <w:rPr>
                <w:rFonts w:hint="eastAsia" w:ascii="方正仿宋_GBK" w:hAnsi="方正仿宋_GBK" w:eastAsia="方正仿宋_GBK" w:cs="方正仿宋_GBK"/>
                <w:i w:val="0"/>
                <w:iCs w:val="0"/>
                <w:color w:val="auto"/>
                <w:kern w:val="0"/>
                <w:sz w:val="24"/>
                <w:szCs w:val="24"/>
                <w:u w:val="none"/>
                <w:lang w:val="en-US" w:eastAsia="zh-CN" w:bidi="ar"/>
              </w:rPr>
              <w:t>食品生产经营应当符合食品安全标准，并符合下列要求：（六）贮存、运输和装卸食品的容器、工具和设备应当安全、无害，保持清洁，防止食品污染，并符合保证食品安全所需的温度、湿度等特殊要求，不得将食品与有毒、有害物品一同贮存、运输；</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    非食品生产经营者从事食品贮存、运输和装卸的，应当符合前款第六项的规定。</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b/>
                <w:bCs/>
                <w:i w:val="0"/>
                <w:iCs w:val="0"/>
                <w:color w:val="auto"/>
                <w:kern w:val="0"/>
                <w:sz w:val="24"/>
                <w:szCs w:val="24"/>
                <w:u w:val="none"/>
                <w:lang w:val="en-US" w:eastAsia="zh-CN" w:bidi="ar"/>
              </w:rPr>
              <w:t>第五十四条</w:t>
            </w:r>
            <w:r>
              <w:rPr>
                <w:rFonts w:hint="eastAsia" w:ascii="方正仿宋_GBK" w:hAnsi="方正仿宋_GBK" w:eastAsia="方正仿宋_GBK" w:cs="方正仿宋_GBK"/>
                <w:i w:val="0"/>
                <w:iCs w:val="0"/>
                <w:color w:val="auto"/>
                <w:kern w:val="0"/>
                <w:sz w:val="24"/>
                <w:szCs w:val="24"/>
                <w:u w:val="none"/>
                <w:lang w:val="en-US" w:eastAsia="zh-CN" w:bidi="ar"/>
              </w:rPr>
              <w:t xml:space="preserve">  食品经营者应当按照保证食品安全的要求贮存食品，定期检查库存食品，及时清理变质或者超过保质期的食品。食品经营者贮存散装食品，应当在贮存位置标明食品的名称、生产日期或者生产批号、保质期、生产者名称及联系方式等内容。</w:t>
            </w:r>
          </w:p>
        </w:tc>
        <w:tc>
          <w:tcPr>
            <w:tcW w:w="17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8284BB">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《中华人民共和国食品安全法》第一百三十二条</w:t>
            </w:r>
            <w:r>
              <w:rPr>
                <w:rFonts w:hint="eastAsia" w:ascii="方正仿宋_GBK" w:hAnsi="方正仿宋_GBK" w:eastAsia="方正仿宋_GBK" w:cs="方正仿宋_GBK"/>
                <w:i w:val="0"/>
                <w:iCs w:val="0"/>
                <w:color w:val="auto"/>
                <w:kern w:val="0"/>
                <w:sz w:val="24"/>
                <w:szCs w:val="24"/>
                <w:u w:val="none"/>
                <w:lang w:val="en-US" w:eastAsia="zh-CN" w:bidi="ar"/>
              </w:rPr>
              <w:t xml:space="preserve">  违反本法规定，未按要求进行食品贮存、运输和装卸的， 由县级以上人民政府食品安全监督管理等部门按照各自职责分工责令改正，给予警告；拒不改正的，责令停产停业，并处一万元以上五万元以下罚款；情节严重的， 吊销许可证。</w:t>
            </w:r>
          </w:p>
        </w:tc>
      </w:tr>
      <w:tr w14:paraId="24469A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85" w:hRule="atLeast"/>
        </w:trPr>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8EEB8D">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42</w:t>
            </w:r>
          </w:p>
        </w:tc>
        <w:tc>
          <w:tcPr>
            <w:tcW w:w="2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D46CF0E">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黑体_GBK" w:hAnsi="方正黑体_GBK" w:eastAsia="方正黑体_GBK" w:cs="方正黑体_GBK"/>
                <w:i w:val="0"/>
                <w:iCs w:val="0"/>
                <w:color w:val="auto"/>
                <w:sz w:val="24"/>
                <w:szCs w:val="24"/>
                <w:u w:val="none"/>
              </w:rPr>
            </w:pPr>
            <w:r>
              <w:rPr>
                <w:rFonts w:hint="eastAsia" w:ascii="方正黑体_GBK" w:hAnsi="方正黑体_GBK" w:eastAsia="方正黑体_GBK" w:cs="方正黑体_GBK"/>
                <w:i w:val="0"/>
                <w:iCs w:val="0"/>
                <w:color w:val="auto"/>
                <w:kern w:val="0"/>
                <w:sz w:val="24"/>
                <w:szCs w:val="24"/>
                <w:u w:val="none"/>
                <w:lang w:val="en-US" w:eastAsia="zh-CN" w:bidi="ar"/>
              </w:rPr>
              <w:t>药品、化妆品、医疗器械</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ACF267">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销售不符合药品标准的中药饮片</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31DCFF">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同时具备以下条件，给予警告，不予罚款：</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2.不影响安全性、有效性；</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3.货值金额较小或者持续时间较短；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4.及时改正。</w:t>
            </w:r>
          </w:p>
        </w:tc>
        <w:tc>
          <w:tcPr>
            <w:tcW w:w="13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716994">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《药品管理法》第二十八条第一款 </w:t>
            </w:r>
            <w:r>
              <w:rPr>
                <w:rFonts w:hint="eastAsia" w:ascii="方正仿宋_GBK" w:hAnsi="方正仿宋_GBK" w:eastAsia="方正仿宋_GBK" w:cs="方正仿宋_GBK"/>
                <w:i w:val="0"/>
                <w:iCs w:val="0"/>
                <w:color w:val="auto"/>
                <w:kern w:val="0"/>
                <w:sz w:val="24"/>
                <w:szCs w:val="24"/>
                <w:u w:val="none"/>
                <w:lang w:val="en-US" w:eastAsia="zh-CN" w:bidi="ar"/>
              </w:rPr>
              <w:t xml:space="preserve"> 药品应当符合国家药品标准。经国务院药品监督管理部门核准的药品质量标准高于国家药品标准的，按照经核准的药品质量标准执行；没有国家药品标准的，应当符合经核准的药品质量标准。</w:t>
            </w:r>
          </w:p>
        </w:tc>
        <w:tc>
          <w:tcPr>
            <w:tcW w:w="17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B92528">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《药品管理法》第一百一十七条第二款 </w:t>
            </w:r>
            <w:r>
              <w:rPr>
                <w:rFonts w:hint="eastAsia" w:ascii="方正仿宋_GBK" w:hAnsi="方正仿宋_GBK" w:eastAsia="方正仿宋_GBK" w:cs="方正仿宋_GBK"/>
                <w:i w:val="0"/>
                <w:iCs w:val="0"/>
                <w:color w:val="auto"/>
                <w:kern w:val="0"/>
                <w:sz w:val="24"/>
                <w:szCs w:val="24"/>
                <w:u w:val="none"/>
                <w:lang w:val="en-US" w:eastAsia="zh-CN" w:bidi="ar"/>
              </w:rPr>
              <w:t>生产、销售的中药饮片不符合药品标准，尚不影响安全性、有效性的，责令限期改正，给予警告；可以处十万元以上五十万元以下的罚款。</w:t>
            </w:r>
          </w:p>
        </w:tc>
      </w:tr>
      <w:tr w14:paraId="0E6B35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523CB8">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43</w:t>
            </w:r>
          </w:p>
        </w:tc>
        <w:tc>
          <w:tcPr>
            <w:tcW w:w="2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CD39CD">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634732">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化妆品经营者未按规定建立并执行进货查验制度和产品销售记录制度</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B1CE2A">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同时具备以下条件的，给予警告，不予罚款：</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2.经营的化妆品为合格的普通用途化妆品；               3.相关进货票据齐全，供货商资料齐全；                4.及时改正并能及时整改建立相关制度并执行。</w:t>
            </w:r>
          </w:p>
        </w:tc>
        <w:tc>
          <w:tcPr>
            <w:tcW w:w="13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653257">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《化妆品监督管理条例》第三十八条第一款</w:t>
            </w:r>
            <w:r>
              <w:rPr>
                <w:rFonts w:hint="eastAsia" w:ascii="方正仿宋_GBK" w:hAnsi="方正仿宋_GBK" w:eastAsia="方正仿宋_GBK" w:cs="方正仿宋_GBK"/>
                <w:i w:val="0"/>
                <w:iCs w:val="0"/>
                <w:color w:val="auto"/>
                <w:kern w:val="0"/>
                <w:sz w:val="24"/>
                <w:szCs w:val="24"/>
                <w:u w:val="none"/>
                <w:lang w:val="en-US" w:eastAsia="zh-CN" w:bidi="ar"/>
              </w:rPr>
              <w:t xml:space="preserve">  化妆品经营者应当建立并执行进货查验记录制度，查验供货者的市场主体登记证明、化妆品注册或者备案情况、产品出厂检验合格证明，如实记录并保存相关凭证。记录和凭证保存期限应当符合本条例第三十一条第一款的规定。</w:t>
            </w:r>
          </w:p>
        </w:tc>
        <w:tc>
          <w:tcPr>
            <w:tcW w:w="17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1940D4">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《化妆品监督管理条例》第六十二条第一款第二项</w:t>
            </w:r>
            <w:r>
              <w:rPr>
                <w:rFonts w:hint="eastAsia" w:ascii="方正仿宋_GBK" w:hAnsi="方正仿宋_GBK" w:eastAsia="方正仿宋_GBK" w:cs="方正仿宋_GBK"/>
                <w:i w:val="0"/>
                <w:iCs w:val="0"/>
                <w:color w:val="auto"/>
                <w:kern w:val="0"/>
                <w:sz w:val="24"/>
                <w:szCs w:val="24"/>
                <w:u w:val="none"/>
                <w:lang w:val="en-US" w:eastAsia="zh-CN" w:bidi="ar"/>
              </w:rPr>
              <w:t xml:space="preserve">  有下列情形之一的，由负责药品监督管理的部门责令改正，给予警告，并处1万元以上3万元以下罚款；情节严重的，责令停产停业，并处3万元以上5万元以下罚款，对违法单位的法定代表人或者主要负责人、直接负责的主管人员和其他直接责任人员处1万元以上3万元以下罚款：（二）未依照本条例规定建立并执行进货查验记录制度、产品销售记录制度；</w:t>
            </w:r>
          </w:p>
        </w:tc>
      </w:tr>
      <w:tr w14:paraId="3A4FC7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C0FB20">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44</w:t>
            </w:r>
          </w:p>
        </w:tc>
        <w:tc>
          <w:tcPr>
            <w:tcW w:w="2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D3DE82">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7054E1">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未经批准进口少量境外已合法上市的药品</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38D9EF">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2.进口药品货值金额较小；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3.及时改正；</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4.用于治疗重大疾病，且国内没有替代药品；</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5.药品可溯源，系国外已合法上市药品。</w:t>
            </w:r>
          </w:p>
        </w:tc>
        <w:tc>
          <w:tcPr>
            <w:tcW w:w="13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5ABBB2">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《药品管理法》第九十八条第三款 禁止未取得药品批准证明文件生产、进口药品；禁止使用未按照规定审评、审批的原料药、包装材料和容器生产药品。</w:t>
            </w:r>
          </w:p>
        </w:tc>
        <w:tc>
          <w:tcPr>
            <w:tcW w:w="17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C10430">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《药品管理法》第一百二十四条</w:t>
            </w:r>
            <w:r>
              <w:rPr>
                <w:rFonts w:hint="eastAsia" w:ascii="方正仿宋_GBK" w:hAnsi="方正仿宋_GBK" w:eastAsia="方正仿宋_GBK" w:cs="方正仿宋_GBK"/>
                <w:i w:val="0"/>
                <w:iCs w:val="0"/>
                <w:color w:val="auto"/>
                <w:kern w:val="0"/>
                <w:sz w:val="24"/>
                <w:szCs w:val="24"/>
                <w:u w:val="none"/>
                <w:lang w:val="en-US" w:eastAsia="zh-CN" w:bidi="ar"/>
              </w:rPr>
              <w:t>　违反本法规定，有下列行为之一的，没收违法生产、进口、销售的药品和违法所得以及专门用于违法生产的原料、辅料、包装材料和生产设备，责令停产停业整顿，并处违法生产、进口、销售的药品货值金额十五倍以上三十倍以下的罚款；货值金额不足十万元的，按十万元计算；情节严重的，吊销药品批准证明文件直至吊销药品生产许可证、药品经营许可证或者医疗机构制剂许可证，对法定代表人、主要负责人、直接负责的主管人员和其他责任人员，没收违法行为发生期间自本单位所获收入，并处所获收入百分之三十以上三倍以下的罚款，十年直至终身禁止从事药品生产经营活动，并可以由公安机关处五日以上十五日以下的拘留：（一）未取得药品批准证明文件生产、进口药品；（二）使用采取欺骗手段取得的药品批准证明文件生产、进口药品；（三）使用未经审评审批的原料药生产药品；（四）应当检验而未经检验即销售药品；（五）生产、销售国务院药品监督管理部门禁止使用的药品；（六）编造生产、检验记录；（七）未经批准在药品生产过程中进行重大变更。</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销售前款第一项至第三项规定的药品，或者药品使用单位使用前款第一项至第五项规定的药品的，依照前款规定处罚；情节严重的，药品使用单位的法定代表人、主要负责人、直接负责的主管人员和其他责任人员有医疗卫生人员执业证书的，还应当吊销执业证书。</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未经批准进口少量境外已合法上市的药品，情节较轻的，可以依法减轻或者免予处罚。</w:t>
            </w:r>
          </w:p>
        </w:tc>
      </w:tr>
      <w:tr w14:paraId="42093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5" w:hRule="atLeast"/>
        </w:trPr>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C44012">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45</w:t>
            </w:r>
          </w:p>
        </w:tc>
        <w:tc>
          <w:tcPr>
            <w:tcW w:w="2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78A675">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D304A5">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经营、使用未取得医疗器械注册证的第二类、第三类医疗器械</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EC2342">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同时具备以下条件的，收缴其经营、使用的不符合法定要求的医疗器械，不予罚款：</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2.已履行进货查验等义务；</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3.有充分证据证明不知道所经营、使用的医疗器械不符合法定要求；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4.能如实说明其进货来源。</w:t>
            </w:r>
          </w:p>
        </w:tc>
        <w:tc>
          <w:tcPr>
            <w:tcW w:w="13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E47338">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《医疗器械监督管理条例》第十三条第一款</w:t>
            </w:r>
            <w:r>
              <w:rPr>
                <w:rFonts w:hint="eastAsia" w:ascii="方正仿宋_GBK" w:hAnsi="方正仿宋_GBK" w:eastAsia="方正仿宋_GBK" w:cs="方正仿宋_GBK"/>
                <w:i w:val="0"/>
                <w:iCs w:val="0"/>
                <w:color w:val="auto"/>
                <w:kern w:val="0"/>
                <w:sz w:val="24"/>
                <w:szCs w:val="24"/>
                <w:u w:val="none"/>
                <w:lang w:val="en-US" w:eastAsia="zh-CN" w:bidi="ar"/>
              </w:rPr>
              <w:t xml:space="preserve"> 　第一类医疗器械实行产品备案管理，第二类、第三类医疗器械实行产品注册管理。</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b/>
                <w:bCs/>
                <w:i w:val="0"/>
                <w:iCs w:val="0"/>
                <w:color w:val="auto"/>
                <w:kern w:val="0"/>
                <w:sz w:val="24"/>
                <w:szCs w:val="24"/>
                <w:u w:val="none"/>
                <w:lang w:val="en-US" w:eastAsia="zh-CN" w:bidi="ar"/>
              </w:rPr>
              <w:t>第五十五条</w:t>
            </w:r>
            <w:r>
              <w:rPr>
                <w:rFonts w:hint="eastAsia" w:ascii="方正仿宋_GBK" w:hAnsi="方正仿宋_GBK" w:eastAsia="方正仿宋_GBK" w:cs="方正仿宋_GBK"/>
                <w:i w:val="0"/>
                <w:iCs w:val="0"/>
                <w:color w:val="auto"/>
                <w:kern w:val="0"/>
                <w:sz w:val="24"/>
                <w:szCs w:val="24"/>
                <w:u w:val="none"/>
                <w:lang w:val="en-US" w:eastAsia="zh-CN" w:bidi="ar"/>
              </w:rPr>
              <w:t>　医疗器械经营企业、使用单位不得经营、使用未依法注册或者备案、无合格证明文件以及过期、失效、淘汰的医疗器械。</w:t>
            </w:r>
          </w:p>
        </w:tc>
        <w:tc>
          <w:tcPr>
            <w:tcW w:w="17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928379">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《医疗器械监督管理条例》第八十一条第一款第一项</w:t>
            </w:r>
            <w:r>
              <w:rPr>
                <w:rFonts w:hint="eastAsia" w:ascii="方正仿宋_GBK" w:hAnsi="方正仿宋_GBK" w:eastAsia="方正仿宋_GBK" w:cs="方正仿宋_GBK"/>
                <w:i w:val="0"/>
                <w:iCs w:val="0"/>
                <w:color w:val="auto"/>
                <w:kern w:val="0"/>
                <w:sz w:val="24"/>
                <w:szCs w:val="24"/>
                <w:u w:val="none"/>
                <w:lang w:val="en-US" w:eastAsia="zh-CN" w:bidi="ar"/>
              </w:rPr>
              <w:t>　有下列情形之一的，由负责药品监督管理的部门没收违法所得、违法生产经营的医疗器械和用于违法生产经营的工具、设备、原材料等物品；违法生产经营的医疗器械货值金额不足1万元的，并处5万元以上15万元以下罚款；货值金额1万元以上的，并处货值金额15倍以上30倍以下罚款；情节严重的，责令停产停业，10年内不受理相关责任人以及单位提出的医疗器械许可申请，对违法单位的法定代表人、主要负责人、直接负责的主管人员和其他责任人员，没收违法行为发生期间自本单位所获收入，并处所获收入30%以上3倍以下罚款，终身禁止其从事医疗器械生产经营活动：（一）生产、经营未取得医疗器械注册证的第二类、第三类医疗器械；</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第八十七条　医疗器械经营企业、使用单位履行了本条例规定的进货查验等义务，有充分证据证明其不知道所经营、使用的医疗器械为本条例第八十一条第一款第一项、第八十四条第一项、第八十六条第一项和第三项规定情形的医疗器械，并能如实说明其进货来源的，收缴其经营、使用的不符合法定要求的医疗器械，可以免除行政处罚。</w:t>
            </w:r>
          </w:p>
        </w:tc>
      </w:tr>
      <w:tr w14:paraId="543884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45" w:hRule="atLeast"/>
        </w:trPr>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461934">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46</w:t>
            </w:r>
          </w:p>
        </w:tc>
        <w:tc>
          <w:tcPr>
            <w:tcW w:w="2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0E888F">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63AF8F">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经营、使用未经备案的第一类医疗器械</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70E483">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同时具备以下条件的，收缴其经营、使用的不符合法定要求的医疗器械，不予罚款：</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2.已履行进货查验等义务；</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3.有充分证据证明不知道所经营、使用的医疗器械不符合法定要求；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4.能如实说明其进货来源。</w:t>
            </w:r>
          </w:p>
        </w:tc>
        <w:tc>
          <w:tcPr>
            <w:tcW w:w="13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0A4C3F">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《医疗器械监督管理条例》第十三条第一款 </w:t>
            </w:r>
            <w:r>
              <w:rPr>
                <w:rFonts w:hint="eastAsia" w:ascii="方正仿宋_GBK" w:hAnsi="方正仿宋_GBK" w:eastAsia="方正仿宋_GBK" w:cs="方正仿宋_GBK"/>
                <w:i w:val="0"/>
                <w:iCs w:val="0"/>
                <w:color w:val="auto"/>
                <w:kern w:val="0"/>
                <w:sz w:val="24"/>
                <w:szCs w:val="24"/>
                <w:u w:val="none"/>
                <w:lang w:val="en-US" w:eastAsia="zh-CN" w:bidi="ar"/>
              </w:rPr>
              <w:t xml:space="preserve">　第一类医疗器械实行产品备案管理，第二类、第三类医疗器械实行产品注册管理。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b/>
                <w:bCs/>
                <w:i w:val="0"/>
                <w:iCs w:val="0"/>
                <w:color w:val="auto"/>
                <w:kern w:val="0"/>
                <w:sz w:val="24"/>
                <w:szCs w:val="24"/>
                <w:u w:val="none"/>
                <w:lang w:val="en-US" w:eastAsia="zh-CN" w:bidi="ar"/>
              </w:rPr>
              <w:t>第五十五条</w:t>
            </w:r>
            <w:r>
              <w:rPr>
                <w:rFonts w:hint="eastAsia" w:ascii="方正仿宋_GBK" w:hAnsi="方正仿宋_GBK" w:eastAsia="方正仿宋_GBK" w:cs="方正仿宋_GBK"/>
                <w:i w:val="0"/>
                <w:iCs w:val="0"/>
                <w:color w:val="auto"/>
                <w:kern w:val="0"/>
                <w:sz w:val="24"/>
                <w:szCs w:val="24"/>
                <w:u w:val="none"/>
                <w:lang w:val="en-US" w:eastAsia="zh-CN" w:bidi="ar"/>
              </w:rPr>
              <w:t>　医疗器械经营企业、使用单位不得经营、使用未依法注册或者备案、无合格证明文件以及过期、失效、淘汰的医疗器械。</w:t>
            </w:r>
          </w:p>
        </w:tc>
        <w:tc>
          <w:tcPr>
            <w:tcW w:w="17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F33AC0">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《医疗器械监督管理条例》第八十四条第一项　</w:t>
            </w:r>
            <w:r>
              <w:rPr>
                <w:rFonts w:hint="eastAsia" w:ascii="方正仿宋_GBK" w:hAnsi="方正仿宋_GBK" w:eastAsia="方正仿宋_GBK" w:cs="方正仿宋_GBK"/>
                <w:i w:val="0"/>
                <w:iCs w:val="0"/>
                <w:color w:val="auto"/>
                <w:kern w:val="0"/>
                <w:sz w:val="24"/>
                <w:szCs w:val="24"/>
                <w:u w:val="none"/>
                <w:lang w:val="en-US" w:eastAsia="zh-CN" w:bidi="ar"/>
              </w:rPr>
              <w:t>有下列情形之一的，由负责药品监督管理的部门向社会公告单位和产品名称，责令限期改正；逾期不改正的，没收违法所得、违法生产经营的医疗器械；违法生产经营的医疗器械货值金额不足1万元的，并处1万元以上5万元以下罚款；货值金额1万元以上的，并处货值金额5倍以上20倍以下罚款；情节严重的，对违法单位的法定代表人、主要负责人、直接负责的主管人员和其他责任人员，没收违法行为发生期间自本单位所获收入，并处所获收入30%以上2倍以下罚款，5年内禁止其从事医疗器械生产经营活动：（一）生产、经营未经备案的第一类医疗器械；</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b/>
                <w:bCs/>
                <w:i w:val="0"/>
                <w:iCs w:val="0"/>
                <w:color w:val="auto"/>
                <w:kern w:val="0"/>
                <w:sz w:val="24"/>
                <w:szCs w:val="24"/>
                <w:u w:val="none"/>
                <w:lang w:val="en-US" w:eastAsia="zh-CN" w:bidi="ar"/>
              </w:rPr>
              <w:t>第八十七条</w:t>
            </w:r>
            <w:r>
              <w:rPr>
                <w:rFonts w:hint="eastAsia" w:ascii="方正仿宋_GBK" w:hAnsi="方正仿宋_GBK" w:eastAsia="方正仿宋_GBK" w:cs="方正仿宋_GBK"/>
                <w:i w:val="0"/>
                <w:iCs w:val="0"/>
                <w:color w:val="auto"/>
                <w:kern w:val="0"/>
                <w:sz w:val="24"/>
                <w:szCs w:val="24"/>
                <w:u w:val="none"/>
                <w:lang w:val="en-US" w:eastAsia="zh-CN" w:bidi="ar"/>
              </w:rPr>
              <w:t>　医疗器械经营企业、使用单位履行了本条例规定的进货查验等义务，有充分证据证明其不知道所经营、使用的医疗器械为本条例第八十一条第一款第一项、第八十四条第一项、第八十六条第一项和第三项规定情形的医疗器械，并能如实说明其进货来源的，收缴其经营、使用的不符合法定要求的医疗器械，可以免除行政处罚。</w:t>
            </w:r>
          </w:p>
        </w:tc>
      </w:tr>
      <w:tr w14:paraId="756A4C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0" w:hRule="atLeast"/>
        </w:trPr>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C9DFA0">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47</w:t>
            </w:r>
          </w:p>
        </w:tc>
        <w:tc>
          <w:tcPr>
            <w:tcW w:w="2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73F879">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15C11A">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经营、使用不符合强制性标准或者不符合经注册或者备案的产品技术要求的医疗器械</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698903">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同时具备以下条件的，收缴其经营、使用的不符合法定要求的医疗器械，不予罚款：</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2.已履行进货查验等义务；</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3.有充分证据证明不知道所经营、使用的医疗器械不符合法定要求；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4.能如实说明其进货来源。</w:t>
            </w:r>
          </w:p>
        </w:tc>
        <w:tc>
          <w:tcPr>
            <w:tcW w:w="13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8E15CB">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《医疗器械监督管理条例》第七条</w:t>
            </w:r>
            <w:r>
              <w:rPr>
                <w:rFonts w:hint="eastAsia" w:ascii="方正仿宋_GBK" w:hAnsi="方正仿宋_GBK" w:eastAsia="方正仿宋_GBK" w:cs="方正仿宋_GBK"/>
                <w:i w:val="0"/>
                <w:iCs w:val="0"/>
                <w:color w:val="auto"/>
                <w:kern w:val="0"/>
                <w:sz w:val="24"/>
                <w:szCs w:val="24"/>
                <w:u w:val="none"/>
                <w:lang w:val="en-US" w:eastAsia="zh-CN" w:bidi="ar"/>
              </w:rPr>
              <w:t>　医疗器械产品应当符合医疗器械强制性国家标准；尚无强制性国家标准的，应当符合医疗器械强制性行业标准。</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    </w:t>
            </w:r>
            <w:r>
              <w:rPr>
                <w:rFonts w:hint="eastAsia" w:ascii="方正仿宋_GBK" w:hAnsi="方正仿宋_GBK" w:eastAsia="方正仿宋_GBK" w:cs="方正仿宋_GBK"/>
                <w:b/>
                <w:bCs/>
                <w:i w:val="0"/>
                <w:iCs w:val="0"/>
                <w:color w:val="auto"/>
                <w:kern w:val="0"/>
                <w:sz w:val="24"/>
                <w:szCs w:val="24"/>
                <w:u w:val="none"/>
                <w:lang w:val="en-US" w:eastAsia="zh-CN" w:bidi="ar"/>
              </w:rPr>
              <w:t>第三十五条</w:t>
            </w:r>
            <w:r>
              <w:rPr>
                <w:rFonts w:hint="eastAsia" w:ascii="方正仿宋_GBK" w:hAnsi="方正仿宋_GBK" w:eastAsia="方正仿宋_GBK" w:cs="方正仿宋_GBK"/>
                <w:i w:val="0"/>
                <w:iCs w:val="0"/>
                <w:color w:val="auto"/>
                <w:kern w:val="0"/>
                <w:sz w:val="24"/>
                <w:szCs w:val="24"/>
                <w:u w:val="none"/>
                <w:lang w:val="en-US" w:eastAsia="zh-CN" w:bidi="ar"/>
              </w:rPr>
              <w:t>　医疗器械注册人、备案人、受托生产企业应当按照医疗器械生产质量管理规范，建立健全与所生产医疗器械相适应的质量管理体系并保证其有效运行；严格按照经注册或者备案的产品技术要求组织生产，保证出厂的医疗器械符合强制性标准以及经注册或者备案的产品技术要求。</w:t>
            </w:r>
          </w:p>
        </w:tc>
        <w:tc>
          <w:tcPr>
            <w:tcW w:w="17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4167C2">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《医疗器械监督管理条例》第八十六条第一项</w:t>
            </w:r>
            <w:r>
              <w:rPr>
                <w:rFonts w:hint="eastAsia" w:ascii="方正仿宋_GBK" w:hAnsi="方正仿宋_GBK" w:eastAsia="方正仿宋_GBK" w:cs="方正仿宋_GBK"/>
                <w:i w:val="0"/>
                <w:iCs w:val="0"/>
                <w:color w:val="auto"/>
                <w:kern w:val="0"/>
                <w:sz w:val="24"/>
                <w:szCs w:val="24"/>
                <w:u w:val="none"/>
                <w:lang w:val="en-US" w:eastAsia="zh-CN" w:bidi="ar"/>
              </w:rPr>
              <w:t>　有下列情形之一的，由负责药品监督管理的部门责令改正，没收违法生产经营使用的医疗器械；违法生产经营使用的医疗器械货值金额不足1万元的，并处2万元以上5万元以下罚款；货值金额1万元以上的，并处货值金额5倍以上20倍以下罚款；情节严重的，责令停产停业，直至由原发证部门吊销医疗器械注册证、医疗器械生产许可证、医疗器械经营许可证，对违法单位的法定代表人、主要负责人、直接负责的主管人员和其他责任人员，没收违法行为发生期间自本单位所获收入，并处所获收入30%以上3倍以下罚款，10年内禁止其从事医疗器械生产经营活动：（一）生产、经营、使用不符合强制性标准或者不符合经注册或者备案的产品技术要求的医疗器械；</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    </w:t>
            </w:r>
            <w:r>
              <w:rPr>
                <w:rFonts w:hint="eastAsia" w:ascii="方正仿宋_GBK" w:hAnsi="方正仿宋_GBK" w:eastAsia="方正仿宋_GBK" w:cs="方正仿宋_GBK"/>
                <w:b/>
                <w:bCs/>
                <w:i w:val="0"/>
                <w:iCs w:val="0"/>
                <w:color w:val="auto"/>
                <w:kern w:val="0"/>
                <w:sz w:val="24"/>
                <w:szCs w:val="24"/>
                <w:u w:val="none"/>
                <w:lang w:val="en-US" w:eastAsia="zh-CN" w:bidi="ar"/>
              </w:rPr>
              <w:t>第八十七条</w:t>
            </w:r>
            <w:r>
              <w:rPr>
                <w:rFonts w:hint="eastAsia" w:ascii="方正仿宋_GBK" w:hAnsi="方正仿宋_GBK" w:eastAsia="方正仿宋_GBK" w:cs="方正仿宋_GBK"/>
                <w:i w:val="0"/>
                <w:iCs w:val="0"/>
                <w:color w:val="auto"/>
                <w:kern w:val="0"/>
                <w:sz w:val="24"/>
                <w:szCs w:val="24"/>
                <w:u w:val="none"/>
                <w:lang w:val="en-US" w:eastAsia="zh-CN" w:bidi="ar"/>
              </w:rPr>
              <w:t>　医疗器械经营企业、使用单位履行了本条例规定的进货查验等义务，有充分证据证明其不知道所经营、使用的医疗器械为本条例第八十一条第一款第一项、第八十四条第一项、第八十六条第一项和第三项规定情形的医疗器械，并能如实说明其进货来源的，收缴其经营、使用的不符合法定要求的医疗器械，可以免除行政处罚。</w:t>
            </w:r>
          </w:p>
        </w:tc>
      </w:tr>
      <w:tr w14:paraId="44A4C7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15" w:hRule="atLeast"/>
        </w:trPr>
        <w:tc>
          <w:tcPr>
            <w:tcW w:w="2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6A4F67">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48</w:t>
            </w:r>
          </w:p>
        </w:tc>
        <w:tc>
          <w:tcPr>
            <w:tcW w:w="2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C5E93D">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D1A86E">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经营、使用无合格证明文件、过期、失效、淘汰的医疗器械，或者使用未依法注册的医疗器械</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9D3D1D">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同时具备以下条件的，收缴其经营、使用的不符合法定要求的医疗器械，不予罚款：</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2.已履行进货查验等义务；</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3.有充分证据证明不知道所经营、使用的医疗器械不符合法定要求；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4.能如实说明其进货来源。</w:t>
            </w:r>
          </w:p>
        </w:tc>
        <w:tc>
          <w:tcPr>
            <w:tcW w:w="13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9A3FDF">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《医疗器械监督管理条例》第五十五条</w:t>
            </w:r>
            <w:r>
              <w:rPr>
                <w:rFonts w:hint="eastAsia" w:ascii="方正仿宋_GBK" w:hAnsi="方正仿宋_GBK" w:eastAsia="方正仿宋_GBK" w:cs="方正仿宋_GBK"/>
                <w:i w:val="0"/>
                <w:iCs w:val="0"/>
                <w:color w:val="auto"/>
                <w:kern w:val="0"/>
                <w:sz w:val="24"/>
                <w:szCs w:val="24"/>
                <w:u w:val="none"/>
                <w:lang w:val="en-US" w:eastAsia="zh-CN" w:bidi="ar"/>
              </w:rPr>
              <w:t>　医疗器械经营企业、使用单位不得经营、使用未依法注册或者备案、无合格证明文件以及过期、失效、淘汰的医疗器械。</w:t>
            </w:r>
          </w:p>
        </w:tc>
        <w:tc>
          <w:tcPr>
            <w:tcW w:w="17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EF51E0">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《医疗器械监督管理条例》第八十六条第三项　</w:t>
            </w:r>
            <w:r>
              <w:rPr>
                <w:rFonts w:hint="eastAsia" w:ascii="方正仿宋_GBK" w:hAnsi="方正仿宋_GBK" w:eastAsia="方正仿宋_GBK" w:cs="方正仿宋_GBK"/>
                <w:i w:val="0"/>
                <w:iCs w:val="0"/>
                <w:color w:val="auto"/>
                <w:kern w:val="0"/>
                <w:sz w:val="24"/>
                <w:szCs w:val="24"/>
                <w:u w:val="none"/>
                <w:lang w:val="en-US" w:eastAsia="zh-CN" w:bidi="ar"/>
              </w:rPr>
              <w:t>有下列情形之一的，由负责药品监督管理的部门责令改正，没收违法生产经营使用的医疗器械；违法生产经营使用的医疗器械货值金额不足1万元的，并处2万元以上5万元以下罚款；货值金额1万元以上的，并处货值金额5倍以上20倍以下罚款；情节严重的，责令停产停业，直至由原发证部门吊销医疗器械注册证、医疗器械生产许可证、医疗器械经营许可证，对违法单位的法定代表人、主要负责人、直接负责的主管人员和其他责任人员，没收违法行为发生期间自本单位所获收入，并处所获收入30%以上3倍以下罚款，10年内禁止其从事医疗器械生产经营活动：（三）经营、使用无合格证明文件、过期、失效、淘汰的医疗器械，或者使用未依法注册的医疗器械；</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b/>
                <w:bCs/>
                <w:i w:val="0"/>
                <w:iCs w:val="0"/>
                <w:color w:val="auto"/>
                <w:kern w:val="0"/>
                <w:sz w:val="24"/>
                <w:szCs w:val="24"/>
                <w:u w:val="none"/>
                <w:lang w:val="en-US" w:eastAsia="zh-CN" w:bidi="ar"/>
              </w:rPr>
              <w:t>第八十七条</w:t>
            </w:r>
            <w:r>
              <w:rPr>
                <w:rFonts w:hint="eastAsia" w:ascii="方正仿宋_GBK" w:hAnsi="方正仿宋_GBK" w:eastAsia="方正仿宋_GBK" w:cs="方正仿宋_GBK"/>
                <w:i w:val="0"/>
                <w:iCs w:val="0"/>
                <w:color w:val="auto"/>
                <w:kern w:val="0"/>
                <w:sz w:val="24"/>
                <w:szCs w:val="24"/>
                <w:u w:val="none"/>
                <w:lang w:val="en-US" w:eastAsia="zh-CN" w:bidi="ar"/>
              </w:rPr>
              <w:t>　医疗器械经营企业、使用单位履行了本条例规定的进货查验等义务，有充分证据证明其不知道所经营、使用的医疗器械为本条例第八十一条第一款第一项、第八十四条第一项、第八十六条第一项和第三项规定情形的医疗器械，并能如实说明其进货来源的，收缴其经营、使用的不符合法定要求的医疗器械，可以免除行政处罚。</w:t>
            </w:r>
          </w:p>
        </w:tc>
      </w:tr>
    </w:tbl>
    <w:p w14:paraId="44B9368C">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default" w:ascii="方正仿宋_GBK" w:hAnsi="方正仿宋_GBK" w:eastAsia="方正仿宋_GBK" w:cs="方正仿宋_GBK"/>
          <w:color w:val="auto"/>
          <w:sz w:val="32"/>
          <w:szCs w:val="32"/>
          <w:lang w:val="en-US" w:eastAsia="zh-CN"/>
        </w:rPr>
        <w:sectPr>
          <w:pgSz w:w="16838" w:h="11906" w:orient="landscape"/>
          <w:pgMar w:top="1587" w:right="2098" w:bottom="1474" w:left="1984" w:header="851" w:footer="992" w:gutter="0"/>
          <w:pgBorders>
            <w:top w:val="none" w:sz="0" w:space="0"/>
            <w:left w:val="none" w:sz="0" w:space="0"/>
            <w:bottom w:val="none" w:sz="0" w:space="0"/>
            <w:right w:val="none" w:sz="0" w:space="0"/>
          </w:pgBorders>
          <w:cols w:space="425" w:num="1"/>
          <w:docGrid w:type="lines" w:linePitch="312" w:charSpace="0"/>
        </w:sectPr>
      </w:pPr>
    </w:p>
    <w:p w14:paraId="2AFDD9A1">
      <w:pPr>
        <w:keepNext w:val="0"/>
        <w:keepLines w:val="0"/>
        <w:pageBreakBefore w:val="0"/>
        <w:widowControl w:val="0"/>
        <w:kinsoku/>
        <w:wordWrap/>
        <w:overflowPunct/>
        <w:topLinePunct w:val="0"/>
        <w:autoSpaceDE/>
        <w:autoSpaceDN/>
        <w:bidi w:val="0"/>
        <w:adjustRightInd w:val="0"/>
        <w:snapToGrid w:val="0"/>
        <w:spacing w:line="500" w:lineRule="exact"/>
        <w:textAlignment w:val="auto"/>
        <w:rPr>
          <w:rFonts w:hint="eastAsia" w:ascii="方正黑体_GBK" w:hAnsi="方正黑体_GBK" w:eastAsia="方正黑体_GBK" w:cs="方正黑体_GBK"/>
          <w:color w:val="auto"/>
          <w:sz w:val="32"/>
          <w:szCs w:val="32"/>
          <w:lang w:val="en-US" w:eastAsia="zh-CN"/>
        </w:rPr>
      </w:pPr>
      <w:r>
        <w:rPr>
          <w:rFonts w:hint="eastAsia" w:ascii="方正黑体_GBK" w:hAnsi="方正黑体_GBK" w:eastAsia="方正黑体_GBK" w:cs="方正黑体_GBK"/>
          <w:color w:val="auto"/>
          <w:sz w:val="32"/>
          <w:szCs w:val="32"/>
          <w:lang w:val="en-US" w:eastAsia="zh-CN"/>
        </w:rPr>
        <w:t>附件3</w:t>
      </w:r>
    </w:p>
    <w:p w14:paraId="12376691">
      <w:pPr>
        <w:keepNext w:val="0"/>
        <w:keepLines w:val="0"/>
        <w:pageBreakBefore w:val="0"/>
        <w:widowControl w:val="0"/>
        <w:kinsoku/>
        <w:wordWrap/>
        <w:overflowPunct/>
        <w:topLinePunct w:val="0"/>
        <w:autoSpaceDE/>
        <w:autoSpaceDN/>
        <w:bidi w:val="0"/>
        <w:adjustRightInd w:val="0"/>
        <w:snapToGrid w:val="0"/>
        <w:spacing w:line="500" w:lineRule="exact"/>
        <w:jc w:val="center"/>
        <w:textAlignment w:val="auto"/>
        <w:rPr>
          <w:rFonts w:hint="eastAsia" w:ascii="方正小标宋_GBK" w:hAnsi="方正小标宋_GBK" w:eastAsia="方正小标宋_GBK" w:cs="方正小标宋_GBK"/>
          <w:color w:val="auto"/>
          <w:sz w:val="44"/>
          <w:szCs w:val="44"/>
          <w:lang w:val="en-US" w:eastAsia="zh-CN"/>
        </w:rPr>
      </w:pPr>
      <w:r>
        <w:rPr>
          <w:rFonts w:hint="eastAsia" w:ascii="方正小标宋_GBK" w:hAnsi="方正小标宋_GBK" w:eastAsia="方正小标宋_GBK" w:cs="方正小标宋_GBK"/>
          <w:color w:val="auto"/>
          <w:sz w:val="44"/>
          <w:szCs w:val="44"/>
          <w:lang w:val="en-US" w:eastAsia="zh-CN"/>
        </w:rPr>
        <w:t>江苏省市场监管领域轻微违法行为减轻处罚清单</w:t>
      </w:r>
    </w:p>
    <w:p w14:paraId="7D95D47E">
      <w:pPr>
        <w:keepNext w:val="0"/>
        <w:keepLines w:val="0"/>
        <w:pageBreakBefore w:val="0"/>
        <w:widowControl w:val="0"/>
        <w:kinsoku/>
        <w:wordWrap/>
        <w:overflowPunct/>
        <w:topLinePunct w:val="0"/>
        <w:autoSpaceDE/>
        <w:autoSpaceDN/>
        <w:bidi w:val="0"/>
        <w:adjustRightInd w:val="0"/>
        <w:snapToGrid w:val="0"/>
        <w:spacing w:line="500" w:lineRule="exact"/>
        <w:textAlignment w:val="auto"/>
        <w:rPr>
          <w:rFonts w:hint="default" w:ascii="方正仿宋_GBK" w:hAnsi="方正仿宋_GBK" w:eastAsia="方正仿宋_GBK" w:cs="方正仿宋_GBK"/>
          <w:color w:val="auto"/>
          <w:sz w:val="32"/>
          <w:szCs w:val="32"/>
          <w:lang w:val="en-US" w:eastAsia="zh-CN"/>
        </w:rPr>
      </w:pPr>
    </w:p>
    <w:tbl>
      <w:tblPr>
        <w:tblStyle w:val="4"/>
        <w:tblW w:w="6058" w:type="pct"/>
        <w:tblInd w:w="-131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25"/>
        <w:gridCol w:w="720"/>
        <w:gridCol w:w="1755"/>
        <w:gridCol w:w="2805"/>
        <w:gridCol w:w="4349"/>
        <w:gridCol w:w="5263"/>
      </w:tblGrid>
      <w:tr w14:paraId="57E658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2" w:hRule="atLeast"/>
          <w:tblHeader/>
        </w:trPr>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2B83C3">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黑体_GBK" w:hAnsi="方正黑体_GBK" w:eastAsia="方正黑体_GBK" w:cs="方正黑体_GBK"/>
                <w:i w:val="0"/>
                <w:iCs w:val="0"/>
                <w:color w:val="auto"/>
                <w:kern w:val="0"/>
                <w:sz w:val="24"/>
                <w:szCs w:val="24"/>
                <w:u w:val="none"/>
                <w:lang w:val="en-US" w:eastAsia="zh-CN" w:bidi="ar"/>
              </w:rPr>
            </w:pPr>
            <w:r>
              <w:rPr>
                <w:rFonts w:hint="eastAsia" w:ascii="方正黑体_GBK" w:hAnsi="方正黑体_GBK" w:eastAsia="方正黑体_GBK" w:cs="方正黑体_GBK"/>
                <w:i w:val="0"/>
                <w:iCs w:val="0"/>
                <w:color w:val="auto"/>
                <w:kern w:val="0"/>
                <w:sz w:val="24"/>
                <w:szCs w:val="24"/>
                <w:u w:val="none"/>
                <w:lang w:val="en-US" w:eastAsia="zh-CN" w:bidi="ar"/>
              </w:rPr>
              <w:t>序号</w:t>
            </w:r>
          </w:p>
        </w:tc>
        <w:tc>
          <w:tcPr>
            <w:tcW w:w="2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70300C">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黑体_GBK" w:hAnsi="方正黑体_GBK" w:eastAsia="方正黑体_GBK" w:cs="方正黑体_GBK"/>
                <w:i w:val="0"/>
                <w:iCs w:val="0"/>
                <w:color w:val="auto"/>
                <w:kern w:val="0"/>
                <w:sz w:val="24"/>
                <w:szCs w:val="24"/>
                <w:u w:val="none"/>
                <w:lang w:val="en-US" w:eastAsia="zh-CN" w:bidi="ar"/>
              </w:rPr>
            </w:pPr>
            <w:r>
              <w:rPr>
                <w:rFonts w:hint="eastAsia" w:ascii="方正黑体_GBK" w:hAnsi="方正黑体_GBK" w:eastAsia="方正黑体_GBK" w:cs="方正黑体_GBK"/>
                <w:i w:val="0"/>
                <w:iCs w:val="0"/>
                <w:color w:val="auto"/>
                <w:kern w:val="0"/>
                <w:sz w:val="24"/>
                <w:szCs w:val="24"/>
                <w:u w:val="none"/>
                <w:lang w:val="en-US" w:eastAsia="zh-CN" w:bidi="ar"/>
              </w:rPr>
              <w:t>类别</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A0BEAA">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黑体_GBK" w:hAnsi="方正黑体_GBK" w:eastAsia="方正黑体_GBK" w:cs="方正黑体_GBK"/>
                <w:i w:val="0"/>
                <w:iCs w:val="0"/>
                <w:color w:val="auto"/>
                <w:kern w:val="0"/>
                <w:sz w:val="24"/>
                <w:szCs w:val="24"/>
                <w:u w:val="none"/>
                <w:lang w:val="en-US" w:eastAsia="zh-CN" w:bidi="ar"/>
              </w:rPr>
            </w:pPr>
            <w:r>
              <w:rPr>
                <w:rFonts w:hint="eastAsia" w:ascii="方正黑体_GBK" w:hAnsi="方正黑体_GBK" w:eastAsia="方正黑体_GBK" w:cs="方正黑体_GBK"/>
                <w:i w:val="0"/>
                <w:iCs w:val="0"/>
                <w:color w:val="auto"/>
                <w:kern w:val="0"/>
                <w:sz w:val="24"/>
                <w:szCs w:val="24"/>
                <w:u w:val="none"/>
                <w:lang w:val="en-US" w:eastAsia="zh-CN" w:bidi="ar"/>
              </w:rPr>
              <w:t>违法行为</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4CF750">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黑体_GBK" w:hAnsi="方正黑体_GBK" w:eastAsia="方正黑体_GBK" w:cs="方正黑体_GBK"/>
                <w:i w:val="0"/>
                <w:iCs w:val="0"/>
                <w:color w:val="auto"/>
                <w:kern w:val="0"/>
                <w:sz w:val="24"/>
                <w:szCs w:val="24"/>
                <w:u w:val="none"/>
                <w:lang w:val="en-US" w:eastAsia="zh-CN" w:bidi="ar"/>
              </w:rPr>
            </w:pPr>
            <w:r>
              <w:rPr>
                <w:rFonts w:hint="eastAsia" w:ascii="方正黑体_GBK" w:hAnsi="方正黑体_GBK" w:eastAsia="方正黑体_GBK" w:cs="方正黑体_GBK"/>
                <w:i w:val="0"/>
                <w:iCs w:val="0"/>
                <w:color w:val="auto"/>
                <w:kern w:val="0"/>
                <w:sz w:val="24"/>
                <w:szCs w:val="24"/>
                <w:u w:val="none"/>
                <w:lang w:val="en-US" w:eastAsia="zh-CN" w:bidi="ar"/>
              </w:rPr>
              <w:t>减轻处罚的适用情形</w:t>
            </w:r>
          </w:p>
        </w:tc>
        <w:tc>
          <w:tcPr>
            <w:tcW w:w="13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1D4F0B">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黑体_GBK" w:hAnsi="方正黑体_GBK" w:eastAsia="方正黑体_GBK" w:cs="方正黑体_GBK"/>
                <w:i w:val="0"/>
                <w:iCs w:val="0"/>
                <w:color w:val="auto"/>
                <w:kern w:val="0"/>
                <w:sz w:val="24"/>
                <w:szCs w:val="24"/>
                <w:u w:val="none"/>
                <w:lang w:val="en-US" w:eastAsia="zh-CN" w:bidi="ar"/>
              </w:rPr>
            </w:pPr>
            <w:r>
              <w:rPr>
                <w:rFonts w:hint="eastAsia" w:ascii="方正黑体_GBK" w:hAnsi="方正黑体_GBK" w:eastAsia="方正黑体_GBK" w:cs="方正黑体_GBK"/>
                <w:i w:val="0"/>
                <w:iCs w:val="0"/>
                <w:color w:val="auto"/>
                <w:kern w:val="0"/>
                <w:sz w:val="24"/>
                <w:szCs w:val="24"/>
                <w:u w:val="none"/>
                <w:lang w:val="en-US" w:eastAsia="zh-CN" w:bidi="ar"/>
              </w:rPr>
              <w:t>违法行为的定性依据</w:t>
            </w:r>
          </w:p>
        </w:tc>
        <w:tc>
          <w:tcPr>
            <w:tcW w:w="1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CD19B6">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黑体_GBK" w:hAnsi="方正黑体_GBK" w:eastAsia="方正黑体_GBK" w:cs="方正黑体_GBK"/>
                <w:i w:val="0"/>
                <w:iCs w:val="0"/>
                <w:color w:val="auto"/>
                <w:kern w:val="0"/>
                <w:sz w:val="24"/>
                <w:szCs w:val="24"/>
                <w:u w:val="none"/>
                <w:lang w:val="en-US" w:eastAsia="zh-CN" w:bidi="ar"/>
              </w:rPr>
            </w:pPr>
            <w:r>
              <w:rPr>
                <w:rFonts w:hint="eastAsia" w:ascii="方正黑体_GBK" w:hAnsi="方正黑体_GBK" w:eastAsia="方正黑体_GBK" w:cs="方正黑体_GBK"/>
                <w:i w:val="0"/>
                <w:iCs w:val="0"/>
                <w:color w:val="auto"/>
                <w:kern w:val="0"/>
                <w:sz w:val="24"/>
                <w:szCs w:val="24"/>
                <w:u w:val="none"/>
                <w:lang w:val="en-US" w:eastAsia="zh-CN" w:bidi="ar"/>
              </w:rPr>
              <w:t>违法行为的处罚依据</w:t>
            </w:r>
          </w:p>
        </w:tc>
      </w:tr>
      <w:tr w14:paraId="2F455F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5" w:hRule="atLeast"/>
        </w:trPr>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7D3906">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1</w:t>
            </w:r>
          </w:p>
        </w:tc>
        <w:tc>
          <w:tcPr>
            <w:tcW w:w="22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48B4C72">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黑体_GBK" w:hAnsi="方正黑体_GBK" w:eastAsia="方正黑体_GBK" w:cs="方正黑体_GBK"/>
                <w:i w:val="0"/>
                <w:iCs w:val="0"/>
                <w:color w:val="auto"/>
                <w:sz w:val="24"/>
                <w:szCs w:val="24"/>
                <w:u w:val="none"/>
              </w:rPr>
            </w:pPr>
            <w:r>
              <w:rPr>
                <w:rFonts w:hint="eastAsia" w:ascii="方正黑体_GBK" w:hAnsi="方正黑体_GBK" w:eastAsia="方正黑体_GBK" w:cs="方正黑体_GBK"/>
                <w:i w:val="0"/>
                <w:iCs w:val="0"/>
                <w:color w:val="auto"/>
                <w:kern w:val="0"/>
                <w:sz w:val="24"/>
                <w:szCs w:val="24"/>
                <w:u w:val="none"/>
                <w:lang w:val="en-US" w:eastAsia="zh-CN" w:bidi="ar"/>
              </w:rPr>
              <w:t>市场主体登记</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D163C6">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提交不真实材料取得公司登记</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4332E4">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2.危害后果较轻；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3.及时改正。</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当事人提交虚假法定代表人、股东身份信息、许可证或其他批准证明文件的，除具备法定减轻处罚情形外，一般不予减轻处罚。</w:t>
            </w:r>
          </w:p>
        </w:tc>
        <w:tc>
          <w:tcPr>
            <w:tcW w:w="13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4E2A99">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《公司法》第二百五十条 </w:t>
            </w:r>
            <w:r>
              <w:rPr>
                <w:rFonts w:hint="eastAsia" w:ascii="方正仿宋_GBK" w:hAnsi="方正仿宋_GBK" w:eastAsia="方正仿宋_GBK" w:cs="方正仿宋_GBK"/>
                <w:i w:val="0"/>
                <w:iCs w:val="0"/>
                <w:color w:val="auto"/>
                <w:kern w:val="0"/>
                <w:sz w:val="24"/>
                <w:szCs w:val="24"/>
                <w:u w:val="none"/>
                <w:lang w:val="en-US" w:eastAsia="zh-CN" w:bidi="ar"/>
              </w:rPr>
              <w:t>违反本法规定，虚报注册资本、提交虚假材料或者采取其他欺诈手段隐瞒重要事实取得公司登记的，由公司登记机关责令改正，对虚报注册资本的公司，处以虚报注册资本金额百分之五以上百分之十五以下的罚款；对提交虚假材料或者采取其他欺诈手段隐瞒重要事实的公司，处以五万元以上二百万元以下的罚款；情节严重的，吊销营业执照；对直接负责的主管人员和其他直接责任人员处以三万元以上三十万元以下的罚款。</w:t>
            </w:r>
          </w:p>
        </w:tc>
        <w:tc>
          <w:tcPr>
            <w:tcW w:w="1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CA7A7C">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《公司法》第二百五十条 </w:t>
            </w:r>
            <w:r>
              <w:rPr>
                <w:rFonts w:hint="eastAsia" w:ascii="方正仿宋_GBK" w:hAnsi="方正仿宋_GBK" w:eastAsia="方正仿宋_GBK" w:cs="方正仿宋_GBK"/>
                <w:i w:val="0"/>
                <w:iCs w:val="0"/>
                <w:color w:val="auto"/>
                <w:kern w:val="0"/>
                <w:sz w:val="24"/>
                <w:szCs w:val="24"/>
                <w:u w:val="none"/>
                <w:lang w:val="en-US" w:eastAsia="zh-CN" w:bidi="ar"/>
              </w:rPr>
              <w:t>违反本法规定，虚报注册资本、提交虚假材料或者采取其他欺诈手段隐瞒重要事实取得公司登记的，由公司登记机关责令改正，对虚报注册资本的公司，处以虚报注册资本金额百分之五以上百分之十五以下的罚款；对提交虚假材料或者采取其他欺诈手段隐瞒重要事实的公司，处以五万元以上二百万元以下的罚款；情节严重的，吊销营业执照；对直接负责的主管人员和其他直接责任人员处以三万元以上三十万元以下的罚款。</w:t>
            </w:r>
          </w:p>
        </w:tc>
      </w:tr>
      <w:tr w14:paraId="1417BC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0" w:hRule="atLeast"/>
        </w:trPr>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C60A64">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2</w:t>
            </w:r>
          </w:p>
        </w:tc>
        <w:tc>
          <w:tcPr>
            <w:tcW w:w="2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6464EA">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9B6F83">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提交不真实材料取得市场主体登记</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487621">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2.危害后果较轻；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3.及时改正。</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当事人提交虚假法定代表人、股东身份信息、许可证或其他批准证明文件的，除具备法定减轻处罚情形外，一般不予减轻处罚。</w:t>
            </w:r>
          </w:p>
        </w:tc>
        <w:tc>
          <w:tcPr>
            <w:tcW w:w="13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30B054">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《市场主体登记管理条例》第十六条</w:t>
            </w:r>
            <w:r>
              <w:rPr>
                <w:rFonts w:hint="eastAsia" w:ascii="方正仿宋_GBK" w:hAnsi="方正仿宋_GBK" w:eastAsia="方正仿宋_GBK" w:cs="方正仿宋_GBK"/>
                <w:i w:val="0"/>
                <w:iCs w:val="0"/>
                <w:color w:val="auto"/>
                <w:kern w:val="0"/>
                <w:sz w:val="24"/>
                <w:szCs w:val="24"/>
                <w:u w:val="none"/>
                <w:lang w:val="en-US" w:eastAsia="zh-CN" w:bidi="ar"/>
              </w:rPr>
              <w:t xml:space="preserve">  申请办理市场主体登记，应当提交下列材料：（一）申请书；（二）申请人资格文件、自然人身份证明；（三）住所或者主要经营场所相关文件；（四）公司、非公司企业法人、农民专业合作社（联合社）章程或者合伙企业合伙协议；（五）法律、行政法规和国务院市场监督管理部门规定提交的其他材料。</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国务院市场监督管理部门应当根据市场主体类型分别制定登记材料清单和文书格式样本，通过政府网站、登记机关服务窗口等向社会公开。</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登记机关能够通过政务信息共享平台获取的市场主体登记相关信息，不得要求申请人重复提供。</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w:t>
            </w:r>
            <w:r>
              <w:rPr>
                <w:rFonts w:hint="eastAsia" w:ascii="方正仿宋_GBK" w:hAnsi="方正仿宋_GBK" w:eastAsia="方正仿宋_GBK" w:cs="方正仿宋_GBK"/>
                <w:b/>
                <w:bCs/>
                <w:i w:val="0"/>
                <w:iCs w:val="0"/>
                <w:color w:val="auto"/>
                <w:kern w:val="0"/>
                <w:sz w:val="24"/>
                <w:szCs w:val="24"/>
                <w:u w:val="none"/>
                <w:lang w:val="en-US" w:eastAsia="zh-CN" w:bidi="ar"/>
              </w:rPr>
              <w:t>　第十七条</w:t>
            </w:r>
            <w:r>
              <w:rPr>
                <w:rFonts w:hint="eastAsia" w:ascii="方正仿宋_GBK" w:hAnsi="方正仿宋_GBK" w:eastAsia="方正仿宋_GBK" w:cs="方正仿宋_GBK"/>
                <w:i w:val="0"/>
                <w:iCs w:val="0"/>
                <w:color w:val="auto"/>
                <w:kern w:val="0"/>
                <w:sz w:val="24"/>
                <w:szCs w:val="24"/>
                <w:u w:val="none"/>
                <w:lang w:val="en-US" w:eastAsia="zh-CN" w:bidi="ar"/>
              </w:rPr>
              <w:t xml:space="preserve">  申请人应当对提交材料的真实性、合法性和有效性负责。</w:t>
            </w:r>
          </w:p>
        </w:tc>
        <w:tc>
          <w:tcPr>
            <w:tcW w:w="1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2F56F4">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《市场主体登记管理条例》第四十四条  </w:t>
            </w:r>
            <w:r>
              <w:rPr>
                <w:rFonts w:hint="eastAsia" w:ascii="方正仿宋_GBK" w:hAnsi="方正仿宋_GBK" w:eastAsia="方正仿宋_GBK" w:cs="方正仿宋_GBK"/>
                <w:i w:val="0"/>
                <w:iCs w:val="0"/>
                <w:color w:val="auto"/>
                <w:kern w:val="0"/>
                <w:sz w:val="24"/>
                <w:szCs w:val="24"/>
                <w:u w:val="none"/>
                <w:lang w:val="en-US" w:eastAsia="zh-CN" w:bidi="ar"/>
              </w:rPr>
              <w:t>提交虚假材料或者采取其他欺诈手段隐瞒重要事实取得市场主体登记的，由登记机关责令改正，没收违法所得，并处5万元以上20万元以下的罚款；情节严重的，处20万元以上100万元以下的罚款，吊销营业执照。</w:t>
            </w:r>
          </w:p>
        </w:tc>
      </w:tr>
      <w:tr w14:paraId="4D9211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0" w:hRule="atLeast"/>
        </w:trPr>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14DDDF">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3</w:t>
            </w:r>
          </w:p>
        </w:tc>
        <w:tc>
          <w:tcPr>
            <w:tcW w:w="22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8CDA423">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黑体_GBK" w:hAnsi="方正黑体_GBK" w:eastAsia="方正黑体_GBK" w:cs="方正黑体_GBK"/>
                <w:i w:val="0"/>
                <w:iCs w:val="0"/>
                <w:color w:val="auto"/>
                <w:sz w:val="24"/>
                <w:szCs w:val="24"/>
                <w:u w:val="none"/>
              </w:rPr>
            </w:pPr>
            <w:r>
              <w:rPr>
                <w:rFonts w:hint="eastAsia" w:ascii="方正黑体_GBK" w:hAnsi="方正黑体_GBK" w:eastAsia="方正黑体_GBK" w:cs="方正黑体_GBK"/>
                <w:i w:val="0"/>
                <w:iCs w:val="0"/>
                <w:color w:val="auto"/>
                <w:kern w:val="0"/>
                <w:sz w:val="24"/>
                <w:szCs w:val="24"/>
                <w:u w:val="none"/>
                <w:lang w:val="en-US" w:eastAsia="zh-CN" w:bidi="ar"/>
              </w:rPr>
              <w:t>电子商务</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AFA208">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电子商务经营者违法搭售商品、服务</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326237">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2.持续时间较短，或搭售的商品、服务的经营额较少；</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3.未对消费者合法权益造成较大影响，未造成不良社会影响；</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4.及时改正。</w:t>
            </w:r>
          </w:p>
        </w:tc>
        <w:tc>
          <w:tcPr>
            <w:tcW w:w="13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DFBDFE">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《电子商务法》第十九条</w:t>
            </w:r>
            <w:r>
              <w:rPr>
                <w:rFonts w:hint="eastAsia" w:ascii="方正仿宋_GBK" w:hAnsi="方正仿宋_GBK" w:eastAsia="方正仿宋_GBK" w:cs="方正仿宋_GBK"/>
                <w:i w:val="0"/>
                <w:iCs w:val="0"/>
                <w:color w:val="auto"/>
                <w:kern w:val="0"/>
                <w:sz w:val="24"/>
                <w:szCs w:val="24"/>
                <w:u w:val="none"/>
                <w:lang w:val="en-US" w:eastAsia="zh-CN" w:bidi="ar"/>
              </w:rPr>
              <w:t xml:space="preserve">  电子商务经营者搭售商品或者服务，应当以显著方式提醒消费者注意，不得将搭售商品或者服务作为默认同意的选项。</w:t>
            </w:r>
          </w:p>
        </w:tc>
        <w:tc>
          <w:tcPr>
            <w:tcW w:w="1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E292DF">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《电子商务法》第七十七条 </w:t>
            </w:r>
            <w:r>
              <w:rPr>
                <w:rFonts w:hint="eastAsia" w:ascii="方正仿宋_GBK" w:hAnsi="方正仿宋_GBK" w:eastAsia="方正仿宋_GBK" w:cs="方正仿宋_GBK"/>
                <w:i w:val="0"/>
                <w:iCs w:val="0"/>
                <w:color w:val="auto"/>
                <w:kern w:val="0"/>
                <w:sz w:val="24"/>
                <w:szCs w:val="24"/>
                <w:u w:val="none"/>
                <w:lang w:val="en-US" w:eastAsia="zh-CN" w:bidi="ar"/>
              </w:rPr>
              <w:t xml:space="preserve"> 电子商务经营者违反本法第十八条第一款规定提供搜索结果，或者违反本法第十九条规定搭售商品、服务的，由市场监督管理部门责令限期改正，没收违法所得，可以并处五万元以上二十万元以下的罚款；情节严重的，并处二十万元以上五十万元以下的罚款。</w:t>
            </w:r>
          </w:p>
        </w:tc>
      </w:tr>
      <w:tr w14:paraId="69DC14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25" w:hRule="atLeast"/>
        </w:trPr>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76B005">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4</w:t>
            </w:r>
          </w:p>
        </w:tc>
        <w:tc>
          <w:tcPr>
            <w:tcW w:w="2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8EE76E">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750F32">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电子商务经营者未向消费者明示押金退还方式、程序，对押金退还设置不合理条件</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38EC55">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2.违法行为持续时间较短；</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3.未对消费者合法权益造成较大影响，未造成不良社会影响；</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4.积极配合完成退款。</w:t>
            </w:r>
          </w:p>
        </w:tc>
        <w:tc>
          <w:tcPr>
            <w:tcW w:w="13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A27AED">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《电子商务法》第二十一条</w:t>
            </w:r>
            <w:r>
              <w:rPr>
                <w:rFonts w:hint="eastAsia" w:ascii="方正仿宋_GBK" w:hAnsi="方正仿宋_GBK" w:eastAsia="方正仿宋_GBK" w:cs="方正仿宋_GBK"/>
                <w:i w:val="0"/>
                <w:iCs w:val="0"/>
                <w:color w:val="auto"/>
                <w:kern w:val="0"/>
                <w:sz w:val="24"/>
                <w:szCs w:val="24"/>
                <w:u w:val="none"/>
                <w:lang w:val="en-US" w:eastAsia="zh-CN" w:bidi="ar"/>
              </w:rPr>
              <w:t xml:space="preserve">  电子商务经营者按照约定向消费者收取押金的，应当明示押金退还的方式、程序，不得对押金退还设置不合理条件。消费者申请退还押金，符合押金退还条件的，电子商务经营者应当及时退还。</w:t>
            </w:r>
          </w:p>
        </w:tc>
        <w:tc>
          <w:tcPr>
            <w:tcW w:w="1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DC7046">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《电子商务法》第七十八条</w:t>
            </w:r>
            <w:r>
              <w:rPr>
                <w:rFonts w:hint="eastAsia" w:ascii="方正仿宋_GBK" w:hAnsi="方正仿宋_GBK" w:eastAsia="方正仿宋_GBK" w:cs="方正仿宋_GBK"/>
                <w:i w:val="0"/>
                <w:iCs w:val="0"/>
                <w:color w:val="auto"/>
                <w:kern w:val="0"/>
                <w:sz w:val="24"/>
                <w:szCs w:val="24"/>
                <w:u w:val="none"/>
                <w:lang w:val="en-US" w:eastAsia="zh-CN" w:bidi="ar"/>
              </w:rPr>
              <w:t xml:space="preserve">  电子商务经营者违反本法第二十一条规定，未向消费者明示押金退还的方式、程序，对押金退还设置不合理条件，或者不及时退还押金的，由有关主管部门责令限期改正，可以处五万元以上二十万元以下的罚款；情节严重的，处二十万元以上五十万元以下的罚款。</w:t>
            </w:r>
          </w:p>
        </w:tc>
      </w:tr>
      <w:tr w14:paraId="4C02E9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4A836E">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5</w:t>
            </w:r>
          </w:p>
        </w:tc>
        <w:tc>
          <w:tcPr>
            <w:tcW w:w="229"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1CD0FF">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942C9F">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除医疗、药品、医疗器械广告外，发布的广告涉及疾病治疗功能或医疗用语</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23DD44">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2.持续时间较短，或浏览人数较少；</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3.对市场秩序的扰乱程度较轻，对消费者欺骗、误导作用较小；</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4.及时改正。</w:t>
            </w:r>
          </w:p>
        </w:tc>
        <w:tc>
          <w:tcPr>
            <w:tcW w:w="13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DDD5B8">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《广告法》第十七条 </w:t>
            </w:r>
            <w:r>
              <w:rPr>
                <w:rFonts w:hint="eastAsia" w:ascii="方正仿宋_GBK" w:hAnsi="方正仿宋_GBK" w:eastAsia="方正仿宋_GBK" w:cs="方正仿宋_GBK"/>
                <w:i w:val="0"/>
                <w:iCs w:val="0"/>
                <w:color w:val="auto"/>
                <w:kern w:val="0"/>
                <w:sz w:val="24"/>
                <w:szCs w:val="24"/>
                <w:u w:val="none"/>
                <w:lang w:val="en-US" w:eastAsia="zh-CN" w:bidi="ar"/>
              </w:rPr>
              <w:t xml:space="preserve"> 除医疗、药品、医疗器械广告外，禁止其他任何广告涉及疾病治疗功能，并不得使用医疗用语或者易使推销的商品与药品、医疗器械相混淆的用语。</w:t>
            </w:r>
          </w:p>
        </w:tc>
        <w:tc>
          <w:tcPr>
            <w:tcW w:w="1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382BD8">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《广告法》第五十八条</w:t>
            </w:r>
            <w:r>
              <w:rPr>
                <w:rFonts w:hint="eastAsia" w:ascii="方正仿宋_GBK" w:hAnsi="方正仿宋_GBK" w:eastAsia="方正仿宋_GBK" w:cs="方正仿宋_GBK"/>
                <w:i w:val="0"/>
                <w:iCs w:val="0"/>
                <w:color w:val="auto"/>
                <w:kern w:val="0"/>
                <w:sz w:val="24"/>
                <w:szCs w:val="24"/>
                <w:u w:val="none"/>
                <w:lang w:val="en-US" w:eastAsia="zh-CN" w:bidi="ar"/>
              </w:rPr>
              <w:t xml:space="preserve">  有下列行为之一的，由市场监督管理部门责令停止发布广告，责令广告主在相应范围内消除影响，处广告费用一倍以上三倍以下的罚款，广告费用无法计算或者明显偏低的，处十万元以上二十万元以下的罚款;情节严重的，处广告费用三倍以上五倍以下的罚款，广告费用无法计算或者明显偏低的，处二十万元以上一百万元以下的罚款，可以吊销营业执照，并由广告审查机关撤销广告审查批准文件、年内不受理其广告审查申请:《二》违反本法第十七条规定，在广告中涉及疾病治疗功能，以及使用医疗用语或者易使推销的商品与药品、医疗器械相混淆的用语的</w:t>
            </w:r>
          </w:p>
        </w:tc>
      </w:tr>
      <w:tr w14:paraId="6F24F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C72D21">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6</w:t>
            </w:r>
          </w:p>
        </w:tc>
        <w:tc>
          <w:tcPr>
            <w:tcW w:w="229"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549B4F">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DD86E1">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广告中使用“国家级”、“最高级”、“最佳”等用语</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12D326">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1.违法事实清楚，当场可以查实；</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2.广告主在其经营场所或者利用自有媒体发布自有商品或者服务广告；</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3.及时改正，主动消除或者减轻危害后果。</w:t>
            </w:r>
          </w:p>
        </w:tc>
        <w:tc>
          <w:tcPr>
            <w:tcW w:w="13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97CF5A">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《广告法》第九条第三项</w:t>
            </w:r>
            <w:r>
              <w:rPr>
                <w:rFonts w:hint="eastAsia" w:ascii="方正仿宋_GBK" w:hAnsi="方正仿宋_GBK" w:eastAsia="方正仿宋_GBK" w:cs="方正仿宋_GBK"/>
                <w:i w:val="0"/>
                <w:iCs w:val="0"/>
                <w:color w:val="auto"/>
                <w:kern w:val="0"/>
                <w:sz w:val="24"/>
                <w:szCs w:val="24"/>
                <w:u w:val="none"/>
                <w:lang w:val="en-US" w:eastAsia="zh-CN" w:bidi="ar"/>
              </w:rPr>
              <w:t xml:space="preserve">  广告不得有下列情形：（三）使用“国家级”、“最高级”、“最佳”等用语；</w:t>
            </w:r>
          </w:p>
        </w:tc>
        <w:tc>
          <w:tcPr>
            <w:tcW w:w="1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5DCC50">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《广告法》第五十七条第一项</w:t>
            </w:r>
            <w:r>
              <w:rPr>
                <w:rFonts w:hint="eastAsia" w:ascii="方正仿宋_GBK" w:hAnsi="方正仿宋_GBK" w:eastAsia="方正仿宋_GBK" w:cs="方正仿宋_GBK"/>
                <w:i w:val="0"/>
                <w:iCs w:val="0"/>
                <w:color w:val="auto"/>
                <w:kern w:val="0"/>
                <w:sz w:val="24"/>
                <w:szCs w:val="24"/>
                <w:u w:val="none"/>
                <w:lang w:val="en-US" w:eastAsia="zh-CN" w:bidi="ar"/>
              </w:rPr>
              <w:t xml:space="preserve">  有下列行为之一的，由工商行政管理部门责令停止发布广告，对广告主处二十万元以上一百万元以下的罚款，情节严重的，并可以吊销营业执照，由广告审查机关撤销广告审查批准文件、一年内不受理其广告审查申请；对广告经营者、广告发布者，由工商行政管理部门没收广告费用，处二十万元以上一百万元以下的罚款，情节严重的，并可以吊销营业执照、吊销广告发布登记证件：（一）发布有本法第九条、第十条规定的禁止情形的广告的；</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b/>
                <w:bCs/>
                <w:i w:val="0"/>
                <w:iCs w:val="0"/>
                <w:color w:val="auto"/>
                <w:kern w:val="0"/>
                <w:sz w:val="24"/>
                <w:szCs w:val="24"/>
                <w:u w:val="none"/>
                <w:lang w:val="en-US" w:eastAsia="zh-CN" w:bidi="ar"/>
              </w:rPr>
              <w:t>《江苏省广告条例》第五十九条第一项</w:t>
            </w:r>
            <w:r>
              <w:rPr>
                <w:rFonts w:hint="eastAsia" w:ascii="方正仿宋_GBK" w:hAnsi="方正仿宋_GBK" w:eastAsia="方正仿宋_GBK" w:cs="方正仿宋_GBK"/>
                <w:i w:val="0"/>
                <w:iCs w:val="0"/>
                <w:color w:val="auto"/>
                <w:kern w:val="0"/>
                <w:sz w:val="24"/>
                <w:szCs w:val="24"/>
                <w:u w:val="none"/>
                <w:lang w:val="en-US" w:eastAsia="zh-CN" w:bidi="ar"/>
              </w:rPr>
              <w:t xml:space="preserve">  有下列情形之一，违法事实清楚，当场可以查实，且当事人及时改正，主动消除或者减轻危害后果的，依法从轻、减轻处罚；违法行为轻微并及时纠正，没有造成危害后果的，依法不予处罚：（一）广告主在其经营场所或者利用自有媒体发布自有商品或者服务广告使用"国家级""最高级""最佳"等用语的；</w:t>
            </w:r>
          </w:p>
        </w:tc>
      </w:tr>
      <w:tr w14:paraId="2562C4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85" w:hRule="atLeast"/>
        </w:trPr>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7D4DF1">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7</w:t>
            </w:r>
          </w:p>
        </w:tc>
        <w:tc>
          <w:tcPr>
            <w:tcW w:w="229"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AD0199">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99A733">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发布已过广告审批有效期的药品、医疗器械、保健食品和特殊医学用途配方食品广告</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613EE2">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2.逾期时间较短；</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3.广告发布内容与原审查批准内容一致；</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4.及时改正。</w:t>
            </w:r>
          </w:p>
        </w:tc>
        <w:tc>
          <w:tcPr>
            <w:tcW w:w="13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E70F09">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《广告法》第四十六条</w:t>
            </w:r>
            <w:r>
              <w:rPr>
                <w:rFonts w:hint="eastAsia" w:ascii="方正仿宋_GBK" w:hAnsi="方正仿宋_GBK" w:eastAsia="方正仿宋_GBK" w:cs="方正仿宋_GBK"/>
                <w:i w:val="0"/>
                <w:iCs w:val="0"/>
                <w:color w:val="auto"/>
                <w:kern w:val="0"/>
                <w:sz w:val="24"/>
                <w:szCs w:val="24"/>
                <w:u w:val="none"/>
                <w:lang w:val="en-US" w:eastAsia="zh-CN" w:bidi="ar"/>
              </w:rPr>
              <w:t xml:space="preserve">  发布医疗、药品、医疗器械、农药、兽药和保健食品广告，以及法律、行政法规规定应当进行审查的其他广告，应当在发布前由有关部门（以下称广告审查机关）对广告内容进行审查；未经审查，不得发布。</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b/>
                <w:bCs/>
                <w:i w:val="0"/>
                <w:iCs w:val="0"/>
                <w:color w:val="auto"/>
                <w:kern w:val="0"/>
                <w:sz w:val="24"/>
                <w:szCs w:val="24"/>
                <w:u w:val="none"/>
                <w:lang w:val="en-US" w:eastAsia="zh-CN" w:bidi="ar"/>
              </w:rPr>
              <w:t>《药品、医疗器械、保健食品、特殊医学用途配方食品广告审查管理暂行办法》第二十六条第二项</w:t>
            </w:r>
            <w:r>
              <w:rPr>
                <w:rFonts w:hint="eastAsia" w:ascii="方正仿宋_GBK" w:hAnsi="方正仿宋_GBK" w:eastAsia="方正仿宋_GBK" w:cs="方正仿宋_GBK"/>
                <w:i w:val="0"/>
                <w:iCs w:val="0"/>
                <w:color w:val="auto"/>
                <w:kern w:val="0"/>
                <w:sz w:val="24"/>
                <w:szCs w:val="24"/>
                <w:u w:val="none"/>
                <w:lang w:val="en-US" w:eastAsia="zh-CN" w:bidi="ar"/>
              </w:rPr>
              <w:t>　有下列情形之一的，按照《中华人民共和国广告法》第五十八条处罚：（二）违反本办法第十九条规定或者广告批准文号已超过有效期，仍继续发布药品、医疗器械、保健食品和特殊医学用途配方食品广告；</w:t>
            </w:r>
          </w:p>
        </w:tc>
        <w:tc>
          <w:tcPr>
            <w:tcW w:w="1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35A436">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《广告法》第五十八条第一款第十四项</w:t>
            </w:r>
            <w:r>
              <w:rPr>
                <w:rFonts w:hint="eastAsia" w:ascii="方正仿宋_GBK" w:hAnsi="方正仿宋_GBK" w:eastAsia="方正仿宋_GBK" w:cs="方正仿宋_GBK"/>
                <w:i w:val="0"/>
                <w:iCs w:val="0"/>
                <w:color w:val="auto"/>
                <w:kern w:val="0"/>
                <w:sz w:val="24"/>
                <w:szCs w:val="24"/>
                <w:u w:val="none"/>
                <w:lang w:val="en-US" w:eastAsia="zh-CN" w:bidi="ar"/>
              </w:rPr>
              <w:t xml:space="preserve">  有下列行为之一的，由市场监督管理部门责令停止发布广告，责令广告主在相应范围内消除影响，处广告费用一倍以上三倍以下的罚款，广告费用无法计算或者明显偏低的，处十万元以上二十万元以下的罚款；情节严重的，处广告费用三倍以上五倍以下的罚款，广告费用无法计算或者明显偏低的，处二十万元以上一百万元以下的罚款，可以吊销营业执照，并由广告审查机关撤销广告审查批准文件、一年内不受理其广告审查申请：（十四）违反本法第四十六条规定，未经审查发布广告的。</w:t>
            </w:r>
          </w:p>
        </w:tc>
      </w:tr>
      <w:tr w14:paraId="2D7199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0" w:hRule="atLeast"/>
        </w:trPr>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8560E7">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8</w:t>
            </w:r>
          </w:p>
        </w:tc>
        <w:tc>
          <w:tcPr>
            <w:tcW w:w="229"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3FC529">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C8A016">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违法发布虚假广告</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AC916A">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2.对市场秩序的扰乱程度较轻，对消费者欺骗、误导作用较小；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3.持续时间较短，或浏览人数较少，或案涉商品或者服务经营额较少；</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4.及时改正。</w:t>
            </w:r>
          </w:p>
        </w:tc>
        <w:tc>
          <w:tcPr>
            <w:tcW w:w="13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882467">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《广告法》第四条</w:t>
            </w:r>
            <w:r>
              <w:rPr>
                <w:rFonts w:hint="eastAsia" w:ascii="方正仿宋_GBK" w:hAnsi="方正仿宋_GBK" w:eastAsia="方正仿宋_GBK" w:cs="方正仿宋_GBK"/>
                <w:i w:val="0"/>
                <w:iCs w:val="0"/>
                <w:color w:val="auto"/>
                <w:kern w:val="0"/>
                <w:sz w:val="24"/>
                <w:szCs w:val="24"/>
                <w:u w:val="none"/>
                <w:lang w:val="en-US" w:eastAsia="zh-CN" w:bidi="ar"/>
              </w:rPr>
              <w:t xml:space="preserve"> 广告不得含有虚假或者引人误解的内容，不得欺骗、误导消费者。</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广告主应当对广告内容的真实性负责。</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第二十八条 广告以虚假或者引人误解的内容欺骗、误导消费者的，构成虚假广告。</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广告有下列情形之一的，为虚假广告：</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(一)商品或者服务不存在的;</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二)商品的性能、功能、产地、用途、质量、规格、成分、价格、生产者、有效期限、销售状况、曾获荣誉等信息，或者服务的内容、提供者、形式、质量、价格、销售状况、曾获荣誉等信息，以及与商品或者服务有关的允诺等信息与实际情况不符，对购买行为有实质性影响的;</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(三)使用虚构、伪造或者无法验证的科研成果、统计资料、调查结果、文摘、引用语等信息作证明材料的;</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(四)虚构使用商品或者接受服务的效果的;</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(五)以虚假或者引人误解的内容欺骗、误导消费者的其他情形。</w:t>
            </w:r>
          </w:p>
        </w:tc>
        <w:tc>
          <w:tcPr>
            <w:tcW w:w="1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D8E561">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《广告法》第五十五条</w:t>
            </w:r>
            <w:r>
              <w:rPr>
                <w:rFonts w:hint="eastAsia" w:ascii="方正仿宋_GBK" w:hAnsi="方正仿宋_GBK" w:eastAsia="方正仿宋_GBK" w:cs="方正仿宋_GBK"/>
                <w:i w:val="0"/>
                <w:iCs w:val="0"/>
                <w:color w:val="auto"/>
                <w:kern w:val="0"/>
                <w:sz w:val="24"/>
                <w:szCs w:val="24"/>
                <w:u w:val="none"/>
                <w:lang w:val="en-US" w:eastAsia="zh-CN" w:bidi="ar"/>
              </w:rPr>
              <w:t xml:space="preserve"> 违反本法规定，发布虚假广告的，由市场监督管理部门责令停止发布广告，责令广告主在相应范围内消除影响，处广告费用三倍以上五倍以下的罚款，广告费用无法计算或者明显偏低的，处二十万元以上一百万元以下的罚款;两年内有三次以上违法行为或者有其他严重情节的，处广告费用五倍以上十倍以下的罚款，广告费用无法计算或者明显偏低的，处一百万元以上二百万元以下的罚款，可以吊销营业执照，并由广告审查机关撤销广告审查批准文件、一年内不受理其广告审查申请。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 </w:t>
            </w:r>
          </w:p>
        </w:tc>
      </w:tr>
      <w:tr w14:paraId="3D727A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75" w:hRule="atLeast"/>
        </w:trPr>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7E348D">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9</w:t>
            </w:r>
          </w:p>
        </w:tc>
        <w:tc>
          <w:tcPr>
            <w:tcW w:w="229"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C261BC">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7BACFA">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发布其他食品广告宣传具有保健功能</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45DF3C">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2.对市场秩序的扰乱程度较轻，对消费者欺骗、误导作用较小；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3.持续时间较短，或浏览人数较少，或案涉商品或者服务经营额较少；</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4.及时改正。</w:t>
            </w:r>
          </w:p>
        </w:tc>
        <w:tc>
          <w:tcPr>
            <w:tcW w:w="13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9783A3">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《江苏省广告条例》第十六条第二款</w:t>
            </w:r>
            <w:r>
              <w:rPr>
                <w:rFonts w:hint="eastAsia" w:ascii="方正仿宋_GBK" w:hAnsi="方正仿宋_GBK" w:eastAsia="方正仿宋_GBK" w:cs="方正仿宋_GBK"/>
                <w:i w:val="0"/>
                <w:iCs w:val="0"/>
                <w:color w:val="auto"/>
                <w:kern w:val="0"/>
                <w:sz w:val="24"/>
                <w:szCs w:val="24"/>
                <w:u w:val="none"/>
                <w:lang w:val="en-US" w:eastAsia="zh-CN" w:bidi="ar"/>
              </w:rPr>
              <w:t xml:space="preserve"> 其他食品广告不得宣传具有保健功能，也不得借助宣传某些成分的作用明示或者暗示其具有保健功能。</w:t>
            </w:r>
          </w:p>
        </w:tc>
        <w:tc>
          <w:tcPr>
            <w:tcW w:w="1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596BB0">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《江苏省广告条例》第五十五条第一款</w:t>
            </w:r>
            <w:r>
              <w:rPr>
                <w:rFonts w:hint="eastAsia" w:ascii="方正仿宋_GBK" w:hAnsi="方正仿宋_GBK" w:eastAsia="方正仿宋_GBK" w:cs="方正仿宋_GBK"/>
                <w:i w:val="0"/>
                <w:iCs w:val="0"/>
                <w:color w:val="auto"/>
                <w:kern w:val="0"/>
                <w:sz w:val="24"/>
                <w:szCs w:val="24"/>
                <w:u w:val="none"/>
                <w:lang w:val="en-US" w:eastAsia="zh-CN" w:bidi="ar"/>
              </w:rPr>
              <w:t xml:space="preserve">  违反本条例第十六条第二款规定发布其他食品广告的，由市场监督管理部门责令停止发布广告，对广告主处以广告费用一倍以上三倍以下的罚款，广告费用无法计算或者明显偏低的，处以十万元以上二十万元以下的罚款；情节严重的，处以广告费用三倍以上五倍以下的罚款，广告费用无法计算或者明显偏低的，处以二十万元以上一百万元以下的罚款。</w:t>
            </w:r>
          </w:p>
        </w:tc>
      </w:tr>
      <w:tr w14:paraId="77E00E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75" w:hRule="atLeast"/>
        </w:trPr>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3A1BA0">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10</w:t>
            </w:r>
          </w:p>
        </w:tc>
        <w:tc>
          <w:tcPr>
            <w:tcW w:w="22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99F68E1">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黑体_GBK" w:hAnsi="方正黑体_GBK" w:eastAsia="方正黑体_GBK" w:cs="方正黑体_GBK"/>
                <w:i w:val="0"/>
                <w:iCs w:val="0"/>
                <w:color w:val="auto"/>
                <w:sz w:val="24"/>
                <w:szCs w:val="24"/>
                <w:u w:val="none"/>
              </w:rPr>
            </w:pPr>
            <w:r>
              <w:rPr>
                <w:rFonts w:hint="eastAsia" w:ascii="方正黑体_GBK" w:hAnsi="方正黑体_GBK" w:eastAsia="方正黑体_GBK" w:cs="方正黑体_GBK"/>
                <w:i w:val="0"/>
                <w:iCs w:val="0"/>
                <w:color w:val="auto"/>
                <w:kern w:val="0"/>
                <w:sz w:val="24"/>
                <w:szCs w:val="24"/>
                <w:u w:val="none"/>
                <w:lang w:val="en-US" w:eastAsia="zh-CN" w:bidi="ar"/>
              </w:rPr>
              <w:t>不正当竞争</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997CC2">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经营者对商品作虚假或者引人误解的商业宣传</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578790">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2.对市场秩序的扰乱程度较轻，对消费者欺骗、误导作用较小；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3.持续时间较短，或影响人数较少，或案涉商品或者服务经营额较少；</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4.及时改正。</w:t>
            </w:r>
          </w:p>
        </w:tc>
        <w:tc>
          <w:tcPr>
            <w:tcW w:w="13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495A85">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《反不正当竞争法》第八条第一款</w:t>
            </w:r>
            <w:r>
              <w:rPr>
                <w:rFonts w:hint="eastAsia" w:ascii="方正仿宋_GBK" w:hAnsi="方正仿宋_GBK" w:eastAsia="方正仿宋_GBK" w:cs="方正仿宋_GBK"/>
                <w:i w:val="0"/>
                <w:iCs w:val="0"/>
                <w:color w:val="auto"/>
                <w:kern w:val="0"/>
                <w:sz w:val="24"/>
                <w:szCs w:val="24"/>
                <w:u w:val="none"/>
                <w:lang w:val="en-US" w:eastAsia="zh-CN" w:bidi="ar"/>
              </w:rPr>
              <w:t>　经营者不得对其商品的性能、功能、质量、销售状况、用户评价、曾获荣誉等作虚假或者引人误解的商业宣传，欺骗、误导消费者。</w:t>
            </w:r>
          </w:p>
        </w:tc>
        <w:tc>
          <w:tcPr>
            <w:tcW w:w="1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9C9F53">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《反不正当竞争法》第二十条第一款  </w:t>
            </w:r>
            <w:r>
              <w:rPr>
                <w:rFonts w:hint="eastAsia" w:ascii="方正仿宋_GBK" w:hAnsi="方正仿宋_GBK" w:eastAsia="方正仿宋_GBK" w:cs="方正仿宋_GBK"/>
                <w:i w:val="0"/>
                <w:iCs w:val="0"/>
                <w:color w:val="auto"/>
                <w:kern w:val="0"/>
                <w:sz w:val="24"/>
                <w:szCs w:val="24"/>
                <w:u w:val="none"/>
                <w:lang w:val="en-US" w:eastAsia="zh-CN" w:bidi="ar"/>
              </w:rPr>
              <w:t xml:space="preserve"> 　经营者违反本法第八条规定对其商品作虚假或者引人误解的商业宣传，或者通过组织虚假交易等方式帮助其他经营者进行虚假或者引人误解的商业宣传的，由监督检查部门责令停止违法行为，处二十万元以上一百万元以下的罚款；情节严重的，处一百万元以上二百万元以下的罚款，可以吊销营业执照。</w:t>
            </w:r>
          </w:p>
        </w:tc>
      </w:tr>
      <w:tr w14:paraId="19A974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25" w:hRule="atLeast"/>
        </w:trPr>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589607">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11</w:t>
            </w:r>
          </w:p>
        </w:tc>
        <w:tc>
          <w:tcPr>
            <w:tcW w:w="2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074850">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57EC01">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有奖销售未按规定公布相关信息</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D726B9">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2.及时改正；</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3.缺漏部分信息但及时改正后不影响兑奖。</w:t>
            </w:r>
          </w:p>
        </w:tc>
        <w:tc>
          <w:tcPr>
            <w:tcW w:w="13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C0FC4A">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《规范促销行为暂行规定》第十三条第一款</w:t>
            </w:r>
            <w:r>
              <w:rPr>
                <w:rFonts w:hint="eastAsia" w:ascii="方正仿宋_GBK" w:hAnsi="方正仿宋_GBK" w:eastAsia="方正仿宋_GBK" w:cs="方正仿宋_GBK"/>
                <w:i w:val="0"/>
                <w:iCs w:val="0"/>
                <w:color w:val="auto"/>
                <w:kern w:val="0"/>
                <w:sz w:val="24"/>
                <w:szCs w:val="24"/>
                <w:u w:val="none"/>
                <w:lang w:val="en-US" w:eastAsia="zh-CN" w:bidi="ar"/>
              </w:rPr>
              <w:t xml:space="preserve">  经营者在有奖销售前，应当明确公布奖项种类、参与条件、参与方式、开奖时间、开奖方式、奖金金额或者奖品价格、奖品品名、奖品种类、奖品数量或者中奖概率、兑奖时间、兑奖条件、兑奖方式、奖品交付方式、弃奖条件、主办方及其联系方式等信息，不得变更，不得附加条件，不得影响兑奖，但有利于消费者的除外。</w:t>
            </w:r>
          </w:p>
        </w:tc>
        <w:tc>
          <w:tcPr>
            <w:tcW w:w="1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01BDE5">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《规范促销行为暂行规定》第二十七条</w:t>
            </w:r>
            <w:r>
              <w:rPr>
                <w:rFonts w:hint="eastAsia" w:ascii="方正仿宋_GBK" w:hAnsi="方正仿宋_GBK" w:eastAsia="方正仿宋_GBK" w:cs="方正仿宋_GBK"/>
                <w:i w:val="0"/>
                <w:iCs w:val="0"/>
                <w:color w:val="auto"/>
                <w:kern w:val="0"/>
                <w:sz w:val="24"/>
                <w:szCs w:val="24"/>
                <w:u w:val="none"/>
                <w:lang w:val="en-US" w:eastAsia="zh-CN" w:bidi="ar"/>
              </w:rPr>
              <w:t xml:space="preserve">  违反本规定第十三条第一款、第十四条、第十五条、第十六条、第十七条，由市场监督管理部门依据反不正当竞争法第二十二条的规定进行处罚。</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b/>
                <w:bCs/>
                <w:i w:val="0"/>
                <w:iCs w:val="0"/>
                <w:color w:val="auto"/>
                <w:kern w:val="0"/>
                <w:sz w:val="24"/>
                <w:szCs w:val="24"/>
                <w:u w:val="none"/>
                <w:lang w:val="en-US" w:eastAsia="zh-CN" w:bidi="ar"/>
              </w:rPr>
              <w:t>《反不正当竞争法》第二十二条</w:t>
            </w:r>
            <w:r>
              <w:rPr>
                <w:rFonts w:hint="eastAsia" w:ascii="方正仿宋_GBK" w:hAnsi="方正仿宋_GBK" w:eastAsia="方正仿宋_GBK" w:cs="方正仿宋_GBK"/>
                <w:i w:val="0"/>
                <w:iCs w:val="0"/>
                <w:color w:val="auto"/>
                <w:kern w:val="0"/>
                <w:sz w:val="24"/>
                <w:szCs w:val="24"/>
                <w:u w:val="none"/>
                <w:lang w:val="en-US" w:eastAsia="zh-CN" w:bidi="ar"/>
              </w:rPr>
              <w:t>　经营者违反本法第十条规定进行有奖销售的，由监督检查部门责令停止违法行为，处五万元以上五十万元以下的罚款。</w:t>
            </w:r>
          </w:p>
        </w:tc>
      </w:tr>
      <w:tr w14:paraId="4C0EA0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55" w:hRule="atLeast"/>
        </w:trPr>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DCBD70">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12</w:t>
            </w:r>
          </w:p>
        </w:tc>
        <w:tc>
          <w:tcPr>
            <w:tcW w:w="229"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3A27C2">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黑体_GBK" w:hAnsi="方正黑体_GBK" w:eastAsia="方正黑体_GBK" w:cs="方正黑体_GBK"/>
                <w:i w:val="0"/>
                <w:iCs w:val="0"/>
                <w:color w:val="auto"/>
                <w:sz w:val="24"/>
                <w:szCs w:val="24"/>
                <w:u w:val="none"/>
              </w:rPr>
            </w:pPr>
            <w:r>
              <w:rPr>
                <w:rFonts w:hint="eastAsia" w:ascii="方正黑体_GBK" w:hAnsi="方正黑体_GBK" w:eastAsia="方正黑体_GBK" w:cs="方正黑体_GBK"/>
                <w:i w:val="0"/>
                <w:iCs w:val="0"/>
                <w:color w:val="auto"/>
                <w:kern w:val="0"/>
                <w:sz w:val="24"/>
                <w:szCs w:val="24"/>
                <w:u w:val="none"/>
                <w:lang w:val="en-US" w:eastAsia="zh-CN" w:bidi="ar"/>
              </w:rPr>
              <w:t>认证</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5B9E41">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认证机构聘用未经注册的人员从事认证活动</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B50AA9">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2.未经注册人员虽从事认证活动但并未对外出具报告；</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3.未经注册的人员较少且违法行为持续时间较短；</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4.及时改正。</w:t>
            </w:r>
          </w:p>
        </w:tc>
        <w:tc>
          <w:tcPr>
            <w:tcW w:w="13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E0003C">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《认证认可条例》第九条第二款</w:t>
            </w:r>
            <w:r>
              <w:rPr>
                <w:rFonts w:hint="eastAsia" w:ascii="方正仿宋_GBK" w:hAnsi="方正仿宋_GBK" w:eastAsia="方正仿宋_GBK" w:cs="方正仿宋_GBK"/>
                <w:i w:val="0"/>
                <w:iCs w:val="0"/>
                <w:color w:val="auto"/>
                <w:kern w:val="0"/>
                <w:sz w:val="24"/>
                <w:szCs w:val="24"/>
                <w:u w:val="none"/>
                <w:lang w:val="en-US" w:eastAsia="zh-CN" w:bidi="ar"/>
              </w:rPr>
              <w:t xml:space="preserve"> 未经批准，任何单位和个人不得从事认证活动。</w:t>
            </w:r>
          </w:p>
        </w:tc>
        <w:tc>
          <w:tcPr>
            <w:tcW w:w="1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58B476">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《认证认可条例》第五十九条第一款第四项</w:t>
            </w:r>
            <w:r>
              <w:rPr>
                <w:rFonts w:hint="eastAsia" w:ascii="方正仿宋_GBK" w:hAnsi="方正仿宋_GBK" w:eastAsia="方正仿宋_GBK" w:cs="方正仿宋_GBK"/>
                <w:i w:val="0"/>
                <w:iCs w:val="0"/>
                <w:color w:val="auto"/>
                <w:kern w:val="0"/>
                <w:sz w:val="24"/>
                <w:szCs w:val="24"/>
                <w:u w:val="none"/>
                <w:lang w:val="en-US" w:eastAsia="zh-CN" w:bidi="ar"/>
              </w:rPr>
              <w:t xml:space="preserve"> 认证机构有下列情形之一的，责令改正，处5万元以上20万元以下的罚款，有违法所得的，没收违法所得；情节严重的，责令停业整顿，直至撤销批准文件，并予公布：　　　（四）聘用未经认可机构注册的人员从事认证活动的。</w:t>
            </w:r>
          </w:p>
        </w:tc>
      </w:tr>
      <w:tr w14:paraId="240678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0" w:hRule="atLeast"/>
        </w:trPr>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EEF59D">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13</w:t>
            </w:r>
          </w:p>
        </w:tc>
        <w:tc>
          <w:tcPr>
            <w:tcW w:w="229"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358F5A">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B7605C">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认证机构未按规定实施有效的跟踪调查</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6A7CDF">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2.违法行为持续时间较短；</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3.及时改正；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4.经其认证的产品、服务、管理体系未产生危害后果。</w:t>
            </w:r>
          </w:p>
        </w:tc>
        <w:tc>
          <w:tcPr>
            <w:tcW w:w="13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E432AF">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《认证认可条例》第二十六条</w:t>
            </w:r>
            <w:r>
              <w:rPr>
                <w:rFonts w:hint="eastAsia" w:ascii="方正仿宋_GBK" w:hAnsi="方正仿宋_GBK" w:eastAsia="方正仿宋_GBK" w:cs="方正仿宋_GBK"/>
                <w:i w:val="0"/>
                <w:iCs w:val="0"/>
                <w:color w:val="auto"/>
                <w:kern w:val="0"/>
                <w:sz w:val="24"/>
                <w:szCs w:val="24"/>
                <w:u w:val="none"/>
                <w:lang w:val="en-US" w:eastAsia="zh-CN" w:bidi="ar"/>
              </w:rPr>
              <w:t xml:space="preserve">  认证机构应当对其认证的产品、服务、管理体系实施有效的跟踪调查，认证的产品、服务、管理体系不能持续符合认证要求的，认证机构应当暂停其使用直至撤销认证证书，并予公布。</w:t>
            </w:r>
          </w:p>
        </w:tc>
        <w:tc>
          <w:tcPr>
            <w:tcW w:w="1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CAFC39">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《认证认可条例》第五十九条第一款第三项 </w:t>
            </w:r>
            <w:r>
              <w:rPr>
                <w:rFonts w:hint="eastAsia" w:ascii="方正仿宋_GBK" w:hAnsi="方正仿宋_GBK" w:eastAsia="方正仿宋_GBK" w:cs="方正仿宋_GBK"/>
                <w:i w:val="0"/>
                <w:iCs w:val="0"/>
                <w:color w:val="auto"/>
                <w:kern w:val="0"/>
                <w:sz w:val="24"/>
                <w:szCs w:val="24"/>
                <w:u w:val="none"/>
                <w:lang w:val="en-US" w:eastAsia="zh-CN" w:bidi="ar"/>
              </w:rPr>
              <w:t xml:space="preserve"> 认证机构有下列情形之一的，责令改正，处5万元以上20万元以下的罚款，有违法所得的，没收违法所得；情节严重的，责令停业整顿，直至撤销批准文件，并予公布：　　（三）未对其认证的产品、服务、管理体系实施有效的跟踪调查，或者发现其认证的产品、服务、管理体系不能持续符合认证要求，不及时暂停其使用或者撤销认证证书并予公布的；</w:t>
            </w:r>
          </w:p>
        </w:tc>
      </w:tr>
      <w:tr w14:paraId="346582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0" w:hRule="atLeast"/>
        </w:trPr>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023A9C">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14</w:t>
            </w:r>
          </w:p>
        </w:tc>
        <w:tc>
          <w:tcPr>
            <w:tcW w:w="229"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EB835E">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5BDA40">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 xml:space="preserve">销售或者在经营活动中使用未经认证的实施强制性产品认证的产品 </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815E4B">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1.初次违法；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2.货值金额较小；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3.未对人体健康或者安全造成损害；</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4.及时改正；</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5.能够说明产品合法来源及提供者。</w:t>
            </w:r>
          </w:p>
        </w:tc>
        <w:tc>
          <w:tcPr>
            <w:tcW w:w="13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0D1879">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《认证认可条例》第二十七条　</w:t>
            </w:r>
            <w:r>
              <w:rPr>
                <w:rFonts w:hint="eastAsia" w:ascii="方正仿宋_GBK" w:hAnsi="方正仿宋_GBK" w:eastAsia="方正仿宋_GBK" w:cs="方正仿宋_GBK"/>
                <w:i w:val="0"/>
                <w:iCs w:val="0"/>
                <w:color w:val="auto"/>
                <w:kern w:val="0"/>
                <w:sz w:val="24"/>
                <w:szCs w:val="24"/>
                <w:u w:val="none"/>
                <w:lang w:val="en-US" w:eastAsia="zh-CN" w:bidi="ar"/>
              </w:rPr>
              <w:t xml:space="preserve">为了保护国家安全、防止欺诈行为、保护人体健康或者安全、保护动植物生命或者健康、保护环境，国家规定相关产品必须经过认证的，应当经过认证并标注认证标志后，方可出厂、销售、进口或者在其他经营活动中使用。 </w:t>
            </w:r>
          </w:p>
        </w:tc>
        <w:tc>
          <w:tcPr>
            <w:tcW w:w="1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FA5D31">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《认证认可条例》第六十六条  </w:t>
            </w:r>
            <w:r>
              <w:rPr>
                <w:rFonts w:hint="eastAsia" w:ascii="方正仿宋_GBK" w:hAnsi="方正仿宋_GBK" w:eastAsia="方正仿宋_GBK" w:cs="方正仿宋_GBK"/>
                <w:i w:val="0"/>
                <w:iCs w:val="0"/>
                <w:color w:val="auto"/>
                <w:kern w:val="0"/>
                <w:sz w:val="24"/>
                <w:szCs w:val="24"/>
                <w:u w:val="none"/>
                <w:lang w:val="en-US" w:eastAsia="zh-CN" w:bidi="ar"/>
              </w:rPr>
              <w:t>列入目录的产品未经认证，擅自出厂、销售、进口或者在其他经营活动中使用的，责令限期改正，处5万元以上20万元以下的罚款；未经认证的违法产品货值金额不足1万元的，</w:t>
            </w:r>
            <w:r>
              <w:rPr>
                <w:rFonts w:hint="eastAsia" w:ascii="方正仿宋_GBK" w:hAnsi="方正仿宋_GBK" w:eastAsia="方正仿宋_GBK" w:cs="方正仿宋_GBK"/>
                <w:b w:val="0"/>
                <w:bCs w:val="0"/>
                <w:i w:val="0"/>
                <w:iCs w:val="0"/>
                <w:color w:val="auto"/>
                <w:kern w:val="0"/>
                <w:sz w:val="24"/>
                <w:szCs w:val="24"/>
                <w:u w:val="none"/>
                <w:lang w:val="en-US" w:eastAsia="zh-CN" w:bidi="ar"/>
              </w:rPr>
              <w:t>处货值金额2倍以下的罚款；</w:t>
            </w:r>
            <w:r>
              <w:rPr>
                <w:rFonts w:hint="eastAsia" w:ascii="方正仿宋_GBK" w:hAnsi="方正仿宋_GBK" w:eastAsia="方正仿宋_GBK" w:cs="方正仿宋_GBK"/>
                <w:i w:val="0"/>
                <w:iCs w:val="0"/>
                <w:color w:val="auto"/>
                <w:kern w:val="0"/>
                <w:sz w:val="24"/>
                <w:szCs w:val="24"/>
                <w:u w:val="none"/>
                <w:lang w:val="en-US" w:eastAsia="zh-CN" w:bidi="ar"/>
              </w:rPr>
              <w:t>有违法所得的，没收违法所得。</w:t>
            </w:r>
          </w:p>
        </w:tc>
      </w:tr>
      <w:tr w14:paraId="34510A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10" w:hRule="atLeast"/>
        </w:trPr>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00EE1E">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15</w:t>
            </w:r>
          </w:p>
        </w:tc>
        <w:tc>
          <w:tcPr>
            <w:tcW w:w="22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688E677">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0B4F03">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生产经营不符合法律、法规或者食品安全标准的食品、食品添加剂</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6DCD24">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2.违法行为持续时间较短；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3.需要取得许可的，已取得相关许可；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4.案涉食品、食品添加剂或者食品原料来源合法；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5.货值金额较小；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6.及时改正；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7.未造成食品安全事故。</w:t>
            </w:r>
          </w:p>
        </w:tc>
        <w:tc>
          <w:tcPr>
            <w:tcW w:w="13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569313">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《食品安全法》第三十四条第二、四、六项</w:t>
            </w:r>
            <w:r>
              <w:rPr>
                <w:rFonts w:hint="eastAsia" w:ascii="方正仿宋_GBK" w:hAnsi="方正仿宋_GBK" w:eastAsia="方正仿宋_GBK" w:cs="方正仿宋_GBK"/>
                <w:i w:val="0"/>
                <w:iCs w:val="0"/>
                <w:color w:val="auto"/>
                <w:kern w:val="0"/>
                <w:sz w:val="24"/>
                <w:szCs w:val="24"/>
                <w:u w:val="none"/>
                <w:lang w:val="en-US" w:eastAsia="zh-CN" w:bidi="ar"/>
              </w:rPr>
              <w:t>　禁止生产经营下列食品、食品添加剂、食品相关产品：（二）致病性微生物，农药残留、兽药残留、生物毒素、重金属等污染物质以及其他危害人体健康的物质含量超过食品安全标准限量的食品、食品添加剂、食品相关产品；（四）超范围、超限量使用食品添加剂的食品；（六）腐败变质、油脂酸败、霉变生虫、污秽不洁、混有异物、掺假掺杂或者感官性状异常的食品、食品添加剂；</w:t>
            </w:r>
          </w:p>
        </w:tc>
        <w:tc>
          <w:tcPr>
            <w:tcW w:w="1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E85922">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《食品安全法》第一百二十四条第一款第一、三、四项 </w:t>
            </w:r>
            <w:r>
              <w:rPr>
                <w:rFonts w:hint="eastAsia" w:ascii="方正仿宋_GBK" w:hAnsi="方正仿宋_GBK" w:eastAsia="方正仿宋_GBK" w:cs="方正仿宋_GBK"/>
                <w:i w:val="0"/>
                <w:iCs w:val="0"/>
                <w:color w:val="auto"/>
                <w:kern w:val="0"/>
                <w:sz w:val="24"/>
                <w:szCs w:val="24"/>
                <w:u w:val="none"/>
                <w:lang w:val="en-US" w:eastAsia="zh-CN" w:bidi="ar"/>
              </w:rPr>
              <w:t xml:space="preserve"> 违反本法规定，有下列情形之一，尚不构成犯罪的，没收违法所得和违法生产经营的食品、食品添加剂，并可以没收用于违法生产经营的工具、设备、原料等物品；违法生产经营的食品、食品添加剂货值金额不足一万元的，并处五万元以上十万元以下罚款；货值金额一万元以上的，并处货值金额十倍以上二十倍以下罚款；情节严重的，吊销许可证：（一）生产经营致病性微生物，农药残留、兽药残留、生物毒素、重金属等污染物质以及其他危害人体健康的物质含量超过食品安全标准限量的食品、食品添加剂；（三）生产经营超范围、超限量使用食品添加剂的食品；（四）生产经营腐败变质、油脂酸败、霉变生虫、污秽不洁、混有异物、掺假掺杂或者感官性状异常的食品、食品添加剂；</w:t>
            </w:r>
          </w:p>
        </w:tc>
      </w:tr>
      <w:tr w14:paraId="025338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40" w:hRule="atLeast"/>
        </w:trPr>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D11324">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16</w:t>
            </w:r>
          </w:p>
        </w:tc>
        <w:tc>
          <w:tcPr>
            <w:tcW w:w="2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B8D2DD">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48B7F0">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生产经营其他不符合法律、法规或者食品安全标准的食品、食品添加剂</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CB0341">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2.违法行为持续时间较短；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3.需要取得许可的，已取得相关许可；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4.案涉食品、食品添加剂或者食品原料来源合法；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5.货值金额较小；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6.及时改正；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7.未造成食品安全事故。</w:t>
            </w:r>
          </w:p>
        </w:tc>
        <w:tc>
          <w:tcPr>
            <w:tcW w:w="13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0ACE6D">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《食品安全法》第三十四条第十三项</w:t>
            </w:r>
            <w:r>
              <w:rPr>
                <w:rFonts w:hint="eastAsia" w:ascii="方正仿宋_GBK" w:hAnsi="方正仿宋_GBK" w:eastAsia="方正仿宋_GBK" w:cs="方正仿宋_GBK"/>
                <w:i w:val="0"/>
                <w:iCs w:val="0"/>
                <w:color w:val="auto"/>
                <w:kern w:val="0"/>
                <w:sz w:val="24"/>
                <w:szCs w:val="24"/>
                <w:u w:val="none"/>
                <w:lang w:val="en-US" w:eastAsia="zh-CN" w:bidi="ar"/>
              </w:rPr>
              <w:t xml:space="preserve">  禁止生产经营下列食品、食品添加剂、食品相关产品：（十三）其他不符合法律、法规或者食品安全标准的食品、食品添加剂、食品相关产品。</w:t>
            </w:r>
          </w:p>
        </w:tc>
        <w:tc>
          <w:tcPr>
            <w:tcW w:w="1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B554E1">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《食品安全法》第一百二十四条第二款 </w:t>
            </w:r>
            <w:r>
              <w:rPr>
                <w:rFonts w:hint="eastAsia" w:ascii="方正仿宋_GBK" w:hAnsi="方正仿宋_GBK" w:eastAsia="方正仿宋_GBK" w:cs="方正仿宋_GBK"/>
                <w:i w:val="0"/>
                <w:iCs w:val="0"/>
                <w:color w:val="auto"/>
                <w:kern w:val="0"/>
                <w:sz w:val="24"/>
                <w:szCs w:val="24"/>
                <w:u w:val="none"/>
                <w:lang w:val="en-US" w:eastAsia="zh-CN" w:bidi="ar"/>
              </w:rPr>
              <w:t xml:space="preserve"> 除前款和本法第一百二十三条、第一百二十五条规定的情形外，生产经营不符合法律、法规或者食品安全标准的食品、食品添加剂的，依照前款规定给予处罚。</w:t>
            </w:r>
          </w:p>
        </w:tc>
      </w:tr>
      <w:tr w14:paraId="4C38D4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75" w:hRule="atLeast"/>
        </w:trPr>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843E87">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17</w:t>
            </w:r>
          </w:p>
        </w:tc>
        <w:tc>
          <w:tcPr>
            <w:tcW w:w="2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43768B">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051344">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生产经营标签、说明书不符合规定的食品、食品添加剂</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3A3227">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2.违法行为持续时间较短；</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3.货值金额较小；</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4.经营者能说明食品、食品添加剂合法来源；</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5.及时改正。</w:t>
            </w:r>
          </w:p>
        </w:tc>
        <w:tc>
          <w:tcPr>
            <w:tcW w:w="13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B7F5F2">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《食品安全法》第六十七条第一、二款</w:t>
            </w:r>
            <w:r>
              <w:rPr>
                <w:rFonts w:hint="eastAsia" w:ascii="方正仿宋_GBK" w:hAnsi="方正仿宋_GBK" w:eastAsia="方正仿宋_GBK" w:cs="方正仿宋_GBK"/>
                <w:i w:val="0"/>
                <w:iCs w:val="0"/>
                <w:color w:val="auto"/>
                <w:kern w:val="0"/>
                <w:sz w:val="24"/>
                <w:szCs w:val="24"/>
                <w:u w:val="none"/>
                <w:lang w:val="en-US" w:eastAsia="zh-CN" w:bidi="ar"/>
              </w:rPr>
              <w:t>　预包装食品的包装上应当有标签。标签应当标明下列事项：</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（一）名称、规格、净含量、生产日期；</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（二）成分或者配料表；</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（三）生产者的名称、地址、联系方式；</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（四）保质期；</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（五）产品标准代号；</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（六）贮存条件；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（七）所使用的食品添加剂在国家标准中的通用名称；</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（八）生产许可证编号；</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　（九）法律、法规或者食品安全标准规定应当标明的其他事项。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   专供婴幼儿和其他特定人群的主辅食品，其标签还应当标明主要营养成分及其含量。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b/>
                <w:bCs/>
                <w:i w:val="0"/>
                <w:iCs w:val="0"/>
                <w:color w:val="auto"/>
                <w:kern w:val="0"/>
                <w:sz w:val="24"/>
                <w:szCs w:val="24"/>
                <w:u w:val="none"/>
                <w:lang w:val="en-US" w:eastAsia="zh-CN" w:bidi="ar"/>
              </w:rPr>
              <w:t xml:space="preserve">   第七十一条第二、三款</w:t>
            </w:r>
            <w:r>
              <w:rPr>
                <w:rFonts w:hint="eastAsia" w:ascii="方正仿宋_GBK" w:hAnsi="方正仿宋_GBK" w:eastAsia="方正仿宋_GBK" w:cs="方正仿宋_GBK"/>
                <w:i w:val="0"/>
                <w:iCs w:val="0"/>
                <w:color w:val="auto"/>
                <w:kern w:val="0"/>
                <w:sz w:val="24"/>
                <w:szCs w:val="24"/>
                <w:u w:val="none"/>
                <w:lang w:val="en-US" w:eastAsia="zh-CN" w:bidi="ar"/>
              </w:rPr>
              <w:t xml:space="preserve">  食品和食品添加剂的标签、说明书应当清楚、明显，生产日期、保质期等事项应当显著标注，容易辨识。</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食品和食品添加剂与其标签、说明书的内容不符的，不得上市销售。</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 </w:t>
            </w:r>
            <w:r>
              <w:rPr>
                <w:rFonts w:hint="eastAsia" w:ascii="方正仿宋_GBK" w:hAnsi="方正仿宋_GBK" w:eastAsia="方正仿宋_GBK" w:cs="方正仿宋_GBK"/>
                <w:b/>
                <w:bCs/>
                <w:i w:val="0"/>
                <w:iCs w:val="0"/>
                <w:color w:val="auto"/>
                <w:kern w:val="0"/>
                <w:sz w:val="24"/>
                <w:szCs w:val="24"/>
                <w:u w:val="none"/>
                <w:lang w:val="en-US" w:eastAsia="zh-CN" w:bidi="ar"/>
              </w:rPr>
              <w:t>第七十条、第七十八条、第九十七条</w:t>
            </w:r>
            <w:r>
              <w:rPr>
                <w:rFonts w:hint="eastAsia" w:ascii="方正仿宋_GBK" w:hAnsi="方正仿宋_GBK" w:eastAsia="方正仿宋_GBK" w:cs="方正仿宋_GBK"/>
                <w:i w:val="0"/>
                <w:iCs w:val="0"/>
                <w:color w:val="auto"/>
                <w:kern w:val="0"/>
                <w:sz w:val="24"/>
                <w:szCs w:val="24"/>
                <w:u w:val="none"/>
                <w:lang w:val="en-US" w:eastAsia="zh-CN" w:bidi="ar"/>
              </w:rPr>
              <w:t>。（略）</w:t>
            </w:r>
          </w:p>
        </w:tc>
        <w:tc>
          <w:tcPr>
            <w:tcW w:w="16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4E877C">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《食品安全法》第一百二十五条第一款第二项</w:t>
            </w:r>
            <w:r>
              <w:rPr>
                <w:rFonts w:hint="eastAsia" w:ascii="方正仿宋_GBK" w:hAnsi="方正仿宋_GBK" w:eastAsia="方正仿宋_GBK" w:cs="方正仿宋_GBK"/>
                <w:i w:val="0"/>
                <w:iCs w:val="0"/>
                <w:color w:val="auto"/>
                <w:kern w:val="0"/>
                <w:sz w:val="24"/>
                <w:szCs w:val="24"/>
                <w:u w:val="none"/>
                <w:lang w:val="en-US" w:eastAsia="zh-CN" w:bidi="ar"/>
              </w:rPr>
              <w:t>　违反本法规定，有下列情形之一的，由县级以上人民政府食品安全监督管理部门没收违法所得和违法生产经营的食品、食品添加剂，并可以没收用于违法生产经营的工具、设备、原料等物品；违法生产经营的食品、食品添加剂货值金额不足一万元的，并处五千元以上五万元以下罚款；货值金额一万元以上的，并处货值金额五倍以上十倍以下罚款；情节严重的，责令停产停业，直至吊销许可证：（二）生产经营无标签的预包装食品、食品添加剂或者标签、说明书不符合本法规定的食品、食品添加剂；</w:t>
            </w:r>
          </w:p>
        </w:tc>
      </w:tr>
      <w:tr w14:paraId="62B381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75" w:hRule="atLeast"/>
        </w:trPr>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285026">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18</w:t>
            </w:r>
          </w:p>
        </w:tc>
        <w:tc>
          <w:tcPr>
            <w:tcW w:w="2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473871">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501425">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未经许可生产少量食品</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CB7C13">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2.违法行为持续时间较短；</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3.案涉食品货值金额较小；</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4.食品原料来源合法；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5.生产的食品不存在食品安全风险；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6.及时改正。</w:t>
            </w:r>
          </w:p>
        </w:tc>
        <w:tc>
          <w:tcPr>
            <w:tcW w:w="13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78E1C7">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《食品安全法》第三十五条</w:t>
            </w:r>
            <w:r>
              <w:rPr>
                <w:rFonts w:hint="eastAsia" w:ascii="方正仿宋_GBK" w:hAnsi="方正仿宋_GBK" w:eastAsia="方正仿宋_GBK" w:cs="方正仿宋_GBK"/>
                <w:i w:val="0"/>
                <w:iCs w:val="0"/>
                <w:color w:val="auto"/>
                <w:kern w:val="0"/>
                <w:sz w:val="24"/>
                <w:szCs w:val="24"/>
                <w:u w:val="none"/>
                <w:lang w:val="en-US" w:eastAsia="zh-CN" w:bidi="ar"/>
              </w:rPr>
              <w:t xml:space="preserve">  国家对食品生产经营实行许可制度。从事食品生产、食品销售、餐饮服务，应当依法取得许可。但是，销售食用农产品和仅销售预包装食品的，不需要取得许可。仅销售预包装食品的，应当报所在地县级以上地方人民政府食品安全监督管理部门备案。</w:t>
            </w:r>
          </w:p>
        </w:tc>
        <w:tc>
          <w:tcPr>
            <w:tcW w:w="1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EE2441">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《食品安全法》第一百二十二条 </w:t>
            </w:r>
            <w:r>
              <w:rPr>
                <w:rFonts w:hint="eastAsia" w:ascii="方正仿宋_GBK" w:hAnsi="方正仿宋_GBK" w:eastAsia="方正仿宋_GBK" w:cs="方正仿宋_GBK"/>
                <w:i w:val="0"/>
                <w:iCs w:val="0"/>
                <w:color w:val="auto"/>
                <w:kern w:val="0"/>
                <w:sz w:val="24"/>
                <w:szCs w:val="24"/>
                <w:u w:val="none"/>
                <w:lang w:val="en-US" w:eastAsia="zh-CN" w:bidi="ar"/>
              </w:rPr>
              <w:t>违反本法规定，未取得食品生产经营许可从事食品生产经营活动，或者未取得食品添加剂生产许可从事食品添加剂生产活动的，由县级以上人民政府食品药品监督管理部门没收违法所得和违法生产经营的食品、食品添加剂以及用于违法生产经营的工具、设备、原料等物品；违法生产经营的食品、食品添加剂货值金额不足一万元的，并处五万元以上十万元以下罚款； 货值金额一万元以上的，并处货值金额十倍以上二十倍以下罚款。</w:t>
            </w:r>
          </w:p>
        </w:tc>
      </w:tr>
      <w:tr w14:paraId="427C7F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0" w:hRule="atLeast"/>
        </w:trPr>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10C764">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19</w:t>
            </w:r>
          </w:p>
        </w:tc>
        <w:tc>
          <w:tcPr>
            <w:tcW w:w="2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EC55C9">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693EE2">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未经许可从事餐饮服务</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34C3C9">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对小餐饮以外的餐饮服务提供者减轻处罚，应当同时具备以下条件：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2.违法行为持续时间较短；</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3.经营规模较小；</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4.食品原料来源合法；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5.使用的食品原料和加工的食品不存在食品安全风险；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6.及时改正。</w:t>
            </w:r>
          </w:p>
        </w:tc>
        <w:tc>
          <w:tcPr>
            <w:tcW w:w="13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B3ADA6">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《食品安全法》第三十五条</w:t>
            </w:r>
            <w:r>
              <w:rPr>
                <w:rFonts w:hint="eastAsia" w:ascii="方正仿宋_GBK" w:hAnsi="方正仿宋_GBK" w:eastAsia="方正仿宋_GBK" w:cs="方正仿宋_GBK"/>
                <w:i w:val="0"/>
                <w:iCs w:val="0"/>
                <w:color w:val="auto"/>
                <w:kern w:val="0"/>
                <w:sz w:val="24"/>
                <w:szCs w:val="24"/>
                <w:u w:val="none"/>
                <w:lang w:val="en-US" w:eastAsia="zh-CN" w:bidi="ar"/>
              </w:rPr>
              <w:t xml:space="preserve">  国家对食品生产经营实行许可制度。从事食品生产、食品销售、餐饮服务，应当依法取得许可。但是，销售食用农产品和仅销售预包装食品的，不需要取得许可。仅销售预包装食品的，应当报所在地县级以上地方人民政府食品安全监督管理部门备案。         </w:t>
            </w:r>
          </w:p>
        </w:tc>
        <w:tc>
          <w:tcPr>
            <w:tcW w:w="1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E2DC43">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《食品安全法》第一百二十二条</w:t>
            </w:r>
            <w:r>
              <w:rPr>
                <w:rFonts w:hint="eastAsia" w:ascii="方正仿宋_GBK" w:hAnsi="方正仿宋_GBK" w:eastAsia="方正仿宋_GBK" w:cs="方正仿宋_GBK"/>
                <w:i w:val="0"/>
                <w:iCs w:val="0"/>
                <w:color w:val="auto"/>
                <w:kern w:val="0"/>
                <w:sz w:val="24"/>
                <w:szCs w:val="24"/>
                <w:u w:val="none"/>
                <w:lang w:val="en-US" w:eastAsia="zh-CN" w:bidi="ar"/>
              </w:rPr>
              <w:t>　违反本法规定，未取得食品生产经营许可从事食品生产经营活动，或者未取得食品添加剂生产许可从事食品添加剂生产活动的，由县级以上人民政府食品安全监督管理部门没收违法所得和违法生产经营的食品、食品添加剂以及用于违法生产经营的工具、设备、原料等物品；违法生产经营的食品、食品添加剂货值金额不足一万元的，并处五万元以上十万元以下罚款；货值金额一万元以上的，并处货值金额十倍以上二十倍以下罚款。</w:t>
            </w:r>
          </w:p>
        </w:tc>
      </w:tr>
      <w:tr w14:paraId="2F4C5E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0" w:hRule="atLeast"/>
        </w:trPr>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F2E221">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20</w:t>
            </w:r>
          </w:p>
        </w:tc>
        <w:tc>
          <w:tcPr>
            <w:tcW w:w="2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F42A2B">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902B29">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经营超过保质期的食品、食品添加剂</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1BBE40">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1.超过保质期时间较短；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2.案涉过期食品货值金额较小；</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3.及时改正；</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4.危害后果轻微。</w:t>
            </w:r>
          </w:p>
        </w:tc>
        <w:tc>
          <w:tcPr>
            <w:tcW w:w="13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244EB4">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《食品安全法》第三十四条第十项</w:t>
            </w:r>
            <w:r>
              <w:rPr>
                <w:rFonts w:hint="eastAsia" w:ascii="方正仿宋_GBK" w:hAnsi="方正仿宋_GBK" w:eastAsia="方正仿宋_GBK" w:cs="方正仿宋_GBK"/>
                <w:i w:val="0"/>
                <w:iCs w:val="0"/>
                <w:color w:val="auto"/>
                <w:kern w:val="0"/>
                <w:sz w:val="24"/>
                <w:szCs w:val="24"/>
                <w:u w:val="none"/>
                <w:lang w:val="en-US" w:eastAsia="zh-CN" w:bidi="ar"/>
              </w:rPr>
              <w:t>　禁止生产经营下列食品、食品添加剂、食品相关产品：（十）标注虚假生产日期、保质期或者超过保质期的食品、食品添加剂；</w:t>
            </w:r>
          </w:p>
        </w:tc>
        <w:tc>
          <w:tcPr>
            <w:tcW w:w="1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15E657">
            <w:pPr>
              <w:keepNext w:val="0"/>
              <w:keepLines w:val="0"/>
              <w:pageBreakBefore w:val="0"/>
              <w:widowControl/>
              <w:suppressLineNumbers w:val="0"/>
              <w:kinsoku/>
              <w:wordWrap/>
              <w:overflowPunct/>
              <w:topLinePunct w:val="0"/>
              <w:autoSpaceDE/>
              <w:autoSpaceDN/>
              <w:bidi w:val="0"/>
              <w:adjustRightInd w:val="0"/>
              <w:snapToGrid w:val="0"/>
              <w:spacing w:line="280" w:lineRule="exact"/>
              <w:jc w:val="left"/>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《食品安全法》第一百二十四条第一款第五项</w:t>
            </w:r>
            <w:r>
              <w:rPr>
                <w:rFonts w:hint="eastAsia" w:ascii="方正仿宋_GBK" w:hAnsi="方正仿宋_GBK" w:eastAsia="方正仿宋_GBK" w:cs="方正仿宋_GBK"/>
                <w:i w:val="0"/>
                <w:iCs w:val="0"/>
                <w:color w:val="auto"/>
                <w:kern w:val="0"/>
                <w:sz w:val="24"/>
                <w:szCs w:val="24"/>
                <w:u w:val="none"/>
                <w:lang w:val="en-US" w:eastAsia="zh-CN" w:bidi="ar"/>
              </w:rPr>
              <w:t xml:space="preserve">  违反本法规定，有下列情形之一，尚不构成犯罪的，由县级以上人民政府食品安全监督管理部门没收违法所得和违法生产经营的食品、食品添加剂，并可以没收用于违法生产经营的工具、设备、原料等物品；违法生产经营的食品、食品添加剂货值金额不足一万元的，并处五万元以上十万元以下罚款；货值金额一万元以上的，并处货值金额十倍以上二十倍以下罚款；情节严重的，吊销许可证：（五）生产经营标注虚假生产日期、保质期或者超过保质期的食品、食品添加剂；</w:t>
            </w:r>
          </w:p>
        </w:tc>
      </w:tr>
      <w:tr w14:paraId="5372AC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25" w:hRule="atLeast"/>
        </w:trPr>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0412D9">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21</w:t>
            </w:r>
          </w:p>
        </w:tc>
        <w:tc>
          <w:tcPr>
            <w:tcW w:w="229"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E9CDFE">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黑体_GBK" w:hAnsi="方正黑体_GBK" w:eastAsia="方正黑体_GBK" w:cs="方正黑体_GBK"/>
                <w:i w:val="0"/>
                <w:iCs w:val="0"/>
                <w:color w:val="auto"/>
                <w:sz w:val="24"/>
                <w:szCs w:val="24"/>
                <w:u w:val="none"/>
              </w:rPr>
            </w:pPr>
            <w:r>
              <w:rPr>
                <w:rFonts w:hint="eastAsia" w:ascii="方正黑体_GBK" w:hAnsi="方正黑体_GBK" w:eastAsia="方正黑体_GBK" w:cs="方正黑体_GBK"/>
                <w:i w:val="0"/>
                <w:iCs w:val="0"/>
                <w:color w:val="auto"/>
                <w:kern w:val="0"/>
                <w:sz w:val="24"/>
                <w:szCs w:val="24"/>
                <w:u w:val="none"/>
                <w:lang w:val="en-US" w:eastAsia="zh-CN" w:bidi="ar"/>
              </w:rPr>
              <w:t>产品质量</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670F86">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销售不符合国家标准、行业标准的产品</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0F487E">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1.不知道销售的商品不符合国家标准、行业标准并如实提供来源；</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2.及时停止销售；</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3.未造成健康损害、人身伤亡、重大财产损失。</w:t>
            </w:r>
          </w:p>
        </w:tc>
        <w:tc>
          <w:tcPr>
            <w:tcW w:w="13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423D44">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《产品质量法》第二十六条第二款第一项  </w:t>
            </w:r>
            <w:r>
              <w:rPr>
                <w:rFonts w:hint="eastAsia" w:ascii="方正仿宋_GBK" w:hAnsi="方正仿宋_GBK" w:eastAsia="方正仿宋_GBK" w:cs="方正仿宋_GBK"/>
                <w:i w:val="0"/>
                <w:iCs w:val="0"/>
                <w:color w:val="auto"/>
                <w:kern w:val="0"/>
                <w:sz w:val="24"/>
                <w:szCs w:val="24"/>
                <w:u w:val="none"/>
                <w:lang w:val="en-US" w:eastAsia="zh-CN" w:bidi="ar"/>
              </w:rPr>
              <w:t>产品质量应当符合下列要求：(一)不存在危及人身、财产安全的不合理的危险，有保障人体健康和人身、财产安全的国家标准、行业标准的，应当符合该标准；</w:t>
            </w:r>
          </w:p>
        </w:tc>
        <w:tc>
          <w:tcPr>
            <w:tcW w:w="1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25DCB1">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《产品质量法》第四十九条  </w:t>
            </w:r>
            <w:r>
              <w:rPr>
                <w:rFonts w:hint="eastAsia" w:ascii="方正仿宋_GBK" w:hAnsi="方正仿宋_GBK" w:eastAsia="方正仿宋_GBK" w:cs="方正仿宋_GBK"/>
                <w:i w:val="0"/>
                <w:iCs w:val="0"/>
                <w:color w:val="auto"/>
                <w:kern w:val="0"/>
                <w:sz w:val="24"/>
                <w:szCs w:val="24"/>
                <w:u w:val="none"/>
                <w:lang w:val="en-US" w:eastAsia="zh-CN" w:bidi="ar"/>
              </w:rPr>
              <w:t>生产、销售不符合保障人体健康和人身、财产安全的国家标准、行业标准的产品的，责令停止生产、销售，没收违法生产、销售的产品，并处违法生产、销售产品(包括已售出和未售出的产品，下同)货值金额等值以上三倍以下的罚款；有违法所得的，并处没收违法所得；情节严重的，吊销营业执照；构成犯罪的，依法追究刑事责任。</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b/>
                <w:bCs/>
                <w:i w:val="0"/>
                <w:iCs w:val="0"/>
                <w:color w:val="auto"/>
                <w:kern w:val="0"/>
                <w:sz w:val="24"/>
                <w:szCs w:val="24"/>
                <w:u w:val="none"/>
                <w:lang w:val="en-US" w:eastAsia="zh-CN" w:bidi="ar"/>
              </w:rPr>
              <w:t xml:space="preserve">第五十五条  </w:t>
            </w:r>
            <w:r>
              <w:rPr>
                <w:rFonts w:hint="eastAsia" w:ascii="方正仿宋_GBK" w:hAnsi="方正仿宋_GBK" w:eastAsia="方正仿宋_GBK" w:cs="方正仿宋_GBK"/>
                <w:i w:val="0"/>
                <w:iCs w:val="0"/>
                <w:color w:val="auto"/>
                <w:kern w:val="0"/>
                <w:sz w:val="24"/>
                <w:szCs w:val="24"/>
                <w:u w:val="none"/>
                <w:lang w:val="en-US" w:eastAsia="zh-CN" w:bidi="ar"/>
              </w:rPr>
              <w:t>销售者销售本法第四十九条至第五十三条规定禁止销售的产品，有充分证据证明其不知道该产品为禁止销售的产品并如实说明其进货来源的，可以从轻或者减轻处罚。</w:t>
            </w:r>
          </w:p>
        </w:tc>
      </w:tr>
      <w:tr w14:paraId="253060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25" w:hRule="atLeast"/>
        </w:trPr>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059A13">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22</w:t>
            </w:r>
          </w:p>
        </w:tc>
        <w:tc>
          <w:tcPr>
            <w:tcW w:w="229"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24632B">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89B924">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销售掺杂、掺假，以假充真，以次充好，或者以不合格冒充合格的产品</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E17062">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1.不知道销售的商品不符合国家标准、行业标准并如实提供来源；</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2.及时停止销售；</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3.未造成健康损害、人身伤亡、重大财产损失。</w:t>
            </w:r>
          </w:p>
        </w:tc>
        <w:tc>
          <w:tcPr>
            <w:tcW w:w="13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B9ACA2">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《产品质量法》第三十九条 </w:t>
            </w:r>
            <w:r>
              <w:rPr>
                <w:rFonts w:hint="eastAsia" w:ascii="方正仿宋_GBK" w:hAnsi="方正仿宋_GBK" w:eastAsia="方正仿宋_GBK" w:cs="方正仿宋_GBK"/>
                <w:i w:val="0"/>
                <w:iCs w:val="0"/>
                <w:color w:val="auto"/>
                <w:kern w:val="0"/>
                <w:sz w:val="24"/>
                <w:szCs w:val="24"/>
                <w:u w:val="none"/>
                <w:lang w:val="en-US" w:eastAsia="zh-CN" w:bidi="ar"/>
              </w:rPr>
              <w:t>销售者销售产品，不得掺杂、掺假，不得以假充真、以次充好，不得以不合格产品冒充合格产品。</w:t>
            </w:r>
          </w:p>
        </w:tc>
        <w:tc>
          <w:tcPr>
            <w:tcW w:w="1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BC53F2">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《产品质量法》第五十条  </w:t>
            </w:r>
            <w:r>
              <w:rPr>
                <w:rFonts w:hint="eastAsia" w:ascii="方正仿宋_GBK" w:hAnsi="方正仿宋_GBK" w:eastAsia="方正仿宋_GBK" w:cs="方正仿宋_GBK"/>
                <w:i w:val="0"/>
                <w:iCs w:val="0"/>
                <w:color w:val="auto"/>
                <w:kern w:val="0"/>
                <w:sz w:val="24"/>
                <w:szCs w:val="24"/>
                <w:u w:val="none"/>
                <w:lang w:val="en-US" w:eastAsia="zh-CN" w:bidi="ar"/>
              </w:rPr>
              <w:t>在产品中掺杂、掺假，以假充真，以次充好，或者以不合格产品冒充合格产品的，责令停止生产、销售，没收违法生产、销售的产品，并处违法生产、销售产品货值金额百分之五十以上三倍以下的罚款；有违法所得的，并处没收违法所得；情节严重的，吊销营业执照；构成犯罪的，依法追究刑事责任。</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b/>
                <w:bCs/>
                <w:i w:val="0"/>
                <w:iCs w:val="0"/>
                <w:color w:val="auto"/>
                <w:kern w:val="0"/>
                <w:sz w:val="24"/>
                <w:szCs w:val="24"/>
                <w:u w:val="none"/>
                <w:lang w:val="en-US" w:eastAsia="zh-CN" w:bidi="ar"/>
              </w:rPr>
              <w:t>第五十五条</w:t>
            </w:r>
            <w:r>
              <w:rPr>
                <w:rFonts w:hint="eastAsia" w:ascii="方正仿宋_GBK" w:hAnsi="方正仿宋_GBK" w:eastAsia="方正仿宋_GBK" w:cs="方正仿宋_GBK"/>
                <w:i w:val="0"/>
                <w:iCs w:val="0"/>
                <w:color w:val="auto"/>
                <w:kern w:val="0"/>
                <w:sz w:val="24"/>
                <w:szCs w:val="24"/>
                <w:u w:val="none"/>
                <w:lang w:val="en-US" w:eastAsia="zh-CN" w:bidi="ar"/>
              </w:rPr>
              <w:t xml:space="preserve">  销售者销售本法第四十九条至第五十三条规定禁止销售的产品，有充分证据证明其不知道该产品为禁止销售的产品并如实说明其进货来源的，可以从轻或者减轻处罚。</w:t>
            </w:r>
          </w:p>
        </w:tc>
      </w:tr>
      <w:tr w14:paraId="49B6BE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50" w:hRule="atLeast"/>
        </w:trPr>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5CD9FC">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23</w:t>
            </w:r>
          </w:p>
        </w:tc>
        <w:tc>
          <w:tcPr>
            <w:tcW w:w="229"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0AE045">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676D68">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销售或者在经营活动中使用未取得生产许可证的列入目录的产品</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00C023">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1.不知道产品未取得生产许可证；</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2.及时停止销售或使用；</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3.未造成健康损害、人身伤亡、重大财产损失。</w:t>
            </w:r>
          </w:p>
        </w:tc>
        <w:tc>
          <w:tcPr>
            <w:tcW w:w="13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CF4D31">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《工业产品生产许可证管理条例》第五条</w:t>
            </w:r>
            <w:r>
              <w:rPr>
                <w:rFonts w:hint="eastAsia" w:ascii="方正仿宋_GBK" w:hAnsi="方正仿宋_GBK" w:eastAsia="方正仿宋_GBK" w:cs="方正仿宋_GBK"/>
                <w:i w:val="0"/>
                <w:iCs w:val="0"/>
                <w:color w:val="auto"/>
                <w:kern w:val="0"/>
                <w:sz w:val="24"/>
                <w:szCs w:val="24"/>
                <w:u w:val="none"/>
                <w:lang w:val="en-US" w:eastAsia="zh-CN" w:bidi="ar"/>
              </w:rPr>
              <w:t>　任何企业未取得生产许可证不得生产列入目录的产品。任何单位和个人不得销售或者在经营活动中使用未取得生产许可证的列入目录的产品。</w:t>
            </w:r>
          </w:p>
        </w:tc>
        <w:tc>
          <w:tcPr>
            <w:tcW w:w="1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F2555B">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《工业产品生产许可证管理条例》第四十八条</w:t>
            </w:r>
            <w:r>
              <w:rPr>
                <w:rFonts w:hint="eastAsia" w:ascii="方正仿宋_GBK" w:hAnsi="方正仿宋_GBK" w:eastAsia="方正仿宋_GBK" w:cs="方正仿宋_GBK"/>
                <w:i w:val="0"/>
                <w:iCs w:val="0"/>
                <w:color w:val="auto"/>
                <w:kern w:val="0"/>
                <w:sz w:val="24"/>
                <w:szCs w:val="24"/>
                <w:u w:val="none"/>
                <w:lang w:val="en-US" w:eastAsia="zh-CN" w:bidi="ar"/>
              </w:rPr>
              <w:t xml:space="preserve">  销售或者在经营活动中使用未取得生产许可证的列入目录产品的，责令改正，处5万元以上20万元以下的罚款；有违法所得的，没收违法所得；构成犯罪的，依法追究刑事责任。</w:t>
            </w:r>
          </w:p>
        </w:tc>
      </w:tr>
      <w:tr w14:paraId="32864A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12D8D0">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24</w:t>
            </w:r>
          </w:p>
        </w:tc>
        <w:tc>
          <w:tcPr>
            <w:tcW w:w="22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6F10C1">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黑体_GBK" w:hAnsi="方正黑体_GBK" w:eastAsia="方正黑体_GBK" w:cs="方正黑体_GBK"/>
                <w:i w:val="0"/>
                <w:iCs w:val="0"/>
                <w:color w:val="auto"/>
                <w:sz w:val="24"/>
                <w:szCs w:val="24"/>
                <w:u w:val="none"/>
              </w:rPr>
            </w:pPr>
            <w:r>
              <w:rPr>
                <w:rFonts w:hint="eastAsia" w:ascii="方正黑体_GBK" w:hAnsi="方正黑体_GBK" w:eastAsia="方正黑体_GBK" w:cs="方正黑体_GBK"/>
                <w:i w:val="0"/>
                <w:iCs w:val="0"/>
                <w:color w:val="auto"/>
                <w:kern w:val="0"/>
                <w:sz w:val="24"/>
                <w:szCs w:val="24"/>
                <w:u w:val="none"/>
                <w:lang w:val="en-US" w:eastAsia="zh-CN" w:bidi="ar"/>
              </w:rPr>
              <w:t>药品、化妆品</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3D073A">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未取得药品经营许可证时销售药品</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3AC0AD">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2.违法行为持续时间较短；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3.药品可溯源，系国内已合法上市药品；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4.货值金额较小；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5.及时改正；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6.未造成药品不良反应等实际危害后果。          </w:t>
            </w:r>
          </w:p>
        </w:tc>
        <w:tc>
          <w:tcPr>
            <w:tcW w:w="13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1F07A6">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 xml:space="preserve">《药品管理法》第五十一条第一款 </w:t>
            </w:r>
            <w:r>
              <w:rPr>
                <w:rFonts w:hint="eastAsia" w:ascii="方正仿宋_GBK" w:hAnsi="方正仿宋_GBK" w:eastAsia="方正仿宋_GBK" w:cs="方正仿宋_GBK"/>
                <w:i w:val="0"/>
                <w:iCs w:val="0"/>
                <w:color w:val="auto"/>
                <w:kern w:val="0"/>
                <w:sz w:val="24"/>
                <w:szCs w:val="24"/>
                <w:u w:val="none"/>
                <w:lang w:val="en-US" w:eastAsia="zh-CN" w:bidi="ar"/>
              </w:rPr>
              <w:t xml:space="preserve">  从事药品批发活动，应当经所在地省、自治区、直辖市人民政府药品监督管理部门批准，取得药品经营许可证。从事药品零售活动，应当经所在地县级以上地方人民政府药品监督管理部门批准，取得药品经营许可证。无药品经营许可证的，不得经营药品。</w:t>
            </w:r>
          </w:p>
        </w:tc>
        <w:tc>
          <w:tcPr>
            <w:tcW w:w="1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CBC372">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《药品管理法》第一百一十五条</w:t>
            </w:r>
            <w:r>
              <w:rPr>
                <w:rFonts w:hint="eastAsia" w:ascii="方正仿宋_GBK" w:hAnsi="方正仿宋_GBK" w:eastAsia="方正仿宋_GBK" w:cs="方正仿宋_GBK"/>
                <w:i w:val="0"/>
                <w:iCs w:val="0"/>
                <w:color w:val="auto"/>
                <w:kern w:val="0"/>
                <w:sz w:val="24"/>
                <w:szCs w:val="24"/>
                <w:u w:val="none"/>
                <w:lang w:val="en-US" w:eastAsia="zh-CN" w:bidi="ar"/>
              </w:rPr>
              <w:t xml:space="preserve">  未取得药品生产许可证、药品经营许可证或者医疗机构制剂许可证生产、销售药品的，责令关闭，没收违法生产、销售的药品和违法所得，并处违法生产、销售的药品（包括已售出和未售出的药品，下同）货值金额十五倍以上三十倍以下的罚款；货值金额不足十万元的，按十万元计算。</w:t>
            </w:r>
          </w:p>
        </w:tc>
      </w:tr>
      <w:tr w14:paraId="76C6C4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10" w:hRule="atLeast"/>
        </w:trPr>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956C7C">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25</w:t>
            </w:r>
          </w:p>
        </w:tc>
        <w:tc>
          <w:tcPr>
            <w:tcW w:w="2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DCC8FF">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7EA4ED">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未经批准进口少量境外已合法上市的药品</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2B8BC7">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2.进口药品货值金额较小；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3.及时改正；</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4.药品可溯源，系国外已合法上市药品。</w:t>
            </w:r>
          </w:p>
        </w:tc>
        <w:tc>
          <w:tcPr>
            <w:tcW w:w="13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895B8A">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《药品管理法》第九十八条第三款</w:t>
            </w:r>
            <w:r>
              <w:rPr>
                <w:rFonts w:hint="eastAsia" w:ascii="方正仿宋_GBK" w:hAnsi="方正仿宋_GBK" w:eastAsia="方正仿宋_GBK" w:cs="方正仿宋_GBK"/>
                <w:i w:val="0"/>
                <w:iCs w:val="0"/>
                <w:color w:val="auto"/>
                <w:kern w:val="0"/>
                <w:sz w:val="24"/>
                <w:szCs w:val="24"/>
                <w:u w:val="none"/>
                <w:lang w:val="en-US" w:eastAsia="zh-CN" w:bidi="ar"/>
              </w:rPr>
              <w:t xml:space="preserve"> 禁止未取得药品批准证明文件生产、进口药品；禁止使用未按照规定审评、审批的原料药、包装材料和容器生产药品。</w:t>
            </w:r>
          </w:p>
        </w:tc>
        <w:tc>
          <w:tcPr>
            <w:tcW w:w="1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84EA2B">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《药品安全法》第一百二十四条</w:t>
            </w:r>
            <w:r>
              <w:rPr>
                <w:rFonts w:hint="eastAsia" w:ascii="方正仿宋_GBK" w:hAnsi="方正仿宋_GBK" w:eastAsia="方正仿宋_GBK" w:cs="方正仿宋_GBK"/>
                <w:i w:val="0"/>
                <w:iCs w:val="0"/>
                <w:color w:val="auto"/>
                <w:kern w:val="0"/>
                <w:sz w:val="24"/>
                <w:szCs w:val="24"/>
                <w:u w:val="none"/>
                <w:lang w:val="en-US" w:eastAsia="zh-CN" w:bidi="ar"/>
              </w:rPr>
              <w:t>　违反本法规定，有下列行为之一的，没收违法生产、进口、销售的药品和违法所得以及专门用于违法生产的原料、辅料、包装材料和生产设备，责令停产停业整顿，并处违法生产、进口、销售的药品货值金额十五倍以上三十倍以下的罚款；货值金额不足十万元的，按十万元计算；情节严重的，吊销药品批准证明文件直至吊销药品生产许可证、药品经营许可证或者医疗机构制剂许可证，对法定代表人、主要负责人、直接负责的主管人员和其他责任人员，没收违法行为发生期间自本单位所获收入，并处所获收入百分之三十以上三倍以下的罚款，十年直至终身禁止从事药品生产经营活动，并可以由公安机关处五日以上十五日以下的拘留：（一）未取得药品批准证明文件生产、进口药品；（二）使用采取欺骗手段取得的药品批准证明文件生产、进口药品；（三）使用未经审评审批的原料药生产药品；（四）应当检验而未经检验</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即销售药品；（五）生产、销售国务院药品监督管理部门禁止使用的药品；（六）编造生产、检验记录；（七）未经批准在药品生产过程中进行重大变更。</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销售前款第一项至第三项规定的药品，或者药品使用单位使用前款第一项至第五项规定的药品的，依照前款规定处罚；情节严重的，药品使用单位的法定代表人、主要负责人、直接负责的主管人员和其他责任人员有医疗卫生人员执业证书的，还应当吊销执业证书。</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未经批准进口少量境外已合法上市的药品，情节较轻的，可以依法减轻或者免予处罚。</w:t>
            </w:r>
          </w:p>
        </w:tc>
      </w:tr>
      <w:tr w14:paraId="253AB4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0" w:hRule="atLeast"/>
        </w:trPr>
        <w:tc>
          <w:tcPr>
            <w:tcW w:w="2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D69DD8">
            <w:pPr>
              <w:keepNext w:val="0"/>
              <w:keepLines w:val="0"/>
              <w:pageBreakBefore w:val="0"/>
              <w:widowControl/>
              <w:suppressLineNumbers w:val="0"/>
              <w:kinsoku/>
              <w:wordWrap/>
              <w:overflowPunct/>
              <w:topLinePunct w:val="0"/>
              <w:autoSpaceDE/>
              <w:autoSpaceDN/>
              <w:bidi w:val="0"/>
              <w:adjustRightInd w:val="0"/>
              <w:snapToGrid w:val="0"/>
              <w:spacing w:line="280" w:lineRule="exact"/>
              <w:jc w:val="center"/>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26</w:t>
            </w:r>
          </w:p>
        </w:tc>
        <w:tc>
          <w:tcPr>
            <w:tcW w:w="2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F74E27">
            <w:pPr>
              <w:keepNext w:val="0"/>
              <w:keepLines w:val="0"/>
              <w:pageBreakBefore w:val="0"/>
              <w:widowControl/>
              <w:kinsoku/>
              <w:wordWrap/>
              <w:overflowPunct/>
              <w:topLinePunct w:val="0"/>
              <w:autoSpaceDE/>
              <w:autoSpaceDN/>
              <w:bidi w:val="0"/>
              <w:adjustRightInd w:val="0"/>
              <w:snapToGrid w:val="0"/>
              <w:spacing w:line="280" w:lineRule="exact"/>
              <w:jc w:val="center"/>
              <w:rPr>
                <w:rFonts w:hint="eastAsia" w:ascii="方正黑体_GBK" w:hAnsi="方正黑体_GBK" w:eastAsia="方正黑体_GBK" w:cs="方正黑体_GBK"/>
                <w:i w:val="0"/>
                <w:iCs w:val="0"/>
                <w:color w:val="auto"/>
                <w:sz w:val="24"/>
                <w:szCs w:val="24"/>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7CA98A">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经营超过使用期限的化妆品</w:t>
            </w:r>
          </w:p>
        </w:tc>
        <w:tc>
          <w:tcPr>
            <w:tcW w:w="8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56ED84">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i w:val="0"/>
                <w:iCs w:val="0"/>
                <w:color w:val="auto"/>
                <w:sz w:val="24"/>
                <w:szCs w:val="24"/>
                <w:u w:val="none"/>
              </w:rPr>
            </w:pPr>
            <w:r>
              <w:rPr>
                <w:rFonts w:hint="eastAsia" w:ascii="方正仿宋_GBK" w:hAnsi="方正仿宋_GBK" w:eastAsia="方正仿宋_GBK" w:cs="方正仿宋_GBK"/>
                <w:i w:val="0"/>
                <w:iCs w:val="0"/>
                <w:color w:val="auto"/>
                <w:kern w:val="0"/>
                <w:sz w:val="24"/>
                <w:szCs w:val="24"/>
                <w:u w:val="none"/>
                <w:lang w:val="en-US" w:eastAsia="zh-CN" w:bidi="ar"/>
              </w:rPr>
              <w:t>同时具备以下条件：</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1.初次违法；</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2.货值金额较小；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 xml:space="preserve">3.危害后果较轻；                 </w:t>
            </w:r>
            <w:r>
              <w:rPr>
                <w:rFonts w:hint="eastAsia" w:ascii="方正仿宋_GBK" w:hAnsi="方正仿宋_GBK" w:eastAsia="方正仿宋_GBK" w:cs="方正仿宋_GBK"/>
                <w:i w:val="0"/>
                <w:iCs w:val="0"/>
                <w:color w:val="auto"/>
                <w:kern w:val="0"/>
                <w:sz w:val="24"/>
                <w:szCs w:val="24"/>
                <w:u w:val="none"/>
                <w:lang w:val="en-US" w:eastAsia="zh-CN" w:bidi="ar"/>
              </w:rPr>
              <w:br w:type="textWrapping"/>
            </w:r>
            <w:r>
              <w:rPr>
                <w:rFonts w:hint="eastAsia" w:ascii="方正仿宋_GBK" w:hAnsi="方正仿宋_GBK" w:eastAsia="方正仿宋_GBK" w:cs="方正仿宋_GBK"/>
                <w:i w:val="0"/>
                <w:iCs w:val="0"/>
                <w:color w:val="auto"/>
                <w:kern w:val="0"/>
                <w:sz w:val="24"/>
                <w:szCs w:val="24"/>
                <w:u w:val="none"/>
                <w:lang w:val="en-US" w:eastAsia="zh-CN" w:bidi="ar"/>
              </w:rPr>
              <w:t>4.及时改正。</w:t>
            </w:r>
          </w:p>
        </w:tc>
        <w:tc>
          <w:tcPr>
            <w:tcW w:w="13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BD9605">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《化妆品监督管理条例》第三十九条　</w:t>
            </w:r>
            <w:r>
              <w:rPr>
                <w:rFonts w:hint="eastAsia" w:ascii="方正仿宋_GBK" w:hAnsi="方正仿宋_GBK" w:eastAsia="方正仿宋_GBK" w:cs="方正仿宋_GBK"/>
                <w:i w:val="0"/>
                <w:iCs w:val="0"/>
                <w:color w:val="auto"/>
                <w:kern w:val="0"/>
                <w:sz w:val="24"/>
                <w:szCs w:val="24"/>
                <w:u w:val="none"/>
                <w:lang w:val="en-US" w:eastAsia="zh-CN" w:bidi="ar"/>
              </w:rPr>
              <w:t>化妆品生产经营者应当依照有关法律、法规的规定和化妆品标签标示的要求贮存、运输化妆品，定期检查并及时处理变质或者超过使用期限的化妆品。</w:t>
            </w:r>
          </w:p>
        </w:tc>
        <w:tc>
          <w:tcPr>
            <w:tcW w:w="1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BF584A">
            <w:pPr>
              <w:keepNext w:val="0"/>
              <w:keepLines w:val="0"/>
              <w:pageBreakBefore w:val="0"/>
              <w:widowControl/>
              <w:suppressLineNumbers w:val="0"/>
              <w:kinsoku/>
              <w:wordWrap/>
              <w:overflowPunct/>
              <w:topLinePunct w:val="0"/>
              <w:autoSpaceDE/>
              <w:autoSpaceDN/>
              <w:bidi w:val="0"/>
              <w:adjustRightInd w:val="0"/>
              <w:snapToGrid w:val="0"/>
              <w:spacing w:line="280" w:lineRule="exact"/>
              <w:jc w:val="both"/>
              <w:textAlignment w:val="center"/>
              <w:rPr>
                <w:rFonts w:hint="eastAsia" w:ascii="方正仿宋_GBK" w:hAnsi="方正仿宋_GBK" w:eastAsia="方正仿宋_GBK" w:cs="方正仿宋_GBK"/>
                <w:b/>
                <w:bCs/>
                <w:i w:val="0"/>
                <w:iCs w:val="0"/>
                <w:color w:val="auto"/>
                <w:sz w:val="24"/>
                <w:szCs w:val="24"/>
                <w:u w:val="none"/>
              </w:rPr>
            </w:pPr>
            <w:r>
              <w:rPr>
                <w:rFonts w:hint="eastAsia" w:ascii="方正仿宋_GBK" w:hAnsi="方正仿宋_GBK" w:eastAsia="方正仿宋_GBK" w:cs="方正仿宋_GBK"/>
                <w:b/>
                <w:bCs/>
                <w:i w:val="0"/>
                <w:iCs w:val="0"/>
                <w:color w:val="auto"/>
                <w:kern w:val="0"/>
                <w:sz w:val="24"/>
                <w:szCs w:val="24"/>
                <w:u w:val="none"/>
                <w:lang w:val="en-US" w:eastAsia="zh-CN" w:bidi="ar"/>
              </w:rPr>
              <w:t>《化妆品监督管理条例》第六十条第五项　</w:t>
            </w:r>
            <w:r>
              <w:rPr>
                <w:rFonts w:hint="eastAsia" w:ascii="方正仿宋_GBK" w:hAnsi="方正仿宋_GBK" w:eastAsia="方正仿宋_GBK" w:cs="方正仿宋_GBK"/>
                <w:i w:val="0"/>
                <w:iCs w:val="0"/>
                <w:color w:val="auto"/>
                <w:kern w:val="0"/>
                <w:sz w:val="24"/>
                <w:szCs w:val="24"/>
                <w:u w:val="none"/>
                <w:lang w:val="en-US" w:eastAsia="zh-CN" w:bidi="ar"/>
              </w:rPr>
              <w:t>有下列情形之一的，由负责药品监督管理的部门没收违法所得、违法生产经营的化妆品和专门用于违法生产经营的原料、包装材料、工具、设备等物品；违法生产经营的化妆品货值金额不足1万元的，并处1万元以上5万元以下罚款；货值金额1万元以上的，并处货值金额5倍以上20倍以下罚款；情节严重的，责令停产停业、由备案部门取消备案或者由原发证部门吊销化妆品许可证件，对违法单位的法定代表人或者主要负责人、直接负责的主管人员和其他直接责任人员处以其上一年度从本单位取得收入的1倍以上3倍以下罚款，10年内禁止其从事化妆品生产经营活动；构成犯罪的，依法追究刑事责任：（五）化妆品经营者擅自配制化妆品，或者经营变质、超过使用期限的化妆品；</w:t>
            </w:r>
          </w:p>
        </w:tc>
      </w:tr>
    </w:tbl>
    <w:p w14:paraId="3C298E4B">
      <w:pPr>
        <w:keepNext w:val="0"/>
        <w:keepLines w:val="0"/>
        <w:pageBreakBefore w:val="0"/>
        <w:widowControl w:val="0"/>
        <w:kinsoku/>
        <w:wordWrap/>
        <w:overflowPunct/>
        <w:topLinePunct w:val="0"/>
        <w:autoSpaceDE/>
        <w:autoSpaceDN/>
        <w:bidi w:val="0"/>
        <w:adjustRightInd w:val="0"/>
        <w:snapToGrid w:val="0"/>
        <w:spacing w:line="500" w:lineRule="exact"/>
        <w:textAlignment w:val="auto"/>
        <w:rPr>
          <w:rFonts w:hint="default" w:ascii="方正仿宋_GBK" w:hAnsi="方正仿宋_GBK" w:eastAsia="方正仿宋_GBK" w:cs="方正仿宋_GBK"/>
          <w:color w:val="auto"/>
          <w:sz w:val="32"/>
          <w:szCs w:val="32"/>
          <w:lang w:val="en-US" w:eastAsia="zh-CN"/>
        </w:rPr>
      </w:pPr>
    </w:p>
    <w:p w14:paraId="6B4FA91A">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default" w:ascii="方正仿宋_GBK" w:hAnsi="方正仿宋_GBK" w:eastAsia="方正仿宋_GBK" w:cs="方正仿宋_GBK"/>
          <w:color w:val="auto"/>
          <w:sz w:val="32"/>
          <w:szCs w:val="32"/>
          <w:lang w:val="en-US" w:eastAsia="zh-CN"/>
        </w:rPr>
      </w:pPr>
    </w:p>
    <w:bookmarkEnd w:id="0"/>
    <w:sectPr>
      <w:pgSz w:w="16838" w:h="11906" w:orient="landscape"/>
      <w:pgMar w:top="1587" w:right="2098" w:bottom="1474" w:left="1984"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g5MDczMjYzYzAzMzEyNDVjODYwZTYxMzM0ZjZhY2UifQ=="/>
  </w:docVars>
  <w:rsids>
    <w:rsidRoot w:val="00000000"/>
    <w:rsid w:val="00046E7A"/>
    <w:rsid w:val="00136C81"/>
    <w:rsid w:val="001F68FF"/>
    <w:rsid w:val="00316F8E"/>
    <w:rsid w:val="009C72B9"/>
    <w:rsid w:val="00FA6554"/>
    <w:rsid w:val="00FE2DC0"/>
    <w:rsid w:val="01045157"/>
    <w:rsid w:val="018A78EA"/>
    <w:rsid w:val="01BB1BF0"/>
    <w:rsid w:val="02294646"/>
    <w:rsid w:val="029C783E"/>
    <w:rsid w:val="02DF5DFC"/>
    <w:rsid w:val="02FB61AC"/>
    <w:rsid w:val="03641FA3"/>
    <w:rsid w:val="03994554"/>
    <w:rsid w:val="03E30945"/>
    <w:rsid w:val="04497D37"/>
    <w:rsid w:val="048B1740"/>
    <w:rsid w:val="049A02C2"/>
    <w:rsid w:val="049A3CE8"/>
    <w:rsid w:val="04D502CE"/>
    <w:rsid w:val="04D755C7"/>
    <w:rsid w:val="050F42B6"/>
    <w:rsid w:val="053341C0"/>
    <w:rsid w:val="0582516F"/>
    <w:rsid w:val="05DE1122"/>
    <w:rsid w:val="05EC5BAE"/>
    <w:rsid w:val="06CF649A"/>
    <w:rsid w:val="06D13CB3"/>
    <w:rsid w:val="071D77D6"/>
    <w:rsid w:val="07580CE9"/>
    <w:rsid w:val="07B04C4D"/>
    <w:rsid w:val="07F175F2"/>
    <w:rsid w:val="07FC5D88"/>
    <w:rsid w:val="080C0684"/>
    <w:rsid w:val="084220A6"/>
    <w:rsid w:val="08445874"/>
    <w:rsid w:val="086724C2"/>
    <w:rsid w:val="08C153DC"/>
    <w:rsid w:val="08C41068"/>
    <w:rsid w:val="08E15290"/>
    <w:rsid w:val="095A59AD"/>
    <w:rsid w:val="09667A46"/>
    <w:rsid w:val="0A223376"/>
    <w:rsid w:val="0A97124D"/>
    <w:rsid w:val="0ACC485F"/>
    <w:rsid w:val="0B0B638C"/>
    <w:rsid w:val="0B184F9E"/>
    <w:rsid w:val="0B3E66D0"/>
    <w:rsid w:val="0B425685"/>
    <w:rsid w:val="0B890735"/>
    <w:rsid w:val="0BCC4C89"/>
    <w:rsid w:val="0BE353A9"/>
    <w:rsid w:val="0C184E63"/>
    <w:rsid w:val="0C300267"/>
    <w:rsid w:val="0C4E3F99"/>
    <w:rsid w:val="0C5103F4"/>
    <w:rsid w:val="0C514C11"/>
    <w:rsid w:val="0C5A4B0E"/>
    <w:rsid w:val="0C5F4DDA"/>
    <w:rsid w:val="0C625E3D"/>
    <w:rsid w:val="0C724E61"/>
    <w:rsid w:val="0CA36833"/>
    <w:rsid w:val="0CCE3AF4"/>
    <w:rsid w:val="0D3D0894"/>
    <w:rsid w:val="0DE25A70"/>
    <w:rsid w:val="0DF26928"/>
    <w:rsid w:val="0FB33510"/>
    <w:rsid w:val="0FD97F35"/>
    <w:rsid w:val="10161AA5"/>
    <w:rsid w:val="103A2409"/>
    <w:rsid w:val="104B6B0C"/>
    <w:rsid w:val="108D1CDD"/>
    <w:rsid w:val="10B93909"/>
    <w:rsid w:val="11555E8E"/>
    <w:rsid w:val="11FA5C1E"/>
    <w:rsid w:val="123E34B6"/>
    <w:rsid w:val="123E4659"/>
    <w:rsid w:val="127D010A"/>
    <w:rsid w:val="13342066"/>
    <w:rsid w:val="13351421"/>
    <w:rsid w:val="134C3D5E"/>
    <w:rsid w:val="134E04A5"/>
    <w:rsid w:val="13A87D95"/>
    <w:rsid w:val="13F74FB0"/>
    <w:rsid w:val="1442283D"/>
    <w:rsid w:val="14536AD5"/>
    <w:rsid w:val="14C575D8"/>
    <w:rsid w:val="14F11B56"/>
    <w:rsid w:val="151F35E2"/>
    <w:rsid w:val="156A23C5"/>
    <w:rsid w:val="16154C8E"/>
    <w:rsid w:val="169A5BA1"/>
    <w:rsid w:val="17473C3D"/>
    <w:rsid w:val="18195CD2"/>
    <w:rsid w:val="182E00D5"/>
    <w:rsid w:val="18446244"/>
    <w:rsid w:val="18724019"/>
    <w:rsid w:val="18976A14"/>
    <w:rsid w:val="1984730C"/>
    <w:rsid w:val="198570FF"/>
    <w:rsid w:val="199130EC"/>
    <w:rsid w:val="199E1352"/>
    <w:rsid w:val="19D8285D"/>
    <w:rsid w:val="19FE0967"/>
    <w:rsid w:val="1A037D16"/>
    <w:rsid w:val="1A550467"/>
    <w:rsid w:val="1A56421E"/>
    <w:rsid w:val="1AA535AF"/>
    <w:rsid w:val="1B4305A8"/>
    <w:rsid w:val="1BBA0B0A"/>
    <w:rsid w:val="1BBE5D4B"/>
    <w:rsid w:val="1BBF7BA6"/>
    <w:rsid w:val="1C243755"/>
    <w:rsid w:val="1C3B3DDE"/>
    <w:rsid w:val="1CC33E6D"/>
    <w:rsid w:val="1CD3261D"/>
    <w:rsid w:val="1CEC250C"/>
    <w:rsid w:val="1CF63B35"/>
    <w:rsid w:val="1D094AE2"/>
    <w:rsid w:val="1D962D65"/>
    <w:rsid w:val="1DDD2745"/>
    <w:rsid w:val="1DE90F75"/>
    <w:rsid w:val="1DF45DFB"/>
    <w:rsid w:val="1E157266"/>
    <w:rsid w:val="1E8746CD"/>
    <w:rsid w:val="1EDC2717"/>
    <w:rsid w:val="1F0D5D0F"/>
    <w:rsid w:val="1F834567"/>
    <w:rsid w:val="1FB15228"/>
    <w:rsid w:val="1FCA4942"/>
    <w:rsid w:val="201523AC"/>
    <w:rsid w:val="20280B83"/>
    <w:rsid w:val="203D48CA"/>
    <w:rsid w:val="2062733D"/>
    <w:rsid w:val="20C146DC"/>
    <w:rsid w:val="2165735C"/>
    <w:rsid w:val="219A0676"/>
    <w:rsid w:val="21A51D64"/>
    <w:rsid w:val="21C86A88"/>
    <w:rsid w:val="21CB6679"/>
    <w:rsid w:val="22534F22"/>
    <w:rsid w:val="2268420E"/>
    <w:rsid w:val="227C3A6A"/>
    <w:rsid w:val="228F6D14"/>
    <w:rsid w:val="229F1187"/>
    <w:rsid w:val="235C0576"/>
    <w:rsid w:val="235F31F5"/>
    <w:rsid w:val="23A04633"/>
    <w:rsid w:val="23EA75D4"/>
    <w:rsid w:val="23F369BA"/>
    <w:rsid w:val="24006FDC"/>
    <w:rsid w:val="246D70D2"/>
    <w:rsid w:val="24875C77"/>
    <w:rsid w:val="25037B31"/>
    <w:rsid w:val="250F323C"/>
    <w:rsid w:val="251B5D29"/>
    <w:rsid w:val="251F67A3"/>
    <w:rsid w:val="253439C4"/>
    <w:rsid w:val="25B73DF2"/>
    <w:rsid w:val="260C1E3B"/>
    <w:rsid w:val="26251083"/>
    <w:rsid w:val="264219AB"/>
    <w:rsid w:val="268F217B"/>
    <w:rsid w:val="26EC1EBC"/>
    <w:rsid w:val="273E2E87"/>
    <w:rsid w:val="27457EA3"/>
    <w:rsid w:val="278F4741"/>
    <w:rsid w:val="286B6C9C"/>
    <w:rsid w:val="28C10E16"/>
    <w:rsid w:val="28CB0C4D"/>
    <w:rsid w:val="28CE7F24"/>
    <w:rsid w:val="28F410C8"/>
    <w:rsid w:val="290450DF"/>
    <w:rsid w:val="29083A41"/>
    <w:rsid w:val="29214D7F"/>
    <w:rsid w:val="29A64158"/>
    <w:rsid w:val="29AE5A28"/>
    <w:rsid w:val="2A026692"/>
    <w:rsid w:val="2A712244"/>
    <w:rsid w:val="2A952113"/>
    <w:rsid w:val="2ACA40C6"/>
    <w:rsid w:val="2ACD2928"/>
    <w:rsid w:val="2AF52F43"/>
    <w:rsid w:val="2B4B6304"/>
    <w:rsid w:val="2B7D6060"/>
    <w:rsid w:val="2B845CAB"/>
    <w:rsid w:val="2BAF6C14"/>
    <w:rsid w:val="2C861EA0"/>
    <w:rsid w:val="2C8945C3"/>
    <w:rsid w:val="2D073364"/>
    <w:rsid w:val="2D507C52"/>
    <w:rsid w:val="2DA65B74"/>
    <w:rsid w:val="2DA92E71"/>
    <w:rsid w:val="2DC16D07"/>
    <w:rsid w:val="2DDA201B"/>
    <w:rsid w:val="2E0A6CAE"/>
    <w:rsid w:val="2E957A1C"/>
    <w:rsid w:val="2EAB014E"/>
    <w:rsid w:val="2EBD716C"/>
    <w:rsid w:val="2ECB3EB6"/>
    <w:rsid w:val="2F190DAF"/>
    <w:rsid w:val="2F382B25"/>
    <w:rsid w:val="2F822C41"/>
    <w:rsid w:val="2FBE2BBD"/>
    <w:rsid w:val="2FEB7EFA"/>
    <w:rsid w:val="30042412"/>
    <w:rsid w:val="300438D6"/>
    <w:rsid w:val="303C7E63"/>
    <w:rsid w:val="30894350"/>
    <w:rsid w:val="308B58C2"/>
    <w:rsid w:val="308C2BFB"/>
    <w:rsid w:val="30915D7F"/>
    <w:rsid w:val="30A2218A"/>
    <w:rsid w:val="30AC145A"/>
    <w:rsid w:val="30D74B8F"/>
    <w:rsid w:val="30DD5DAF"/>
    <w:rsid w:val="31190890"/>
    <w:rsid w:val="3162290F"/>
    <w:rsid w:val="319B4B91"/>
    <w:rsid w:val="31A37FE1"/>
    <w:rsid w:val="31BE4D0F"/>
    <w:rsid w:val="31D16C86"/>
    <w:rsid w:val="321229AF"/>
    <w:rsid w:val="325E7BE3"/>
    <w:rsid w:val="326D6C8B"/>
    <w:rsid w:val="32CD2F75"/>
    <w:rsid w:val="32E434F2"/>
    <w:rsid w:val="332D63BE"/>
    <w:rsid w:val="33392A51"/>
    <w:rsid w:val="33843812"/>
    <w:rsid w:val="33A767B1"/>
    <w:rsid w:val="33FB39DE"/>
    <w:rsid w:val="340B370C"/>
    <w:rsid w:val="341A0A9F"/>
    <w:rsid w:val="34242918"/>
    <w:rsid w:val="3434509F"/>
    <w:rsid w:val="345452CA"/>
    <w:rsid w:val="34717F86"/>
    <w:rsid w:val="34957ACA"/>
    <w:rsid w:val="35331FC4"/>
    <w:rsid w:val="354C775B"/>
    <w:rsid w:val="35AB1C85"/>
    <w:rsid w:val="35C0035B"/>
    <w:rsid w:val="35C50019"/>
    <w:rsid w:val="35F817FF"/>
    <w:rsid w:val="363920EC"/>
    <w:rsid w:val="36986A3A"/>
    <w:rsid w:val="36AD091F"/>
    <w:rsid w:val="36B1483A"/>
    <w:rsid w:val="36EC2771"/>
    <w:rsid w:val="382C09B0"/>
    <w:rsid w:val="382F1999"/>
    <w:rsid w:val="38566277"/>
    <w:rsid w:val="38C34410"/>
    <w:rsid w:val="38FF3D64"/>
    <w:rsid w:val="39924D2D"/>
    <w:rsid w:val="3A065F22"/>
    <w:rsid w:val="3A716946"/>
    <w:rsid w:val="3B90002E"/>
    <w:rsid w:val="3BA45CC6"/>
    <w:rsid w:val="3BB862F4"/>
    <w:rsid w:val="3BF22705"/>
    <w:rsid w:val="3BFF7B92"/>
    <w:rsid w:val="3C066D22"/>
    <w:rsid w:val="3C636E11"/>
    <w:rsid w:val="3CB47090"/>
    <w:rsid w:val="3CEE5AF9"/>
    <w:rsid w:val="3D047DF7"/>
    <w:rsid w:val="3D690193"/>
    <w:rsid w:val="3DCB65FB"/>
    <w:rsid w:val="3E754678"/>
    <w:rsid w:val="3EA175FA"/>
    <w:rsid w:val="3EAB5DF3"/>
    <w:rsid w:val="3EB06F06"/>
    <w:rsid w:val="3EDF39A0"/>
    <w:rsid w:val="3F455899"/>
    <w:rsid w:val="3F477303"/>
    <w:rsid w:val="3F877013"/>
    <w:rsid w:val="3FFD150F"/>
    <w:rsid w:val="40245F79"/>
    <w:rsid w:val="4061546E"/>
    <w:rsid w:val="40740F54"/>
    <w:rsid w:val="40C44B7A"/>
    <w:rsid w:val="414B27F3"/>
    <w:rsid w:val="41515866"/>
    <w:rsid w:val="415D2526"/>
    <w:rsid w:val="41864811"/>
    <w:rsid w:val="41F618E5"/>
    <w:rsid w:val="423F7199"/>
    <w:rsid w:val="42683469"/>
    <w:rsid w:val="4279579F"/>
    <w:rsid w:val="429043CF"/>
    <w:rsid w:val="42F605DA"/>
    <w:rsid w:val="432167A2"/>
    <w:rsid w:val="43865D4F"/>
    <w:rsid w:val="4425219D"/>
    <w:rsid w:val="44254DE2"/>
    <w:rsid w:val="447919D4"/>
    <w:rsid w:val="44A26792"/>
    <w:rsid w:val="44DF27BF"/>
    <w:rsid w:val="45326F17"/>
    <w:rsid w:val="458B6473"/>
    <w:rsid w:val="45A76E68"/>
    <w:rsid w:val="466F1C47"/>
    <w:rsid w:val="468D433E"/>
    <w:rsid w:val="46BD2F3E"/>
    <w:rsid w:val="46F177C9"/>
    <w:rsid w:val="470A7D74"/>
    <w:rsid w:val="47522BB0"/>
    <w:rsid w:val="475419DA"/>
    <w:rsid w:val="47654945"/>
    <w:rsid w:val="47742D0E"/>
    <w:rsid w:val="47D4499A"/>
    <w:rsid w:val="480D699B"/>
    <w:rsid w:val="48464B48"/>
    <w:rsid w:val="48810491"/>
    <w:rsid w:val="48891C05"/>
    <w:rsid w:val="48B32F0D"/>
    <w:rsid w:val="496163F2"/>
    <w:rsid w:val="49840976"/>
    <w:rsid w:val="49E06CDD"/>
    <w:rsid w:val="49EA7237"/>
    <w:rsid w:val="49FF2ECA"/>
    <w:rsid w:val="4A2A4FD1"/>
    <w:rsid w:val="4A496CD0"/>
    <w:rsid w:val="4A53415D"/>
    <w:rsid w:val="4A774316"/>
    <w:rsid w:val="4B06089F"/>
    <w:rsid w:val="4B460A58"/>
    <w:rsid w:val="4B662EE3"/>
    <w:rsid w:val="4B706B75"/>
    <w:rsid w:val="4B782048"/>
    <w:rsid w:val="4BC7570D"/>
    <w:rsid w:val="4BF224FC"/>
    <w:rsid w:val="4C515679"/>
    <w:rsid w:val="4C697731"/>
    <w:rsid w:val="4C7A65BD"/>
    <w:rsid w:val="4CB657DB"/>
    <w:rsid w:val="4D465739"/>
    <w:rsid w:val="4D742CE8"/>
    <w:rsid w:val="4DFF1866"/>
    <w:rsid w:val="4E131357"/>
    <w:rsid w:val="4E772A9C"/>
    <w:rsid w:val="4E864430"/>
    <w:rsid w:val="4ED90845"/>
    <w:rsid w:val="4F020BBD"/>
    <w:rsid w:val="4F1D2EA8"/>
    <w:rsid w:val="4F3748A8"/>
    <w:rsid w:val="4F3A2A8A"/>
    <w:rsid w:val="4F775782"/>
    <w:rsid w:val="4FBA19D9"/>
    <w:rsid w:val="4FBA355B"/>
    <w:rsid w:val="4FFF276D"/>
    <w:rsid w:val="50046DBD"/>
    <w:rsid w:val="50294E53"/>
    <w:rsid w:val="5030020B"/>
    <w:rsid w:val="506D5F21"/>
    <w:rsid w:val="51236301"/>
    <w:rsid w:val="51476C91"/>
    <w:rsid w:val="5197253D"/>
    <w:rsid w:val="51D60A89"/>
    <w:rsid w:val="51F60BE6"/>
    <w:rsid w:val="52006E50"/>
    <w:rsid w:val="52571C52"/>
    <w:rsid w:val="5290772D"/>
    <w:rsid w:val="52C741D9"/>
    <w:rsid w:val="52F0094E"/>
    <w:rsid w:val="5300678B"/>
    <w:rsid w:val="532D6D48"/>
    <w:rsid w:val="53A93009"/>
    <w:rsid w:val="53C9578C"/>
    <w:rsid w:val="541C646D"/>
    <w:rsid w:val="545114B5"/>
    <w:rsid w:val="546D615E"/>
    <w:rsid w:val="54AE6460"/>
    <w:rsid w:val="55201854"/>
    <w:rsid w:val="55B82C4C"/>
    <w:rsid w:val="55E51941"/>
    <w:rsid w:val="55EC34F9"/>
    <w:rsid w:val="55F86408"/>
    <w:rsid w:val="56120DCD"/>
    <w:rsid w:val="56164813"/>
    <w:rsid w:val="56CE6835"/>
    <w:rsid w:val="56EE6A08"/>
    <w:rsid w:val="57031F22"/>
    <w:rsid w:val="57213621"/>
    <w:rsid w:val="572E6289"/>
    <w:rsid w:val="5779120F"/>
    <w:rsid w:val="57975CFA"/>
    <w:rsid w:val="57E243FD"/>
    <w:rsid w:val="57F13E20"/>
    <w:rsid w:val="58506C25"/>
    <w:rsid w:val="588F6B50"/>
    <w:rsid w:val="58BB5225"/>
    <w:rsid w:val="58CB1955"/>
    <w:rsid w:val="58FF25F7"/>
    <w:rsid w:val="59A32632"/>
    <w:rsid w:val="59A92860"/>
    <w:rsid w:val="59C0638E"/>
    <w:rsid w:val="5A101FDB"/>
    <w:rsid w:val="5A7B1537"/>
    <w:rsid w:val="5A8B031C"/>
    <w:rsid w:val="5A910A78"/>
    <w:rsid w:val="5ACF5D70"/>
    <w:rsid w:val="5AE94F32"/>
    <w:rsid w:val="5AF6624D"/>
    <w:rsid w:val="5B431E95"/>
    <w:rsid w:val="5B7666DD"/>
    <w:rsid w:val="5BA346D9"/>
    <w:rsid w:val="5BE220BD"/>
    <w:rsid w:val="5BFC6284"/>
    <w:rsid w:val="5C2E6A38"/>
    <w:rsid w:val="5CB736A2"/>
    <w:rsid w:val="5CFA2A75"/>
    <w:rsid w:val="5D0F317E"/>
    <w:rsid w:val="5D304480"/>
    <w:rsid w:val="5D78289E"/>
    <w:rsid w:val="5D9119A7"/>
    <w:rsid w:val="5D946063"/>
    <w:rsid w:val="5DC05BA2"/>
    <w:rsid w:val="5DC60A99"/>
    <w:rsid w:val="5DDA4042"/>
    <w:rsid w:val="5DE50CF3"/>
    <w:rsid w:val="5E0F7C59"/>
    <w:rsid w:val="5E111E29"/>
    <w:rsid w:val="5E916371"/>
    <w:rsid w:val="5EA90DF5"/>
    <w:rsid w:val="5EF403D9"/>
    <w:rsid w:val="5F1E0208"/>
    <w:rsid w:val="5F571C49"/>
    <w:rsid w:val="5F5E728A"/>
    <w:rsid w:val="5F6127A5"/>
    <w:rsid w:val="5FBC3AC2"/>
    <w:rsid w:val="5FD95122"/>
    <w:rsid w:val="5FE97585"/>
    <w:rsid w:val="605C624D"/>
    <w:rsid w:val="60617A63"/>
    <w:rsid w:val="6071179F"/>
    <w:rsid w:val="60D003CB"/>
    <w:rsid w:val="60D8718D"/>
    <w:rsid w:val="61057052"/>
    <w:rsid w:val="612747E8"/>
    <w:rsid w:val="6175515F"/>
    <w:rsid w:val="61ED609F"/>
    <w:rsid w:val="62290653"/>
    <w:rsid w:val="626D1DE7"/>
    <w:rsid w:val="62735F07"/>
    <w:rsid w:val="62AD5938"/>
    <w:rsid w:val="62C3746A"/>
    <w:rsid w:val="62E2417A"/>
    <w:rsid w:val="632023A7"/>
    <w:rsid w:val="6330657F"/>
    <w:rsid w:val="63457897"/>
    <w:rsid w:val="634A6E8C"/>
    <w:rsid w:val="63824B77"/>
    <w:rsid w:val="63B92993"/>
    <w:rsid w:val="642D43F9"/>
    <w:rsid w:val="64B51C2D"/>
    <w:rsid w:val="64C22BA0"/>
    <w:rsid w:val="64E62FE7"/>
    <w:rsid w:val="65145480"/>
    <w:rsid w:val="657F4ECD"/>
    <w:rsid w:val="660E5BDF"/>
    <w:rsid w:val="66D4735E"/>
    <w:rsid w:val="66D803C4"/>
    <w:rsid w:val="66DE1D82"/>
    <w:rsid w:val="67957308"/>
    <w:rsid w:val="67A81228"/>
    <w:rsid w:val="67E5694F"/>
    <w:rsid w:val="67ED0ED3"/>
    <w:rsid w:val="67F03689"/>
    <w:rsid w:val="68043662"/>
    <w:rsid w:val="68907FDD"/>
    <w:rsid w:val="68C764D3"/>
    <w:rsid w:val="68F14DE3"/>
    <w:rsid w:val="68F76842"/>
    <w:rsid w:val="691827B5"/>
    <w:rsid w:val="6A452919"/>
    <w:rsid w:val="6A5A5394"/>
    <w:rsid w:val="6A6E4158"/>
    <w:rsid w:val="6B083702"/>
    <w:rsid w:val="6B744839"/>
    <w:rsid w:val="6B96224C"/>
    <w:rsid w:val="6BC3416B"/>
    <w:rsid w:val="6C412126"/>
    <w:rsid w:val="6C784253"/>
    <w:rsid w:val="6C790F7F"/>
    <w:rsid w:val="6CB60A4A"/>
    <w:rsid w:val="6D2C4EFE"/>
    <w:rsid w:val="6D397548"/>
    <w:rsid w:val="6D7E1835"/>
    <w:rsid w:val="6DA155C0"/>
    <w:rsid w:val="6DE87224"/>
    <w:rsid w:val="6DF645C3"/>
    <w:rsid w:val="6E12380C"/>
    <w:rsid w:val="6E316F59"/>
    <w:rsid w:val="6E4B519D"/>
    <w:rsid w:val="6E8A6618"/>
    <w:rsid w:val="6EA756B3"/>
    <w:rsid w:val="6EBB5CC4"/>
    <w:rsid w:val="6F46672B"/>
    <w:rsid w:val="6F772965"/>
    <w:rsid w:val="6FD6107E"/>
    <w:rsid w:val="6FF606FE"/>
    <w:rsid w:val="6FF639B9"/>
    <w:rsid w:val="7009451B"/>
    <w:rsid w:val="70213844"/>
    <w:rsid w:val="70405141"/>
    <w:rsid w:val="7046533D"/>
    <w:rsid w:val="707647B2"/>
    <w:rsid w:val="707904A8"/>
    <w:rsid w:val="70BA0174"/>
    <w:rsid w:val="70BC7623"/>
    <w:rsid w:val="70EB640A"/>
    <w:rsid w:val="70F32969"/>
    <w:rsid w:val="71056768"/>
    <w:rsid w:val="71443C2C"/>
    <w:rsid w:val="71455296"/>
    <w:rsid w:val="715C233E"/>
    <w:rsid w:val="71BD431D"/>
    <w:rsid w:val="71D0205E"/>
    <w:rsid w:val="71E1016F"/>
    <w:rsid w:val="72332FAE"/>
    <w:rsid w:val="728A7CE0"/>
    <w:rsid w:val="72FB73C0"/>
    <w:rsid w:val="73D5068A"/>
    <w:rsid w:val="73DD7E47"/>
    <w:rsid w:val="752F32FE"/>
    <w:rsid w:val="75AD6139"/>
    <w:rsid w:val="75B87D0D"/>
    <w:rsid w:val="75B9749F"/>
    <w:rsid w:val="76C46612"/>
    <w:rsid w:val="76E019C8"/>
    <w:rsid w:val="76E55DB8"/>
    <w:rsid w:val="76FC2465"/>
    <w:rsid w:val="774413B7"/>
    <w:rsid w:val="775C0844"/>
    <w:rsid w:val="77661B28"/>
    <w:rsid w:val="7769511F"/>
    <w:rsid w:val="776A341A"/>
    <w:rsid w:val="77E36F40"/>
    <w:rsid w:val="78402C81"/>
    <w:rsid w:val="788D704D"/>
    <w:rsid w:val="78AC4FB6"/>
    <w:rsid w:val="78F0153A"/>
    <w:rsid w:val="7932656C"/>
    <w:rsid w:val="79710BA8"/>
    <w:rsid w:val="79791079"/>
    <w:rsid w:val="7A4E26C6"/>
    <w:rsid w:val="7A700FF1"/>
    <w:rsid w:val="7A7F0640"/>
    <w:rsid w:val="7AC772AE"/>
    <w:rsid w:val="7AF65C32"/>
    <w:rsid w:val="7AFC32B8"/>
    <w:rsid w:val="7B19335C"/>
    <w:rsid w:val="7B224DDB"/>
    <w:rsid w:val="7B226F2B"/>
    <w:rsid w:val="7B2C7F0B"/>
    <w:rsid w:val="7B95020D"/>
    <w:rsid w:val="7BB13C38"/>
    <w:rsid w:val="7BFF26F1"/>
    <w:rsid w:val="7C245EC9"/>
    <w:rsid w:val="7C8B1668"/>
    <w:rsid w:val="7C9E2308"/>
    <w:rsid w:val="7CF4144D"/>
    <w:rsid w:val="7D1D394B"/>
    <w:rsid w:val="7D4D0622"/>
    <w:rsid w:val="7D5348AD"/>
    <w:rsid w:val="7D861512"/>
    <w:rsid w:val="7D8E75BF"/>
    <w:rsid w:val="7DCC4CB1"/>
    <w:rsid w:val="7DD66084"/>
    <w:rsid w:val="7E242055"/>
    <w:rsid w:val="7E3257C5"/>
    <w:rsid w:val="7E5333AB"/>
    <w:rsid w:val="7E6469FA"/>
    <w:rsid w:val="7E6952B3"/>
    <w:rsid w:val="7EC8089E"/>
    <w:rsid w:val="7FE32DBC"/>
    <w:rsid w:val="7FE62D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Normal (Web)"/>
    <w:basedOn w:val="1"/>
    <w:qFormat/>
    <w:uiPriority w:val="0"/>
    <w:pPr>
      <w:widowControl/>
      <w:spacing w:before="100" w:beforeAutospacing="1" w:after="100" w:afterAutospacing="1"/>
      <w:jc w:val="left"/>
    </w:pPr>
    <w:rPr>
      <w:rFonts w:ascii="宋体" w:hAnsi="宋体" w:eastAsia="宋体" w:cs="宋体"/>
      <w:kern w:val="0"/>
      <w:sz w:val="24"/>
      <w:szCs w:val="24"/>
    </w:rPr>
  </w:style>
  <w:style w:type="character" w:customStyle="1" w:styleId="6">
    <w:name w:val="font11"/>
    <w:basedOn w:val="5"/>
    <w:qFormat/>
    <w:uiPriority w:val="0"/>
    <w:rPr>
      <w:rFonts w:hint="eastAsia" w:ascii="方正黑体_GBK" w:hAnsi="方正黑体_GBK" w:eastAsia="方正黑体_GBK" w:cs="方正黑体_GBK"/>
      <w:color w:val="000000"/>
      <w:sz w:val="24"/>
      <w:szCs w:val="24"/>
      <w:u w:val="none"/>
    </w:rPr>
  </w:style>
  <w:style w:type="character" w:customStyle="1" w:styleId="7">
    <w:name w:val="font51"/>
    <w:basedOn w:val="5"/>
    <w:qFormat/>
    <w:uiPriority w:val="0"/>
    <w:rPr>
      <w:rFonts w:hint="eastAsia" w:ascii="宋体" w:hAnsi="宋体" w:eastAsia="宋体" w:cs="宋体"/>
      <w:b/>
      <w:bCs/>
      <w:color w:val="000000"/>
      <w:sz w:val="24"/>
      <w:szCs w:val="24"/>
      <w:u w:val="none"/>
    </w:rPr>
  </w:style>
  <w:style w:type="character" w:customStyle="1" w:styleId="8">
    <w:name w:val="font41"/>
    <w:basedOn w:val="5"/>
    <w:qFormat/>
    <w:uiPriority w:val="0"/>
    <w:rPr>
      <w:rFonts w:hint="eastAsia" w:ascii="宋体" w:hAnsi="宋体" w:eastAsia="宋体" w:cs="宋体"/>
      <w:color w:val="000000"/>
      <w:sz w:val="24"/>
      <w:szCs w:val="24"/>
      <w:u w:val="none"/>
    </w:rPr>
  </w:style>
  <w:style w:type="character" w:customStyle="1" w:styleId="9">
    <w:name w:val="font21"/>
    <w:basedOn w:val="5"/>
    <w:qFormat/>
    <w:uiPriority w:val="0"/>
    <w:rPr>
      <w:rFonts w:hint="eastAsia" w:ascii="宋体" w:hAnsi="宋体" w:eastAsia="宋体" w:cs="宋体"/>
      <w:color w:val="000000"/>
      <w:sz w:val="24"/>
      <w:szCs w:val="24"/>
      <w:u w:val="none"/>
    </w:rPr>
  </w:style>
  <w:style w:type="character" w:customStyle="1" w:styleId="10">
    <w:name w:val="font81"/>
    <w:basedOn w:val="5"/>
    <w:qFormat/>
    <w:uiPriority w:val="0"/>
    <w:rPr>
      <w:rFonts w:hint="eastAsia" w:ascii="宋体" w:hAnsi="宋体" w:eastAsia="宋体" w:cs="宋体"/>
      <w:color w:val="FF0000"/>
      <w:sz w:val="24"/>
      <w:szCs w:val="24"/>
      <w:u w:val="none"/>
    </w:rPr>
  </w:style>
  <w:style w:type="character" w:customStyle="1" w:styleId="11">
    <w:name w:val="font71"/>
    <w:basedOn w:val="5"/>
    <w:qFormat/>
    <w:uiPriority w:val="0"/>
    <w:rPr>
      <w:rFonts w:hint="eastAsia" w:ascii="宋体" w:hAnsi="宋体" w:eastAsia="宋体" w:cs="宋体"/>
      <w:b/>
      <w:bCs/>
      <w:color w:val="000000"/>
      <w:sz w:val="24"/>
      <w:szCs w:val="24"/>
      <w:u w:val="none"/>
    </w:rPr>
  </w:style>
  <w:style w:type="character" w:customStyle="1" w:styleId="12">
    <w:name w:val="font91"/>
    <w:basedOn w:val="5"/>
    <w:qFormat/>
    <w:uiPriority w:val="0"/>
    <w:rPr>
      <w:rFonts w:hint="eastAsia" w:ascii="宋体" w:hAnsi="宋体" w:eastAsia="宋体" w:cs="宋体"/>
      <w:b/>
      <w:bCs/>
      <w:color w:val="000000"/>
      <w:sz w:val="24"/>
      <w:szCs w:val="24"/>
      <w:u w:val="none"/>
    </w:rPr>
  </w:style>
  <w:style w:type="character" w:customStyle="1" w:styleId="13">
    <w:name w:val="font112"/>
    <w:basedOn w:val="5"/>
    <w:qFormat/>
    <w:uiPriority w:val="0"/>
    <w:rPr>
      <w:rFonts w:hint="eastAsia" w:ascii="宋体" w:hAnsi="宋体" w:eastAsia="宋体" w:cs="宋体"/>
      <w:color w:val="000000"/>
      <w:sz w:val="24"/>
      <w:szCs w:val="24"/>
      <w:u w:val="none"/>
    </w:rPr>
  </w:style>
  <w:style w:type="character" w:customStyle="1" w:styleId="14">
    <w:name w:val="font101"/>
    <w:basedOn w:val="5"/>
    <w:qFormat/>
    <w:uiPriority w:val="0"/>
    <w:rPr>
      <w:rFonts w:hint="eastAsia" w:ascii="宋体" w:hAnsi="宋体" w:eastAsia="宋体" w:cs="宋体"/>
      <w:b/>
      <w:bCs/>
      <w:color w:val="FF0000"/>
      <w:sz w:val="24"/>
      <w:szCs w:val="24"/>
      <w:u w:val="none"/>
    </w:rPr>
  </w:style>
  <w:style w:type="character" w:customStyle="1" w:styleId="15">
    <w:name w:val="font121"/>
    <w:basedOn w:val="5"/>
    <w:qFormat/>
    <w:uiPriority w:val="0"/>
    <w:rPr>
      <w:rFonts w:hint="eastAsia" w:ascii="宋体" w:hAnsi="宋体" w:eastAsia="宋体" w:cs="宋体"/>
      <w:color w:val="0415FA"/>
      <w:sz w:val="24"/>
      <w:szCs w:val="24"/>
      <w:u w:val="none"/>
    </w:rPr>
  </w:style>
  <w:style w:type="character" w:customStyle="1" w:styleId="16">
    <w:name w:val="font31"/>
    <w:basedOn w:val="5"/>
    <w:qFormat/>
    <w:uiPriority w:val="0"/>
    <w:rPr>
      <w:rFonts w:hint="eastAsia" w:ascii="宋体" w:hAnsi="宋体" w:eastAsia="宋体" w:cs="宋体"/>
      <w:color w:val="000000"/>
      <w:sz w:val="24"/>
      <w:szCs w:val="24"/>
      <w:u w:val="none"/>
    </w:rPr>
  </w:style>
  <w:style w:type="character" w:customStyle="1" w:styleId="17">
    <w:name w:val="font61"/>
    <w:basedOn w:val="5"/>
    <w:qFormat/>
    <w:uiPriority w:val="0"/>
    <w:rPr>
      <w:rFonts w:hint="eastAsia" w:ascii="宋体" w:hAnsi="宋体" w:eastAsia="宋体" w:cs="宋体"/>
      <w:b/>
      <w:bCs/>
      <w:color w:val="000000"/>
      <w:sz w:val="24"/>
      <w:szCs w:val="24"/>
      <w:u w:val="none"/>
    </w:rPr>
  </w:style>
  <w:style w:type="character" w:customStyle="1" w:styleId="18">
    <w:name w:val="font12"/>
    <w:basedOn w:val="5"/>
    <w:qFormat/>
    <w:uiPriority w:val="0"/>
    <w:rPr>
      <w:rFonts w:hint="eastAsia" w:ascii="方正黑体_GBK" w:hAnsi="方正黑体_GBK" w:eastAsia="方正黑体_GBK" w:cs="方正黑体_GBK"/>
      <w:color w:val="000000"/>
      <w:sz w:val="24"/>
      <w:szCs w:val="24"/>
      <w:u w:val="none"/>
    </w:rPr>
  </w:style>
  <w:style w:type="character" w:customStyle="1" w:styleId="19">
    <w:name w:val="font111"/>
    <w:basedOn w:val="5"/>
    <w:qFormat/>
    <w:uiPriority w:val="0"/>
    <w:rPr>
      <w:rFonts w:hint="eastAsia" w:ascii="方正仿宋_GBK" w:hAnsi="方正仿宋_GBK" w:eastAsia="方正仿宋_GBK" w:cs="方正仿宋_GBK"/>
      <w:color w:val="000000"/>
      <w:sz w:val="24"/>
      <w:szCs w:val="24"/>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59</Pages>
  <Words>43256</Words>
  <Characters>43776</Characters>
  <Lines>0</Lines>
  <Paragraphs>0</Paragraphs>
  <TotalTime>8</TotalTime>
  <ScaleCrop>false</ScaleCrop>
  <LinksUpToDate>false</LinksUpToDate>
  <CharactersWithSpaces>45306</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2024-05-21T06:36:00Z</dcterms:created>
  <dc:creator>Administrator</dc:creator>
  <cp:lastModifiedBy>湘君</cp:lastModifiedBy>
  <dcterms:modified xsi:type="dcterms:W3CDTF">2024-08-29T01:16:41Z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32FAA464978B46AFB832BC754A578AFF_12</vt:lpwstr>
  </property>
</Properties>
</file>