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topLinePunct w:val="0"/>
        <w:autoSpaceDE w:val="0"/>
        <w:autoSpaceDN w:val="0"/>
        <w:bidi w:val="0"/>
        <w:adjustRightInd w:val="0"/>
        <w:snapToGrid w:val="0"/>
        <w:spacing w:before="0" w:line="540" w:lineRule="exact"/>
        <w:ind w:left="0" w:right="0" w:firstLine="199"/>
        <w:jc w:val="center"/>
        <w:textAlignment w:val="auto"/>
        <w:rPr>
          <w:rFonts w:hint="eastAsia" w:ascii="方正小标宋简体" w:hAnsi="方正小标宋简体" w:eastAsia="方正小标宋简体" w:cs="方正小标宋简体"/>
          <w:b/>
          <w:bCs/>
          <w:sz w:val="36"/>
          <w:szCs w:val="36"/>
        </w:rPr>
      </w:pPr>
      <w:r>
        <w:rPr>
          <w:rFonts w:hint="eastAsia" w:ascii="方正小标宋简体" w:hAnsi="方正小标宋简体" w:eastAsia="方正小标宋简体" w:cs="方正小标宋简体"/>
          <w:b/>
          <w:bCs/>
          <w:sz w:val="36"/>
          <w:szCs w:val="36"/>
        </w:rPr>
        <w:t>《绿色产品和服务认证规范》</w:t>
      </w:r>
    </w:p>
    <w:p>
      <w:pPr>
        <w:keepNext w:val="0"/>
        <w:keepLines w:val="0"/>
        <w:pageBreakBefore w:val="0"/>
        <w:kinsoku/>
        <w:topLinePunct w:val="0"/>
        <w:autoSpaceDE w:val="0"/>
        <w:autoSpaceDN w:val="0"/>
        <w:bidi w:val="0"/>
        <w:adjustRightInd w:val="0"/>
        <w:snapToGrid w:val="0"/>
        <w:spacing w:before="0" w:line="540" w:lineRule="exact"/>
        <w:ind w:left="0" w:right="0" w:firstLine="199"/>
        <w:jc w:val="center"/>
        <w:textAlignment w:val="auto"/>
        <w:rPr>
          <w:rFonts w:hint="eastAsia" w:ascii="宋体" w:eastAsia="宋体"/>
          <w:b/>
          <w:bCs/>
          <w:sz w:val="36"/>
          <w:szCs w:val="36"/>
        </w:rPr>
      </w:pPr>
      <w:r>
        <w:rPr>
          <w:rFonts w:hint="eastAsia" w:ascii="方正小标宋简体" w:hAnsi="方正小标宋简体" w:eastAsia="方正小标宋简体" w:cs="方正小标宋简体"/>
          <w:b/>
          <w:bCs/>
          <w:sz w:val="36"/>
          <w:szCs w:val="36"/>
        </w:rPr>
        <w:t>长三角区域地方标准（征求意见稿）编制说明</w:t>
      </w:r>
    </w:p>
    <w:p>
      <w:pPr>
        <w:pStyle w:val="3"/>
        <w:keepNext w:val="0"/>
        <w:keepLines w:val="0"/>
        <w:pageBreakBefore w:val="0"/>
        <w:kinsoku/>
        <w:topLinePunct w:val="0"/>
        <w:autoSpaceDE w:val="0"/>
        <w:autoSpaceDN w:val="0"/>
        <w:bidi w:val="0"/>
        <w:adjustRightInd w:val="0"/>
        <w:snapToGrid w:val="0"/>
        <w:spacing w:before="0" w:line="540" w:lineRule="exact"/>
        <w:ind w:left="0" w:right="0"/>
        <w:textAlignment w:val="auto"/>
        <w:rPr>
          <w:rFonts w:ascii="宋体"/>
          <w:sz w:val="36"/>
          <w:szCs w:val="18"/>
        </w:rPr>
      </w:pPr>
    </w:p>
    <w:p>
      <w:pPr>
        <w:keepNext w:val="0"/>
        <w:keepLines w:val="0"/>
        <w:pageBreakBefore w:val="0"/>
        <w:widowControl/>
        <w:kinsoku/>
        <w:wordWrap/>
        <w:overflowPunct/>
        <w:topLinePunct w:val="0"/>
        <w:autoSpaceDE/>
        <w:autoSpaceDN/>
        <w:bidi w:val="0"/>
        <w:adjustRightInd/>
        <w:snapToGrid/>
        <w:spacing w:before="312" w:beforeLines="100" w:line="540" w:lineRule="exact"/>
        <w:ind w:left="0" w:right="0" w:firstLine="600" w:firstLineChars="200"/>
        <w:jc w:val="both"/>
        <w:textAlignment w:val="auto"/>
        <w:outlineLvl w:val="0"/>
        <w:rPr>
          <w:rFonts w:hint="default" w:ascii="Times New Roman" w:hAnsi="Times New Roman" w:eastAsia="黑体" w:cs="Times New Roman"/>
          <w:b w:val="0"/>
          <w:color w:val="000000" w:themeColor="text1"/>
          <w:kern w:val="2"/>
          <w:sz w:val="30"/>
          <w:szCs w:val="30"/>
          <w:lang w:val="en-US" w:bidi="ar-SA"/>
          <w14:textFill>
            <w14:solidFill>
              <w14:schemeClr w14:val="tx1"/>
            </w14:solidFill>
          </w14:textFill>
        </w:rPr>
      </w:pPr>
      <w:r>
        <w:rPr>
          <w:rFonts w:hint="default" w:ascii="Times New Roman" w:hAnsi="Times New Roman" w:eastAsia="黑体" w:cs="Times New Roman"/>
          <w:b w:val="0"/>
          <w:color w:val="000000" w:themeColor="text1"/>
          <w:kern w:val="2"/>
          <w:sz w:val="30"/>
          <w:szCs w:val="30"/>
          <w:lang w:val="en-US" w:bidi="ar-SA"/>
          <w14:textFill>
            <w14:solidFill>
              <w14:schemeClr w14:val="tx1"/>
            </w14:solidFill>
          </w14:textFill>
        </w:rPr>
        <w:t>一、工作简况</w:t>
      </w:r>
    </w:p>
    <w:p>
      <w:pPr>
        <w:pStyle w:val="2"/>
        <w:keepNext w:val="0"/>
        <w:keepLines w:val="0"/>
        <w:pageBreakBefore w:val="0"/>
        <w:widowControl w:val="0"/>
        <w:kinsoku/>
        <w:wordWrap/>
        <w:overflowPunct/>
        <w:topLinePunct w:val="0"/>
        <w:autoSpaceDE w:val="0"/>
        <w:autoSpaceDN w:val="0"/>
        <w:bidi w:val="0"/>
        <w:adjustRightInd w:val="0"/>
        <w:snapToGrid w:val="0"/>
        <w:spacing w:before="0" w:line="540" w:lineRule="exact"/>
        <w:ind w:left="0" w:leftChars="0" w:right="0" w:firstLine="643" w:firstLineChars="200"/>
        <w:textAlignment w:val="auto"/>
        <w:rPr>
          <w:rFonts w:hint="eastAsia" w:ascii="楷体_GB2312" w:hAnsi="楷体_GB2312" w:eastAsia="楷体_GB2312" w:cs="楷体_GB2312"/>
        </w:rPr>
      </w:pPr>
      <w:r>
        <w:rPr>
          <w:rFonts w:hint="eastAsia" w:ascii="楷体_GB2312" w:hAnsi="楷体_GB2312" w:eastAsia="楷体_GB2312" w:cs="楷体_GB2312"/>
          <w:lang w:eastAsia="zh-CN"/>
        </w:rPr>
        <w:t>（一）</w:t>
      </w:r>
      <w:r>
        <w:rPr>
          <w:rFonts w:hint="eastAsia" w:ascii="楷体_GB2312" w:hAnsi="楷体_GB2312" w:eastAsia="楷体_GB2312" w:cs="楷体_GB2312"/>
        </w:rPr>
        <w:t>任务来源</w:t>
      </w:r>
    </w:p>
    <w:p>
      <w:pPr>
        <w:keepNext w:val="0"/>
        <w:keepLines w:val="0"/>
        <w:pageBreakBefore w:val="0"/>
        <w:widowControl/>
        <w:suppressLineNumbers w:val="0"/>
        <w:kinsoku/>
        <w:wordWrap/>
        <w:overflowPunct/>
        <w:topLinePunct w:val="0"/>
        <w:autoSpaceDE w:val="0"/>
        <w:autoSpaceDN w:val="0"/>
        <w:bidi w:val="0"/>
        <w:adjustRightInd w:val="0"/>
        <w:snapToGrid w:val="0"/>
        <w:spacing w:before="0" w:line="540" w:lineRule="exact"/>
        <w:ind w:left="0" w:right="0" w:firstLine="620" w:firstLineChars="200"/>
        <w:jc w:val="lef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pacing w:val="-5"/>
          <w:sz w:val="32"/>
          <w:szCs w:val="32"/>
          <w:lang w:val="en-US" w:eastAsia="zh-CN" w:bidi="zh-CN"/>
        </w:rPr>
        <w:t>本标准为2022年度第二批长三角区域统一地方标准制修订计划项目（沪市监标技〔2022〕552号）。由上海市市场监督管理局、江苏省市场监督管理局、浙江省市场监督管理局、安徽省市场监督管理局提出归口并组织实施。标准名称为《绿色产品和服务认证规范》。</w:t>
      </w:r>
    </w:p>
    <w:p>
      <w:pPr>
        <w:pStyle w:val="2"/>
        <w:keepNext w:val="0"/>
        <w:keepLines w:val="0"/>
        <w:pageBreakBefore w:val="0"/>
        <w:widowControl w:val="0"/>
        <w:kinsoku/>
        <w:wordWrap/>
        <w:overflowPunct/>
        <w:topLinePunct w:val="0"/>
        <w:autoSpaceDE w:val="0"/>
        <w:autoSpaceDN w:val="0"/>
        <w:bidi w:val="0"/>
        <w:adjustRightInd w:val="0"/>
        <w:snapToGrid w:val="0"/>
        <w:spacing w:before="0" w:line="540" w:lineRule="exact"/>
        <w:ind w:left="0" w:leftChars="0" w:right="0" w:firstLine="643" w:firstLineChars="200"/>
        <w:textAlignment w:val="auto"/>
        <w:rPr>
          <w:rFonts w:hint="eastAsia" w:ascii="楷体_GB2312" w:hAnsi="楷体_GB2312" w:eastAsia="楷体_GB2312" w:cs="楷体_GB2312"/>
        </w:rPr>
      </w:pPr>
      <w:r>
        <w:rPr>
          <w:rFonts w:hint="eastAsia" w:ascii="楷体_GB2312" w:hAnsi="楷体_GB2312" w:eastAsia="楷体_GB2312" w:cs="楷体_GB2312"/>
          <w:lang w:eastAsia="zh-CN"/>
        </w:rPr>
        <w:t>（二）</w:t>
      </w:r>
      <w:r>
        <w:rPr>
          <w:rFonts w:hint="eastAsia" w:ascii="楷体_GB2312" w:hAnsi="楷体_GB2312" w:eastAsia="楷体_GB2312" w:cs="楷体_GB2312"/>
        </w:rPr>
        <w:t>目的和意义</w:t>
      </w:r>
    </w:p>
    <w:p>
      <w:pPr>
        <w:keepNext w:val="0"/>
        <w:keepLines w:val="0"/>
        <w:pageBreakBefore w:val="0"/>
        <w:widowControl/>
        <w:suppressLineNumbers w:val="0"/>
        <w:kinsoku/>
        <w:wordWrap/>
        <w:overflowPunct/>
        <w:topLinePunct w:val="0"/>
        <w:autoSpaceDE w:val="0"/>
        <w:autoSpaceDN w:val="0"/>
        <w:bidi w:val="0"/>
        <w:adjustRightInd w:val="0"/>
        <w:snapToGrid w:val="0"/>
        <w:spacing w:before="0" w:line="540" w:lineRule="exact"/>
        <w:ind w:left="0" w:right="0" w:firstLine="620" w:firstLineChars="200"/>
        <w:jc w:val="left"/>
        <w:textAlignment w:val="auto"/>
        <w:rPr>
          <w:rFonts w:hint="eastAsia" w:ascii="方正仿宋_GB2312" w:hAnsi="方正仿宋_GB2312" w:eastAsia="方正仿宋_GB2312" w:cs="方正仿宋_GB2312"/>
          <w:spacing w:val="-5"/>
          <w:sz w:val="32"/>
          <w:szCs w:val="32"/>
          <w:lang w:val="en-US" w:eastAsia="zh-CN" w:bidi="zh-CN"/>
        </w:rPr>
      </w:pPr>
      <w:r>
        <w:rPr>
          <w:rFonts w:hint="eastAsia" w:ascii="方正仿宋_GB2312" w:hAnsi="方正仿宋_GB2312" w:eastAsia="方正仿宋_GB2312" w:cs="方正仿宋_GB2312"/>
          <w:spacing w:val="-5"/>
          <w:sz w:val="32"/>
          <w:szCs w:val="32"/>
          <w:lang w:val="en-US" w:eastAsia="zh-CN" w:bidi="zh-CN"/>
        </w:rPr>
        <w:t>党的二十大提出要“推动绿色发展，促进人与自然和谐共生”，将“广泛形成绿色生产生活方式，碳排放达峰后稳中有降，生态环境根本好转，美丽中国目标基本实现”列入到2035年的发展总体目标。《中华人民共和国国民经济和社会发展第十四个五年规划和2035年远景目标纲要》也明确要实现</w:t>
      </w:r>
      <w:r>
        <w:rPr>
          <w:rFonts w:hint="eastAsia" w:ascii="方正仿宋_GB2312" w:hAnsi="方正仿宋_GB2312" w:eastAsia="方正仿宋_GB2312" w:cs="方正仿宋_GB2312"/>
          <w:spacing w:val="-5"/>
          <w:sz w:val="32"/>
          <w:szCs w:val="32"/>
          <w:cs/>
          <w:lang w:val="en-US" w:eastAsia="zh-CN" w:bidi="zh-CN"/>
        </w:rPr>
        <w:t>“</w:t>
      </w:r>
      <w:r>
        <w:rPr>
          <w:rFonts w:hint="eastAsia" w:ascii="方正仿宋_GB2312" w:hAnsi="方正仿宋_GB2312" w:eastAsia="方正仿宋_GB2312" w:cs="方正仿宋_GB2312"/>
          <w:spacing w:val="-5"/>
          <w:sz w:val="32"/>
          <w:szCs w:val="32"/>
          <w:lang w:val="en-US" w:eastAsia="zh-CN" w:bidi="zh-CN"/>
        </w:rPr>
        <w:t>生态环境持续改善</w:t>
      </w:r>
      <w:r>
        <w:rPr>
          <w:rFonts w:hint="eastAsia" w:ascii="方正仿宋_GB2312" w:hAnsi="方正仿宋_GB2312" w:eastAsia="方正仿宋_GB2312" w:cs="方正仿宋_GB2312"/>
          <w:spacing w:val="-5"/>
          <w:sz w:val="32"/>
          <w:szCs w:val="32"/>
          <w:cs/>
          <w:lang w:val="en-US" w:eastAsia="zh-CN" w:bidi="zh-CN"/>
        </w:rPr>
        <w:t>”</w:t>
      </w:r>
      <w:r>
        <w:rPr>
          <w:rFonts w:hint="eastAsia" w:ascii="方正仿宋_GB2312" w:hAnsi="方正仿宋_GB2312" w:eastAsia="方正仿宋_GB2312" w:cs="方正仿宋_GB2312"/>
          <w:spacing w:val="-5"/>
          <w:sz w:val="32"/>
          <w:szCs w:val="32"/>
          <w:lang w:val="en-US" w:eastAsia="zh-CN" w:bidi="zh-CN"/>
        </w:rPr>
        <w:t>等目标。生态环保、绿色发展是未来一段时间内我国经济社会发展的重要主题。</w:t>
      </w:r>
    </w:p>
    <w:p>
      <w:pPr>
        <w:keepNext w:val="0"/>
        <w:keepLines w:val="0"/>
        <w:pageBreakBefore w:val="0"/>
        <w:widowControl/>
        <w:suppressLineNumbers w:val="0"/>
        <w:kinsoku/>
        <w:wordWrap/>
        <w:overflowPunct/>
        <w:topLinePunct w:val="0"/>
        <w:autoSpaceDE w:val="0"/>
        <w:autoSpaceDN w:val="0"/>
        <w:bidi w:val="0"/>
        <w:adjustRightInd w:val="0"/>
        <w:snapToGrid w:val="0"/>
        <w:spacing w:before="0" w:line="540" w:lineRule="exact"/>
        <w:ind w:left="0" w:right="0" w:firstLine="620" w:firstLineChars="200"/>
        <w:jc w:val="left"/>
        <w:textAlignment w:val="auto"/>
        <w:rPr>
          <w:rFonts w:hint="eastAsia" w:ascii="方正仿宋_GB2312" w:hAnsi="方正仿宋_GB2312" w:eastAsia="方正仿宋_GB2312" w:cs="方正仿宋_GB2312"/>
          <w:spacing w:val="-5"/>
          <w:sz w:val="32"/>
          <w:szCs w:val="32"/>
          <w:lang w:val="en-US" w:eastAsia="zh-CN" w:bidi="zh-CN"/>
        </w:rPr>
      </w:pPr>
      <w:r>
        <w:rPr>
          <w:rFonts w:hint="eastAsia" w:ascii="方正仿宋_GB2312" w:hAnsi="方正仿宋_GB2312" w:eastAsia="方正仿宋_GB2312" w:cs="方正仿宋_GB2312"/>
          <w:spacing w:val="-5"/>
          <w:sz w:val="32"/>
          <w:szCs w:val="32"/>
          <w:lang w:val="en-US" w:eastAsia="zh-CN" w:bidi="zh-CN"/>
        </w:rPr>
        <w:t>长三角区域在市场环境、法治环境、制度建设、人才等各方面均占据优势。推动长三角一体化发展是党中央构建新发展格局、实现高质量发展的重要战略部署。长三角地区通过各扬所长和优势互补，实现跨区域的协调互动，将使区域发展效应倍增，所形成的发展经验将带动更大范围、更多领域向更高质量发展。作为实施长三角一体化发展先手棋和突破口的长三角生态绿色一体化发展示范区建设，则将生态和绿色作为了高质量发展的一抹“底色”，摆在了更加突出的位置，因而推动长三角绿色认证一体化发展具有重要的现实意义。</w:t>
      </w:r>
    </w:p>
    <w:p>
      <w:pPr>
        <w:keepNext w:val="0"/>
        <w:keepLines w:val="0"/>
        <w:pageBreakBefore w:val="0"/>
        <w:widowControl/>
        <w:suppressLineNumbers w:val="0"/>
        <w:kinsoku/>
        <w:wordWrap/>
        <w:overflowPunct/>
        <w:topLinePunct w:val="0"/>
        <w:autoSpaceDE w:val="0"/>
        <w:autoSpaceDN w:val="0"/>
        <w:bidi w:val="0"/>
        <w:adjustRightInd w:val="0"/>
        <w:snapToGrid w:val="0"/>
        <w:spacing w:before="0" w:line="540" w:lineRule="exact"/>
        <w:ind w:left="0" w:right="0" w:firstLine="620" w:firstLineChars="200"/>
        <w:jc w:val="lef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pacing w:val="-5"/>
          <w:sz w:val="32"/>
          <w:szCs w:val="32"/>
          <w:lang w:val="en-US" w:eastAsia="zh-CN" w:bidi="zh-CN"/>
        </w:rPr>
        <w:t>开展绿色评价认证活动是生态文明建设的重要途径。在国家已构建统一的绿色产品标准、认证、标识体系的框架下，积极推进长三角绿色认证一体化建设，开展试点研究，打造“绿色认证先行区”，对于绿色认证制度的进一步完善、质量认证工作的区域协同化发展具有重要的推动作用，也将推动质量认证在助力长三角生态文明体制改革和一体化发展中发挥更大的作用。</w:t>
      </w:r>
    </w:p>
    <w:p>
      <w:pPr>
        <w:pStyle w:val="2"/>
        <w:keepNext w:val="0"/>
        <w:keepLines w:val="0"/>
        <w:pageBreakBefore w:val="0"/>
        <w:widowControl w:val="0"/>
        <w:kinsoku/>
        <w:wordWrap/>
        <w:overflowPunct/>
        <w:topLinePunct w:val="0"/>
        <w:autoSpaceDE w:val="0"/>
        <w:autoSpaceDN w:val="0"/>
        <w:bidi w:val="0"/>
        <w:adjustRightInd w:val="0"/>
        <w:snapToGrid w:val="0"/>
        <w:spacing w:before="0" w:line="540" w:lineRule="exact"/>
        <w:ind w:left="0" w:leftChars="0" w:right="0" w:firstLine="643" w:firstLineChars="200"/>
        <w:textAlignment w:val="auto"/>
        <w:rPr>
          <w:rFonts w:hint="eastAsia" w:ascii="楷体_GB2312" w:hAnsi="楷体_GB2312" w:eastAsia="楷体_GB2312" w:cs="楷体_GB2312"/>
        </w:rPr>
      </w:pPr>
      <w:r>
        <w:rPr>
          <w:rFonts w:hint="eastAsia" w:ascii="楷体_GB2312" w:hAnsi="楷体_GB2312" w:eastAsia="楷体_GB2312" w:cs="楷体_GB2312"/>
          <w:lang w:eastAsia="zh-CN"/>
        </w:rPr>
        <w:t>（三）</w:t>
      </w:r>
      <w:r>
        <w:rPr>
          <w:rFonts w:hint="eastAsia" w:ascii="楷体_GB2312" w:hAnsi="楷体_GB2312" w:eastAsia="楷体_GB2312" w:cs="楷体_GB2312"/>
        </w:rPr>
        <w:t xml:space="preserve">主要工作过程 </w:t>
      </w:r>
    </w:p>
    <w:p>
      <w:pPr>
        <w:pStyle w:val="7"/>
        <w:keepNext w:val="0"/>
        <w:keepLines w:val="0"/>
        <w:pageBreakBefore w:val="0"/>
        <w:widowControl w:val="0"/>
        <w:numPr>
          <w:ilvl w:val="0"/>
          <w:numId w:val="1"/>
        </w:numPr>
        <w:tabs>
          <w:tab w:val="left" w:pos="1563"/>
        </w:tabs>
        <w:kinsoku/>
        <w:wordWrap/>
        <w:overflowPunct/>
        <w:topLinePunct w:val="0"/>
        <w:autoSpaceDE w:val="0"/>
        <w:autoSpaceDN w:val="0"/>
        <w:bidi w:val="0"/>
        <w:adjustRightInd w:val="0"/>
        <w:snapToGrid w:val="0"/>
        <w:spacing w:before="0" w:after="0" w:line="540" w:lineRule="exact"/>
        <w:ind w:left="0" w:leftChars="0" w:right="0" w:firstLine="643" w:firstLineChars="200"/>
        <w:jc w:val="left"/>
        <w:textAlignment w:val="auto"/>
        <w:rPr>
          <w:rFonts w:hint="eastAsia" w:ascii="方正仿宋_GB2312" w:hAnsi="方正仿宋_GB2312" w:eastAsia="方正仿宋_GB2312" w:cs="方正仿宋_GB2312"/>
          <w:b/>
          <w:bCs/>
          <w:sz w:val="32"/>
        </w:rPr>
      </w:pPr>
      <w:r>
        <w:rPr>
          <w:rFonts w:hint="eastAsia" w:ascii="方正仿宋_GB2312" w:hAnsi="方正仿宋_GB2312" w:eastAsia="方正仿宋_GB2312" w:cs="方正仿宋_GB2312"/>
          <w:b/>
          <w:bCs/>
          <w:sz w:val="32"/>
        </w:rPr>
        <w:t>调研起草阶段</w:t>
      </w:r>
    </w:p>
    <w:p>
      <w:pPr>
        <w:pStyle w:val="3"/>
        <w:keepNext w:val="0"/>
        <w:keepLines w:val="0"/>
        <w:pageBreakBefore w:val="0"/>
        <w:widowControl w:val="0"/>
        <w:kinsoku/>
        <w:wordWrap/>
        <w:overflowPunct/>
        <w:topLinePunct w:val="0"/>
        <w:autoSpaceDE w:val="0"/>
        <w:autoSpaceDN w:val="0"/>
        <w:bidi w:val="0"/>
        <w:adjustRightInd w:val="0"/>
        <w:snapToGrid w:val="0"/>
        <w:spacing w:before="0" w:line="540" w:lineRule="exact"/>
        <w:ind w:left="0" w:leftChars="0" w:right="0" w:firstLine="640" w:firstLineChars="200"/>
        <w:jc w:val="both"/>
        <w:textAlignment w:val="auto"/>
        <w:rPr>
          <w:rFonts w:hint="eastAsia" w:ascii="方正仿宋_GB2312" w:hAnsi="方正仿宋_GB2312" w:eastAsia="方正仿宋_GB2312" w:cs="方正仿宋_GB2312"/>
          <w:lang w:val="en-US" w:eastAsia="zh-CN"/>
        </w:rPr>
      </w:pPr>
      <w:r>
        <w:rPr>
          <w:rFonts w:hint="eastAsia" w:ascii="方正仿宋_GB2312" w:hAnsi="方正仿宋_GB2312" w:eastAsia="方正仿宋_GB2312" w:cs="方正仿宋_GB2312"/>
          <w:lang w:val="en-US" w:eastAsia="zh-CN"/>
        </w:rPr>
        <w:t>本标准于2021年6月启动调研准备工作，通过对国家层面绿色认证及评价相关制度及工作机制的研究，结合长三角三省一市区域特点，确定了以指导长三角区域绿色认证开展的规范性要求为主、同步确定长三角绿色认证的技术指标框架的标准起草思路，通过沪苏浙皖三省一市市场监管部门、认证机构、科研机构等单位多次意见征求及讨论修改，形成了标准草案（初稿）及立项建议书。</w:t>
      </w:r>
    </w:p>
    <w:p>
      <w:pPr>
        <w:pStyle w:val="7"/>
        <w:keepNext w:val="0"/>
        <w:keepLines w:val="0"/>
        <w:pageBreakBefore w:val="0"/>
        <w:widowControl w:val="0"/>
        <w:numPr>
          <w:ilvl w:val="0"/>
          <w:numId w:val="2"/>
        </w:numPr>
        <w:tabs>
          <w:tab w:val="left" w:pos="1563"/>
        </w:tabs>
        <w:kinsoku/>
        <w:wordWrap/>
        <w:overflowPunct/>
        <w:topLinePunct w:val="0"/>
        <w:autoSpaceDE w:val="0"/>
        <w:autoSpaceDN w:val="0"/>
        <w:bidi w:val="0"/>
        <w:adjustRightInd w:val="0"/>
        <w:snapToGrid w:val="0"/>
        <w:spacing w:before="0" w:after="0" w:line="540" w:lineRule="exact"/>
        <w:ind w:left="0" w:leftChars="0" w:right="0" w:firstLine="643" w:firstLineChars="200"/>
        <w:jc w:val="left"/>
        <w:textAlignment w:val="auto"/>
        <w:rPr>
          <w:rFonts w:hint="eastAsia" w:ascii="方正仿宋_GB2312" w:hAnsi="方正仿宋_GB2312" w:eastAsia="方正仿宋_GB2312" w:cs="方正仿宋_GB2312"/>
          <w:b/>
          <w:bCs/>
          <w:sz w:val="32"/>
        </w:rPr>
      </w:pPr>
      <w:r>
        <w:rPr>
          <w:rFonts w:hint="eastAsia" w:ascii="方正仿宋_GB2312" w:hAnsi="方正仿宋_GB2312" w:eastAsia="方正仿宋_GB2312" w:cs="方正仿宋_GB2312"/>
          <w:b/>
          <w:bCs/>
          <w:sz w:val="32"/>
        </w:rPr>
        <w:t>立项阶段</w:t>
      </w:r>
    </w:p>
    <w:p>
      <w:pPr>
        <w:pStyle w:val="3"/>
        <w:keepNext w:val="0"/>
        <w:keepLines w:val="0"/>
        <w:pageBreakBefore w:val="0"/>
        <w:widowControl w:val="0"/>
        <w:kinsoku/>
        <w:wordWrap/>
        <w:overflowPunct/>
        <w:topLinePunct w:val="0"/>
        <w:autoSpaceDE w:val="0"/>
        <w:autoSpaceDN w:val="0"/>
        <w:bidi w:val="0"/>
        <w:adjustRightInd w:val="0"/>
        <w:snapToGrid w:val="0"/>
        <w:spacing w:before="0" w:line="540" w:lineRule="exact"/>
        <w:ind w:left="0" w:right="0" w:firstLine="640" w:firstLineChars="200"/>
        <w:jc w:val="both"/>
        <w:textAlignment w:val="auto"/>
        <w:rPr>
          <w:rFonts w:hint="eastAsia" w:ascii="方正仿宋_GB2312" w:hAnsi="方正仿宋_GB2312" w:eastAsia="方正仿宋_GB2312" w:cs="方正仿宋_GB2312"/>
          <w:lang w:val="en-US" w:eastAsia="zh-CN"/>
        </w:rPr>
      </w:pPr>
      <w:r>
        <w:rPr>
          <w:rFonts w:hint="eastAsia" w:ascii="方正仿宋_GB2312" w:hAnsi="方正仿宋_GB2312" w:eastAsia="方正仿宋_GB2312" w:cs="方正仿宋_GB2312"/>
          <w:lang w:val="en-US" w:eastAsia="zh-CN"/>
        </w:rPr>
        <w:t>2022年11月11日，在长三角三省一市市场监管局联合召开的区域地方标准立项论证评估会上，对标准的可行性、必要性及实施影响进行了专家论证，进一步明确了标准适用方向，同时对标准草案的内容、框架结构及技术指标设定等给出了建设性的意见建议，与会专家一致同意标准立项。</w:t>
      </w:r>
    </w:p>
    <w:p>
      <w:pPr>
        <w:pStyle w:val="7"/>
        <w:keepNext w:val="0"/>
        <w:keepLines w:val="0"/>
        <w:pageBreakBefore w:val="0"/>
        <w:widowControl w:val="0"/>
        <w:numPr>
          <w:ilvl w:val="0"/>
          <w:numId w:val="2"/>
        </w:numPr>
        <w:tabs>
          <w:tab w:val="left" w:pos="1563"/>
        </w:tabs>
        <w:kinsoku/>
        <w:wordWrap/>
        <w:overflowPunct/>
        <w:topLinePunct w:val="0"/>
        <w:autoSpaceDE w:val="0"/>
        <w:autoSpaceDN w:val="0"/>
        <w:bidi w:val="0"/>
        <w:adjustRightInd w:val="0"/>
        <w:snapToGrid w:val="0"/>
        <w:spacing w:before="0" w:after="0" w:line="540" w:lineRule="exact"/>
        <w:ind w:left="0" w:leftChars="0" w:right="0" w:firstLine="643" w:firstLineChars="200"/>
        <w:jc w:val="left"/>
        <w:textAlignment w:val="auto"/>
        <w:rPr>
          <w:rFonts w:hint="eastAsia" w:ascii="方正仿宋_GB2312" w:hAnsi="方正仿宋_GB2312" w:eastAsia="方正仿宋_GB2312" w:cs="方正仿宋_GB2312"/>
          <w:b/>
          <w:bCs/>
          <w:sz w:val="32"/>
        </w:rPr>
      </w:pPr>
      <w:r>
        <w:rPr>
          <w:rFonts w:hint="eastAsia" w:ascii="方正仿宋_GB2312" w:hAnsi="方正仿宋_GB2312" w:eastAsia="方正仿宋_GB2312" w:cs="方正仿宋_GB2312"/>
          <w:b/>
          <w:bCs/>
          <w:sz w:val="32"/>
        </w:rPr>
        <w:t>征求意见阶段</w:t>
      </w:r>
    </w:p>
    <w:p>
      <w:pPr>
        <w:keepNext w:val="0"/>
        <w:keepLines w:val="0"/>
        <w:pageBreakBefore w:val="0"/>
        <w:widowControl w:val="0"/>
        <w:kinsoku/>
        <w:wordWrap/>
        <w:overflowPunct/>
        <w:topLinePunct w:val="0"/>
        <w:autoSpaceDE w:val="0"/>
        <w:autoSpaceDN w:val="0"/>
        <w:bidi w:val="0"/>
        <w:adjustRightInd w:val="0"/>
        <w:snapToGrid w:val="0"/>
        <w:spacing w:before="0" w:line="540" w:lineRule="exact"/>
        <w:ind w:left="0" w:right="0" w:firstLine="640" w:firstLineChars="200"/>
        <w:textAlignment w:val="auto"/>
        <w:outlineLvl w:val="9"/>
        <w:rPr>
          <w:rFonts w:hint="eastAsia" w:ascii="方正仿宋_GB2312" w:hAnsi="方正仿宋_GB2312" w:eastAsia="方正仿宋_GB2312" w:cs="方正仿宋_GB2312"/>
          <w:b w:val="0"/>
          <w:bCs w:val="0"/>
          <w:sz w:val="32"/>
          <w:szCs w:val="32"/>
          <w:highlight w:val="none"/>
          <w:lang w:val="en-US" w:eastAsia="zh-CN" w:bidi="zh-CN"/>
        </w:rPr>
      </w:pPr>
      <w:r>
        <w:rPr>
          <w:rFonts w:hint="eastAsia" w:ascii="方正仿宋_GB2312" w:hAnsi="方正仿宋_GB2312" w:eastAsia="方正仿宋_GB2312" w:cs="方正仿宋_GB2312"/>
          <w:b w:val="0"/>
          <w:bCs w:val="0"/>
          <w:sz w:val="32"/>
          <w:szCs w:val="32"/>
          <w:highlight w:val="none"/>
          <w:lang w:val="en-US" w:eastAsia="zh-CN" w:bidi="zh-CN"/>
        </w:rPr>
        <w:t>本标准在起草过程中先后进行了多轮意见征求，共收到监管部门、行业组织、认证机构等</w:t>
      </w:r>
      <w:r>
        <w:rPr>
          <w:rFonts w:hint="eastAsia" w:ascii="方正仿宋_GB2312" w:hAnsi="方正仿宋_GB2312" w:eastAsia="方正仿宋_GB2312" w:cs="方正仿宋_GB2312"/>
          <w:b w:val="0"/>
          <w:bCs w:val="0"/>
          <w:sz w:val="32"/>
          <w:szCs w:val="32"/>
          <w:highlight w:val="none"/>
          <w:lang w:val="en-US" w:eastAsia="zh-CN" w:bidi="zh-CN"/>
        </w:rPr>
        <w:t>反馈的意见建议100余条。</w:t>
      </w:r>
      <w:r>
        <w:rPr>
          <w:rFonts w:hint="eastAsia" w:ascii="方正仿宋_GB2312" w:hAnsi="方正仿宋_GB2312" w:eastAsia="方正仿宋_GB2312" w:cs="方正仿宋_GB2312"/>
          <w:b w:val="0"/>
          <w:bCs w:val="0"/>
          <w:sz w:val="32"/>
          <w:szCs w:val="32"/>
          <w:highlight w:val="none"/>
          <w:lang w:val="en-US" w:eastAsia="zh-CN" w:bidi="zh-CN"/>
        </w:rPr>
        <w:t>起草组按照意见反馈情况逐条研究，对标准草案（初稿）进行了核对修改，对采纳情况进行了梳理，并对不采纳的意见建议给出了说明和反馈。</w:t>
      </w:r>
    </w:p>
    <w:p>
      <w:pPr>
        <w:keepNext w:val="0"/>
        <w:keepLines w:val="0"/>
        <w:pageBreakBefore w:val="0"/>
        <w:widowControl w:val="0"/>
        <w:kinsoku/>
        <w:wordWrap/>
        <w:overflowPunct/>
        <w:topLinePunct w:val="0"/>
        <w:autoSpaceDE w:val="0"/>
        <w:autoSpaceDN w:val="0"/>
        <w:bidi w:val="0"/>
        <w:adjustRightInd w:val="0"/>
        <w:snapToGrid w:val="0"/>
        <w:spacing w:before="0" w:line="540" w:lineRule="exact"/>
        <w:ind w:left="0" w:right="0" w:firstLine="640" w:firstLineChars="200"/>
        <w:textAlignment w:val="auto"/>
        <w:outlineLvl w:val="9"/>
        <w:rPr>
          <w:rFonts w:hint="eastAsia" w:ascii="方正仿宋_GB2312" w:hAnsi="方正仿宋_GB2312" w:eastAsia="方正仿宋_GB2312" w:cs="方正仿宋_GB2312"/>
          <w:b w:val="0"/>
          <w:bCs w:val="0"/>
          <w:sz w:val="32"/>
          <w:szCs w:val="32"/>
          <w:highlight w:val="none"/>
          <w:lang w:val="en-US" w:eastAsia="zh-CN" w:bidi="zh-CN"/>
        </w:rPr>
      </w:pPr>
      <w:r>
        <w:rPr>
          <w:rFonts w:hint="eastAsia" w:ascii="方正仿宋_GB2312" w:hAnsi="方正仿宋_GB2312" w:eastAsia="方正仿宋_GB2312" w:cs="方正仿宋_GB2312"/>
          <w:b w:val="0"/>
          <w:bCs w:val="0"/>
          <w:sz w:val="32"/>
          <w:szCs w:val="32"/>
          <w:highlight w:val="none"/>
          <w:lang w:val="en-US" w:eastAsia="zh-CN" w:bidi="zh-CN"/>
        </w:rPr>
        <w:t>2023年3月，起草组再次在上海召集沪苏浙皖三省一市市场监管部门及认证领域的专家召开了标准草案修改研讨会，再次对标准内容进行了完善。</w:t>
      </w:r>
    </w:p>
    <w:p>
      <w:pPr>
        <w:pStyle w:val="2"/>
        <w:keepNext w:val="0"/>
        <w:keepLines w:val="0"/>
        <w:pageBreakBefore w:val="0"/>
        <w:widowControl w:val="0"/>
        <w:kinsoku/>
        <w:wordWrap/>
        <w:overflowPunct/>
        <w:topLinePunct w:val="0"/>
        <w:autoSpaceDE w:val="0"/>
        <w:autoSpaceDN w:val="0"/>
        <w:bidi w:val="0"/>
        <w:adjustRightInd w:val="0"/>
        <w:snapToGrid w:val="0"/>
        <w:spacing w:before="0" w:line="540" w:lineRule="exact"/>
        <w:ind w:left="0" w:leftChars="0" w:right="0" w:firstLine="643" w:firstLineChars="200"/>
        <w:textAlignment w:val="auto"/>
        <w:rPr>
          <w:rFonts w:hint="eastAsia" w:ascii="楷体_GB2312" w:hAnsi="楷体_GB2312" w:eastAsia="楷体_GB2312" w:cs="楷体_GB2312"/>
        </w:rPr>
      </w:pPr>
      <w:r>
        <w:rPr>
          <w:rFonts w:hint="eastAsia" w:ascii="楷体_GB2312" w:hAnsi="楷体_GB2312" w:eastAsia="楷体_GB2312" w:cs="楷体_GB2312"/>
          <w:lang w:eastAsia="zh-CN"/>
        </w:rPr>
        <w:t>（四）</w:t>
      </w:r>
      <w:r>
        <w:rPr>
          <w:rFonts w:hint="eastAsia" w:ascii="楷体_GB2312" w:hAnsi="楷体_GB2312" w:eastAsia="楷体_GB2312" w:cs="楷体_GB2312"/>
        </w:rPr>
        <w:t xml:space="preserve">标准起草单位及主要起草人 </w:t>
      </w:r>
    </w:p>
    <w:p>
      <w:pPr>
        <w:pStyle w:val="3"/>
        <w:keepNext w:val="0"/>
        <w:keepLines w:val="0"/>
        <w:pageBreakBefore w:val="0"/>
        <w:kinsoku/>
        <w:topLinePunct w:val="0"/>
        <w:autoSpaceDE w:val="0"/>
        <w:autoSpaceDN w:val="0"/>
        <w:bidi w:val="0"/>
        <w:adjustRightInd w:val="0"/>
        <w:snapToGrid w:val="0"/>
        <w:spacing w:before="0" w:line="540" w:lineRule="exact"/>
        <w:ind w:left="0" w:right="0" w:firstLine="640"/>
        <w:jc w:val="both"/>
        <w:textAlignment w:val="auto"/>
        <w:rPr>
          <w:rFonts w:hint="default" w:ascii="方正仿宋_GB2312" w:hAnsi="方正仿宋_GB2312" w:eastAsia="方正仿宋_GB2312" w:cs="方正仿宋_GB2312"/>
          <w:lang w:val="en-US" w:eastAsia="zh-CN"/>
        </w:rPr>
      </w:pPr>
      <w:r>
        <w:rPr>
          <w:rFonts w:hint="eastAsia" w:ascii="方正仿宋_GB2312" w:hAnsi="方正仿宋_GB2312" w:eastAsia="方正仿宋_GB2312" w:cs="方正仿宋_GB2312"/>
          <w:spacing w:val="-2"/>
        </w:rPr>
        <w:t>本标准由上海市检验检测认证协会、上海市市场监督管理局、江苏省市场监督管理局、浙江省市场监督管理局、安徽省市场监督管理局、上海建科</w:t>
      </w:r>
      <w:r>
        <w:rPr>
          <w:rFonts w:hint="eastAsia" w:ascii="方正仿宋_GB2312" w:hAnsi="方正仿宋_GB2312" w:eastAsia="方正仿宋_GB2312" w:cs="方正仿宋_GB2312"/>
          <w:spacing w:val="-2"/>
          <w:lang w:val="en-US" w:eastAsia="zh-CN"/>
        </w:rPr>
        <w:t>检验</w:t>
      </w:r>
      <w:r>
        <w:rPr>
          <w:rFonts w:hint="eastAsia" w:ascii="方正仿宋_GB2312" w:hAnsi="方正仿宋_GB2312" w:eastAsia="方正仿宋_GB2312" w:cs="方正仿宋_GB2312"/>
          <w:spacing w:val="-2"/>
        </w:rPr>
        <w:t>有限公司、上海电器科学研究所(集团)有限公司、上海质量管理科学研究院、中国质量认证中心、上海质量体系审核中心、上海添唯认证技术有限公司、方圆标志认证集团有限公司、中环联合(北京)认证中心有限公司、上海浦公检测技术有限公司、江苏省质量和标准化研究院、南京国环有机产品认证中心有限公司、通标标准技术服务有限公司、浙江省标准化研究院、浙江方圆检测集团股份有限公司、浙江省特种设备科学研究院、杭州万泰认证有限公司、浙江公信认证有限公司、安徽省质量和标准化研究院、合肥通用机械产品认证有限公司、中企华信认证中心有限公司</w:t>
      </w:r>
      <w:r>
        <w:rPr>
          <w:rFonts w:hint="eastAsia" w:ascii="方正仿宋_GB2312" w:hAnsi="方正仿宋_GB2312" w:eastAsia="方正仿宋_GB2312" w:cs="方正仿宋_GB2312"/>
          <w:spacing w:val="-2"/>
          <w:lang w:eastAsia="zh-CN"/>
        </w:rPr>
        <w:t>等</w:t>
      </w:r>
      <w:r>
        <w:rPr>
          <w:rFonts w:hint="eastAsia" w:ascii="方正仿宋_GB2312" w:hAnsi="方正仿宋_GB2312" w:eastAsia="方正仿宋_GB2312" w:cs="方正仿宋_GB2312"/>
          <w:spacing w:val="-4"/>
        </w:rPr>
        <w:t>共同起草。</w:t>
      </w:r>
    </w:p>
    <w:p>
      <w:pPr>
        <w:pStyle w:val="3"/>
        <w:keepNext w:val="0"/>
        <w:keepLines w:val="0"/>
        <w:pageBreakBefore w:val="0"/>
        <w:widowControl w:val="0"/>
        <w:kinsoku/>
        <w:wordWrap/>
        <w:overflowPunct/>
        <w:topLinePunct w:val="0"/>
        <w:autoSpaceDE w:val="0"/>
        <w:autoSpaceDN w:val="0"/>
        <w:bidi w:val="0"/>
        <w:adjustRightInd w:val="0"/>
        <w:snapToGrid w:val="0"/>
        <w:spacing w:before="0" w:line="540" w:lineRule="exact"/>
        <w:ind w:left="0" w:right="0" w:firstLine="632" w:firstLineChars="200"/>
        <w:jc w:val="left"/>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spacing w:val="-2"/>
          <w:lang w:val="en-US" w:eastAsia="zh-CN"/>
        </w:rPr>
        <w:t>本标准起草人：樊吉兵</w:t>
      </w:r>
      <w:r>
        <w:rPr>
          <w:rFonts w:hint="eastAsia" w:ascii="方正仿宋_GB2312" w:hAnsi="方正仿宋_GB2312" w:eastAsia="方正仿宋_GB2312" w:cs="方正仿宋_GB2312"/>
          <w:spacing w:val="-2"/>
        </w:rPr>
        <w:t>、郦东、刘春生、邓佳、沈静、陈华、王延维、张宝善、夏敏、</w:t>
      </w:r>
      <w:r>
        <w:rPr>
          <w:rFonts w:hint="eastAsia" w:ascii="方正仿宋_GB2312" w:hAnsi="方正仿宋_GB2312" w:eastAsia="方正仿宋_GB2312" w:cs="方正仿宋_GB2312"/>
          <w:spacing w:val="-2"/>
          <w:lang w:eastAsia="zh-CN"/>
        </w:rPr>
        <w:t>秦伟浩、</w:t>
      </w:r>
      <w:r>
        <w:rPr>
          <w:rFonts w:hint="eastAsia" w:ascii="方正仿宋_GB2312" w:hAnsi="方正仿宋_GB2312" w:eastAsia="方正仿宋_GB2312" w:cs="方正仿宋_GB2312"/>
          <w:spacing w:val="-2"/>
        </w:rPr>
        <w:t>徐国华、</w:t>
      </w:r>
      <w:r>
        <w:rPr>
          <w:rFonts w:hint="eastAsia" w:ascii="方正仿宋_GB2312" w:hAnsi="方正仿宋_GB2312" w:eastAsia="方正仿宋_GB2312" w:cs="方正仿宋_GB2312"/>
          <w:spacing w:val="-2"/>
          <w:lang w:val="en-US" w:eastAsia="zh-CN"/>
        </w:rPr>
        <w:t>刘春扬、</w:t>
      </w:r>
      <w:r>
        <w:rPr>
          <w:rFonts w:hint="eastAsia" w:ascii="方正仿宋_GB2312" w:hAnsi="方正仿宋_GB2312" w:eastAsia="方正仿宋_GB2312" w:cs="方正仿宋_GB2312"/>
          <w:spacing w:val="-2"/>
        </w:rPr>
        <w:t>姚应涛、谭平、汤潇、吴旭静、郑学东、翟</w:t>
      </w:r>
      <w:r>
        <w:rPr>
          <w:rFonts w:hint="eastAsia" w:ascii="方正仿宋_GB2312" w:hAnsi="方正仿宋_GB2312" w:eastAsia="方正仿宋_GB2312" w:cs="方正仿宋_GB2312"/>
          <w:spacing w:val="-2"/>
          <w:lang w:val="en-US" w:eastAsia="zh-CN"/>
        </w:rPr>
        <w:t>春寰</w:t>
      </w:r>
      <w:r>
        <w:rPr>
          <w:rFonts w:hint="eastAsia" w:ascii="方正仿宋_GB2312" w:hAnsi="方正仿宋_GB2312" w:eastAsia="方正仿宋_GB2312" w:cs="方正仿宋_GB2312"/>
          <w:spacing w:val="-2"/>
        </w:rPr>
        <w:t>、赵亚军、唐剑、蒋建平、鲍振鑫、林正、李道平、骆辉、左群山、汪君、孙淑伟、王纪鸿、刘旸、顾正、姜宁欣、童朱珏、楼科利、沈青、陈嫣红、胡玉蓉、郑张丰、吴煜、姚育旺。</w:t>
      </w:r>
    </w:p>
    <w:p>
      <w:pPr>
        <w:keepNext w:val="0"/>
        <w:keepLines w:val="0"/>
        <w:pageBreakBefore w:val="0"/>
        <w:widowControl/>
        <w:kinsoku/>
        <w:wordWrap/>
        <w:overflowPunct/>
        <w:topLinePunct w:val="0"/>
        <w:autoSpaceDE/>
        <w:autoSpaceDN/>
        <w:bidi w:val="0"/>
        <w:adjustRightInd/>
        <w:snapToGrid/>
        <w:spacing w:before="312" w:beforeLines="100" w:line="540" w:lineRule="exact"/>
        <w:ind w:left="0" w:right="0" w:firstLine="600" w:firstLineChars="200"/>
        <w:jc w:val="both"/>
        <w:textAlignment w:val="auto"/>
        <w:outlineLvl w:val="0"/>
        <w:rPr>
          <w:rFonts w:hint="default" w:ascii="Times New Roman" w:hAnsi="Times New Roman" w:eastAsia="黑体" w:cs="Times New Roman"/>
          <w:b w:val="0"/>
          <w:color w:val="000000" w:themeColor="text1"/>
          <w:kern w:val="2"/>
          <w:sz w:val="30"/>
          <w:szCs w:val="30"/>
          <w:lang w:val="en-US" w:bidi="ar-SA"/>
          <w14:textFill>
            <w14:solidFill>
              <w14:schemeClr w14:val="tx1"/>
            </w14:solidFill>
          </w14:textFill>
        </w:rPr>
      </w:pPr>
      <w:r>
        <w:rPr>
          <w:rFonts w:hint="default" w:ascii="Times New Roman" w:hAnsi="Times New Roman" w:eastAsia="黑体" w:cs="Times New Roman"/>
          <w:b w:val="0"/>
          <w:color w:val="000000" w:themeColor="text1"/>
          <w:kern w:val="2"/>
          <w:sz w:val="30"/>
          <w:szCs w:val="30"/>
          <w:lang w:val="en-US" w:bidi="ar-SA"/>
          <w14:textFill>
            <w14:solidFill>
              <w14:schemeClr w14:val="tx1"/>
            </w14:solidFill>
          </w14:textFill>
        </w:rPr>
        <w:t>二、标准主要内容和适用范围</w:t>
      </w:r>
    </w:p>
    <w:p>
      <w:pPr>
        <w:pStyle w:val="3"/>
        <w:keepNext w:val="0"/>
        <w:keepLines w:val="0"/>
        <w:pageBreakBefore w:val="0"/>
        <w:kinsoku/>
        <w:topLinePunct w:val="0"/>
        <w:autoSpaceDE w:val="0"/>
        <w:autoSpaceDN w:val="0"/>
        <w:bidi w:val="0"/>
        <w:adjustRightInd w:val="0"/>
        <w:snapToGrid w:val="0"/>
        <w:spacing w:before="0" w:line="540" w:lineRule="exact"/>
        <w:ind w:left="0" w:right="0" w:firstLine="640"/>
        <w:jc w:val="both"/>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sz w:val="32"/>
          <w:szCs w:val="32"/>
          <w:highlight w:val="none"/>
          <w:lang w:val="en-US" w:eastAsia="zh-CN" w:bidi="zh-CN"/>
        </w:rPr>
        <w:t>本标准规定了长三角区域绿色产品认证和服务认证的术语和定义、认证活动的基本原则、申请组织、评价指标、认证实施等内容。第5章“基本要求”涵盖了申请组织的基本要求和管理要求，着重对绿色认证涉及资源、能源、环境、安全等方面明确了具体管理要求，第6章“评价指标”对后期具体产品及服务对象的技术指标进行了框架设定，并通过附录形式进行明确。第7章“认证实施”对认证实施的主体、依据、认证模式、程序等多个要素进行了规定，为后期认证的规范性开展奠定了基础。</w:t>
      </w:r>
    </w:p>
    <w:p>
      <w:pPr>
        <w:keepNext w:val="0"/>
        <w:keepLines w:val="0"/>
        <w:pageBreakBefore w:val="0"/>
        <w:tabs>
          <w:tab w:val="left" w:pos="790"/>
          <w:tab w:val="left" w:pos="1264"/>
        </w:tabs>
        <w:kinsoku/>
        <w:overflowPunct w:val="0"/>
        <w:topLinePunct w:val="0"/>
        <w:autoSpaceDE w:val="0"/>
        <w:autoSpaceDN w:val="0"/>
        <w:bidi w:val="0"/>
        <w:adjustRightInd w:val="0"/>
        <w:snapToGrid w:val="0"/>
        <w:spacing w:before="0" w:line="540" w:lineRule="exact"/>
        <w:ind w:left="0" w:right="0" w:firstLine="624"/>
        <w:textAlignment w:val="auto"/>
        <w:rPr>
          <w:rFonts w:hint="eastAsia" w:ascii="方正仿宋_GB2312" w:hAnsi="方正仿宋_GB2312" w:eastAsia="方正仿宋_GB2312" w:cs="方正仿宋_GB2312"/>
          <w:sz w:val="32"/>
          <w:szCs w:val="32"/>
          <w:lang w:val="zh-CN" w:eastAsia="zh-CN" w:bidi="zh-CN"/>
        </w:rPr>
      </w:pPr>
      <w:r>
        <w:rPr>
          <w:rFonts w:hint="eastAsia" w:ascii="方正仿宋_GB2312" w:hAnsi="方正仿宋_GB2312" w:eastAsia="方正仿宋_GB2312" w:cs="方正仿宋_GB2312"/>
          <w:sz w:val="32"/>
          <w:szCs w:val="32"/>
          <w:lang w:val="zh-CN" w:eastAsia="zh-CN" w:bidi="zh-CN"/>
        </w:rPr>
        <w:t>本文件适用于指导认证机构开展长三角绿色产品、绿色服务等认证活动。相关组织也可依据本文件开展自我评价或符合性确认。</w:t>
      </w:r>
    </w:p>
    <w:p>
      <w:pPr>
        <w:pStyle w:val="3"/>
        <w:keepNext w:val="0"/>
        <w:keepLines w:val="0"/>
        <w:pageBreakBefore w:val="0"/>
        <w:kinsoku/>
        <w:topLinePunct w:val="0"/>
        <w:autoSpaceDE w:val="0"/>
        <w:autoSpaceDN w:val="0"/>
        <w:bidi w:val="0"/>
        <w:adjustRightInd w:val="0"/>
        <w:snapToGrid w:val="0"/>
        <w:spacing w:before="0" w:line="540" w:lineRule="exact"/>
        <w:ind w:left="0" w:right="0" w:firstLine="640"/>
        <w:textAlignment w:val="auto"/>
        <w:rPr>
          <w:rFonts w:hint="eastAsia" w:ascii="仿宋" w:hAnsi="仿宋" w:eastAsia="仿宋" w:cs="宋体"/>
          <w:sz w:val="32"/>
          <w:szCs w:val="32"/>
          <w:lang w:val="zh-CN" w:eastAsia="zh-CN" w:bidi="zh-CN"/>
        </w:rPr>
      </w:pPr>
      <w:r>
        <w:rPr>
          <w:rFonts w:hint="eastAsia" w:ascii="方正仿宋_GB2312" w:hAnsi="方正仿宋_GB2312" w:eastAsia="方正仿宋_GB2312" w:cs="方正仿宋_GB2312"/>
          <w:sz w:val="32"/>
          <w:szCs w:val="32"/>
          <w:lang w:val="zh-CN" w:eastAsia="zh-CN" w:bidi="zh-CN"/>
        </w:rPr>
        <w:t>标准化对象为长三角绿色认证实施主体应为依法取得认证资质的、符合长三角绿色认证相关要求、实施绿色认证的第三方认证机构、企事业单位、行业组织等。</w:t>
      </w:r>
    </w:p>
    <w:p>
      <w:pPr>
        <w:pStyle w:val="2"/>
        <w:keepNext w:val="0"/>
        <w:keepLines w:val="0"/>
        <w:pageBreakBefore w:val="0"/>
        <w:widowControl w:val="0"/>
        <w:kinsoku/>
        <w:wordWrap/>
        <w:overflowPunct/>
        <w:topLinePunct w:val="0"/>
        <w:autoSpaceDE w:val="0"/>
        <w:autoSpaceDN w:val="0"/>
        <w:bidi w:val="0"/>
        <w:adjustRightInd w:val="0"/>
        <w:snapToGrid w:val="0"/>
        <w:spacing w:before="0" w:line="540" w:lineRule="exact"/>
        <w:ind w:left="0" w:leftChars="0" w:right="0" w:firstLine="643" w:firstLineChars="200"/>
        <w:textAlignment w:val="auto"/>
        <w:rPr>
          <w:rFonts w:hint="eastAsia" w:ascii="楷体_GB2312" w:hAnsi="楷体_GB2312" w:eastAsia="楷体_GB2312" w:cs="楷体_GB2312"/>
        </w:rPr>
      </w:pPr>
      <w:r>
        <w:rPr>
          <w:rFonts w:hint="eastAsia" w:ascii="楷体_GB2312" w:hAnsi="楷体_GB2312" w:eastAsia="楷体_GB2312" w:cs="楷体_GB2312"/>
          <w:lang w:eastAsia="zh-CN"/>
        </w:rPr>
        <w:t>（一）</w:t>
      </w:r>
      <w:r>
        <w:rPr>
          <w:rFonts w:hint="eastAsia" w:ascii="楷体_GB2312" w:hAnsi="楷体_GB2312" w:eastAsia="楷体_GB2312" w:cs="楷体_GB2312"/>
        </w:rPr>
        <w:t>标准的范围</w:t>
      </w:r>
    </w:p>
    <w:p>
      <w:pPr>
        <w:keepNext w:val="0"/>
        <w:keepLines w:val="0"/>
        <w:pageBreakBefore w:val="0"/>
        <w:widowControl w:val="0"/>
        <w:kinsoku/>
        <w:wordWrap/>
        <w:overflowPunct/>
        <w:topLinePunct w:val="0"/>
        <w:autoSpaceDE w:val="0"/>
        <w:autoSpaceDN w:val="0"/>
        <w:bidi w:val="0"/>
        <w:adjustRightInd w:val="0"/>
        <w:snapToGrid w:val="0"/>
        <w:spacing w:before="0" w:line="540" w:lineRule="exact"/>
        <w:ind w:left="0" w:right="0" w:firstLine="640" w:firstLineChars="200"/>
        <w:jc w:val="left"/>
        <w:textAlignment w:val="auto"/>
        <w:rPr>
          <w:rFonts w:hint="eastAsia" w:ascii="方正仿宋_GB2312" w:hAnsi="方正仿宋_GB2312" w:eastAsia="方正仿宋_GB2312" w:cs="方正仿宋_GB2312"/>
          <w:sz w:val="32"/>
        </w:rPr>
      </w:pPr>
      <w:r>
        <w:rPr>
          <w:rFonts w:hint="eastAsia" w:ascii="方正仿宋_GB2312" w:hAnsi="方正仿宋_GB2312" w:eastAsia="方正仿宋_GB2312" w:cs="方正仿宋_GB2312"/>
          <w:sz w:val="32"/>
        </w:rPr>
        <w:t>定义本标准的范围和适用范围。</w:t>
      </w:r>
    </w:p>
    <w:p>
      <w:pPr>
        <w:pStyle w:val="2"/>
        <w:keepNext w:val="0"/>
        <w:keepLines w:val="0"/>
        <w:pageBreakBefore w:val="0"/>
        <w:widowControl w:val="0"/>
        <w:kinsoku/>
        <w:wordWrap/>
        <w:overflowPunct/>
        <w:topLinePunct w:val="0"/>
        <w:autoSpaceDE w:val="0"/>
        <w:autoSpaceDN w:val="0"/>
        <w:bidi w:val="0"/>
        <w:adjustRightInd w:val="0"/>
        <w:snapToGrid w:val="0"/>
        <w:spacing w:before="0" w:line="540" w:lineRule="exact"/>
        <w:ind w:left="0" w:leftChars="0" w:right="0" w:firstLine="643" w:firstLineChars="200"/>
        <w:textAlignment w:val="auto"/>
        <w:rPr>
          <w:rFonts w:hint="eastAsia" w:ascii="楷体_GB2312" w:hAnsi="楷体_GB2312" w:eastAsia="楷体_GB2312" w:cs="楷体_GB2312"/>
          <w:lang w:val="zh-CN" w:eastAsia="zh-CN"/>
        </w:rPr>
      </w:pPr>
      <w:r>
        <w:rPr>
          <w:rFonts w:hint="eastAsia" w:ascii="楷体_GB2312" w:hAnsi="楷体_GB2312" w:eastAsia="楷体_GB2312" w:cs="楷体_GB2312"/>
          <w:lang w:val="zh-CN" w:eastAsia="zh-CN"/>
        </w:rPr>
        <w:t>（二）</w:t>
      </w:r>
      <w:r>
        <w:rPr>
          <w:rFonts w:hint="eastAsia" w:ascii="楷体_GB2312" w:hAnsi="楷体_GB2312" w:eastAsia="楷体_GB2312" w:cs="楷体_GB2312"/>
          <w:lang w:val="zh-CN" w:eastAsia="zh-CN"/>
        </w:rPr>
        <w:t>规范性引用文件</w:t>
      </w:r>
    </w:p>
    <w:p>
      <w:pPr>
        <w:keepNext w:val="0"/>
        <w:keepLines w:val="0"/>
        <w:pageBreakBefore w:val="0"/>
        <w:widowControl w:val="0"/>
        <w:kinsoku/>
        <w:wordWrap/>
        <w:overflowPunct/>
        <w:topLinePunct w:val="0"/>
        <w:autoSpaceDE w:val="0"/>
        <w:autoSpaceDN w:val="0"/>
        <w:bidi w:val="0"/>
        <w:adjustRightInd w:val="0"/>
        <w:snapToGrid w:val="0"/>
        <w:spacing w:before="0" w:line="540" w:lineRule="exact"/>
        <w:ind w:left="0" w:right="0" w:firstLine="640" w:firstLineChars="200"/>
        <w:jc w:val="left"/>
        <w:textAlignment w:val="auto"/>
        <w:rPr>
          <w:rFonts w:hint="eastAsia" w:ascii="方正仿宋_GB2312" w:hAnsi="方正仿宋_GB2312" w:eastAsia="方正仿宋_GB2312" w:cs="方正仿宋_GB2312"/>
          <w:sz w:val="32"/>
        </w:rPr>
      </w:pPr>
      <w:r>
        <w:rPr>
          <w:rFonts w:hint="eastAsia" w:ascii="方正仿宋_GB2312" w:hAnsi="方正仿宋_GB2312" w:eastAsia="方正仿宋_GB2312" w:cs="方正仿宋_GB2312"/>
          <w:sz w:val="32"/>
        </w:rPr>
        <w:t>列出标准引用的规范性引用文件。</w:t>
      </w:r>
    </w:p>
    <w:p>
      <w:pPr>
        <w:pStyle w:val="2"/>
        <w:keepNext w:val="0"/>
        <w:keepLines w:val="0"/>
        <w:pageBreakBefore w:val="0"/>
        <w:widowControl w:val="0"/>
        <w:kinsoku/>
        <w:wordWrap/>
        <w:overflowPunct/>
        <w:topLinePunct w:val="0"/>
        <w:autoSpaceDE w:val="0"/>
        <w:autoSpaceDN w:val="0"/>
        <w:bidi w:val="0"/>
        <w:adjustRightInd w:val="0"/>
        <w:snapToGrid w:val="0"/>
        <w:spacing w:before="0" w:line="540" w:lineRule="exact"/>
        <w:ind w:left="0" w:leftChars="0" w:right="0" w:firstLine="643" w:firstLineChars="200"/>
        <w:textAlignment w:val="auto"/>
        <w:rPr>
          <w:rFonts w:hint="eastAsia" w:ascii="楷体_GB2312" w:hAnsi="楷体_GB2312" w:eastAsia="楷体_GB2312" w:cs="楷体_GB2312"/>
          <w:lang w:val="zh-CN" w:eastAsia="zh-CN"/>
        </w:rPr>
      </w:pPr>
      <w:r>
        <w:rPr>
          <w:rFonts w:hint="eastAsia" w:ascii="楷体_GB2312" w:hAnsi="楷体_GB2312" w:eastAsia="楷体_GB2312" w:cs="楷体_GB2312"/>
          <w:lang w:val="zh-CN" w:eastAsia="zh-CN"/>
        </w:rPr>
        <w:t>（三）</w:t>
      </w:r>
      <w:r>
        <w:rPr>
          <w:rFonts w:hint="eastAsia" w:ascii="楷体_GB2312" w:hAnsi="楷体_GB2312" w:eastAsia="楷体_GB2312" w:cs="楷体_GB2312"/>
          <w:lang w:val="zh-CN" w:eastAsia="zh-CN"/>
        </w:rPr>
        <w:t>术语和定义</w:t>
      </w:r>
    </w:p>
    <w:p>
      <w:pPr>
        <w:keepNext w:val="0"/>
        <w:keepLines w:val="0"/>
        <w:pageBreakBefore w:val="0"/>
        <w:widowControl w:val="0"/>
        <w:kinsoku/>
        <w:wordWrap/>
        <w:overflowPunct/>
        <w:topLinePunct w:val="0"/>
        <w:autoSpaceDE w:val="0"/>
        <w:autoSpaceDN w:val="0"/>
        <w:bidi w:val="0"/>
        <w:adjustRightInd w:val="0"/>
        <w:snapToGrid w:val="0"/>
        <w:spacing w:before="0" w:line="540" w:lineRule="exact"/>
        <w:ind w:left="0" w:right="0" w:firstLine="640" w:firstLineChars="200"/>
        <w:jc w:val="left"/>
        <w:textAlignment w:val="auto"/>
        <w:rPr>
          <w:rFonts w:hint="eastAsia" w:ascii="方正仿宋_GB2312" w:hAnsi="方正仿宋_GB2312" w:eastAsia="方正仿宋_GB2312" w:cs="方正仿宋_GB2312"/>
          <w:sz w:val="32"/>
        </w:rPr>
      </w:pPr>
      <w:r>
        <w:rPr>
          <w:rFonts w:hint="eastAsia" w:ascii="方正仿宋_GB2312" w:hAnsi="方正仿宋_GB2312" w:eastAsia="方正仿宋_GB2312" w:cs="方正仿宋_GB2312"/>
          <w:sz w:val="32"/>
        </w:rPr>
        <w:t>定义本标准使用到的术语和定义。</w:t>
      </w:r>
    </w:p>
    <w:p>
      <w:pPr>
        <w:pStyle w:val="2"/>
        <w:keepNext w:val="0"/>
        <w:keepLines w:val="0"/>
        <w:pageBreakBefore w:val="0"/>
        <w:widowControl w:val="0"/>
        <w:kinsoku/>
        <w:wordWrap/>
        <w:overflowPunct/>
        <w:topLinePunct w:val="0"/>
        <w:autoSpaceDE w:val="0"/>
        <w:autoSpaceDN w:val="0"/>
        <w:bidi w:val="0"/>
        <w:adjustRightInd w:val="0"/>
        <w:snapToGrid w:val="0"/>
        <w:spacing w:before="0" w:line="540" w:lineRule="exact"/>
        <w:ind w:left="0" w:leftChars="0" w:right="0" w:firstLine="643" w:firstLineChars="200"/>
        <w:textAlignment w:val="auto"/>
        <w:rPr>
          <w:rFonts w:hint="eastAsia" w:ascii="楷体_GB2312" w:hAnsi="楷体_GB2312" w:eastAsia="楷体_GB2312" w:cs="楷体_GB2312"/>
          <w:lang w:val="en-US" w:eastAsia="zh-CN"/>
        </w:rPr>
      </w:pPr>
      <w:r>
        <w:rPr>
          <w:rFonts w:hint="eastAsia" w:ascii="楷体_GB2312" w:hAnsi="楷体_GB2312" w:eastAsia="楷体_GB2312" w:cs="楷体_GB2312"/>
          <w:lang w:val="zh-CN" w:eastAsia="zh-CN"/>
        </w:rPr>
        <w:t>（四）</w:t>
      </w:r>
      <w:r>
        <w:rPr>
          <w:rFonts w:hint="eastAsia" w:ascii="楷体_GB2312" w:hAnsi="楷体_GB2312" w:eastAsia="楷体_GB2312" w:cs="楷体_GB2312"/>
          <w:lang w:val="en-US" w:eastAsia="zh-CN"/>
        </w:rPr>
        <w:t>基本原则</w:t>
      </w:r>
    </w:p>
    <w:p>
      <w:pPr>
        <w:keepNext w:val="0"/>
        <w:keepLines w:val="0"/>
        <w:pageBreakBefore w:val="0"/>
        <w:widowControl w:val="0"/>
        <w:kinsoku/>
        <w:wordWrap/>
        <w:overflowPunct/>
        <w:topLinePunct w:val="0"/>
        <w:autoSpaceDE w:val="0"/>
        <w:autoSpaceDN w:val="0"/>
        <w:bidi w:val="0"/>
        <w:adjustRightInd w:val="0"/>
        <w:snapToGrid w:val="0"/>
        <w:spacing w:before="0" w:line="540" w:lineRule="exact"/>
        <w:ind w:left="0" w:right="0" w:firstLine="640" w:firstLineChars="200"/>
        <w:jc w:val="left"/>
        <w:textAlignment w:val="auto"/>
        <w:rPr>
          <w:rFonts w:hint="eastAsia" w:ascii="方正仿宋_GB2312" w:hAnsi="方正仿宋_GB2312" w:eastAsia="方正仿宋_GB2312" w:cs="方正仿宋_GB2312"/>
          <w:sz w:val="32"/>
          <w:lang w:val="zh-CN" w:eastAsia="zh-CN"/>
        </w:rPr>
      </w:pPr>
      <w:r>
        <w:rPr>
          <w:rFonts w:hint="eastAsia" w:ascii="方正仿宋_GB2312" w:hAnsi="方正仿宋_GB2312" w:eastAsia="方正仿宋_GB2312" w:cs="方正仿宋_GB2312"/>
          <w:sz w:val="32"/>
          <w:lang w:val="en-US" w:eastAsia="zh-CN"/>
        </w:rPr>
        <w:t>明确</w:t>
      </w:r>
      <w:r>
        <w:rPr>
          <w:rFonts w:hint="eastAsia" w:ascii="方正仿宋_GB2312" w:hAnsi="方正仿宋_GB2312" w:eastAsia="方正仿宋_GB2312" w:cs="方正仿宋_GB2312"/>
          <w:sz w:val="32"/>
          <w:lang w:val="zh-CN" w:eastAsia="zh-CN"/>
        </w:rPr>
        <w:t>了开展</w:t>
      </w:r>
      <w:r>
        <w:rPr>
          <w:rFonts w:hint="eastAsia" w:ascii="方正仿宋_GB2312" w:hAnsi="方正仿宋_GB2312" w:eastAsia="方正仿宋_GB2312" w:cs="方正仿宋_GB2312"/>
          <w:sz w:val="32"/>
          <w:lang w:val="en-US" w:eastAsia="zh-CN"/>
        </w:rPr>
        <w:t>绿色认证</w:t>
      </w:r>
      <w:r>
        <w:rPr>
          <w:rFonts w:hint="eastAsia" w:ascii="方正仿宋_GB2312" w:hAnsi="方正仿宋_GB2312" w:eastAsia="方正仿宋_GB2312" w:cs="方正仿宋_GB2312"/>
          <w:sz w:val="32"/>
          <w:lang w:val="zh-CN" w:eastAsia="zh-CN"/>
        </w:rPr>
        <w:t>的指导思想、</w:t>
      </w:r>
      <w:r>
        <w:rPr>
          <w:rFonts w:hint="eastAsia" w:ascii="方正仿宋_GB2312" w:hAnsi="方正仿宋_GB2312" w:eastAsia="方正仿宋_GB2312" w:cs="方正仿宋_GB2312"/>
          <w:sz w:val="32"/>
          <w:lang w:val="en-US" w:eastAsia="zh-CN"/>
        </w:rPr>
        <w:t>评价方法与工作目标</w:t>
      </w:r>
      <w:r>
        <w:rPr>
          <w:rFonts w:hint="eastAsia" w:ascii="方正仿宋_GB2312" w:hAnsi="方正仿宋_GB2312" w:eastAsia="方正仿宋_GB2312" w:cs="方正仿宋_GB2312"/>
          <w:sz w:val="32"/>
          <w:lang w:val="zh-CN" w:eastAsia="zh-CN"/>
        </w:rPr>
        <w:t>。</w:t>
      </w:r>
    </w:p>
    <w:p>
      <w:pPr>
        <w:pStyle w:val="2"/>
        <w:keepNext w:val="0"/>
        <w:keepLines w:val="0"/>
        <w:pageBreakBefore w:val="0"/>
        <w:widowControl w:val="0"/>
        <w:kinsoku/>
        <w:wordWrap/>
        <w:overflowPunct/>
        <w:topLinePunct w:val="0"/>
        <w:autoSpaceDE w:val="0"/>
        <w:autoSpaceDN w:val="0"/>
        <w:bidi w:val="0"/>
        <w:adjustRightInd w:val="0"/>
        <w:snapToGrid w:val="0"/>
        <w:spacing w:before="0" w:line="540" w:lineRule="exact"/>
        <w:ind w:left="0" w:leftChars="0" w:right="0" w:firstLine="643" w:firstLineChars="200"/>
        <w:textAlignment w:val="auto"/>
        <w:rPr>
          <w:rFonts w:hint="eastAsia" w:ascii="楷体_GB2312" w:hAnsi="楷体_GB2312" w:eastAsia="楷体_GB2312" w:cs="楷体_GB2312"/>
          <w:lang w:val="en-US" w:eastAsia="zh-CN"/>
        </w:rPr>
      </w:pPr>
      <w:r>
        <w:rPr>
          <w:rFonts w:hint="eastAsia" w:ascii="楷体_GB2312" w:hAnsi="楷体_GB2312" w:eastAsia="楷体_GB2312" w:cs="楷体_GB2312"/>
          <w:lang w:eastAsia="zh-CN"/>
        </w:rPr>
        <w:t>（五）</w:t>
      </w:r>
      <w:r>
        <w:rPr>
          <w:rFonts w:hint="eastAsia" w:ascii="楷体_GB2312" w:hAnsi="楷体_GB2312" w:eastAsia="楷体_GB2312" w:cs="楷体_GB2312"/>
          <w:lang w:val="en-US" w:eastAsia="zh-CN"/>
        </w:rPr>
        <w:t>申请组织</w:t>
      </w:r>
    </w:p>
    <w:p>
      <w:pPr>
        <w:pStyle w:val="3"/>
        <w:keepNext w:val="0"/>
        <w:keepLines w:val="0"/>
        <w:pageBreakBefore w:val="0"/>
        <w:kinsoku/>
        <w:topLinePunct w:val="0"/>
        <w:autoSpaceDE w:val="0"/>
        <w:autoSpaceDN w:val="0"/>
        <w:bidi w:val="0"/>
        <w:adjustRightInd w:val="0"/>
        <w:snapToGrid w:val="0"/>
        <w:spacing w:before="0" w:line="540" w:lineRule="exact"/>
        <w:ind w:left="0" w:right="0" w:firstLine="640" w:firstLineChars="200"/>
        <w:textAlignment w:val="auto"/>
        <w:rPr>
          <w:rFonts w:hint="default" w:ascii="方正仿宋_GB2312" w:hAnsi="方正仿宋_GB2312" w:eastAsia="方正仿宋_GB2312" w:cs="方正仿宋_GB2312"/>
          <w:sz w:val="32"/>
          <w:szCs w:val="22"/>
          <w:lang w:val="en-US" w:eastAsia="zh-CN" w:bidi="zh-CN"/>
        </w:rPr>
      </w:pPr>
      <w:r>
        <w:rPr>
          <w:rFonts w:hint="eastAsia" w:ascii="方正仿宋_GB2312" w:hAnsi="方正仿宋_GB2312" w:eastAsia="方正仿宋_GB2312" w:cs="方正仿宋_GB2312"/>
          <w:sz w:val="32"/>
          <w:szCs w:val="22"/>
          <w:lang w:val="en-US" w:eastAsia="zh-CN" w:bidi="zh-CN"/>
        </w:rPr>
        <w:t>明确</w:t>
      </w:r>
      <w:r>
        <w:rPr>
          <w:rFonts w:hint="eastAsia" w:ascii="方正仿宋_GB2312" w:hAnsi="方正仿宋_GB2312" w:eastAsia="方正仿宋_GB2312" w:cs="方正仿宋_GB2312"/>
          <w:sz w:val="32"/>
          <w:szCs w:val="22"/>
          <w:lang w:val="zh-CN" w:eastAsia="zh-CN" w:bidi="zh-CN"/>
        </w:rPr>
        <w:t>了</w:t>
      </w:r>
      <w:r>
        <w:rPr>
          <w:rFonts w:hint="eastAsia" w:ascii="方正仿宋_GB2312" w:hAnsi="方正仿宋_GB2312" w:eastAsia="方正仿宋_GB2312" w:cs="方正仿宋_GB2312"/>
          <w:sz w:val="32"/>
          <w:szCs w:val="22"/>
          <w:lang w:val="en-US" w:eastAsia="zh-CN" w:bidi="zh-CN"/>
        </w:rPr>
        <w:t>申请组织需满足的基本条件与管理要求。</w:t>
      </w:r>
    </w:p>
    <w:p>
      <w:pPr>
        <w:pStyle w:val="2"/>
        <w:keepNext w:val="0"/>
        <w:keepLines w:val="0"/>
        <w:pageBreakBefore w:val="0"/>
        <w:widowControl w:val="0"/>
        <w:kinsoku/>
        <w:wordWrap/>
        <w:overflowPunct/>
        <w:topLinePunct w:val="0"/>
        <w:autoSpaceDE w:val="0"/>
        <w:autoSpaceDN w:val="0"/>
        <w:bidi w:val="0"/>
        <w:adjustRightInd w:val="0"/>
        <w:snapToGrid w:val="0"/>
        <w:spacing w:before="0" w:line="540" w:lineRule="exact"/>
        <w:ind w:left="0" w:leftChars="0" w:right="0" w:firstLine="643" w:firstLineChars="200"/>
        <w:textAlignment w:val="auto"/>
        <w:rPr>
          <w:rFonts w:hint="eastAsia" w:ascii="楷体_GB2312" w:hAnsi="楷体_GB2312" w:eastAsia="楷体_GB2312" w:cs="楷体_GB2312"/>
          <w:lang w:val="en-US" w:eastAsia="zh-CN"/>
        </w:rPr>
      </w:pPr>
      <w:r>
        <w:rPr>
          <w:rFonts w:hint="eastAsia" w:ascii="楷体_GB2312" w:hAnsi="楷体_GB2312" w:eastAsia="楷体_GB2312" w:cs="楷体_GB2312"/>
          <w:lang w:eastAsia="zh-CN"/>
        </w:rPr>
        <w:t>（六）</w:t>
      </w:r>
      <w:r>
        <w:rPr>
          <w:rFonts w:hint="eastAsia" w:ascii="楷体_GB2312" w:hAnsi="楷体_GB2312" w:eastAsia="楷体_GB2312" w:cs="楷体_GB2312"/>
          <w:lang w:val="en-US" w:eastAsia="zh-CN"/>
        </w:rPr>
        <w:t>评价指标</w:t>
      </w:r>
    </w:p>
    <w:p>
      <w:pPr>
        <w:pStyle w:val="3"/>
        <w:keepNext w:val="0"/>
        <w:keepLines w:val="0"/>
        <w:pageBreakBefore w:val="0"/>
        <w:kinsoku/>
        <w:topLinePunct w:val="0"/>
        <w:autoSpaceDE w:val="0"/>
        <w:autoSpaceDN w:val="0"/>
        <w:bidi w:val="0"/>
        <w:adjustRightInd w:val="0"/>
        <w:snapToGrid w:val="0"/>
        <w:spacing w:before="0" w:line="540" w:lineRule="exact"/>
        <w:ind w:left="0" w:right="0" w:firstLine="638"/>
        <w:textAlignment w:val="auto"/>
        <w:rPr>
          <w:rFonts w:hint="eastAsia" w:ascii="方正仿宋_GB2312" w:hAnsi="方正仿宋_GB2312" w:eastAsia="方正仿宋_GB2312" w:cs="方正仿宋_GB2312"/>
          <w:sz w:val="32"/>
          <w:szCs w:val="22"/>
          <w:lang w:val="zh-CN" w:eastAsia="zh-CN" w:bidi="zh-CN"/>
        </w:rPr>
      </w:pPr>
      <w:r>
        <w:rPr>
          <w:rFonts w:hint="eastAsia" w:ascii="方正仿宋_GB2312" w:hAnsi="方正仿宋_GB2312" w:eastAsia="方正仿宋_GB2312" w:cs="方正仿宋_GB2312"/>
          <w:sz w:val="32"/>
          <w:szCs w:val="22"/>
          <w:lang w:val="zh-CN" w:eastAsia="zh-CN" w:bidi="zh-CN"/>
        </w:rPr>
        <w:t>提出了</w:t>
      </w:r>
      <w:r>
        <w:rPr>
          <w:rFonts w:hint="eastAsia" w:ascii="方正仿宋_GB2312" w:hAnsi="方正仿宋_GB2312" w:eastAsia="方正仿宋_GB2312" w:cs="方正仿宋_GB2312"/>
          <w:sz w:val="32"/>
          <w:szCs w:val="22"/>
          <w:lang w:val="en-US" w:eastAsia="zh-CN" w:bidi="zh-CN"/>
        </w:rPr>
        <w:t>绿色产品及绿色服务</w:t>
      </w:r>
      <w:r>
        <w:rPr>
          <w:rFonts w:hint="eastAsia" w:ascii="方正仿宋_GB2312" w:hAnsi="方正仿宋_GB2312" w:eastAsia="方正仿宋_GB2312" w:cs="方正仿宋_GB2312"/>
          <w:sz w:val="32"/>
          <w:szCs w:val="22"/>
          <w:lang w:val="zh-CN" w:eastAsia="zh-CN" w:bidi="zh-CN"/>
        </w:rPr>
        <w:t>的</w:t>
      </w:r>
      <w:r>
        <w:rPr>
          <w:rFonts w:hint="eastAsia" w:ascii="方正仿宋_GB2312" w:hAnsi="方正仿宋_GB2312" w:eastAsia="方正仿宋_GB2312" w:cs="方正仿宋_GB2312"/>
          <w:sz w:val="32"/>
          <w:szCs w:val="22"/>
          <w:lang w:val="en-US" w:eastAsia="zh-CN" w:bidi="zh-CN"/>
        </w:rPr>
        <w:t>指标</w:t>
      </w:r>
      <w:r>
        <w:rPr>
          <w:rFonts w:hint="eastAsia" w:ascii="方正仿宋_GB2312" w:hAnsi="方正仿宋_GB2312" w:eastAsia="方正仿宋_GB2312" w:cs="方正仿宋_GB2312"/>
          <w:sz w:val="32"/>
          <w:szCs w:val="22"/>
          <w:lang w:val="zh-CN" w:eastAsia="zh-CN" w:bidi="zh-CN"/>
        </w:rPr>
        <w:t>要求。</w:t>
      </w:r>
    </w:p>
    <w:p>
      <w:pPr>
        <w:pStyle w:val="2"/>
        <w:keepNext w:val="0"/>
        <w:keepLines w:val="0"/>
        <w:pageBreakBefore w:val="0"/>
        <w:widowControl w:val="0"/>
        <w:kinsoku/>
        <w:wordWrap/>
        <w:overflowPunct/>
        <w:topLinePunct w:val="0"/>
        <w:autoSpaceDE w:val="0"/>
        <w:autoSpaceDN w:val="0"/>
        <w:bidi w:val="0"/>
        <w:adjustRightInd w:val="0"/>
        <w:snapToGrid w:val="0"/>
        <w:spacing w:before="0" w:line="540" w:lineRule="exact"/>
        <w:ind w:left="0" w:leftChars="0" w:right="0" w:firstLine="643" w:firstLineChars="200"/>
        <w:textAlignment w:val="auto"/>
        <w:rPr>
          <w:rFonts w:hint="eastAsia" w:ascii="楷体_GB2312" w:hAnsi="楷体_GB2312" w:eastAsia="楷体_GB2312" w:cs="楷体_GB2312"/>
          <w:lang w:val="en-US" w:eastAsia="zh-CN"/>
        </w:rPr>
      </w:pPr>
      <w:r>
        <w:rPr>
          <w:rFonts w:hint="eastAsia" w:ascii="楷体_GB2312" w:hAnsi="楷体_GB2312" w:eastAsia="楷体_GB2312" w:cs="楷体_GB2312"/>
          <w:lang w:eastAsia="zh-CN"/>
        </w:rPr>
        <w:t>（七）</w:t>
      </w:r>
      <w:r>
        <w:rPr>
          <w:rFonts w:hint="eastAsia" w:ascii="楷体_GB2312" w:hAnsi="楷体_GB2312" w:eastAsia="楷体_GB2312" w:cs="楷体_GB2312"/>
          <w:lang w:val="en-US" w:eastAsia="zh-CN"/>
        </w:rPr>
        <w:t>认证实施</w:t>
      </w:r>
    </w:p>
    <w:p>
      <w:pPr>
        <w:pStyle w:val="3"/>
        <w:keepNext w:val="0"/>
        <w:keepLines w:val="0"/>
        <w:pageBreakBefore w:val="0"/>
        <w:kinsoku/>
        <w:topLinePunct w:val="0"/>
        <w:autoSpaceDE w:val="0"/>
        <w:autoSpaceDN w:val="0"/>
        <w:bidi w:val="0"/>
        <w:adjustRightInd w:val="0"/>
        <w:snapToGrid w:val="0"/>
        <w:spacing w:before="0" w:line="540" w:lineRule="exact"/>
        <w:ind w:left="0" w:right="0" w:firstLine="640" w:firstLineChars="200"/>
        <w:textAlignment w:val="auto"/>
        <w:rPr>
          <w:rFonts w:hint="eastAsia" w:ascii="方正仿宋_GB2312" w:hAnsi="方正仿宋_GB2312" w:eastAsia="方正仿宋_GB2312" w:cs="方正仿宋_GB2312"/>
          <w:sz w:val="32"/>
          <w:szCs w:val="22"/>
          <w:lang w:val="zh-CN" w:eastAsia="zh-CN" w:bidi="zh-CN"/>
        </w:rPr>
      </w:pPr>
      <w:r>
        <w:rPr>
          <w:rFonts w:hint="eastAsia" w:ascii="方正仿宋_GB2312" w:hAnsi="方正仿宋_GB2312" w:eastAsia="方正仿宋_GB2312" w:cs="方正仿宋_GB2312"/>
          <w:sz w:val="32"/>
          <w:szCs w:val="22"/>
          <w:lang w:val="zh-CN" w:eastAsia="zh-CN" w:bidi="zh-CN"/>
        </w:rPr>
        <w:t>对</w:t>
      </w:r>
      <w:r>
        <w:rPr>
          <w:rFonts w:hint="eastAsia" w:ascii="方正仿宋_GB2312" w:hAnsi="方正仿宋_GB2312" w:eastAsia="方正仿宋_GB2312" w:cs="方正仿宋_GB2312"/>
          <w:sz w:val="32"/>
          <w:szCs w:val="22"/>
          <w:lang w:val="en-US" w:eastAsia="zh-CN" w:bidi="zh-CN"/>
        </w:rPr>
        <w:t>绿色产品与绿色</w:t>
      </w:r>
      <w:r>
        <w:rPr>
          <w:rFonts w:hint="eastAsia" w:ascii="方正仿宋_GB2312" w:hAnsi="方正仿宋_GB2312" w:eastAsia="方正仿宋_GB2312" w:cs="方正仿宋_GB2312"/>
          <w:sz w:val="32"/>
          <w:szCs w:val="22"/>
          <w:lang w:val="zh-CN" w:eastAsia="zh-CN" w:bidi="zh-CN"/>
        </w:rPr>
        <w:t>服务</w:t>
      </w:r>
      <w:r>
        <w:rPr>
          <w:rFonts w:hint="eastAsia" w:ascii="方正仿宋_GB2312" w:hAnsi="方正仿宋_GB2312" w:eastAsia="方正仿宋_GB2312" w:cs="方正仿宋_GB2312"/>
          <w:sz w:val="32"/>
          <w:szCs w:val="22"/>
          <w:lang w:val="en-US" w:eastAsia="zh-CN" w:bidi="zh-CN"/>
        </w:rPr>
        <w:t>进行</w:t>
      </w:r>
      <w:r>
        <w:rPr>
          <w:rFonts w:hint="eastAsia" w:ascii="方正仿宋_GB2312" w:hAnsi="方正仿宋_GB2312" w:eastAsia="方正仿宋_GB2312" w:cs="方正仿宋_GB2312"/>
          <w:sz w:val="32"/>
          <w:szCs w:val="22"/>
          <w:lang w:val="zh-CN" w:eastAsia="zh-CN" w:bidi="zh-CN"/>
        </w:rPr>
        <w:t>评价的程序性要求，包括</w:t>
      </w:r>
      <w:r>
        <w:rPr>
          <w:rFonts w:hint="eastAsia" w:ascii="方正仿宋_GB2312" w:hAnsi="方正仿宋_GB2312" w:eastAsia="方正仿宋_GB2312" w:cs="方正仿宋_GB2312"/>
          <w:sz w:val="32"/>
          <w:szCs w:val="22"/>
          <w:lang w:val="en-US" w:eastAsia="zh-CN" w:bidi="zh-CN"/>
        </w:rPr>
        <w:t>初始审查</w:t>
      </w:r>
      <w:r>
        <w:rPr>
          <w:rFonts w:hint="eastAsia" w:ascii="方正仿宋_GB2312" w:hAnsi="方正仿宋_GB2312" w:eastAsia="方正仿宋_GB2312" w:cs="方正仿宋_GB2312"/>
          <w:sz w:val="32"/>
          <w:szCs w:val="22"/>
          <w:lang w:val="zh-CN" w:eastAsia="zh-CN" w:bidi="zh-CN"/>
        </w:rPr>
        <w:t>和</w:t>
      </w:r>
      <w:r>
        <w:rPr>
          <w:rFonts w:hint="eastAsia" w:ascii="方正仿宋_GB2312" w:hAnsi="方正仿宋_GB2312" w:eastAsia="方正仿宋_GB2312" w:cs="方正仿宋_GB2312"/>
          <w:sz w:val="32"/>
          <w:szCs w:val="22"/>
          <w:lang w:val="en-US" w:eastAsia="zh-CN" w:bidi="zh-CN"/>
        </w:rPr>
        <w:t>获证后的监督工作</w:t>
      </w:r>
      <w:r>
        <w:rPr>
          <w:rFonts w:hint="eastAsia" w:ascii="方正仿宋_GB2312" w:hAnsi="方正仿宋_GB2312" w:eastAsia="方正仿宋_GB2312" w:cs="方正仿宋_GB2312"/>
          <w:sz w:val="32"/>
          <w:szCs w:val="22"/>
          <w:lang w:val="zh-CN" w:eastAsia="zh-CN" w:bidi="zh-CN"/>
        </w:rPr>
        <w:t>。</w:t>
      </w:r>
    </w:p>
    <w:p>
      <w:pPr>
        <w:keepNext w:val="0"/>
        <w:keepLines w:val="0"/>
        <w:pageBreakBefore w:val="0"/>
        <w:widowControl/>
        <w:kinsoku/>
        <w:wordWrap/>
        <w:overflowPunct/>
        <w:topLinePunct w:val="0"/>
        <w:autoSpaceDE/>
        <w:autoSpaceDN/>
        <w:bidi w:val="0"/>
        <w:adjustRightInd/>
        <w:snapToGrid/>
        <w:spacing w:before="312" w:beforeLines="100" w:line="540" w:lineRule="exact"/>
        <w:ind w:left="0" w:right="0" w:firstLine="600" w:firstLineChars="200"/>
        <w:jc w:val="both"/>
        <w:textAlignment w:val="auto"/>
        <w:outlineLvl w:val="0"/>
        <w:rPr>
          <w:rFonts w:hint="default" w:ascii="Times New Roman" w:hAnsi="Times New Roman" w:eastAsia="黑体" w:cs="Times New Roman"/>
          <w:b w:val="0"/>
          <w:color w:val="000000" w:themeColor="text1"/>
          <w:kern w:val="2"/>
          <w:sz w:val="30"/>
          <w:szCs w:val="30"/>
          <w:lang w:val="en-US" w:eastAsia="zh-CN" w:bidi="ar-SA"/>
          <w14:textFill>
            <w14:solidFill>
              <w14:schemeClr w14:val="tx1"/>
            </w14:solidFill>
          </w14:textFill>
        </w:rPr>
      </w:pPr>
      <w:r>
        <w:rPr>
          <w:rFonts w:hint="default" w:ascii="Times New Roman" w:hAnsi="Times New Roman" w:eastAsia="黑体" w:cs="Times New Roman"/>
          <w:b w:val="0"/>
          <w:color w:val="000000" w:themeColor="text1"/>
          <w:kern w:val="2"/>
          <w:sz w:val="30"/>
          <w:szCs w:val="30"/>
          <w:lang w:val="en-US" w:bidi="ar-SA"/>
          <w14:textFill>
            <w14:solidFill>
              <w14:schemeClr w14:val="tx1"/>
            </w14:solidFill>
          </w14:textFill>
        </w:rPr>
        <w:t>三、主要试验（或验证）的分析、综述报告，技术经济论证，预期的经济效果</w:t>
      </w:r>
    </w:p>
    <w:p>
      <w:pPr>
        <w:keepNext w:val="0"/>
        <w:keepLines w:val="0"/>
        <w:pageBreakBefore w:val="0"/>
        <w:widowControl/>
        <w:suppressLineNumbers w:val="0"/>
        <w:kinsoku/>
        <w:wordWrap/>
        <w:overflowPunct/>
        <w:topLinePunct w:val="0"/>
        <w:autoSpaceDE w:val="0"/>
        <w:autoSpaceDN w:val="0"/>
        <w:bidi w:val="0"/>
        <w:adjustRightInd w:val="0"/>
        <w:snapToGrid w:val="0"/>
        <w:spacing w:before="0" w:line="540" w:lineRule="exact"/>
        <w:ind w:left="0" w:right="0" w:firstLine="640" w:firstLineChars="200"/>
        <w:jc w:val="left"/>
        <w:textAlignment w:val="auto"/>
        <w:rPr>
          <w:rFonts w:hint="eastAsia" w:ascii="方正仿宋_GB2312" w:hAnsi="方正仿宋_GB2312" w:eastAsia="方正仿宋_GB2312" w:cs="方正仿宋_GB2312"/>
          <w:sz w:val="32"/>
          <w:szCs w:val="32"/>
          <w:lang w:val="en-US" w:eastAsia="zh-CN" w:bidi="zh-CN"/>
        </w:rPr>
      </w:pPr>
      <w:r>
        <w:rPr>
          <w:rFonts w:hint="eastAsia" w:ascii="方正仿宋_GB2312" w:hAnsi="方正仿宋_GB2312" w:eastAsia="方正仿宋_GB2312" w:cs="方正仿宋_GB2312"/>
          <w:sz w:val="32"/>
          <w:szCs w:val="32"/>
          <w:lang w:val="en-US" w:eastAsia="zh-CN" w:bidi="zh-CN"/>
        </w:rPr>
        <w:t>本标准为规范性标准，是后期试点示范长三角区域绿色产品和绿色服务认证的基础标准，一方面为后期申请认证的组织和开展认证的认证机构提出了明确的要求，另一方面为具体产品和服务认证对象的技术标准制定设定了指标框架。</w:t>
      </w:r>
    </w:p>
    <w:p>
      <w:pPr>
        <w:keepNext w:val="0"/>
        <w:keepLines w:val="0"/>
        <w:pageBreakBefore w:val="0"/>
        <w:widowControl/>
        <w:suppressLineNumbers w:val="0"/>
        <w:kinsoku/>
        <w:wordWrap/>
        <w:overflowPunct/>
        <w:topLinePunct w:val="0"/>
        <w:autoSpaceDE w:val="0"/>
        <w:autoSpaceDN w:val="0"/>
        <w:bidi w:val="0"/>
        <w:adjustRightInd w:val="0"/>
        <w:snapToGrid w:val="0"/>
        <w:spacing w:before="0" w:line="540" w:lineRule="exact"/>
        <w:ind w:left="0" w:right="0" w:firstLine="640" w:firstLineChars="200"/>
        <w:jc w:val="left"/>
        <w:textAlignment w:val="auto"/>
        <w:rPr>
          <w:rFonts w:hint="eastAsia" w:ascii="方正仿宋_GB2312" w:hAnsi="方正仿宋_GB2312" w:eastAsia="方正仿宋_GB2312" w:cs="方正仿宋_GB2312"/>
          <w:sz w:val="32"/>
          <w:szCs w:val="32"/>
          <w:lang w:val="en-US" w:eastAsia="zh-CN" w:bidi="zh-CN"/>
        </w:rPr>
      </w:pPr>
      <w:r>
        <w:rPr>
          <w:rFonts w:hint="eastAsia" w:ascii="方正仿宋_GB2312" w:hAnsi="方正仿宋_GB2312" w:eastAsia="方正仿宋_GB2312" w:cs="方正仿宋_GB2312"/>
          <w:sz w:val="32"/>
          <w:szCs w:val="32"/>
          <w:lang w:val="en-US" w:eastAsia="zh-CN" w:bidi="zh-CN"/>
        </w:rPr>
        <w:t>本标准对于在长三角区域创新开展区域绿色认证试点示范，推进长三角绿色认证一体化建设，打造“绿色认证先行区”具有重要的作用，对于不断完善我国绿色认证制度，提升质量认证工作的区域协同化发展具有重要的推动作用，从而更好助力长三角生态文明体制改革和一体化发展。</w:t>
      </w:r>
    </w:p>
    <w:p>
      <w:pPr>
        <w:keepNext w:val="0"/>
        <w:keepLines w:val="0"/>
        <w:pageBreakBefore w:val="0"/>
        <w:widowControl/>
        <w:kinsoku/>
        <w:wordWrap/>
        <w:overflowPunct/>
        <w:topLinePunct w:val="0"/>
        <w:autoSpaceDE/>
        <w:autoSpaceDN/>
        <w:bidi w:val="0"/>
        <w:adjustRightInd/>
        <w:snapToGrid/>
        <w:spacing w:before="312" w:beforeLines="100" w:line="540" w:lineRule="exact"/>
        <w:ind w:left="0" w:right="0" w:firstLine="600" w:firstLineChars="200"/>
        <w:jc w:val="both"/>
        <w:textAlignment w:val="auto"/>
        <w:outlineLvl w:val="0"/>
        <w:rPr>
          <w:rFonts w:hint="default" w:ascii="Times New Roman" w:hAnsi="Times New Roman" w:eastAsia="黑体" w:cs="Times New Roman"/>
          <w:b w:val="0"/>
          <w:color w:val="000000" w:themeColor="text1"/>
          <w:kern w:val="2"/>
          <w:sz w:val="30"/>
          <w:szCs w:val="30"/>
          <w:lang w:val="en-US" w:eastAsia="zh-CN" w:bidi="ar-SA"/>
          <w14:textFill>
            <w14:solidFill>
              <w14:schemeClr w14:val="tx1"/>
            </w14:solidFill>
          </w14:textFill>
        </w:rPr>
      </w:pPr>
      <w:r>
        <w:rPr>
          <w:rFonts w:hint="default" w:ascii="Times New Roman" w:hAnsi="Times New Roman" w:eastAsia="黑体" w:cs="Times New Roman"/>
          <w:b w:val="0"/>
          <w:color w:val="000000" w:themeColor="text1"/>
          <w:kern w:val="2"/>
          <w:sz w:val="30"/>
          <w:szCs w:val="30"/>
          <w:lang w:val="en-US" w:bidi="ar-SA"/>
          <w14:textFill>
            <w14:solidFill>
              <w14:schemeClr w14:val="tx1"/>
            </w14:solidFill>
          </w14:textFill>
        </w:rPr>
        <w:t>四、采用国际标准和国外标准的程度，以及与国际、国外同类标准水平的对比情况，或与测试的国外样品、样机的有关数据对比情况</w:t>
      </w:r>
      <w:r>
        <w:rPr>
          <w:rFonts w:hint="default" w:ascii="Times New Roman" w:hAnsi="Times New Roman" w:eastAsia="黑体" w:cs="Times New Roman"/>
          <w:b w:val="0"/>
          <w:color w:val="000000" w:themeColor="text1"/>
          <w:kern w:val="2"/>
          <w:sz w:val="30"/>
          <w:szCs w:val="30"/>
          <w:lang w:val="en-US" w:eastAsia="zh-CN" w:bidi="ar-SA"/>
          <w14:textFill>
            <w14:solidFill>
              <w14:schemeClr w14:val="tx1"/>
            </w14:solidFill>
          </w14:textFill>
        </w:rPr>
        <w:t xml:space="preserve"> </w:t>
      </w:r>
    </w:p>
    <w:p>
      <w:pPr>
        <w:keepNext w:val="0"/>
        <w:keepLines w:val="0"/>
        <w:pageBreakBefore w:val="0"/>
        <w:widowControl/>
        <w:suppressLineNumbers w:val="0"/>
        <w:kinsoku/>
        <w:wordWrap/>
        <w:overflowPunct/>
        <w:topLinePunct w:val="0"/>
        <w:autoSpaceDE w:val="0"/>
        <w:autoSpaceDN w:val="0"/>
        <w:bidi w:val="0"/>
        <w:adjustRightInd w:val="0"/>
        <w:snapToGrid w:val="0"/>
        <w:spacing w:before="0" w:line="540" w:lineRule="exact"/>
        <w:ind w:left="0" w:right="0" w:firstLine="640" w:firstLineChars="200"/>
        <w:jc w:val="left"/>
        <w:textAlignment w:val="auto"/>
        <w:rPr>
          <w:rFonts w:hint="eastAsia" w:ascii="方正仿宋_GB2312" w:hAnsi="方正仿宋_GB2312" w:eastAsia="方正仿宋_GB2312" w:cs="方正仿宋_GB2312"/>
          <w:sz w:val="32"/>
          <w:szCs w:val="32"/>
          <w:highlight w:val="none"/>
          <w:lang w:val="en-US" w:eastAsia="zh-CN" w:bidi="zh-CN"/>
        </w:rPr>
      </w:pPr>
      <w:r>
        <w:rPr>
          <w:rFonts w:hint="eastAsia" w:ascii="方正仿宋_GB2312" w:hAnsi="方正仿宋_GB2312" w:eastAsia="方正仿宋_GB2312" w:cs="方正仿宋_GB2312"/>
          <w:sz w:val="32"/>
          <w:szCs w:val="32"/>
          <w:lang w:val="en-US" w:eastAsia="zh-CN" w:bidi="zh-CN"/>
        </w:rPr>
        <w:t>本标准为绿色认证领域全新制定的规范性标准，目前在国内尚属首创。</w:t>
      </w:r>
      <w:r>
        <w:rPr>
          <w:rFonts w:hint="eastAsia" w:ascii="方正仿宋_GB2312" w:hAnsi="方正仿宋_GB2312" w:eastAsia="方正仿宋_GB2312" w:cs="方正仿宋_GB2312"/>
          <w:sz w:val="32"/>
          <w:szCs w:val="32"/>
          <w:highlight w:val="none"/>
          <w:lang w:val="en-US" w:eastAsia="zh-CN" w:bidi="zh-CN"/>
        </w:rPr>
        <w:t xml:space="preserve"> </w:t>
      </w:r>
    </w:p>
    <w:p>
      <w:pPr>
        <w:keepNext w:val="0"/>
        <w:keepLines w:val="0"/>
        <w:pageBreakBefore w:val="0"/>
        <w:widowControl/>
        <w:kinsoku/>
        <w:wordWrap/>
        <w:overflowPunct/>
        <w:topLinePunct w:val="0"/>
        <w:autoSpaceDE/>
        <w:autoSpaceDN/>
        <w:bidi w:val="0"/>
        <w:adjustRightInd/>
        <w:snapToGrid/>
        <w:spacing w:before="312" w:beforeLines="100" w:line="540" w:lineRule="exact"/>
        <w:ind w:left="0" w:right="0" w:firstLine="600" w:firstLineChars="200"/>
        <w:jc w:val="both"/>
        <w:textAlignment w:val="auto"/>
        <w:outlineLvl w:val="0"/>
        <w:rPr>
          <w:rFonts w:hint="default" w:ascii="Times New Roman" w:hAnsi="Times New Roman" w:eastAsia="黑体" w:cs="Times New Roman"/>
          <w:b w:val="0"/>
          <w:color w:val="000000" w:themeColor="text1"/>
          <w:kern w:val="2"/>
          <w:sz w:val="30"/>
          <w:szCs w:val="30"/>
          <w:lang w:val="en-US" w:bidi="ar-SA"/>
          <w14:textFill>
            <w14:solidFill>
              <w14:schemeClr w14:val="tx1"/>
            </w14:solidFill>
          </w14:textFill>
        </w:rPr>
      </w:pPr>
      <w:r>
        <w:rPr>
          <w:rFonts w:hint="default" w:ascii="Times New Roman" w:hAnsi="Times New Roman" w:eastAsia="黑体" w:cs="Times New Roman"/>
          <w:b w:val="0"/>
          <w:color w:val="000000" w:themeColor="text1"/>
          <w:kern w:val="2"/>
          <w:sz w:val="30"/>
          <w:szCs w:val="30"/>
          <w:lang w:val="en-US" w:bidi="ar-SA"/>
          <w14:textFill>
            <w14:solidFill>
              <w14:schemeClr w14:val="tx1"/>
            </w14:solidFill>
          </w14:textFill>
        </w:rPr>
        <w:t>五、与有关的现行法律、法规和强制性国家标准的关系</w:t>
      </w:r>
    </w:p>
    <w:p>
      <w:pPr>
        <w:keepNext w:val="0"/>
        <w:keepLines w:val="0"/>
        <w:pageBreakBefore w:val="0"/>
        <w:widowControl/>
        <w:suppressLineNumbers w:val="0"/>
        <w:kinsoku/>
        <w:wordWrap/>
        <w:overflowPunct/>
        <w:topLinePunct w:val="0"/>
        <w:autoSpaceDE w:val="0"/>
        <w:autoSpaceDN w:val="0"/>
        <w:bidi w:val="0"/>
        <w:adjustRightInd w:val="0"/>
        <w:snapToGrid w:val="0"/>
        <w:spacing w:before="0" w:line="540" w:lineRule="exact"/>
        <w:ind w:left="0" w:right="0" w:firstLine="640" w:firstLineChars="200"/>
        <w:jc w:val="left"/>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sz w:val="32"/>
          <w:szCs w:val="32"/>
          <w:lang w:val="en-US" w:eastAsia="zh-CN" w:bidi="zh-CN"/>
        </w:rPr>
        <w:t>本标准以《中华人民共和国大气污染防治法》《中华人民共和国可再生能源法》《中华人民共和国认证认可条例》《认证机构管理办法》《节能低碳产品认证管理办法》等法律法规为顶层设计，完全遵照法规要求编写。</w:t>
      </w:r>
    </w:p>
    <w:p>
      <w:pPr>
        <w:keepNext w:val="0"/>
        <w:keepLines w:val="0"/>
        <w:pageBreakBefore w:val="0"/>
        <w:widowControl/>
        <w:kinsoku/>
        <w:wordWrap/>
        <w:overflowPunct/>
        <w:topLinePunct w:val="0"/>
        <w:autoSpaceDE/>
        <w:autoSpaceDN/>
        <w:bidi w:val="0"/>
        <w:adjustRightInd/>
        <w:snapToGrid/>
        <w:spacing w:before="312" w:beforeLines="100" w:line="540" w:lineRule="exact"/>
        <w:ind w:left="0" w:right="0" w:firstLine="600" w:firstLineChars="200"/>
        <w:jc w:val="both"/>
        <w:textAlignment w:val="auto"/>
        <w:outlineLvl w:val="0"/>
        <w:rPr>
          <w:rFonts w:hint="default" w:ascii="Times New Roman" w:hAnsi="Times New Roman" w:eastAsia="黑体" w:cs="Times New Roman"/>
          <w:b w:val="0"/>
          <w:color w:val="000000" w:themeColor="text1"/>
          <w:kern w:val="2"/>
          <w:sz w:val="30"/>
          <w:szCs w:val="30"/>
          <w:lang w:val="en-US" w:bidi="ar-SA"/>
          <w14:textFill>
            <w14:solidFill>
              <w14:schemeClr w14:val="tx1"/>
            </w14:solidFill>
          </w14:textFill>
        </w:rPr>
      </w:pPr>
      <w:r>
        <w:rPr>
          <w:rFonts w:hint="default" w:ascii="Times New Roman" w:hAnsi="Times New Roman" w:eastAsia="黑体" w:cs="Times New Roman"/>
          <w:b w:val="0"/>
          <w:color w:val="000000" w:themeColor="text1"/>
          <w:kern w:val="2"/>
          <w:sz w:val="30"/>
          <w:szCs w:val="30"/>
          <w:lang w:val="en-US" w:bidi="ar-SA"/>
          <w14:textFill>
            <w14:solidFill>
              <w14:schemeClr w14:val="tx1"/>
            </w14:solidFill>
          </w14:textFill>
        </w:rPr>
        <w:t>六、重大分歧意见的处理经过和依据</w:t>
      </w:r>
    </w:p>
    <w:p>
      <w:pPr>
        <w:pStyle w:val="3"/>
        <w:keepNext w:val="0"/>
        <w:keepLines w:val="0"/>
        <w:pageBreakBefore w:val="0"/>
        <w:widowControl w:val="0"/>
        <w:kinsoku/>
        <w:wordWrap/>
        <w:overflowPunct/>
        <w:topLinePunct w:val="0"/>
        <w:autoSpaceDE w:val="0"/>
        <w:autoSpaceDN w:val="0"/>
        <w:bidi w:val="0"/>
        <w:adjustRightInd w:val="0"/>
        <w:snapToGrid w:val="0"/>
        <w:spacing w:before="0" w:line="540" w:lineRule="exact"/>
        <w:ind w:left="0" w:right="0" w:firstLine="640" w:firstLineChars="200"/>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本标准在制定过程中未出现重大分歧意见。</w:t>
      </w:r>
    </w:p>
    <w:p>
      <w:pPr>
        <w:keepNext w:val="0"/>
        <w:keepLines w:val="0"/>
        <w:pageBreakBefore w:val="0"/>
        <w:widowControl/>
        <w:kinsoku/>
        <w:wordWrap/>
        <w:overflowPunct/>
        <w:topLinePunct w:val="0"/>
        <w:autoSpaceDE/>
        <w:autoSpaceDN/>
        <w:bidi w:val="0"/>
        <w:adjustRightInd/>
        <w:snapToGrid/>
        <w:spacing w:before="312" w:beforeLines="100" w:line="540" w:lineRule="exact"/>
        <w:ind w:left="0" w:right="0" w:firstLine="600" w:firstLineChars="200"/>
        <w:jc w:val="both"/>
        <w:textAlignment w:val="auto"/>
        <w:outlineLvl w:val="0"/>
        <w:rPr>
          <w:rFonts w:hint="default" w:ascii="Times New Roman" w:hAnsi="Times New Roman" w:eastAsia="黑体" w:cs="Times New Roman"/>
          <w:b w:val="0"/>
          <w:color w:val="000000" w:themeColor="text1"/>
          <w:kern w:val="2"/>
          <w:sz w:val="30"/>
          <w:szCs w:val="30"/>
          <w:lang w:val="en-US" w:bidi="ar-SA"/>
          <w14:textFill>
            <w14:solidFill>
              <w14:schemeClr w14:val="tx1"/>
            </w14:solidFill>
          </w14:textFill>
        </w:rPr>
      </w:pPr>
      <w:r>
        <w:rPr>
          <w:rFonts w:hint="default" w:ascii="Times New Roman" w:hAnsi="Times New Roman" w:eastAsia="黑体" w:cs="Times New Roman"/>
          <w:b w:val="0"/>
          <w:color w:val="000000" w:themeColor="text1"/>
          <w:kern w:val="2"/>
          <w:sz w:val="30"/>
          <w:szCs w:val="30"/>
          <w:lang w:val="en-US" w:eastAsia="zh-CN" w:bidi="ar-SA"/>
          <w14:textFill>
            <w14:solidFill>
              <w14:schemeClr w14:val="tx1"/>
            </w14:solidFill>
          </w14:textFill>
        </w:rPr>
        <w:t>七</w:t>
      </w:r>
      <w:r>
        <w:rPr>
          <w:rFonts w:hint="default" w:ascii="Times New Roman" w:hAnsi="Times New Roman" w:eastAsia="黑体" w:cs="Times New Roman"/>
          <w:b w:val="0"/>
          <w:color w:val="000000" w:themeColor="text1"/>
          <w:kern w:val="2"/>
          <w:sz w:val="30"/>
          <w:szCs w:val="30"/>
          <w:lang w:val="en-US" w:bidi="ar-SA"/>
          <w14:textFill>
            <w14:solidFill>
              <w14:schemeClr w14:val="tx1"/>
            </w14:solidFill>
          </w14:textFill>
        </w:rPr>
        <w:t>、贯彻国家标准的要求和措施建议</w:t>
      </w:r>
    </w:p>
    <w:p>
      <w:pPr>
        <w:pStyle w:val="3"/>
        <w:keepNext w:val="0"/>
        <w:keepLines w:val="0"/>
        <w:pageBreakBefore w:val="0"/>
        <w:kinsoku/>
        <w:topLinePunct w:val="0"/>
        <w:autoSpaceDE w:val="0"/>
        <w:autoSpaceDN w:val="0"/>
        <w:bidi w:val="0"/>
        <w:adjustRightInd w:val="0"/>
        <w:snapToGrid w:val="0"/>
        <w:spacing w:before="0" w:line="540" w:lineRule="exact"/>
        <w:ind w:left="0" w:right="0" w:firstLine="640" w:firstLineChars="200"/>
        <w:jc w:val="both"/>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sz w:val="32"/>
          <w:szCs w:val="32"/>
          <w:lang w:val="en-US" w:eastAsia="zh-CN" w:bidi="zh-CN"/>
        </w:rPr>
        <w:t>标准层面，目前已颁布的涉及绿色认证相关的标准主要有 GB/T 33761《绿色产品评价通则》，本标准在满足此国家标准的同时，还增加了绿色服务认证的内容以及对长三角区域化绿色认证标准的统一。</w:t>
      </w:r>
    </w:p>
    <w:p>
      <w:pPr>
        <w:keepNext w:val="0"/>
        <w:keepLines w:val="0"/>
        <w:pageBreakBefore w:val="0"/>
        <w:widowControl/>
        <w:kinsoku/>
        <w:wordWrap/>
        <w:overflowPunct/>
        <w:topLinePunct w:val="0"/>
        <w:autoSpaceDE/>
        <w:autoSpaceDN/>
        <w:bidi w:val="0"/>
        <w:adjustRightInd/>
        <w:snapToGrid/>
        <w:spacing w:before="312" w:beforeLines="100" w:line="540" w:lineRule="exact"/>
        <w:ind w:left="0" w:right="0" w:firstLine="600" w:firstLineChars="200"/>
        <w:jc w:val="both"/>
        <w:textAlignment w:val="auto"/>
        <w:outlineLvl w:val="0"/>
        <w:rPr>
          <w:rFonts w:hint="default" w:ascii="Times New Roman" w:hAnsi="Times New Roman" w:eastAsia="黑体" w:cs="Times New Roman"/>
          <w:b w:val="0"/>
          <w:color w:val="000000" w:themeColor="text1"/>
          <w:kern w:val="2"/>
          <w:sz w:val="30"/>
          <w:szCs w:val="30"/>
          <w:lang w:val="en-US" w:bidi="ar-SA"/>
          <w14:textFill>
            <w14:solidFill>
              <w14:schemeClr w14:val="tx1"/>
            </w14:solidFill>
          </w14:textFill>
        </w:rPr>
      </w:pPr>
      <w:r>
        <w:rPr>
          <w:rFonts w:hint="default" w:ascii="Times New Roman" w:hAnsi="Times New Roman" w:eastAsia="黑体" w:cs="Times New Roman"/>
          <w:b w:val="0"/>
          <w:color w:val="000000" w:themeColor="text1"/>
          <w:kern w:val="2"/>
          <w:sz w:val="30"/>
          <w:szCs w:val="30"/>
          <w:lang w:val="en-US" w:eastAsia="zh-CN" w:bidi="ar-SA"/>
          <w14:textFill>
            <w14:solidFill>
              <w14:schemeClr w14:val="tx1"/>
            </w14:solidFill>
          </w14:textFill>
        </w:rPr>
        <w:t>八</w:t>
      </w:r>
      <w:r>
        <w:rPr>
          <w:rFonts w:hint="default" w:ascii="Times New Roman" w:hAnsi="Times New Roman" w:eastAsia="黑体" w:cs="Times New Roman"/>
          <w:b w:val="0"/>
          <w:color w:val="000000" w:themeColor="text1"/>
          <w:kern w:val="2"/>
          <w:sz w:val="30"/>
          <w:szCs w:val="30"/>
          <w:lang w:val="en-US" w:bidi="ar-SA"/>
          <w14:textFill>
            <w14:solidFill>
              <w14:schemeClr w14:val="tx1"/>
            </w14:solidFill>
          </w14:textFill>
        </w:rPr>
        <w:t>、废止现行有关标准的建议</w:t>
      </w:r>
    </w:p>
    <w:p>
      <w:pPr>
        <w:pStyle w:val="3"/>
        <w:keepNext w:val="0"/>
        <w:keepLines w:val="0"/>
        <w:pageBreakBefore w:val="0"/>
        <w:widowControl w:val="0"/>
        <w:kinsoku/>
        <w:wordWrap/>
        <w:overflowPunct/>
        <w:topLinePunct w:val="0"/>
        <w:autoSpaceDE w:val="0"/>
        <w:autoSpaceDN w:val="0"/>
        <w:bidi w:val="0"/>
        <w:adjustRightInd w:val="0"/>
        <w:snapToGrid w:val="0"/>
        <w:spacing w:before="0" w:line="540" w:lineRule="exact"/>
        <w:ind w:left="0" w:right="0" w:firstLine="640" w:firstLineChars="200"/>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本标准不涉及对现行标准的废止。</w:t>
      </w:r>
    </w:p>
    <w:p>
      <w:pPr>
        <w:keepNext w:val="0"/>
        <w:keepLines w:val="0"/>
        <w:pageBreakBefore w:val="0"/>
        <w:widowControl/>
        <w:kinsoku/>
        <w:wordWrap/>
        <w:overflowPunct/>
        <w:topLinePunct w:val="0"/>
        <w:autoSpaceDE/>
        <w:autoSpaceDN/>
        <w:bidi w:val="0"/>
        <w:adjustRightInd/>
        <w:snapToGrid/>
        <w:spacing w:before="312" w:beforeLines="100" w:line="540" w:lineRule="exact"/>
        <w:ind w:left="0" w:right="0" w:firstLine="600" w:firstLineChars="200"/>
        <w:jc w:val="both"/>
        <w:textAlignment w:val="auto"/>
        <w:outlineLvl w:val="0"/>
        <w:rPr>
          <w:rFonts w:hint="default" w:ascii="Times New Roman" w:hAnsi="Times New Roman" w:eastAsia="黑体" w:cs="Times New Roman"/>
          <w:b w:val="0"/>
          <w:color w:val="000000" w:themeColor="text1"/>
          <w:kern w:val="2"/>
          <w:sz w:val="30"/>
          <w:szCs w:val="30"/>
          <w:lang w:val="en-US" w:bidi="ar-SA"/>
          <w14:textFill>
            <w14:solidFill>
              <w14:schemeClr w14:val="tx1"/>
            </w14:solidFill>
          </w14:textFill>
        </w:rPr>
      </w:pPr>
      <w:r>
        <w:rPr>
          <w:rFonts w:hint="default" w:ascii="Times New Roman" w:hAnsi="Times New Roman" w:eastAsia="黑体" w:cs="Times New Roman"/>
          <w:b w:val="0"/>
          <w:color w:val="000000" w:themeColor="text1"/>
          <w:kern w:val="2"/>
          <w:sz w:val="30"/>
          <w:szCs w:val="30"/>
          <w:lang w:val="en-US" w:eastAsia="zh-CN" w:bidi="ar-SA"/>
          <w14:textFill>
            <w14:solidFill>
              <w14:schemeClr w14:val="tx1"/>
            </w14:solidFill>
          </w14:textFill>
        </w:rPr>
        <w:t>九</w:t>
      </w:r>
      <w:r>
        <w:rPr>
          <w:rFonts w:hint="default" w:ascii="Times New Roman" w:hAnsi="Times New Roman" w:eastAsia="黑体" w:cs="Times New Roman"/>
          <w:b w:val="0"/>
          <w:color w:val="000000" w:themeColor="text1"/>
          <w:kern w:val="2"/>
          <w:sz w:val="30"/>
          <w:szCs w:val="30"/>
          <w:lang w:val="en-US" w:bidi="ar-SA"/>
          <w14:textFill>
            <w14:solidFill>
              <w14:schemeClr w14:val="tx1"/>
            </w14:solidFill>
          </w14:textFill>
        </w:rPr>
        <w:t>、其他应予说明的事项</w:t>
      </w:r>
    </w:p>
    <w:p>
      <w:pPr>
        <w:pStyle w:val="3"/>
        <w:keepNext w:val="0"/>
        <w:keepLines w:val="0"/>
        <w:pageBreakBefore w:val="0"/>
        <w:widowControl w:val="0"/>
        <w:kinsoku/>
        <w:wordWrap/>
        <w:overflowPunct/>
        <w:topLinePunct w:val="0"/>
        <w:autoSpaceDE w:val="0"/>
        <w:autoSpaceDN w:val="0"/>
        <w:bidi w:val="0"/>
        <w:adjustRightInd w:val="0"/>
        <w:snapToGrid w:val="0"/>
        <w:spacing w:before="0" w:line="540" w:lineRule="exact"/>
        <w:ind w:left="0" w:right="0" w:firstLine="640" w:firstLineChars="200"/>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无。</w:t>
      </w:r>
    </w:p>
    <w:p>
      <w:pPr>
        <w:pStyle w:val="3"/>
        <w:keepNext w:val="0"/>
        <w:keepLines w:val="0"/>
        <w:pageBreakBefore w:val="0"/>
        <w:widowControl w:val="0"/>
        <w:kinsoku/>
        <w:wordWrap/>
        <w:overflowPunct/>
        <w:topLinePunct w:val="0"/>
        <w:autoSpaceDE w:val="0"/>
        <w:autoSpaceDN w:val="0"/>
        <w:bidi w:val="0"/>
        <w:adjustRightInd w:val="0"/>
        <w:snapToGrid w:val="0"/>
        <w:spacing w:before="0" w:line="540" w:lineRule="exact"/>
        <w:ind w:left="0" w:right="0" w:firstLine="640" w:firstLineChars="200"/>
        <w:textAlignment w:val="auto"/>
        <w:rPr>
          <w:rFonts w:hint="eastAsia" w:ascii="方正仿宋_GB2312" w:hAnsi="方正仿宋_GB2312" w:eastAsia="方正仿宋_GB2312" w:cs="方正仿宋_GB2312"/>
        </w:rPr>
      </w:pPr>
    </w:p>
    <w:p>
      <w:pPr>
        <w:pStyle w:val="3"/>
        <w:keepNext w:val="0"/>
        <w:keepLines w:val="0"/>
        <w:pageBreakBefore w:val="0"/>
        <w:widowControl w:val="0"/>
        <w:kinsoku/>
        <w:wordWrap/>
        <w:overflowPunct/>
        <w:topLinePunct w:val="0"/>
        <w:autoSpaceDE w:val="0"/>
        <w:autoSpaceDN w:val="0"/>
        <w:bidi w:val="0"/>
        <w:adjustRightInd w:val="0"/>
        <w:snapToGrid w:val="0"/>
        <w:spacing w:before="0" w:line="540" w:lineRule="exact"/>
        <w:ind w:left="0" w:right="0" w:firstLine="640" w:firstLineChars="200"/>
        <w:textAlignment w:val="auto"/>
        <w:rPr>
          <w:rFonts w:hint="eastAsia" w:ascii="方正仿宋_GB2312" w:hAnsi="方正仿宋_GB2312" w:eastAsia="方正仿宋_GB2312" w:cs="方正仿宋_GB2312"/>
        </w:rPr>
      </w:pPr>
      <w:bookmarkStart w:id="0" w:name="_GoBack"/>
      <w:bookmarkEnd w:id="0"/>
    </w:p>
    <w:p>
      <w:pPr>
        <w:pStyle w:val="3"/>
        <w:keepNext w:val="0"/>
        <w:keepLines w:val="0"/>
        <w:pageBreakBefore w:val="0"/>
        <w:kinsoku/>
        <w:topLinePunct w:val="0"/>
        <w:autoSpaceDE w:val="0"/>
        <w:autoSpaceDN w:val="0"/>
        <w:bidi w:val="0"/>
        <w:adjustRightInd w:val="0"/>
        <w:snapToGrid w:val="0"/>
        <w:spacing w:before="0" w:line="540" w:lineRule="exact"/>
        <w:ind w:left="0" w:right="0" w:firstLine="640"/>
        <w:jc w:val="right"/>
        <w:textAlignment w:val="auto"/>
        <w:rPr>
          <w:rFonts w:hint="eastAsia" w:ascii="方正仿宋_GB2312" w:hAnsi="方正仿宋_GB2312" w:eastAsia="方正仿宋_GB2312" w:cs="方正仿宋_GB2312"/>
          <w:w w:val="99"/>
        </w:rPr>
      </w:pPr>
      <w:r>
        <w:rPr>
          <w:rFonts w:hint="eastAsia" w:ascii="方正仿宋_GB2312" w:hAnsi="方正仿宋_GB2312" w:eastAsia="方正仿宋_GB2312" w:cs="方正仿宋_GB2312"/>
        </w:rPr>
        <w:t>标准起草组</w:t>
      </w:r>
      <w:r>
        <w:rPr>
          <w:rFonts w:hint="eastAsia" w:ascii="方正仿宋_GB2312" w:hAnsi="方正仿宋_GB2312" w:eastAsia="方正仿宋_GB2312" w:cs="方正仿宋_GB2312"/>
          <w:w w:val="99"/>
        </w:rPr>
        <w:t xml:space="preserve"> </w:t>
      </w:r>
    </w:p>
    <w:p>
      <w:pPr>
        <w:pStyle w:val="3"/>
        <w:keepNext w:val="0"/>
        <w:keepLines w:val="0"/>
        <w:pageBreakBefore w:val="0"/>
        <w:kinsoku/>
        <w:wordWrap w:val="0"/>
        <w:topLinePunct w:val="0"/>
        <w:autoSpaceDE w:val="0"/>
        <w:autoSpaceDN w:val="0"/>
        <w:bidi w:val="0"/>
        <w:adjustRightInd w:val="0"/>
        <w:snapToGrid w:val="0"/>
        <w:spacing w:before="0" w:line="540" w:lineRule="exact"/>
        <w:ind w:left="0" w:right="0" w:firstLine="640"/>
        <w:jc w:val="right"/>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2023</w:t>
      </w:r>
      <w:r>
        <w:rPr>
          <w:rFonts w:hint="eastAsia" w:ascii="方正仿宋_GB2312" w:hAnsi="方正仿宋_GB2312" w:eastAsia="方正仿宋_GB2312" w:cs="方正仿宋_GB2312"/>
          <w:lang w:val="en-US" w:eastAsia="zh-CN"/>
        </w:rPr>
        <w:t>年3月</w:t>
      </w:r>
    </w:p>
    <w:sectPr>
      <w:footerReference r:id="rId5" w:type="default"/>
      <w:pgSz w:w="11910" w:h="16840"/>
      <w:pgMar w:top="1500" w:right="1660" w:bottom="1380" w:left="1680" w:header="0" w:footer="1195"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
    <w:panose1 w:val="02010609060101010101"/>
    <w:charset w:val="86"/>
    <w:family w:val="modern"/>
    <w:pitch w:val="default"/>
    <w:sig w:usb0="800002BF" w:usb1="38CF7CFA" w:usb2="00000016" w:usb3="00000000" w:csb0="00040001" w:csb1="00000000"/>
  </w:font>
  <w:font w:name="Microsoft JhengHei">
    <w:altName w:val="方正书宋_GBK"/>
    <w:panose1 w:val="020B0604030504040204"/>
    <w:charset w:val="88"/>
    <w:family w:val="swiss"/>
    <w:pitch w:val="default"/>
    <w:sig w:usb0="00000000" w:usb1="00000000" w:usb2="00000016" w:usb3="00000000" w:csb0="00100009" w:csb1="00000000"/>
  </w:font>
  <w:font w:name="方正小标宋简体">
    <w:panose1 w:val="02000000000000000000"/>
    <w:charset w:val="86"/>
    <w:family w:val="auto"/>
    <w:pitch w:val="default"/>
    <w:sig w:usb0="A00002BF" w:usb1="184F6CFA" w:usb2="00000012" w:usb3="00000000" w:csb0="00040001" w:csb1="00000000"/>
  </w:font>
  <w:font w:name="方正楷体_GB2312">
    <w:altName w:val="方正楷体_GBK"/>
    <w:panose1 w:val="02000000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方正仿宋_GB2312">
    <w:altName w:val="方正仿宋_GBK"/>
    <w:panose1 w:val="02000000000000000000"/>
    <w:charset w:val="86"/>
    <w:family w:val="auto"/>
    <w:pitch w:val="default"/>
    <w:sig w:usb0="00000000" w:usb1="00000000"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00000001" w:usb1="08000000" w:usb2="00000000" w:usb3="00000000" w:csb0="00040000" w:csb1="00000000"/>
  </w:font>
  <w:font w:name="Arial">
    <w:altName w:val="Nimbus Roman No9 L"/>
    <w:panose1 w:val="00000000000000000000"/>
    <w:charset w:val="00"/>
    <w:family w:val="auto"/>
    <w:pitch w:val="default"/>
    <w:sig w:usb0="00000000" w:usb1="00000000" w:usb2="00000000" w:usb3="00000000" w:csb0="00000000"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ind w:left="0"/>
      <w:rPr>
        <w:sz w:val="20"/>
      </w:rPr>
    </w:pPr>
    <w:r>
      <mc:AlternateContent>
        <mc:Choice Requires="wps">
          <w:drawing>
            <wp:anchor distT="0" distB="0" distL="114300" distR="114300" simplePos="0" relativeHeight="251659264" behindDoc="1" locked="0" layoutInCell="1" allowOverlap="1">
              <wp:simplePos x="0" y="0"/>
              <wp:positionH relativeFrom="page">
                <wp:posOffset>3725545</wp:posOffset>
              </wp:positionH>
              <wp:positionV relativeFrom="page">
                <wp:posOffset>9792970</wp:posOffset>
              </wp:positionV>
              <wp:extent cx="109220" cy="1397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09220" cy="139700"/>
                      </a:xfrm>
                      <a:prstGeom prst="rect">
                        <a:avLst/>
                      </a:prstGeom>
                      <a:noFill/>
                      <a:ln>
                        <a:noFill/>
                      </a:ln>
                    </wps:spPr>
                    <wps:txbx>
                      <w:txbxContent>
                        <w:p>
                          <w:pPr>
                            <w:spacing w:before="0" w:line="203" w:lineRule="exact"/>
                            <w:ind w:left="40" w:right="0" w:firstLine="0"/>
                            <w:jc w:val="left"/>
                            <w:rPr>
                              <w:rFonts w:ascii="Calibri"/>
                              <w:sz w:val="18"/>
                            </w:rPr>
                          </w:pPr>
                          <w:r>
                            <w:fldChar w:fldCharType="begin"/>
                          </w:r>
                          <w:r>
                            <w:rPr>
                              <w:rFonts w:ascii="Calibri"/>
                              <w:sz w:val="18"/>
                            </w:rPr>
                            <w:instrText xml:space="preserve"> PAGE </w:instrText>
                          </w:r>
                          <w:r>
                            <w:fldChar w:fldCharType="separate"/>
                          </w:r>
                          <w:r>
                            <w:t>1</w:t>
                          </w:r>
                          <w:r>
                            <w:fldChar w:fldCharType="end"/>
                          </w:r>
                        </w:p>
                      </w:txbxContent>
                    </wps:txbx>
                    <wps:bodyPr lIns="0" tIns="0" rIns="0" bIns="0" upright="true"/>
                  </wps:wsp>
                </a:graphicData>
              </a:graphic>
            </wp:anchor>
          </w:drawing>
        </mc:Choice>
        <mc:Fallback>
          <w:pict>
            <v:shape id="_x0000_s1026" o:spid="_x0000_s1026" o:spt="202" type="#_x0000_t202" style="position:absolute;left:0pt;margin-left:293.35pt;margin-top:771.1pt;height:11pt;width:8.6pt;mso-position-horizontal-relative:page;mso-position-vertical-relative:page;z-index:-251657216;mso-width-relative:page;mso-height-relative:page;" filled="f" stroked="f" coordsize="21600,21600" o:gfxdata="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FgAAAGRycy9QSwECFAAUAAAA&#10;CACHTuJAUjjboNsAAAANAQAADwAAAAAAAAABACAAAAA4AAAAZHJzL2Rvd25yZXYueG1sUEsBAhQA&#10;FAAAAAgAh07iQFpQHyugAQAAKQMAAA4AAAAAAAAAAQAgAAAAQAEAAGRycy9lMm9Eb2MueG1sUEsF&#10;BgAAAAAGAAYAWQEAAFIFAAAAAA==&#10;">
              <v:fill on="f" focussize="0,0"/>
              <v:stroke on="f"/>
              <v:imagedata o:title=""/>
              <o:lock v:ext="edit" aspectratio="f"/>
              <v:textbox inset="0mm,0mm,0mm,0mm">
                <w:txbxContent>
                  <w:p>
                    <w:pPr>
                      <w:spacing w:before="0" w:line="203" w:lineRule="exact"/>
                      <w:ind w:left="40" w:right="0" w:firstLine="0"/>
                      <w:jc w:val="left"/>
                      <w:rPr>
                        <w:rFonts w:ascii="Calibri"/>
                        <w:sz w:val="18"/>
                      </w:rPr>
                    </w:pPr>
                    <w:r>
                      <w:fldChar w:fldCharType="begin"/>
                    </w:r>
                    <w:r>
                      <w:rPr>
                        <w:rFonts w:ascii="Calibri"/>
                        <w:sz w:val="18"/>
                      </w:rPr>
                      <w:instrText xml:space="preserve"> PAGE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FF7A3C"/>
    <w:multiLevelType w:val="singleLevel"/>
    <w:tmpl w:val="AFFF7A3C"/>
    <w:lvl w:ilvl="0" w:tentative="0">
      <w:start w:val="2"/>
      <w:numFmt w:val="decimal"/>
      <w:suff w:val="space"/>
      <w:lvlText w:val="%1."/>
      <w:lvlJc w:val="left"/>
    </w:lvl>
  </w:abstractNum>
  <w:abstractNum w:abstractNumId="1">
    <w:nsid w:val="B2AEA8E5"/>
    <w:multiLevelType w:val="singleLevel"/>
    <w:tmpl w:val="B2AEA8E5"/>
    <w:lvl w:ilvl="0" w:tentative="0">
      <w:start w:val="1"/>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false"/>
  <w:bordersDoNotSurroundFooter w:val="false"/>
  <w:trackRevisions w:val="true"/>
  <w:documentProtection w:enforcement="0"/>
  <w:defaultTabStop w:val="720"/>
  <w:drawingGridHorizontalSpacing w:val="110"/>
  <w:displayHorizontalDrawingGridEvery w:val="1"/>
  <w:displayVerticalDrawingGridEvery w:val="1"/>
  <w:noPunctuationKerning w:val="true"/>
  <w:characterSpacingControl w:val="doNotCompress"/>
  <w:footnotePr>
    <w:footnote w:id="0"/>
    <w:footnote w:id="1"/>
  </w:footnotePr>
  <w:endnotePr>
    <w:endnote w:id="0"/>
    <w:endnote w:id="1"/>
  </w:endnotePr>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E4YWE2NWM2NjkyMzUxOGRkNDNkNjJlMmYxYjJlZDkifQ=="/>
  </w:docVars>
  <w:rsids>
    <w:rsidRoot w:val="00000000"/>
    <w:rsid w:val="0071526C"/>
    <w:rsid w:val="03A27243"/>
    <w:rsid w:val="0C0523DE"/>
    <w:rsid w:val="0F5FE94B"/>
    <w:rsid w:val="111E340F"/>
    <w:rsid w:val="1C552391"/>
    <w:rsid w:val="1F5D82B8"/>
    <w:rsid w:val="54C11501"/>
    <w:rsid w:val="5BFF25FA"/>
    <w:rsid w:val="6BFCFA75"/>
    <w:rsid w:val="76AF7C9A"/>
    <w:rsid w:val="7D1C7A4B"/>
    <w:rsid w:val="7FE99C10"/>
    <w:rsid w:val="8BAACB6F"/>
    <w:rsid w:val="F2E38CD9"/>
    <w:rsid w:val="FBBFD46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仿宋" w:hAnsi="仿宋" w:eastAsia="仿宋" w:cs="仿宋"/>
      <w:sz w:val="22"/>
      <w:szCs w:val="22"/>
      <w:lang w:val="zh-CN" w:eastAsia="zh-CN" w:bidi="zh-CN"/>
    </w:rPr>
  </w:style>
  <w:style w:type="paragraph" w:styleId="2">
    <w:name w:val="heading 1"/>
    <w:basedOn w:val="1"/>
    <w:next w:val="1"/>
    <w:qFormat/>
    <w:uiPriority w:val="1"/>
    <w:pPr>
      <w:ind w:left="763"/>
      <w:outlineLvl w:val="1"/>
    </w:pPr>
    <w:rPr>
      <w:rFonts w:ascii="Microsoft JhengHei" w:hAnsi="Microsoft JhengHei" w:eastAsia="Microsoft JhengHei" w:cs="Microsoft JhengHei"/>
      <w:b/>
      <w:bCs/>
      <w:sz w:val="32"/>
      <w:szCs w:val="32"/>
      <w:lang w:val="zh-CN" w:eastAsia="zh-CN" w:bidi="zh-CN"/>
    </w:rPr>
  </w:style>
  <w:style w:type="character" w:default="1" w:styleId="5">
    <w:name w:val="Default Paragraph Font"/>
    <w:semiHidden/>
    <w:unhideWhenUsed/>
    <w:qFormat/>
    <w:uiPriority w:val="1"/>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ind w:left="120"/>
    </w:pPr>
    <w:rPr>
      <w:rFonts w:ascii="仿宋" w:hAnsi="仿宋" w:eastAsia="仿宋" w:cs="仿宋"/>
      <w:sz w:val="32"/>
      <w:szCs w:val="32"/>
      <w:lang w:val="zh-CN" w:eastAsia="zh-CN" w:bidi="zh-CN"/>
    </w:rPr>
  </w:style>
  <w:style w:type="table" w:customStyle="1" w:styleId="6">
    <w:name w:val="Table Normal"/>
    <w:semiHidden/>
    <w:unhideWhenUsed/>
    <w:qFormat/>
    <w:uiPriority w:val="2"/>
    <w:tblPr>
      <w:tblCellMar>
        <w:top w:w="0" w:type="dxa"/>
        <w:left w:w="0" w:type="dxa"/>
        <w:bottom w:w="0" w:type="dxa"/>
        <w:right w:w="0" w:type="dxa"/>
      </w:tblCellMar>
    </w:tblPr>
  </w:style>
  <w:style w:type="paragraph" w:styleId="7">
    <w:name w:val="List Paragraph"/>
    <w:basedOn w:val="1"/>
    <w:qFormat/>
    <w:uiPriority w:val="1"/>
    <w:pPr>
      <w:ind w:left="1562" w:hanging="802"/>
    </w:pPr>
    <w:rPr>
      <w:rFonts w:ascii="仿宋" w:hAnsi="仿宋" w:eastAsia="仿宋" w:cs="仿宋"/>
      <w:lang w:val="zh-CN" w:eastAsia="zh-CN" w:bidi="zh-CN"/>
    </w:rPr>
  </w:style>
  <w:style w:type="paragraph" w:customStyle="1" w:styleId="8">
    <w:name w:val="Table Paragraph"/>
    <w:basedOn w:val="1"/>
    <w:qFormat/>
    <w:uiPriority w:val="1"/>
    <w:rPr>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ScaleCrop>false</ScaleCrop>
  <LinksUpToDate>false</LinksUpToDate>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2023-03-13T23:54:00Z</dcterms:created>
  <dc:creator>newall</dc:creator>
  <cp:lastModifiedBy>scjuser</cp:lastModifiedBy>
  <cp:lastPrinted>2023-03-23T18:57:00Z</cp:lastPrinted>
  <dcterms:modified xsi:type="dcterms:W3CDTF">2023-03-24T10:15:48Z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2023-02-17T00:00:00Z</vt:filetime>
  </property>
  <property fmtid="{D5CDD505-2E9C-101B-9397-08002B2CF9AE}" pid="3" name="Creator">
    <vt:lpwstr>Microsoft® Word 2010</vt:lpwstr>
  </property>
  <property fmtid="{D5CDD505-2E9C-101B-9397-08002B2CF9AE}" pid="4" name="LastSaved">
    <vt:filetime>2023-03-13T00:00:00Z</vt:filetime>
  </property>
  <property fmtid="{D5CDD505-2E9C-101B-9397-08002B2CF9AE}" pid="5" name="KSOProductBuildVer">
    <vt:lpwstr>2052-11.8.2.10125</vt:lpwstr>
  </property>
  <property fmtid="{D5CDD505-2E9C-101B-9397-08002B2CF9AE}" pid="6" name="ICV">
    <vt:lpwstr>25260E1C65F64B63BB5C8D72110B2F47</vt:lpwstr>
  </property>
</Properties>
</file>