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F0A" w:rsidRDefault="00693136">
      <w:pPr>
        <w:spacing w:line="590" w:lineRule="exact"/>
        <w:jc w:val="left"/>
        <w:rPr>
          <w:rFonts w:ascii="Times New Roman" w:eastAsia="方正仿宋_GBK" w:hAnsi="Times New Roman" w:cs="Times New Roman"/>
          <w:b/>
          <w:color w:val="000000" w:themeColor="text1"/>
          <w:sz w:val="32"/>
          <w:szCs w:val="32"/>
        </w:rPr>
      </w:pPr>
      <w:r>
        <w:rPr>
          <w:rFonts w:ascii="Times New Roman" w:eastAsia="方正仿宋_GBK" w:hAnsi="Times New Roman" w:cs="Times New Roman"/>
          <w:b/>
          <w:color w:val="000000" w:themeColor="text1"/>
          <w:sz w:val="32"/>
          <w:szCs w:val="32"/>
        </w:rPr>
        <w:t>附件</w:t>
      </w:r>
      <w:r>
        <w:rPr>
          <w:rFonts w:ascii="Times New Roman" w:eastAsia="方正仿宋_GBK" w:hAnsi="Times New Roman" w:cs="Times New Roman"/>
          <w:b/>
          <w:color w:val="000000" w:themeColor="text1"/>
          <w:sz w:val="32"/>
          <w:szCs w:val="32"/>
        </w:rPr>
        <w:t>1</w:t>
      </w:r>
    </w:p>
    <w:p w:rsidR="007C0F0A" w:rsidRDefault="00693136">
      <w:pPr>
        <w:suppressAutoHyphens/>
        <w:adjustRightInd w:val="0"/>
        <w:snapToGrid w:val="0"/>
        <w:spacing w:line="590" w:lineRule="exact"/>
        <w:jc w:val="center"/>
        <w:rPr>
          <w:rFonts w:ascii="Times New Roman" w:eastAsia="方正小标宋简体" w:hAnsi="Times New Roman" w:cs="Times New Roman"/>
          <w:color w:val="000000" w:themeColor="text1"/>
          <w:sz w:val="44"/>
          <w:szCs w:val="44"/>
        </w:rPr>
      </w:pPr>
      <w:r>
        <w:rPr>
          <w:rFonts w:ascii="Times New Roman" w:eastAsia="方正小标宋简体" w:hAnsi="Times New Roman" w:cs="Times New Roman"/>
          <w:color w:val="000000" w:themeColor="text1"/>
          <w:sz w:val="44"/>
          <w:szCs w:val="44"/>
        </w:rPr>
        <w:t>部分不合格项目的小知识</w:t>
      </w:r>
    </w:p>
    <w:p w:rsidR="00693136" w:rsidRDefault="00693136" w:rsidP="00693136">
      <w:pPr>
        <w:spacing w:line="640" w:lineRule="exact"/>
        <w:rPr>
          <w:rFonts w:ascii="Times New Roman" w:eastAsia="黑体" w:hAnsi="Times New Roman" w:cs="Times New Roman" w:hint="eastAsia"/>
          <w:color w:val="000000" w:themeColor="text1"/>
          <w:kern w:val="0"/>
          <w:sz w:val="32"/>
          <w:szCs w:val="32"/>
        </w:rPr>
      </w:pPr>
    </w:p>
    <w:p w:rsidR="00693136" w:rsidRDefault="00693136" w:rsidP="00693136">
      <w:pPr>
        <w:pStyle w:val="a7"/>
        <w:snapToGrid w:val="0"/>
        <w:spacing w:before="0" w:beforeAutospacing="0" w:after="0" w:afterAutospacing="0" w:line="600" w:lineRule="exact"/>
        <w:ind w:firstLineChars="200" w:firstLine="592"/>
        <w:rPr>
          <w:rFonts w:ascii="Times New Roman" w:eastAsia="仿宋_GB2312" w:hAnsi="Times New Roman" w:cs="Times New Roman"/>
          <w:color w:val="000000" w:themeColor="text1"/>
          <w:sz w:val="32"/>
          <w:szCs w:val="32"/>
        </w:rPr>
      </w:pPr>
      <w:r>
        <w:rPr>
          <w:rFonts w:eastAsia="黑体" w:hint="eastAsia"/>
          <w:color w:val="000000" w:themeColor="text1"/>
          <w:spacing w:val="-12"/>
          <w:sz w:val="32"/>
          <w:szCs w:val="32"/>
        </w:rPr>
        <w:t>一</w:t>
      </w:r>
      <w:r>
        <w:rPr>
          <w:rFonts w:eastAsia="黑体" w:hint="eastAsia"/>
          <w:color w:val="000000" w:themeColor="text1"/>
          <w:spacing w:val="-12"/>
          <w:sz w:val="32"/>
          <w:szCs w:val="32"/>
        </w:rPr>
        <w:t>、</w:t>
      </w:r>
      <w:r>
        <w:rPr>
          <w:rFonts w:ascii="黑体" w:eastAsia="黑体" w:hAnsi="黑体" w:hint="eastAsia"/>
          <w:color w:val="000000" w:themeColor="text1"/>
          <w:sz w:val="32"/>
          <w:szCs w:val="32"/>
        </w:rPr>
        <w:t>霉菌</w:t>
      </w:r>
    </w:p>
    <w:p w:rsidR="00693136" w:rsidRDefault="00693136" w:rsidP="00693136">
      <w:pPr>
        <w:spacing w:line="594" w:lineRule="exact"/>
        <w:ind w:firstLineChars="200" w:firstLine="640"/>
        <w:rPr>
          <w:rFonts w:ascii="方正仿宋_GBK" w:eastAsia="方正仿宋_GBK" w:hAnsi="Times New Roman"/>
          <w:color w:val="000000" w:themeColor="text1"/>
          <w:sz w:val="32"/>
          <w:szCs w:val="32"/>
        </w:rPr>
      </w:pPr>
      <w:r>
        <w:rPr>
          <w:rFonts w:ascii="方正仿宋_GBK" w:eastAsia="方正仿宋_GBK" w:hAnsi="Times New Roman" w:hint="eastAsia"/>
          <w:color w:val="000000" w:themeColor="text1"/>
          <w:sz w:val="32"/>
          <w:szCs w:val="32"/>
        </w:rPr>
        <w:t>霉菌是自然界中常见的真菌，在自然界中广泛存在。霉菌污染可使产品腐败变质，破坏产品的色、香、味，降低其食用价值。霉菌超标的主要原因，可能是加工用原料受污染，或者是产品存储、运输条件控制不当导致流通环节抽取的样品被污染。</w:t>
      </w:r>
    </w:p>
    <w:p w:rsidR="007C0F0A" w:rsidRDefault="00693136">
      <w:pPr>
        <w:spacing w:line="6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二、菌落总数</w:t>
      </w:r>
    </w:p>
    <w:p w:rsidR="007C0F0A" w:rsidRDefault="00693136">
      <w:pPr>
        <w:spacing w:line="594" w:lineRule="exact"/>
        <w:ind w:firstLineChars="200" w:firstLine="640"/>
        <w:rPr>
          <w:rFonts w:ascii="方正仿宋_GBK" w:eastAsia="方正仿宋_GBK" w:hAnsi="Times New Roman"/>
          <w:color w:val="000000" w:themeColor="text1"/>
          <w:sz w:val="32"/>
          <w:szCs w:val="32"/>
        </w:rPr>
      </w:pPr>
      <w:r>
        <w:rPr>
          <w:rFonts w:ascii="方正仿宋_GBK" w:eastAsia="方正仿宋_GBK" w:hAnsi="Times New Roman" w:hint="eastAsia"/>
          <w:color w:val="000000" w:themeColor="text1"/>
          <w:sz w:val="32"/>
          <w:szCs w:val="32"/>
        </w:rPr>
        <w:t>菌落总数是指示性微生物指标，主要用来评价食品清洁度，反映食品在生产过程中是否符合卫生要求。菌落总数超标的原因，可能是个别企业所使用的原辅料</w:t>
      </w:r>
      <w:proofErr w:type="gramStart"/>
      <w:r>
        <w:rPr>
          <w:rFonts w:ascii="方正仿宋_GBK" w:eastAsia="方正仿宋_GBK" w:hAnsi="Times New Roman" w:hint="eastAsia"/>
          <w:color w:val="000000" w:themeColor="text1"/>
          <w:sz w:val="32"/>
          <w:szCs w:val="32"/>
        </w:rPr>
        <w:t>初始菌数较高</w:t>
      </w:r>
      <w:proofErr w:type="gramEnd"/>
      <w:r>
        <w:rPr>
          <w:rFonts w:ascii="方正仿宋_GBK" w:eastAsia="方正仿宋_GBK" w:hAnsi="Times New Roman" w:hint="eastAsia"/>
          <w:color w:val="000000" w:themeColor="text1"/>
          <w:sz w:val="32"/>
          <w:szCs w:val="32"/>
        </w:rPr>
        <w:t>，又未按要求严格控制生产加工过程的卫生条件，或者包装容器清洗消毒不到位，还有可能与产品包装密封不严、储运条件控制不当等有关。</w:t>
      </w:r>
    </w:p>
    <w:p w:rsidR="007C0F0A" w:rsidRDefault="00693136">
      <w:pPr>
        <w:spacing w:line="6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三、过氧化值</w:t>
      </w:r>
      <w:r>
        <w:rPr>
          <w:rFonts w:ascii="Times New Roman" w:eastAsia="黑体" w:hAnsi="Times New Roman" w:cs="Times New Roman" w:hint="eastAsia"/>
          <w:color w:val="000000" w:themeColor="text1"/>
          <w:sz w:val="32"/>
          <w:szCs w:val="32"/>
        </w:rPr>
        <w:t>(</w:t>
      </w:r>
      <w:r>
        <w:rPr>
          <w:rFonts w:ascii="Times New Roman" w:eastAsia="黑体" w:hAnsi="Times New Roman" w:cs="Times New Roman" w:hint="eastAsia"/>
          <w:color w:val="000000" w:themeColor="text1"/>
          <w:sz w:val="32"/>
          <w:szCs w:val="32"/>
        </w:rPr>
        <w:t>以脂肪计</w:t>
      </w:r>
      <w:r>
        <w:rPr>
          <w:rFonts w:ascii="Times New Roman" w:eastAsia="黑体" w:hAnsi="Times New Roman" w:cs="Times New Roman" w:hint="eastAsia"/>
          <w:color w:val="000000" w:themeColor="text1"/>
          <w:sz w:val="32"/>
          <w:szCs w:val="32"/>
        </w:rPr>
        <w:t>)</w:t>
      </w:r>
    </w:p>
    <w:p w:rsidR="007C0F0A" w:rsidRDefault="00693136">
      <w:pPr>
        <w:spacing w:line="594" w:lineRule="exact"/>
        <w:ind w:firstLineChars="200" w:firstLine="640"/>
        <w:rPr>
          <w:rFonts w:ascii="方正仿宋_GBK" w:eastAsia="方正仿宋_GBK" w:hAnsi="Times New Roman" w:hint="eastAsia"/>
          <w:color w:val="000000" w:themeColor="text1"/>
          <w:sz w:val="32"/>
          <w:szCs w:val="32"/>
        </w:rPr>
      </w:pPr>
      <w:r>
        <w:rPr>
          <w:rFonts w:ascii="方正仿宋_GBK" w:eastAsia="方正仿宋_GBK" w:hAnsi="Times New Roman" w:hint="eastAsia"/>
          <w:color w:val="000000" w:themeColor="text1"/>
          <w:sz w:val="32"/>
          <w:szCs w:val="32"/>
        </w:rPr>
        <w:t>过氧化值（以脂肪计）主要反映食品中油脂是否氧化变质。随着油脂氧化，过氧化值会逐步升高，虽一般不会对人体的健康产生损害，但严重时会导致肠胃不适、腹泻等症状。过氧化值超标的原因，可能是原料油脂储存不当导致脂肪氧化、</w:t>
      </w:r>
      <w:r>
        <w:rPr>
          <w:rFonts w:ascii="方正仿宋_GBK" w:eastAsia="方正仿宋_GBK" w:hAnsi="Times New Roman" w:hint="eastAsia"/>
          <w:color w:val="000000" w:themeColor="text1"/>
          <w:sz w:val="32"/>
          <w:szCs w:val="32"/>
        </w:rPr>
        <w:t>生产用油变质，或者样品漏气、储存过程中环境条件控制不当导致产品酸败变质。</w:t>
      </w:r>
    </w:p>
    <w:p w:rsidR="00693136" w:rsidRDefault="00693136" w:rsidP="00693136">
      <w:pPr>
        <w:spacing w:line="6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kern w:val="0"/>
          <w:sz w:val="32"/>
          <w:szCs w:val="32"/>
        </w:rPr>
        <w:lastRenderedPageBreak/>
        <w:t>四、</w:t>
      </w:r>
      <w:r>
        <w:rPr>
          <w:rFonts w:ascii="Times New Roman" w:eastAsia="黑体" w:hAnsi="Times New Roman" w:cs="Times New Roman"/>
          <w:color w:val="000000" w:themeColor="text1"/>
          <w:kern w:val="0"/>
          <w:sz w:val="32"/>
          <w:szCs w:val="32"/>
        </w:rPr>
        <w:t>酒精度</w:t>
      </w:r>
    </w:p>
    <w:p w:rsidR="00693136" w:rsidRPr="00693136" w:rsidRDefault="00693136" w:rsidP="00693136">
      <w:pPr>
        <w:spacing w:line="594" w:lineRule="exact"/>
        <w:ind w:firstLineChars="200" w:firstLine="640"/>
        <w:rPr>
          <w:rFonts w:ascii="方正仿宋_GBK" w:eastAsia="方正仿宋_GBK" w:hAnsi="Times New Roman"/>
          <w:color w:val="000000" w:themeColor="text1"/>
          <w:sz w:val="32"/>
          <w:szCs w:val="32"/>
        </w:rPr>
      </w:pPr>
      <w:r>
        <w:rPr>
          <w:rFonts w:ascii="方正仿宋_GBK" w:eastAsia="方正仿宋_GBK" w:hAnsi="Times New Roman" w:hint="eastAsia"/>
          <w:color w:val="000000" w:themeColor="text1"/>
          <w:sz w:val="32"/>
          <w:szCs w:val="32"/>
        </w:rPr>
        <w:t>酒精度表示酒中含乙醇的体积百分比，也就是俗称的酒的度数。造成酒精度不合格的原因，可能有：生产企业检验能力不足，造成检验结果偏差；包装不严密造成酒精挥发；生产企业为降低成本，用低度酒冒充高度酒；这与企业生产工艺控制不严有关。</w:t>
      </w:r>
      <w:bookmarkStart w:id="0" w:name="_GoBack"/>
      <w:bookmarkEnd w:id="0"/>
    </w:p>
    <w:p w:rsidR="007C0F0A" w:rsidRDefault="00693136">
      <w:pPr>
        <w:spacing w:line="64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五、呋喃西林代谢物</w:t>
      </w:r>
    </w:p>
    <w:p w:rsidR="007C0F0A" w:rsidRDefault="00693136">
      <w:pPr>
        <w:spacing w:line="570" w:lineRule="exact"/>
        <w:ind w:firstLineChars="200" w:firstLine="640"/>
        <w:rPr>
          <w:rFonts w:ascii="方正仿宋_GBK" w:eastAsia="方正仿宋_GBK" w:hAnsi="Times New Roman"/>
          <w:color w:val="000000" w:themeColor="text1"/>
          <w:sz w:val="32"/>
          <w:szCs w:val="32"/>
        </w:rPr>
      </w:pPr>
      <w:r>
        <w:rPr>
          <w:rFonts w:ascii="方正仿宋_GBK" w:eastAsia="方正仿宋_GBK" w:hAnsi="Times New Roman" w:hint="eastAsia"/>
          <w:color w:val="000000" w:themeColor="text1"/>
          <w:sz w:val="32"/>
          <w:szCs w:val="32"/>
        </w:rPr>
        <w:t>呋喃西林属于硝基呋喃类广谱抗生素，曾广泛应用于畜禽及水产养殖业。农业农村部公告第</w:t>
      </w:r>
      <w:r>
        <w:rPr>
          <w:rFonts w:ascii="方正仿宋_GBK" w:eastAsia="方正仿宋_GBK" w:hAnsi="Times New Roman" w:hint="eastAsia"/>
          <w:color w:val="000000" w:themeColor="text1"/>
          <w:sz w:val="32"/>
          <w:szCs w:val="32"/>
        </w:rPr>
        <w:t>250</w:t>
      </w:r>
      <w:r>
        <w:rPr>
          <w:rFonts w:ascii="方正仿宋_GBK" w:eastAsia="方正仿宋_GBK" w:hAnsi="Times New Roman" w:hint="eastAsia"/>
          <w:color w:val="000000" w:themeColor="text1"/>
          <w:sz w:val="32"/>
          <w:szCs w:val="32"/>
        </w:rPr>
        <w:t>号《食品动物中禁止使用的药品及其他化合物清单》中规定，呋喃西林为禁用兽药（在动物性食品中不得检出）。罗氏虾中检出呋喃西林代谢物的原因，可能是养殖户在养殖过程中违规使用相关兽药。</w:t>
      </w:r>
    </w:p>
    <w:p w:rsidR="007C0F0A" w:rsidRDefault="00693136">
      <w:pPr>
        <w:pStyle w:val="a7"/>
        <w:spacing w:before="0" w:beforeAutospacing="0" w:after="0" w:afterAutospacing="0" w:line="600" w:lineRule="exact"/>
        <w:ind w:firstLineChars="200" w:firstLine="592"/>
        <w:rPr>
          <w:rFonts w:ascii="Times New Roman" w:eastAsia="黑体" w:hAnsi="Times New Roman" w:cs="Times New Roman"/>
          <w:color w:val="000000" w:themeColor="text1"/>
          <w:spacing w:val="-12"/>
          <w:sz w:val="32"/>
          <w:szCs w:val="32"/>
        </w:rPr>
      </w:pPr>
      <w:r>
        <w:rPr>
          <w:rFonts w:ascii="Times New Roman" w:eastAsia="黑体" w:hAnsi="Times New Roman" w:cs="Times New Roman" w:hint="eastAsia"/>
          <w:color w:val="000000" w:themeColor="text1"/>
          <w:spacing w:val="-12"/>
          <w:sz w:val="32"/>
          <w:szCs w:val="32"/>
        </w:rPr>
        <w:t>六</w:t>
      </w:r>
      <w:r>
        <w:rPr>
          <w:rFonts w:ascii="Times New Roman" w:eastAsia="黑体" w:hAnsi="Times New Roman" w:cs="Times New Roman"/>
          <w:color w:val="000000" w:themeColor="text1"/>
          <w:spacing w:val="-12"/>
          <w:sz w:val="32"/>
          <w:szCs w:val="32"/>
        </w:rPr>
        <w:t>、</w:t>
      </w:r>
      <w:proofErr w:type="gramStart"/>
      <w:r>
        <w:rPr>
          <w:rFonts w:ascii="Times New Roman" w:eastAsia="黑体" w:hAnsi="Times New Roman" w:cs="Times New Roman"/>
          <w:color w:val="000000" w:themeColor="text1"/>
          <w:spacing w:val="-12"/>
          <w:sz w:val="32"/>
          <w:szCs w:val="32"/>
        </w:rPr>
        <w:t>恩诺沙</w:t>
      </w:r>
      <w:proofErr w:type="gramEnd"/>
      <w:r>
        <w:rPr>
          <w:rFonts w:ascii="Times New Roman" w:eastAsia="黑体" w:hAnsi="Times New Roman" w:cs="Times New Roman"/>
          <w:color w:val="000000" w:themeColor="text1"/>
          <w:spacing w:val="-12"/>
          <w:sz w:val="32"/>
          <w:szCs w:val="32"/>
        </w:rPr>
        <w:t>星</w:t>
      </w:r>
    </w:p>
    <w:p w:rsidR="007C0F0A" w:rsidRDefault="00693136">
      <w:pPr>
        <w:spacing w:line="594" w:lineRule="exact"/>
        <w:ind w:firstLineChars="200" w:firstLine="640"/>
        <w:rPr>
          <w:rFonts w:ascii="Times New Roman" w:eastAsia="仿宋_GB2312" w:hAnsi="Times New Roman" w:cs="Times New Roman"/>
          <w:color w:val="000000" w:themeColor="text1"/>
          <w:sz w:val="32"/>
          <w:szCs w:val="32"/>
        </w:rPr>
      </w:pPr>
      <w:proofErr w:type="gramStart"/>
      <w:r>
        <w:rPr>
          <w:rFonts w:ascii="Times New Roman" w:eastAsia="仿宋_GB2312" w:hAnsi="Times New Roman" w:cs="Times New Roman"/>
          <w:color w:val="000000" w:themeColor="text1"/>
          <w:sz w:val="32"/>
          <w:szCs w:val="32"/>
        </w:rPr>
        <w:t>恩诺沙星属于氟喹</w:t>
      </w:r>
      <w:proofErr w:type="gramEnd"/>
      <w:r>
        <w:rPr>
          <w:rFonts w:ascii="Times New Roman" w:eastAsia="仿宋_GB2312" w:hAnsi="Times New Roman" w:cs="Times New Roman"/>
          <w:color w:val="000000" w:themeColor="text1"/>
          <w:sz w:val="32"/>
          <w:szCs w:val="32"/>
        </w:rPr>
        <w:t>诺酮类药物，是一类人工合成的广谱抗菌药，用于治疗动物的皮肤感染、呼吸道感染等，是动物专属用药。</w:t>
      </w:r>
      <w:r>
        <w:rPr>
          <w:rFonts w:ascii="Times New Roman" w:eastAsia="仿宋_GB2312" w:hAnsi="Times New Roman" w:cs="Times New Roman" w:hint="eastAsia"/>
          <w:color w:val="000000" w:themeColor="text1"/>
          <w:sz w:val="32"/>
          <w:szCs w:val="32"/>
        </w:rPr>
        <w:t>鱼</w:t>
      </w:r>
      <w:r>
        <w:rPr>
          <w:rFonts w:ascii="Times New Roman" w:eastAsia="仿宋_GB2312" w:hAnsi="Times New Roman" w:cs="Times New Roman"/>
          <w:color w:val="000000" w:themeColor="text1"/>
          <w:sz w:val="32"/>
          <w:szCs w:val="32"/>
        </w:rPr>
        <w:t>中</w:t>
      </w:r>
      <w:proofErr w:type="gramStart"/>
      <w:r>
        <w:rPr>
          <w:rFonts w:ascii="Times New Roman" w:eastAsia="仿宋_GB2312" w:hAnsi="Times New Roman" w:cs="Times New Roman"/>
          <w:color w:val="000000" w:themeColor="text1"/>
          <w:sz w:val="32"/>
          <w:szCs w:val="32"/>
        </w:rPr>
        <w:t>恩诺沙</w:t>
      </w:r>
      <w:proofErr w:type="gramEnd"/>
      <w:r>
        <w:rPr>
          <w:rFonts w:ascii="Times New Roman" w:eastAsia="仿宋_GB2312" w:hAnsi="Times New Roman" w:cs="Times New Roman"/>
          <w:color w:val="000000" w:themeColor="text1"/>
          <w:sz w:val="32"/>
          <w:szCs w:val="32"/>
        </w:rPr>
        <w:t>星超标</w:t>
      </w:r>
      <w:r>
        <w:rPr>
          <w:rFonts w:ascii="Times New Roman" w:eastAsia="仿宋_GB2312" w:hAnsi="Times New Roman" w:cs="Times New Roman" w:hint="eastAsia"/>
          <w:color w:val="000000" w:themeColor="text1"/>
          <w:sz w:val="32"/>
          <w:szCs w:val="32"/>
        </w:rPr>
        <w:t>的原因，</w:t>
      </w:r>
      <w:r>
        <w:rPr>
          <w:rFonts w:ascii="Times New Roman" w:eastAsia="仿宋_GB2312" w:hAnsi="Times New Roman" w:cs="Times New Roman"/>
          <w:color w:val="000000" w:themeColor="text1"/>
          <w:sz w:val="32"/>
          <w:szCs w:val="32"/>
        </w:rPr>
        <w:t>可能是养殖户在养殖过程中违规使用相关兽药。摄入</w:t>
      </w:r>
      <w:proofErr w:type="gramStart"/>
      <w:r>
        <w:rPr>
          <w:rFonts w:ascii="Times New Roman" w:eastAsia="仿宋_GB2312" w:hAnsi="Times New Roman" w:cs="Times New Roman"/>
          <w:color w:val="000000" w:themeColor="text1"/>
          <w:sz w:val="32"/>
          <w:szCs w:val="32"/>
        </w:rPr>
        <w:t>恩诺沙</w:t>
      </w:r>
      <w:proofErr w:type="gramEnd"/>
      <w:r>
        <w:rPr>
          <w:rFonts w:ascii="Times New Roman" w:eastAsia="仿宋_GB2312" w:hAnsi="Times New Roman" w:cs="Times New Roman"/>
          <w:color w:val="000000" w:themeColor="text1"/>
          <w:sz w:val="32"/>
          <w:szCs w:val="32"/>
        </w:rPr>
        <w:t>星超标的食品，可能引起头晕、头痛、睡眠不良、胃肠道不适等症状，甚至还可能引起肝损害。</w:t>
      </w:r>
    </w:p>
    <w:p w:rsidR="007C0F0A" w:rsidRDefault="00693136">
      <w:pPr>
        <w:spacing w:line="600" w:lineRule="exact"/>
        <w:ind w:firstLineChars="200" w:firstLine="640"/>
        <w:rPr>
          <w:rFonts w:eastAsia="黑体"/>
          <w:color w:val="000000" w:themeColor="text1"/>
          <w:sz w:val="32"/>
          <w:szCs w:val="32"/>
        </w:rPr>
      </w:pPr>
      <w:r>
        <w:rPr>
          <w:rFonts w:eastAsia="黑体" w:hint="eastAsia"/>
          <w:color w:val="000000" w:themeColor="text1"/>
          <w:sz w:val="32"/>
          <w:szCs w:val="32"/>
        </w:rPr>
        <w:t>七</w:t>
      </w:r>
      <w:r>
        <w:rPr>
          <w:rFonts w:eastAsia="黑体" w:hint="eastAsia"/>
          <w:color w:val="000000" w:themeColor="text1"/>
          <w:sz w:val="32"/>
          <w:szCs w:val="32"/>
        </w:rPr>
        <w:t>、</w:t>
      </w:r>
      <w:r>
        <w:rPr>
          <w:rFonts w:eastAsia="黑体" w:hint="eastAsia"/>
          <w:color w:val="000000" w:themeColor="text1"/>
          <w:sz w:val="32"/>
          <w:szCs w:val="32"/>
        </w:rPr>
        <w:t>孔雀石绿</w:t>
      </w:r>
    </w:p>
    <w:p w:rsidR="007C0F0A" w:rsidRDefault="00693136">
      <w:pPr>
        <w:spacing w:line="570" w:lineRule="exact"/>
        <w:ind w:firstLineChars="200" w:firstLine="640"/>
        <w:rPr>
          <w:rFonts w:ascii="Times New Roman" w:eastAsia="仿宋_GB2312" w:hAnsi="Times New Roman" w:cs="Times New Roman"/>
          <w:color w:val="000000" w:themeColor="text1"/>
          <w:sz w:val="32"/>
          <w:szCs w:val="32"/>
        </w:rPr>
      </w:pPr>
      <w:r>
        <w:rPr>
          <w:rFonts w:ascii="方正仿宋_GBK" w:eastAsia="方正仿宋_GBK" w:hAnsi="Times New Roman" w:hint="eastAsia"/>
          <w:color w:val="000000" w:themeColor="text1"/>
          <w:sz w:val="32"/>
          <w:szCs w:val="32"/>
        </w:rPr>
        <w:t>孔雀石绿属于有毒的三苯甲烷类化学物，既是染料，也是杀灭真菌、细菌、寄生虫的药物。</w:t>
      </w:r>
      <w:r>
        <w:rPr>
          <w:rFonts w:ascii="方正仿宋_GBK" w:eastAsia="方正仿宋_GBK" w:hAnsi="Times New Roman" w:hint="eastAsia"/>
          <w:color w:val="000000" w:themeColor="text1"/>
          <w:sz w:val="32"/>
          <w:szCs w:val="32"/>
        </w:rPr>
        <w:t>农业农村部公告第</w:t>
      </w:r>
      <w:r>
        <w:rPr>
          <w:rFonts w:ascii="方正仿宋_GBK" w:eastAsia="方正仿宋_GBK" w:hAnsi="Times New Roman" w:hint="eastAsia"/>
          <w:color w:val="000000" w:themeColor="text1"/>
          <w:sz w:val="32"/>
          <w:szCs w:val="32"/>
        </w:rPr>
        <w:t>250</w:t>
      </w:r>
      <w:r>
        <w:rPr>
          <w:rFonts w:ascii="方正仿宋_GBK" w:eastAsia="方正仿宋_GBK" w:hAnsi="Times New Roman" w:hint="eastAsia"/>
          <w:color w:val="000000" w:themeColor="text1"/>
          <w:sz w:val="32"/>
          <w:szCs w:val="32"/>
        </w:rPr>
        <w:lastRenderedPageBreak/>
        <w:t>号《食品动物中禁止使用的药品及其他化合物清单》中规定</w:t>
      </w:r>
      <w:r>
        <w:rPr>
          <w:rFonts w:ascii="方正仿宋_GBK" w:eastAsia="方正仿宋_GBK" w:hAnsi="Times New Roman" w:hint="eastAsia"/>
          <w:color w:val="000000" w:themeColor="text1"/>
          <w:sz w:val="32"/>
          <w:szCs w:val="32"/>
        </w:rPr>
        <w:t>，孔雀石绿为禁止使用的药物，在动物性食品中不得检出。淡水鱼中检出孔雀石绿的原因，可能是养殖户在养殖过程中违规使用相关兽药。食用检出孔雀石绿的食品，可能对人体造成潜在的致癌、致</w:t>
      </w:r>
      <w:proofErr w:type="gramStart"/>
      <w:r>
        <w:rPr>
          <w:rFonts w:ascii="方正仿宋_GBK" w:eastAsia="方正仿宋_GBK" w:hAnsi="Times New Roman" w:hint="eastAsia"/>
          <w:color w:val="000000" w:themeColor="text1"/>
          <w:sz w:val="32"/>
          <w:szCs w:val="32"/>
        </w:rPr>
        <w:t>畸</w:t>
      </w:r>
      <w:proofErr w:type="gramEnd"/>
      <w:r>
        <w:rPr>
          <w:rFonts w:ascii="方正仿宋_GBK" w:eastAsia="方正仿宋_GBK" w:hAnsi="Times New Roman" w:hint="eastAsia"/>
          <w:color w:val="000000" w:themeColor="text1"/>
          <w:sz w:val="32"/>
          <w:szCs w:val="32"/>
        </w:rPr>
        <w:t>、致突变等危害。</w:t>
      </w:r>
    </w:p>
    <w:p w:rsidR="007C0F0A" w:rsidRDefault="00693136">
      <w:pPr>
        <w:spacing w:line="57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八、</w:t>
      </w:r>
      <w:proofErr w:type="gramStart"/>
      <w:r>
        <w:rPr>
          <w:rFonts w:ascii="Times New Roman" w:eastAsia="黑体" w:hAnsi="Times New Roman" w:cs="Times New Roman" w:hint="eastAsia"/>
          <w:color w:val="000000" w:themeColor="text1"/>
          <w:sz w:val="32"/>
          <w:szCs w:val="32"/>
        </w:rPr>
        <w:t>腐霉利</w:t>
      </w:r>
      <w:proofErr w:type="gramEnd"/>
    </w:p>
    <w:p w:rsidR="007C0F0A" w:rsidRDefault="00693136">
      <w:pPr>
        <w:spacing w:line="570" w:lineRule="exact"/>
        <w:ind w:firstLineChars="200" w:firstLine="640"/>
        <w:rPr>
          <w:rFonts w:ascii="Times New Roman" w:eastAsia="仿宋_GB2312" w:hAnsi="Times New Roman" w:cs="Times New Roman"/>
          <w:color w:val="000000" w:themeColor="text1"/>
          <w:sz w:val="32"/>
          <w:szCs w:val="32"/>
        </w:rPr>
      </w:pPr>
      <w:proofErr w:type="gramStart"/>
      <w:r>
        <w:rPr>
          <w:rFonts w:ascii="方正仿宋_GBK" w:eastAsia="方正仿宋_GBK" w:hAnsi="Times New Roman" w:hint="eastAsia"/>
          <w:color w:val="000000" w:themeColor="text1"/>
          <w:sz w:val="32"/>
          <w:szCs w:val="32"/>
        </w:rPr>
        <w:t>腐霉利</w:t>
      </w:r>
      <w:proofErr w:type="gramEnd"/>
      <w:r>
        <w:rPr>
          <w:rFonts w:ascii="方正仿宋_GBK" w:eastAsia="方正仿宋_GBK" w:hAnsi="Times New Roman" w:hint="eastAsia"/>
          <w:color w:val="000000" w:themeColor="text1"/>
          <w:sz w:val="32"/>
          <w:szCs w:val="32"/>
        </w:rPr>
        <w:t>是一种低毒内吸性杀菌剂，具有保护和治疗双重作用。主要用于蔬菜及果树的灰霉病防治。《食品安全国家标准食品中农药最大残留限量》（</w:t>
      </w:r>
      <w:r>
        <w:rPr>
          <w:rFonts w:ascii="方正仿宋_GBK" w:eastAsia="方正仿宋_GBK" w:hAnsi="Times New Roman" w:hint="eastAsia"/>
          <w:color w:val="000000" w:themeColor="text1"/>
          <w:sz w:val="32"/>
          <w:szCs w:val="32"/>
        </w:rPr>
        <w:t>GB 2763</w:t>
      </w:r>
      <w:r>
        <w:rPr>
          <w:rFonts w:ascii="方正仿宋_GBK" w:eastAsia="方正仿宋_GBK" w:hAnsi="Times New Roman" w:hint="eastAsia"/>
          <w:color w:val="000000" w:themeColor="text1"/>
          <w:sz w:val="32"/>
          <w:szCs w:val="32"/>
        </w:rPr>
        <w:t>—</w:t>
      </w:r>
      <w:r>
        <w:rPr>
          <w:rFonts w:ascii="方正仿宋_GBK" w:eastAsia="方正仿宋_GBK" w:hAnsi="Times New Roman" w:hint="eastAsia"/>
          <w:color w:val="000000" w:themeColor="text1"/>
          <w:sz w:val="32"/>
          <w:szCs w:val="32"/>
        </w:rPr>
        <w:t>2019</w:t>
      </w:r>
      <w:r>
        <w:rPr>
          <w:rFonts w:ascii="方正仿宋_GBK" w:eastAsia="方正仿宋_GBK" w:hAnsi="Times New Roman" w:hint="eastAsia"/>
          <w:color w:val="000000" w:themeColor="text1"/>
          <w:sz w:val="32"/>
          <w:szCs w:val="32"/>
        </w:rPr>
        <w:t>）中规定，</w:t>
      </w:r>
      <w:proofErr w:type="gramStart"/>
      <w:r>
        <w:rPr>
          <w:rFonts w:ascii="方正仿宋_GBK" w:eastAsia="方正仿宋_GBK" w:hAnsi="Times New Roman" w:hint="eastAsia"/>
          <w:color w:val="000000" w:themeColor="text1"/>
          <w:sz w:val="32"/>
          <w:szCs w:val="32"/>
        </w:rPr>
        <w:t>腐霉利</w:t>
      </w:r>
      <w:proofErr w:type="gramEnd"/>
      <w:r>
        <w:rPr>
          <w:rFonts w:ascii="方正仿宋_GBK" w:eastAsia="方正仿宋_GBK" w:hAnsi="Times New Roman" w:hint="eastAsia"/>
          <w:color w:val="000000" w:themeColor="text1"/>
          <w:sz w:val="32"/>
          <w:szCs w:val="32"/>
        </w:rPr>
        <w:t>在韭菜中的最大残留限量为</w:t>
      </w:r>
      <w:r>
        <w:rPr>
          <w:rFonts w:ascii="方正仿宋_GBK" w:eastAsia="方正仿宋_GBK" w:hAnsi="Times New Roman" w:hint="eastAsia"/>
          <w:color w:val="000000" w:themeColor="text1"/>
          <w:sz w:val="32"/>
          <w:szCs w:val="32"/>
        </w:rPr>
        <w:t>0.2mg/kg</w:t>
      </w:r>
      <w:r>
        <w:rPr>
          <w:rFonts w:ascii="方正仿宋_GBK" w:eastAsia="方正仿宋_GBK" w:hAnsi="Times New Roman" w:hint="eastAsia"/>
          <w:color w:val="000000" w:themeColor="text1"/>
          <w:sz w:val="32"/>
          <w:szCs w:val="32"/>
        </w:rPr>
        <w:t>。</w:t>
      </w:r>
      <w:proofErr w:type="gramStart"/>
      <w:r>
        <w:rPr>
          <w:rFonts w:ascii="方正仿宋_GBK" w:eastAsia="方正仿宋_GBK" w:hAnsi="Times New Roman" w:hint="eastAsia"/>
          <w:color w:val="000000" w:themeColor="text1"/>
          <w:sz w:val="32"/>
          <w:szCs w:val="32"/>
        </w:rPr>
        <w:t>腐霉利</w:t>
      </w:r>
      <w:proofErr w:type="gramEnd"/>
      <w:r>
        <w:rPr>
          <w:rFonts w:ascii="方正仿宋_GBK" w:eastAsia="方正仿宋_GBK" w:hAnsi="Times New Roman" w:hint="eastAsia"/>
          <w:color w:val="000000" w:themeColor="text1"/>
          <w:sz w:val="32"/>
          <w:szCs w:val="32"/>
        </w:rPr>
        <w:t>对眼睛与皮肤有刺激作用，经口毒性低。少量的农药残留不会引起人体急性中毒，但长期食用农药残留超标的食品，对人体健康有一定影响。</w:t>
      </w:r>
    </w:p>
    <w:p w:rsidR="007C0F0A" w:rsidRDefault="00693136">
      <w:pPr>
        <w:ind w:firstLineChars="200" w:firstLine="640"/>
        <w:rPr>
          <w:rFonts w:ascii="Times New Roman" w:eastAsia="黑体" w:hAnsi="Times New Roman" w:cs="Times New Roman"/>
          <w:color w:val="000000" w:themeColor="text1"/>
          <w:spacing w:val="-12"/>
          <w:sz w:val="32"/>
          <w:szCs w:val="32"/>
        </w:rPr>
      </w:pPr>
      <w:r>
        <w:rPr>
          <w:rFonts w:ascii="Times New Roman" w:eastAsia="黑体" w:hAnsi="Times New Roman" w:cs="Times New Roman" w:hint="eastAsia"/>
          <w:color w:val="000000" w:themeColor="text1"/>
          <w:sz w:val="32"/>
          <w:szCs w:val="32"/>
        </w:rPr>
        <w:t>九</w:t>
      </w:r>
      <w:r>
        <w:rPr>
          <w:rFonts w:ascii="Times New Roman" w:eastAsia="黑体" w:hAnsi="Times New Roman" w:cs="Times New Roman"/>
          <w:color w:val="000000" w:themeColor="text1"/>
          <w:sz w:val="32"/>
          <w:szCs w:val="32"/>
        </w:rPr>
        <w:t>、大肠菌群</w:t>
      </w:r>
    </w:p>
    <w:p w:rsidR="007C0F0A" w:rsidRDefault="00693136">
      <w:pPr>
        <w:ind w:firstLineChars="200" w:firstLine="640"/>
        <w:rPr>
          <w:rFonts w:ascii="仿宋_GB2312" w:eastAsia="方正仿宋_GBK"/>
          <w:color w:val="000000" w:themeColor="text1"/>
          <w:sz w:val="32"/>
          <w:szCs w:val="32"/>
        </w:rPr>
      </w:pPr>
      <w:r>
        <w:rPr>
          <w:rFonts w:ascii="方正仿宋_GBK" w:eastAsia="方正仿宋_GBK" w:hAnsi="Times New Roman"/>
          <w:color w:val="000000" w:themeColor="text1"/>
          <w:sz w:val="32"/>
          <w:szCs w:val="32"/>
        </w:rPr>
        <w:t>大肠菌群是国内外通用的食品污染常用指示菌之一。食品中大肠菌群不合格，说明食品存在卫生质量缺陷，提示该食品中存在被肠道致病菌污染的可能，对人体健康具有潜在危害，尤其对老人、小孩的危害更大。造成大肠菌群超标的原因，可能是产品的加工原料、包装材料受污染，或在生产过程中产品受到人员、工具器具等生产设备、环境污染、有灭菌工艺的产品灭菌不彻底等</w:t>
      </w:r>
      <w:r>
        <w:rPr>
          <w:rFonts w:ascii="方正仿宋_GBK" w:eastAsia="方正仿宋_GBK" w:hAnsi="Times New Roman" w:hint="eastAsia"/>
          <w:color w:val="000000" w:themeColor="text1"/>
          <w:sz w:val="32"/>
          <w:szCs w:val="32"/>
        </w:rPr>
        <w:t>。</w:t>
      </w:r>
    </w:p>
    <w:p w:rsidR="007C0F0A" w:rsidRDefault="00693136">
      <w:pPr>
        <w:ind w:firstLineChars="200" w:firstLine="640"/>
        <w:rPr>
          <w:rFonts w:ascii="Times New Roman" w:eastAsia="黑体" w:hAnsi="Times New Roman" w:cs="Times New Roman"/>
          <w:color w:val="000000" w:themeColor="text1"/>
          <w:spacing w:val="-12"/>
          <w:sz w:val="32"/>
          <w:szCs w:val="32"/>
        </w:rPr>
      </w:pPr>
      <w:r>
        <w:rPr>
          <w:rFonts w:ascii="Times New Roman" w:eastAsia="黑体" w:hAnsi="Times New Roman" w:cs="Times New Roman" w:hint="eastAsia"/>
          <w:color w:val="000000" w:themeColor="text1"/>
          <w:sz w:val="32"/>
          <w:szCs w:val="32"/>
        </w:rPr>
        <w:t>十</w:t>
      </w:r>
      <w:r>
        <w:rPr>
          <w:rFonts w:ascii="Times New Roman" w:eastAsia="黑体" w:hAnsi="Times New Roman" w:cs="Times New Roman"/>
          <w:color w:val="000000" w:themeColor="text1"/>
          <w:sz w:val="32"/>
          <w:szCs w:val="32"/>
        </w:rPr>
        <w:t>、</w:t>
      </w:r>
      <w:r>
        <w:rPr>
          <w:rFonts w:ascii="Times New Roman" w:eastAsia="黑体" w:hAnsi="Times New Roman" w:cs="Times New Roman" w:hint="eastAsia"/>
          <w:color w:val="000000" w:themeColor="text1"/>
          <w:sz w:val="32"/>
          <w:szCs w:val="32"/>
        </w:rPr>
        <w:t>标签标识</w:t>
      </w:r>
    </w:p>
    <w:p w:rsidR="007C0F0A" w:rsidRDefault="00693136">
      <w:pPr>
        <w:spacing w:line="600" w:lineRule="exact"/>
        <w:ind w:firstLineChars="200" w:firstLine="640"/>
        <w:rPr>
          <w:rFonts w:ascii="方正仿宋_GBK" w:eastAsia="方正仿宋_GBK" w:hAnsi="Times New Roman"/>
          <w:color w:val="000000" w:themeColor="text1"/>
          <w:sz w:val="32"/>
          <w:szCs w:val="32"/>
        </w:rPr>
      </w:pPr>
      <w:r>
        <w:rPr>
          <w:rFonts w:ascii="方正仿宋_GBK" w:eastAsia="方正仿宋_GBK" w:hAnsi="Times New Roman" w:hint="eastAsia"/>
          <w:color w:val="000000" w:themeColor="text1"/>
          <w:sz w:val="32"/>
          <w:szCs w:val="32"/>
        </w:rPr>
        <w:t>《</w:t>
      </w:r>
      <w:r>
        <w:rPr>
          <w:rFonts w:ascii="方正仿宋_GBK" w:eastAsia="方正仿宋_GBK" w:hAnsi="Times New Roman"/>
          <w:color w:val="000000" w:themeColor="text1"/>
          <w:sz w:val="32"/>
          <w:szCs w:val="32"/>
        </w:rPr>
        <w:t>食品安全国家标准</w:t>
      </w:r>
      <w:r>
        <w:rPr>
          <w:rFonts w:ascii="方正仿宋_GBK" w:eastAsia="方正仿宋_GBK" w:hAnsi="Times New Roman"/>
          <w:color w:val="000000" w:themeColor="text1"/>
          <w:sz w:val="32"/>
          <w:szCs w:val="32"/>
        </w:rPr>
        <w:t xml:space="preserve"> </w:t>
      </w:r>
      <w:r>
        <w:rPr>
          <w:rFonts w:ascii="方正仿宋_GBK" w:eastAsia="方正仿宋_GBK" w:hAnsi="Times New Roman"/>
          <w:color w:val="000000" w:themeColor="text1"/>
          <w:sz w:val="32"/>
          <w:szCs w:val="32"/>
        </w:rPr>
        <w:t>食品添加剂标识通则</w:t>
      </w:r>
      <w:r>
        <w:rPr>
          <w:rFonts w:ascii="方正仿宋_GBK" w:eastAsia="方正仿宋_GBK" w:hAnsi="Times New Roman" w:hint="eastAsia"/>
          <w:color w:val="000000" w:themeColor="text1"/>
          <w:sz w:val="32"/>
          <w:szCs w:val="32"/>
        </w:rPr>
        <w:t>》（</w:t>
      </w:r>
      <w:r>
        <w:rPr>
          <w:rFonts w:ascii="方正仿宋_GBK" w:eastAsia="方正仿宋_GBK" w:hAnsi="Times New Roman"/>
          <w:color w:val="000000" w:themeColor="text1"/>
          <w:sz w:val="32"/>
          <w:szCs w:val="32"/>
        </w:rPr>
        <w:t xml:space="preserve">GB </w:t>
      </w:r>
      <w:r>
        <w:rPr>
          <w:rFonts w:ascii="方正仿宋_GBK" w:eastAsia="方正仿宋_GBK" w:hAnsi="Times New Roman"/>
          <w:color w:val="000000" w:themeColor="text1"/>
          <w:sz w:val="32"/>
          <w:szCs w:val="32"/>
        </w:rPr>
        <w:lastRenderedPageBreak/>
        <w:t xml:space="preserve">29924-2013 </w:t>
      </w:r>
      <w:r>
        <w:rPr>
          <w:rFonts w:ascii="方正仿宋_GBK" w:eastAsia="方正仿宋_GBK" w:hAnsi="Times New Roman" w:hint="eastAsia"/>
          <w:color w:val="000000" w:themeColor="text1"/>
          <w:sz w:val="32"/>
          <w:szCs w:val="32"/>
        </w:rPr>
        <w:t>）提供给生产经营者的食品添加剂标识内容及要</w:t>
      </w:r>
      <w:r>
        <w:rPr>
          <w:rFonts w:ascii="方正仿宋_GBK" w:eastAsia="方正仿宋_GBK" w:hAnsi="Times New Roman" w:hint="eastAsia"/>
          <w:color w:val="000000" w:themeColor="text1"/>
          <w:sz w:val="32"/>
          <w:szCs w:val="32"/>
        </w:rPr>
        <w:t>求：单一品种食品添加剂应按</w:t>
      </w:r>
      <w:r>
        <w:rPr>
          <w:rFonts w:ascii="方正仿宋_GBK" w:eastAsia="方正仿宋_GBK" w:hAnsi="Times New Roman" w:hint="eastAsia"/>
          <w:color w:val="000000" w:themeColor="text1"/>
          <w:sz w:val="32"/>
          <w:szCs w:val="32"/>
        </w:rPr>
        <w:t>GB 2760</w:t>
      </w:r>
      <w:r>
        <w:rPr>
          <w:rFonts w:ascii="方正仿宋_GBK" w:eastAsia="方正仿宋_GBK" w:hAnsi="Times New Roman" w:hint="eastAsia"/>
          <w:color w:val="000000" w:themeColor="text1"/>
          <w:sz w:val="32"/>
          <w:szCs w:val="32"/>
        </w:rPr>
        <w:t>、食品添</w:t>
      </w:r>
      <w:r>
        <w:rPr>
          <w:rFonts w:ascii="方正仿宋_GBK" w:eastAsia="方正仿宋_GBK" w:hAnsi="Times New Roman" w:hint="eastAsia"/>
          <w:color w:val="000000" w:themeColor="text1"/>
          <w:sz w:val="32"/>
          <w:szCs w:val="32"/>
        </w:rPr>
        <w:t>加剂的产品质量规格标准和国家主管部门批准使用的食品添加剂中规定的名称标示食品添加剂的中文名称。应在</w:t>
      </w:r>
      <w:r>
        <w:rPr>
          <w:rFonts w:ascii="方正仿宋_GBK" w:eastAsia="方正仿宋_GBK" w:hAnsi="Times New Roman" w:hint="eastAsia"/>
          <w:color w:val="000000" w:themeColor="text1"/>
          <w:sz w:val="32"/>
          <w:szCs w:val="32"/>
        </w:rPr>
        <w:t>GB 2760</w:t>
      </w:r>
      <w:r>
        <w:rPr>
          <w:rFonts w:ascii="方正仿宋_GBK" w:eastAsia="方正仿宋_GBK" w:hAnsi="Times New Roman" w:hint="eastAsia"/>
          <w:color w:val="000000" w:themeColor="text1"/>
          <w:sz w:val="32"/>
          <w:szCs w:val="32"/>
        </w:rPr>
        <w:t>及国家主管部门批准使用的食品添加剂的范围内选择标示食品添加剂使用范围和用量，并标示使用方法。</w:t>
      </w:r>
    </w:p>
    <w:p w:rsidR="007C0F0A" w:rsidRDefault="00693136">
      <w:pPr>
        <w:spacing w:line="64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十一、酸价</w:t>
      </w:r>
      <w:r>
        <w:rPr>
          <w:rFonts w:ascii="Times New Roman" w:eastAsia="黑体" w:hAnsi="Times New Roman" w:cs="Times New Roman" w:hint="eastAsia"/>
          <w:color w:val="000000" w:themeColor="text1"/>
          <w:sz w:val="32"/>
          <w:szCs w:val="32"/>
        </w:rPr>
        <w:t>(</w:t>
      </w:r>
      <w:r>
        <w:rPr>
          <w:rFonts w:ascii="Times New Roman" w:eastAsia="黑体" w:hAnsi="Times New Roman" w:cs="Times New Roman" w:hint="eastAsia"/>
          <w:color w:val="000000" w:themeColor="text1"/>
          <w:sz w:val="32"/>
          <w:szCs w:val="32"/>
        </w:rPr>
        <w:t>以脂肪计</w:t>
      </w:r>
      <w:r>
        <w:rPr>
          <w:rFonts w:ascii="Times New Roman" w:eastAsia="黑体" w:hAnsi="Times New Roman" w:cs="Times New Roman" w:hint="eastAsia"/>
          <w:color w:val="000000" w:themeColor="text1"/>
          <w:sz w:val="32"/>
          <w:szCs w:val="32"/>
        </w:rPr>
        <w:t>)</w:t>
      </w:r>
    </w:p>
    <w:p w:rsidR="007C0F0A" w:rsidRDefault="00693136">
      <w:pPr>
        <w:spacing w:line="594" w:lineRule="exact"/>
        <w:ind w:firstLineChars="200" w:firstLine="640"/>
        <w:rPr>
          <w:rFonts w:ascii="方正仿宋_GBK" w:eastAsia="方正仿宋_GBK" w:hAnsi="Times New Roman"/>
          <w:sz w:val="32"/>
          <w:szCs w:val="32"/>
        </w:rPr>
      </w:pPr>
      <w:r>
        <w:rPr>
          <w:rFonts w:ascii="方正仿宋_GBK" w:eastAsia="方正仿宋_GBK" w:hAnsi="Times New Roman" w:hint="eastAsia"/>
          <w:sz w:val="32"/>
          <w:szCs w:val="32"/>
        </w:rPr>
        <w:t>酸价主要反映食品中的油脂酸败程度。造成酸价不合格的主要原因可能是企业原料采购把关不严、生产工艺不达标、产品储藏条件不当，特别是存贮温度较高时易导致食品中的脂肪氧化酸败。油脂酸败产生的醛酮类化合物长期摄入会对健康有一定影响。</w:t>
      </w:r>
    </w:p>
    <w:p w:rsidR="007C0F0A" w:rsidRDefault="007C0F0A">
      <w:pPr>
        <w:spacing w:line="600" w:lineRule="exact"/>
        <w:ind w:firstLineChars="200" w:firstLine="640"/>
        <w:rPr>
          <w:rFonts w:ascii="方正仿宋_GBK" w:eastAsia="方正仿宋_GBK" w:hAnsi="Times New Roman"/>
          <w:color w:val="000000" w:themeColor="text1"/>
          <w:sz w:val="32"/>
          <w:szCs w:val="32"/>
        </w:rPr>
      </w:pPr>
    </w:p>
    <w:sectPr w:rsidR="007C0F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93136"/>
    <w:rsid w:val="006B6508"/>
    <w:rsid w:val="006D5330"/>
    <w:rsid w:val="00720093"/>
    <w:rsid w:val="007459EC"/>
    <w:rsid w:val="00770938"/>
    <w:rsid w:val="00797EB4"/>
    <w:rsid w:val="007A0255"/>
    <w:rsid w:val="007C0F0A"/>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2317036"/>
    <w:rsid w:val="02A446D8"/>
    <w:rsid w:val="03CD7816"/>
    <w:rsid w:val="03E03A02"/>
    <w:rsid w:val="050A47E5"/>
    <w:rsid w:val="05150AE6"/>
    <w:rsid w:val="05B075F0"/>
    <w:rsid w:val="0691681F"/>
    <w:rsid w:val="074B4166"/>
    <w:rsid w:val="07503655"/>
    <w:rsid w:val="09613572"/>
    <w:rsid w:val="098168D4"/>
    <w:rsid w:val="09E0572E"/>
    <w:rsid w:val="0A4011CE"/>
    <w:rsid w:val="0B443F79"/>
    <w:rsid w:val="0B505CFE"/>
    <w:rsid w:val="0BD14C97"/>
    <w:rsid w:val="0C686E73"/>
    <w:rsid w:val="0CCE6341"/>
    <w:rsid w:val="0D2B60D6"/>
    <w:rsid w:val="0D4279C5"/>
    <w:rsid w:val="0D4E4FC5"/>
    <w:rsid w:val="0D852F3F"/>
    <w:rsid w:val="0E284B04"/>
    <w:rsid w:val="0EC12409"/>
    <w:rsid w:val="0F8E03D8"/>
    <w:rsid w:val="0FC01C62"/>
    <w:rsid w:val="107C1AA5"/>
    <w:rsid w:val="11F95E33"/>
    <w:rsid w:val="12563039"/>
    <w:rsid w:val="12675480"/>
    <w:rsid w:val="12937D4E"/>
    <w:rsid w:val="12F708C4"/>
    <w:rsid w:val="135073F9"/>
    <w:rsid w:val="14FB2159"/>
    <w:rsid w:val="153E37EC"/>
    <w:rsid w:val="155E31D5"/>
    <w:rsid w:val="15891919"/>
    <w:rsid w:val="15AB53B7"/>
    <w:rsid w:val="15CB7495"/>
    <w:rsid w:val="15F15749"/>
    <w:rsid w:val="15F30177"/>
    <w:rsid w:val="16004C16"/>
    <w:rsid w:val="164271B3"/>
    <w:rsid w:val="166923CF"/>
    <w:rsid w:val="16C74C86"/>
    <w:rsid w:val="16E15A77"/>
    <w:rsid w:val="17687A4B"/>
    <w:rsid w:val="17BC2306"/>
    <w:rsid w:val="187D413F"/>
    <w:rsid w:val="18CE1A06"/>
    <w:rsid w:val="19D1085A"/>
    <w:rsid w:val="19DA6C0E"/>
    <w:rsid w:val="1A6251F7"/>
    <w:rsid w:val="1ACE2642"/>
    <w:rsid w:val="1BAC2C7B"/>
    <w:rsid w:val="1BAD4A7C"/>
    <w:rsid w:val="1C1845BD"/>
    <w:rsid w:val="1CB27E9B"/>
    <w:rsid w:val="1DAD3FFF"/>
    <w:rsid w:val="1DAD7B3B"/>
    <w:rsid w:val="1DFF41B9"/>
    <w:rsid w:val="1F512493"/>
    <w:rsid w:val="20732975"/>
    <w:rsid w:val="207F2166"/>
    <w:rsid w:val="209E7837"/>
    <w:rsid w:val="20DD5D1B"/>
    <w:rsid w:val="21296D82"/>
    <w:rsid w:val="215B4492"/>
    <w:rsid w:val="21EF72E6"/>
    <w:rsid w:val="227B2998"/>
    <w:rsid w:val="22BF0461"/>
    <w:rsid w:val="22DF1FFB"/>
    <w:rsid w:val="239D0E6B"/>
    <w:rsid w:val="23B42F6F"/>
    <w:rsid w:val="24B03174"/>
    <w:rsid w:val="24B573DE"/>
    <w:rsid w:val="24CF34BC"/>
    <w:rsid w:val="25481A61"/>
    <w:rsid w:val="25915938"/>
    <w:rsid w:val="25A92365"/>
    <w:rsid w:val="260360CD"/>
    <w:rsid w:val="261F7110"/>
    <w:rsid w:val="26A0668D"/>
    <w:rsid w:val="26AB6C21"/>
    <w:rsid w:val="27332D86"/>
    <w:rsid w:val="27727CA4"/>
    <w:rsid w:val="27F74C72"/>
    <w:rsid w:val="28523597"/>
    <w:rsid w:val="28600ED5"/>
    <w:rsid w:val="28B659A6"/>
    <w:rsid w:val="28E51ADB"/>
    <w:rsid w:val="290E4770"/>
    <w:rsid w:val="29877500"/>
    <w:rsid w:val="2A066B4A"/>
    <w:rsid w:val="2A0F4184"/>
    <w:rsid w:val="2AB22B74"/>
    <w:rsid w:val="2C3F5D84"/>
    <w:rsid w:val="2CE64BFD"/>
    <w:rsid w:val="2D1F4EB4"/>
    <w:rsid w:val="2D7D65C0"/>
    <w:rsid w:val="2E485BC9"/>
    <w:rsid w:val="2E880189"/>
    <w:rsid w:val="2EE02088"/>
    <w:rsid w:val="2EEE4150"/>
    <w:rsid w:val="2F9200D3"/>
    <w:rsid w:val="306174F4"/>
    <w:rsid w:val="30C52F74"/>
    <w:rsid w:val="31390AFB"/>
    <w:rsid w:val="31727237"/>
    <w:rsid w:val="31B04CB9"/>
    <w:rsid w:val="31E4442C"/>
    <w:rsid w:val="31F75EEE"/>
    <w:rsid w:val="320944EF"/>
    <w:rsid w:val="32671426"/>
    <w:rsid w:val="32B12BD0"/>
    <w:rsid w:val="3301198A"/>
    <w:rsid w:val="35962F57"/>
    <w:rsid w:val="36731FE9"/>
    <w:rsid w:val="36970865"/>
    <w:rsid w:val="36DC7414"/>
    <w:rsid w:val="37246F64"/>
    <w:rsid w:val="372F7CA3"/>
    <w:rsid w:val="37975EBC"/>
    <w:rsid w:val="37980617"/>
    <w:rsid w:val="37CC5AA4"/>
    <w:rsid w:val="37D8062F"/>
    <w:rsid w:val="37F96A05"/>
    <w:rsid w:val="383060A2"/>
    <w:rsid w:val="38353C2B"/>
    <w:rsid w:val="38642EE5"/>
    <w:rsid w:val="39666407"/>
    <w:rsid w:val="396B6022"/>
    <w:rsid w:val="397630B0"/>
    <w:rsid w:val="39AF2A0A"/>
    <w:rsid w:val="3A4867CA"/>
    <w:rsid w:val="3AA9213C"/>
    <w:rsid w:val="3B6949B8"/>
    <w:rsid w:val="3B9E56EE"/>
    <w:rsid w:val="3B9F10A9"/>
    <w:rsid w:val="3BDA441F"/>
    <w:rsid w:val="3C336B2B"/>
    <w:rsid w:val="3C87360C"/>
    <w:rsid w:val="3C9624DD"/>
    <w:rsid w:val="3CB50E22"/>
    <w:rsid w:val="3CCD1900"/>
    <w:rsid w:val="3D1B4412"/>
    <w:rsid w:val="3D625FAB"/>
    <w:rsid w:val="3D6963CE"/>
    <w:rsid w:val="3D8F3232"/>
    <w:rsid w:val="3E3A3BD1"/>
    <w:rsid w:val="3E793D02"/>
    <w:rsid w:val="3E974FD9"/>
    <w:rsid w:val="3EDA71BD"/>
    <w:rsid w:val="3F944EF2"/>
    <w:rsid w:val="40787187"/>
    <w:rsid w:val="40AC1C6B"/>
    <w:rsid w:val="40B86FDC"/>
    <w:rsid w:val="42400E64"/>
    <w:rsid w:val="4246631A"/>
    <w:rsid w:val="424F41F3"/>
    <w:rsid w:val="425665EF"/>
    <w:rsid w:val="426A0D65"/>
    <w:rsid w:val="440520A2"/>
    <w:rsid w:val="442336B4"/>
    <w:rsid w:val="445D67A1"/>
    <w:rsid w:val="446A1C46"/>
    <w:rsid w:val="44A24550"/>
    <w:rsid w:val="44F63D12"/>
    <w:rsid w:val="452A1919"/>
    <w:rsid w:val="45B97969"/>
    <w:rsid w:val="46E541D5"/>
    <w:rsid w:val="47492C28"/>
    <w:rsid w:val="47C5755B"/>
    <w:rsid w:val="48220383"/>
    <w:rsid w:val="48DA31FD"/>
    <w:rsid w:val="494214A7"/>
    <w:rsid w:val="4A287831"/>
    <w:rsid w:val="4B5049B4"/>
    <w:rsid w:val="4B8C27BB"/>
    <w:rsid w:val="4BC137FA"/>
    <w:rsid w:val="4C297156"/>
    <w:rsid w:val="4C967FAF"/>
    <w:rsid w:val="4CCB074B"/>
    <w:rsid w:val="4D8A2EE5"/>
    <w:rsid w:val="4D9B4661"/>
    <w:rsid w:val="4E016410"/>
    <w:rsid w:val="4E0B1BC2"/>
    <w:rsid w:val="4E8C7012"/>
    <w:rsid w:val="4EED2BC8"/>
    <w:rsid w:val="4F2E2311"/>
    <w:rsid w:val="4F932387"/>
    <w:rsid w:val="4FAB5F46"/>
    <w:rsid w:val="4FD51D87"/>
    <w:rsid w:val="50163F73"/>
    <w:rsid w:val="503C6412"/>
    <w:rsid w:val="50C17233"/>
    <w:rsid w:val="51896A13"/>
    <w:rsid w:val="52190CA4"/>
    <w:rsid w:val="5240187B"/>
    <w:rsid w:val="52941F38"/>
    <w:rsid w:val="53B14415"/>
    <w:rsid w:val="5473169E"/>
    <w:rsid w:val="55113F42"/>
    <w:rsid w:val="554D75AB"/>
    <w:rsid w:val="55595E08"/>
    <w:rsid w:val="55BE0029"/>
    <w:rsid w:val="566F178F"/>
    <w:rsid w:val="58C52A1E"/>
    <w:rsid w:val="591702CA"/>
    <w:rsid w:val="59203A01"/>
    <w:rsid w:val="5A007D61"/>
    <w:rsid w:val="5A4C2C0D"/>
    <w:rsid w:val="5AF17BBB"/>
    <w:rsid w:val="5B515B81"/>
    <w:rsid w:val="5B7936AC"/>
    <w:rsid w:val="5B8B3D37"/>
    <w:rsid w:val="5B9C406B"/>
    <w:rsid w:val="5BDC6E44"/>
    <w:rsid w:val="5C450E0E"/>
    <w:rsid w:val="5C6258A4"/>
    <w:rsid w:val="5C9F00AC"/>
    <w:rsid w:val="5E5477D1"/>
    <w:rsid w:val="5E82604C"/>
    <w:rsid w:val="5EB3567B"/>
    <w:rsid w:val="5FAC4190"/>
    <w:rsid w:val="5FB4017C"/>
    <w:rsid w:val="60A816BA"/>
    <w:rsid w:val="62106968"/>
    <w:rsid w:val="62733EE5"/>
    <w:rsid w:val="62A23EF9"/>
    <w:rsid w:val="62E64A8D"/>
    <w:rsid w:val="63E51096"/>
    <w:rsid w:val="645F7C77"/>
    <w:rsid w:val="64612BCC"/>
    <w:rsid w:val="647462D8"/>
    <w:rsid w:val="65A15091"/>
    <w:rsid w:val="66524DFC"/>
    <w:rsid w:val="66B96EA8"/>
    <w:rsid w:val="66C539A3"/>
    <w:rsid w:val="66F73F16"/>
    <w:rsid w:val="67C1146A"/>
    <w:rsid w:val="67DF1954"/>
    <w:rsid w:val="67E22ABE"/>
    <w:rsid w:val="67F60269"/>
    <w:rsid w:val="681A5C55"/>
    <w:rsid w:val="686B67ED"/>
    <w:rsid w:val="68AD7102"/>
    <w:rsid w:val="68B5161B"/>
    <w:rsid w:val="69B01F3D"/>
    <w:rsid w:val="6A962F9A"/>
    <w:rsid w:val="6AE76F91"/>
    <w:rsid w:val="6B0A631F"/>
    <w:rsid w:val="6B2F57E8"/>
    <w:rsid w:val="6B530E0B"/>
    <w:rsid w:val="6BA37050"/>
    <w:rsid w:val="6C0F37D0"/>
    <w:rsid w:val="6C2A5933"/>
    <w:rsid w:val="6C532497"/>
    <w:rsid w:val="6C6A3D48"/>
    <w:rsid w:val="6CAE458A"/>
    <w:rsid w:val="6DFA31D5"/>
    <w:rsid w:val="6E6E6EA6"/>
    <w:rsid w:val="6E7403AD"/>
    <w:rsid w:val="6F703737"/>
    <w:rsid w:val="70433045"/>
    <w:rsid w:val="71236AF0"/>
    <w:rsid w:val="71A911C1"/>
    <w:rsid w:val="722F26B4"/>
    <w:rsid w:val="72C34330"/>
    <w:rsid w:val="72C44654"/>
    <w:rsid w:val="730B7BD7"/>
    <w:rsid w:val="731C59A6"/>
    <w:rsid w:val="73FD71C6"/>
    <w:rsid w:val="740B7597"/>
    <w:rsid w:val="74524185"/>
    <w:rsid w:val="756B29A5"/>
    <w:rsid w:val="75875DA7"/>
    <w:rsid w:val="75A57FA1"/>
    <w:rsid w:val="75AB55CC"/>
    <w:rsid w:val="76077A0F"/>
    <w:rsid w:val="761E6838"/>
    <w:rsid w:val="76C43BAF"/>
    <w:rsid w:val="77450FC0"/>
    <w:rsid w:val="77E45E27"/>
    <w:rsid w:val="78516857"/>
    <w:rsid w:val="787917F5"/>
    <w:rsid w:val="78F3068C"/>
    <w:rsid w:val="78FC1BBE"/>
    <w:rsid w:val="79425C88"/>
    <w:rsid w:val="79A7627D"/>
    <w:rsid w:val="79E41CD7"/>
    <w:rsid w:val="79FB5304"/>
    <w:rsid w:val="7A27777B"/>
    <w:rsid w:val="7B5D2F26"/>
    <w:rsid w:val="7B7721FC"/>
    <w:rsid w:val="7C833972"/>
    <w:rsid w:val="7CB160E7"/>
    <w:rsid w:val="7E4A517A"/>
    <w:rsid w:val="7EA302B2"/>
    <w:rsid w:val="7F4D5AB1"/>
    <w:rsid w:val="7FAD48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First Indent" w:semiHidden="0" w:uiPriority="0"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Web)" w:qFormat="1"/>
    <w:lsdException w:name="HTML Preformatted" w:qFormat="1"/>
    <w:lsdException w:name="Normal Table" w:qFormat="1"/>
    <w:lsdException w:name="Balloon Text" w:qFormat="1"/>
    <w:lsdException w:name="Table Grid" w:uiPriority="5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pPr>
      <w:spacing w:after="12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Body Text First Indent"/>
    <w:basedOn w:val="a3"/>
    <w:link w:val="Char3"/>
    <w:qFormat/>
    <w:pPr>
      <w:ind w:firstLineChars="100" w:firstLine="420"/>
    </w:pPr>
    <w:rPr>
      <w:rFonts w:ascii="Times New Roman" w:eastAsia="宋体" w:hAnsi="Times New Roman" w:cs="Times New Roman"/>
      <w:szCs w:val="24"/>
    </w:rPr>
  </w:style>
  <w:style w:type="character" w:styleId="a9">
    <w:name w:val="Strong"/>
    <w:basedOn w:val="a0"/>
    <w:uiPriority w:val="22"/>
    <w:qFormat/>
    <w:rPr>
      <w:b/>
      <w:bCs/>
    </w:rPr>
  </w:style>
  <w:style w:type="character" w:styleId="aa">
    <w:name w:val="FollowedHyperlink"/>
    <w:basedOn w:val="a0"/>
    <w:uiPriority w:val="99"/>
    <w:unhideWhenUsed/>
    <w:qFormat/>
    <w:rPr>
      <w:color w:val="000099"/>
      <w:sz w:val="18"/>
      <w:szCs w:val="18"/>
      <w:u w:val="single"/>
    </w:rPr>
  </w:style>
  <w:style w:type="character" w:styleId="ab">
    <w:name w:val="Emphasis"/>
    <w:uiPriority w:val="20"/>
    <w:qFormat/>
    <w:rPr>
      <w:i/>
      <w:iCs/>
    </w:rPr>
  </w:style>
  <w:style w:type="character" w:styleId="ac">
    <w:name w:val="Hyperlink"/>
    <w:basedOn w:val="a0"/>
    <w:uiPriority w:val="99"/>
    <w:unhideWhenUsed/>
    <w:qFormat/>
    <w:rPr>
      <w:color w:val="000099"/>
      <w:sz w:val="18"/>
      <w:szCs w:val="18"/>
      <w:u w:val="single"/>
    </w:rPr>
  </w:style>
  <w:style w:type="character" w:customStyle="1" w:styleId="Char2">
    <w:name w:val="页眉 Char"/>
    <w:basedOn w:val="a0"/>
    <w:link w:val="a6"/>
    <w:uiPriority w:val="99"/>
    <w:semiHidden/>
    <w:qFormat/>
    <w:rPr>
      <w:sz w:val="18"/>
      <w:szCs w:val="18"/>
    </w:rPr>
  </w:style>
  <w:style w:type="character" w:customStyle="1" w:styleId="Char1">
    <w:name w:val="页脚 Char"/>
    <w:basedOn w:val="a0"/>
    <w:link w:val="a5"/>
    <w:uiPriority w:val="99"/>
    <w:semiHidden/>
    <w:qFormat/>
    <w:rPr>
      <w:sz w:val="18"/>
      <w:szCs w:val="18"/>
    </w:rPr>
  </w:style>
  <w:style w:type="character" w:customStyle="1" w:styleId="apple-converted-space">
    <w:name w:val="apple-converted-space"/>
    <w:basedOn w:val="a0"/>
    <w:qFormat/>
  </w:style>
  <w:style w:type="paragraph" w:customStyle="1" w:styleId="reader-word-layer">
    <w:name w:val="reader-word-layer"/>
    <w:basedOn w:val="a"/>
    <w:qFormat/>
    <w:pPr>
      <w:widowControl/>
      <w:spacing w:before="100" w:beforeAutospacing="1" w:after="100" w:afterAutospacing="1"/>
      <w:jc w:val="left"/>
    </w:pPr>
    <w:rPr>
      <w:rFonts w:ascii="宋体" w:eastAsia="宋体" w:hAnsi="宋体" w:cs="宋体"/>
      <w:kern w:val="0"/>
      <w:sz w:val="24"/>
      <w:szCs w:val="24"/>
    </w:rPr>
  </w:style>
  <w:style w:type="paragraph" w:styleId="ad">
    <w:name w:val="List Paragraph"/>
    <w:basedOn w:val="a"/>
    <w:uiPriority w:val="99"/>
    <w:unhideWhenUsed/>
    <w:qFormat/>
    <w:pPr>
      <w:ind w:firstLineChars="200" w:firstLine="420"/>
    </w:pPr>
  </w:style>
  <w:style w:type="character" w:customStyle="1" w:styleId="description">
    <w:name w:val="description"/>
    <w:basedOn w:val="a0"/>
    <w:qFormat/>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rPr>
  </w:style>
  <w:style w:type="character" w:customStyle="1" w:styleId="Char">
    <w:name w:val="正文文本 Char"/>
    <w:basedOn w:val="a0"/>
    <w:link w:val="a3"/>
    <w:uiPriority w:val="99"/>
    <w:semiHidden/>
    <w:qFormat/>
    <w:rPr>
      <w:rFonts w:asciiTheme="minorHAnsi" w:eastAsiaTheme="minorEastAsia" w:hAnsiTheme="minorHAnsi" w:cstheme="minorBidi"/>
      <w:kern w:val="2"/>
      <w:sz w:val="21"/>
      <w:szCs w:val="22"/>
    </w:rPr>
  </w:style>
  <w:style w:type="character" w:customStyle="1" w:styleId="Char3">
    <w:name w:val="正文首行缩进 Char"/>
    <w:basedOn w:val="Char"/>
    <w:link w:val="a8"/>
    <w:qFormat/>
    <w:rPr>
      <w:rFonts w:asciiTheme="minorHAnsi" w:eastAsiaTheme="minorEastAsia" w:hAnsiTheme="minorHAnsi" w:cstheme="minorBidi"/>
      <w:kern w:val="2"/>
      <w:sz w:val="21"/>
      <w:szCs w:val="24"/>
    </w:rPr>
  </w:style>
  <w:style w:type="character" w:customStyle="1" w:styleId="1">
    <w:name w:val="不明显强调1"/>
    <w:basedOn w:val="a0"/>
    <w:uiPriority w:val="19"/>
    <w:qFormat/>
    <w:rPr>
      <w:i/>
      <w:iCs/>
      <w:color w:val="7F7F7F" w:themeColor="text1" w:themeTint="80"/>
    </w:rPr>
  </w:style>
  <w:style w:type="paragraph" w:styleId="ae">
    <w:name w:val="No Spacing"/>
    <w:uiPriority w:val="1"/>
    <w:qFormat/>
    <w:pPr>
      <w:widowControl w:val="0"/>
      <w:jc w:val="both"/>
    </w:pPr>
    <w:rPr>
      <w:kern w:val="2"/>
      <w:sz w:val="21"/>
      <w:szCs w:val="24"/>
    </w:rPr>
  </w:style>
  <w:style w:type="paragraph" w:customStyle="1" w:styleId="Default">
    <w:name w:val="Default"/>
    <w:qFormat/>
    <w:pPr>
      <w:widowControl w:val="0"/>
      <w:autoSpaceDE w:val="0"/>
      <w:autoSpaceDN w:val="0"/>
      <w:adjustRightInd w:val="0"/>
    </w:pPr>
    <w:rPr>
      <w:rFonts w:ascii="仿宋_GB2312" w:hAnsi="仿宋_GB2312" w:cs="仿宋_GB2312"/>
      <w:color w:val="000000"/>
      <w:sz w:val="24"/>
      <w:szCs w:val="24"/>
    </w:rPr>
  </w:style>
  <w:style w:type="character" w:customStyle="1" w:styleId="2">
    <w:name w:val="不明显强调2"/>
    <w:basedOn w:val="a0"/>
    <w:uiPriority w:val="19"/>
    <w:qFormat/>
    <w:rPr>
      <w:i/>
      <w:iCs/>
      <w:color w:val="7F7F7F" w:themeColor="text1" w:themeTint="80"/>
    </w:rPr>
  </w:style>
  <w:style w:type="character" w:customStyle="1" w:styleId="3">
    <w:name w:val="不明显强调3"/>
    <w:basedOn w:val="a0"/>
    <w:uiPriority w:val="19"/>
    <w:qFormat/>
    <w:rPr>
      <w:i/>
      <w:iCs/>
      <w:color w:val="7F7F7F" w:themeColor="text1" w:themeTint="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19E7E5-8B13-46EB-BD65-E15018B0A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251</Words>
  <Characters>1433</Characters>
  <Application>Microsoft Office Word</Application>
  <DocSecurity>0</DocSecurity>
  <Lines>11</Lines>
  <Paragraphs>3</Paragraphs>
  <ScaleCrop>false</ScaleCrop>
  <Company>微软中国</Company>
  <LinksUpToDate>false</LinksUpToDate>
  <CharactersWithSpaces>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WangZK</cp:lastModifiedBy>
  <cp:revision>6</cp:revision>
  <cp:lastPrinted>2019-01-28T02:50:00Z</cp:lastPrinted>
  <dcterms:created xsi:type="dcterms:W3CDTF">2018-12-24T03:58:00Z</dcterms:created>
  <dcterms:modified xsi:type="dcterms:W3CDTF">2020-12-25T10:26:00Z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RubyTemplateID" linkTarget="0">
    <vt:lpwstr>6</vt:lpwstr>
  </property>
  <property fmtid="{D5CDD505-2E9C-101B-9397-08002B2CF9AE}" pid="4" name="KSOSaveFontToCloudKey">
    <vt:lpwstr>0_btnclosed</vt:lpwstr>
  </property>
</Properties>
</file>