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一、镉(以Cd计)</w:t>
      </w:r>
    </w:p>
    <w:p>
      <w:pPr>
        <w:spacing w:line="594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镉是食品中最常见的污染重金属元素之一，联合国环境规划署(DNFP)和国际职业卫生重金属委员会将镉列入重点研究的环境污染物，世界卫生组织(WHO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)则将其作为优先研究的食品污染物。镉对人体的危害主要是慢性蓄积性，长期大量摄入镉含量超标的食品可能导致肾和骨骼损伤等。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二、恩诺沙星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恩诺沙星超标的原因，可能是在养殖过程中为快速控制疫病，违规加大用药量或不遵守休药期规定，致使产品上市销售时的药物残留量超标。</w:t>
      </w:r>
    </w:p>
    <w:p>
      <w:pPr>
        <w:numPr>
          <w:ilvl w:val="0"/>
          <w:numId w:val="0"/>
        </w:numPr>
        <w:spacing w:line="590" w:lineRule="exact"/>
        <w:ind w:leftChars="200" w:firstLine="320" w:firstLineChars="100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</w:t>
      </w:r>
      <w:r>
        <w:rPr>
          <w:rFonts w:hint="eastAsia" w:ascii="Times New Roman" w:hAnsi="Times New Roman" w:eastAsia="黑体" w:cs="Times New Roman"/>
          <w:sz w:val="32"/>
          <w:szCs w:val="32"/>
        </w:rPr>
        <w:t>酒精度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spacing w:line="594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四、大肠菌群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大肠菌群是国内外通用的食品污染常用指示菌之一。如果食品中大肠菌群严重超标，将会破坏食品的营养成分，使食品失去食用价值；还会加速食品腐败变质，可能危害人体健康。食品中大肠菌群超标的原因，可能是产品的加工原料、包装材料受污染。也可能是产品在生产过程中受人员、工器具等的污染，还可能是灭菌工艺灭菌不彻底导致的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三、铅(以Pb计)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铅是一种慢性和积累性毒物，进入人体后，少部分会随着身体代谢排出体外，大部分会在体内沉积，危害人体健康。食品中铅超标的原因，可能是企业在生产时未对原料进行严格验收，由生产原料或辅料带入到产品中，亦可能是食品生产加工过程中的包装材料中的铅迁移带入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六、铝的残留量(干样品，以Al计)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含铝食品添加剂，比如硫酸铝钾（又名钾明矾）、硫酸铝铵（又名铵明矾）等，在食品中作为膨松剂、稳定剂使用，使用后会产生铝残留。含铝食品添加剂按标准使用不会对健康造成危害，但长期食用铝超标的食品会导致运动和学习记忆能力下降，影响儿童智力发育。铝的残留量（干样品，以Al计）超标的原因，可能是个别商家为增加产品口感，在生产加工过程中超限量使用含铝食品添加剂，或者其使用的复配添加剂中铝含量过高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七、腐霉利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腐霉利是一种广谱内吸性的高效杀菌剂，对低温高湿条件下发生的灰霉病、菌核病有显著效果，但菌株容易对其产生抗性。少量的残留不会引起人体急性中毒，但长期食用腐霉利超标的食品，可能对人体健康有一定影响</w:t>
      </w:r>
      <w:r>
        <w:rPr>
          <w:rFonts w:hint="eastAsia" w:ascii="Times New Roman" w:hAnsi="Times New Roman" w:eastAsia="仿宋_GB2312"/>
          <w:sz w:val="32"/>
          <w:szCs w:val="32"/>
        </w:rPr>
        <w:t>。韭菜中腐霉利残留量</w:t>
      </w:r>
      <w:r>
        <w:rPr>
          <w:rFonts w:ascii="Times New Roman" w:hAnsi="Times New Roman" w:eastAsia="仿宋_GB2312"/>
          <w:sz w:val="32"/>
          <w:szCs w:val="32"/>
        </w:rPr>
        <w:t>超标的原因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</w:t>
      </w:r>
      <w:r>
        <w:rPr>
          <w:rFonts w:hint="eastAsia" w:ascii="Times New Roman" w:hAnsi="Times New Roman" w:eastAsia="仿宋_GB2312"/>
          <w:sz w:val="32"/>
          <w:szCs w:val="32"/>
        </w:rPr>
        <w:t>为</w:t>
      </w:r>
      <w:r>
        <w:rPr>
          <w:rFonts w:ascii="Times New Roman" w:hAnsi="Times New Roman" w:eastAsia="仿宋_GB2312"/>
          <w:sz w:val="32"/>
          <w:szCs w:val="32"/>
        </w:rPr>
        <w:t>快速控制病情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加大用药量</w:t>
      </w:r>
      <w:r>
        <w:rPr>
          <w:rFonts w:hint="eastAsia" w:ascii="Times New Roman" w:hAnsi="Times New Roman" w:eastAsia="仿宋_GB2312"/>
          <w:sz w:val="32"/>
          <w:szCs w:val="32"/>
        </w:rPr>
        <w:t>或</w:t>
      </w:r>
      <w:r>
        <w:rPr>
          <w:rFonts w:ascii="Times New Roman" w:hAnsi="Times New Roman" w:eastAsia="仿宋_GB2312"/>
          <w:sz w:val="32"/>
          <w:szCs w:val="32"/>
        </w:rPr>
        <w:t>未遵守采摘间隔期</w:t>
      </w:r>
      <w:r>
        <w:rPr>
          <w:rFonts w:hint="eastAsia" w:ascii="Times New Roman" w:hAnsi="Times New Roman" w:eastAsia="仿宋_GB2312"/>
          <w:sz w:val="32"/>
          <w:szCs w:val="32"/>
        </w:rPr>
        <w:t>规定</w:t>
      </w:r>
      <w:r>
        <w:rPr>
          <w:rFonts w:ascii="Times New Roman" w:hAnsi="Times New Roman" w:eastAsia="仿宋_GB2312"/>
          <w:sz w:val="32"/>
          <w:szCs w:val="32"/>
        </w:rPr>
        <w:t>，致使上市销售</w:t>
      </w:r>
      <w:r>
        <w:rPr>
          <w:rFonts w:hint="eastAsia" w:ascii="Times New Roman" w:hAnsi="Times New Roman" w:eastAsia="仿宋_GB2312"/>
          <w:sz w:val="32"/>
          <w:szCs w:val="32"/>
        </w:rPr>
        <w:t>的产品中残留量超标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spacing w:line="594" w:lineRule="exact"/>
        <w:ind w:firstLine="592" w:firstLineChars="200"/>
        <w:rPr>
          <w:rFonts w:eastAsia="黑体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八</w:t>
      </w:r>
      <w:r>
        <w:rPr>
          <w:rFonts w:hint="eastAsia" w:eastAsia="黑体"/>
          <w:spacing w:val="-12"/>
          <w:sz w:val="32"/>
          <w:szCs w:val="32"/>
        </w:rPr>
        <w:t>、水胺硫磷</w:t>
      </w:r>
    </w:p>
    <w:p>
      <w:pPr>
        <w:spacing w:line="594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水胺硫磷属于胆碱酯酶抑制剂，具有触杀和胃毒作用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hint="eastAsia" w:eastAsia="仿宋_GB2312"/>
          <w:sz w:val="32"/>
          <w:szCs w:val="32"/>
        </w:rPr>
        <w:t>是一种广谱性有机磷类杀虫、杀螨剂</w:t>
      </w:r>
      <w:r>
        <w:rPr>
          <w:rFonts w:hint="eastAsia" w:eastAsia="仿宋_GB2312"/>
          <w:sz w:val="32"/>
          <w:szCs w:val="32"/>
          <w:lang w:eastAsia="zh-CN"/>
        </w:rPr>
        <w:t>，</w:t>
      </w:r>
      <w:r>
        <w:rPr>
          <w:rFonts w:hint="eastAsia" w:eastAsia="仿宋_GB2312"/>
          <w:sz w:val="32"/>
          <w:szCs w:val="32"/>
        </w:rPr>
        <w:t>兼有杀卵作用。食用少量含有水胺硫磷的食品一般不会导致急性中毒，但长期食用水胺硫磷超标的食品，对人体健康有一定影响。</w:t>
      </w:r>
      <w:r>
        <w:rPr>
          <w:rFonts w:hint="eastAsia" w:eastAsia="仿宋_GB2312"/>
          <w:sz w:val="32"/>
          <w:szCs w:val="32"/>
          <w:lang w:val="en-US" w:eastAsia="zh-CN"/>
        </w:rPr>
        <w:t>豇豆</w:t>
      </w:r>
      <w:r>
        <w:rPr>
          <w:rFonts w:hint="eastAsia" w:eastAsia="仿宋_GB2312"/>
          <w:sz w:val="32"/>
          <w:szCs w:val="32"/>
        </w:rPr>
        <w:t>中水胺硫磷超标的原因，可能是在种植环节违规使用该农药。</w:t>
      </w:r>
    </w:p>
    <w:p>
      <w:pPr>
        <w:spacing w:line="594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Times New Roman" w:hAnsi="Times New Roman" w:eastAsia="黑体"/>
          <w:spacing w:val="-12"/>
          <w:sz w:val="32"/>
          <w:szCs w:val="32"/>
          <w:lang w:val="en-US" w:eastAsia="zh-CN"/>
        </w:rPr>
        <w:t>九</w:t>
      </w:r>
      <w:r>
        <w:rPr>
          <w:rFonts w:hint="eastAsia" w:ascii="Times New Roman" w:hAnsi="Times New Roman" w:eastAsia="黑体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</w:rPr>
        <w:t>毒死蜱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毒死蜱又名氯吡硫磷，是一种硫代磷酸酯类有机磷杀虫、杀螨剂，具有良好的触杀、胃毒和熏蒸作用。少量的农药残留不会引起人体急性中毒，但长期食用毒死蜱超标的食品，对人体健康可能有一定影响。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韭菜</w:t>
      </w:r>
      <w:r>
        <w:rPr>
          <w:rFonts w:hint="eastAsia" w:ascii="Times New Roman" w:hAnsi="Times New Roman" w:eastAsia="仿宋_GB2312"/>
          <w:sz w:val="32"/>
          <w:szCs w:val="32"/>
        </w:rPr>
        <w:t>中毒死蜱超标的原因，可能是为快速控制病情加大用药量或未遵守采摘间隔期规定，致使上市销售时产品中的药物残留量未降解至标准限量以下。</w:t>
      </w:r>
    </w:p>
    <w:p>
      <w:pPr>
        <w:spacing w:line="594" w:lineRule="exact"/>
        <w:ind w:firstLine="592" w:firstLineChars="200"/>
        <w:rPr>
          <w:rFonts w:hint="eastAsia"/>
        </w:rPr>
      </w:pPr>
      <w:r>
        <w:rPr>
          <w:rFonts w:hint="eastAsia" w:ascii="Times New Roman" w:hAnsi="Times New Roman" w:eastAsia="黑体"/>
          <w:spacing w:val="-12"/>
          <w:sz w:val="32"/>
          <w:szCs w:val="32"/>
          <w:lang w:val="en-US" w:eastAsia="zh-CN"/>
        </w:rPr>
        <w:t>十</w:t>
      </w:r>
      <w:r>
        <w:rPr>
          <w:rFonts w:hint="eastAsia" w:ascii="Times New Roman" w:hAnsi="Times New Roman" w:eastAsia="黑体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</w:rPr>
        <w:t>氯氰菊酯和高效氯氰菊酯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仿宋_GB2312"/>
          <w:sz w:val="32"/>
          <w:szCs w:val="32"/>
        </w:rPr>
        <w:t>氯氰菊酯和高效氯氰菊酯是一种</w:t>
      </w:r>
      <w:r>
        <w:rPr>
          <w:rFonts w:hint="eastAsia" w:ascii="Times New Roman" w:hAnsi="Times New Roman" w:eastAsia="仿宋_GB2312"/>
          <w:sz w:val="32"/>
          <w:szCs w:val="32"/>
        </w:rPr>
        <w:t>非内吸性杀虫剂，具有触杀、胃毒作用</w:t>
      </w:r>
      <w:r>
        <w:rPr>
          <w:rFonts w:ascii="Times New Roman" w:hAnsi="Times New Roman" w:eastAsia="仿宋_GB2312"/>
          <w:sz w:val="32"/>
          <w:szCs w:val="32"/>
        </w:rPr>
        <w:t>。少量的残留不会引起人体急性中毒，但长期食用氯氰菊酯和高效氯氰菊酯超标的食品，对人体健康可能有一定影响。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韭菜</w:t>
      </w:r>
      <w:r>
        <w:rPr>
          <w:rFonts w:hint="eastAsia" w:ascii="Times New Roman" w:hAnsi="Times New Roman" w:eastAsia="仿宋_GB2312"/>
          <w:sz w:val="32"/>
          <w:szCs w:val="32"/>
        </w:rPr>
        <w:t>中</w:t>
      </w:r>
      <w:r>
        <w:rPr>
          <w:rFonts w:ascii="Times New Roman" w:hAnsi="Times New Roman" w:eastAsia="仿宋_GB2312"/>
          <w:sz w:val="32"/>
          <w:szCs w:val="32"/>
        </w:rPr>
        <w:t>氯氰菊酯和高效氯氰菊酯超标的原因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</w:t>
      </w:r>
      <w:r>
        <w:rPr>
          <w:rFonts w:hint="eastAsia" w:ascii="Times New Roman" w:hAnsi="Times New Roman" w:eastAsia="仿宋_GB2312"/>
          <w:sz w:val="32"/>
          <w:szCs w:val="32"/>
        </w:rPr>
        <w:t>为</w:t>
      </w:r>
      <w:r>
        <w:rPr>
          <w:rFonts w:ascii="Times New Roman" w:hAnsi="Times New Roman" w:eastAsia="仿宋_GB2312"/>
          <w:sz w:val="32"/>
          <w:szCs w:val="32"/>
        </w:rPr>
        <w:t>控制病情</w:t>
      </w:r>
      <w:r>
        <w:rPr>
          <w:rFonts w:hint="eastAsia" w:ascii="Times New Roman" w:hAnsi="Times New Roman" w:eastAsia="仿宋_GB2312"/>
          <w:sz w:val="32"/>
          <w:szCs w:val="32"/>
        </w:rPr>
        <w:t>不遵守休药期规定，</w:t>
      </w:r>
      <w:r>
        <w:rPr>
          <w:rFonts w:ascii="Times New Roman" w:hAnsi="Times New Roman" w:eastAsia="仿宋_GB2312"/>
          <w:sz w:val="32"/>
          <w:szCs w:val="32"/>
        </w:rPr>
        <w:t>致使上市销售时</w:t>
      </w:r>
      <w:r>
        <w:rPr>
          <w:rFonts w:hint="eastAsia" w:ascii="Times New Roman" w:hAnsi="Times New Roman" w:eastAsia="仿宋_GB2312"/>
          <w:sz w:val="32"/>
          <w:szCs w:val="32"/>
        </w:rPr>
        <w:t>产品中的药物残留量</w:t>
      </w:r>
      <w:r>
        <w:rPr>
          <w:rFonts w:ascii="Times New Roman" w:hAnsi="Times New Roman" w:eastAsia="仿宋_GB2312"/>
          <w:sz w:val="32"/>
          <w:szCs w:val="32"/>
        </w:rPr>
        <w:t>未降解至标准限量</w:t>
      </w:r>
      <w:r>
        <w:rPr>
          <w:rFonts w:hint="eastAsia" w:ascii="Times New Roman" w:hAnsi="Times New Roman" w:eastAsia="仿宋_GB2312"/>
          <w:sz w:val="32"/>
          <w:szCs w:val="32"/>
        </w:rPr>
        <w:t>以</w:t>
      </w:r>
      <w:r>
        <w:rPr>
          <w:rFonts w:ascii="Times New Roman" w:hAnsi="Times New Roman" w:eastAsia="仿宋_GB2312"/>
          <w:sz w:val="32"/>
          <w:szCs w:val="32"/>
        </w:rPr>
        <w:t>下。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C786709-BED7-40C0-AED8-BEE2CF771F1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3CA36232-14EA-4307-AFC8-AC54907A1E56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5BE44BFA-C0A7-4CB0-999F-DEE3DE5D993C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5B4414C2-0DAF-4F49-AE6D-5DB9CB19E21B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B9075127-D0F2-4D0B-AD1E-AE6ECDD20A0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535271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412B63"/>
    <w:rsid w:val="08D46702"/>
    <w:rsid w:val="090D03C8"/>
    <w:rsid w:val="09161662"/>
    <w:rsid w:val="0935389D"/>
    <w:rsid w:val="09613572"/>
    <w:rsid w:val="098168D4"/>
    <w:rsid w:val="09D07A4E"/>
    <w:rsid w:val="09E0572E"/>
    <w:rsid w:val="0A260814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F1473B1"/>
    <w:rsid w:val="1F50331B"/>
    <w:rsid w:val="1F512493"/>
    <w:rsid w:val="1FBA587F"/>
    <w:rsid w:val="1FC678BD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6B73F0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C2110A"/>
    <w:rsid w:val="31E4442C"/>
    <w:rsid w:val="31F75EEE"/>
    <w:rsid w:val="320944EF"/>
    <w:rsid w:val="32671426"/>
    <w:rsid w:val="32B12BD0"/>
    <w:rsid w:val="3301198A"/>
    <w:rsid w:val="331F76EF"/>
    <w:rsid w:val="33B62C00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AF2A0A"/>
    <w:rsid w:val="3A4867CA"/>
    <w:rsid w:val="3A896D8C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6D2745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A6D37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AF97865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2D13A9"/>
    <w:rsid w:val="62733EE5"/>
    <w:rsid w:val="62A23EF9"/>
    <w:rsid w:val="62E64A8D"/>
    <w:rsid w:val="63744B4A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77783"/>
    <w:rsid w:val="6DFA31D5"/>
    <w:rsid w:val="6E6E6EA6"/>
    <w:rsid w:val="6E7403AD"/>
    <w:rsid w:val="6ED92998"/>
    <w:rsid w:val="6F703737"/>
    <w:rsid w:val="6FB05E23"/>
    <w:rsid w:val="70162409"/>
    <w:rsid w:val="70433045"/>
    <w:rsid w:val="71236AF0"/>
    <w:rsid w:val="71A911C1"/>
    <w:rsid w:val="722F26B4"/>
    <w:rsid w:val="72734411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</TotalTime>
  <ScaleCrop>false</ScaleCrop>
  <LinksUpToDate>false</LinksUpToDate>
  <CharactersWithSpaces>2152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2021-12-13T07:44:22Z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