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left"/>
        <w:rPr>
          <w:rFonts w:ascii="方正仿宋_GBK" w:eastAsia="方正仿宋_GBK"/>
          <w:b/>
          <w:sz w:val="32"/>
          <w:szCs w:val="32"/>
        </w:rPr>
      </w:pPr>
      <w:r>
        <w:rPr>
          <w:rFonts w:hint="eastAsia" w:ascii="方正仿宋_GBK" w:eastAsia="方正仿宋_GBK"/>
          <w:b/>
          <w:sz w:val="32"/>
          <w:szCs w:val="32"/>
        </w:rPr>
        <w:t>附件1</w:t>
      </w:r>
    </w:p>
    <w:p>
      <w:pPr>
        <w:suppressAutoHyphens/>
        <w:adjustRightInd w:val="0"/>
        <w:snapToGrid w:val="0"/>
        <w:spacing w:line="590" w:lineRule="exact"/>
        <w:jc w:val="center"/>
        <w:rPr>
          <w:rFonts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部分不合格项目的小知识</w:t>
      </w:r>
    </w:p>
    <w:p>
      <w:pPr>
        <w:spacing w:line="57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一、大肠菌群</w:t>
      </w:r>
    </w:p>
    <w:p>
      <w:pPr>
        <w:spacing w:line="570" w:lineRule="exact"/>
        <w:ind w:firstLine="640" w:firstLineChars="200"/>
        <w:textAlignment w:val="baseline"/>
        <w:rPr>
          <w:rFonts w:ascii="方正仿宋_GBK" w:hAnsi="Times New Roman" w:eastAsia="方正仿宋_GBK"/>
          <w:sz w:val="32"/>
          <w:szCs w:val="32"/>
        </w:rPr>
      </w:pPr>
      <w:r>
        <w:rPr>
          <w:rFonts w:hint="eastAsia" w:ascii="方正仿宋_GBK" w:hAnsi="Times New Roman" w:eastAsia="方正仿宋_GBK"/>
          <w:sz w:val="32"/>
          <w:szCs w:val="32"/>
        </w:rPr>
        <w:t>大肠菌群是国内外通用的食品污染常用指示菌之一。餐饮具中检出大肠菌群</w:t>
      </w:r>
      <w:r>
        <w:rPr>
          <w:rFonts w:hint="eastAsia" w:ascii="方正仿宋_GBK" w:hAnsi="Times New Roman" w:eastAsia="方正仿宋_GBK"/>
          <w:sz w:val="32"/>
          <w:szCs w:val="32"/>
          <w:lang w:eastAsia="zh-CN"/>
        </w:rPr>
        <w:t>，</w:t>
      </w:r>
      <w:r>
        <w:rPr>
          <w:rFonts w:hint="eastAsia" w:ascii="方正仿宋_GBK" w:hAnsi="Times New Roman" w:eastAsia="方正仿宋_GBK"/>
          <w:sz w:val="32"/>
          <w:szCs w:val="32"/>
        </w:rPr>
        <w:t>提示被致病菌(如沙门氏菌、志贺氏菌、致病性大肠杆菌)污染的可能性较大。大肠菌群超标可能由于产品包装材料受污染，或在生产过程中产品受人员、工器具等生产设备、环境的污染、有灭菌工艺的产品灭菌不彻底而导致。</w:t>
      </w:r>
    </w:p>
    <w:p>
      <w:pPr>
        <w:spacing w:line="600" w:lineRule="exact"/>
        <w:ind w:firstLine="640" w:firstLineChars="200"/>
        <w:rPr>
          <w:rFonts w:hint="eastAsia" w:eastAsia="黑体"/>
          <w:sz w:val="32"/>
          <w:szCs w:val="32"/>
          <w:lang w:val="en-US" w:eastAsia="zh-CN"/>
        </w:rPr>
      </w:pPr>
      <w:r>
        <w:rPr>
          <w:rFonts w:hint="eastAsia" w:eastAsia="黑体"/>
          <w:sz w:val="32"/>
          <w:szCs w:val="32"/>
          <w:lang w:val="en-US" w:eastAsia="zh-CN"/>
        </w:rPr>
        <w:t>二</w:t>
      </w:r>
      <w:r>
        <w:rPr>
          <w:rFonts w:hint="eastAsia" w:eastAsia="黑体"/>
          <w:sz w:val="32"/>
          <w:szCs w:val="32"/>
        </w:rPr>
        <w:t>、</w:t>
      </w:r>
      <w:r>
        <w:rPr>
          <w:rFonts w:hint="eastAsia" w:eastAsia="黑体"/>
          <w:sz w:val="32"/>
          <w:szCs w:val="32"/>
          <w:lang w:val="en-US" w:eastAsia="zh-CN"/>
        </w:rPr>
        <w:t>腐霉利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</w:rPr>
      </w:pPr>
      <w:r>
        <w:rPr>
          <w:rFonts w:hint="eastAsia" w:ascii="方正仿宋_GBK" w:hAnsi="Times New Roman" w:eastAsia="方正仿宋_GBK"/>
          <w:sz w:val="32"/>
          <w:szCs w:val="32"/>
        </w:rPr>
        <w:t>霉利是一种低毒内吸性杀菌剂，具有保护和治疗双重作用，主要用于蔬菜及果树的灰霉病防治。《食品安全国家标准食品中农药最大残留限量》（GB 2763—2016）中规定，腐霉利在韭菜中的最大残留限量为0.2mg/kg。少量的农药残留不会引起人体急性中毒，但长期食用农药残留超标的食品，对人体健康有一定影响。</w:t>
      </w:r>
    </w:p>
    <w:p>
      <w:pPr>
        <w:spacing w:line="570" w:lineRule="exact"/>
        <w:ind w:firstLine="592" w:firstLineChars="200"/>
        <w:rPr>
          <w:rFonts w:hint="eastAsia" w:ascii="黑体" w:hAnsi="黑体" w:eastAsia="黑体"/>
          <w:spacing w:val="-12"/>
          <w:sz w:val="32"/>
          <w:szCs w:val="32"/>
          <w:lang w:val="en-US" w:eastAsia="zh-CN"/>
        </w:rPr>
      </w:pPr>
      <w:r>
        <w:rPr>
          <w:rFonts w:hint="eastAsia" w:eastAsia="黑体"/>
          <w:spacing w:val="-12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氧乐果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氧乐果属于有机磷类杀虫剂，具有较强的内吸、触杀和胃毒作用，主要用于防治吮吸式口器害虫和植物性螨。《食品安全国家标准 食品中农药最大残留限量》（GB 2763—2016）中规定，氧乐果在豆类蔬菜和茄果类蔬菜中的最大残留限量均为0.02mg/kg。少量的农药残留不会引起人体急性中毒，但长期食用农药残留超标的食品，对人体健康有一定影响。</w:t>
      </w:r>
    </w:p>
    <w:p>
      <w:pPr>
        <w:spacing w:line="570" w:lineRule="exact"/>
        <w:ind w:firstLine="592" w:firstLineChars="200"/>
        <w:rPr>
          <w:rFonts w:hint="eastAsia" w:eastAsia="黑体"/>
          <w:spacing w:val="-12"/>
          <w:sz w:val="32"/>
          <w:szCs w:val="32"/>
          <w:lang w:val="en-US" w:eastAsia="zh-CN"/>
        </w:rPr>
      </w:pPr>
      <w:r>
        <w:rPr>
          <w:rFonts w:hint="eastAsia" w:eastAsia="黑体"/>
          <w:spacing w:val="-12"/>
          <w:sz w:val="32"/>
          <w:szCs w:val="32"/>
          <w:lang w:val="en-US" w:eastAsia="zh-CN"/>
        </w:rPr>
        <w:t>四、毒死蜱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毒死蜱是一种具有触杀、胃毒和熏蒸作用的有机磷杀虫剂。《食品安全国家标准食品中农药最大残留限量》（GB 2763—2016）中规定，毒死蜱在芹菜中的最大残留限量为0.05mg/kg。毒死蜱对鱼类及水生生物毒性较高，在土壤中残留期较长。长期暴露在含有毒死蜱的环境中，可能会导致神经毒性、生殖毒性，影响胚胎的生长发育。少量的农药残留不会引起人体急性中毒，但长期食用农药残留超标的食品，对人体健康有一定影响。</w:t>
      </w:r>
    </w:p>
    <w:p>
      <w:pPr>
        <w:spacing w:line="570" w:lineRule="exact"/>
        <w:ind w:firstLine="592" w:firstLineChars="200"/>
        <w:rPr>
          <w:rFonts w:hint="eastAsia" w:eastAsia="黑体"/>
          <w:spacing w:val="-12"/>
          <w:sz w:val="32"/>
          <w:szCs w:val="32"/>
          <w:lang w:val="en-US" w:eastAsia="zh-CN"/>
        </w:rPr>
      </w:pPr>
      <w:r>
        <w:rPr>
          <w:rFonts w:hint="eastAsia" w:eastAsia="黑体"/>
          <w:spacing w:val="-12"/>
          <w:sz w:val="32"/>
          <w:szCs w:val="32"/>
          <w:lang w:val="en-US" w:eastAsia="zh-CN"/>
        </w:rPr>
        <w:t>五、氟苯尼考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氟苯尼考又称氟甲砜霉素，是农业部批准使用的动物专用抗菌药，主要用于敏感细菌所致的猪、鸡、鱼的细菌性疾病。《动物性食品中兽药最高残留限量》（农业部公告第235号）中规定，氟苯尼考在产蛋鸡中禁用（鸡蛋中不得检出）。正常情况下消费者不必对鸡蛋中检出氟苯尼考过分担心，但长期食用氟苯尼考残留超标的食品，对人体健康有一定影响。</w:t>
      </w:r>
    </w:p>
    <w:p>
      <w:pPr>
        <w:spacing w:line="570" w:lineRule="exact"/>
        <w:ind w:firstLine="592" w:firstLineChars="200"/>
        <w:rPr>
          <w:rFonts w:ascii="黑体" w:hAnsi="黑体" w:eastAsia="黑体"/>
          <w:spacing w:val="-12"/>
          <w:sz w:val="32"/>
          <w:szCs w:val="32"/>
        </w:rPr>
      </w:pPr>
      <w:r>
        <w:rPr>
          <w:rFonts w:hint="eastAsia" w:ascii="黑体" w:hAnsi="黑体" w:eastAsia="黑体"/>
          <w:color w:val="000000" w:themeColor="text1"/>
          <w:spacing w:val="-12"/>
          <w:sz w:val="32"/>
          <w:szCs w:val="32"/>
          <w:lang w:val="en-US" w:eastAsia="zh-CN"/>
        </w:rPr>
        <w:t>六</w:t>
      </w:r>
      <w:r>
        <w:rPr>
          <w:rFonts w:hint="eastAsia" w:ascii="黑体" w:hAnsi="黑体" w:eastAsia="黑体"/>
          <w:color w:val="000000" w:themeColor="text1"/>
          <w:spacing w:val="-12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</w:rPr>
        <w:t>钠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</w:rPr>
      </w:pPr>
      <w:r>
        <w:rPr>
          <w:rFonts w:hint="eastAsia" w:ascii="方正仿宋_GBK" w:hAnsi="Times New Roman" w:eastAsia="方正仿宋_GBK"/>
          <w:sz w:val="32"/>
          <w:szCs w:val="32"/>
        </w:rPr>
        <w:t>钠是人体必需的营养元素。钠元素不合格原因可能是原辅料质量控制不严，包括食品营养强化剂不满足质量</w:t>
      </w: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规定</w:t>
      </w:r>
      <w:r>
        <w:rPr>
          <w:rFonts w:hint="eastAsia" w:ascii="方正仿宋_GBK" w:hAnsi="Times New Roman" w:eastAsia="方正仿宋_GBK"/>
          <w:sz w:val="32"/>
          <w:szCs w:val="32"/>
        </w:rPr>
        <w:t>要求、食品原料本底含量不清等；生产加工环节控制不严，包括生产加工过程中搅拌不均匀、企业未按标签明示值或企业标准的要求进行添加。</w:t>
      </w:r>
    </w:p>
    <w:p>
      <w:pPr>
        <w:spacing w:line="600" w:lineRule="exact"/>
        <w:ind w:firstLine="640" w:firstLineChars="200"/>
        <w:rPr>
          <w:rFonts w:hint="eastAsia" w:eastAsia="黑体"/>
          <w:sz w:val="32"/>
          <w:szCs w:val="32"/>
          <w:lang w:val="en-US" w:eastAsia="zh-CN"/>
        </w:rPr>
      </w:pPr>
      <w:r>
        <w:rPr>
          <w:rFonts w:hint="eastAsia" w:eastAsia="黑体"/>
          <w:sz w:val="32"/>
          <w:szCs w:val="32"/>
          <w:lang w:val="en-US" w:eastAsia="zh-CN"/>
        </w:rPr>
        <w:t>七</w:t>
      </w:r>
      <w:r>
        <w:rPr>
          <w:rFonts w:hint="eastAsia" w:eastAsia="黑体"/>
          <w:sz w:val="32"/>
          <w:szCs w:val="32"/>
        </w:rPr>
        <w:t>、</w:t>
      </w:r>
      <w:r>
        <w:rPr>
          <w:rFonts w:hint="eastAsia" w:eastAsia="黑体"/>
          <w:sz w:val="32"/>
          <w:szCs w:val="32"/>
          <w:lang w:val="en-US" w:eastAsia="zh-CN"/>
        </w:rPr>
        <w:t>脂肪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</w:rPr>
        <w:t>脂肪是营养成分表里强制标示的核心营养要素之一，系食品营养标签的组成部分。脂肪不合格原因可能是原辅料质量控制不严，不满足质量</w:t>
      </w: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规定</w:t>
      </w:r>
      <w:r>
        <w:rPr>
          <w:rFonts w:hint="eastAsia" w:ascii="方正仿宋_GBK" w:hAnsi="Times New Roman" w:eastAsia="方正仿宋_GBK"/>
          <w:sz w:val="32"/>
          <w:szCs w:val="32"/>
        </w:rPr>
        <w:t>要求；生产加工环节控制不严，企业未按标签明示值或企业标准的要求进行添加</w:t>
      </w: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等</w:t>
      </w:r>
      <w:r>
        <w:rPr>
          <w:rFonts w:hint="eastAsia" w:ascii="方正仿宋_GBK" w:hAnsi="Times New Roman" w:eastAsia="方正仿宋_GBK"/>
          <w:sz w:val="32"/>
          <w:szCs w:val="32"/>
        </w:rPr>
        <w:t>。</w:t>
      </w:r>
    </w:p>
    <w:p>
      <w:pPr>
        <w:spacing w:line="640" w:lineRule="exact"/>
        <w:ind w:firstLine="592" w:firstLineChars="200"/>
        <w:rPr>
          <w:rFonts w:ascii="黑体" w:hAnsi="黑体" w:eastAsia="黑体"/>
          <w:spacing w:val="-12"/>
          <w:sz w:val="32"/>
          <w:szCs w:val="32"/>
        </w:rPr>
      </w:pPr>
      <w:r>
        <w:rPr>
          <w:rFonts w:hint="eastAsia" w:ascii="黑体" w:hAnsi="黑体" w:eastAsia="黑体"/>
          <w:color w:val="000000" w:themeColor="text1"/>
          <w:spacing w:val="-12"/>
          <w:sz w:val="32"/>
          <w:szCs w:val="32"/>
          <w:lang w:val="en-US" w:eastAsia="zh-CN"/>
        </w:rPr>
        <w:t>八</w:t>
      </w:r>
      <w:r>
        <w:rPr>
          <w:rFonts w:hint="eastAsia" w:ascii="黑体" w:hAnsi="黑体" w:eastAsia="黑体"/>
          <w:color w:val="000000" w:themeColor="text1"/>
          <w:spacing w:val="-12"/>
          <w:sz w:val="32"/>
          <w:szCs w:val="32"/>
        </w:rPr>
        <w:t>、</w:t>
      </w: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酒精度</w:t>
      </w:r>
    </w:p>
    <w:p>
      <w:pPr>
        <w:widowControl/>
        <w:adjustRightInd w:val="0"/>
        <w:snapToGrid w:val="0"/>
        <w:spacing w:line="590" w:lineRule="exact"/>
        <w:ind w:firstLine="640" w:firstLineChars="200"/>
        <w:rPr>
          <w:rFonts w:hint="eastAsia" w:ascii="方正仿宋_GBK" w:hAnsi="宋体" w:eastAsia="方正仿宋_GBK" w:cs="宋体"/>
          <w:kern w:val="0"/>
          <w:sz w:val="32"/>
          <w:szCs w:val="32"/>
        </w:rPr>
      </w:pPr>
      <w:r>
        <w:rPr>
          <w:rFonts w:hint="eastAsia" w:ascii="方正仿宋_GBK" w:hAnsi="宋体" w:eastAsia="方正仿宋_GBK" w:cs="宋体"/>
          <w:kern w:val="0"/>
          <w:sz w:val="32"/>
          <w:szCs w:val="32"/>
          <w:lang w:eastAsia="zh-CN"/>
        </w:rPr>
        <w:t>酒精度表示酒中含乙醇的体积百分比，也就是俗称的酒的度数。造成酒精度不合格的原因，可能有：生产企业检验能力不足，造成检验结果偏差；包装不严密造成酒精挥发；生产企业为降低成本，用低度酒冒充高度酒；这与企业生产工艺控制不严有关，因此在白酒进行销售前，不仅要准确测量白酒酒精度，更应考虑使酒精度不达标的因素，提早预防。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</w:rPr>
      </w:pPr>
      <w:bookmarkStart w:id="0" w:name="_GoBack"/>
      <w:bookmarkEnd w:id="0"/>
    </w:p>
    <w:p>
      <w:pPr>
        <w:spacing w:line="640" w:lineRule="exact"/>
        <w:ind w:firstLine="640" w:firstLineChars="200"/>
        <w:textAlignment w:val="baseline"/>
        <w:rPr>
          <w:rFonts w:hint="eastAsia" w:ascii="仿宋_GB2312" w:eastAsia="仿宋_GB2312"/>
          <w:sz w:val="32"/>
          <w:szCs w:val="32"/>
        </w:rPr>
      </w:pPr>
    </w:p>
    <w:p>
      <w:pPr>
        <w:spacing w:line="640" w:lineRule="exact"/>
        <w:ind w:firstLine="640" w:firstLineChars="200"/>
        <w:textAlignment w:val="baseline"/>
        <w:rPr>
          <w:rFonts w:hint="eastAsia" w:ascii="仿宋_GB2312" w:eastAsia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doNotExpandShiftReturn/>
    <w:adjustLineHeightInTable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2A446D8"/>
    <w:rsid w:val="03CD7816"/>
    <w:rsid w:val="05B075F0"/>
    <w:rsid w:val="0691681F"/>
    <w:rsid w:val="07503655"/>
    <w:rsid w:val="09613572"/>
    <w:rsid w:val="098168D4"/>
    <w:rsid w:val="09E0572E"/>
    <w:rsid w:val="0A4011CE"/>
    <w:rsid w:val="0B443F79"/>
    <w:rsid w:val="0B505CFE"/>
    <w:rsid w:val="0BD14C97"/>
    <w:rsid w:val="0CCE6341"/>
    <w:rsid w:val="0D4279C5"/>
    <w:rsid w:val="0D852F3F"/>
    <w:rsid w:val="0E284B04"/>
    <w:rsid w:val="0EC12409"/>
    <w:rsid w:val="0F8E03D8"/>
    <w:rsid w:val="0FC01C62"/>
    <w:rsid w:val="107C1AA5"/>
    <w:rsid w:val="11F95E33"/>
    <w:rsid w:val="12675480"/>
    <w:rsid w:val="12937D4E"/>
    <w:rsid w:val="12F708C4"/>
    <w:rsid w:val="135073F9"/>
    <w:rsid w:val="14FB2159"/>
    <w:rsid w:val="153E37EC"/>
    <w:rsid w:val="155E31D5"/>
    <w:rsid w:val="15AB53B7"/>
    <w:rsid w:val="15F15749"/>
    <w:rsid w:val="15F30177"/>
    <w:rsid w:val="16004C16"/>
    <w:rsid w:val="164271B3"/>
    <w:rsid w:val="166923CF"/>
    <w:rsid w:val="16C74C86"/>
    <w:rsid w:val="16E15A77"/>
    <w:rsid w:val="17687A4B"/>
    <w:rsid w:val="17BC2306"/>
    <w:rsid w:val="187D413F"/>
    <w:rsid w:val="18CE1A06"/>
    <w:rsid w:val="19D1085A"/>
    <w:rsid w:val="1A6251F7"/>
    <w:rsid w:val="1ACE2642"/>
    <w:rsid w:val="1BAC2C7B"/>
    <w:rsid w:val="1BAD4A7C"/>
    <w:rsid w:val="1C1845BD"/>
    <w:rsid w:val="1CB27E9B"/>
    <w:rsid w:val="1DAD3FFF"/>
    <w:rsid w:val="1DFF41B9"/>
    <w:rsid w:val="20732975"/>
    <w:rsid w:val="207F2166"/>
    <w:rsid w:val="209E7837"/>
    <w:rsid w:val="20DD5D1B"/>
    <w:rsid w:val="21296D82"/>
    <w:rsid w:val="21EF72E6"/>
    <w:rsid w:val="227B2998"/>
    <w:rsid w:val="22BF0461"/>
    <w:rsid w:val="22DF1FFB"/>
    <w:rsid w:val="239D0E6B"/>
    <w:rsid w:val="24B573DE"/>
    <w:rsid w:val="25481A61"/>
    <w:rsid w:val="25915938"/>
    <w:rsid w:val="25A92365"/>
    <w:rsid w:val="261F7110"/>
    <w:rsid w:val="26A0668D"/>
    <w:rsid w:val="26AB6C21"/>
    <w:rsid w:val="27332D86"/>
    <w:rsid w:val="27727CA4"/>
    <w:rsid w:val="27F74C72"/>
    <w:rsid w:val="28523597"/>
    <w:rsid w:val="28600ED5"/>
    <w:rsid w:val="28E51ADB"/>
    <w:rsid w:val="290E4770"/>
    <w:rsid w:val="29877500"/>
    <w:rsid w:val="2A066B4A"/>
    <w:rsid w:val="2A0F4184"/>
    <w:rsid w:val="2AB22B74"/>
    <w:rsid w:val="2C3F5D84"/>
    <w:rsid w:val="2D1F4EB4"/>
    <w:rsid w:val="2D7D65C0"/>
    <w:rsid w:val="2E485BC9"/>
    <w:rsid w:val="2EE02088"/>
    <w:rsid w:val="2EEE4150"/>
    <w:rsid w:val="2F9200D3"/>
    <w:rsid w:val="30C52F74"/>
    <w:rsid w:val="31390AFB"/>
    <w:rsid w:val="31727237"/>
    <w:rsid w:val="31B04CB9"/>
    <w:rsid w:val="31E4442C"/>
    <w:rsid w:val="31F75EEE"/>
    <w:rsid w:val="320944EF"/>
    <w:rsid w:val="32671426"/>
    <w:rsid w:val="32B12BD0"/>
    <w:rsid w:val="36731FE9"/>
    <w:rsid w:val="36970865"/>
    <w:rsid w:val="37246F64"/>
    <w:rsid w:val="372F7CA3"/>
    <w:rsid w:val="37975EBC"/>
    <w:rsid w:val="37980617"/>
    <w:rsid w:val="37D8062F"/>
    <w:rsid w:val="37F96A05"/>
    <w:rsid w:val="383060A2"/>
    <w:rsid w:val="38353C2B"/>
    <w:rsid w:val="38642EE5"/>
    <w:rsid w:val="39666407"/>
    <w:rsid w:val="39AF2A0A"/>
    <w:rsid w:val="3A4867CA"/>
    <w:rsid w:val="3AA9213C"/>
    <w:rsid w:val="3B6949B8"/>
    <w:rsid w:val="3C336B2B"/>
    <w:rsid w:val="3C87360C"/>
    <w:rsid w:val="3CB50E22"/>
    <w:rsid w:val="3D1B4412"/>
    <w:rsid w:val="3D625FAB"/>
    <w:rsid w:val="3D8F3232"/>
    <w:rsid w:val="3E3A3BD1"/>
    <w:rsid w:val="3E793D02"/>
    <w:rsid w:val="3E974FD9"/>
    <w:rsid w:val="3EDA71BD"/>
    <w:rsid w:val="3F944EF2"/>
    <w:rsid w:val="40787187"/>
    <w:rsid w:val="40AC1C6B"/>
    <w:rsid w:val="40B86FDC"/>
    <w:rsid w:val="42400E64"/>
    <w:rsid w:val="424F41F3"/>
    <w:rsid w:val="425665EF"/>
    <w:rsid w:val="426A0D65"/>
    <w:rsid w:val="445D67A1"/>
    <w:rsid w:val="44F63D12"/>
    <w:rsid w:val="452A1919"/>
    <w:rsid w:val="45B97969"/>
    <w:rsid w:val="47492C28"/>
    <w:rsid w:val="48DA31FD"/>
    <w:rsid w:val="494214A7"/>
    <w:rsid w:val="4B5049B4"/>
    <w:rsid w:val="4B8C27BB"/>
    <w:rsid w:val="4BC137FA"/>
    <w:rsid w:val="4C297156"/>
    <w:rsid w:val="4C967FAF"/>
    <w:rsid w:val="4CCB074B"/>
    <w:rsid w:val="4D8A2EE5"/>
    <w:rsid w:val="4D9B4661"/>
    <w:rsid w:val="4E0B1BC2"/>
    <w:rsid w:val="4E8C7012"/>
    <w:rsid w:val="4EED2BC8"/>
    <w:rsid w:val="4F932387"/>
    <w:rsid w:val="4FAB5F46"/>
    <w:rsid w:val="4FD51D87"/>
    <w:rsid w:val="50163F73"/>
    <w:rsid w:val="503C6412"/>
    <w:rsid w:val="50C17233"/>
    <w:rsid w:val="51896A13"/>
    <w:rsid w:val="52190CA4"/>
    <w:rsid w:val="5240187B"/>
    <w:rsid w:val="52941F38"/>
    <w:rsid w:val="53B14415"/>
    <w:rsid w:val="5473169E"/>
    <w:rsid w:val="554D75AB"/>
    <w:rsid w:val="55BE0029"/>
    <w:rsid w:val="566F178F"/>
    <w:rsid w:val="58C52A1E"/>
    <w:rsid w:val="591702CA"/>
    <w:rsid w:val="59203A01"/>
    <w:rsid w:val="5AF17BBB"/>
    <w:rsid w:val="5B7936AC"/>
    <w:rsid w:val="5B8B3D37"/>
    <w:rsid w:val="5B9C406B"/>
    <w:rsid w:val="5BDC6E44"/>
    <w:rsid w:val="5C6258A4"/>
    <w:rsid w:val="5C9F00AC"/>
    <w:rsid w:val="5E82604C"/>
    <w:rsid w:val="5EB3567B"/>
    <w:rsid w:val="5FAC4190"/>
    <w:rsid w:val="5FB4017C"/>
    <w:rsid w:val="62106968"/>
    <w:rsid w:val="62733EE5"/>
    <w:rsid w:val="62A23EF9"/>
    <w:rsid w:val="62E64A8D"/>
    <w:rsid w:val="63E51096"/>
    <w:rsid w:val="645F7C77"/>
    <w:rsid w:val="647462D8"/>
    <w:rsid w:val="65A15091"/>
    <w:rsid w:val="66524DFC"/>
    <w:rsid w:val="66F73F16"/>
    <w:rsid w:val="67C1146A"/>
    <w:rsid w:val="67DF1954"/>
    <w:rsid w:val="67E22ABE"/>
    <w:rsid w:val="681A5C55"/>
    <w:rsid w:val="686B67ED"/>
    <w:rsid w:val="68B5161B"/>
    <w:rsid w:val="69B01F3D"/>
    <w:rsid w:val="6AE76F91"/>
    <w:rsid w:val="6B0A631F"/>
    <w:rsid w:val="6B2F57E8"/>
    <w:rsid w:val="6C0F37D0"/>
    <w:rsid w:val="6C2A5933"/>
    <w:rsid w:val="6C532497"/>
    <w:rsid w:val="6C6A3D48"/>
    <w:rsid w:val="6E7403AD"/>
    <w:rsid w:val="6F703737"/>
    <w:rsid w:val="70433045"/>
    <w:rsid w:val="71236AF0"/>
    <w:rsid w:val="71A911C1"/>
    <w:rsid w:val="72C44654"/>
    <w:rsid w:val="730B7BD7"/>
    <w:rsid w:val="731C59A6"/>
    <w:rsid w:val="740B7597"/>
    <w:rsid w:val="75875DA7"/>
    <w:rsid w:val="75A57FA1"/>
    <w:rsid w:val="76077A0F"/>
    <w:rsid w:val="761E6838"/>
    <w:rsid w:val="76C43BAF"/>
    <w:rsid w:val="77450FC0"/>
    <w:rsid w:val="78516857"/>
    <w:rsid w:val="787917F5"/>
    <w:rsid w:val="79425C88"/>
    <w:rsid w:val="79E41CD7"/>
    <w:rsid w:val="7A27777B"/>
    <w:rsid w:val="7B5D2F26"/>
    <w:rsid w:val="7B7721FC"/>
    <w:rsid w:val="7C833972"/>
    <w:rsid w:val="7E4A517A"/>
    <w:rsid w:val="7EA302B2"/>
    <w:rsid w:val="7F4D5AB1"/>
    <w:rsid w:val="7FAD489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uiPriority w:val="1"/>
  </w:style>
  <w:style w:type="table" w:default="1" w:styleId="9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cs="Times New Roman"/>
      <w:kern w:val="2"/>
      <w:sz w:val="21"/>
      <w:szCs w:val="22"/>
    </w:rPr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2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1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3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Strong"/>
    <w:basedOn w:val="10"/>
    <w:qFormat/>
    <w:uiPriority w:val="22"/>
    <w:rPr>
      <w:b/>
      <w:bCs/>
    </w:rPr>
  </w:style>
  <w:style w:type="character" w:styleId="12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3">
    <w:name w:val="Emphasis"/>
    <w:qFormat/>
    <w:uiPriority w:val="20"/>
    <w:rPr>
      <w:i/>
      <w:iCs/>
    </w:rPr>
  </w:style>
  <w:style w:type="character" w:styleId="14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5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6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7">
    <w:name w:val="apple-converted-space"/>
    <w:basedOn w:val="10"/>
    <w:qFormat/>
    <w:uiPriority w:val="0"/>
  </w:style>
  <w:style w:type="paragraph" w:customStyle="1" w:styleId="18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9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0">
    <w:name w:val="description"/>
    <w:basedOn w:val="10"/>
    <w:qFormat/>
    <w:uiPriority w:val="0"/>
  </w:style>
  <w:style w:type="character" w:customStyle="1" w:styleId="21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3">
    <w:name w:val="正文首行缩进 Char"/>
    <w:basedOn w:val="22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4">
    <w:name w:val="不明显强调1"/>
    <w:basedOn w:val="10"/>
    <w:qFormat/>
    <w:uiPriority w:val="19"/>
    <w:rPr>
      <w:i/>
      <w:iCs/>
      <w:color w:val="7E7E7E" w:themeColor="text1" w:themeTint="80"/>
    </w:rPr>
  </w:style>
  <w:style w:type="paragraph" w:styleId="25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7">
    <w:name w:val="不明显强调2"/>
    <w:basedOn w:val="10"/>
    <w:qFormat/>
    <w:uiPriority w:val="19"/>
    <w:rPr>
      <w:i/>
      <w:iCs/>
      <w:color w:val="7E7E7E" w:themeColor="text1" w:themeTint="80"/>
    </w:rPr>
  </w:style>
  <w:style w:type="character" w:customStyle="1" w:styleId="28">
    <w:name w:val="不明显强调3"/>
    <w:basedOn w:val="10"/>
    <w:qFormat/>
    <w:uiPriority w:val="19"/>
    <w:rPr>
      <w:i/>
      <w:iCs/>
      <w:color w:val="7E7E7E" w:themeColor="text1" w:themeTint="8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321</Words>
  <Characters>1835</Characters>
  <Lines>15</Lines>
  <Paragraphs>4</Paragraphs>
  <TotalTime>1</TotalTime>
  <ScaleCrop>false</ScaleCrop>
  <LinksUpToDate>false</LinksUpToDate>
  <CharactersWithSpaces>2152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零点心晴</cp:lastModifiedBy>
  <cp:lastPrinted>2019-01-28T02:50:00Z</cp:lastPrinted>
  <dcterms:modified xsi:type="dcterms:W3CDTF">2019-12-13T08:07:00Z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  <property fmtid="{D5CDD505-2E9C-101B-9397-08002B2CF9AE}" pid="3" name="KSORubyTemplateID" linkTarget="0">
    <vt:lpwstr>6</vt:lpwstr>
  </property>
</Properties>
</file>