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jc w:val="left"/>
        <w:rPr>
          <w:rFonts w:ascii="方正仿宋_GBK" w:eastAsia="方正仿宋_GBK"/>
          <w:b/>
          <w:sz w:val="32"/>
          <w:szCs w:val="32"/>
        </w:rPr>
      </w:pPr>
      <w:r>
        <w:rPr>
          <w:rFonts w:hint="eastAsia" w:ascii="方正仿宋_GBK" w:eastAsia="方正仿宋_GBK"/>
          <w:b/>
          <w:sz w:val="32"/>
          <w:szCs w:val="32"/>
        </w:rPr>
        <w:t>附件1</w:t>
      </w:r>
    </w:p>
    <w:p>
      <w:pPr>
        <w:suppressAutoHyphens/>
        <w:adjustRightInd w:val="0"/>
        <w:snapToGrid w:val="0"/>
        <w:spacing w:line="590" w:lineRule="exact"/>
        <w:jc w:val="center"/>
        <w:rPr>
          <w:rFonts w:ascii="方正小标宋简体" w:hAnsi="方正小标宋简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部分不合格项目的小知识</w:t>
      </w:r>
    </w:p>
    <w:p>
      <w:pPr>
        <w:spacing w:line="57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一、大肠菌群</w:t>
      </w:r>
    </w:p>
    <w:p>
      <w:pPr>
        <w:spacing w:line="570" w:lineRule="exact"/>
        <w:ind w:firstLine="640" w:firstLineChars="200"/>
        <w:textAlignment w:val="baseline"/>
        <w:rPr>
          <w:rFonts w:ascii="方正仿宋_GBK" w:hAnsi="Times New Roman" w:eastAsia="方正仿宋_GBK"/>
          <w:sz w:val="32"/>
          <w:szCs w:val="32"/>
        </w:rPr>
      </w:pPr>
      <w:r>
        <w:rPr>
          <w:rFonts w:hint="eastAsia" w:ascii="方正仿宋_GBK" w:hAnsi="Times New Roman" w:eastAsia="方正仿宋_GBK"/>
          <w:sz w:val="32"/>
          <w:szCs w:val="32"/>
        </w:rPr>
        <w:t>大肠菌群是国内外通用的食品污染常用指示菌之一。餐饮具中检出大肠菌群，提示被致病菌(如沙门氏菌、志贺氏菌、致病性大肠杆菌)污染的可能性较大。大肠菌群超标可能由于产品包装材料受污染，或在生产过程中产品受人员、工器具等生产设备、环境的污染、有灭菌工艺的产品灭菌不彻底而导致。</w:t>
      </w:r>
    </w:p>
    <w:p>
      <w:pPr>
        <w:spacing w:line="570" w:lineRule="exact"/>
        <w:ind w:firstLine="640" w:firstLineChars="200"/>
        <w:rPr>
          <w:rFonts w:ascii="黑体" w:hAnsi="黑体" w:eastAsia="黑体"/>
          <w:spacing w:val="-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二、菌落总数</w:t>
      </w:r>
    </w:p>
    <w:p>
      <w:pPr>
        <w:spacing w:line="570" w:lineRule="exact"/>
        <w:ind w:firstLine="640" w:firstLineChars="200"/>
        <w:textAlignment w:val="baseline"/>
        <w:rPr>
          <w:rFonts w:hint="eastAsia" w:ascii="方正仿宋_GBK" w:hAnsi="Times New Roman" w:eastAsia="方正仿宋_GBK"/>
          <w:sz w:val="32"/>
          <w:szCs w:val="32"/>
        </w:rPr>
      </w:pPr>
      <w:r>
        <w:rPr>
          <w:rFonts w:hint="eastAsia" w:ascii="方正仿宋_GBK" w:hAnsi="Times New Roman" w:eastAsia="方正仿宋_GBK"/>
          <w:sz w:val="32"/>
          <w:szCs w:val="32"/>
        </w:rPr>
        <w:t>菌落总数是指示性微生物指标，主要用来评价食品清洁度，反映食品在生产过程中是否符合卫生要求。菌落总数超标的原因，可能是个别企业所使用的原辅料初始菌数较高，又未按要求严格控制生产加工过程的卫生条件，或者包装容器清洗消毒不到位，还有可能与产品包装密封不严、储运条件控制不当等有关。</w:t>
      </w:r>
    </w:p>
    <w:p>
      <w:pPr>
        <w:spacing w:line="570" w:lineRule="exact"/>
        <w:ind w:firstLine="592" w:firstLineChars="200"/>
        <w:rPr>
          <w:rFonts w:hint="eastAsia" w:eastAsia="黑体"/>
          <w:spacing w:val="-12"/>
          <w:sz w:val="32"/>
          <w:szCs w:val="32"/>
        </w:rPr>
      </w:pPr>
      <w:r>
        <w:rPr>
          <w:rFonts w:hint="eastAsia" w:eastAsia="黑体"/>
          <w:spacing w:val="-12"/>
          <w:sz w:val="32"/>
          <w:szCs w:val="32"/>
        </w:rPr>
        <w:t>三、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霉菌</w:t>
      </w:r>
    </w:p>
    <w:p>
      <w:pPr>
        <w:spacing w:line="570" w:lineRule="exact"/>
        <w:ind w:firstLine="640" w:firstLineChars="200"/>
        <w:textAlignment w:val="baseline"/>
        <w:rPr>
          <w:rFonts w:hint="eastAsia" w:ascii="方正仿宋_GBK" w:hAnsi="Times New Roman" w:eastAsia="方正仿宋_GBK"/>
          <w:sz w:val="32"/>
          <w:szCs w:val="32"/>
          <w:lang w:val="en-US" w:eastAsia="zh-CN"/>
        </w:rPr>
      </w:pPr>
      <w:r>
        <w:rPr>
          <w:rFonts w:hint="eastAsia" w:ascii="方正仿宋_GBK" w:hAnsi="Times New Roman" w:eastAsia="方正仿宋_GBK"/>
          <w:sz w:val="32"/>
          <w:szCs w:val="32"/>
          <w:lang w:val="en-US" w:eastAsia="zh-CN"/>
        </w:rPr>
        <w:t>霉菌是自然界中常见的真菌，食品中霉菌超标原因可能是加工用原料受霉菌污染，或者是产品存储、运输条件控制不当导致流通环节抽取的样品被霉菌污染。霉菌污染可使食品腐败变质，破坏食品的色、香、味，降低食品的食用价值。</w:t>
      </w:r>
    </w:p>
    <w:p>
      <w:pPr>
        <w:spacing w:line="640" w:lineRule="exact"/>
        <w:ind w:firstLine="592" w:firstLineChars="200"/>
        <w:rPr>
          <w:rFonts w:ascii="黑体" w:hAnsi="黑体" w:eastAsia="黑体"/>
          <w:spacing w:val="-12"/>
          <w:sz w:val="32"/>
          <w:szCs w:val="32"/>
        </w:rPr>
      </w:pPr>
      <w:r>
        <w:rPr>
          <w:rFonts w:hint="eastAsia" w:ascii="黑体" w:hAnsi="黑体" w:eastAsia="黑体"/>
          <w:color w:val="000000" w:themeColor="text1"/>
          <w:spacing w:val="-12"/>
          <w:sz w:val="32"/>
          <w:szCs w:val="32"/>
          <w:lang w:val="en-US" w:eastAsia="zh-CN"/>
        </w:rPr>
        <w:t>四</w:t>
      </w:r>
      <w:r>
        <w:rPr>
          <w:rFonts w:hint="eastAsia" w:ascii="黑体" w:hAnsi="黑体" w:eastAsia="黑体"/>
          <w:color w:val="000000" w:themeColor="text1"/>
          <w:spacing w:val="-12"/>
          <w:sz w:val="32"/>
          <w:szCs w:val="32"/>
        </w:rPr>
        <w:t>、</w:t>
      </w: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酒精度</w:t>
      </w:r>
    </w:p>
    <w:p>
      <w:pPr>
        <w:widowControl/>
        <w:adjustRightInd w:val="0"/>
        <w:snapToGrid w:val="0"/>
        <w:spacing w:line="590" w:lineRule="exact"/>
        <w:ind w:firstLine="640" w:firstLineChars="200"/>
        <w:rPr>
          <w:rFonts w:hint="eastAsia" w:ascii="方正仿宋_GBK" w:hAnsi="宋体" w:eastAsia="方正仿宋_GBK" w:cs="宋体"/>
          <w:kern w:val="0"/>
          <w:sz w:val="32"/>
          <w:szCs w:val="32"/>
        </w:rPr>
      </w:pPr>
      <w:r>
        <w:rPr>
          <w:rFonts w:hint="eastAsia" w:ascii="方正仿宋_GBK" w:hAnsi="宋体" w:eastAsia="方正仿宋_GBK" w:cs="宋体"/>
          <w:kern w:val="0"/>
          <w:sz w:val="32"/>
          <w:szCs w:val="32"/>
          <w:lang w:eastAsia="zh-CN"/>
        </w:rPr>
        <w:t>酒精度表示酒中含乙醇的体积百分比，也就是俗称的酒的度数。造成酒精度不合格的原因，可能有：生产企业检验能力不足，造成检验结果偏差；包装不严密造成酒精挥发；生产企业为降低成本，用低度酒冒充高度酒；这与企业生产工艺控制不严有关，因此在白酒进行销售前，不仅要准确测量白酒酒精度，更应考虑使酒精度不达标的因素，提早预防。</w:t>
      </w:r>
    </w:p>
    <w:p>
      <w:pPr>
        <w:spacing w:line="570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五、铝的残留量(干样品，以Al计)</w:t>
      </w:r>
    </w:p>
    <w:p>
      <w:pPr>
        <w:spacing w:line="570" w:lineRule="exact"/>
        <w:ind w:firstLine="640" w:firstLineChars="200"/>
        <w:rPr>
          <w:rFonts w:hint="eastAsia" w:ascii="方正仿宋_GBK" w:hAnsi="Times New Roman" w:eastAsia="方正仿宋_GBK"/>
          <w:sz w:val="32"/>
          <w:szCs w:val="32"/>
        </w:rPr>
      </w:pPr>
      <w:r>
        <w:rPr>
          <w:rFonts w:hint="eastAsia" w:ascii="方正仿宋_GBK" w:hAnsi="Times New Roman" w:eastAsia="方正仿宋_GBK"/>
          <w:sz w:val="32"/>
          <w:szCs w:val="32"/>
        </w:rPr>
        <w:t>在传统油条加工过程中，添加硫酸铝钾（明矾），可以提高油条的韧性，减少断条损失。硫酸铝钾的添加会造成油条中铝残留。国家相关标准要求油条中铝的残留量不得超过100mg/kg。长期过量摄入铝会导致运动和学习记忆能力下降，影响儿童智力发育，抑制胎儿的生长发育。</w:t>
      </w:r>
    </w:p>
    <w:p>
      <w:pPr>
        <w:spacing w:line="570" w:lineRule="exact"/>
        <w:ind w:firstLine="592" w:firstLineChars="200"/>
        <w:rPr>
          <w:rFonts w:hint="eastAsia" w:ascii="Calibri" w:hAnsi="Calibri" w:eastAsia="黑体" w:cs="黑体"/>
          <w:spacing w:val="-12"/>
          <w:sz w:val="32"/>
          <w:szCs w:val="32"/>
        </w:rPr>
      </w:pPr>
      <w:r>
        <w:rPr>
          <w:rFonts w:hint="eastAsia" w:ascii="Calibri" w:hAnsi="Calibri" w:eastAsia="黑体" w:cs="黑体"/>
          <w:spacing w:val="-12"/>
          <w:sz w:val="32"/>
          <w:szCs w:val="32"/>
        </w:rPr>
        <w:t>六、氧氟沙星</w:t>
      </w:r>
    </w:p>
    <w:p>
      <w:pPr>
        <w:spacing w:line="570" w:lineRule="exact"/>
        <w:ind w:firstLine="640" w:firstLineChars="200"/>
        <w:rPr>
          <w:rFonts w:hint="eastAsia" w:ascii="方正仿宋_GBK" w:hAnsi="Times New Roman" w:eastAsia="方正仿宋_GBK"/>
          <w:sz w:val="32"/>
          <w:szCs w:val="32"/>
        </w:rPr>
      </w:pPr>
      <w:r>
        <w:rPr>
          <w:rFonts w:hint="eastAsia" w:ascii="方正仿宋_GBK" w:hAnsi="Times New Roman" w:eastAsia="方正仿宋_GBK"/>
          <w:sz w:val="32"/>
          <w:szCs w:val="32"/>
        </w:rPr>
        <w:t>氧氟沙星属于氟喹诺酮类药物，因抗菌谱广、抗菌活性强等曾被广泛用于畜禽细菌性疾病的治疗和预防。《发布在食品动物中停止使用洛美沙星、培氟沙星、氧氟沙星、诺氟沙星4种兽药的决定》（农业部公告第2292号）中规定，禁止氧氟沙星用于食品动物，在动物性食品中不得检出。氧氟沙星残留在人体中蓄积，可能引起人体的耐药性，长期摄入氧氟沙星超标的动物性食品，可能引起轻度胃肠道刺激或不适，以及头痛、头晕、睡眠不良等症状，大剂量还可能引起肝损害。</w:t>
      </w:r>
    </w:p>
    <w:p>
      <w:pPr>
        <w:spacing w:line="570" w:lineRule="exact"/>
        <w:ind w:firstLine="592" w:firstLineChars="200"/>
        <w:rPr>
          <w:rFonts w:hint="eastAsia" w:ascii="Calibri" w:hAnsi="Calibri" w:eastAsia="黑体" w:cs="黑体"/>
          <w:spacing w:val="-12"/>
          <w:sz w:val="32"/>
          <w:szCs w:val="32"/>
        </w:rPr>
      </w:pPr>
      <w:r>
        <w:rPr>
          <w:rFonts w:hint="eastAsia" w:ascii="Calibri" w:hAnsi="Calibri" w:eastAsia="黑体" w:cs="黑体"/>
          <w:spacing w:val="-12"/>
          <w:sz w:val="32"/>
          <w:szCs w:val="32"/>
        </w:rPr>
        <w:t>七、N-二甲基亚硝胺</w:t>
      </w:r>
    </w:p>
    <w:p>
      <w:pPr>
        <w:spacing w:line="570" w:lineRule="exact"/>
        <w:ind w:firstLine="640" w:firstLineChars="200"/>
        <w:rPr>
          <w:rFonts w:hint="default" w:ascii="方正仿宋_GBK" w:hAnsi="Times New Roman" w:eastAsia="方正仿宋_GBK"/>
          <w:sz w:val="32"/>
          <w:szCs w:val="32"/>
        </w:rPr>
      </w:pPr>
      <w:r>
        <w:rPr>
          <w:rFonts w:hint="default" w:ascii="方正仿宋_GBK" w:hAnsi="Times New Roman" w:eastAsia="方正仿宋_GBK"/>
          <w:sz w:val="32"/>
          <w:szCs w:val="32"/>
        </w:rPr>
        <w:t>N-二甲基亚硝胺是N-亚硝胺类化合物的一种，食品中天然存在的N-亚硝胺类化合物含量极微，但其前体物质亚硝酸盐和胺类广泛存在于自然界中，在适宜的条件下可以形成N-亚硝胺类化合物。N-二甲基亚硝胺是国际公认的毒性较大的污染物，具有肝毒性和致癌性。《食品安全国家标准食品中污染物限量》（GB 2762—2017）中规定，水产制品（水产品罐头除外）中N-二甲基亚硝胺最大限量值为4.0 μg/kg。目前由N-二甲基亚硝胺引起的急性中毒较少，但如果一次或多次摄入含大量N-亚硝胺类化合物的食物，也可能引起急性中毒。</w:t>
      </w:r>
    </w:p>
    <w:p>
      <w:pPr>
        <w:spacing w:line="570" w:lineRule="exact"/>
        <w:ind w:firstLine="592" w:firstLineChars="200"/>
        <w:rPr>
          <w:rFonts w:ascii="黑体" w:hAnsi="黑体" w:eastAsia="黑体"/>
          <w:spacing w:val="-12"/>
          <w:sz w:val="32"/>
          <w:szCs w:val="32"/>
        </w:rPr>
      </w:pPr>
      <w:r>
        <w:rPr>
          <w:rFonts w:hint="eastAsia" w:ascii="黑体" w:hAnsi="黑体" w:eastAsia="黑体"/>
          <w:color w:val="000000" w:themeColor="text1"/>
          <w:spacing w:val="-12"/>
          <w:sz w:val="32"/>
          <w:szCs w:val="32"/>
        </w:rPr>
        <w:t>八、</w:t>
      </w:r>
      <w:r>
        <w:rPr>
          <w:rFonts w:hint="eastAsia" w:ascii="黑体" w:hAnsi="黑体" w:eastAsia="黑体"/>
          <w:sz w:val="32"/>
          <w:szCs w:val="32"/>
        </w:rPr>
        <w:t>钠</w:t>
      </w:r>
    </w:p>
    <w:p>
      <w:pPr>
        <w:spacing w:line="570" w:lineRule="exact"/>
        <w:ind w:firstLine="640" w:firstLineChars="200"/>
        <w:rPr>
          <w:rFonts w:hint="eastAsia" w:ascii="方正仿宋_GBK" w:hAnsi="Times New Roman" w:eastAsia="方正仿宋_GBK"/>
          <w:sz w:val="32"/>
          <w:szCs w:val="32"/>
        </w:rPr>
      </w:pPr>
      <w:r>
        <w:rPr>
          <w:rFonts w:hint="eastAsia" w:ascii="方正仿宋_GBK" w:hAnsi="Times New Roman" w:eastAsia="方正仿宋_GBK"/>
          <w:sz w:val="32"/>
          <w:szCs w:val="32"/>
        </w:rPr>
        <w:t>钠是人体必需的营养元素。钠元素不合格原因可能是原辅料质量控制不严，包括食品营养强化剂不满足质量</w:t>
      </w:r>
      <w:r>
        <w:rPr>
          <w:rFonts w:hint="eastAsia" w:ascii="方正仿宋_GBK" w:hAnsi="Times New Roman" w:eastAsia="方正仿宋_GBK"/>
          <w:sz w:val="32"/>
          <w:szCs w:val="32"/>
          <w:lang w:val="en-US" w:eastAsia="zh-CN"/>
        </w:rPr>
        <w:t>规定</w:t>
      </w:r>
      <w:r>
        <w:rPr>
          <w:rFonts w:hint="eastAsia" w:ascii="方正仿宋_GBK" w:hAnsi="Times New Roman" w:eastAsia="方正仿宋_GBK"/>
          <w:sz w:val="32"/>
          <w:szCs w:val="32"/>
        </w:rPr>
        <w:t>要求、食品原料本底含量不清等；生产加工环节控制不严，包括生产加工过程中搅拌不均匀、企业未按标签明示值或企业标准的要求进行添加。</w:t>
      </w:r>
    </w:p>
    <w:p>
      <w:pPr>
        <w:spacing w:line="600" w:lineRule="exact"/>
        <w:ind w:firstLine="640" w:firstLineChars="200"/>
        <w:rPr>
          <w:rFonts w:hint="eastAsia" w:eastAsia="黑体"/>
          <w:sz w:val="32"/>
          <w:szCs w:val="32"/>
          <w:lang w:val="en-US" w:eastAsia="zh-CN"/>
        </w:rPr>
      </w:pPr>
      <w:r>
        <w:rPr>
          <w:rFonts w:hint="eastAsia" w:eastAsia="黑体"/>
          <w:sz w:val="32"/>
          <w:szCs w:val="32"/>
          <w:lang w:eastAsia="zh-CN"/>
        </w:rPr>
        <w:t>九</w:t>
      </w:r>
      <w:r>
        <w:rPr>
          <w:rFonts w:hint="eastAsia" w:eastAsia="黑体"/>
          <w:sz w:val="32"/>
          <w:szCs w:val="32"/>
        </w:rPr>
        <w:t>、</w:t>
      </w:r>
      <w:r>
        <w:rPr>
          <w:rFonts w:hint="eastAsia" w:eastAsia="黑体"/>
          <w:sz w:val="32"/>
          <w:szCs w:val="32"/>
          <w:lang w:val="en-US" w:eastAsia="zh-CN"/>
        </w:rPr>
        <w:t>脂肪</w:t>
      </w:r>
    </w:p>
    <w:p>
      <w:pPr>
        <w:spacing w:line="570" w:lineRule="exact"/>
        <w:ind w:firstLine="640" w:firstLineChars="200"/>
        <w:rPr>
          <w:rFonts w:hint="eastAsia" w:ascii="方正仿宋_GBK" w:hAnsi="Times New Roman" w:eastAsia="方正仿宋_GBK"/>
          <w:sz w:val="32"/>
          <w:szCs w:val="32"/>
          <w:lang w:val="en-US" w:eastAsia="zh-CN"/>
        </w:rPr>
      </w:pPr>
      <w:r>
        <w:rPr>
          <w:rFonts w:hint="eastAsia" w:ascii="方正仿宋_GBK" w:hAnsi="Times New Roman" w:eastAsia="方正仿宋_GBK"/>
          <w:sz w:val="32"/>
          <w:szCs w:val="32"/>
        </w:rPr>
        <w:t>脂肪是营养成分表里强制标示的核心营养要素之一，系食品营养标签的组成部分。脂肪不合格原因可能是原辅料质量控制不严，不满足质量</w:t>
      </w:r>
      <w:r>
        <w:rPr>
          <w:rFonts w:hint="eastAsia" w:ascii="方正仿宋_GBK" w:hAnsi="Times New Roman" w:eastAsia="方正仿宋_GBK"/>
          <w:sz w:val="32"/>
          <w:szCs w:val="32"/>
          <w:lang w:val="en-US" w:eastAsia="zh-CN"/>
        </w:rPr>
        <w:t>规定</w:t>
      </w:r>
      <w:r>
        <w:rPr>
          <w:rFonts w:hint="eastAsia" w:ascii="方正仿宋_GBK" w:hAnsi="Times New Roman" w:eastAsia="方正仿宋_GBK"/>
          <w:sz w:val="32"/>
          <w:szCs w:val="32"/>
        </w:rPr>
        <w:t>要求；生产加工环节控制不严，企业未按标签明示值或企业标准的要求进行添加</w:t>
      </w:r>
      <w:r>
        <w:rPr>
          <w:rFonts w:hint="eastAsia" w:ascii="方正仿宋_GBK" w:hAnsi="Times New Roman" w:eastAsia="方正仿宋_GBK"/>
          <w:sz w:val="32"/>
          <w:szCs w:val="32"/>
          <w:lang w:val="en-US" w:eastAsia="zh-CN"/>
        </w:rPr>
        <w:t>等</w:t>
      </w:r>
      <w:r>
        <w:rPr>
          <w:rFonts w:hint="eastAsia" w:ascii="方正仿宋_GBK" w:hAnsi="Times New Roman" w:eastAsia="方正仿宋_GBK"/>
          <w:sz w:val="32"/>
          <w:szCs w:val="32"/>
        </w:rPr>
        <w:t>。</w:t>
      </w:r>
    </w:p>
    <w:p>
      <w:pPr>
        <w:spacing w:line="600" w:lineRule="exact"/>
        <w:ind w:firstLine="640" w:firstLineChars="200"/>
        <w:rPr>
          <w:rFonts w:hint="eastAsia" w:eastAsia="黑体"/>
          <w:sz w:val="32"/>
          <w:szCs w:val="32"/>
          <w:lang w:val="en-US" w:eastAsia="zh-CN"/>
        </w:rPr>
      </w:pPr>
      <w:r>
        <w:rPr>
          <w:rFonts w:hint="eastAsia" w:eastAsia="黑体"/>
          <w:sz w:val="32"/>
          <w:szCs w:val="32"/>
          <w:lang w:val="en-US" w:eastAsia="zh-CN"/>
        </w:rPr>
        <w:t>十</w:t>
      </w:r>
      <w:r>
        <w:rPr>
          <w:rFonts w:hint="eastAsia" w:eastAsia="黑体"/>
          <w:sz w:val="32"/>
          <w:szCs w:val="32"/>
        </w:rPr>
        <w:t>、</w:t>
      </w:r>
      <w:r>
        <w:rPr>
          <w:rFonts w:hint="eastAsia" w:eastAsia="黑体"/>
          <w:sz w:val="32"/>
          <w:szCs w:val="32"/>
          <w:lang w:val="en-US" w:eastAsia="zh-CN"/>
        </w:rPr>
        <w:t>孔雀石绿</w:t>
      </w:r>
    </w:p>
    <w:p>
      <w:pPr>
        <w:spacing w:line="570" w:lineRule="exact"/>
        <w:ind w:firstLine="640" w:firstLineChars="200"/>
        <w:rPr>
          <w:rFonts w:hint="eastAsia" w:ascii="方正仿宋_GBK" w:hAnsi="Times New Roman" w:eastAsia="方正仿宋_GBK"/>
          <w:sz w:val="32"/>
          <w:szCs w:val="32"/>
        </w:rPr>
      </w:pPr>
      <w:r>
        <w:rPr>
          <w:rFonts w:hint="eastAsia" w:ascii="方正仿宋_GBK" w:hAnsi="Times New Roman" w:eastAsia="方正仿宋_GBK"/>
          <w:sz w:val="32"/>
          <w:szCs w:val="32"/>
        </w:rPr>
        <w:t>孔雀石绿属于有毒的三苯甲烷类化学物，既是染料，也是杀灭真菌、细菌、寄生虫的药物。《动物性食品中兽药最高残留限量》（农业部公告 第235号）中规定，孔雀石绿为禁止使用的药物，在动物性食品中不得检出。淡水鱼中检出孔雀石绿的原因，可能是养殖户在养殖过程中违规使用相关兽药。食用检出孔雀石绿的食品，可能对人体造成潜在的致癌、致畸、致突变等危害。</w:t>
      </w:r>
    </w:p>
    <w:p>
      <w:pPr>
        <w:spacing w:line="600" w:lineRule="exact"/>
        <w:ind w:firstLine="640" w:firstLineChars="200"/>
        <w:rPr>
          <w:rFonts w:hint="eastAsia" w:eastAsia="黑体"/>
          <w:sz w:val="32"/>
          <w:szCs w:val="32"/>
          <w:lang w:val="en-US" w:eastAsia="zh-CN"/>
        </w:rPr>
      </w:pPr>
      <w:r>
        <w:rPr>
          <w:rFonts w:hint="eastAsia" w:eastAsia="黑体"/>
          <w:sz w:val="32"/>
          <w:szCs w:val="32"/>
          <w:lang w:val="en-US" w:eastAsia="zh-CN"/>
        </w:rPr>
        <w:t>十一</w:t>
      </w:r>
      <w:r>
        <w:rPr>
          <w:rFonts w:hint="eastAsia" w:eastAsia="黑体"/>
          <w:sz w:val="32"/>
          <w:szCs w:val="32"/>
        </w:rPr>
        <w:t>、</w:t>
      </w:r>
      <w:r>
        <w:rPr>
          <w:rFonts w:hint="eastAsia" w:eastAsia="黑体"/>
          <w:sz w:val="32"/>
          <w:szCs w:val="32"/>
          <w:lang w:val="en-US" w:eastAsia="zh-CN"/>
        </w:rPr>
        <w:t>克百威</w:t>
      </w:r>
    </w:p>
    <w:p>
      <w:pPr>
        <w:spacing w:line="570" w:lineRule="exact"/>
        <w:ind w:firstLine="640" w:firstLineChars="200"/>
        <w:rPr>
          <w:rFonts w:hint="eastAsia" w:ascii="方正仿宋_GBK" w:hAnsi="Times New Roman" w:eastAsia="方正仿宋_GBK"/>
          <w:sz w:val="32"/>
          <w:szCs w:val="32"/>
        </w:rPr>
      </w:pPr>
      <w:r>
        <w:rPr>
          <w:rFonts w:hint="eastAsia" w:ascii="方正仿宋_GBK" w:hAnsi="Times New Roman" w:eastAsia="方正仿宋_GBK"/>
          <w:sz w:val="32"/>
          <w:szCs w:val="32"/>
        </w:rPr>
        <w:t>克百威是一种广谱、高效、低残留、高毒性的氨基甲酸酯类杀虫、杀螨、杀线虫剂，具有内吸、触杀、胃毒作用，并有一定的杀卵作用。《食品安全国家标准食品中农药最大残留限量》（GB 2763—2016）中规定，克百威在豆类蔬菜和叶菜类蔬菜中的最大残留限量均为0.02mg/kg。克百威不易降解，容易造成环境污染。少量的农药残留不会引起人体急性中毒，但长期食用农药残留超标的食品，对人体健康有一定影响。</w:t>
      </w:r>
    </w:p>
    <w:p>
      <w:pPr>
        <w:spacing w:line="600" w:lineRule="exact"/>
        <w:ind w:firstLine="640" w:firstLineChars="200"/>
        <w:rPr>
          <w:rFonts w:hint="eastAsia" w:eastAsia="黑体"/>
          <w:sz w:val="32"/>
          <w:szCs w:val="32"/>
          <w:lang w:val="en-US" w:eastAsia="zh-CN"/>
        </w:rPr>
      </w:pPr>
      <w:r>
        <w:rPr>
          <w:rFonts w:hint="eastAsia" w:eastAsia="黑体"/>
          <w:sz w:val="32"/>
          <w:szCs w:val="32"/>
          <w:lang w:val="en-US" w:eastAsia="zh-CN"/>
        </w:rPr>
        <w:t>十二</w:t>
      </w:r>
      <w:r>
        <w:rPr>
          <w:rFonts w:hint="eastAsia" w:eastAsia="黑体"/>
          <w:sz w:val="32"/>
          <w:szCs w:val="32"/>
        </w:rPr>
        <w:t>、</w:t>
      </w:r>
      <w:r>
        <w:rPr>
          <w:rFonts w:hint="eastAsia" w:eastAsia="黑体"/>
          <w:sz w:val="32"/>
          <w:szCs w:val="32"/>
          <w:lang w:val="en-US" w:eastAsia="zh-CN"/>
        </w:rPr>
        <w:t>腐霉利</w:t>
      </w:r>
    </w:p>
    <w:p>
      <w:pPr>
        <w:spacing w:line="570" w:lineRule="exact"/>
        <w:ind w:firstLine="640" w:firstLineChars="200"/>
        <w:rPr>
          <w:rFonts w:hint="eastAsia" w:ascii="方正仿宋_GBK" w:hAnsi="Times New Roman" w:eastAsia="方正仿宋_GBK"/>
          <w:sz w:val="32"/>
          <w:szCs w:val="32"/>
        </w:rPr>
      </w:pPr>
      <w:r>
        <w:rPr>
          <w:rFonts w:hint="eastAsia" w:ascii="方正仿宋_GBK" w:hAnsi="Times New Roman" w:eastAsia="方正仿宋_GBK"/>
          <w:sz w:val="32"/>
          <w:szCs w:val="32"/>
        </w:rPr>
        <w:t>霉利是一种低毒内吸性杀菌剂，具有保护和治疗双重作用，主要用于蔬菜及果树的灰霉病防治。《食品安全国家标准食品中农药最大残留限量》（GB 2763—2016）中规定，腐霉利在韭菜中的最大残留限量为0.2mg/kg。少量的农药残留不会引起人体急性中毒，但长期食用农药残留超标的食品，对人体健康有一定影响。</w:t>
      </w:r>
    </w:p>
    <w:p>
      <w:pPr>
        <w:spacing w:line="570" w:lineRule="exact"/>
        <w:ind w:firstLine="640" w:firstLineChars="200"/>
        <w:rPr>
          <w:rFonts w:hint="eastAsia" w:ascii="方正仿宋_GBK" w:hAnsi="Times New Roman" w:eastAsia="方正仿宋_GBK"/>
          <w:sz w:val="32"/>
          <w:szCs w:val="32"/>
        </w:rPr>
      </w:pPr>
      <w:bookmarkStart w:id="0" w:name="_GoBack"/>
      <w:bookmarkEnd w:id="0"/>
    </w:p>
    <w:p>
      <w:pPr>
        <w:spacing w:line="640" w:lineRule="exact"/>
        <w:ind w:firstLine="640" w:firstLineChars="200"/>
        <w:textAlignment w:val="baseline"/>
        <w:rPr>
          <w:rFonts w:hint="eastAsia" w:ascii="仿宋_GB2312" w:eastAsia="仿宋_GB2312"/>
          <w:sz w:val="32"/>
          <w:szCs w:val="32"/>
        </w:rPr>
      </w:pPr>
    </w:p>
    <w:p>
      <w:pPr>
        <w:spacing w:line="640" w:lineRule="exact"/>
        <w:ind w:firstLine="640" w:firstLineChars="200"/>
        <w:textAlignment w:val="baseline"/>
        <w:rPr>
          <w:rFonts w:hint="eastAsia" w:ascii="仿宋_GB2312" w:eastAsia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doNotExpandShiftReturn/>
    <w:adjustLineHeightInTable/>
    <w:useFELayout/>
    <w:doNotUseIndentAsNumberingTabStop/>
    <w:useAltKinsokuLineBreakRules/>
    <w:compatSetting w:name="compatibilityMode" w:uri="http://schemas.microsoft.com/office/word" w:val="12"/>
  </w:compat>
  <w:rsids>
    <w:rsidRoot w:val="00507955"/>
    <w:rsid w:val="00004AF7"/>
    <w:rsid w:val="0001200F"/>
    <w:rsid w:val="00093A1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1B66C7"/>
    <w:rsid w:val="003315E0"/>
    <w:rsid w:val="003337D7"/>
    <w:rsid w:val="00337EED"/>
    <w:rsid w:val="00345260"/>
    <w:rsid w:val="00352572"/>
    <w:rsid w:val="003D2E81"/>
    <w:rsid w:val="003F43A6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B6508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2770A"/>
    <w:rsid w:val="00C74245"/>
    <w:rsid w:val="00C904C0"/>
    <w:rsid w:val="00C93814"/>
    <w:rsid w:val="00CC2B2E"/>
    <w:rsid w:val="00D854CA"/>
    <w:rsid w:val="00DB42CD"/>
    <w:rsid w:val="00E95B17"/>
    <w:rsid w:val="00EB080C"/>
    <w:rsid w:val="00EB6150"/>
    <w:rsid w:val="00EC0E42"/>
    <w:rsid w:val="00ED73BA"/>
    <w:rsid w:val="00EE180D"/>
    <w:rsid w:val="00F66EA7"/>
    <w:rsid w:val="00F6775F"/>
    <w:rsid w:val="00F71F33"/>
    <w:rsid w:val="00F77CAB"/>
    <w:rsid w:val="01BF015D"/>
    <w:rsid w:val="02317036"/>
    <w:rsid w:val="02A446D8"/>
    <w:rsid w:val="03CD7816"/>
    <w:rsid w:val="05B075F0"/>
    <w:rsid w:val="0691681F"/>
    <w:rsid w:val="07503655"/>
    <w:rsid w:val="09613572"/>
    <w:rsid w:val="098168D4"/>
    <w:rsid w:val="09E0572E"/>
    <w:rsid w:val="0A4011CE"/>
    <w:rsid w:val="0B443F79"/>
    <w:rsid w:val="0B505CFE"/>
    <w:rsid w:val="0BD14C97"/>
    <w:rsid w:val="0CCE6341"/>
    <w:rsid w:val="0D4279C5"/>
    <w:rsid w:val="0D852F3F"/>
    <w:rsid w:val="0E284B04"/>
    <w:rsid w:val="0EC12409"/>
    <w:rsid w:val="0F8E03D8"/>
    <w:rsid w:val="0FC01C62"/>
    <w:rsid w:val="107C1AA5"/>
    <w:rsid w:val="11F95E33"/>
    <w:rsid w:val="12675480"/>
    <w:rsid w:val="12F708C4"/>
    <w:rsid w:val="135073F9"/>
    <w:rsid w:val="14FB2159"/>
    <w:rsid w:val="153E37EC"/>
    <w:rsid w:val="155E31D5"/>
    <w:rsid w:val="15AB53B7"/>
    <w:rsid w:val="15F15749"/>
    <w:rsid w:val="15F30177"/>
    <w:rsid w:val="164271B3"/>
    <w:rsid w:val="166923CF"/>
    <w:rsid w:val="16C74C86"/>
    <w:rsid w:val="16E15A77"/>
    <w:rsid w:val="17BC2306"/>
    <w:rsid w:val="187D413F"/>
    <w:rsid w:val="18CE1A06"/>
    <w:rsid w:val="19D1085A"/>
    <w:rsid w:val="1A6251F7"/>
    <w:rsid w:val="1ACE2642"/>
    <w:rsid w:val="1BAC2C7B"/>
    <w:rsid w:val="1BAD4A7C"/>
    <w:rsid w:val="1C1845BD"/>
    <w:rsid w:val="1CB27E9B"/>
    <w:rsid w:val="1DAD3FFF"/>
    <w:rsid w:val="1DFF41B9"/>
    <w:rsid w:val="20732975"/>
    <w:rsid w:val="207F2166"/>
    <w:rsid w:val="209E7837"/>
    <w:rsid w:val="20DD5D1B"/>
    <w:rsid w:val="21296D82"/>
    <w:rsid w:val="21EF72E6"/>
    <w:rsid w:val="227B2998"/>
    <w:rsid w:val="22BF0461"/>
    <w:rsid w:val="22DF1FFB"/>
    <w:rsid w:val="239D0E6B"/>
    <w:rsid w:val="24B573DE"/>
    <w:rsid w:val="25481A61"/>
    <w:rsid w:val="25915938"/>
    <w:rsid w:val="25A92365"/>
    <w:rsid w:val="261F7110"/>
    <w:rsid w:val="26A0668D"/>
    <w:rsid w:val="26AB6C21"/>
    <w:rsid w:val="27332D86"/>
    <w:rsid w:val="27727CA4"/>
    <w:rsid w:val="27F74C72"/>
    <w:rsid w:val="28523597"/>
    <w:rsid w:val="28600ED5"/>
    <w:rsid w:val="28E51ADB"/>
    <w:rsid w:val="290E4770"/>
    <w:rsid w:val="29877500"/>
    <w:rsid w:val="2A066B4A"/>
    <w:rsid w:val="2A0F4184"/>
    <w:rsid w:val="2AB22B74"/>
    <w:rsid w:val="2C3F5D84"/>
    <w:rsid w:val="2D1F4EB4"/>
    <w:rsid w:val="2D7D65C0"/>
    <w:rsid w:val="2E485BC9"/>
    <w:rsid w:val="2EE02088"/>
    <w:rsid w:val="2EEE4150"/>
    <w:rsid w:val="2F9200D3"/>
    <w:rsid w:val="30C52F74"/>
    <w:rsid w:val="31390AFB"/>
    <w:rsid w:val="31727237"/>
    <w:rsid w:val="31B04CB9"/>
    <w:rsid w:val="31E4442C"/>
    <w:rsid w:val="31F75EEE"/>
    <w:rsid w:val="320944EF"/>
    <w:rsid w:val="32671426"/>
    <w:rsid w:val="32B12BD0"/>
    <w:rsid w:val="36731FE9"/>
    <w:rsid w:val="36970865"/>
    <w:rsid w:val="37246F64"/>
    <w:rsid w:val="372F7CA3"/>
    <w:rsid w:val="37975EBC"/>
    <w:rsid w:val="37980617"/>
    <w:rsid w:val="37D8062F"/>
    <w:rsid w:val="37F96A05"/>
    <w:rsid w:val="383060A2"/>
    <w:rsid w:val="38353C2B"/>
    <w:rsid w:val="38642EE5"/>
    <w:rsid w:val="39666407"/>
    <w:rsid w:val="39AF2A0A"/>
    <w:rsid w:val="3A4867CA"/>
    <w:rsid w:val="3AA9213C"/>
    <w:rsid w:val="3B6949B8"/>
    <w:rsid w:val="3C336B2B"/>
    <w:rsid w:val="3C87360C"/>
    <w:rsid w:val="3CB50E22"/>
    <w:rsid w:val="3D1B4412"/>
    <w:rsid w:val="3D625FAB"/>
    <w:rsid w:val="3D8F3232"/>
    <w:rsid w:val="3E3A3BD1"/>
    <w:rsid w:val="3E793D02"/>
    <w:rsid w:val="3E974FD9"/>
    <w:rsid w:val="3EDA71BD"/>
    <w:rsid w:val="3F944EF2"/>
    <w:rsid w:val="40787187"/>
    <w:rsid w:val="40AC1C6B"/>
    <w:rsid w:val="40B86FDC"/>
    <w:rsid w:val="42400E64"/>
    <w:rsid w:val="424F41F3"/>
    <w:rsid w:val="425665EF"/>
    <w:rsid w:val="426A0D65"/>
    <w:rsid w:val="445D67A1"/>
    <w:rsid w:val="44F63D12"/>
    <w:rsid w:val="452A1919"/>
    <w:rsid w:val="45B97969"/>
    <w:rsid w:val="47492C28"/>
    <w:rsid w:val="48DA31FD"/>
    <w:rsid w:val="494214A7"/>
    <w:rsid w:val="4B5049B4"/>
    <w:rsid w:val="4B8C27BB"/>
    <w:rsid w:val="4BC137FA"/>
    <w:rsid w:val="4C297156"/>
    <w:rsid w:val="4C967FAF"/>
    <w:rsid w:val="4CCB074B"/>
    <w:rsid w:val="4D8A2EE5"/>
    <w:rsid w:val="4D9B4661"/>
    <w:rsid w:val="4E0B1BC2"/>
    <w:rsid w:val="4E8C7012"/>
    <w:rsid w:val="4EED2BC8"/>
    <w:rsid w:val="4F932387"/>
    <w:rsid w:val="4FAB5F46"/>
    <w:rsid w:val="4FD51D87"/>
    <w:rsid w:val="50163F73"/>
    <w:rsid w:val="503C6412"/>
    <w:rsid w:val="50C17233"/>
    <w:rsid w:val="51896A13"/>
    <w:rsid w:val="52190CA4"/>
    <w:rsid w:val="5240187B"/>
    <w:rsid w:val="52941F38"/>
    <w:rsid w:val="53B14415"/>
    <w:rsid w:val="5473169E"/>
    <w:rsid w:val="554D75AB"/>
    <w:rsid w:val="55BE0029"/>
    <w:rsid w:val="566F178F"/>
    <w:rsid w:val="58C52A1E"/>
    <w:rsid w:val="591702CA"/>
    <w:rsid w:val="59203A01"/>
    <w:rsid w:val="5AF17BBB"/>
    <w:rsid w:val="5B7936AC"/>
    <w:rsid w:val="5B8B3D37"/>
    <w:rsid w:val="5B9C406B"/>
    <w:rsid w:val="5BDC6E44"/>
    <w:rsid w:val="5C6258A4"/>
    <w:rsid w:val="5C9F00AC"/>
    <w:rsid w:val="5E82604C"/>
    <w:rsid w:val="5EB3567B"/>
    <w:rsid w:val="5FAC4190"/>
    <w:rsid w:val="5FB4017C"/>
    <w:rsid w:val="62106968"/>
    <w:rsid w:val="62733EE5"/>
    <w:rsid w:val="62A23EF9"/>
    <w:rsid w:val="62E64A8D"/>
    <w:rsid w:val="63E51096"/>
    <w:rsid w:val="645F7C77"/>
    <w:rsid w:val="647462D8"/>
    <w:rsid w:val="65A15091"/>
    <w:rsid w:val="66524DFC"/>
    <w:rsid w:val="66F73F16"/>
    <w:rsid w:val="67C1146A"/>
    <w:rsid w:val="67DF1954"/>
    <w:rsid w:val="67E22ABE"/>
    <w:rsid w:val="681A5C55"/>
    <w:rsid w:val="686B67ED"/>
    <w:rsid w:val="68B5161B"/>
    <w:rsid w:val="69B01F3D"/>
    <w:rsid w:val="6AE76F91"/>
    <w:rsid w:val="6B0A631F"/>
    <w:rsid w:val="6B2F57E8"/>
    <w:rsid w:val="6C0F37D0"/>
    <w:rsid w:val="6C2A5933"/>
    <w:rsid w:val="6C532497"/>
    <w:rsid w:val="6C6A3D48"/>
    <w:rsid w:val="6F703737"/>
    <w:rsid w:val="70433045"/>
    <w:rsid w:val="71236AF0"/>
    <w:rsid w:val="71A911C1"/>
    <w:rsid w:val="72C44654"/>
    <w:rsid w:val="730B7BD7"/>
    <w:rsid w:val="731C59A6"/>
    <w:rsid w:val="740B7597"/>
    <w:rsid w:val="75875DA7"/>
    <w:rsid w:val="75A57FA1"/>
    <w:rsid w:val="76077A0F"/>
    <w:rsid w:val="761E6838"/>
    <w:rsid w:val="76C43BAF"/>
    <w:rsid w:val="77450FC0"/>
    <w:rsid w:val="78516857"/>
    <w:rsid w:val="787917F5"/>
    <w:rsid w:val="79425C88"/>
    <w:rsid w:val="79E41CD7"/>
    <w:rsid w:val="7A27777B"/>
    <w:rsid w:val="7B5D2F26"/>
    <w:rsid w:val="7B7721FC"/>
    <w:rsid w:val="7C833972"/>
    <w:rsid w:val="7EA302B2"/>
    <w:rsid w:val="7F4D5AB1"/>
    <w:rsid w:val="7FAD489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uiPriority w:val="1"/>
  </w:style>
  <w:style w:type="table" w:default="1" w:styleId="9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ascii="Calibri" w:hAnsi="Calibri" w:cs="Times New Roman"/>
      <w:kern w:val="2"/>
      <w:sz w:val="21"/>
      <w:szCs w:val="22"/>
    </w:rPr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22"/>
    <w:semiHidden/>
    <w:unhideWhenUsed/>
    <w:qFormat/>
    <w:uiPriority w:val="99"/>
    <w:pPr>
      <w:spacing w:after="120"/>
    </w:pPr>
  </w:style>
  <w:style w:type="paragraph" w:styleId="3">
    <w:name w:val="Balloon Text"/>
    <w:basedOn w:val="1"/>
    <w:link w:val="21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7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8">
    <w:name w:val="Body Text First Indent"/>
    <w:basedOn w:val="2"/>
    <w:link w:val="23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1">
    <w:name w:val="Strong"/>
    <w:basedOn w:val="10"/>
    <w:qFormat/>
    <w:uiPriority w:val="22"/>
    <w:rPr>
      <w:b/>
      <w:bCs/>
    </w:rPr>
  </w:style>
  <w:style w:type="character" w:styleId="12">
    <w:name w:val="Followed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styleId="13">
    <w:name w:val="Emphasis"/>
    <w:qFormat/>
    <w:uiPriority w:val="20"/>
    <w:rPr>
      <w:i/>
      <w:iCs/>
    </w:rPr>
  </w:style>
  <w:style w:type="character" w:styleId="14">
    <w:name w:val="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5">
    <w:name w:val="页眉 Char"/>
    <w:basedOn w:val="10"/>
    <w:link w:val="5"/>
    <w:semiHidden/>
    <w:qFormat/>
    <w:uiPriority w:val="99"/>
    <w:rPr>
      <w:sz w:val="18"/>
      <w:szCs w:val="18"/>
    </w:rPr>
  </w:style>
  <w:style w:type="character" w:customStyle="1" w:styleId="16">
    <w:name w:val="页脚 Char"/>
    <w:basedOn w:val="10"/>
    <w:link w:val="4"/>
    <w:semiHidden/>
    <w:qFormat/>
    <w:uiPriority w:val="99"/>
    <w:rPr>
      <w:sz w:val="18"/>
      <w:szCs w:val="18"/>
    </w:rPr>
  </w:style>
  <w:style w:type="character" w:customStyle="1" w:styleId="17">
    <w:name w:val="apple-converted-space"/>
    <w:basedOn w:val="10"/>
    <w:qFormat/>
    <w:uiPriority w:val="0"/>
  </w:style>
  <w:style w:type="paragraph" w:customStyle="1" w:styleId="18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9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0">
    <w:name w:val="description"/>
    <w:basedOn w:val="10"/>
    <w:qFormat/>
    <w:uiPriority w:val="0"/>
  </w:style>
  <w:style w:type="character" w:customStyle="1" w:styleId="21">
    <w:name w:val="批注框文本 Char"/>
    <w:basedOn w:val="10"/>
    <w:link w:val="3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2">
    <w:name w:val="正文文本 Char"/>
    <w:basedOn w:val="10"/>
    <w:link w:val="2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3">
    <w:name w:val="正文首行缩进 Char"/>
    <w:basedOn w:val="22"/>
    <w:link w:val="8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4">
    <w:name w:val="不明显强调1"/>
    <w:basedOn w:val="10"/>
    <w:qFormat/>
    <w:uiPriority w:val="19"/>
    <w:rPr>
      <w:i/>
      <w:iCs/>
      <w:color w:val="7E7E7E" w:themeColor="text1" w:themeTint="80"/>
    </w:rPr>
  </w:style>
  <w:style w:type="paragraph" w:styleId="25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7">
    <w:name w:val="不明显强调2"/>
    <w:basedOn w:val="10"/>
    <w:qFormat/>
    <w:uiPriority w:val="19"/>
    <w:rPr>
      <w:i/>
      <w:iCs/>
      <w:color w:val="7E7E7E" w:themeColor="text1" w:themeTint="80"/>
    </w:rPr>
  </w:style>
  <w:style w:type="character" w:customStyle="1" w:styleId="28">
    <w:name w:val="不明显强调3"/>
    <w:basedOn w:val="10"/>
    <w:qFormat/>
    <w:uiPriority w:val="19"/>
    <w:rPr>
      <w:i/>
      <w:iCs/>
      <w:color w:val="7E7E7E" w:themeColor="text1" w:themeTint="8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4</Pages>
  <Words>321</Words>
  <Characters>1835</Characters>
  <Lines>15</Lines>
  <Paragraphs>4</Paragraphs>
  <TotalTime>2</TotalTime>
  <ScaleCrop>false</ScaleCrop>
  <LinksUpToDate>false</LinksUpToDate>
  <CharactersWithSpaces>2152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零点心晴</cp:lastModifiedBy>
  <cp:lastPrinted>2019-01-28T02:50:00Z</cp:lastPrinted>
  <dcterms:modified xsi:type="dcterms:W3CDTF">2019-12-09T02:37:36Z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  <property fmtid="{D5CDD505-2E9C-101B-9397-08002B2CF9AE}" pid="3" name="KSORubyTemplateID" linkTarget="0">
    <vt:lpwstr>6</vt:lpwstr>
  </property>
</Properties>
</file>