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855" w:leftChars="207" w:hanging="420" w:hangingChars="200"/>
        <w:jc w:val="right"/>
        <w:rPr>
          <w:rFonts w:hint="eastAsia"/>
        </w:rPr>
      </w:pPr>
      <w:r>
        <w:drawing>
          <wp:anchor distT="0" distB="0" distL="114300" distR="114300" simplePos="0" relativeHeight="251665408" behindDoc="1" locked="0" layoutInCell="1" allowOverlap="1">
            <wp:simplePos x="0" y="0"/>
            <wp:positionH relativeFrom="column">
              <wp:posOffset>3281680</wp:posOffset>
            </wp:positionH>
            <wp:positionV relativeFrom="paragraph">
              <wp:posOffset>58420</wp:posOffset>
            </wp:positionV>
            <wp:extent cx="2114550" cy="914400"/>
            <wp:effectExtent l="0" t="0" r="0" b="0"/>
            <wp:wrapTight wrapText="bothSides">
              <wp:wrapPolygon>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2114550" cy="914400"/>
                    </a:xfrm>
                    <a:prstGeom prst="rect">
                      <a:avLst/>
                    </a:prstGeom>
                    <a:noFill/>
                    <a:ln>
                      <a:noFill/>
                    </a:ln>
                  </pic:spPr>
                </pic:pic>
              </a:graphicData>
            </a:graphic>
          </wp:anchor>
        </w:drawing>
      </w:r>
    </w:p>
    <w:p>
      <w:pPr>
        <w:spacing w:line="240" w:lineRule="auto"/>
        <w:ind w:left="855" w:leftChars="207" w:hanging="420" w:hangingChars="200"/>
        <w:jc w:val="right"/>
        <w:rPr>
          <w:rFonts w:hint="eastAsia"/>
        </w:rPr>
      </w:pPr>
    </w:p>
    <w:p>
      <w:pPr>
        <w:spacing w:line="240" w:lineRule="auto"/>
        <w:ind w:left="855" w:leftChars="207" w:hanging="420" w:hangingChars="200"/>
        <w:jc w:val="right"/>
        <w:rPr>
          <w:rFonts w:hint="eastAsia"/>
        </w:rPr>
      </w:pPr>
    </w:p>
    <w:p>
      <w:pPr>
        <w:spacing w:line="240" w:lineRule="auto"/>
        <w:ind w:left="855" w:leftChars="207" w:hanging="420" w:hangingChars="200"/>
        <w:jc w:val="right"/>
        <w:rPr>
          <w:rFonts w:hint="eastAsia"/>
        </w:rPr>
      </w:pPr>
    </w:p>
    <w:p>
      <w:pPr>
        <w:spacing w:line="240" w:lineRule="auto"/>
        <w:ind w:left="855" w:leftChars="207" w:hanging="420" w:hangingChars="200"/>
        <w:jc w:val="right"/>
        <w:rPr>
          <w:rFonts w:hint="eastAsia"/>
        </w:rPr>
      </w:pPr>
    </w:p>
    <w:p>
      <w:pPr>
        <w:spacing w:line="240" w:lineRule="auto"/>
        <w:ind w:left="1878" w:leftChars="574" w:hanging="673" w:hangingChars="100"/>
        <w:jc w:val="both"/>
        <w:rPr>
          <w:rFonts w:hint="eastAsia" w:ascii="华文中宋" w:hAnsi="华文中宋" w:eastAsia="华文中宋" w:cs="华文中宋"/>
          <w:b/>
          <w:bCs w:val="0"/>
          <w:spacing w:val="0"/>
          <w:w w:val="120"/>
          <w:sz w:val="56"/>
          <w:szCs w:val="56"/>
        </w:rPr>
      </w:pPr>
      <w:r>
        <w:rPr>
          <w:rFonts w:hint="eastAsia" w:ascii="华文中宋" w:hAnsi="华文中宋" w:eastAsia="华文中宋" w:cs="华文中宋"/>
          <w:b/>
          <w:bCs w:val="0"/>
          <w:spacing w:val="0"/>
          <w:w w:val="120"/>
          <w:sz w:val="56"/>
          <w:szCs w:val="56"/>
        </w:rPr>
        <w:t>江苏省地方计量技术规范</w:t>
      </w:r>
    </w:p>
    <w:p>
      <w:pPr>
        <w:keepNext w:val="0"/>
        <w:keepLines w:val="0"/>
        <w:pageBreakBefore w:val="0"/>
        <w:widowControl w:val="0"/>
        <w:kinsoku/>
        <w:wordWrap/>
        <w:overflowPunct/>
        <w:topLinePunct w:val="0"/>
        <w:autoSpaceDE/>
        <w:autoSpaceDN/>
        <w:bidi w:val="0"/>
        <w:adjustRightInd/>
        <w:snapToGrid/>
        <w:spacing w:before="157" w:beforeLines="50" w:line="240" w:lineRule="auto"/>
        <w:ind w:firstLine="5880" w:firstLineChars="2100"/>
        <w:jc w:val="left"/>
        <w:textAlignment w:val="auto"/>
        <w:rPr>
          <w:rFonts w:hint="default" w:eastAsia="宋体"/>
          <w:sz w:val="28"/>
          <w:lang w:val="en-US" w:eastAsia="zh-CN"/>
        </w:rPr>
      </w:pPr>
      <w:r>
        <w:rPr>
          <w:sz w:val="28"/>
          <w:szCs w:val="28"/>
        </w:rPr>
        <w:t>JJF（</w:t>
      </w:r>
      <w:r>
        <w:rPr>
          <w:rFonts w:hint="eastAsia" w:ascii="黑体" w:hAnsi="黑体" w:eastAsia="黑体" w:cs="黑体"/>
          <w:sz w:val="28"/>
          <w:szCs w:val="28"/>
        </w:rPr>
        <w:t>苏</w:t>
      </w:r>
      <w:r>
        <w:rPr>
          <w:sz w:val="28"/>
          <w:szCs w:val="28"/>
        </w:rPr>
        <w:t>）</w:t>
      </w:r>
      <w:r>
        <w:rPr>
          <w:rFonts w:hint="eastAsia"/>
          <w:sz w:val="28"/>
          <w:szCs w:val="28"/>
          <w:lang w:val="en-US" w:eastAsia="zh-CN"/>
        </w:rPr>
        <w:t>XX</w:t>
      </w:r>
      <w:r>
        <w:rPr>
          <w:sz w:val="28"/>
          <w:szCs w:val="28"/>
        </w:rPr>
        <w:t>－20</w:t>
      </w:r>
      <w:r>
        <w:rPr>
          <w:rFonts w:hint="eastAsia"/>
          <w:sz w:val="28"/>
          <w:szCs w:val="28"/>
          <w:lang w:val="en-US" w:eastAsia="zh-CN"/>
        </w:rPr>
        <w:t>XX</w:t>
      </w:r>
    </w:p>
    <w:p>
      <w:pPr>
        <w:rPr>
          <w:rFonts w:hint="eastAsia"/>
          <w:sz w:val="28"/>
          <w:szCs w:val="28"/>
          <w:u w:val="thick"/>
        </w:rPr>
      </w:pPr>
      <w:r>
        <w:rPr>
          <w:kern w:val="0"/>
        </w:rPr>
        <w:pict>
          <v:line id="直接连接符 207" o:spid="_x0000_s1129" o:spt="20" style="position:absolute;left:0pt;margin-left:-0.1pt;margin-top:7.25pt;height:0.05pt;width:453.55pt;z-index:251664384;mso-width-relative:page;mso-height-relative:page;" filled="f" stroked="t" coordsize="21600,21600"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v:path arrowok="t"/>
            <v:fill on="f" focussize="0,0"/>
            <v:stroke color="#000000" joinstyle="round"/>
            <v:imagedata o:title=""/>
            <o:lock v:ext="edit" aspectratio="f"/>
          </v:line>
        </w:pict>
      </w:r>
      <w:r>
        <w:rPr>
          <w:rFonts w:hint="eastAsia" w:eastAsia="黑体"/>
          <w:sz w:val="28"/>
          <w:szCs w:val="28"/>
        </w:rPr>
        <w:t xml:space="preserve">                              </w:t>
      </w:r>
      <w:r>
        <w:rPr>
          <w:rFonts w:hint="eastAsia" w:eastAsia="黑体"/>
          <w:sz w:val="28"/>
          <w:szCs w:val="28"/>
          <w:lang w:val="en-US" w:eastAsia="zh-CN"/>
        </w:rPr>
        <w:t xml:space="preserve"> </w:t>
      </w:r>
      <w:r>
        <w:rPr>
          <w:rFonts w:hint="eastAsia" w:eastAsia="黑体"/>
          <w:sz w:val="28"/>
          <w:szCs w:val="28"/>
        </w:rPr>
        <w:t xml:space="preserve">      </w:t>
      </w:r>
      <w:r>
        <w:rPr>
          <w:rFonts w:eastAsia="黑体"/>
          <w:sz w:val="28"/>
          <w:szCs w:val="28"/>
        </w:rPr>
        <w:t xml:space="preserve">   </w:t>
      </w: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both"/>
        <w:rPr>
          <w:rFonts w:ascii="黑体" w:hAnsi="宋体" w:eastAsia="黑体"/>
          <w:b/>
          <w:sz w:val="21"/>
          <w:szCs w:val="21"/>
        </w:rPr>
      </w:pPr>
    </w:p>
    <w:p>
      <w:pPr>
        <w:jc w:val="center"/>
        <w:rPr>
          <w:rFonts w:ascii="黑体" w:eastAsia="黑体"/>
          <w:b w:val="0"/>
          <w:bCs w:val="0"/>
          <w:sz w:val="48"/>
          <w:szCs w:val="48"/>
        </w:rPr>
      </w:pPr>
      <w:r>
        <w:rPr>
          <w:rFonts w:hint="eastAsia" w:ascii="黑体" w:eastAsia="黑体"/>
          <w:b w:val="0"/>
          <w:bCs w:val="0"/>
          <w:sz w:val="48"/>
          <w:szCs w:val="48"/>
        </w:rPr>
        <w:t>显示屏闪烁率测定仪校准规范</w:t>
      </w: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24"/>
          <w:szCs w:val="24"/>
        </w:rPr>
      </w:pPr>
      <w:r>
        <w:rPr>
          <w:rFonts w:hint="eastAsia"/>
          <w:sz w:val="24"/>
          <w:szCs w:val="24"/>
        </w:rPr>
        <w:t xml:space="preserve"> Calibration Specification of Display Flicker Meters</w:t>
      </w:r>
    </w:p>
    <w:p>
      <w:pPr>
        <w:rPr>
          <w:szCs w:val="20"/>
        </w:rPr>
      </w:pPr>
    </w:p>
    <w:p>
      <w:pPr>
        <w:jc w:val="center"/>
        <w:rPr>
          <w:sz w:val="44"/>
          <w:szCs w:val="44"/>
        </w:rPr>
      </w:pPr>
      <w:r>
        <w:rPr>
          <w:rFonts w:hint="eastAsia"/>
          <w:sz w:val="44"/>
          <w:szCs w:val="44"/>
        </w:rPr>
        <w:t>(报批稿)</w:t>
      </w:r>
    </w:p>
    <w:p>
      <w:pPr>
        <w:rPr>
          <w:szCs w:val="20"/>
        </w:rPr>
      </w:pPr>
    </w:p>
    <w:p>
      <w:pPr>
        <w:spacing w:line="360" w:lineRule="auto"/>
        <w:rPr>
          <w:szCs w:val="20"/>
        </w:rPr>
      </w:pPr>
    </w:p>
    <w:p>
      <w:pPr>
        <w:spacing w:line="360" w:lineRule="auto"/>
        <w:rPr>
          <w:szCs w:val="20"/>
        </w:rPr>
      </w:pPr>
    </w:p>
    <w:p>
      <w:pPr>
        <w:spacing w:line="360" w:lineRule="auto"/>
        <w:rPr>
          <w:szCs w:val="20"/>
        </w:rPr>
      </w:pPr>
    </w:p>
    <w:p>
      <w:pPr>
        <w:spacing w:line="360" w:lineRule="auto"/>
        <w:rPr>
          <w:szCs w:val="20"/>
        </w:rPr>
      </w:pPr>
    </w:p>
    <w:p>
      <w:pPr>
        <w:spacing w:line="360" w:lineRule="auto"/>
        <w:rPr>
          <w:szCs w:val="20"/>
        </w:rPr>
      </w:pPr>
    </w:p>
    <w:p>
      <w:pPr>
        <w:spacing w:line="360" w:lineRule="auto"/>
        <w:rPr>
          <w:szCs w:val="20"/>
        </w:rPr>
      </w:pPr>
    </w:p>
    <w:p>
      <w:pPr>
        <w:spacing w:line="360" w:lineRule="auto"/>
        <w:rPr>
          <w:szCs w:val="20"/>
        </w:rPr>
      </w:pPr>
    </w:p>
    <w:p>
      <w:pPr>
        <w:spacing w:line="600" w:lineRule="auto"/>
        <w:jc w:val="center"/>
        <w:rPr>
          <w:rFonts w:eastAsia="黑体"/>
          <w:bCs/>
          <w:kern w:val="0"/>
          <w:sz w:val="24"/>
          <w:szCs w:val="24"/>
        </w:rPr>
      </w:pPr>
      <w:r>
        <w:rPr>
          <w:b/>
          <w:spacing w:val="60"/>
          <w:sz w:val="32"/>
        </w:rPr>
        <w:pict>
          <v:line id="直接连接符 206" o:spid="_x0000_s1130" o:spt="20" style="position:absolute;left:0pt;margin-left:0pt;margin-top:35pt;height:0.05pt;width:450pt;z-index:251666432;mso-width-relative:page;mso-height-relative:page;" filled="f" stroked="t" coordsize="21600,21600"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v:path arrowok="t"/>
            <v:fill on="f" focussize="0,0"/>
            <v:stroke weight="0.25pt" color="#000000" joinstyle="round"/>
            <v:imagedata o:title=""/>
            <o:lock v:ext="edit" aspectratio="f"/>
          </v:line>
        </w:pict>
      </w:r>
      <w:r>
        <w:rPr>
          <w:rFonts w:eastAsia="黑体"/>
          <w:kern w:val="0"/>
          <w:sz w:val="24"/>
          <w:szCs w:val="24"/>
        </w:rPr>
        <w:t>20</w:t>
      </w:r>
      <w:r>
        <w:rPr>
          <w:rFonts w:hint="eastAsia" w:eastAsia="黑体"/>
          <w:kern w:val="0"/>
          <w:sz w:val="24"/>
          <w:szCs w:val="24"/>
          <w:lang w:val="en-US" w:eastAsia="zh-CN"/>
        </w:rPr>
        <w:t>XX</w:t>
      </w:r>
      <w:r>
        <w:rPr>
          <w:rFonts w:eastAsia="黑体"/>
          <w:kern w:val="0"/>
          <w:sz w:val="24"/>
          <w:szCs w:val="24"/>
        </w:rPr>
        <w:t>-</w:t>
      </w:r>
      <w:r>
        <w:rPr>
          <w:rFonts w:hint="eastAsia" w:eastAsia="黑体"/>
          <w:kern w:val="0"/>
          <w:sz w:val="24"/>
          <w:szCs w:val="24"/>
          <w:lang w:val="en-US" w:eastAsia="zh-CN"/>
        </w:rPr>
        <w:t>XX</w:t>
      </w:r>
      <w:r>
        <w:rPr>
          <w:rFonts w:eastAsia="黑体"/>
          <w:kern w:val="0"/>
          <w:sz w:val="24"/>
          <w:szCs w:val="24"/>
        </w:rPr>
        <w:t>-</w:t>
      </w:r>
      <w:r>
        <w:rPr>
          <w:rFonts w:hint="eastAsia" w:eastAsia="黑体"/>
          <w:kern w:val="0"/>
          <w:sz w:val="24"/>
          <w:szCs w:val="24"/>
          <w:lang w:val="en-US" w:eastAsia="zh-CN"/>
        </w:rPr>
        <w:t>XX</w:t>
      </w:r>
      <w:r>
        <w:rPr>
          <w:rFonts w:eastAsia="黑体"/>
          <w:bCs/>
          <w:kern w:val="0"/>
          <w:sz w:val="24"/>
          <w:szCs w:val="24"/>
        </w:rPr>
        <w:t xml:space="preserve">发布    </w:t>
      </w:r>
      <w:r>
        <w:rPr>
          <w:rFonts w:hint="eastAsia" w:eastAsia="黑体"/>
          <w:bCs/>
          <w:kern w:val="0"/>
          <w:sz w:val="24"/>
          <w:szCs w:val="24"/>
        </w:rPr>
        <w:t xml:space="preserve">                 </w:t>
      </w:r>
      <w:r>
        <w:rPr>
          <w:rFonts w:eastAsia="黑体"/>
          <w:bCs/>
          <w:kern w:val="0"/>
          <w:sz w:val="24"/>
          <w:szCs w:val="24"/>
        </w:rPr>
        <w:t xml:space="preserve">    </w:t>
      </w:r>
      <w:r>
        <w:rPr>
          <w:rFonts w:hint="eastAsia" w:eastAsia="黑体"/>
          <w:bCs/>
          <w:kern w:val="0"/>
          <w:sz w:val="24"/>
          <w:szCs w:val="24"/>
          <w:lang w:val="en-US" w:eastAsia="zh-CN"/>
        </w:rPr>
        <w:t xml:space="preserve">   </w:t>
      </w:r>
      <w:r>
        <w:rPr>
          <w:rFonts w:eastAsia="黑体"/>
          <w:bCs/>
          <w:kern w:val="0"/>
          <w:sz w:val="24"/>
          <w:szCs w:val="24"/>
        </w:rPr>
        <w:t xml:space="preserve">               </w:t>
      </w:r>
      <w:r>
        <w:rPr>
          <w:rFonts w:eastAsia="黑体"/>
          <w:kern w:val="0"/>
          <w:sz w:val="24"/>
          <w:szCs w:val="24"/>
        </w:rPr>
        <w:t>20</w:t>
      </w:r>
      <w:r>
        <w:rPr>
          <w:rFonts w:hint="eastAsia" w:eastAsia="黑体"/>
          <w:kern w:val="0"/>
          <w:sz w:val="24"/>
          <w:szCs w:val="24"/>
          <w:lang w:val="en-US" w:eastAsia="zh-CN"/>
        </w:rPr>
        <w:t>XX</w:t>
      </w:r>
      <w:r>
        <w:rPr>
          <w:rFonts w:eastAsia="黑体"/>
          <w:kern w:val="0"/>
          <w:sz w:val="24"/>
          <w:szCs w:val="24"/>
        </w:rPr>
        <w:t>-</w:t>
      </w:r>
      <w:r>
        <w:rPr>
          <w:rFonts w:hint="eastAsia" w:eastAsia="黑体"/>
          <w:kern w:val="0"/>
          <w:sz w:val="24"/>
          <w:szCs w:val="24"/>
          <w:lang w:val="en-US" w:eastAsia="zh-CN"/>
        </w:rPr>
        <w:t>XX</w:t>
      </w:r>
      <w:r>
        <w:rPr>
          <w:rFonts w:eastAsia="黑体"/>
          <w:kern w:val="0"/>
          <w:sz w:val="24"/>
          <w:szCs w:val="24"/>
        </w:rPr>
        <w:t>-</w:t>
      </w:r>
      <w:r>
        <w:rPr>
          <w:rFonts w:hint="eastAsia" w:eastAsia="黑体"/>
          <w:kern w:val="0"/>
          <w:sz w:val="24"/>
          <w:szCs w:val="24"/>
          <w:lang w:val="en-US" w:eastAsia="zh-CN"/>
        </w:rPr>
        <w:t>XX</w:t>
      </w:r>
      <w:r>
        <w:rPr>
          <w:rFonts w:eastAsia="黑体"/>
          <w:bCs/>
          <w:kern w:val="0"/>
          <w:sz w:val="24"/>
          <w:szCs w:val="24"/>
        </w:rPr>
        <w:t>实施</w:t>
      </w:r>
    </w:p>
    <w:p>
      <w:pPr>
        <w:tabs>
          <w:tab w:val="left" w:pos="8364"/>
        </w:tabs>
        <w:ind w:right="708" w:rightChars="337"/>
        <w:jc w:val="center"/>
        <w:rPr>
          <w:b/>
          <w:kern w:val="0"/>
          <w:sz w:val="24"/>
        </w:rPr>
      </w:pPr>
      <w:r>
        <w:rPr>
          <w:rFonts w:hint="eastAsia"/>
          <w:b/>
          <w:spacing w:val="60"/>
          <w:w w:val="120"/>
          <w:sz w:val="32"/>
        </w:rPr>
        <w:t>江苏省市场监督管理局</w:t>
      </w:r>
      <w:r>
        <w:rPr>
          <w:rFonts w:hint="eastAsia"/>
        </w:rPr>
        <w:t xml:space="preserve">  </w:t>
      </w:r>
      <w:r>
        <w:rPr>
          <w:rFonts w:hint="eastAsia" w:ascii="黑体" w:hAnsi="黑体" w:eastAsia="黑体"/>
          <w:sz w:val="28"/>
        </w:rPr>
        <w:t>发 布</w:t>
      </w:r>
      <w:r>
        <w:rPr>
          <w:b/>
          <w:kern w:val="0"/>
          <w:sz w:val="24"/>
        </w:rPr>
        <w:br w:type="page"/>
      </w:r>
    </w:p>
    <w:p>
      <w:pPr>
        <w:keepNext w:val="0"/>
        <w:keepLines w:val="0"/>
        <w:pageBreakBefore w:val="0"/>
        <w:widowControl w:val="0"/>
        <w:tabs>
          <w:tab w:val="left" w:pos="9252"/>
        </w:tabs>
        <w:kinsoku/>
        <w:wordWrap/>
        <w:overflowPunct/>
        <w:topLinePunct w:val="0"/>
        <w:autoSpaceDE/>
        <w:autoSpaceDN/>
        <w:bidi w:val="0"/>
        <w:adjustRightInd/>
        <w:snapToGrid/>
        <w:spacing w:line="240" w:lineRule="auto"/>
        <w:ind w:right="-647" w:rightChars="-308" w:firstLine="315" w:firstLineChars="150"/>
        <w:textAlignment w:val="auto"/>
        <w:rPr>
          <w:rFonts w:hint="eastAsia" w:ascii="黑体" w:eastAsia="黑体"/>
          <w:b w:val="0"/>
          <w:bCs/>
          <w:sz w:val="21"/>
          <w:szCs w:val="21"/>
        </w:rPr>
      </w:pPr>
    </w:p>
    <w:p>
      <w:pPr>
        <w:keepNext w:val="0"/>
        <w:keepLines w:val="0"/>
        <w:pageBreakBefore w:val="0"/>
        <w:widowControl w:val="0"/>
        <w:tabs>
          <w:tab w:val="left" w:pos="9252"/>
        </w:tabs>
        <w:kinsoku/>
        <w:wordWrap/>
        <w:overflowPunct/>
        <w:topLinePunct w:val="0"/>
        <w:autoSpaceDE/>
        <w:autoSpaceDN/>
        <w:bidi w:val="0"/>
        <w:adjustRightInd/>
        <w:snapToGrid/>
        <w:spacing w:line="240" w:lineRule="auto"/>
        <w:ind w:right="-647" w:rightChars="-308" w:firstLine="660" w:firstLineChars="150"/>
        <w:textAlignment w:val="auto"/>
        <w:rPr>
          <w:rFonts w:ascii="黑体" w:eastAsia="黑体"/>
          <w:b w:val="0"/>
          <w:bCs/>
          <w:sz w:val="44"/>
          <w:szCs w:val="48"/>
        </w:rPr>
      </w:pPr>
      <w:r>
        <w:rPr>
          <w:rFonts w:hint="eastAsia" w:ascii="黑体" w:eastAsia="黑体"/>
          <w:b w:val="0"/>
          <w:bCs/>
          <w:kern w:val="0"/>
          <w:sz w:val="44"/>
          <w:szCs w:val="44"/>
        </w:rPr>
        <w:pict>
          <v:roundrect id="圆角矩形 6" o:spid="_x0000_s1131" o:spt="2" style="position:absolute;left:0pt;margin-left:287.25pt;margin-top:22.9pt;height:72pt;width:154.95pt;mso-wrap-distance-left:9pt;mso-wrap-distance-right:9pt;z-index:-251649024;mso-width-relative:page;mso-height-relative:page;" fillcolor="#FFFFFF" filled="t" stroked="t" coordsize="21600,21600" wrapcoords="20843 -2 748 0 0 1611 0 3600 0 18000 0 19988 748 21600 20843 21602 756 21602 20851 21600 21600 19988 21600 18000 21600 3600 21600 1611 20851 0 756 -2 20843 -2" arcsize="0.166666666666667"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La4wTC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iwGpcYaaKg&#10;4TefP/769unnl+83P76iMibUW18B8NpeuXHloYx2h8ap+AtG0FDjWb44mxaQ7aHG89l8cX42JsyH&#10;gCgAikV5flHOMaKAWBSzWZ4A2R2TdT685EahWNTYmZ1mb6GNKV2yf+VDipmNYgn7gFGjJDRtTyQq&#10;yrI8j5KBcQRD9Ycz7vRGCrYRUqaFa7fPpUOwtcabdI2bH8CkRn3Uns/BGiUw9A0MG5TKQnBet0nc&#10;gy3+PnOern8xR2Vr4rujAgZVRJGq44S90AyFg4WOaDiIOEpQnGEkOZzbWCVkIEKegoQYpIZcYi+P&#10;3YtVGLbD2NKtYQcYhZ11ou0g+SLpjSAYvRToeEzibN9fJ9K7T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trjBMLwIAAGIEAAAOAAAAAAAAAAEAIAAAACQBAABkcnMvZTJvRG9jLnhtbFBL&#10;BQYAAAAABgAGAFkBAADFBQAAAAA=&#10;">
            <v:path/>
            <v:fill on="t" focussize="0,0"/>
            <v:stroke weight="1.5pt" color="#000000" joinstyle="round" dashstyle="dash"/>
            <v:imagedata o:title=""/>
            <o:lock v:ext="edit" aspectratio="f"/>
            <v:textbox>
              <w:txbxContent>
                <w:p>
                  <w:pPr>
                    <w:spacing w:before="156" w:beforeLines="50"/>
                    <w:ind w:left="17" w:leftChars="-52" w:right="-174" w:rightChars="-83" w:hanging="126" w:hangingChars="45"/>
                    <w:jc w:val="center"/>
                    <w:rPr>
                      <w:rFonts w:hint="default" w:eastAsia="黑体"/>
                      <w:sz w:val="28"/>
                      <w:lang w:val="en-US" w:eastAsia="zh-CN"/>
                    </w:rPr>
                  </w:pPr>
                  <w:r>
                    <w:rPr>
                      <w:rFonts w:eastAsia="黑体"/>
                      <w:sz w:val="28"/>
                    </w:rPr>
                    <w:t>JJF(苏)</w:t>
                  </w:r>
                  <w:r>
                    <w:rPr>
                      <w:rFonts w:hint="eastAsia" w:eastAsia="黑体"/>
                      <w:sz w:val="28"/>
                      <w:lang w:val="en-US" w:eastAsia="zh-CN"/>
                    </w:rPr>
                    <w:t>XXX</w:t>
                  </w:r>
                  <w:r>
                    <w:rPr>
                      <w:rFonts w:eastAsia="黑体"/>
                      <w:sz w:val="28"/>
                    </w:rPr>
                    <w:t xml:space="preserve"> — </w:t>
                  </w:r>
                  <w:r>
                    <w:rPr>
                      <w:rFonts w:hint="eastAsia" w:eastAsia="黑体"/>
                      <w:sz w:val="28"/>
                      <w:lang w:val="en-US" w:eastAsia="zh-CN"/>
                    </w:rPr>
                    <w:t>20XX</w:t>
                  </w:r>
                </w:p>
              </w:txbxContent>
            </v:textbox>
            <w10:wrap type="through"/>
          </v:roundrect>
        </w:pict>
      </w:r>
      <w:r>
        <w:rPr>
          <w:rFonts w:hint="eastAsia" w:ascii="黑体" w:eastAsia="黑体"/>
          <w:b w:val="0"/>
          <w:bCs/>
          <w:sz w:val="44"/>
          <w:szCs w:val="48"/>
        </w:rPr>
        <w:t>显示屏闪烁率测定仪</w:t>
      </w:r>
    </w:p>
    <w:p>
      <w:pPr>
        <w:keepNext w:val="0"/>
        <w:keepLines w:val="0"/>
        <w:pageBreakBefore w:val="0"/>
        <w:widowControl w:val="0"/>
        <w:tabs>
          <w:tab w:val="left" w:pos="9252"/>
        </w:tabs>
        <w:kinsoku/>
        <w:wordWrap/>
        <w:overflowPunct/>
        <w:topLinePunct w:val="0"/>
        <w:autoSpaceDE/>
        <w:autoSpaceDN/>
        <w:bidi w:val="0"/>
        <w:adjustRightInd/>
        <w:snapToGrid/>
        <w:spacing w:line="600" w:lineRule="exact"/>
        <w:ind w:left="0" w:leftChars="0" w:right="-647" w:rightChars="-308" w:firstLine="1676" w:firstLineChars="381"/>
        <w:textAlignment w:val="auto"/>
        <w:rPr>
          <w:rFonts w:ascii="黑体" w:eastAsia="黑体"/>
          <w:b w:val="0"/>
          <w:bCs/>
          <w:sz w:val="44"/>
          <w:szCs w:val="48"/>
        </w:rPr>
      </w:pPr>
      <w:r>
        <w:rPr>
          <w:rFonts w:hint="eastAsia" w:ascii="黑体" w:eastAsia="黑体"/>
          <w:b w:val="0"/>
          <w:bCs/>
          <w:sz w:val="44"/>
          <w:szCs w:val="48"/>
        </w:rPr>
        <w:t>校准规范</w:t>
      </w:r>
    </w:p>
    <w:p>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sz w:val="28"/>
          <w:szCs w:val="28"/>
        </w:rPr>
      </w:pPr>
      <w:r>
        <w:rPr>
          <w:rFonts w:hint="eastAsia"/>
          <w:sz w:val="28"/>
          <w:szCs w:val="28"/>
        </w:rPr>
        <w:t xml:space="preserve">Calibration Specification of </w:t>
      </w:r>
    </w:p>
    <w:p>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sz w:val="28"/>
          <w:szCs w:val="28"/>
        </w:rPr>
      </w:pPr>
      <w:r>
        <w:rPr>
          <w:sz w:val="28"/>
          <w:szCs w:val="28"/>
        </w:rPr>
        <w:t>Display Flicker Meters</w:t>
      </w:r>
    </w:p>
    <w:p>
      <w:r>
        <w:pict>
          <v:line id="Line 3" o:spid="_x0000_s1088" o:spt="20" style="position:absolute;left:0pt;flip:y;margin-left:3pt;margin-top:7.9pt;height:0pt;width:450.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Jk6GQIAADM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DGaXY6RI&#10;BzNaC8XRQ2hNb1wBEZXa2FAcPaons9b0u0NKVy1ROx4pPp8MpGUhI3mVEjbOwAXb/rNmEEP2Xsc+&#10;HRvboUYK8xISAzj0Ah3jYE63wfCjRxQOx/l0kqcwP3r1JaQIECHRWOc/cd2hYJRYAvsISA5r5wOl&#10;3yEhXOmVkDLOXSrUl3g2Ho1jgtNSsOAMYc7utpW06ECCcuIX6wPPfZjVe8UiWMsJW15sT4Q823C5&#10;VAEPSgE6F+ssjR+zdLacLqf5IB9NloM8revBx1WVDyar7MO4fqirqs5+BmpZXrSCMa4Cu6tMs/xt&#10;Mrg8mLPAbkK9tSF5jR77BWSv/0g6TjUM8iyJrWanjb1OG5QZgy+vKEj/fg/2/Vtf/AIAAP//AwBQ&#10;SwMEFAAGAAgAAAAhAGeJYtnZAAAABgEAAA8AAABkcnMvZG93bnJldi54bWxMj0FPwzAMhe9I/IfI&#10;SNxYykDT6JpOEwIuSEiMsrPbmLYicaom68q/x4gD3Gw/673vFdvZOzXRGPvABq4XGSjiJtieWwPV&#10;2+PVGlRMyBZdYDLwRRG25flZgbkNJ36laZ9aJSYcczTQpTTkWsemI49xEQZi0T7C6DHJOrbajngS&#10;c+/0MstW2mPPktDhQPcdNZ/7ozewOzw/3LxMtQ/O3rXVu/VV9rQ05vJi3m1AJZrT3zP84As6lMJU&#10;hyPbqJwBKZIMSAYoUderWxnq34MuC/0fv/wGAAD//wMAUEsBAi0AFAAGAAgAAAAhALaDOJL+AAAA&#10;4QEAABMAAAAAAAAAAAAAAAAAAAAAAFtDb250ZW50X1R5cGVzXS54bWxQSwECLQAUAAYACAAAACEA&#10;OP0h/9YAAACUAQAACwAAAAAAAAAAAAAAAAAvAQAAX3JlbHMvLnJlbHNQSwECLQAUAAYACAAAACEA&#10;ewSZOhkCAAAzBAAADgAAAAAAAAAAAAAAAAAuAgAAZHJzL2Uyb0RvYy54bWxQSwECLQAUAAYACAAA&#10;ACEAZ4li2dkAAAAGAQAADwAAAAAAAAAAAAAAAABzBAAAZHJzL2Rvd25yZXYueG1sUEsFBgAAAAAE&#10;AAQA8wAAAHkFAAAAAA==&#10;">
            <v:path arrowok="t"/>
            <v:fill on="f" focussize="0,0"/>
            <v:stroke color="#000000"/>
            <v:imagedata o:title=""/>
            <o:lock v:ext="edit" aspectratio="f"/>
          </v:line>
        </w:pict>
      </w:r>
    </w:p>
    <w:p>
      <w:pPr>
        <w:pStyle w:val="23"/>
        <w:spacing w:line="500" w:lineRule="exact"/>
        <w:ind w:firstLine="560" w:firstLineChars="200"/>
        <w:rPr>
          <w:rFonts w:hint="default" w:hAnsi="宋体"/>
          <w:sz w:val="28"/>
          <w:szCs w:val="28"/>
        </w:rPr>
      </w:pPr>
      <w:r>
        <w:rPr>
          <w:rFonts w:hAnsi="宋体"/>
          <w:sz w:val="28"/>
          <w:szCs w:val="28"/>
        </w:rPr>
        <w:t>本规范经江苏省市场监督管理局于</w:t>
      </w:r>
      <w:r>
        <w:rPr>
          <w:rFonts w:ascii="黑体" w:hAnsi="宋体" w:eastAsia="黑体"/>
          <w:sz w:val="28"/>
          <w:szCs w:val="28"/>
        </w:rPr>
        <w:t>XXXX</w:t>
      </w:r>
      <w:r>
        <w:rPr>
          <w:rFonts w:hAnsi="宋体"/>
          <w:sz w:val="28"/>
          <w:szCs w:val="28"/>
        </w:rPr>
        <w:t>年</w:t>
      </w:r>
      <w:r>
        <w:rPr>
          <w:rFonts w:ascii="黑体" w:hAnsi="宋体" w:eastAsia="黑体"/>
          <w:sz w:val="28"/>
          <w:szCs w:val="28"/>
        </w:rPr>
        <w:t>XX</w:t>
      </w:r>
      <w:r>
        <w:rPr>
          <w:rFonts w:hAnsi="宋体"/>
          <w:sz w:val="28"/>
          <w:szCs w:val="28"/>
        </w:rPr>
        <w:t>月</w:t>
      </w:r>
      <w:r>
        <w:rPr>
          <w:rFonts w:ascii="黑体" w:hAnsi="宋体" w:eastAsia="黑体"/>
          <w:sz w:val="28"/>
          <w:szCs w:val="28"/>
        </w:rPr>
        <w:t>XX</w:t>
      </w:r>
      <w:r>
        <w:rPr>
          <w:rFonts w:hAnsi="宋体"/>
          <w:sz w:val="28"/>
          <w:szCs w:val="28"/>
        </w:rPr>
        <w:t>日批准，并自</w:t>
      </w:r>
      <w:r>
        <w:rPr>
          <w:rFonts w:ascii="黑体" w:hAnsi="宋体" w:eastAsia="黑体"/>
          <w:sz w:val="28"/>
          <w:szCs w:val="28"/>
        </w:rPr>
        <w:t>XXXX</w:t>
      </w:r>
      <w:r>
        <w:rPr>
          <w:rFonts w:hAnsi="宋体"/>
          <w:sz w:val="28"/>
          <w:szCs w:val="28"/>
        </w:rPr>
        <w:t>年</w:t>
      </w:r>
      <w:r>
        <w:rPr>
          <w:rFonts w:ascii="黑体" w:hAnsi="宋体" w:eastAsia="黑体"/>
          <w:sz w:val="28"/>
          <w:szCs w:val="28"/>
        </w:rPr>
        <w:t>XX</w:t>
      </w:r>
      <w:r>
        <w:rPr>
          <w:rFonts w:hAnsi="宋体"/>
          <w:sz w:val="28"/>
          <w:szCs w:val="28"/>
        </w:rPr>
        <w:t>月</w:t>
      </w:r>
      <w:r>
        <w:rPr>
          <w:rFonts w:ascii="黑体" w:hAnsi="宋体" w:eastAsia="黑体"/>
          <w:sz w:val="28"/>
          <w:szCs w:val="28"/>
        </w:rPr>
        <w:t>XX</w:t>
      </w:r>
      <w:r>
        <w:rPr>
          <w:rFonts w:hAnsi="宋体"/>
          <w:sz w:val="28"/>
          <w:szCs w:val="28"/>
        </w:rPr>
        <w:t>日起施行。</w:t>
      </w:r>
    </w:p>
    <w:p>
      <w:pPr>
        <w:pStyle w:val="23"/>
        <w:rPr>
          <w:rFonts w:hint="default" w:ascii="仿宋_GB2312" w:eastAsia="仿宋_GB2312"/>
          <w:sz w:val="24"/>
          <w:szCs w:val="28"/>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pStyle w:val="23"/>
        <w:rPr>
          <w:rFonts w:hint="default"/>
          <w:sz w:val="24"/>
        </w:rPr>
      </w:pPr>
    </w:p>
    <w:p>
      <w:pPr>
        <w:spacing w:line="360" w:lineRule="auto"/>
        <w:ind w:left="1680" w:leftChars="800" w:firstLine="0" w:firstLineChars="0"/>
        <w:rPr>
          <w:rFonts w:hint="eastAsia" w:ascii="Times New Roman" w:hAnsi="宋体"/>
          <w:sz w:val="28"/>
          <w:szCs w:val="28"/>
        </w:rPr>
      </w:pPr>
      <w:r>
        <w:rPr>
          <w:rFonts w:ascii="黑体" w:eastAsia="黑体"/>
          <w:spacing w:val="91"/>
          <w:sz w:val="28"/>
        </w:rPr>
        <w:t>归口单</w:t>
      </w:r>
      <w:r>
        <w:rPr>
          <w:rFonts w:ascii="黑体" w:eastAsia="黑体"/>
          <w:sz w:val="28"/>
        </w:rPr>
        <w:t>位：</w:t>
      </w:r>
      <w:r>
        <w:rPr>
          <w:rFonts w:ascii="Times New Roman" w:hAnsi="宋体"/>
          <w:sz w:val="28"/>
          <w:szCs w:val="28"/>
        </w:rPr>
        <w:t>江苏省</w:t>
      </w:r>
      <w:r>
        <w:rPr>
          <w:rFonts w:hint="eastAsia" w:ascii="Times New Roman" w:hAnsi="宋体"/>
          <w:sz w:val="28"/>
          <w:szCs w:val="28"/>
          <w:lang w:eastAsia="zh-CN"/>
        </w:rPr>
        <w:t>市场监督管理局</w:t>
      </w:r>
    </w:p>
    <w:p>
      <w:pPr>
        <w:pStyle w:val="23"/>
        <w:ind w:left="1680" w:leftChars="800" w:firstLine="0" w:firstLineChars="0"/>
        <w:rPr>
          <w:rFonts w:hint="default" w:ascii="黑体" w:eastAsia="黑体"/>
          <w:sz w:val="28"/>
        </w:rPr>
      </w:pPr>
      <w:r>
        <w:rPr>
          <w:rFonts w:ascii="黑体" w:eastAsia="黑体"/>
          <w:sz w:val="28"/>
        </w:rPr>
        <w:t>主要起草单位：</w:t>
      </w:r>
      <w:r>
        <w:rPr>
          <w:rFonts w:hAnsi="宋体"/>
          <w:sz w:val="28"/>
          <w:szCs w:val="24"/>
        </w:rPr>
        <w:t>苏州市计量测试院</w:t>
      </w:r>
    </w:p>
    <w:p>
      <w:pPr>
        <w:pStyle w:val="23"/>
        <w:ind w:left="2520" w:hanging="2520" w:hangingChars="900"/>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rPr>
          <w:rFonts w:hint="default" w:ascii="黑体" w:eastAsia="黑体"/>
          <w:sz w:val="28"/>
        </w:rPr>
      </w:pPr>
    </w:p>
    <w:p>
      <w:pPr>
        <w:pStyle w:val="23"/>
        <w:jc w:val="both"/>
        <w:rPr>
          <w:sz w:val="28"/>
          <w:szCs w:val="28"/>
        </w:rPr>
        <w:sectPr>
          <w:headerReference r:id="rId4" w:type="first"/>
          <w:headerReference r:id="rId3" w:type="default"/>
          <w:footerReference r:id="rId5" w:type="default"/>
          <w:footerReference r:id="rId6" w:type="even"/>
          <w:pgSz w:w="11906" w:h="16838"/>
          <w:pgMar w:top="1417" w:right="1417" w:bottom="1417" w:left="1417" w:header="851" w:footer="992" w:gutter="0"/>
          <w:paperSrc/>
          <w:pgNumType w:start="0"/>
          <w:cols w:space="0" w:num="1"/>
          <w:titlePg/>
          <w:rtlGutter w:val="0"/>
          <w:docGrid w:type="lines" w:linePitch="312" w:charSpace="0"/>
        </w:sectPr>
      </w:pPr>
      <w:r>
        <w:rPr>
          <w:sz w:val="28"/>
          <w:szCs w:val="28"/>
        </w:rPr>
        <w:t>本规范委托江苏省光学计量专业技术委员会负责解释</w:t>
      </w:r>
    </w:p>
    <w:p>
      <w:pPr>
        <w:pStyle w:val="23"/>
        <w:rPr>
          <w:rFonts w:hint="default"/>
        </w:rPr>
      </w:pPr>
    </w:p>
    <w:p>
      <w:pPr>
        <w:spacing w:line="700" w:lineRule="exact"/>
        <w:rPr>
          <w:rFonts w:ascii="黑体" w:eastAsia="黑体"/>
          <w:sz w:val="28"/>
        </w:rPr>
      </w:pPr>
    </w:p>
    <w:p>
      <w:pPr>
        <w:spacing w:line="700" w:lineRule="exact"/>
        <w:rPr>
          <w:rFonts w:ascii="黑体" w:eastAsia="黑体"/>
          <w:sz w:val="28"/>
        </w:rPr>
      </w:pPr>
    </w:p>
    <w:p>
      <w:pPr>
        <w:spacing w:line="700" w:lineRule="exact"/>
        <w:rPr>
          <w:rFonts w:ascii="黑体" w:eastAsia="黑体"/>
          <w:sz w:val="28"/>
        </w:rPr>
      </w:pPr>
    </w:p>
    <w:p>
      <w:pPr>
        <w:spacing w:line="700" w:lineRule="exact"/>
        <w:rPr>
          <w:rFonts w:ascii="黑体" w:eastAsia="黑体"/>
          <w:sz w:val="28"/>
        </w:rPr>
      </w:pPr>
    </w:p>
    <w:p>
      <w:pPr>
        <w:spacing w:line="700" w:lineRule="exact"/>
        <w:rPr>
          <w:rFonts w:ascii="黑体" w:eastAsia="黑体"/>
          <w:sz w:val="28"/>
        </w:rPr>
      </w:pPr>
    </w:p>
    <w:p>
      <w:pPr>
        <w:spacing w:line="700" w:lineRule="exact"/>
        <w:ind w:left="1478" w:leftChars="704" w:firstLine="0" w:firstLineChars="0"/>
        <w:rPr>
          <w:rFonts w:ascii="黑体" w:eastAsia="黑体"/>
          <w:sz w:val="28"/>
        </w:rPr>
      </w:pPr>
      <w:r>
        <w:rPr>
          <w:rFonts w:hint="eastAsia" w:ascii="黑体" w:eastAsia="黑体"/>
          <w:sz w:val="28"/>
        </w:rPr>
        <w:t>本规范主要起草人：</w:t>
      </w:r>
    </w:p>
    <w:p>
      <w:pPr>
        <w:ind w:left="1478" w:leftChars="704" w:firstLine="1400" w:firstLineChars="500"/>
        <w:rPr>
          <w:rFonts w:hint="eastAsia" w:ascii="宋体" w:hAnsi="宋体" w:eastAsia="宋体" w:cs="宋体"/>
          <w:sz w:val="28"/>
        </w:rPr>
      </w:pPr>
      <w:r>
        <w:rPr>
          <w:rFonts w:hint="eastAsia" w:ascii="宋体" w:hAnsi="宋体" w:eastAsia="宋体" w:cs="宋体"/>
          <w:sz w:val="28"/>
        </w:rPr>
        <w:t>刘宏欣（苏州市计量测试院）</w:t>
      </w:r>
    </w:p>
    <w:p>
      <w:pPr>
        <w:ind w:left="1478" w:leftChars="704" w:firstLine="1400" w:firstLineChars="500"/>
        <w:rPr>
          <w:rFonts w:hint="eastAsia" w:ascii="宋体" w:hAnsi="宋体" w:eastAsia="宋体" w:cs="宋体"/>
          <w:sz w:val="28"/>
        </w:rPr>
      </w:pPr>
      <w:r>
        <w:rPr>
          <w:rFonts w:hint="eastAsia" w:ascii="宋体" w:hAnsi="宋体" w:eastAsia="宋体" w:cs="宋体"/>
          <w:sz w:val="28"/>
        </w:rPr>
        <w:t>刘玉龙（苏州市计量测试院）</w:t>
      </w:r>
    </w:p>
    <w:p>
      <w:pPr>
        <w:ind w:left="1478" w:leftChars="704" w:firstLine="1400" w:firstLineChars="500"/>
        <w:rPr>
          <w:rFonts w:hint="eastAsia" w:ascii="宋体" w:hAnsi="宋体" w:eastAsia="宋体" w:cs="宋体"/>
          <w:sz w:val="28"/>
        </w:rPr>
      </w:pPr>
      <w:r>
        <w:rPr>
          <w:rFonts w:hint="eastAsia" w:ascii="宋体" w:hAnsi="宋体" w:eastAsia="宋体" w:cs="宋体"/>
          <w:sz w:val="28"/>
        </w:rPr>
        <w:t>江  铖（苏州市计量测试院）</w:t>
      </w:r>
    </w:p>
    <w:p>
      <w:pPr>
        <w:spacing w:line="700" w:lineRule="exact"/>
        <w:ind w:left="1478" w:leftChars="704" w:firstLine="0" w:firstLineChars="0"/>
        <w:rPr>
          <w:rFonts w:ascii="黑体" w:eastAsia="黑体"/>
          <w:sz w:val="28"/>
        </w:rPr>
      </w:pPr>
      <w:r>
        <w:rPr>
          <w:rFonts w:hint="eastAsia" w:ascii="黑体" w:eastAsia="黑体"/>
          <w:sz w:val="28"/>
          <w:lang w:val="en-US" w:eastAsia="zh-CN"/>
        </w:rPr>
        <w:t xml:space="preserve">      </w:t>
      </w:r>
      <w:r>
        <w:rPr>
          <w:rFonts w:hint="eastAsia" w:ascii="黑体" w:eastAsia="黑体"/>
          <w:sz w:val="28"/>
        </w:rPr>
        <w:t>参与起草人：</w:t>
      </w:r>
    </w:p>
    <w:p>
      <w:pPr>
        <w:pStyle w:val="23"/>
        <w:spacing w:line="400" w:lineRule="exact"/>
        <w:ind w:left="1478" w:leftChars="704" w:firstLine="1400" w:firstLineChars="500"/>
        <w:rPr>
          <w:rFonts w:hint="eastAsia" w:ascii="宋体" w:hAnsi="宋体" w:eastAsia="宋体" w:cs="宋体"/>
          <w:sz w:val="32"/>
        </w:rPr>
      </w:pPr>
      <w:r>
        <w:rPr>
          <w:rFonts w:hint="eastAsia" w:ascii="宋体" w:hAnsi="宋体" w:eastAsia="宋体" w:cs="宋体"/>
          <w:sz w:val="28"/>
        </w:rPr>
        <w:t>颜  斐（苏州弗士达科学仪器有限公司）</w:t>
      </w:r>
    </w:p>
    <w:p>
      <w:pPr>
        <w:pStyle w:val="23"/>
        <w:spacing w:line="400" w:lineRule="exact"/>
        <w:jc w:val="center"/>
        <w:rPr>
          <w:rFonts w:hint="default" w:ascii="黑体" w:eastAsia="黑体"/>
          <w:sz w:val="32"/>
        </w:rPr>
      </w:pPr>
    </w:p>
    <w:p>
      <w:pPr>
        <w:pStyle w:val="23"/>
        <w:spacing w:line="400" w:lineRule="exact"/>
        <w:jc w:val="center"/>
        <w:rPr>
          <w:rFonts w:hint="default" w:ascii="黑体" w:eastAsia="黑体"/>
          <w:sz w:val="32"/>
        </w:rPr>
      </w:pPr>
    </w:p>
    <w:p>
      <w:pPr>
        <w:pStyle w:val="23"/>
        <w:spacing w:line="400" w:lineRule="exact"/>
        <w:jc w:val="center"/>
        <w:rPr>
          <w:rFonts w:hint="default" w:ascii="黑体" w:eastAsia="黑体"/>
          <w:sz w:val="32"/>
        </w:rPr>
      </w:pPr>
    </w:p>
    <w:p>
      <w:pPr>
        <w:pStyle w:val="23"/>
        <w:spacing w:line="400" w:lineRule="exact"/>
        <w:jc w:val="center"/>
        <w:rPr>
          <w:rFonts w:hint="default" w:ascii="黑体" w:eastAsia="黑体"/>
          <w:sz w:val="32"/>
        </w:rPr>
      </w:pPr>
    </w:p>
    <w:p>
      <w:pPr>
        <w:pStyle w:val="23"/>
        <w:spacing w:line="400" w:lineRule="exact"/>
        <w:jc w:val="both"/>
        <w:rPr>
          <w:rFonts w:hint="default" w:ascii="黑体" w:eastAsia="黑体"/>
          <w:sz w:val="32"/>
        </w:rPr>
        <w:sectPr>
          <w:headerReference r:id="rId8" w:type="first"/>
          <w:footerReference r:id="rId10" w:type="first"/>
          <w:headerReference r:id="rId7" w:type="default"/>
          <w:footerReference r:id="rId9" w:type="default"/>
          <w:pgSz w:w="11906" w:h="16838"/>
          <w:pgMar w:top="1417" w:right="1417" w:bottom="1417" w:left="1417" w:header="851" w:footer="992" w:gutter="0"/>
          <w:paperSrc/>
          <w:pgNumType w:start="0"/>
          <w:cols w:space="0" w:num="1"/>
          <w:titlePg/>
          <w:rtlGutter w:val="0"/>
          <w:docGrid w:type="lines" w:linePitch="312" w:charSpace="0"/>
        </w:sectPr>
      </w:pPr>
    </w:p>
    <w:p>
      <w:pPr>
        <w:widowControl/>
        <w:jc w:val="left"/>
        <w:rPr>
          <w:rFonts w:ascii="黑体" w:hAnsi="黑体" w:eastAsia="黑体" w:cs="宋体"/>
          <w:sz w:val="44"/>
          <w:szCs w:val="44"/>
        </w:rPr>
      </w:pPr>
      <w:r>
        <w:rPr>
          <w:rFonts w:ascii="黑体" w:hAnsi="黑体" w:eastAsia="黑体" w:cs="宋体"/>
          <w:sz w:val="44"/>
          <w:szCs w:val="44"/>
        </w:rPr>
        <w:br w:type="page"/>
      </w:r>
    </w:p>
    <w:p>
      <w:pPr>
        <w:jc w:val="center"/>
        <w:rPr>
          <w:rFonts w:ascii="黑体" w:hAnsi="黑体" w:eastAsia="黑体" w:cs="Arial Unicode MS"/>
          <w:bCs/>
          <w:sz w:val="28"/>
          <w:szCs w:val="21"/>
        </w:rPr>
      </w:pPr>
      <w:r>
        <w:rPr>
          <w:rFonts w:ascii="黑体" w:hAnsi="黑体" w:eastAsia="黑体" w:cs="宋体"/>
          <w:sz w:val="44"/>
          <w:szCs w:val="44"/>
        </w:rPr>
        <w:t>目</w:t>
      </w:r>
      <w:r>
        <w:rPr>
          <w:rFonts w:hint="eastAsia" w:ascii="黑体" w:hAnsi="黑体" w:eastAsia="黑体" w:cs="宋体"/>
          <w:sz w:val="44"/>
          <w:szCs w:val="44"/>
          <w:lang w:val="en-US" w:eastAsia="zh-CN"/>
        </w:rPr>
        <w:t xml:space="preserve">    </w:t>
      </w:r>
      <w:r>
        <w:rPr>
          <w:rFonts w:ascii="黑体" w:hAnsi="黑体" w:eastAsia="黑体" w:cs="宋体"/>
          <w:sz w:val="44"/>
          <w:szCs w:val="44"/>
        </w:rPr>
        <w:t>录</w:t>
      </w:r>
    </w:p>
    <w:sdt>
      <w:sdtPr>
        <w:rPr>
          <w:rFonts w:ascii="Times New Roman" w:hAnsi="Times New Roman" w:eastAsia="宋体" w:cs="Times New Roman"/>
          <w:b w:val="0"/>
          <w:bCs w:val="0"/>
          <w:color w:val="auto"/>
          <w:kern w:val="2"/>
          <w:sz w:val="21"/>
          <w:szCs w:val="24"/>
          <w:lang w:val="zh-CN"/>
        </w:rPr>
        <w:id w:val="147067635"/>
        <w:docPartObj>
          <w:docPartGallery w:val="Table of Contents"/>
          <w:docPartUnique/>
        </w:docPartObj>
      </w:sdtPr>
      <w:sdtEndPr>
        <w:rPr>
          <w:rFonts w:hint="eastAsia" w:ascii="宋体" w:hAnsi="宋体" w:eastAsia="宋体" w:cs="宋体"/>
          <w:b w:val="0"/>
          <w:bCs w:val="0"/>
          <w:color w:val="auto"/>
          <w:kern w:val="2"/>
          <w:sz w:val="24"/>
          <w:szCs w:val="24"/>
          <w:lang w:val="en-US"/>
        </w:rPr>
      </w:sdtEndPr>
      <w:sdtContent>
        <w:p>
          <w:pPr>
            <w:pStyle w:val="137"/>
            <w:adjustRightInd w:val="0"/>
            <w:snapToGrid w:val="0"/>
            <w:spacing w:before="0" w:line="240" w:lineRule="auto"/>
          </w:pP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"1-3" \h \z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"_Toc124506220"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引言</w:t>
          </w:r>
          <w:r>
            <w:rPr>
              <w:rFonts w:hint="eastAsia" w:ascii="宋体" w:hAnsi="宋体" w:eastAsia="宋体" w:cs="宋体"/>
              <w:sz w:val="24"/>
              <w:szCs w:val="24"/>
            </w:rPr>
            <w:tab/>
          </w:r>
          <w:r>
            <w:rPr>
              <w:rFonts w:hint="eastAsia" w:ascii="宋体" w:hAnsi="宋体" w:eastAsia="宋体" w:cs="宋体"/>
              <w:sz w:val="24"/>
              <w:szCs w:val="24"/>
            </w:rPr>
            <w:t>I</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"_Toc124506221"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1范围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"_Toc124506222"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2引用文件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"_Toc124506223"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3 术语和计量单位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"_Toc124506224"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3.1闪烁flicker</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"_Toc124506225"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3.2闪烁率flicker index</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_Toc124506225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"_Toc124506226"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3.3闪烁频率flicker frequency</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"_Toc124506227"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4 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"_Toc124506228"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5计量特性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"_Toc124506229"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6 校准条件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_Toc124506229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"_Toc124506230"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6.1 环境条件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"_Toc124506231"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6.2 校准设备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_Toc124506231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"_Toc124506232"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7校准项目和校准方法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_Toc124506232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"_Toc124506233"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7.1 校准前准备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_Toc124506233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"_Toc124506234"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7.2 闪烁率的校准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_Toc124506234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"_Toc124506235"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7.3 闪烁频率的校准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_Toc124506235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"_Toc124506236"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8 校准结果表达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_Toc124506236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"_Toc124506237"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9 复校时间间隔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_Toc124506237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"_Toc124506238"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附录A测量不确定度评定示例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"_Toc124506239"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A.1概述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_Toc124506239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"_Toc124506240"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A.2闪烁率测量结果的不确定度评定</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_Toc124506240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5"/>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"_Toc124506241"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A.3闪烁频率测量结果的不确定度评定</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_Toc124506241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"_Toc124506242"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附录B校准原始记录格式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_Toc124506242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"_Toc124506243"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附录C校准证书内页格式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_Toc124506243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7"/>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"_Toc124506244" </w:instrText>
          </w:r>
          <w:r>
            <w:rPr>
              <w:rFonts w:hint="eastAsia" w:ascii="宋体" w:hAnsi="宋体" w:eastAsia="宋体" w:cs="宋体"/>
              <w:sz w:val="24"/>
              <w:szCs w:val="24"/>
            </w:rPr>
            <w:fldChar w:fldCharType="separate"/>
          </w:r>
          <w:r>
            <w:rPr>
              <w:rStyle w:val="46"/>
              <w:rFonts w:hint="eastAsia" w:ascii="宋体" w:hAnsi="宋体" w:eastAsia="宋体" w:cs="宋体"/>
              <w:sz w:val="24"/>
              <w:szCs w:val="24"/>
            </w:rPr>
            <w:t>附录D常见闪烁率测量仪的测量方法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_Toc124506244 \h </w:instrText>
          </w:r>
          <w:r>
            <w:rPr>
              <w:rFonts w:hint="eastAsia" w:ascii="宋体" w:hAnsi="宋体" w:eastAsia="宋体" w:cs="宋体"/>
              <w:sz w:val="24"/>
              <w:szCs w:val="24"/>
            </w:rPr>
            <w:fldChar w:fldCharType="separate"/>
          </w:r>
          <w:r>
            <w:rPr>
              <w:rFonts w:hint="eastAsia" w:ascii="宋体" w:hAnsi="宋体" w:eastAsia="宋体" w:cs="宋体"/>
              <w:sz w:val="24"/>
              <w:szCs w:val="24"/>
            </w:rPr>
            <w:t>12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end"/>
          </w:r>
        </w:p>
      </w:sdtContent>
    </w:sdt>
    <w:p>
      <w:pPr>
        <w:pStyle w:val="23"/>
        <w:keepNext w:val="0"/>
        <w:keepLines w:val="0"/>
        <w:pageBreakBefore w:val="0"/>
        <w:tabs>
          <w:tab w:val="right" w:leader="dot" w:pos="903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sectPr>
          <w:footerReference r:id="rId11" w:type="default"/>
          <w:type w:val="continuous"/>
          <w:pgSz w:w="11906" w:h="16838"/>
          <w:pgMar w:top="1417" w:right="1417" w:bottom="1417" w:left="1417" w:header="851" w:footer="992" w:gutter="0"/>
          <w:paperSrc/>
          <w:pgNumType w:fmt="upperRoman" w:start="1"/>
          <w:cols w:space="0" w:num="1"/>
          <w:titlePg/>
          <w:rtlGutter w:val="0"/>
          <w:docGrid w:type="lines" w:linePitch="312" w:charSpace="0"/>
        </w:sectPr>
      </w:pPr>
    </w:p>
    <w:p>
      <w:pPr>
        <w:pStyle w:val="2"/>
        <w:jc w:val="center"/>
        <w:rPr>
          <w:rFonts w:ascii="黑体" w:hAnsi="黑体" w:eastAsia="黑体"/>
          <w:b w:val="0"/>
        </w:rPr>
      </w:pPr>
      <w:bookmarkStart w:id="0" w:name="_Toc124506220"/>
      <w:r>
        <w:rPr>
          <w:rFonts w:ascii="黑体" w:hAnsi="黑体" w:eastAsia="黑体"/>
          <w:b w:val="0"/>
        </w:rPr>
        <w:t>引</w:t>
      </w:r>
      <w:r>
        <w:rPr>
          <w:rFonts w:hint="eastAsia" w:ascii="黑体" w:hAnsi="黑体" w:eastAsia="黑体"/>
          <w:b w:val="0"/>
          <w:lang w:val="en-US" w:eastAsia="zh-CN"/>
        </w:rPr>
        <w:t xml:space="preserve">    </w:t>
      </w:r>
      <w:r>
        <w:rPr>
          <w:rFonts w:ascii="黑体" w:hAnsi="黑体" w:eastAsia="黑体"/>
          <w:b w:val="0"/>
        </w:rPr>
        <w:t>言</w:t>
      </w:r>
      <w:bookmarkEnd w:id="0"/>
    </w:p>
    <w:p>
      <w:pPr>
        <w:pStyle w:val="21"/>
        <w:spacing w:after="0" w:line="360" w:lineRule="auto"/>
        <w:ind w:left="0" w:leftChars="0" w:firstLine="480" w:firstLineChars="200"/>
        <w:jc w:val="left"/>
        <w:rPr>
          <w:rFonts w:ascii="宋体" w:hAnsi="宋体"/>
          <w:sz w:val="24"/>
          <w:szCs w:val="24"/>
        </w:rPr>
      </w:pPr>
      <w:r>
        <w:rPr>
          <w:rFonts w:hint="eastAsia" w:ascii="宋体" w:hAnsi="宋体"/>
          <w:sz w:val="24"/>
          <w:szCs w:val="24"/>
        </w:rPr>
        <w:t>JJF 1001</w:t>
      </w:r>
      <w:r>
        <w:rPr>
          <w:rFonts w:ascii="宋体" w:hAnsi="宋体"/>
          <w:spacing w:val="2"/>
          <w:kern w:val="0"/>
          <w:sz w:val="24"/>
          <w:szCs w:val="24"/>
        </w:rPr>
        <w:t>《</w:t>
      </w:r>
      <w:r>
        <w:rPr>
          <w:rFonts w:hint="eastAsia" w:ascii="宋体" w:hAnsi="宋体"/>
          <w:sz w:val="24"/>
          <w:szCs w:val="24"/>
        </w:rPr>
        <w:t>通用计量术语及定义</w:t>
      </w:r>
      <w:r>
        <w:rPr>
          <w:rFonts w:ascii="宋体" w:hAnsi="宋体"/>
          <w:spacing w:val="2"/>
          <w:kern w:val="0"/>
          <w:sz w:val="24"/>
          <w:szCs w:val="24"/>
        </w:rPr>
        <w:t>》</w:t>
      </w:r>
      <w:r>
        <w:rPr>
          <w:rFonts w:hint="eastAsia" w:ascii="宋体" w:hAnsi="宋体"/>
          <w:sz w:val="24"/>
          <w:szCs w:val="24"/>
        </w:rPr>
        <w:t>、JJF 1032</w:t>
      </w:r>
      <w:r>
        <w:rPr>
          <w:rFonts w:ascii="宋体" w:hAnsi="宋体"/>
          <w:spacing w:val="2"/>
          <w:kern w:val="0"/>
          <w:sz w:val="24"/>
          <w:szCs w:val="24"/>
        </w:rPr>
        <w:t>《光学辐射计量名词术语及定义》</w:t>
      </w:r>
      <w:r>
        <w:rPr>
          <w:rFonts w:hint="eastAsia" w:ascii="宋体" w:hAnsi="宋体"/>
          <w:sz w:val="24"/>
          <w:szCs w:val="24"/>
        </w:rPr>
        <w:t>、JJF 1059.1</w:t>
      </w:r>
      <w:r>
        <w:rPr>
          <w:rFonts w:ascii="宋体" w:hAnsi="宋体"/>
          <w:spacing w:val="2"/>
          <w:kern w:val="0"/>
          <w:sz w:val="24"/>
          <w:szCs w:val="24"/>
        </w:rPr>
        <w:t>《</w:t>
      </w:r>
      <w:r>
        <w:rPr>
          <w:rFonts w:hint="eastAsia" w:ascii="宋体" w:hAnsi="宋体"/>
          <w:sz w:val="24"/>
          <w:szCs w:val="24"/>
        </w:rPr>
        <w:t>测量不确定评定与表示</w:t>
      </w:r>
      <w:r>
        <w:rPr>
          <w:rFonts w:ascii="宋体" w:hAnsi="宋体"/>
          <w:spacing w:val="2"/>
          <w:kern w:val="0"/>
          <w:sz w:val="24"/>
          <w:szCs w:val="24"/>
        </w:rPr>
        <w:t>》</w:t>
      </w:r>
      <w:r>
        <w:rPr>
          <w:rFonts w:hint="eastAsia" w:ascii="宋体" w:hAnsi="宋体"/>
          <w:sz w:val="24"/>
          <w:szCs w:val="24"/>
        </w:rPr>
        <w:t>和JJF 1071</w:t>
      </w:r>
      <w:r>
        <w:rPr>
          <w:rFonts w:ascii="宋体" w:hAnsi="宋体"/>
          <w:spacing w:val="2"/>
          <w:kern w:val="0"/>
          <w:sz w:val="24"/>
          <w:szCs w:val="24"/>
        </w:rPr>
        <w:t>《</w:t>
      </w:r>
      <w:r>
        <w:rPr>
          <w:rFonts w:hint="eastAsia" w:ascii="宋体" w:hAnsi="宋体"/>
          <w:sz w:val="24"/>
          <w:szCs w:val="24"/>
        </w:rPr>
        <w:t>国家计量校准规范编写规则</w:t>
      </w:r>
      <w:r>
        <w:rPr>
          <w:rFonts w:ascii="宋体" w:hAnsi="宋体"/>
          <w:spacing w:val="2"/>
          <w:kern w:val="0"/>
          <w:sz w:val="24"/>
          <w:szCs w:val="24"/>
        </w:rPr>
        <w:t>》</w:t>
      </w:r>
      <w:r>
        <w:rPr>
          <w:rFonts w:hint="eastAsia" w:ascii="宋体" w:hAnsi="宋体"/>
          <w:sz w:val="24"/>
          <w:szCs w:val="24"/>
        </w:rPr>
        <w:t>共同构成支撑本规范编制的基础性系列文件。</w:t>
      </w:r>
    </w:p>
    <w:p>
      <w:pPr>
        <w:pStyle w:val="21"/>
        <w:spacing w:after="0" w:line="360" w:lineRule="auto"/>
        <w:ind w:left="0" w:leftChars="0" w:firstLine="480" w:firstLineChars="200"/>
        <w:jc w:val="left"/>
        <w:rPr>
          <w:spacing w:val="2"/>
          <w:kern w:val="0"/>
        </w:rPr>
      </w:pPr>
      <w:r>
        <w:rPr>
          <w:rFonts w:hint="eastAsia" w:ascii="宋体" w:hAnsi="宋体"/>
          <w:sz w:val="24"/>
          <w:szCs w:val="24"/>
        </w:rPr>
        <w:t>本规范为首次发布。</w:t>
      </w:r>
    </w:p>
    <w:p>
      <w:pPr>
        <w:pStyle w:val="23"/>
        <w:spacing w:line="420" w:lineRule="exact"/>
        <w:ind w:firstLine="480" w:firstLineChars="200"/>
        <w:jc w:val="left"/>
        <w:rPr>
          <w:rFonts w:hint="default" w:hAnsi="宋体" w:cs="宋体"/>
          <w:sz w:val="24"/>
          <w:szCs w:val="24"/>
        </w:rPr>
      </w:pPr>
    </w:p>
    <w:p>
      <w:pPr>
        <w:pStyle w:val="23"/>
        <w:spacing w:line="420" w:lineRule="exact"/>
        <w:ind w:firstLine="480" w:firstLineChars="200"/>
        <w:jc w:val="left"/>
        <w:rPr>
          <w:rFonts w:hint="default" w:hAnsi="宋体" w:cs="宋体"/>
          <w:sz w:val="24"/>
          <w:szCs w:val="24"/>
        </w:rPr>
        <w:sectPr>
          <w:footerReference r:id="rId13" w:type="first"/>
          <w:footerReference r:id="rId12" w:type="default"/>
          <w:type w:val="continuous"/>
          <w:pgSz w:w="11906" w:h="16838"/>
          <w:pgMar w:top="1417" w:right="1417" w:bottom="1417" w:left="1417" w:header="851" w:footer="992" w:gutter="0"/>
          <w:paperSrc/>
          <w:pgNumType w:fmt="decimal" w:start="1"/>
          <w:cols w:space="0" w:num="1"/>
          <w:titlePg/>
          <w:rtlGutter w:val="0"/>
          <w:docGrid w:type="lines" w:linePitch="312" w:charSpace="0"/>
        </w:sectPr>
      </w:pPr>
    </w:p>
    <w:p>
      <w:pPr>
        <w:widowControl/>
        <w:jc w:val="left"/>
        <w:rPr>
          <w:rFonts w:ascii="黑体" w:hAnsi="黑体" w:eastAsia="黑体" w:cs="宋体"/>
          <w:sz w:val="32"/>
          <w:szCs w:val="32"/>
        </w:rPr>
        <w:sectPr>
          <w:footerReference r:id="rId15" w:type="first"/>
          <w:footerReference r:id="rId14" w:type="default"/>
          <w:type w:val="continuous"/>
          <w:pgSz w:w="11906" w:h="16838"/>
          <w:pgMar w:top="1417" w:right="1417" w:bottom="1417" w:left="1417" w:header="851" w:footer="992" w:gutter="0"/>
          <w:paperSrc/>
          <w:pgNumType w:start="0"/>
          <w:cols w:space="0" w:num="1"/>
          <w:titlePg/>
          <w:rtlGutter w:val="0"/>
          <w:docGrid w:type="lines" w:linePitch="312" w:charSpace="0"/>
        </w:sectPr>
      </w:pPr>
    </w:p>
    <w:p>
      <w:pPr>
        <w:pStyle w:val="23"/>
        <w:spacing w:line="440" w:lineRule="exact"/>
        <w:ind w:firstLine="320" w:firstLineChars="100"/>
        <w:jc w:val="center"/>
        <w:rPr>
          <w:rFonts w:hint="default" w:ascii="黑体" w:hAnsi="黑体" w:eastAsia="黑体" w:cs="宋体"/>
          <w:sz w:val="32"/>
          <w:szCs w:val="32"/>
        </w:rPr>
      </w:pPr>
      <w:r>
        <w:rPr>
          <w:rFonts w:ascii="黑体" w:hAnsi="黑体" w:eastAsia="黑体" w:cs="宋体"/>
          <w:sz w:val="32"/>
          <w:szCs w:val="32"/>
        </w:rPr>
        <w:t>显示屏闪烁率测定仪校准规范</w:t>
      </w:r>
    </w:p>
    <w:p>
      <w:pPr>
        <w:pStyle w:val="2"/>
        <w:spacing w:before="100" w:after="100"/>
        <w:rPr>
          <w:rFonts w:ascii="黑体" w:hAnsi="黑体" w:eastAsia="黑体"/>
          <w:b w:val="0"/>
          <w:sz w:val="24"/>
          <w:szCs w:val="24"/>
        </w:rPr>
      </w:pPr>
      <w:bookmarkStart w:id="1" w:name="_Toc124506221"/>
      <w:r>
        <w:rPr>
          <w:rFonts w:ascii="黑体" w:hAnsi="黑体" w:eastAsia="黑体"/>
          <w:b w:val="0"/>
          <w:sz w:val="24"/>
          <w:szCs w:val="24"/>
        </w:rPr>
        <w:t>1范围</w:t>
      </w:r>
      <w:bookmarkEnd w:id="1"/>
    </w:p>
    <w:p>
      <w:pPr>
        <w:spacing w:line="360" w:lineRule="auto"/>
        <w:ind w:firstLine="480" w:firstLineChars="200"/>
        <w:textAlignment w:val="baseline"/>
        <w:rPr>
          <w:sz w:val="24"/>
        </w:rPr>
      </w:pPr>
      <w:r>
        <w:rPr>
          <w:rFonts w:hint="eastAsia" w:ascii="宋体" w:hAnsi="宋体"/>
          <w:sz w:val="24"/>
        </w:rPr>
        <w:t>本规范</w:t>
      </w:r>
      <w:r>
        <w:rPr>
          <w:rFonts w:hint="eastAsia" w:ascii="宋体" w:hAnsi="宋体"/>
          <w:spacing w:val="2"/>
          <w:kern w:val="0"/>
          <w:sz w:val="24"/>
        </w:rPr>
        <w:t>适用于显示屏闪烁率测定仪的校准，其他具有闪烁率测量能力的测量仪器可参照执行。</w:t>
      </w:r>
    </w:p>
    <w:p>
      <w:pPr>
        <w:pStyle w:val="2"/>
        <w:spacing w:before="100" w:after="100"/>
        <w:rPr>
          <w:b w:val="0"/>
          <w:sz w:val="24"/>
          <w:szCs w:val="24"/>
        </w:rPr>
      </w:pPr>
      <w:bookmarkStart w:id="2" w:name="_Toc124506222"/>
      <w:r>
        <w:rPr>
          <w:rFonts w:ascii="黑体" w:hAnsi="黑体" w:eastAsia="黑体"/>
          <w:b w:val="0"/>
          <w:sz w:val="24"/>
          <w:szCs w:val="24"/>
        </w:rPr>
        <w:t>2引用</w:t>
      </w:r>
      <w:r>
        <w:rPr>
          <w:rFonts w:hint="eastAsia" w:ascii="黑体" w:hAnsi="黑体" w:eastAsia="黑体"/>
          <w:b w:val="0"/>
          <w:sz w:val="24"/>
          <w:szCs w:val="24"/>
        </w:rPr>
        <w:t>文件</w:t>
      </w:r>
      <w:bookmarkEnd w:id="2"/>
    </w:p>
    <w:p>
      <w:pPr>
        <w:pStyle w:val="23"/>
        <w:spacing w:line="360" w:lineRule="auto"/>
        <w:ind w:firstLine="480" w:firstLineChars="200"/>
        <w:rPr>
          <w:rFonts w:hint="default" w:ascii="Times New Roman" w:hAnsi="宋体"/>
          <w:sz w:val="24"/>
          <w:szCs w:val="24"/>
        </w:rPr>
      </w:pPr>
      <w:r>
        <w:rPr>
          <w:rFonts w:ascii="Times New Roman" w:hAnsi="宋体"/>
          <w:sz w:val="24"/>
          <w:szCs w:val="24"/>
        </w:rPr>
        <w:t>本规范引用了下列文件：</w:t>
      </w:r>
    </w:p>
    <w:p>
      <w:pPr>
        <w:pStyle w:val="23"/>
        <w:spacing w:line="360" w:lineRule="auto"/>
        <w:ind w:firstLine="480" w:firstLineChars="200"/>
        <w:rPr>
          <w:rFonts w:hint="default" w:ascii="Times New Roman" w:hAnsi="Times New Roman"/>
          <w:color w:val="000000"/>
          <w:sz w:val="24"/>
          <w:szCs w:val="24"/>
        </w:rPr>
      </w:pPr>
      <w:r>
        <w:rPr>
          <w:rFonts w:ascii="Times New Roman" w:hAnsi="Times New Roman"/>
          <w:color w:val="000000"/>
          <w:sz w:val="24"/>
          <w:szCs w:val="24"/>
        </w:rPr>
        <w:t>GB/T 18910.61液晶显示器件第6-1部分：液晶显示器件测试方法光电参数</w:t>
      </w:r>
    </w:p>
    <w:p>
      <w:pPr>
        <w:pStyle w:val="23"/>
        <w:spacing w:line="360" w:lineRule="auto"/>
        <w:ind w:firstLine="488" w:firstLineChars="200"/>
        <w:rPr>
          <w:rFonts w:hint="default" w:ascii="Times New Roman" w:hAnsi="Times New Roman"/>
          <w:color w:val="000000"/>
          <w:sz w:val="24"/>
          <w:szCs w:val="24"/>
        </w:rPr>
      </w:pPr>
      <w:r>
        <w:rPr>
          <w:rFonts w:ascii="Times New Roman" w:hAnsi="宋体"/>
          <w:color w:val="000000"/>
          <w:spacing w:val="2"/>
          <w:kern w:val="0"/>
          <w:sz w:val="24"/>
          <w:szCs w:val="24"/>
        </w:rPr>
        <w:t>CIE TN 006时间调制的照明系统的视觉现象-定义及测量模型 (Visual Aspects of Time-Modulated Lighting Systems</w:t>
      </w:r>
      <w:r>
        <w:rPr>
          <w:rFonts w:ascii="Times New Roman" w:hAnsi="Times New Roman"/>
          <w:color w:val="000000"/>
          <w:sz w:val="24"/>
          <w:szCs w:val="24"/>
        </w:rPr>
        <w:t xml:space="preserve"> - </w:t>
      </w:r>
      <w:r>
        <w:rPr>
          <w:rFonts w:ascii="Times New Roman" w:hAnsi="宋体"/>
          <w:color w:val="000000"/>
          <w:spacing w:val="2"/>
          <w:kern w:val="0"/>
          <w:sz w:val="24"/>
          <w:szCs w:val="24"/>
        </w:rPr>
        <w:t>Definitions and Measurement Models)与编制说明的一致性</w:t>
      </w:r>
    </w:p>
    <w:p>
      <w:pPr>
        <w:pStyle w:val="23"/>
        <w:spacing w:line="360" w:lineRule="auto"/>
        <w:ind w:firstLine="480" w:firstLineChars="200"/>
        <w:rPr>
          <w:rFonts w:hint="default" w:ascii="Times New Roman" w:hAnsi="Times New Roman"/>
          <w:color w:val="000000"/>
          <w:sz w:val="24"/>
          <w:szCs w:val="24"/>
        </w:rPr>
      </w:pPr>
      <w:r>
        <w:rPr>
          <w:rFonts w:ascii="Times New Roman" w:hAnsi="Times New Roman"/>
          <w:color w:val="000000"/>
          <w:sz w:val="24"/>
          <w:szCs w:val="24"/>
        </w:rPr>
        <w:t>IEC 61747-30-1 液晶显示设备第30-1部分：液晶显示模块测试方法透射型 (Liquid crystal display devices - Part 30-1: Measuring methods for liquid crystal display modules - Transmissive type)</w:t>
      </w:r>
    </w:p>
    <w:p>
      <w:pPr>
        <w:pStyle w:val="23"/>
        <w:spacing w:line="360" w:lineRule="auto"/>
        <w:ind w:firstLine="480" w:firstLineChars="200"/>
        <w:rPr>
          <w:rFonts w:hint="default" w:ascii="Times New Roman" w:hAnsi="Times New Roman"/>
          <w:color w:val="000000"/>
          <w:sz w:val="24"/>
          <w:szCs w:val="24"/>
        </w:rPr>
      </w:pPr>
      <w:r>
        <w:rPr>
          <w:rFonts w:ascii="Times New Roman" w:hAnsi="Times New Roman"/>
          <w:color w:val="000000"/>
          <w:sz w:val="24"/>
          <w:szCs w:val="24"/>
        </w:rPr>
        <w:t>ICDM-SID 信息显示器测量标准 (Information Display Measurements Standard)</w:t>
      </w:r>
    </w:p>
    <w:p>
      <w:pPr>
        <w:spacing w:line="360" w:lineRule="auto"/>
        <w:ind w:firstLine="480"/>
        <w:rPr>
          <w:color w:val="000000"/>
          <w:sz w:val="24"/>
        </w:rPr>
      </w:pPr>
      <w:r>
        <w:rPr>
          <w:rFonts w:hint="eastAsia"/>
          <w:color w:val="000000"/>
          <w:sz w:val="24"/>
        </w:rPr>
        <w:t>凡是注日期的引用文件，仅注日期的版本适用于本规范；凡是不注日期的引用文件，其最新版本（包括所有的修改单）适用于本规范。</w:t>
      </w:r>
    </w:p>
    <w:p>
      <w:pPr>
        <w:pStyle w:val="2"/>
        <w:spacing w:before="100" w:after="100"/>
        <w:rPr>
          <w:rFonts w:ascii="黑体" w:hAnsi="黑体" w:eastAsia="黑体"/>
          <w:b w:val="0"/>
          <w:sz w:val="24"/>
          <w:szCs w:val="24"/>
        </w:rPr>
      </w:pPr>
      <w:bookmarkStart w:id="3" w:name="_Toc124506223"/>
      <w:r>
        <w:rPr>
          <w:rFonts w:ascii="黑体" w:hAnsi="黑体" w:eastAsia="黑体"/>
          <w:b w:val="0"/>
          <w:sz w:val="24"/>
          <w:szCs w:val="24"/>
        </w:rPr>
        <w:t>3 术语和计量单位</w:t>
      </w:r>
      <w:bookmarkEnd w:id="3"/>
    </w:p>
    <w:p>
      <w:pPr>
        <w:pStyle w:val="4"/>
        <w:adjustRightInd w:val="0"/>
        <w:snapToGrid w:val="0"/>
        <w:spacing w:before="120" w:after="120" w:line="360" w:lineRule="auto"/>
        <w:rPr>
          <w:rFonts w:eastAsiaTheme="minorEastAsia"/>
          <w:b w:val="0"/>
          <w:sz w:val="24"/>
          <w:szCs w:val="24"/>
        </w:rPr>
      </w:pPr>
      <w:bookmarkStart w:id="4" w:name="_Toc124506224"/>
      <w:r>
        <w:rPr>
          <w:rFonts w:hint="eastAsia" w:eastAsiaTheme="minorEastAsia"/>
          <w:b w:val="0"/>
          <w:sz w:val="24"/>
          <w:szCs w:val="24"/>
        </w:rPr>
        <w:t>3.1闪烁flicker</w:t>
      </w:r>
      <w:bookmarkEnd w:id="4"/>
    </w:p>
    <w:p>
      <w:pPr>
        <w:adjustRightInd w:val="0"/>
        <w:snapToGrid w:val="0"/>
        <w:spacing w:line="360" w:lineRule="auto"/>
        <w:ind w:firstLine="480" w:firstLineChars="200"/>
        <w:rPr>
          <w:sz w:val="24"/>
        </w:rPr>
      </w:pPr>
      <w:r>
        <w:rPr>
          <w:rFonts w:hint="eastAsia" w:ascii="宋体" w:hAnsi="宋体"/>
          <w:sz w:val="24"/>
        </w:rPr>
        <w:t>对于静态环境中的静态观察者，亮度或光谱分布随时间波动的光刺激引起的视觉不稳定性感知。本规范仅考虑亮度随时间波动的情况。</w:t>
      </w:r>
    </w:p>
    <w:p>
      <w:pPr>
        <w:pStyle w:val="4"/>
        <w:adjustRightInd w:val="0"/>
        <w:snapToGrid w:val="0"/>
        <w:spacing w:before="120" w:after="120" w:line="360" w:lineRule="auto"/>
        <w:rPr>
          <w:rFonts w:eastAsiaTheme="minorEastAsia"/>
          <w:b w:val="0"/>
          <w:sz w:val="24"/>
          <w:szCs w:val="24"/>
        </w:rPr>
      </w:pPr>
      <w:bookmarkStart w:id="5" w:name="_Toc124506225"/>
      <w:r>
        <w:rPr>
          <w:rFonts w:eastAsiaTheme="minorEastAsia"/>
          <w:b w:val="0"/>
          <w:sz w:val="24"/>
          <w:szCs w:val="24"/>
        </w:rPr>
        <w:t>3.</w:t>
      </w:r>
      <w:r>
        <w:rPr>
          <w:rFonts w:hint="eastAsia" w:eastAsiaTheme="minorEastAsia"/>
          <w:b w:val="0"/>
          <w:sz w:val="24"/>
          <w:szCs w:val="24"/>
        </w:rPr>
        <w:t>2闪烁率flicker index</w:t>
      </w:r>
      <w:bookmarkEnd w:id="5"/>
    </w:p>
    <w:p>
      <w:pPr>
        <w:adjustRightInd w:val="0"/>
        <w:snapToGrid w:val="0"/>
        <w:spacing w:line="360" w:lineRule="auto"/>
        <w:ind w:firstLine="480" w:firstLineChars="200"/>
        <w:rPr>
          <w:sz w:val="24"/>
        </w:rPr>
      </w:pPr>
      <w:r>
        <w:rPr>
          <w:rFonts w:hint="eastAsia" w:ascii="宋体" w:hAnsi="宋体"/>
          <w:sz w:val="24"/>
        </w:rPr>
        <w:t>闪烁的程度，根据计算方式可以分为时域法和频域法，频域法会考虑人眼的闪烁灵敏度</w:t>
      </w:r>
      <w:r>
        <w:rPr>
          <w:sz w:val="24"/>
          <w:szCs w:val="21"/>
        </w:rPr>
        <w:t>(Flicker Sensitivity)</w:t>
      </w:r>
      <w:r>
        <w:rPr>
          <w:rFonts w:hint="eastAsia" w:ascii="宋体" w:hAnsi="宋体"/>
          <w:sz w:val="24"/>
        </w:rPr>
        <w:t>。</w:t>
      </w:r>
    </w:p>
    <w:p>
      <w:pPr>
        <w:pStyle w:val="4"/>
        <w:adjustRightInd w:val="0"/>
        <w:snapToGrid w:val="0"/>
        <w:spacing w:before="120" w:after="120" w:line="360" w:lineRule="auto"/>
        <w:rPr>
          <w:rFonts w:eastAsiaTheme="minorEastAsia"/>
          <w:b w:val="0"/>
          <w:sz w:val="24"/>
          <w:szCs w:val="24"/>
        </w:rPr>
      </w:pPr>
      <w:bookmarkStart w:id="6" w:name="_Toc124506226"/>
      <w:r>
        <w:rPr>
          <w:rFonts w:eastAsiaTheme="minorEastAsia"/>
          <w:b w:val="0"/>
          <w:sz w:val="24"/>
          <w:szCs w:val="24"/>
        </w:rPr>
        <w:t>3.</w:t>
      </w:r>
      <w:r>
        <w:rPr>
          <w:rFonts w:hint="eastAsia" w:eastAsiaTheme="minorEastAsia"/>
          <w:b w:val="0"/>
          <w:sz w:val="24"/>
          <w:szCs w:val="24"/>
        </w:rPr>
        <w:t>3闪烁频率flicker frequency</w:t>
      </w:r>
      <w:bookmarkEnd w:id="6"/>
    </w:p>
    <w:p>
      <w:pPr>
        <w:adjustRightInd w:val="0"/>
        <w:snapToGrid w:val="0"/>
        <w:spacing w:line="360" w:lineRule="auto"/>
        <w:ind w:firstLine="480" w:firstLineChars="200"/>
        <w:rPr>
          <w:sz w:val="24"/>
        </w:rPr>
      </w:pPr>
      <w:r>
        <w:rPr>
          <w:rFonts w:hint="eastAsia" w:ascii="宋体" w:hAnsi="宋体"/>
          <w:sz w:val="24"/>
        </w:rPr>
        <w:t>当闪烁具有周期性时，其周期的倒数定义为闪烁频率，单位</w:t>
      </w:r>
      <w:r>
        <w:rPr>
          <w:sz w:val="24"/>
        </w:rPr>
        <w:t>Hz</w:t>
      </w:r>
      <w:r>
        <w:rPr>
          <w:rFonts w:hint="eastAsia" w:ascii="宋体" w:hAnsi="宋体"/>
          <w:sz w:val="24"/>
        </w:rPr>
        <w:t>。</w:t>
      </w:r>
    </w:p>
    <w:p>
      <w:pPr>
        <w:pStyle w:val="2"/>
        <w:spacing w:before="100" w:after="100"/>
        <w:rPr>
          <w:rFonts w:ascii="黑体" w:hAnsi="黑体" w:eastAsia="黑体"/>
          <w:b w:val="0"/>
          <w:sz w:val="24"/>
          <w:szCs w:val="24"/>
        </w:rPr>
      </w:pPr>
      <w:bookmarkStart w:id="7" w:name="_Toc124506227"/>
      <w:r>
        <w:rPr>
          <w:rFonts w:ascii="黑体" w:hAnsi="黑体" w:eastAsia="黑体"/>
          <w:b w:val="0"/>
          <w:sz w:val="24"/>
          <w:szCs w:val="24"/>
        </w:rPr>
        <w:t>4 概述</w:t>
      </w:r>
      <w:bookmarkEnd w:id="7"/>
    </w:p>
    <w:p>
      <w:pPr>
        <w:spacing w:line="360" w:lineRule="auto"/>
        <w:ind w:firstLine="480" w:firstLineChars="200"/>
        <w:rPr>
          <w:sz w:val="24"/>
        </w:rPr>
      </w:pPr>
      <w:r>
        <w:rPr>
          <w:rFonts w:hint="eastAsia"/>
          <w:sz w:val="24"/>
        </w:rPr>
        <w:t>显示屏闪烁率测定仪是用于显示屏闪烁率测量的设备，显示屏闪烁率测定仪按采集到信号的计算方式可分为两类，一类直接根据采集到的时域信号找到最大值和最小值，计算得到闪烁率，通常采用亮度对比度方式，单位为%，称为时域法；另一类先将采集到的时域信号进行傅里叶变换为频域信号，并对人眼的闪烁灵敏度进行加权，然后找到最大闪烁的频率及闪烁的幅值，计算得到该闪烁频率下的闪烁率，通常采用对数方式，单位为dB，称为频域法。常见闪烁率测定仪的测量方法见附录D。</w:t>
      </w:r>
    </w:p>
    <w:p>
      <w:pPr>
        <w:spacing w:line="360" w:lineRule="auto"/>
        <w:ind w:firstLine="480" w:firstLineChars="200"/>
        <w:rPr>
          <w:sz w:val="24"/>
        </w:rPr>
      </w:pPr>
      <w:r>
        <w:rPr>
          <w:rFonts w:hint="eastAsia"/>
          <w:sz w:val="24"/>
        </w:rPr>
        <w:t>目前显示屏闪烁率测定仪主要由高速光电传感器和信号采集分析设备两大部分组成，如图1所示。其中信号采集分析设备一般包括模数转换模块和信号处理输出设备，常见的信号采集分析设备有示波器、数据采集卡和计算机等。</w:t>
      </w:r>
    </w:p>
    <w:p>
      <w:pPr>
        <w:suppressLineNumbers/>
        <w:autoSpaceDE w:val="0"/>
        <w:autoSpaceDN w:val="0"/>
        <w:adjustRightInd w:val="0"/>
        <w:ind w:firstLine="480" w:firstLineChars="200"/>
        <w:jc w:val="center"/>
      </w:pPr>
      <w:r>
        <w:rPr>
          <w:rFonts w:ascii="Calibri" w:hAnsi="Calibri"/>
          <w:sz w:val="24"/>
          <w:szCs w:val="21"/>
        </w:rPr>
        <w:pict>
          <v:group id="画布 94" o:spid="_x0000_s1027" o:spt="203" style="height:226.5pt;width:436.5pt;" coordsize="55435,28765" editas="canvas">
            <o:lock v:ext="edit"/>
            <v:shape id="画布 94" o:spid="_x0000_s1028" o:spt="75" type="#_x0000_t75" style="position:absolute;left:0;top:0;height:28765;width:55435;" filled="f" o:preferrelative="t" stroked="f" coordsize="21600,21600">
              <v:path/>
              <v:fill on="f" focussize="0,0"/>
              <v:stroke on="f" joinstyle="miter"/>
              <v:imagedata o:title=""/>
              <o:lock v:ext="edit" aspectratio="t"/>
            </v:shape>
            <v:rect id="Rectangle 96" o:spid="_x0000_s1029" o:spt="1" style="position:absolute;left:2589;top:4670;height:19739;width:2885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038IA&#10;AADaAAAADwAAAGRycy9kb3ducmV2LnhtbESPUWsCMRCE3wv+h7BC32qiFpHTKCIUKghFW8HH5bLe&#10;HV42522q579vCoKPw8x8w8yXna/VlVqpAlsYDgwo4jy4igsLP98fb1NQEpEd1oHJwp0Eloveyxwz&#10;F268o+s+FipBWDK0UMbYZFpLXpJHGYSGOHmn0HqMSbaFdi3eEtzXemTMRHusOC2U2NC6pPy8//UW&#10;NkaO1WW0k/H0XU/yw9f2YjZi7Wu/W81AReriM/xofzoLY/i/km6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TfwgAAANoAAAAPAAAAAAAAAAAAAAAAAJgCAABkcnMvZG93&#10;bnJldi54bWxQSwUGAAAAAAQABAD1AAAAhwMAAAAA&#10;">
              <v:path/>
              <v:fill focussize="0,0"/>
              <v:stroke weight="2.5pt"/>
              <v:imagedata o:title=""/>
              <o:lock v:ext="edit"/>
            </v:rect>
            <v:rect id="Rectangle 97" o:spid="_x0000_s1030" o:spt="1" style="position:absolute;left:35248;top:9738;height:3406;width:1190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sq8MA&#10;AADaAAAADwAAAGRycy9kb3ducmV2LnhtbESPX2sCMRDE3wt+h7BC32riH0ROoxShUKEg2hb6uFzW&#10;u6OXzXkb9fz2RhB8HGbmN8xi1flanamVKrCF4cCAIs6Dq7iw8PP98TYDJRHZYR2YLFxJYLXsvSww&#10;c+HCOzrvY6EShCVDC2WMTaa15CV5lEFoiJN3CK3HmGRbaNfiJcF9rUfGTLXHitNCiQ2tS8r/9ydv&#10;YWPkrzqOdjKeTfQ0/91+Hc1GrH3td+9zUJG6+Aw/2p/OwgTuV9IN0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Isq8MAAADaAAAADwAAAAAAAAAAAAAAAACYAgAAZHJzL2Rv&#10;d25yZXYueG1sUEsFBgAAAAAEAAQA9QAAAIgDAAAAAA==&#10;">
              <v:path/>
              <v:fill focussize="0,0"/>
              <v:stroke weight="2.5pt"/>
              <v:imagedata o:title=""/>
              <o:lock v:ext="edit"/>
              <v:textbox>
                <w:txbxContent>
                  <w:p>
                    <w:r>
                      <w:rPr>
                        <w:rFonts w:hint="eastAsia"/>
                      </w:rPr>
                      <w:t>高速光电传感器</w:t>
                    </w:r>
                  </w:p>
                </w:txbxContent>
              </v:textbox>
            </v:rect>
            <v:shape id="Freeform 98" o:spid="_x0000_s1031" style="position:absolute;left:28868;top:12029;height:5188;width:6380;" coordsize="100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Yoq8EA&#10;AADaAAAADwAAAGRycy9kb3ducmV2LnhtbESPQWsCMRSE70L/Q3iF3jRboSpboxRBEAoVV70/Nq+b&#10;xc3LkqSa+uuNIHgcZuYbZr5MthNn8qF1rOB9VIAgrp1uuVFw2K+HMxAhImvsHJOCfwqwXLwM5lhq&#10;d+EdnavYiAzhUKICE2NfShlqQxbDyPXE2ft13mLM0jdSe7xkuO3kuCgm0mLLecFgTytD9an6swom&#10;09N4e6z9tdtMq2syrkjfPwel3l7T1yeISCk+w4/2Riv4gPuVfAPk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WKKvBAAAA2gAAAA8AAAAAAAAAAAAAAAAAmAIAAGRycy9kb3du&#10;cmV2LnhtbFBLBQYAAAAABAAEAPUAAACGAwAAAAA=&#10;" path="m1005,0c692,30,380,60,255,180c130,300,298,622,255,720c212,818,106,791,0,765e">
              <v:path arrowok="t" o:connecttype="custom" o:connectlocs="637904,0;161856,114151;161856,456602;0,485140" o:connectangles="0,0,0,0"/>
              <v:fill focussize="0,0"/>
              <v:stroke weight="2.5pt"/>
              <v:imagedata o:title=""/>
              <o:lock v:ext="edit"/>
            </v:shape>
            <v:rect id="Rectangle 99" o:spid="_x0000_s1032" o:spt="1" style="position:absolute;left:23062;top:12573;height:5185;width:64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XR8MA&#10;AADaAAAADwAAAGRycy9kb3ducmV2LnhtbESPX2vCQBDE3wt+h2MF3+qdWoKkniKCUEEo/oM+Lrlt&#10;Eprbi9mrxm/fKxT6OMzMb5jFqveNulEndWALk7EBRVwEV3Np4XzaPs9BSUR22AQmCw8SWC0HTwvM&#10;XbjzgW7HWKoEYcnRQhVjm2stRUUeZRxa4uR9hs5jTLIrtevwnuC+0VNjMu2x5rRQYUubioqv47e3&#10;sDPyUV+nB5nNX3RWXN73V7MTa0fDfv0KKlIf/8N/7TdnIYPfK+kG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wXR8MAAADaAAAADwAAAAAAAAAAAAAAAACYAgAAZHJzL2Rv&#10;d25yZXYueG1sUEsFBgAAAAAEAAQA9QAAAIgDAAAAAA==&#10;">
              <v:path/>
              <v:fill focussize="0,0"/>
              <v:stroke weight="2.5pt"/>
              <v:imagedata o:title=""/>
              <o:lock v:ext="edit"/>
              <v:textbox>
                <w:txbxContent>
                  <w:p>
                    <w:pPr>
                      <w:jc w:val="left"/>
                    </w:pPr>
                    <w:r>
                      <w:rPr>
                        <w:rFonts w:hint="eastAsia"/>
                      </w:rPr>
                      <w:t>模数转换模块</w:t>
                    </w:r>
                  </w:p>
                </w:txbxContent>
              </v:textbox>
            </v:rect>
            <v:rect id="Rectangle 100" o:spid="_x0000_s1033" o:spt="1" style="position:absolute;left:3249;top:6014;height:12301;width:1590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y3MMA&#10;AADaAAAADwAAAGRycy9kb3ducmV2LnhtbESPUWsCMRCE34X+h7CFvmlSFSunUUQoKAiibaGPy2W9&#10;O3rZnLepXv+9EYQ+DjPzDTNfdr5WF2qlCmzhdWBAEefBVVxY+Px4709BSUR2WAcmC38ksFw89eaY&#10;uXDlA12OsVAJwpKhhTLGJtNa8pI8yiA0xMk7hdZjTLIttGvxmuC+1kNjJtpjxWmhxIbWJeU/x19v&#10;YWvkuzoPDzKajvUk/9rvzmYr1r48d6sZqEhd/A8/2htn4Q3uV9IN0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Cy3MMAAADaAAAADwAAAAAAAAAAAAAAAACYAgAAZHJzL2Rv&#10;d25yZXYueG1sUEsFBgAAAAAEAAQA9QAAAIgDAAAAAA==&#10;">
              <v:path/>
              <v:fill focussize="0,0"/>
              <v:stroke weight="2.5pt"/>
              <v:imagedata o:title=""/>
              <o:lock v:ext="edit"/>
            </v:rect>
            <v:shape id="Oval 101" o:spid="_x0000_s1034" o:spt="3" type="#_x0000_t3" style="position:absolute;left:13629;top:15244;height:1050;width:105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4zPcAA&#10;AADaAAAADwAAAGRycy9kb3ducmV2LnhtbERPz2vCMBS+D/wfwhN2W1MLc6UapQjCYKfpRLw9m2db&#10;bF7aJNPuv18OgseP7/dyPZpO3Mj51rKCWZKCIK6sbrlW8LPfvuUgfEDW2FkmBX/kYb2avCyx0PbO&#10;33TbhVrEEPYFKmhC6AspfdWQQZ/YnjhyF+sMhghdLbXDeww3nczSdC4NthwbGuxp01B13f0aBYdw&#10;Og/H2fBe5vThToP7kll7Vup1OpYLEIHG8BQ/3J9aQdwar8Qb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4zPcAAAADaAAAADwAAAAAAAAAAAAAAAACYAgAAZHJzL2Rvd25y&#10;ZXYueG1sUEsFBgAAAAAEAAQA9QAAAIUDAAAAAA==&#10;">
              <v:path/>
              <v:fill focussize="0,0"/>
              <v:stroke weight="2.5pt"/>
              <v:imagedata o:title=""/>
              <o:lock v:ext="edit"/>
            </v:shape>
            <v:shape id="Oval 102" o:spid="_x0000_s1035" o:spt="3" type="#_x0000_t3" style="position:absolute;left:15721;top:15244;height:1042;width:105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WpsMA&#10;AADaAAAADwAAAGRycy9kb3ducmV2LnhtbESPQWvCQBSE7wX/w/KE3urGQFuNrhIEodBTrSLentln&#10;Esy+TXa3Sfrvu4VCj8PMfMOst6NpRE/O15YVzGcJCOLC6ppLBcfP/dMChA/IGhvLpOCbPGw3k4c1&#10;ZtoO/EH9IZQiQthnqKAKoc2k9EVFBv3MtsTRu1lnMETpSqkdDhFuGpkmyYs0WHNcqLClXUXF/fBl&#10;FJzC5dqd591zvqBXd+ncu0zrq1KP0zFfgQg0hv/wX/tNK1jC75V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KWpsMAAADaAAAADwAAAAAAAAAAAAAAAACYAgAAZHJzL2Rv&#10;d25yZXYueG1sUEsFBgAAAAAEAAQA9QAAAIgDAAAAAA==&#10;">
              <v:path/>
              <v:fill focussize="0,0"/>
              <v:stroke weight="2.5pt"/>
              <v:imagedata o:title=""/>
              <o:lock v:ext="edit"/>
            </v:shape>
            <v:shape id="Freeform 103" o:spid="_x0000_s1036" style="position:absolute;left:14679;top:16286;height:5124;width:8383;" filled="f" coordsize="1320,8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hA2sYA&#10;AADbAAAADwAAAGRycy9kb3ducmV2LnhtbESPQWvCQBCF74X+h2UKvdWNPbQ2uoqUFlqhiKmg3obs&#10;mASzs2F3a9L++s5B8PaGefPNe7PF4Fp1phAbzwbGowwUceltw5WB7ff7wwRUTMgWW89k4JciLOa3&#10;NzPMre95Q+ciVUogHHM0UKfU5VrHsiaHceQ7YtkdfXCYZAyVtgF7gbtWP2bZk3bYsHyosaPXmspT&#10;8eOEsjp+vny9hfXzvl0dNn+7ajKk3pj7u2E5BZVoSFfz5frDSnxJL11Eg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hA2sYAAADbAAAADwAAAAAAAAAAAAAAAACYAgAAZHJz&#10;L2Rvd25yZXYueG1sUEsFBgAAAAAEAAQA9QAAAIsDAAAAAA==&#10;" path="m1320,1c1282,97,1245,194,1080,319c915,444,509,807,329,754c149,701,74,350,0,0e">
              <v:path arrowok="t" o:connecttype="custom" o:connectlocs="838343,635;685917,202542;208951,478735;0,0" o:connectangles="0,0,0,0"/>
              <v:fill on="f" focussize="0,0"/>
              <v:stroke weight="2.5pt"/>
              <v:imagedata o:title=""/>
              <o:lock v:ext="edit"/>
            </v:shape>
            <v:rect id="Rectangle 104" o:spid="_x0000_s1037" o:spt="1" style="position:absolute;left:4776;top:7455;height:8839;width:75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dt/MAA&#10;AADbAAAADwAAAGRycy9kb3ducmV2LnhtbERPS2rDMBDdF3oHMYXsajldhMaxEkpCIZsU6voAE2si&#10;m1ojYym2fPuqUOhuHu875SHaXkw0+s6xgnWWgyBunO7YKKi/3p9fQfiArLF3TAoW8nDYPz6UWGg3&#10;8ydNVTAihbAvUEEbwlBI6ZuWLPrMDcSJu7nRYkhwNFKPOKdw28uXPN9Iix2nhhYHOrbUfFd3q2Co&#10;j8u0vcQPI68nM29DncdYK7V6im87EIFi+Bf/uc86zV/D7y/pA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Mdt/MAAAADbAAAADwAAAAAAAAAAAAAAAACYAgAAZHJzL2Rvd25y&#10;ZXYueG1sUEsFBgAAAAAEAAQA9QAAAIUDAAAAAA==&#10;">
              <v:path/>
              <v:fill focussize="0,0"/>
              <v:stroke weight="1pt" dashstyle="dash"/>
              <v:imagedata o:title=""/>
              <o:lock v:ext="edit"/>
              <v:textbox>
                <w:txbxContent>
                  <w:p>
                    <w:pPr>
                      <w:jc w:val="left"/>
                    </w:pPr>
                    <w:r>
                      <w:rPr>
                        <w:rFonts w:hint="eastAsia"/>
                      </w:rPr>
                      <w:t>信号处理输出设备</w:t>
                    </w:r>
                  </w:p>
                </w:txbxContent>
              </v:textbox>
            </v:rect>
            <v:rect id="Rectangle 106" o:spid="_x0000_s1038" o:spt="1" style="position:absolute;left:7640;top:24706;height:3132;width:16648;"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CS78A&#10;AADbAAAADwAAAGRycy9kb3ducmV2LnhtbERPzYrCMBC+C75DGGFvmrrCItUoIi562UPVBxibsQk2&#10;k9JEjW+/WVjwNh/f7yzXybXiQX2wnhVMJwUI4tpry42C8+l7PAcRIrLG1jMpeFGA9Wo4WGKp/ZMr&#10;ehxjI3IIhxIVmBi7UspQG3IYJr4jztzV9w5jhn0jdY/PHO5a+VkUX9Kh5dxgsKOtofp2vDsFp/Ml&#10;VXJnd+ansOnazNJ+X1VKfYzSZgEiUopv8b/7oPP8Gfz9k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dsJLvwAAANsAAAAPAAAAAAAAAAAAAAAAAJgCAABkcnMvZG93bnJl&#10;di54bWxQSwUGAAAAAAQABAD1AAAAhAMAAAAA&#10;">
              <v:path/>
              <v:fill focussize="0,0"/>
              <v:stroke on="f" weight="2.5pt"/>
              <v:imagedata o:title=""/>
              <o:lock v:ext="edit"/>
              <v:textbox>
                <w:txbxContent>
                  <w:p>
                    <w:r>
                      <w:rPr>
                        <w:rFonts w:hint="eastAsia"/>
                      </w:rPr>
                      <w:t>信号采集分析设备</w:t>
                    </w:r>
                  </w:p>
                </w:txbxContent>
              </v:textbox>
            </v:rect>
            <v:rect id="矩形 2" o:spid="_x0000_s1039" o:spt="1" style="position:absolute;left:48958;top:3717;height:15396;width:3429;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v:path/>
              <v:fill on="t" focussize="0,0"/>
              <v:stroke weight="2pt" color="#000000"/>
              <v:imagedata o:title=""/>
              <o:lock v:ext="edit"/>
              <v:textbox>
                <w:txbxContent>
                  <w:p>
                    <w:pPr>
                      <w:jc w:val="center"/>
                    </w:pPr>
                    <w:r>
                      <w:rPr>
                        <w:rFonts w:hint="eastAsia"/>
                      </w:rPr>
                      <w:t>被测显示屏</w:t>
                    </w:r>
                  </w:p>
                </w:txbxContent>
              </v:textbox>
            </v:rect>
            <w10:wrap type="none"/>
            <w10:anchorlock/>
          </v:group>
        </w:pict>
      </w:r>
    </w:p>
    <w:p>
      <w:pPr>
        <w:suppressLineNumbers/>
        <w:autoSpaceDE w:val="0"/>
        <w:autoSpaceDN w:val="0"/>
        <w:adjustRightInd w:val="0"/>
        <w:ind w:firstLine="420" w:firstLineChars="200"/>
        <w:jc w:val="center"/>
        <w:rPr>
          <w:kern w:val="0"/>
          <w:szCs w:val="21"/>
        </w:rPr>
      </w:pPr>
      <w:r>
        <w:rPr>
          <w:rFonts w:hint="eastAsia"/>
          <w:kern w:val="0"/>
          <w:szCs w:val="21"/>
        </w:rPr>
        <w:t xml:space="preserve">图1 </w:t>
      </w:r>
      <w:r>
        <w:rPr>
          <w:rFonts w:hint="eastAsia"/>
          <w:szCs w:val="21"/>
        </w:rPr>
        <w:t>显示屏闪烁率测定仪工作原理示意图</w:t>
      </w:r>
    </w:p>
    <w:p>
      <w:pPr>
        <w:pStyle w:val="2"/>
        <w:spacing w:before="100" w:after="100"/>
        <w:rPr>
          <w:rFonts w:ascii="黑体" w:hAnsi="黑体" w:eastAsia="黑体"/>
          <w:b w:val="0"/>
          <w:sz w:val="24"/>
          <w:szCs w:val="24"/>
        </w:rPr>
      </w:pPr>
      <w:bookmarkStart w:id="8" w:name="_Toc124506228"/>
      <w:r>
        <w:rPr>
          <w:rFonts w:ascii="黑体" w:hAnsi="黑体" w:eastAsia="黑体"/>
          <w:b w:val="0"/>
          <w:sz w:val="24"/>
          <w:szCs w:val="24"/>
        </w:rPr>
        <w:t>5计量特性</w:t>
      </w:r>
      <w:bookmarkEnd w:id="8"/>
    </w:p>
    <w:p>
      <w:pPr>
        <w:spacing w:line="360" w:lineRule="auto"/>
        <w:ind w:firstLine="480" w:firstLineChars="200"/>
        <w:rPr>
          <w:sz w:val="24"/>
        </w:rPr>
      </w:pPr>
      <w:r>
        <w:rPr>
          <w:rFonts w:hint="eastAsia"/>
          <w:sz w:val="24"/>
        </w:rPr>
        <w:t>5.1</w:t>
      </w:r>
      <w:r>
        <w:rPr>
          <w:sz w:val="24"/>
        </w:rPr>
        <w:t>闪烁率示值误差</w:t>
      </w:r>
      <w:r>
        <w:rPr>
          <w:rFonts w:hint="eastAsia"/>
          <w:sz w:val="24"/>
        </w:rPr>
        <w:t>：</w:t>
      </w:r>
    </w:p>
    <w:p>
      <w:pPr>
        <w:spacing w:line="360" w:lineRule="auto"/>
        <w:ind w:firstLine="480" w:firstLineChars="200"/>
        <w:jc w:val="center"/>
        <w:rPr>
          <w:sz w:val="24"/>
        </w:rPr>
      </w:pPr>
      <w:r>
        <w:rPr>
          <w:rFonts w:hint="eastAsia"/>
          <w:sz w:val="24"/>
        </w:rPr>
        <w:t>表1 闪烁率示值误差计量特性要求（时域法）</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spacing w:line="360" w:lineRule="auto"/>
              <w:jc w:val="center"/>
              <w:rPr>
                <w:sz w:val="24"/>
              </w:rPr>
            </w:pPr>
            <w:r>
              <w:rPr>
                <w:rFonts w:hint="eastAsia"/>
                <w:sz w:val="24"/>
              </w:rPr>
              <w:t>闪烁率范围</w:t>
            </w:r>
          </w:p>
        </w:tc>
        <w:tc>
          <w:tcPr>
            <w:tcW w:w="1250" w:type="pct"/>
            <w:vAlign w:val="center"/>
          </w:tcPr>
          <w:p>
            <w:pPr>
              <w:spacing w:line="360" w:lineRule="auto"/>
              <w:jc w:val="center"/>
              <w:rPr>
                <w:sz w:val="24"/>
              </w:rPr>
            </w:pPr>
            <w:r>
              <w:rPr>
                <w:rFonts w:hint="eastAsia"/>
                <w:sz w:val="24"/>
              </w:rPr>
              <w:t>(0%~3%]</w:t>
            </w:r>
          </w:p>
        </w:tc>
        <w:tc>
          <w:tcPr>
            <w:tcW w:w="1250" w:type="pct"/>
            <w:vAlign w:val="center"/>
          </w:tcPr>
          <w:p>
            <w:pPr>
              <w:spacing w:line="360" w:lineRule="auto"/>
              <w:jc w:val="center"/>
              <w:rPr>
                <w:sz w:val="24"/>
              </w:rPr>
            </w:pPr>
            <w:r>
              <w:rPr>
                <w:rFonts w:hint="eastAsia"/>
                <w:sz w:val="24"/>
              </w:rPr>
              <w:t>(3%~20%]</w:t>
            </w:r>
          </w:p>
        </w:tc>
        <w:tc>
          <w:tcPr>
            <w:tcW w:w="1250" w:type="pct"/>
            <w:vAlign w:val="center"/>
          </w:tcPr>
          <w:p>
            <w:pPr>
              <w:spacing w:line="360" w:lineRule="auto"/>
              <w:jc w:val="center"/>
              <w:rPr>
                <w:sz w:val="24"/>
              </w:rPr>
            </w:pPr>
            <w:r>
              <w:rPr>
                <w:rFonts w:hint="eastAsia"/>
                <w:sz w:val="24"/>
              </w:rPr>
              <w:t>(20%~100%]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spacing w:line="360" w:lineRule="auto"/>
              <w:jc w:val="center"/>
              <w:rPr>
                <w:sz w:val="24"/>
              </w:rPr>
            </w:pPr>
            <w:r>
              <w:rPr>
                <w:rFonts w:hint="eastAsia"/>
                <w:sz w:val="24"/>
              </w:rPr>
              <w:t>闪烁率示值误差</w:t>
            </w:r>
          </w:p>
        </w:tc>
        <w:tc>
          <w:tcPr>
            <w:tcW w:w="1250" w:type="pct"/>
            <w:vAlign w:val="center"/>
          </w:tcPr>
          <w:p>
            <w:pPr>
              <w:spacing w:line="360" w:lineRule="auto"/>
              <w:jc w:val="center"/>
              <w:rPr>
                <w:sz w:val="24"/>
              </w:rPr>
            </w:pPr>
            <w:r>
              <w:rPr>
                <w:rFonts w:hint="eastAsia"/>
                <w:sz w:val="24"/>
              </w:rPr>
              <w:t>±0.3%</w:t>
            </w:r>
          </w:p>
        </w:tc>
        <w:tc>
          <w:tcPr>
            <w:tcW w:w="1250" w:type="pct"/>
            <w:vAlign w:val="center"/>
          </w:tcPr>
          <w:p>
            <w:pPr>
              <w:spacing w:line="360" w:lineRule="auto"/>
              <w:jc w:val="center"/>
              <w:rPr>
                <w:sz w:val="24"/>
              </w:rPr>
            </w:pPr>
            <w:r>
              <w:rPr>
                <w:rFonts w:hint="eastAsia"/>
                <w:sz w:val="24"/>
              </w:rPr>
              <w:t>±0.5%</w:t>
            </w:r>
          </w:p>
        </w:tc>
        <w:tc>
          <w:tcPr>
            <w:tcW w:w="1250" w:type="pct"/>
            <w:vAlign w:val="center"/>
          </w:tcPr>
          <w:p>
            <w:pPr>
              <w:spacing w:line="360" w:lineRule="auto"/>
              <w:jc w:val="center"/>
              <w:rPr>
                <w:sz w:val="24"/>
              </w:rPr>
            </w:pPr>
            <w:r>
              <w:rPr>
                <w:rFonts w:hint="eastAsia"/>
                <w:sz w:val="24"/>
              </w:rPr>
              <w:t>±3%</w:t>
            </w:r>
          </w:p>
        </w:tc>
      </w:tr>
    </w:tbl>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r>
        <w:rPr>
          <w:rFonts w:hint="eastAsia"/>
          <w:sz w:val="24"/>
        </w:rPr>
        <w:t>表2 闪烁率示值误差计量特性要求（频域法）</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0" w:type="pct"/>
            <w:vAlign w:val="center"/>
          </w:tcPr>
          <w:p>
            <w:pPr>
              <w:spacing w:line="360" w:lineRule="auto"/>
              <w:jc w:val="center"/>
              <w:rPr>
                <w:sz w:val="24"/>
              </w:rPr>
            </w:pPr>
            <w:r>
              <w:rPr>
                <w:rFonts w:hint="eastAsia"/>
                <w:sz w:val="24"/>
              </w:rPr>
              <w:t>闪烁率范围</w:t>
            </w:r>
          </w:p>
        </w:tc>
        <w:tc>
          <w:tcPr>
            <w:tcW w:w="1250" w:type="pct"/>
            <w:vAlign w:val="center"/>
          </w:tcPr>
          <w:p>
            <w:pPr>
              <w:spacing w:line="360" w:lineRule="auto"/>
              <w:jc w:val="center"/>
              <w:rPr>
                <w:sz w:val="24"/>
              </w:rPr>
            </w:pPr>
            <w:r>
              <w:rPr>
                <w:rFonts w:hint="eastAsia"/>
                <w:sz w:val="24"/>
              </w:rPr>
              <w:t>(-80 dB~-30 dB]</w:t>
            </w:r>
          </w:p>
        </w:tc>
        <w:tc>
          <w:tcPr>
            <w:tcW w:w="1250" w:type="pct"/>
            <w:vAlign w:val="center"/>
          </w:tcPr>
          <w:p>
            <w:pPr>
              <w:spacing w:line="360" w:lineRule="auto"/>
              <w:jc w:val="center"/>
              <w:rPr>
                <w:sz w:val="24"/>
              </w:rPr>
            </w:pPr>
            <w:r>
              <w:rPr>
                <w:rFonts w:hint="eastAsia"/>
                <w:sz w:val="24"/>
              </w:rPr>
              <w:t>(-30 dB~-10 dB]</w:t>
            </w:r>
          </w:p>
        </w:tc>
        <w:tc>
          <w:tcPr>
            <w:tcW w:w="1250" w:type="pct"/>
            <w:vAlign w:val="center"/>
          </w:tcPr>
          <w:p>
            <w:pPr>
              <w:spacing w:line="360" w:lineRule="auto"/>
              <w:jc w:val="center"/>
              <w:rPr>
                <w:sz w:val="24"/>
              </w:rPr>
            </w:pPr>
            <w:r>
              <w:rPr>
                <w:rFonts w:hint="eastAsia"/>
                <w:sz w:val="24"/>
              </w:rPr>
              <w:t>(-10 dB~0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spacing w:line="360" w:lineRule="auto"/>
              <w:jc w:val="center"/>
              <w:rPr>
                <w:sz w:val="24"/>
              </w:rPr>
            </w:pPr>
            <w:r>
              <w:rPr>
                <w:rFonts w:hint="eastAsia"/>
                <w:sz w:val="24"/>
              </w:rPr>
              <w:t>闪烁率示值误差</w:t>
            </w:r>
          </w:p>
        </w:tc>
        <w:tc>
          <w:tcPr>
            <w:tcW w:w="1250" w:type="pct"/>
            <w:vAlign w:val="center"/>
          </w:tcPr>
          <w:p>
            <w:pPr>
              <w:spacing w:line="360" w:lineRule="auto"/>
              <w:jc w:val="center"/>
              <w:rPr>
                <w:sz w:val="24"/>
              </w:rPr>
            </w:pPr>
            <w:r>
              <w:rPr>
                <w:rFonts w:hint="eastAsia"/>
                <w:sz w:val="24"/>
              </w:rPr>
              <w:t>±3 dB</w:t>
            </w:r>
          </w:p>
        </w:tc>
        <w:tc>
          <w:tcPr>
            <w:tcW w:w="1250" w:type="pct"/>
            <w:vAlign w:val="center"/>
          </w:tcPr>
          <w:p>
            <w:pPr>
              <w:spacing w:line="360" w:lineRule="auto"/>
              <w:jc w:val="center"/>
              <w:rPr>
                <w:sz w:val="24"/>
              </w:rPr>
            </w:pPr>
            <w:r>
              <w:rPr>
                <w:rFonts w:hint="eastAsia"/>
                <w:sz w:val="24"/>
              </w:rPr>
              <w:t>±1 dB</w:t>
            </w:r>
          </w:p>
        </w:tc>
        <w:tc>
          <w:tcPr>
            <w:tcW w:w="1250" w:type="pct"/>
            <w:vAlign w:val="center"/>
          </w:tcPr>
          <w:p>
            <w:pPr>
              <w:spacing w:line="360" w:lineRule="auto"/>
              <w:jc w:val="center"/>
              <w:rPr>
                <w:sz w:val="24"/>
              </w:rPr>
            </w:pPr>
            <w:r>
              <w:rPr>
                <w:rFonts w:hint="eastAsia"/>
                <w:sz w:val="24"/>
              </w:rPr>
              <w:t>±0.2 dB</w:t>
            </w:r>
          </w:p>
        </w:tc>
      </w:tr>
    </w:tbl>
    <w:p>
      <w:pPr>
        <w:spacing w:line="360" w:lineRule="auto"/>
        <w:ind w:firstLine="480" w:firstLineChars="200"/>
        <w:rPr>
          <w:sz w:val="24"/>
        </w:rPr>
      </w:pPr>
    </w:p>
    <w:p>
      <w:pPr>
        <w:spacing w:line="360" w:lineRule="auto"/>
        <w:rPr>
          <w:sz w:val="24"/>
        </w:rPr>
      </w:pPr>
      <w:r>
        <w:rPr>
          <w:rFonts w:hint="eastAsia"/>
          <w:sz w:val="24"/>
        </w:rPr>
        <w:tab/>
      </w:r>
      <w:r>
        <w:rPr>
          <w:rFonts w:hint="eastAsia"/>
          <w:sz w:val="24"/>
        </w:rPr>
        <w:t xml:space="preserve">5.2 </w:t>
      </w:r>
      <w:r>
        <w:rPr>
          <w:sz w:val="24"/>
        </w:rPr>
        <w:t>闪烁频率</w:t>
      </w:r>
      <w:r>
        <w:rPr>
          <w:rFonts w:hint="eastAsia"/>
          <w:sz w:val="24"/>
        </w:rPr>
        <w:t>相对示值</w:t>
      </w:r>
      <w:r>
        <w:rPr>
          <w:sz w:val="24"/>
        </w:rPr>
        <w:t>误差</w:t>
      </w:r>
    </w:p>
    <w:p>
      <w:pPr>
        <w:spacing w:line="360" w:lineRule="auto"/>
        <w:rPr>
          <w:sz w:val="24"/>
        </w:rPr>
      </w:pPr>
      <w:r>
        <w:rPr>
          <w:rFonts w:hint="eastAsia"/>
          <w:sz w:val="24"/>
        </w:rPr>
        <w:t>闪烁频率相对示值误差：±2</w:t>
      </w:r>
      <w:r>
        <w:rPr>
          <w:sz w:val="24"/>
        </w:rPr>
        <w:t>%。</w:t>
      </w:r>
    </w:p>
    <w:p>
      <w:pPr>
        <w:spacing w:line="360" w:lineRule="auto"/>
        <w:ind w:firstLine="480" w:firstLineChars="200"/>
        <w:rPr>
          <w:sz w:val="24"/>
        </w:rPr>
      </w:pPr>
      <w:r>
        <w:rPr>
          <w:sz w:val="24"/>
        </w:rPr>
        <w:t>（以上技术指标仅供参考，不作为合格判断依据）</w:t>
      </w:r>
    </w:p>
    <w:p>
      <w:pPr>
        <w:pStyle w:val="2"/>
        <w:spacing w:before="100" w:after="100"/>
        <w:rPr>
          <w:rFonts w:ascii="黑体" w:hAnsi="黑体" w:eastAsia="黑体"/>
          <w:b w:val="0"/>
          <w:sz w:val="24"/>
          <w:szCs w:val="24"/>
        </w:rPr>
      </w:pPr>
      <w:bookmarkStart w:id="9" w:name="_Toc124506229"/>
      <w:r>
        <w:rPr>
          <w:rFonts w:ascii="黑体" w:hAnsi="黑体" w:eastAsia="黑体"/>
          <w:b w:val="0"/>
          <w:sz w:val="24"/>
          <w:szCs w:val="24"/>
        </w:rPr>
        <w:t>6 校准条件</w:t>
      </w:r>
      <w:bookmarkEnd w:id="9"/>
    </w:p>
    <w:p>
      <w:pPr>
        <w:pStyle w:val="4"/>
        <w:spacing w:before="120" w:after="120" w:line="360" w:lineRule="auto"/>
        <w:rPr>
          <w:rFonts w:eastAsiaTheme="minorEastAsia"/>
          <w:b w:val="0"/>
          <w:sz w:val="24"/>
          <w:szCs w:val="24"/>
        </w:rPr>
      </w:pPr>
      <w:bookmarkStart w:id="10" w:name="_Toc124506230"/>
      <w:r>
        <w:rPr>
          <w:rFonts w:eastAsiaTheme="minorEastAsia"/>
          <w:b w:val="0"/>
          <w:sz w:val="24"/>
          <w:szCs w:val="24"/>
        </w:rPr>
        <w:t>6.1 环境条件</w:t>
      </w:r>
      <w:bookmarkEnd w:id="10"/>
    </w:p>
    <w:p>
      <w:pPr>
        <w:spacing w:line="360" w:lineRule="auto"/>
        <w:rPr>
          <w:rFonts w:eastAsiaTheme="minorEastAsia"/>
          <w:bCs/>
          <w:sz w:val="24"/>
        </w:rPr>
      </w:pPr>
      <w:r>
        <w:rPr>
          <w:rFonts w:hint="eastAsia" w:eastAsiaTheme="minorEastAsia"/>
          <w:bCs/>
          <w:sz w:val="24"/>
        </w:rPr>
        <w:t>6.1.1 环境温度：（</w:t>
      </w:r>
      <w:r>
        <w:rPr>
          <w:rFonts w:eastAsiaTheme="minorEastAsia"/>
          <w:bCs/>
          <w:sz w:val="24"/>
        </w:rPr>
        <w:t>2</w:t>
      </w:r>
      <w:r>
        <w:rPr>
          <w:rFonts w:hint="eastAsia" w:eastAsiaTheme="minorEastAsia"/>
          <w:bCs/>
          <w:sz w:val="24"/>
        </w:rPr>
        <w:t>3</w:t>
      </w:r>
      <w:r>
        <w:rPr>
          <w:rFonts w:eastAsiaTheme="minorEastAsia"/>
          <w:bCs/>
          <w:sz w:val="24"/>
        </w:rPr>
        <w:t>±</w:t>
      </w:r>
      <w:r>
        <w:rPr>
          <w:rFonts w:hint="eastAsia" w:eastAsiaTheme="minorEastAsia"/>
          <w:bCs/>
          <w:sz w:val="24"/>
        </w:rPr>
        <w:t>5）℃。</w:t>
      </w:r>
    </w:p>
    <w:p>
      <w:pPr>
        <w:spacing w:line="360" w:lineRule="auto"/>
        <w:rPr>
          <w:rFonts w:eastAsiaTheme="minorEastAsia"/>
          <w:bCs/>
          <w:sz w:val="24"/>
        </w:rPr>
      </w:pPr>
      <w:r>
        <w:rPr>
          <w:rFonts w:hint="eastAsia" w:eastAsiaTheme="minorEastAsia"/>
          <w:bCs/>
          <w:sz w:val="24"/>
        </w:rPr>
        <w:t>6.1.2 湿度：≤85%RH。</w:t>
      </w:r>
    </w:p>
    <w:p>
      <w:pPr>
        <w:spacing w:line="360" w:lineRule="auto"/>
        <w:rPr>
          <w:rFonts w:eastAsiaTheme="minorEastAsia"/>
          <w:bCs/>
          <w:sz w:val="24"/>
        </w:rPr>
      </w:pPr>
      <w:r>
        <w:rPr>
          <w:rFonts w:hint="eastAsia" w:eastAsiaTheme="minorEastAsia"/>
          <w:bCs/>
          <w:sz w:val="24"/>
        </w:rPr>
        <w:t>6.1.3实验室应无剧烈振动和影响测量结果的电磁干扰等。</w:t>
      </w:r>
    </w:p>
    <w:p>
      <w:pPr>
        <w:pStyle w:val="4"/>
        <w:spacing w:before="120" w:after="120" w:line="360" w:lineRule="auto"/>
        <w:rPr>
          <w:rFonts w:eastAsiaTheme="minorEastAsia"/>
          <w:b w:val="0"/>
          <w:sz w:val="24"/>
          <w:szCs w:val="24"/>
        </w:rPr>
      </w:pPr>
      <w:bookmarkStart w:id="11" w:name="_Toc124506231"/>
      <w:r>
        <w:rPr>
          <w:rFonts w:eastAsiaTheme="minorEastAsia"/>
          <w:b w:val="0"/>
          <w:sz w:val="24"/>
          <w:szCs w:val="24"/>
        </w:rPr>
        <w:t>6.2 校准设备</w:t>
      </w:r>
      <w:bookmarkEnd w:id="11"/>
    </w:p>
    <w:p>
      <w:pPr>
        <w:spacing w:line="360" w:lineRule="auto"/>
        <w:rPr>
          <w:rFonts w:eastAsiaTheme="minorEastAsia"/>
          <w:bCs/>
          <w:sz w:val="24"/>
        </w:rPr>
      </w:pPr>
      <w:r>
        <w:rPr>
          <w:rFonts w:eastAsiaTheme="minorEastAsia"/>
          <w:bCs/>
          <w:sz w:val="24"/>
        </w:rPr>
        <w:t>6.2.1</w:t>
      </w:r>
      <w:r>
        <w:rPr>
          <w:rFonts w:hint="eastAsia" w:eastAsiaTheme="minorEastAsia"/>
          <w:bCs/>
          <w:sz w:val="24"/>
        </w:rPr>
        <w:t>高速光电传感器</w:t>
      </w:r>
    </w:p>
    <w:p>
      <w:pPr>
        <w:spacing w:line="360" w:lineRule="auto"/>
        <w:ind w:firstLine="480" w:firstLineChars="200"/>
        <w:rPr>
          <w:rFonts w:eastAsiaTheme="minorEastAsia"/>
          <w:bCs/>
          <w:sz w:val="24"/>
        </w:rPr>
      </w:pPr>
      <w:r>
        <w:rPr>
          <w:rFonts w:hint="eastAsia" w:eastAsiaTheme="minorEastAsia"/>
          <w:bCs/>
          <w:sz w:val="24"/>
        </w:rPr>
        <w:t>采样频率优于100 kHz或者响应带宽优于0.01 ms，非线性优于2%；</w:t>
      </w:r>
    </w:p>
    <w:p>
      <w:pPr>
        <w:spacing w:line="360" w:lineRule="auto"/>
        <w:rPr>
          <w:rFonts w:eastAsiaTheme="minorEastAsia"/>
          <w:bCs/>
          <w:sz w:val="24"/>
        </w:rPr>
      </w:pPr>
      <w:r>
        <w:rPr>
          <w:rFonts w:eastAsiaTheme="minorEastAsia"/>
          <w:bCs/>
          <w:sz w:val="24"/>
        </w:rPr>
        <w:t>6.2.</w:t>
      </w:r>
      <w:r>
        <w:rPr>
          <w:rFonts w:hint="eastAsia" w:eastAsiaTheme="minorEastAsia"/>
          <w:bCs/>
          <w:sz w:val="24"/>
        </w:rPr>
        <w:t>2 信号采集分析设备</w:t>
      </w:r>
    </w:p>
    <w:p>
      <w:pPr>
        <w:spacing w:line="360" w:lineRule="auto"/>
        <w:rPr>
          <w:rFonts w:eastAsiaTheme="minorEastAsia"/>
          <w:bCs/>
          <w:sz w:val="24"/>
        </w:rPr>
      </w:pPr>
      <w:r>
        <w:rPr>
          <w:rFonts w:hint="eastAsia" w:eastAsiaTheme="minorEastAsia"/>
          <w:bCs/>
          <w:sz w:val="24"/>
        </w:rPr>
        <w:tab/>
      </w:r>
      <w:r>
        <w:rPr>
          <w:rFonts w:hint="eastAsia" w:eastAsiaTheme="minorEastAsia"/>
          <w:bCs/>
          <w:sz w:val="24"/>
        </w:rPr>
        <w:t>采样频率优于100 kHz，电压采集范围应覆盖高速光电传感器的输出电压范围，电压测量不确定度优于0.4%（</w:t>
      </w:r>
      <w:r>
        <w:rPr>
          <w:rFonts w:hint="eastAsia" w:eastAsiaTheme="minorEastAsia"/>
          <w:bCs/>
          <w:i/>
          <w:sz w:val="24"/>
        </w:rPr>
        <w:t>k</w:t>
      </w:r>
      <w:r>
        <w:rPr>
          <w:rFonts w:hint="eastAsia" w:eastAsiaTheme="minorEastAsia"/>
          <w:bCs/>
          <w:sz w:val="24"/>
        </w:rPr>
        <w:t>=2）；</w:t>
      </w:r>
      <w:r>
        <w:rPr>
          <w:rFonts w:eastAsiaTheme="minorEastAsia"/>
          <w:bCs/>
          <w:sz w:val="24"/>
        </w:rPr>
        <w:t xml:space="preserve"> </w:t>
      </w:r>
    </w:p>
    <w:p>
      <w:pPr>
        <w:spacing w:line="360" w:lineRule="auto"/>
        <w:rPr>
          <w:rFonts w:eastAsiaTheme="minorEastAsia"/>
          <w:bCs/>
          <w:sz w:val="24"/>
        </w:rPr>
      </w:pPr>
      <w:r>
        <w:rPr>
          <w:rFonts w:eastAsiaTheme="minorEastAsia"/>
          <w:bCs/>
          <w:sz w:val="24"/>
        </w:rPr>
        <w:t>6.2.</w:t>
      </w:r>
      <w:r>
        <w:rPr>
          <w:rFonts w:hint="eastAsia" w:eastAsiaTheme="minorEastAsia"/>
          <w:bCs/>
          <w:sz w:val="24"/>
        </w:rPr>
        <w:t xml:space="preserve">3参考闪烁源： </w:t>
      </w:r>
    </w:p>
    <w:p>
      <w:pPr>
        <w:spacing w:line="360" w:lineRule="auto"/>
        <w:rPr>
          <w:sz w:val="24"/>
        </w:rPr>
      </w:pPr>
      <w:r>
        <w:rPr>
          <w:rFonts w:hint="eastAsia" w:eastAsiaTheme="minorEastAsia"/>
          <w:bCs/>
          <w:sz w:val="24"/>
        </w:rPr>
        <w:tab/>
      </w:r>
      <w:r>
        <w:rPr>
          <w:rFonts w:hint="eastAsia"/>
          <w:sz w:val="24"/>
        </w:rPr>
        <w:t>参考闪烁源由控制软件、信号发生器和可以快速响应的光源组成，通常为LED或OLED显示屏，如图2所示，通过控制软件控制信号发生器产生电信号波形并驱动光源发光，产生与电信号对应的光信号，校准显示屏闪烁率测定仪时需要产生振幅、周期可控的正弦波信号。</w:t>
      </w:r>
    </w:p>
    <w:p>
      <w:pPr>
        <w:spacing w:line="360" w:lineRule="auto"/>
        <w:ind w:firstLine="480" w:firstLineChars="200"/>
        <w:rPr>
          <w:rFonts w:eastAsiaTheme="minorEastAsia"/>
          <w:bCs/>
          <w:sz w:val="24"/>
        </w:rPr>
      </w:pPr>
      <w:r>
        <w:rPr>
          <w:rFonts w:hint="eastAsia" w:eastAsiaTheme="minorEastAsia"/>
          <w:bCs/>
          <w:sz w:val="24"/>
        </w:rPr>
        <w:t>参考闪烁源应满足：最大亮度≥150 cd/m</w:t>
      </w:r>
      <w:r>
        <w:rPr>
          <w:rFonts w:hint="eastAsia" w:eastAsiaTheme="minorEastAsia"/>
          <w:bCs/>
          <w:sz w:val="24"/>
          <w:vertAlign w:val="superscript"/>
        </w:rPr>
        <w:t>2</w:t>
      </w:r>
      <w:r>
        <w:rPr>
          <w:rFonts w:hint="eastAsia" w:eastAsiaTheme="minorEastAsia"/>
          <w:bCs/>
          <w:sz w:val="24"/>
        </w:rPr>
        <w:t>，响应时间≤0.01 ms，可设置频率范围覆盖（1~1000）Hz。</w:t>
      </w:r>
    </w:p>
    <w:p>
      <w:pPr>
        <w:jc w:val="center"/>
      </w:pPr>
      <w:r>
        <w:pict>
          <v:group id="画布 12" o:spid="_x0000_s1092" o:spt="203" style="height:186.75pt;width:402.75pt;" coordsize="51142,23717" editas="canvas">
            <o:lock v:ext="edit"/>
            <v:shape id="画布 12" o:spid="_x0000_s1093" o:spt="75" type="#_x0000_t75" style="position:absolute;left:0;top:0;height:23717;width:51142;" filled="f" o:preferrelative="t" stroked="f" coordsize="21600,21600">
              <v:path/>
              <v:fill on="f" focussize="0,0"/>
              <v:stroke on="f" joinstyle="miter"/>
              <v:imagedata o:title=""/>
              <o:lock v:ext="edit" aspectratio="t"/>
            </v:shape>
            <v:group id="组合 35" o:spid="_x0000_s1094" o:spt="203" style="position:absolute;left:952;top:4000;height:14002;width:17621;" coordorigin="952,4000" coordsize="17621,14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o:lock v:ext="edit"/>
              <v:rect id="矩形 18" o:spid="_x0000_s1095" o:spt="1" style="position:absolute;left:4857;top:4000;height:9335;width:13716;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yecQA&#10;AADbAAAADwAAAGRycy9kb3ducmV2LnhtbESPQWvCQBCF7wX/wzKCt7qxB6mpq0igVOypUQ+9Ddkx&#10;CWZnQ3YbE3995yB4m+G9ee+b9XZwjeqpC7VnA4t5Aoq48Lbm0sDp+Pn6DipEZIuNZzIwUoDtZvKy&#10;xtT6G/9Qn8dSSQiHFA1UMbap1qGoyGGY+5ZYtIvvHEZZu1LbDm8S7hr9liRL7bBmaaiwpayi4pr/&#10;OQPfo4796bxc3fusHm3+m30dKDNmNh12H6AiDfFpflzvreALrPwiA+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nMnnEAAAA2wAAAA8AAAAAAAAAAAAAAAAAmAIAAGRycy9k&#10;b3ducmV2LnhtbFBLBQYAAAAABAAEAPUAAACJAwAAAAA=&#10;">
                <v:path/>
                <v:fill on="t" focussize="0,0"/>
                <v:stroke weight="2pt" color="#000000"/>
                <v:imagedata o:title=""/>
                <o:lock v:ext="edit"/>
              </v:rect>
              <v:shape id="平行四边形 19" o:spid="_x0000_s1096" o:spt="7" type="#_x0000_t7" style="position:absolute;left:952;top:13335;height:4667;width:17621;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wgUsMA&#10;AADbAAAADwAAAGRycy9kb3ducmV2LnhtbERPTWvCQBC9F/oflil40017UJu6kRIoVLSIthdvQ3aS&#10;jc3Oxuxq4r/vCkJv83ifs1gOthEX6nztWMHzJAFBXDhdc6Xg5/tjPAfhA7LGxjEpuJKHZfb4sMBU&#10;u553dNmHSsQQ9ikqMCG0qZS+MGTRT1xLHLnSdRZDhF0ldYd9DLeNfEmSqbRYc2ww2FJuqPjdn62C&#10;fFaXR3M49fnpsFrL42bbfvVbpUZPw/sbiEBD+Bff3Z86zn+F2y/x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wgUsMAAADbAAAADwAAAAAAAAAAAAAAAACYAgAAZHJzL2Rv&#10;d25yZXYueG1sUEsFBgAAAAAEAAQA9QAAAIgDAAAAAA==&#10;" adj="4816">
                <v:path/>
                <v:fill on="t" focussize="0,0"/>
                <v:stroke weight="2pt" color="#000000" joinstyle="miter"/>
                <v:imagedata o:title=""/>
                <o:lock v:ext="edit"/>
              </v:shape>
              <v:rect id="矩形 20" o:spid="_x0000_s1097" o:spt="1" style="position:absolute;left:6381;top:5143;height:5334;width:7144;v-text-anchor:middle;" fillcolor="#80808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A9vMEA&#10;AADbAAAADwAAAGRycy9kb3ducmV2LnhtbERPz2vCMBS+C/sfwhvspqnCplSjuIkoHgY65/mZPNvS&#10;5qU0qXb+9ctB8Pjx/Z4tOluJKzW+cKxgOEhAEGtnCs4UHH/W/QkIH5ANVo5JwR95WMxfejNMjbvx&#10;nq6HkIkYwj5FBXkIdSql1zlZ9ANXE0fu4hqLIcImk6bBWwy3lRwlyYe0WHBsyLGmr5x0eWitgrG+&#10;+/b8vvpt7eazPO3q415/l0q9vXbLKYhAXXiKH+6tUTCK6+OX+AP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gPbzBAAAA2wAAAA8AAAAAAAAAAAAAAAAAmAIAAGRycy9kb3du&#10;cmV2LnhtbFBLBQYAAAAABAAEAPUAAACGAwAAAAA=&#10;">
                <v:path/>
                <v:fill type="gradient" on="t" color2="#D9D9D9" colors="0f #BCBCBC;22938f #D0D0D0;65536f #EDEDED" angle="180" focus="100%" focussize="0f,0f" rotate="t"/>
                <v:stroke color="#000000"/>
                <v:imagedata o:title=""/>
                <o:lock v:ext="edit"/>
                <v:shadow on="t" color="#000000" opacity="24903f" offset="0pt,1.5748031496063pt" origin="0f,32768f"/>
              </v:rect>
              <v:shape id="文本框 32" o:spid="_x0000_s1098" o:spt="202" type="#_x0000_t202" style="position:absolute;left:14192;top:4953;height:6477;width:438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v:path/>
                <v:fill on="f" focussize="0,0"/>
                <v:stroke on="f" weight="0.5pt" joinstyle="miter"/>
                <v:imagedata o:title=""/>
                <o:lock v:ext="edit"/>
                <v:textbox>
                  <w:txbxContent>
                    <w:p>
                      <w:pPr>
                        <w:spacing w:line="0" w:lineRule="atLeast"/>
                        <w:rPr>
                          <w:sz w:val="15"/>
                        </w:rPr>
                      </w:pPr>
                      <w:r>
                        <w:rPr>
                          <w:rFonts w:hint="eastAsia"/>
                          <w:sz w:val="15"/>
                        </w:rPr>
                        <w:t>波形</w:t>
                      </w:r>
                    </w:p>
                    <w:p>
                      <w:pPr>
                        <w:spacing w:line="0" w:lineRule="atLeast"/>
                        <w:rPr>
                          <w:sz w:val="15"/>
                        </w:rPr>
                      </w:pPr>
                      <w:r>
                        <w:rPr>
                          <w:rFonts w:hint="eastAsia"/>
                          <w:sz w:val="15"/>
                        </w:rPr>
                        <w:t>亮度</w:t>
                      </w:r>
                    </w:p>
                    <w:p>
                      <w:pPr>
                        <w:spacing w:line="0" w:lineRule="atLeast"/>
                        <w:rPr>
                          <w:sz w:val="15"/>
                        </w:rPr>
                      </w:pPr>
                      <w:r>
                        <w:rPr>
                          <w:rFonts w:hint="eastAsia"/>
                          <w:sz w:val="15"/>
                        </w:rPr>
                        <w:t>周期</w:t>
                      </w:r>
                    </w:p>
                    <w:p>
                      <w:pPr>
                        <w:spacing w:line="0" w:lineRule="atLeast"/>
                        <w:rPr>
                          <w:sz w:val="15"/>
                        </w:rPr>
                      </w:pPr>
                      <w:r>
                        <w:rPr>
                          <w:rFonts w:hint="eastAsia"/>
                          <w:sz w:val="15"/>
                        </w:rPr>
                        <w:t>振幅</w:t>
                      </w:r>
                    </w:p>
                  </w:txbxContent>
                </v:textbox>
              </v:shape>
              <v:shape id="肘形连接符 34" o:spid="_x0000_s1099" o:spt="34" type="#_x0000_t34" style="position:absolute;left:8191;top:6381;height:2286;width:3715;" o:connectortype="elbow"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8NkcUAAADbAAAADwAAAGRycy9kb3ducmV2LnhtbESPT2vCQBTE7wW/w/IEb3XTav0TXUVE&#10;Sw8iGIPnZ/Y1Cd19G7Jbjd++Wyj0OMzMb5jlurNG3Kj1tWMFL8MEBHHhdM2lgvy8f56B8AFZo3FM&#10;Ch7kYb3qPS0x1e7OJ7ploRQRwj5FBVUITSqlLyqy6IeuIY7ep2sthijbUuoW7xFujXxNkom0WHNc&#10;qLChbUXFV/ZtFbyN80vezf1ud9gblz3c9N0cr0oN+t1mASJQF/7Df+0PrWA0ht8v8Qf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8NkcUAAADbAAAADwAAAAAAAAAA&#10;AAAAAAChAgAAZHJzL2Rvd25yZXYueG1sUEsFBgAAAAAEAAQA+QAAAJMDAAAAAA==&#10;">
                <v:path arrowok="t"/>
                <v:fill on="f" focussize="0,0"/>
                <v:stroke color="#000000" joinstyle="miter"/>
                <v:imagedata o:title=""/>
                <o:lock v:ext="edit"/>
              </v:shape>
            </v:group>
            <v:shape id="立方体 38" o:spid="_x0000_s1100" o:spt="16" type="#_x0000_t16" style="position:absolute;left:22193;top:7334;height:8096;width:14859;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D+7sA&#10;AADbAAAADwAAAGRycy9kb3ducmV2LnhtbERPyQrCMBC9C/5DGMGLaOqCSDWKCIJHt4PehmZsi82k&#10;JLHWvzcHwePj7atNayrRkPOlZQXjUQKCOLO65FzB9bIfLkD4gKyxskwKPuRhs+52Vphq++YTNeeQ&#10;ixjCPkUFRQh1KqXPCjLoR7YmjtzDOoMhQpdL7fAdw00lJ0kylwZLjg0F1rQrKHueX0bBoLxL/eD8&#10;eCH7aVx1vNF+MlOq32u3SxCB2vAX/9wHrWAax8Yv8QfI9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chA/u7AAAA2wAAAA8AAAAAAAAAAAAAAAAAmAIAAGRycy9kb3ducmV2Lnht&#10;bFBLBQYAAAAABAAEAPUAAACAAwAAAAA=&#10;" adj="11499">
              <v:path/>
              <v:fill on="t" focussize="0,0"/>
              <v:stroke weight="2pt" color="#000000" joinstyle="miter"/>
              <v:imagedata o:title=""/>
              <o:lock v:ext="edit"/>
            </v:shape>
            <v:shape id="立方体 39" o:spid="_x0000_s1101" o:spt="16" type="#_x0000_t16" style="position:absolute;left:41148;top:8667;height:6763;width:3429;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hR8MA&#10;AADbAAAADwAAAGRycy9kb3ducmV2LnhtbESPT4vCMBTE78J+h/AWvGm6qy5ajbII/sNTXcHro3nb&#10;FpuX0sRa/fRGEDwOM/MbZrZoTSkaql1hWcFXPwJBnFpdcKbg+LfqjUE4j6yxtEwKbuRgMf/ozDDW&#10;9soJNQefiQBhF6OC3PsqltKlORl0fVsRB+/f1gZ9kHUmdY3XADel/I6iH2mw4LCQY0XLnNLz4WIU&#10;pKMLrjd3fTK7NtuXyVEO3blRqvvZ/k5BeGr9O/xqb7WCwQSeX8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mhR8MAAADbAAAADwAAAAAAAAAAAAAAAACYAgAAZHJzL2Rv&#10;d25yZXYueG1sUEsFBgAAAAAEAAQA9QAAAIgDAAAAAA==&#10;" adj="12273">
              <v:path/>
              <v:fill on="t" focussize="0,0"/>
              <v:stroke weight="2pt" color="#000000" joinstyle="miter"/>
              <v:imagedata o:title=""/>
              <o:lock v:ext="edit"/>
            </v:shape>
            <v:shape id="任意多边形 40" o:spid="_x0000_s1102" style="position:absolute;left:16478;top:12477;height:4050;width:5715;v-text-anchor:middle;" filled="f" stroked="t" coordsize="571500,4050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jwMMA&#10;AADbAAAADwAAAGRycy9kb3ducmV2LnhtbERPW2vCMBR+H/gfwhnsRTR1rHNUo3QDQcE9eJnPh+Ss&#10;LTYnJclq/ffLw2CPH999uR5sK3ryoXGsYDbNQBBrZxquFJxPm8kbiBCRDbaOScGdAqxXo4clFsbd&#10;+ED9MVYihXAoUEEdY1dIGXRNFsPUdcSJ+3beYkzQV9J4vKVw28rnLHuVFhtODTV29FGTvh5/rAJv&#10;cn24bMfzz/Ka797vm5352udKPT0O5QJEpCH+i//cW6PgJa1P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jwMMAAADbAAAADwAAAAAAAAAAAAAAAACYAgAAZHJzL2Rv&#10;d25yZXYueG1sUEsFBgAAAAAEAAQA9QAAAIgDAAAAAA==&#10;" path="m0,352463c107950,392150,215900,431838,285750,381038c355600,330238,371475,109576,419100,47663c466725,-14250,519112,-2344,571500,9563e">
              <v:path arrowok="t" o:connecttype="custom" o:connectlocs="0,352463;285750,381038;419100,47663;571500,9563" o:connectangles="0,0,0,0"/>
              <v:fill on="f" focussize="0,0"/>
              <v:stroke weight="2pt" color="#000000"/>
              <v:imagedata o:title=""/>
              <o:lock v:ext="edit"/>
              <v:shadow on="t" color="#000000" opacity="24903f" offset="0pt,1.5748031496063pt" origin="0f,32768f"/>
            </v:shape>
            <v:shape id="任意多边形 41" o:spid="_x0000_s1103" style="position:absolute;left:34671;top:7863;height:4534;width:8323;v-text-anchor:middle;" filled="f" stroked="t" coordsize="832341,453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2cWMMA&#10;AADbAAAADwAAAGRycy9kb3ducmV2LnhtbESP3YrCMBSE74V9h3AW9k5TFxHtmoosiF3QC6sPcGxO&#10;f9jmpDTR1rc3guDlMDPfMKv1YBpxo87VlhVMJxEI4tzqmksF59N2vADhPLLGxjIpuJODdfIxWmGs&#10;bc9HumW+FAHCLkYFlfdtLKXLKzLoJrYlDl5hO4M+yK6UusM+wE0jv6NoLg3WHBYqbOm3ovw/uxoF&#10;f/vTfucPWb852/6yHO7pbFukSn19DpsfEJ4G/w6/2qlWMJvC80v4ATJ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2cWMMAAADbAAAADwAAAAAAAAAAAAAAAACYAgAAZHJzL2Rv&#10;d25yZXYueG1sUEsFBgAAAAAEAAQA9QAAAIgDAAAAAA==&#10;" path="m0,413843c118269,446386,236538,478930,304800,423368c373062,367806,331788,150318,409575,80468c487362,10618,701675,-10019,771525,4268c841375,18555,835025,92374,828675,166193e">
              <v:path arrowok="t" o:connecttype="custom" o:connectlocs="0,413843;304800,423368;409575,80468;771525,4268;828675,166193" o:connectangles="0,0,0,0,0"/>
              <v:fill on="f" focussize="0,0"/>
              <v:stroke weight="2pt" color="#000000"/>
              <v:imagedata o:title=""/>
              <o:lock v:ext="edit"/>
              <v:shadow on="t" color="#000000" opacity="24903f" offset="0pt,1.5748031496063pt" origin="0f,32768f"/>
            </v:shape>
            <v:shape id="文本框 43" o:spid="_x0000_s1104" o:spt="202" type="#_x0000_t202" style="position:absolute;left:1523;top:19145;height:3715;width:49626;"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v:path/>
              <v:fill on="f" focussize="0,0"/>
              <v:stroke on="f" weight="0.5pt" joinstyle="miter"/>
              <v:imagedata o:title=""/>
              <o:lock v:ext="edit"/>
              <v:textbox>
                <w:txbxContent>
                  <w:p>
                    <w:r>
                      <w:rPr>
                        <w:rFonts w:hint="eastAsia"/>
                      </w:rPr>
                      <w:t>控制软件                       信号发生器              快速响应光源</w:t>
                    </w:r>
                  </w:p>
                </w:txbxContent>
              </v:textbox>
            </v:shape>
            <w10:wrap type="none"/>
            <w10:anchorlock/>
          </v:group>
        </w:pict>
      </w:r>
    </w:p>
    <w:p>
      <w:pPr>
        <w:suppressLineNumbers/>
        <w:autoSpaceDE w:val="0"/>
        <w:autoSpaceDN w:val="0"/>
        <w:adjustRightInd w:val="0"/>
        <w:ind w:firstLine="420" w:firstLineChars="200"/>
        <w:jc w:val="center"/>
        <w:rPr>
          <w:kern w:val="0"/>
          <w:szCs w:val="21"/>
        </w:rPr>
      </w:pPr>
      <w:r>
        <w:rPr>
          <w:rFonts w:hint="eastAsia"/>
          <w:kern w:val="0"/>
          <w:szCs w:val="21"/>
        </w:rPr>
        <w:t xml:space="preserve">图2  </w:t>
      </w:r>
      <w:r>
        <w:rPr>
          <w:rFonts w:hint="eastAsia"/>
          <w:szCs w:val="21"/>
        </w:rPr>
        <w:t>参考闪烁源工作原理示意图</w:t>
      </w:r>
    </w:p>
    <w:p>
      <w:pPr>
        <w:spacing w:line="360" w:lineRule="auto"/>
        <w:ind w:firstLine="480" w:firstLineChars="200"/>
        <w:rPr>
          <w:rFonts w:eastAsiaTheme="minorEastAsia"/>
          <w:bCs/>
          <w:sz w:val="24"/>
        </w:rPr>
      </w:pPr>
    </w:p>
    <w:p>
      <w:pPr>
        <w:pStyle w:val="2"/>
        <w:spacing w:before="100" w:after="100"/>
        <w:rPr>
          <w:rFonts w:ascii="黑体" w:hAnsi="黑体" w:eastAsia="黑体"/>
          <w:b w:val="0"/>
          <w:sz w:val="24"/>
          <w:szCs w:val="24"/>
        </w:rPr>
      </w:pPr>
      <w:bookmarkStart w:id="12" w:name="_Toc124506232"/>
      <w:r>
        <w:rPr>
          <w:rFonts w:ascii="黑体" w:hAnsi="黑体" w:eastAsia="黑体"/>
          <w:b w:val="0"/>
          <w:sz w:val="24"/>
          <w:szCs w:val="24"/>
        </w:rPr>
        <w:t>7校准项目和校准方法</w:t>
      </w:r>
      <w:bookmarkEnd w:id="12"/>
    </w:p>
    <w:p>
      <w:pPr>
        <w:pStyle w:val="4"/>
        <w:spacing w:before="120" w:after="120" w:line="360" w:lineRule="auto"/>
        <w:rPr>
          <w:rFonts w:eastAsiaTheme="minorEastAsia"/>
          <w:b w:val="0"/>
          <w:sz w:val="24"/>
          <w:szCs w:val="24"/>
        </w:rPr>
      </w:pPr>
      <w:bookmarkStart w:id="13" w:name="_Toc124506233"/>
      <w:r>
        <w:rPr>
          <w:rFonts w:eastAsiaTheme="minorEastAsia"/>
          <w:b w:val="0"/>
          <w:sz w:val="24"/>
          <w:szCs w:val="24"/>
        </w:rPr>
        <w:t xml:space="preserve">7.1 </w:t>
      </w:r>
      <w:r>
        <w:rPr>
          <w:rFonts w:hint="eastAsia" w:hAnsiTheme="minorEastAsia" w:eastAsiaTheme="minorEastAsia"/>
          <w:b w:val="0"/>
          <w:sz w:val="24"/>
          <w:szCs w:val="24"/>
        </w:rPr>
        <w:t>校准前准备</w:t>
      </w:r>
      <w:bookmarkEnd w:id="13"/>
    </w:p>
    <w:p>
      <w:pPr>
        <w:spacing w:line="360" w:lineRule="auto"/>
        <w:ind w:firstLine="480" w:firstLineChars="200"/>
        <w:textAlignment w:val="baseline"/>
        <w:rPr>
          <w:rFonts w:ascii="宋体" w:hAnsi="宋体"/>
          <w:sz w:val="24"/>
        </w:rPr>
      </w:pPr>
      <w:r>
        <w:rPr>
          <w:rFonts w:hint="eastAsia" w:ascii="宋体" w:hAnsi="宋体"/>
          <w:sz w:val="24"/>
        </w:rPr>
        <w:t>7.1.1 目视检查：外形结构应完好，面板标识字符应正确、清晰，各功能开关、旋钮和按键等应灵活可靠，装置的开关、旋钮、按键、接口等控制和调节机构应有明确标识，标志符合国家相关技术文件规定，显示字符完整、清晰可读。不应有任何影响仪器计量特性及使用功能的缺陷。</w:t>
      </w:r>
    </w:p>
    <w:p>
      <w:pPr>
        <w:spacing w:line="360" w:lineRule="auto"/>
        <w:ind w:firstLine="420"/>
        <w:rPr>
          <w:rFonts w:ascii="宋体" w:hAnsi="宋体"/>
          <w:sz w:val="24"/>
        </w:rPr>
      </w:pPr>
      <w:r>
        <w:rPr>
          <w:rFonts w:hint="eastAsia" w:ascii="宋体" w:hAnsi="宋体"/>
          <w:sz w:val="24"/>
        </w:rPr>
        <w:t>7.1.2 安装与调整：显示屏闪烁率测定仪校准装置由光学暗箱、参考闪烁源、高速光电传感器、信号采集分析设备和辅助安装调整平台和支架组成，如图</w:t>
      </w:r>
      <w:r>
        <w:rPr>
          <w:sz w:val="24"/>
        </w:rPr>
        <w:t>3</w:t>
      </w:r>
      <w:r>
        <w:rPr>
          <w:rFonts w:hint="eastAsia" w:ascii="宋体" w:hAnsi="宋体"/>
          <w:sz w:val="24"/>
        </w:rPr>
        <w:t>所示。按照图</w:t>
      </w:r>
      <w:r>
        <w:rPr>
          <w:sz w:val="24"/>
        </w:rPr>
        <w:t>3</w:t>
      </w:r>
      <w:r>
        <w:rPr>
          <w:rFonts w:hint="eastAsia" w:ascii="宋体" w:hAnsi="宋体"/>
          <w:sz w:val="24"/>
        </w:rPr>
        <w:t>安装调整校准装置，首先使高速光电传感器探测方向垂直对准参考闪烁源发光面中心位置，测试距离为高速光电传感器工作距离。</w:t>
      </w:r>
    </w:p>
    <w:p>
      <w:pPr>
        <w:spacing w:line="360" w:lineRule="auto"/>
        <w:ind w:firstLine="480" w:firstLineChars="200"/>
        <w:textAlignment w:val="baseline"/>
        <w:rPr>
          <w:sz w:val="24"/>
        </w:rPr>
      </w:pPr>
      <w:r>
        <w:rPr>
          <w:rFonts w:hint="eastAsia" w:ascii="宋体" w:hAnsi="宋体"/>
          <w:sz w:val="24"/>
        </w:rPr>
        <w:t>7.1.3 参考闪烁源预热：</w:t>
      </w:r>
      <w:r>
        <w:rPr>
          <w:sz w:val="24"/>
        </w:rPr>
        <w:t>打开参考闪烁源，在常亮状态下预热10分钟，如无法长时间处于常亮状态，可在闪烁状态下预热10分钟。</w:t>
      </w:r>
    </w:p>
    <w:p>
      <w:pPr>
        <w:jc w:val="center"/>
      </w:pPr>
      <w:r>
        <w:pict>
          <v:group id="画布 44" o:spid="_x0000_s1105" o:spt="203" style="height:132.75pt;width:417.75pt;" coordsize="53054,16859" editas="canvas">
            <o:lock v:ext="edit"/>
            <v:shape id="画布 44" o:spid="_x0000_s1106" o:spt="75" type="#_x0000_t75" style="position:absolute;left:0;top:0;height:16859;width:53054;" filled="f" o:preferrelative="t" stroked="f" coordsize="21600,21600">
              <v:path/>
              <v:fill on="f" focussize="0,0"/>
              <v:stroke on="f" joinstyle="miter"/>
              <v:imagedata o:title=""/>
              <o:lock v:ext="edit" aspectratio="t"/>
            </v:shape>
            <v:group id="组合 59" o:spid="_x0000_s1107" o:spt="203" style="position:absolute;left:3429;top:4059;height:8609;width:18764;" coordorigin="1238,2440" coordsize="18764,86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o:lock v:ext="edit"/>
              <v:rect id="矩形 47" o:spid="_x0000_s1108" o:spt="1" style="position:absolute;left:18288;top:4191;height:4286;width:1714;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JFsUA&#10;AADbAAAADwAAAGRycy9kb3ducmV2LnhtbESPT2vCQBTE70K/w/IKvenGU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4kWxQAAANsAAAAPAAAAAAAAAAAAAAAAAJgCAABkcnMv&#10;ZG93bnJldi54bWxQSwUGAAAAAAQABAD1AAAAigMAAAAA&#10;">
                <v:path/>
                <v:fill on="t" focussize="0,0"/>
                <v:stroke weight="2pt" color="#000000"/>
                <v:imagedata o:title=""/>
                <o:lock v:ext="edit"/>
              </v:rect>
              <v:rect id="矩形 48" o:spid="_x0000_s1109" o:spt="1" style="position:absolute;left:9048;top:7334;height:3715;width:7144;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dZMAA&#10;AADbAAAADwAAAGRycy9kb3ducmV2LnhtbERPTYvCMBC9C/6HMII3TRURrUZZCrLLerJ2D3sbmrEt&#10;20xKE2u7v94cBI+P970/9qYWHbWusqxgMY9AEOdWV1woyK6n2QaE88gaa8ukYCAHx8N4tMdY2wdf&#10;qEt9IUIIuxgVlN43sZQuL8mgm9uGOHA32xr0AbaF1C0+Qrip5TKK1tJgxaGhxIaSkvK/9G4UnAfp&#10;u+xnvf3vkmrQ6W/y+U2JUtNJ/7ED4an3b/HL/aUVrMLY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9QdZMAAAADbAAAADwAAAAAAAAAAAAAAAACYAgAAZHJzL2Rvd25y&#10;ZXYueG1sUEsFBgAAAAAEAAQA9QAAAIUDAAAAAA==&#10;">
                <v:path/>
                <v:fill on="t" focussize="0,0"/>
                <v:stroke weight="2pt" color="#000000"/>
                <v:imagedata o:title=""/>
                <o:lock v:ext="edit"/>
              </v:rect>
              <v:rect id="矩形 49" o:spid="_x0000_s1110" o:spt="1" style="position:absolute;left:2190;top:5429;height:3714;width:4858;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4/8QA&#10;AADbAAAADwAAAGRycy9kb3ducmV2LnhtbESPzWrDMBCE74G8g9hAb4ncUEzsRAnFEFraU133kNti&#10;bWwTa2Us1T99+qpQyHGYmW+Yw2kyrRiod41lBY+bCARxaXXDlYLi87zegXAeWWNrmRTM5OB0XC4O&#10;mGo78gcNua9EgLBLUUHtfZdK6cqaDLqN7YiDd7W9QR9kX0nd4xjgppXbKIqlwYbDQo0dZTWVt/zb&#10;KHifpR+Krzj5GbJm1vkle3mjTKmH1fS8B+Fp8vfwf/tVK3hK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YuP/EAAAA2wAAAA8AAAAAAAAAAAAAAAAAmAIAAGRycy9k&#10;b3ducmV2LnhtbFBLBQYAAAAABAAEAPUAAACJAwAAAAA=&#10;">
                <v:path/>
                <v:fill on="t" focussize="0,0"/>
                <v:stroke weight="2pt" color="#000000"/>
                <v:imagedata o:title=""/>
                <o:lock v:ext="edit"/>
              </v:rect>
              <v:shape id="平行四边形 51" o:spid="_x0000_s1111" o:spt="7" type="#_x0000_t7" style="position:absolute;left:1238;top:9144;height:1905;width:5810;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8vfcMA&#10;AADbAAAADwAAAGRycy9kb3ducmV2LnhtbESPQWvCQBSE7wX/w/IEb3WToEWiq4hW6bVG0eMj+8wG&#10;s29Ddqtpf323UPA4zMw3zGLV20bcqfO1YwXpOAFBXDpdc6XgWOxeZyB8QNbYOCYF3+RhtRy8LDDX&#10;7sGfdD+ESkQI+xwVmBDaXEpfGrLox64ljt7VdRZDlF0ldYePCLeNzJLkTVqsOS4YbGljqLwdvqyC&#10;4n26SX9sMclORbI9m0s2y457pUbDfj0HEagPz/B/+0MrmKbw9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8vfcMAAADbAAAADwAAAAAAAAAAAAAAAACYAgAAZHJzL2Rv&#10;d25yZXYueG1sUEsFBgAAAAAEAAQA9QAAAIgDAAAAAA==&#10;" adj="4205">
                <v:path/>
                <v:fill on="t" focussize="0,0"/>
                <v:stroke weight="2pt" color="#000000" joinstyle="miter"/>
                <v:imagedata o:title=""/>
                <o:lock v:ext="edit"/>
              </v:shape>
              <v:shape id="任意多边形 54" o:spid="_x0000_s1112" style="position:absolute;left:6572;top:8858;height:1747;width:2286;v-text-anchor:middle;" filled="f" stroked="t" coordsize="228600,174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QesQA&#10;AADbAAAADwAAAGRycy9kb3ducmV2LnhtbESPQWvCQBSE74L/YXmCF6mbihabuopKCz1Zol56e2Sf&#10;2WD2bZrdaPz3XUHwOMzMN8xi1dlKXKjxpWMFr+MEBHHudMmFguPh62UOwgdkjZVjUnAjD6tlv7fA&#10;VLsrZ3TZh0JECPsUFZgQ6lRKnxuy6MeuJo7eyTUWQ5RNIXWD1wi3lZwkyZu0WHJcMFjT1lB+3rdW&#10;geX30H227a9pj9lpZEa7v58NKTUcdOsPEIG68Aw/2t9awWwK9y/x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QUHrEAAAA2wAAAA8AAAAAAAAAAAAAAAAAmAIAAGRycy9k&#10;b3ducmV2LnhtbFBLBQYAAAAABAAEAPUAAACJAwAAAAA=&#10;" path="m0,161925c47625,173037,95250,184150,114300,161925c133350,139700,95250,55562,114300,28575c133350,1588,180975,794,228600,0e">
                <v:path arrowok="t" o:connecttype="custom" o:connectlocs="0,161925;114300,161925;114300,28575;228600,0" o:connectangles="0,0,0,0"/>
                <v:fill on="f" focussize="0,0"/>
                <v:stroke color="#000000"/>
                <v:imagedata o:title=""/>
                <o:lock v:ext="edit"/>
              </v:shape>
              <v:shape id="任意多边形 55" o:spid="_x0000_s1113" style="position:absolute;left:16383;top:2440;height:6037;width:2857;v-text-anchor:middle;" filled="f" stroked="t" coordsize="285750,603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V8cIA&#10;AADbAAAADwAAAGRycy9kb3ducmV2LnhtbESPT4vCMBTE78J+h/AEL7KmCpWlGkWUXfbqn0tvj+bZ&#10;BJuX0mRr/fZmQfA4zMxvmPV2cI3oqQvWs4L5LANBXHltuVZwOX9/foEIEVlj45kUPCjAdvMxWmOh&#10;/Z2P1J9iLRKEQ4EKTIxtIWWoDDkMM98SJ+/qO4cxya6WusN7grtGLrJsKR1aTgsGW9obqm6nP6eg&#10;L6eLcr8LbX74ybVtpg9T9VapyXjYrUBEGuI7/Gr/agV5Dv9f0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5XxwgAAANsAAAAPAAAAAAAAAAAAAAAAAJgCAABkcnMvZG93&#10;bnJldi54bWxQSwUGAAAAAAQABAD1AAAAhwMAAAAA&#10;" path="m0,603684c31750,602096,63500,600509,76200,508434c88900,416359,49213,132196,76200,51234c103187,-29728,203200,5196,238125,22659c273050,40121,279400,98065,285750,156009e">
                <v:path arrowok="t" o:connecttype="custom" o:connectlocs="0,603684;76200,508434;76200,51234;238125,22659;285750,156009" o:connectangles="0,0,0,0,0"/>
                <v:fill on="f" focussize="0,0"/>
                <v:stroke color="#000000"/>
                <v:imagedata o:title=""/>
                <o:lock v:ext="edit"/>
              </v:shape>
              <v:line id="直接连接符 58" o:spid="_x0000_s1114" o:spt="20" style="position:absolute;left:19145;top:8477;height:2572;width:0;" o:connectortype="straight"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S92sEAAADbAAAADwAAAGRycy9kb3ducmV2LnhtbERP3WrCMBS+H+wdwhF2N1MLilajiDBx&#10;Iky7PcCxOWvDmpOSRK1vby6EXX58/4tVb1txJR+MYwWjYQaCuHLacK3g5/vjfQoiRGSNrWNScKcA&#10;q+XrywIL7W58omsZa5FCOBSooImxK6QMVUMWw9B1xIn7dd5iTNDXUnu8pXDbyjzLJtKi4dTQYEeb&#10;hqq/8mIVmPOp3ee7zy9vytloGsfbw+aYK/U26NdzEJH6+C9+undawTiNTV/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ZL3awQAAANsAAAAPAAAAAAAAAAAAAAAA&#10;AKECAABkcnMvZG93bnJldi54bWxQSwUGAAAAAAQABAD5AAAAjwMAAAAA&#10;">
                <v:path arrowok="t"/>
                <v:fill focussize="0,0"/>
                <v:stroke weight="2pt" color="#000000"/>
                <v:imagedata o:title=""/>
                <o:lock v:ext="edit"/>
                <v:shadow on="t" color="#000000" opacity="24903f" offset="0pt,1.5748031496063pt" origin="0f,32768f"/>
              </v:line>
            </v:group>
            <v:rect id="矩形 60" o:spid="_x0000_s1115" o:spt="1" style="position:absolute;left:25908;top:7048;height:1905;width:5048;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NAr8A&#10;AADbAAAADwAAAGRycy9kb3ducmV2LnhtbERPTYvCMBC9L/gfwgje1lQPZbcaRQqi6Gm7evA2NGNb&#10;bCalibX115uD4PHxvpfr3tSio9ZVlhXMphEI4tzqigsFp//t9w8I55E11pZJwUAO1qvR1xITbR/8&#10;R13mCxFC2CWooPS+SaR0eUkG3dQ2xIG72tagD7AtpG7xEcJNLedRFEuDFYeGEhtKS8pv2d0oOA7S&#10;d6dz/Pvs0mrQ2SXdHShVajLuNwsQnnr/Eb/de60gDuvDl/A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F00CvwAAANsAAAAPAAAAAAAAAAAAAAAAAJgCAABkcnMvZG93bnJl&#10;di54bWxQSwUGAAAAAAQABAD1AAAAhAMAAAAA&#10;">
              <v:path/>
              <v:fill on="t" focussize="0,0"/>
              <v:stroke weight="2pt" color="#000000"/>
              <v:imagedata o:title=""/>
              <o:lock v:ext="edit"/>
            </v:rect>
            <v:rect id="矩形 61" o:spid="_x0000_s1116" o:spt="1" style="position:absolute;left:34004;top:8953;height:3715;width:7239;v-text-anchor:middl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vomcQA&#10;AADbAAAADwAAAGRycy9kb3ducmV2LnhtbESPwWrDMBBE74X8g9hAbrWcHkzrRAnBEFrSU13nkNti&#10;bWwTa2UsVbH79VWh0OMwM2+Y7X4yvQg0us6ygnWSgiCure64UVB9Hh+fQTiPrLG3TApmcrDfLR62&#10;mGt75w8KpW9EhLDLUUHr/ZBL6eqWDLrEDsTRu9rRoI9ybKQe8R7hppdPaZpJgx3HhRYHKlqqb+WX&#10;UfA+Sx+qc/byHYpu1uWleD1RodRqOR02IDxN/j/8137TCrI1/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b6JnEAAAA2wAAAA8AAAAAAAAAAAAAAAAAmAIAAGRycy9k&#10;b3ducmV2LnhtbFBLBQYAAAAABAAEAPUAAACJAwAAAAA=&#10;">
              <v:path/>
              <v:fill on="t" focussize="0,0"/>
              <v:stroke weight="2pt" color="#000000"/>
              <v:imagedata o:title=""/>
              <o:lock v:ext="edit"/>
            </v:rect>
            <v:shape id="任意多边形 62" o:spid="_x0000_s1117" style="position:absolute;left:31146;top:8006;height:3334;width:3048;v-text-anchor:middle;" filled="f" stroked="t" coordsize="304800,333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n2fcYA&#10;AADbAAAADwAAAGRycy9kb3ducmV2LnhtbESPQWvCQBSE7wX/w/KE3pqNOcQSs4qIQim0paYXb8/s&#10;M4lm34bs1sT++m5B6HGYmW+YfDWaVlypd41lBbMoBkFcWt1wpeCr2D09g3AeWWNrmRTcyMFqOXnI&#10;MdN24E+67n0lAoRdhgpq77tMSlfWZNBFtiMO3sn2Bn2QfSV1j0OAm1YmcZxKgw2HhRo72tRUXvbf&#10;RsH5/ZDuio+qpW0x/3mbb19vm2Oq1ON0XC9AeBr9f/jeftEK0gT+voQf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n2fcYAAADbAAAADwAAAAAAAAAAAAAAAACYAgAAZHJz&#10;L2Rvd25yZXYueG1sUEsFBgAAAAAEAAQA9QAAAIsDAAAAAA==&#10;" path="m0,18548c59531,1085,119063,-16377,133350,28073c147637,72523,57150,234448,85725,285248c114300,336048,209550,334460,304800,332873e">
              <v:path arrowok="t" o:connecttype="custom" o:connectlocs="0,18548;133350,28073;85725,285248;304800,332873" o:connectangles="0,0,0,0"/>
              <v:fill on="f" focussize="0,0"/>
              <v:stroke color="#000000"/>
              <v:imagedata o:title=""/>
              <o:lock v:ext="edit"/>
            </v:shape>
            <v:rect id="矩形 288" o:spid="_x0000_s1118" o:spt="1" style="position:absolute;left:25908;top:3238;height:1619;width:1714;v-text-anchor:middle;" fillcolor="#D8D8D8"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FN8QA&#10;AADcAAAADwAAAGRycy9kb3ducmV2LnhtbERPTWvCQBC9C/6HZQRvZqNCa6OrSKuQHorVBrxOs9Mk&#10;mp0N2W2S/vvuodDj431vdoOpRUetqywrmEcxCOLc6ooLBdnHcbYC4TyyxtoyKfghB7vteLTBRNue&#10;z9RdfCFCCLsEFZTeN4mULi/JoItsQxy4L9sa9AG2hdQt9iHc1HIRxw/SYMWhocSGnkvK75dvo4CH&#10;5cvylH0ens7v3bV+fbPH22Oq1HQy7NcgPA3+X/znTrWCxSqsDWfC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oBTfEAAAA3AAAAA8AAAAAAAAAAAAAAAAAmAIAAGRycy9k&#10;b3ducmV2LnhtbFBLBQYAAAAABAAEAPUAAACJAwAAAAA=&#10;">
              <v:path/>
              <v:fill on="t" focussize="0,0"/>
              <v:stroke weight="2pt" color="#000000"/>
              <v:imagedata o:title=""/>
              <o:lock v:ext="edit"/>
            </v:rect>
            <v:rect id="矩形 289" o:spid="_x0000_s1119" o:spt="1" style="position:absolute;left:27622;top:1809;height:3525;width:8477;v-text-anchor:middle;" fillcolor="#D8D8D8"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SgrMUA&#10;AADcAAAADwAAAGRycy9kb3ducmV2LnhtbESPT2vCQBTE7wW/w/IK3uqmClajq0iroIfiX/D6mn1N&#10;otm3IbvG+O1dQfA4zMxvmPG0MYWoqXK5ZQWfnQgEcWJ1zqmCw37xMQDhPLLGwjIpuJGD6aT1NsZY&#10;2ytvqd75VAQIuxgVZN6XsZQuycig69iSOHj/tjLog6xSqSu8BrgpZDeK+tJgzmEhw5K+M0rOu4tR&#10;wE3vp7c+/M2H2019LFa/dnH6WirVfm9mIxCeGv8KP9tLraA7GMLjTDgC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KCsxQAAANwAAAAPAAAAAAAAAAAAAAAAAJgCAABkcnMv&#10;ZG93bnJldi54bWxQSwUGAAAAAAQABAD1AAAAigMAAAAA&#10;">
              <v:path/>
              <v:fill on="t" focussize="0,0"/>
              <v:stroke weight="2pt" color="#000000"/>
              <v:imagedata o:title=""/>
              <o:lock v:ext="edit"/>
              <v:textbox>
                <w:txbxContent>
                  <w:p>
                    <w:pPr>
                      <w:jc w:val="center"/>
                      <w:rPr>
                        <w:color w:val="000000" w:themeColor="text1"/>
                        <w:sz w:val="15"/>
                      </w:rPr>
                    </w:pPr>
                    <w:r>
                      <w:rPr>
                        <w:rFonts w:hint="eastAsia"/>
                        <w:color w:val="000000" w:themeColor="text1"/>
                        <w:sz w:val="15"/>
                      </w:rPr>
                      <w:t>被校仪器</w:t>
                    </w:r>
                  </w:p>
                </w:txbxContent>
              </v:textbox>
            </v:rect>
            <v:line id="直接连接符 290" o:spid="_x0000_s1120" o:spt="20" style="position:absolute;left:28384;top:8953;height:3715;width:0;" o:connectortype="straight"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ObMAAAADcAAAADwAAAGRycy9kb3ducmV2LnhtbERPS27CMBDdI3EHa5C6AwcWbQk4UQAh&#10;semCzwGGeIgj4nGITQi3rxeVunx6/3U+2Eb01PnasYL5LAFBXDpdc6Xgct5Pv0H4gKyxcUwK3uQh&#10;z8ajNabavfhI/SlUIoawT1GBCaFNpfSlIYt+5lriyN1cZzFE2FVSd/iK4baRiyT5lBZrjg0GW9oa&#10;Ku+np1UwHHVZy13/uBbGFD/LzTXsHl9KfUyGYgUi0BD+xX/ug1awWMb58Uw8AjL7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jmzmzAAAAA3AAAAA8AAAAAAAAAAAAAAAAA&#10;oQIAAGRycy9kb3ducmV2LnhtbFBLBQYAAAAABAAEAPkAAACOAwAAAAA=&#10;">
              <v:path arrowok="t"/>
              <v:fill focussize="0,0"/>
              <v:stroke weight="3pt" color="#000000"/>
              <v:imagedata o:title=""/>
              <o:lock v:ext="edit"/>
              <v:shadow on="t" color="#000000" opacity="22937f" offset="0pt,1.81102362204724pt" origin="0f,32768f"/>
            </v:line>
            <v:rect id="矩形 291" o:spid="_x0000_s1121" o:spt="1" style="position:absolute;left:952;top:666;height:12192;width:50006;v-text-anchor:middle;"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p0cYA&#10;AADcAAAADwAAAGRycy9kb3ducmV2LnhtbESPT2vCQBTE7wW/w/KE3urGFIpGV9FqaSUn/xz09sg+&#10;k2D2bZrdxuTbu4VCj8PM/IaZLztTiZYaV1pWMB5FIIgzq0vOFZyOHy8TEM4ja6wsk4KeHCwXg6c5&#10;JtreeU/tweciQNglqKDwvk6kdFlBBt3I1sTBu9rGoA+yyaVu8B7gppJxFL1JgyWHhQJrei8oux1+&#10;jILL5LxZXfdx7/rv3Trl9jXdpp9KPQ+71QyEp87/h//aX1pBPB3D75l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sp0cYAAADcAAAADwAAAAAAAAAAAAAAAACYAgAAZHJz&#10;L2Rvd25yZXYueG1sUEsFBgAAAAAEAAQA9QAAAIsDAAAAAA==&#10;">
              <v:path/>
              <v:fill on="f" focussize="0,0"/>
              <v:stroke weight="2pt" color="#000000" dashstyle="1 1"/>
              <v:imagedata o:title=""/>
              <o:lock v:ext="edit"/>
            </v:rect>
            <v:rect id="矩形 57" o:spid="_x0000_s1122" o:spt="1" style="position:absolute;left:952;top:12763;height:2477;width:50006;v-text-anchor:middle;" fillcolor="#80808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tcUA&#10;AADbAAAADwAAAGRycy9kb3ducmV2LnhtbESPT2vCQBTE7wW/w/IKvdVNBatEV1FLafEg+Pf83H0m&#10;Idm3IbvRtJ/eFQo9DjPzG2Y672wlrtT4wrGCt34Cglg7U3Cm4LD/fB2D8AHZYOWYFPyQh/ms9zTF&#10;1Lgbb+m6C5mIEPYpKshDqFMpvc7Jou+7mjh6F9dYDFE2mTQN3iLcVnKQJO/SYsFxIceaVjnpctda&#10;BSP969vz8OPY2q9leVrXh63elEq9PHeLCYhAXfgP/7W/jYLhCB5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9a1xQAAANsAAAAPAAAAAAAAAAAAAAAAAJgCAABkcnMv&#10;ZG93bnJldi54bWxQSwUGAAAAAAQABAD1AAAAigMAAAAA&#10;">
              <v:path/>
              <v:fill type="gradient" on="t" color2="#D9D9D9" colors="0f #BCBCBC;22938f #D0D0D0;65536f #EDEDED" angle="180" focus="100%" focussize="0f,0f" rotate="t"/>
              <v:stroke color="#000000"/>
              <v:imagedata o:title=""/>
              <o:lock v:ext="edit"/>
              <v:shadow on="t" color="#000000" opacity="24903f" offset="0pt,1.5748031496063pt" origin="0f,32768f"/>
            </v:rect>
            <v:shape id="文本框 293" o:spid="_x0000_s1123" o:spt="202" type="#_x0000_t202" style="position:absolute;left:9620;top:4857;height:2572;width:895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v:path/>
              <v:fill on="f" focussize="0,0"/>
              <v:stroke on="f" weight="0.5pt" joinstyle="miter"/>
              <v:imagedata o:title=""/>
              <o:lock v:ext="edit"/>
              <v:textbox>
                <w:txbxContent>
                  <w:p>
                    <w:pPr>
                      <w:rPr>
                        <w:sz w:val="15"/>
                        <w:szCs w:val="15"/>
                      </w:rPr>
                    </w:pPr>
                    <w:r>
                      <w:rPr>
                        <w:rFonts w:hint="eastAsia"/>
                        <w:sz w:val="15"/>
                        <w:szCs w:val="15"/>
                      </w:rPr>
                      <w:t>参考闪烁源</w:t>
                    </w:r>
                  </w:p>
                </w:txbxContent>
              </v:textbox>
            </v:shape>
            <v:shape id="文本框 293" o:spid="_x0000_s1124" o:spt="202" type="#_x0000_t202" style="position:absolute;left:33051;top:6562;height:2572;width:9992;"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v:path/>
              <v:fill on="f" focussize="0,0"/>
              <v:stroke on="f" weight="0.5pt" joinstyle="miter"/>
              <v:imagedata o:title=""/>
              <o:lock v:ext="edit"/>
              <v:textbox>
                <w:txbxContent>
                  <w:p>
                    <w:pPr>
                      <w:pStyle w:val="33"/>
                      <w:spacing w:before="0" w:beforeAutospacing="0" w:after="0" w:afterAutospacing="0"/>
                      <w:jc w:val="both"/>
                      <w:rPr>
                        <w:sz w:val="15"/>
                        <w:szCs w:val="13"/>
                      </w:rPr>
                    </w:pPr>
                    <w:r>
                      <w:rPr>
                        <w:rFonts w:hint="eastAsia" w:ascii="Times New Roman"/>
                        <w:kern w:val="2"/>
                        <w:sz w:val="15"/>
                        <w:szCs w:val="13"/>
                      </w:rPr>
                      <w:t>信号采集分析设备</w:t>
                    </w:r>
                  </w:p>
                </w:txbxContent>
              </v:textbox>
            </v:shape>
            <v:shape id="文本框 293" o:spid="_x0000_s1125" o:spt="202" type="#_x0000_t202" style="position:absolute;left:25326;top:4953;height:2571;width:9989;"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v:path/>
              <v:fill on="f" focussize="0,0"/>
              <v:stroke on="f" weight="0.5pt" joinstyle="miter"/>
              <v:imagedata o:title=""/>
              <o:lock v:ext="edit"/>
              <v:textbox>
                <w:txbxContent>
                  <w:p>
                    <w:pPr>
                      <w:pStyle w:val="33"/>
                      <w:spacing w:before="0" w:beforeAutospacing="0" w:after="0" w:afterAutospacing="0"/>
                      <w:jc w:val="both"/>
                    </w:pPr>
                    <w:r>
                      <w:rPr>
                        <w:rFonts w:hint="eastAsia" w:ascii="Times New Roman"/>
                        <w:kern w:val="2"/>
                        <w:sz w:val="15"/>
                        <w:szCs w:val="15"/>
                      </w:rPr>
                      <w:t>高速光电传感器</w:t>
                    </w:r>
                  </w:p>
                </w:txbxContent>
              </v:textbox>
            </v:shape>
            <v:shape id="文本框 293" o:spid="_x0000_s1126" o:spt="202" type="#_x0000_t202" style="position:absolute;left:41243;top:630;height:2572;width:895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v:path/>
              <v:fill on="f" focussize="0,0"/>
              <v:stroke on="f" weight="0.5pt" joinstyle="miter"/>
              <v:imagedata o:title=""/>
              <o:lock v:ext="edit"/>
              <v:textbox>
                <w:txbxContent>
                  <w:p>
                    <w:pPr>
                      <w:pStyle w:val="33"/>
                      <w:spacing w:before="0" w:beforeAutospacing="0" w:after="0" w:afterAutospacing="0"/>
                      <w:jc w:val="both"/>
                    </w:pPr>
                    <w:r>
                      <w:rPr>
                        <w:rFonts w:hint="eastAsia" w:ascii="Times New Roman"/>
                        <w:kern w:val="2"/>
                        <w:sz w:val="15"/>
                        <w:szCs w:val="15"/>
                      </w:rPr>
                      <w:t>光学暗箱</w:t>
                    </w:r>
                  </w:p>
                </w:txbxContent>
              </v:textbox>
            </v:shape>
            <v:shape id="文本框 293" o:spid="_x0000_s1127" o:spt="202" type="#_x0000_t202" style="position:absolute;left:1133;top:12658;height:2572;width:895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v:path/>
              <v:fill on="f" focussize="0,0"/>
              <v:stroke on="f" weight="0.5pt" joinstyle="miter"/>
              <v:imagedata o:title=""/>
              <o:lock v:ext="edit"/>
              <v:textbox>
                <w:txbxContent>
                  <w:p>
                    <w:pPr>
                      <w:pStyle w:val="33"/>
                      <w:spacing w:before="0" w:beforeAutospacing="0" w:after="0" w:afterAutospacing="0"/>
                      <w:jc w:val="both"/>
                    </w:pPr>
                    <w:r>
                      <w:rPr>
                        <w:rFonts w:hint="eastAsia" w:ascii="Times New Roman"/>
                        <w:kern w:val="2"/>
                        <w:sz w:val="15"/>
                        <w:szCs w:val="15"/>
                      </w:rPr>
                      <w:t>光学平台</w:t>
                    </w:r>
                  </w:p>
                </w:txbxContent>
              </v:textbox>
            </v:shape>
            <v:rect id="矩形 1" o:spid="_x0000_s1128" o:spt="1" style="position:absolute;left:36480;top:9525;height:2128;width:4001;v-text-anchor:middle;" fillcolor="#80808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RH8IA&#10;AADaAAAADwAAAGRycy9kb3ducmV2LnhtbERPTWvCQBC9F/oflil4q5sK2pK6SlVE8VDQpj1Pd6dJ&#10;SHY2ZDca/fWuIPQ0PN7nTOe9rcWRWl86VvAyTEAQa2dKzhVkX+vnNxA+IBusHZOCM3mYzx4fppga&#10;d+I9HQ8hFzGEfYoKihCaVEqvC7Loh64hjtyfay2GCNtcmhZPMdzWcpQkE2mx5NhQYEPLgnR16KyC&#10;V33x3e949d3ZzaL62TXZXn9WSg2e+o93EIH68C++u7cmzofbK7cr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pEfwgAAANoAAAAPAAAAAAAAAAAAAAAAAJgCAABkcnMvZG93&#10;bnJldi54bWxQSwUGAAAAAAQABAD1AAAAhwMAAAAA&#10;">
              <v:path/>
              <v:fill type="gradient" on="t" color2="#D9D9D9" colors="0f #BCBCBC;22938f #D0D0D0;65536f #EDEDED" angle="180" focus="100%" focussize="0f,0f" rotate="t"/>
              <v:stroke color="#000000"/>
              <v:imagedata o:title=""/>
              <o:lock v:ext="edit"/>
              <v:shadow on="t" color="#000000" opacity="24903f" offset="0pt,1.5748031496063pt" origin="0f,32768f"/>
            </v:rect>
            <w10:wrap type="none"/>
            <w10:anchorlock/>
          </v:group>
        </w:pict>
      </w:r>
    </w:p>
    <w:p>
      <w:pPr>
        <w:jc w:val="center"/>
      </w:pPr>
      <w:r>
        <w:rPr>
          <w:rFonts w:hint="eastAsia"/>
          <w:szCs w:val="21"/>
        </w:rPr>
        <w:t>图3  显示屏闪烁率测定仪校准装置组成示意图</w:t>
      </w:r>
    </w:p>
    <w:p>
      <w:pPr>
        <w:pStyle w:val="4"/>
        <w:tabs>
          <w:tab w:val="left" w:pos="2490"/>
        </w:tabs>
        <w:spacing w:before="120" w:after="120" w:line="240" w:lineRule="auto"/>
        <w:rPr>
          <w:rFonts w:eastAsiaTheme="minorEastAsia"/>
          <w:b w:val="0"/>
          <w:sz w:val="24"/>
          <w:szCs w:val="24"/>
        </w:rPr>
      </w:pPr>
      <w:bookmarkStart w:id="14" w:name="_Toc124506234"/>
      <w:r>
        <w:rPr>
          <w:rFonts w:eastAsiaTheme="minorEastAsia"/>
          <w:b w:val="0"/>
          <w:sz w:val="24"/>
          <w:szCs w:val="24"/>
        </w:rPr>
        <w:t>7.</w:t>
      </w:r>
      <w:r>
        <w:rPr>
          <w:rFonts w:hint="eastAsia" w:eastAsiaTheme="minorEastAsia"/>
          <w:b w:val="0"/>
          <w:sz w:val="24"/>
          <w:szCs w:val="24"/>
        </w:rPr>
        <w:t>2 闪烁率示值误差</w:t>
      </w:r>
      <w:r>
        <w:rPr>
          <w:rFonts w:eastAsiaTheme="minorEastAsia"/>
          <w:b w:val="0"/>
          <w:sz w:val="24"/>
          <w:szCs w:val="24"/>
        </w:rPr>
        <w:t>的校准</w:t>
      </w:r>
      <w:bookmarkEnd w:id="14"/>
    </w:p>
    <w:p>
      <w:pPr>
        <w:spacing w:line="360" w:lineRule="auto"/>
        <w:ind w:firstLine="480" w:firstLineChars="200"/>
        <w:textAlignment w:val="baseline"/>
        <w:rPr>
          <w:sz w:val="24"/>
        </w:rPr>
      </w:pPr>
      <w:r>
        <w:rPr>
          <w:rFonts w:hint="eastAsia"/>
          <w:sz w:val="24"/>
        </w:rPr>
        <w:t xml:space="preserve">7.2.1 </w:t>
      </w:r>
      <w:r>
        <w:rPr>
          <w:sz w:val="24"/>
        </w:rPr>
        <w:t>将参</w:t>
      </w:r>
      <w:r>
        <w:rPr>
          <w:rFonts w:hint="eastAsia"/>
          <w:sz w:val="24"/>
        </w:rPr>
        <w:t>考</w:t>
      </w:r>
      <w:r>
        <w:rPr>
          <w:sz w:val="24"/>
        </w:rPr>
        <w:t>闪烁源的波形设置为</w:t>
      </w:r>
      <w:r>
        <w:rPr>
          <w:rFonts w:hint="eastAsia"/>
          <w:sz w:val="24"/>
        </w:rPr>
        <w:t>正弦</w:t>
      </w:r>
      <w:r>
        <w:rPr>
          <w:sz w:val="24"/>
        </w:rPr>
        <w:t xml:space="preserve">波，平均亮度设置为（100~150）cd/m²中的一个固定值，频率设置为25 Hz，振幅设置为平均亮度的1%，打开参考闪烁源使光源工作在上述闪烁状态； </w:t>
      </w:r>
    </w:p>
    <w:p>
      <w:pPr>
        <w:spacing w:line="360" w:lineRule="auto"/>
        <w:ind w:firstLine="480" w:firstLineChars="200"/>
        <w:textAlignment w:val="baseline"/>
        <w:rPr>
          <w:sz w:val="24"/>
        </w:rPr>
      </w:pPr>
      <w:r>
        <w:rPr>
          <w:rFonts w:hint="eastAsia"/>
          <w:sz w:val="24"/>
        </w:rPr>
        <w:t xml:space="preserve">7.2.2 </w:t>
      </w:r>
      <w:r>
        <w:rPr>
          <w:sz w:val="24"/>
        </w:rPr>
        <w:t>使用高速光电传感器和信号采集分析设备采集参考闪烁源的波形数据，测量三次</w:t>
      </w:r>
      <w:r>
        <w:rPr>
          <w:rFonts w:hint="eastAsia"/>
          <w:sz w:val="24"/>
        </w:rPr>
        <w:t>闪烁率</w:t>
      </w:r>
      <w:r>
        <w:rPr>
          <w:sz w:val="24"/>
        </w:rPr>
        <w:t>，取三次测量的平均值作为该处闪烁率的标准值；</w:t>
      </w:r>
    </w:p>
    <w:p>
      <w:pPr>
        <w:spacing w:line="360" w:lineRule="auto"/>
        <w:ind w:firstLine="480" w:firstLineChars="200"/>
        <w:textAlignment w:val="baseline"/>
        <w:rPr>
          <w:sz w:val="24"/>
        </w:rPr>
      </w:pPr>
      <w:r>
        <w:rPr>
          <w:rFonts w:hint="eastAsia"/>
          <w:sz w:val="24"/>
        </w:rPr>
        <w:t xml:space="preserve">7.2.3 </w:t>
      </w:r>
      <w:r>
        <w:rPr>
          <w:sz w:val="24"/>
        </w:rPr>
        <w:t>将被</w:t>
      </w:r>
      <w:r>
        <w:rPr>
          <w:rFonts w:hint="eastAsia"/>
          <w:sz w:val="24"/>
        </w:rPr>
        <w:t>校</w:t>
      </w:r>
      <w:r>
        <w:rPr>
          <w:sz w:val="24"/>
        </w:rPr>
        <w:t>显示屏闪烁率测定仪安装在校准装置上，使被</w:t>
      </w:r>
      <w:r>
        <w:rPr>
          <w:rFonts w:hint="eastAsia"/>
          <w:sz w:val="24"/>
        </w:rPr>
        <w:t>校</w:t>
      </w:r>
      <w:r>
        <w:rPr>
          <w:sz w:val="24"/>
        </w:rPr>
        <w:t>显示屏闪烁率测定仪的测量方向垂直对准参考闪烁源发光面中心位置，保持参考闪烁源的设置不变，测量其闪烁率三次取平均值作为该处闪烁率的被</w:t>
      </w:r>
      <w:r>
        <w:rPr>
          <w:rFonts w:hint="eastAsia"/>
          <w:sz w:val="24"/>
        </w:rPr>
        <w:t>校</w:t>
      </w:r>
      <w:r>
        <w:rPr>
          <w:sz w:val="24"/>
        </w:rPr>
        <w:t>示值；</w:t>
      </w:r>
    </w:p>
    <w:p>
      <w:pPr>
        <w:spacing w:line="360" w:lineRule="auto"/>
        <w:ind w:firstLine="480" w:firstLineChars="200"/>
        <w:textAlignment w:val="baseline"/>
        <w:rPr>
          <w:sz w:val="24"/>
        </w:rPr>
      </w:pPr>
      <w:r>
        <w:rPr>
          <w:rFonts w:hint="eastAsia"/>
          <w:sz w:val="24"/>
        </w:rPr>
        <w:t xml:space="preserve">7.2.4 </w:t>
      </w:r>
      <w:r>
        <w:rPr>
          <w:sz w:val="24"/>
        </w:rPr>
        <w:t>闪烁率的示值误差计算见公式（1）：</w:t>
      </w:r>
    </w:p>
    <w:p>
      <w:pPr>
        <w:spacing w:line="360" w:lineRule="auto"/>
        <w:jc w:val="center"/>
        <w:textAlignment w:val="baseline"/>
        <w:rPr>
          <w:sz w:val="24"/>
        </w:rPr>
      </w:pPr>
      <w:r>
        <w:rPr>
          <w:sz w:val="24"/>
        </w:rPr>
        <w:t>闪烁率示值误差=闪烁率被</w:t>
      </w:r>
      <w:r>
        <w:rPr>
          <w:rFonts w:hint="eastAsia"/>
          <w:sz w:val="24"/>
        </w:rPr>
        <w:t>校</w:t>
      </w:r>
      <w:r>
        <w:rPr>
          <w:sz w:val="24"/>
        </w:rPr>
        <w:t>示值-闪烁率标准值（1）</w:t>
      </w:r>
    </w:p>
    <w:p>
      <w:pPr>
        <w:tabs>
          <w:tab w:val="center" w:pos="4662"/>
          <w:tab w:val="right" w:pos="8844"/>
        </w:tabs>
        <w:spacing w:line="360" w:lineRule="auto"/>
        <w:ind w:firstLine="480" w:firstLineChars="200"/>
        <w:jc w:val="left"/>
        <w:textAlignment w:val="baseline"/>
        <w:rPr>
          <w:sz w:val="24"/>
        </w:rPr>
      </w:pPr>
      <w:r>
        <w:rPr>
          <w:rFonts w:hint="eastAsia"/>
          <w:sz w:val="24"/>
        </w:rPr>
        <w:t xml:space="preserve">7.2.5 </w:t>
      </w:r>
      <w:r>
        <w:rPr>
          <w:sz w:val="24"/>
        </w:rPr>
        <w:t>保持参考闪烁源的其他设置不变，将振幅分别设置为5%、10%、50%、100%，重复</w:t>
      </w:r>
      <w:r>
        <w:rPr>
          <w:rFonts w:hint="eastAsia"/>
          <w:sz w:val="24"/>
        </w:rPr>
        <w:t>第7.2.2~7.2.4</w:t>
      </w:r>
      <w:r>
        <w:rPr>
          <w:sz w:val="24"/>
        </w:rPr>
        <w:t>步骤，测量其闪烁率示值误差。</w:t>
      </w:r>
    </w:p>
    <w:p>
      <w:pPr>
        <w:pStyle w:val="4"/>
        <w:spacing w:before="120" w:after="120" w:line="360" w:lineRule="auto"/>
        <w:rPr>
          <w:rFonts w:eastAsiaTheme="minorEastAsia"/>
          <w:b w:val="0"/>
          <w:sz w:val="24"/>
          <w:szCs w:val="24"/>
        </w:rPr>
      </w:pPr>
      <w:bookmarkStart w:id="15" w:name="_Toc124506235"/>
      <w:r>
        <w:rPr>
          <w:rFonts w:hint="eastAsia" w:eastAsiaTheme="minorEastAsia"/>
          <w:b w:val="0"/>
          <w:sz w:val="24"/>
          <w:szCs w:val="24"/>
        </w:rPr>
        <w:t>7.3 闪烁频率相对示值误差的校准</w:t>
      </w:r>
      <w:bookmarkEnd w:id="15"/>
    </w:p>
    <w:p>
      <w:pPr>
        <w:spacing w:line="360" w:lineRule="auto"/>
        <w:ind w:firstLine="480" w:firstLineChars="200"/>
        <w:textAlignment w:val="baseline"/>
        <w:rPr>
          <w:sz w:val="24"/>
        </w:rPr>
      </w:pPr>
      <w:r>
        <w:rPr>
          <w:rFonts w:hint="eastAsia"/>
          <w:sz w:val="24"/>
        </w:rPr>
        <w:t xml:space="preserve">7.3.1 </w:t>
      </w:r>
      <w:r>
        <w:rPr>
          <w:sz w:val="24"/>
        </w:rPr>
        <w:t>将参照闪烁源的波形设置为</w:t>
      </w:r>
      <w:r>
        <w:rPr>
          <w:rFonts w:hint="eastAsia"/>
          <w:sz w:val="24"/>
        </w:rPr>
        <w:t>正弦</w:t>
      </w:r>
      <w:r>
        <w:rPr>
          <w:sz w:val="24"/>
        </w:rPr>
        <w:t>波，平均亮度设置为（100~150）cd/m²中的一个固定值，振幅设置为平均亮度的50%，频率设置为30Hz，打开参考闪烁源使光源工作在上述闪烁状态；</w:t>
      </w:r>
    </w:p>
    <w:p>
      <w:pPr>
        <w:spacing w:line="360" w:lineRule="auto"/>
        <w:ind w:firstLine="480" w:firstLineChars="200"/>
        <w:textAlignment w:val="baseline"/>
        <w:rPr>
          <w:sz w:val="24"/>
        </w:rPr>
      </w:pPr>
      <w:r>
        <w:rPr>
          <w:rFonts w:hint="eastAsia"/>
          <w:sz w:val="24"/>
        </w:rPr>
        <w:t xml:space="preserve">7.3.2 </w:t>
      </w:r>
      <w:r>
        <w:rPr>
          <w:sz w:val="24"/>
        </w:rPr>
        <w:t>使用高速光电传感器和信号采集分析设备采集参考闪烁源的波形数据，取其最大闪烁频率作为闪烁频率值，测量三次，取三次测量的平均值作为该处闪烁频率的标准值；</w:t>
      </w:r>
    </w:p>
    <w:p>
      <w:pPr>
        <w:spacing w:line="360" w:lineRule="auto"/>
        <w:ind w:firstLine="480" w:firstLineChars="200"/>
        <w:textAlignment w:val="baseline"/>
        <w:rPr>
          <w:sz w:val="24"/>
        </w:rPr>
      </w:pPr>
      <w:r>
        <w:rPr>
          <w:rFonts w:hint="eastAsia"/>
          <w:sz w:val="24"/>
        </w:rPr>
        <w:t xml:space="preserve">7.3.3 </w:t>
      </w:r>
      <w:r>
        <w:rPr>
          <w:sz w:val="24"/>
        </w:rPr>
        <w:t>将被</w:t>
      </w:r>
      <w:r>
        <w:rPr>
          <w:rFonts w:hint="eastAsia"/>
          <w:sz w:val="24"/>
        </w:rPr>
        <w:t>校</w:t>
      </w:r>
      <w:r>
        <w:rPr>
          <w:sz w:val="24"/>
        </w:rPr>
        <w:t>显示屏闪烁率测定仪安装在校准装置上，使被</w:t>
      </w:r>
      <w:r>
        <w:rPr>
          <w:rFonts w:hint="eastAsia"/>
          <w:sz w:val="24"/>
        </w:rPr>
        <w:t>校</w:t>
      </w:r>
      <w:r>
        <w:rPr>
          <w:sz w:val="24"/>
        </w:rPr>
        <w:t>显示屏闪烁率测定仪的测量方向垂直对准参考闪烁源发光面中心位置，保持参考闪烁源的设置不变，测量其闪烁频率三次取平均值作为该处闪烁率的被</w:t>
      </w:r>
      <w:r>
        <w:rPr>
          <w:rFonts w:hint="eastAsia"/>
          <w:sz w:val="24"/>
        </w:rPr>
        <w:t>校</w:t>
      </w:r>
      <w:r>
        <w:rPr>
          <w:sz w:val="24"/>
        </w:rPr>
        <w:t>示值；</w:t>
      </w:r>
    </w:p>
    <w:p>
      <w:pPr>
        <w:tabs>
          <w:tab w:val="left" w:pos="6105"/>
        </w:tabs>
        <w:spacing w:line="360" w:lineRule="auto"/>
        <w:ind w:firstLine="480" w:firstLineChars="200"/>
        <w:textAlignment w:val="baseline"/>
        <w:rPr>
          <w:sz w:val="24"/>
        </w:rPr>
      </w:pPr>
      <w:r>
        <w:rPr>
          <w:rFonts w:hint="eastAsia"/>
          <w:sz w:val="24"/>
        </w:rPr>
        <w:t xml:space="preserve">7.3.4 </w:t>
      </w:r>
      <w:r>
        <w:rPr>
          <w:sz w:val="24"/>
        </w:rPr>
        <w:t>闪烁频率的相对示值误差计算见公式（</w:t>
      </w:r>
      <w:r>
        <w:rPr>
          <w:rFonts w:hint="eastAsia"/>
          <w:sz w:val="24"/>
        </w:rPr>
        <w:t>2</w:t>
      </w:r>
      <w:r>
        <w:rPr>
          <w:sz w:val="24"/>
        </w:rPr>
        <w:t>）：</w:t>
      </w:r>
      <w:r>
        <w:rPr>
          <w:sz w:val="24"/>
        </w:rPr>
        <w:tab/>
      </w:r>
    </w:p>
    <w:p>
      <w:pPr>
        <w:tabs>
          <w:tab w:val="left" w:pos="6105"/>
        </w:tabs>
        <w:spacing w:line="360" w:lineRule="auto"/>
        <w:ind w:firstLine="480" w:firstLineChars="200"/>
        <w:textAlignment w:val="baseline"/>
        <w:rPr>
          <w:rFonts w:ascii="宋体" w:hAnsi="宋体"/>
          <w:sz w:val="24"/>
        </w:rPr>
      </w:pPr>
      <m:oMathPara>
        <m:oMath>
          <m:r>
            <m:rPr>
              <m:sty m:val="p"/>
            </m:rPr>
            <w:rPr>
              <w:rFonts w:ascii="Cambria Math" w:hAnsi="Cambria Math"/>
              <w:sz w:val="24"/>
            </w:rPr>
            <m:t>闪烁频率相对示值误差=</m:t>
          </m:r>
          <m:f>
            <m:fPr>
              <m:ctrlPr>
                <w:rPr>
                  <w:rFonts w:ascii="Cambria Math" w:hAnsi="Cambria Math"/>
                  <w:sz w:val="24"/>
                </w:rPr>
              </m:ctrlPr>
            </m:fPr>
            <m:num>
              <m:r>
                <m:rPr>
                  <m:sty m:val="p"/>
                </m:rPr>
                <w:rPr>
                  <w:rFonts w:ascii="Cambria Math" w:hAnsi="Cambria Math"/>
                  <w:sz w:val="24"/>
                </w:rPr>
                <m:t>闪烁频率被</m:t>
              </m:r>
              <m:r>
                <m:rPr>
                  <m:sty m:val="p"/>
                </m:rPr>
                <w:rPr>
                  <w:rFonts w:hint="eastAsia" w:ascii="Cambria Math" w:hAnsi="Cambria Math"/>
                  <w:sz w:val="24"/>
                </w:rPr>
                <m:t>校</m:t>
              </m:r>
              <m:r>
                <m:rPr>
                  <m:sty m:val="p"/>
                </m:rPr>
                <w:rPr>
                  <w:rFonts w:ascii="Cambria Math" w:hAnsi="Cambria Math"/>
                  <w:sz w:val="24"/>
                </w:rPr>
                <m:t>示值−闪烁频率标准值</m:t>
              </m:r>
              <m:ctrlPr>
                <w:rPr>
                  <w:rFonts w:ascii="Cambria Math" w:hAnsi="Cambria Math"/>
                  <w:sz w:val="24"/>
                </w:rPr>
              </m:ctrlPr>
            </m:num>
            <m:den>
              <m:r>
                <m:rPr>
                  <m:sty m:val="p"/>
                </m:rPr>
                <w:rPr>
                  <w:rFonts w:ascii="Cambria Math" w:hAnsi="Cambria Math"/>
                  <w:sz w:val="24"/>
                </w:rPr>
                <m:t>闪烁频率标准值</m:t>
              </m:r>
              <m:ctrlPr>
                <w:rPr>
                  <w:rFonts w:ascii="Cambria Math" w:hAnsi="Cambria Math"/>
                  <w:sz w:val="24"/>
                </w:rPr>
              </m:ctrlPr>
            </m:den>
          </m:f>
          <m:r>
            <m:rPr/>
            <w:rPr>
              <w:rFonts w:ascii="Cambria Math" w:hAnsi="Cambria Math"/>
              <w:sz w:val="24"/>
            </w:rPr>
            <m:t xml:space="preserve">×100%      </m:t>
          </m:r>
          <m:r>
            <m:rPr>
              <m:sty m:val="p"/>
            </m:rPr>
            <w:rPr>
              <w:rFonts w:ascii="Cambria Math" w:hAnsi="Cambria Math"/>
              <w:sz w:val="24"/>
            </w:rPr>
            <m:t>（2）</m:t>
          </m:r>
        </m:oMath>
      </m:oMathPara>
    </w:p>
    <w:p>
      <w:pPr>
        <w:tabs>
          <w:tab w:val="center" w:pos="4662"/>
          <w:tab w:val="right" w:pos="8844"/>
        </w:tabs>
        <w:spacing w:line="360" w:lineRule="auto"/>
        <w:ind w:firstLine="480" w:firstLineChars="200"/>
        <w:jc w:val="left"/>
        <w:textAlignment w:val="baseline"/>
        <w:rPr>
          <w:sz w:val="24"/>
        </w:rPr>
      </w:pPr>
      <w:r>
        <w:rPr>
          <w:rFonts w:hint="eastAsia"/>
          <w:sz w:val="24"/>
        </w:rPr>
        <w:t xml:space="preserve">7.3.5 </w:t>
      </w:r>
      <w:r>
        <w:rPr>
          <w:sz w:val="24"/>
        </w:rPr>
        <w:t>保持参考闪烁源的其他设置不变，将频率分别设置为60 Hz、120Hz、500 Hz、1000 Hz，重复</w:t>
      </w:r>
      <w:r>
        <w:rPr>
          <w:rFonts w:hint="eastAsia"/>
          <w:sz w:val="24"/>
        </w:rPr>
        <w:t>第7.3.2~7.3.4</w:t>
      </w:r>
      <w:r>
        <w:rPr>
          <w:sz w:val="24"/>
        </w:rPr>
        <w:t>步骤，测量其闪烁频率相对示值误差。</w:t>
      </w:r>
    </w:p>
    <w:p>
      <w:pPr>
        <w:pStyle w:val="2"/>
        <w:spacing w:before="100" w:after="100"/>
        <w:rPr>
          <w:rFonts w:ascii="黑体" w:hAnsi="黑体" w:eastAsia="黑体"/>
          <w:b w:val="0"/>
          <w:sz w:val="24"/>
          <w:szCs w:val="24"/>
        </w:rPr>
      </w:pPr>
      <w:bookmarkStart w:id="16" w:name="_Toc124506236"/>
      <w:r>
        <w:rPr>
          <w:rFonts w:ascii="黑体" w:hAnsi="黑体" w:eastAsia="黑体"/>
          <w:b w:val="0"/>
          <w:sz w:val="24"/>
          <w:szCs w:val="24"/>
        </w:rPr>
        <w:t>8 校准结果表达</w:t>
      </w:r>
      <w:bookmarkEnd w:id="16"/>
    </w:p>
    <w:p>
      <w:pPr>
        <w:adjustRightInd w:val="0"/>
        <w:snapToGrid w:val="0"/>
        <w:spacing w:line="360" w:lineRule="auto"/>
        <w:ind w:firstLine="480" w:firstLineChars="200"/>
        <w:rPr>
          <w:rFonts w:ascii="宋体" w:hAnsi="宋体"/>
          <w:sz w:val="24"/>
        </w:rPr>
      </w:pPr>
      <w:bookmarkStart w:id="17" w:name="_Toc280866940"/>
      <w:r>
        <w:rPr>
          <w:rFonts w:hint="eastAsia" w:ascii="宋体" w:hAnsi="宋体"/>
          <w:sz w:val="24"/>
        </w:rPr>
        <w:t>校准结果应在校准证书上反应，校准证书应至少包括以下信息：</w:t>
      </w:r>
      <w:bookmarkEnd w:id="17"/>
    </w:p>
    <w:p>
      <w:pPr>
        <w:snapToGrid w:val="0"/>
        <w:spacing w:line="360" w:lineRule="auto"/>
        <w:ind w:firstLine="480" w:firstLineChars="200"/>
        <w:rPr>
          <w:sz w:val="24"/>
        </w:rPr>
      </w:pPr>
      <w:r>
        <w:rPr>
          <w:sz w:val="24"/>
        </w:rPr>
        <w:t>a) 标题，</w:t>
      </w:r>
      <w:r>
        <w:rPr>
          <w:rFonts w:hint="eastAsia"/>
          <w:sz w:val="24"/>
        </w:rPr>
        <w:t>“</w:t>
      </w:r>
      <w:r>
        <w:rPr>
          <w:sz w:val="24"/>
        </w:rPr>
        <w:t>校准证书</w:t>
      </w:r>
      <w:r>
        <w:rPr>
          <w:rFonts w:hint="eastAsia"/>
          <w:sz w:val="24"/>
        </w:rPr>
        <w:t>”</w:t>
      </w:r>
      <w:r>
        <w:rPr>
          <w:sz w:val="24"/>
        </w:rPr>
        <w:t>；</w:t>
      </w:r>
    </w:p>
    <w:p>
      <w:pPr>
        <w:snapToGrid w:val="0"/>
        <w:spacing w:line="360" w:lineRule="auto"/>
        <w:ind w:firstLine="480"/>
        <w:rPr>
          <w:sz w:val="24"/>
        </w:rPr>
      </w:pPr>
      <w:r>
        <w:rPr>
          <w:sz w:val="24"/>
        </w:rPr>
        <w:t>b) 实验室名称和地址；</w:t>
      </w:r>
    </w:p>
    <w:p>
      <w:pPr>
        <w:snapToGrid w:val="0"/>
        <w:spacing w:line="360" w:lineRule="auto"/>
        <w:ind w:firstLine="480"/>
        <w:rPr>
          <w:sz w:val="24"/>
        </w:rPr>
      </w:pPr>
      <w:r>
        <w:rPr>
          <w:sz w:val="24"/>
        </w:rPr>
        <w:t>c) 进行校准的地点（如果与实验室的地址不同）；</w:t>
      </w:r>
    </w:p>
    <w:p>
      <w:pPr>
        <w:snapToGrid w:val="0"/>
        <w:spacing w:line="360" w:lineRule="auto"/>
        <w:ind w:firstLine="480"/>
        <w:rPr>
          <w:sz w:val="24"/>
        </w:rPr>
      </w:pPr>
      <w:r>
        <w:rPr>
          <w:sz w:val="24"/>
        </w:rPr>
        <w:t>d) 证书的唯一性标识（如编号），每页及总页数的标识；</w:t>
      </w:r>
    </w:p>
    <w:p>
      <w:pPr>
        <w:snapToGrid w:val="0"/>
        <w:spacing w:line="360" w:lineRule="auto"/>
        <w:ind w:firstLine="480"/>
        <w:rPr>
          <w:sz w:val="24"/>
        </w:rPr>
      </w:pPr>
      <w:r>
        <w:rPr>
          <w:sz w:val="24"/>
        </w:rPr>
        <w:t>e) 客户的名称和地址；</w:t>
      </w:r>
    </w:p>
    <w:p>
      <w:pPr>
        <w:snapToGrid w:val="0"/>
        <w:spacing w:line="360" w:lineRule="auto"/>
        <w:ind w:firstLine="480"/>
        <w:rPr>
          <w:sz w:val="24"/>
        </w:rPr>
      </w:pPr>
      <w:r>
        <w:rPr>
          <w:sz w:val="24"/>
        </w:rPr>
        <w:t>f) 被校对象的描述和明确标识；</w:t>
      </w:r>
    </w:p>
    <w:p>
      <w:pPr>
        <w:snapToGrid w:val="0"/>
        <w:spacing w:line="360" w:lineRule="auto"/>
        <w:ind w:firstLine="480"/>
        <w:rPr>
          <w:sz w:val="24"/>
        </w:rPr>
      </w:pPr>
      <w:r>
        <w:rPr>
          <w:sz w:val="24"/>
        </w:rPr>
        <w:t>g) 进行校准的日期，如果与校准结果的有效性和</w:t>
      </w:r>
      <w:r>
        <w:rPr>
          <w:rFonts w:hint="eastAsia"/>
          <w:sz w:val="24"/>
        </w:rPr>
        <w:t>应用</w:t>
      </w:r>
      <w:r>
        <w:rPr>
          <w:sz w:val="24"/>
        </w:rPr>
        <w:t>有关时，应说明被校对象的接收日期；</w:t>
      </w:r>
    </w:p>
    <w:p>
      <w:pPr>
        <w:snapToGrid w:val="0"/>
        <w:spacing w:line="360" w:lineRule="auto"/>
        <w:ind w:firstLine="480"/>
        <w:rPr>
          <w:sz w:val="24"/>
        </w:rPr>
      </w:pPr>
      <w:r>
        <w:rPr>
          <w:sz w:val="24"/>
        </w:rPr>
        <w:t>h) 如果与校准结果的有效性和应用有关时，应对被校样品的抽样程序进行说明；</w:t>
      </w:r>
    </w:p>
    <w:p>
      <w:pPr>
        <w:snapToGrid w:val="0"/>
        <w:spacing w:line="360" w:lineRule="auto"/>
        <w:ind w:firstLine="480"/>
        <w:rPr>
          <w:sz w:val="24"/>
        </w:rPr>
      </w:pPr>
      <w:r>
        <w:rPr>
          <w:sz w:val="24"/>
        </w:rPr>
        <w:t>i) 校准所依据的技术规范的标识，包括名称及代号；</w:t>
      </w:r>
    </w:p>
    <w:p>
      <w:pPr>
        <w:snapToGrid w:val="0"/>
        <w:spacing w:line="360" w:lineRule="auto"/>
        <w:ind w:firstLine="480"/>
        <w:rPr>
          <w:sz w:val="24"/>
        </w:rPr>
      </w:pPr>
      <w:r>
        <w:rPr>
          <w:sz w:val="24"/>
        </w:rPr>
        <w:t>j) 本次校准所用测量标准的溯源性及有效性说明；</w:t>
      </w:r>
    </w:p>
    <w:p>
      <w:pPr>
        <w:snapToGrid w:val="0"/>
        <w:spacing w:line="360" w:lineRule="auto"/>
        <w:ind w:firstLine="480"/>
        <w:rPr>
          <w:sz w:val="24"/>
        </w:rPr>
      </w:pPr>
      <w:r>
        <w:rPr>
          <w:sz w:val="24"/>
        </w:rPr>
        <w:t>k) 校准环境的描述；</w:t>
      </w:r>
    </w:p>
    <w:p>
      <w:pPr>
        <w:snapToGrid w:val="0"/>
        <w:spacing w:line="360" w:lineRule="auto"/>
        <w:ind w:firstLine="480"/>
        <w:rPr>
          <w:sz w:val="24"/>
        </w:rPr>
      </w:pPr>
      <w:r>
        <w:rPr>
          <w:sz w:val="24"/>
        </w:rPr>
        <w:t>l) 校准结果及其测量不确定度的说明；</w:t>
      </w:r>
    </w:p>
    <w:p>
      <w:pPr>
        <w:snapToGrid w:val="0"/>
        <w:spacing w:line="360" w:lineRule="auto"/>
        <w:ind w:firstLine="480"/>
        <w:rPr>
          <w:sz w:val="24"/>
        </w:rPr>
      </w:pPr>
      <w:r>
        <w:rPr>
          <w:sz w:val="24"/>
        </w:rPr>
        <w:t>m) 对校准规范的偏离的说明；</w:t>
      </w:r>
    </w:p>
    <w:p>
      <w:pPr>
        <w:snapToGrid w:val="0"/>
        <w:spacing w:line="360" w:lineRule="auto"/>
        <w:ind w:firstLine="480"/>
        <w:rPr>
          <w:sz w:val="24"/>
        </w:rPr>
      </w:pPr>
      <w:r>
        <w:rPr>
          <w:sz w:val="24"/>
        </w:rPr>
        <w:t>n) 校准证书签发人的签名、职务或等效标识；</w:t>
      </w:r>
    </w:p>
    <w:p>
      <w:pPr>
        <w:snapToGrid w:val="0"/>
        <w:spacing w:line="360" w:lineRule="auto"/>
        <w:ind w:firstLine="480"/>
        <w:rPr>
          <w:sz w:val="24"/>
        </w:rPr>
      </w:pPr>
      <w:r>
        <w:rPr>
          <w:sz w:val="24"/>
        </w:rPr>
        <w:t>o) 校准结果仅对被校对象有效的声明；</w:t>
      </w:r>
    </w:p>
    <w:p>
      <w:pPr>
        <w:snapToGrid w:val="0"/>
        <w:spacing w:line="360" w:lineRule="auto"/>
        <w:ind w:firstLine="480"/>
        <w:rPr>
          <w:sz w:val="24"/>
        </w:rPr>
      </w:pPr>
      <w:r>
        <w:rPr>
          <w:sz w:val="24"/>
        </w:rPr>
        <w:t>p) 未经实验室书面批准，不得部分复制证书的声明。</w:t>
      </w:r>
    </w:p>
    <w:p>
      <w:pPr>
        <w:pStyle w:val="2"/>
        <w:spacing w:before="100" w:after="100"/>
        <w:rPr>
          <w:rFonts w:ascii="黑体" w:hAnsi="黑体" w:eastAsia="黑体"/>
          <w:b w:val="0"/>
          <w:sz w:val="24"/>
          <w:szCs w:val="24"/>
        </w:rPr>
      </w:pPr>
      <w:bookmarkStart w:id="18" w:name="_Toc124506237"/>
      <w:bookmarkStart w:id="19" w:name="_Toc438025705"/>
      <w:r>
        <w:rPr>
          <w:rFonts w:hint="eastAsia" w:ascii="黑体" w:hAnsi="黑体" w:eastAsia="黑体"/>
          <w:b w:val="0"/>
          <w:sz w:val="24"/>
          <w:szCs w:val="24"/>
        </w:rPr>
        <w:t>9 复校时间间隔</w:t>
      </w:r>
      <w:bookmarkEnd w:id="18"/>
      <w:bookmarkEnd w:id="19"/>
    </w:p>
    <w:p>
      <w:pPr>
        <w:snapToGrid w:val="0"/>
        <w:spacing w:line="360" w:lineRule="auto"/>
        <w:ind w:firstLine="480" w:firstLineChars="200"/>
        <w:rPr>
          <w:rFonts w:ascii="宋体" w:hAnsi="宋体"/>
          <w:sz w:val="24"/>
        </w:rPr>
      </w:pPr>
      <w:r>
        <w:rPr>
          <w:rFonts w:hint="eastAsia" w:ascii="宋体" w:hAnsi="宋体"/>
          <w:sz w:val="24"/>
        </w:rPr>
        <w:t>复校时间间隔是由仪器的使用情况、仪器本身质量等诸因素所决定的，因此，送校单位可根据实际使用情况自主决定复校时间间隔。</w:t>
      </w:r>
    </w:p>
    <w:p>
      <w:pPr>
        <w:snapToGrid w:val="0"/>
        <w:spacing w:line="360" w:lineRule="auto"/>
        <w:ind w:firstLine="480" w:firstLineChars="200"/>
        <w:rPr>
          <w:rFonts w:ascii="宋体" w:hAnsi="宋体"/>
          <w:sz w:val="24"/>
        </w:rPr>
      </w:pPr>
      <w:r>
        <w:rPr>
          <w:rFonts w:hint="eastAsia" w:ascii="宋体" w:hAnsi="宋体"/>
          <w:sz w:val="24"/>
        </w:rPr>
        <w:t>建议复校时间间隔为</w:t>
      </w:r>
      <w:r>
        <w:rPr>
          <w:sz w:val="24"/>
        </w:rPr>
        <w:t>1</w:t>
      </w:r>
      <w:r>
        <w:rPr>
          <w:rFonts w:hint="eastAsia" w:ascii="宋体" w:hAnsi="宋体"/>
          <w:sz w:val="24"/>
        </w:rPr>
        <w:t>年。</w:t>
      </w:r>
      <w:bookmarkStart w:id="20" w:name="_Toc438025706"/>
    </w:p>
    <w:p>
      <w:pPr>
        <w:widowControl/>
        <w:jc w:val="left"/>
        <w:rPr>
          <w:rFonts w:ascii="宋体" w:hAnsi="宋体"/>
          <w:sz w:val="24"/>
        </w:rPr>
      </w:pPr>
      <w:r>
        <w:rPr>
          <w:rFonts w:ascii="宋体" w:hAnsi="宋体"/>
          <w:sz w:val="24"/>
        </w:rPr>
        <w:br w:type="page"/>
      </w:r>
    </w:p>
    <w:p>
      <w:pPr>
        <w:pStyle w:val="2"/>
        <w:spacing w:before="100" w:after="100"/>
        <w:rPr>
          <w:rFonts w:ascii="黑体" w:hAnsi="黑体" w:eastAsia="黑体"/>
          <w:b w:val="0"/>
          <w:sz w:val="28"/>
          <w:szCs w:val="28"/>
        </w:rPr>
      </w:pPr>
      <w:bookmarkStart w:id="21" w:name="_Toc124506238"/>
      <w:r>
        <w:rPr>
          <w:rFonts w:hint="eastAsia" w:ascii="黑体" w:hAnsi="黑体" w:eastAsia="黑体"/>
          <w:b w:val="0"/>
          <w:sz w:val="28"/>
          <w:szCs w:val="28"/>
        </w:rPr>
        <w:t>附录A</w:t>
      </w:r>
      <w:r>
        <w:rPr>
          <w:rFonts w:hint="eastAsia" w:ascii="黑体" w:hAnsi="黑体" w:eastAsia="黑体"/>
          <w:b w:val="0"/>
          <w:color w:val="FFFFFF" w:themeColor="background1"/>
          <w:sz w:val="28"/>
          <w:szCs w:val="28"/>
        </w:rPr>
        <w:t>测量不确定度评定示例</w:t>
      </w:r>
      <w:bookmarkEnd w:id="21"/>
    </w:p>
    <w:p>
      <w:pPr>
        <w:spacing w:afterLines="50"/>
        <w:jc w:val="center"/>
        <w:rPr>
          <w:rFonts w:ascii="黑体" w:hAnsi="黑体" w:eastAsia="黑体"/>
          <w:sz w:val="28"/>
          <w:szCs w:val="28"/>
        </w:rPr>
      </w:pPr>
      <w:r>
        <w:rPr>
          <w:rFonts w:hint="eastAsia" w:ascii="黑体" w:hAnsi="黑体" w:eastAsia="黑体"/>
          <w:sz w:val="28"/>
          <w:szCs w:val="28"/>
        </w:rPr>
        <w:t>测量不确定度评定示例</w:t>
      </w:r>
      <w:bookmarkEnd w:id="20"/>
    </w:p>
    <w:p>
      <w:pPr>
        <w:pStyle w:val="4"/>
        <w:spacing w:before="120" w:after="120" w:line="360" w:lineRule="auto"/>
        <w:rPr>
          <w:rFonts w:hAnsiTheme="minorEastAsia" w:eastAsiaTheme="minorEastAsia"/>
          <w:b w:val="0"/>
          <w:sz w:val="24"/>
          <w:szCs w:val="24"/>
        </w:rPr>
      </w:pPr>
      <w:bookmarkStart w:id="22" w:name="_Toc438025707"/>
      <w:bookmarkStart w:id="23" w:name="_Toc124506239"/>
      <w:r>
        <w:rPr>
          <w:rFonts w:eastAsiaTheme="minorEastAsia"/>
          <w:b w:val="0"/>
          <w:sz w:val="24"/>
          <w:szCs w:val="24"/>
        </w:rPr>
        <w:t>A.1</w:t>
      </w:r>
      <w:bookmarkEnd w:id="22"/>
      <w:r>
        <w:rPr>
          <w:rFonts w:hint="eastAsia" w:hAnsiTheme="minorEastAsia" w:eastAsiaTheme="minorEastAsia"/>
          <w:b w:val="0"/>
          <w:sz w:val="24"/>
          <w:szCs w:val="24"/>
        </w:rPr>
        <w:t>概述</w:t>
      </w:r>
      <w:bookmarkEnd w:id="23"/>
    </w:p>
    <w:p>
      <w:pPr>
        <w:adjustRightInd w:val="0"/>
        <w:snapToGrid w:val="0"/>
        <w:spacing w:line="360" w:lineRule="auto"/>
        <w:ind w:firstLine="424" w:firstLineChars="177"/>
        <w:rPr>
          <w:sz w:val="24"/>
        </w:rPr>
      </w:pPr>
      <w:r>
        <w:rPr>
          <w:rFonts w:hint="eastAsia"/>
          <w:sz w:val="24"/>
        </w:rPr>
        <w:t>测量方法如下：设定参考闪烁源的闪烁率和闪烁频率，使用高速光度传感器和数字示波器测量三次取平均值作为标准值，使用显示屏闪烁率测试仪测量三次取平均值作为被校示值，依据公式（1）和公式（2）计算闪烁率示值误差和闪烁频率相对示值误差。本示例的闪烁率测量不确定度评定采用时域法，标称值为10%，频域法可以参照此评定示例。闪烁频率设定标称值为60Hz。</w:t>
      </w:r>
    </w:p>
    <w:p>
      <w:pPr>
        <w:pStyle w:val="4"/>
        <w:spacing w:before="120" w:after="120" w:line="360" w:lineRule="auto"/>
        <w:rPr>
          <w:rFonts w:eastAsiaTheme="minorEastAsia"/>
          <w:b w:val="0"/>
          <w:sz w:val="24"/>
          <w:szCs w:val="24"/>
        </w:rPr>
      </w:pPr>
      <w:bookmarkStart w:id="24" w:name="_Toc124506240"/>
      <w:r>
        <w:rPr>
          <w:rFonts w:eastAsiaTheme="minorEastAsia"/>
          <w:b w:val="0"/>
          <w:sz w:val="24"/>
          <w:szCs w:val="24"/>
        </w:rPr>
        <w:t>A.2</w:t>
      </w:r>
      <w:r>
        <w:rPr>
          <w:rFonts w:hint="eastAsia" w:eastAsiaTheme="minorEastAsia"/>
          <w:b w:val="0"/>
          <w:sz w:val="24"/>
          <w:szCs w:val="24"/>
        </w:rPr>
        <w:t>闪烁率测量结果的不确定度评定</w:t>
      </w:r>
      <w:bookmarkEnd w:id="24"/>
    </w:p>
    <w:p>
      <w:pPr>
        <w:spacing w:line="360" w:lineRule="auto"/>
        <w:rPr>
          <w:sz w:val="24"/>
        </w:rPr>
      </w:pPr>
      <w:r>
        <w:rPr>
          <w:rFonts w:hint="eastAsia"/>
          <w:sz w:val="24"/>
        </w:rPr>
        <w:t>A.2.1 高速光度传感器上级溯源引入的不确定度分量</w:t>
      </w:r>
      <w:r>
        <w:rPr>
          <w:rFonts w:hint="eastAsia"/>
          <w:i/>
          <w:sz w:val="24"/>
          <w:szCs w:val="21"/>
        </w:rPr>
        <w:t>u</w:t>
      </w:r>
      <w:r>
        <w:rPr>
          <w:rFonts w:hint="eastAsia"/>
          <w:sz w:val="24"/>
          <w:szCs w:val="21"/>
          <w:vertAlign w:val="subscript"/>
        </w:rPr>
        <w:t>1</w:t>
      </w:r>
    </w:p>
    <w:p>
      <w:pPr>
        <w:spacing w:line="360" w:lineRule="auto"/>
        <w:rPr>
          <w:sz w:val="24"/>
        </w:rPr>
      </w:pPr>
      <w:r>
        <w:rPr>
          <w:rFonts w:hint="eastAsia"/>
          <w:sz w:val="24"/>
        </w:rPr>
        <w:tab/>
      </w:r>
      <w:r>
        <w:rPr>
          <w:rFonts w:hint="eastAsia"/>
          <w:sz w:val="24"/>
        </w:rPr>
        <w:t>高速光度传感器的上级溯源对闪烁率测量结果的影响主要来源于其非线性，由于数字示波器电压测量非线性较小，忽略数字示波器的上级溯源的影响。参考闪烁源亮度范围变化为（95~105）cd/m</w:t>
      </w:r>
      <w:r>
        <w:rPr>
          <w:rFonts w:hint="eastAsia"/>
          <w:sz w:val="24"/>
          <w:vertAlign w:val="superscript"/>
        </w:rPr>
        <w:t>2</w:t>
      </w:r>
      <w:r>
        <w:rPr>
          <w:rFonts w:hint="eastAsia"/>
          <w:sz w:val="24"/>
        </w:rPr>
        <w:t>，查上级溯源证书可知，在（50~200）cd/m</w:t>
      </w:r>
      <w:r>
        <w:rPr>
          <w:rFonts w:hint="eastAsia"/>
          <w:sz w:val="24"/>
          <w:vertAlign w:val="superscript"/>
        </w:rPr>
        <w:t>2</w:t>
      </w:r>
      <w:r>
        <w:rPr>
          <w:rFonts w:hint="eastAsia"/>
          <w:sz w:val="24"/>
        </w:rPr>
        <w:t>范围内其非线性为0.6%，可预估亮度变化10cd/m</w:t>
      </w:r>
      <w:r>
        <w:rPr>
          <w:rFonts w:hint="eastAsia"/>
          <w:sz w:val="24"/>
          <w:vertAlign w:val="superscript"/>
        </w:rPr>
        <w:t>2</w:t>
      </w:r>
      <w:r>
        <w:rPr>
          <w:rFonts w:hint="eastAsia"/>
          <w:sz w:val="24"/>
        </w:rPr>
        <w:t>时，其非线性对闪烁率的影响为0.04%，则：</w:t>
      </w:r>
    </w:p>
    <w:p>
      <w:pPr>
        <w:spacing w:line="360" w:lineRule="auto"/>
        <w:jc w:val="center"/>
        <w:rPr>
          <w:sz w:val="24"/>
          <w:szCs w:val="21"/>
        </w:rPr>
      </w:pPr>
      <w:r>
        <w:rPr>
          <w:rFonts w:hint="eastAsia"/>
          <w:i/>
          <w:sz w:val="24"/>
          <w:szCs w:val="21"/>
        </w:rPr>
        <w:t>u</w:t>
      </w:r>
      <w:r>
        <w:rPr>
          <w:rFonts w:hint="eastAsia"/>
          <w:sz w:val="24"/>
          <w:szCs w:val="21"/>
          <w:vertAlign w:val="subscript"/>
        </w:rPr>
        <w:t>1</w:t>
      </w:r>
      <w:r>
        <w:rPr>
          <w:rFonts w:hint="eastAsia"/>
          <w:sz w:val="24"/>
          <w:szCs w:val="21"/>
        </w:rPr>
        <w:t>=0.04%</w:t>
      </w:r>
    </w:p>
    <w:p>
      <w:pPr>
        <w:adjustRightInd w:val="0"/>
        <w:snapToGrid w:val="0"/>
        <w:spacing w:line="360" w:lineRule="auto"/>
        <w:rPr>
          <w:sz w:val="24"/>
          <w:szCs w:val="21"/>
        </w:rPr>
      </w:pPr>
      <w:r>
        <w:rPr>
          <w:rFonts w:hint="eastAsia"/>
          <w:sz w:val="24"/>
        </w:rPr>
        <w:t>A.</w:t>
      </w:r>
      <w:r>
        <w:rPr>
          <w:sz w:val="24"/>
        </w:rPr>
        <w:t>2</w:t>
      </w:r>
      <w:r>
        <w:rPr>
          <w:rFonts w:hint="eastAsia"/>
          <w:sz w:val="24"/>
        </w:rPr>
        <w:t>.2</w:t>
      </w:r>
      <w:r>
        <w:rPr>
          <w:rFonts w:hint="eastAsia"/>
          <w:sz w:val="24"/>
          <w:szCs w:val="21"/>
        </w:rPr>
        <w:t>参考闪烁源不稳定度引入的不确定度</w:t>
      </w:r>
      <w:r>
        <w:rPr>
          <w:rFonts w:hint="eastAsia"/>
          <w:i/>
          <w:sz w:val="24"/>
          <w:szCs w:val="21"/>
        </w:rPr>
        <w:t>u</w:t>
      </w:r>
      <w:r>
        <w:rPr>
          <w:rFonts w:hint="eastAsia"/>
          <w:sz w:val="24"/>
          <w:szCs w:val="21"/>
          <w:vertAlign w:val="subscript"/>
        </w:rPr>
        <w:t>2</w:t>
      </w:r>
    </w:p>
    <w:p>
      <w:pPr>
        <w:adjustRightInd w:val="0"/>
        <w:snapToGrid w:val="0"/>
        <w:spacing w:line="360" w:lineRule="auto"/>
        <w:rPr>
          <w:sz w:val="24"/>
          <w:szCs w:val="21"/>
        </w:rPr>
      </w:pPr>
      <w:r>
        <w:rPr>
          <w:rFonts w:hint="eastAsia"/>
          <w:sz w:val="24"/>
          <w:szCs w:val="21"/>
        </w:rPr>
        <w:tab/>
      </w:r>
      <w:r>
        <w:rPr>
          <w:rFonts w:hint="eastAsia"/>
          <w:sz w:val="24"/>
          <w:szCs w:val="21"/>
        </w:rPr>
        <w:t>使用高速光度传感器和数字示波器测量标准值后，再使用被校显示屏闪烁率测定值测量时，大约需要经过10分钟的时间，因此需要考虑参考闪烁源不稳定度的影响，待参考闪烁源预热完成后，测量其闪烁率标准值，并在10分钟后再次测量其闪烁率标准值，测量结果如下表所示（为了减少测量重复性的影响，表中数据为连续10次测量的平均值）：</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Align w:val="center"/>
          </w:tcPr>
          <w:p>
            <w:pPr>
              <w:adjustRightInd w:val="0"/>
              <w:snapToGrid w:val="0"/>
              <w:spacing w:line="420" w:lineRule="exact"/>
              <w:jc w:val="center"/>
              <w:rPr>
                <w:sz w:val="24"/>
                <w:szCs w:val="21"/>
              </w:rPr>
            </w:pPr>
            <w:r>
              <w:rPr>
                <w:rFonts w:hint="eastAsia"/>
                <w:sz w:val="24"/>
                <w:szCs w:val="21"/>
              </w:rPr>
              <w:t>测量时间</w:t>
            </w:r>
          </w:p>
        </w:tc>
        <w:tc>
          <w:tcPr>
            <w:tcW w:w="2265" w:type="dxa"/>
            <w:vAlign w:val="center"/>
          </w:tcPr>
          <w:p>
            <w:pPr>
              <w:adjustRightInd w:val="0"/>
              <w:snapToGrid w:val="0"/>
              <w:spacing w:line="420" w:lineRule="exact"/>
              <w:jc w:val="center"/>
              <w:rPr>
                <w:sz w:val="24"/>
                <w:szCs w:val="21"/>
              </w:rPr>
            </w:pPr>
            <w:r>
              <w:rPr>
                <w:rFonts w:hint="eastAsia"/>
                <w:sz w:val="24"/>
                <w:szCs w:val="21"/>
              </w:rPr>
              <w:t>预热完成时</w:t>
            </w:r>
          </w:p>
        </w:tc>
        <w:tc>
          <w:tcPr>
            <w:tcW w:w="2265" w:type="dxa"/>
            <w:vAlign w:val="center"/>
          </w:tcPr>
          <w:p>
            <w:pPr>
              <w:adjustRightInd w:val="0"/>
              <w:snapToGrid w:val="0"/>
              <w:spacing w:line="420" w:lineRule="exact"/>
              <w:jc w:val="center"/>
              <w:rPr>
                <w:sz w:val="24"/>
                <w:szCs w:val="21"/>
              </w:rPr>
            </w:pPr>
            <w:r>
              <w:rPr>
                <w:rFonts w:hint="eastAsia"/>
                <w:sz w:val="24"/>
                <w:szCs w:val="21"/>
              </w:rPr>
              <w:t>预热完成10分钟后</w:t>
            </w:r>
          </w:p>
        </w:tc>
        <w:tc>
          <w:tcPr>
            <w:tcW w:w="2265" w:type="dxa"/>
            <w:vAlign w:val="center"/>
          </w:tcPr>
          <w:p>
            <w:pPr>
              <w:adjustRightInd w:val="0"/>
              <w:snapToGrid w:val="0"/>
              <w:spacing w:line="420" w:lineRule="exact"/>
              <w:jc w:val="center"/>
              <w:rPr>
                <w:sz w:val="24"/>
                <w:szCs w:val="21"/>
              </w:rPr>
            </w:pPr>
            <w:r>
              <w:rPr>
                <w:rFonts w:hint="eastAsia"/>
                <w:sz w:val="24"/>
                <w:szCs w:val="21"/>
              </w:rPr>
              <w:t>不稳定度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Align w:val="center"/>
          </w:tcPr>
          <w:p>
            <w:pPr>
              <w:adjustRightInd w:val="0"/>
              <w:snapToGrid w:val="0"/>
              <w:spacing w:line="420" w:lineRule="exact"/>
              <w:jc w:val="center"/>
              <w:rPr>
                <w:sz w:val="24"/>
                <w:szCs w:val="21"/>
              </w:rPr>
            </w:pPr>
            <w:r>
              <w:rPr>
                <w:rFonts w:hint="eastAsia"/>
                <w:sz w:val="24"/>
                <w:szCs w:val="21"/>
              </w:rPr>
              <w:t>闪烁率（%）</w:t>
            </w:r>
          </w:p>
        </w:tc>
        <w:tc>
          <w:tcPr>
            <w:tcW w:w="2265" w:type="dxa"/>
            <w:vAlign w:val="center"/>
          </w:tcPr>
          <w:p>
            <w:pPr>
              <w:adjustRightInd w:val="0"/>
              <w:snapToGrid w:val="0"/>
              <w:spacing w:line="420" w:lineRule="exact"/>
              <w:jc w:val="center"/>
              <w:rPr>
                <w:sz w:val="24"/>
                <w:szCs w:val="21"/>
              </w:rPr>
            </w:pPr>
            <w:r>
              <w:rPr>
                <w:rFonts w:hint="eastAsia"/>
                <w:sz w:val="24"/>
                <w:szCs w:val="21"/>
              </w:rPr>
              <w:t>10.05</w:t>
            </w:r>
          </w:p>
        </w:tc>
        <w:tc>
          <w:tcPr>
            <w:tcW w:w="2265" w:type="dxa"/>
            <w:vAlign w:val="center"/>
          </w:tcPr>
          <w:p>
            <w:pPr>
              <w:adjustRightInd w:val="0"/>
              <w:snapToGrid w:val="0"/>
              <w:spacing w:line="420" w:lineRule="exact"/>
              <w:jc w:val="center"/>
              <w:rPr>
                <w:sz w:val="24"/>
                <w:szCs w:val="21"/>
              </w:rPr>
            </w:pPr>
            <w:r>
              <w:rPr>
                <w:rFonts w:hint="eastAsia"/>
                <w:sz w:val="24"/>
                <w:szCs w:val="21"/>
              </w:rPr>
              <w:t>10.08</w:t>
            </w:r>
          </w:p>
        </w:tc>
        <w:tc>
          <w:tcPr>
            <w:tcW w:w="2265" w:type="dxa"/>
            <w:vAlign w:val="center"/>
          </w:tcPr>
          <w:p>
            <w:pPr>
              <w:adjustRightInd w:val="0"/>
              <w:snapToGrid w:val="0"/>
              <w:spacing w:line="420" w:lineRule="exact"/>
              <w:jc w:val="center"/>
              <w:rPr>
                <w:sz w:val="24"/>
                <w:szCs w:val="21"/>
              </w:rPr>
            </w:pPr>
            <w:r>
              <w:rPr>
                <w:rFonts w:hint="eastAsia"/>
                <w:sz w:val="24"/>
                <w:szCs w:val="21"/>
              </w:rPr>
              <w:t>0.03</w:t>
            </w:r>
          </w:p>
        </w:tc>
      </w:tr>
    </w:tbl>
    <w:p>
      <w:pPr>
        <w:adjustRightInd w:val="0"/>
        <w:snapToGrid w:val="0"/>
        <w:spacing w:line="420" w:lineRule="exact"/>
        <w:rPr>
          <w:sz w:val="24"/>
          <w:szCs w:val="21"/>
        </w:rPr>
      </w:pPr>
      <w:r>
        <w:rPr>
          <w:rFonts w:hint="eastAsia"/>
          <w:sz w:val="24"/>
          <w:szCs w:val="21"/>
        </w:rPr>
        <w:tab/>
      </w:r>
      <w:r>
        <w:rPr>
          <w:rFonts w:hint="eastAsia"/>
          <w:sz w:val="24"/>
          <w:szCs w:val="21"/>
        </w:rPr>
        <w:t>因此参考闪烁源不稳定度引入的不确定度分量为：</w:t>
      </w:r>
    </w:p>
    <w:p>
      <w:pPr>
        <w:spacing w:line="360" w:lineRule="auto"/>
        <w:jc w:val="center"/>
        <w:rPr>
          <w:sz w:val="24"/>
          <w:szCs w:val="21"/>
        </w:rPr>
      </w:pPr>
      <w:r>
        <w:rPr>
          <w:rFonts w:hint="eastAsia"/>
          <w:i/>
          <w:sz w:val="24"/>
          <w:szCs w:val="21"/>
        </w:rPr>
        <w:t>u</w:t>
      </w:r>
      <w:r>
        <w:rPr>
          <w:rFonts w:hint="eastAsia"/>
          <w:sz w:val="24"/>
          <w:szCs w:val="21"/>
          <w:vertAlign w:val="subscript"/>
        </w:rPr>
        <w:t>2</w:t>
      </w:r>
      <w:r>
        <w:rPr>
          <w:rFonts w:hint="eastAsia"/>
          <w:sz w:val="24"/>
          <w:szCs w:val="21"/>
        </w:rPr>
        <w:t>=0.03%</w:t>
      </w:r>
    </w:p>
    <w:p>
      <w:pPr>
        <w:spacing w:line="360" w:lineRule="auto"/>
        <w:jc w:val="left"/>
        <w:rPr>
          <w:sz w:val="24"/>
          <w:szCs w:val="21"/>
        </w:rPr>
      </w:pPr>
      <w:r>
        <w:rPr>
          <w:rFonts w:hint="eastAsia"/>
          <w:sz w:val="24"/>
        </w:rPr>
        <w:t>A.</w:t>
      </w:r>
      <w:r>
        <w:rPr>
          <w:sz w:val="24"/>
        </w:rPr>
        <w:t>2</w:t>
      </w:r>
      <w:r>
        <w:rPr>
          <w:rFonts w:hint="eastAsia"/>
          <w:sz w:val="24"/>
        </w:rPr>
        <w:t>.</w:t>
      </w:r>
      <w:r>
        <w:rPr>
          <w:rFonts w:hint="eastAsia"/>
          <w:sz w:val="24"/>
          <w:szCs w:val="21"/>
        </w:rPr>
        <w:t>3参考闪烁源均匀性引入的不确定度</w:t>
      </w:r>
      <w:r>
        <w:rPr>
          <w:rFonts w:hint="eastAsia"/>
          <w:i/>
          <w:sz w:val="24"/>
          <w:szCs w:val="21"/>
        </w:rPr>
        <w:t>u</w:t>
      </w:r>
      <w:r>
        <w:rPr>
          <w:rFonts w:hint="eastAsia"/>
          <w:sz w:val="24"/>
          <w:szCs w:val="21"/>
          <w:vertAlign w:val="subscript"/>
        </w:rPr>
        <w:t>3</w:t>
      </w:r>
    </w:p>
    <w:p>
      <w:pPr>
        <w:spacing w:line="360" w:lineRule="auto"/>
        <w:ind w:firstLine="420"/>
        <w:jc w:val="left"/>
        <w:rPr>
          <w:sz w:val="24"/>
          <w:szCs w:val="21"/>
        </w:rPr>
      </w:pPr>
      <w:r>
        <w:rPr>
          <w:rFonts w:hint="eastAsia"/>
          <w:sz w:val="24"/>
          <w:szCs w:val="21"/>
        </w:rPr>
        <w:t>测量参考闪烁源的9点均匀性，布点方式为均匀布点，测量结果如下表所示（为了减少测量重复性的影响，表中数据为连续10次测量的平均值）：</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测量点</w:t>
            </w:r>
          </w:p>
        </w:tc>
        <w:tc>
          <w:tcPr>
            <w:tcW w:w="1510" w:type="dxa"/>
            <w:vAlign w:val="center"/>
          </w:tcPr>
          <w:p>
            <w:pPr>
              <w:spacing w:line="360" w:lineRule="auto"/>
              <w:jc w:val="center"/>
              <w:rPr>
                <w:sz w:val="24"/>
                <w:szCs w:val="21"/>
              </w:rPr>
            </w:pPr>
            <w:r>
              <w:rPr>
                <w:rFonts w:hint="eastAsia"/>
                <w:sz w:val="24"/>
                <w:szCs w:val="21"/>
              </w:rPr>
              <w:t>闪烁率（%）</w:t>
            </w:r>
          </w:p>
        </w:tc>
        <w:tc>
          <w:tcPr>
            <w:tcW w:w="1510" w:type="dxa"/>
            <w:vAlign w:val="center"/>
          </w:tcPr>
          <w:p>
            <w:pPr>
              <w:spacing w:line="360" w:lineRule="auto"/>
              <w:jc w:val="center"/>
              <w:rPr>
                <w:sz w:val="24"/>
                <w:szCs w:val="21"/>
              </w:rPr>
            </w:pPr>
            <w:r>
              <w:rPr>
                <w:rFonts w:hint="eastAsia"/>
                <w:sz w:val="24"/>
                <w:szCs w:val="21"/>
              </w:rPr>
              <w:t>测量点</w:t>
            </w:r>
          </w:p>
        </w:tc>
        <w:tc>
          <w:tcPr>
            <w:tcW w:w="1510" w:type="dxa"/>
            <w:vAlign w:val="center"/>
          </w:tcPr>
          <w:p>
            <w:pPr>
              <w:spacing w:line="360" w:lineRule="auto"/>
              <w:jc w:val="center"/>
              <w:rPr>
                <w:sz w:val="24"/>
                <w:szCs w:val="21"/>
              </w:rPr>
            </w:pPr>
            <w:r>
              <w:rPr>
                <w:rFonts w:hint="eastAsia"/>
                <w:sz w:val="24"/>
                <w:szCs w:val="21"/>
              </w:rPr>
              <w:t>闪烁率（%）</w:t>
            </w:r>
          </w:p>
        </w:tc>
        <w:tc>
          <w:tcPr>
            <w:tcW w:w="1510" w:type="dxa"/>
            <w:vAlign w:val="center"/>
          </w:tcPr>
          <w:p>
            <w:pPr>
              <w:spacing w:line="360" w:lineRule="auto"/>
              <w:jc w:val="center"/>
              <w:rPr>
                <w:sz w:val="24"/>
                <w:szCs w:val="21"/>
              </w:rPr>
            </w:pPr>
            <w:r>
              <w:rPr>
                <w:rFonts w:hint="eastAsia"/>
                <w:sz w:val="24"/>
                <w:szCs w:val="21"/>
              </w:rPr>
              <w:t>测量点</w:t>
            </w:r>
          </w:p>
        </w:tc>
        <w:tc>
          <w:tcPr>
            <w:tcW w:w="1510" w:type="dxa"/>
            <w:vAlign w:val="center"/>
          </w:tcPr>
          <w:p>
            <w:pPr>
              <w:spacing w:line="360" w:lineRule="auto"/>
              <w:jc w:val="center"/>
              <w:rPr>
                <w:sz w:val="24"/>
                <w:szCs w:val="21"/>
              </w:rPr>
            </w:pPr>
            <w:r>
              <w:rPr>
                <w:rFonts w:hint="eastAsia"/>
                <w:sz w:val="24"/>
                <w:szCs w:val="21"/>
              </w:rPr>
              <w:t>闪烁率（%）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1</w:t>
            </w:r>
          </w:p>
        </w:tc>
        <w:tc>
          <w:tcPr>
            <w:tcW w:w="1510" w:type="dxa"/>
            <w:vAlign w:val="center"/>
          </w:tcPr>
          <w:p>
            <w:pPr>
              <w:spacing w:line="360" w:lineRule="auto"/>
              <w:jc w:val="center"/>
              <w:rPr>
                <w:sz w:val="24"/>
                <w:szCs w:val="21"/>
              </w:rPr>
            </w:pPr>
            <w:r>
              <w:rPr>
                <w:rFonts w:hint="eastAsia"/>
                <w:sz w:val="24"/>
                <w:szCs w:val="21"/>
              </w:rPr>
              <w:t>10.03</w:t>
            </w:r>
          </w:p>
        </w:tc>
        <w:tc>
          <w:tcPr>
            <w:tcW w:w="1510" w:type="dxa"/>
            <w:vAlign w:val="center"/>
          </w:tcPr>
          <w:p>
            <w:pPr>
              <w:spacing w:line="360" w:lineRule="auto"/>
              <w:jc w:val="center"/>
              <w:rPr>
                <w:sz w:val="24"/>
                <w:szCs w:val="21"/>
              </w:rPr>
            </w:pPr>
            <w:r>
              <w:rPr>
                <w:rFonts w:hint="eastAsia"/>
                <w:sz w:val="24"/>
                <w:szCs w:val="21"/>
              </w:rPr>
              <w:t>2</w:t>
            </w:r>
          </w:p>
        </w:tc>
        <w:tc>
          <w:tcPr>
            <w:tcW w:w="1510" w:type="dxa"/>
            <w:vAlign w:val="center"/>
          </w:tcPr>
          <w:p>
            <w:pPr>
              <w:spacing w:line="360" w:lineRule="auto"/>
              <w:jc w:val="center"/>
              <w:rPr>
                <w:sz w:val="24"/>
                <w:szCs w:val="21"/>
              </w:rPr>
            </w:pPr>
            <w:r>
              <w:rPr>
                <w:rFonts w:hint="eastAsia"/>
                <w:sz w:val="24"/>
                <w:szCs w:val="21"/>
              </w:rPr>
              <w:t>10.06</w:t>
            </w:r>
          </w:p>
        </w:tc>
        <w:tc>
          <w:tcPr>
            <w:tcW w:w="1510" w:type="dxa"/>
            <w:vAlign w:val="center"/>
          </w:tcPr>
          <w:p>
            <w:pPr>
              <w:spacing w:line="360" w:lineRule="auto"/>
              <w:jc w:val="center"/>
              <w:rPr>
                <w:sz w:val="24"/>
                <w:szCs w:val="21"/>
              </w:rPr>
            </w:pPr>
            <w:r>
              <w:rPr>
                <w:rFonts w:hint="eastAsia"/>
                <w:sz w:val="24"/>
                <w:szCs w:val="21"/>
              </w:rPr>
              <w:t>3</w:t>
            </w:r>
          </w:p>
        </w:tc>
        <w:tc>
          <w:tcPr>
            <w:tcW w:w="1510" w:type="dxa"/>
            <w:vAlign w:val="center"/>
          </w:tcPr>
          <w:p>
            <w:pPr>
              <w:spacing w:line="360" w:lineRule="auto"/>
              <w:jc w:val="center"/>
              <w:rPr>
                <w:sz w:val="24"/>
                <w:szCs w:val="21"/>
              </w:rPr>
            </w:pPr>
            <w:r>
              <w:rPr>
                <w:rFonts w:hint="eastAsia"/>
                <w:sz w:val="24"/>
                <w:szCs w:val="21"/>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4</w:t>
            </w:r>
          </w:p>
        </w:tc>
        <w:tc>
          <w:tcPr>
            <w:tcW w:w="1510" w:type="dxa"/>
            <w:vAlign w:val="center"/>
          </w:tcPr>
          <w:p>
            <w:pPr>
              <w:spacing w:line="360" w:lineRule="auto"/>
              <w:jc w:val="center"/>
              <w:rPr>
                <w:sz w:val="24"/>
                <w:szCs w:val="21"/>
              </w:rPr>
            </w:pPr>
            <w:r>
              <w:rPr>
                <w:rFonts w:hint="eastAsia"/>
                <w:sz w:val="24"/>
                <w:szCs w:val="21"/>
              </w:rPr>
              <w:t>10.02</w:t>
            </w:r>
          </w:p>
        </w:tc>
        <w:tc>
          <w:tcPr>
            <w:tcW w:w="1510" w:type="dxa"/>
            <w:vAlign w:val="center"/>
          </w:tcPr>
          <w:p>
            <w:pPr>
              <w:spacing w:line="360" w:lineRule="auto"/>
              <w:jc w:val="center"/>
              <w:rPr>
                <w:sz w:val="24"/>
                <w:szCs w:val="21"/>
              </w:rPr>
            </w:pPr>
            <w:r>
              <w:rPr>
                <w:rFonts w:hint="eastAsia"/>
                <w:sz w:val="24"/>
                <w:szCs w:val="21"/>
              </w:rPr>
              <w:t>5</w:t>
            </w:r>
          </w:p>
        </w:tc>
        <w:tc>
          <w:tcPr>
            <w:tcW w:w="1510" w:type="dxa"/>
            <w:vAlign w:val="center"/>
          </w:tcPr>
          <w:p>
            <w:pPr>
              <w:spacing w:line="360" w:lineRule="auto"/>
              <w:jc w:val="center"/>
              <w:rPr>
                <w:sz w:val="24"/>
                <w:szCs w:val="21"/>
              </w:rPr>
            </w:pPr>
            <w:r>
              <w:rPr>
                <w:rFonts w:hint="eastAsia"/>
                <w:sz w:val="24"/>
                <w:szCs w:val="21"/>
              </w:rPr>
              <w:t>10.01</w:t>
            </w:r>
          </w:p>
        </w:tc>
        <w:tc>
          <w:tcPr>
            <w:tcW w:w="1510" w:type="dxa"/>
            <w:vAlign w:val="center"/>
          </w:tcPr>
          <w:p>
            <w:pPr>
              <w:spacing w:line="360" w:lineRule="auto"/>
              <w:jc w:val="center"/>
              <w:rPr>
                <w:sz w:val="24"/>
                <w:szCs w:val="21"/>
              </w:rPr>
            </w:pPr>
            <w:r>
              <w:rPr>
                <w:rFonts w:hint="eastAsia"/>
                <w:sz w:val="24"/>
                <w:szCs w:val="21"/>
              </w:rPr>
              <w:t>6</w:t>
            </w:r>
          </w:p>
        </w:tc>
        <w:tc>
          <w:tcPr>
            <w:tcW w:w="1510" w:type="dxa"/>
            <w:vAlign w:val="center"/>
          </w:tcPr>
          <w:p>
            <w:pPr>
              <w:spacing w:line="360" w:lineRule="auto"/>
              <w:jc w:val="center"/>
              <w:rPr>
                <w:sz w:val="24"/>
                <w:szCs w:val="21"/>
              </w:rPr>
            </w:pPr>
            <w:r>
              <w:rPr>
                <w:rFonts w:hint="eastAsia"/>
                <w:sz w:val="24"/>
                <w:szCs w:val="21"/>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7</w:t>
            </w:r>
          </w:p>
        </w:tc>
        <w:tc>
          <w:tcPr>
            <w:tcW w:w="1510" w:type="dxa"/>
            <w:vAlign w:val="center"/>
          </w:tcPr>
          <w:p>
            <w:pPr>
              <w:spacing w:line="360" w:lineRule="auto"/>
              <w:jc w:val="center"/>
              <w:rPr>
                <w:sz w:val="24"/>
                <w:szCs w:val="21"/>
              </w:rPr>
            </w:pPr>
            <w:r>
              <w:rPr>
                <w:rFonts w:hint="eastAsia"/>
                <w:sz w:val="24"/>
                <w:szCs w:val="21"/>
              </w:rPr>
              <w:t>10.05</w:t>
            </w:r>
          </w:p>
        </w:tc>
        <w:tc>
          <w:tcPr>
            <w:tcW w:w="1510" w:type="dxa"/>
            <w:vAlign w:val="center"/>
          </w:tcPr>
          <w:p>
            <w:pPr>
              <w:spacing w:line="360" w:lineRule="auto"/>
              <w:jc w:val="center"/>
              <w:rPr>
                <w:sz w:val="24"/>
                <w:szCs w:val="21"/>
              </w:rPr>
            </w:pPr>
            <w:r>
              <w:rPr>
                <w:rFonts w:hint="eastAsia"/>
                <w:sz w:val="24"/>
                <w:szCs w:val="21"/>
              </w:rPr>
              <w:t>8</w:t>
            </w:r>
          </w:p>
        </w:tc>
        <w:tc>
          <w:tcPr>
            <w:tcW w:w="1510" w:type="dxa"/>
            <w:vAlign w:val="center"/>
          </w:tcPr>
          <w:p>
            <w:pPr>
              <w:spacing w:line="360" w:lineRule="auto"/>
              <w:jc w:val="center"/>
              <w:rPr>
                <w:sz w:val="24"/>
                <w:szCs w:val="21"/>
              </w:rPr>
            </w:pPr>
            <w:r>
              <w:rPr>
                <w:rFonts w:hint="eastAsia"/>
                <w:sz w:val="24"/>
                <w:szCs w:val="21"/>
              </w:rPr>
              <w:t>10.03</w:t>
            </w:r>
          </w:p>
        </w:tc>
        <w:tc>
          <w:tcPr>
            <w:tcW w:w="1510" w:type="dxa"/>
            <w:vAlign w:val="center"/>
          </w:tcPr>
          <w:p>
            <w:pPr>
              <w:spacing w:line="360" w:lineRule="auto"/>
              <w:jc w:val="center"/>
              <w:rPr>
                <w:sz w:val="24"/>
                <w:szCs w:val="21"/>
              </w:rPr>
            </w:pPr>
            <w:r>
              <w:rPr>
                <w:rFonts w:hint="eastAsia"/>
                <w:sz w:val="24"/>
                <w:szCs w:val="21"/>
              </w:rPr>
              <w:t>9</w:t>
            </w:r>
          </w:p>
        </w:tc>
        <w:tc>
          <w:tcPr>
            <w:tcW w:w="1510" w:type="dxa"/>
            <w:vAlign w:val="center"/>
          </w:tcPr>
          <w:p>
            <w:pPr>
              <w:spacing w:line="360" w:lineRule="auto"/>
              <w:jc w:val="center"/>
              <w:rPr>
                <w:sz w:val="24"/>
                <w:szCs w:val="21"/>
              </w:rPr>
            </w:pPr>
            <w:r>
              <w:rPr>
                <w:rFonts w:hint="eastAsia"/>
                <w:sz w:val="24"/>
                <w:szCs w:val="21"/>
              </w:rPr>
              <w:t>10.01</w:t>
            </w:r>
          </w:p>
        </w:tc>
      </w:tr>
    </w:tbl>
    <w:p>
      <w:pPr>
        <w:spacing w:line="360" w:lineRule="auto"/>
        <w:ind w:firstLine="420"/>
        <w:jc w:val="left"/>
        <w:rPr>
          <w:sz w:val="24"/>
          <w:szCs w:val="21"/>
        </w:rPr>
      </w:pPr>
      <w:r>
        <w:rPr>
          <w:rFonts w:hint="eastAsia"/>
          <w:sz w:val="24"/>
          <w:szCs w:val="21"/>
        </w:rPr>
        <w:t>参考闪烁源的不均匀性为0.05%，因此：</w:t>
      </w:r>
    </w:p>
    <w:p>
      <w:pPr>
        <w:spacing w:line="360" w:lineRule="auto"/>
        <w:ind w:firstLine="420"/>
        <w:jc w:val="center"/>
        <w:rPr>
          <w:sz w:val="24"/>
          <w:szCs w:val="21"/>
        </w:rPr>
      </w:pPr>
      <w:r>
        <w:rPr>
          <w:rFonts w:hint="eastAsia"/>
          <w:i/>
          <w:sz w:val="24"/>
          <w:szCs w:val="21"/>
        </w:rPr>
        <w:t>u</w:t>
      </w:r>
      <w:r>
        <w:rPr>
          <w:rFonts w:hint="eastAsia"/>
          <w:sz w:val="24"/>
          <w:szCs w:val="21"/>
          <w:vertAlign w:val="subscript"/>
        </w:rPr>
        <w:t>3</w:t>
      </w:r>
      <w:r>
        <w:rPr>
          <w:rFonts w:hint="eastAsia"/>
          <w:sz w:val="24"/>
          <w:szCs w:val="21"/>
        </w:rPr>
        <w:t>=</w:t>
      </w:r>
      <w:r>
        <w:rPr>
          <w:sz w:val="24"/>
          <w:szCs w:val="21"/>
        </w:rPr>
        <w:t>0.0</w:t>
      </w:r>
      <w:r>
        <w:rPr>
          <w:rFonts w:hint="eastAsia"/>
          <w:sz w:val="24"/>
          <w:szCs w:val="21"/>
        </w:rPr>
        <w:t>5%</w:t>
      </w:r>
    </w:p>
    <w:p>
      <w:pPr>
        <w:spacing w:line="360" w:lineRule="auto"/>
        <w:jc w:val="left"/>
        <w:rPr>
          <w:sz w:val="24"/>
          <w:szCs w:val="21"/>
        </w:rPr>
      </w:pPr>
      <w:r>
        <w:rPr>
          <w:rFonts w:hint="eastAsia"/>
          <w:sz w:val="24"/>
        </w:rPr>
        <w:t>A.</w:t>
      </w:r>
      <w:r>
        <w:rPr>
          <w:sz w:val="24"/>
        </w:rPr>
        <w:t>2</w:t>
      </w:r>
      <w:r>
        <w:rPr>
          <w:rFonts w:hint="eastAsia"/>
          <w:sz w:val="24"/>
        </w:rPr>
        <w:t>.</w:t>
      </w:r>
      <w:r>
        <w:rPr>
          <w:rFonts w:hint="eastAsia"/>
          <w:sz w:val="24"/>
          <w:szCs w:val="21"/>
        </w:rPr>
        <w:t>4显示器</w:t>
      </w:r>
      <w:r>
        <w:rPr>
          <w:rFonts w:hint="eastAsia"/>
          <w:bCs/>
          <w:sz w:val="24"/>
          <w:szCs w:val="21"/>
        </w:rPr>
        <w:t>闪烁率测定仪</w:t>
      </w:r>
      <w:r>
        <w:rPr>
          <w:rFonts w:hint="eastAsia"/>
          <w:sz w:val="24"/>
          <w:szCs w:val="21"/>
        </w:rPr>
        <w:t>重复性引入的不确定度</w:t>
      </w:r>
      <w:r>
        <w:rPr>
          <w:rFonts w:hint="eastAsia"/>
          <w:i/>
          <w:sz w:val="24"/>
          <w:szCs w:val="21"/>
        </w:rPr>
        <w:t>u</w:t>
      </w:r>
      <w:r>
        <w:rPr>
          <w:rFonts w:hint="eastAsia"/>
          <w:sz w:val="24"/>
          <w:szCs w:val="21"/>
          <w:vertAlign w:val="subscript"/>
        </w:rPr>
        <w:t>4</w:t>
      </w:r>
    </w:p>
    <w:p>
      <w:pPr>
        <w:spacing w:line="360" w:lineRule="auto"/>
        <w:ind w:firstLine="420"/>
        <w:jc w:val="left"/>
        <w:rPr>
          <w:sz w:val="24"/>
          <w:szCs w:val="21"/>
        </w:rPr>
      </w:pPr>
      <w:r>
        <w:rPr>
          <w:rFonts w:hint="eastAsia"/>
          <w:sz w:val="24"/>
          <w:szCs w:val="21"/>
        </w:rPr>
        <w:t>保持条件不变，使用显示屏闪烁率测定仪连续测量10次，测量结果如下：</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次数</w:t>
            </w:r>
          </w:p>
        </w:tc>
        <w:tc>
          <w:tcPr>
            <w:tcW w:w="1510" w:type="dxa"/>
            <w:vAlign w:val="center"/>
          </w:tcPr>
          <w:p>
            <w:pPr>
              <w:spacing w:line="360" w:lineRule="auto"/>
              <w:jc w:val="center"/>
              <w:rPr>
                <w:sz w:val="24"/>
                <w:szCs w:val="21"/>
              </w:rPr>
            </w:pPr>
            <w:r>
              <w:rPr>
                <w:rFonts w:hint="eastAsia"/>
                <w:sz w:val="24"/>
                <w:szCs w:val="21"/>
              </w:rPr>
              <w:t>1</w:t>
            </w:r>
          </w:p>
        </w:tc>
        <w:tc>
          <w:tcPr>
            <w:tcW w:w="1510" w:type="dxa"/>
            <w:vAlign w:val="center"/>
          </w:tcPr>
          <w:p>
            <w:pPr>
              <w:spacing w:line="360" w:lineRule="auto"/>
              <w:jc w:val="center"/>
              <w:rPr>
                <w:sz w:val="24"/>
                <w:szCs w:val="21"/>
              </w:rPr>
            </w:pPr>
            <w:r>
              <w:rPr>
                <w:rFonts w:hint="eastAsia"/>
                <w:sz w:val="24"/>
                <w:szCs w:val="21"/>
              </w:rPr>
              <w:t>2</w:t>
            </w:r>
          </w:p>
        </w:tc>
        <w:tc>
          <w:tcPr>
            <w:tcW w:w="1510" w:type="dxa"/>
            <w:vAlign w:val="center"/>
          </w:tcPr>
          <w:p>
            <w:pPr>
              <w:spacing w:line="360" w:lineRule="auto"/>
              <w:jc w:val="center"/>
              <w:rPr>
                <w:sz w:val="24"/>
                <w:szCs w:val="21"/>
              </w:rPr>
            </w:pPr>
            <w:r>
              <w:rPr>
                <w:rFonts w:hint="eastAsia"/>
                <w:sz w:val="24"/>
                <w:szCs w:val="21"/>
              </w:rPr>
              <w:t>3</w:t>
            </w:r>
          </w:p>
        </w:tc>
        <w:tc>
          <w:tcPr>
            <w:tcW w:w="1510" w:type="dxa"/>
            <w:vAlign w:val="center"/>
          </w:tcPr>
          <w:p>
            <w:pPr>
              <w:spacing w:line="360" w:lineRule="auto"/>
              <w:jc w:val="center"/>
              <w:rPr>
                <w:sz w:val="24"/>
                <w:szCs w:val="21"/>
              </w:rPr>
            </w:pPr>
            <w:r>
              <w:rPr>
                <w:rFonts w:hint="eastAsia"/>
                <w:sz w:val="24"/>
                <w:szCs w:val="21"/>
              </w:rPr>
              <w:t>4</w:t>
            </w:r>
          </w:p>
        </w:tc>
        <w:tc>
          <w:tcPr>
            <w:tcW w:w="1510" w:type="dxa"/>
            <w:vAlign w:val="center"/>
          </w:tcPr>
          <w:p>
            <w:pPr>
              <w:spacing w:line="360" w:lineRule="auto"/>
              <w:jc w:val="center"/>
              <w:rPr>
                <w:sz w:val="24"/>
                <w:szCs w:val="21"/>
              </w:rPr>
            </w:pPr>
            <w:r>
              <w:rPr>
                <w:rFonts w:hint="eastAsia"/>
                <w:sz w:val="24"/>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闪烁率（%）</w:t>
            </w:r>
          </w:p>
        </w:tc>
        <w:tc>
          <w:tcPr>
            <w:tcW w:w="1510" w:type="dxa"/>
            <w:vAlign w:val="center"/>
          </w:tcPr>
          <w:p>
            <w:pPr>
              <w:spacing w:line="360" w:lineRule="auto"/>
              <w:jc w:val="center"/>
              <w:rPr>
                <w:sz w:val="24"/>
                <w:szCs w:val="21"/>
              </w:rPr>
            </w:pPr>
            <w:r>
              <w:rPr>
                <w:rFonts w:hint="eastAsia"/>
                <w:sz w:val="24"/>
                <w:szCs w:val="21"/>
              </w:rPr>
              <w:t>10.03</w:t>
            </w:r>
          </w:p>
        </w:tc>
        <w:tc>
          <w:tcPr>
            <w:tcW w:w="1510" w:type="dxa"/>
            <w:vAlign w:val="center"/>
          </w:tcPr>
          <w:p>
            <w:pPr>
              <w:spacing w:line="360" w:lineRule="auto"/>
              <w:jc w:val="center"/>
              <w:rPr>
                <w:sz w:val="24"/>
                <w:szCs w:val="21"/>
              </w:rPr>
            </w:pPr>
            <w:r>
              <w:rPr>
                <w:rFonts w:hint="eastAsia"/>
                <w:sz w:val="24"/>
                <w:szCs w:val="21"/>
              </w:rPr>
              <w:t>10.13</w:t>
            </w:r>
          </w:p>
        </w:tc>
        <w:tc>
          <w:tcPr>
            <w:tcW w:w="1510" w:type="dxa"/>
            <w:vAlign w:val="center"/>
          </w:tcPr>
          <w:p>
            <w:pPr>
              <w:spacing w:line="360" w:lineRule="auto"/>
              <w:jc w:val="center"/>
              <w:rPr>
                <w:sz w:val="24"/>
                <w:szCs w:val="21"/>
              </w:rPr>
            </w:pPr>
            <w:r>
              <w:rPr>
                <w:rFonts w:hint="eastAsia"/>
                <w:sz w:val="24"/>
                <w:szCs w:val="21"/>
              </w:rPr>
              <w:t>10.04</w:t>
            </w:r>
          </w:p>
        </w:tc>
        <w:tc>
          <w:tcPr>
            <w:tcW w:w="1510" w:type="dxa"/>
            <w:vAlign w:val="center"/>
          </w:tcPr>
          <w:p>
            <w:pPr>
              <w:spacing w:line="360" w:lineRule="auto"/>
              <w:jc w:val="center"/>
              <w:rPr>
                <w:sz w:val="24"/>
                <w:szCs w:val="21"/>
              </w:rPr>
            </w:pPr>
            <w:r>
              <w:rPr>
                <w:rFonts w:hint="eastAsia"/>
                <w:sz w:val="24"/>
                <w:szCs w:val="21"/>
              </w:rPr>
              <w:t>9.94</w:t>
            </w:r>
          </w:p>
        </w:tc>
        <w:tc>
          <w:tcPr>
            <w:tcW w:w="1510" w:type="dxa"/>
            <w:vAlign w:val="center"/>
          </w:tcPr>
          <w:p>
            <w:pPr>
              <w:spacing w:line="360" w:lineRule="auto"/>
              <w:jc w:val="center"/>
              <w:rPr>
                <w:sz w:val="24"/>
                <w:szCs w:val="21"/>
              </w:rPr>
            </w:pPr>
            <w:r>
              <w:rPr>
                <w:rFonts w:hint="eastAsia"/>
                <w:sz w:val="24"/>
                <w:szCs w:val="21"/>
              </w:rPr>
              <w:t>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次数</w:t>
            </w:r>
          </w:p>
        </w:tc>
        <w:tc>
          <w:tcPr>
            <w:tcW w:w="1510" w:type="dxa"/>
            <w:vAlign w:val="center"/>
          </w:tcPr>
          <w:p>
            <w:pPr>
              <w:spacing w:line="360" w:lineRule="auto"/>
              <w:jc w:val="center"/>
              <w:rPr>
                <w:sz w:val="24"/>
                <w:szCs w:val="21"/>
              </w:rPr>
            </w:pPr>
            <w:r>
              <w:rPr>
                <w:rFonts w:hint="eastAsia"/>
                <w:sz w:val="24"/>
                <w:szCs w:val="21"/>
              </w:rPr>
              <w:t>6</w:t>
            </w:r>
          </w:p>
        </w:tc>
        <w:tc>
          <w:tcPr>
            <w:tcW w:w="1510" w:type="dxa"/>
            <w:vAlign w:val="center"/>
          </w:tcPr>
          <w:p>
            <w:pPr>
              <w:spacing w:line="360" w:lineRule="auto"/>
              <w:jc w:val="center"/>
              <w:rPr>
                <w:sz w:val="24"/>
                <w:szCs w:val="21"/>
              </w:rPr>
            </w:pPr>
            <w:r>
              <w:rPr>
                <w:rFonts w:hint="eastAsia"/>
                <w:sz w:val="24"/>
                <w:szCs w:val="21"/>
              </w:rPr>
              <w:t>7</w:t>
            </w:r>
          </w:p>
        </w:tc>
        <w:tc>
          <w:tcPr>
            <w:tcW w:w="1510" w:type="dxa"/>
            <w:vAlign w:val="center"/>
          </w:tcPr>
          <w:p>
            <w:pPr>
              <w:spacing w:line="360" w:lineRule="auto"/>
              <w:jc w:val="center"/>
              <w:rPr>
                <w:sz w:val="24"/>
                <w:szCs w:val="21"/>
              </w:rPr>
            </w:pPr>
            <w:r>
              <w:rPr>
                <w:rFonts w:hint="eastAsia"/>
                <w:sz w:val="24"/>
                <w:szCs w:val="21"/>
              </w:rPr>
              <w:t>8</w:t>
            </w:r>
          </w:p>
        </w:tc>
        <w:tc>
          <w:tcPr>
            <w:tcW w:w="1510" w:type="dxa"/>
            <w:vAlign w:val="center"/>
          </w:tcPr>
          <w:p>
            <w:pPr>
              <w:spacing w:line="360" w:lineRule="auto"/>
              <w:jc w:val="center"/>
              <w:rPr>
                <w:sz w:val="24"/>
                <w:szCs w:val="21"/>
              </w:rPr>
            </w:pPr>
            <w:r>
              <w:rPr>
                <w:rFonts w:hint="eastAsia"/>
                <w:sz w:val="24"/>
                <w:szCs w:val="21"/>
              </w:rPr>
              <w:t>9</w:t>
            </w:r>
          </w:p>
        </w:tc>
        <w:tc>
          <w:tcPr>
            <w:tcW w:w="1510" w:type="dxa"/>
            <w:vAlign w:val="center"/>
          </w:tcPr>
          <w:p>
            <w:pPr>
              <w:spacing w:line="360" w:lineRule="auto"/>
              <w:jc w:val="center"/>
              <w:rPr>
                <w:sz w:val="24"/>
                <w:szCs w:val="21"/>
              </w:rPr>
            </w:pPr>
            <w:r>
              <w:rPr>
                <w:rFonts w:hint="eastAsia"/>
                <w:sz w:val="24"/>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360" w:lineRule="auto"/>
              <w:jc w:val="center"/>
              <w:rPr>
                <w:sz w:val="24"/>
                <w:szCs w:val="21"/>
              </w:rPr>
            </w:pPr>
            <w:r>
              <w:rPr>
                <w:rFonts w:hint="eastAsia"/>
                <w:sz w:val="24"/>
                <w:szCs w:val="21"/>
              </w:rPr>
              <w:t>闪烁率（%）</w:t>
            </w:r>
          </w:p>
        </w:tc>
        <w:tc>
          <w:tcPr>
            <w:tcW w:w="1510" w:type="dxa"/>
            <w:vAlign w:val="center"/>
          </w:tcPr>
          <w:p>
            <w:pPr>
              <w:spacing w:line="360" w:lineRule="auto"/>
              <w:jc w:val="center"/>
              <w:rPr>
                <w:sz w:val="24"/>
                <w:szCs w:val="21"/>
              </w:rPr>
            </w:pPr>
            <w:r>
              <w:rPr>
                <w:rFonts w:hint="eastAsia"/>
                <w:sz w:val="24"/>
                <w:szCs w:val="21"/>
              </w:rPr>
              <w:t>9.91</w:t>
            </w:r>
          </w:p>
        </w:tc>
        <w:tc>
          <w:tcPr>
            <w:tcW w:w="1510" w:type="dxa"/>
            <w:vAlign w:val="center"/>
          </w:tcPr>
          <w:p>
            <w:pPr>
              <w:spacing w:line="360" w:lineRule="auto"/>
              <w:jc w:val="center"/>
              <w:rPr>
                <w:sz w:val="24"/>
                <w:szCs w:val="21"/>
              </w:rPr>
            </w:pPr>
            <w:r>
              <w:rPr>
                <w:rFonts w:hint="eastAsia"/>
                <w:sz w:val="24"/>
                <w:szCs w:val="21"/>
              </w:rPr>
              <w:t>10.08</w:t>
            </w:r>
          </w:p>
        </w:tc>
        <w:tc>
          <w:tcPr>
            <w:tcW w:w="1510" w:type="dxa"/>
            <w:vAlign w:val="center"/>
          </w:tcPr>
          <w:p>
            <w:pPr>
              <w:spacing w:line="360" w:lineRule="auto"/>
              <w:jc w:val="center"/>
              <w:rPr>
                <w:sz w:val="24"/>
                <w:szCs w:val="21"/>
              </w:rPr>
            </w:pPr>
            <w:r>
              <w:rPr>
                <w:rFonts w:hint="eastAsia"/>
                <w:sz w:val="24"/>
                <w:szCs w:val="21"/>
              </w:rPr>
              <w:t>10.27</w:t>
            </w:r>
          </w:p>
        </w:tc>
        <w:tc>
          <w:tcPr>
            <w:tcW w:w="1510" w:type="dxa"/>
            <w:vAlign w:val="center"/>
          </w:tcPr>
          <w:p>
            <w:pPr>
              <w:spacing w:line="360" w:lineRule="auto"/>
              <w:jc w:val="center"/>
              <w:rPr>
                <w:sz w:val="24"/>
                <w:szCs w:val="21"/>
              </w:rPr>
            </w:pPr>
            <w:r>
              <w:rPr>
                <w:rFonts w:hint="eastAsia"/>
                <w:sz w:val="24"/>
                <w:szCs w:val="21"/>
              </w:rPr>
              <w:t>9.89</w:t>
            </w:r>
          </w:p>
        </w:tc>
        <w:tc>
          <w:tcPr>
            <w:tcW w:w="1510" w:type="dxa"/>
            <w:vAlign w:val="center"/>
          </w:tcPr>
          <w:p>
            <w:pPr>
              <w:spacing w:line="360" w:lineRule="auto"/>
              <w:jc w:val="center"/>
              <w:rPr>
                <w:sz w:val="24"/>
                <w:szCs w:val="21"/>
              </w:rPr>
            </w:pPr>
            <w:r>
              <w:rPr>
                <w:rFonts w:hint="eastAsia"/>
                <w:sz w:val="24"/>
                <w:szCs w:val="21"/>
              </w:rPr>
              <w:t>10.22</w:t>
            </w:r>
          </w:p>
        </w:tc>
      </w:tr>
    </w:tbl>
    <w:p>
      <w:pPr>
        <w:spacing w:line="360" w:lineRule="auto"/>
        <w:ind w:firstLine="420"/>
        <w:jc w:val="left"/>
        <w:rPr>
          <w:sz w:val="24"/>
          <w:szCs w:val="21"/>
        </w:rPr>
      </w:pPr>
      <w:r>
        <w:rPr>
          <w:rFonts w:hint="eastAsia"/>
          <w:sz w:val="24"/>
          <w:szCs w:val="21"/>
        </w:rPr>
        <w:t>重复性偏差为0.14%，实际测试中为测量三次取平均值，则：</w:t>
      </w:r>
    </w:p>
    <w:p>
      <w:pPr>
        <w:spacing w:line="360" w:lineRule="auto"/>
        <w:ind w:firstLine="420"/>
        <w:jc w:val="left"/>
        <w:rPr>
          <w:sz w:val="24"/>
          <w:szCs w:val="21"/>
        </w:rPr>
      </w:pPr>
      <m:oMathPara>
        <m:oMath>
          <m:sSub>
            <m:sSubPr>
              <m:ctrlPr>
                <w:rPr>
                  <w:rFonts w:ascii="Cambria Math" w:hAnsi="Cambria Math"/>
                  <w:sz w:val="24"/>
                  <w:szCs w:val="21"/>
                </w:rPr>
              </m:ctrlPr>
            </m:sSubPr>
            <m:e>
              <m:r>
                <m:rPr/>
                <w:rPr>
                  <w:rFonts w:ascii="Cambria Math" w:hAnsi="Cambria Math"/>
                  <w:sz w:val="24"/>
                  <w:szCs w:val="21"/>
                </w:rPr>
                <m:t>u</m:t>
              </m:r>
              <m:ctrlPr>
                <w:rPr>
                  <w:rFonts w:ascii="Cambria Math" w:hAnsi="Cambria Math"/>
                  <w:sz w:val="24"/>
                  <w:szCs w:val="21"/>
                </w:rPr>
              </m:ctrlPr>
            </m:e>
            <m:sub>
              <m:r>
                <m:rPr/>
                <w:rPr>
                  <w:rFonts w:ascii="Cambria Math" w:hAnsi="Cambria Math"/>
                  <w:sz w:val="24"/>
                  <w:szCs w:val="21"/>
                </w:rPr>
                <m:t>4</m:t>
              </m:r>
              <m:ctrlPr>
                <w:rPr>
                  <w:rFonts w:ascii="Cambria Math" w:hAnsi="Cambria Math"/>
                  <w:sz w:val="24"/>
                  <w:szCs w:val="21"/>
                </w:rPr>
              </m:ctrlPr>
            </m:sub>
          </m:sSub>
          <m:r>
            <m:rPr>
              <m:sty m:val="p"/>
            </m:rPr>
            <w:rPr>
              <w:rFonts w:ascii="Cambria Math" w:hAnsi="Cambria Math"/>
              <w:sz w:val="24"/>
              <w:szCs w:val="21"/>
            </w:rPr>
            <m:t>=</m:t>
          </m:r>
          <m:f>
            <m:fPr>
              <m:ctrlPr>
                <w:rPr>
                  <w:rFonts w:ascii="Cambria Math" w:hAnsi="Cambria Math"/>
                  <w:sz w:val="24"/>
                  <w:szCs w:val="21"/>
                </w:rPr>
              </m:ctrlPr>
            </m:fPr>
            <m:num>
              <m:r>
                <m:rPr/>
                <w:rPr>
                  <w:rFonts w:ascii="Cambria Math" w:hAnsi="Cambria Math"/>
                  <w:sz w:val="24"/>
                  <w:szCs w:val="21"/>
                </w:rPr>
                <m:t>0.14%</m:t>
              </m:r>
              <m:ctrlPr>
                <w:rPr>
                  <w:rFonts w:ascii="Cambria Math" w:hAnsi="Cambria Math"/>
                  <w:sz w:val="24"/>
                  <w:szCs w:val="21"/>
                </w:rPr>
              </m:ctrlPr>
            </m:num>
            <m:den>
              <m:rad>
                <m:radPr>
                  <m:degHide m:val="1"/>
                  <m:ctrlPr>
                    <w:rPr>
                      <w:rFonts w:ascii="Cambria Math" w:hAnsi="Cambria Math"/>
                      <w:i/>
                      <w:sz w:val="24"/>
                      <w:szCs w:val="21"/>
                    </w:rPr>
                  </m:ctrlPr>
                </m:radPr>
                <m:deg>
                  <m:ctrlPr>
                    <w:rPr>
                      <w:rFonts w:ascii="Cambria Math" w:hAnsi="Cambria Math"/>
                      <w:i/>
                      <w:sz w:val="24"/>
                      <w:szCs w:val="21"/>
                    </w:rPr>
                  </m:ctrlPr>
                </m:deg>
                <m:e>
                  <m:r>
                    <m:rPr/>
                    <w:rPr>
                      <w:rFonts w:ascii="Cambria Math" w:hAnsi="Cambria Math"/>
                      <w:sz w:val="24"/>
                      <w:szCs w:val="21"/>
                    </w:rPr>
                    <m:t>3</m:t>
                  </m:r>
                  <m:ctrlPr>
                    <w:rPr>
                      <w:rFonts w:ascii="Cambria Math" w:hAnsi="Cambria Math"/>
                      <w:i/>
                      <w:sz w:val="24"/>
                      <w:szCs w:val="21"/>
                    </w:rPr>
                  </m:ctrlPr>
                </m:e>
              </m:rad>
              <m:ctrlPr>
                <w:rPr>
                  <w:rFonts w:ascii="Cambria Math" w:hAnsi="Cambria Math"/>
                  <w:sz w:val="24"/>
                  <w:szCs w:val="21"/>
                </w:rPr>
              </m:ctrlPr>
            </m:den>
          </m:f>
          <m:r>
            <m:rPr/>
            <w:rPr>
              <w:rFonts w:ascii="Cambria Math" w:hAnsi="Cambria Math"/>
              <w:sz w:val="24"/>
              <w:szCs w:val="21"/>
            </w:rPr>
            <m:t>=</m:t>
          </m:r>
          <m:r>
            <m:rPr>
              <m:sty m:val="p"/>
            </m:rPr>
            <w:rPr>
              <w:rFonts w:ascii="Cambria Math" w:hAnsi="Cambria Math"/>
              <w:sz w:val="24"/>
              <w:szCs w:val="21"/>
            </w:rPr>
            <m:t>0.09%</m:t>
          </m:r>
        </m:oMath>
      </m:oMathPara>
    </w:p>
    <w:p>
      <w:pPr>
        <w:spacing w:line="360" w:lineRule="auto"/>
        <w:rPr>
          <w:rFonts w:ascii="宋体" w:hAnsi="宋体"/>
          <w:sz w:val="24"/>
          <w:szCs w:val="21"/>
        </w:rPr>
      </w:pPr>
      <w:r>
        <w:rPr>
          <w:rFonts w:hint="eastAsia"/>
          <w:sz w:val="24"/>
        </w:rPr>
        <w:t>A.</w:t>
      </w:r>
      <w:r>
        <w:rPr>
          <w:sz w:val="24"/>
        </w:rPr>
        <w:t>2</w:t>
      </w:r>
      <w:r>
        <w:rPr>
          <w:rFonts w:hint="eastAsia"/>
          <w:sz w:val="24"/>
        </w:rPr>
        <w:t>.</w:t>
      </w:r>
      <w:r>
        <w:rPr>
          <w:rFonts w:hint="eastAsia"/>
          <w:sz w:val="24"/>
          <w:szCs w:val="21"/>
        </w:rPr>
        <w:t>5</w:t>
      </w:r>
      <w:r>
        <w:rPr>
          <w:rFonts w:hint="eastAsia" w:ascii="宋体" w:hAnsi="宋体"/>
          <w:sz w:val="24"/>
          <w:szCs w:val="21"/>
        </w:rPr>
        <w:t>合成标准不确定度</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4282"/>
        <w:gridCol w:w="3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76" w:type="pct"/>
            <w:gridSpan w:val="2"/>
            <w:tcBorders>
              <w:top w:val="single" w:color="auto" w:sz="4" w:space="0"/>
              <w:left w:val="single" w:color="auto" w:sz="4" w:space="0"/>
              <w:right w:val="single" w:color="auto" w:sz="4" w:space="0"/>
            </w:tcBorders>
            <w:vAlign w:val="center"/>
          </w:tcPr>
          <w:p>
            <w:pPr>
              <w:spacing w:line="288" w:lineRule="auto"/>
              <w:jc w:val="center"/>
              <w:rPr>
                <w:rFonts w:ascii="宋体" w:hAnsi="宋体"/>
                <w:sz w:val="24"/>
                <w:szCs w:val="21"/>
              </w:rPr>
            </w:pPr>
            <w:r>
              <w:rPr>
                <w:rFonts w:hint="eastAsia" w:ascii="宋体" w:hAnsi="宋体"/>
                <w:sz w:val="24"/>
                <w:szCs w:val="21"/>
              </w:rPr>
              <w:t>不确定度来源</w:t>
            </w:r>
          </w:p>
        </w:tc>
        <w:tc>
          <w:tcPr>
            <w:tcW w:w="2124" w:type="pct"/>
            <w:tcBorders>
              <w:top w:val="single" w:color="auto" w:sz="4" w:space="0"/>
              <w:left w:val="single" w:color="auto" w:sz="4" w:space="0"/>
              <w:right w:val="single" w:color="auto" w:sz="4" w:space="0"/>
            </w:tcBorders>
            <w:vAlign w:val="center"/>
          </w:tcPr>
          <w:p>
            <w:pPr>
              <w:spacing w:line="288" w:lineRule="auto"/>
              <w:ind w:firstLine="120" w:firstLineChars="50"/>
              <w:jc w:val="center"/>
              <w:rPr>
                <w:i/>
                <w:sz w:val="24"/>
                <w:szCs w:val="21"/>
              </w:rPr>
            </w:pPr>
            <w:r>
              <w:rPr>
                <w:rFonts w:hint="eastAsia"/>
                <w:sz w:val="24"/>
                <w:szCs w:val="21"/>
              </w:rPr>
              <w:t>标准不确定度分量（%）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1"/>
              </w:rPr>
            </w:pPr>
            <w:r>
              <w:rPr>
                <w:i/>
                <w:sz w:val="24"/>
                <w:szCs w:val="21"/>
              </w:rPr>
              <w:t>u</w:t>
            </w:r>
            <w:r>
              <w:rPr>
                <w:sz w:val="24"/>
                <w:szCs w:val="21"/>
                <w:vertAlign w:val="subscript"/>
              </w:rPr>
              <w:t>1</w:t>
            </w:r>
          </w:p>
        </w:tc>
        <w:tc>
          <w:tcPr>
            <w:tcW w:w="2305"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 w:val="24"/>
                <w:szCs w:val="21"/>
              </w:rPr>
            </w:pPr>
            <w:r>
              <w:rPr>
                <w:rFonts w:hint="eastAsia"/>
                <w:sz w:val="24"/>
                <w:szCs w:val="21"/>
              </w:rPr>
              <w:t>高速光度传感器上级溯源</w:t>
            </w:r>
          </w:p>
        </w:tc>
        <w:tc>
          <w:tcPr>
            <w:tcW w:w="2124" w:type="pct"/>
            <w:tcBorders>
              <w:top w:val="single" w:color="auto" w:sz="4" w:space="0"/>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1"/>
              </w:rPr>
            </w:pPr>
            <w:r>
              <w:rPr>
                <w:i/>
                <w:sz w:val="24"/>
                <w:szCs w:val="21"/>
              </w:rPr>
              <w:t>u</w:t>
            </w:r>
            <w:r>
              <w:rPr>
                <w:sz w:val="24"/>
                <w:szCs w:val="21"/>
                <w:vertAlign w:val="subscript"/>
              </w:rPr>
              <w:t>2</w:t>
            </w:r>
          </w:p>
        </w:tc>
        <w:tc>
          <w:tcPr>
            <w:tcW w:w="2305"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 w:val="24"/>
                <w:szCs w:val="21"/>
              </w:rPr>
            </w:pPr>
            <w:r>
              <w:rPr>
                <w:rFonts w:hint="eastAsia"/>
                <w:sz w:val="24"/>
                <w:szCs w:val="21"/>
              </w:rPr>
              <w:t>参考闪烁源不稳定性</w:t>
            </w:r>
          </w:p>
        </w:tc>
        <w:tc>
          <w:tcPr>
            <w:tcW w:w="2124" w:type="pct"/>
            <w:tcBorders>
              <w:left w:val="single" w:color="auto" w:sz="4" w:space="0"/>
              <w:right w:val="single" w:color="auto" w:sz="4" w:space="0"/>
            </w:tcBorders>
            <w:shd w:val="clear" w:color="auto" w:fill="auto"/>
            <w:vAlign w:val="center"/>
          </w:tcPr>
          <w:p>
            <w:pPr>
              <w:spacing w:line="288" w:lineRule="auto"/>
              <w:jc w:val="center"/>
              <w:rPr>
                <w:sz w:val="24"/>
                <w:szCs w:val="21"/>
              </w:rPr>
            </w:pPr>
            <w:r>
              <w:rPr>
                <w:sz w:val="24"/>
                <w:szCs w:val="21"/>
              </w:rPr>
              <w:t>0.0</w:t>
            </w:r>
            <w:r>
              <w:rPr>
                <w:rFonts w:hint="eastAsia"/>
                <w:sz w:val="24"/>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1"/>
              </w:rPr>
            </w:pPr>
            <w:r>
              <w:rPr>
                <w:i/>
                <w:sz w:val="24"/>
                <w:szCs w:val="21"/>
              </w:rPr>
              <w:t>u</w:t>
            </w:r>
            <w:r>
              <w:rPr>
                <w:sz w:val="24"/>
                <w:szCs w:val="21"/>
                <w:vertAlign w:val="subscript"/>
              </w:rPr>
              <w:t>3</w:t>
            </w:r>
          </w:p>
        </w:tc>
        <w:tc>
          <w:tcPr>
            <w:tcW w:w="2305"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2"/>
              </w:rPr>
            </w:pPr>
            <w:r>
              <w:rPr>
                <w:rFonts w:hint="eastAsia"/>
                <w:bCs/>
                <w:sz w:val="24"/>
                <w:szCs w:val="21"/>
              </w:rPr>
              <w:t>参考闪烁源不均匀性</w:t>
            </w:r>
          </w:p>
        </w:tc>
        <w:tc>
          <w:tcPr>
            <w:tcW w:w="2124" w:type="pct"/>
            <w:tcBorders>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i/>
                <w:sz w:val="24"/>
                <w:szCs w:val="21"/>
              </w:rPr>
            </w:pPr>
            <w:r>
              <w:rPr>
                <w:i/>
                <w:sz w:val="24"/>
                <w:szCs w:val="21"/>
              </w:rPr>
              <w:t>u</w:t>
            </w:r>
            <w:r>
              <w:rPr>
                <w:rFonts w:hint="eastAsia"/>
                <w:sz w:val="24"/>
                <w:szCs w:val="21"/>
                <w:vertAlign w:val="subscript"/>
              </w:rPr>
              <w:t>4</w:t>
            </w:r>
          </w:p>
        </w:tc>
        <w:tc>
          <w:tcPr>
            <w:tcW w:w="2305"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sz w:val="24"/>
                <w:szCs w:val="21"/>
              </w:rPr>
            </w:pPr>
            <w:r>
              <w:rPr>
                <w:rFonts w:hint="eastAsia"/>
                <w:bCs/>
                <w:sz w:val="24"/>
                <w:szCs w:val="21"/>
              </w:rPr>
              <w:t>测量重复性</w:t>
            </w:r>
          </w:p>
        </w:tc>
        <w:tc>
          <w:tcPr>
            <w:tcW w:w="2124" w:type="pct"/>
            <w:tcBorders>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0.09</w:t>
            </w:r>
          </w:p>
        </w:tc>
      </w:tr>
    </w:tbl>
    <w:p>
      <w:pPr>
        <w:spacing w:line="288" w:lineRule="auto"/>
        <w:ind w:firstLine="480" w:firstLineChars="200"/>
        <w:rPr>
          <w:rFonts w:ascii="宋体" w:hAnsi="宋体"/>
          <w:sz w:val="24"/>
          <w:szCs w:val="21"/>
        </w:rPr>
      </w:pPr>
      <w:r>
        <w:rPr>
          <w:rFonts w:hint="eastAsia" w:ascii="宋体" w:hAnsi="宋体"/>
          <w:sz w:val="24"/>
          <w:szCs w:val="21"/>
        </w:rPr>
        <w:t>以上各项标准不确定度分量互不相关，所以合成标准不确定度：</w:t>
      </w:r>
    </w:p>
    <w:p>
      <w:pPr>
        <w:spacing w:line="360" w:lineRule="auto"/>
        <w:jc w:val="center"/>
        <w:rPr>
          <w:sz w:val="24"/>
          <w:szCs w:val="21"/>
        </w:rPr>
      </w:pPr>
      <m:oMathPara>
        <m:oMath>
          <m:sSub>
            <m:sSubPr>
              <m:ctrlPr>
                <w:rPr>
                  <w:rFonts w:ascii="Cambria Math" w:hAnsi="Cambria Math"/>
                  <w:i/>
                  <w:sz w:val="24"/>
                  <w:szCs w:val="21"/>
                </w:rPr>
              </m:ctrlPr>
            </m:sSub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c</m:t>
              </m:r>
              <m:ctrlPr>
                <w:rPr>
                  <w:rFonts w:ascii="Cambria Math" w:hAnsi="Cambria Math"/>
                  <w:i/>
                  <w:sz w:val="24"/>
                  <w:szCs w:val="21"/>
                </w:rPr>
              </m:ctrlPr>
            </m:sub>
          </m:sSub>
          <m:r>
            <m:rPr>
              <m:sty m:val="p"/>
            </m:rPr>
            <w:rPr>
              <w:rFonts w:ascii="Cambria Math" w:hAnsi="Cambria Math"/>
              <w:sz w:val="24"/>
              <w:szCs w:val="21"/>
            </w:rPr>
            <m:t>=</m:t>
          </m:r>
          <m:rad>
            <m:radPr>
              <m:degHide m:val="1"/>
              <m:ctrlPr>
                <w:rPr>
                  <w:rFonts w:ascii="Cambria Math" w:hAnsi="Cambria Math"/>
                  <w:sz w:val="24"/>
                  <w:szCs w:val="21"/>
                </w:rPr>
              </m:ctrlPr>
            </m:radPr>
            <m:deg>
              <m:ctrlPr>
                <w:rPr>
                  <w:rFonts w:ascii="Cambria Math" w:hAnsi="Cambria Math"/>
                  <w:sz w:val="24"/>
                  <w:szCs w:val="21"/>
                </w:rPr>
              </m:ctrlPr>
            </m:deg>
            <m:e>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1</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r>
                <m:rPr/>
                <w:rPr>
                  <w:rFonts w:ascii="Cambria Math" w:hAnsi="Cambria Math"/>
                  <w:sz w:val="24"/>
                  <w:szCs w:val="21"/>
                </w:rPr>
                <m:t>+</m:t>
              </m:r>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2</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r>
                <m:rPr/>
                <w:rPr>
                  <w:rFonts w:ascii="Cambria Math" w:hAnsi="Cambria Math"/>
                  <w:sz w:val="24"/>
                  <w:szCs w:val="21"/>
                </w:rPr>
                <m:t>+</m:t>
              </m:r>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3</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r>
                <m:rPr/>
                <w:rPr>
                  <w:rFonts w:ascii="Cambria Math" w:hAnsi="Cambria Math"/>
                  <w:sz w:val="24"/>
                  <w:szCs w:val="21"/>
                </w:rPr>
                <m:t>+</m:t>
              </m:r>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4</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ctrlPr>
                <w:rPr>
                  <w:rFonts w:ascii="Cambria Math" w:hAnsi="Cambria Math"/>
                  <w:sz w:val="24"/>
                  <w:szCs w:val="21"/>
                </w:rPr>
              </m:ctrlPr>
            </m:e>
          </m:rad>
          <m:r>
            <m:rPr/>
            <w:rPr>
              <w:rFonts w:ascii="Cambria Math" w:hAnsi="Cambria Math"/>
              <w:sz w:val="24"/>
              <w:szCs w:val="21"/>
            </w:rPr>
            <m:t>=0.12%</m:t>
          </m:r>
        </m:oMath>
      </m:oMathPara>
    </w:p>
    <w:p>
      <w:pPr>
        <w:spacing w:line="360" w:lineRule="auto"/>
        <w:ind w:left="420"/>
        <w:jc w:val="left"/>
        <w:rPr>
          <w:sz w:val="24"/>
          <w:szCs w:val="22"/>
        </w:rPr>
      </w:pPr>
      <w:r>
        <w:rPr>
          <w:rFonts w:hint="eastAsia"/>
          <w:sz w:val="24"/>
          <w:szCs w:val="21"/>
        </w:rPr>
        <w:t>取</w:t>
      </w:r>
      <w:r>
        <w:rPr>
          <w:rFonts w:hint="eastAsia"/>
          <w:i/>
          <w:sz w:val="24"/>
          <w:szCs w:val="21"/>
        </w:rPr>
        <w:t>k</w:t>
      </w:r>
      <w:r>
        <w:rPr>
          <w:rFonts w:hint="eastAsia"/>
          <w:sz w:val="24"/>
          <w:szCs w:val="21"/>
        </w:rPr>
        <w:t>=2，则扩展不确定度</w:t>
      </w:r>
      <w:r>
        <w:rPr>
          <w:rFonts w:hint="eastAsia"/>
          <w:i/>
          <w:sz w:val="24"/>
          <w:szCs w:val="21"/>
        </w:rPr>
        <w:t>U</w:t>
      </w:r>
      <w:r>
        <w:rPr>
          <w:rFonts w:hint="eastAsia"/>
          <w:sz w:val="24"/>
          <w:szCs w:val="21"/>
        </w:rPr>
        <w:t>为：</w:t>
      </w:r>
      <w:r>
        <w:rPr>
          <w:sz w:val="24"/>
          <w:szCs w:val="21"/>
        </w:rPr>
        <w:fldChar w:fldCharType="begin"/>
      </w:r>
      <w:r>
        <w:rPr>
          <w:sz w:val="24"/>
          <w:szCs w:val="21"/>
        </w:rPr>
        <w:instrText xml:space="preserve"> QUOTE </w:instrText>
      </w:r>
      <m:oMath>
        <m:sSub>
          <m:sSubPr>
            <m:ctrlPr>
              <w:rPr>
                <w:rFonts w:ascii="Cambria Math" w:hAnsi="Cambria Math"/>
                <w:sz w:val="24"/>
                <w:szCs w:val="21"/>
              </w:rPr>
            </m:ctrlPr>
          </m:sSubPr>
          <m:e>
            <m:r>
              <m:rPr>
                <m:sty m:val="p"/>
              </m:rPr>
              <w:rPr>
                <w:rFonts w:ascii="Cambria Math" w:hAnsi="Cambria Math"/>
                <w:sz w:val="24"/>
                <w:szCs w:val="21"/>
              </w:rPr>
              <m:t xml:space="preserve">U</m:t>
            </m:r>
            <m:ctrlPr>
              <w:rPr>
                <w:rFonts w:ascii="Cambria Math" w:hAnsi="Cambria Math"/>
                <w:sz w:val="24"/>
                <w:szCs w:val="21"/>
              </w:rPr>
            </m:ctrlPr>
          </m:e>
          <m:sub>
            <m:r>
              <m:rPr>
                <m:sty m:val="p"/>
              </m:rPr>
              <w:rPr>
                <w:rFonts w:ascii="Cambria Math" w:hAnsi="Cambria Math"/>
                <w:sz w:val="24"/>
                <w:szCs w:val="21"/>
              </w:rPr>
              <m:t xml:space="preserve">rel</m:t>
            </m:r>
            <m:ctrlPr>
              <w:rPr>
                <w:rFonts w:ascii="Cambria Math" w:hAnsi="Cambria Math"/>
                <w:sz w:val="24"/>
                <w:szCs w:val="21"/>
              </w:rPr>
            </m:ctrlPr>
          </m:sub>
        </m:sSub>
        <m:r>
          <m:rPr>
            <m:sty m:val="p"/>
          </m:rPr>
          <w:rPr>
            <w:rFonts w:ascii="Cambria Math" w:hAnsi="Cambria Math"/>
            <w:sz w:val="24"/>
            <w:szCs w:val="21"/>
          </w:rPr>
          <m:t xml:space="preserve">=2</m:t>
        </m:r>
        <m:sSub>
          <m:sSubPr>
            <m:ctrlPr>
              <w:rPr>
                <w:rFonts w:ascii="Cambria Math" w:hAnsi="Cambria Math"/>
                <w:sz w:val="24"/>
                <w:szCs w:val="21"/>
              </w:rPr>
            </m:ctrlPr>
          </m:sSubPr>
          <m:e>
            <m:r>
              <m:rPr>
                <m:sty m:val="p"/>
              </m:rPr>
              <w:rPr>
                <w:rFonts w:ascii="Cambria Math" w:hAnsi="Cambria Math"/>
                <w:sz w:val="24"/>
                <w:szCs w:val="21"/>
              </w:rPr>
              <m:t xml:space="preserve">u</m:t>
            </m:r>
            <m:ctrlPr>
              <w:rPr>
                <w:rFonts w:ascii="Cambria Math" w:hAnsi="Cambria Math"/>
                <w:sz w:val="24"/>
                <w:szCs w:val="21"/>
              </w:rPr>
            </m:ctrlPr>
          </m:e>
          <m:sub>
            <m:r>
              <m:rPr>
                <m:sty m:val="p"/>
              </m:rPr>
              <w:rPr>
                <w:rFonts w:ascii="Cambria Math" w:hAnsi="Cambria Math"/>
                <w:sz w:val="24"/>
                <w:szCs w:val="21"/>
              </w:rPr>
              <m:t xml:space="preserve">c</m:t>
            </m:r>
            <m:ctrlPr>
              <w:rPr>
                <w:rFonts w:ascii="Cambria Math" w:hAnsi="Cambria Math"/>
                <w:sz w:val="24"/>
                <w:szCs w:val="21"/>
              </w:rPr>
            </m:ctrlPr>
          </m:sub>
        </m:sSub>
        <m:r>
          <m:rPr>
            <m:sty m:val="p"/>
          </m:rPr>
          <w:rPr>
            <w:rFonts w:ascii="Cambria Math" w:hAnsi="Cambria Math"/>
            <w:sz w:val="24"/>
            <w:szCs w:val="21"/>
          </w:rPr>
          <m:t xml:space="preserve">=2.0%    </m:t>
        </m:r>
        <m:d>
          <m:dPr>
            <m:ctrlPr>
              <w:rPr>
                <w:rFonts w:ascii="Cambria Math" w:hAnsi="Cambria Math"/>
                <w:sz w:val="24"/>
                <w:szCs w:val="21"/>
              </w:rPr>
            </m:ctrlPr>
          </m:dPr>
          <m:e>
            <m:r>
              <m:rPr>
                <m:sty m:val="p"/>
              </m:rPr>
              <w:rPr>
                <w:rFonts w:ascii="Cambria Math" w:hAnsi="Cambria Math"/>
                <w:sz w:val="24"/>
                <w:szCs w:val="21"/>
              </w:rPr>
              <m:t xml:space="preserve">k=2</m:t>
            </m:r>
            <m:ctrlPr>
              <w:rPr>
                <w:rFonts w:ascii="Cambria Math" w:hAnsi="Cambria Math"/>
                <w:sz w:val="24"/>
                <w:szCs w:val="21"/>
              </w:rPr>
            </m:ctrlPr>
          </m:e>
        </m:d>
      </m:oMath>
      <w:r>
        <w:rPr>
          <w:sz w:val="24"/>
          <w:szCs w:val="21"/>
        </w:rPr>
        <w:fldChar w:fldCharType="end"/>
      </w:r>
    </w:p>
    <w:p>
      <w:pPr>
        <w:spacing w:line="360" w:lineRule="auto"/>
        <w:ind w:left="420"/>
        <w:jc w:val="center"/>
        <w:rPr>
          <w:sz w:val="24"/>
          <w:szCs w:val="22"/>
        </w:rPr>
      </w:pPr>
      <w:r>
        <w:rPr>
          <w:rFonts w:hint="eastAsia"/>
          <w:i/>
          <w:sz w:val="24"/>
          <w:szCs w:val="22"/>
        </w:rPr>
        <w:t>U</w:t>
      </w:r>
      <w:r>
        <w:rPr>
          <w:rFonts w:hint="eastAsia"/>
          <w:sz w:val="24"/>
          <w:szCs w:val="22"/>
        </w:rPr>
        <w:t xml:space="preserve">=0.24% </w:t>
      </w:r>
      <w:r>
        <w:rPr>
          <w:sz w:val="24"/>
          <w:szCs w:val="22"/>
        </w:rPr>
        <w:t>(</w:t>
      </w:r>
      <w:r>
        <w:rPr>
          <w:i/>
          <w:sz w:val="24"/>
          <w:szCs w:val="22"/>
        </w:rPr>
        <w:t>k</w:t>
      </w:r>
      <w:r>
        <w:rPr>
          <w:sz w:val="24"/>
          <w:szCs w:val="22"/>
        </w:rPr>
        <w:t xml:space="preserve">=2) </w:t>
      </w:r>
    </w:p>
    <w:p>
      <w:pPr>
        <w:spacing w:line="360" w:lineRule="auto"/>
        <w:rPr>
          <w:sz w:val="24"/>
        </w:rPr>
      </w:pPr>
    </w:p>
    <w:p>
      <w:pPr>
        <w:pStyle w:val="4"/>
        <w:spacing w:before="120" w:after="120" w:line="240" w:lineRule="auto"/>
        <w:rPr>
          <w:rFonts w:eastAsiaTheme="minorEastAsia"/>
          <w:b w:val="0"/>
          <w:sz w:val="24"/>
          <w:szCs w:val="24"/>
        </w:rPr>
      </w:pPr>
      <w:bookmarkStart w:id="25" w:name="_Toc438025709"/>
      <w:bookmarkStart w:id="26" w:name="_Toc124506241"/>
      <w:r>
        <w:rPr>
          <w:rFonts w:hint="eastAsia" w:eastAsiaTheme="minorEastAsia"/>
          <w:b w:val="0"/>
          <w:sz w:val="24"/>
          <w:szCs w:val="24"/>
        </w:rPr>
        <w:t>A.</w:t>
      </w:r>
      <w:r>
        <w:rPr>
          <w:rFonts w:eastAsiaTheme="minorEastAsia"/>
          <w:b w:val="0"/>
          <w:sz w:val="24"/>
          <w:szCs w:val="24"/>
        </w:rPr>
        <w:t>3</w:t>
      </w:r>
      <w:bookmarkEnd w:id="25"/>
      <w:r>
        <w:rPr>
          <w:rFonts w:hint="eastAsia" w:eastAsiaTheme="minorEastAsia"/>
          <w:b w:val="0"/>
          <w:sz w:val="24"/>
          <w:szCs w:val="24"/>
        </w:rPr>
        <w:t>闪烁频率测量结果的不确定度评定</w:t>
      </w:r>
      <w:bookmarkEnd w:id="26"/>
    </w:p>
    <w:p>
      <w:pPr>
        <w:spacing w:line="360" w:lineRule="auto"/>
        <w:jc w:val="left"/>
        <w:rPr>
          <w:sz w:val="24"/>
          <w:szCs w:val="21"/>
        </w:rPr>
      </w:pPr>
      <w:r>
        <w:rPr>
          <w:rFonts w:hint="eastAsia"/>
          <w:sz w:val="24"/>
        </w:rPr>
        <w:t>A.</w:t>
      </w:r>
      <w:r>
        <w:rPr>
          <w:sz w:val="24"/>
        </w:rPr>
        <w:t>3</w:t>
      </w:r>
      <w:r>
        <w:rPr>
          <w:rFonts w:hint="eastAsia"/>
          <w:sz w:val="24"/>
        </w:rPr>
        <w:t>.</w:t>
      </w:r>
      <w:r>
        <w:rPr>
          <w:rFonts w:hint="eastAsia"/>
          <w:sz w:val="24"/>
          <w:szCs w:val="21"/>
        </w:rPr>
        <w:t>1</w:t>
      </w:r>
      <w:r>
        <w:rPr>
          <w:rFonts w:hint="eastAsia" w:ascii="宋体"/>
          <w:sz w:val="24"/>
          <w:szCs w:val="21"/>
        </w:rPr>
        <w:t>数字示波器上级溯源</w:t>
      </w:r>
      <w:r>
        <w:rPr>
          <w:rFonts w:hint="eastAsia"/>
          <w:sz w:val="24"/>
          <w:szCs w:val="21"/>
        </w:rPr>
        <w:t>引入的不确定度</w:t>
      </w:r>
      <w:r>
        <w:rPr>
          <w:rFonts w:hint="eastAsia"/>
          <w:i/>
          <w:sz w:val="24"/>
          <w:szCs w:val="21"/>
        </w:rPr>
        <w:t>u</w:t>
      </w:r>
      <w:r>
        <w:rPr>
          <w:rFonts w:hint="eastAsia"/>
          <w:sz w:val="24"/>
          <w:szCs w:val="21"/>
          <w:vertAlign w:val="subscript"/>
        </w:rPr>
        <w:t>1rel</w:t>
      </w:r>
    </w:p>
    <w:p>
      <w:pPr>
        <w:spacing w:line="360" w:lineRule="auto"/>
        <w:ind w:firstLine="420"/>
        <w:jc w:val="left"/>
        <w:rPr>
          <w:rFonts w:ascii="宋体"/>
          <w:sz w:val="24"/>
          <w:szCs w:val="21"/>
        </w:rPr>
      </w:pPr>
      <w:r>
        <w:rPr>
          <w:rFonts w:hint="eastAsia"/>
          <w:sz w:val="24"/>
          <w:szCs w:val="21"/>
        </w:rPr>
        <w:t>根据</w:t>
      </w:r>
      <w:r>
        <w:rPr>
          <w:rFonts w:hint="eastAsia" w:ascii="宋体"/>
          <w:sz w:val="24"/>
          <w:szCs w:val="21"/>
        </w:rPr>
        <w:t>数字示波器的上级溯源证书：</w:t>
      </w:r>
    </w:p>
    <w:p>
      <w:pPr>
        <w:spacing w:line="360" w:lineRule="auto"/>
        <w:ind w:firstLine="420"/>
        <w:jc w:val="center"/>
        <w:rPr>
          <w:sz w:val="24"/>
          <w:szCs w:val="21"/>
        </w:rPr>
      </w:pPr>
      <w:r>
        <w:rPr>
          <w:i/>
          <w:sz w:val="24"/>
          <w:szCs w:val="21"/>
        </w:rPr>
        <w:t>U</w:t>
      </w:r>
      <w:r>
        <w:rPr>
          <w:rFonts w:hint="eastAsia"/>
          <w:sz w:val="24"/>
          <w:szCs w:val="21"/>
          <w:vertAlign w:val="subscript"/>
        </w:rPr>
        <w:t>rel</w:t>
      </w:r>
      <w:r>
        <w:rPr>
          <w:sz w:val="24"/>
          <w:szCs w:val="21"/>
        </w:rPr>
        <w:t>=0.2% （</w:t>
      </w:r>
      <w:r>
        <w:rPr>
          <w:i/>
          <w:sz w:val="24"/>
          <w:szCs w:val="21"/>
        </w:rPr>
        <w:t>k</w:t>
      </w:r>
      <w:r>
        <w:rPr>
          <w:sz w:val="24"/>
          <w:szCs w:val="21"/>
        </w:rPr>
        <w:t>=2）</w:t>
      </w:r>
    </w:p>
    <w:p>
      <w:pPr>
        <w:spacing w:line="360" w:lineRule="auto"/>
        <w:ind w:firstLine="420"/>
        <w:jc w:val="left"/>
        <w:rPr>
          <w:sz w:val="24"/>
          <w:szCs w:val="21"/>
        </w:rPr>
      </w:pPr>
      <w:r>
        <w:rPr>
          <w:rFonts w:hint="eastAsia"/>
          <w:sz w:val="24"/>
          <w:szCs w:val="21"/>
        </w:rPr>
        <w:t>则上级溯源引入的不确定度分量：</w:t>
      </w:r>
    </w:p>
    <w:p>
      <w:pPr>
        <w:spacing w:line="360" w:lineRule="auto"/>
        <w:ind w:firstLine="420"/>
        <w:jc w:val="left"/>
        <w:rPr>
          <w:sz w:val="24"/>
          <w:szCs w:val="21"/>
        </w:rPr>
      </w:pPr>
      <m:oMathPara>
        <m:oMath>
          <m:sSub>
            <m:sSubPr>
              <m:ctrlPr>
                <w:rPr>
                  <w:rFonts w:ascii="Cambria Math" w:hAnsi="Cambria Math"/>
                  <w:i/>
                  <w:sz w:val="24"/>
                  <w:szCs w:val="21"/>
                </w:rPr>
              </m:ctrlPr>
            </m:sSub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1</m:t>
              </m:r>
              <m:r>
                <m:rPr>
                  <m:sty m:val="p"/>
                </m:rPr>
                <w:rPr>
                  <w:rFonts w:ascii="Cambria Math" w:hAnsi="Cambria Math"/>
                  <w:sz w:val="24"/>
                  <w:szCs w:val="21"/>
                </w:rPr>
                <m:t>rel</m:t>
              </m:r>
              <m:ctrlPr>
                <w:rPr>
                  <w:rFonts w:ascii="Cambria Math" w:hAnsi="Cambria Math"/>
                  <w:i/>
                  <w:sz w:val="24"/>
                  <w:szCs w:val="21"/>
                </w:rPr>
              </m:ctrlPr>
            </m:sub>
          </m:sSub>
          <m:r>
            <m:rPr/>
            <w:rPr>
              <w:rFonts w:ascii="Cambria Math" w:hAnsi="Cambria Math"/>
              <w:sz w:val="24"/>
              <w:szCs w:val="21"/>
            </w:rPr>
            <m:t>=</m:t>
          </m:r>
          <m:f>
            <m:fPr>
              <m:ctrlPr>
                <w:rPr>
                  <w:rFonts w:ascii="Cambria Math" w:hAnsi="Cambria Math"/>
                  <w:i/>
                  <w:sz w:val="24"/>
                  <w:szCs w:val="21"/>
                </w:rPr>
              </m:ctrlPr>
            </m:fPr>
            <m:num>
              <m:r>
                <m:rPr/>
                <w:rPr>
                  <w:rFonts w:ascii="Cambria Math" w:hAnsi="Cambria Math"/>
                  <w:sz w:val="24"/>
                  <w:szCs w:val="21"/>
                </w:rPr>
                <m:t>0.2%</m:t>
              </m:r>
              <m:ctrlPr>
                <w:rPr>
                  <w:rFonts w:ascii="Cambria Math" w:hAnsi="Cambria Math"/>
                  <w:i/>
                  <w:sz w:val="24"/>
                  <w:szCs w:val="21"/>
                </w:rPr>
              </m:ctrlPr>
            </m:num>
            <m:den>
              <m:r>
                <m:rPr/>
                <w:rPr>
                  <w:rFonts w:ascii="Cambria Math" w:hAnsi="Cambria Math"/>
                  <w:sz w:val="24"/>
                  <w:szCs w:val="21"/>
                </w:rPr>
                <m:t>2</m:t>
              </m:r>
              <m:ctrlPr>
                <w:rPr>
                  <w:rFonts w:ascii="Cambria Math" w:hAnsi="Cambria Math"/>
                  <w:i/>
                  <w:sz w:val="24"/>
                  <w:szCs w:val="21"/>
                </w:rPr>
              </m:ctrlPr>
            </m:den>
          </m:f>
          <m:r>
            <m:rPr/>
            <w:rPr>
              <w:rFonts w:ascii="Cambria Math" w:hAnsi="Cambria Math"/>
              <w:sz w:val="24"/>
              <w:szCs w:val="21"/>
            </w:rPr>
            <m:t>=</m:t>
          </m:r>
          <m:r>
            <m:rPr>
              <m:sty m:val="p"/>
            </m:rPr>
            <w:rPr>
              <w:rFonts w:ascii="Cambria Math" w:hAnsi="Cambria Math"/>
              <w:sz w:val="24"/>
              <w:szCs w:val="21"/>
            </w:rPr>
            <m:t>0.1%</m:t>
          </m:r>
        </m:oMath>
      </m:oMathPara>
    </w:p>
    <w:p>
      <w:pPr>
        <w:spacing w:line="360" w:lineRule="auto"/>
        <w:jc w:val="left"/>
        <w:rPr>
          <w:sz w:val="24"/>
        </w:rPr>
      </w:pPr>
      <w:r>
        <w:rPr>
          <w:rFonts w:hint="eastAsia"/>
          <w:sz w:val="24"/>
        </w:rPr>
        <w:t>A.</w:t>
      </w:r>
      <w:r>
        <w:rPr>
          <w:sz w:val="24"/>
        </w:rPr>
        <w:t>3</w:t>
      </w:r>
      <w:r>
        <w:rPr>
          <w:rFonts w:hint="eastAsia"/>
          <w:sz w:val="24"/>
        </w:rPr>
        <w:t>.</w:t>
      </w:r>
      <w:r>
        <w:rPr>
          <w:sz w:val="24"/>
          <w:szCs w:val="21"/>
        </w:rPr>
        <w:t>2</w:t>
      </w:r>
      <w:r>
        <w:rPr>
          <w:rFonts w:hint="eastAsia"/>
          <w:bCs/>
          <w:sz w:val="24"/>
          <w:szCs w:val="21"/>
        </w:rPr>
        <w:t>高速光度传感器响应时间</w:t>
      </w:r>
      <w:r>
        <w:rPr>
          <w:rFonts w:hint="eastAsia"/>
          <w:sz w:val="24"/>
          <w:szCs w:val="21"/>
        </w:rPr>
        <w:t>引入的不确定度</w:t>
      </w:r>
      <w:r>
        <w:rPr>
          <w:rFonts w:hint="eastAsia"/>
          <w:i/>
          <w:sz w:val="24"/>
          <w:szCs w:val="21"/>
        </w:rPr>
        <w:t>u</w:t>
      </w:r>
      <w:r>
        <w:rPr>
          <w:rFonts w:hint="eastAsia"/>
          <w:sz w:val="24"/>
          <w:szCs w:val="21"/>
          <w:vertAlign w:val="subscript"/>
        </w:rPr>
        <w:t>2rel</w:t>
      </w:r>
    </w:p>
    <w:p>
      <w:pPr>
        <w:spacing w:line="360" w:lineRule="auto"/>
        <w:jc w:val="left"/>
        <w:rPr>
          <w:sz w:val="24"/>
        </w:rPr>
      </w:pPr>
      <w:r>
        <w:rPr>
          <w:rFonts w:hint="eastAsia"/>
          <w:sz w:val="24"/>
        </w:rPr>
        <w:tab/>
      </w:r>
      <w:r>
        <w:rPr>
          <w:rFonts w:hint="eastAsia"/>
          <w:sz w:val="24"/>
        </w:rPr>
        <w:t>高速光度传感器的最大响应时间为10</w:t>
      </w:r>
      <w:r>
        <w:rPr>
          <w:sz w:val="24"/>
        </w:rPr>
        <w:t>μ</w:t>
      </w:r>
      <w:r>
        <w:rPr>
          <w:rFonts w:hint="eastAsia"/>
          <w:sz w:val="24"/>
        </w:rPr>
        <w:t>s，在60Hz处，其周期为167ms，因此高速光度传感器的响应时间引入的不确定度：</w:t>
      </w:r>
    </w:p>
    <w:p>
      <w:pPr>
        <w:spacing w:line="360" w:lineRule="auto"/>
        <w:jc w:val="center"/>
        <w:rPr>
          <w:sz w:val="24"/>
        </w:rPr>
      </w:pPr>
      <w:r>
        <w:rPr>
          <w:rFonts w:hint="eastAsia"/>
          <w:i/>
          <w:sz w:val="24"/>
          <w:szCs w:val="21"/>
        </w:rPr>
        <w:t>u</w:t>
      </w:r>
      <w:r>
        <w:rPr>
          <w:rFonts w:hint="eastAsia"/>
          <w:sz w:val="24"/>
          <w:szCs w:val="21"/>
          <w:vertAlign w:val="subscript"/>
        </w:rPr>
        <w:t>2rel</w:t>
      </w:r>
      <w:r>
        <w:rPr>
          <w:rFonts w:hint="eastAsia"/>
          <w:sz w:val="24"/>
        </w:rPr>
        <w:t>=0.01%</w:t>
      </w:r>
    </w:p>
    <w:p>
      <w:pPr>
        <w:spacing w:line="360" w:lineRule="auto"/>
        <w:jc w:val="left"/>
        <w:rPr>
          <w:sz w:val="24"/>
          <w:szCs w:val="21"/>
        </w:rPr>
      </w:pPr>
      <w:r>
        <w:rPr>
          <w:rFonts w:hint="eastAsia"/>
          <w:sz w:val="24"/>
        </w:rPr>
        <w:t>A.</w:t>
      </w:r>
      <w:r>
        <w:rPr>
          <w:sz w:val="24"/>
        </w:rPr>
        <w:t>3</w:t>
      </w:r>
      <w:r>
        <w:rPr>
          <w:rFonts w:hint="eastAsia"/>
          <w:sz w:val="24"/>
        </w:rPr>
        <w:t>.</w:t>
      </w:r>
      <w:r>
        <w:rPr>
          <w:sz w:val="24"/>
          <w:szCs w:val="21"/>
        </w:rPr>
        <w:t>2</w:t>
      </w:r>
      <w:r>
        <w:rPr>
          <w:rFonts w:hint="eastAsia"/>
          <w:sz w:val="24"/>
          <w:szCs w:val="21"/>
        </w:rPr>
        <w:t>显示屏</w:t>
      </w:r>
      <w:r>
        <w:rPr>
          <w:rFonts w:hint="eastAsia"/>
          <w:bCs/>
          <w:sz w:val="24"/>
          <w:szCs w:val="21"/>
        </w:rPr>
        <w:t>闪烁率测定仪</w:t>
      </w:r>
      <w:r>
        <w:rPr>
          <w:rFonts w:hint="eastAsia"/>
          <w:sz w:val="24"/>
          <w:szCs w:val="21"/>
        </w:rPr>
        <w:t>重复性引入的不确定度</w:t>
      </w:r>
      <w:r>
        <w:rPr>
          <w:rFonts w:hint="eastAsia"/>
          <w:i/>
          <w:sz w:val="24"/>
          <w:szCs w:val="21"/>
        </w:rPr>
        <w:t>u</w:t>
      </w:r>
      <w:r>
        <w:rPr>
          <w:rFonts w:hint="eastAsia"/>
          <w:sz w:val="24"/>
          <w:szCs w:val="21"/>
          <w:vertAlign w:val="subscript"/>
        </w:rPr>
        <w:t>3rel</w:t>
      </w:r>
    </w:p>
    <w:p>
      <w:pPr>
        <w:spacing w:line="360" w:lineRule="auto"/>
        <w:ind w:firstLine="420"/>
        <w:jc w:val="left"/>
        <w:rPr>
          <w:sz w:val="24"/>
          <w:szCs w:val="21"/>
        </w:rPr>
      </w:pPr>
      <w:r>
        <w:rPr>
          <w:rFonts w:hint="eastAsia"/>
          <w:sz w:val="24"/>
          <w:szCs w:val="21"/>
        </w:rPr>
        <w:t>在同一条件下，连续测量闪烁频率6次，测量结果如下：</w:t>
      </w: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32"/>
        <w:gridCol w:w="1031"/>
        <w:gridCol w:w="1031"/>
        <w:gridCol w:w="1031"/>
        <w:gridCol w:w="1033"/>
        <w:gridCol w:w="1033"/>
        <w:gridCol w:w="1033"/>
        <w:gridCol w:w="1033"/>
        <w:gridCol w:w="10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6" w:type="pct"/>
            <w:shd w:val="clear" w:color="auto" w:fill="auto"/>
            <w:vAlign w:val="center"/>
          </w:tcPr>
          <w:p>
            <w:pPr>
              <w:spacing w:line="360" w:lineRule="auto"/>
              <w:jc w:val="center"/>
              <w:rPr>
                <w:sz w:val="24"/>
                <w:szCs w:val="21"/>
              </w:rPr>
            </w:pPr>
            <w:r>
              <w:rPr>
                <w:rFonts w:hint="eastAsia"/>
                <w:sz w:val="24"/>
                <w:szCs w:val="21"/>
              </w:rPr>
              <w:t>次数</w:t>
            </w:r>
          </w:p>
        </w:tc>
        <w:tc>
          <w:tcPr>
            <w:tcW w:w="555" w:type="pct"/>
            <w:shd w:val="clear" w:color="auto" w:fill="auto"/>
            <w:vAlign w:val="center"/>
          </w:tcPr>
          <w:p>
            <w:pPr>
              <w:spacing w:line="360" w:lineRule="auto"/>
              <w:jc w:val="center"/>
              <w:rPr>
                <w:sz w:val="24"/>
                <w:szCs w:val="21"/>
              </w:rPr>
            </w:pPr>
            <w:r>
              <w:rPr>
                <w:rFonts w:hint="eastAsia"/>
                <w:sz w:val="24"/>
                <w:szCs w:val="21"/>
              </w:rPr>
              <w:t>1</w:t>
            </w:r>
          </w:p>
        </w:tc>
        <w:tc>
          <w:tcPr>
            <w:tcW w:w="555" w:type="pct"/>
            <w:shd w:val="clear" w:color="auto" w:fill="auto"/>
            <w:vAlign w:val="center"/>
          </w:tcPr>
          <w:p>
            <w:pPr>
              <w:spacing w:line="360" w:lineRule="auto"/>
              <w:jc w:val="center"/>
              <w:rPr>
                <w:sz w:val="24"/>
                <w:szCs w:val="21"/>
              </w:rPr>
            </w:pPr>
            <w:r>
              <w:rPr>
                <w:rFonts w:hint="eastAsia"/>
                <w:sz w:val="24"/>
                <w:szCs w:val="21"/>
              </w:rPr>
              <w:t>2</w:t>
            </w:r>
          </w:p>
        </w:tc>
        <w:tc>
          <w:tcPr>
            <w:tcW w:w="555" w:type="pct"/>
            <w:shd w:val="clear" w:color="auto" w:fill="auto"/>
            <w:vAlign w:val="center"/>
          </w:tcPr>
          <w:p>
            <w:pPr>
              <w:spacing w:line="360" w:lineRule="auto"/>
              <w:jc w:val="center"/>
              <w:rPr>
                <w:sz w:val="24"/>
                <w:szCs w:val="21"/>
              </w:rPr>
            </w:pPr>
            <w:r>
              <w:rPr>
                <w:rFonts w:hint="eastAsia"/>
                <w:sz w:val="24"/>
                <w:szCs w:val="21"/>
              </w:rPr>
              <w:t>3</w:t>
            </w:r>
          </w:p>
        </w:tc>
        <w:tc>
          <w:tcPr>
            <w:tcW w:w="556" w:type="pct"/>
            <w:shd w:val="clear" w:color="auto" w:fill="auto"/>
            <w:vAlign w:val="center"/>
          </w:tcPr>
          <w:p>
            <w:pPr>
              <w:spacing w:line="360" w:lineRule="auto"/>
              <w:jc w:val="center"/>
              <w:rPr>
                <w:sz w:val="24"/>
                <w:szCs w:val="21"/>
              </w:rPr>
            </w:pPr>
            <w:r>
              <w:rPr>
                <w:rFonts w:hint="eastAsia"/>
                <w:sz w:val="24"/>
                <w:szCs w:val="21"/>
              </w:rPr>
              <w:t>4</w:t>
            </w:r>
          </w:p>
        </w:tc>
        <w:tc>
          <w:tcPr>
            <w:tcW w:w="556" w:type="pct"/>
            <w:shd w:val="clear" w:color="auto" w:fill="auto"/>
            <w:vAlign w:val="center"/>
          </w:tcPr>
          <w:p>
            <w:pPr>
              <w:spacing w:line="360" w:lineRule="auto"/>
              <w:jc w:val="center"/>
              <w:rPr>
                <w:sz w:val="24"/>
                <w:szCs w:val="21"/>
              </w:rPr>
            </w:pPr>
            <w:r>
              <w:rPr>
                <w:rFonts w:hint="eastAsia"/>
                <w:sz w:val="24"/>
                <w:szCs w:val="21"/>
              </w:rPr>
              <w:t>5</w:t>
            </w:r>
          </w:p>
        </w:tc>
        <w:tc>
          <w:tcPr>
            <w:tcW w:w="556" w:type="pct"/>
            <w:shd w:val="clear" w:color="auto" w:fill="auto"/>
            <w:vAlign w:val="center"/>
          </w:tcPr>
          <w:p>
            <w:pPr>
              <w:spacing w:line="360" w:lineRule="auto"/>
              <w:jc w:val="center"/>
              <w:rPr>
                <w:sz w:val="24"/>
                <w:szCs w:val="21"/>
              </w:rPr>
            </w:pPr>
            <w:r>
              <w:rPr>
                <w:rFonts w:hint="eastAsia"/>
                <w:sz w:val="24"/>
                <w:szCs w:val="21"/>
              </w:rPr>
              <w:t>6</w:t>
            </w:r>
          </w:p>
        </w:tc>
        <w:tc>
          <w:tcPr>
            <w:tcW w:w="556" w:type="pct"/>
            <w:shd w:val="clear" w:color="auto" w:fill="auto"/>
            <w:vAlign w:val="center"/>
          </w:tcPr>
          <w:p>
            <w:pPr>
              <w:spacing w:line="360" w:lineRule="auto"/>
              <w:jc w:val="center"/>
              <w:rPr>
                <w:sz w:val="24"/>
                <w:szCs w:val="21"/>
              </w:rPr>
            </w:pPr>
            <w:r>
              <w:rPr>
                <w:rFonts w:hint="eastAsia"/>
                <w:sz w:val="24"/>
                <w:szCs w:val="21"/>
              </w:rPr>
              <w:t>平均值</w:t>
            </w:r>
          </w:p>
        </w:tc>
        <w:tc>
          <w:tcPr>
            <w:tcW w:w="556" w:type="pct"/>
            <w:vAlign w:val="center"/>
          </w:tcPr>
          <w:p>
            <w:pPr>
              <w:spacing w:line="360" w:lineRule="auto"/>
              <w:jc w:val="center"/>
              <w:rPr>
                <w:sz w:val="24"/>
                <w:szCs w:val="21"/>
              </w:rPr>
            </w:pPr>
            <w:r>
              <w:rPr>
                <w:rFonts w:hint="eastAsia"/>
                <w:sz w:val="24"/>
                <w:szCs w:val="21"/>
              </w:rPr>
              <w:t>标准差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6" w:type="pct"/>
            <w:shd w:val="clear" w:color="auto" w:fill="auto"/>
            <w:vAlign w:val="center"/>
          </w:tcPr>
          <w:p>
            <w:pPr>
              <w:spacing w:line="360" w:lineRule="auto"/>
              <w:jc w:val="center"/>
              <w:rPr>
                <w:sz w:val="24"/>
                <w:szCs w:val="21"/>
              </w:rPr>
            </w:pPr>
            <w:r>
              <w:rPr>
                <w:rFonts w:hint="eastAsia"/>
                <w:sz w:val="24"/>
                <w:szCs w:val="21"/>
              </w:rPr>
              <w:t>闪烁频率（Hz）</w:t>
            </w:r>
          </w:p>
        </w:tc>
        <w:tc>
          <w:tcPr>
            <w:tcW w:w="555" w:type="pct"/>
            <w:shd w:val="clear" w:color="auto" w:fill="auto"/>
            <w:vAlign w:val="center"/>
          </w:tcPr>
          <w:p>
            <w:pPr>
              <w:spacing w:line="360" w:lineRule="auto"/>
              <w:jc w:val="center"/>
              <w:rPr>
                <w:sz w:val="24"/>
                <w:szCs w:val="21"/>
              </w:rPr>
            </w:pPr>
            <w:r>
              <w:rPr>
                <w:rFonts w:hint="eastAsia"/>
                <w:sz w:val="24"/>
                <w:szCs w:val="21"/>
              </w:rPr>
              <w:t>60.01</w:t>
            </w:r>
          </w:p>
        </w:tc>
        <w:tc>
          <w:tcPr>
            <w:tcW w:w="555" w:type="pct"/>
            <w:shd w:val="clear" w:color="auto" w:fill="auto"/>
            <w:vAlign w:val="center"/>
          </w:tcPr>
          <w:p>
            <w:pPr>
              <w:spacing w:line="360" w:lineRule="auto"/>
              <w:jc w:val="center"/>
              <w:rPr>
                <w:sz w:val="24"/>
                <w:szCs w:val="21"/>
              </w:rPr>
            </w:pPr>
            <w:r>
              <w:rPr>
                <w:rFonts w:hint="eastAsia"/>
                <w:sz w:val="24"/>
                <w:szCs w:val="21"/>
              </w:rPr>
              <w:t>60.05</w:t>
            </w:r>
          </w:p>
        </w:tc>
        <w:tc>
          <w:tcPr>
            <w:tcW w:w="555" w:type="pct"/>
            <w:shd w:val="clear" w:color="auto" w:fill="auto"/>
            <w:vAlign w:val="center"/>
          </w:tcPr>
          <w:p>
            <w:pPr>
              <w:spacing w:line="360" w:lineRule="auto"/>
              <w:jc w:val="center"/>
              <w:rPr>
                <w:sz w:val="24"/>
                <w:szCs w:val="21"/>
              </w:rPr>
            </w:pPr>
            <w:r>
              <w:rPr>
                <w:rFonts w:hint="eastAsia"/>
                <w:sz w:val="24"/>
                <w:szCs w:val="21"/>
              </w:rPr>
              <w:t>60.03</w:t>
            </w:r>
          </w:p>
        </w:tc>
        <w:tc>
          <w:tcPr>
            <w:tcW w:w="556" w:type="pct"/>
            <w:shd w:val="clear" w:color="auto" w:fill="auto"/>
            <w:vAlign w:val="center"/>
          </w:tcPr>
          <w:p>
            <w:pPr>
              <w:spacing w:line="360" w:lineRule="auto"/>
              <w:jc w:val="center"/>
              <w:rPr>
                <w:sz w:val="24"/>
                <w:szCs w:val="21"/>
              </w:rPr>
            </w:pPr>
            <w:r>
              <w:rPr>
                <w:rFonts w:hint="eastAsia"/>
                <w:sz w:val="24"/>
                <w:szCs w:val="21"/>
              </w:rPr>
              <w:t>60.04</w:t>
            </w:r>
          </w:p>
        </w:tc>
        <w:tc>
          <w:tcPr>
            <w:tcW w:w="556" w:type="pct"/>
            <w:shd w:val="clear" w:color="auto" w:fill="auto"/>
            <w:vAlign w:val="center"/>
          </w:tcPr>
          <w:p>
            <w:pPr>
              <w:spacing w:line="360" w:lineRule="auto"/>
              <w:jc w:val="center"/>
              <w:rPr>
                <w:sz w:val="24"/>
                <w:szCs w:val="21"/>
              </w:rPr>
            </w:pPr>
            <w:r>
              <w:rPr>
                <w:rFonts w:hint="eastAsia"/>
                <w:sz w:val="24"/>
                <w:szCs w:val="21"/>
              </w:rPr>
              <w:t>60.01</w:t>
            </w:r>
          </w:p>
        </w:tc>
        <w:tc>
          <w:tcPr>
            <w:tcW w:w="556" w:type="pct"/>
            <w:shd w:val="clear" w:color="auto" w:fill="auto"/>
            <w:vAlign w:val="center"/>
          </w:tcPr>
          <w:p>
            <w:pPr>
              <w:spacing w:line="360" w:lineRule="auto"/>
              <w:jc w:val="center"/>
              <w:rPr>
                <w:sz w:val="24"/>
                <w:szCs w:val="21"/>
              </w:rPr>
            </w:pPr>
            <w:r>
              <w:rPr>
                <w:rFonts w:hint="eastAsia"/>
                <w:sz w:val="24"/>
                <w:szCs w:val="21"/>
              </w:rPr>
              <w:t>60.06</w:t>
            </w:r>
          </w:p>
        </w:tc>
        <w:tc>
          <w:tcPr>
            <w:tcW w:w="556" w:type="pct"/>
            <w:shd w:val="clear" w:color="auto" w:fill="auto"/>
            <w:vAlign w:val="center"/>
          </w:tcPr>
          <w:p>
            <w:pPr>
              <w:spacing w:line="360" w:lineRule="auto"/>
              <w:jc w:val="center"/>
              <w:rPr>
                <w:sz w:val="24"/>
                <w:szCs w:val="21"/>
              </w:rPr>
            </w:pPr>
            <w:r>
              <w:rPr>
                <w:rFonts w:hint="eastAsia"/>
                <w:sz w:val="24"/>
                <w:szCs w:val="21"/>
              </w:rPr>
              <w:t>60.03</w:t>
            </w:r>
          </w:p>
        </w:tc>
        <w:tc>
          <w:tcPr>
            <w:tcW w:w="556" w:type="pct"/>
            <w:vAlign w:val="center"/>
          </w:tcPr>
          <w:p>
            <w:pPr>
              <w:spacing w:line="360" w:lineRule="auto"/>
              <w:jc w:val="center"/>
              <w:rPr>
                <w:sz w:val="24"/>
                <w:szCs w:val="21"/>
              </w:rPr>
            </w:pPr>
            <w:r>
              <w:rPr>
                <w:rFonts w:hint="eastAsia"/>
                <w:sz w:val="24"/>
                <w:szCs w:val="21"/>
              </w:rPr>
              <w:t>0.02</w:t>
            </w:r>
          </w:p>
        </w:tc>
      </w:tr>
    </w:tbl>
    <w:p>
      <w:pPr>
        <w:spacing w:line="360" w:lineRule="auto"/>
        <w:ind w:firstLine="420"/>
        <w:jc w:val="left"/>
        <w:rPr>
          <w:sz w:val="24"/>
          <w:szCs w:val="21"/>
        </w:rPr>
      </w:pPr>
      <w:r>
        <w:rPr>
          <w:rFonts w:hint="eastAsia"/>
          <w:sz w:val="24"/>
          <w:szCs w:val="21"/>
        </w:rPr>
        <w:t>实际测试时为测量三次取平均值，因此</w:t>
      </w:r>
    </w:p>
    <w:p>
      <w:pPr>
        <w:spacing w:line="360" w:lineRule="auto"/>
        <w:ind w:firstLine="420"/>
        <w:jc w:val="left"/>
        <w:rPr>
          <w:i/>
          <w:sz w:val="24"/>
          <w:szCs w:val="21"/>
        </w:rPr>
      </w:pPr>
      <m:oMathPara>
        <m:oMath>
          <m:sSub>
            <m:sSubPr>
              <m:ctrlPr>
                <w:rPr>
                  <w:rFonts w:ascii="Cambria Math" w:hAnsi="Cambria Math"/>
                  <w:i/>
                  <w:sz w:val="24"/>
                  <w:szCs w:val="21"/>
                </w:rPr>
              </m:ctrlPr>
            </m:sSub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3</m:t>
              </m:r>
              <m:r>
                <m:rPr>
                  <m:sty m:val="p"/>
                </m:rPr>
                <w:rPr>
                  <w:rFonts w:ascii="Cambria Math" w:hAnsi="Cambria Math"/>
                  <w:sz w:val="24"/>
                  <w:szCs w:val="21"/>
                </w:rPr>
                <m:t>rel</m:t>
              </m:r>
              <m:ctrlPr>
                <w:rPr>
                  <w:rFonts w:ascii="Cambria Math" w:hAnsi="Cambria Math"/>
                  <w:i/>
                  <w:sz w:val="24"/>
                  <w:szCs w:val="21"/>
                </w:rPr>
              </m:ctrlPr>
            </m:sub>
          </m:sSub>
          <m:r>
            <m:rPr/>
            <w:rPr>
              <w:rFonts w:ascii="Cambria Math" w:hAnsi="Cambria Math"/>
              <w:sz w:val="24"/>
              <w:szCs w:val="21"/>
            </w:rPr>
            <m:t>=</m:t>
          </m:r>
          <m:f>
            <m:fPr>
              <m:ctrlPr>
                <w:rPr>
                  <w:rFonts w:ascii="Cambria Math" w:hAnsi="Cambria Math"/>
                  <w:i/>
                  <w:sz w:val="24"/>
                  <w:szCs w:val="21"/>
                </w:rPr>
              </m:ctrlPr>
            </m:fPr>
            <m:num>
              <m:r>
                <m:rPr/>
                <w:rPr>
                  <w:rFonts w:ascii="Cambria Math" w:hAnsi="Cambria Math"/>
                  <w:sz w:val="24"/>
                  <w:szCs w:val="21"/>
                </w:rPr>
                <m:t>0.034%</m:t>
              </m:r>
              <m:ctrlPr>
                <w:rPr>
                  <w:rFonts w:ascii="Cambria Math" w:hAnsi="Cambria Math"/>
                  <w:i/>
                  <w:sz w:val="24"/>
                  <w:szCs w:val="21"/>
                </w:rPr>
              </m:ctrlPr>
            </m:num>
            <m:den>
              <m:rad>
                <m:radPr>
                  <m:degHide m:val="1"/>
                  <m:ctrlPr>
                    <w:rPr>
                      <w:rFonts w:ascii="Cambria Math" w:hAnsi="Cambria Math"/>
                      <w:i/>
                      <w:sz w:val="24"/>
                      <w:szCs w:val="21"/>
                    </w:rPr>
                  </m:ctrlPr>
                </m:radPr>
                <m:deg>
                  <m:ctrlPr>
                    <w:rPr>
                      <w:rFonts w:ascii="Cambria Math" w:hAnsi="Cambria Math"/>
                      <w:i/>
                      <w:sz w:val="24"/>
                      <w:szCs w:val="21"/>
                    </w:rPr>
                  </m:ctrlPr>
                </m:deg>
                <m:e>
                  <m:r>
                    <m:rPr/>
                    <w:rPr>
                      <w:rFonts w:ascii="Cambria Math" w:hAnsi="Cambria Math"/>
                      <w:sz w:val="24"/>
                      <w:szCs w:val="21"/>
                    </w:rPr>
                    <m:t>3</m:t>
                  </m:r>
                  <m:ctrlPr>
                    <w:rPr>
                      <w:rFonts w:ascii="Cambria Math" w:hAnsi="Cambria Math"/>
                      <w:i/>
                      <w:sz w:val="24"/>
                      <w:szCs w:val="21"/>
                    </w:rPr>
                  </m:ctrlPr>
                </m:e>
              </m:rad>
              <m:ctrlPr>
                <w:rPr>
                  <w:rFonts w:ascii="Cambria Math" w:hAnsi="Cambria Math"/>
                  <w:i/>
                  <w:sz w:val="24"/>
                  <w:szCs w:val="21"/>
                </w:rPr>
              </m:ctrlPr>
            </m:den>
          </m:f>
          <m:r>
            <m:rPr/>
            <w:rPr>
              <w:rFonts w:ascii="Cambria Math" w:hAnsi="Cambria Math"/>
              <w:sz w:val="24"/>
              <w:szCs w:val="21"/>
            </w:rPr>
            <m:t>=0.02%</m:t>
          </m:r>
        </m:oMath>
      </m:oMathPara>
    </w:p>
    <w:p>
      <w:pPr>
        <w:spacing w:line="360" w:lineRule="auto"/>
        <w:ind w:firstLine="420"/>
        <w:jc w:val="left"/>
        <w:rPr>
          <w:sz w:val="24"/>
          <w:szCs w:val="21"/>
        </w:rPr>
      </w:pPr>
    </w:p>
    <w:p>
      <w:pPr>
        <w:spacing w:line="360" w:lineRule="auto"/>
        <w:rPr>
          <w:rFonts w:ascii="宋体" w:hAnsi="宋体"/>
          <w:sz w:val="24"/>
          <w:szCs w:val="21"/>
        </w:rPr>
      </w:pPr>
      <w:r>
        <w:rPr>
          <w:rFonts w:hint="eastAsia"/>
          <w:sz w:val="24"/>
        </w:rPr>
        <w:t>A.</w:t>
      </w:r>
      <w:r>
        <w:rPr>
          <w:sz w:val="24"/>
        </w:rPr>
        <w:t>3</w:t>
      </w:r>
      <w:r>
        <w:rPr>
          <w:rFonts w:hint="eastAsia"/>
          <w:sz w:val="24"/>
        </w:rPr>
        <w:t>.</w:t>
      </w:r>
      <w:r>
        <w:rPr>
          <w:sz w:val="24"/>
          <w:szCs w:val="21"/>
        </w:rPr>
        <w:t>3</w:t>
      </w:r>
      <w:r>
        <w:rPr>
          <w:rFonts w:hint="eastAsia" w:ascii="宋体" w:hAnsi="宋体"/>
          <w:sz w:val="24"/>
          <w:szCs w:val="21"/>
        </w:rPr>
        <w:t>合成标准不确定度</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516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3" w:type="pct"/>
            <w:gridSpan w:val="2"/>
            <w:tcBorders>
              <w:top w:val="single" w:color="auto" w:sz="4" w:space="0"/>
              <w:left w:val="single" w:color="auto" w:sz="4" w:space="0"/>
              <w:right w:val="single" w:color="auto" w:sz="4" w:space="0"/>
            </w:tcBorders>
            <w:vAlign w:val="center"/>
          </w:tcPr>
          <w:p>
            <w:pPr>
              <w:spacing w:line="288" w:lineRule="auto"/>
              <w:jc w:val="center"/>
              <w:rPr>
                <w:rFonts w:ascii="宋体" w:hAnsi="宋体"/>
                <w:sz w:val="24"/>
                <w:szCs w:val="21"/>
              </w:rPr>
            </w:pPr>
            <w:r>
              <w:rPr>
                <w:rFonts w:hint="eastAsia" w:ascii="宋体" w:hAnsi="宋体"/>
                <w:sz w:val="24"/>
                <w:szCs w:val="21"/>
              </w:rPr>
              <w:t>不确定度来源</w:t>
            </w:r>
          </w:p>
        </w:tc>
        <w:tc>
          <w:tcPr>
            <w:tcW w:w="1377" w:type="pct"/>
            <w:tcBorders>
              <w:top w:val="single" w:color="auto" w:sz="4" w:space="0"/>
              <w:left w:val="single" w:color="auto" w:sz="4" w:space="0"/>
              <w:right w:val="single" w:color="auto" w:sz="4" w:space="0"/>
            </w:tcBorders>
            <w:vAlign w:val="center"/>
          </w:tcPr>
          <w:p>
            <w:pPr>
              <w:spacing w:line="288" w:lineRule="auto"/>
              <w:ind w:firstLine="120" w:firstLineChars="50"/>
              <w:jc w:val="center"/>
              <w:rPr>
                <w:i/>
                <w:sz w:val="24"/>
                <w:szCs w:val="21"/>
              </w:rPr>
            </w:pPr>
            <w:r>
              <w:rPr>
                <w:i/>
                <w:sz w:val="24"/>
                <w:szCs w:val="21"/>
              </w:rPr>
              <w:t>u</w:t>
            </w:r>
            <w:r>
              <w:rPr>
                <w:sz w:val="24"/>
                <w:szCs w:val="21"/>
                <w:vertAlign w:val="subscript"/>
              </w:rPr>
              <w:t>i</w:t>
            </w:r>
            <w:r>
              <w:rPr>
                <w:rFonts w:hint="eastAsia"/>
                <w:sz w:val="2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2"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1"/>
              </w:rPr>
            </w:pPr>
            <w:r>
              <w:rPr>
                <w:i/>
                <w:sz w:val="24"/>
                <w:szCs w:val="21"/>
              </w:rPr>
              <w:t>u</w:t>
            </w:r>
            <w:r>
              <w:rPr>
                <w:sz w:val="24"/>
                <w:szCs w:val="21"/>
                <w:vertAlign w:val="subscript"/>
              </w:rPr>
              <w:t>1</w:t>
            </w:r>
            <w:r>
              <w:rPr>
                <w:rFonts w:hint="eastAsia"/>
                <w:sz w:val="24"/>
                <w:szCs w:val="21"/>
                <w:vertAlign w:val="subscript"/>
              </w:rPr>
              <w:t>rel</w:t>
            </w:r>
          </w:p>
        </w:tc>
        <w:tc>
          <w:tcPr>
            <w:tcW w:w="278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 w:val="24"/>
                <w:szCs w:val="21"/>
              </w:rPr>
            </w:pPr>
            <w:r>
              <w:rPr>
                <w:rFonts w:hint="eastAsia" w:ascii="宋体"/>
                <w:sz w:val="24"/>
                <w:szCs w:val="21"/>
              </w:rPr>
              <w:t>数字示波器上级溯源</w:t>
            </w:r>
          </w:p>
        </w:tc>
        <w:tc>
          <w:tcPr>
            <w:tcW w:w="1377" w:type="pct"/>
            <w:tcBorders>
              <w:top w:val="single" w:color="auto" w:sz="4" w:space="0"/>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2"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szCs w:val="21"/>
              </w:rPr>
            </w:pPr>
            <w:r>
              <w:rPr>
                <w:i/>
                <w:sz w:val="24"/>
                <w:szCs w:val="21"/>
              </w:rPr>
              <w:t>u</w:t>
            </w:r>
            <w:r>
              <w:rPr>
                <w:sz w:val="24"/>
                <w:szCs w:val="21"/>
                <w:vertAlign w:val="subscript"/>
              </w:rPr>
              <w:t>2</w:t>
            </w:r>
            <w:r>
              <w:rPr>
                <w:rFonts w:hint="eastAsia"/>
                <w:sz w:val="24"/>
                <w:szCs w:val="21"/>
                <w:vertAlign w:val="subscript"/>
              </w:rPr>
              <w:t>rel</w:t>
            </w:r>
          </w:p>
        </w:tc>
        <w:tc>
          <w:tcPr>
            <w:tcW w:w="278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 w:val="24"/>
                <w:szCs w:val="21"/>
              </w:rPr>
            </w:pPr>
            <w:r>
              <w:rPr>
                <w:rFonts w:hint="eastAsia"/>
                <w:bCs/>
                <w:sz w:val="24"/>
                <w:szCs w:val="21"/>
              </w:rPr>
              <w:t>高速光度传感器响应时间</w:t>
            </w:r>
          </w:p>
        </w:tc>
        <w:tc>
          <w:tcPr>
            <w:tcW w:w="1377" w:type="pct"/>
            <w:tcBorders>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2"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i/>
                <w:sz w:val="24"/>
                <w:szCs w:val="21"/>
              </w:rPr>
            </w:pPr>
            <w:r>
              <w:rPr>
                <w:i/>
                <w:sz w:val="24"/>
                <w:szCs w:val="21"/>
              </w:rPr>
              <w:t>u</w:t>
            </w:r>
            <w:r>
              <w:rPr>
                <w:rFonts w:hint="eastAsia"/>
                <w:sz w:val="24"/>
                <w:szCs w:val="21"/>
                <w:vertAlign w:val="subscript"/>
              </w:rPr>
              <w:t>3rel</w:t>
            </w:r>
          </w:p>
        </w:tc>
        <w:tc>
          <w:tcPr>
            <w:tcW w:w="2781" w:type="pct"/>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sz w:val="24"/>
                <w:szCs w:val="21"/>
              </w:rPr>
            </w:pPr>
            <w:r>
              <w:rPr>
                <w:rFonts w:hint="eastAsia"/>
                <w:bCs/>
                <w:sz w:val="24"/>
                <w:szCs w:val="21"/>
              </w:rPr>
              <w:t>显示屏闪烁率测定仪重复性</w:t>
            </w:r>
          </w:p>
        </w:tc>
        <w:tc>
          <w:tcPr>
            <w:tcW w:w="1377" w:type="pct"/>
            <w:tcBorders>
              <w:left w:val="single" w:color="auto" w:sz="4" w:space="0"/>
              <w:right w:val="single" w:color="auto" w:sz="4" w:space="0"/>
            </w:tcBorders>
            <w:shd w:val="clear" w:color="auto" w:fill="auto"/>
            <w:vAlign w:val="center"/>
          </w:tcPr>
          <w:p>
            <w:pPr>
              <w:spacing w:line="288" w:lineRule="auto"/>
              <w:jc w:val="center"/>
              <w:rPr>
                <w:sz w:val="24"/>
                <w:szCs w:val="21"/>
              </w:rPr>
            </w:pPr>
            <w:r>
              <w:rPr>
                <w:rFonts w:hint="eastAsia"/>
                <w:sz w:val="24"/>
                <w:szCs w:val="21"/>
              </w:rPr>
              <w:t>0.02</w:t>
            </w:r>
          </w:p>
        </w:tc>
      </w:tr>
    </w:tbl>
    <w:p>
      <w:pPr>
        <w:spacing w:line="288" w:lineRule="auto"/>
        <w:ind w:firstLine="480" w:firstLineChars="200"/>
        <w:rPr>
          <w:rFonts w:ascii="宋体" w:hAnsi="宋体"/>
          <w:sz w:val="24"/>
          <w:szCs w:val="21"/>
        </w:rPr>
      </w:pPr>
      <w:r>
        <w:rPr>
          <w:rFonts w:hint="eastAsia" w:ascii="宋体" w:hAnsi="宋体"/>
          <w:sz w:val="24"/>
          <w:szCs w:val="21"/>
        </w:rPr>
        <w:t>以上各项标准不确定度分量互不相关，所以合成标准不确定度：</w:t>
      </w:r>
    </w:p>
    <w:p>
      <w:pPr>
        <w:spacing w:line="360" w:lineRule="auto"/>
        <w:jc w:val="center"/>
        <w:rPr>
          <w:sz w:val="24"/>
          <w:szCs w:val="21"/>
        </w:rPr>
      </w:pPr>
      <m:oMathPara>
        <m:oMath>
          <m:sSub>
            <m:sSubPr>
              <m:ctrlPr>
                <w:rPr>
                  <w:rFonts w:ascii="Cambria Math" w:hAnsi="Cambria Math"/>
                  <w:i/>
                  <w:sz w:val="24"/>
                  <w:szCs w:val="21"/>
                </w:rPr>
              </m:ctrlPr>
            </m:sSub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c</m:t>
              </m:r>
              <m:r>
                <m:rPr>
                  <m:sty m:val="p"/>
                </m:rPr>
                <w:rPr>
                  <w:rFonts w:ascii="Cambria Math" w:hAnsi="Cambria Math"/>
                  <w:sz w:val="24"/>
                  <w:szCs w:val="21"/>
                </w:rPr>
                <m:t>rel</m:t>
              </m:r>
              <m:ctrlPr>
                <w:rPr>
                  <w:rFonts w:ascii="Cambria Math" w:hAnsi="Cambria Math"/>
                  <w:i/>
                  <w:sz w:val="24"/>
                  <w:szCs w:val="21"/>
                </w:rPr>
              </m:ctrlPr>
            </m:sub>
          </m:sSub>
          <m:r>
            <m:rPr>
              <m:sty m:val="p"/>
            </m:rPr>
            <w:rPr>
              <w:rFonts w:ascii="Cambria Math" w:hAnsi="Cambria Math"/>
              <w:sz w:val="24"/>
              <w:szCs w:val="21"/>
            </w:rPr>
            <m:t>=</m:t>
          </m:r>
          <m:rad>
            <m:radPr>
              <m:degHide m:val="1"/>
              <m:ctrlPr>
                <w:rPr>
                  <w:rFonts w:ascii="Cambria Math" w:hAnsi="Cambria Math"/>
                  <w:sz w:val="24"/>
                  <w:szCs w:val="21"/>
                </w:rPr>
              </m:ctrlPr>
            </m:radPr>
            <m:deg>
              <m:ctrlPr>
                <w:rPr>
                  <w:rFonts w:ascii="Cambria Math" w:hAnsi="Cambria Math"/>
                  <w:sz w:val="24"/>
                  <w:szCs w:val="21"/>
                </w:rPr>
              </m:ctrlPr>
            </m:deg>
            <m:e>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1</m:t>
                  </m:r>
                  <m:r>
                    <m:rPr>
                      <m:sty m:val="p"/>
                    </m:rPr>
                    <w:rPr>
                      <w:rFonts w:ascii="Cambria Math" w:hAnsi="Cambria Math"/>
                      <w:sz w:val="24"/>
                      <w:szCs w:val="21"/>
                    </w:rPr>
                    <m:t>rel</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r>
                <m:rPr/>
                <w:rPr>
                  <w:rFonts w:ascii="Cambria Math" w:hAnsi="Cambria Math"/>
                  <w:sz w:val="24"/>
                  <w:szCs w:val="21"/>
                </w:rPr>
                <m:t>+</m:t>
              </m:r>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2</m:t>
                  </m:r>
                  <m:r>
                    <m:rPr>
                      <m:sty m:val="p"/>
                    </m:rPr>
                    <w:rPr>
                      <w:rFonts w:ascii="Cambria Math" w:hAnsi="Cambria Math"/>
                      <w:sz w:val="24"/>
                      <w:szCs w:val="21"/>
                    </w:rPr>
                    <m:t>rel</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r>
                <m:rPr/>
                <w:rPr>
                  <w:rFonts w:ascii="Cambria Math" w:hAnsi="Cambria Math"/>
                  <w:sz w:val="24"/>
                  <w:szCs w:val="21"/>
                </w:rPr>
                <m:t>+</m:t>
              </m:r>
              <m:sSubSup>
                <m:sSubSupPr>
                  <m:ctrlPr>
                    <w:rPr>
                      <w:rFonts w:ascii="Cambria Math" w:hAnsi="Cambria Math"/>
                      <w:i/>
                      <w:sz w:val="24"/>
                      <w:szCs w:val="21"/>
                    </w:rPr>
                  </m:ctrlPr>
                </m:sSubSupPr>
                <m:e>
                  <m:r>
                    <m:rPr/>
                    <w:rPr>
                      <w:rFonts w:ascii="Cambria Math" w:hAnsi="Cambria Math"/>
                      <w:sz w:val="24"/>
                      <w:szCs w:val="21"/>
                    </w:rPr>
                    <m:t>u</m:t>
                  </m:r>
                  <m:ctrlPr>
                    <w:rPr>
                      <w:rFonts w:ascii="Cambria Math" w:hAnsi="Cambria Math"/>
                      <w:i/>
                      <w:sz w:val="24"/>
                      <w:szCs w:val="21"/>
                    </w:rPr>
                  </m:ctrlPr>
                </m:e>
                <m:sub>
                  <m:r>
                    <m:rPr/>
                    <w:rPr>
                      <w:rFonts w:ascii="Cambria Math" w:hAnsi="Cambria Math"/>
                      <w:sz w:val="24"/>
                      <w:szCs w:val="21"/>
                    </w:rPr>
                    <m:t>3</m:t>
                  </m:r>
                  <m:r>
                    <m:rPr>
                      <m:sty m:val="p"/>
                    </m:rPr>
                    <w:rPr>
                      <w:rFonts w:ascii="Cambria Math" w:hAnsi="Cambria Math"/>
                      <w:sz w:val="24"/>
                      <w:szCs w:val="21"/>
                    </w:rPr>
                    <m:t>rel</m:t>
                  </m:r>
                  <m:ctrlPr>
                    <w:rPr>
                      <w:rFonts w:ascii="Cambria Math" w:hAnsi="Cambria Math"/>
                      <w:i/>
                      <w:sz w:val="24"/>
                      <w:szCs w:val="21"/>
                    </w:rPr>
                  </m:ctrlPr>
                </m:sub>
                <m:sup>
                  <m:r>
                    <m:rPr/>
                    <w:rPr>
                      <w:rFonts w:ascii="Cambria Math" w:hAnsi="Cambria Math"/>
                      <w:sz w:val="24"/>
                      <w:szCs w:val="21"/>
                    </w:rPr>
                    <m:t>2</m:t>
                  </m:r>
                  <m:ctrlPr>
                    <w:rPr>
                      <w:rFonts w:ascii="Cambria Math" w:hAnsi="Cambria Math"/>
                      <w:i/>
                      <w:sz w:val="24"/>
                      <w:szCs w:val="21"/>
                    </w:rPr>
                  </m:ctrlPr>
                </m:sup>
              </m:sSubSup>
              <m:ctrlPr>
                <w:rPr>
                  <w:rFonts w:ascii="Cambria Math" w:hAnsi="Cambria Math"/>
                  <w:sz w:val="24"/>
                  <w:szCs w:val="21"/>
                </w:rPr>
              </m:ctrlPr>
            </m:e>
          </m:rad>
          <m:r>
            <m:rPr/>
            <w:rPr>
              <w:rFonts w:ascii="Cambria Math" w:hAnsi="Cambria Math"/>
              <w:sz w:val="24"/>
              <w:szCs w:val="21"/>
            </w:rPr>
            <m:t>=0.11%</m:t>
          </m:r>
        </m:oMath>
      </m:oMathPara>
    </w:p>
    <w:p>
      <w:pPr>
        <w:spacing w:line="360" w:lineRule="auto"/>
        <w:ind w:left="420"/>
        <w:jc w:val="left"/>
        <w:rPr>
          <w:sz w:val="24"/>
          <w:szCs w:val="22"/>
        </w:rPr>
      </w:pPr>
      <w:r>
        <w:rPr>
          <w:rFonts w:hint="eastAsia"/>
          <w:sz w:val="24"/>
          <w:szCs w:val="21"/>
        </w:rPr>
        <w:t>取</w:t>
      </w:r>
      <w:r>
        <w:rPr>
          <w:rFonts w:hint="eastAsia"/>
          <w:i/>
          <w:sz w:val="24"/>
          <w:szCs w:val="21"/>
        </w:rPr>
        <w:t>k</w:t>
      </w:r>
      <w:r>
        <w:rPr>
          <w:rFonts w:hint="eastAsia"/>
          <w:sz w:val="24"/>
          <w:szCs w:val="21"/>
        </w:rPr>
        <w:t>=2，则扩展不确定度</w:t>
      </w:r>
      <w:r>
        <w:rPr>
          <w:rFonts w:hint="eastAsia"/>
          <w:i/>
          <w:sz w:val="24"/>
          <w:szCs w:val="21"/>
        </w:rPr>
        <w:t>U</w:t>
      </w:r>
      <w:r>
        <w:rPr>
          <w:rFonts w:hint="eastAsia"/>
          <w:sz w:val="24"/>
          <w:szCs w:val="21"/>
          <w:vertAlign w:val="subscript"/>
        </w:rPr>
        <w:t>rel</w:t>
      </w:r>
      <w:r>
        <w:rPr>
          <w:rFonts w:hint="eastAsia"/>
          <w:sz w:val="24"/>
          <w:szCs w:val="21"/>
        </w:rPr>
        <w:t>为：</w:t>
      </w:r>
      <w:r>
        <w:rPr>
          <w:sz w:val="24"/>
          <w:szCs w:val="21"/>
        </w:rPr>
        <w:t xml:space="preserve"> </w:t>
      </w:r>
      <w:r>
        <w:rPr>
          <w:sz w:val="24"/>
          <w:szCs w:val="21"/>
        </w:rPr>
        <w:fldChar w:fldCharType="begin"/>
      </w:r>
      <w:r>
        <w:rPr>
          <w:sz w:val="24"/>
          <w:szCs w:val="21"/>
        </w:rPr>
        <w:instrText xml:space="preserve"> QUOTE </w:instrText>
      </w:r>
      <m:oMath>
        <m:sSub>
          <m:sSubPr>
            <m:ctrlPr>
              <w:rPr>
                <w:rFonts w:ascii="Cambria Math" w:hAnsi="Cambria Math"/>
                <w:sz w:val="24"/>
                <w:szCs w:val="21"/>
              </w:rPr>
            </m:ctrlPr>
          </m:sSubPr>
          <m:e>
            <m:r>
              <m:rPr>
                <m:sty m:val="p"/>
              </m:rPr>
              <w:rPr>
                <w:rFonts w:ascii="Cambria Math" w:hAnsi="Cambria Math"/>
                <w:sz w:val="24"/>
                <w:szCs w:val="21"/>
              </w:rPr>
              <m:t xml:space="preserve">U</m:t>
            </m:r>
            <m:ctrlPr>
              <w:rPr>
                <w:rFonts w:ascii="Cambria Math" w:hAnsi="Cambria Math"/>
                <w:sz w:val="24"/>
                <w:szCs w:val="21"/>
              </w:rPr>
            </m:ctrlPr>
          </m:e>
          <m:sub>
            <m:r>
              <m:rPr>
                <m:sty m:val="p"/>
              </m:rPr>
              <w:rPr>
                <w:rFonts w:ascii="Cambria Math" w:hAnsi="Cambria Math"/>
                <w:sz w:val="24"/>
                <w:szCs w:val="21"/>
              </w:rPr>
              <m:t xml:space="preserve">rel</m:t>
            </m:r>
            <m:ctrlPr>
              <w:rPr>
                <w:rFonts w:ascii="Cambria Math" w:hAnsi="Cambria Math"/>
                <w:sz w:val="24"/>
                <w:szCs w:val="21"/>
              </w:rPr>
            </m:ctrlPr>
          </m:sub>
        </m:sSub>
        <m:r>
          <m:rPr>
            <m:sty m:val="p"/>
          </m:rPr>
          <w:rPr>
            <w:rFonts w:ascii="Cambria Math" w:hAnsi="Cambria Math"/>
            <w:sz w:val="24"/>
            <w:szCs w:val="21"/>
          </w:rPr>
          <m:t xml:space="preserve">=2</m:t>
        </m:r>
        <m:sSub>
          <m:sSubPr>
            <m:ctrlPr>
              <w:rPr>
                <w:rFonts w:ascii="Cambria Math" w:hAnsi="Cambria Math"/>
                <w:sz w:val="24"/>
                <w:szCs w:val="21"/>
              </w:rPr>
            </m:ctrlPr>
          </m:sSubPr>
          <m:e>
            <m:r>
              <m:rPr>
                <m:sty m:val="p"/>
              </m:rPr>
              <w:rPr>
                <w:rFonts w:ascii="Cambria Math" w:hAnsi="Cambria Math"/>
                <w:sz w:val="24"/>
                <w:szCs w:val="21"/>
              </w:rPr>
              <m:t xml:space="preserve">u</m:t>
            </m:r>
            <m:ctrlPr>
              <w:rPr>
                <w:rFonts w:ascii="Cambria Math" w:hAnsi="Cambria Math"/>
                <w:sz w:val="24"/>
                <w:szCs w:val="21"/>
              </w:rPr>
            </m:ctrlPr>
          </m:e>
          <m:sub>
            <m:r>
              <m:rPr>
                <m:sty m:val="p"/>
              </m:rPr>
              <w:rPr>
                <w:rFonts w:ascii="Cambria Math" w:hAnsi="Cambria Math"/>
                <w:sz w:val="24"/>
                <w:szCs w:val="21"/>
              </w:rPr>
              <m:t xml:space="preserve">c</m:t>
            </m:r>
            <m:ctrlPr>
              <w:rPr>
                <w:rFonts w:ascii="Cambria Math" w:hAnsi="Cambria Math"/>
                <w:sz w:val="24"/>
                <w:szCs w:val="21"/>
              </w:rPr>
            </m:ctrlPr>
          </m:sub>
        </m:sSub>
        <m:r>
          <m:rPr>
            <m:sty m:val="p"/>
          </m:rPr>
          <w:rPr>
            <w:rFonts w:ascii="Cambria Math" w:hAnsi="Cambria Math"/>
            <w:sz w:val="24"/>
            <w:szCs w:val="21"/>
          </w:rPr>
          <m:t xml:space="preserve">=2.0%    </m:t>
        </m:r>
        <m:d>
          <m:dPr>
            <m:ctrlPr>
              <w:rPr>
                <w:rFonts w:ascii="Cambria Math" w:hAnsi="Cambria Math"/>
                <w:sz w:val="24"/>
                <w:szCs w:val="21"/>
              </w:rPr>
            </m:ctrlPr>
          </m:dPr>
          <m:e>
            <m:r>
              <m:rPr>
                <m:sty m:val="p"/>
              </m:rPr>
              <w:rPr>
                <w:rFonts w:ascii="Cambria Math" w:hAnsi="Cambria Math"/>
                <w:sz w:val="24"/>
                <w:szCs w:val="21"/>
              </w:rPr>
              <m:t xml:space="preserve">k=2</m:t>
            </m:r>
            <m:ctrlPr>
              <w:rPr>
                <w:rFonts w:ascii="Cambria Math" w:hAnsi="Cambria Math"/>
                <w:sz w:val="24"/>
                <w:szCs w:val="21"/>
              </w:rPr>
            </m:ctrlPr>
          </m:e>
        </m:d>
      </m:oMath>
      <w:r>
        <w:rPr>
          <w:sz w:val="24"/>
          <w:szCs w:val="21"/>
        </w:rPr>
        <w:fldChar w:fldCharType="end"/>
      </w:r>
    </w:p>
    <w:p>
      <w:pPr>
        <w:spacing w:line="360" w:lineRule="auto"/>
        <w:ind w:left="420"/>
        <w:jc w:val="center"/>
        <w:rPr>
          <w:sz w:val="24"/>
          <w:szCs w:val="22"/>
        </w:rPr>
      </w:pPr>
      <w:r>
        <w:rPr>
          <w:rFonts w:hint="eastAsia"/>
          <w:i/>
          <w:sz w:val="24"/>
          <w:szCs w:val="22"/>
        </w:rPr>
        <w:t>U</w:t>
      </w:r>
      <w:r>
        <w:rPr>
          <w:rFonts w:hint="eastAsia"/>
          <w:sz w:val="24"/>
          <w:szCs w:val="22"/>
          <w:vertAlign w:val="subscript"/>
        </w:rPr>
        <w:t>rel</w:t>
      </w:r>
      <w:r>
        <w:rPr>
          <w:rFonts w:hint="eastAsia"/>
          <w:sz w:val="24"/>
          <w:szCs w:val="22"/>
        </w:rPr>
        <w:t xml:space="preserve">=0.22% </w:t>
      </w:r>
      <w:r>
        <w:rPr>
          <w:sz w:val="24"/>
          <w:szCs w:val="22"/>
        </w:rPr>
        <w:t>(</w:t>
      </w:r>
      <w:r>
        <w:rPr>
          <w:i/>
          <w:sz w:val="24"/>
          <w:szCs w:val="22"/>
        </w:rPr>
        <w:t>k</w:t>
      </w:r>
      <w:r>
        <w:rPr>
          <w:sz w:val="24"/>
          <w:szCs w:val="22"/>
        </w:rPr>
        <w:t>=2)</w:t>
      </w:r>
    </w:p>
    <w:p>
      <w:pPr>
        <w:widowControl/>
        <w:jc w:val="left"/>
        <w:rPr>
          <w:sz w:val="24"/>
          <w:szCs w:val="22"/>
        </w:rPr>
      </w:pPr>
      <w:r>
        <w:rPr>
          <w:sz w:val="24"/>
          <w:szCs w:val="22"/>
        </w:rPr>
        <w:br w:type="page"/>
      </w:r>
    </w:p>
    <w:p>
      <w:pPr>
        <w:pStyle w:val="2"/>
        <w:spacing w:before="100" w:after="100"/>
        <w:rPr>
          <w:rFonts w:ascii="黑体" w:hAnsi="黑体" w:eastAsia="黑体"/>
          <w:b w:val="0"/>
          <w:color w:val="FFFFFF" w:themeColor="background1"/>
          <w:sz w:val="28"/>
          <w:szCs w:val="28"/>
        </w:rPr>
      </w:pPr>
      <w:bookmarkStart w:id="27" w:name="_Toc124506242"/>
      <w:bookmarkStart w:id="28" w:name="_Toc438025710"/>
      <w:r>
        <w:rPr>
          <w:rFonts w:hint="eastAsia" w:ascii="黑体" w:hAnsi="黑体" w:eastAsia="黑体"/>
          <w:b w:val="0"/>
          <w:sz w:val="28"/>
          <w:szCs w:val="28"/>
        </w:rPr>
        <w:t>附录B</w:t>
      </w:r>
      <w:r>
        <w:rPr>
          <w:rFonts w:hint="eastAsia" w:ascii="黑体" w:hAnsi="黑体" w:eastAsia="黑体"/>
          <w:b w:val="0"/>
          <w:color w:val="FFFFFF" w:themeColor="background1"/>
          <w:sz w:val="28"/>
          <w:szCs w:val="28"/>
        </w:rPr>
        <w:t>校准原始记录格式</w:t>
      </w:r>
      <w:bookmarkEnd w:id="27"/>
    </w:p>
    <w:p>
      <w:pPr>
        <w:spacing w:afterLines="50"/>
        <w:jc w:val="center"/>
        <w:rPr>
          <w:rFonts w:ascii="黑体" w:hAnsi="黑体" w:eastAsia="黑体"/>
          <w:sz w:val="28"/>
          <w:szCs w:val="28"/>
        </w:rPr>
      </w:pPr>
      <w:r>
        <w:rPr>
          <w:rFonts w:hint="eastAsia" w:ascii="黑体" w:hAnsi="黑体" w:eastAsia="黑体"/>
          <w:sz w:val="28"/>
          <w:szCs w:val="28"/>
        </w:rPr>
        <w:t>校准原始记录格式</w:t>
      </w:r>
      <w:bookmarkEnd w:id="28"/>
    </w:p>
    <w:p>
      <w:pPr>
        <w:spacing w:line="288" w:lineRule="auto"/>
        <w:jc w:val="center"/>
        <w:rPr>
          <w:b/>
          <w:sz w:val="24"/>
          <w:szCs w:val="22"/>
        </w:rPr>
      </w:pPr>
      <w:bookmarkStart w:id="29" w:name="_Toc351584091"/>
      <w:bookmarkStart w:id="30" w:name="_Toc351582881"/>
      <w:bookmarkStart w:id="31" w:name="_Toc349567376"/>
      <w:bookmarkStart w:id="32" w:name="_Toc354670440"/>
      <w:bookmarkStart w:id="33" w:name="_Toc53217834"/>
      <w:r>
        <w:rPr>
          <w:rFonts w:hint="eastAsia"/>
          <w:b/>
          <w:sz w:val="24"/>
          <w:szCs w:val="22"/>
        </w:rPr>
        <w:t>显示屏闪烁率测定仪校准原始记录</w:t>
      </w:r>
    </w:p>
    <w:p>
      <w:pPr>
        <w:spacing w:line="240" w:lineRule="exact"/>
        <w:ind w:left="7289" w:right="-82" w:rightChars="-39" w:hanging="7288" w:hangingChars="3037"/>
        <w:jc w:val="left"/>
        <w:rPr>
          <w:rFonts w:ascii="宋体" w:hAnsi="宋体"/>
          <w:bCs/>
          <w:sz w:val="24"/>
          <w:szCs w:val="22"/>
          <w:u w:val="single"/>
        </w:rPr>
      </w:pPr>
      <w:r>
        <w:rPr>
          <w:rFonts w:hint="eastAsia" w:ascii="宋体" w:hAnsi="宋体"/>
          <w:bCs/>
          <w:sz w:val="24"/>
          <w:szCs w:val="22"/>
        </w:rPr>
        <w:t>原始记录编号                            证书编号</w:t>
      </w:r>
    </w:p>
    <w:p>
      <w:pPr>
        <w:spacing w:before="240" w:line="240" w:lineRule="exact"/>
        <w:rPr>
          <w:rFonts w:ascii="宋体" w:hAnsi="宋体"/>
          <w:bCs/>
          <w:sz w:val="24"/>
          <w:szCs w:val="22"/>
          <w:u w:val="single"/>
        </w:rPr>
      </w:pPr>
      <w:r>
        <w:rPr>
          <w:rFonts w:hint="eastAsia" w:ascii="宋体" w:hAnsi="宋体"/>
          <w:bCs/>
          <w:sz w:val="24"/>
          <w:szCs w:val="22"/>
        </w:rPr>
        <w:t>委托方                                  校准日期</w:t>
      </w:r>
    </w:p>
    <w:p>
      <w:pPr>
        <w:spacing w:before="240" w:line="240" w:lineRule="exact"/>
        <w:rPr>
          <w:rFonts w:ascii="宋体" w:hAnsi="宋体"/>
          <w:bCs/>
          <w:sz w:val="24"/>
          <w:szCs w:val="22"/>
          <w:u w:val="single"/>
        </w:rPr>
      </w:pPr>
      <w:r>
        <w:rPr>
          <w:rFonts w:hint="eastAsia" w:ascii="宋体" w:hAnsi="宋体"/>
          <w:bCs/>
          <w:sz w:val="24"/>
          <w:szCs w:val="22"/>
        </w:rPr>
        <w:t>器具名称            型号规格            设备编号</w:t>
      </w:r>
    </w:p>
    <w:p>
      <w:pPr>
        <w:spacing w:before="240" w:line="240" w:lineRule="exact"/>
        <w:rPr>
          <w:rFonts w:ascii="宋体" w:hAnsi="宋体"/>
          <w:bCs/>
          <w:sz w:val="24"/>
          <w:szCs w:val="22"/>
          <w:u w:val="single"/>
        </w:rPr>
      </w:pPr>
      <w:r>
        <w:rPr>
          <w:rFonts w:hint="eastAsia" w:ascii="宋体" w:hAnsi="宋体"/>
          <w:bCs/>
          <w:sz w:val="24"/>
          <w:szCs w:val="22"/>
        </w:rPr>
        <w:t>制造厂              出厂编号            联系人/电话</w:t>
      </w:r>
    </w:p>
    <w:p>
      <w:pPr>
        <w:spacing w:before="240" w:after="240" w:line="240" w:lineRule="exact"/>
        <w:ind w:right="-260" w:rightChars="-124"/>
        <w:rPr>
          <w:rFonts w:ascii="宋体" w:hAnsi="宋体"/>
          <w:bCs/>
          <w:sz w:val="24"/>
          <w:szCs w:val="22"/>
        </w:rPr>
      </w:pPr>
      <w:r>
        <w:rPr>
          <w:rFonts w:hint="eastAsia" w:ascii="宋体" w:hAnsi="宋体"/>
          <w:bCs/>
          <w:sz w:val="24"/>
          <w:szCs w:val="22"/>
        </w:rPr>
        <w:t>技术依据：          校准地点：          室温    ℃  湿度    %RH</w:t>
      </w:r>
    </w:p>
    <w:tbl>
      <w:tblPr>
        <w:tblStyle w:val="36"/>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59"/>
        <w:gridCol w:w="951"/>
        <w:gridCol w:w="263"/>
        <w:gridCol w:w="688"/>
        <w:gridCol w:w="871"/>
        <w:gridCol w:w="79"/>
        <w:gridCol w:w="951"/>
        <w:gridCol w:w="71"/>
        <w:gridCol w:w="317"/>
        <w:gridCol w:w="563"/>
        <w:gridCol w:w="950"/>
        <w:gridCol w:w="46"/>
        <w:gridCol w:w="905"/>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56" w:type="dxa"/>
            <w:gridSpan w:val="15"/>
            <w:vAlign w:val="center"/>
          </w:tcPr>
          <w:p>
            <w:pPr>
              <w:spacing w:line="280" w:lineRule="exact"/>
              <w:rPr>
                <w:rFonts w:ascii="宋体" w:hAnsi="宋体"/>
                <w:sz w:val="24"/>
                <w:szCs w:val="22"/>
              </w:rPr>
            </w:pPr>
            <w:r>
              <w:rPr>
                <w:rFonts w:hint="eastAsia" w:ascii="宋体" w:hAnsi="宋体"/>
                <w:sz w:val="24"/>
                <w:szCs w:val="22"/>
              </w:rPr>
              <w:t xml:space="preserve">1.闪烁率：参考闪烁源设置：波形:      频率:      平均亮度：   </w:t>
            </w:r>
          </w:p>
          <w:p>
            <w:pPr>
              <w:spacing w:line="280" w:lineRule="exact"/>
              <w:rPr>
                <w:rFonts w:ascii="宋体" w:hAnsi="宋体"/>
                <w:sz w:val="24"/>
                <w:szCs w:val="22"/>
              </w:rPr>
            </w:pPr>
            <w:r>
              <w:rPr>
                <w:rFonts w:hint="eastAsia" w:ascii="宋体" w:hAnsi="宋体"/>
                <w:sz w:val="24"/>
                <w:szCs w:val="22"/>
              </w:rPr>
              <w:t>闪烁率计算方法：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02" w:type="dxa"/>
            <w:gridSpan w:val="7"/>
            <w:vAlign w:val="center"/>
          </w:tcPr>
          <w:p>
            <w:pPr>
              <w:spacing w:line="280" w:lineRule="exact"/>
              <w:jc w:val="center"/>
              <w:rPr>
                <w:rFonts w:ascii="宋体" w:hAnsi="宋体"/>
                <w:sz w:val="24"/>
                <w:szCs w:val="22"/>
              </w:rPr>
            </w:pPr>
            <w:r>
              <w:rPr>
                <w:rFonts w:hint="eastAsia" w:ascii="宋体" w:hAnsi="宋体"/>
                <w:sz w:val="24"/>
                <w:szCs w:val="22"/>
              </w:rPr>
              <w:t>标准值</w:t>
            </w:r>
          </w:p>
        </w:tc>
        <w:tc>
          <w:tcPr>
            <w:tcW w:w="3803" w:type="dxa"/>
            <w:gridSpan w:val="7"/>
            <w:vAlign w:val="center"/>
          </w:tcPr>
          <w:p>
            <w:pPr>
              <w:spacing w:line="280" w:lineRule="exact"/>
              <w:jc w:val="center"/>
              <w:rPr>
                <w:rFonts w:ascii="宋体" w:hAnsi="宋体"/>
                <w:sz w:val="24"/>
                <w:szCs w:val="22"/>
              </w:rPr>
            </w:pPr>
            <w:r>
              <w:rPr>
                <w:rFonts w:hint="eastAsia" w:ascii="宋体" w:hAnsi="宋体"/>
                <w:sz w:val="24"/>
                <w:szCs w:val="22"/>
              </w:rPr>
              <w:t>被校示值</w:t>
            </w:r>
          </w:p>
        </w:tc>
        <w:tc>
          <w:tcPr>
            <w:tcW w:w="951" w:type="dxa"/>
            <w:vMerge w:val="restart"/>
            <w:vAlign w:val="center"/>
          </w:tcPr>
          <w:p>
            <w:pPr>
              <w:spacing w:line="280" w:lineRule="exact"/>
              <w:jc w:val="center"/>
              <w:rPr>
                <w:rFonts w:ascii="宋体" w:hAnsi="宋体"/>
                <w:sz w:val="24"/>
                <w:szCs w:val="22"/>
              </w:rPr>
            </w:pPr>
            <w:r>
              <w:rPr>
                <w:rFonts w:hint="eastAsia" w:ascii="宋体" w:hAnsi="宋体"/>
                <w:sz w:val="24"/>
                <w:szCs w:val="22"/>
              </w:rPr>
              <w:t>示值</w:t>
            </w:r>
          </w:p>
          <w:p>
            <w:pPr>
              <w:spacing w:line="280" w:lineRule="exact"/>
              <w:jc w:val="center"/>
              <w:rPr>
                <w:rFonts w:ascii="宋体" w:hAnsi="宋体"/>
                <w:sz w:val="24"/>
                <w:szCs w:val="22"/>
              </w:rPr>
            </w:pPr>
            <w:r>
              <w:rPr>
                <w:rFonts w:hint="eastAsia" w:ascii="宋体" w:hAnsi="宋体"/>
                <w:sz w:val="24"/>
                <w:szCs w:val="22"/>
              </w:rPr>
              <w:t>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r>
              <w:rPr>
                <w:rFonts w:hint="eastAsia" w:ascii="宋体" w:hAnsi="宋体"/>
                <w:sz w:val="24"/>
                <w:szCs w:val="22"/>
              </w:rPr>
              <w:t>第1次</w:t>
            </w:r>
          </w:p>
        </w:tc>
        <w:tc>
          <w:tcPr>
            <w:tcW w:w="951" w:type="dxa"/>
            <w:vAlign w:val="center"/>
          </w:tcPr>
          <w:p>
            <w:pPr>
              <w:spacing w:line="280" w:lineRule="exact"/>
              <w:jc w:val="center"/>
              <w:rPr>
                <w:rFonts w:ascii="宋体" w:hAnsi="宋体"/>
                <w:sz w:val="24"/>
                <w:szCs w:val="22"/>
              </w:rPr>
            </w:pPr>
            <w:r>
              <w:rPr>
                <w:rFonts w:hint="eastAsia" w:ascii="宋体" w:hAnsi="宋体"/>
                <w:sz w:val="24"/>
                <w:szCs w:val="22"/>
              </w:rPr>
              <w:t>第2次</w:t>
            </w:r>
          </w:p>
        </w:tc>
        <w:tc>
          <w:tcPr>
            <w:tcW w:w="951" w:type="dxa"/>
            <w:gridSpan w:val="2"/>
            <w:vAlign w:val="center"/>
          </w:tcPr>
          <w:p>
            <w:pPr>
              <w:spacing w:line="280" w:lineRule="exact"/>
              <w:jc w:val="center"/>
              <w:rPr>
                <w:rFonts w:ascii="宋体" w:hAnsi="宋体"/>
                <w:sz w:val="24"/>
                <w:szCs w:val="22"/>
              </w:rPr>
            </w:pPr>
            <w:r>
              <w:rPr>
                <w:rFonts w:hint="eastAsia" w:ascii="宋体" w:hAnsi="宋体"/>
                <w:sz w:val="24"/>
                <w:szCs w:val="22"/>
              </w:rPr>
              <w:t>第3次</w:t>
            </w:r>
          </w:p>
        </w:tc>
        <w:tc>
          <w:tcPr>
            <w:tcW w:w="950" w:type="dxa"/>
            <w:gridSpan w:val="2"/>
            <w:vAlign w:val="center"/>
          </w:tcPr>
          <w:p>
            <w:pPr>
              <w:spacing w:line="280" w:lineRule="exact"/>
              <w:jc w:val="center"/>
              <w:rPr>
                <w:rFonts w:ascii="宋体" w:hAnsi="宋体"/>
                <w:sz w:val="24"/>
                <w:szCs w:val="22"/>
              </w:rPr>
            </w:pPr>
            <w:r>
              <w:rPr>
                <w:rFonts w:hint="eastAsia" w:ascii="宋体" w:hAnsi="宋体"/>
                <w:sz w:val="24"/>
                <w:szCs w:val="22"/>
              </w:rPr>
              <w:t>平均值</w:t>
            </w:r>
          </w:p>
        </w:tc>
        <w:tc>
          <w:tcPr>
            <w:tcW w:w="951" w:type="dxa"/>
            <w:vAlign w:val="center"/>
          </w:tcPr>
          <w:p>
            <w:pPr>
              <w:spacing w:line="280" w:lineRule="exact"/>
              <w:jc w:val="center"/>
              <w:rPr>
                <w:rFonts w:ascii="宋体" w:hAnsi="宋体"/>
                <w:sz w:val="24"/>
                <w:szCs w:val="22"/>
              </w:rPr>
            </w:pPr>
            <w:r>
              <w:rPr>
                <w:rFonts w:hint="eastAsia" w:ascii="宋体" w:hAnsi="宋体"/>
                <w:sz w:val="24"/>
                <w:szCs w:val="22"/>
              </w:rPr>
              <w:t>第1次</w:t>
            </w:r>
          </w:p>
        </w:tc>
        <w:tc>
          <w:tcPr>
            <w:tcW w:w="951" w:type="dxa"/>
            <w:gridSpan w:val="3"/>
            <w:vAlign w:val="center"/>
          </w:tcPr>
          <w:p>
            <w:pPr>
              <w:spacing w:line="280" w:lineRule="exact"/>
              <w:jc w:val="center"/>
              <w:rPr>
                <w:rFonts w:ascii="宋体" w:hAnsi="宋体"/>
                <w:sz w:val="24"/>
                <w:szCs w:val="22"/>
              </w:rPr>
            </w:pPr>
            <w:r>
              <w:rPr>
                <w:rFonts w:hint="eastAsia" w:ascii="宋体" w:hAnsi="宋体"/>
                <w:sz w:val="24"/>
                <w:szCs w:val="22"/>
              </w:rPr>
              <w:t>第2次</w:t>
            </w:r>
          </w:p>
        </w:tc>
        <w:tc>
          <w:tcPr>
            <w:tcW w:w="950" w:type="dxa"/>
            <w:vAlign w:val="center"/>
          </w:tcPr>
          <w:p>
            <w:pPr>
              <w:spacing w:line="280" w:lineRule="exact"/>
              <w:jc w:val="center"/>
              <w:rPr>
                <w:rFonts w:ascii="宋体" w:hAnsi="宋体"/>
                <w:sz w:val="24"/>
                <w:szCs w:val="22"/>
              </w:rPr>
            </w:pPr>
            <w:r>
              <w:rPr>
                <w:rFonts w:hint="eastAsia" w:ascii="宋体" w:hAnsi="宋体"/>
                <w:sz w:val="24"/>
                <w:szCs w:val="22"/>
              </w:rPr>
              <w:t>第3次</w:t>
            </w:r>
          </w:p>
        </w:tc>
        <w:tc>
          <w:tcPr>
            <w:tcW w:w="951" w:type="dxa"/>
            <w:gridSpan w:val="2"/>
            <w:vAlign w:val="center"/>
          </w:tcPr>
          <w:p>
            <w:pPr>
              <w:spacing w:line="280" w:lineRule="exact"/>
              <w:jc w:val="center"/>
              <w:rPr>
                <w:rFonts w:ascii="宋体" w:hAnsi="宋体"/>
                <w:sz w:val="24"/>
                <w:szCs w:val="22"/>
              </w:rPr>
            </w:pPr>
            <w:r>
              <w:rPr>
                <w:rFonts w:hint="eastAsia" w:ascii="宋体" w:hAnsi="宋体"/>
                <w:sz w:val="24"/>
                <w:szCs w:val="22"/>
              </w:rPr>
              <w:t>平均值</w:t>
            </w:r>
          </w:p>
        </w:tc>
        <w:tc>
          <w:tcPr>
            <w:tcW w:w="951" w:type="dxa"/>
            <w:vMerge w:val="continue"/>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56" w:type="dxa"/>
            <w:gridSpan w:val="15"/>
            <w:vAlign w:val="center"/>
          </w:tcPr>
          <w:p>
            <w:pPr>
              <w:spacing w:line="280" w:lineRule="exact"/>
              <w:rPr>
                <w:rFonts w:ascii="宋体" w:hAnsi="宋体"/>
                <w:sz w:val="24"/>
                <w:szCs w:val="22"/>
              </w:rPr>
            </w:pPr>
            <w:r>
              <w:rPr>
                <w:rFonts w:hint="eastAsia" w:ascii="宋体" w:hAnsi="宋体"/>
                <w:sz w:val="24"/>
                <w:szCs w:val="22"/>
              </w:rPr>
              <w:t>2.</w:t>
            </w:r>
            <w:r>
              <w:rPr>
                <w:rFonts w:hint="eastAsia"/>
                <w:sz w:val="24"/>
                <w:szCs w:val="22"/>
              </w:rPr>
              <w:t>闪烁频率（Hz）：</w:t>
            </w:r>
            <w:r>
              <w:rPr>
                <w:rFonts w:hint="eastAsia" w:ascii="宋体" w:hAnsi="宋体"/>
                <w:sz w:val="24"/>
                <w:szCs w:val="22"/>
              </w:rPr>
              <w:t xml:space="preserve">参考闪烁源设置：波形:      振幅:      平均亮度：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02" w:type="dxa"/>
            <w:gridSpan w:val="7"/>
            <w:vAlign w:val="center"/>
          </w:tcPr>
          <w:p>
            <w:pPr>
              <w:spacing w:line="280" w:lineRule="exact"/>
              <w:jc w:val="center"/>
              <w:rPr>
                <w:rFonts w:ascii="宋体" w:hAnsi="宋体"/>
                <w:sz w:val="24"/>
                <w:szCs w:val="22"/>
              </w:rPr>
            </w:pPr>
            <w:r>
              <w:rPr>
                <w:rFonts w:hint="eastAsia" w:ascii="宋体" w:hAnsi="宋体"/>
                <w:sz w:val="24"/>
                <w:szCs w:val="22"/>
              </w:rPr>
              <w:t>标准值</w:t>
            </w:r>
          </w:p>
        </w:tc>
        <w:tc>
          <w:tcPr>
            <w:tcW w:w="3803" w:type="dxa"/>
            <w:gridSpan w:val="7"/>
            <w:vAlign w:val="center"/>
          </w:tcPr>
          <w:p>
            <w:pPr>
              <w:spacing w:line="280" w:lineRule="exact"/>
              <w:jc w:val="center"/>
              <w:rPr>
                <w:rFonts w:ascii="宋体" w:hAnsi="宋体"/>
                <w:sz w:val="24"/>
                <w:szCs w:val="22"/>
              </w:rPr>
            </w:pPr>
            <w:r>
              <w:rPr>
                <w:rFonts w:hint="eastAsia" w:ascii="宋体" w:hAnsi="宋体"/>
                <w:sz w:val="24"/>
                <w:szCs w:val="22"/>
              </w:rPr>
              <w:t>被校示值</w:t>
            </w:r>
          </w:p>
        </w:tc>
        <w:tc>
          <w:tcPr>
            <w:tcW w:w="951" w:type="dxa"/>
            <w:vMerge w:val="restart"/>
            <w:vAlign w:val="center"/>
          </w:tcPr>
          <w:p>
            <w:pPr>
              <w:spacing w:line="280" w:lineRule="exact"/>
              <w:jc w:val="center"/>
              <w:rPr>
                <w:rFonts w:ascii="宋体" w:hAnsi="宋体"/>
                <w:sz w:val="24"/>
                <w:szCs w:val="22"/>
              </w:rPr>
            </w:pPr>
            <w:r>
              <w:rPr>
                <w:rFonts w:hint="eastAsia" w:ascii="宋体" w:hAnsi="宋体"/>
                <w:sz w:val="24"/>
                <w:szCs w:val="22"/>
              </w:rPr>
              <w:t>相对</w:t>
            </w:r>
          </w:p>
          <w:p>
            <w:pPr>
              <w:spacing w:line="280" w:lineRule="exact"/>
              <w:jc w:val="center"/>
              <w:rPr>
                <w:rFonts w:ascii="宋体" w:hAnsi="宋体"/>
                <w:sz w:val="24"/>
                <w:szCs w:val="22"/>
              </w:rPr>
            </w:pPr>
            <w:r>
              <w:rPr>
                <w:rFonts w:hint="eastAsia" w:ascii="宋体" w:hAnsi="宋体"/>
                <w:sz w:val="24"/>
                <w:szCs w:val="22"/>
              </w:rPr>
              <w:t>示值</w:t>
            </w:r>
          </w:p>
          <w:p>
            <w:pPr>
              <w:spacing w:line="280" w:lineRule="exact"/>
              <w:jc w:val="center"/>
              <w:rPr>
                <w:rFonts w:ascii="宋体" w:hAnsi="宋体"/>
                <w:sz w:val="24"/>
                <w:szCs w:val="22"/>
              </w:rPr>
            </w:pPr>
            <w:r>
              <w:rPr>
                <w:rFonts w:hint="eastAsia" w:ascii="宋体" w:hAnsi="宋体"/>
                <w:sz w:val="24"/>
                <w:szCs w:val="22"/>
              </w:rPr>
              <w:t>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r>
              <w:rPr>
                <w:rFonts w:hint="eastAsia" w:ascii="宋体" w:hAnsi="宋体"/>
                <w:sz w:val="24"/>
                <w:szCs w:val="22"/>
              </w:rPr>
              <w:t>第1次</w:t>
            </w:r>
          </w:p>
        </w:tc>
        <w:tc>
          <w:tcPr>
            <w:tcW w:w="951" w:type="dxa"/>
            <w:vAlign w:val="center"/>
          </w:tcPr>
          <w:p>
            <w:pPr>
              <w:spacing w:line="280" w:lineRule="exact"/>
              <w:jc w:val="center"/>
              <w:rPr>
                <w:rFonts w:ascii="宋体" w:hAnsi="宋体"/>
                <w:sz w:val="24"/>
                <w:szCs w:val="22"/>
              </w:rPr>
            </w:pPr>
            <w:r>
              <w:rPr>
                <w:rFonts w:hint="eastAsia" w:ascii="宋体" w:hAnsi="宋体"/>
                <w:sz w:val="24"/>
                <w:szCs w:val="22"/>
              </w:rPr>
              <w:t>第2次</w:t>
            </w:r>
          </w:p>
        </w:tc>
        <w:tc>
          <w:tcPr>
            <w:tcW w:w="951" w:type="dxa"/>
            <w:gridSpan w:val="2"/>
            <w:vAlign w:val="center"/>
          </w:tcPr>
          <w:p>
            <w:pPr>
              <w:spacing w:line="280" w:lineRule="exact"/>
              <w:jc w:val="center"/>
              <w:rPr>
                <w:rFonts w:ascii="宋体" w:hAnsi="宋体"/>
                <w:sz w:val="24"/>
                <w:szCs w:val="22"/>
              </w:rPr>
            </w:pPr>
            <w:r>
              <w:rPr>
                <w:rFonts w:hint="eastAsia" w:ascii="宋体" w:hAnsi="宋体"/>
                <w:sz w:val="24"/>
                <w:szCs w:val="22"/>
              </w:rPr>
              <w:t>第3次</w:t>
            </w:r>
          </w:p>
        </w:tc>
        <w:tc>
          <w:tcPr>
            <w:tcW w:w="950" w:type="dxa"/>
            <w:gridSpan w:val="2"/>
            <w:vAlign w:val="center"/>
          </w:tcPr>
          <w:p>
            <w:pPr>
              <w:spacing w:line="280" w:lineRule="exact"/>
              <w:jc w:val="center"/>
              <w:rPr>
                <w:rFonts w:ascii="宋体" w:hAnsi="宋体"/>
                <w:sz w:val="24"/>
                <w:szCs w:val="22"/>
              </w:rPr>
            </w:pPr>
            <w:r>
              <w:rPr>
                <w:rFonts w:hint="eastAsia" w:ascii="宋体" w:hAnsi="宋体"/>
                <w:sz w:val="24"/>
                <w:szCs w:val="22"/>
              </w:rPr>
              <w:t>平均值</w:t>
            </w:r>
          </w:p>
        </w:tc>
        <w:tc>
          <w:tcPr>
            <w:tcW w:w="951" w:type="dxa"/>
            <w:vAlign w:val="center"/>
          </w:tcPr>
          <w:p>
            <w:pPr>
              <w:spacing w:line="280" w:lineRule="exact"/>
              <w:jc w:val="center"/>
              <w:rPr>
                <w:rFonts w:ascii="宋体" w:hAnsi="宋体"/>
                <w:sz w:val="24"/>
                <w:szCs w:val="22"/>
              </w:rPr>
            </w:pPr>
            <w:r>
              <w:rPr>
                <w:rFonts w:hint="eastAsia" w:ascii="宋体" w:hAnsi="宋体"/>
                <w:sz w:val="24"/>
                <w:szCs w:val="22"/>
              </w:rPr>
              <w:t>第1次</w:t>
            </w:r>
          </w:p>
        </w:tc>
        <w:tc>
          <w:tcPr>
            <w:tcW w:w="951" w:type="dxa"/>
            <w:gridSpan w:val="3"/>
            <w:vAlign w:val="center"/>
          </w:tcPr>
          <w:p>
            <w:pPr>
              <w:spacing w:line="280" w:lineRule="exact"/>
              <w:jc w:val="center"/>
              <w:rPr>
                <w:rFonts w:ascii="宋体" w:hAnsi="宋体"/>
                <w:sz w:val="24"/>
                <w:szCs w:val="22"/>
              </w:rPr>
            </w:pPr>
            <w:r>
              <w:rPr>
                <w:rFonts w:hint="eastAsia" w:ascii="宋体" w:hAnsi="宋体"/>
                <w:sz w:val="24"/>
                <w:szCs w:val="22"/>
              </w:rPr>
              <w:t>第2次</w:t>
            </w:r>
          </w:p>
        </w:tc>
        <w:tc>
          <w:tcPr>
            <w:tcW w:w="950" w:type="dxa"/>
            <w:vAlign w:val="center"/>
          </w:tcPr>
          <w:p>
            <w:pPr>
              <w:spacing w:line="280" w:lineRule="exact"/>
              <w:jc w:val="center"/>
              <w:rPr>
                <w:rFonts w:ascii="宋体" w:hAnsi="宋体"/>
                <w:sz w:val="24"/>
                <w:szCs w:val="22"/>
              </w:rPr>
            </w:pPr>
            <w:r>
              <w:rPr>
                <w:rFonts w:hint="eastAsia" w:ascii="宋体" w:hAnsi="宋体"/>
                <w:sz w:val="24"/>
                <w:szCs w:val="22"/>
              </w:rPr>
              <w:t>第3次</w:t>
            </w:r>
          </w:p>
        </w:tc>
        <w:tc>
          <w:tcPr>
            <w:tcW w:w="951" w:type="dxa"/>
            <w:gridSpan w:val="2"/>
            <w:vAlign w:val="center"/>
          </w:tcPr>
          <w:p>
            <w:pPr>
              <w:spacing w:line="280" w:lineRule="exact"/>
              <w:jc w:val="center"/>
              <w:rPr>
                <w:rFonts w:ascii="宋体" w:hAnsi="宋体"/>
                <w:sz w:val="24"/>
                <w:szCs w:val="22"/>
              </w:rPr>
            </w:pPr>
            <w:r>
              <w:rPr>
                <w:rFonts w:hint="eastAsia" w:ascii="宋体" w:hAnsi="宋体"/>
                <w:sz w:val="24"/>
                <w:szCs w:val="22"/>
              </w:rPr>
              <w:t>平均值</w:t>
            </w:r>
          </w:p>
        </w:tc>
        <w:tc>
          <w:tcPr>
            <w:tcW w:w="951" w:type="dxa"/>
            <w:vMerge w:val="continue"/>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0"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c>
          <w:tcPr>
            <w:tcW w:w="951" w:type="dxa"/>
            <w:gridSpan w:val="3"/>
            <w:vAlign w:val="center"/>
          </w:tcPr>
          <w:p>
            <w:pPr>
              <w:spacing w:line="280" w:lineRule="exact"/>
              <w:jc w:val="center"/>
              <w:rPr>
                <w:rFonts w:ascii="宋体" w:hAnsi="宋体"/>
                <w:sz w:val="24"/>
                <w:szCs w:val="22"/>
              </w:rPr>
            </w:pPr>
          </w:p>
        </w:tc>
        <w:tc>
          <w:tcPr>
            <w:tcW w:w="950" w:type="dxa"/>
            <w:vAlign w:val="center"/>
          </w:tcPr>
          <w:p>
            <w:pPr>
              <w:spacing w:line="280" w:lineRule="exact"/>
              <w:jc w:val="center"/>
              <w:rPr>
                <w:rFonts w:ascii="宋体" w:hAnsi="宋体"/>
                <w:sz w:val="24"/>
                <w:szCs w:val="22"/>
              </w:rPr>
            </w:pPr>
          </w:p>
        </w:tc>
        <w:tc>
          <w:tcPr>
            <w:tcW w:w="951" w:type="dxa"/>
            <w:gridSpan w:val="2"/>
            <w:vAlign w:val="center"/>
          </w:tcPr>
          <w:p>
            <w:pPr>
              <w:spacing w:line="280" w:lineRule="exact"/>
              <w:jc w:val="center"/>
              <w:rPr>
                <w:rFonts w:ascii="宋体" w:hAnsi="宋体"/>
                <w:sz w:val="24"/>
                <w:szCs w:val="22"/>
              </w:rPr>
            </w:pPr>
          </w:p>
        </w:tc>
        <w:tc>
          <w:tcPr>
            <w:tcW w:w="951" w:type="dxa"/>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56" w:type="dxa"/>
            <w:gridSpan w:val="15"/>
            <w:vAlign w:val="center"/>
          </w:tcPr>
          <w:p>
            <w:pPr>
              <w:spacing w:line="360" w:lineRule="auto"/>
              <w:textAlignment w:val="baseline"/>
              <w:rPr>
                <w:sz w:val="24"/>
                <w:szCs w:val="22"/>
              </w:rPr>
            </w:pPr>
            <w:r>
              <w:rPr>
                <w:rFonts w:hint="eastAsia" w:ascii="宋体" w:hAnsi="宋体"/>
                <w:sz w:val="24"/>
                <w:szCs w:val="22"/>
              </w:rPr>
              <w:t>3.不确定度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824" w:type="dxa"/>
            <w:gridSpan w:val="9"/>
            <w:vAlign w:val="center"/>
          </w:tcPr>
          <w:p>
            <w:pPr>
              <w:spacing w:line="288" w:lineRule="auto"/>
              <w:jc w:val="center"/>
              <w:rPr>
                <w:sz w:val="24"/>
                <w:szCs w:val="21"/>
              </w:rPr>
            </w:pPr>
            <w:r>
              <w:rPr>
                <w:rFonts w:hint="eastAsia"/>
                <w:sz w:val="24"/>
                <w:szCs w:val="21"/>
              </w:rPr>
              <w:t>闪烁率</w:t>
            </w:r>
          </w:p>
        </w:tc>
        <w:tc>
          <w:tcPr>
            <w:tcW w:w="3732" w:type="dxa"/>
            <w:gridSpan w:val="6"/>
            <w:vAlign w:val="center"/>
          </w:tcPr>
          <w:p>
            <w:pPr>
              <w:spacing w:line="288" w:lineRule="auto"/>
              <w:jc w:val="center"/>
              <w:rPr>
                <w:sz w:val="24"/>
                <w:szCs w:val="21"/>
              </w:rPr>
            </w:pPr>
            <w:r>
              <w:rPr>
                <w:rFonts w:hint="eastAsia"/>
                <w:sz w:val="24"/>
                <w:szCs w:val="21"/>
              </w:rPr>
              <w:t>闪烁频率（Hz）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824" w:type="dxa"/>
            <w:gridSpan w:val="9"/>
            <w:vAlign w:val="center"/>
          </w:tcPr>
          <w:p>
            <w:pPr>
              <w:spacing w:line="280" w:lineRule="exact"/>
              <w:jc w:val="center"/>
              <w:rPr>
                <w:sz w:val="24"/>
                <w:szCs w:val="22"/>
              </w:rPr>
            </w:pPr>
          </w:p>
        </w:tc>
        <w:tc>
          <w:tcPr>
            <w:tcW w:w="3732" w:type="dxa"/>
            <w:gridSpan w:val="6"/>
            <w:vAlign w:val="center"/>
          </w:tcPr>
          <w:p>
            <w:pPr>
              <w:spacing w:line="280" w:lineRule="exact"/>
              <w:jc w:val="center"/>
              <w:rPr>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791" w:type="dxa"/>
            <w:vMerge w:val="restart"/>
            <w:vAlign w:val="center"/>
          </w:tcPr>
          <w:p>
            <w:pPr>
              <w:spacing w:line="280" w:lineRule="exact"/>
              <w:jc w:val="center"/>
              <w:rPr>
                <w:bCs/>
                <w:sz w:val="24"/>
                <w:szCs w:val="22"/>
              </w:rPr>
            </w:pPr>
            <w:r>
              <w:rPr>
                <w:rFonts w:hint="eastAsia" w:ascii="宋体" w:hAnsi="宋体"/>
                <w:bCs/>
                <w:sz w:val="24"/>
                <w:szCs w:val="22"/>
              </w:rPr>
              <w:t>主要计量器具</w:t>
            </w:r>
          </w:p>
        </w:tc>
        <w:tc>
          <w:tcPr>
            <w:tcW w:w="1373" w:type="dxa"/>
            <w:gridSpan w:val="3"/>
            <w:tcBorders>
              <w:bottom w:val="single" w:color="auto" w:sz="4" w:space="0"/>
            </w:tcBorders>
            <w:vAlign w:val="center"/>
          </w:tcPr>
          <w:p>
            <w:pPr>
              <w:spacing w:line="280" w:lineRule="exact"/>
              <w:jc w:val="center"/>
              <w:rPr>
                <w:sz w:val="24"/>
                <w:szCs w:val="22"/>
              </w:rPr>
            </w:pPr>
            <w:r>
              <w:rPr>
                <w:rFonts w:hint="eastAsia" w:ascii="宋体" w:hAnsi="宋体"/>
                <w:bCs/>
                <w:sz w:val="24"/>
                <w:szCs w:val="22"/>
              </w:rPr>
              <w:t>名称</w:t>
            </w:r>
          </w:p>
        </w:tc>
        <w:tc>
          <w:tcPr>
            <w:tcW w:w="1559" w:type="dxa"/>
            <w:gridSpan w:val="2"/>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型号规格</w:t>
            </w:r>
          </w:p>
        </w:tc>
        <w:tc>
          <w:tcPr>
            <w:tcW w:w="1418" w:type="dxa"/>
            <w:gridSpan w:val="4"/>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编号</w:t>
            </w:r>
          </w:p>
        </w:tc>
        <w:tc>
          <w:tcPr>
            <w:tcW w:w="1559" w:type="dxa"/>
            <w:gridSpan w:val="3"/>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有效期至</w:t>
            </w:r>
          </w:p>
        </w:tc>
        <w:tc>
          <w:tcPr>
            <w:tcW w:w="1856" w:type="dxa"/>
            <w:gridSpan w:val="2"/>
            <w:tcBorders>
              <w:bottom w:val="single" w:color="auto" w:sz="4" w:space="0"/>
            </w:tcBorders>
            <w:vAlign w:val="center"/>
          </w:tcPr>
          <w:p>
            <w:pPr>
              <w:spacing w:line="280" w:lineRule="exact"/>
              <w:jc w:val="center"/>
              <w:rPr>
                <w:bCs/>
                <w:sz w:val="24"/>
                <w:szCs w:val="22"/>
              </w:rPr>
            </w:pPr>
            <w:r>
              <w:rPr>
                <w:rFonts w:hint="eastAsia" w:ascii="宋体" w:hAnsi="宋体"/>
                <w:bCs/>
                <w:sz w:val="24"/>
                <w:szCs w:val="22"/>
              </w:rPr>
              <w:t>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791" w:type="dxa"/>
            <w:vMerge w:val="continue"/>
          </w:tcPr>
          <w:p>
            <w:pPr>
              <w:spacing w:line="280" w:lineRule="exact"/>
              <w:rPr>
                <w:bCs/>
                <w:sz w:val="24"/>
                <w:szCs w:val="22"/>
              </w:rPr>
            </w:pPr>
          </w:p>
        </w:tc>
        <w:tc>
          <w:tcPr>
            <w:tcW w:w="1373" w:type="dxa"/>
            <w:gridSpan w:val="3"/>
            <w:vAlign w:val="center"/>
          </w:tcPr>
          <w:p>
            <w:pPr>
              <w:spacing w:line="280" w:lineRule="exact"/>
              <w:jc w:val="center"/>
              <w:rPr>
                <w:sz w:val="24"/>
                <w:szCs w:val="22"/>
              </w:rPr>
            </w:pPr>
          </w:p>
        </w:tc>
        <w:tc>
          <w:tcPr>
            <w:tcW w:w="1559" w:type="dxa"/>
            <w:gridSpan w:val="2"/>
            <w:vAlign w:val="center"/>
          </w:tcPr>
          <w:p>
            <w:pPr>
              <w:spacing w:line="280" w:lineRule="exact"/>
              <w:jc w:val="center"/>
              <w:rPr>
                <w:sz w:val="24"/>
                <w:szCs w:val="22"/>
              </w:rPr>
            </w:pPr>
          </w:p>
        </w:tc>
        <w:tc>
          <w:tcPr>
            <w:tcW w:w="1418" w:type="dxa"/>
            <w:gridSpan w:val="4"/>
            <w:vAlign w:val="center"/>
          </w:tcPr>
          <w:p>
            <w:pPr>
              <w:spacing w:line="280" w:lineRule="exact"/>
              <w:jc w:val="center"/>
              <w:rPr>
                <w:sz w:val="24"/>
                <w:szCs w:val="22"/>
              </w:rPr>
            </w:pPr>
          </w:p>
        </w:tc>
        <w:tc>
          <w:tcPr>
            <w:tcW w:w="1559" w:type="dxa"/>
            <w:gridSpan w:val="3"/>
            <w:vAlign w:val="center"/>
          </w:tcPr>
          <w:p>
            <w:pPr>
              <w:spacing w:line="280" w:lineRule="exact"/>
              <w:jc w:val="center"/>
              <w:rPr>
                <w:rFonts w:ascii="宋体" w:hAnsi="宋体"/>
                <w:bCs/>
                <w:sz w:val="24"/>
                <w:szCs w:val="22"/>
              </w:rPr>
            </w:pPr>
          </w:p>
        </w:tc>
        <w:tc>
          <w:tcPr>
            <w:tcW w:w="1856" w:type="dxa"/>
            <w:gridSpan w:val="2"/>
            <w:vAlign w:val="center"/>
          </w:tcPr>
          <w:p>
            <w:pPr>
              <w:spacing w:line="280" w:lineRule="exact"/>
              <w:jc w:val="center"/>
              <w:rPr>
                <w:rFonts w:ascii="宋体" w:hAnsi="宋体"/>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791" w:type="dxa"/>
            <w:vMerge w:val="continue"/>
          </w:tcPr>
          <w:p>
            <w:pPr>
              <w:spacing w:line="280" w:lineRule="exact"/>
              <w:rPr>
                <w:bCs/>
                <w:sz w:val="24"/>
                <w:szCs w:val="22"/>
              </w:rPr>
            </w:pPr>
          </w:p>
        </w:tc>
        <w:tc>
          <w:tcPr>
            <w:tcW w:w="1373" w:type="dxa"/>
            <w:gridSpan w:val="3"/>
            <w:tcBorders>
              <w:bottom w:val="single" w:color="auto" w:sz="4" w:space="0"/>
            </w:tcBorders>
            <w:vAlign w:val="center"/>
          </w:tcPr>
          <w:p>
            <w:pPr>
              <w:spacing w:line="280" w:lineRule="exact"/>
              <w:jc w:val="center"/>
              <w:rPr>
                <w:sz w:val="24"/>
                <w:szCs w:val="22"/>
              </w:rPr>
            </w:pPr>
          </w:p>
        </w:tc>
        <w:tc>
          <w:tcPr>
            <w:tcW w:w="1559" w:type="dxa"/>
            <w:gridSpan w:val="2"/>
            <w:tcBorders>
              <w:bottom w:val="single" w:color="auto" w:sz="4" w:space="0"/>
            </w:tcBorders>
            <w:vAlign w:val="center"/>
          </w:tcPr>
          <w:p>
            <w:pPr>
              <w:spacing w:line="280" w:lineRule="exact"/>
              <w:jc w:val="center"/>
              <w:rPr>
                <w:sz w:val="24"/>
                <w:szCs w:val="22"/>
              </w:rPr>
            </w:pPr>
          </w:p>
        </w:tc>
        <w:tc>
          <w:tcPr>
            <w:tcW w:w="1418" w:type="dxa"/>
            <w:gridSpan w:val="4"/>
            <w:tcBorders>
              <w:bottom w:val="single" w:color="auto" w:sz="4" w:space="0"/>
            </w:tcBorders>
            <w:vAlign w:val="center"/>
          </w:tcPr>
          <w:p>
            <w:pPr>
              <w:spacing w:line="280" w:lineRule="exact"/>
              <w:jc w:val="center"/>
              <w:rPr>
                <w:sz w:val="24"/>
                <w:szCs w:val="22"/>
              </w:rPr>
            </w:pPr>
          </w:p>
        </w:tc>
        <w:tc>
          <w:tcPr>
            <w:tcW w:w="1559" w:type="dxa"/>
            <w:gridSpan w:val="3"/>
            <w:tcBorders>
              <w:bottom w:val="single" w:color="auto" w:sz="4" w:space="0"/>
            </w:tcBorders>
            <w:vAlign w:val="center"/>
          </w:tcPr>
          <w:p>
            <w:pPr>
              <w:spacing w:line="280" w:lineRule="exact"/>
              <w:jc w:val="center"/>
              <w:rPr>
                <w:rFonts w:ascii="宋体" w:hAnsi="宋体"/>
                <w:bCs/>
                <w:sz w:val="24"/>
                <w:szCs w:val="22"/>
              </w:rPr>
            </w:pPr>
          </w:p>
        </w:tc>
        <w:tc>
          <w:tcPr>
            <w:tcW w:w="1856" w:type="dxa"/>
            <w:gridSpan w:val="2"/>
            <w:tcBorders>
              <w:bottom w:val="single" w:color="auto" w:sz="4" w:space="0"/>
            </w:tcBorders>
            <w:vAlign w:val="center"/>
          </w:tcPr>
          <w:p>
            <w:pPr>
              <w:spacing w:line="280" w:lineRule="exact"/>
              <w:jc w:val="center"/>
              <w:rPr>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bookmarkEnd w:id="29"/>
      <w:bookmarkEnd w:id="30"/>
      <w:bookmarkEnd w:id="31"/>
      <w:bookmarkEnd w:id="32"/>
      <w:bookmarkEnd w:id="33"/>
    </w:tbl>
    <w:p>
      <w:pPr>
        <w:widowControl/>
        <w:jc w:val="left"/>
        <w:rPr>
          <w:sz w:val="24"/>
        </w:rPr>
      </w:pPr>
    </w:p>
    <w:p>
      <w:pPr>
        <w:widowControl/>
        <w:jc w:val="left"/>
        <w:rPr>
          <w:sz w:val="24"/>
        </w:rPr>
      </w:pPr>
      <w:r>
        <w:rPr>
          <w:rFonts w:hint="eastAsia"/>
          <w:sz w:val="24"/>
        </w:rPr>
        <w:t>校准人员                                       核验人员</w:t>
      </w:r>
    </w:p>
    <w:p>
      <w:pPr>
        <w:widowControl/>
        <w:jc w:val="left"/>
        <w:rPr>
          <w:rFonts w:ascii="宋体"/>
          <w:kern w:val="0"/>
          <w:sz w:val="24"/>
        </w:rPr>
      </w:pPr>
      <w:r>
        <w:rPr>
          <w:sz w:val="24"/>
        </w:rPr>
        <w:br w:type="page"/>
      </w:r>
    </w:p>
    <w:p>
      <w:pPr>
        <w:pStyle w:val="2"/>
        <w:spacing w:before="100" w:after="100"/>
        <w:rPr>
          <w:rFonts w:ascii="黑体" w:hAnsi="黑体" w:eastAsia="黑体"/>
          <w:b w:val="0"/>
          <w:sz w:val="28"/>
          <w:szCs w:val="28"/>
        </w:rPr>
      </w:pPr>
      <w:bookmarkStart w:id="34" w:name="_Toc124506243"/>
      <w:bookmarkStart w:id="35" w:name="_Toc438025711"/>
      <w:r>
        <w:rPr>
          <w:rFonts w:hint="eastAsia" w:ascii="黑体" w:hAnsi="黑体" w:eastAsia="黑体"/>
          <w:b w:val="0"/>
          <w:sz w:val="28"/>
          <w:szCs w:val="28"/>
        </w:rPr>
        <w:t>附录C</w:t>
      </w:r>
      <w:r>
        <w:rPr>
          <w:rFonts w:hint="eastAsia" w:ascii="黑体" w:hAnsi="黑体" w:eastAsia="黑体"/>
          <w:b w:val="0"/>
          <w:color w:val="FFFFFF" w:themeColor="background1"/>
          <w:sz w:val="28"/>
          <w:szCs w:val="28"/>
        </w:rPr>
        <w:t>校准证书内页格式</w:t>
      </w:r>
      <w:bookmarkEnd w:id="34"/>
    </w:p>
    <w:p>
      <w:pPr>
        <w:jc w:val="center"/>
        <w:rPr>
          <w:rFonts w:ascii="黑体" w:hAnsi="黑体" w:eastAsia="黑体"/>
          <w:sz w:val="28"/>
          <w:szCs w:val="28"/>
        </w:rPr>
      </w:pPr>
      <w:r>
        <w:rPr>
          <w:rFonts w:hint="eastAsia" w:ascii="黑体" w:hAnsi="黑体" w:eastAsia="黑体"/>
          <w:sz w:val="28"/>
          <w:szCs w:val="28"/>
        </w:rPr>
        <w:t>校准证书内页格式</w:t>
      </w:r>
      <w:bookmarkEnd w:id="35"/>
    </w:p>
    <w:p>
      <w:pPr>
        <w:spacing w:line="288" w:lineRule="auto"/>
        <w:jc w:val="center"/>
        <w:rPr>
          <w:b/>
          <w:sz w:val="24"/>
          <w:szCs w:val="22"/>
        </w:rPr>
      </w:pPr>
      <w:r>
        <w:rPr>
          <w:rFonts w:hint="eastAsia"/>
          <w:b/>
          <w:sz w:val="24"/>
          <w:szCs w:val="22"/>
        </w:rPr>
        <w:t>显示屏闪烁率测定仪校准结果</w:t>
      </w:r>
    </w:p>
    <w:tbl>
      <w:tblPr>
        <w:tblStyle w:val="36"/>
        <w:tblW w:w="8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324"/>
        <w:gridCol w:w="629"/>
        <w:gridCol w:w="788"/>
        <w:gridCol w:w="873"/>
        <w:gridCol w:w="403"/>
        <w:gridCol w:w="740"/>
        <w:gridCol w:w="96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12" w:type="dxa"/>
            <w:gridSpan w:val="9"/>
          </w:tcPr>
          <w:p>
            <w:pPr>
              <w:spacing w:line="280" w:lineRule="exact"/>
              <w:rPr>
                <w:rFonts w:ascii="宋体" w:hAnsi="宋体"/>
                <w:sz w:val="24"/>
                <w:szCs w:val="22"/>
              </w:rPr>
            </w:pPr>
            <w:r>
              <w:rPr>
                <w:rFonts w:hint="eastAsia" w:ascii="宋体" w:hAnsi="宋体"/>
                <w:sz w:val="24"/>
                <w:szCs w:val="22"/>
              </w:rPr>
              <w:t xml:space="preserve">1.闪烁率：参考闪烁源设置：波形:      频率:      平均亮度：   </w:t>
            </w:r>
          </w:p>
          <w:p>
            <w:pPr>
              <w:spacing w:line="280" w:lineRule="exact"/>
              <w:rPr>
                <w:rFonts w:ascii="宋体" w:hAnsi="宋体"/>
                <w:sz w:val="24"/>
                <w:szCs w:val="22"/>
              </w:rPr>
            </w:pPr>
            <w:r>
              <w:rPr>
                <w:rFonts w:hint="eastAsia" w:ascii="宋体" w:hAnsi="宋体"/>
                <w:sz w:val="24"/>
                <w:szCs w:val="22"/>
              </w:rPr>
              <w:t>闪烁率计算方法：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r>
              <w:rPr>
                <w:rFonts w:hint="eastAsia" w:ascii="宋体" w:hAnsi="宋体"/>
                <w:sz w:val="24"/>
                <w:szCs w:val="22"/>
              </w:rPr>
              <w:t>标准值</w:t>
            </w:r>
          </w:p>
        </w:tc>
        <w:tc>
          <w:tcPr>
            <w:tcW w:w="2804" w:type="dxa"/>
            <w:gridSpan w:val="4"/>
            <w:vAlign w:val="center"/>
          </w:tcPr>
          <w:p>
            <w:pPr>
              <w:spacing w:line="280" w:lineRule="exact"/>
              <w:jc w:val="center"/>
              <w:rPr>
                <w:rFonts w:ascii="宋体" w:hAnsi="宋体"/>
                <w:sz w:val="24"/>
                <w:szCs w:val="22"/>
              </w:rPr>
            </w:pPr>
            <w:r>
              <w:rPr>
                <w:rFonts w:hint="eastAsia" w:ascii="宋体" w:hAnsi="宋体"/>
                <w:sz w:val="24"/>
                <w:szCs w:val="22"/>
              </w:rPr>
              <w:t>被校示值</w:t>
            </w:r>
          </w:p>
        </w:tc>
        <w:tc>
          <w:tcPr>
            <w:tcW w:w="2804" w:type="dxa"/>
            <w:gridSpan w:val="2"/>
            <w:vAlign w:val="center"/>
          </w:tcPr>
          <w:p>
            <w:pPr>
              <w:spacing w:line="280" w:lineRule="exact"/>
              <w:jc w:val="center"/>
              <w:rPr>
                <w:rFonts w:ascii="宋体" w:hAnsi="宋体"/>
                <w:sz w:val="24"/>
                <w:szCs w:val="22"/>
              </w:rPr>
            </w:pPr>
            <w:r>
              <w:rPr>
                <w:rFonts w:hint="eastAsia" w:ascii="宋体" w:hAnsi="宋体"/>
                <w:sz w:val="24"/>
                <w:szCs w:val="22"/>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12" w:type="dxa"/>
            <w:gridSpan w:val="9"/>
            <w:vAlign w:val="center"/>
          </w:tcPr>
          <w:p>
            <w:pPr>
              <w:spacing w:line="280" w:lineRule="exact"/>
              <w:rPr>
                <w:rFonts w:ascii="宋体" w:hAnsi="宋体"/>
                <w:sz w:val="24"/>
                <w:szCs w:val="22"/>
              </w:rPr>
            </w:pPr>
            <w:r>
              <w:rPr>
                <w:rFonts w:hint="eastAsia" w:ascii="宋体" w:hAnsi="宋体"/>
                <w:sz w:val="24"/>
                <w:szCs w:val="22"/>
              </w:rPr>
              <w:t>2.闪烁频率：参考闪烁源设置：波形:      振幅:      平均亮度：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r>
              <w:rPr>
                <w:rFonts w:hint="eastAsia" w:ascii="宋体" w:hAnsi="宋体"/>
                <w:sz w:val="24"/>
                <w:szCs w:val="22"/>
              </w:rPr>
              <w:t>标准值（Hz）</w:t>
            </w:r>
          </w:p>
        </w:tc>
        <w:tc>
          <w:tcPr>
            <w:tcW w:w="2804" w:type="dxa"/>
            <w:gridSpan w:val="4"/>
            <w:vAlign w:val="center"/>
          </w:tcPr>
          <w:p>
            <w:pPr>
              <w:spacing w:line="280" w:lineRule="exact"/>
              <w:jc w:val="center"/>
              <w:rPr>
                <w:rFonts w:ascii="宋体" w:hAnsi="宋体"/>
                <w:sz w:val="24"/>
                <w:szCs w:val="22"/>
              </w:rPr>
            </w:pPr>
            <w:r>
              <w:rPr>
                <w:rFonts w:hint="eastAsia" w:ascii="宋体" w:hAnsi="宋体"/>
                <w:sz w:val="24"/>
                <w:szCs w:val="22"/>
              </w:rPr>
              <w:t>被校示值（Hz）</w:t>
            </w:r>
          </w:p>
        </w:tc>
        <w:tc>
          <w:tcPr>
            <w:tcW w:w="2804" w:type="dxa"/>
            <w:gridSpan w:val="2"/>
            <w:vAlign w:val="center"/>
          </w:tcPr>
          <w:p>
            <w:pPr>
              <w:spacing w:line="280" w:lineRule="exact"/>
              <w:jc w:val="center"/>
              <w:rPr>
                <w:rFonts w:ascii="宋体" w:hAnsi="宋体"/>
                <w:sz w:val="24"/>
                <w:szCs w:val="22"/>
              </w:rPr>
            </w:pPr>
            <w:r>
              <w:rPr>
                <w:rFonts w:hint="eastAsia" w:ascii="宋体" w:hAnsi="宋体"/>
                <w:sz w:val="24"/>
                <w:szCs w:val="22"/>
              </w:rPr>
              <w:t>相对示值误差（%）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804" w:type="dxa"/>
            <w:gridSpan w:val="3"/>
            <w:vAlign w:val="center"/>
          </w:tcPr>
          <w:p>
            <w:pPr>
              <w:spacing w:line="280" w:lineRule="exact"/>
              <w:jc w:val="center"/>
              <w:rPr>
                <w:rFonts w:ascii="宋体" w:hAnsi="宋体"/>
                <w:sz w:val="24"/>
                <w:szCs w:val="22"/>
              </w:rPr>
            </w:pPr>
          </w:p>
        </w:tc>
        <w:tc>
          <w:tcPr>
            <w:tcW w:w="2804" w:type="dxa"/>
            <w:gridSpan w:val="4"/>
            <w:vAlign w:val="center"/>
          </w:tcPr>
          <w:p>
            <w:pPr>
              <w:spacing w:line="280" w:lineRule="exact"/>
              <w:jc w:val="center"/>
              <w:rPr>
                <w:rFonts w:ascii="宋体" w:hAnsi="宋体"/>
                <w:sz w:val="24"/>
                <w:szCs w:val="22"/>
              </w:rPr>
            </w:pPr>
          </w:p>
        </w:tc>
        <w:tc>
          <w:tcPr>
            <w:tcW w:w="2804" w:type="dxa"/>
            <w:gridSpan w:val="2"/>
            <w:vAlign w:val="center"/>
          </w:tcPr>
          <w:p>
            <w:pPr>
              <w:spacing w:line="280" w:lineRule="exact"/>
              <w:jc w:val="center"/>
              <w:rPr>
                <w:rFonts w:ascii="宋体" w:hAnsi="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12" w:type="dxa"/>
            <w:gridSpan w:val="9"/>
            <w:vAlign w:val="center"/>
          </w:tcPr>
          <w:p>
            <w:pPr>
              <w:spacing w:line="360" w:lineRule="auto"/>
              <w:textAlignment w:val="baseline"/>
              <w:rPr>
                <w:sz w:val="24"/>
                <w:szCs w:val="22"/>
              </w:rPr>
            </w:pPr>
            <w:r>
              <w:rPr>
                <w:rFonts w:hint="eastAsia" w:ascii="宋体" w:hAnsi="宋体"/>
                <w:sz w:val="24"/>
                <w:szCs w:val="22"/>
              </w:rPr>
              <w:t>3.不确定度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65" w:type="dxa"/>
            <w:gridSpan w:val="5"/>
            <w:vAlign w:val="center"/>
          </w:tcPr>
          <w:p>
            <w:pPr>
              <w:spacing w:line="288" w:lineRule="auto"/>
              <w:jc w:val="center"/>
              <w:rPr>
                <w:sz w:val="24"/>
                <w:szCs w:val="21"/>
              </w:rPr>
            </w:pPr>
            <w:r>
              <w:rPr>
                <w:rFonts w:hint="eastAsia"/>
                <w:sz w:val="24"/>
                <w:szCs w:val="21"/>
              </w:rPr>
              <w:t>闪烁率（%）</w:t>
            </w:r>
          </w:p>
        </w:tc>
        <w:tc>
          <w:tcPr>
            <w:tcW w:w="3947" w:type="dxa"/>
            <w:gridSpan w:val="4"/>
            <w:vAlign w:val="center"/>
          </w:tcPr>
          <w:p>
            <w:pPr>
              <w:spacing w:line="288" w:lineRule="auto"/>
              <w:jc w:val="center"/>
              <w:rPr>
                <w:sz w:val="24"/>
                <w:szCs w:val="21"/>
              </w:rPr>
            </w:pPr>
            <w:r>
              <w:rPr>
                <w:rFonts w:hint="eastAsia"/>
                <w:sz w:val="24"/>
                <w:szCs w:val="21"/>
              </w:rPr>
              <w:t>闪烁频率（Hz）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65" w:type="dxa"/>
            <w:gridSpan w:val="5"/>
            <w:vAlign w:val="center"/>
          </w:tcPr>
          <w:p>
            <w:pPr>
              <w:spacing w:line="280" w:lineRule="exact"/>
              <w:jc w:val="center"/>
              <w:rPr>
                <w:sz w:val="24"/>
                <w:szCs w:val="22"/>
              </w:rPr>
            </w:pPr>
          </w:p>
        </w:tc>
        <w:tc>
          <w:tcPr>
            <w:tcW w:w="3947" w:type="dxa"/>
            <w:gridSpan w:val="4"/>
            <w:vAlign w:val="center"/>
          </w:tcPr>
          <w:p>
            <w:pPr>
              <w:spacing w:line="280" w:lineRule="exact"/>
              <w:jc w:val="center"/>
              <w:rPr>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851" w:type="dxa"/>
            <w:vMerge w:val="restart"/>
            <w:vAlign w:val="center"/>
          </w:tcPr>
          <w:p>
            <w:pPr>
              <w:spacing w:line="280" w:lineRule="exact"/>
              <w:jc w:val="center"/>
              <w:rPr>
                <w:bCs/>
                <w:sz w:val="24"/>
                <w:szCs w:val="22"/>
              </w:rPr>
            </w:pPr>
            <w:r>
              <w:rPr>
                <w:rFonts w:hint="eastAsia" w:ascii="宋体" w:hAnsi="宋体"/>
                <w:bCs/>
                <w:sz w:val="24"/>
                <w:szCs w:val="22"/>
              </w:rPr>
              <w:t>主要计量器具</w:t>
            </w:r>
          </w:p>
        </w:tc>
        <w:tc>
          <w:tcPr>
            <w:tcW w:w="1324" w:type="dxa"/>
            <w:tcBorders>
              <w:bottom w:val="single" w:color="auto" w:sz="4" w:space="0"/>
            </w:tcBorders>
            <w:vAlign w:val="center"/>
          </w:tcPr>
          <w:p>
            <w:pPr>
              <w:spacing w:line="280" w:lineRule="exact"/>
              <w:jc w:val="center"/>
              <w:rPr>
                <w:sz w:val="24"/>
                <w:szCs w:val="22"/>
              </w:rPr>
            </w:pPr>
            <w:r>
              <w:rPr>
                <w:rFonts w:hint="eastAsia" w:ascii="宋体" w:hAnsi="宋体"/>
                <w:bCs/>
                <w:sz w:val="24"/>
                <w:szCs w:val="22"/>
              </w:rPr>
              <w:t>名称</w:t>
            </w:r>
          </w:p>
        </w:tc>
        <w:tc>
          <w:tcPr>
            <w:tcW w:w="1417" w:type="dxa"/>
            <w:gridSpan w:val="2"/>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型号规格</w:t>
            </w:r>
          </w:p>
        </w:tc>
        <w:tc>
          <w:tcPr>
            <w:tcW w:w="1276" w:type="dxa"/>
            <w:gridSpan w:val="2"/>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编号</w:t>
            </w:r>
          </w:p>
        </w:tc>
        <w:tc>
          <w:tcPr>
            <w:tcW w:w="1701" w:type="dxa"/>
            <w:gridSpan w:val="2"/>
            <w:tcBorders>
              <w:bottom w:val="single" w:color="auto" w:sz="4" w:space="0"/>
            </w:tcBorders>
            <w:vAlign w:val="center"/>
          </w:tcPr>
          <w:p>
            <w:pPr>
              <w:spacing w:line="280" w:lineRule="exact"/>
              <w:jc w:val="center"/>
              <w:rPr>
                <w:rFonts w:ascii="宋体" w:hAnsi="宋体"/>
                <w:bCs/>
                <w:sz w:val="24"/>
                <w:szCs w:val="22"/>
              </w:rPr>
            </w:pPr>
            <w:r>
              <w:rPr>
                <w:rFonts w:hint="eastAsia" w:ascii="宋体" w:hAnsi="宋体"/>
                <w:bCs/>
                <w:sz w:val="24"/>
                <w:szCs w:val="22"/>
              </w:rPr>
              <w:t>有效期至</w:t>
            </w:r>
          </w:p>
        </w:tc>
        <w:tc>
          <w:tcPr>
            <w:tcW w:w="1843" w:type="dxa"/>
            <w:tcBorders>
              <w:bottom w:val="single" w:color="auto" w:sz="4" w:space="0"/>
            </w:tcBorders>
            <w:vAlign w:val="center"/>
          </w:tcPr>
          <w:p>
            <w:pPr>
              <w:spacing w:line="280" w:lineRule="exact"/>
              <w:jc w:val="center"/>
              <w:rPr>
                <w:bCs/>
                <w:sz w:val="24"/>
                <w:szCs w:val="22"/>
              </w:rPr>
            </w:pPr>
            <w:r>
              <w:rPr>
                <w:rFonts w:hint="eastAsia" w:ascii="宋体" w:hAnsi="宋体"/>
                <w:bCs/>
                <w:sz w:val="24"/>
                <w:szCs w:val="22"/>
              </w:rPr>
              <w:t>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851" w:type="dxa"/>
            <w:vMerge w:val="continue"/>
          </w:tcPr>
          <w:p>
            <w:pPr>
              <w:spacing w:line="280" w:lineRule="exact"/>
              <w:rPr>
                <w:bCs/>
                <w:sz w:val="24"/>
                <w:szCs w:val="22"/>
              </w:rPr>
            </w:pPr>
          </w:p>
        </w:tc>
        <w:tc>
          <w:tcPr>
            <w:tcW w:w="1324" w:type="dxa"/>
            <w:vAlign w:val="center"/>
          </w:tcPr>
          <w:p>
            <w:pPr>
              <w:spacing w:line="280" w:lineRule="exact"/>
              <w:jc w:val="center"/>
              <w:rPr>
                <w:sz w:val="24"/>
                <w:szCs w:val="22"/>
              </w:rPr>
            </w:pPr>
          </w:p>
        </w:tc>
        <w:tc>
          <w:tcPr>
            <w:tcW w:w="1417" w:type="dxa"/>
            <w:gridSpan w:val="2"/>
            <w:vAlign w:val="center"/>
          </w:tcPr>
          <w:p>
            <w:pPr>
              <w:spacing w:line="280" w:lineRule="exact"/>
              <w:jc w:val="center"/>
              <w:rPr>
                <w:sz w:val="24"/>
                <w:szCs w:val="22"/>
              </w:rPr>
            </w:pPr>
          </w:p>
        </w:tc>
        <w:tc>
          <w:tcPr>
            <w:tcW w:w="1276" w:type="dxa"/>
            <w:gridSpan w:val="2"/>
            <w:vAlign w:val="center"/>
          </w:tcPr>
          <w:p>
            <w:pPr>
              <w:spacing w:line="280" w:lineRule="exact"/>
              <w:jc w:val="center"/>
              <w:rPr>
                <w:sz w:val="24"/>
                <w:szCs w:val="22"/>
              </w:rPr>
            </w:pPr>
          </w:p>
        </w:tc>
        <w:tc>
          <w:tcPr>
            <w:tcW w:w="1701" w:type="dxa"/>
            <w:gridSpan w:val="2"/>
            <w:vAlign w:val="center"/>
          </w:tcPr>
          <w:p>
            <w:pPr>
              <w:spacing w:line="280" w:lineRule="exact"/>
              <w:jc w:val="center"/>
              <w:rPr>
                <w:rFonts w:ascii="宋体" w:hAnsi="宋体"/>
                <w:bCs/>
                <w:sz w:val="24"/>
                <w:szCs w:val="22"/>
              </w:rPr>
            </w:pPr>
          </w:p>
        </w:tc>
        <w:tc>
          <w:tcPr>
            <w:tcW w:w="1843" w:type="dxa"/>
            <w:vAlign w:val="center"/>
          </w:tcPr>
          <w:p>
            <w:pPr>
              <w:spacing w:line="280" w:lineRule="exact"/>
              <w:jc w:val="center"/>
              <w:rPr>
                <w:rFonts w:ascii="宋体" w:hAnsi="宋体"/>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851" w:type="dxa"/>
            <w:vMerge w:val="continue"/>
          </w:tcPr>
          <w:p>
            <w:pPr>
              <w:spacing w:line="280" w:lineRule="exact"/>
              <w:rPr>
                <w:bCs/>
                <w:sz w:val="24"/>
                <w:szCs w:val="22"/>
              </w:rPr>
            </w:pPr>
          </w:p>
        </w:tc>
        <w:tc>
          <w:tcPr>
            <w:tcW w:w="1324" w:type="dxa"/>
            <w:vAlign w:val="center"/>
          </w:tcPr>
          <w:p>
            <w:pPr>
              <w:spacing w:line="280" w:lineRule="exact"/>
              <w:jc w:val="center"/>
              <w:rPr>
                <w:sz w:val="24"/>
                <w:szCs w:val="22"/>
              </w:rPr>
            </w:pPr>
          </w:p>
        </w:tc>
        <w:tc>
          <w:tcPr>
            <w:tcW w:w="1417" w:type="dxa"/>
            <w:gridSpan w:val="2"/>
            <w:vAlign w:val="center"/>
          </w:tcPr>
          <w:p>
            <w:pPr>
              <w:spacing w:line="280" w:lineRule="exact"/>
              <w:jc w:val="center"/>
              <w:rPr>
                <w:sz w:val="24"/>
                <w:szCs w:val="22"/>
              </w:rPr>
            </w:pPr>
          </w:p>
        </w:tc>
        <w:tc>
          <w:tcPr>
            <w:tcW w:w="1276" w:type="dxa"/>
            <w:gridSpan w:val="2"/>
            <w:vAlign w:val="center"/>
          </w:tcPr>
          <w:p>
            <w:pPr>
              <w:spacing w:line="280" w:lineRule="exact"/>
              <w:jc w:val="center"/>
              <w:rPr>
                <w:sz w:val="24"/>
                <w:szCs w:val="22"/>
              </w:rPr>
            </w:pPr>
          </w:p>
        </w:tc>
        <w:tc>
          <w:tcPr>
            <w:tcW w:w="1701" w:type="dxa"/>
            <w:gridSpan w:val="2"/>
            <w:vAlign w:val="center"/>
          </w:tcPr>
          <w:p>
            <w:pPr>
              <w:spacing w:line="280" w:lineRule="exact"/>
              <w:jc w:val="center"/>
              <w:rPr>
                <w:rFonts w:ascii="宋体" w:hAnsi="宋体"/>
                <w:bCs/>
                <w:sz w:val="24"/>
                <w:szCs w:val="22"/>
              </w:rPr>
            </w:pPr>
          </w:p>
        </w:tc>
        <w:tc>
          <w:tcPr>
            <w:tcW w:w="1843" w:type="dxa"/>
            <w:vAlign w:val="center"/>
          </w:tcPr>
          <w:p>
            <w:pPr>
              <w:spacing w:line="280" w:lineRule="exact"/>
              <w:jc w:val="center"/>
              <w:rPr>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851" w:type="dxa"/>
            <w:vMerge w:val="continue"/>
          </w:tcPr>
          <w:p>
            <w:pPr>
              <w:spacing w:line="280" w:lineRule="exact"/>
              <w:rPr>
                <w:bCs/>
                <w:sz w:val="24"/>
                <w:szCs w:val="22"/>
              </w:rPr>
            </w:pPr>
          </w:p>
        </w:tc>
        <w:tc>
          <w:tcPr>
            <w:tcW w:w="1324" w:type="dxa"/>
            <w:vAlign w:val="center"/>
          </w:tcPr>
          <w:p>
            <w:pPr>
              <w:spacing w:line="280" w:lineRule="exact"/>
              <w:jc w:val="center"/>
              <w:rPr>
                <w:sz w:val="24"/>
                <w:szCs w:val="22"/>
              </w:rPr>
            </w:pPr>
          </w:p>
        </w:tc>
        <w:tc>
          <w:tcPr>
            <w:tcW w:w="1417" w:type="dxa"/>
            <w:gridSpan w:val="2"/>
            <w:vAlign w:val="center"/>
          </w:tcPr>
          <w:p>
            <w:pPr>
              <w:spacing w:line="280" w:lineRule="exact"/>
              <w:jc w:val="center"/>
              <w:rPr>
                <w:sz w:val="24"/>
                <w:szCs w:val="22"/>
              </w:rPr>
            </w:pPr>
          </w:p>
        </w:tc>
        <w:tc>
          <w:tcPr>
            <w:tcW w:w="1276" w:type="dxa"/>
            <w:gridSpan w:val="2"/>
            <w:vAlign w:val="center"/>
          </w:tcPr>
          <w:p>
            <w:pPr>
              <w:spacing w:line="280" w:lineRule="exact"/>
              <w:jc w:val="center"/>
              <w:rPr>
                <w:sz w:val="24"/>
                <w:szCs w:val="22"/>
              </w:rPr>
            </w:pPr>
          </w:p>
        </w:tc>
        <w:tc>
          <w:tcPr>
            <w:tcW w:w="1701" w:type="dxa"/>
            <w:gridSpan w:val="2"/>
            <w:vAlign w:val="center"/>
          </w:tcPr>
          <w:p>
            <w:pPr>
              <w:spacing w:line="280" w:lineRule="exact"/>
              <w:jc w:val="center"/>
              <w:rPr>
                <w:rFonts w:ascii="宋体" w:hAnsi="宋体"/>
                <w:bCs/>
                <w:sz w:val="24"/>
                <w:szCs w:val="22"/>
              </w:rPr>
            </w:pPr>
          </w:p>
        </w:tc>
        <w:tc>
          <w:tcPr>
            <w:tcW w:w="1843" w:type="dxa"/>
            <w:vAlign w:val="center"/>
          </w:tcPr>
          <w:p>
            <w:pPr>
              <w:spacing w:line="280" w:lineRule="exact"/>
              <w:jc w:val="center"/>
              <w:rPr>
                <w:rFonts w:ascii="宋体" w:hAnsi="宋体"/>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851" w:type="dxa"/>
            <w:vMerge w:val="continue"/>
          </w:tcPr>
          <w:p>
            <w:pPr>
              <w:spacing w:line="280" w:lineRule="exact"/>
              <w:rPr>
                <w:bCs/>
                <w:sz w:val="24"/>
                <w:szCs w:val="22"/>
              </w:rPr>
            </w:pPr>
          </w:p>
        </w:tc>
        <w:tc>
          <w:tcPr>
            <w:tcW w:w="1324" w:type="dxa"/>
            <w:tcBorders>
              <w:bottom w:val="single" w:color="auto" w:sz="4" w:space="0"/>
            </w:tcBorders>
            <w:vAlign w:val="center"/>
          </w:tcPr>
          <w:p>
            <w:pPr>
              <w:spacing w:line="280" w:lineRule="exact"/>
              <w:jc w:val="center"/>
              <w:rPr>
                <w:sz w:val="24"/>
                <w:szCs w:val="22"/>
              </w:rPr>
            </w:pPr>
          </w:p>
        </w:tc>
        <w:tc>
          <w:tcPr>
            <w:tcW w:w="1417" w:type="dxa"/>
            <w:gridSpan w:val="2"/>
            <w:tcBorders>
              <w:bottom w:val="single" w:color="auto" w:sz="4" w:space="0"/>
            </w:tcBorders>
            <w:vAlign w:val="center"/>
          </w:tcPr>
          <w:p>
            <w:pPr>
              <w:spacing w:line="280" w:lineRule="exact"/>
              <w:jc w:val="center"/>
              <w:rPr>
                <w:sz w:val="24"/>
                <w:szCs w:val="22"/>
              </w:rPr>
            </w:pPr>
          </w:p>
        </w:tc>
        <w:tc>
          <w:tcPr>
            <w:tcW w:w="1276" w:type="dxa"/>
            <w:gridSpan w:val="2"/>
            <w:tcBorders>
              <w:bottom w:val="single" w:color="auto" w:sz="4" w:space="0"/>
            </w:tcBorders>
            <w:vAlign w:val="center"/>
          </w:tcPr>
          <w:p>
            <w:pPr>
              <w:spacing w:line="280" w:lineRule="exact"/>
              <w:jc w:val="center"/>
              <w:rPr>
                <w:sz w:val="24"/>
                <w:szCs w:val="22"/>
              </w:rPr>
            </w:pPr>
          </w:p>
        </w:tc>
        <w:tc>
          <w:tcPr>
            <w:tcW w:w="1701" w:type="dxa"/>
            <w:gridSpan w:val="2"/>
            <w:tcBorders>
              <w:bottom w:val="single" w:color="auto" w:sz="4" w:space="0"/>
            </w:tcBorders>
            <w:vAlign w:val="center"/>
          </w:tcPr>
          <w:p>
            <w:pPr>
              <w:spacing w:line="280" w:lineRule="exact"/>
              <w:jc w:val="center"/>
              <w:rPr>
                <w:rFonts w:ascii="宋体" w:hAnsi="宋体"/>
                <w:bCs/>
                <w:sz w:val="24"/>
                <w:szCs w:val="22"/>
              </w:rPr>
            </w:pPr>
          </w:p>
        </w:tc>
        <w:tc>
          <w:tcPr>
            <w:tcW w:w="1843" w:type="dxa"/>
            <w:tcBorders>
              <w:bottom w:val="single" w:color="auto" w:sz="4" w:space="0"/>
            </w:tcBorders>
            <w:vAlign w:val="center"/>
          </w:tcPr>
          <w:p>
            <w:pPr>
              <w:spacing w:line="280" w:lineRule="exact"/>
              <w:jc w:val="center"/>
              <w:rPr>
                <w:bCs/>
                <w:sz w:val="24"/>
                <w:szCs w:val="22"/>
              </w:rPr>
            </w:pPr>
            <w:r>
              <w:rPr>
                <w:rFonts w:ascii="宋体" w:hAnsi="宋体"/>
                <w:bCs/>
                <w:sz w:val="24"/>
                <w:szCs w:val="22"/>
              </w:rPr>
              <w:t>□</w:t>
            </w:r>
            <w:r>
              <w:rPr>
                <w:rFonts w:hint="eastAsia" w:ascii="宋体" w:hAnsi="宋体"/>
                <w:bCs/>
                <w:sz w:val="24"/>
                <w:szCs w:val="22"/>
              </w:rPr>
              <w:t xml:space="preserve">正常 </w:t>
            </w:r>
            <w:r>
              <w:rPr>
                <w:rFonts w:ascii="宋体" w:hAnsi="宋体"/>
                <w:bCs/>
                <w:sz w:val="24"/>
                <w:szCs w:val="22"/>
              </w:rPr>
              <w:t>□</w:t>
            </w:r>
            <w:r>
              <w:rPr>
                <w:rFonts w:hint="eastAsia" w:ascii="宋体" w:hAnsi="宋体"/>
                <w:bCs/>
                <w:sz w:val="24"/>
                <w:szCs w:val="22"/>
              </w:rPr>
              <w:t>异常</w:t>
            </w:r>
          </w:p>
        </w:tc>
      </w:tr>
    </w:tbl>
    <w:p>
      <w:pPr>
        <w:spacing w:line="240" w:lineRule="exact"/>
        <w:ind w:left="7289" w:right="-82" w:rightChars="-39" w:hanging="7288" w:hangingChars="3037"/>
        <w:jc w:val="left"/>
        <w:rPr>
          <w:rFonts w:ascii="宋体" w:hAnsi="宋体"/>
          <w:bCs/>
          <w:sz w:val="24"/>
          <w:szCs w:val="22"/>
        </w:rPr>
      </w:pPr>
    </w:p>
    <w:p>
      <w:pPr>
        <w:widowControl/>
        <w:jc w:val="left"/>
        <w:rPr>
          <w:rFonts w:ascii="宋体" w:hAnsi="宋体"/>
          <w:bCs/>
          <w:sz w:val="24"/>
          <w:szCs w:val="22"/>
        </w:rPr>
      </w:pPr>
      <w:r>
        <w:rPr>
          <w:rFonts w:ascii="宋体" w:hAnsi="宋体"/>
          <w:bCs/>
          <w:sz w:val="24"/>
          <w:szCs w:val="22"/>
        </w:rPr>
        <w:br w:type="page"/>
      </w:r>
    </w:p>
    <w:p>
      <w:pPr>
        <w:pStyle w:val="2"/>
        <w:spacing w:before="100" w:after="100"/>
        <w:rPr>
          <w:rFonts w:ascii="黑体" w:hAnsi="黑体" w:eastAsia="黑体"/>
          <w:b w:val="0"/>
          <w:color w:val="FFFFFF" w:themeColor="background1"/>
          <w:sz w:val="28"/>
          <w:szCs w:val="28"/>
        </w:rPr>
      </w:pPr>
      <w:bookmarkStart w:id="36" w:name="_Toc124506244"/>
      <w:r>
        <w:rPr>
          <w:rFonts w:hint="eastAsia" w:ascii="黑体" w:hAnsi="黑体" w:eastAsia="黑体"/>
          <w:b w:val="0"/>
          <w:sz w:val="28"/>
          <w:szCs w:val="28"/>
        </w:rPr>
        <w:t>附录</w:t>
      </w:r>
      <w:r>
        <w:rPr>
          <w:rFonts w:hint="eastAsia" w:ascii="黑体" w:hAnsi="黑体" w:eastAsia="黑体"/>
          <w:b w:val="0"/>
          <w:bCs w:val="0"/>
          <w:kern w:val="2"/>
          <w:sz w:val="28"/>
          <w:szCs w:val="28"/>
        </w:rPr>
        <w:t>D</w:t>
      </w:r>
      <w:r>
        <w:rPr>
          <w:rFonts w:hint="eastAsia" w:ascii="黑体" w:hAnsi="黑体" w:eastAsia="黑体"/>
          <w:b w:val="0"/>
          <w:bCs w:val="0"/>
          <w:color w:val="FFFFFF" w:themeColor="background1"/>
          <w:kern w:val="2"/>
          <w:sz w:val="28"/>
          <w:szCs w:val="28"/>
        </w:rPr>
        <w:t>常见闪烁率测量仪的测量方法</w:t>
      </w:r>
      <w:bookmarkEnd w:id="36"/>
    </w:p>
    <w:p>
      <w:pPr>
        <w:jc w:val="center"/>
        <w:rPr>
          <w:rFonts w:ascii="黑体" w:hAnsi="黑体" w:eastAsia="黑体"/>
          <w:sz w:val="28"/>
          <w:szCs w:val="28"/>
        </w:rPr>
      </w:pPr>
      <w:r>
        <w:rPr>
          <w:rFonts w:hint="eastAsia" w:ascii="黑体" w:hAnsi="黑体" w:eastAsia="黑体"/>
          <w:sz w:val="28"/>
          <w:szCs w:val="28"/>
        </w:rPr>
        <w:t>常见显示屏闪烁率测定仪的测量方法</w:t>
      </w:r>
    </w:p>
    <w:p>
      <w:pPr>
        <w:spacing w:line="360" w:lineRule="auto"/>
        <w:ind w:firstLine="480" w:firstLineChars="200"/>
        <w:jc w:val="left"/>
        <w:rPr>
          <w:sz w:val="24"/>
          <w:szCs w:val="21"/>
        </w:rPr>
      </w:pPr>
      <w:r>
        <w:rPr>
          <w:rFonts w:hint="eastAsia"/>
          <w:sz w:val="24"/>
          <w:szCs w:val="21"/>
        </w:rPr>
        <w:t>目前国内外普遍应用的显示器闪烁率测定仪的测量方法分为时域法和频域法，其中频域法分为JEITA法和VESA法。</w:t>
      </w:r>
    </w:p>
    <w:p>
      <w:pPr>
        <w:spacing w:line="360" w:lineRule="auto"/>
        <w:ind w:firstLine="480" w:firstLineChars="200"/>
        <w:jc w:val="left"/>
        <w:rPr>
          <w:sz w:val="24"/>
          <w:szCs w:val="21"/>
        </w:rPr>
      </w:pPr>
      <w:r>
        <w:rPr>
          <w:rFonts w:hint="eastAsia"/>
          <w:sz w:val="24"/>
          <w:szCs w:val="21"/>
        </w:rPr>
        <w:t>（1）时域法，也叫FMA法。该方法即亮度对比方法，是Flicker Modulation Amplitude 的缩写。FMA法通过测量显示屏的亮度随时间的调制幅度来计算闪烁率。假如显示屏的亮度变化如图D.1所示，亮度的交流部分即为亮度的最大值与最小值之差，亮度的直流部分即为亮度最大值与最小值之和的一半，亮度交流部分与直流部分的比值即为闪烁率，则FMA法的闪烁率计算公式：</w:t>
      </w:r>
    </w:p>
    <w:p>
      <w:pPr>
        <w:spacing w:line="360" w:lineRule="auto"/>
        <w:ind w:firstLine="480" w:firstLineChars="200"/>
        <w:jc w:val="left"/>
        <w:rPr>
          <w:sz w:val="24"/>
          <w:szCs w:val="21"/>
        </w:rPr>
      </w:pPr>
      <m:oMathPara>
        <m:oMath>
          <m:r>
            <m:rPr>
              <m:sty m:val="p"/>
            </m:rPr>
            <w:rPr>
              <w:rFonts w:ascii="Cambria Math" w:hAnsi="Cambria Math"/>
              <w:sz w:val="24"/>
              <w:szCs w:val="21"/>
            </w:rPr>
            <m:t>Flicker（FMA）=</m:t>
          </m:r>
          <m:f>
            <m:fPr>
              <m:ctrlPr>
                <w:rPr>
                  <w:rFonts w:ascii="Cambria Math" w:hAnsi="Cambria Math"/>
                  <w:sz w:val="24"/>
                  <w:szCs w:val="21"/>
                </w:rPr>
              </m:ctrlPr>
            </m:fPr>
            <m:num>
              <m:r>
                <m:rPr>
                  <m:sty m:val="p"/>
                </m:rPr>
                <w:rPr>
                  <w:rFonts w:ascii="Cambria Math" w:hAnsi="Cambria Math"/>
                  <w:sz w:val="24"/>
                  <w:szCs w:val="21"/>
                </w:rPr>
                <m:t>2</m:t>
              </m:r>
              <m:d>
                <m:dPr>
                  <m:ctrlPr>
                    <w:rPr>
                      <w:rFonts w:ascii="Cambria Math" w:hAnsi="Cambria Math"/>
                      <w:sz w:val="24"/>
                      <w:szCs w:val="21"/>
                    </w:rPr>
                  </m:ctrlPr>
                </m:dPr>
                <m:e>
                  <m:r>
                    <m:rPr>
                      <m:sty m:val="p"/>
                    </m:rPr>
                    <w:rPr>
                      <w:rFonts w:ascii="Cambria Math" w:hAnsi="Cambria Math"/>
                      <w:sz w:val="24"/>
                      <w:szCs w:val="21"/>
                    </w:rPr>
                    <m:t>Vmax−Vmin</m:t>
                  </m:r>
                  <m:ctrlPr>
                    <w:rPr>
                      <w:rFonts w:ascii="Cambria Math" w:hAnsi="Cambria Math"/>
                      <w:sz w:val="24"/>
                      <w:szCs w:val="21"/>
                    </w:rPr>
                  </m:ctrlPr>
                </m:e>
              </m:d>
              <m:ctrlPr>
                <w:rPr>
                  <w:rFonts w:ascii="Cambria Math" w:hAnsi="Cambria Math"/>
                  <w:sz w:val="24"/>
                  <w:szCs w:val="21"/>
                </w:rPr>
              </m:ctrlPr>
            </m:num>
            <m:den>
              <m:r>
                <m:rPr>
                  <m:sty m:val="p"/>
                </m:rPr>
                <w:rPr>
                  <w:rFonts w:ascii="Cambria Math" w:hAnsi="Cambria Math"/>
                  <w:sz w:val="24"/>
                  <w:szCs w:val="21"/>
                </w:rPr>
                <m:t>Vmax+Vmin</m:t>
              </m:r>
              <m:ctrlPr>
                <w:rPr>
                  <w:rFonts w:ascii="Cambria Math" w:hAnsi="Cambria Math"/>
                  <w:sz w:val="24"/>
                  <w:szCs w:val="21"/>
                </w:rPr>
              </m:ctrlPr>
            </m:den>
          </m:f>
          <m:r>
            <m:rPr>
              <m:sty m:val="p"/>
            </m:rPr>
            <w:rPr>
              <w:rFonts w:ascii="Cambria Math" w:hAnsi="Cambria Math"/>
              <w:sz w:val="24"/>
              <w:szCs w:val="21"/>
            </w:rPr>
            <m:t>×100%</m:t>
          </m:r>
        </m:oMath>
      </m:oMathPara>
    </w:p>
    <w:p>
      <w:pPr>
        <w:spacing w:line="360" w:lineRule="auto"/>
        <w:ind w:firstLine="480" w:firstLineChars="200"/>
        <w:jc w:val="center"/>
        <w:rPr>
          <w:sz w:val="24"/>
          <w:szCs w:val="21"/>
        </w:rPr>
      </w:pPr>
      <w:r>
        <w:rPr>
          <w:sz w:val="24"/>
          <w:szCs w:val="21"/>
        </w:rPr>
        <w:pict>
          <v:group id="组合 49" o:spid="_x0000_s1077" o:spt="203" style="height:207.1pt;width:300.8pt;" coordorigin="8995,19888" coordsize="38200,2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gfnggAAFUlAAAOAAAAZHJzL2Uyb0RvYy54bWzsWs2PHEcVvyPxP7TmiISnq/p75HWE17E5&#10;BLASg+BY290z00pPV6u6vDObcw6cgDNIHFDgBJxyQRbwz+Akfwa/V1X9MePdzOw6rBJkH9Y9XfXq&#10;1Xv1fu+r+uF7u03tXZaqq2RzNmMP/JlXNrksqmZ1Nvv5i6c/TGdep0VTiFo25dnsquxm7z36/vce&#10;bttFyeVa1kWpPCzSdIttezZba90u5vMuX5cb0T2QbdlgcCnVRmj8VKt5ocQWq2/qOff9eL6VqmiV&#10;zMuuw9sndnD2yKy/XJa5/tly2ZXaq89m2Js2f5X5e0F/548eisVKiXZd5W4b4g672IiqAdNhqSdC&#10;C++lqt5YalPlSnZyqR/kcjOXy2WVl0YGSMP8A2meKfmyNbKsFttVO6gJqj3Q052XzX96+Vx5VXE2&#10;i6CeRmxwRl+++vT1737thRlpZ9uuFpj0TLUftc+VFRGPH8j84w7D88Nx+r0aJ++WakNEkNTbGbVf&#10;DWovd9rL8TJIcZJhNPNyjPE48H0e24PJ1zg9okuzLMr4zMMElqVpGrqTy9fvH1lkLhZ2D2anw86G&#10;bQ4SOjVwdqAGvHhDDe7FsFrPY5CT8TTzOUQ63PAgcxj4MYNERmae8MgPDmS+cY2J0DescqPQAFk3&#10;2lH3dnb00Vq0pTHPjkykV2A4KPAPn3/xmz9/+fe/vf7s86/+/Ud6/utfPB5afRqa8+a5MsrsFp0z&#10;rwOLYTyDogKjyRA/oiy1eho1iRlY1GiSRakZHhQgFq3q9LNSbjx6OJt1WolqtdbnsmngHaRiBrfi&#10;8oNOkz2PBGS2jXxa1TXei0XdeFvYKksIKLmAr1rWQuNx0wI9XbOaeaJewQnmWpklO1lXBZETdXfV&#10;ndfKuxTwQ3Bfhdy+gAAzrxadxgAwYf6RaNjCHint+4no1pbYDFkNaFHV7zeFp69aoFYoJbeOvm6I&#10;Z2n8n5Nr2/YqNk/6qi6tVB+WS+AfGLOKMJ63HPYq8rxstIEA9lU3mE1kS4g1EPpWXHLZNxG6+eOu&#10;bkNs5eg5y0YPxJuqkU7Z+9z1rt/y0s43ngoasHKTCi5kcWWMD47BwII8wX3gA17B+dnr8RHRIdJW&#10;gKkb8OEpCVOOQmsz3rKu2h/TAZqnX/RH6XwuZ2kcxgZAgQ8vyoxfh3k4z8lZyAOaQK7oOw8gMrFu&#10;LYrSwiWLoCMLl07on8jCvmZ+/57QZrD5LQNe8XFvwbcA3Uh0S8CNhP9nYINZW7D959WrLz797evP&#10;fv/Vv/7x+p9/8myK4WBGqY0D3U1hKPJDFtgwxMM0ZYjdJiwMKEriKPJdQGc8SJLUJDGwrz6i5S9t&#10;JCIT7eMNMsYCHpperQq31Ryhqat0+UsEmuWmRj76g7nne1uPOx6G8RvTfzWdHmVxlPne2pts5ToW&#10;5DN6FgEy0DQ4zmdKAyBlQXKcDxQz8EkCBPET5JnSQAzO2QkC4YgGRhCHxXF6XKIpUYLjDY4LhIRj&#10;5BOymPvRcT57RKdKhHgxckqyCL76OKcpURrEQXhcIkBl4MMZS5OAHeczJWJ0QlF2nFMy5RSh8ElO&#10;0N2U6FSrQ/E5imTBc1ykKVHsJ0nI9yUCogfMirVNr8Qi3zUOx3jyBJW/Ni9qZUcVzBTUiLP9T4AW&#10;aMaSoCIncIQY0JsS9yHiNGLgaUpsHNjJnK3rG7ZtipWTiWH3U86mAjiZ2FZRA2eTHp1MDPuccu5d&#10;8mkKg8lNiZNbHRXMaErclyWGs92+sxeFMoTaE7VpT6AmQDWgZh7aExc2xLRCk5mRedAjlSF9JPDW&#10;SNlcsKHxjbwsX0gzU4/1tg0GbvfjlPzlRZU/Lj+ZEqTIDxFHsHOepai23A7MYixJQ24HXUrVmvc2&#10;bhgiC8xeT3vrX8cNiWfiUlPjcYxhQEqzbOyjmLNm14toAp8dtUHEMrWe9GSuaQxY2+OBy4rhHKdS&#10;ZjHktidvQsF0zAUUw3UYpMM8KiljyESDbJ+ylxRlLRoAdhCi+kHkkgsrKrPh5U6ysiiIWGTdBpYO&#10;/diVz27pOEl5ZHWRRmHmehBu0AYbw9fEkJM1zDLGQ6iV7ChlSeLaOW7ZLEsypF80yDhLgnBPWhd6&#10;3LCJKCfz5TxAfOyX5uEBZ44GQpA680ZuEO3ti9tIZBmbtOZ0vjFPssQuHCRsT8U8zuLE7Qn1VxLs&#10;YWcAMpRhg801TGFhBHwTJwZnYMxuTCjf6FSwDDXOXToVanUxlP++/5hWsSHqLl2JBl1fR/6uKXG8&#10;KaF3FzvTjWVDl8z2KTyl63Npm9iiydcSQYIaTXQy99y/gG/82v6FCZOT/gVFo7IpzpEWUZ+ZkG/6&#10;TTaF2JtIP6YF2K36HAzuKnS+LICnS0PnzfoSjUUJYA1faBodvp/12UBfoH2zrcI7A/B/3irsdClq&#10;vX6HS9sM+jY3CxGavxZsJtRMMAR/8FYg4oheUWJTkSBjcZq44NyDKORpzLGre2kWvoNQ3/V+128/&#10;fl16w30UjNlCiG5cHsudFw6xFR12av15eof31Da/Bj4UvvpOehbwmNn0Eg2+AKUDUYyt9ChMAkoD&#10;CRxhmsTINSlAjy3AgwhDpd9J108mxtvISPAe04ThssClCVtcZZ/NTNY1SRloj137o5ca11nmlosW&#10;sRT3nj8g/z08j0GI254HblmT2LY1OIfqcYm8fx64N2boH9zfeZiUYtSu91bnMV5Z39fdFHR5gJVp&#10;NncrrIQBT7mto9E5Rz/RFVt9IEHJZGqx+zubQZTvDFY42h8H5zEN+Lc5j8kXFNdDJUHN7lwXutkp&#10;s59YfAO+C64Hd8hlUJAXyvGFiRLuLl4qvZbu45unChe1xhfibhPX4rjfxG7w0ZD5X5WX9L91pnYN&#10;Wq2mm/wPq5WnKvRb9VqV5XM00IoK1ZF2swfmN/rQQaXOLvA5E7jTX07O/O0hjG93TBRwotLHQdPf&#10;xgWPX0M9+i8AAAD//wMAUEsDBBQABgAIAAAAIQByetKM3QAAAAUBAAAPAAAAZHJzL2Rvd25yZXYu&#10;eG1sTI9BS8NAEIXvgv9hGcGb3WytocRsSinqqQi2gvQ2zU6T0OxsyG6T9N+7etHLwOM93vsmX022&#10;FQP1vnGsQc0SEMSlMw1XGj73rw9LED4gG2wdk4YreVgVtzc5ZsaN/EHDLlQilrDPUEMdQpdJ6cua&#10;LPqZ64ijd3K9xRBlX0nT4xjLbSvnSZJKiw3HhRo72tRUnncXq+FtxHH9qF6G7fm0uR72T+9fW0Va&#10;399N62cQgabwF4Yf/IgORWQ6ugsbL1oN8ZHwe6OXJioFcdSwUIs5yCKX/+mLbwAAAP//AwBQSwEC&#10;LQAUAAYACAAAACEAtoM4kv4AAADhAQAAEwAAAAAAAAAAAAAAAAAAAAAAW0NvbnRlbnRfVHlwZXNd&#10;LnhtbFBLAQItABQABgAIAAAAIQA4/SH/1gAAAJQBAAALAAAAAAAAAAAAAAAAAC8BAABfcmVscy8u&#10;cmVsc1BLAQItABQABgAIAAAAIQANXWgfnggAAFUlAAAOAAAAAAAAAAAAAAAAAC4CAABkcnMvZTJv&#10;RG9jLnhtbFBLAQItABQABgAIAAAAIQByetKM3QAAAAUBAAAPAAAAAAAAAAAAAAAAAPgKAABkcnMv&#10;ZG93bnJldi54bWxQSwUGAAAAAAQABADzAAAAAgwAAAAA&#10;">
            <o:lock v:ext="edit"/>
            <v:group id="组合 21" o:spid="_x0000_s1078" o:spt="203" style="position:absolute;left:12890;top:19888;height:22725;width:34306;" coordorigin="12890,19888" coordsize="34306,22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o:lock v:ext="edit"/>
              <v:shape id="直接箭头连接符 24" o:spid="_x0000_s1079" o:spt="32" type="#_x0000_t32" style="position:absolute;left:12906;top:41295;height:16;width:34290;"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qQcIAAADbAAAADwAAAGRycy9kb3ducmV2LnhtbESPT4vCMBTE7wt+h/CEvSya+odVqlFk&#10;wbJX63p/NM+mtHkpTaz125sFweMwM79htvvBNqKnzleOFcymCQjiwumKSwV/5+NkDcIHZI2NY1Lw&#10;IA/73ehji6l2dz5Rn4dSRAj7FBWYENpUSl8YsuinriWO3tV1FkOUXSl1h/cIt42cJ8m3tFhxXDDY&#10;0o+hos5vVkGVLbKVznpzPl2uZX6sb7ZefSn1OR4OGxCBhvAOv9q/WsF8Cf9f4g+Qu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fqQcIAAADbAAAADwAAAAAAAAAAAAAA&#10;AAChAgAAZHJzL2Rvd25yZXYueG1sUEsFBgAAAAAEAAQA+QAAAJADAAAAAA==&#10;">
                <v:path arrowok="t"/>
                <v:fill on="f" focussize="0,0"/>
                <v:stroke weight="2.5pt" color="#000000" endarrow="open"/>
                <v:imagedata o:title=""/>
                <o:lock v:ext="edit"/>
              </v:shape>
              <v:shape id="直接箭头连接符 25" o:spid="_x0000_s1080" o:spt="32" type="#_x0000_t32" style="position:absolute;left:2186;top:30592;flip:x y;height:16;width:21423;rotation:5898240f;"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vb8IAAADbAAAADwAAAGRycy9kb3ducmV2LnhtbESPQWvCQBSE7wX/w/IKvdVNA5U2dRUR&#10;DHrUBvH42H1NUrNvQ3ZN4r93BcHjMDPfMPPlaBvRU+drxwo+pgkIYu1MzaWC4nfz/gXCB2SDjWNS&#10;cCUPy8XkZY6ZcQPvqT+EUkQI+wwVVCG0mZReV2TRT11LHL0/11kMUXalNB0OEW4bmSbJTFqsOS5U&#10;2NK6In0+XKwCXXzTtjjnR7c67do8jPb/pI9Kvb2Oqx8QgcbwDD/aW6Mg/YT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zvb8IAAADbAAAADwAAAAAAAAAAAAAA&#10;AAChAgAAZHJzL2Rvd25yZXYueG1sUEsFBgAAAAAEAAQA+QAAAJADAAAAAA==&#10;">
                <v:path arrowok="t"/>
                <v:fill on="f" focussize="0,0"/>
                <v:stroke weight="2.5pt" endarrow="open"/>
                <v:imagedata o:title=""/>
                <o:lock v:ext="edit"/>
              </v:shape>
              <v:shape id="任意多边形 26" o:spid="_x0000_s1081" o:spt="100" style="position:absolute;left:15041;top:24881;height:12377;width:27655;v-text-anchor:middle;" filled="f" stroked="t" coordsize="2765502,1237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kDrsUA&#10;AADbAAAADwAAAGRycy9kb3ducmV2LnhtbESPQWvCQBCF74X+h2UKvRTdaEOQNKuIKAg9lMReehuy&#10;02xIdjZkV03/vSsIPT7evO/NKzaT7cWFRt86VrCYJyCIa6dbbhR8nw6zFQgfkDX2jknBH3nYrJ+f&#10;Csy1u3JJlyo0IkLY56jAhDDkUvrakEU/dwNx9H7daDFEOTZSj3iNcNvLZZJk0mLLscHgQDtDdVed&#10;bXzj6+0HP9Mkfc92e9OVaSmrs1Hq9WXafoAINIX/40f6qBUsM7hviQC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aQOuxQAAANsAAAAPAAAAAAAAAAAAAAAAAJgCAABkcnMv&#10;ZG93bnJldi54bWxQSwUGAAAAAAQABAD1AAAAigMAAAAA&#10;" adj="-11796480,,5400" path="m0,596590c89210,298295,178420,0,301083,105937c423746,211874,605883,1237786,735980,1232210c866078,1226634,968297,72483,1081668,72483c1195039,72483,1297259,1230352,1416205,1232210c1535151,1234068,1678258,85493,1795346,83634c1912434,81776,1997926,1217342,2118731,1221059c2239536,1224776,2412380,208156,2520175,105937c2627970,3718,2696736,305730,2765502,607742e">
                <v:path textboxrect="0,0,2765502,1237786" arrowok="t" o:connecttype="custom" o:connectlocs="0,596590;301083,105937;735980,1232210;1081668,72483;1416205,1232210;1795346,83634;2118731,1221059;2520175,105937;2765502,607742" o:connectangles="0,0,0,0,0,0,0,0,0"/>
                <v:fill on="f" focussize="0,0"/>
                <v:stroke weight="1.5pt" color="#00B050" joinstyle="miter"/>
                <v:imagedata o:title=""/>
                <o:lock v:ext="edit"/>
                <v:textbox>
                  <w:txbxContent>
                    <w:p/>
                  </w:txbxContent>
                </v:textbox>
              </v:shape>
              <v:shape id="直接箭头连接符 27" o:spid="_x0000_s1082" o:spt="32" type="#_x0000_t32" style="position:absolute;left:17955;top:33407;flip:x y;height:101;width:15706;rotation:5898240f;"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H4pr0AAADbAAAADwAAAGRycy9kb3ducmV2LnhtbERPy4rCMBTdD/gP4QrupqmCD6pRRBAU&#10;3Ez1Ay7Nta02NyWJWv16MyC4PJz3YtWZRtzJ+dqygmGSgiAurK65VHA6bn9nIHxA1thYJgVP8rBa&#10;9n4WmGn74D+656EUMYR9hgqqENpMSl9UZNAntiWO3Nk6gyFCV0rt8BHDTSNHaTqRBmuODRW2tKmo&#10;uOY3o4Dc63CZyv352vhclsM4b7xzSg363XoOIlAXvuKPe6cVjKbw/yX+ALl8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B+Ka9AAAA2wAAAA8AAAAAAAAAAAAAAAAAoQIA&#10;AGRycy9kb3ducmV2LnhtbFBLBQYAAAAABAAEAPkAAACLAwAAAAA=&#10;">
                <v:path arrowok="t"/>
                <v:fill on="f" focussize="0,0"/>
                <v:stroke weight="1.5pt" color="#000000" endarrow="classic"/>
                <v:imagedata o:title=""/>
                <o:lock v:ext="edit"/>
              </v:shape>
              <v:shape id="直接箭头连接符 28" o:spid="_x0000_s1083" o:spt="32" type="#_x0000_t32" style="position:absolute;left:27185;top:39168;flip:x y;height:16;width:4286;rotation:5898240f;"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s1L4AAADbAAAADwAAAGRycy9kb3ducmV2LnhtbERPzYrCMBC+C75DGGFvmiqsLl2jyILg&#10;gherDzA0Y1ttJiXJat2ndw6Cx4/vf7nuXatuFGLj2cB0koEiLr1tuDJwOm7HX6BiQrbYeiYDD4qw&#10;Xg0HS8ytv/OBbkWqlIRwzNFAnVKXax3LmhzGie+IhTv74DAJDJW2Ae8S7lo9y7K5dtiwNNTY0U9N&#10;5bX4cwYo/O8vC/17vrax0NVU5n3ugjEfo37zDSpRn97il3tnDcxkrHyRH6BX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XmzUvgAAANsAAAAPAAAAAAAAAAAAAAAAAKEC&#10;AABkcnMvZG93bnJldi54bWxQSwUGAAAAAAQABAD5AAAAjAMAAAAA&#10;">
                <v:path arrowok="t"/>
                <v:fill on="f" focussize="0,0"/>
                <v:stroke weight="1.5pt" color="#000000" endarrow="classic"/>
                <v:imagedata o:title=""/>
                <o:lock v:ext="edit"/>
              </v:shape>
              <v:shape id="TextBox 44" o:spid="_x0000_s1084" o:spt="202" type="#_x0000_t202" style="position:absolute;left:29326;top:37736;height:4877;width:547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v:path/>
                <v:fill on="f" focussize="0,0"/>
                <v:stroke on="f" joinstyle="miter"/>
                <v:imagedata o:title=""/>
                <o:lock v:ext="edit"/>
                <v:textbox style="mso-fit-shape-to-text:t;">
                  <w:txbxContent>
                    <w:p>
                      <w:pPr>
                        <w:pStyle w:val="33"/>
                        <w:spacing w:before="0" w:beforeAutospacing="0" w:after="0" w:afterAutospacing="0"/>
                        <w:textAlignment w:val="baseline"/>
                      </w:pPr>
                      <w:r>
                        <w:rPr>
                          <w:rFonts w:ascii="Arial" w:hAnsi="Arial" w:cs="Arial"/>
                          <w:color w:val="000000"/>
                          <w:kern w:val="24"/>
                          <w:sz w:val="28"/>
                          <w:szCs w:val="28"/>
                        </w:rPr>
                        <w:t>V</w:t>
                      </w:r>
                      <w:r>
                        <w:rPr>
                          <w:rFonts w:ascii="Arial" w:hAnsi="Arial" w:cs="Arial"/>
                          <w:color w:val="000000"/>
                          <w:kern w:val="24"/>
                        </w:rPr>
                        <w:t>min</w:t>
                      </w:r>
                    </w:p>
                  </w:txbxContent>
                </v:textbox>
              </v:shape>
              <v:shape id="TextBox 45" o:spid="_x0000_s1085" o:spt="202" type="#_x0000_t202" style="position:absolute;left:22897;top:22737;height:4877;width:589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v:path/>
                <v:fill on="f" focussize="0,0"/>
                <v:stroke on="f" joinstyle="miter"/>
                <v:imagedata o:title=""/>
                <o:lock v:ext="edit"/>
                <v:textbox style="mso-fit-shape-to-text:t;">
                  <w:txbxContent>
                    <w:p>
                      <w:pPr>
                        <w:pStyle w:val="33"/>
                        <w:spacing w:before="0" w:beforeAutospacing="0" w:after="0" w:afterAutospacing="0"/>
                        <w:textAlignment w:val="baseline"/>
                      </w:pPr>
                      <w:r>
                        <w:rPr>
                          <w:rFonts w:ascii="Arial" w:hAnsi="Arial" w:cs="Arial"/>
                          <w:color w:val="000000"/>
                          <w:kern w:val="24"/>
                          <w:sz w:val="28"/>
                          <w:szCs w:val="28"/>
                        </w:rPr>
                        <w:t>V</w:t>
                      </w:r>
                      <w:r>
                        <w:rPr>
                          <w:rFonts w:ascii="Arial" w:hAnsi="Arial" w:cs="Arial"/>
                          <w:color w:val="000000"/>
                          <w:kern w:val="24"/>
                        </w:rPr>
                        <w:t>max</w:t>
                      </w:r>
                    </w:p>
                  </w:txbxContent>
                </v:textbox>
              </v:shape>
            </v:group>
            <v:shape id="TextBox 47" o:spid="_x0000_s1086" o:spt="202" type="#_x0000_t202" style="position:absolute;left:24328;top:41311;height:4877;width:6274;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v:path/>
              <v:fill on="f" focussize="0,0"/>
              <v:stroke on="f" joinstyle="miter"/>
              <v:imagedata o:title=""/>
              <o:lock v:ext="edit"/>
              <v:textbox style="mso-fit-shape-to-text:t;">
                <w:txbxContent>
                  <w:p>
                    <w:pPr>
                      <w:pStyle w:val="33"/>
                      <w:spacing w:before="0" w:beforeAutospacing="0" w:after="0" w:afterAutospacing="0"/>
                      <w:textAlignment w:val="baseline"/>
                    </w:pPr>
                    <w:r>
                      <w:rPr>
                        <w:rFonts w:ascii="Arial" w:hAnsi="Arial" w:cs="Arial"/>
                        <w:color w:val="000000"/>
                        <w:kern w:val="24"/>
                        <w:sz w:val="32"/>
                        <w:szCs w:val="32"/>
                      </w:rPr>
                      <w:t>Time</w:t>
                    </w:r>
                  </w:p>
                </w:txbxContent>
              </v:textbox>
            </v:shape>
            <v:shape id="TextBox 48" o:spid="_x0000_s1087" o:spt="202" type="#_x0000_t202" style="position:absolute;left:8995;top:22737;height:16281;width:5792;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8WvsIA&#10;AADbAAAADwAAAGRycy9kb3ducmV2LnhtbESP0YrCMBRE34X9h3AX9kU0tYJI1yhLQfBpxdoPuDR3&#10;22pz022irX69EQQfh5k5w6w2g2nElTpXW1Ywm0YgiAuray4V5MftZAnCeWSNjWVScCMHm/XHaIWJ&#10;tj0f6Jr5UgQIuwQVVN63iZSuqMigm9qWOHh/tjPog+xKqTvsA9w0Mo6ihTRYc1iosKW0ouKcXYyC&#10;/b0u/fLU5/Tb6nQc5ynd/zOlvj6Hn28Qngb/Dr/aO60gnsPzS/g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xa+wgAAANsAAAAPAAAAAAAAAAAAAAAAAJgCAABkcnMvZG93&#10;bnJldi54bWxQSwUGAAAAAAQABAD1AAAAhwMAAAAA&#10;">
              <v:path/>
              <v:fill on="f" focussize="0,0"/>
              <v:stroke on="f" joinstyle="miter"/>
              <v:imagedata o:title=""/>
              <o:lock v:ext="edit"/>
              <v:textbox style="layout-flow:vertical;mso-fit-shape-to-text:t;mso-layout-flow-alt:bottom-to-top;">
                <w:txbxContent>
                  <w:p>
                    <w:pPr>
                      <w:pStyle w:val="33"/>
                      <w:spacing w:before="0" w:beforeAutospacing="0" w:after="0" w:afterAutospacing="0"/>
                      <w:textAlignment w:val="baseline"/>
                    </w:pPr>
                    <w:r>
                      <w:rPr>
                        <w:rFonts w:ascii="Arial" w:hAnsi="Arial" w:cs="Arial"/>
                        <w:color w:val="000000"/>
                        <w:kern w:val="24"/>
                        <w:sz w:val="32"/>
                        <w:szCs w:val="32"/>
                      </w:rPr>
                      <w:t>Luminance Level</w:t>
                    </w:r>
                  </w:p>
                </w:txbxContent>
              </v:textbox>
            </v:shape>
            <w10:wrap type="none"/>
            <w10:anchorlock/>
          </v:group>
        </w:pict>
      </w:r>
    </w:p>
    <w:p>
      <w:pPr>
        <w:spacing w:line="360" w:lineRule="auto"/>
        <w:ind w:firstLine="420" w:firstLineChars="200"/>
        <w:jc w:val="center"/>
        <w:rPr>
          <w:szCs w:val="21"/>
        </w:rPr>
      </w:pPr>
      <w:r>
        <w:rPr>
          <w:rFonts w:hint="eastAsia"/>
          <w:szCs w:val="21"/>
        </w:rPr>
        <w:t>图D.1： FMA法亮度变化示意图</w:t>
      </w:r>
    </w:p>
    <w:p>
      <w:pPr>
        <w:spacing w:line="360" w:lineRule="auto"/>
        <w:ind w:firstLine="480" w:firstLineChars="200"/>
        <w:jc w:val="left"/>
        <w:rPr>
          <w:sz w:val="24"/>
          <w:szCs w:val="21"/>
        </w:rPr>
      </w:pPr>
      <w:r>
        <w:rPr>
          <w:rFonts w:hint="eastAsia"/>
          <w:sz w:val="24"/>
          <w:szCs w:val="21"/>
        </w:rPr>
        <w:t>（2）JEITA法。JEITA法是日本电子信息技术产业协会(</w:t>
      </w:r>
      <w:r>
        <w:rPr>
          <w:sz w:val="24"/>
          <w:szCs w:val="21"/>
        </w:rPr>
        <w:t>Japan Electronics and Information Technology Association</w:t>
      </w:r>
      <w:r>
        <w:rPr>
          <w:rFonts w:hint="eastAsia"/>
          <w:sz w:val="24"/>
          <w:szCs w:val="21"/>
        </w:rPr>
        <w:t>)标准中所规定方法的简称，该方法的测试步骤为：a.测量显示屏的亮度，将显示屏的亮度值转换成为数字信号；b.将数字信号经快速傅立叶变换FFT转换成为每个频率的幅值；c.将每个频率的幅值乘以人眼闪烁灵敏度曲线对应频率处的灵敏度因子</w:t>
      </w:r>
      <w:r>
        <w:rPr>
          <w:sz w:val="24"/>
          <w:szCs w:val="21"/>
        </w:rPr>
        <w:t>(Flicker Sensitivity)</w:t>
      </w:r>
      <w:r>
        <w:rPr>
          <w:rFonts w:hint="eastAsia"/>
          <w:sz w:val="24"/>
          <w:szCs w:val="21"/>
        </w:rPr>
        <w:t>，找到最大幅值</w:t>
      </w:r>
      <w:r>
        <w:rPr>
          <w:i/>
          <w:sz w:val="24"/>
          <w:szCs w:val="21"/>
        </w:rPr>
        <w:t>P</w:t>
      </w:r>
      <w:r>
        <w:rPr>
          <w:rFonts w:hint="eastAsia"/>
          <w:sz w:val="24"/>
          <w:szCs w:val="21"/>
          <w:vertAlign w:val="subscript"/>
        </w:rPr>
        <w:t>max</w:t>
      </w:r>
      <w:r>
        <w:rPr>
          <w:rFonts w:hint="eastAsia"/>
          <w:sz w:val="24"/>
          <w:szCs w:val="21"/>
        </w:rPr>
        <w:t>；d.s根据JEITA标准提供的公式计算出最大闪烁率值。JEITA法的闪烁率计算公式为：</w:t>
      </w:r>
    </w:p>
    <w:p>
      <w:pPr>
        <w:spacing w:line="360" w:lineRule="auto"/>
        <w:ind w:firstLine="482" w:firstLineChars="200"/>
        <w:jc w:val="left"/>
        <w:rPr>
          <w:sz w:val="24"/>
          <w:szCs w:val="21"/>
        </w:rPr>
      </w:pPr>
      <m:oMathPara>
        <m:oMath>
          <m:r>
            <m:rPr>
              <m:sty m:val="b"/>
            </m:rPr>
            <w:rPr>
              <w:rFonts w:ascii="Cambria Math" w:hAnsi="Cambria Math"/>
              <w:sz w:val="24"/>
              <w:szCs w:val="21"/>
            </w:rPr>
            <m:t>Flicker</m:t>
          </m:r>
          <m:d>
            <m:dPr>
              <m:begChr m:val="（"/>
              <m:endChr m:val="）"/>
              <m:ctrlPr>
                <w:rPr>
                  <w:rFonts w:ascii="Cambria Math" w:hAnsi="Cambria Math"/>
                  <w:sz w:val="24"/>
                  <w:szCs w:val="21"/>
                </w:rPr>
              </m:ctrlPr>
            </m:dPr>
            <m:e>
              <m:r>
                <m:rPr>
                  <m:sty m:val="b"/>
                </m:rPr>
                <w:rPr>
                  <w:rFonts w:ascii="Cambria Math" w:hAnsi="Cambria Math"/>
                  <w:sz w:val="24"/>
                  <w:szCs w:val="21"/>
                </w:rPr>
                <m:t>JEITA</m:t>
              </m:r>
              <m:ctrlPr>
                <w:rPr>
                  <w:rFonts w:ascii="Cambria Math" w:hAnsi="Cambria Math"/>
                  <w:sz w:val="24"/>
                  <w:szCs w:val="21"/>
                </w:rPr>
              </m:ctrlPr>
            </m:e>
          </m:d>
          <m:r>
            <m:rPr>
              <m:sty m:val="p"/>
            </m:rPr>
            <w:rPr>
              <w:rFonts w:ascii="Cambria Math" w:hAnsi="Cambria Math"/>
              <w:sz w:val="24"/>
              <w:szCs w:val="21"/>
            </w:rPr>
            <m:t>=</m:t>
          </m:r>
          <m:r>
            <m:rPr>
              <m:sty m:val="b"/>
            </m:rPr>
            <w:rPr>
              <w:rFonts w:ascii="Cambria Math" w:hAnsi="Cambria Math"/>
              <w:sz w:val="24"/>
              <w:szCs w:val="21"/>
            </w:rPr>
            <m:t>20</m:t>
          </m:r>
          <m:func>
            <m:funcPr>
              <m:ctrlPr>
                <w:rPr>
                  <w:rFonts w:ascii="Cambria Math" w:hAnsi="Cambria Math"/>
                  <w:sz w:val="24"/>
                  <w:szCs w:val="21"/>
                </w:rPr>
              </m:ctrlPr>
            </m:funcPr>
            <m:fName>
              <m:sSub>
                <m:sSubPr>
                  <m:ctrlPr>
                    <w:rPr>
                      <w:rFonts w:ascii="Cambria Math" w:hAnsi="Cambria Math"/>
                      <w:sz w:val="24"/>
                      <w:szCs w:val="21"/>
                    </w:rPr>
                  </m:ctrlPr>
                </m:sSubPr>
                <m:e>
                  <m:r>
                    <m:rPr>
                      <m:sty m:val="b"/>
                    </m:rPr>
                    <w:rPr>
                      <w:rFonts w:ascii="Cambria Math" w:hAnsi="Cambria Math"/>
                      <w:sz w:val="24"/>
                      <w:szCs w:val="21"/>
                    </w:rPr>
                    <m:t>log</m:t>
                  </m:r>
                  <m:ctrlPr>
                    <w:rPr>
                      <w:rFonts w:ascii="Cambria Math" w:hAnsi="Cambria Math"/>
                      <w:sz w:val="24"/>
                      <w:szCs w:val="21"/>
                    </w:rPr>
                  </m:ctrlPr>
                </m:e>
                <m:sub>
                  <m:r>
                    <m:rPr>
                      <m:sty m:val="b"/>
                    </m:rPr>
                    <w:rPr>
                      <w:rFonts w:ascii="Cambria Math" w:hAnsi="Cambria Math"/>
                      <w:sz w:val="24"/>
                      <w:szCs w:val="21"/>
                    </w:rPr>
                    <m:t>10</m:t>
                  </m:r>
                  <m:ctrlPr>
                    <w:rPr>
                      <w:rFonts w:ascii="Cambria Math" w:hAnsi="Cambria Math"/>
                      <w:sz w:val="24"/>
                      <w:szCs w:val="21"/>
                    </w:rPr>
                  </m:ctrlPr>
                </m:sub>
              </m:sSub>
              <m:ctrlPr>
                <w:rPr>
                  <w:rFonts w:ascii="Cambria Math" w:hAnsi="Cambria Math"/>
                  <w:sz w:val="24"/>
                  <w:szCs w:val="21"/>
                </w:rPr>
              </m:ctrlPr>
            </m:fName>
            <m:e>
              <m:d>
                <m:dPr>
                  <m:ctrlPr>
                    <w:rPr>
                      <w:rFonts w:ascii="Cambria Math" w:hAnsi="Cambria Math"/>
                      <w:sz w:val="24"/>
                      <w:szCs w:val="21"/>
                    </w:rPr>
                  </m:ctrlPr>
                </m:dPr>
                <m:e>
                  <m:f>
                    <m:fPr>
                      <m:ctrlPr>
                        <w:rPr>
                          <w:rFonts w:ascii="Cambria Math" w:hAnsi="Cambria Math"/>
                          <w:sz w:val="24"/>
                          <w:szCs w:val="21"/>
                        </w:rPr>
                      </m:ctrlPr>
                    </m:fPr>
                    <m:num>
                      <m:rad>
                        <m:radPr>
                          <m:degHide m:val="1"/>
                          <m:ctrlPr>
                            <w:rPr>
                              <w:rFonts w:ascii="Cambria Math" w:hAnsi="Cambria Math"/>
                              <w:sz w:val="24"/>
                              <w:szCs w:val="21"/>
                            </w:rPr>
                          </m:ctrlPr>
                        </m:radPr>
                        <m:deg>
                          <m:ctrlPr>
                            <w:rPr>
                              <w:rFonts w:ascii="Cambria Math" w:hAnsi="Cambria Math"/>
                              <w:sz w:val="24"/>
                              <w:szCs w:val="21"/>
                            </w:rPr>
                          </m:ctrlPr>
                        </m:deg>
                        <m:e>
                          <m:r>
                            <m:rPr>
                              <m:sty m:val="b"/>
                            </m:rPr>
                            <w:rPr>
                              <w:rFonts w:ascii="Cambria Math" w:hAnsi="Cambria Math"/>
                              <w:sz w:val="24"/>
                              <w:szCs w:val="21"/>
                            </w:rPr>
                            <m:t>2</m:t>
                          </m:r>
                          <m:ctrlPr>
                            <w:rPr>
                              <w:rFonts w:ascii="Cambria Math" w:hAnsi="Cambria Math"/>
                              <w:sz w:val="24"/>
                              <w:szCs w:val="21"/>
                            </w:rPr>
                          </m:ctrlPr>
                        </m:e>
                      </m:rad>
                      <m:sSub>
                        <m:sSubPr>
                          <m:ctrlPr>
                            <w:rPr>
                              <w:rFonts w:ascii="Cambria Math" w:hAnsi="Cambria Math"/>
                              <w:sz w:val="24"/>
                              <w:szCs w:val="21"/>
                            </w:rPr>
                          </m:ctrlPr>
                        </m:sSubPr>
                        <m:e>
                          <m:r>
                            <m:rPr>
                              <m:sty m:val="b"/>
                            </m:rPr>
                            <w:rPr>
                              <w:rFonts w:ascii="Cambria Math" w:hAnsi="Cambria Math"/>
                              <w:sz w:val="24"/>
                              <w:szCs w:val="21"/>
                            </w:rPr>
                            <m:t>P</m:t>
                          </m:r>
                          <m:ctrlPr>
                            <w:rPr>
                              <w:rFonts w:ascii="Cambria Math" w:hAnsi="Cambria Math"/>
                              <w:sz w:val="24"/>
                              <w:szCs w:val="21"/>
                            </w:rPr>
                          </m:ctrlPr>
                        </m:e>
                        <m:sub>
                          <m:r>
                            <m:rPr>
                              <m:sty m:val="b"/>
                            </m:rPr>
                            <w:rPr>
                              <w:rFonts w:ascii="Cambria Math" w:hAnsi="Cambria Math"/>
                              <w:sz w:val="24"/>
                              <w:szCs w:val="21"/>
                            </w:rPr>
                            <m:t>max</m:t>
                          </m:r>
                          <m:ctrlPr>
                            <w:rPr>
                              <w:rFonts w:ascii="Cambria Math" w:hAnsi="Cambria Math"/>
                              <w:sz w:val="24"/>
                              <w:szCs w:val="21"/>
                            </w:rPr>
                          </m:ctrlPr>
                        </m:sub>
                      </m:sSub>
                      <m:r>
                        <m:rPr>
                          <m:sty m:val="p"/>
                        </m:rPr>
                        <w:rPr>
                          <w:rFonts w:ascii="Cambria Math" w:hAnsi="Cambria Math"/>
                          <w:sz w:val="24"/>
                          <w:szCs w:val="21"/>
                        </w:rPr>
                        <m:t>×Flicker Sensitivity</m:t>
                      </m:r>
                      <m:ctrlPr>
                        <w:rPr>
                          <w:rFonts w:ascii="Cambria Math" w:hAnsi="Cambria Math"/>
                          <w:sz w:val="24"/>
                          <w:szCs w:val="21"/>
                        </w:rPr>
                      </m:ctrlPr>
                    </m:num>
                    <m:den>
                      <m:sSub>
                        <m:sSubPr>
                          <m:ctrlPr>
                            <w:rPr>
                              <w:rFonts w:ascii="Cambria Math" w:hAnsi="Cambria Math"/>
                              <w:sz w:val="24"/>
                              <w:szCs w:val="21"/>
                            </w:rPr>
                          </m:ctrlPr>
                        </m:sSubPr>
                        <m:e>
                          <m:r>
                            <m:rPr>
                              <m:sty m:val="b"/>
                            </m:rPr>
                            <w:rPr>
                              <w:rFonts w:ascii="Cambria Math" w:hAnsi="Cambria Math"/>
                              <w:sz w:val="24"/>
                              <w:szCs w:val="21"/>
                            </w:rPr>
                            <m:t>P</m:t>
                          </m:r>
                          <m:ctrlPr>
                            <w:rPr>
                              <w:rFonts w:ascii="Cambria Math" w:hAnsi="Cambria Math"/>
                              <w:sz w:val="24"/>
                              <w:szCs w:val="21"/>
                            </w:rPr>
                          </m:ctrlPr>
                        </m:e>
                        <m:sub>
                          <m:r>
                            <m:rPr>
                              <m:sty m:val="b"/>
                            </m:rPr>
                            <w:rPr>
                              <w:rFonts w:ascii="Cambria Math" w:hAnsi="Cambria Math"/>
                              <w:sz w:val="24"/>
                              <w:szCs w:val="21"/>
                            </w:rPr>
                            <m:t>0</m:t>
                          </m:r>
                          <m:ctrlPr>
                            <w:rPr>
                              <w:rFonts w:ascii="Cambria Math" w:hAnsi="Cambria Math"/>
                              <w:sz w:val="24"/>
                              <w:szCs w:val="21"/>
                            </w:rPr>
                          </m:ctrlPr>
                        </m:sub>
                      </m:sSub>
                      <m:ctrlPr>
                        <w:rPr>
                          <w:rFonts w:ascii="Cambria Math" w:hAnsi="Cambria Math"/>
                          <w:sz w:val="24"/>
                          <w:szCs w:val="21"/>
                        </w:rPr>
                      </m:ctrlPr>
                    </m:den>
                  </m:f>
                  <m:ctrlPr>
                    <w:rPr>
                      <w:rFonts w:ascii="Cambria Math" w:hAnsi="Cambria Math"/>
                      <w:sz w:val="24"/>
                      <w:szCs w:val="21"/>
                    </w:rPr>
                  </m:ctrlPr>
                </m:e>
              </m:d>
              <m:d>
                <m:dPr>
                  <m:begChr m:val="["/>
                  <m:endChr m:val="]"/>
                  <m:ctrlPr>
                    <w:rPr>
                      <w:rFonts w:ascii="Cambria Math" w:hAnsi="Cambria Math"/>
                      <w:sz w:val="24"/>
                      <w:szCs w:val="21"/>
                    </w:rPr>
                  </m:ctrlPr>
                </m:dPr>
                <m:e>
                  <m:r>
                    <m:rPr>
                      <m:sty m:val="b"/>
                    </m:rPr>
                    <w:rPr>
                      <w:rFonts w:ascii="Cambria Math" w:hAnsi="Cambria Math"/>
                      <w:sz w:val="24"/>
                      <w:szCs w:val="21"/>
                    </w:rPr>
                    <m:t>dB</m:t>
                  </m:r>
                  <m:ctrlPr>
                    <w:rPr>
                      <w:rFonts w:ascii="Cambria Math" w:hAnsi="Cambria Math"/>
                      <w:sz w:val="24"/>
                      <w:szCs w:val="21"/>
                    </w:rPr>
                  </m:ctrlPr>
                </m:e>
              </m:d>
              <m:ctrlPr>
                <w:rPr>
                  <w:rFonts w:ascii="Cambria Math" w:hAnsi="Cambria Math"/>
                  <w:sz w:val="24"/>
                  <w:szCs w:val="21"/>
                </w:rPr>
              </m:ctrlPr>
            </m:e>
          </m:func>
        </m:oMath>
      </m:oMathPara>
    </w:p>
    <w:p>
      <w:pPr>
        <w:spacing w:line="360" w:lineRule="auto"/>
        <w:ind w:firstLine="480" w:firstLineChars="200"/>
        <w:jc w:val="left"/>
        <w:rPr>
          <w:sz w:val="24"/>
          <w:szCs w:val="21"/>
        </w:rPr>
      </w:pPr>
      <w:r>
        <w:rPr>
          <w:rFonts w:hint="eastAsia"/>
          <w:sz w:val="24"/>
          <w:szCs w:val="21"/>
        </w:rPr>
        <w:t>其中，灵敏度因子</w:t>
      </w:r>
      <w:r>
        <w:rPr>
          <w:sz w:val="24"/>
          <w:szCs w:val="21"/>
        </w:rPr>
        <w:t>(Flicker Sensitivity)</w:t>
      </w:r>
      <w:r>
        <w:rPr>
          <w:rFonts w:hint="eastAsia"/>
          <w:sz w:val="24"/>
          <w:szCs w:val="21"/>
        </w:rPr>
        <w:t>的取值见表D.1，其他频率对应的灵敏度因子使用线性插值（</w:t>
      </w:r>
      <w:r>
        <w:rPr>
          <w:sz w:val="24"/>
          <w:szCs w:val="21"/>
        </w:rPr>
        <w:t>linear interpolation</w:t>
      </w:r>
      <w:r>
        <w:rPr>
          <w:rFonts w:hint="eastAsia"/>
          <w:sz w:val="24"/>
          <w:szCs w:val="21"/>
        </w:rPr>
        <w:t>）计算：</w:t>
      </w:r>
    </w:p>
    <w:p>
      <w:pPr>
        <w:spacing w:line="360" w:lineRule="auto"/>
        <w:ind w:firstLine="480" w:firstLineChars="200"/>
        <w:jc w:val="center"/>
        <w:rPr>
          <w:sz w:val="24"/>
          <w:szCs w:val="21"/>
        </w:rPr>
      </w:pPr>
      <w:r>
        <w:rPr>
          <w:rFonts w:hint="eastAsia"/>
          <w:sz w:val="24"/>
          <w:szCs w:val="21"/>
        </w:rPr>
        <w:t>表D.1 灵敏度因子</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频率（Hz）</w:t>
            </w:r>
          </w:p>
        </w:tc>
        <w:tc>
          <w:tcPr>
            <w:tcW w:w="3020" w:type="dxa"/>
          </w:tcPr>
          <w:p>
            <w:pPr>
              <w:spacing w:line="360" w:lineRule="auto"/>
              <w:jc w:val="center"/>
              <w:rPr>
                <w:sz w:val="24"/>
                <w:szCs w:val="21"/>
              </w:rPr>
            </w:pPr>
            <w:r>
              <w:rPr>
                <w:rFonts w:hint="eastAsia"/>
                <w:sz w:val="24"/>
                <w:szCs w:val="21"/>
              </w:rPr>
              <w:t>灵敏度因子（dB）</w:t>
            </w:r>
          </w:p>
        </w:tc>
        <w:tc>
          <w:tcPr>
            <w:tcW w:w="3020" w:type="dxa"/>
          </w:tcPr>
          <w:p>
            <w:pPr>
              <w:spacing w:line="360" w:lineRule="auto"/>
              <w:jc w:val="center"/>
              <w:rPr>
                <w:sz w:val="24"/>
                <w:szCs w:val="21"/>
              </w:rPr>
            </w:pPr>
            <w:r>
              <w:rPr>
                <w:rFonts w:hint="eastAsia"/>
                <w:sz w:val="24"/>
                <w:szCs w:val="21"/>
              </w:rPr>
              <w:t>灵敏度因子：系数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20</w:t>
            </w:r>
          </w:p>
        </w:tc>
        <w:tc>
          <w:tcPr>
            <w:tcW w:w="3020" w:type="dxa"/>
          </w:tcPr>
          <w:p>
            <w:pPr>
              <w:spacing w:line="360" w:lineRule="auto"/>
              <w:jc w:val="center"/>
              <w:rPr>
                <w:sz w:val="24"/>
                <w:szCs w:val="21"/>
              </w:rPr>
            </w:pPr>
            <w:r>
              <w:rPr>
                <w:rFonts w:hint="eastAsia"/>
                <w:sz w:val="24"/>
                <w:szCs w:val="21"/>
              </w:rPr>
              <w:t>0</w:t>
            </w:r>
          </w:p>
        </w:tc>
        <w:tc>
          <w:tcPr>
            <w:tcW w:w="3020" w:type="dxa"/>
          </w:tcPr>
          <w:p>
            <w:pPr>
              <w:spacing w:line="360" w:lineRule="auto"/>
              <w:jc w:val="center"/>
              <w:rPr>
                <w:sz w:val="24"/>
                <w:szCs w:val="21"/>
              </w:rPr>
            </w:pPr>
            <w:r>
              <w:rPr>
                <w:rFonts w:hint="eastAsia"/>
                <w:sz w:val="24"/>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30</w:t>
            </w:r>
          </w:p>
        </w:tc>
        <w:tc>
          <w:tcPr>
            <w:tcW w:w="3020" w:type="dxa"/>
          </w:tcPr>
          <w:p>
            <w:pPr>
              <w:spacing w:line="360" w:lineRule="auto"/>
              <w:jc w:val="center"/>
              <w:rPr>
                <w:sz w:val="24"/>
                <w:szCs w:val="21"/>
              </w:rPr>
            </w:pPr>
            <w:r>
              <w:rPr>
                <w:rFonts w:hint="eastAsia"/>
                <w:sz w:val="24"/>
                <w:szCs w:val="21"/>
              </w:rPr>
              <w:t>-3</w:t>
            </w:r>
          </w:p>
        </w:tc>
        <w:tc>
          <w:tcPr>
            <w:tcW w:w="3020" w:type="dxa"/>
          </w:tcPr>
          <w:p>
            <w:pPr>
              <w:spacing w:line="360" w:lineRule="auto"/>
              <w:jc w:val="center"/>
              <w:rPr>
                <w:sz w:val="24"/>
                <w:szCs w:val="21"/>
              </w:rPr>
            </w:pPr>
            <w:r>
              <w:rPr>
                <w:rFonts w:hint="eastAsia"/>
                <w:sz w:val="24"/>
                <w:szCs w:val="21"/>
              </w:rPr>
              <w:t>0.708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40</w:t>
            </w:r>
          </w:p>
        </w:tc>
        <w:tc>
          <w:tcPr>
            <w:tcW w:w="3020" w:type="dxa"/>
          </w:tcPr>
          <w:p>
            <w:pPr>
              <w:spacing w:line="360" w:lineRule="auto"/>
              <w:jc w:val="center"/>
              <w:rPr>
                <w:sz w:val="24"/>
                <w:szCs w:val="21"/>
              </w:rPr>
            </w:pPr>
            <w:r>
              <w:rPr>
                <w:rFonts w:hint="eastAsia"/>
                <w:sz w:val="24"/>
                <w:szCs w:val="21"/>
              </w:rPr>
              <w:t>-6</w:t>
            </w:r>
          </w:p>
        </w:tc>
        <w:tc>
          <w:tcPr>
            <w:tcW w:w="3020" w:type="dxa"/>
          </w:tcPr>
          <w:p>
            <w:pPr>
              <w:spacing w:line="360" w:lineRule="auto"/>
              <w:jc w:val="center"/>
              <w:rPr>
                <w:sz w:val="24"/>
                <w:szCs w:val="21"/>
              </w:rPr>
            </w:pPr>
            <w:r>
              <w:rPr>
                <w:rFonts w:hint="eastAsia"/>
                <w:sz w:val="24"/>
                <w:szCs w:val="21"/>
              </w:rPr>
              <w:t>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50</w:t>
            </w:r>
          </w:p>
        </w:tc>
        <w:tc>
          <w:tcPr>
            <w:tcW w:w="3020" w:type="dxa"/>
          </w:tcPr>
          <w:p>
            <w:pPr>
              <w:spacing w:line="360" w:lineRule="auto"/>
              <w:jc w:val="center"/>
              <w:rPr>
                <w:sz w:val="24"/>
                <w:szCs w:val="21"/>
              </w:rPr>
            </w:pPr>
            <w:r>
              <w:rPr>
                <w:rFonts w:hint="eastAsia"/>
                <w:sz w:val="24"/>
                <w:szCs w:val="21"/>
              </w:rPr>
              <w:t>-12</w:t>
            </w:r>
          </w:p>
        </w:tc>
        <w:tc>
          <w:tcPr>
            <w:tcW w:w="3020" w:type="dxa"/>
          </w:tcPr>
          <w:p>
            <w:pPr>
              <w:spacing w:line="360" w:lineRule="auto"/>
              <w:jc w:val="center"/>
              <w:rPr>
                <w:sz w:val="24"/>
                <w:szCs w:val="21"/>
              </w:rPr>
            </w:pPr>
            <w:r>
              <w:rPr>
                <w:rFonts w:hint="eastAsia"/>
                <w:sz w:val="24"/>
                <w:szCs w:val="21"/>
              </w:rPr>
              <w:t>0.251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pPr>
              <w:spacing w:line="360" w:lineRule="auto"/>
              <w:jc w:val="center"/>
              <w:rPr>
                <w:sz w:val="24"/>
                <w:szCs w:val="21"/>
              </w:rPr>
            </w:pPr>
            <w:r>
              <w:rPr>
                <w:rFonts w:hint="eastAsia"/>
                <w:sz w:val="24"/>
                <w:szCs w:val="21"/>
              </w:rPr>
              <w:t>≥60</w:t>
            </w:r>
          </w:p>
        </w:tc>
        <w:tc>
          <w:tcPr>
            <w:tcW w:w="3020" w:type="dxa"/>
          </w:tcPr>
          <w:p>
            <w:pPr>
              <w:spacing w:line="360" w:lineRule="auto"/>
              <w:jc w:val="center"/>
              <w:rPr>
                <w:sz w:val="24"/>
                <w:szCs w:val="21"/>
              </w:rPr>
            </w:pPr>
            <w:r>
              <w:rPr>
                <w:rFonts w:hint="eastAsia"/>
                <w:sz w:val="24"/>
                <w:szCs w:val="21"/>
              </w:rPr>
              <w:t>-40</w:t>
            </w:r>
          </w:p>
        </w:tc>
        <w:tc>
          <w:tcPr>
            <w:tcW w:w="3020" w:type="dxa"/>
          </w:tcPr>
          <w:p>
            <w:pPr>
              <w:spacing w:line="360" w:lineRule="auto"/>
              <w:jc w:val="center"/>
              <w:rPr>
                <w:sz w:val="24"/>
                <w:szCs w:val="21"/>
              </w:rPr>
            </w:pPr>
            <w:r>
              <w:rPr>
                <w:rFonts w:hint="eastAsia"/>
                <w:sz w:val="24"/>
                <w:szCs w:val="21"/>
              </w:rPr>
              <w:t>0.010</w:t>
            </w:r>
          </w:p>
        </w:tc>
      </w:tr>
    </w:tbl>
    <w:p>
      <w:pPr>
        <w:spacing w:line="360" w:lineRule="auto"/>
        <w:ind w:firstLine="480" w:firstLineChars="200"/>
        <w:jc w:val="left"/>
        <w:rPr>
          <w:sz w:val="24"/>
          <w:szCs w:val="21"/>
        </w:rPr>
      </w:pPr>
    </w:p>
    <w:p>
      <w:pPr>
        <w:spacing w:line="360" w:lineRule="auto"/>
        <w:ind w:firstLine="480" w:firstLineChars="200"/>
        <w:jc w:val="left"/>
        <w:rPr>
          <w:sz w:val="24"/>
          <w:szCs w:val="21"/>
        </w:rPr>
      </w:pPr>
      <w:r>
        <w:rPr>
          <w:rFonts w:hint="eastAsia"/>
          <w:sz w:val="24"/>
          <w:szCs w:val="21"/>
        </w:rPr>
        <w:t>（3）</w:t>
      </w:r>
      <w:r>
        <w:rPr>
          <w:sz w:val="24"/>
          <w:szCs w:val="21"/>
        </w:rPr>
        <w:t>VESA</w:t>
      </w:r>
      <w:r>
        <w:rPr>
          <w:rFonts w:hint="eastAsia"/>
          <w:sz w:val="24"/>
          <w:szCs w:val="21"/>
        </w:rPr>
        <w:t>法。</w:t>
      </w:r>
      <w:r>
        <w:rPr>
          <w:sz w:val="24"/>
          <w:szCs w:val="21"/>
        </w:rPr>
        <w:t>VESA</w:t>
      </w:r>
      <w:r>
        <w:rPr>
          <w:rFonts w:hint="eastAsia"/>
          <w:sz w:val="24"/>
          <w:szCs w:val="21"/>
        </w:rPr>
        <w:t>法是</w:t>
      </w:r>
      <w:r>
        <w:rPr>
          <w:sz w:val="24"/>
          <w:szCs w:val="21"/>
        </w:rPr>
        <w:t>视频电子标准协会（Video Electronics Standards Association</w:t>
      </w:r>
      <w:r>
        <w:rPr>
          <w:rFonts w:hint="eastAsia"/>
          <w:sz w:val="24"/>
          <w:szCs w:val="21"/>
        </w:rPr>
        <w:t>）标准中所规定方法的简称，该方法的测试步骤与JEITA法的测试步骤相同，只是其计算公式则参照了</w:t>
      </w:r>
      <w:r>
        <w:rPr>
          <w:sz w:val="24"/>
          <w:szCs w:val="21"/>
        </w:rPr>
        <w:t>IDMS</w:t>
      </w:r>
      <w:r>
        <w:rPr>
          <w:rFonts w:hint="eastAsia"/>
          <w:sz w:val="24"/>
          <w:szCs w:val="21"/>
        </w:rPr>
        <w:t xml:space="preserve"> (Information Display Measurements Standard) </w:t>
      </w:r>
      <w:r>
        <w:rPr>
          <w:sz w:val="24"/>
          <w:szCs w:val="21"/>
        </w:rPr>
        <w:t>Ver. 1.03</w:t>
      </w:r>
      <w:r>
        <w:rPr>
          <w:rFonts w:hint="eastAsia"/>
          <w:sz w:val="24"/>
          <w:szCs w:val="21"/>
        </w:rPr>
        <w:t>中规定的计算公式，与JEITA法的公式在表达上略有不同。</w:t>
      </w:r>
      <w:r>
        <w:rPr>
          <w:sz w:val="24"/>
          <w:szCs w:val="21"/>
        </w:rPr>
        <w:t>VESA</w:t>
      </w:r>
      <w:r>
        <w:rPr>
          <w:rFonts w:hint="eastAsia"/>
          <w:sz w:val="24"/>
          <w:szCs w:val="21"/>
        </w:rPr>
        <w:t>法的闪烁率计算公式为：</w:t>
      </w:r>
    </w:p>
    <w:p>
      <w:pPr>
        <w:spacing w:line="360" w:lineRule="auto"/>
        <w:ind w:firstLine="482" w:firstLineChars="200"/>
        <w:jc w:val="left"/>
        <w:rPr>
          <w:rFonts w:hAnsi="Cambria Math"/>
          <w:i w:val="0"/>
          <w:sz w:val="24"/>
          <w:szCs w:val="21"/>
        </w:rPr>
      </w:pPr>
      <m:oMathPara>
        <m:oMath>
          <m:r>
            <m:rPr>
              <m:sty m:val="b"/>
            </m:rPr>
            <w:rPr>
              <w:rFonts w:ascii="Cambria Math" w:hAnsi="Cambria Math"/>
              <w:sz w:val="24"/>
              <w:szCs w:val="21"/>
            </w:rPr>
            <m:t>Flicker</m:t>
          </m:r>
          <m:d>
            <m:dPr>
              <m:begChr m:val="（"/>
              <m:endChr m:val="）"/>
              <m:ctrlPr>
                <w:rPr>
                  <w:rFonts w:ascii="Cambria Math" w:hAnsi="Cambria Math"/>
                  <w:sz w:val="24"/>
                  <w:szCs w:val="21"/>
                </w:rPr>
              </m:ctrlPr>
            </m:dPr>
            <m:e>
              <m:r>
                <m:rPr>
                  <m:sty m:val="b"/>
                </m:rPr>
                <w:rPr>
                  <w:rFonts w:ascii="Cambria Math" w:hAnsi="Cambria Math"/>
                  <w:sz w:val="24"/>
                  <w:szCs w:val="21"/>
                </w:rPr>
                <m:t>VESA</m:t>
              </m:r>
              <m:ctrlPr>
                <w:rPr>
                  <w:rFonts w:ascii="Cambria Math" w:hAnsi="Cambria Math"/>
                  <w:sz w:val="24"/>
                  <w:szCs w:val="21"/>
                </w:rPr>
              </m:ctrlPr>
            </m:e>
          </m:d>
          <m:r>
            <m:rPr>
              <m:sty m:val="p"/>
            </m:rPr>
            <w:rPr>
              <w:rFonts w:ascii="Cambria Math" w:hAnsi="Cambria Math"/>
              <w:sz w:val="24"/>
              <w:szCs w:val="21"/>
            </w:rPr>
            <m:t>=</m:t>
          </m:r>
          <m:r>
            <m:rPr>
              <m:sty m:val="b"/>
            </m:rPr>
            <w:rPr>
              <w:rFonts w:ascii="Cambria Math" w:hAnsi="Cambria Math"/>
              <w:sz w:val="24"/>
              <w:szCs w:val="21"/>
            </w:rPr>
            <m:t>20</m:t>
          </m:r>
          <m:func>
            <m:funcPr>
              <m:ctrlPr>
                <w:rPr>
                  <w:rFonts w:ascii="Cambria Math" w:hAnsi="Cambria Math"/>
                  <w:sz w:val="24"/>
                  <w:szCs w:val="21"/>
                </w:rPr>
              </m:ctrlPr>
            </m:funcPr>
            <m:fName>
              <m:sSub>
                <m:sSubPr>
                  <m:ctrlPr>
                    <w:rPr>
                      <w:rFonts w:ascii="Cambria Math" w:hAnsi="Cambria Math"/>
                      <w:sz w:val="24"/>
                      <w:szCs w:val="21"/>
                    </w:rPr>
                  </m:ctrlPr>
                </m:sSubPr>
                <m:e>
                  <m:r>
                    <m:rPr>
                      <m:sty m:val="b"/>
                    </m:rPr>
                    <w:rPr>
                      <w:rFonts w:ascii="Cambria Math" w:hAnsi="Cambria Math"/>
                      <w:sz w:val="24"/>
                      <w:szCs w:val="21"/>
                    </w:rPr>
                    <m:t>log</m:t>
                  </m:r>
                  <m:ctrlPr>
                    <w:rPr>
                      <w:rFonts w:ascii="Cambria Math" w:hAnsi="Cambria Math"/>
                      <w:sz w:val="24"/>
                      <w:szCs w:val="21"/>
                    </w:rPr>
                  </m:ctrlPr>
                </m:e>
                <m:sub>
                  <m:r>
                    <m:rPr>
                      <m:sty m:val="b"/>
                    </m:rPr>
                    <w:rPr>
                      <w:rFonts w:ascii="Cambria Math" w:hAnsi="Cambria Math"/>
                      <w:sz w:val="24"/>
                      <w:szCs w:val="21"/>
                    </w:rPr>
                    <m:t>10</m:t>
                  </m:r>
                  <m:ctrlPr>
                    <w:rPr>
                      <w:rFonts w:ascii="Cambria Math" w:hAnsi="Cambria Math"/>
                      <w:sz w:val="24"/>
                      <w:szCs w:val="21"/>
                    </w:rPr>
                  </m:ctrlPr>
                </m:sub>
              </m:sSub>
              <m:ctrlPr>
                <w:rPr>
                  <w:rFonts w:ascii="Cambria Math" w:hAnsi="Cambria Math"/>
                  <w:sz w:val="24"/>
                  <w:szCs w:val="21"/>
                </w:rPr>
              </m:ctrlPr>
            </m:fName>
            <m:e>
              <m:d>
                <m:dPr>
                  <m:ctrlPr>
                    <w:rPr>
                      <w:rFonts w:ascii="Cambria Math" w:hAnsi="Cambria Math"/>
                      <w:sz w:val="24"/>
                      <w:szCs w:val="21"/>
                    </w:rPr>
                  </m:ctrlPr>
                </m:dPr>
                <m:e>
                  <m:f>
                    <m:fPr>
                      <m:ctrlPr>
                        <w:rPr>
                          <w:rFonts w:ascii="Cambria Math" w:hAnsi="Cambria Math"/>
                          <w:sz w:val="24"/>
                          <w:szCs w:val="21"/>
                        </w:rPr>
                      </m:ctrlPr>
                    </m:fPr>
                    <m:num>
                      <m:r>
                        <m:rPr>
                          <m:sty m:val="b"/>
                        </m:rPr>
                        <w:rPr>
                          <w:rFonts w:ascii="Cambria Math" w:hAnsi="Cambria Math"/>
                          <w:sz w:val="24"/>
                          <w:szCs w:val="21"/>
                        </w:rPr>
                        <m:t>2</m:t>
                      </m:r>
                      <m:sSub>
                        <m:sSubPr>
                          <m:ctrlPr>
                            <w:rPr>
                              <w:rFonts w:ascii="Cambria Math" w:hAnsi="Cambria Math"/>
                              <w:sz w:val="24"/>
                              <w:szCs w:val="21"/>
                            </w:rPr>
                          </m:ctrlPr>
                        </m:sSubPr>
                        <m:e>
                          <m:r>
                            <m:rPr>
                              <m:sty m:val="b"/>
                            </m:rPr>
                            <w:rPr>
                              <w:rFonts w:ascii="Cambria Math" w:hAnsi="Cambria Math"/>
                              <w:sz w:val="24"/>
                              <w:szCs w:val="21"/>
                            </w:rPr>
                            <m:t>P</m:t>
                          </m:r>
                          <m:ctrlPr>
                            <w:rPr>
                              <w:rFonts w:ascii="Cambria Math" w:hAnsi="Cambria Math"/>
                              <w:sz w:val="24"/>
                              <w:szCs w:val="21"/>
                            </w:rPr>
                          </m:ctrlPr>
                        </m:e>
                        <m:sub>
                          <m:r>
                            <m:rPr>
                              <m:sty m:val="b"/>
                            </m:rPr>
                            <w:rPr>
                              <w:rFonts w:ascii="Cambria Math" w:hAnsi="Cambria Math"/>
                              <w:sz w:val="24"/>
                              <w:szCs w:val="21"/>
                            </w:rPr>
                            <m:t>max</m:t>
                          </m:r>
                          <m:ctrlPr>
                            <w:rPr>
                              <w:rFonts w:ascii="Cambria Math" w:hAnsi="Cambria Math"/>
                              <w:sz w:val="24"/>
                              <w:szCs w:val="21"/>
                            </w:rPr>
                          </m:ctrlPr>
                        </m:sub>
                      </m:sSub>
                      <m:r>
                        <m:rPr>
                          <m:sty m:val="p"/>
                        </m:rPr>
                        <w:rPr>
                          <w:rFonts w:ascii="Cambria Math" w:hAnsi="Cambria Math"/>
                          <w:sz w:val="24"/>
                          <w:szCs w:val="21"/>
                        </w:rPr>
                        <m:t>×Flicker Sensitivity</m:t>
                      </m:r>
                      <m:ctrlPr>
                        <w:rPr>
                          <w:rFonts w:ascii="Cambria Math" w:hAnsi="Cambria Math"/>
                          <w:sz w:val="24"/>
                          <w:szCs w:val="21"/>
                        </w:rPr>
                      </m:ctrlPr>
                    </m:num>
                    <m:den>
                      <m:sSub>
                        <m:sSubPr>
                          <m:ctrlPr>
                            <w:rPr>
                              <w:rFonts w:ascii="Cambria Math" w:hAnsi="Cambria Math"/>
                              <w:sz w:val="24"/>
                              <w:szCs w:val="21"/>
                            </w:rPr>
                          </m:ctrlPr>
                        </m:sSubPr>
                        <m:e>
                          <m:r>
                            <m:rPr>
                              <m:sty m:val="b"/>
                            </m:rPr>
                            <w:rPr>
                              <w:rFonts w:ascii="Cambria Math" w:hAnsi="Cambria Math"/>
                              <w:sz w:val="24"/>
                              <w:szCs w:val="21"/>
                            </w:rPr>
                            <m:t>P</m:t>
                          </m:r>
                          <m:ctrlPr>
                            <w:rPr>
                              <w:rFonts w:ascii="Cambria Math" w:hAnsi="Cambria Math"/>
                              <w:sz w:val="24"/>
                              <w:szCs w:val="21"/>
                            </w:rPr>
                          </m:ctrlPr>
                        </m:e>
                        <m:sub>
                          <m:r>
                            <m:rPr>
                              <m:sty m:val="b"/>
                            </m:rPr>
                            <w:rPr>
                              <w:rFonts w:ascii="Cambria Math" w:hAnsi="Cambria Math"/>
                              <w:sz w:val="24"/>
                              <w:szCs w:val="21"/>
                            </w:rPr>
                            <m:t>0</m:t>
                          </m:r>
                          <m:ctrlPr>
                            <w:rPr>
                              <w:rFonts w:ascii="Cambria Math" w:hAnsi="Cambria Math"/>
                              <w:sz w:val="24"/>
                              <w:szCs w:val="21"/>
                            </w:rPr>
                          </m:ctrlPr>
                        </m:sub>
                      </m:sSub>
                      <m:ctrlPr>
                        <w:rPr>
                          <w:rFonts w:ascii="Cambria Math" w:hAnsi="Cambria Math"/>
                          <w:sz w:val="24"/>
                          <w:szCs w:val="21"/>
                        </w:rPr>
                      </m:ctrlPr>
                    </m:den>
                  </m:f>
                  <m:ctrlPr>
                    <w:rPr>
                      <w:rFonts w:ascii="Cambria Math" w:hAnsi="Cambria Math"/>
                      <w:sz w:val="24"/>
                      <w:szCs w:val="21"/>
                    </w:rPr>
                  </m:ctrlPr>
                </m:e>
              </m:d>
              <m:d>
                <m:dPr>
                  <m:begChr m:val="["/>
                  <m:endChr m:val="]"/>
                  <m:ctrlPr>
                    <w:rPr>
                      <w:rFonts w:ascii="Cambria Math" w:hAnsi="Cambria Math"/>
                      <w:sz w:val="24"/>
                      <w:szCs w:val="21"/>
                    </w:rPr>
                  </m:ctrlPr>
                </m:dPr>
                <m:e>
                  <m:r>
                    <m:rPr>
                      <m:sty m:val="b"/>
                    </m:rPr>
                    <w:rPr>
                      <w:rFonts w:ascii="Cambria Math" w:hAnsi="Cambria Math"/>
                      <w:sz w:val="24"/>
                      <w:szCs w:val="21"/>
                    </w:rPr>
                    <m:t>dB</m:t>
                  </m:r>
                  <m:ctrlPr>
                    <w:rPr>
                      <w:rFonts w:ascii="Cambria Math" w:hAnsi="Cambria Math"/>
                      <w:sz w:val="24"/>
                      <w:szCs w:val="21"/>
                    </w:rPr>
                  </m:ctrlPr>
                </m:e>
              </m:d>
              <m:ctrlPr>
                <w:rPr>
                  <w:rFonts w:ascii="Cambria Math" w:hAnsi="Cambria Math"/>
                  <w:sz w:val="24"/>
                  <w:szCs w:val="21"/>
                </w:rPr>
              </m:ctrlPr>
            </m:e>
          </m:func>
        </m:oMath>
      </m:oMathPara>
    </w:p>
    <w:p>
      <w:pPr>
        <w:spacing w:line="360" w:lineRule="auto"/>
        <w:ind w:firstLine="480" w:firstLineChars="200"/>
        <w:jc w:val="left"/>
        <w:rPr>
          <w:rFonts w:hAnsi="Cambria Math"/>
          <w:i w:val="0"/>
          <w:sz w:val="24"/>
          <w:szCs w:val="21"/>
        </w:rPr>
      </w:pPr>
    </w:p>
    <w:p>
      <w:pPr>
        <w:spacing w:line="360" w:lineRule="auto"/>
        <w:jc w:val="left"/>
        <w:rPr>
          <w:rFonts w:hAnsi="Cambria Math"/>
          <w:i w:val="0"/>
          <w:sz w:val="24"/>
          <w:szCs w:val="21"/>
        </w:rPr>
        <w:sectPr>
          <w:footerReference r:id="rId17" w:type="first"/>
          <w:footerReference r:id="rId16" w:type="default"/>
          <w:pgSz w:w="11906" w:h="16838"/>
          <w:pgMar w:top="1417" w:right="1417" w:bottom="1417" w:left="1417" w:header="851" w:footer="992" w:gutter="0"/>
          <w:paperSrc/>
          <w:pgNumType w:fmt="decimal" w:start="1"/>
          <w:cols w:space="0" w:num="1"/>
          <w:titlePg/>
          <w:rtlGutter w:val="0"/>
          <w:docGrid w:type="lines" w:linePitch="312" w:charSpace="0"/>
        </w:sectPr>
      </w:pPr>
    </w:p>
    <w:p>
      <w:pPr>
        <w:ind w:right="-2"/>
        <w:jc w:val="right"/>
        <w:rPr>
          <w:b/>
          <w:kern w:val="0"/>
          <w:sz w:val="24"/>
        </w:rPr>
      </w:pPr>
      <w:r>
        <w:rPr>
          <w:rFonts w:ascii="宋体" w:hAnsi="宋体"/>
          <w:sz w:val="24"/>
          <w:szCs w:val="24"/>
        </w:rPr>
        <w:pict>
          <v:shape id="文本框 33699" o:spid="_x0000_s1132" o:spt="202" type="#_x0000_t202" style="position:absolute;left:0pt;margin-left:478.4pt;margin-top:1.5pt;height:145.15pt;width:36.75pt;z-index:251668480;mso-width-relative:page;mso-height-relative:page;" fillcolor="#FFFFFF" filled="t" stroked="f" coordsize="21600,21600"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gxS53y8CAABFBAAADgAAAGRycy9lMm9Eb2MueG1srVPN&#10;jtMwEL4j8Q6W7zT9Sdtt1HS1tCpCWn6khQdwHCexSDzGdpv0BeANOHHhznP1ORg72VItlz3gg+Xx&#10;jL+Z75vx+rZranIUxkpQKZ2MxpQIxSGXqkzp50/7VzeUWMdUzmpQIqUnYent5uWLdasTMYUK6lwY&#10;giDKJq1OaeWcTqLI8ko0zI5AC4XOAkzDHJqmjHLDWkRv6mg6Hi+iFkyuDXBhLd7ueicdEM1zAKEo&#10;JBc74IdGKNejGlEzh5RsJbWlm1BtUQjuPhSFFY7UKUWmLuyYBM+Z36PNmiWlYbqSfCiBPaeEJ5wa&#10;JhUmvUDtmGPkYOQ/UI3kBiwUbsShiXoiQRFkMRk/0eahYloELii11RfR7f+D5e+PHw2ROU4CJYo1&#10;2PDzj+/nn7/Pv76R2WyxWnmJWm0TjHzQGOu619D5cE/X6nvgXyxRsK2YKsWdMdBWguVY4sS/jK6e&#10;9jjWg2TtO8gxFzs4CEBdYRoPiIoQRMf2nC7tEZ0jHC/jxWI5nVPC0TW5iWfxeB5SsOTxtTbWvRHQ&#10;EH9IqcH2B3R2vLfOV8OSx5BQPdQy38u6DoYps21tyJHhqOzDGtDtdVitfLAC/6xH9DeBpmfWc3Rd&#10;1g2yZZCfkLCBfvTw4+HB79Mlkmxx8lJqvx6YEZTUbxXqtprEsR/VYMTz5RQNc+3Jrj1M8QpwoB0l&#10;/XHr+vE+aCPLCpP1nVJwh1oXMsjgm9IXNpSO0xXUGX6CH99rO0T9/f2b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0Mz7nYAAAACgEAAA8AAAAAAAAAAQAgAAAAIgAAAGRycy9kb3ducmV2LnhtbFBL&#10;AQIUABQAAAAIAIdO4kCDFLnfLwIAAEUEAAAOAAAAAAAAAAEAIAAAACcBAABkcnMvZTJvRG9jLnht&#10;bFBLBQYAAAAABgAGAFkBAADIBQAAAAA=&#10;">
            <v:path/>
            <v:fill on="t" focussize="0,0"/>
            <v:stroke on="f"/>
            <v:imagedata o:title=""/>
            <o:lock v:ext="edit" aspectratio="f"/>
            <v:textbox style="layout-flow:vertical;mso-layout-flow-alt:bottom-to-top;">
              <w:txbxContent>
                <w:p>
                  <w:pPr>
                    <w:rPr>
                      <w:rFonts w:hint="default" w:eastAsia="黑体"/>
                      <w:sz w:val="28"/>
                      <w:szCs w:val="28"/>
                      <w:lang w:val="en-US" w:eastAsia="zh-CN"/>
                    </w:rPr>
                  </w:pPr>
                  <w:r>
                    <w:rPr>
                      <w:rFonts w:eastAsia="黑体"/>
                      <w:sz w:val="28"/>
                      <w:szCs w:val="28"/>
                    </w:rPr>
                    <w:t>JJF(苏)</w:t>
                  </w:r>
                  <w:r>
                    <w:rPr>
                      <w:rFonts w:hint="eastAsia" w:eastAsia="黑体"/>
                      <w:sz w:val="28"/>
                      <w:szCs w:val="28"/>
                      <w:lang w:val="en-US" w:eastAsia="zh-CN"/>
                    </w:rPr>
                    <w:t>XXXX</w:t>
                  </w:r>
                  <w:r>
                    <w:rPr>
                      <w:rFonts w:hint="eastAsia" w:eastAsia="黑体"/>
                      <w:sz w:val="28"/>
                      <w:szCs w:val="28"/>
                    </w:rPr>
                    <w:t>—20</w:t>
                  </w:r>
                  <w:r>
                    <w:rPr>
                      <w:rFonts w:hint="eastAsia" w:eastAsia="黑体"/>
                      <w:sz w:val="28"/>
                      <w:szCs w:val="28"/>
                      <w:lang w:val="en-US" w:eastAsia="zh-CN"/>
                    </w:rPr>
                    <w:t>XX</w:t>
                  </w:r>
                </w:p>
              </w:txbxContent>
            </v:textbox>
          </v:shape>
        </w:pict>
      </w:r>
    </w:p>
    <w:p>
      <w:pPr>
        <w:spacing w:line="276" w:lineRule="auto"/>
        <w:ind w:right="40" w:firstLine="110" w:firstLineChars="46"/>
        <w:jc w:val="left"/>
        <w:rPr>
          <w:rFonts w:ascii="宋体" w:hAnsi="宋体"/>
          <w:sz w:val="24"/>
          <w:szCs w:val="24"/>
        </w:rPr>
      </w:pPr>
      <w:bookmarkStart w:id="37" w:name="_GoBack"/>
      <w:bookmarkEnd w:id="37"/>
      <w:r>
        <w:rPr>
          <w:rFonts w:ascii="宋体" w:hAnsi="宋体"/>
          <w:sz w:val="24"/>
          <w:szCs w:val="24"/>
        </w:rPr>
        <w:pict>
          <v:shape id="文本框 2" o:spid="_x0000_s1133" o:spt="202" type="#_x0000_t202" style="position:absolute;left:0pt;margin-left:295.3pt;margin-top:505.35pt;height:178.8pt;width:152pt;z-index:251669504;mso-width-relative:page;mso-height-relative:margin;mso-height-percent:200;" fillcolor="#FFFFFF" filled="t" stroked="f" coordsize="21600,21600"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A4L0VHKgIAAD8EAAAOAAAAZHJzL2Uyb0RvYy54bWyt&#10;U82O0zAQviPxDpbvNGm3bNmo6WppVYS0/EgLD+A6TmOReMzYbVIegH0DTly481x9DsZOW6py2QM5&#10;RB7PzDfzfTOe3nZNzbYKnQaT8+Eg5UwZCYU265x//rR88Yoz54UpRA1G5XynHL+dPX82bW2mRlBB&#10;XShkBGJc1tqcV97bLEmcrFQj3ACsMuQsARvhycR1UqBoCb2pk1GaXictYGERpHKObhe9kx8Q8SmA&#10;UJZaqgXITaOM71FR1cITJVdp6/gsdluWSvoPZemUZ3XOiamPfypC51X4J7OpyNYobKXloQXxlBYu&#10;ODVCGyp6gloIL9gG9T9QjZYIDko/kNAkPZGoCLEYphfaPFTCqsiFpHb2JLr7f7Dy/fYjMl3k/Ioz&#10;Ixoa+P7H4/7n7/2v72wU5GmtyyjqwVKc715DR0sTqTp7D/KLYwbmlTBrdYcIbaVEQe0NQ2Zyltrj&#10;uACyat9BQXXExkME6kpsgnakBiN0Gs3uNBrVeSZDyZurdJySS5JvNJqkk+s4vERkx3SLzr9R0LBw&#10;yDnS7CO82N47H9oR2TEkVHNQ62Kp6zoauF7Na2RbQXuyjF9kcBFWmxBsIKT1iOEm8gzUepK+W3UH&#10;3VZQ7IgxQr939OroUAF+46ylncu5+7oRqDir3xpS7WY4Hocljcb45WREBp57VuceYSRB5dxz1h/n&#10;vl/sjUW9rqjScU53pPRSRw3CSPquDn3TXkVpDm8gLO65HaP+vvv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A4L0VHKgIAAD8EAAAOAAAAAAAAAAEAIAAAACkBAABkcnMvZTJvRG9jLnhtbFBL&#10;BQYAAAAABgAGAFkBAADFBQAAAAA=&#10;">
            <v:path/>
            <v:fill on="t" focussize="0,0"/>
            <v:stroke on="f"/>
            <v:imagedata o:title=""/>
            <o:lock v:ext="edit" aspectratio="f"/>
            <v:textbox style="mso-fit-shape-to-text:t;">
              <w:txbxContent>
                <w:p>
                  <w:pPr>
                    <w:jc w:val="center"/>
                    <w:rPr>
                      <w:rFonts w:ascii="FZSSK--GBK1-0" w:hAnsi="FZSSK--GBK1-0" w:eastAsia="FZSSK--GBK1-0"/>
                      <w:sz w:val="18"/>
                    </w:rPr>
                  </w:pPr>
                  <w:r>
                    <w:rPr>
                      <w:rFonts w:hint="eastAsia" w:ascii="FZSSK--GBK1-0" w:hAnsi="FZSSK--GBK1-0" w:eastAsia="FZSSK--GBK1-0"/>
                      <w:sz w:val="18"/>
                    </w:rPr>
                    <w:t>江苏省地方计量技术规范</w:t>
                  </w:r>
                </w:p>
                <w:p>
                  <w:pPr>
                    <w:jc w:val="center"/>
                    <w:rPr>
                      <w:rFonts w:ascii="黑体" w:hAnsi="黑体" w:eastAsia="黑体"/>
                      <w:kern w:val="0"/>
                      <w:szCs w:val="21"/>
                    </w:rPr>
                  </w:pPr>
                  <w:r>
                    <w:rPr>
                      <w:rFonts w:hint="eastAsia" w:ascii="黑体" w:hAnsi="黑体" w:eastAsia="黑体"/>
                      <w:kern w:val="0"/>
                      <w:szCs w:val="21"/>
                      <w:lang w:val="en-US" w:eastAsia="zh-CN"/>
                    </w:rPr>
                    <w:t>显示屏闪烁率测定仪</w:t>
                  </w:r>
                  <w:r>
                    <w:rPr>
                      <w:rFonts w:hint="eastAsia" w:ascii="黑体" w:hAnsi="黑体" w:eastAsia="黑体"/>
                      <w:kern w:val="0"/>
                      <w:szCs w:val="21"/>
                    </w:rPr>
                    <w:t>校准规范</w:t>
                  </w:r>
                </w:p>
                <w:p>
                  <w:pPr>
                    <w:jc w:val="center"/>
                    <w:rPr>
                      <w:rFonts w:hint="default" w:ascii="FZSSK--GBK1-0" w:hAnsi="FZSSK--GBK1-0" w:eastAsia="FZSSK--GBK1-0"/>
                      <w:sz w:val="18"/>
                      <w:lang w:val="en-US" w:eastAsia="zh-CN"/>
                    </w:rPr>
                  </w:pPr>
                  <w:r>
                    <w:rPr>
                      <w:rFonts w:hint="eastAsia" w:ascii="FZSSK--GBK1-0" w:hAnsi="FZSSK--GBK1-0" w:eastAsia="FZSSK--GBK1-0"/>
                      <w:sz w:val="18"/>
                    </w:rPr>
                    <w:t>JJF（苏）</w:t>
                  </w:r>
                  <w:r>
                    <w:rPr>
                      <w:rFonts w:hint="eastAsia" w:ascii="FZSSK--GBK1-0" w:hAnsi="FZSSK--GBK1-0" w:eastAsia="FZSSK--GBK1-0"/>
                      <w:sz w:val="18"/>
                      <w:lang w:val="en-US" w:eastAsia="zh-CN"/>
                    </w:rPr>
                    <w:t>XXXX</w:t>
                  </w:r>
                  <w:r>
                    <w:rPr>
                      <w:rFonts w:hint="eastAsia" w:ascii="FZSSK--GBK1-0" w:hAnsi="FZSSK--GBK1-0" w:eastAsia="FZSSK--GBK1-0"/>
                      <w:sz w:val="18"/>
                    </w:rPr>
                    <w:t>—2</w:t>
                  </w:r>
                  <w:r>
                    <w:rPr>
                      <w:rFonts w:hint="eastAsia" w:ascii="FZSSK--GBK1-0" w:hAnsi="FZSSK--GBK1-0" w:eastAsia="FZSSK--GBK1-0"/>
                      <w:sz w:val="18"/>
                      <w:lang w:val="en-US" w:eastAsia="zh-CN"/>
                    </w:rPr>
                    <w:t>0XX</w:t>
                  </w:r>
                </w:p>
                <w:p>
                  <w:pPr>
                    <w:jc w:val="center"/>
                    <w:rPr>
                      <w:rFonts w:ascii="FZSSK--GBK1-0" w:hAnsi="FZSSK--GBK1-0" w:eastAsia="FZSSK--GBK1-0"/>
                      <w:sz w:val="18"/>
                    </w:rPr>
                  </w:pPr>
                  <w:r>
                    <w:rPr>
                      <w:rFonts w:hint="eastAsia" w:ascii="FZSSK--GBK1-0" w:hAnsi="FZSSK--GBK1-0" w:eastAsia="FZSSK--GBK1-0"/>
                      <w:sz w:val="18"/>
                    </w:rPr>
                    <w:t>江苏省市场监督管理局发布</w:t>
                  </w:r>
                </w:p>
                <w:p>
                  <w:pPr>
                    <w:jc w:val="center"/>
                    <w:rPr>
                      <w:rFonts w:ascii="FZSSK--GBK1-0" w:hAnsi="FZSSK--GBK1-0" w:eastAsia="FZSSK--GBK1-0"/>
                      <w:sz w:val="15"/>
                    </w:rPr>
                  </w:pPr>
                  <w:r>
                    <w:rPr>
                      <w:rFonts w:hint="eastAsia" w:ascii="FZSSK--GBK1-0" w:hAnsi="FZSSK--GBK1-0" w:eastAsia="FZSSK--GBK1-0"/>
                      <w:sz w:val="15"/>
                    </w:rPr>
                    <w:t>*</w:t>
                  </w:r>
                </w:p>
                <w:p>
                  <w:pPr>
                    <w:jc w:val="center"/>
                    <w:rPr>
                      <w:rFonts w:ascii="FZSSK--GBK1-0" w:hAnsi="FZSSK--GBK1-0" w:eastAsia="FZSSK--GBK1-0"/>
                      <w:sz w:val="18"/>
                    </w:rPr>
                  </w:pPr>
                  <w:r>
                    <w:rPr>
                      <w:rFonts w:hint="eastAsia" w:ascii="FZSSK--GBK1-0" w:hAnsi="FZSSK--GBK1-0" w:eastAsia="FZSSK--GBK1-0"/>
                      <w:sz w:val="18"/>
                    </w:rPr>
                    <w:t>江苏省计量协会印刷</w:t>
                  </w:r>
                </w:p>
                <w:p>
                  <w:pPr>
                    <w:jc w:val="center"/>
                    <w:rPr>
                      <w:rFonts w:ascii="黑体" w:hAnsi="黑体" w:eastAsia="黑体" w:cs="黑体"/>
                      <w:sz w:val="18"/>
                    </w:rPr>
                  </w:pPr>
                  <w:r>
                    <w:rPr>
                      <w:rFonts w:hint="eastAsia" w:ascii="黑体" w:hAnsi="黑体" w:eastAsia="黑体" w:cs="黑体"/>
                      <w:sz w:val="18"/>
                    </w:rPr>
                    <w:t>版权所有不得翻印</w:t>
                  </w:r>
                </w:p>
                <w:p>
                  <w:pPr>
                    <w:jc w:val="center"/>
                    <w:rPr>
                      <w:rFonts w:ascii="FZSSK--GBK1-0" w:hAnsi="FZSSK--GBK1-0" w:eastAsia="FZSSK--GBK1-0"/>
                      <w:sz w:val="15"/>
                    </w:rPr>
                  </w:pPr>
                  <w:r>
                    <w:rPr>
                      <w:rFonts w:hint="eastAsia" w:ascii="FZSSK--GBK1-0" w:hAnsi="FZSSK--GBK1-0" w:eastAsia="FZSSK--GBK1-0"/>
                      <w:sz w:val="15"/>
                    </w:rPr>
                    <w:t>*</w:t>
                  </w:r>
                </w:p>
                <w:p>
                  <w:pPr>
                    <w:jc w:val="center"/>
                    <w:rPr>
                      <w:rFonts w:ascii="FZSSK--GBK1-0" w:hAnsi="FZSSK--GBK1-0" w:eastAsia="FZSSK--GBK1-0"/>
                      <w:sz w:val="16"/>
                    </w:rPr>
                  </w:pPr>
                  <w:r>
                    <w:rPr>
                      <w:rFonts w:hint="eastAsia" w:ascii="FZSSK--GBK1-0" w:hAnsi="FZSSK--GBK1-0" w:eastAsia="FZSSK--GBK1-0"/>
                      <w:sz w:val="16"/>
                    </w:rPr>
                    <w:t>开本880 mm×1230 mm 16 开本</w:t>
                  </w:r>
                </w:p>
                <w:p>
                  <w:pPr>
                    <w:jc w:val="center"/>
                  </w:pPr>
                  <w:r>
                    <w:rPr>
                      <w:rFonts w:hint="eastAsia" w:ascii="FZSSK--GBK1-0" w:hAnsi="FZSSK--GBK1-0" w:eastAsia="FZSSK--GBK1-0"/>
                      <w:sz w:val="16"/>
                    </w:rPr>
                    <w:t>20</w:t>
                  </w:r>
                  <w:r>
                    <w:rPr>
                      <w:rFonts w:hint="eastAsia" w:ascii="FZSSK--GBK1-0" w:hAnsi="FZSSK--GBK1-0" w:eastAsia="FZSSK--GBK1-0"/>
                      <w:sz w:val="16"/>
                      <w:lang w:val="en-US" w:eastAsia="zh-CN"/>
                    </w:rPr>
                    <w:t>24</w:t>
                  </w:r>
                  <w:r>
                    <w:rPr>
                      <w:rFonts w:hint="eastAsia" w:ascii="FZSSK--GBK1-0" w:hAnsi="FZSSK--GBK1-0" w:eastAsia="FZSSK--GBK1-0"/>
                      <w:sz w:val="16"/>
                    </w:rPr>
                    <w:t xml:space="preserve"> 年</w:t>
                  </w:r>
                  <w:r>
                    <w:rPr>
                      <w:rFonts w:hint="eastAsia" w:ascii="FZSSK--GBK1-0" w:hAnsi="FZSSK--GBK1-0" w:eastAsia="FZSSK--GBK1-0"/>
                      <w:sz w:val="16"/>
                      <w:lang w:val="en-US" w:eastAsia="zh-CN"/>
                    </w:rPr>
                    <w:t>12</w:t>
                  </w:r>
                  <w:r>
                    <w:rPr>
                      <w:rFonts w:hint="eastAsia" w:ascii="FZSSK--GBK1-0" w:hAnsi="FZSSK--GBK1-0" w:eastAsia="FZSSK--GBK1-0"/>
                      <w:sz w:val="16"/>
                    </w:rPr>
                    <w:t>月 印刷</w:t>
                  </w:r>
                </w:p>
                <w:p/>
              </w:txbxContent>
            </v:textbox>
          </v:shape>
        </w:pict>
      </w:r>
    </w:p>
    <w:p>
      <w:pPr>
        <w:spacing w:line="360" w:lineRule="auto"/>
        <w:jc w:val="left"/>
        <w:rPr>
          <w:rFonts w:hAnsi="Cambria Math"/>
          <w:i w:val="0"/>
          <w:sz w:val="24"/>
          <w:szCs w:val="21"/>
        </w:rPr>
      </w:pPr>
    </w:p>
    <w:sectPr>
      <w:headerReference r:id="rId18" w:type="default"/>
      <w:footerReference r:id="rId20" w:type="default"/>
      <w:headerReference r:id="rId19" w:type="even"/>
      <w:footerReference r:id="rId21" w:type="even"/>
      <w:pgSz w:w="11906" w:h="16838"/>
      <w:pgMar w:top="1418" w:right="1418" w:bottom="1418"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ZSSK--GBK1-0">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r>
      <w:rPr>
        <w:sz w:val="18"/>
      </w:rPr>
      <w:pict>
        <v:shape id="_x0000_s2051" o:spid="_x0000_s2051"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1</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52" o:spid="_x0000_s2052"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1</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49" o:spid="_x0000_s2049"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2050" o:spid="_x0000_s2050" o:spt="202" type="#_x0000_t202" style="position:absolute;left:0pt;margin-top:0pt;height:144pt;width:13.5pt;mso-position-horizontal:right;mso-position-horizontal-relative:margin;z-index:251661312;mso-width-relative:page;mso-height-relative:page;" filled="f" stroked="f" coordsize="21600,21600">
          <v:path/>
          <v:fill on="f" focussize="0,0"/>
          <v:stroke on="f"/>
          <v:imagedata o:title=""/>
          <o:lock v:ext="edit" aspectratio="f"/>
          <v:textbox inset="0mm,0mm,0mm,0mm" style="mso-fit-shape-to-text:t;">
            <w:txbxContent>
              <w:p>
                <w:pPr>
                  <w:pStyle w:val="28"/>
                  <w:rPr>
                    <w:rFonts w:hint="default" w:eastAsia="宋体"/>
                    <w:lang w:val="en-US" w:eastAsia="zh-CN"/>
                  </w:rPr>
                </w:pPr>
                <w:r>
                  <w:rPr>
                    <w:rFonts w:hint="eastAsia"/>
                    <w:lang w:val="en-US" w:eastAsia="zh-CN"/>
                  </w:rPr>
                  <w:t>I</w:t>
                </w:r>
                <w:r>
                  <w:rPr>
                    <w:rFonts w:hint="eastAsia"/>
                    <w:lang w:val="en-US" w:eastAsia="zh-CN"/>
                  </w:rPr>
                  <w:t>I</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default" w:ascii="Times New Roman" w:hAnsi="Times New Roman" w:eastAsia="黑体" w:cs="Times New Roman"/>
        <w:sz w:val="21"/>
        <w:szCs w:val="21"/>
      </w:rPr>
      <w:t>JJF</w:t>
    </w:r>
    <w:r>
      <w:rPr>
        <w:rFonts w:hint="eastAsia" w:eastAsia="黑体" w:cs="Times New Roman"/>
        <w:sz w:val="21"/>
        <w:szCs w:val="21"/>
        <w:lang w:eastAsia="zh-CN"/>
      </w:rPr>
      <w:t>（</w:t>
    </w:r>
    <w:r>
      <w:rPr>
        <w:rFonts w:hint="default" w:ascii="Times New Roman" w:hAnsi="Times New Roman" w:eastAsia="黑体" w:cs="Times New Roman"/>
        <w:sz w:val="21"/>
        <w:szCs w:val="21"/>
      </w:rPr>
      <w:t>苏</w:t>
    </w:r>
    <w:r>
      <w:rPr>
        <w:rFonts w:hint="eastAsia" w:eastAsia="黑体" w:cs="Times New Roman"/>
        <w:sz w:val="21"/>
        <w:szCs w:val="21"/>
        <w:lang w:eastAsia="zh-CN"/>
      </w:rPr>
      <w:t>）</w:t>
    </w:r>
    <w:r>
      <w:rPr>
        <w:rFonts w:hint="eastAsia" w:eastAsia="黑体" w:cs="Times New Roman"/>
        <w:sz w:val="21"/>
        <w:szCs w:val="21"/>
        <w:lang w:val="en-US" w:eastAsia="zh-CN"/>
      </w:rPr>
      <w:t>XXX</w:t>
    </w:r>
    <w:r>
      <w:rPr>
        <w:sz w:val="21"/>
        <w:szCs w:val="21"/>
      </w:rPr>
      <w:t>－</w:t>
    </w:r>
    <w:r>
      <w:rPr>
        <w:rFonts w:hint="default" w:ascii="Times New Roman" w:hAnsi="Times New Roman" w:eastAsia="黑体" w:cs="Times New Roman"/>
        <w:sz w:val="21"/>
        <w:szCs w:val="21"/>
      </w:rPr>
      <w:t>2</w:t>
    </w:r>
    <w:r>
      <w:rPr>
        <w:rFonts w:hint="eastAsia" w:eastAsia="黑体" w:cs="Times New Roman"/>
        <w:sz w:val="21"/>
        <w:szCs w:val="21"/>
        <w:lang w:val="en-US" w:eastAsia="zh-CN"/>
      </w:rPr>
      <w:t>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default" w:ascii="Times New Roman" w:hAnsi="Times New Roman" w:eastAsia="黑体" w:cs="Times New Roman"/>
        <w:sz w:val="21"/>
        <w:szCs w:val="21"/>
      </w:rPr>
      <w:t>JJF</w:t>
    </w:r>
    <w:r>
      <w:rPr>
        <w:rFonts w:hint="eastAsia" w:eastAsia="黑体" w:cs="Times New Roman"/>
        <w:sz w:val="21"/>
        <w:szCs w:val="21"/>
        <w:lang w:eastAsia="zh-CN"/>
      </w:rPr>
      <w:t>（</w:t>
    </w:r>
    <w:r>
      <w:rPr>
        <w:rFonts w:hint="default" w:ascii="Times New Roman" w:hAnsi="Times New Roman" w:eastAsia="黑体" w:cs="Times New Roman"/>
        <w:sz w:val="21"/>
        <w:szCs w:val="21"/>
      </w:rPr>
      <w:t>苏</w:t>
    </w:r>
    <w:r>
      <w:rPr>
        <w:rFonts w:hint="eastAsia" w:eastAsia="黑体" w:cs="Times New Roman"/>
        <w:sz w:val="21"/>
        <w:szCs w:val="21"/>
        <w:lang w:eastAsia="zh-CN"/>
      </w:rPr>
      <w:t>）</w:t>
    </w:r>
    <w:r>
      <w:rPr>
        <w:rFonts w:hint="eastAsia" w:eastAsia="黑体" w:cs="Times New Roman"/>
        <w:sz w:val="21"/>
        <w:szCs w:val="21"/>
        <w:lang w:val="en-US" w:eastAsia="zh-CN"/>
      </w:rPr>
      <w:t>XXX</w:t>
    </w:r>
    <w:r>
      <w:rPr>
        <w:sz w:val="21"/>
        <w:szCs w:val="21"/>
      </w:rPr>
      <w:t>－</w:t>
    </w:r>
    <w:r>
      <w:rPr>
        <w:rFonts w:hint="default" w:ascii="Times New Roman" w:hAnsi="Times New Roman" w:eastAsia="黑体" w:cs="Times New Roman"/>
        <w:sz w:val="21"/>
        <w:szCs w:val="21"/>
      </w:rPr>
      <w:t>2</w:t>
    </w:r>
    <w:r>
      <w:rPr>
        <w:rFonts w:hint="eastAsia" w:eastAsia="黑体" w:cs="Times New Roman"/>
        <w:sz w:val="21"/>
        <w:szCs w:val="21"/>
        <w:lang w:val="en-US" w:eastAsia="zh-CN"/>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default" w:ascii="Times New Roman" w:hAnsi="Times New Roman" w:eastAsia="黑体" w:cs="Times New Roman"/>
        <w:sz w:val="21"/>
        <w:szCs w:val="21"/>
      </w:rPr>
      <w:t>JJF</w:t>
    </w:r>
    <w:r>
      <w:rPr>
        <w:rFonts w:hint="eastAsia" w:eastAsia="黑体" w:cs="Times New Roman"/>
        <w:sz w:val="21"/>
        <w:szCs w:val="21"/>
        <w:lang w:eastAsia="zh-CN"/>
      </w:rPr>
      <w:t>（</w:t>
    </w:r>
    <w:r>
      <w:rPr>
        <w:rFonts w:hint="default" w:ascii="Times New Roman" w:hAnsi="Times New Roman" w:eastAsia="黑体" w:cs="Times New Roman"/>
        <w:sz w:val="21"/>
        <w:szCs w:val="21"/>
      </w:rPr>
      <w:t>苏</w:t>
    </w:r>
    <w:r>
      <w:rPr>
        <w:rFonts w:hint="eastAsia" w:eastAsia="黑体" w:cs="Times New Roman"/>
        <w:sz w:val="21"/>
        <w:szCs w:val="21"/>
        <w:lang w:eastAsia="zh-CN"/>
      </w:rPr>
      <w:t>）</w:t>
    </w:r>
    <w:r>
      <w:rPr>
        <w:rFonts w:hint="eastAsia" w:eastAsia="黑体" w:cs="Times New Roman"/>
        <w:sz w:val="21"/>
        <w:szCs w:val="21"/>
        <w:lang w:val="en-US" w:eastAsia="zh-CN"/>
      </w:rPr>
      <w:t>XXX</w:t>
    </w:r>
    <w:r>
      <w:rPr>
        <w:sz w:val="21"/>
        <w:szCs w:val="21"/>
      </w:rPr>
      <w:t>－</w:t>
    </w:r>
    <w:r>
      <w:rPr>
        <w:rFonts w:hint="default" w:ascii="Times New Roman" w:hAnsi="Times New Roman" w:eastAsia="黑体" w:cs="Times New Roman"/>
        <w:sz w:val="21"/>
        <w:szCs w:val="21"/>
      </w:rPr>
      <w:t>2</w:t>
    </w:r>
    <w:r>
      <w:rPr>
        <w:rFonts w:hint="eastAsia" w:eastAsia="黑体" w:cs="Times New Roman"/>
        <w:sz w:val="21"/>
        <w:szCs w:val="21"/>
        <w:lang w:val="en-US" w:eastAsia="zh-CN"/>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tabs>
        <w:tab w:val="left" w:pos="2670"/>
        <w:tab w:val="center" w:pos="4535"/>
      </w:tabs>
      <w:jc w:val="left"/>
    </w:pPr>
    <w:r>
      <w:rPr>
        <w:sz w:val="21"/>
        <w:szCs w:val="21"/>
      </w:rPr>
      <w:tab/>
    </w:r>
    <w:r>
      <w:rPr>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79"/>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0" w:firstLine="0"/>
      </w:pPr>
      <w:rPr>
        <w:rFonts w:hint="eastAsia" w:ascii="黑体" w:hAnsi="Times New Roman" w:eastAsia="黑体"/>
        <w:b w:val="0"/>
        <w:i w:val="0"/>
        <w:sz w:val="21"/>
      </w:rPr>
    </w:lvl>
    <w:lvl w:ilvl="6" w:tentative="0">
      <w:start w:val="1"/>
      <w:numFmt w:val="decimal"/>
      <w:pStyle w:val="12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113"/>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105"/>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96E4D7B"/>
    <w:multiLevelType w:val="multilevel"/>
    <w:tmpl w:val="496E4D7B"/>
    <w:lvl w:ilvl="0" w:tentative="0">
      <w:start w:val="1"/>
      <w:numFmt w:val="none"/>
      <w:pStyle w:val="127"/>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pStyle w:val="92"/>
      <w:suff w:val="nothing"/>
      <w:lvlText w:val="附　录　%1"/>
      <w:lvlJc w:val="left"/>
      <w:pPr>
        <w:ind w:left="0" w:firstLine="0"/>
      </w:pPr>
      <w:rPr>
        <w:rFonts w:hint="eastAsia" w:ascii="黑体" w:hAnsi="Times New Roman" w:eastAsia="黑体"/>
        <w:b w:val="0"/>
        <w:i w:val="0"/>
        <w:sz w:val="21"/>
      </w:rPr>
    </w:lvl>
    <w:lvl w:ilvl="1" w:tentative="0">
      <w:start w:val="1"/>
      <w:numFmt w:val="decimal"/>
      <w:pStyle w:val="94"/>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95"/>
      <w:suff w:val="nothing"/>
      <w:lvlText w:val="%1.%2.%3　"/>
      <w:lvlJc w:val="left"/>
      <w:pPr>
        <w:ind w:left="0" w:firstLine="0"/>
      </w:pPr>
      <w:rPr>
        <w:rFonts w:hint="eastAsia" w:ascii="黑体" w:hAnsi="Times New Roman" w:eastAsia="黑体"/>
        <w:b w:val="0"/>
        <w:i w:val="0"/>
        <w:sz w:val="21"/>
      </w:rPr>
    </w:lvl>
    <w:lvl w:ilvl="3" w:tentative="0">
      <w:start w:val="1"/>
      <w:numFmt w:val="decimal"/>
      <w:pStyle w:val="96"/>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74"/>
      <w:suff w:val="nothing"/>
      <w:lvlText w:val="%1"/>
      <w:lvlJc w:val="left"/>
      <w:pPr>
        <w:ind w:left="0" w:firstLine="0"/>
      </w:pPr>
      <w:rPr>
        <w:rFonts w:hint="default" w:ascii="Times New Roman" w:hAnsi="Times New Roman"/>
        <w:b/>
        <w:i w:val="0"/>
        <w:sz w:val="21"/>
      </w:rPr>
    </w:lvl>
    <w:lvl w:ilvl="1" w:tentative="0">
      <w:start w:val="1"/>
      <w:numFmt w:val="decimal"/>
      <w:pStyle w:val="76"/>
      <w:suff w:val="nothing"/>
      <w:lvlText w:val="%1%2　"/>
      <w:lvlJc w:val="left"/>
      <w:pPr>
        <w:ind w:left="0" w:firstLine="0"/>
      </w:pPr>
      <w:rPr>
        <w:rFonts w:hint="eastAsia" w:ascii="黑体" w:hAnsi="Times New Roman" w:eastAsia="黑体"/>
        <w:b w:val="0"/>
        <w:i w:val="0"/>
        <w:sz w:val="21"/>
      </w:rPr>
    </w:lvl>
    <w:lvl w:ilvl="2" w:tentative="0">
      <w:start w:val="1"/>
      <w:numFmt w:val="decimal"/>
      <w:pStyle w:val="77"/>
      <w:suff w:val="nothing"/>
      <w:lvlText w:val="%1%2.%3　"/>
      <w:lvlJc w:val="left"/>
      <w:pPr>
        <w:ind w:left="21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110"/>
      <w:suff w:val="nothing"/>
      <w:lvlText w:val="%1%2.%3.%4.%5　"/>
      <w:lvlJc w:val="left"/>
      <w:pPr>
        <w:ind w:left="0" w:firstLine="0"/>
      </w:pPr>
      <w:rPr>
        <w:rFonts w:hint="eastAsia" w:ascii="黑体" w:hAnsi="Times New Roman" w:eastAsia="黑体"/>
        <w:b w:val="0"/>
        <w:i w:val="0"/>
        <w:sz w:val="21"/>
      </w:rPr>
    </w:lvl>
    <w:lvl w:ilvl="5" w:tentative="0">
      <w:start w:val="1"/>
      <w:numFmt w:val="decimal"/>
      <w:pStyle w:val="115"/>
      <w:suff w:val="nothing"/>
      <w:lvlText w:val="%1%2.%3.%4.%5.%6　"/>
      <w:lvlJc w:val="left"/>
      <w:pPr>
        <w:ind w:left="0" w:firstLine="0"/>
      </w:pPr>
      <w:rPr>
        <w:rFonts w:hint="eastAsia" w:ascii="黑体" w:hAnsi="Times New Roman" w:eastAsia="黑体"/>
        <w:b w:val="0"/>
        <w:i w:val="0"/>
        <w:sz w:val="21"/>
      </w:rPr>
    </w:lvl>
    <w:lvl w:ilvl="6" w:tentative="0">
      <w:start w:val="1"/>
      <w:numFmt w:val="decimal"/>
      <w:pStyle w:val="1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126"/>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6933334"/>
    <w:multiLevelType w:val="multilevel"/>
    <w:tmpl w:val="76933334"/>
    <w:lvl w:ilvl="0" w:tentative="0">
      <w:start w:val="1"/>
      <w:numFmt w:val="none"/>
      <w:pStyle w:val="10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9"/>
  </w:num>
  <w:num w:numId="5">
    <w:abstractNumId w:val="2"/>
  </w:num>
  <w:num w:numId="6">
    <w:abstractNumId w:val="1"/>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E14613"/>
    <w:rsid w:val="00000379"/>
    <w:rsid w:val="000037C3"/>
    <w:rsid w:val="0000393F"/>
    <w:rsid w:val="000079E3"/>
    <w:rsid w:val="00012F24"/>
    <w:rsid w:val="000156EB"/>
    <w:rsid w:val="00015CAC"/>
    <w:rsid w:val="00021F5B"/>
    <w:rsid w:val="0002216E"/>
    <w:rsid w:val="00024AD4"/>
    <w:rsid w:val="00027F91"/>
    <w:rsid w:val="000305F7"/>
    <w:rsid w:val="000312E0"/>
    <w:rsid w:val="00033CC3"/>
    <w:rsid w:val="00037222"/>
    <w:rsid w:val="00037353"/>
    <w:rsid w:val="000409DF"/>
    <w:rsid w:val="00043C69"/>
    <w:rsid w:val="00043C99"/>
    <w:rsid w:val="0004401C"/>
    <w:rsid w:val="000445E7"/>
    <w:rsid w:val="00046174"/>
    <w:rsid w:val="00055106"/>
    <w:rsid w:val="00056091"/>
    <w:rsid w:val="00057845"/>
    <w:rsid w:val="00062C32"/>
    <w:rsid w:val="00065BA9"/>
    <w:rsid w:val="00067A31"/>
    <w:rsid w:val="00070ED8"/>
    <w:rsid w:val="00071A2E"/>
    <w:rsid w:val="000772E3"/>
    <w:rsid w:val="00077577"/>
    <w:rsid w:val="00077A0B"/>
    <w:rsid w:val="000852AB"/>
    <w:rsid w:val="000858BC"/>
    <w:rsid w:val="00086E31"/>
    <w:rsid w:val="00093A26"/>
    <w:rsid w:val="000967E7"/>
    <w:rsid w:val="00097B02"/>
    <w:rsid w:val="000A0D6A"/>
    <w:rsid w:val="000A125A"/>
    <w:rsid w:val="000A6E85"/>
    <w:rsid w:val="000B0530"/>
    <w:rsid w:val="000B1DB3"/>
    <w:rsid w:val="000B2BFC"/>
    <w:rsid w:val="000B47B2"/>
    <w:rsid w:val="000C3803"/>
    <w:rsid w:val="000C7C68"/>
    <w:rsid w:val="000D22B7"/>
    <w:rsid w:val="000D23A1"/>
    <w:rsid w:val="000D7EFC"/>
    <w:rsid w:val="000E1A73"/>
    <w:rsid w:val="000E5F1A"/>
    <w:rsid w:val="000F12B7"/>
    <w:rsid w:val="000F2993"/>
    <w:rsid w:val="00106B91"/>
    <w:rsid w:val="00106C09"/>
    <w:rsid w:val="00110B9F"/>
    <w:rsid w:val="00112B36"/>
    <w:rsid w:val="00113F97"/>
    <w:rsid w:val="00116EFE"/>
    <w:rsid w:val="0012020D"/>
    <w:rsid w:val="00121FAF"/>
    <w:rsid w:val="00123BF2"/>
    <w:rsid w:val="001243AA"/>
    <w:rsid w:val="001246BC"/>
    <w:rsid w:val="00127D0D"/>
    <w:rsid w:val="00132F59"/>
    <w:rsid w:val="00140DF6"/>
    <w:rsid w:val="001430A0"/>
    <w:rsid w:val="00143200"/>
    <w:rsid w:val="00150524"/>
    <w:rsid w:val="00151819"/>
    <w:rsid w:val="00154B78"/>
    <w:rsid w:val="00156092"/>
    <w:rsid w:val="00157D6D"/>
    <w:rsid w:val="001628ED"/>
    <w:rsid w:val="0016627A"/>
    <w:rsid w:val="00167C5F"/>
    <w:rsid w:val="00170EB5"/>
    <w:rsid w:val="001753A0"/>
    <w:rsid w:val="001777C2"/>
    <w:rsid w:val="001779E8"/>
    <w:rsid w:val="00182907"/>
    <w:rsid w:val="00183978"/>
    <w:rsid w:val="00184DAD"/>
    <w:rsid w:val="001859FF"/>
    <w:rsid w:val="001949A2"/>
    <w:rsid w:val="0019590F"/>
    <w:rsid w:val="00195A43"/>
    <w:rsid w:val="00197DA6"/>
    <w:rsid w:val="001A0E60"/>
    <w:rsid w:val="001A0EBD"/>
    <w:rsid w:val="001A2905"/>
    <w:rsid w:val="001A6C09"/>
    <w:rsid w:val="001B0AB0"/>
    <w:rsid w:val="001B148A"/>
    <w:rsid w:val="001B25B2"/>
    <w:rsid w:val="001B32D4"/>
    <w:rsid w:val="001B466E"/>
    <w:rsid w:val="001B4BBB"/>
    <w:rsid w:val="001B5424"/>
    <w:rsid w:val="001C00DB"/>
    <w:rsid w:val="001C2202"/>
    <w:rsid w:val="001C39BA"/>
    <w:rsid w:val="001C5740"/>
    <w:rsid w:val="001C6278"/>
    <w:rsid w:val="001C7C3E"/>
    <w:rsid w:val="001D07A8"/>
    <w:rsid w:val="001D3AC2"/>
    <w:rsid w:val="001D480F"/>
    <w:rsid w:val="001D62B9"/>
    <w:rsid w:val="001E0A28"/>
    <w:rsid w:val="001E3411"/>
    <w:rsid w:val="001E5B4E"/>
    <w:rsid w:val="001F075A"/>
    <w:rsid w:val="001F239D"/>
    <w:rsid w:val="001F4404"/>
    <w:rsid w:val="001F4681"/>
    <w:rsid w:val="001F46A0"/>
    <w:rsid w:val="001F4B08"/>
    <w:rsid w:val="001F7520"/>
    <w:rsid w:val="001F7ABE"/>
    <w:rsid w:val="001F7AF1"/>
    <w:rsid w:val="00200DB4"/>
    <w:rsid w:val="00204DEF"/>
    <w:rsid w:val="0020599B"/>
    <w:rsid w:val="0021232A"/>
    <w:rsid w:val="002136C8"/>
    <w:rsid w:val="00213C36"/>
    <w:rsid w:val="002202E7"/>
    <w:rsid w:val="00221DC3"/>
    <w:rsid w:val="002236A4"/>
    <w:rsid w:val="00223E59"/>
    <w:rsid w:val="0022744E"/>
    <w:rsid w:val="002325BB"/>
    <w:rsid w:val="00232C1E"/>
    <w:rsid w:val="00236A58"/>
    <w:rsid w:val="00240D51"/>
    <w:rsid w:val="0024671C"/>
    <w:rsid w:val="002515C9"/>
    <w:rsid w:val="002555E9"/>
    <w:rsid w:val="00263DA5"/>
    <w:rsid w:val="00264DA3"/>
    <w:rsid w:val="002712AE"/>
    <w:rsid w:val="0027186F"/>
    <w:rsid w:val="00277036"/>
    <w:rsid w:val="00283D78"/>
    <w:rsid w:val="002858EC"/>
    <w:rsid w:val="002864C4"/>
    <w:rsid w:val="00296585"/>
    <w:rsid w:val="002A02D9"/>
    <w:rsid w:val="002A2D12"/>
    <w:rsid w:val="002A4195"/>
    <w:rsid w:val="002A7559"/>
    <w:rsid w:val="002B172A"/>
    <w:rsid w:val="002B1C5C"/>
    <w:rsid w:val="002B3773"/>
    <w:rsid w:val="002B7334"/>
    <w:rsid w:val="002C112C"/>
    <w:rsid w:val="002C1860"/>
    <w:rsid w:val="002C1964"/>
    <w:rsid w:val="002C2819"/>
    <w:rsid w:val="002C3859"/>
    <w:rsid w:val="002C5278"/>
    <w:rsid w:val="002C7507"/>
    <w:rsid w:val="002D0E48"/>
    <w:rsid w:val="002D24B8"/>
    <w:rsid w:val="002D4F5C"/>
    <w:rsid w:val="002D5C3C"/>
    <w:rsid w:val="002D7CB9"/>
    <w:rsid w:val="002E0096"/>
    <w:rsid w:val="002E32F2"/>
    <w:rsid w:val="002E51C4"/>
    <w:rsid w:val="002E5C78"/>
    <w:rsid w:val="002F040D"/>
    <w:rsid w:val="002F5053"/>
    <w:rsid w:val="002F64A9"/>
    <w:rsid w:val="002F718D"/>
    <w:rsid w:val="0030045C"/>
    <w:rsid w:val="0030114A"/>
    <w:rsid w:val="003021BF"/>
    <w:rsid w:val="00303D75"/>
    <w:rsid w:val="00306066"/>
    <w:rsid w:val="00306100"/>
    <w:rsid w:val="00310767"/>
    <w:rsid w:val="00313926"/>
    <w:rsid w:val="00314DBB"/>
    <w:rsid w:val="00315354"/>
    <w:rsid w:val="00315FA7"/>
    <w:rsid w:val="003175DD"/>
    <w:rsid w:val="00323662"/>
    <w:rsid w:val="003244E5"/>
    <w:rsid w:val="0032750A"/>
    <w:rsid w:val="0032770B"/>
    <w:rsid w:val="0032785F"/>
    <w:rsid w:val="00330816"/>
    <w:rsid w:val="0033124F"/>
    <w:rsid w:val="00332817"/>
    <w:rsid w:val="003409F7"/>
    <w:rsid w:val="00341075"/>
    <w:rsid w:val="0034227E"/>
    <w:rsid w:val="00342DA4"/>
    <w:rsid w:val="003445E5"/>
    <w:rsid w:val="00345ABD"/>
    <w:rsid w:val="003460C8"/>
    <w:rsid w:val="00346A3E"/>
    <w:rsid w:val="00347FBA"/>
    <w:rsid w:val="00350A7A"/>
    <w:rsid w:val="00350B33"/>
    <w:rsid w:val="00352355"/>
    <w:rsid w:val="003629BB"/>
    <w:rsid w:val="00363066"/>
    <w:rsid w:val="00364364"/>
    <w:rsid w:val="00366B8D"/>
    <w:rsid w:val="003707F0"/>
    <w:rsid w:val="003745BF"/>
    <w:rsid w:val="00380E4F"/>
    <w:rsid w:val="003817A3"/>
    <w:rsid w:val="00381F21"/>
    <w:rsid w:val="003869D9"/>
    <w:rsid w:val="00387D0B"/>
    <w:rsid w:val="003911DF"/>
    <w:rsid w:val="00391D2E"/>
    <w:rsid w:val="003935B8"/>
    <w:rsid w:val="003955A3"/>
    <w:rsid w:val="00395E05"/>
    <w:rsid w:val="003A06A3"/>
    <w:rsid w:val="003A0CD9"/>
    <w:rsid w:val="003A18FD"/>
    <w:rsid w:val="003A2033"/>
    <w:rsid w:val="003A2864"/>
    <w:rsid w:val="003A2F08"/>
    <w:rsid w:val="003A43CE"/>
    <w:rsid w:val="003A43F3"/>
    <w:rsid w:val="003A5590"/>
    <w:rsid w:val="003A631D"/>
    <w:rsid w:val="003A70FA"/>
    <w:rsid w:val="003B044D"/>
    <w:rsid w:val="003B0929"/>
    <w:rsid w:val="003B49C4"/>
    <w:rsid w:val="003B535D"/>
    <w:rsid w:val="003B6355"/>
    <w:rsid w:val="003B6AD5"/>
    <w:rsid w:val="003B6F48"/>
    <w:rsid w:val="003B7422"/>
    <w:rsid w:val="003C1D40"/>
    <w:rsid w:val="003C1FDD"/>
    <w:rsid w:val="003C3F33"/>
    <w:rsid w:val="003E0862"/>
    <w:rsid w:val="003E1084"/>
    <w:rsid w:val="003E2A23"/>
    <w:rsid w:val="003F1B34"/>
    <w:rsid w:val="003F1CF5"/>
    <w:rsid w:val="0040304D"/>
    <w:rsid w:val="0040606D"/>
    <w:rsid w:val="0041162E"/>
    <w:rsid w:val="00411CC0"/>
    <w:rsid w:val="00412612"/>
    <w:rsid w:val="00415FD6"/>
    <w:rsid w:val="00424820"/>
    <w:rsid w:val="0042553B"/>
    <w:rsid w:val="00425634"/>
    <w:rsid w:val="00427949"/>
    <w:rsid w:val="00427FC5"/>
    <w:rsid w:val="00431306"/>
    <w:rsid w:val="004319F8"/>
    <w:rsid w:val="0043321E"/>
    <w:rsid w:val="00433576"/>
    <w:rsid w:val="004341E0"/>
    <w:rsid w:val="004360EB"/>
    <w:rsid w:val="00437483"/>
    <w:rsid w:val="00446C49"/>
    <w:rsid w:val="00446D74"/>
    <w:rsid w:val="004475A6"/>
    <w:rsid w:val="00450FC9"/>
    <w:rsid w:val="00452935"/>
    <w:rsid w:val="00455FE0"/>
    <w:rsid w:val="00460AAC"/>
    <w:rsid w:val="00463929"/>
    <w:rsid w:val="00465A3F"/>
    <w:rsid w:val="0046645B"/>
    <w:rsid w:val="00467024"/>
    <w:rsid w:val="00473929"/>
    <w:rsid w:val="00473BEB"/>
    <w:rsid w:val="004753A1"/>
    <w:rsid w:val="004757DB"/>
    <w:rsid w:val="004812E5"/>
    <w:rsid w:val="00482E62"/>
    <w:rsid w:val="00483E49"/>
    <w:rsid w:val="00485245"/>
    <w:rsid w:val="00485392"/>
    <w:rsid w:val="0048562D"/>
    <w:rsid w:val="00487388"/>
    <w:rsid w:val="00493028"/>
    <w:rsid w:val="00495468"/>
    <w:rsid w:val="004A41C1"/>
    <w:rsid w:val="004B0AA2"/>
    <w:rsid w:val="004B21D4"/>
    <w:rsid w:val="004B7D4B"/>
    <w:rsid w:val="004C3F8D"/>
    <w:rsid w:val="004C4567"/>
    <w:rsid w:val="004C5B6D"/>
    <w:rsid w:val="004D0EDB"/>
    <w:rsid w:val="004D2BDC"/>
    <w:rsid w:val="004E282C"/>
    <w:rsid w:val="004E4374"/>
    <w:rsid w:val="004E65E7"/>
    <w:rsid w:val="004E66AB"/>
    <w:rsid w:val="004F0932"/>
    <w:rsid w:val="004F50BA"/>
    <w:rsid w:val="004F5736"/>
    <w:rsid w:val="004F6A06"/>
    <w:rsid w:val="00503EC9"/>
    <w:rsid w:val="005042DE"/>
    <w:rsid w:val="00507AFC"/>
    <w:rsid w:val="00511561"/>
    <w:rsid w:val="0051249B"/>
    <w:rsid w:val="005156EA"/>
    <w:rsid w:val="00516B14"/>
    <w:rsid w:val="00520677"/>
    <w:rsid w:val="005211AF"/>
    <w:rsid w:val="00523C09"/>
    <w:rsid w:val="00525972"/>
    <w:rsid w:val="005261C9"/>
    <w:rsid w:val="00526809"/>
    <w:rsid w:val="005339C5"/>
    <w:rsid w:val="005361FB"/>
    <w:rsid w:val="00536FF0"/>
    <w:rsid w:val="005462DF"/>
    <w:rsid w:val="005500E5"/>
    <w:rsid w:val="00551113"/>
    <w:rsid w:val="00552C53"/>
    <w:rsid w:val="00552D9B"/>
    <w:rsid w:val="0056004D"/>
    <w:rsid w:val="005600A3"/>
    <w:rsid w:val="00560CF5"/>
    <w:rsid w:val="00570262"/>
    <w:rsid w:val="005706A4"/>
    <w:rsid w:val="00571B73"/>
    <w:rsid w:val="0057273A"/>
    <w:rsid w:val="005766C5"/>
    <w:rsid w:val="00581D54"/>
    <w:rsid w:val="0058602C"/>
    <w:rsid w:val="00586D01"/>
    <w:rsid w:val="005902D2"/>
    <w:rsid w:val="005907C6"/>
    <w:rsid w:val="00593ABD"/>
    <w:rsid w:val="00596D0B"/>
    <w:rsid w:val="00597A7C"/>
    <w:rsid w:val="005A010E"/>
    <w:rsid w:val="005A0B88"/>
    <w:rsid w:val="005A182B"/>
    <w:rsid w:val="005A2476"/>
    <w:rsid w:val="005A7093"/>
    <w:rsid w:val="005B01F7"/>
    <w:rsid w:val="005B3209"/>
    <w:rsid w:val="005B67E5"/>
    <w:rsid w:val="005C1531"/>
    <w:rsid w:val="005C2587"/>
    <w:rsid w:val="005C2995"/>
    <w:rsid w:val="005C699B"/>
    <w:rsid w:val="005D0B56"/>
    <w:rsid w:val="005D1F18"/>
    <w:rsid w:val="005D2576"/>
    <w:rsid w:val="005E0838"/>
    <w:rsid w:val="005E27B7"/>
    <w:rsid w:val="005E32BB"/>
    <w:rsid w:val="005E3C93"/>
    <w:rsid w:val="005E4689"/>
    <w:rsid w:val="005E7D3D"/>
    <w:rsid w:val="005F0521"/>
    <w:rsid w:val="005F1704"/>
    <w:rsid w:val="005F198A"/>
    <w:rsid w:val="005F1ABE"/>
    <w:rsid w:val="005F1CE7"/>
    <w:rsid w:val="005F1EFC"/>
    <w:rsid w:val="005F2CCB"/>
    <w:rsid w:val="005F53B3"/>
    <w:rsid w:val="005F726F"/>
    <w:rsid w:val="00600203"/>
    <w:rsid w:val="00601A51"/>
    <w:rsid w:val="00601C58"/>
    <w:rsid w:val="00611AB8"/>
    <w:rsid w:val="006158A4"/>
    <w:rsid w:val="00617569"/>
    <w:rsid w:val="00621E70"/>
    <w:rsid w:val="0062529D"/>
    <w:rsid w:val="00625B4A"/>
    <w:rsid w:val="00630CE5"/>
    <w:rsid w:val="006319E6"/>
    <w:rsid w:val="00631D25"/>
    <w:rsid w:val="0063421A"/>
    <w:rsid w:val="0063458A"/>
    <w:rsid w:val="006347E8"/>
    <w:rsid w:val="00635AED"/>
    <w:rsid w:val="00637397"/>
    <w:rsid w:val="006414EF"/>
    <w:rsid w:val="00646546"/>
    <w:rsid w:val="00650D8D"/>
    <w:rsid w:val="00651B0B"/>
    <w:rsid w:val="0065423F"/>
    <w:rsid w:val="006573CC"/>
    <w:rsid w:val="00657E8F"/>
    <w:rsid w:val="00660F6D"/>
    <w:rsid w:val="00662D53"/>
    <w:rsid w:val="006652EE"/>
    <w:rsid w:val="00665F41"/>
    <w:rsid w:val="00666D79"/>
    <w:rsid w:val="00667957"/>
    <w:rsid w:val="00675140"/>
    <w:rsid w:val="0067760E"/>
    <w:rsid w:val="0067779F"/>
    <w:rsid w:val="00680FA0"/>
    <w:rsid w:val="006817ED"/>
    <w:rsid w:val="00681A26"/>
    <w:rsid w:val="0068432A"/>
    <w:rsid w:val="00686F59"/>
    <w:rsid w:val="00687FE9"/>
    <w:rsid w:val="00691342"/>
    <w:rsid w:val="0069167F"/>
    <w:rsid w:val="00692B1E"/>
    <w:rsid w:val="00694AE2"/>
    <w:rsid w:val="0069520B"/>
    <w:rsid w:val="00696D1A"/>
    <w:rsid w:val="006A067D"/>
    <w:rsid w:val="006A0E22"/>
    <w:rsid w:val="006A2751"/>
    <w:rsid w:val="006A5504"/>
    <w:rsid w:val="006A5836"/>
    <w:rsid w:val="006A693A"/>
    <w:rsid w:val="006A69BA"/>
    <w:rsid w:val="006B1809"/>
    <w:rsid w:val="006B23FE"/>
    <w:rsid w:val="006B292D"/>
    <w:rsid w:val="006B356B"/>
    <w:rsid w:val="006B5120"/>
    <w:rsid w:val="006B7A02"/>
    <w:rsid w:val="006C0CD9"/>
    <w:rsid w:val="006C210F"/>
    <w:rsid w:val="006C2299"/>
    <w:rsid w:val="006C3B8C"/>
    <w:rsid w:val="006C5B8A"/>
    <w:rsid w:val="006C76BA"/>
    <w:rsid w:val="006D15A8"/>
    <w:rsid w:val="006D41C8"/>
    <w:rsid w:val="006D67C3"/>
    <w:rsid w:val="006D6BD8"/>
    <w:rsid w:val="006E3AB5"/>
    <w:rsid w:val="006E412F"/>
    <w:rsid w:val="006F0E49"/>
    <w:rsid w:val="006F1E86"/>
    <w:rsid w:val="006F26A4"/>
    <w:rsid w:val="006F4B02"/>
    <w:rsid w:val="006F4B5E"/>
    <w:rsid w:val="00703AEC"/>
    <w:rsid w:val="0070537E"/>
    <w:rsid w:val="00707702"/>
    <w:rsid w:val="0071254B"/>
    <w:rsid w:val="00713C82"/>
    <w:rsid w:val="0072032F"/>
    <w:rsid w:val="00720A47"/>
    <w:rsid w:val="00721456"/>
    <w:rsid w:val="0072205B"/>
    <w:rsid w:val="007221F0"/>
    <w:rsid w:val="00722D79"/>
    <w:rsid w:val="007247B9"/>
    <w:rsid w:val="0072577A"/>
    <w:rsid w:val="0073298B"/>
    <w:rsid w:val="00732BE6"/>
    <w:rsid w:val="00732F00"/>
    <w:rsid w:val="00734E6E"/>
    <w:rsid w:val="00740913"/>
    <w:rsid w:val="00740C9A"/>
    <w:rsid w:val="00741C3E"/>
    <w:rsid w:val="0074215A"/>
    <w:rsid w:val="007470EF"/>
    <w:rsid w:val="0075367C"/>
    <w:rsid w:val="007607B1"/>
    <w:rsid w:val="00761902"/>
    <w:rsid w:val="0076297A"/>
    <w:rsid w:val="00765C7A"/>
    <w:rsid w:val="00766419"/>
    <w:rsid w:val="00767088"/>
    <w:rsid w:val="00772C60"/>
    <w:rsid w:val="007743DE"/>
    <w:rsid w:val="00775172"/>
    <w:rsid w:val="0077520E"/>
    <w:rsid w:val="00775315"/>
    <w:rsid w:val="0077561E"/>
    <w:rsid w:val="00775C67"/>
    <w:rsid w:val="00780D5B"/>
    <w:rsid w:val="00782B60"/>
    <w:rsid w:val="00785CB4"/>
    <w:rsid w:val="00790F31"/>
    <w:rsid w:val="007A0F61"/>
    <w:rsid w:val="007A2442"/>
    <w:rsid w:val="007A252F"/>
    <w:rsid w:val="007A3DA0"/>
    <w:rsid w:val="007B0022"/>
    <w:rsid w:val="007B0416"/>
    <w:rsid w:val="007B09E5"/>
    <w:rsid w:val="007B1BF9"/>
    <w:rsid w:val="007B3AB9"/>
    <w:rsid w:val="007B404B"/>
    <w:rsid w:val="007B4076"/>
    <w:rsid w:val="007B50D7"/>
    <w:rsid w:val="007B6703"/>
    <w:rsid w:val="007C17E5"/>
    <w:rsid w:val="007C3B67"/>
    <w:rsid w:val="007C4845"/>
    <w:rsid w:val="007C5583"/>
    <w:rsid w:val="007D1304"/>
    <w:rsid w:val="007E3332"/>
    <w:rsid w:val="007E339B"/>
    <w:rsid w:val="007E3F29"/>
    <w:rsid w:val="007E55E8"/>
    <w:rsid w:val="007E5D6F"/>
    <w:rsid w:val="007F106E"/>
    <w:rsid w:val="007F1085"/>
    <w:rsid w:val="007F6894"/>
    <w:rsid w:val="007F76CF"/>
    <w:rsid w:val="007F7A0B"/>
    <w:rsid w:val="00800B94"/>
    <w:rsid w:val="00801031"/>
    <w:rsid w:val="00801DCF"/>
    <w:rsid w:val="00802056"/>
    <w:rsid w:val="008020B8"/>
    <w:rsid w:val="0080250A"/>
    <w:rsid w:val="00803498"/>
    <w:rsid w:val="00806338"/>
    <w:rsid w:val="00811A75"/>
    <w:rsid w:val="0081301F"/>
    <w:rsid w:val="00813832"/>
    <w:rsid w:val="0081462B"/>
    <w:rsid w:val="00816182"/>
    <w:rsid w:val="00817598"/>
    <w:rsid w:val="00817B2B"/>
    <w:rsid w:val="00820613"/>
    <w:rsid w:val="00820C31"/>
    <w:rsid w:val="00820C52"/>
    <w:rsid w:val="00821508"/>
    <w:rsid w:val="00831BB5"/>
    <w:rsid w:val="00832A12"/>
    <w:rsid w:val="00832F4D"/>
    <w:rsid w:val="00837D2F"/>
    <w:rsid w:val="00837F68"/>
    <w:rsid w:val="00841B16"/>
    <w:rsid w:val="0084296F"/>
    <w:rsid w:val="00843002"/>
    <w:rsid w:val="00846200"/>
    <w:rsid w:val="008563F3"/>
    <w:rsid w:val="00862CE3"/>
    <w:rsid w:val="00865B2D"/>
    <w:rsid w:val="00870124"/>
    <w:rsid w:val="008715B7"/>
    <w:rsid w:val="00871F39"/>
    <w:rsid w:val="008723A2"/>
    <w:rsid w:val="00872A37"/>
    <w:rsid w:val="00872D20"/>
    <w:rsid w:val="0088066A"/>
    <w:rsid w:val="00880CF5"/>
    <w:rsid w:val="00883825"/>
    <w:rsid w:val="00885211"/>
    <w:rsid w:val="00885A6E"/>
    <w:rsid w:val="00886430"/>
    <w:rsid w:val="008901B6"/>
    <w:rsid w:val="00890E38"/>
    <w:rsid w:val="00891341"/>
    <w:rsid w:val="00893037"/>
    <w:rsid w:val="00893DB8"/>
    <w:rsid w:val="00896B18"/>
    <w:rsid w:val="00897ECD"/>
    <w:rsid w:val="008A08F6"/>
    <w:rsid w:val="008A1FC8"/>
    <w:rsid w:val="008B4FE2"/>
    <w:rsid w:val="008B6F51"/>
    <w:rsid w:val="008B774F"/>
    <w:rsid w:val="008B7923"/>
    <w:rsid w:val="008B7C24"/>
    <w:rsid w:val="008C1770"/>
    <w:rsid w:val="008D09E1"/>
    <w:rsid w:val="008D249F"/>
    <w:rsid w:val="008D2991"/>
    <w:rsid w:val="008D425A"/>
    <w:rsid w:val="008D7613"/>
    <w:rsid w:val="008E3989"/>
    <w:rsid w:val="008E3D44"/>
    <w:rsid w:val="008E4090"/>
    <w:rsid w:val="008E56D9"/>
    <w:rsid w:val="008E5DE3"/>
    <w:rsid w:val="008F0620"/>
    <w:rsid w:val="008F1925"/>
    <w:rsid w:val="008F3BF7"/>
    <w:rsid w:val="008F5E55"/>
    <w:rsid w:val="00901DD4"/>
    <w:rsid w:val="0090297D"/>
    <w:rsid w:val="00903D37"/>
    <w:rsid w:val="00906146"/>
    <w:rsid w:val="00906F13"/>
    <w:rsid w:val="00910E4D"/>
    <w:rsid w:val="009144AF"/>
    <w:rsid w:val="00921099"/>
    <w:rsid w:val="00923966"/>
    <w:rsid w:val="0092447A"/>
    <w:rsid w:val="00925CCA"/>
    <w:rsid w:val="00931976"/>
    <w:rsid w:val="009335E1"/>
    <w:rsid w:val="00934DAF"/>
    <w:rsid w:val="0093647F"/>
    <w:rsid w:val="00940225"/>
    <w:rsid w:val="00941BD6"/>
    <w:rsid w:val="00942D95"/>
    <w:rsid w:val="00943638"/>
    <w:rsid w:val="00944D10"/>
    <w:rsid w:val="009514BA"/>
    <w:rsid w:val="00951EC1"/>
    <w:rsid w:val="009572AD"/>
    <w:rsid w:val="009647C9"/>
    <w:rsid w:val="0096758F"/>
    <w:rsid w:val="00972ADF"/>
    <w:rsid w:val="00972D9D"/>
    <w:rsid w:val="0097494E"/>
    <w:rsid w:val="0097767F"/>
    <w:rsid w:val="009802EA"/>
    <w:rsid w:val="0098063C"/>
    <w:rsid w:val="0098257A"/>
    <w:rsid w:val="00986892"/>
    <w:rsid w:val="00986944"/>
    <w:rsid w:val="00991D77"/>
    <w:rsid w:val="00992CF7"/>
    <w:rsid w:val="0099430C"/>
    <w:rsid w:val="00996FB3"/>
    <w:rsid w:val="009A2E38"/>
    <w:rsid w:val="009A30CD"/>
    <w:rsid w:val="009A65CC"/>
    <w:rsid w:val="009A7F30"/>
    <w:rsid w:val="009B0E5F"/>
    <w:rsid w:val="009B5444"/>
    <w:rsid w:val="009B7BC3"/>
    <w:rsid w:val="009C51E5"/>
    <w:rsid w:val="009C6F9D"/>
    <w:rsid w:val="009C739E"/>
    <w:rsid w:val="009D0115"/>
    <w:rsid w:val="009D158A"/>
    <w:rsid w:val="009D188E"/>
    <w:rsid w:val="009D1F72"/>
    <w:rsid w:val="009D2AF7"/>
    <w:rsid w:val="009D7B7A"/>
    <w:rsid w:val="009E0C2A"/>
    <w:rsid w:val="009E328E"/>
    <w:rsid w:val="009E3580"/>
    <w:rsid w:val="009E5F1B"/>
    <w:rsid w:val="009F0F2E"/>
    <w:rsid w:val="009F3675"/>
    <w:rsid w:val="009F43D9"/>
    <w:rsid w:val="009F4EDC"/>
    <w:rsid w:val="00A007D9"/>
    <w:rsid w:val="00A008A0"/>
    <w:rsid w:val="00A02593"/>
    <w:rsid w:val="00A02E65"/>
    <w:rsid w:val="00A03B18"/>
    <w:rsid w:val="00A06EF2"/>
    <w:rsid w:val="00A07712"/>
    <w:rsid w:val="00A10460"/>
    <w:rsid w:val="00A20A72"/>
    <w:rsid w:val="00A248BC"/>
    <w:rsid w:val="00A2764C"/>
    <w:rsid w:val="00A27AFE"/>
    <w:rsid w:val="00A35ADC"/>
    <w:rsid w:val="00A415C1"/>
    <w:rsid w:val="00A457D1"/>
    <w:rsid w:val="00A45E1A"/>
    <w:rsid w:val="00A5042A"/>
    <w:rsid w:val="00A5133F"/>
    <w:rsid w:val="00A51B5A"/>
    <w:rsid w:val="00A56903"/>
    <w:rsid w:val="00A61F04"/>
    <w:rsid w:val="00A635E0"/>
    <w:rsid w:val="00A64282"/>
    <w:rsid w:val="00A66F84"/>
    <w:rsid w:val="00A7055E"/>
    <w:rsid w:val="00A73C04"/>
    <w:rsid w:val="00A7741B"/>
    <w:rsid w:val="00A8015C"/>
    <w:rsid w:val="00A802B8"/>
    <w:rsid w:val="00A879F1"/>
    <w:rsid w:val="00A9023A"/>
    <w:rsid w:val="00A9262B"/>
    <w:rsid w:val="00A9378C"/>
    <w:rsid w:val="00A938D6"/>
    <w:rsid w:val="00A968E1"/>
    <w:rsid w:val="00AA1287"/>
    <w:rsid w:val="00AA2BB7"/>
    <w:rsid w:val="00AA42E7"/>
    <w:rsid w:val="00AA4F33"/>
    <w:rsid w:val="00AA5E07"/>
    <w:rsid w:val="00AA7158"/>
    <w:rsid w:val="00AB13BE"/>
    <w:rsid w:val="00AB1CB2"/>
    <w:rsid w:val="00AB3244"/>
    <w:rsid w:val="00AB3358"/>
    <w:rsid w:val="00AB4F8B"/>
    <w:rsid w:val="00AB5391"/>
    <w:rsid w:val="00AC4C8E"/>
    <w:rsid w:val="00AC527A"/>
    <w:rsid w:val="00AC65AE"/>
    <w:rsid w:val="00AD0E64"/>
    <w:rsid w:val="00AD653A"/>
    <w:rsid w:val="00AE1353"/>
    <w:rsid w:val="00AE1C0C"/>
    <w:rsid w:val="00AE778F"/>
    <w:rsid w:val="00AE7DAA"/>
    <w:rsid w:val="00AF125C"/>
    <w:rsid w:val="00AF1312"/>
    <w:rsid w:val="00AF54DD"/>
    <w:rsid w:val="00AF69D5"/>
    <w:rsid w:val="00AF7F57"/>
    <w:rsid w:val="00B106FA"/>
    <w:rsid w:val="00B10759"/>
    <w:rsid w:val="00B16825"/>
    <w:rsid w:val="00B20C74"/>
    <w:rsid w:val="00B228CA"/>
    <w:rsid w:val="00B232FC"/>
    <w:rsid w:val="00B341DE"/>
    <w:rsid w:val="00B36555"/>
    <w:rsid w:val="00B376BA"/>
    <w:rsid w:val="00B37C94"/>
    <w:rsid w:val="00B420D7"/>
    <w:rsid w:val="00B4460E"/>
    <w:rsid w:val="00B44E66"/>
    <w:rsid w:val="00B458E4"/>
    <w:rsid w:val="00B477D6"/>
    <w:rsid w:val="00B50573"/>
    <w:rsid w:val="00B5304A"/>
    <w:rsid w:val="00B54B0F"/>
    <w:rsid w:val="00B550EC"/>
    <w:rsid w:val="00B6125D"/>
    <w:rsid w:val="00B6235C"/>
    <w:rsid w:val="00B64AB7"/>
    <w:rsid w:val="00B66EF9"/>
    <w:rsid w:val="00B70C71"/>
    <w:rsid w:val="00B741CE"/>
    <w:rsid w:val="00B758C3"/>
    <w:rsid w:val="00B75D59"/>
    <w:rsid w:val="00B86ED8"/>
    <w:rsid w:val="00B917C5"/>
    <w:rsid w:val="00B92BE6"/>
    <w:rsid w:val="00B951D2"/>
    <w:rsid w:val="00B9713E"/>
    <w:rsid w:val="00B97811"/>
    <w:rsid w:val="00B97CBE"/>
    <w:rsid w:val="00BA1186"/>
    <w:rsid w:val="00BA75F5"/>
    <w:rsid w:val="00BB087F"/>
    <w:rsid w:val="00BB0AA5"/>
    <w:rsid w:val="00BC50D6"/>
    <w:rsid w:val="00BC5438"/>
    <w:rsid w:val="00BC7A21"/>
    <w:rsid w:val="00BD095E"/>
    <w:rsid w:val="00BD245E"/>
    <w:rsid w:val="00BD2C60"/>
    <w:rsid w:val="00BD4F4A"/>
    <w:rsid w:val="00BD58A1"/>
    <w:rsid w:val="00BE268A"/>
    <w:rsid w:val="00BE35A4"/>
    <w:rsid w:val="00BE547F"/>
    <w:rsid w:val="00BF0CC3"/>
    <w:rsid w:val="00BF1268"/>
    <w:rsid w:val="00BF29DC"/>
    <w:rsid w:val="00BF5555"/>
    <w:rsid w:val="00BF5572"/>
    <w:rsid w:val="00BF7770"/>
    <w:rsid w:val="00C020C8"/>
    <w:rsid w:val="00C022A7"/>
    <w:rsid w:val="00C04753"/>
    <w:rsid w:val="00C047D5"/>
    <w:rsid w:val="00C04997"/>
    <w:rsid w:val="00C0502A"/>
    <w:rsid w:val="00C061ED"/>
    <w:rsid w:val="00C10F53"/>
    <w:rsid w:val="00C12FCB"/>
    <w:rsid w:val="00C13C6D"/>
    <w:rsid w:val="00C16BF6"/>
    <w:rsid w:val="00C170CB"/>
    <w:rsid w:val="00C17136"/>
    <w:rsid w:val="00C1738C"/>
    <w:rsid w:val="00C20483"/>
    <w:rsid w:val="00C244AA"/>
    <w:rsid w:val="00C262F2"/>
    <w:rsid w:val="00C2640C"/>
    <w:rsid w:val="00C27CF2"/>
    <w:rsid w:val="00C27FFA"/>
    <w:rsid w:val="00C327DB"/>
    <w:rsid w:val="00C33F04"/>
    <w:rsid w:val="00C3483E"/>
    <w:rsid w:val="00C35D55"/>
    <w:rsid w:val="00C40F14"/>
    <w:rsid w:val="00C45870"/>
    <w:rsid w:val="00C56451"/>
    <w:rsid w:val="00C5733B"/>
    <w:rsid w:val="00C601A1"/>
    <w:rsid w:val="00C61BD4"/>
    <w:rsid w:val="00C63D25"/>
    <w:rsid w:val="00C641F0"/>
    <w:rsid w:val="00C665C1"/>
    <w:rsid w:val="00C66676"/>
    <w:rsid w:val="00C70F9D"/>
    <w:rsid w:val="00C71783"/>
    <w:rsid w:val="00C72517"/>
    <w:rsid w:val="00C75E4E"/>
    <w:rsid w:val="00C76F20"/>
    <w:rsid w:val="00C81D9D"/>
    <w:rsid w:val="00C8255A"/>
    <w:rsid w:val="00C858A6"/>
    <w:rsid w:val="00C93F00"/>
    <w:rsid w:val="00C95AA0"/>
    <w:rsid w:val="00C97CED"/>
    <w:rsid w:val="00CA1999"/>
    <w:rsid w:val="00CA734E"/>
    <w:rsid w:val="00CB12F1"/>
    <w:rsid w:val="00CB316D"/>
    <w:rsid w:val="00CB3DB9"/>
    <w:rsid w:val="00CB42E9"/>
    <w:rsid w:val="00CC2171"/>
    <w:rsid w:val="00CC2173"/>
    <w:rsid w:val="00CC3488"/>
    <w:rsid w:val="00CC43F9"/>
    <w:rsid w:val="00CC7C33"/>
    <w:rsid w:val="00CD0244"/>
    <w:rsid w:val="00CD0DD0"/>
    <w:rsid w:val="00CD18FF"/>
    <w:rsid w:val="00CD1B1A"/>
    <w:rsid w:val="00CD3B9B"/>
    <w:rsid w:val="00CD4415"/>
    <w:rsid w:val="00CD5061"/>
    <w:rsid w:val="00CF281D"/>
    <w:rsid w:val="00CF4501"/>
    <w:rsid w:val="00CF451C"/>
    <w:rsid w:val="00CF6D47"/>
    <w:rsid w:val="00D017B7"/>
    <w:rsid w:val="00D020B5"/>
    <w:rsid w:val="00D03AA9"/>
    <w:rsid w:val="00D04B26"/>
    <w:rsid w:val="00D04B88"/>
    <w:rsid w:val="00D11372"/>
    <w:rsid w:val="00D20843"/>
    <w:rsid w:val="00D23007"/>
    <w:rsid w:val="00D2492C"/>
    <w:rsid w:val="00D26439"/>
    <w:rsid w:val="00D30BC2"/>
    <w:rsid w:val="00D3275E"/>
    <w:rsid w:val="00D341D7"/>
    <w:rsid w:val="00D41790"/>
    <w:rsid w:val="00D43796"/>
    <w:rsid w:val="00D43E7E"/>
    <w:rsid w:val="00D5366A"/>
    <w:rsid w:val="00D61F10"/>
    <w:rsid w:val="00D63B78"/>
    <w:rsid w:val="00D669FB"/>
    <w:rsid w:val="00D66A1C"/>
    <w:rsid w:val="00D7074A"/>
    <w:rsid w:val="00D70A8A"/>
    <w:rsid w:val="00D73DEF"/>
    <w:rsid w:val="00D75B99"/>
    <w:rsid w:val="00D76B88"/>
    <w:rsid w:val="00D8059A"/>
    <w:rsid w:val="00D83543"/>
    <w:rsid w:val="00D83D88"/>
    <w:rsid w:val="00D85381"/>
    <w:rsid w:val="00D92699"/>
    <w:rsid w:val="00D95CF2"/>
    <w:rsid w:val="00D96732"/>
    <w:rsid w:val="00D9706D"/>
    <w:rsid w:val="00DA060A"/>
    <w:rsid w:val="00DA216A"/>
    <w:rsid w:val="00DA41A1"/>
    <w:rsid w:val="00DA469C"/>
    <w:rsid w:val="00DA7CD5"/>
    <w:rsid w:val="00DB203D"/>
    <w:rsid w:val="00DB5208"/>
    <w:rsid w:val="00DB5284"/>
    <w:rsid w:val="00DB7D0F"/>
    <w:rsid w:val="00DC0C30"/>
    <w:rsid w:val="00DC1752"/>
    <w:rsid w:val="00DC2F52"/>
    <w:rsid w:val="00DC3F5A"/>
    <w:rsid w:val="00DC454F"/>
    <w:rsid w:val="00DC7EED"/>
    <w:rsid w:val="00DD1F3E"/>
    <w:rsid w:val="00DD23C8"/>
    <w:rsid w:val="00DD2E85"/>
    <w:rsid w:val="00DD3531"/>
    <w:rsid w:val="00DD56A2"/>
    <w:rsid w:val="00DE1959"/>
    <w:rsid w:val="00DE4259"/>
    <w:rsid w:val="00DE6151"/>
    <w:rsid w:val="00DE6637"/>
    <w:rsid w:val="00DE6972"/>
    <w:rsid w:val="00DF3CAE"/>
    <w:rsid w:val="00DF63DF"/>
    <w:rsid w:val="00DF697D"/>
    <w:rsid w:val="00E001D4"/>
    <w:rsid w:val="00E00F91"/>
    <w:rsid w:val="00E03A42"/>
    <w:rsid w:val="00E13B31"/>
    <w:rsid w:val="00E14613"/>
    <w:rsid w:val="00E21247"/>
    <w:rsid w:val="00E269F1"/>
    <w:rsid w:val="00E30E4E"/>
    <w:rsid w:val="00E32B43"/>
    <w:rsid w:val="00E33DB7"/>
    <w:rsid w:val="00E35D82"/>
    <w:rsid w:val="00E378D3"/>
    <w:rsid w:val="00E37CE0"/>
    <w:rsid w:val="00E42322"/>
    <w:rsid w:val="00E44E90"/>
    <w:rsid w:val="00E46E5C"/>
    <w:rsid w:val="00E51929"/>
    <w:rsid w:val="00E5285A"/>
    <w:rsid w:val="00E52BBD"/>
    <w:rsid w:val="00E5618B"/>
    <w:rsid w:val="00E56793"/>
    <w:rsid w:val="00E57BBC"/>
    <w:rsid w:val="00E6085C"/>
    <w:rsid w:val="00E6239C"/>
    <w:rsid w:val="00E637E0"/>
    <w:rsid w:val="00E67EB6"/>
    <w:rsid w:val="00E67F26"/>
    <w:rsid w:val="00E702B0"/>
    <w:rsid w:val="00E767D1"/>
    <w:rsid w:val="00E818A6"/>
    <w:rsid w:val="00E8512F"/>
    <w:rsid w:val="00E851A8"/>
    <w:rsid w:val="00E8569D"/>
    <w:rsid w:val="00E86C4B"/>
    <w:rsid w:val="00E9647D"/>
    <w:rsid w:val="00E9651E"/>
    <w:rsid w:val="00EA5DF4"/>
    <w:rsid w:val="00EB0D98"/>
    <w:rsid w:val="00EB106D"/>
    <w:rsid w:val="00EC540D"/>
    <w:rsid w:val="00EC61D6"/>
    <w:rsid w:val="00ED0662"/>
    <w:rsid w:val="00ED1167"/>
    <w:rsid w:val="00ED3133"/>
    <w:rsid w:val="00EE03C1"/>
    <w:rsid w:val="00EE04EA"/>
    <w:rsid w:val="00EE0B52"/>
    <w:rsid w:val="00EE12F0"/>
    <w:rsid w:val="00EE5848"/>
    <w:rsid w:val="00EE6C10"/>
    <w:rsid w:val="00EF3213"/>
    <w:rsid w:val="00EF66EE"/>
    <w:rsid w:val="00EF6734"/>
    <w:rsid w:val="00EF6C5B"/>
    <w:rsid w:val="00EF7630"/>
    <w:rsid w:val="00F003F7"/>
    <w:rsid w:val="00F010EF"/>
    <w:rsid w:val="00F01780"/>
    <w:rsid w:val="00F12BDB"/>
    <w:rsid w:val="00F16E55"/>
    <w:rsid w:val="00F173B9"/>
    <w:rsid w:val="00F20454"/>
    <w:rsid w:val="00F20484"/>
    <w:rsid w:val="00F204E1"/>
    <w:rsid w:val="00F215AF"/>
    <w:rsid w:val="00F21A27"/>
    <w:rsid w:val="00F22965"/>
    <w:rsid w:val="00F22EE1"/>
    <w:rsid w:val="00F251FB"/>
    <w:rsid w:val="00F26BB5"/>
    <w:rsid w:val="00F27B40"/>
    <w:rsid w:val="00F34733"/>
    <w:rsid w:val="00F35C6A"/>
    <w:rsid w:val="00F435F9"/>
    <w:rsid w:val="00F4460A"/>
    <w:rsid w:val="00F45273"/>
    <w:rsid w:val="00F50D8C"/>
    <w:rsid w:val="00F520E9"/>
    <w:rsid w:val="00F5231F"/>
    <w:rsid w:val="00F5791B"/>
    <w:rsid w:val="00F62899"/>
    <w:rsid w:val="00F6332C"/>
    <w:rsid w:val="00F63E62"/>
    <w:rsid w:val="00F6576F"/>
    <w:rsid w:val="00F678A2"/>
    <w:rsid w:val="00F70F06"/>
    <w:rsid w:val="00F7116C"/>
    <w:rsid w:val="00F71768"/>
    <w:rsid w:val="00F725EE"/>
    <w:rsid w:val="00F72B61"/>
    <w:rsid w:val="00F75E39"/>
    <w:rsid w:val="00F75E5C"/>
    <w:rsid w:val="00F77AE9"/>
    <w:rsid w:val="00F8098C"/>
    <w:rsid w:val="00F81A5B"/>
    <w:rsid w:val="00F834D5"/>
    <w:rsid w:val="00F83D6B"/>
    <w:rsid w:val="00F84CEA"/>
    <w:rsid w:val="00F878BC"/>
    <w:rsid w:val="00F930BB"/>
    <w:rsid w:val="00F9337C"/>
    <w:rsid w:val="00F9484C"/>
    <w:rsid w:val="00F95B49"/>
    <w:rsid w:val="00F9618C"/>
    <w:rsid w:val="00F97439"/>
    <w:rsid w:val="00FA03B3"/>
    <w:rsid w:val="00FA17C4"/>
    <w:rsid w:val="00FA2393"/>
    <w:rsid w:val="00FA321B"/>
    <w:rsid w:val="00FA34A9"/>
    <w:rsid w:val="00FA4E00"/>
    <w:rsid w:val="00FB2F45"/>
    <w:rsid w:val="00FB5D09"/>
    <w:rsid w:val="00FB6225"/>
    <w:rsid w:val="00FB64BE"/>
    <w:rsid w:val="00FC4E6F"/>
    <w:rsid w:val="00FC4EF6"/>
    <w:rsid w:val="00FC5F28"/>
    <w:rsid w:val="00FD4B50"/>
    <w:rsid w:val="00FD4CA5"/>
    <w:rsid w:val="00FD548E"/>
    <w:rsid w:val="00FD57ED"/>
    <w:rsid w:val="00FE16B4"/>
    <w:rsid w:val="00FE6315"/>
    <w:rsid w:val="00FF1468"/>
    <w:rsid w:val="00FF1EC9"/>
    <w:rsid w:val="00FF37E0"/>
    <w:rsid w:val="00FF50B1"/>
    <w:rsid w:val="00FF51C9"/>
    <w:rsid w:val="00FF528E"/>
    <w:rsid w:val="00FF5CF2"/>
    <w:rsid w:val="352A615D"/>
    <w:rsid w:val="63E53D7E"/>
    <w:rsid w:val="65440A42"/>
    <w:rsid w:val="66F37D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24"/>
        <o:r id="V:Rule2" type="connector" idref="#直接箭头连接符 25"/>
        <o:r id="V:Rule3" type="connector" idref="#直接箭头连接符 27"/>
        <o:r id="V:Rule4" type="connector" idref="#直接箭头连接符 28"/>
        <o:r id="V:Rule5" type="connector" idref="#肘形连接符 34"/>
        <o:r id="V:Rule6" type="connector" idref="#直接连接符 207"/>
        <o:r id="V:Rule7" type="connector" idref="#直接连接符 20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semiHidden="0" w:name="footnote text"/>
    <w:lsdException w:unhideWhenUsed="0" w:uiPriority="0" w:name="annotation text"/>
    <w:lsdException w:qFormat="1"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9"/>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60"/>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61"/>
    <w:autoRedefine/>
    <w:qFormat/>
    <w:uiPriority w:val="0"/>
    <w:pPr>
      <w:keepNext/>
      <w:keepLines/>
      <w:spacing w:before="240" w:after="64" w:line="320" w:lineRule="auto"/>
      <w:outlineLvl w:val="6"/>
    </w:pPr>
    <w:rPr>
      <w:b/>
      <w:bCs/>
      <w:sz w:val="24"/>
    </w:rPr>
  </w:style>
  <w:style w:type="paragraph" w:styleId="9">
    <w:name w:val="heading 8"/>
    <w:basedOn w:val="1"/>
    <w:next w:val="1"/>
    <w:link w:val="62"/>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63"/>
    <w:qFormat/>
    <w:uiPriority w:val="0"/>
    <w:pPr>
      <w:keepNext/>
      <w:keepLines/>
      <w:spacing w:before="240" w:after="64" w:line="320" w:lineRule="auto"/>
      <w:outlineLvl w:val="8"/>
    </w:pPr>
    <w:rPr>
      <w:rFonts w:ascii="Arial" w:hAnsi="Arial" w:eastAsia="黑体"/>
      <w:szCs w:val="21"/>
    </w:rPr>
  </w:style>
  <w:style w:type="character" w:default="1" w:styleId="38">
    <w:name w:val="Default Paragraph Font"/>
    <w:autoRedefine/>
    <w:semiHidden/>
    <w:unhideWhenUsed/>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2"/>
    <w:next w:val="1"/>
    <w:uiPriority w:val="0"/>
  </w:style>
  <w:style w:type="paragraph" w:styleId="12">
    <w:name w:val="toc 6"/>
    <w:basedOn w:val="13"/>
    <w:next w:val="1"/>
    <w:autoRedefine/>
    <w:uiPriority w:val="0"/>
  </w:style>
  <w:style w:type="paragraph" w:styleId="13">
    <w:name w:val="toc 5"/>
    <w:basedOn w:val="14"/>
    <w:next w:val="1"/>
    <w:autoRedefine/>
    <w:uiPriority w:val="0"/>
  </w:style>
  <w:style w:type="paragraph" w:styleId="14">
    <w:name w:val="toc 4"/>
    <w:basedOn w:val="15"/>
    <w:next w:val="1"/>
    <w:autoRedefine/>
    <w:uiPriority w:val="0"/>
  </w:style>
  <w:style w:type="paragraph" w:styleId="15">
    <w:name w:val="toc 3"/>
    <w:basedOn w:val="16"/>
    <w:next w:val="1"/>
    <w:autoRedefine/>
    <w:uiPriority w:val="39"/>
  </w:style>
  <w:style w:type="paragraph" w:styleId="16">
    <w:name w:val="toc 2"/>
    <w:basedOn w:val="17"/>
    <w:next w:val="1"/>
    <w:autoRedefine/>
    <w:uiPriority w:val="39"/>
  </w:style>
  <w:style w:type="paragraph" w:styleId="17">
    <w:name w:val="toc 1"/>
    <w:next w:val="1"/>
    <w:autoRedefine/>
    <w:uiPriority w:val="39"/>
    <w:pPr>
      <w:jc w:val="both"/>
    </w:pPr>
    <w:rPr>
      <w:rFonts w:ascii="宋体" w:hAnsi="Times New Roman" w:eastAsia="宋体" w:cs="Times New Roman"/>
      <w:sz w:val="21"/>
      <w:lang w:val="en-US" w:eastAsia="zh-CN" w:bidi="ar-SA"/>
    </w:rPr>
  </w:style>
  <w:style w:type="paragraph" w:styleId="18">
    <w:name w:val="caption"/>
    <w:basedOn w:val="1"/>
    <w:next w:val="1"/>
    <w:autoRedefine/>
    <w:unhideWhenUsed/>
    <w:qFormat/>
    <w:uiPriority w:val="0"/>
    <w:rPr>
      <w:rFonts w:eastAsia="黑体" w:asciiTheme="majorHAnsi" w:hAnsiTheme="majorHAnsi" w:cstheme="majorBidi"/>
      <w:sz w:val="20"/>
      <w:szCs w:val="20"/>
    </w:rPr>
  </w:style>
  <w:style w:type="paragraph" w:styleId="19">
    <w:name w:val="Document Map"/>
    <w:basedOn w:val="1"/>
    <w:link w:val="130"/>
    <w:autoRedefine/>
    <w:uiPriority w:val="0"/>
    <w:pPr>
      <w:shd w:val="clear" w:color="auto" w:fill="000080"/>
    </w:pPr>
  </w:style>
  <w:style w:type="paragraph" w:styleId="20">
    <w:name w:val="annotation text"/>
    <w:basedOn w:val="1"/>
    <w:autoRedefine/>
    <w:semiHidden/>
    <w:uiPriority w:val="0"/>
    <w:pPr>
      <w:jc w:val="left"/>
    </w:pPr>
  </w:style>
  <w:style w:type="paragraph" w:styleId="21">
    <w:name w:val="Body Text Indent"/>
    <w:basedOn w:val="1"/>
    <w:link w:val="140"/>
    <w:autoRedefine/>
    <w:qFormat/>
    <w:uiPriority w:val="0"/>
    <w:pPr>
      <w:adjustRightInd w:val="0"/>
      <w:spacing w:after="120" w:line="310" w:lineRule="exact"/>
      <w:ind w:left="420" w:leftChars="200"/>
    </w:pPr>
    <w:rPr>
      <w:szCs w:val="20"/>
    </w:rPr>
  </w:style>
  <w:style w:type="paragraph" w:styleId="22">
    <w:name w:val="HTML Address"/>
    <w:basedOn w:val="1"/>
    <w:link w:val="64"/>
    <w:uiPriority w:val="0"/>
    <w:rPr>
      <w:i/>
      <w:iCs/>
    </w:rPr>
  </w:style>
  <w:style w:type="paragraph" w:styleId="23">
    <w:name w:val="Plain Text"/>
    <w:basedOn w:val="1"/>
    <w:link w:val="54"/>
    <w:autoRedefine/>
    <w:qFormat/>
    <w:uiPriority w:val="0"/>
    <w:rPr>
      <w:rFonts w:hint="eastAsia" w:ascii="宋体" w:hAnsi="Courier New"/>
      <w:szCs w:val="20"/>
    </w:rPr>
  </w:style>
  <w:style w:type="paragraph" w:styleId="24">
    <w:name w:val="toc 8"/>
    <w:basedOn w:val="11"/>
    <w:next w:val="1"/>
    <w:autoRedefine/>
    <w:uiPriority w:val="0"/>
  </w:style>
  <w:style w:type="paragraph" w:styleId="25">
    <w:name w:val="Date"/>
    <w:basedOn w:val="1"/>
    <w:next w:val="1"/>
    <w:autoRedefine/>
    <w:uiPriority w:val="0"/>
    <w:pPr>
      <w:ind w:left="100" w:leftChars="2500"/>
    </w:pPr>
  </w:style>
  <w:style w:type="paragraph" w:styleId="26">
    <w:name w:val="Body Text Indent 2"/>
    <w:basedOn w:val="1"/>
    <w:link w:val="129"/>
    <w:uiPriority w:val="0"/>
    <w:pPr>
      <w:ind w:firstLine="600" w:firstLineChars="200"/>
      <w:jc w:val="left"/>
    </w:pPr>
    <w:rPr>
      <w:sz w:val="30"/>
    </w:rPr>
  </w:style>
  <w:style w:type="paragraph" w:styleId="27">
    <w:name w:val="Balloon Text"/>
    <w:basedOn w:val="1"/>
    <w:autoRedefine/>
    <w:semiHidden/>
    <w:uiPriority w:val="0"/>
    <w:rPr>
      <w:sz w:val="18"/>
      <w:szCs w:val="18"/>
    </w:rPr>
  </w:style>
  <w:style w:type="paragraph" w:styleId="28">
    <w:name w:val="footer"/>
    <w:basedOn w:val="1"/>
    <w:link w:val="139"/>
    <w:autoRedefine/>
    <w:uiPriority w:val="99"/>
    <w:pPr>
      <w:tabs>
        <w:tab w:val="center" w:pos="4153"/>
        <w:tab w:val="right" w:pos="8306"/>
      </w:tabs>
      <w:snapToGrid w:val="0"/>
      <w:jc w:val="left"/>
    </w:pPr>
    <w:rPr>
      <w:sz w:val="18"/>
      <w:szCs w:val="18"/>
    </w:rPr>
  </w:style>
  <w:style w:type="paragraph" w:styleId="2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footnote text"/>
    <w:basedOn w:val="1"/>
    <w:link w:val="103"/>
    <w:autoRedefine/>
    <w:uiPriority w:val="0"/>
    <w:pPr>
      <w:snapToGrid w:val="0"/>
      <w:jc w:val="left"/>
    </w:pPr>
    <w:rPr>
      <w:sz w:val="18"/>
      <w:szCs w:val="18"/>
    </w:rPr>
  </w:style>
  <w:style w:type="paragraph" w:styleId="31">
    <w:name w:val="toc 9"/>
    <w:basedOn w:val="24"/>
    <w:next w:val="1"/>
    <w:autoRedefine/>
    <w:uiPriority w:val="0"/>
  </w:style>
  <w:style w:type="paragraph" w:styleId="32">
    <w:name w:val="HTML Preformatted"/>
    <w:basedOn w:val="1"/>
    <w:link w:val="65"/>
    <w:autoRedefine/>
    <w:uiPriority w:val="0"/>
    <w:rPr>
      <w:rFonts w:ascii="Courier New" w:hAnsi="Courier New" w:cs="Courier New"/>
      <w:sz w:val="20"/>
      <w:szCs w:val="20"/>
    </w:rPr>
  </w:style>
  <w:style w:type="paragraph" w:styleId="33">
    <w:name w:val="Normal (Web)"/>
    <w:basedOn w:val="1"/>
    <w:autoRedefine/>
    <w:semiHidden/>
    <w:unhideWhenUsed/>
    <w:uiPriority w:val="99"/>
    <w:pPr>
      <w:widowControl/>
      <w:spacing w:before="100" w:beforeAutospacing="1" w:after="100" w:afterAutospacing="1"/>
      <w:jc w:val="left"/>
    </w:pPr>
    <w:rPr>
      <w:rFonts w:ascii="宋体" w:hAnsi="宋体" w:cs="宋体"/>
      <w:kern w:val="0"/>
      <w:sz w:val="24"/>
    </w:rPr>
  </w:style>
  <w:style w:type="paragraph" w:styleId="34">
    <w:name w:val="Title"/>
    <w:basedOn w:val="1"/>
    <w:link w:val="66"/>
    <w:autoRedefine/>
    <w:qFormat/>
    <w:uiPriority w:val="0"/>
    <w:pPr>
      <w:spacing w:before="240" w:after="60"/>
      <w:jc w:val="center"/>
      <w:outlineLvl w:val="0"/>
    </w:pPr>
    <w:rPr>
      <w:rFonts w:ascii="Arial" w:hAnsi="Arial" w:cs="Arial"/>
      <w:b/>
      <w:bCs/>
      <w:sz w:val="32"/>
      <w:szCs w:val="32"/>
    </w:rPr>
  </w:style>
  <w:style w:type="paragraph" w:styleId="35">
    <w:name w:val="annotation subject"/>
    <w:basedOn w:val="20"/>
    <w:next w:val="20"/>
    <w:autoRedefine/>
    <w:semiHidden/>
    <w:uiPriority w:val="0"/>
    <w:rPr>
      <w:b/>
      <w:bCs/>
    </w:rPr>
  </w:style>
  <w:style w:type="table" w:styleId="37">
    <w:name w:val="Table Grid"/>
    <w:basedOn w:val="36"/>
    <w:autoRedefine/>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page number"/>
    <w:basedOn w:val="38"/>
    <w:autoRedefine/>
    <w:uiPriority w:val="0"/>
  </w:style>
  <w:style w:type="character" w:styleId="40">
    <w:name w:val="FollowedHyperlink"/>
    <w:autoRedefine/>
    <w:uiPriority w:val="0"/>
    <w:rPr>
      <w:color w:val="800080"/>
      <w:u w:val="single"/>
    </w:rPr>
  </w:style>
  <w:style w:type="character" w:styleId="41">
    <w:name w:val="line number"/>
    <w:basedOn w:val="38"/>
    <w:autoRedefine/>
    <w:uiPriority w:val="0"/>
  </w:style>
  <w:style w:type="character" w:styleId="42">
    <w:name w:val="HTML Definition"/>
    <w:autoRedefine/>
    <w:uiPriority w:val="0"/>
    <w:rPr>
      <w:i/>
      <w:iCs/>
    </w:rPr>
  </w:style>
  <w:style w:type="character" w:styleId="43">
    <w:name w:val="HTML Typewriter"/>
    <w:autoRedefine/>
    <w:uiPriority w:val="0"/>
    <w:rPr>
      <w:rFonts w:ascii="Courier New" w:hAnsi="Courier New"/>
      <w:sz w:val="20"/>
      <w:szCs w:val="20"/>
    </w:rPr>
  </w:style>
  <w:style w:type="character" w:styleId="44">
    <w:name w:val="HTML Acronym"/>
    <w:basedOn w:val="38"/>
    <w:autoRedefine/>
    <w:uiPriority w:val="0"/>
  </w:style>
  <w:style w:type="character" w:styleId="45">
    <w:name w:val="HTML Variable"/>
    <w:autoRedefine/>
    <w:uiPriority w:val="0"/>
    <w:rPr>
      <w:i/>
      <w:iCs/>
    </w:rPr>
  </w:style>
  <w:style w:type="character" w:styleId="46">
    <w:name w:val="Hyperlink"/>
    <w:autoRedefine/>
    <w:uiPriority w:val="99"/>
    <w:rPr>
      <w:rFonts w:ascii="Times New Roman" w:hAnsi="Times New Roman" w:eastAsia="宋体"/>
      <w:color w:val="auto"/>
      <w:spacing w:val="0"/>
      <w:w w:val="100"/>
      <w:position w:val="0"/>
      <w:sz w:val="21"/>
      <w:u w:val="none"/>
      <w:vertAlign w:val="baseline"/>
    </w:rPr>
  </w:style>
  <w:style w:type="character" w:styleId="47">
    <w:name w:val="HTML Code"/>
    <w:autoRedefine/>
    <w:uiPriority w:val="0"/>
    <w:rPr>
      <w:rFonts w:ascii="Courier New" w:hAnsi="Courier New"/>
      <w:sz w:val="20"/>
      <w:szCs w:val="20"/>
    </w:rPr>
  </w:style>
  <w:style w:type="character" w:styleId="48">
    <w:name w:val="annotation reference"/>
    <w:autoRedefine/>
    <w:semiHidden/>
    <w:uiPriority w:val="0"/>
    <w:rPr>
      <w:sz w:val="21"/>
      <w:szCs w:val="21"/>
    </w:rPr>
  </w:style>
  <w:style w:type="character" w:styleId="49">
    <w:name w:val="HTML Cite"/>
    <w:autoRedefine/>
    <w:uiPriority w:val="0"/>
    <w:rPr>
      <w:i/>
      <w:iCs/>
    </w:rPr>
  </w:style>
  <w:style w:type="character" w:styleId="50">
    <w:name w:val="footnote reference"/>
    <w:autoRedefine/>
    <w:uiPriority w:val="0"/>
    <w:rPr>
      <w:vertAlign w:val="superscript"/>
    </w:rPr>
  </w:style>
  <w:style w:type="character" w:styleId="51">
    <w:name w:val="HTML Keyboard"/>
    <w:autoRedefine/>
    <w:uiPriority w:val="0"/>
    <w:rPr>
      <w:rFonts w:ascii="Courier New" w:hAnsi="Courier New"/>
      <w:sz w:val="20"/>
      <w:szCs w:val="20"/>
    </w:rPr>
  </w:style>
  <w:style w:type="character" w:styleId="52">
    <w:name w:val="HTML Sample"/>
    <w:autoRedefine/>
    <w:uiPriority w:val="0"/>
    <w:rPr>
      <w:rFonts w:ascii="Courier New" w:hAnsi="Courier New"/>
    </w:rPr>
  </w:style>
  <w:style w:type="paragraph" w:customStyle="1" w:styleId="53">
    <w:name w:val="段"/>
    <w:autoRedefine/>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纯文本 Char"/>
    <w:link w:val="23"/>
    <w:autoRedefine/>
    <w:uiPriority w:val="0"/>
    <w:rPr>
      <w:rFonts w:ascii="宋体" w:hAnsi="Courier New"/>
      <w:kern w:val="2"/>
      <w:sz w:val="21"/>
    </w:rPr>
  </w:style>
  <w:style w:type="character" w:customStyle="1" w:styleId="55">
    <w:name w:val="标题 1 Char"/>
    <w:link w:val="2"/>
    <w:autoRedefine/>
    <w:uiPriority w:val="0"/>
    <w:rPr>
      <w:b/>
      <w:bCs/>
      <w:kern w:val="44"/>
      <w:sz w:val="44"/>
      <w:szCs w:val="44"/>
    </w:rPr>
  </w:style>
  <w:style w:type="character" w:customStyle="1" w:styleId="56">
    <w:name w:val="标题 2 Char"/>
    <w:link w:val="3"/>
    <w:autoRedefine/>
    <w:uiPriority w:val="0"/>
    <w:rPr>
      <w:rFonts w:ascii="Arial" w:hAnsi="Arial" w:eastAsia="黑体"/>
      <w:b/>
      <w:bCs/>
      <w:kern w:val="2"/>
      <w:sz w:val="32"/>
      <w:szCs w:val="32"/>
    </w:rPr>
  </w:style>
  <w:style w:type="character" w:customStyle="1" w:styleId="57">
    <w:name w:val="标题 3 Char"/>
    <w:link w:val="4"/>
    <w:autoRedefine/>
    <w:uiPriority w:val="0"/>
    <w:rPr>
      <w:b/>
      <w:bCs/>
      <w:kern w:val="2"/>
      <w:sz w:val="32"/>
      <w:szCs w:val="32"/>
    </w:rPr>
  </w:style>
  <w:style w:type="character" w:customStyle="1" w:styleId="58">
    <w:name w:val="标题 4 Char"/>
    <w:link w:val="5"/>
    <w:autoRedefine/>
    <w:uiPriority w:val="0"/>
    <w:rPr>
      <w:rFonts w:ascii="Arial" w:hAnsi="Arial" w:eastAsia="黑体"/>
      <w:b/>
      <w:bCs/>
      <w:kern w:val="2"/>
      <w:sz w:val="28"/>
      <w:szCs w:val="28"/>
    </w:rPr>
  </w:style>
  <w:style w:type="character" w:customStyle="1" w:styleId="59">
    <w:name w:val="标题 5 Char"/>
    <w:link w:val="6"/>
    <w:autoRedefine/>
    <w:uiPriority w:val="0"/>
    <w:rPr>
      <w:b/>
      <w:bCs/>
      <w:kern w:val="2"/>
      <w:sz w:val="28"/>
      <w:szCs w:val="28"/>
    </w:rPr>
  </w:style>
  <w:style w:type="character" w:customStyle="1" w:styleId="60">
    <w:name w:val="标题 6 Char"/>
    <w:link w:val="7"/>
    <w:autoRedefine/>
    <w:uiPriority w:val="0"/>
    <w:rPr>
      <w:rFonts w:ascii="Arial" w:hAnsi="Arial" w:eastAsia="黑体"/>
      <w:b/>
      <w:bCs/>
      <w:kern w:val="2"/>
      <w:sz w:val="24"/>
      <w:szCs w:val="24"/>
    </w:rPr>
  </w:style>
  <w:style w:type="character" w:customStyle="1" w:styleId="61">
    <w:name w:val="标题 7 Char"/>
    <w:link w:val="8"/>
    <w:uiPriority w:val="0"/>
    <w:rPr>
      <w:b/>
      <w:bCs/>
      <w:kern w:val="2"/>
      <w:sz w:val="24"/>
      <w:szCs w:val="24"/>
    </w:rPr>
  </w:style>
  <w:style w:type="character" w:customStyle="1" w:styleId="62">
    <w:name w:val="标题 8 Char"/>
    <w:link w:val="9"/>
    <w:autoRedefine/>
    <w:uiPriority w:val="0"/>
    <w:rPr>
      <w:rFonts w:ascii="Arial" w:hAnsi="Arial" w:eastAsia="黑体"/>
      <w:kern w:val="2"/>
      <w:sz w:val="24"/>
      <w:szCs w:val="24"/>
    </w:rPr>
  </w:style>
  <w:style w:type="character" w:customStyle="1" w:styleId="63">
    <w:name w:val="标题 9 Char"/>
    <w:link w:val="10"/>
    <w:autoRedefine/>
    <w:uiPriority w:val="0"/>
    <w:rPr>
      <w:rFonts w:ascii="Arial" w:hAnsi="Arial" w:eastAsia="黑体"/>
      <w:kern w:val="2"/>
      <w:sz w:val="21"/>
      <w:szCs w:val="21"/>
    </w:rPr>
  </w:style>
  <w:style w:type="character" w:customStyle="1" w:styleId="64">
    <w:name w:val="HTML 地址 Char"/>
    <w:link w:val="22"/>
    <w:autoRedefine/>
    <w:uiPriority w:val="0"/>
    <w:rPr>
      <w:i/>
      <w:iCs/>
      <w:kern w:val="2"/>
      <w:sz w:val="21"/>
      <w:szCs w:val="24"/>
    </w:rPr>
  </w:style>
  <w:style w:type="character" w:customStyle="1" w:styleId="65">
    <w:name w:val="HTML 预设格式 Char"/>
    <w:link w:val="32"/>
    <w:autoRedefine/>
    <w:uiPriority w:val="0"/>
    <w:rPr>
      <w:rFonts w:ascii="Courier New" w:hAnsi="Courier New" w:cs="Courier New"/>
      <w:kern w:val="2"/>
    </w:rPr>
  </w:style>
  <w:style w:type="character" w:customStyle="1" w:styleId="66">
    <w:name w:val="标题 Char"/>
    <w:link w:val="34"/>
    <w:autoRedefine/>
    <w:uiPriority w:val="0"/>
    <w:rPr>
      <w:rFonts w:ascii="Arial" w:hAnsi="Arial" w:cs="Arial"/>
      <w:b/>
      <w:bCs/>
      <w:kern w:val="2"/>
      <w:sz w:val="32"/>
      <w:szCs w:val="32"/>
    </w:rPr>
  </w:style>
  <w:style w:type="paragraph" w:customStyle="1" w:styleId="67">
    <w:name w:val="标准标志"/>
    <w:next w:val="1"/>
    <w:autoRedefine/>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8">
    <w:name w:val="标准称谓"/>
    <w:next w:val="1"/>
    <w:autoRedefine/>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69">
    <w:name w:val="标准书脚_偶数页"/>
    <w:autoRedefine/>
    <w:uiPriority w:val="0"/>
    <w:pPr>
      <w:spacing w:before="120"/>
    </w:pPr>
    <w:rPr>
      <w:rFonts w:ascii="Times New Roman" w:hAnsi="Times New Roman" w:eastAsia="宋体" w:cs="Times New Roman"/>
      <w:sz w:val="18"/>
      <w:lang w:val="en-US" w:eastAsia="zh-CN" w:bidi="ar-SA"/>
    </w:rPr>
  </w:style>
  <w:style w:type="paragraph" w:customStyle="1" w:styleId="70">
    <w:name w:val="标准书脚_奇数页"/>
    <w:autoRedefine/>
    <w:uiPriority w:val="0"/>
    <w:pPr>
      <w:spacing w:before="120"/>
      <w:jc w:val="right"/>
    </w:pPr>
    <w:rPr>
      <w:rFonts w:ascii="Times New Roman" w:hAnsi="Times New Roman" w:eastAsia="宋体" w:cs="Times New Roman"/>
      <w:sz w:val="18"/>
      <w:lang w:val="en-US" w:eastAsia="zh-CN" w:bidi="ar-SA"/>
    </w:rPr>
  </w:style>
  <w:style w:type="paragraph" w:customStyle="1" w:styleId="71">
    <w:name w:val="标准书眉_奇数页"/>
    <w:next w:val="1"/>
    <w:autoRedefine/>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2">
    <w:name w:val="标准书眉_偶数页"/>
    <w:basedOn w:val="71"/>
    <w:next w:val="1"/>
    <w:autoRedefine/>
    <w:uiPriority w:val="0"/>
    <w:pPr>
      <w:jc w:val="left"/>
    </w:pPr>
  </w:style>
  <w:style w:type="paragraph" w:customStyle="1" w:styleId="73">
    <w:name w:val="标准书眉一"/>
    <w:autoRedefine/>
    <w:uiPriority w:val="0"/>
    <w:pPr>
      <w:jc w:val="both"/>
    </w:pPr>
    <w:rPr>
      <w:rFonts w:ascii="Times New Roman" w:hAnsi="Times New Roman" w:eastAsia="宋体" w:cs="Times New Roman"/>
      <w:lang w:val="en-US" w:eastAsia="zh-CN" w:bidi="ar-SA"/>
    </w:rPr>
  </w:style>
  <w:style w:type="paragraph" w:customStyle="1" w:styleId="74">
    <w:name w:val="前言、引言标题"/>
    <w:next w:val="1"/>
    <w:autoRedefine/>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5">
    <w:name w:val="参考文献、索引标题"/>
    <w:basedOn w:val="74"/>
    <w:next w:val="1"/>
    <w:autoRedefine/>
    <w:uiPriority w:val="0"/>
    <w:pPr>
      <w:numPr>
        <w:numId w:val="0"/>
      </w:numPr>
      <w:spacing w:after="200"/>
    </w:pPr>
    <w:rPr>
      <w:sz w:val="21"/>
    </w:rPr>
  </w:style>
  <w:style w:type="paragraph" w:customStyle="1" w:styleId="76">
    <w:name w:val="章标题"/>
    <w:next w:val="53"/>
    <w:link w:val="131"/>
    <w:autoRedefine/>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77">
    <w:name w:val="一级条标题"/>
    <w:basedOn w:val="76"/>
    <w:next w:val="53"/>
    <w:link w:val="132"/>
    <w:autoRedefine/>
    <w:uiPriority w:val="0"/>
    <w:pPr>
      <w:numPr>
        <w:ilvl w:val="2"/>
      </w:numPr>
      <w:spacing w:beforeLines="0" w:afterLines="0"/>
      <w:outlineLvl w:val="2"/>
    </w:pPr>
  </w:style>
  <w:style w:type="paragraph" w:customStyle="1" w:styleId="78">
    <w:name w:val="二级条标题"/>
    <w:basedOn w:val="77"/>
    <w:next w:val="53"/>
    <w:link w:val="133"/>
    <w:autoRedefine/>
    <w:uiPriority w:val="0"/>
    <w:pPr>
      <w:numPr>
        <w:ilvl w:val="3"/>
      </w:numPr>
      <w:outlineLvl w:val="3"/>
    </w:pPr>
  </w:style>
  <w:style w:type="paragraph" w:customStyle="1" w:styleId="79">
    <w:name w:val="二级无标题条"/>
    <w:basedOn w:val="1"/>
    <w:autoRedefine/>
    <w:uiPriority w:val="0"/>
    <w:pPr>
      <w:numPr>
        <w:ilvl w:val="3"/>
        <w:numId w:val="2"/>
      </w:numPr>
    </w:pPr>
  </w:style>
  <w:style w:type="character" w:customStyle="1" w:styleId="80">
    <w:name w:val="发布"/>
    <w:autoRedefine/>
    <w:uiPriority w:val="0"/>
    <w:rPr>
      <w:rFonts w:ascii="黑体" w:eastAsia="黑体"/>
      <w:spacing w:val="22"/>
      <w:w w:val="100"/>
      <w:position w:val="3"/>
      <w:sz w:val="28"/>
    </w:rPr>
  </w:style>
  <w:style w:type="paragraph" w:customStyle="1" w:styleId="81">
    <w:name w:val="发布部门"/>
    <w:next w:val="53"/>
    <w:autoRedefine/>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2">
    <w:name w:val="发布日期"/>
    <w:autoRedefine/>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3">
    <w:name w:val="封面标准号1"/>
    <w:autoRedefine/>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4">
    <w:name w:val="封面标准号2"/>
    <w:basedOn w:val="83"/>
    <w:autoRedefine/>
    <w:uiPriority w:val="0"/>
    <w:pPr>
      <w:framePr w:w="9138" w:h="1244" w:hRule="exact" w:wrap="around" w:vAnchor="page" w:hAnchor="margin" w:y="2908"/>
      <w:adjustRightInd w:val="0"/>
      <w:spacing w:before="357" w:line="280" w:lineRule="exact"/>
    </w:pPr>
  </w:style>
  <w:style w:type="paragraph" w:customStyle="1" w:styleId="85">
    <w:name w:val="封面标准代替信息"/>
    <w:basedOn w:val="84"/>
    <w:autoRedefine/>
    <w:uiPriority w:val="0"/>
    <w:pPr>
      <w:spacing w:before="57"/>
    </w:pPr>
    <w:rPr>
      <w:rFonts w:ascii="宋体"/>
      <w:sz w:val="21"/>
    </w:rPr>
  </w:style>
  <w:style w:type="paragraph" w:customStyle="1" w:styleId="86">
    <w:name w:val="封面标准名称"/>
    <w:autoRedefine/>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7">
    <w:name w:val="封面标准文稿编辑信息"/>
    <w:autoRedefine/>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封面标准文稿类别"/>
    <w:autoRedefine/>
    <w:uiPriority w:val="0"/>
    <w:pPr>
      <w:spacing w:before="440" w:line="400" w:lineRule="exact"/>
      <w:jc w:val="center"/>
    </w:pPr>
    <w:rPr>
      <w:rFonts w:ascii="宋体" w:hAnsi="Times New Roman" w:eastAsia="宋体" w:cs="Times New Roman"/>
      <w:sz w:val="24"/>
      <w:lang w:val="en-US" w:eastAsia="zh-CN" w:bidi="ar-SA"/>
    </w:rPr>
  </w:style>
  <w:style w:type="paragraph" w:customStyle="1" w:styleId="89">
    <w:name w:val="封面标准英文名称"/>
    <w:autoRedefine/>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0">
    <w:name w:val="封面一致性程度标识"/>
    <w:autoRedefine/>
    <w:uiPriority w:val="0"/>
    <w:pPr>
      <w:spacing w:before="440" w:line="400" w:lineRule="exact"/>
      <w:jc w:val="center"/>
    </w:pPr>
    <w:rPr>
      <w:rFonts w:ascii="宋体" w:hAnsi="Times New Roman" w:eastAsia="宋体" w:cs="Times New Roman"/>
      <w:sz w:val="28"/>
      <w:lang w:val="en-US" w:eastAsia="zh-CN" w:bidi="ar-SA"/>
    </w:rPr>
  </w:style>
  <w:style w:type="paragraph" w:customStyle="1" w:styleId="91">
    <w:name w:val="封面正文"/>
    <w:autoRedefine/>
    <w:uiPriority w:val="0"/>
    <w:pPr>
      <w:jc w:val="both"/>
    </w:pPr>
    <w:rPr>
      <w:rFonts w:ascii="Times New Roman" w:hAnsi="Times New Roman" w:eastAsia="宋体" w:cs="Times New Roman"/>
      <w:lang w:val="en-US" w:eastAsia="zh-CN" w:bidi="ar-SA"/>
    </w:rPr>
  </w:style>
  <w:style w:type="paragraph" w:customStyle="1" w:styleId="92">
    <w:name w:val="附录标识"/>
    <w:basedOn w:val="74"/>
    <w:autoRedefine/>
    <w:uiPriority w:val="0"/>
    <w:pPr>
      <w:numPr>
        <w:ilvl w:val="0"/>
        <w:numId w:val="3"/>
      </w:numPr>
      <w:tabs>
        <w:tab w:val="left" w:pos="6405"/>
      </w:tabs>
      <w:spacing w:after="200"/>
    </w:pPr>
    <w:rPr>
      <w:sz w:val="21"/>
    </w:rPr>
  </w:style>
  <w:style w:type="paragraph" w:customStyle="1" w:styleId="93">
    <w:name w:val="附录表标题"/>
    <w:next w:val="53"/>
    <w:autoRedefine/>
    <w:uiPriority w:val="0"/>
    <w:pPr>
      <w:jc w:val="center"/>
      <w:textAlignment w:val="baseline"/>
    </w:pPr>
    <w:rPr>
      <w:rFonts w:ascii="黑体" w:hAnsi="Times New Roman" w:eastAsia="黑体" w:cs="Times New Roman"/>
      <w:kern w:val="21"/>
      <w:sz w:val="21"/>
      <w:lang w:val="en-US" w:eastAsia="zh-CN" w:bidi="ar-SA"/>
    </w:rPr>
  </w:style>
  <w:style w:type="paragraph" w:customStyle="1" w:styleId="94">
    <w:name w:val="附录章标题"/>
    <w:next w:val="53"/>
    <w:autoRedefine/>
    <w:uiPriority w:val="0"/>
    <w:pPr>
      <w:numPr>
        <w:ilvl w:val="1"/>
        <w:numId w:val="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附录一级条标题"/>
    <w:basedOn w:val="94"/>
    <w:next w:val="53"/>
    <w:autoRedefine/>
    <w:uiPriority w:val="0"/>
    <w:pPr>
      <w:numPr>
        <w:ilvl w:val="2"/>
      </w:numPr>
      <w:autoSpaceDN w:val="0"/>
      <w:spacing w:beforeLines="0" w:afterLines="0"/>
      <w:outlineLvl w:val="2"/>
    </w:pPr>
  </w:style>
  <w:style w:type="paragraph" w:customStyle="1" w:styleId="96">
    <w:name w:val="附录二级条标题"/>
    <w:basedOn w:val="95"/>
    <w:next w:val="53"/>
    <w:autoRedefine/>
    <w:uiPriority w:val="0"/>
    <w:pPr>
      <w:numPr>
        <w:ilvl w:val="3"/>
      </w:numPr>
      <w:outlineLvl w:val="3"/>
    </w:pPr>
  </w:style>
  <w:style w:type="paragraph" w:customStyle="1" w:styleId="97">
    <w:name w:val="附录三级条标题"/>
    <w:basedOn w:val="96"/>
    <w:next w:val="53"/>
    <w:autoRedefine/>
    <w:uiPriority w:val="0"/>
    <w:pPr>
      <w:numPr>
        <w:ilvl w:val="4"/>
      </w:numPr>
      <w:outlineLvl w:val="4"/>
    </w:pPr>
  </w:style>
  <w:style w:type="paragraph" w:customStyle="1" w:styleId="98">
    <w:name w:val="附录四级条标题"/>
    <w:basedOn w:val="97"/>
    <w:next w:val="53"/>
    <w:autoRedefine/>
    <w:uiPriority w:val="0"/>
    <w:pPr>
      <w:numPr>
        <w:ilvl w:val="5"/>
      </w:numPr>
      <w:outlineLvl w:val="5"/>
    </w:pPr>
  </w:style>
  <w:style w:type="paragraph" w:customStyle="1" w:styleId="99">
    <w:name w:val="附录图标题"/>
    <w:next w:val="53"/>
    <w:autoRedefine/>
    <w:uiPriority w:val="0"/>
    <w:pPr>
      <w:jc w:val="center"/>
    </w:pPr>
    <w:rPr>
      <w:rFonts w:ascii="黑体" w:hAnsi="Times New Roman" w:eastAsia="黑体" w:cs="Times New Roman"/>
      <w:sz w:val="21"/>
      <w:lang w:val="en-US" w:eastAsia="zh-CN" w:bidi="ar-SA"/>
    </w:rPr>
  </w:style>
  <w:style w:type="paragraph" w:customStyle="1" w:styleId="100">
    <w:name w:val="附录五级条标题"/>
    <w:basedOn w:val="98"/>
    <w:next w:val="53"/>
    <w:autoRedefine/>
    <w:uiPriority w:val="0"/>
    <w:pPr>
      <w:numPr>
        <w:ilvl w:val="6"/>
      </w:numPr>
      <w:outlineLvl w:val="6"/>
    </w:pPr>
  </w:style>
  <w:style w:type="character" w:customStyle="1" w:styleId="101">
    <w:name w:val="个人答复风格"/>
    <w:autoRedefine/>
    <w:uiPriority w:val="0"/>
    <w:rPr>
      <w:rFonts w:ascii="Arial" w:hAnsi="Arial" w:eastAsia="宋体" w:cs="Arial"/>
      <w:color w:val="auto"/>
      <w:sz w:val="20"/>
    </w:rPr>
  </w:style>
  <w:style w:type="character" w:customStyle="1" w:styleId="102">
    <w:name w:val="个人撰写风格"/>
    <w:autoRedefine/>
    <w:uiPriority w:val="0"/>
    <w:rPr>
      <w:rFonts w:ascii="Arial" w:hAnsi="Arial" w:eastAsia="宋体" w:cs="Arial"/>
      <w:color w:val="auto"/>
      <w:sz w:val="20"/>
    </w:rPr>
  </w:style>
  <w:style w:type="character" w:customStyle="1" w:styleId="103">
    <w:name w:val="脚注文本 Char"/>
    <w:link w:val="30"/>
    <w:autoRedefine/>
    <w:uiPriority w:val="0"/>
    <w:rPr>
      <w:kern w:val="2"/>
      <w:sz w:val="18"/>
      <w:szCs w:val="18"/>
    </w:rPr>
  </w:style>
  <w:style w:type="paragraph" w:customStyle="1" w:styleId="104">
    <w:name w:val="列项——"/>
    <w:autoRedefine/>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05">
    <w:name w:val="列项·"/>
    <w:autoRedefine/>
    <w:uiPriority w:val="0"/>
    <w:pPr>
      <w:numPr>
        <w:ilvl w:val="0"/>
        <w:numId w:val="5"/>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06">
    <w:name w:val="目次、标准名称标题"/>
    <w:basedOn w:val="74"/>
    <w:next w:val="53"/>
    <w:autoRedefine/>
    <w:uiPriority w:val="0"/>
    <w:pPr>
      <w:numPr>
        <w:numId w:val="0"/>
      </w:numPr>
      <w:spacing w:line="460" w:lineRule="exact"/>
    </w:pPr>
  </w:style>
  <w:style w:type="paragraph" w:customStyle="1" w:styleId="107">
    <w:name w:val="目次、索引正文"/>
    <w:autoRedefine/>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09">
    <w:name w:val="其他发布部门"/>
    <w:basedOn w:val="81"/>
    <w:autoRedefine/>
    <w:uiPriority w:val="0"/>
    <w:pPr>
      <w:spacing w:line="0" w:lineRule="atLeast"/>
    </w:pPr>
    <w:rPr>
      <w:rFonts w:ascii="黑体" w:eastAsia="黑体"/>
      <w:b w:val="0"/>
    </w:rPr>
  </w:style>
  <w:style w:type="paragraph" w:customStyle="1" w:styleId="110">
    <w:name w:val="三级条标题"/>
    <w:basedOn w:val="78"/>
    <w:next w:val="53"/>
    <w:link w:val="134"/>
    <w:autoRedefine/>
    <w:uiPriority w:val="0"/>
    <w:pPr>
      <w:numPr>
        <w:ilvl w:val="4"/>
      </w:numPr>
      <w:outlineLvl w:val="4"/>
    </w:pPr>
  </w:style>
  <w:style w:type="paragraph" w:customStyle="1" w:styleId="111">
    <w:name w:val="三级无标题条"/>
    <w:basedOn w:val="1"/>
    <w:autoRedefine/>
    <w:uiPriority w:val="0"/>
    <w:pPr>
      <w:numPr>
        <w:ilvl w:val="4"/>
        <w:numId w:val="2"/>
      </w:numPr>
    </w:pPr>
  </w:style>
  <w:style w:type="paragraph" w:customStyle="1" w:styleId="112">
    <w:name w:val="实施日期"/>
    <w:basedOn w:val="82"/>
    <w:autoRedefine/>
    <w:uiPriority w:val="0"/>
    <w:pPr>
      <w:framePr w:hSpace="0" w:xAlign="right"/>
      <w:jc w:val="right"/>
    </w:pPr>
  </w:style>
  <w:style w:type="paragraph" w:customStyle="1" w:styleId="113">
    <w:name w:val="示例"/>
    <w:next w:val="53"/>
    <w:autoRedefine/>
    <w:uiPriority w:val="0"/>
    <w:pPr>
      <w:numPr>
        <w:ilvl w:val="0"/>
        <w:numId w:val="6"/>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114">
    <w:name w:val="数字编号列项（二级）"/>
    <w:autoRedefine/>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5">
    <w:name w:val="四级条标题"/>
    <w:basedOn w:val="110"/>
    <w:next w:val="53"/>
    <w:autoRedefine/>
    <w:uiPriority w:val="0"/>
    <w:pPr>
      <w:numPr>
        <w:ilvl w:val="5"/>
      </w:numPr>
      <w:tabs>
        <w:tab w:val="left" w:pos="2520"/>
      </w:tabs>
      <w:ind w:left="2520" w:hanging="420"/>
      <w:outlineLvl w:val="5"/>
    </w:pPr>
  </w:style>
  <w:style w:type="paragraph" w:customStyle="1" w:styleId="116">
    <w:name w:val="四级无标题条"/>
    <w:basedOn w:val="1"/>
    <w:autoRedefine/>
    <w:uiPriority w:val="0"/>
    <w:pPr>
      <w:numPr>
        <w:ilvl w:val="5"/>
        <w:numId w:val="2"/>
      </w:numPr>
    </w:pPr>
  </w:style>
  <w:style w:type="paragraph" w:customStyle="1" w:styleId="117">
    <w:name w:val="条文脚注"/>
    <w:basedOn w:val="30"/>
    <w:autoRedefine/>
    <w:uiPriority w:val="0"/>
    <w:pPr>
      <w:ind w:left="780" w:leftChars="200" w:hanging="360" w:hangingChars="200"/>
      <w:jc w:val="both"/>
    </w:pPr>
    <w:rPr>
      <w:rFonts w:ascii="宋体"/>
    </w:rPr>
  </w:style>
  <w:style w:type="paragraph" w:customStyle="1" w:styleId="118">
    <w:name w:val="图表脚注"/>
    <w:next w:val="53"/>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9">
    <w:name w:val="文献分类号"/>
    <w:autoRedefine/>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20">
    <w:name w:val="无标题条"/>
    <w:next w:val="53"/>
    <w:autoRedefine/>
    <w:uiPriority w:val="0"/>
    <w:pPr>
      <w:jc w:val="both"/>
    </w:pPr>
    <w:rPr>
      <w:rFonts w:ascii="Times New Roman" w:hAnsi="Times New Roman" w:eastAsia="宋体" w:cs="Times New Roman"/>
      <w:sz w:val="21"/>
      <w:lang w:val="en-US" w:eastAsia="zh-CN" w:bidi="ar-SA"/>
    </w:rPr>
  </w:style>
  <w:style w:type="paragraph" w:customStyle="1" w:styleId="121">
    <w:name w:val="五级条标题"/>
    <w:basedOn w:val="115"/>
    <w:next w:val="53"/>
    <w:autoRedefine/>
    <w:uiPriority w:val="0"/>
    <w:pPr>
      <w:numPr>
        <w:ilvl w:val="6"/>
      </w:numPr>
      <w:tabs>
        <w:tab w:val="left" w:pos="1800"/>
      </w:tabs>
      <w:ind w:left="1800" w:hanging="1800"/>
      <w:outlineLvl w:val="6"/>
    </w:pPr>
  </w:style>
  <w:style w:type="paragraph" w:customStyle="1" w:styleId="122">
    <w:name w:val="五级无标题条"/>
    <w:basedOn w:val="1"/>
    <w:autoRedefine/>
    <w:qFormat/>
    <w:uiPriority w:val="0"/>
    <w:pPr>
      <w:numPr>
        <w:ilvl w:val="6"/>
        <w:numId w:val="2"/>
      </w:numPr>
    </w:pPr>
  </w:style>
  <w:style w:type="paragraph" w:customStyle="1" w:styleId="123">
    <w:name w:val="一级无标题条"/>
    <w:basedOn w:val="1"/>
    <w:autoRedefine/>
    <w:uiPriority w:val="0"/>
    <w:pPr>
      <w:numPr>
        <w:ilvl w:val="2"/>
        <w:numId w:val="2"/>
      </w:numPr>
    </w:pPr>
  </w:style>
  <w:style w:type="paragraph" w:customStyle="1" w:styleId="124">
    <w:name w:val="正文表标题"/>
    <w:next w:val="53"/>
    <w:autoRedefine/>
    <w:uiPriority w:val="0"/>
    <w:pPr>
      <w:numPr>
        <w:ilvl w:val="0"/>
        <w:numId w:val="7"/>
      </w:numPr>
      <w:jc w:val="center"/>
    </w:pPr>
    <w:rPr>
      <w:rFonts w:ascii="黑体" w:hAnsi="Times New Roman" w:eastAsia="黑体" w:cs="Times New Roman"/>
      <w:sz w:val="21"/>
      <w:lang w:val="en-US" w:eastAsia="zh-CN" w:bidi="ar-SA"/>
    </w:rPr>
  </w:style>
  <w:style w:type="paragraph" w:customStyle="1" w:styleId="125">
    <w:name w:val="正文图标题"/>
    <w:next w:val="53"/>
    <w:autoRedefine/>
    <w:uiPriority w:val="0"/>
    <w:pPr>
      <w:numPr>
        <w:ilvl w:val="0"/>
        <w:numId w:val="8"/>
      </w:numPr>
      <w:jc w:val="center"/>
    </w:pPr>
    <w:rPr>
      <w:rFonts w:ascii="黑体" w:hAnsi="Times New Roman" w:eastAsia="黑体" w:cs="Times New Roman"/>
      <w:sz w:val="21"/>
      <w:lang w:val="en-US" w:eastAsia="zh-CN" w:bidi="ar-SA"/>
    </w:rPr>
  </w:style>
  <w:style w:type="paragraph" w:customStyle="1" w:styleId="126">
    <w:name w:val="注："/>
    <w:next w:val="53"/>
    <w:autoRedefine/>
    <w:qFormat/>
    <w:uiPriority w:val="0"/>
    <w:pPr>
      <w:widowControl w:val="0"/>
      <w:numPr>
        <w:ilvl w:val="0"/>
        <w:numId w:val="9"/>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27">
    <w:name w:val="注×："/>
    <w:autoRedefine/>
    <w:uiPriority w:val="0"/>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28">
    <w:name w:val="字母编号列项（一级）"/>
    <w:autoRedefine/>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129">
    <w:name w:val="正文文本缩进 2 Char"/>
    <w:link w:val="26"/>
    <w:autoRedefine/>
    <w:uiPriority w:val="0"/>
    <w:rPr>
      <w:kern w:val="2"/>
      <w:sz w:val="30"/>
      <w:szCs w:val="24"/>
    </w:rPr>
  </w:style>
  <w:style w:type="character" w:customStyle="1" w:styleId="130">
    <w:name w:val="文档结构图 Char"/>
    <w:link w:val="19"/>
    <w:autoRedefine/>
    <w:uiPriority w:val="0"/>
    <w:rPr>
      <w:kern w:val="2"/>
      <w:sz w:val="21"/>
      <w:szCs w:val="24"/>
      <w:shd w:val="clear" w:color="auto" w:fill="000080"/>
    </w:rPr>
  </w:style>
  <w:style w:type="character" w:customStyle="1" w:styleId="131">
    <w:name w:val="章标题 Char"/>
    <w:link w:val="76"/>
    <w:autoRedefine/>
    <w:uiPriority w:val="0"/>
    <w:rPr>
      <w:rFonts w:ascii="黑体" w:eastAsia="黑体"/>
      <w:sz w:val="21"/>
    </w:rPr>
  </w:style>
  <w:style w:type="character" w:customStyle="1" w:styleId="132">
    <w:name w:val="一级条标题 Char"/>
    <w:basedOn w:val="131"/>
    <w:link w:val="77"/>
    <w:autoRedefine/>
    <w:uiPriority w:val="0"/>
    <w:rPr>
      <w:rFonts w:ascii="黑体" w:eastAsia="黑体"/>
      <w:sz w:val="21"/>
    </w:rPr>
  </w:style>
  <w:style w:type="character" w:customStyle="1" w:styleId="133">
    <w:name w:val="二级条标题 Char"/>
    <w:basedOn w:val="132"/>
    <w:link w:val="78"/>
    <w:autoRedefine/>
    <w:uiPriority w:val="0"/>
    <w:rPr>
      <w:rFonts w:ascii="黑体" w:eastAsia="黑体"/>
      <w:sz w:val="21"/>
    </w:rPr>
  </w:style>
  <w:style w:type="character" w:customStyle="1" w:styleId="134">
    <w:name w:val="三级条标题 Char"/>
    <w:basedOn w:val="133"/>
    <w:link w:val="110"/>
    <w:autoRedefine/>
    <w:uiPriority w:val="0"/>
    <w:rPr>
      <w:rFonts w:ascii="黑体" w:eastAsia="黑体"/>
      <w:sz w:val="21"/>
    </w:rPr>
  </w:style>
  <w:style w:type="paragraph" w:customStyle="1" w:styleId="135">
    <w:name w:val="Char Char1 Char Char Char Char Char Char Char Char"/>
    <w:basedOn w:val="1"/>
    <w:autoRedefine/>
    <w:uiPriority w:val="0"/>
    <w:pPr>
      <w:widowControl/>
      <w:spacing w:after="160" w:line="240" w:lineRule="exact"/>
      <w:jc w:val="left"/>
    </w:pPr>
    <w:rPr>
      <w:rFonts w:ascii="Verdana" w:hAnsi="Verdana"/>
      <w:kern w:val="0"/>
      <w:sz w:val="18"/>
      <w:szCs w:val="20"/>
      <w:lang w:eastAsia="en-US"/>
    </w:rPr>
  </w:style>
  <w:style w:type="character" w:styleId="136">
    <w:name w:val="Placeholder Text"/>
    <w:basedOn w:val="38"/>
    <w:autoRedefine/>
    <w:semiHidden/>
    <w:uiPriority w:val="99"/>
    <w:rPr>
      <w:color w:val="808080"/>
    </w:rPr>
  </w:style>
  <w:style w:type="paragraph" w:customStyle="1" w:styleId="137">
    <w:name w:val="TOC Heading"/>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138">
    <w:name w:val="List Paragraph"/>
    <w:basedOn w:val="1"/>
    <w:autoRedefine/>
    <w:qFormat/>
    <w:uiPriority w:val="34"/>
    <w:pPr>
      <w:widowControl/>
      <w:ind w:firstLine="420" w:firstLineChars="200"/>
      <w:jc w:val="left"/>
    </w:pPr>
    <w:rPr>
      <w:rFonts w:ascii="宋体" w:hAnsi="宋体" w:cs="宋体"/>
      <w:kern w:val="0"/>
      <w:sz w:val="24"/>
    </w:rPr>
  </w:style>
  <w:style w:type="character" w:customStyle="1" w:styleId="139">
    <w:name w:val="页脚 Char"/>
    <w:basedOn w:val="38"/>
    <w:link w:val="28"/>
    <w:autoRedefine/>
    <w:uiPriority w:val="99"/>
    <w:rPr>
      <w:kern w:val="2"/>
      <w:sz w:val="18"/>
      <w:szCs w:val="18"/>
    </w:rPr>
  </w:style>
  <w:style w:type="character" w:customStyle="1" w:styleId="140">
    <w:name w:val="正文文本缩进 Char"/>
    <w:basedOn w:val="38"/>
    <w:link w:val="21"/>
    <w:autoRedefine/>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header" Target="header5.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textRotate="1"/>
    <customShpInfo spid="_x0000_s2050" textRotate="1"/>
    <customShpInfo spid="_x0000_s2051" textRotate="1"/>
    <customShpInfo spid="_x0000_s2052" textRotate="1"/>
    <customShpInfo spid="_x0000_s1129"/>
    <customShpInfo spid="_x0000_s1130"/>
    <customShpInfo spid="_x0000_s1131"/>
    <customShpInfo spid="_x0000_s1088"/>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27"/>
    <customShpInfo spid="_x0000_s1093"/>
    <customShpInfo spid="_x0000_s1095"/>
    <customShpInfo spid="_x0000_s1096"/>
    <customShpInfo spid="_x0000_s1097"/>
    <customShpInfo spid="_x0000_s1098"/>
    <customShpInfo spid="_x0000_s1099"/>
    <customShpInfo spid="_x0000_s1094"/>
    <customShpInfo spid="_x0000_s1100"/>
    <customShpInfo spid="_x0000_s1101"/>
    <customShpInfo spid="_x0000_s1102"/>
    <customShpInfo spid="_x0000_s1103"/>
    <customShpInfo spid="_x0000_s1104"/>
    <customShpInfo spid="_x0000_s1092"/>
    <customShpInfo spid="_x0000_s1106"/>
    <customShpInfo spid="_x0000_s1108"/>
    <customShpInfo spid="_x0000_s1109"/>
    <customShpInfo spid="_x0000_s1110"/>
    <customShpInfo spid="_x0000_s1111"/>
    <customShpInfo spid="_x0000_s1112"/>
    <customShpInfo spid="_x0000_s1113"/>
    <customShpInfo spid="_x0000_s1114"/>
    <customShpInfo spid="_x0000_s1107"/>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05"/>
    <customShpInfo spid="_x0000_s1079"/>
    <customShpInfo spid="_x0000_s1080"/>
    <customShpInfo spid="_x0000_s1081"/>
    <customShpInfo spid="_x0000_s1082"/>
    <customShpInfo spid="_x0000_s1083"/>
    <customShpInfo spid="_x0000_s1084"/>
    <customShpInfo spid="_x0000_s1085"/>
    <customShpInfo spid="_x0000_s1078"/>
    <customShpInfo spid="_x0000_s1086"/>
    <customShpInfo spid="_x0000_s1087"/>
    <customShpInfo spid="_x0000_s1077"/>
    <customShpInfo spid="_x0000_s1132"/>
    <customShpInfo spid="_x0000_s11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ECC402-5071-4D21-9650-8E1189563E8A}">
  <ds:schemaRefs/>
</ds:datastoreItem>
</file>

<file path=docProps/app.xml><?xml version="1.0" encoding="utf-8"?>
<Properties xmlns="http://schemas.openxmlformats.org/officeDocument/2006/extended-properties" xmlns:vt="http://schemas.openxmlformats.org/officeDocument/2006/docPropsVTypes">
  <Template>Normal</Template>
  <Company>江苏省计量科学研究院</Company>
  <Pages>19</Pages>
  <Words>5778</Words>
  <Characters>7343</Characters>
  <Lines>73</Lines>
  <Paragraphs>20</Paragraphs>
  <TotalTime>7</TotalTime>
  <ScaleCrop>false</ScaleCrop>
  <LinksUpToDate>false</LinksUpToDate>
  <CharactersWithSpaces>8779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2023-08-14T07:32:00Z</dcterms:created>
  <dc:creator>赵品彰</dc:creator>
  <cp:lastModifiedBy>豆豆</cp:lastModifiedBy>
  <cp:lastPrinted>2023-08-14T07:40:00Z</cp:lastPrinted>
  <dcterms:modified xsi:type="dcterms:W3CDTF">2024-04-10T07:02:55Z</dcterms:modified>
  <dc:title>耦合去耦网络校准规范</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889F396509BE46BB85DCA7180639C2C7_12</vt:lpwstr>
  </property>
</Properties>
</file>