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ascii="方正仿宋_GBK" w:eastAsia="方正仿宋_GBK"/>
          <w:b/>
          <w:sz w:val="32"/>
          <w:szCs w:val="32"/>
        </w:rPr>
      </w:pPr>
      <w:r>
        <w:rPr>
          <w:rFonts w:hint="eastAsia" w:ascii="方正仿宋_GBK" w:eastAsia="方正仿宋_GBK"/>
          <w:b/>
          <w:sz w:val="32"/>
          <w:szCs w:val="32"/>
        </w:rPr>
        <w:t>附件1</w:t>
      </w:r>
    </w:p>
    <w:p>
      <w:pPr>
        <w:suppressAutoHyphens/>
        <w:adjustRightInd w:val="0"/>
        <w:snapToGrid w:val="0"/>
        <w:spacing w:line="590" w:lineRule="exact"/>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部分不合格项目的小知识</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一</w:t>
      </w:r>
      <w:r>
        <w:rPr>
          <w:rFonts w:hint="eastAsia" w:eastAsia="黑体"/>
          <w:sz w:val="32"/>
          <w:szCs w:val="32"/>
        </w:rPr>
        <w:t>、</w:t>
      </w:r>
      <w:r>
        <w:rPr>
          <w:rFonts w:hint="eastAsia" w:eastAsia="黑体"/>
          <w:sz w:val="32"/>
          <w:szCs w:val="32"/>
          <w:lang w:val="en-US" w:eastAsia="zh-CN"/>
        </w:rPr>
        <w:t>腐霉利</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霉利是一种低毒内吸性杀菌剂，具有保护和治疗双重作用，主要用于蔬菜及果树的灰霉病防治。《食品安全国家标准食品中农药最大残留限量》（GB 2763—2016）中规定，腐霉利在韭菜中的最大残留限量为0.2mg/kg。少量的农药残留不会引起人体急性中毒，但长期食用农药残留超标的食品，对人体健康有一定影响。</w:t>
      </w:r>
    </w:p>
    <w:p>
      <w:pPr>
        <w:spacing w:line="570" w:lineRule="exact"/>
        <w:ind w:firstLine="592" w:firstLineChars="200"/>
        <w:rPr>
          <w:rFonts w:hint="eastAsia" w:ascii="黑体" w:hAnsi="黑体" w:eastAsia="黑体"/>
          <w:spacing w:val="-12"/>
          <w:sz w:val="32"/>
          <w:szCs w:val="32"/>
          <w:lang w:val="en-US" w:eastAsia="zh-CN"/>
        </w:rPr>
      </w:pPr>
      <w:r>
        <w:rPr>
          <w:rFonts w:hint="eastAsia" w:eastAsia="黑体"/>
          <w:spacing w:val="-12"/>
          <w:sz w:val="32"/>
          <w:szCs w:val="32"/>
          <w:lang w:val="en-US" w:eastAsia="zh-CN"/>
        </w:rPr>
        <w:t>二</w:t>
      </w:r>
      <w:r>
        <w:rPr>
          <w:rFonts w:hint="eastAsia" w:eastAsia="黑体"/>
          <w:spacing w:val="-12"/>
          <w:sz w:val="32"/>
          <w:szCs w:val="32"/>
        </w:rPr>
        <w:t>、</w:t>
      </w:r>
      <w:r>
        <w:rPr>
          <w:rFonts w:hint="eastAsia" w:ascii="黑体" w:hAnsi="黑体" w:eastAsia="黑体"/>
          <w:sz w:val="32"/>
          <w:szCs w:val="32"/>
          <w:lang w:val="en-US" w:eastAsia="zh-CN"/>
        </w:rPr>
        <w:t>恩诺沙星(以恩诺沙星与环丙沙星之和计)</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恩诺沙星属于氟喹诺酮类药物，是一类人工合成的广谱抗菌药，用于治疗动物的皮肤感染、呼吸道感染等，是动物专属用药。《动物性食品中兽药最高残留限量》（农业部公告第235号）中规定，恩诺沙星（最大残留限量以恩诺沙星和环丙沙星之和计）可用于牛、羊、猪、兔、禽等食用畜禽及其他动物，但最高残留限量为100μg/kg。正常情况下消费者不必对产品中检出恩诺沙星过分担心，但长期食用恩诺沙星残留超标的产品，对人体健康有一定影响。</w:t>
      </w:r>
    </w:p>
    <w:p>
      <w:pPr>
        <w:spacing w:line="570" w:lineRule="exact"/>
        <w:ind w:firstLine="592" w:firstLineChars="200"/>
        <w:rPr>
          <w:rFonts w:ascii="黑体" w:hAnsi="黑体" w:eastAsia="黑体"/>
          <w:color w:val="000000" w:themeColor="text1"/>
          <w:spacing w:val="-12"/>
          <w:sz w:val="32"/>
          <w:szCs w:val="32"/>
        </w:rPr>
      </w:pPr>
      <w:r>
        <w:rPr>
          <w:rFonts w:hint="eastAsia" w:ascii="黑体" w:hAnsi="黑体" w:eastAsia="黑体"/>
          <w:color w:val="000000" w:themeColor="text1"/>
          <w:spacing w:val="-12"/>
          <w:sz w:val="32"/>
          <w:szCs w:val="32"/>
          <w:lang w:val="en-US" w:eastAsia="zh-CN"/>
        </w:rPr>
        <w:t>三</w:t>
      </w:r>
      <w:r>
        <w:rPr>
          <w:rFonts w:ascii="黑体" w:hAnsi="黑体" w:eastAsia="黑体"/>
          <w:color w:val="000000" w:themeColor="text1"/>
          <w:spacing w:val="-12"/>
          <w:sz w:val="32"/>
          <w:szCs w:val="32"/>
        </w:rPr>
        <w:t>、</w:t>
      </w:r>
      <w:r>
        <w:rPr>
          <w:rFonts w:hint="eastAsia" w:ascii="黑体" w:hAnsi="黑体" w:eastAsia="黑体"/>
          <w:color w:val="000000" w:themeColor="text1"/>
          <w:spacing w:val="-12"/>
          <w:sz w:val="32"/>
          <w:szCs w:val="32"/>
        </w:rPr>
        <w:t>氧氟沙星</w:t>
      </w:r>
    </w:p>
    <w:p>
      <w:pPr>
        <w:spacing w:line="570" w:lineRule="exact"/>
        <w:ind w:firstLine="640" w:firstLineChars="200"/>
        <w:rPr>
          <w:rFonts w:ascii="方正仿宋_GBK" w:hAnsi="宋体" w:eastAsia="方正仿宋_GBK" w:cs="宋体"/>
          <w:kern w:val="0"/>
          <w:sz w:val="32"/>
          <w:szCs w:val="32"/>
        </w:rPr>
      </w:pP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属于氟喹诺酮类药物，因抗菌谱广、抗菌活性强等曾被用于畜禽细菌性疾病的治疗和预防。</w:t>
      </w: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属残留在人体中蓄积，可能引起人体的耐药性，长期摄入</w:t>
      </w: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超标的动物性食品，可引起轻度胃肠道刺激或不适，头痛、头晕、睡眠不良等症状，大剂量还可能引起肝损害。《发布在食品动物中停止使用洛美沙星、培氟沙星、氧氟沙星、诺氟沙星4种兽药的决定》（农业部公告第2292号）中规定，禁止</w:t>
      </w: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属用于食品动物，在动物性食品中不得检出。</w:t>
      </w: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属残留量超标，可能因为动物在养殖过程中，养殖户违规使用该类药物；也可能是饲料或饲料添加剂中违规添加了该类药物，导致动物体内</w:t>
      </w:r>
      <w:r>
        <w:rPr>
          <w:rFonts w:hint="eastAsia" w:ascii="方正仿宋_GBK" w:hAnsi="宋体" w:eastAsia="方正仿宋_GBK" w:cs="宋体"/>
          <w:kern w:val="0"/>
          <w:sz w:val="32"/>
          <w:szCs w:val="32"/>
        </w:rPr>
        <w:t>氧氟沙星</w:t>
      </w:r>
      <w:r>
        <w:rPr>
          <w:rFonts w:ascii="方正仿宋_GBK" w:hAnsi="宋体" w:eastAsia="方正仿宋_GBK" w:cs="宋体"/>
          <w:kern w:val="0"/>
          <w:sz w:val="32"/>
          <w:szCs w:val="32"/>
        </w:rPr>
        <w:t>属残留量超标。</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四</w:t>
      </w:r>
      <w:r>
        <w:rPr>
          <w:rFonts w:hint="eastAsia" w:eastAsia="黑体"/>
          <w:sz w:val="32"/>
          <w:szCs w:val="32"/>
        </w:rPr>
        <w:t>、</w:t>
      </w:r>
      <w:r>
        <w:rPr>
          <w:rFonts w:hint="eastAsia" w:eastAsia="黑体"/>
          <w:sz w:val="32"/>
          <w:szCs w:val="32"/>
          <w:lang w:val="en-US" w:eastAsia="zh-CN"/>
        </w:rPr>
        <w:t>脂肪</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rPr>
        <w:t>脂肪是营养成分表里强制标示的核心营养要素之一，系食品营养标签的组成部分。脂肪不合格原因可能是原辅料质量控制不严，不满足质量</w:t>
      </w:r>
      <w:r>
        <w:rPr>
          <w:rFonts w:hint="eastAsia" w:ascii="方正仿宋_GBK" w:hAnsi="Times New Roman" w:eastAsia="方正仿宋_GBK"/>
          <w:sz w:val="32"/>
          <w:szCs w:val="32"/>
          <w:lang w:val="en-US" w:eastAsia="zh-CN"/>
        </w:rPr>
        <w:t>规定</w:t>
      </w:r>
      <w:r>
        <w:rPr>
          <w:rFonts w:hint="eastAsia" w:ascii="方正仿宋_GBK" w:hAnsi="Times New Roman" w:eastAsia="方正仿宋_GBK"/>
          <w:sz w:val="32"/>
          <w:szCs w:val="32"/>
        </w:rPr>
        <w:t>要求；生产加工环节控制不严，企业未按标签明示值或企业标准的要求进行添加</w:t>
      </w:r>
      <w:r>
        <w:rPr>
          <w:rFonts w:hint="eastAsia" w:ascii="方正仿宋_GBK" w:hAnsi="Times New Roman" w:eastAsia="方正仿宋_GBK"/>
          <w:sz w:val="32"/>
          <w:szCs w:val="32"/>
          <w:lang w:val="en-US" w:eastAsia="zh-CN"/>
        </w:rPr>
        <w:t>等</w:t>
      </w:r>
      <w:r>
        <w:rPr>
          <w:rFonts w:hint="eastAsia" w:ascii="方正仿宋_GBK" w:hAnsi="Times New Roman" w:eastAsia="方正仿宋_GBK"/>
          <w:sz w:val="32"/>
          <w:szCs w:val="32"/>
        </w:rPr>
        <w:t>。</w:t>
      </w:r>
    </w:p>
    <w:p>
      <w:pPr>
        <w:spacing w:line="570" w:lineRule="exact"/>
        <w:ind w:firstLine="592" w:firstLineChars="200"/>
        <w:rPr>
          <w:rFonts w:eastAsia="黑体"/>
          <w:spacing w:val="-12"/>
          <w:sz w:val="32"/>
          <w:szCs w:val="32"/>
        </w:rPr>
      </w:pPr>
      <w:r>
        <w:rPr>
          <w:rFonts w:hint="eastAsia" w:ascii="Calibri" w:hAnsi="Calibri" w:eastAsia="黑体" w:cs="黑体"/>
          <w:spacing w:val="-12"/>
          <w:sz w:val="32"/>
          <w:szCs w:val="32"/>
          <w:lang w:val="en-US" w:eastAsia="zh-CN"/>
        </w:rPr>
        <w:t>五</w:t>
      </w:r>
      <w:r>
        <w:rPr>
          <w:rFonts w:hint="eastAsia" w:ascii="Calibri" w:hAnsi="Calibri" w:eastAsia="黑体" w:cs="黑体"/>
          <w:spacing w:val="-12"/>
          <w:sz w:val="32"/>
          <w:szCs w:val="32"/>
        </w:rPr>
        <w:t>、二氧化硫残留量</w:t>
      </w:r>
    </w:p>
    <w:p>
      <w:pPr>
        <w:spacing w:line="570" w:lineRule="exact"/>
        <w:ind w:firstLine="640" w:firstLineChars="200"/>
        <w:rPr>
          <w:rFonts w:ascii="方正仿宋_GBK" w:hAnsi="Times New Roman" w:eastAsia="方正仿宋_GBK"/>
          <w:sz w:val="32"/>
          <w:szCs w:val="32"/>
        </w:rPr>
      </w:pPr>
      <w:r>
        <w:rPr>
          <w:rFonts w:hint="eastAsia" w:ascii="Calibri" w:hAnsi="Calibri" w:eastAsia="仿宋_GB2312" w:cs="仿宋_GB2312"/>
          <w:color w:val="000000"/>
          <w:sz w:val="32"/>
          <w:szCs w:val="32"/>
        </w:rPr>
        <w:t>二氧化硫（以及焦亚硫酸钾、亚硫酸钠等添加剂）对食品有漂白、防腐和抗氧化作用，是食品加工中常用的漂白剂和防腐剂，使用后均产生二氧化硫残留。摄入少量二氧化硫，可在人体内经酶转化后由尿液排出体外，一般不会对人体健康造成不良影响，但如果长期过量摄入二氧化硫，可能会对健康不利。二氧化硫残留量超标的原因，可能是加工过程中超范围或超限量使用亚硫酸盐等漂白剂，以达到漂白和防腐的作用，从而导致产品中二氧化硫残留不符合要求。</w:t>
      </w:r>
    </w:p>
    <w:p>
      <w:pPr>
        <w:spacing w:line="570" w:lineRule="exact"/>
        <w:ind w:firstLine="640" w:firstLineChars="200"/>
        <w:rPr>
          <w:rFonts w:ascii="黑体" w:hAnsi="黑体" w:eastAsia="黑体"/>
          <w:sz w:val="32"/>
          <w:szCs w:val="32"/>
        </w:rPr>
      </w:pPr>
      <w:r>
        <w:rPr>
          <w:rFonts w:hint="eastAsia" w:ascii="黑体" w:hAnsi="黑体" w:eastAsia="黑体"/>
          <w:sz w:val="32"/>
          <w:szCs w:val="32"/>
          <w:lang w:val="en-US" w:eastAsia="zh-CN"/>
        </w:rPr>
        <w:t>六</w:t>
      </w:r>
      <w:r>
        <w:rPr>
          <w:rFonts w:hint="eastAsia" w:ascii="黑体" w:hAnsi="黑体" w:eastAsia="黑体"/>
          <w:sz w:val="32"/>
          <w:szCs w:val="32"/>
        </w:rPr>
        <w:t>、大肠菌群</w:t>
      </w:r>
    </w:p>
    <w:p>
      <w:pPr>
        <w:spacing w:line="570" w:lineRule="exact"/>
        <w:ind w:firstLine="640" w:firstLineChars="200"/>
        <w:textAlignment w:val="baseline"/>
        <w:rPr>
          <w:rFonts w:ascii="方正仿宋_GBK" w:hAnsi="Times New Roman" w:eastAsia="方正仿宋_GBK"/>
          <w:sz w:val="32"/>
          <w:szCs w:val="32"/>
        </w:rPr>
      </w:pPr>
      <w:r>
        <w:rPr>
          <w:rFonts w:hint="eastAsia" w:ascii="方正仿宋_GBK" w:hAnsi="Times New Roman" w:eastAsia="方正仿宋_GBK"/>
          <w:sz w:val="32"/>
          <w:szCs w:val="32"/>
        </w:rPr>
        <w:t>大肠菌群是国内外通用的食品污染常用指示菌之一。餐饮具中检出大肠菌群</w:t>
      </w:r>
      <w:r>
        <w:rPr>
          <w:rFonts w:hint="eastAsia" w:ascii="方正仿宋_GBK" w:hAnsi="Times New Roman" w:eastAsia="方正仿宋_GBK"/>
          <w:sz w:val="32"/>
          <w:szCs w:val="32"/>
          <w:lang w:eastAsia="zh-CN"/>
        </w:rPr>
        <w:t>，</w:t>
      </w:r>
      <w:r>
        <w:rPr>
          <w:rFonts w:hint="eastAsia" w:ascii="方正仿宋_GBK" w:hAnsi="Times New Roman" w:eastAsia="方正仿宋_GBK"/>
          <w:sz w:val="32"/>
          <w:szCs w:val="32"/>
        </w:rPr>
        <w:t>提示被致病菌(如沙门氏菌、志贺氏菌、致病性大肠杆菌)污染的可能性较大。大肠菌群超标可能由于产品包装材料受污染，或在生产过程中产品受人员、工器具等生产设备、环境的污染、有灭菌工艺的产品灭菌不彻底而导致。</w:t>
      </w:r>
    </w:p>
    <w:p>
      <w:pPr>
        <w:spacing w:line="570" w:lineRule="exact"/>
        <w:ind w:firstLine="592" w:firstLineChars="200"/>
        <w:rPr>
          <w:rFonts w:eastAsia="黑体"/>
          <w:spacing w:val="-12"/>
          <w:sz w:val="32"/>
          <w:szCs w:val="32"/>
        </w:rPr>
      </w:pPr>
      <w:r>
        <w:rPr>
          <w:rFonts w:hint="eastAsia" w:ascii="Calibri" w:hAnsi="Calibri" w:eastAsia="黑体" w:cs="黑体"/>
          <w:spacing w:val="-12"/>
          <w:sz w:val="32"/>
          <w:szCs w:val="32"/>
        </w:rPr>
        <w:t>七、霉菌</w:t>
      </w:r>
    </w:p>
    <w:p>
      <w:pPr>
        <w:spacing w:line="570" w:lineRule="exact"/>
        <w:ind w:firstLine="640" w:firstLineChars="200"/>
        <w:rPr>
          <w:rFonts w:ascii="仿宋_GB2312" w:hAnsi="Times New Roman" w:eastAsia="仿宋_GB2312" w:cs="Times New Roman"/>
          <w:color w:val="000000"/>
          <w:sz w:val="32"/>
          <w:szCs w:val="32"/>
        </w:rPr>
      </w:pPr>
      <w:r>
        <w:rPr>
          <w:rFonts w:hint="eastAsia" w:ascii="仿宋_GB2312" w:hAnsi="Times New Roman" w:eastAsia="仿宋_GB2312" w:cs="Times New Roman"/>
          <w:color w:val="000000"/>
          <w:sz w:val="32"/>
          <w:szCs w:val="32"/>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spacing w:line="570" w:lineRule="exact"/>
        <w:ind w:firstLine="640" w:firstLineChars="200"/>
        <w:rPr>
          <w:rFonts w:ascii="黑体" w:hAnsi="黑体" w:eastAsia="黑体"/>
          <w:spacing w:val="-12"/>
          <w:sz w:val="32"/>
          <w:szCs w:val="32"/>
        </w:rPr>
      </w:pPr>
      <w:r>
        <w:rPr>
          <w:rFonts w:hint="eastAsia" w:ascii="黑体" w:hAnsi="黑体" w:eastAsia="黑体"/>
          <w:sz w:val="32"/>
          <w:szCs w:val="32"/>
          <w:lang w:val="en-US" w:eastAsia="zh-CN"/>
        </w:rPr>
        <w:t>八</w:t>
      </w:r>
      <w:r>
        <w:rPr>
          <w:rFonts w:hint="eastAsia" w:ascii="黑体" w:hAnsi="黑体" w:eastAsia="黑体"/>
          <w:sz w:val="32"/>
          <w:szCs w:val="32"/>
        </w:rPr>
        <w:t>、菌落总数</w:t>
      </w:r>
    </w:p>
    <w:p>
      <w:pPr>
        <w:spacing w:line="570" w:lineRule="exact"/>
        <w:ind w:firstLine="640" w:firstLineChars="200"/>
        <w:textAlignment w:val="baseline"/>
        <w:rPr>
          <w:rFonts w:ascii="方正仿宋_GBK" w:hAnsi="Times New Roman" w:eastAsia="方正仿宋_GBK"/>
          <w:sz w:val="32"/>
          <w:szCs w:val="32"/>
        </w:rPr>
      </w:pPr>
      <w:r>
        <w:rPr>
          <w:rFonts w:hint="eastAsia" w:ascii="方正仿宋_GBK" w:hAnsi="Times New Roman" w:eastAsia="方正仿宋_GBK"/>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570" w:lineRule="exact"/>
        <w:ind w:firstLine="640" w:firstLineChars="200"/>
        <w:rPr>
          <w:rFonts w:hint="eastAsia" w:ascii="黑体" w:hAnsi="黑体" w:eastAsia="黑体"/>
          <w:sz w:val="32"/>
          <w:szCs w:val="32"/>
          <w:lang w:val="en-US" w:eastAsia="zh-CN"/>
        </w:rPr>
      </w:pPr>
      <w:r>
        <w:rPr>
          <w:rFonts w:hint="eastAsia" w:ascii="黑体" w:hAnsi="黑体" w:eastAsia="黑体"/>
          <w:sz w:val="32"/>
          <w:szCs w:val="32"/>
          <w:lang w:val="en-US" w:eastAsia="zh-CN"/>
        </w:rPr>
        <w:t>九、苯甲酸及其钠盐（以苯甲酸计）</w:t>
      </w:r>
    </w:p>
    <w:p>
      <w:pPr>
        <w:spacing w:line="640" w:lineRule="exact"/>
        <w:ind w:firstLine="640" w:firstLineChars="200"/>
        <w:textAlignment w:val="baseline"/>
        <w:rPr>
          <w:rFonts w:hint="eastAsia" w:ascii="仿宋_GB2312" w:eastAsia="仿宋_GB2312"/>
          <w:sz w:val="32"/>
          <w:szCs w:val="32"/>
        </w:rPr>
      </w:pPr>
      <w:r>
        <w:rPr>
          <w:rFonts w:hint="eastAsia" w:ascii="仿宋_GB2312" w:eastAsia="仿宋_GB2312"/>
          <w:sz w:val="32"/>
          <w:szCs w:val="32"/>
        </w:rPr>
        <w:t>苯甲酸及其钠盐是食品工业中一种常见的防腐保鲜剂，对霉菌、酵母和细菌有较好的抑制作用。苯甲酸及其钠盐的安全性较高，少量苯甲酸对人体无毒害，可随尿液排出体外，在人体内不会蓄积。若长期过量食用苯甲酸超标的食品可能会对肝脏功能产生一定影响。苯甲酸及其钠盐超范围添加的原因，可能是企业为延长产品保质期，或弥补产品生产过程卫生条件不佳而超范围使用。</w:t>
      </w:r>
    </w:p>
    <w:p>
      <w:pPr>
        <w:spacing w:line="570" w:lineRule="exact"/>
        <w:ind w:firstLine="640" w:firstLineChars="200"/>
        <w:rPr>
          <w:rFonts w:hint="eastAsia" w:ascii="黑体" w:hAnsi="黑体" w:eastAsia="黑体"/>
          <w:sz w:val="32"/>
          <w:szCs w:val="32"/>
          <w:lang w:val="en-US" w:eastAsia="zh-CN"/>
        </w:rPr>
      </w:pPr>
      <w:r>
        <w:rPr>
          <w:rFonts w:hint="eastAsia" w:ascii="黑体" w:hAnsi="黑体" w:eastAsia="黑体"/>
          <w:sz w:val="32"/>
          <w:szCs w:val="32"/>
          <w:lang w:val="en-US" w:eastAsia="zh-CN"/>
        </w:rPr>
        <w:t>十、氰化物(以HCN计)</w:t>
      </w:r>
    </w:p>
    <w:p>
      <w:pPr>
        <w:spacing w:line="640" w:lineRule="exact"/>
        <w:ind w:firstLine="640" w:firstLineChars="200"/>
        <w:textAlignment w:val="baseline"/>
        <w:rPr>
          <w:rFonts w:hint="eastAsia" w:ascii="仿宋_GB2312" w:eastAsia="仿宋_GB2312"/>
          <w:sz w:val="32"/>
          <w:szCs w:val="32"/>
        </w:rPr>
      </w:pPr>
      <w:r>
        <w:rPr>
          <w:rFonts w:hint="eastAsia" w:ascii="仿宋_GB2312" w:eastAsia="仿宋_GB2312"/>
          <w:sz w:val="32"/>
          <w:szCs w:val="32"/>
        </w:rPr>
        <w:t xml:space="preserve"> 氰化物是酒中一项重要安全指标，《食品安全国家标准蒸馏及其配制酒》（</w:t>
      </w:r>
      <w:bookmarkStart w:id="0" w:name="_GoBack"/>
      <w:bookmarkEnd w:id="0"/>
      <w:r>
        <w:rPr>
          <w:rFonts w:hint="eastAsia" w:ascii="仿宋_GB2312" w:eastAsia="仿宋_GB2312"/>
          <w:sz w:val="32"/>
          <w:szCs w:val="32"/>
        </w:rPr>
        <w:t>GB2757-2012）规定蒸馏酒及其配制酒氰化物指标≤8.0mg/L（100%酒精度折算）。酒中氰化物超标对人体有毒有害，是生产者直接使用不符合规定的原料加工或是生产工艺去除氰化物不彻底造成。</w:t>
      </w:r>
    </w:p>
    <w:p>
      <w:pPr>
        <w:spacing w:line="570" w:lineRule="exact"/>
        <w:ind w:firstLine="640" w:firstLineChars="200"/>
        <w:rPr>
          <w:rFonts w:hint="eastAsia" w:ascii="黑体" w:hAnsi="黑体" w:eastAsia="黑体"/>
          <w:sz w:val="32"/>
          <w:szCs w:val="32"/>
          <w:lang w:val="en-US" w:eastAsia="zh-CN"/>
        </w:rPr>
      </w:pPr>
      <w:r>
        <w:rPr>
          <w:rFonts w:hint="eastAsia" w:ascii="黑体" w:hAnsi="黑体" w:eastAsia="黑体"/>
          <w:sz w:val="32"/>
          <w:szCs w:val="32"/>
          <w:lang w:val="en-US" w:eastAsia="zh-CN"/>
        </w:rPr>
        <w:t>十一、酒精度</w:t>
      </w:r>
    </w:p>
    <w:p>
      <w:pPr>
        <w:spacing w:line="640" w:lineRule="exact"/>
        <w:ind w:firstLine="640" w:firstLineChars="200"/>
        <w:textAlignment w:val="baseline"/>
        <w:rPr>
          <w:rFonts w:hint="eastAsia" w:ascii="仿宋_GB2312" w:eastAsia="仿宋_GB2312"/>
          <w:sz w:val="32"/>
          <w:szCs w:val="32"/>
        </w:rPr>
      </w:pPr>
      <w:r>
        <w:rPr>
          <w:rFonts w:hint="eastAsia" w:ascii="仿宋_GB2312" w:eastAsia="仿宋_GB2312"/>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因此</w:t>
      </w:r>
      <w:r>
        <w:rPr>
          <w:rFonts w:hint="eastAsia" w:ascii="仿宋_GB2312" w:eastAsia="仿宋_GB2312"/>
          <w:sz w:val="32"/>
          <w:szCs w:val="32"/>
          <w:lang w:val="en-US" w:eastAsia="zh-CN"/>
        </w:rPr>
        <w:t>酒类</w:t>
      </w:r>
      <w:r>
        <w:rPr>
          <w:rFonts w:hint="eastAsia" w:ascii="仿宋_GB2312" w:eastAsia="仿宋_GB2312"/>
          <w:sz w:val="32"/>
          <w:szCs w:val="32"/>
        </w:rPr>
        <w:t>在进行销售前，不仅要准确测量酒精度，更应考虑使酒精度不达标的因素，提早预防。</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66EA7"/>
    <w:rsid w:val="00F6775F"/>
    <w:rsid w:val="00F71F33"/>
    <w:rsid w:val="00F77CAB"/>
    <w:rsid w:val="01BF015D"/>
    <w:rsid w:val="02317036"/>
    <w:rsid w:val="02A446D8"/>
    <w:rsid w:val="03CD7816"/>
    <w:rsid w:val="05B075F0"/>
    <w:rsid w:val="0691681F"/>
    <w:rsid w:val="07503655"/>
    <w:rsid w:val="09613572"/>
    <w:rsid w:val="098168D4"/>
    <w:rsid w:val="09E0572E"/>
    <w:rsid w:val="0A4011CE"/>
    <w:rsid w:val="0B443F79"/>
    <w:rsid w:val="0B505CFE"/>
    <w:rsid w:val="0BD14C97"/>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F15749"/>
    <w:rsid w:val="15F30177"/>
    <w:rsid w:val="16004C16"/>
    <w:rsid w:val="164271B3"/>
    <w:rsid w:val="166923CF"/>
    <w:rsid w:val="16C74C86"/>
    <w:rsid w:val="16E15A77"/>
    <w:rsid w:val="17687A4B"/>
    <w:rsid w:val="17BC2306"/>
    <w:rsid w:val="187D413F"/>
    <w:rsid w:val="18CE1A06"/>
    <w:rsid w:val="19D1085A"/>
    <w:rsid w:val="1A6251F7"/>
    <w:rsid w:val="1ACE2642"/>
    <w:rsid w:val="1BAC2C7B"/>
    <w:rsid w:val="1BAD4A7C"/>
    <w:rsid w:val="1C1845BD"/>
    <w:rsid w:val="1CB27E9B"/>
    <w:rsid w:val="1DAD3FFF"/>
    <w:rsid w:val="1DFF41B9"/>
    <w:rsid w:val="20732975"/>
    <w:rsid w:val="207F2166"/>
    <w:rsid w:val="209E7837"/>
    <w:rsid w:val="20DD5D1B"/>
    <w:rsid w:val="21296D82"/>
    <w:rsid w:val="21EF72E6"/>
    <w:rsid w:val="227B2998"/>
    <w:rsid w:val="22BF0461"/>
    <w:rsid w:val="22DF1FFB"/>
    <w:rsid w:val="239D0E6B"/>
    <w:rsid w:val="24B573DE"/>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D1F4EB4"/>
    <w:rsid w:val="2D7D65C0"/>
    <w:rsid w:val="2E485BC9"/>
    <w:rsid w:val="2EE02088"/>
    <w:rsid w:val="2EEE4150"/>
    <w:rsid w:val="2F9200D3"/>
    <w:rsid w:val="306174F4"/>
    <w:rsid w:val="30C52F74"/>
    <w:rsid w:val="31390AFB"/>
    <w:rsid w:val="31727237"/>
    <w:rsid w:val="31B04CB9"/>
    <w:rsid w:val="31E4442C"/>
    <w:rsid w:val="31F75EEE"/>
    <w:rsid w:val="320944EF"/>
    <w:rsid w:val="32671426"/>
    <w:rsid w:val="32B12BD0"/>
    <w:rsid w:val="36731FE9"/>
    <w:rsid w:val="36970865"/>
    <w:rsid w:val="37246F64"/>
    <w:rsid w:val="372F7CA3"/>
    <w:rsid w:val="37975EBC"/>
    <w:rsid w:val="37980617"/>
    <w:rsid w:val="37D8062F"/>
    <w:rsid w:val="37F96A05"/>
    <w:rsid w:val="383060A2"/>
    <w:rsid w:val="38353C2B"/>
    <w:rsid w:val="38642EE5"/>
    <w:rsid w:val="39666407"/>
    <w:rsid w:val="39AF2A0A"/>
    <w:rsid w:val="3A4867CA"/>
    <w:rsid w:val="3AA9213C"/>
    <w:rsid w:val="3B6949B8"/>
    <w:rsid w:val="3C336B2B"/>
    <w:rsid w:val="3C87360C"/>
    <w:rsid w:val="3CB50E22"/>
    <w:rsid w:val="3D1B4412"/>
    <w:rsid w:val="3D625FAB"/>
    <w:rsid w:val="3D8F3232"/>
    <w:rsid w:val="3E3A3BD1"/>
    <w:rsid w:val="3E793D02"/>
    <w:rsid w:val="3E974FD9"/>
    <w:rsid w:val="3EDA71BD"/>
    <w:rsid w:val="3F944EF2"/>
    <w:rsid w:val="40787187"/>
    <w:rsid w:val="40AC1C6B"/>
    <w:rsid w:val="40B86FDC"/>
    <w:rsid w:val="42400E64"/>
    <w:rsid w:val="424F41F3"/>
    <w:rsid w:val="425665EF"/>
    <w:rsid w:val="426A0D65"/>
    <w:rsid w:val="445D67A1"/>
    <w:rsid w:val="44F63D12"/>
    <w:rsid w:val="452A1919"/>
    <w:rsid w:val="45B97969"/>
    <w:rsid w:val="47492C28"/>
    <w:rsid w:val="48DA31FD"/>
    <w:rsid w:val="494214A7"/>
    <w:rsid w:val="4B5049B4"/>
    <w:rsid w:val="4B8C27BB"/>
    <w:rsid w:val="4BC137FA"/>
    <w:rsid w:val="4C297156"/>
    <w:rsid w:val="4C967FAF"/>
    <w:rsid w:val="4CCB074B"/>
    <w:rsid w:val="4D8A2EE5"/>
    <w:rsid w:val="4D9B4661"/>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4D75AB"/>
    <w:rsid w:val="55BE0029"/>
    <w:rsid w:val="566F178F"/>
    <w:rsid w:val="58C52A1E"/>
    <w:rsid w:val="591702CA"/>
    <w:rsid w:val="59203A01"/>
    <w:rsid w:val="5AF17BBB"/>
    <w:rsid w:val="5B7936AC"/>
    <w:rsid w:val="5B8B3D37"/>
    <w:rsid w:val="5B9C406B"/>
    <w:rsid w:val="5BDC6E44"/>
    <w:rsid w:val="5C6258A4"/>
    <w:rsid w:val="5C9F00AC"/>
    <w:rsid w:val="5E82604C"/>
    <w:rsid w:val="5EB3567B"/>
    <w:rsid w:val="5FAC4190"/>
    <w:rsid w:val="5FB4017C"/>
    <w:rsid w:val="62106968"/>
    <w:rsid w:val="62733EE5"/>
    <w:rsid w:val="62A23EF9"/>
    <w:rsid w:val="62E64A8D"/>
    <w:rsid w:val="63E51096"/>
    <w:rsid w:val="645F7C77"/>
    <w:rsid w:val="647462D8"/>
    <w:rsid w:val="65A15091"/>
    <w:rsid w:val="66524DFC"/>
    <w:rsid w:val="66B96EA8"/>
    <w:rsid w:val="66F73F16"/>
    <w:rsid w:val="67C1146A"/>
    <w:rsid w:val="67DF1954"/>
    <w:rsid w:val="67E22ABE"/>
    <w:rsid w:val="681A5C55"/>
    <w:rsid w:val="686B67ED"/>
    <w:rsid w:val="68AD7102"/>
    <w:rsid w:val="68B5161B"/>
    <w:rsid w:val="69B01F3D"/>
    <w:rsid w:val="6A962F9A"/>
    <w:rsid w:val="6AE76F91"/>
    <w:rsid w:val="6B0A631F"/>
    <w:rsid w:val="6B2F57E8"/>
    <w:rsid w:val="6B530E0B"/>
    <w:rsid w:val="6C0F37D0"/>
    <w:rsid w:val="6C2A5933"/>
    <w:rsid w:val="6C532497"/>
    <w:rsid w:val="6C6A3D48"/>
    <w:rsid w:val="6DFA31D5"/>
    <w:rsid w:val="6E7403AD"/>
    <w:rsid w:val="6F703737"/>
    <w:rsid w:val="70433045"/>
    <w:rsid w:val="71236AF0"/>
    <w:rsid w:val="71A911C1"/>
    <w:rsid w:val="72C34330"/>
    <w:rsid w:val="72C44654"/>
    <w:rsid w:val="730B7BD7"/>
    <w:rsid w:val="731C59A6"/>
    <w:rsid w:val="740B7597"/>
    <w:rsid w:val="75875DA7"/>
    <w:rsid w:val="75A57FA1"/>
    <w:rsid w:val="76077A0F"/>
    <w:rsid w:val="761E6838"/>
    <w:rsid w:val="76C43BAF"/>
    <w:rsid w:val="77450FC0"/>
    <w:rsid w:val="78516857"/>
    <w:rsid w:val="787917F5"/>
    <w:rsid w:val="79425C88"/>
    <w:rsid w:val="79E41CD7"/>
    <w:rsid w:val="7A27777B"/>
    <w:rsid w:val="7B5D2F26"/>
    <w:rsid w:val="7B7721FC"/>
    <w:rsid w:val="7C833972"/>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Layout w:type="fixed"/>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3</TotalTime>
  <ScaleCrop>false</ScaleCrop>
  <LinksUpToDate>false</LinksUpToDate>
  <CharactersWithSpaces>2152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2019-12-23T02:30:54Z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KSORubyTemplateID" linkTarget="0">
    <vt:lpwstr>6</vt:lpwstr>
  </property>
</Properties>
</file>