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adjustRightInd w:val="0"/>
        <w:snapToGrid w:val="0"/>
        <w:spacing w:line="560" w:lineRule="exact"/>
        <w:ind w:firstLine="0" w:firstLineChars="0"/>
        <w:rPr>
          <w:rFonts w:ascii="宋体" w:cs="宋体"/>
          <w:color w:val="000000"/>
        </w:rPr>
      </w:pPr>
      <w:r>
        <w:rPr>
          <w:rFonts w:hint="eastAsia" w:ascii="宋体" w:hAnsi="宋体" w:cs="宋体"/>
          <w:color w:val="000000"/>
        </w:rPr>
        <w:t>《商品过度包装检验计量操作规程》编制说明</w:t>
      </w:r>
    </w:p>
    <w:p>
      <w:pPr>
        <w:adjustRightInd w:val="0"/>
        <w:snapToGrid w:val="0"/>
        <w:spacing w:line="560" w:lineRule="exact"/>
        <w:ind w:firstLine="480"/>
        <w:rPr>
          <w:color w:val="000000"/>
        </w:rPr>
      </w:pPr>
    </w:p>
    <w:p>
      <w:pPr>
        <w:pStyle w:val="2"/>
        <w:numPr>
          <w:ilvl w:val="255"/>
          <w:numId w:val="0"/>
        </w:numPr>
        <w:adjustRightInd w:val="0"/>
        <w:snapToGrid w:val="0"/>
        <w:spacing w:line="560" w:lineRule="exact"/>
        <w:ind w:firstLine="480"/>
        <w:rPr>
          <w:rFonts w:ascii="宋体"/>
          <w:color w:val="000000"/>
        </w:rPr>
      </w:pPr>
      <w:r>
        <w:rPr>
          <w:rFonts w:hint="eastAsia" w:ascii="宋体" w:hAnsi="宋体" w:cs="宋体"/>
          <w:color w:val="000000"/>
        </w:rPr>
        <w:t>一、任务来源</w:t>
      </w:r>
    </w:p>
    <w:p>
      <w:pPr>
        <w:adjustRightInd w:val="0"/>
        <w:snapToGrid w:val="0"/>
        <w:spacing w:line="560" w:lineRule="exact"/>
        <w:ind w:firstLine="480"/>
        <w:rPr>
          <w:rFonts w:ascii="宋体"/>
          <w:color w:val="000000"/>
        </w:rPr>
      </w:pPr>
      <w:r>
        <w:rPr>
          <w:rFonts w:hint="eastAsia" w:ascii="宋体" w:hAnsi="宋体" w:cs="宋体"/>
          <w:color w:val="000000"/>
        </w:rPr>
        <w:t>《商品过度包装检验计量操作规程》的编写任务来源于上海市市场监督管理局《关于下达上海市地方计量技术规范</w:t>
      </w:r>
      <w:r>
        <w:rPr>
          <w:rFonts w:ascii="宋体" w:hAnsi="宋体" w:cs="宋体"/>
          <w:color w:val="000000"/>
        </w:rPr>
        <w:t>(</w:t>
      </w:r>
      <w:r>
        <w:rPr>
          <w:rFonts w:hint="eastAsia" w:ascii="宋体" w:hAnsi="宋体" w:cs="宋体"/>
          <w:color w:val="000000"/>
        </w:rPr>
        <w:t>商品过度包装检验计量操作规范</w:t>
      </w:r>
      <w:r>
        <w:rPr>
          <w:rFonts w:ascii="宋体" w:hAnsi="宋体" w:cs="宋体"/>
          <w:color w:val="000000"/>
        </w:rPr>
        <w:t>)</w:t>
      </w:r>
      <w:r>
        <w:rPr>
          <w:rFonts w:hint="eastAsia" w:ascii="宋体" w:hAnsi="宋体" w:cs="宋体"/>
          <w:color w:val="000000"/>
        </w:rPr>
        <w:t>立项任务的通知》</w:t>
      </w:r>
      <w:r>
        <w:rPr>
          <w:rFonts w:hint="eastAsia" w:ascii="宋体" w:hAnsi="宋体" w:cs="宋体"/>
          <w:color w:val="000000"/>
          <w:lang w:eastAsia="zh-CN"/>
        </w:rPr>
        <w:t>和华东国家计量测试中心印发的“沪苏浙皖”计量技术规范立项计划</w:t>
      </w:r>
      <w:r>
        <w:rPr>
          <w:rFonts w:hint="eastAsia" w:ascii="宋体" w:hAnsi="宋体" w:cs="宋体"/>
          <w:color w:val="000000"/>
        </w:rPr>
        <w:t>。由上海市计量测试技术研究院作牵头，由上海市质量监督检验技术研究院、浦东新区计量质量检测所共同完成操作规程的制定任务。</w:t>
      </w:r>
    </w:p>
    <w:p>
      <w:pPr>
        <w:adjustRightInd w:val="0"/>
        <w:snapToGrid w:val="0"/>
        <w:spacing w:line="560" w:lineRule="exact"/>
        <w:ind w:firstLine="480"/>
        <w:rPr>
          <w:rFonts w:ascii="宋体"/>
          <w:color w:val="000000"/>
        </w:rPr>
      </w:pPr>
      <w:r>
        <w:rPr>
          <w:rFonts w:hint="eastAsia" w:ascii="宋体" w:hAnsi="宋体" w:cs="宋体"/>
          <w:color w:val="000000"/>
        </w:rPr>
        <w:t>为推动商品过度包装检验项目“检验流程、操作方法、判定尺度”三统一，保障精准高效执法，提升长三角市场监管一体化合作水平，编制地方计量操作规范更好满足法制计量监管</w:t>
      </w:r>
      <w:r>
        <w:rPr>
          <w:rFonts w:hint="eastAsia" w:ascii="宋体" w:hAnsi="宋体" w:cs="宋体"/>
          <w:color w:val="000000"/>
          <w:lang w:eastAsia="zh-CN"/>
        </w:rPr>
        <w:t>需求</w:t>
      </w:r>
      <w:r>
        <w:rPr>
          <w:rFonts w:hint="eastAsia" w:ascii="宋体" w:hAnsi="宋体" w:cs="宋体"/>
          <w:color w:val="000000"/>
        </w:rPr>
        <w:t>。</w:t>
      </w:r>
    </w:p>
    <w:p>
      <w:pPr>
        <w:adjustRightInd w:val="0"/>
        <w:snapToGrid w:val="0"/>
        <w:spacing w:line="560" w:lineRule="exact"/>
        <w:ind w:firstLine="480"/>
        <w:rPr>
          <w:rFonts w:ascii="宋体"/>
          <w:color w:val="000000"/>
        </w:rPr>
      </w:pPr>
    </w:p>
    <w:p>
      <w:pPr>
        <w:pStyle w:val="2"/>
        <w:numPr>
          <w:ilvl w:val="255"/>
          <w:numId w:val="0"/>
        </w:numPr>
        <w:adjustRightInd w:val="0"/>
        <w:snapToGrid w:val="0"/>
        <w:spacing w:line="560" w:lineRule="exact"/>
        <w:ind w:firstLine="482" w:firstLineChars="200"/>
        <w:rPr>
          <w:rFonts w:ascii="宋体"/>
          <w:color w:val="000000"/>
        </w:rPr>
      </w:pPr>
      <w:r>
        <w:rPr>
          <w:rFonts w:hint="eastAsia" w:ascii="宋体" w:hAnsi="宋体" w:cs="宋体"/>
          <w:color w:val="000000"/>
        </w:rPr>
        <w:t>二、编制过程</w:t>
      </w:r>
    </w:p>
    <w:p>
      <w:pPr>
        <w:adjustRightInd w:val="0"/>
        <w:snapToGrid w:val="0"/>
        <w:spacing w:line="560" w:lineRule="exact"/>
        <w:ind w:firstLine="480"/>
        <w:rPr>
          <w:rFonts w:ascii="宋体"/>
          <w:color w:val="000000"/>
        </w:rPr>
      </w:pPr>
      <w:r>
        <w:rPr>
          <w:rFonts w:ascii="宋体" w:hAnsi="宋体" w:cs="宋体"/>
          <w:color w:val="000000"/>
        </w:rPr>
        <w:t xml:space="preserve">1. </w:t>
      </w:r>
      <w:r>
        <w:rPr>
          <w:rFonts w:hint="eastAsia" w:ascii="宋体" w:hAnsi="宋体" w:cs="宋体"/>
          <w:color w:val="000000"/>
        </w:rPr>
        <w:t>编制原则</w:t>
      </w:r>
    </w:p>
    <w:p>
      <w:pPr>
        <w:pStyle w:val="17"/>
        <w:numPr>
          <w:ilvl w:val="0"/>
          <w:numId w:val="1"/>
        </w:numPr>
        <w:adjustRightInd w:val="0"/>
        <w:snapToGrid w:val="0"/>
        <w:spacing w:line="560" w:lineRule="exact"/>
        <w:ind w:firstLineChars="0"/>
        <w:rPr>
          <w:rFonts w:ascii="宋体"/>
          <w:color w:val="000000"/>
        </w:rPr>
      </w:pPr>
      <w:r>
        <w:rPr>
          <w:rFonts w:hint="eastAsia" w:ascii="宋体" w:hAnsi="宋体" w:cs="宋体"/>
          <w:color w:val="000000"/>
        </w:rPr>
        <w:t>操作规程的内容与现行有效的国家标准与检验规则相协调，技术内容具有科学性和可操作性。</w:t>
      </w:r>
    </w:p>
    <w:p>
      <w:pPr>
        <w:pStyle w:val="17"/>
        <w:numPr>
          <w:ilvl w:val="0"/>
          <w:numId w:val="1"/>
        </w:numPr>
        <w:adjustRightInd w:val="0"/>
        <w:snapToGrid w:val="0"/>
        <w:spacing w:line="560" w:lineRule="exact"/>
        <w:ind w:firstLineChars="0"/>
        <w:rPr>
          <w:rFonts w:ascii="宋体"/>
          <w:color w:val="000000"/>
        </w:rPr>
      </w:pPr>
      <w:r>
        <w:rPr>
          <w:rFonts w:hint="eastAsia" w:ascii="宋体" w:hAnsi="宋体" w:cs="宋体"/>
          <w:color w:val="000000"/>
        </w:rPr>
        <w:t>在充分调研实验的基础上，根据商品包装计量检验的实际操作情况，制定了详细具体的商品包装检测操作过程，减少操作人员对现行国家标准与检验规则产生的歧义。</w:t>
      </w:r>
    </w:p>
    <w:p>
      <w:pPr>
        <w:pStyle w:val="17"/>
        <w:numPr>
          <w:ilvl w:val="0"/>
          <w:numId w:val="1"/>
        </w:numPr>
        <w:adjustRightInd w:val="0"/>
        <w:snapToGrid w:val="0"/>
        <w:spacing w:line="560" w:lineRule="exact"/>
        <w:ind w:firstLineChars="0"/>
        <w:rPr>
          <w:rFonts w:ascii="宋体"/>
          <w:color w:val="000000"/>
        </w:rPr>
      </w:pPr>
      <w:r>
        <w:rPr>
          <w:rFonts w:hint="eastAsia" w:ascii="宋体" w:hAnsi="宋体" w:cs="宋体"/>
          <w:color w:val="000000"/>
        </w:rPr>
        <w:t>规程中的测量方法通过了实验验证，力求科学高效、准确可靠、具备普适性、可操作性。</w:t>
      </w:r>
    </w:p>
    <w:p>
      <w:pPr>
        <w:pStyle w:val="17"/>
        <w:numPr>
          <w:ilvl w:val="0"/>
          <w:numId w:val="1"/>
        </w:numPr>
        <w:adjustRightInd w:val="0"/>
        <w:snapToGrid w:val="0"/>
        <w:spacing w:line="560" w:lineRule="exact"/>
        <w:ind w:firstLineChars="0"/>
        <w:rPr>
          <w:rFonts w:ascii="宋体"/>
          <w:color w:val="000000"/>
        </w:rPr>
      </w:pPr>
      <w:r>
        <w:rPr>
          <w:rFonts w:hint="eastAsia" w:ascii="宋体" w:hAnsi="宋体" w:cs="宋体"/>
          <w:color w:val="000000"/>
        </w:rPr>
        <w:t>文字表述力求层次分明，语句简明，公式表达准确，量和单位使用规范。</w:t>
      </w:r>
    </w:p>
    <w:p>
      <w:pPr>
        <w:pStyle w:val="17"/>
        <w:numPr>
          <w:ilvl w:val="0"/>
          <w:numId w:val="1"/>
        </w:numPr>
        <w:adjustRightInd w:val="0"/>
        <w:snapToGrid w:val="0"/>
        <w:spacing w:line="560" w:lineRule="exact"/>
        <w:ind w:firstLineChars="0"/>
        <w:rPr>
          <w:rFonts w:ascii="宋体"/>
          <w:color w:val="000000"/>
        </w:rPr>
      </w:pPr>
      <w:r>
        <w:rPr>
          <w:rFonts w:hint="eastAsia" w:ascii="宋体" w:hAnsi="宋体" w:cs="宋体"/>
          <w:color w:val="000000"/>
        </w:rPr>
        <w:t>规程编制格式及要求严格按照</w:t>
      </w:r>
      <w:r>
        <w:rPr>
          <w:rFonts w:ascii="宋体" w:hAnsi="宋体" w:cs="宋体"/>
          <w:color w:val="000000"/>
        </w:rPr>
        <w:t xml:space="preserve">JJF 1002-2010 </w:t>
      </w:r>
      <w:r>
        <w:rPr>
          <w:rFonts w:hint="eastAsia" w:ascii="宋体" w:hAnsi="宋体" w:cs="宋体"/>
          <w:color w:val="000000"/>
        </w:rPr>
        <w:t>《国家计量检定规程编写规则》要求进行。</w:t>
      </w:r>
    </w:p>
    <w:p>
      <w:pPr>
        <w:adjustRightInd w:val="0"/>
        <w:snapToGrid w:val="0"/>
        <w:spacing w:line="560" w:lineRule="exact"/>
        <w:ind w:firstLine="480"/>
        <w:rPr>
          <w:rFonts w:ascii="宋体"/>
          <w:color w:val="000000"/>
        </w:rPr>
      </w:pPr>
      <w:r>
        <w:rPr>
          <w:rFonts w:ascii="宋体" w:hAnsi="宋体" w:cs="宋体"/>
          <w:color w:val="000000"/>
        </w:rPr>
        <w:t xml:space="preserve">2. </w:t>
      </w:r>
      <w:r>
        <w:rPr>
          <w:rFonts w:hint="eastAsia" w:ascii="宋体" w:hAnsi="宋体" w:cs="宋体"/>
          <w:color w:val="000000"/>
        </w:rPr>
        <w:t>各阶段工作过程</w:t>
      </w:r>
    </w:p>
    <w:p>
      <w:pPr>
        <w:adjustRightInd w:val="0"/>
        <w:snapToGrid w:val="0"/>
        <w:spacing w:line="560" w:lineRule="exact"/>
        <w:ind w:firstLine="480"/>
        <w:rPr>
          <w:rFonts w:ascii="宋体" w:cs="宋体"/>
          <w:color w:val="000000"/>
        </w:rPr>
      </w:pPr>
      <w:r>
        <w:rPr>
          <w:rFonts w:ascii="宋体" w:hAnsi="宋体" w:cs="宋体"/>
          <w:color w:val="000000"/>
        </w:rPr>
        <w:t>2021</w:t>
      </w:r>
      <w:r>
        <w:rPr>
          <w:rFonts w:hint="eastAsia" w:ascii="宋体" w:hAnsi="宋体" w:cs="宋体"/>
          <w:color w:val="000000"/>
        </w:rPr>
        <w:t>年</w:t>
      </w:r>
      <w:r>
        <w:rPr>
          <w:rFonts w:ascii="宋体" w:hAnsi="宋体" w:cs="宋体"/>
          <w:color w:val="000000"/>
        </w:rPr>
        <w:t>12</w:t>
      </w:r>
      <w:r>
        <w:rPr>
          <w:rFonts w:hint="eastAsia" w:ascii="宋体" w:hAnsi="宋体" w:cs="宋体"/>
          <w:color w:val="000000"/>
        </w:rPr>
        <w:t>月</w:t>
      </w:r>
      <w:r>
        <w:rPr>
          <w:rFonts w:ascii="宋体" w:hAnsi="宋体" w:cs="宋体"/>
          <w:color w:val="000000"/>
        </w:rPr>
        <w:t>7</w:t>
      </w:r>
      <w:r>
        <w:rPr>
          <w:rFonts w:hint="eastAsia" w:ascii="宋体" w:hAnsi="宋体" w:cs="宋体"/>
          <w:color w:val="000000"/>
        </w:rPr>
        <w:t>日，上海市市场监督管理局下发了上海市地方计量技术规范立项任务的通知。</w:t>
      </w:r>
    </w:p>
    <w:p>
      <w:pPr>
        <w:adjustRightInd w:val="0"/>
        <w:snapToGrid w:val="0"/>
        <w:spacing w:line="560" w:lineRule="exact"/>
        <w:ind w:firstLine="480"/>
        <w:rPr>
          <w:rFonts w:ascii="宋体" w:cs="宋体"/>
          <w:color w:val="000000"/>
        </w:rPr>
      </w:pPr>
      <w:r>
        <w:rPr>
          <w:rFonts w:ascii="宋体" w:hAnsi="宋体" w:cs="宋体"/>
          <w:color w:val="000000"/>
        </w:rPr>
        <w:t>2021</w:t>
      </w:r>
      <w:r>
        <w:rPr>
          <w:rFonts w:hint="eastAsia" w:ascii="宋体" w:hAnsi="宋体" w:cs="宋体"/>
          <w:color w:val="000000"/>
        </w:rPr>
        <w:t>年</w:t>
      </w:r>
      <w:r>
        <w:rPr>
          <w:rFonts w:ascii="宋体" w:hAnsi="宋体" w:cs="宋体"/>
          <w:color w:val="000000"/>
        </w:rPr>
        <w:t>12</w:t>
      </w:r>
      <w:r>
        <w:rPr>
          <w:rFonts w:hint="eastAsia" w:ascii="宋体" w:hAnsi="宋体" w:cs="宋体"/>
          <w:color w:val="000000"/>
        </w:rPr>
        <w:t>月</w:t>
      </w:r>
      <w:r>
        <w:rPr>
          <w:rFonts w:ascii="宋体" w:hAnsi="宋体" w:cs="宋体"/>
          <w:color w:val="000000"/>
        </w:rPr>
        <w:t>28</w:t>
      </w:r>
      <w:r>
        <w:rPr>
          <w:rFonts w:hint="eastAsia" w:ascii="宋体" w:hAnsi="宋体" w:cs="宋体"/>
          <w:color w:val="000000"/>
        </w:rPr>
        <w:t>日，上海市计量测试技术研究院，上海市质量监督检验技术研究院、浦东新区计量质量检测所共同参加了本地方计量技术规范的起草推进会议。</w:t>
      </w:r>
    </w:p>
    <w:p>
      <w:pPr>
        <w:adjustRightInd w:val="0"/>
        <w:snapToGrid w:val="0"/>
        <w:spacing w:line="560" w:lineRule="exact"/>
        <w:ind w:firstLine="480"/>
        <w:rPr>
          <w:rFonts w:ascii="宋体"/>
          <w:color w:val="000000"/>
        </w:rPr>
      </w:pPr>
      <w:r>
        <w:rPr>
          <w:rFonts w:ascii="宋体" w:hAnsi="宋体" w:cs="宋体"/>
          <w:color w:val="000000"/>
        </w:rPr>
        <w:t>2022</w:t>
      </w:r>
      <w:r>
        <w:rPr>
          <w:rFonts w:hint="eastAsia" w:ascii="宋体" w:hAnsi="宋体" w:cs="宋体"/>
          <w:color w:val="000000"/>
        </w:rPr>
        <w:t>年</w:t>
      </w:r>
      <w:r>
        <w:rPr>
          <w:rFonts w:ascii="宋体" w:hAnsi="宋体" w:cs="宋体"/>
          <w:color w:val="000000"/>
        </w:rPr>
        <w:t>1</w:t>
      </w:r>
      <w:r>
        <w:rPr>
          <w:rFonts w:hint="eastAsia" w:ascii="宋体" w:hAnsi="宋体" w:cs="宋体"/>
          <w:color w:val="000000"/>
        </w:rPr>
        <w:t>月</w:t>
      </w:r>
      <w:r>
        <w:rPr>
          <w:rFonts w:ascii="宋体" w:cs="宋体"/>
          <w:color w:val="000000"/>
        </w:rPr>
        <w:t>1</w:t>
      </w:r>
      <w:r>
        <w:rPr>
          <w:rFonts w:ascii="宋体" w:hAnsi="宋体" w:cs="宋体"/>
          <w:color w:val="000000"/>
        </w:rPr>
        <w:t>8</w:t>
      </w:r>
      <w:r>
        <w:rPr>
          <w:rFonts w:hint="eastAsia" w:ascii="宋体" w:hAnsi="宋体" w:cs="宋体"/>
          <w:color w:val="000000"/>
        </w:rPr>
        <w:t>日，围绕地方规程成立规程编制工作小组，并制定了规程编制工作计划，明确任务分工及各阶段进度时间，邀请商品包装项目专家共同讨论，开始初稿撰写。</w:t>
      </w:r>
    </w:p>
    <w:p>
      <w:pPr>
        <w:adjustRightInd w:val="0"/>
        <w:snapToGrid w:val="0"/>
        <w:spacing w:line="560" w:lineRule="exact"/>
        <w:ind w:firstLine="480"/>
        <w:rPr>
          <w:rFonts w:ascii="宋体"/>
          <w:color w:val="000000"/>
        </w:rPr>
      </w:pPr>
      <w:r>
        <w:rPr>
          <w:rFonts w:ascii="宋体" w:hAnsi="宋体" w:cs="宋体"/>
          <w:color w:val="000000"/>
        </w:rPr>
        <w:t>2022</w:t>
      </w:r>
      <w:r>
        <w:rPr>
          <w:rFonts w:hint="eastAsia" w:ascii="宋体" w:hAnsi="宋体" w:cs="宋体"/>
          <w:color w:val="000000"/>
        </w:rPr>
        <w:t>年</w:t>
      </w:r>
      <w:r>
        <w:rPr>
          <w:rFonts w:ascii="宋体" w:hAnsi="宋体" w:cs="宋体"/>
          <w:color w:val="000000"/>
        </w:rPr>
        <w:t>2</w:t>
      </w:r>
      <w:r>
        <w:rPr>
          <w:rFonts w:hint="eastAsia" w:ascii="宋体" w:hAnsi="宋体" w:cs="宋体"/>
          <w:color w:val="000000"/>
        </w:rPr>
        <w:t>月</w:t>
      </w:r>
      <w:r>
        <w:rPr>
          <w:rFonts w:ascii="宋体" w:cs="宋体"/>
          <w:color w:val="000000"/>
        </w:rPr>
        <w:t>8</w:t>
      </w:r>
      <w:r>
        <w:rPr>
          <w:rFonts w:hint="eastAsia" w:ascii="宋体" w:cs="宋体"/>
          <w:color w:val="000000"/>
        </w:rPr>
        <w:t>日</w:t>
      </w:r>
      <w:r>
        <w:rPr>
          <w:rFonts w:hint="eastAsia" w:ascii="宋体" w:hAnsi="宋体" w:cs="宋体"/>
          <w:color w:val="000000"/>
        </w:rPr>
        <w:t>，编制组完成规程初稿，规程编制工作小组召开初稿审核会议，邀请商品包装项目专家提出意见。</w:t>
      </w:r>
    </w:p>
    <w:p>
      <w:pPr>
        <w:adjustRightInd w:val="0"/>
        <w:snapToGrid w:val="0"/>
        <w:spacing w:line="560" w:lineRule="exact"/>
        <w:ind w:firstLine="480"/>
        <w:rPr>
          <w:rFonts w:ascii="宋体"/>
        </w:rPr>
      </w:pPr>
      <w:r>
        <w:rPr>
          <w:rFonts w:ascii="宋体" w:hAnsi="宋体" w:cs="宋体"/>
          <w:color w:val="000000"/>
        </w:rPr>
        <w:t>2022</w:t>
      </w:r>
      <w:r>
        <w:rPr>
          <w:rFonts w:hint="eastAsia" w:ascii="宋体" w:hAnsi="宋体" w:cs="宋体"/>
          <w:color w:val="000000"/>
        </w:rPr>
        <w:t>年</w:t>
      </w:r>
      <w:r>
        <w:rPr>
          <w:rFonts w:ascii="宋体" w:hAnsi="宋体" w:cs="宋体"/>
          <w:color w:val="000000"/>
        </w:rPr>
        <w:t>3</w:t>
      </w:r>
      <w:r>
        <w:rPr>
          <w:rFonts w:hint="eastAsia" w:ascii="宋体" w:hAnsi="宋体" w:cs="宋体"/>
          <w:color w:val="000000"/>
        </w:rPr>
        <w:t>月</w:t>
      </w:r>
      <w:r>
        <w:rPr>
          <w:rFonts w:ascii="宋体" w:hAnsi="宋体" w:cs="宋体"/>
          <w:color w:val="000000"/>
        </w:rPr>
        <w:t>-4</w:t>
      </w:r>
      <w:r>
        <w:rPr>
          <w:rFonts w:hint="eastAsia" w:ascii="宋体" w:hAnsi="宋体" w:cs="宋体"/>
          <w:color w:val="000000"/>
        </w:rPr>
        <w:t>月，规程编制工作小组进一步完善规程初稿的各项细节，讨</w:t>
      </w:r>
      <w:r>
        <w:rPr>
          <w:rFonts w:hint="eastAsia" w:ascii="宋体" w:hAnsi="宋体" w:cs="宋体"/>
        </w:rPr>
        <w:t>论整合完成修改稿。</w:t>
      </w:r>
    </w:p>
    <w:p>
      <w:pPr>
        <w:adjustRightInd w:val="0"/>
        <w:snapToGrid w:val="0"/>
        <w:spacing w:line="560" w:lineRule="exact"/>
        <w:ind w:firstLine="480"/>
        <w:rPr>
          <w:rFonts w:ascii="宋体"/>
        </w:rPr>
      </w:pPr>
      <w:r>
        <w:rPr>
          <w:rFonts w:ascii="宋体" w:hAnsi="宋体" w:cs="宋体"/>
        </w:rPr>
        <w:t>2022</w:t>
      </w:r>
      <w:r>
        <w:rPr>
          <w:rFonts w:hint="eastAsia" w:ascii="宋体" w:hAnsi="宋体" w:cs="宋体"/>
        </w:rPr>
        <w:t>年</w:t>
      </w:r>
      <w:r>
        <w:rPr>
          <w:rFonts w:ascii="宋体" w:hAnsi="宋体" w:cs="宋体"/>
        </w:rPr>
        <w:t>6</w:t>
      </w:r>
      <w:r>
        <w:rPr>
          <w:rFonts w:hint="eastAsia" w:ascii="宋体" w:hAnsi="宋体" w:cs="宋体"/>
        </w:rPr>
        <w:t>月</w:t>
      </w:r>
      <w:r>
        <w:rPr>
          <w:rFonts w:ascii="宋体" w:hAnsi="宋体" w:cs="宋体"/>
        </w:rPr>
        <w:t>15</w:t>
      </w:r>
      <w:r>
        <w:rPr>
          <w:rFonts w:hint="eastAsia" w:ascii="宋体" w:hAnsi="宋体" w:cs="宋体"/>
        </w:rPr>
        <w:t>日，陆续向商品包装生产企业等单位征求意见。</w:t>
      </w:r>
    </w:p>
    <w:p>
      <w:pPr>
        <w:adjustRightInd w:val="0"/>
        <w:snapToGrid w:val="0"/>
        <w:spacing w:line="560" w:lineRule="exact"/>
        <w:ind w:firstLine="480"/>
        <w:rPr>
          <w:rFonts w:ascii="宋体" w:hAnsi="宋体" w:cs="宋体"/>
        </w:rPr>
      </w:pPr>
      <w:r>
        <w:rPr>
          <w:rFonts w:ascii="宋体" w:hAnsi="宋体" w:cs="宋体"/>
        </w:rPr>
        <w:t>2022</w:t>
      </w:r>
      <w:r>
        <w:rPr>
          <w:rFonts w:hint="eastAsia" w:ascii="宋体" w:hAnsi="宋体" w:cs="宋体"/>
        </w:rPr>
        <w:t>年</w:t>
      </w:r>
      <w:r>
        <w:rPr>
          <w:rFonts w:ascii="宋体" w:hAnsi="宋体" w:cs="宋体"/>
        </w:rPr>
        <w:t>6</w:t>
      </w:r>
      <w:r>
        <w:rPr>
          <w:rFonts w:hint="eastAsia" w:ascii="宋体" w:hAnsi="宋体" w:cs="宋体"/>
        </w:rPr>
        <w:t>月</w:t>
      </w:r>
      <w:r>
        <w:rPr>
          <w:rFonts w:ascii="宋体" w:hAnsi="宋体" w:cs="宋体"/>
        </w:rPr>
        <w:t>25</w:t>
      </w:r>
      <w:r>
        <w:rPr>
          <w:rFonts w:hint="eastAsia" w:ascii="宋体" w:hAnsi="宋体" w:cs="宋体"/>
        </w:rPr>
        <w:t>日，提交报审稿初稿。</w:t>
      </w:r>
    </w:p>
    <w:p>
      <w:pPr>
        <w:adjustRightInd w:val="0"/>
        <w:snapToGrid w:val="0"/>
        <w:spacing w:line="560" w:lineRule="exact"/>
        <w:ind w:firstLine="480"/>
        <w:rPr>
          <w:rFonts w:ascii="宋体" w:hAnsi="宋体" w:cs="宋体"/>
        </w:rPr>
      </w:pPr>
      <w:r>
        <w:rPr>
          <w:rFonts w:ascii="宋体" w:hAnsi="宋体" w:cs="宋体"/>
        </w:rPr>
        <w:t>2022</w:t>
      </w:r>
      <w:r>
        <w:rPr>
          <w:rFonts w:hint="eastAsia" w:ascii="宋体" w:hAnsi="宋体" w:cs="宋体"/>
        </w:rPr>
        <w:t>年</w:t>
      </w:r>
      <w:r>
        <w:rPr>
          <w:rFonts w:ascii="宋体" w:hAnsi="宋体" w:cs="宋体"/>
        </w:rPr>
        <w:t>7</w:t>
      </w:r>
      <w:r>
        <w:rPr>
          <w:rFonts w:hint="eastAsia" w:ascii="宋体" w:hAnsi="宋体" w:cs="宋体"/>
        </w:rPr>
        <w:t>月，上海市市场监督管理局组织召开上海市地方计量技术规范中期评估会议，并给出规程修改意见。</w:t>
      </w:r>
    </w:p>
    <w:p>
      <w:pPr>
        <w:adjustRightInd w:val="0"/>
        <w:snapToGrid w:val="0"/>
        <w:spacing w:line="560" w:lineRule="exact"/>
        <w:ind w:firstLine="480"/>
        <w:rPr>
          <w:rFonts w:ascii="宋体" w:hAnsi="宋体" w:cs="宋体"/>
        </w:rPr>
      </w:pPr>
      <w:r>
        <w:rPr>
          <w:rFonts w:ascii="宋体" w:hAnsi="宋体" w:cs="宋体"/>
        </w:rPr>
        <w:t>2022</w:t>
      </w:r>
      <w:r>
        <w:rPr>
          <w:rFonts w:hint="eastAsia" w:ascii="宋体" w:hAnsi="宋体" w:cs="宋体"/>
        </w:rPr>
        <w:t>年</w:t>
      </w:r>
      <w:r>
        <w:rPr>
          <w:rFonts w:ascii="宋体" w:hAnsi="宋体" w:cs="宋体"/>
        </w:rPr>
        <w:t>7</w:t>
      </w:r>
      <w:r>
        <w:rPr>
          <w:rFonts w:hint="eastAsia" w:ascii="宋体" w:hAnsi="宋体" w:cs="宋体"/>
        </w:rPr>
        <w:t>月，结合中期评估会议意见、计量技术委员会秘书处以及各技术机构的反馈，编制工作组进行认真分析、理解和总结，对规程初稿进行讨论、研究和修改，形成送审稿。</w:t>
      </w:r>
    </w:p>
    <w:p>
      <w:pPr>
        <w:spacing w:line="360" w:lineRule="auto"/>
        <w:ind w:firstLine="480"/>
        <w:rPr>
          <w:color w:val="000000"/>
          <w:szCs w:val="21"/>
        </w:rPr>
      </w:pPr>
      <w:r>
        <w:rPr>
          <w:rFonts w:hint="eastAsia" w:ascii="宋体" w:hAnsi="宋体" w:cs="宋体"/>
        </w:rPr>
        <w:t>2002年8月初，</w:t>
      </w:r>
      <w:r>
        <w:rPr>
          <w:rFonts w:hint="eastAsia"/>
          <w:color w:val="000000"/>
          <w:szCs w:val="21"/>
        </w:rPr>
        <w:t>2021年08月10日国家市场监督管理总局和国家标准化管理委员会又发布了《GB23350-2021限制商品过度包装要求 食品和化妆品》新标准，其中的一号修改单内粽子和月饼类产品于2022年8月15日实施，其他品类于2023年9月1日实施。为了更好地衔接新国标，起草小组把新国标中的主要技术变更及检验方法做了补充。</w:t>
      </w:r>
    </w:p>
    <w:p>
      <w:pPr>
        <w:adjustRightInd w:val="0"/>
        <w:snapToGrid w:val="0"/>
        <w:spacing w:line="560" w:lineRule="exact"/>
        <w:ind w:firstLine="480"/>
        <w:rPr>
          <w:rFonts w:ascii="宋体"/>
        </w:rPr>
      </w:pPr>
      <w:r>
        <w:rPr>
          <w:rFonts w:ascii="宋体" w:hAnsi="宋体" w:cs="宋体"/>
        </w:rPr>
        <w:t xml:space="preserve">3. </w:t>
      </w:r>
      <w:r>
        <w:rPr>
          <w:rFonts w:hint="eastAsia" w:ascii="宋体" w:hAnsi="宋体" w:cs="宋体"/>
        </w:rPr>
        <w:t>征求意见单位</w:t>
      </w:r>
    </w:p>
    <w:p>
      <w:pPr>
        <w:adjustRightInd w:val="0"/>
        <w:snapToGrid w:val="0"/>
        <w:spacing w:after="156" w:line="560" w:lineRule="exact"/>
        <w:ind w:firstLine="480"/>
        <w:rPr>
          <w:rFonts w:ascii="宋体" w:hAnsi="宋体" w:cs="宋体"/>
        </w:rPr>
      </w:pPr>
      <w:r>
        <w:rPr>
          <w:rFonts w:hint="eastAsia" w:ascii="宋体" w:hAnsi="宋体" w:cs="宋体"/>
        </w:rPr>
        <w:t>共向商品包装销售企业、生产企业、全国委员会及各省市计量研究院等25家单位征求了意见。收到了</w:t>
      </w:r>
      <w:r>
        <w:rPr>
          <w:rFonts w:ascii="宋体" w:hAnsi="宋体" w:cs="宋体"/>
        </w:rPr>
        <w:t>1</w:t>
      </w:r>
      <w:r>
        <w:rPr>
          <w:rFonts w:hint="eastAsia" w:ascii="宋体" w:hAnsi="宋体" w:cs="宋体"/>
        </w:rPr>
        <w:t>2家单位不同形式的回复，其中全国委员会、浙江省计量科学研究院、安徽省计量科学研究院、温州市计量科学研究院、上海市奉贤区计量检定所、松江区计量质量检测所、欧莱雅(中国)有限公司、妮维雅(上海)有限公司、上海冠生园蜂制品有限公司，9家单位提出了具体意见。</w:t>
      </w:r>
    </w:p>
    <w:p>
      <w:pPr>
        <w:pStyle w:val="2"/>
        <w:numPr>
          <w:ilvl w:val="255"/>
          <w:numId w:val="0"/>
        </w:numPr>
        <w:adjustRightInd w:val="0"/>
        <w:snapToGrid w:val="0"/>
        <w:spacing w:after="156" w:line="560" w:lineRule="exact"/>
        <w:ind w:firstLine="482" w:firstLineChars="200"/>
        <w:rPr>
          <w:rFonts w:ascii="宋体"/>
        </w:rPr>
      </w:pPr>
      <w:r>
        <w:rPr>
          <w:rFonts w:hint="eastAsia" w:ascii="宋体" w:hAnsi="宋体" w:cs="宋体"/>
        </w:rPr>
        <w:t>三、编制主要技术依据</w:t>
      </w:r>
    </w:p>
    <w:p>
      <w:pPr>
        <w:adjustRightInd w:val="0"/>
        <w:snapToGrid w:val="0"/>
        <w:spacing w:line="560" w:lineRule="exact"/>
        <w:ind w:firstLine="480"/>
        <w:rPr>
          <w:rFonts w:ascii="宋体"/>
        </w:rPr>
      </w:pPr>
      <w:r>
        <w:rPr>
          <w:rFonts w:ascii="宋体" w:hAnsi="宋体" w:cs="宋体"/>
        </w:rPr>
        <w:t xml:space="preserve">JJF 1002-2010 </w:t>
      </w:r>
      <w:r>
        <w:rPr>
          <w:rFonts w:hint="eastAsia" w:ascii="宋体" w:hAnsi="宋体" w:cs="宋体"/>
        </w:rPr>
        <w:t>国家计量检定规程编写规则</w:t>
      </w:r>
    </w:p>
    <w:p>
      <w:pPr>
        <w:adjustRightInd w:val="0"/>
        <w:snapToGrid w:val="0"/>
        <w:spacing w:line="560" w:lineRule="exact"/>
        <w:ind w:firstLine="480"/>
        <w:rPr>
          <w:rFonts w:ascii="宋体" w:hAnsi="宋体" w:cs="宋体"/>
        </w:rPr>
      </w:pPr>
      <w:r>
        <w:rPr>
          <w:rFonts w:ascii="宋体" w:hAnsi="宋体" w:cs="宋体"/>
        </w:rPr>
        <w:t xml:space="preserve">GB 23350-2009 </w:t>
      </w:r>
      <w:r>
        <w:rPr>
          <w:rFonts w:hint="eastAsia" w:ascii="宋体" w:hAnsi="宋体" w:cs="宋体"/>
        </w:rPr>
        <w:t>限制商品过度包装要求</w:t>
      </w:r>
      <w:r>
        <w:rPr>
          <w:rFonts w:ascii="宋体" w:hAnsi="宋体" w:cs="宋体"/>
        </w:rPr>
        <w:t xml:space="preserve"> </w:t>
      </w:r>
      <w:r>
        <w:rPr>
          <w:rFonts w:hint="eastAsia" w:ascii="宋体" w:hAnsi="宋体" w:cs="宋体"/>
        </w:rPr>
        <w:t>食品和化妆品</w:t>
      </w:r>
    </w:p>
    <w:p>
      <w:pPr>
        <w:adjustRightInd w:val="0"/>
        <w:snapToGrid w:val="0"/>
        <w:spacing w:line="560" w:lineRule="exact"/>
        <w:ind w:firstLine="480"/>
        <w:rPr>
          <w:rFonts w:ascii="宋体" w:hAnsi="宋体" w:cs="宋体"/>
        </w:rPr>
      </w:pPr>
      <w:r>
        <w:rPr>
          <w:rFonts w:ascii="宋体" w:hAnsi="宋体" w:cs="宋体"/>
        </w:rPr>
        <w:t>GB 23350-20</w:t>
      </w:r>
      <w:r>
        <w:rPr>
          <w:rFonts w:hint="eastAsia" w:ascii="宋体" w:hAnsi="宋体" w:cs="宋体"/>
        </w:rPr>
        <w:t>21</w:t>
      </w:r>
      <w:r>
        <w:rPr>
          <w:rFonts w:ascii="宋体" w:hAnsi="宋体" w:cs="宋体"/>
        </w:rPr>
        <w:t xml:space="preserve"> </w:t>
      </w:r>
      <w:r>
        <w:rPr>
          <w:rFonts w:hint="eastAsia" w:ascii="宋体" w:hAnsi="宋体" w:cs="宋体"/>
        </w:rPr>
        <w:t>限制商品过度包装要求</w:t>
      </w:r>
      <w:r>
        <w:rPr>
          <w:rFonts w:ascii="宋体" w:hAnsi="宋体" w:cs="宋体"/>
        </w:rPr>
        <w:t xml:space="preserve"> </w:t>
      </w:r>
      <w:r>
        <w:rPr>
          <w:rFonts w:hint="eastAsia" w:ascii="宋体" w:hAnsi="宋体" w:cs="宋体"/>
        </w:rPr>
        <w:t>食品和化妆品</w:t>
      </w:r>
    </w:p>
    <w:p>
      <w:pPr>
        <w:adjustRightInd w:val="0"/>
        <w:snapToGrid w:val="0"/>
        <w:spacing w:line="560" w:lineRule="exact"/>
        <w:ind w:firstLine="480"/>
        <w:rPr>
          <w:rFonts w:ascii="宋体" w:cs="宋体"/>
        </w:rPr>
      </w:pPr>
      <w:r>
        <w:rPr>
          <w:rFonts w:ascii="宋体" w:hAnsi="宋体" w:cs="宋体"/>
        </w:rPr>
        <w:t xml:space="preserve">JJF 1244-2010 </w:t>
      </w:r>
      <w:r>
        <w:rPr>
          <w:rFonts w:hint="eastAsia" w:ascii="宋体" w:hAnsi="宋体" w:cs="宋体"/>
        </w:rPr>
        <w:t>食品和化妆品包装计量检验规则</w:t>
      </w:r>
    </w:p>
    <w:p>
      <w:pPr>
        <w:adjustRightInd w:val="0"/>
        <w:snapToGrid w:val="0"/>
        <w:spacing w:line="560" w:lineRule="exact"/>
        <w:ind w:firstLine="480"/>
        <w:rPr>
          <w:rFonts w:ascii="宋体"/>
        </w:rPr>
      </w:pPr>
      <w:r>
        <w:rPr>
          <w:rFonts w:hint="eastAsia" w:ascii="宋体" w:hAnsi="宋体" w:cs="宋体"/>
        </w:rPr>
        <w:t>注</w:t>
      </w:r>
      <w:r>
        <w:rPr>
          <w:rFonts w:ascii="宋体" w:hAnsi="宋体" w:cs="宋体"/>
        </w:rPr>
        <w:t>:</w:t>
      </w:r>
      <w:r>
        <w:rPr>
          <w:rFonts w:hint="eastAsia" w:ascii="宋体" w:hAnsi="宋体" w:cs="宋体"/>
        </w:rPr>
        <w:t>使用本规程时，应注意使用引用文献的现行有效版本。</w:t>
      </w:r>
    </w:p>
    <w:p>
      <w:pPr>
        <w:pStyle w:val="2"/>
        <w:numPr>
          <w:ilvl w:val="255"/>
          <w:numId w:val="0"/>
        </w:numPr>
        <w:adjustRightInd w:val="0"/>
        <w:snapToGrid w:val="0"/>
        <w:spacing w:before="156" w:after="156" w:line="560" w:lineRule="exact"/>
        <w:ind w:firstLine="482" w:firstLineChars="200"/>
        <w:rPr>
          <w:rFonts w:ascii="宋体"/>
        </w:rPr>
      </w:pPr>
      <w:r>
        <w:rPr>
          <w:rFonts w:hint="eastAsia" w:ascii="宋体" w:hAnsi="宋体" w:cs="宋体"/>
        </w:rPr>
        <w:t>四、编制主要技术内容</w:t>
      </w:r>
    </w:p>
    <w:p>
      <w:pPr>
        <w:adjustRightInd w:val="0"/>
        <w:snapToGrid w:val="0"/>
        <w:spacing w:line="560" w:lineRule="exact"/>
        <w:ind w:firstLine="480"/>
      </w:pPr>
      <w:r>
        <w:rPr>
          <w:rFonts w:hint="eastAsia" w:cs="宋体"/>
        </w:rPr>
        <w:t>（一）主要技术内容的确定依据</w:t>
      </w:r>
    </w:p>
    <w:p>
      <w:pPr>
        <w:adjustRightInd w:val="0"/>
        <w:snapToGrid w:val="0"/>
        <w:spacing w:line="560" w:lineRule="exact"/>
        <w:ind w:firstLine="480"/>
        <w:rPr>
          <w:rFonts w:ascii="宋体"/>
        </w:rPr>
      </w:pPr>
      <w:r>
        <w:rPr>
          <w:rFonts w:ascii="宋体" w:hAnsi="宋体" w:cs="宋体"/>
        </w:rPr>
        <w:t>1</w:t>
      </w:r>
      <w:r>
        <w:rPr>
          <w:rFonts w:hint="eastAsia" w:ascii="宋体" w:hAnsi="宋体" w:cs="宋体"/>
        </w:rPr>
        <w:t>、商品包装计量检验限量要求的确定</w:t>
      </w:r>
    </w:p>
    <w:p>
      <w:pPr>
        <w:adjustRightInd w:val="0"/>
        <w:snapToGrid w:val="0"/>
        <w:spacing w:line="560" w:lineRule="exact"/>
        <w:ind w:firstLine="480"/>
        <w:rPr>
          <w:rFonts w:ascii="宋体" w:cs="宋体"/>
        </w:rPr>
      </w:pPr>
      <w:r>
        <w:rPr>
          <w:rFonts w:hint="eastAsia" w:ascii="宋体" w:hAnsi="宋体" w:cs="宋体"/>
        </w:rPr>
        <w:t>主要参考</w:t>
      </w:r>
      <w:r>
        <w:rPr>
          <w:rFonts w:ascii="宋体" w:hAnsi="宋体" w:cs="宋体"/>
        </w:rPr>
        <w:t>GB 23350-2009</w:t>
      </w:r>
      <w:r>
        <w:rPr>
          <w:rFonts w:hint="eastAsia" w:ascii="宋体" w:hAnsi="宋体" w:cs="宋体"/>
        </w:rPr>
        <w:t>限制商品过度包装的限量要求，并与</w:t>
      </w:r>
      <w:r>
        <w:rPr>
          <w:rFonts w:ascii="宋体" w:hAnsi="宋体" w:cs="宋体"/>
        </w:rPr>
        <w:t>GB 23350-2009</w:t>
      </w:r>
      <w:r>
        <w:rPr>
          <w:rFonts w:hint="eastAsia" w:ascii="宋体" w:hAnsi="宋体" w:cs="宋体"/>
        </w:rPr>
        <w:t>保持一致。新增了</w:t>
      </w:r>
      <w:r>
        <w:rPr>
          <w:rFonts w:ascii="宋体" w:hAnsi="宋体" w:cs="宋体"/>
        </w:rPr>
        <w:t>GB 23350-20</w:t>
      </w:r>
      <w:r>
        <w:rPr>
          <w:rFonts w:hint="eastAsia" w:ascii="宋体" w:hAnsi="宋体" w:cs="宋体"/>
        </w:rPr>
        <w:t>21版中的限量要求及K值表。</w:t>
      </w:r>
    </w:p>
    <w:p>
      <w:pPr>
        <w:adjustRightInd w:val="0"/>
        <w:snapToGrid w:val="0"/>
        <w:spacing w:line="560" w:lineRule="exact"/>
        <w:ind w:firstLine="480"/>
        <w:rPr>
          <w:rFonts w:ascii="宋体"/>
        </w:rPr>
      </w:pPr>
      <w:r>
        <w:rPr>
          <w:rFonts w:ascii="宋体" w:hAnsi="宋体" w:cs="宋体"/>
        </w:rPr>
        <w:t>2</w:t>
      </w:r>
      <w:r>
        <w:rPr>
          <w:rFonts w:hint="eastAsia" w:ascii="宋体" w:hAnsi="宋体" w:cs="宋体"/>
        </w:rPr>
        <w:t>、商品包装计量检验检测方法的确定</w:t>
      </w:r>
    </w:p>
    <w:p>
      <w:pPr>
        <w:adjustRightInd w:val="0"/>
        <w:snapToGrid w:val="0"/>
        <w:spacing w:line="560" w:lineRule="exact"/>
        <w:ind w:firstLine="480"/>
        <w:rPr>
          <w:rFonts w:ascii="宋体" w:cs="宋体"/>
        </w:rPr>
      </w:pPr>
      <w:r>
        <w:rPr>
          <w:rFonts w:hint="eastAsia" w:ascii="宋体" w:hAnsi="宋体" w:cs="宋体"/>
        </w:rPr>
        <w:t>主要参考</w:t>
      </w:r>
      <w:r>
        <w:rPr>
          <w:rFonts w:ascii="宋体" w:hAnsi="宋体" w:cs="宋体"/>
        </w:rPr>
        <w:t>JJF1244-2010</w:t>
      </w:r>
      <w:r>
        <w:rPr>
          <w:rFonts w:hint="eastAsia" w:ascii="宋体" w:hAnsi="宋体" w:cs="宋体"/>
        </w:rPr>
        <w:t>规程的检测方法，与</w:t>
      </w:r>
      <w:r>
        <w:rPr>
          <w:rFonts w:ascii="宋体" w:hAnsi="宋体" w:cs="宋体"/>
        </w:rPr>
        <w:t>GB 23350-2009</w:t>
      </w:r>
      <w:r>
        <w:rPr>
          <w:rFonts w:hint="eastAsia" w:ascii="宋体" w:hAnsi="宋体" w:cs="宋体"/>
        </w:rPr>
        <w:t>要求保持了一致性和统一性。新增了GB23350-2021版中的三个检验方法。</w:t>
      </w:r>
    </w:p>
    <w:p>
      <w:pPr>
        <w:adjustRightInd w:val="0"/>
        <w:snapToGrid w:val="0"/>
        <w:spacing w:line="560" w:lineRule="exact"/>
        <w:ind w:firstLine="480"/>
        <w:rPr>
          <w:rFonts w:ascii="宋体"/>
        </w:rPr>
      </w:pPr>
      <w:r>
        <w:rPr>
          <w:rFonts w:hint="eastAsia" w:ascii="宋体" w:hAnsi="宋体" w:cs="宋体"/>
        </w:rPr>
        <w:t>（二）新增技术内容说明</w:t>
      </w:r>
    </w:p>
    <w:p>
      <w:pPr>
        <w:adjustRightInd w:val="0"/>
        <w:snapToGrid w:val="0"/>
        <w:spacing w:line="560" w:lineRule="exact"/>
        <w:ind w:firstLine="480"/>
        <w:rPr>
          <w:rFonts w:ascii="宋体" w:cs="宋体"/>
        </w:rPr>
      </w:pPr>
      <w:r>
        <w:rPr>
          <w:rFonts w:hint="eastAsia" w:ascii="宋体" w:hAnsi="宋体" w:cs="宋体"/>
        </w:rPr>
        <w:t>本规范以国家标准</w:t>
      </w:r>
      <w:r>
        <w:rPr>
          <w:rFonts w:ascii="宋体" w:hAnsi="宋体" w:cs="宋体"/>
        </w:rPr>
        <w:t xml:space="preserve">GB 23350-2009 </w:t>
      </w:r>
      <w:r>
        <w:rPr>
          <w:rFonts w:hint="eastAsia" w:ascii="宋体" w:hAnsi="宋体" w:cs="宋体"/>
        </w:rPr>
        <w:t>《限制商品过度包装要求</w:t>
      </w:r>
      <w:r>
        <w:rPr>
          <w:rFonts w:ascii="宋体" w:hAnsi="宋体" w:cs="宋体"/>
        </w:rPr>
        <w:t xml:space="preserve"> </w:t>
      </w:r>
      <w:r>
        <w:rPr>
          <w:rFonts w:hint="eastAsia" w:ascii="宋体" w:hAnsi="宋体" w:cs="宋体"/>
        </w:rPr>
        <w:t>食品和化妆品》与</w:t>
      </w:r>
      <w:r>
        <w:rPr>
          <w:rFonts w:ascii="宋体" w:hAnsi="宋体" w:cs="宋体"/>
        </w:rPr>
        <w:t>JJF1244-2010</w:t>
      </w:r>
      <w:r>
        <w:rPr>
          <w:rFonts w:hint="eastAsia" w:ascii="宋体" w:hAnsi="宋体" w:cs="宋体"/>
        </w:rPr>
        <w:t>《食品和化妆品包装计量检验规则》为主要技术依据，新增了</w:t>
      </w:r>
      <w:r>
        <w:rPr>
          <w:rFonts w:hint="eastAsia" w:hAnsi="宋体" w:cs="宋体"/>
        </w:rPr>
        <w:t>增加了关于产品销售包装执行GB 23350-2021《限制商品过度包装要求 食品和化妆品》和GB 23350-2021《限制商品过度包装要求 食品和化妆品》国家标准第1号修改单的内容。</w:t>
      </w:r>
      <w:r>
        <w:rPr>
          <w:rFonts w:hint="eastAsia" w:ascii="宋体" w:hAnsi="宋体" w:cs="宋体"/>
        </w:rPr>
        <w:t>并根据政府有关部门的要求，推动商品过度包装检验项目“检验流程、操作方法、判定尺度”三统一，保障精准高效执法，提升长三角市场监管一体化合作水平，主要对食品和化妆品包装计量检验的方法及操作过程等进行了适当的细化，形成现有的食品和化妆品包装计量操作规程。主要技术变化如下：</w:t>
      </w:r>
    </w:p>
    <w:p>
      <w:pPr>
        <w:adjustRightInd w:val="0"/>
        <w:snapToGrid w:val="0"/>
        <w:spacing w:line="560" w:lineRule="exact"/>
        <w:ind w:firstLine="480"/>
        <w:rPr>
          <w:rFonts w:ascii="宋体" w:hAnsi="宋体" w:cs="宋体"/>
        </w:rPr>
      </w:pPr>
      <w:r>
        <w:rPr>
          <w:rFonts w:hint="eastAsia" w:ascii="宋体" w:hAnsi="宋体" w:cs="宋体"/>
        </w:rPr>
        <w:t>——增加了销售包装、饮料酒、保健食品、贵金属、红木的定义；</w:t>
      </w:r>
    </w:p>
    <w:p>
      <w:pPr>
        <w:adjustRightInd w:val="0"/>
        <w:snapToGrid w:val="0"/>
        <w:spacing w:line="560" w:lineRule="exact"/>
        <w:ind w:firstLine="480"/>
        <w:rPr>
          <w:rFonts w:ascii="宋体" w:hAnsi="宋体" w:cs="宋体"/>
        </w:rPr>
      </w:pPr>
      <w:r>
        <w:rPr>
          <w:rFonts w:hint="eastAsia" w:ascii="宋体" w:hAnsi="宋体" w:cs="宋体"/>
        </w:rPr>
        <w:t>——增加了食品和化妆品类限量要求的注解；</w:t>
      </w:r>
    </w:p>
    <w:p>
      <w:pPr>
        <w:adjustRightInd w:val="0"/>
        <w:snapToGrid w:val="0"/>
        <w:spacing w:line="560" w:lineRule="exact"/>
        <w:ind w:firstLine="480"/>
        <w:rPr>
          <w:rFonts w:ascii="宋体" w:hAnsi="宋体" w:cs="宋体"/>
        </w:rPr>
      </w:pPr>
      <w:r>
        <w:rPr>
          <w:rFonts w:hint="eastAsia" w:ascii="宋体" w:hAnsi="宋体" w:cs="宋体"/>
        </w:rPr>
        <w:t>——增加了网络抽样的方法；</w:t>
      </w:r>
    </w:p>
    <w:p>
      <w:pPr>
        <w:adjustRightInd w:val="0"/>
        <w:snapToGrid w:val="0"/>
        <w:spacing w:line="560" w:lineRule="exact"/>
        <w:ind w:firstLine="480"/>
        <w:rPr>
          <w:rFonts w:ascii="宋体" w:hAnsi="宋体" w:cs="宋体"/>
        </w:rPr>
      </w:pPr>
      <w:r>
        <w:rPr>
          <w:rFonts w:hint="eastAsia" w:ascii="宋体" w:hAnsi="宋体" w:cs="宋体"/>
        </w:rPr>
        <w:t>——增加了高度卡尺和数显卡尺测量设备计量要求；</w:t>
      </w:r>
    </w:p>
    <w:p>
      <w:pPr>
        <w:adjustRightInd w:val="0"/>
        <w:snapToGrid w:val="0"/>
        <w:spacing w:line="560" w:lineRule="exact"/>
        <w:ind w:firstLine="480"/>
        <w:rPr>
          <w:rFonts w:ascii="宋体" w:hAnsi="宋体" w:cs="宋体"/>
        </w:rPr>
      </w:pPr>
      <w:r>
        <w:rPr>
          <w:rFonts w:hint="eastAsia" w:ascii="宋体" w:hAnsi="宋体" w:cs="宋体"/>
        </w:rPr>
        <w:t>——细化了包装空隙率检验的操作过程；</w:t>
      </w:r>
    </w:p>
    <w:p>
      <w:pPr>
        <w:adjustRightInd w:val="0"/>
        <w:snapToGrid w:val="0"/>
        <w:spacing w:line="560" w:lineRule="exact"/>
        <w:ind w:firstLine="480"/>
        <w:rPr>
          <w:rFonts w:ascii="宋体" w:hAnsi="宋体" w:cs="宋体"/>
        </w:rPr>
      </w:pPr>
      <w:r>
        <w:rPr>
          <w:rFonts w:hint="eastAsia" w:ascii="宋体" w:hAnsi="宋体" w:cs="宋体"/>
        </w:rPr>
        <w:t>——增加了软包装与多件包装体积的测量方法；</w:t>
      </w:r>
    </w:p>
    <w:p>
      <w:pPr>
        <w:adjustRightInd w:val="0"/>
        <w:snapToGrid w:val="0"/>
        <w:spacing w:line="560" w:lineRule="exact"/>
        <w:ind w:firstLine="480"/>
        <w:rPr>
          <w:rFonts w:ascii="宋体" w:hAnsi="宋体" w:cs="宋体"/>
        </w:rPr>
      </w:pPr>
      <w:r>
        <w:rPr>
          <w:rFonts w:hint="eastAsia" w:ascii="宋体" w:hAnsi="宋体" w:cs="宋体"/>
        </w:rPr>
        <w:t>——增加了赠品参与计算初始包装体积的原则；</w:t>
      </w:r>
    </w:p>
    <w:p>
      <w:pPr>
        <w:adjustRightInd w:val="0"/>
        <w:snapToGrid w:val="0"/>
        <w:spacing w:line="560" w:lineRule="exact"/>
        <w:ind w:firstLine="480"/>
        <w:rPr>
          <w:rFonts w:ascii="宋体" w:hAnsi="宋体" w:cs="宋体"/>
        </w:rPr>
      </w:pPr>
      <w:r>
        <w:rPr>
          <w:rFonts w:hint="eastAsia" w:ascii="宋体" w:hAnsi="宋体" w:cs="宋体"/>
        </w:rPr>
        <w:t>——增加了GB23350-2021版原始记录和证书报告的模板；</w:t>
      </w:r>
    </w:p>
    <w:p>
      <w:pPr>
        <w:adjustRightInd w:val="0"/>
        <w:snapToGrid w:val="0"/>
        <w:spacing w:line="560" w:lineRule="exact"/>
        <w:ind w:firstLine="480"/>
        <w:rPr>
          <w:rFonts w:ascii="宋体" w:hAnsi="宋体" w:cs="宋体"/>
        </w:rPr>
      </w:pPr>
      <w:r>
        <w:rPr>
          <w:rFonts w:hint="eastAsia" w:ascii="宋体" w:hAnsi="宋体" w:cs="宋体"/>
        </w:rPr>
        <w:t>——更新了食品和化妆品包装计量监督检验抽样单和原始记录与注释。</w:t>
      </w:r>
    </w:p>
    <w:p>
      <w:pPr>
        <w:pStyle w:val="2"/>
        <w:numPr>
          <w:ilvl w:val="255"/>
          <w:numId w:val="0"/>
        </w:numPr>
        <w:adjustRightInd w:val="0"/>
        <w:snapToGrid w:val="0"/>
        <w:spacing w:line="360" w:lineRule="auto"/>
        <w:ind w:firstLine="482" w:firstLineChars="200"/>
        <w:rPr>
          <w:rFonts w:ascii="宋体"/>
        </w:rPr>
      </w:pPr>
      <w:r>
        <w:rPr>
          <w:rFonts w:hint="eastAsia" w:ascii="宋体" w:hAnsi="宋体" w:cs="宋体"/>
        </w:rPr>
        <w:t>五、与现行法规、标准的关系</w:t>
      </w:r>
    </w:p>
    <w:p>
      <w:pPr>
        <w:adjustRightInd w:val="0"/>
        <w:snapToGrid w:val="0"/>
        <w:spacing w:line="560" w:lineRule="exact"/>
        <w:ind w:firstLine="480"/>
        <w:rPr>
          <w:rFonts w:ascii="宋体" w:hAnsi="宋体" w:cs="宋体"/>
        </w:rPr>
      </w:pPr>
      <w:r>
        <w:rPr>
          <w:rFonts w:hint="eastAsia" w:ascii="宋体" w:hAnsi="宋体" w:cs="宋体"/>
        </w:rPr>
        <w:t>目前商品包装计量检验依据国家标准</w:t>
      </w:r>
      <w:r>
        <w:rPr>
          <w:rFonts w:ascii="宋体" w:hAnsi="宋体" w:cs="宋体"/>
        </w:rPr>
        <w:t xml:space="preserve">GB 23350-2009 </w:t>
      </w:r>
      <w:r>
        <w:rPr>
          <w:rFonts w:hint="eastAsia" w:ascii="宋体" w:hAnsi="宋体" w:cs="宋体"/>
        </w:rPr>
        <w:t>《限制商品过度包装要求</w:t>
      </w:r>
      <w:r>
        <w:rPr>
          <w:rFonts w:ascii="宋体" w:hAnsi="宋体" w:cs="宋体"/>
        </w:rPr>
        <w:t xml:space="preserve"> </w:t>
      </w:r>
      <w:r>
        <w:rPr>
          <w:rFonts w:hint="eastAsia" w:ascii="宋体" w:hAnsi="宋体" w:cs="宋体"/>
        </w:rPr>
        <w:t>食品和化妆品》与国家计量技术规范</w:t>
      </w:r>
      <w:r>
        <w:rPr>
          <w:rFonts w:ascii="宋体" w:hAnsi="宋体" w:cs="宋体"/>
        </w:rPr>
        <w:t>JJF1244-2010</w:t>
      </w:r>
      <w:r>
        <w:rPr>
          <w:rFonts w:hint="eastAsia" w:ascii="宋体" w:hAnsi="宋体" w:cs="宋体"/>
        </w:rPr>
        <w:t>《食品和化妆品包装计量检验规则》，本规程是为了在</w:t>
      </w:r>
      <w:r>
        <w:rPr>
          <w:rFonts w:ascii="宋体" w:hAnsi="宋体" w:cs="宋体"/>
        </w:rPr>
        <w:t>JJF1244-2010</w:t>
      </w:r>
      <w:r>
        <w:rPr>
          <w:rFonts w:hint="eastAsia" w:ascii="宋体" w:hAnsi="宋体" w:cs="宋体"/>
        </w:rPr>
        <w:t>使用过程中，规范检验人员的操作方法和流程，减少结果误差，也为了更好地衔接新</w:t>
      </w:r>
      <w:r>
        <w:rPr>
          <w:rFonts w:ascii="宋体" w:hAnsi="宋体" w:cs="宋体"/>
        </w:rPr>
        <w:t>GB 23350-20</w:t>
      </w:r>
      <w:r>
        <w:rPr>
          <w:rFonts w:hint="eastAsia" w:ascii="宋体" w:hAnsi="宋体" w:cs="宋体"/>
        </w:rPr>
        <w:t>21</w:t>
      </w:r>
      <w:r>
        <w:rPr>
          <w:rFonts w:ascii="宋体" w:hAnsi="宋体" w:cs="宋体"/>
        </w:rPr>
        <w:t xml:space="preserve"> </w:t>
      </w:r>
      <w:r>
        <w:rPr>
          <w:rFonts w:hint="eastAsia" w:ascii="宋体" w:hAnsi="宋体" w:cs="宋体"/>
        </w:rPr>
        <w:t>《限制商品过度包装要求</w:t>
      </w:r>
      <w:r>
        <w:rPr>
          <w:rFonts w:ascii="宋体" w:hAnsi="宋体" w:cs="宋体"/>
        </w:rPr>
        <w:t xml:space="preserve"> </w:t>
      </w:r>
      <w:r>
        <w:rPr>
          <w:rFonts w:hint="eastAsia" w:ascii="宋体" w:hAnsi="宋体" w:cs="宋体"/>
        </w:rPr>
        <w:t>食品和化妆品》，在三角范围内建立一套社会公认的商品包装检测规程，优化营商环境。</w:t>
      </w:r>
    </w:p>
    <w:p>
      <w:pPr>
        <w:pStyle w:val="18"/>
        <w:spacing w:line="360" w:lineRule="auto"/>
        <w:ind w:firstLine="480"/>
        <w:rPr>
          <w:rFonts w:hAnsi="宋体" w:cs="宋体"/>
          <w:kern w:val="2"/>
          <w:sz w:val="24"/>
          <w:szCs w:val="24"/>
        </w:rPr>
      </w:pPr>
      <w:r>
        <w:rPr>
          <w:rFonts w:hAnsi="宋体" w:cs="宋体"/>
          <w:kern w:val="2"/>
          <w:sz w:val="24"/>
          <w:szCs w:val="24"/>
        </w:rPr>
        <w:t>GB 23350-2021《限制商品过度包装要求食品和化妆品》与2009版比对，主要变化如下:</w:t>
      </w:r>
    </w:p>
    <w:p>
      <w:pPr>
        <w:pStyle w:val="18"/>
        <w:spacing w:line="360" w:lineRule="auto"/>
        <w:ind w:firstLine="480"/>
        <w:rPr>
          <w:rFonts w:hAnsi="宋体" w:cs="宋体"/>
          <w:kern w:val="2"/>
          <w:sz w:val="24"/>
          <w:szCs w:val="24"/>
        </w:rPr>
      </w:pPr>
      <w:r>
        <w:rPr>
          <w:rFonts w:hAnsi="宋体" w:cs="宋体"/>
          <w:kern w:val="2"/>
          <w:sz w:val="24"/>
          <w:szCs w:val="24"/>
        </w:rPr>
        <w:t>1、标准效力：</w:t>
      </w:r>
    </w:p>
    <w:p>
      <w:pPr>
        <w:pStyle w:val="18"/>
        <w:spacing w:line="360" w:lineRule="auto"/>
        <w:ind w:firstLine="480"/>
        <w:rPr>
          <w:rFonts w:hAnsi="宋体" w:cs="宋体"/>
          <w:kern w:val="2"/>
          <w:sz w:val="24"/>
          <w:szCs w:val="24"/>
        </w:rPr>
      </w:pPr>
      <w:r>
        <w:rPr>
          <w:rFonts w:hAnsi="宋体" w:cs="宋体"/>
          <w:kern w:val="2"/>
          <w:sz w:val="24"/>
          <w:szCs w:val="24"/>
        </w:rPr>
        <w:t>标准从条文</w:t>
      </w:r>
      <w:r>
        <w:rPr>
          <w:rFonts w:hint="eastAsia" w:hAnsi="宋体" w:cs="宋体"/>
          <w:kern w:val="2"/>
          <w:sz w:val="24"/>
          <w:szCs w:val="24"/>
        </w:rPr>
        <w:t>强</w:t>
      </w:r>
      <w:r>
        <w:rPr>
          <w:rFonts w:hAnsi="宋体" w:cs="宋体"/>
          <w:kern w:val="2"/>
          <w:sz w:val="24"/>
          <w:szCs w:val="24"/>
        </w:rPr>
        <w:t>制修订为全文强制。</w:t>
      </w:r>
    </w:p>
    <w:p>
      <w:pPr>
        <w:pStyle w:val="18"/>
        <w:spacing w:line="360" w:lineRule="auto"/>
        <w:ind w:firstLine="480"/>
        <w:rPr>
          <w:rFonts w:hAnsi="宋体" w:cs="宋体"/>
          <w:kern w:val="2"/>
          <w:sz w:val="24"/>
          <w:szCs w:val="24"/>
        </w:rPr>
      </w:pPr>
      <w:r>
        <w:rPr>
          <w:rFonts w:hAnsi="宋体" w:cs="宋体"/>
          <w:kern w:val="2"/>
          <w:sz w:val="24"/>
          <w:szCs w:val="24"/>
        </w:rPr>
        <w:t>2、术语和定义:</w:t>
      </w:r>
    </w:p>
    <w:p>
      <w:pPr>
        <w:pStyle w:val="18"/>
        <w:spacing w:line="360" w:lineRule="auto"/>
        <w:ind w:firstLine="480"/>
        <w:rPr>
          <w:rFonts w:hAnsi="宋体" w:cs="宋体"/>
          <w:kern w:val="2"/>
          <w:sz w:val="24"/>
          <w:szCs w:val="24"/>
        </w:rPr>
      </w:pPr>
      <w:r>
        <w:rPr>
          <w:rFonts w:hAnsi="宋体" w:cs="宋体"/>
          <w:kern w:val="2"/>
          <w:sz w:val="24"/>
          <w:szCs w:val="24"/>
        </w:rPr>
        <w:t>修订了过度包装、销售包装、内装物、包装空隙率、单件、包装层数的定义，删除了初始包装的定义，新增综合商品、商品必要空间系数的定义。其中将包装空隙率定义为包装内去除内装物占有的必要空间容积与包装总容积的比率，回归包装空隙率的本质含义。</w:t>
      </w:r>
    </w:p>
    <w:p>
      <w:pPr>
        <w:pStyle w:val="18"/>
        <w:spacing w:line="360" w:lineRule="auto"/>
        <w:ind w:firstLine="480"/>
        <w:rPr>
          <w:rFonts w:hAnsi="宋体" w:cs="宋体"/>
          <w:kern w:val="2"/>
          <w:sz w:val="24"/>
          <w:szCs w:val="24"/>
        </w:rPr>
      </w:pPr>
      <w:r>
        <w:rPr>
          <w:rFonts w:hAnsi="宋体" w:cs="宋体"/>
          <w:kern w:val="2"/>
          <w:sz w:val="24"/>
          <w:szCs w:val="24"/>
        </w:rPr>
        <w:t>3、标准适用范围:</w:t>
      </w:r>
    </w:p>
    <w:p>
      <w:pPr>
        <w:pStyle w:val="18"/>
        <w:spacing w:line="360" w:lineRule="auto"/>
        <w:ind w:firstLine="480"/>
        <w:rPr>
          <w:rFonts w:hAnsi="宋体" w:cs="宋体"/>
          <w:kern w:val="2"/>
          <w:sz w:val="24"/>
          <w:szCs w:val="24"/>
        </w:rPr>
      </w:pPr>
      <w:r>
        <w:rPr>
          <w:rFonts w:hAnsi="宋体" w:cs="宋体"/>
          <w:kern w:val="2"/>
          <w:sz w:val="24"/>
          <w:szCs w:val="24"/>
        </w:rPr>
        <w:t>标准适用于食品和化妆品销售包装，新标准明确规定不适用于赠品或非卖品。</w:t>
      </w:r>
    </w:p>
    <w:p>
      <w:pPr>
        <w:pStyle w:val="18"/>
        <w:spacing w:line="360" w:lineRule="auto"/>
        <w:ind w:firstLine="480"/>
        <w:rPr>
          <w:rFonts w:hAnsi="宋体" w:cs="宋体"/>
          <w:kern w:val="2"/>
          <w:sz w:val="24"/>
          <w:szCs w:val="24"/>
        </w:rPr>
      </w:pPr>
      <w:r>
        <w:rPr>
          <w:rFonts w:hAnsi="宋体" w:cs="宋体"/>
          <w:kern w:val="2"/>
          <w:sz w:val="24"/>
          <w:szCs w:val="24"/>
        </w:rPr>
        <w:t>4、要求：</w:t>
      </w:r>
    </w:p>
    <w:p>
      <w:pPr>
        <w:pStyle w:val="18"/>
        <w:spacing w:line="360" w:lineRule="auto"/>
        <w:ind w:firstLine="480"/>
        <w:rPr>
          <w:rFonts w:hAnsi="宋体" w:cs="宋体"/>
          <w:kern w:val="2"/>
          <w:sz w:val="24"/>
          <w:szCs w:val="24"/>
        </w:rPr>
      </w:pPr>
      <w:r>
        <w:rPr>
          <w:rFonts w:hAnsi="宋体" w:cs="宋体"/>
          <w:kern w:val="2"/>
          <w:sz w:val="24"/>
          <w:szCs w:val="24"/>
        </w:rPr>
        <w:t>删除了原标准中“4.1基本要求”；将原标准中“限量指标”分为包装空隙率、包装层数和包装成本三项，分别进行规定；</w:t>
      </w:r>
    </w:p>
    <w:p>
      <w:pPr>
        <w:spacing w:line="360" w:lineRule="auto"/>
        <w:ind w:firstLine="480"/>
        <w:rPr>
          <w:color w:val="000000"/>
        </w:rPr>
      </w:pPr>
      <w:r>
        <w:rPr>
          <w:rFonts w:hAnsi="宋体" w:cs="宋体"/>
        </w:rPr>
        <w:t>包装空隙率按照商品净含量制定空隙率指标；包装层数</w:t>
      </w:r>
      <w:r>
        <w:rPr>
          <w:rFonts w:hint="eastAsia" w:hAnsi="宋体" w:cs="宋体"/>
        </w:rPr>
        <w:t>除粮食及其加工品不应超过三层，其他商品不应超过四层。</w:t>
      </w:r>
      <w:r>
        <w:rPr>
          <w:color w:val="000000"/>
          <w:szCs w:val="21"/>
        </w:rPr>
        <w:t>直接接触内装物的属于</w:t>
      </w:r>
      <w:r>
        <w:rPr>
          <w:rFonts w:hint="eastAsia"/>
          <w:color w:val="000000"/>
          <w:szCs w:val="21"/>
        </w:rPr>
        <w:t>产品</w:t>
      </w:r>
      <w:r>
        <w:rPr>
          <w:color w:val="000000"/>
          <w:szCs w:val="21"/>
        </w:rPr>
        <w:t>固有特性的材料层（如</w:t>
      </w:r>
      <w:r>
        <w:rPr>
          <w:rFonts w:hint="eastAsia"/>
          <w:color w:val="000000"/>
          <w:szCs w:val="21"/>
        </w:rPr>
        <w:t>粽叶、竹筒、天然或胶原蛋白肠衣、</w:t>
      </w:r>
      <w:r>
        <w:rPr>
          <w:color w:val="000000"/>
          <w:szCs w:val="21"/>
        </w:rPr>
        <w:t>空心胶囊等），以及紧贴销售包装外且厚度低于0.03mm的薄膜不计算在内。</w:t>
      </w:r>
      <w:r>
        <w:rPr>
          <w:rFonts w:hint="eastAsia" w:hAnsi="宋体" w:cs="宋体"/>
        </w:rPr>
        <w:t>包装成本中</w:t>
      </w:r>
      <w:r>
        <w:rPr>
          <w:color w:val="000000"/>
          <w:szCs w:val="21"/>
        </w:rPr>
        <w:t>生产组织应采取措施,控制除直接与内装物接触的包装之外所有包装的成本不超过产品销售价格的20%。 销售价格在100元以上的月饼和粽子,生产组织应采取措施,控制除直接与内装物接触的包装之外</w:t>
      </w:r>
      <w:r>
        <w:rPr>
          <w:rFonts w:hint="eastAsia"/>
          <w:color w:val="000000"/>
          <w:szCs w:val="21"/>
        </w:rPr>
        <w:t>。</w:t>
      </w:r>
      <w:r>
        <w:rPr>
          <w:color w:val="000000"/>
          <w:szCs w:val="21"/>
        </w:rPr>
        <w:t>所有包装的成本不超过产品销售价格的15%。月饼和粽子的包装不应使用贵金属和红木材料。</w:t>
      </w:r>
    </w:p>
    <w:p>
      <w:pPr>
        <w:pStyle w:val="18"/>
        <w:spacing w:line="360" w:lineRule="auto"/>
        <w:ind w:firstLine="480"/>
        <w:rPr>
          <w:rFonts w:hAnsi="宋体" w:cs="宋体"/>
          <w:kern w:val="2"/>
          <w:sz w:val="24"/>
          <w:szCs w:val="24"/>
        </w:rPr>
      </w:pPr>
      <w:r>
        <w:rPr>
          <w:rFonts w:hAnsi="宋体" w:cs="宋体"/>
          <w:kern w:val="2"/>
          <w:sz w:val="24"/>
          <w:szCs w:val="24"/>
        </w:rPr>
        <w:t>5、新增检测：</w:t>
      </w:r>
    </w:p>
    <w:p>
      <w:pPr>
        <w:pStyle w:val="18"/>
        <w:spacing w:line="360" w:lineRule="auto"/>
        <w:ind w:firstLine="480"/>
        <w:rPr>
          <w:rFonts w:hAnsi="宋体" w:cs="宋体"/>
          <w:kern w:val="2"/>
          <w:sz w:val="24"/>
          <w:szCs w:val="24"/>
        </w:rPr>
      </w:pPr>
      <w:r>
        <w:rPr>
          <w:rFonts w:hAnsi="宋体" w:cs="宋体"/>
          <w:kern w:val="2"/>
          <w:sz w:val="24"/>
          <w:szCs w:val="24"/>
        </w:rPr>
        <w:t>因删除了初始包装的定义，修订包装空隙率和包装层数的计算方法；</w:t>
      </w:r>
    </w:p>
    <w:p>
      <w:pPr>
        <w:pStyle w:val="18"/>
        <w:spacing w:line="360" w:lineRule="auto"/>
        <w:ind w:firstLine="480"/>
        <w:rPr>
          <w:rFonts w:hAnsi="宋体" w:cs="宋体"/>
          <w:kern w:val="2"/>
          <w:sz w:val="24"/>
          <w:szCs w:val="24"/>
        </w:rPr>
      </w:pPr>
      <w:r>
        <w:rPr>
          <w:rFonts w:hAnsi="宋体" w:cs="宋体"/>
          <w:kern w:val="2"/>
          <w:sz w:val="24"/>
          <w:szCs w:val="24"/>
        </w:rPr>
        <w:t>6、新增判定规则:</w:t>
      </w:r>
    </w:p>
    <w:p>
      <w:pPr>
        <w:pStyle w:val="18"/>
        <w:spacing w:line="360" w:lineRule="auto"/>
        <w:ind w:firstLine="480"/>
        <w:rPr>
          <w:rFonts w:hAnsi="宋体" w:cs="宋体"/>
          <w:kern w:val="2"/>
          <w:sz w:val="24"/>
          <w:szCs w:val="24"/>
        </w:rPr>
      </w:pPr>
      <w:r>
        <w:rPr>
          <w:rFonts w:hAnsi="宋体" w:cs="宋体"/>
          <w:kern w:val="2"/>
          <w:sz w:val="24"/>
          <w:szCs w:val="24"/>
        </w:rPr>
        <w:t>新增判定规则，明确包装空隙率、包装层数、包装成本有一项不符合指标要求规定的，则判该商品的包装为过度包装。</w:t>
      </w:r>
    </w:p>
    <w:p>
      <w:pPr>
        <w:pStyle w:val="18"/>
        <w:spacing w:line="360" w:lineRule="auto"/>
        <w:ind w:firstLine="480"/>
        <w:rPr>
          <w:rFonts w:hAnsi="宋体" w:cs="宋体"/>
          <w:kern w:val="2"/>
          <w:sz w:val="24"/>
          <w:szCs w:val="24"/>
        </w:rPr>
      </w:pPr>
      <w:r>
        <w:rPr>
          <w:rFonts w:hAnsi="宋体" w:cs="宋体"/>
          <w:kern w:val="2"/>
          <w:sz w:val="24"/>
          <w:szCs w:val="24"/>
        </w:rPr>
        <w:t>7、新增商品必要空间系数：</w:t>
      </w:r>
    </w:p>
    <w:p>
      <w:pPr>
        <w:pStyle w:val="18"/>
        <w:spacing w:line="360" w:lineRule="auto"/>
        <w:ind w:firstLine="480"/>
        <w:rPr>
          <w:rFonts w:hAnsi="宋体" w:cs="宋体"/>
          <w:kern w:val="2"/>
          <w:sz w:val="24"/>
          <w:szCs w:val="24"/>
        </w:rPr>
      </w:pPr>
      <w:r>
        <w:rPr>
          <w:rFonts w:hint="eastAsia" w:hAnsi="宋体" w:cs="宋体"/>
          <w:kern w:val="2"/>
          <w:sz w:val="24"/>
          <w:szCs w:val="24"/>
        </w:rPr>
        <w:t>增加了不同商品的必要空间系数。</w:t>
      </w:r>
    </w:p>
    <w:p>
      <w:pPr>
        <w:pStyle w:val="18"/>
        <w:spacing w:line="360" w:lineRule="auto"/>
        <w:ind w:firstLine="480"/>
        <w:rPr>
          <w:rFonts w:hAnsi="宋体" w:cs="宋体"/>
          <w:kern w:val="2"/>
          <w:sz w:val="24"/>
          <w:szCs w:val="24"/>
        </w:rPr>
      </w:pPr>
    </w:p>
    <w:p>
      <w:pPr>
        <w:pStyle w:val="18"/>
        <w:spacing w:line="360" w:lineRule="auto"/>
        <w:ind w:firstLine="480"/>
        <w:rPr>
          <w:rFonts w:hAnsi="宋体" w:cs="宋体"/>
          <w:kern w:val="2"/>
          <w:sz w:val="24"/>
          <w:szCs w:val="24"/>
        </w:rPr>
      </w:pPr>
      <w:r>
        <w:rPr>
          <w:rFonts w:hint="eastAsia" w:hAnsi="宋体" w:cs="宋体"/>
          <w:kern w:val="2"/>
          <w:sz w:val="24"/>
          <w:szCs w:val="24"/>
        </w:rPr>
        <w:t>新旧标准不一致的关键点:</w:t>
      </w:r>
    </w:p>
    <w:p>
      <w:pPr>
        <w:pStyle w:val="18"/>
        <w:spacing w:line="360" w:lineRule="auto"/>
        <w:ind w:firstLine="480"/>
        <w:rPr>
          <w:rFonts w:hAnsi="宋体" w:cs="宋体"/>
          <w:kern w:val="2"/>
          <w:sz w:val="24"/>
          <w:szCs w:val="24"/>
        </w:rPr>
      </w:pPr>
      <w:r>
        <w:rPr>
          <w:rFonts w:hint="eastAsia" w:hAnsi="宋体" w:cs="宋体"/>
          <w:kern w:val="2"/>
          <w:sz w:val="24"/>
          <w:szCs w:val="24"/>
        </w:rPr>
        <w:t>1、新标准中关于销售包装体积测量，不再测量其等效外切长方体的体积，而是测量其实际体积；</w:t>
      </w:r>
    </w:p>
    <w:p>
      <w:pPr>
        <w:pStyle w:val="18"/>
        <w:spacing w:line="360" w:lineRule="auto"/>
        <w:ind w:firstLine="480"/>
        <w:rPr>
          <w:rFonts w:hAnsi="宋体" w:cs="宋体"/>
          <w:kern w:val="2"/>
          <w:sz w:val="24"/>
          <w:szCs w:val="24"/>
        </w:rPr>
      </w:pPr>
      <w:r>
        <w:rPr>
          <w:rFonts w:hint="eastAsia" w:hAnsi="宋体" w:cs="宋体"/>
          <w:kern w:val="2"/>
          <w:sz w:val="24"/>
          <w:szCs w:val="24"/>
        </w:rPr>
        <w:t>2、新标准中新增了内装物的定义，不再测量初始包装等效的外切长方体的体积，而是以商品标注的净含量进行换算，1ml或1g内装物换算成1000mm3计算。</w:t>
      </w:r>
    </w:p>
    <w:p>
      <w:pPr>
        <w:pStyle w:val="18"/>
        <w:spacing w:line="360" w:lineRule="auto"/>
        <w:ind w:firstLine="480"/>
        <w:rPr>
          <w:rFonts w:hAnsi="宋体" w:cs="宋体"/>
          <w:kern w:val="2"/>
          <w:sz w:val="24"/>
          <w:szCs w:val="24"/>
        </w:rPr>
      </w:pPr>
      <w:r>
        <w:rPr>
          <w:rFonts w:hint="eastAsia" w:hAnsi="宋体" w:cs="宋体"/>
          <w:kern w:val="2"/>
          <w:sz w:val="24"/>
          <w:szCs w:val="24"/>
        </w:rPr>
        <w:t>3、新标准中细分食品和化妆品的种类，不再按老国标的六大类（饮料酒、糕点、粮食、保健食品、化妆品和其他食品），而是按照食品生产许可分类目录和化妆品生产许可工作规范分为31种食品和16种化妆品，其包装空隙率的限量要求和商品必要空间系数都有了不同的要求。</w:t>
      </w:r>
    </w:p>
    <w:p>
      <w:pPr>
        <w:pStyle w:val="18"/>
        <w:spacing w:line="360" w:lineRule="auto"/>
      </w:pPr>
      <w:bookmarkStart w:id="0" w:name="_GoBack"/>
      <w:bookmarkEnd w:id="0"/>
    </w:p>
    <w:p>
      <w:pPr>
        <w:pStyle w:val="2"/>
        <w:numPr>
          <w:ilvl w:val="255"/>
          <w:numId w:val="0"/>
        </w:numPr>
        <w:adjustRightInd w:val="0"/>
        <w:snapToGrid w:val="0"/>
        <w:spacing w:line="560" w:lineRule="exact"/>
        <w:ind w:firstLine="482" w:firstLineChars="200"/>
        <w:rPr>
          <w:rFonts w:ascii="宋体"/>
          <w:b w:val="0"/>
          <w:bCs w:val="0"/>
        </w:rPr>
      </w:pPr>
      <w:r>
        <w:rPr>
          <w:rFonts w:hint="eastAsia" w:ascii="宋体" w:hAnsi="宋体" w:cs="宋体"/>
        </w:rPr>
        <w:t>六、编制涉及其他资料</w:t>
      </w:r>
    </w:p>
    <w:p>
      <w:pPr>
        <w:adjustRightInd w:val="0"/>
        <w:snapToGrid w:val="0"/>
        <w:spacing w:line="560" w:lineRule="exact"/>
        <w:ind w:firstLine="480"/>
        <w:rPr>
          <w:rFonts w:ascii="宋体"/>
        </w:rPr>
      </w:pPr>
      <w:r>
        <w:rPr>
          <w:rFonts w:ascii="宋体" w:hAnsi="宋体" w:cs="宋体"/>
        </w:rPr>
        <w:t>1</w:t>
      </w:r>
      <w:r>
        <w:rPr>
          <w:rFonts w:hint="eastAsia" w:ascii="宋体" w:hAnsi="宋体" w:cs="宋体"/>
        </w:rPr>
        <w:t>、根据本规程进行的检测实验，具体数据见实验报告。</w:t>
      </w:r>
    </w:p>
    <w:p>
      <w:pPr>
        <w:adjustRightInd w:val="0"/>
        <w:snapToGrid w:val="0"/>
        <w:spacing w:line="560" w:lineRule="exact"/>
        <w:ind w:firstLine="480"/>
        <w:rPr>
          <w:rFonts w:ascii="宋体"/>
        </w:rPr>
      </w:pPr>
    </w:p>
    <w:p>
      <w:pPr>
        <w:adjustRightInd w:val="0"/>
        <w:snapToGrid w:val="0"/>
        <w:spacing w:line="560" w:lineRule="exact"/>
        <w:ind w:firstLine="480"/>
        <w:jc w:val="right"/>
        <w:rPr>
          <w:rFonts w:ascii="宋体"/>
        </w:rPr>
      </w:pPr>
      <w:r>
        <w:rPr>
          <w:rFonts w:hint="eastAsia" w:ascii="宋体" w:hAnsi="宋体" w:cs="宋体"/>
        </w:rPr>
        <w:t>规程编制小组</w:t>
      </w:r>
    </w:p>
    <w:p>
      <w:pPr>
        <w:adjustRightInd w:val="0"/>
        <w:snapToGrid w:val="0"/>
        <w:spacing w:line="560" w:lineRule="exact"/>
        <w:ind w:firstLine="480"/>
        <w:jc w:val="right"/>
        <w:rPr>
          <w:rFonts w:ascii="宋体"/>
          <w:color w:val="000000"/>
        </w:rPr>
      </w:pPr>
      <w:r>
        <w:rPr>
          <w:rFonts w:ascii="宋体" w:hAnsi="宋体" w:cs="宋体"/>
        </w:rPr>
        <w:t>2022</w:t>
      </w:r>
      <w:r>
        <w:rPr>
          <w:rFonts w:hint="eastAsia" w:ascii="宋体" w:hAnsi="宋体" w:cs="宋体"/>
          <w:color w:val="000000"/>
        </w:rPr>
        <w:t>年</w:t>
      </w:r>
      <w:r>
        <w:rPr>
          <w:rFonts w:hint="eastAsia" w:ascii="宋体" w:hAnsi="宋体" w:cs="宋体"/>
          <w:color w:val="000000"/>
          <w:lang w:val="en-US" w:eastAsia="zh-CN"/>
        </w:rPr>
        <w:t>11</w:t>
      </w:r>
      <w:r>
        <w:rPr>
          <w:rFonts w:hint="eastAsia" w:ascii="宋体" w:hAnsi="宋体" w:cs="宋体"/>
          <w:color w:val="000000"/>
        </w:rPr>
        <w:t>月</w:t>
      </w:r>
    </w:p>
    <w:sectPr>
      <w:footerReference r:id="rId5" w:type="default"/>
      <w:pgSz w:w="11906" w:h="16838"/>
      <w:pgMar w:top="1440" w:right="1800" w:bottom="1440" w:left="1800" w:header="851" w:footer="992" w:gutter="0"/>
      <w:cols w:space="425" w:num="1"/>
      <w:docGrid w:type="lines" w:linePitch="32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FreeSerif"/>
    <w:panose1 w:val="02040503050406030204"/>
    <w:charset w:val="00"/>
    <w:family w:val="roman"/>
    <w:pitch w:val="default"/>
    <w:sig w:usb0="00000000" w:usb1="00000000" w:usb2="00000000" w:usb3="00000000" w:csb0="0000009F" w:csb1="00000000"/>
  </w:font>
  <w:font w:name="方正书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FreeSerif">
    <w:panose1 w:val="02020603050405020304"/>
    <w:charset w:val="00"/>
    <w:family w:val="auto"/>
    <w:pitch w:val="default"/>
    <w:sig w:usb0="E59FAFFF" w:usb1="C200FDFF" w:usb2="43501B29" w:usb3="04000043" w:csb0="600101FF" w:csb1="FFFF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jc w:val="center"/>
    </w:pPr>
    <w:r>
      <w:fldChar w:fldCharType="begin"/>
    </w:r>
    <w:r>
      <w:instrText xml:space="preserve">PAGE   \* MERGEFORMAT</w:instrText>
    </w:r>
    <w:r>
      <w:fldChar w:fldCharType="separate"/>
    </w:r>
    <w:r>
      <w:rPr>
        <w:lang w:val="zh-CN"/>
      </w:rPr>
      <w:t>8</w:t>
    </w:r>
    <w:r>
      <w:rPr>
        <w:lang w:val="zh-CN"/>
      </w:rPr>
      <w:fldChar w:fldCharType="end"/>
    </w:r>
  </w:p>
  <w:p>
    <w:pPr>
      <w:pStyle w:val="4"/>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80"/>
      </w:pPr>
      <w:r>
        <w:separator/>
      </w:r>
    </w:p>
  </w:footnote>
  <w:footnote w:type="continuationSeparator" w:id="1">
    <w:p>
      <w:pPr>
        <w:spacing w:line="24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65E655D"/>
    <w:multiLevelType w:val="multilevel"/>
    <w:tmpl w:val="365E655D"/>
    <w:lvl w:ilvl="0" w:tentative="0">
      <w:start w:val="1"/>
      <w:numFmt w:val="lowerLetter"/>
      <w:lvlText w:val="%1)"/>
      <w:lvlJc w:val="left"/>
      <w:pPr>
        <w:ind w:left="703" w:hanging="420"/>
      </w:pPr>
    </w:lvl>
    <w:lvl w:ilvl="1" w:tentative="0">
      <w:start w:val="1"/>
      <w:numFmt w:val="lowerLetter"/>
      <w:lvlText w:val="%2)"/>
      <w:lvlJc w:val="left"/>
      <w:pPr>
        <w:ind w:left="1123" w:hanging="420"/>
      </w:pPr>
    </w:lvl>
    <w:lvl w:ilvl="2" w:tentative="0">
      <w:start w:val="1"/>
      <w:numFmt w:val="lowerRoman"/>
      <w:lvlText w:val="%3."/>
      <w:lvlJc w:val="right"/>
      <w:pPr>
        <w:ind w:left="1543" w:hanging="420"/>
      </w:pPr>
    </w:lvl>
    <w:lvl w:ilvl="3" w:tentative="0">
      <w:start w:val="1"/>
      <w:numFmt w:val="decimal"/>
      <w:lvlText w:val="%4."/>
      <w:lvlJc w:val="left"/>
      <w:pPr>
        <w:ind w:left="1963" w:hanging="420"/>
      </w:pPr>
    </w:lvl>
    <w:lvl w:ilvl="4" w:tentative="0">
      <w:start w:val="1"/>
      <w:numFmt w:val="lowerLetter"/>
      <w:lvlText w:val="%5)"/>
      <w:lvlJc w:val="left"/>
      <w:pPr>
        <w:ind w:left="2383" w:hanging="420"/>
      </w:pPr>
    </w:lvl>
    <w:lvl w:ilvl="5" w:tentative="0">
      <w:start w:val="1"/>
      <w:numFmt w:val="lowerRoman"/>
      <w:lvlText w:val="%6."/>
      <w:lvlJc w:val="right"/>
      <w:pPr>
        <w:ind w:left="2803" w:hanging="420"/>
      </w:pPr>
    </w:lvl>
    <w:lvl w:ilvl="6" w:tentative="0">
      <w:start w:val="1"/>
      <w:numFmt w:val="decimal"/>
      <w:lvlText w:val="%7."/>
      <w:lvlJc w:val="left"/>
      <w:pPr>
        <w:ind w:left="3223" w:hanging="420"/>
      </w:pPr>
    </w:lvl>
    <w:lvl w:ilvl="7" w:tentative="0">
      <w:start w:val="1"/>
      <w:numFmt w:val="lowerLetter"/>
      <w:lvlText w:val="%8)"/>
      <w:lvlJc w:val="left"/>
      <w:pPr>
        <w:ind w:left="3643" w:hanging="420"/>
      </w:pPr>
    </w:lvl>
    <w:lvl w:ilvl="8" w:tentative="0">
      <w:start w:val="1"/>
      <w:numFmt w:val="lowerRoman"/>
      <w:lvlText w:val="%9."/>
      <w:lvlJc w:val="right"/>
      <w:pPr>
        <w:ind w:left="4063"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true"/>
  <w:bordersDoNotSurroundFooter w:val="true"/>
  <w:doNotTrackMoves/>
  <w:documentProtection w:enforcement="0"/>
  <w:defaultTabStop w:val="420"/>
  <w:doNotHyphenateCaps/>
  <w:drawingGridHorizontalSpacing w:val="120"/>
  <w:drawingGridVerticalSpacing w:val="163"/>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C257E"/>
    <w:rsid w:val="00002A36"/>
    <w:rsid w:val="000216F1"/>
    <w:rsid w:val="00033C83"/>
    <w:rsid w:val="00041BF7"/>
    <w:rsid w:val="0005294E"/>
    <w:rsid w:val="000553A5"/>
    <w:rsid w:val="00056C14"/>
    <w:rsid w:val="000843FF"/>
    <w:rsid w:val="00087B47"/>
    <w:rsid w:val="00093162"/>
    <w:rsid w:val="000975D9"/>
    <w:rsid w:val="000B471F"/>
    <w:rsid w:val="000B5227"/>
    <w:rsid w:val="000E299E"/>
    <w:rsid w:val="000F0635"/>
    <w:rsid w:val="001124AE"/>
    <w:rsid w:val="001127EF"/>
    <w:rsid w:val="00121B5F"/>
    <w:rsid w:val="00123680"/>
    <w:rsid w:val="00132275"/>
    <w:rsid w:val="00144871"/>
    <w:rsid w:val="00144CAC"/>
    <w:rsid w:val="00160346"/>
    <w:rsid w:val="0017794E"/>
    <w:rsid w:val="001E321F"/>
    <w:rsid w:val="001E6275"/>
    <w:rsid w:val="001F25B3"/>
    <w:rsid w:val="001F6EB0"/>
    <w:rsid w:val="002220C0"/>
    <w:rsid w:val="00223D15"/>
    <w:rsid w:val="00243C6D"/>
    <w:rsid w:val="00246AA5"/>
    <w:rsid w:val="00267E3D"/>
    <w:rsid w:val="0028143C"/>
    <w:rsid w:val="00286F7D"/>
    <w:rsid w:val="002949F6"/>
    <w:rsid w:val="002B2A5B"/>
    <w:rsid w:val="002F0E41"/>
    <w:rsid w:val="00312F1F"/>
    <w:rsid w:val="0032417F"/>
    <w:rsid w:val="003453FC"/>
    <w:rsid w:val="00361C5E"/>
    <w:rsid w:val="003723C5"/>
    <w:rsid w:val="00377B37"/>
    <w:rsid w:val="003A58DE"/>
    <w:rsid w:val="003C4220"/>
    <w:rsid w:val="003E6C62"/>
    <w:rsid w:val="003F36AF"/>
    <w:rsid w:val="0040129D"/>
    <w:rsid w:val="00407E17"/>
    <w:rsid w:val="00432E19"/>
    <w:rsid w:val="00435331"/>
    <w:rsid w:val="0043572E"/>
    <w:rsid w:val="00436DD3"/>
    <w:rsid w:val="004639EF"/>
    <w:rsid w:val="00497843"/>
    <w:rsid w:val="004D02F1"/>
    <w:rsid w:val="004E51AA"/>
    <w:rsid w:val="004F55C4"/>
    <w:rsid w:val="005208D4"/>
    <w:rsid w:val="00524E03"/>
    <w:rsid w:val="00541AC9"/>
    <w:rsid w:val="00562B10"/>
    <w:rsid w:val="00593DE8"/>
    <w:rsid w:val="005D0B6F"/>
    <w:rsid w:val="00614895"/>
    <w:rsid w:val="00616366"/>
    <w:rsid w:val="0064034D"/>
    <w:rsid w:val="00640392"/>
    <w:rsid w:val="00641982"/>
    <w:rsid w:val="00644AF2"/>
    <w:rsid w:val="006841E7"/>
    <w:rsid w:val="006A3F1E"/>
    <w:rsid w:val="006A7E26"/>
    <w:rsid w:val="006B7D8B"/>
    <w:rsid w:val="006D4DC2"/>
    <w:rsid w:val="006F0BF3"/>
    <w:rsid w:val="006F55ED"/>
    <w:rsid w:val="007367D2"/>
    <w:rsid w:val="007471AC"/>
    <w:rsid w:val="00750248"/>
    <w:rsid w:val="007674C4"/>
    <w:rsid w:val="00774066"/>
    <w:rsid w:val="00783C24"/>
    <w:rsid w:val="00791578"/>
    <w:rsid w:val="007B2F97"/>
    <w:rsid w:val="007B79D4"/>
    <w:rsid w:val="007C5B0A"/>
    <w:rsid w:val="007C7ECA"/>
    <w:rsid w:val="007D352A"/>
    <w:rsid w:val="007D5A22"/>
    <w:rsid w:val="007D64E3"/>
    <w:rsid w:val="007F42C9"/>
    <w:rsid w:val="00815188"/>
    <w:rsid w:val="008157A3"/>
    <w:rsid w:val="00827432"/>
    <w:rsid w:val="00842A29"/>
    <w:rsid w:val="00853CDF"/>
    <w:rsid w:val="00885E2E"/>
    <w:rsid w:val="008A7711"/>
    <w:rsid w:val="008D3AE9"/>
    <w:rsid w:val="008D43C5"/>
    <w:rsid w:val="008F5C51"/>
    <w:rsid w:val="00900746"/>
    <w:rsid w:val="00900AE8"/>
    <w:rsid w:val="00905DA1"/>
    <w:rsid w:val="0093522E"/>
    <w:rsid w:val="00946F06"/>
    <w:rsid w:val="009527B4"/>
    <w:rsid w:val="009740A6"/>
    <w:rsid w:val="009770B2"/>
    <w:rsid w:val="009B32F9"/>
    <w:rsid w:val="009B7B39"/>
    <w:rsid w:val="009E5268"/>
    <w:rsid w:val="009F1B12"/>
    <w:rsid w:val="009F5F8F"/>
    <w:rsid w:val="00A02E42"/>
    <w:rsid w:val="00A1649F"/>
    <w:rsid w:val="00A22E2E"/>
    <w:rsid w:val="00A254B6"/>
    <w:rsid w:val="00A4496F"/>
    <w:rsid w:val="00A710DE"/>
    <w:rsid w:val="00A96D36"/>
    <w:rsid w:val="00AB02DE"/>
    <w:rsid w:val="00AB45CF"/>
    <w:rsid w:val="00AB7FD6"/>
    <w:rsid w:val="00AD6A2A"/>
    <w:rsid w:val="00AD75C2"/>
    <w:rsid w:val="00AE17A7"/>
    <w:rsid w:val="00AE37A1"/>
    <w:rsid w:val="00B43358"/>
    <w:rsid w:val="00B43EF0"/>
    <w:rsid w:val="00B554EA"/>
    <w:rsid w:val="00B70DC3"/>
    <w:rsid w:val="00B771AF"/>
    <w:rsid w:val="00B90DF3"/>
    <w:rsid w:val="00B96982"/>
    <w:rsid w:val="00BA0AB3"/>
    <w:rsid w:val="00BC0CFE"/>
    <w:rsid w:val="00BC2AB9"/>
    <w:rsid w:val="00BD336A"/>
    <w:rsid w:val="00BE3CCC"/>
    <w:rsid w:val="00C15A3F"/>
    <w:rsid w:val="00C63B56"/>
    <w:rsid w:val="00C81BCA"/>
    <w:rsid w:val="00CA0680"/>
    <w:rsid w:val="00CA119E"/>
    <w:rsid w:val="00CD0EE5"/>
    <w:rsid w:val="00CD613B"/>
    <w:rsid w:val="00CF0B8C"/>
    <w:rsid w:val="00CF526A"/>
    <w:rsid w:val="00D243B7"/>
    <w:rsid w:val="00D57C3A"/>
    <w:rsid w:val="00D61107"/>
    <w:rsid w:val="00D76B2D"/>
    <w:rsid w:val="00D8046B"/>
    <w:rsid w:val="00D93619"/>
    <w:rsid w:val="00DB5B6C"/>
    <w:rsid w:val="00DD37EF"/>
    <w:rsid w:val="00E079A9"/>
    <w:rsid w:val="00E120BD"/>
    <w:rsid w:val="00E23445"/>
    <w:rsid w:val="00E31189"/>
    <w:rsid w:val="00E33E90"/>
    <w:rsid w:val="00E55768"/>
    <w:rsid w:val="00E62FCF"/>
    <w:rsid w:val="00E704E0"/>
    <w:rsid w:val="00E725CC"/>
    <w:rsid w:val="00E767FE"/>
    <w:rsid w:val="00EB290F"/>
    <w:rsid w:val="00EC257E"/>
    <w:rsid w:val="00EE4B83"/>
    <w:rsid w:val="00F13D0D"/>
    <w:rsid w:val="00F306E4"/>
    <w:rsid w:val="00F5140C"/>
    <w:rsid w:val="00F71FF3"/>
    <w:rsid w:val="00F73092"/>
    <w:rsid w:val="00F85109"/>
    <w:rsid w:val="00F86E6C"/>
    <w:rsid w:val="00FB1F2B"/>
    <w:rsid w:val="00FB4D25"/>
    <w:rsid w:val="00FC36A2"/>
    <w:rsid w:val="00FF4FA4"/>
    <w:rsid w:val="00FF7EEE"/>
    <w:rsid w:val="3EF33C37"/>
    <w:rsid w:val="75FB6A88"/>
    <w:rsid w:val="7FFB360C"/>
    <w:rsid w:val="91FC55D4"/>
    <w:rsid w:val="CBA72C9F"/>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99"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480" w:lineRule="auto"/>
      <w:ind w:firstLine="200" w:firstLineChars="200"/>
      <w:jc w:val="both"/>
    </w:pPr>
    <w:rPr>
      <w:rFonts w:ascii="Times New Roman" w:hAnsi="Times New Roman" w:eastAsia="宋体" w:cs="Times New Roman"/>
      <w:kern w:val="2"/>
      <w:sz w:val="24"/>
      <w:szCs w:val="24"/>
      <w:lang w:val="en-US" w:eastAsia="zh-CN" w:bidi="ar-SA"/>
    </w:rPr>
  </w:style>
  <w:style w:type="paragraph" w:styleId="2">
    <w:name w:val="heading 1"/>
    <w:basedOn w:val="1"/>
    <w:next w:val="1"/>
    <w:link w:val="9"/>
    <w:qFormat/>
    <w:uiPriority w:val="99"/>
    <w:pPr>
      <w:keepNext/>
      <w:keepLines/>
      <w:spacing w:before="340" w:after="330" w:line="578" w:lineRule="auto"/>
      <w:ind w:firstLine="0" w:firstLineChars="0"/>
      <w:outlineLvl w:val="0"/>
    </w:pPr>
    <w:rPr>
      <w:b/>
      <w:bCs/>
      <w:kern w:val="44"/>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semiHidden/>
    <w:qFormat/>
    <w:uiPriority w:val="99"/>
    <w:pPr>
      <w:spacing w:line="240" w:lineRule="auto"/>
    </w:pPr>
    <w:rPr>
      <w:sz w:val="18"/>
      <w:szCs w:val="18"/>
    </w:rPr>
  </w:style>
  <w:style w:type="paragraph" w:styleId="4">
    <w:name w:val="footer"/>
    <w:basedOn w:val="1"/>
    <w:link w:val="11"/>
    <w:qFormat/>
    <w:uiPriority w:val="99"/>
    <w:pPr>
      <w:tabs>
        <w:tab w:val="center" w:pos="4153"/>
        <w:tab w:val="right" w:pos="8306"/>
      </w:tabs>
      <w:snapToGrid w:val="0"/>
      <w:spacing w:line="240" w:lineRule="auto"/>
      <w:jc w:val="left"/>
    </w:pPr>
    <w:rPr>
      <w:sz w:val="18"/>
      <w:szCs w:val="18"/>
    </w:rPr>
  </w:style>
  <w:style w:type="paragraph" w:styleId="5">
    <w:name w:val="header"/>
    <w:basedOn w:val="1"/>
    <w:link w:val="12"/>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6">
    <w:name w:val="Title"/>
    <w:basedOn w:val="1"/>
    <w:next w:val="1"/>
    <w:link w:val="13"/>
    <w:qFormat/>
    <w:uiPriority w:val="99"/>
    <w:pPr>
      <w:spacing w:before="240" w:after="60"/>
      <w:jc w:val="center"/>
      <w:outlineLvl w:val="0"/>
    </w:pPr>
    <w:rPr>
      <w:rFonts w:ascii="Cambria" w:hAnsi="Cambria" w:cs="Cambria"/>
      <w:b/>
      <w:bCs/>
      <w:sz w:val="32"/>
      <w:szCs w:val="32"/>
    </w:rPr>
  </w:style>
  <w:style w:type="character" w:customStyle="1" w:styleId="9">
    <w:name w:val="标题 1 Char"/>
    <w:basedOn w:val="8"/>
    <w:link w:val="2"/>
    <w:qFormat/>
    <w:locked/>
    <w:uiPriority w:val="99"/>
    <w:rPr>
      <w:rFonts w:ascii="Times New Roman" w:hAnsi="Times New Roman" w:cs="Times New Roman"/>
      <w:b/>
      <w:bCs/>
      <w:kern w:val="44"/>
      <w:sz w:val="44"/>
      <w:szCs w:val="44"/>
    </w:rPr>
  </w:style>
  <w:style w:type="character" w:customStyle="1" w:styleId="10">
    <w:name w:val="批注框文本 Char"/>
    <w:basedOn w:val="8"/>
    <w:link w:val="3"/>
    <w:semiHidden/>
    <w:qFormat/>
    <w:locked/>
    <w:uiPriority w:val="99"/>
    <w:rPr>
      <w:rFonts w:ascii="Times New Roman" w:hAnsi="Times New Roman" w:cs="Times New Roman"/>
      <w:kern w:val="2"/>
      <w:sz w:val="18"/>
      <w:szCs w:val="18"/>
    </w:rPr>
  </w:style>
  <w:style w:type="character" w:customStyle="1" w:styleId="11">
    <w:name w:val="页脚 Char"/>
    <w:basedOn w:val="8"/>
    <w:link w:val="4"/>
    <w:qFormat/>
    <w:locked/>
    <w:uiPriority w:val="99"/>
    <w:rPr>
      <w:rFonts w:ascii="Times New Roman" w:hAnsi="Times New Roman" w:cs="Times New Roman"/>
      <w:sz w:val="18"/>
      <w:szCs w:val="18"/>
    </w:rPr>
  </w:style>
  <w:style w:type="character" w:customStyle="1" w:styleId="12">
    <w:name w:val="页眉 Char"/>
    <w:basedOn w:val="8"/>
    <w:link w:val="5"/>
    <w:qFormat/>
    <w:locked/>
    <w:uiPriority w:val="99"/>
    <w:rPr>
      <w:rFonts w:ascii="Times New Roman" w:hAnsi="Times New Roman" w:cs="Times New Roman"/>
      <w:sz w:val="18"/>
      <w:szCs w:val="18"/>
    </w:rPr>
  </w:style>
  <w:style w:type="character" w:customStyle="1" w:styleId="13">
    <w:name w:val="标题 Char"/>
    <w:basedOn w:val="8"/>
    <w:link w:val="6"/>
    <w:qFormat/>
    <w:locked/>
    <w:uiPriority w:val="99"/>
    <w:rPr>
      <w:rFonts w:ascii="Cambria" w:hAnsi="Cambria" w:eastAsia="宋体" w:cs="Cambria"/>
      <w:b/>
      <w:bCs/>
      <w:sz w:val="32"/>
      <w:szCs w:val="32"/>
    </w:rPr>
  </w:style>
  <w:style w:type="character" w:customStyle="1" w:styleId="14">
    <w:name w:val="Body text|1_"/>
    <w:basedOn w:val="8"/>
    <w:link w:val="15"/>
    <w:qFormat/>
    <w:locked/>
    <w:uiPriority w:val="99"/>
    <w:rPr>
      <w:rFonts w:ascii="宋体" w:hAnsi="宋体" w:eastAsia="宋体" w:cs="宋体"/>
      <w:sz w:val="22"/>
      <w:szCs w:val="22"/>
      <w:lang w:val="zh-TW" w:eastAsia="zh-TW"/>
    </w:rPr>
  </w:style>
  <w:style w:type="paragraph" w:customStyle="1" w:styleId="15">
    <w:name w:val="Body text|1"/>
    <w:basedOn w:val="1"/>
    <w:link w:val="14"/>
    <w:qFormat/>
    <w:uiPriority w:val="99"/>
    <w:pPr>
      <w:spacing w:line="348" w:lineRule="auto"/>
      <w:ind w:firstLine="400" w:firstLineChars="0"/>
      <w:jc w:val="left"/>
    </w:pPr>
    <w:rPr>
      <w:rFonts w:ascii="宋体" w:hAnsi="宋体" w:cs="宋体"/>
      <w:sz w:val="22"/>
      <w:szCs w:val="22"/>
      <w:lang w:val="zh-TW" w:eastAsia="zh-TW"/>
    </w:rPr>
  </w:style>
  <w:style w:type="paragraph" w:customStyle="1" w:styleId="16">
    <w:name w:val="修订1"/>
    <w:hidden/>
    <w:qFormat/>
    <w:uiPriority w:val="99"/>
    <w:rPr>
      <w:rFonts w:ascii="Times New Roman" w:hAnsi="Times New Roman" w:eastAsia="宋体" w:cs="Times New Roman"/>
      <w:kern w:val="2"/>
      <w:sz w:val="24"/>
      <w:szCs w:val="24"/>
      <w:lang w:val="en-US" w:eastAsia="zh-CN" w:bidi="ar-SA"/>
    </w:rPr>
  </w:style>
  <w:style w:type="paragraph" w:styleId="17">
    <w:name w:val="List Paragraph"/>
    <w:basedOn w:val="1"/>
    <w:qFormat/>
    <w:uiPriority w:val="99"/>
    <w:pPr>
      <w:ind w:firstLine="420"/>
    </w:pPr>
  </w:style>
  <w:style w:type="paragraph" w:customStyle="1" w:styleId="18">
    <w:name w:val="段"/>
    <w:link w:val="19"/>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character" w:customStyle="1" w:styleId="19">
    <w:name w:val="段 Char"/>
    <w:basedOn w:val="8"/>
    <w:link w:val="18"/>
    <w:qFormat/>
    <w:uiPriority w:val="0"/>
    <w:rPr>
      <w:rFonts w:ascii="宋体" w:hAnsi="Times New Roman"/>
      <w:sz w:val="21"/>
      <w:lang w:val="en-US" w:eastAsia="zh-CN" w:bidi="ar-SA"/>
    </w:rPr>
  </w:style>
  <w:style w:type="character" w:customStyle="1" w:styleId="20">
    <w:name w:val="正文文本_"/>
    <w:basedOn w:val="8"/>
    <w:link w:val="21"/>
    <w:qFormat/>
    <w:uiPriority w:val="0"/>
    <w:rPr>
      <w:rFonts w:ascii="宋体" w:hAnsi="宋体" w:cs="宋体"/>
      <w:sz w:val="22"/>
      <w:szCs w:val="22"/>
      <w:lang w:val="zh-CN" w:bidi="zh-CN"/>
    </w:rPr>
  </w:style>
  <w:style w:type="paragraph" w:customStyle="1" w:styleId="21">
    <w:name w:val="正文文本1"/>
    <w:basedOn w:val="1"/>
    <w:link w:val="20"/>
    <w:qFormat/>
    <w:uiPriority w:val="0"/>
    <w:pPr>
      <w:spacing w:line="262" w:lineRule="auto"/>
      <w:ind w:firstLine="380" w:firstLineChars="0"/>
      <w:jc w:val="left"/>
    </w:pPr>
    <w:rPr>
      <w:rFonts w:ascii="宋体" w:hAnsi="宋体" w:cs="宋体"/>
      <w:kern w:val="0"/>
      <w:sz w:val="22"/>
      <w:szCs w:val="2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HaseeComputer</Company>
  <Pages>8</Pages>
  <Words>548</Words>
  <Characters>3129</Characters>
  <Lines>26</Lines>
  <Paragraphs>7</Paragraphs>
  <TotalTime>398</TotalTime>
  <ScaleCrop>false</ScaleCrop>
  <LinksUpToDate>false</LinksUpToDate>
  <CharactersWithSpaces>3670</CharactersWithSpaces>
  <Application>WPS Office_11.8.2.10251_F1E327BC-269C-435d-A152-05C5408002CA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2022-06-09T08:57:00Z</dcterms:created>
  <dc:creator>hasee</dc:creator>
  <cp:lastModifiedBy>scjuser</cp:lastModifiedBy>
  <dcterms:modified xsi:type="dcterms:W3CDTF">2022-12-07T12:30:46Z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ies>
</file>