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90" w:lineRule="exact"/>
        <w:jc w:val="left"/>
        <w:textAlignment w:val="auto"/>
        <w:rPr>
          <w:rFonts w:hint="eastAsia" w:ascii="方正仿宋_GBK" w:eastAsia="方正仿宋_GBK"/>
          <w:b/>
          <w:sz w:val="32"/>
          <w:szCs w:val="32"/>
          <w:lang w:eastAsia="zh-CN"/>
        </w:rPr>
      </w:pPr>
      <w:r>
        <w:rPr>
          <w:rFonts w:hint="eastAsia" w:ascii="方正仿宋_GBK" w:eastAsia="方正仿宋_GBK"/>
          <w:b/>
          <w:sz w:val="32"/>
          <w:szCs w:val="32"/>
        </w:rPr>
        <w:t>附件</w:t>
      </w:r>
      <w:r>
        <w:rPr>
          <w:rFonts w:hint="eastAsia" w:ascii="方正仿宋_GBK" w:eastAsia="方正仿宋_GBK"/>
          <w:b/>
          <w:sz w:val="32"/>
          <w:szCs w:val="32"/>
          <w:lang w:val="en-US" w:eastAsia="zh-CN"/>
        </w:rPr>
        <w:t>1</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000000"/>
          <w:sz w:val="44"/>
          <w:szCs w:val="44"/>
          <w:lang w:eastAsia="zh-CN"/>
        </w:rPr>
      </w:pPr>
      <w:r>
        <w:rPr>
          <w:rFonts w:hint="eastAsia" w:ascii="方正小标宋简体" w:hAnsi="方正小标宋简体" w:eastAsia="方正小标宋简体" w:cs="方正小标宋简体"/>
          <w:color w:val="000000"/>
          <w:sz w:val="44"/>
          <w:szCs w:val="44"/>
        </w:rPr>
        <w:t>部分</w:t>
      </w:r>
      <w:r>
        <w:rPr>
          <w:rFonts w:hint="eastAsia" w:ascii="方正小标宋简体" w:hAnsi="方正小标宋简体" w:eastAsia="方正小标宋简体" w:cs="方正小标宋简体"/>
          <w:color w:val="000000"/>
          <w:sz w:val="44"/>
          <w:szCs w:val="44"/>
          <w:lang w:eastAsia="zh-CN"/>
        </w:rPr>
        <w:t>不合格</w:t>
      </w:r>
      <w:r>
        <w:rPr>
          <w:rFonts w:hint="eastAsia" w:ascii="方正小标宋简体" w:hAnsi="方正小标宋简体" w:eastAsia="方正小标宋简体" w:cs="方正小标宋简体"/>
          <w:color w:val="000000"/>
          <w:sz w:val="44"/>
          <w:szCs w:val="44"/>
        </w:rPr>
        <w:t>项目的</w:t>
      </w:r>
      <w:r>
        <w:rPr>
          <w:rFonts w:hint="eastAsia" w:ascii="方正小标宋简体" w:hAnsi="方正小标宋简体" w:eastAsia="方正小标宋简体" w:cs="方正小标宋简体"/>
          <w:color w:val="000000"/>
          <w:sz w:val="44"/>
          <w:szCs w:val="44"/>
          <w:lang w:eastAsia="zh-CN"/>
        </w:rPr>
        <w:t>小知识</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bidi w:val="0"/>
        <w:snapToGrid/>
        <w:spacing w:line="640" w:lineRule="exact"/>
        <w:ind w:firstLine="640" w:firstLineChars="200"/>
        <w:textAlignment w:val="auto"/>
        <w:rPr>
          <w:rFonts w:hint="eastAsia" w:ascii="黑体" w:hAnsi="黑体" w:eastAsia="黑体"/>
          <w:spacing w:val="-12"/>
          <w:sz w:val="32"/>
          <w:szCs w:val="32"/>
          <w:lang w:val="en-US" w:eastAsia="zh-CN"/>
        </w:rPr>
      </w:pPr>
      <w:r>
        <w:rPr>
          <w:rFonts w:hint="eastAsia" w:ascii="黑体" w:hAnsi="黑体" w:eastAsia="黑体"/>
          <w:color w:val="auto"/>
          <w:sz w:val="32"/>
          <w:szCs w:val="32"/>
          <w:lang w:val="en-US" w:eastAsia="zh-CN"/>
        </w:rPr>
        <w:t>一、菌落总数</w:t>
      </w:r>
    </w:p>
    <w:p>
      <w:pPr>
        <w:spacing w:line="640" w:lineRule="exact"/>
        <w:ind w:firstLine="640" w:firstLineChars="200"/>
        <w:textAlignment w:val="baseline"/>
        <w:rPr>
          <w:rFonts w:ascii="Times New Roman" w:hAnsi="Times New Roman" w:eastAsia="仿宋_GB2312"/>
          <w:sz w:val="32"/>
          <w:szCs w:val="32"/>
        </w:rPr>
      </w:pPr>
      <w:r>
        <w:rPr>
          <w:rFonts w:hint="eastAsia" w:ascii="Times New Roman" w:hAnsi="Times New Roman" w:eastAsia="仿宋_GB2312"/>
          <w:sz w:val="32"/>
          <w:szCs w:val="32"/>
        </w:rPr>
        <w:t>菌落总数是指示性微生物指标，主要用来评价食品清洁度，反映食品在生产过程中是否符合卫生要求。菌落总数超标的原因，可能是个别企业所使用的原辅料初始菌数较高，又未按要求严格控制生产加工过程的卫生条件，或者包装容器清洗消毒不到位，还有可能与产品包装密封不严、储运条件控制不当等有关。</w:t>
      </w:r>
    </w:p>
    <w:p>
      <w:pPr>
        <w:ind w:firstLine="640" w:firstLineChars="200"/>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、大肠菌群</w:t>
      </w:r>
    </w:p>
    <w:p>
      <w:pPr>
        <w:spacing w:line="360" w:lineRule="auto"/>
        <w:ind w:firstLine="640" w:firstLineChars="200"/>
        <w:rPr>
          <w:rFonts w:ascii="仿宋_GB2312" w:hAnsi="ˎ̥" w:eastAsia="仿宋_GB2312" w:cs="Arial"/>
          <w:sz w:val="32"/>
          <w:szCs w:val="32"/>
        </w:rPr>
      </w:pPr>
      <w:r>
        <w:rPr>
          <w:rFonts w:hint="eastAsia" w:ascii="仿宋_GB2312" w:eastAsia="仿宋_GB2312"/>
          <w:sz w:val="32"/>
          <w:szCs w:val="32"/>
        </w:rPr>
        <w:t>大肠菌群是国内外通用的食品污染常用指示菌之一。食品中检出大肠菌群，提示被致病菌（如沙门氏菌、志贺氏菌、致病性大肠杆菌）污染的可能性较大。大肠菌群超标可能由于产品的加工原料、包装材料受污染，或在生产过程中产品受人员、工器具等生产设备、环境的污染、有灭菌工艺的产</w:t>
      </w:r>
      <w:r>
        <w:rPr>
          <w:rFonts w:hint="eastAsia" w:ascii="仿宋_GB2312" w:hAnsi="ˎ̥" w:eastAsia="仿宋_GB2312" w:cs="Arial"/>
          <w:sz w:val="32"/>
          <w:szCs w:val="32"/>
        </w:rPr>
        <w:t>品灭菌不彻底而导致。</w:t>
      </w:r>
    </w:p>
    <w:p>
      <w:pPr>
        <w:spacing w:line="640" w:lineRule="exact"/>
        <w:ind w:firstLine="592" w:firstLineChars="200"/>
        <w:rPr>
          <w:rFonts w:ascii="黑体" w:hAnsi="黑体" w:eastAsia="黑体"/>
          <w:spacing w:val="-12"/>
          <w:sz w:val="32"/>
          <w:szCs w:val="32"/>
        </w:rPr>
      </w:pPr>
      <w:r>
        <w:rPr>
          <w:rFonts w:hint="eastAsia" w:ascii="黑体" w:hAnsi="黑体" w:eastAsia="黑体"/>
          <w:color w:val="000000" w:themeColor="text1"/>
          <w:spacing w:val="-12"/>
          <w:sz w:val="32"/>
          <w:szCs w:val="32"/>
          <w:lang w:eastAsia="zh-CN"/>
          <w14:textFill>
            <w14:solidFill>
              <w14:schemeClr w14:val="tx1"/>
            </w14:solidFill>
          </w14:textFill>
        </w:rPr>
        <w:t>三</w:t>
      </w:r>
      <w:r>
        <w:rPr>
          <w:rFonts w:hint="eastAsia" w:ascii="黑体" w:hAnsi="黑体" w:eastAsia="黑体"/>
          <w:color w:val="000000" w:themeColor="text1"/>
          <w:spacing w:val="-12"/>
          <w:sz w:val="32"/>
          <w:szCs w:val="32"/>
          <w14:textFill>
            <w14:solidFill>
              <w14:schemeClr w14:val="tx1"/>
            </w14:solidFill>
          </w14:textFill>
        </w:rPr>
        <w:t>、</w:t>
      </w:r>
      <w:r>
        <w:rPr>
          <w:rFonts w:hint="eastAsia" w:ascii="黑体" w:hAnsi="黑体" w:eastAsia="黑体"/>
          <w:spacing w:val="-12"/>
          <w:sz w:val="32"/>
          <w:szCs w:val="32"/>
        </w:rPr>
        <w:t>二氧化硫残留量</w:t>
      </w:r>
    </w:p>
    <w:p>
      <w:pPr>
        <w:pStyle w:val="18"/>
        <w:spacing w:line="640" w:lineRule="exact"/>
        <w:ind w:firstLine="640"/>
        <w:rPr>
          <w:rFonts w:ascii="Times New Roman" w:hAnsi="Times New Roman" w:eastAsia="仿宋_GB2312"/>
          <w:sz w:val="32"/>
          <w:szCs w:val="32"/>
        </w:rPr>
      </w:pPr>
      <w:r>
        <w:rPr>
          <w:rFonts w:hint="eastAsia" w:ascii="仿宋_GB2312" w:eastAsia="仿宋_GB2312"/>
          <w:sz w:val="32"/>
          <w:szCs w:val="32"/>
        </w:rPr>
        <w:t>二氧化硫（以及焦亚硫酸钾、亚硫酸钠等添加剂）对食品有漂白、防腐和抗氧化作用，是食品加工中常用的漂白剂和防腐剂，使用后均产生二氧化硫残留。摄入少量二氧化硫，可在人体内经酶转化后由尿液排出</w:t>
      </w:r>
      <w:r>
        <w:rPr>
          <w:rFonts w:ascii="Times New Roman" w:hAnsi="Times New Roman" w:eastAsia="仿宋_GB2312" w:cs="Times New Roman"/>
          <w:sz w:val="32"/>
          <w:szCs w:val="32"/>
        </w:rPr>
        <w:t>体外，一般不会对人体健康造成不良影响，但如果长期过量摄入二氧化硫，可能会对健康不利。二氧化硫残留量超标</w:t>
      </w:r>
      <w:r>
        <w:rPr>
          <w:rFonts w:hint="eastAsia" w:ascii="Times New Roman" w:hAnsi="Times New Roman" w:eastAsia="仿宋_GB2312" w:cs="Times New Roman"/>
          <w:sz w:val="32"/>
          <w:szCs w:val="32"/>
        </w:rPr>
        <w:t>的原因，</w:t>
      </w:r>
      <w:r>
        <w:rPr>
          <w:rFonts w:ascii="Times New Roman" w:hAnsi="Times New Roman" w:eastAsia="仿宋_GB2312" w:cs="Times New Roman"/>
          <w:sz w:val="32"/>
          <w:szCs w:val="32"/>
        </w:rPr>
        <w:t>可能是加工过程中超范围或超限量使用亚硫酸盐等漂白剂，以达到漂白和防腐的作用，</w:t>
      </w:r>
      <w:r>
        <w:rPr>
          <w:rFonts w:hint="eastAsia" w:ascii="仿宋_GB2312" w:eastAsia="仿宋_GB2312"/>
          <w:sz w:val="32"/>
          <w:szCs w:val="32"/>
        </w:rPr>
        <w:t>从而导致产品中二氧化硫残留不符合要求。</w:t>
      </w:r>
    </w:p>
    <w:p>
      <w:pPr>
        <w:numPr>
          <w:ilvl w:val="0"/>
          <w:numId w:val="0"/>
        </w:numPr>
        <w:spacing w:line="600" w:lineRule="exact"/>
        <w:ind w:firstLine="640" w:firstLineChars="200"/>
        <w:rPr>
          <w:rFonts w:hint="eastAsia" w:ascii="黑体" w:hAnsi="黑体" w:eastAsia="黑体" w:cs="Times New Roman"/>
          <w:sz w:val="32"/>
          <w:szCs w:val="32"/>
          <w:lang w:eastAsia="zh-CN"/>
        </w:rPr>
      </w:pPr>
      <w:r>
        <w:rPr>
          <w:rFonts w:hint="eastAsia" w:ascii="黑体" w:hAnsi="黑体" w:eastAsia="黑体" w:cs="Times New Roman"/>
          <w:sz w:val="32"/>
          <w:szCs w:val="32"/>
          <w:lang w:eastAsia="zh-CN"/>
        </w:rPr>
        <w:t>四、铅(以Pb计)</w:t>
      </w:r>
    </w:p>
    <w:p>
      <w:pPr>
        <w:pStyle w:val="18"/>
        <w:spacing w:line="64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rPr>
        <w:t>铅是一种慢性和积累性毒物，进入人体后，少部分会随着身体代谢排出体外，大部分会在体内沉积，危害人体健康。</w:t>
      </w:r>
      <w:r>
        <w:rPr>
          <w:rFonts w:hint="eastAsia" w:ascii="仿宋_GB2312" w:eastAsia="仿宋_GB2312"/>
          <w:sz w:val="32"/>
          <w:szCs w:val="32"/>
        </w:rPr>
        <w:t>铅超标的原因，可能是企业在生产时未对原料进行严格验收或为降低产品成本而采用劣质原料，由生产原料或辅料带入到产品中，也可能是食品生产加工过程中加工设备、容器、</w:t>
      </w:r>
      <w:r>
        <w:rPr>
          <w:rFonts w:hint="eastAsia" w:ascii="Times New Roman" w:hAnsi="Times New Roman" w:eastAsia="仿宋_GB2312" w:cs="Times New Roman"/>
          <w:sz w:val="32"/>
          <w:szCs w:val="32"/>
        </w:rPr>
        <w:t>包装材料中的铅迁移带入。</w:t>
      </w:r>
    </w:p>
    <w:p>
      <w:pPr>
        <w:spacing w:line="600" w:lineRule="exact"/>
        <w:ind w:firstLine="592" w:firstLineChars="200"/>
        <w:rPr>
          <w:rFonts w:hint="eastAsia" w:eastAsia="黑体"/>
          <w:spacing w:val="-12"/>
          <w:sz w:val="32"/>
          <w:szCs w:val="32"/>
          <w:lang w:eastAsia="zh-CN"/>
        </w:rPr>
      </w:pPr>
      <w:r>
        <w:rPr>
          <w:rFonts w:hint="eastAsia" w:eastAsia="黑体"/>
          <w:spacing w:val="-12"/>
          <w:sz w:val="32"/>
          <w:szCs w:val="32"/>
          <w:lang w:eastAsia="zh-CN"/>
        </w:rPr>
        <w:t>五、霉菌</w:t>
      </w:r>
    </w:p>
    <w:p>
      <w:pPr>
        <w:spacing w:line="590" w:lineRule="exact"/>
        <w:ind w:firstLine="640" w:firstLineChars="200"/>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Times New Roman"/>
          <w:color w:val="000000" w:themeColor="text1"/>
          <w:sz w:val="32"/>
          <w:szCs w:val="32"/>
          <w14:textFill>
            <w14:solidFill>
              <w14:schemeClr w14:val="tx1"/>
            </w14:solidFill>
          </w14:textFill>
        </w:rPr>
        <w:t>霉菌是自然界中常见的真菌，食品中霉菌超标原因可能是加工用原料受霉菌污染，或者是产品存储、运输条件控制不当导致流通环节抽取的样品被霉菌污染。霉菌污染可使食品腐败变质，破坏食品的色、香、味，降低食品的食用价值。</w:t>
      </w:r>
    </w:p>
    <w:p>
      <w:pPr>
        <w:numPr>
          <w:ilvl w:val="0"/>
          <w:numId w:val="1"/>
        </w:numPr>
        <w:spacing w:line="600" w:lineRule="exact"/>
        <w:ind w:firstLine="640" w:firstLineChars="200"/>
        <w:rPr>
          <w:rFonts w:hint="eastAsia" w:ascii="Calibri" w:hAnsi="Calibri" w:eastAsia="黑体" w:cs="Times New Roman"/>
          <w:sz w:val="32"/>
          <w:szCs w:val="32"/>
        </w:rPr>
      </w:pPr>
      <w:r>
        <w:rPr>
          <w:rFonts w:hint="eastAsia" w:ascii="Calibri" w:hAnsi="Calibri" w:eastAsia="黑体" w:cs="Times New Roman"/>
          <w:sz w:val="32"/>
          <w:szCs w:val="32"/>
        </w:rPr>
        <w:t>山梨酸及其钾盐(以山梨酸计)</w:t>
      </w:r>
    </w:p>
    <w:p>
      <w:pPr>
        <w:spacing w:line="640" w:lineRule="exact"/>
        <w:ind w:firstLine="640" w:firstLineChars="200"/>
        <w:rPr>
          <w:rFonts w:eastAsia="仿宋_GB2312"/>
          <w:sz w:val="32"/>
          <w:szCs w:val="32"/>
        </w:rPr>
      </w:pPr>
      <w:r>
        <w:rPr>
          <w:rFonts w:ascii="Times New Roman" w:hAnsi="Times New Roman" w:eastAsia="仿宋_GB2312"/>
          <w:sz w:val="32"/>
          <w:szCs w:val="32"/>
        </w:rPr>
        <w:t>山梨酸及其钾盐是一种酸性防腐剂，具有较好的抑菌效果和防霉性能，对霉菌、酵母菌和好</w:t>
      </w:r>
      <w:r>
        <w:rPr>
          <w:rFonts w:hint="eastAsia" w:ascii="Times New Roman" w:hAnsi="Times New Roman" w:eastAsia="仿宋_GB2312"/>
          <w:sz w:val="32"/>
          <w:szCs w:val="32"/>
        </w:rPr>
        <w:t>氧</w:t>
      </w:r>
      <w:r>
        <w:rPr>
          <w:rFonts w:ascii="Times New Roman" w:hAnsi="Times New Roman" w:eastAsia="仿宋_GB2312"/>
          <w:sz w:val="32"/>
          <w:szCs w:val="32"/>
        </w:rPr>
        <w:t>性细菌的生长发育均有抑制作用。山梨酸及其钾盐是一种相对无毒的食品添加剂，在生物体内可被代谢为二氧化碳和水排出体外。但如果长期食用山梨酸及其钾盐超标的食品，</w:t>
      </w:r>
      <w:bookmarkStart w:id="0" w:name="_GoBack"/>
      <w:bookmarkEnd w:id="0"/>
      <w:r>
        <w:rPr>
          <w:rFonts w:ascii="Times New Roman" w:hAnsi="Times New Roman" w:eastAsia="仿宋_GB2312"/>
          <w:sz w:val="32"/>
          <w:szCs w:val="32"/>
        </w:rPr>
        <w:t>可能会对人体的骨骼生长、肾脏、肝脏健康造成一定影响。</w:t>
      </w:r>
      <w:r>
        <w:rPr>
          <w:rFonts w:hint="eastAsia" w:ascii="Times New Roman" w:hAnsi="Times New Roman" w:eastAsia="仿宋_GB2312"/>
          <w:sz w:val="32"/>
          <w:szCs w:val="32"/>
        </w:rPr>
        <w:t>造成山梨酸及其钾盐（以山梨酸计）</w:t>
      </w:r>
      <w:r>
        <w:rPr>
          <w:rFonts w:ascii="Times New Roman" w:hAnsi="Times New Roman" w:eastAsia="仿宋_GB2312"/>
          <w:sz w:val="32"/>
          <w:szCs w:val="32"/>
        </w:rPr>
        <w:t>不合格</w:t>
      </w:r>
      <w:r>
        <w:rPr>
          <w:rFonts w:hint="eastAsia" w:ascii="Times New Roman" w:hAnsi="Times New Roman" w:eastAsia="仿宋_GB2312"/>
          <w:sz w:val="32"/>
          <w:szCs w:val="32"/>
        </w:rPr>
        <w:t>的</w:t>
      </w:r>
      <w:r>
        <w:rPr>
          <w:rFonts w:ascii="Times New Roman" w:hAnsi="Times New Roman" w:eastAsia="仿宋_GB2312"/>
          <w:sz w:val="32"/>
          <w:szCs w:val="32"/>
        </w:rPr>
        <w:t>原因</w:t>
      </w:r>
      <w:r>
        <w:rPr>
          <w:rFonts w:hint="eastAsia" w:ascii="Times New Roman" w:hAnsi="Times New Roman" w:eastAsia="仿宋_GB2312"/>
          <w:sz w:val="32"/>
          <w:szCs w:val="32"/>
        </w:rPr>
        <w:t>，</w:t>
      </w:r>
      <w:r>
        <w:rPr>
          <w:rFonts w:ascii="Times New Roman" w:hAnsi="Times New Roman" w:eastAsia="仿宋_GB2312"/>
          <w:sz w:val="32"/>
          <w:szCs w:val="32"/>
        </w:rPr>
        <w:t>可能是企业为</w:t>
      </w:r>
      <w:r>
        <w:rPr>
          <w:rFonts w:hint="eastAsia" w:ascii="Times New Roman" w:hAnsi="Times New Roman" w:eastAsia="仿宋_GB2312"/>
          <w:sz w:val="32"/>
          <w:szCs w:val="32"/>
        </w:rPr>
        <w:t>延长</w:t>
      </w:r>
      <w:r>
        <w:rPr>
          <w:rFonts w:ascii="Times New Roman" w:hAnsi="Times New Roman" w:eastAsia="仿宋_GB2312"/>
          <w:sz w:val="32"/>
          <w:szCs w:val="32"/>
        </w:rPr>
        <w:t>产品保质期或者为弥补产品生产中卫生条件不佳而超限量使用。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theme="minorBidi"/>
          <w:kern w:val="2"/>
          <w:sz w:val="32"/>
          <w:szCs w:val="32"/>
          <w:lang w:val="en-US" w:eastAsia="zh-CN" w:bidi="ar-SA"/>
        </w:rPr>
      </w:pPr>
    </w:p>
    <w:p>
      <w:pPr>
        <w:spacing w:line="600" w:lineRule="exact"/>
        <w:ind w:firstLine="640" w:firstLineChars="200"/>
        <w:rPr>
          <w:rFonts w:ascii="仿宋_GB2312" w:hAnsi="Times New Roman" w:eastAsia="仿宋_GB2312" w:cs="Times New Roman"/>
          <w:color w:val="000000"/>
          <w:sz w:val="32"/>
          <w:szCs w:val="32"/>
        </w:rPr>
      </w:pPr>
    </w:p>
    <w:p>
      <w:pPr>
        <w:spacing w:line="600" w:lineRule="exact"/>
        <w:ind w:firstLine="640" w:firstLineChars="200"/>
        <w:rPr>
          <w:rFonts w:hint="eastAsia" w:ascii="仿宋_GB2312" w:eastAsia="仿宋_GB2312"/>
          <w:sz w:val="32"/>
          <w:szCs w:val="32"/>
        </w:rPr>
      </w:pPr>
    </w:p>
    <w:p>
      <w:pPr>
        <w:spacing w:line="600" w:lineRule="exact"/>
        <w:ind w:firstLine="640" w:firstLineChars="200"/>
        <w:rPr>
          <w:rFonts w:hint="eastAsia" w:ascii="仿宋_GB2312" w:hAnsi="Times New Roman" w:eastAsia="仿宋_GB2312" w:cs="Times New Roman"/>
          <w:color w:val="000000" w:themeColor="text1"/>
          <w:sz w:val="32"/>
          <w:szCs w:val="32"/>
          <w:lang w:eastAsia="zh-CN"/>
          <w14:textFill>
            <w14:solidFill>
              <w14:schemeClr w14:val="tx1"/>
            </w14:solidFill>
          </w14:textFill>
        </w:rPr>
      </w:pPr>
    </w:p>
    <w:p>
      <w:pPr>
        <w:ind w:firstLine="640" w:firstLineChars="200"/>
        <w:rPr>
          <w:rFonts w:hint="eastAsia" w:ascii="仿宋_GB2312" w:hAnsi="宋体" w:eastAsia="仿宋_GB2312"/>
          <w:kern w:val="0"/>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F629A"/>
    <w:multiLevelType w:val="singleLevel"/>
    <w:tmpl w:val="247F629A"/>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5B075F0"/>
    <w:rsid w:val="07503655"/>
    <w:rsid w:val="09613572"/>
    <w:rsid w:val="098168D4"/>
    <w:rsid w:val="09E0572E"/>
    <w:rsid w:val="0A4011CE"/>
    <w:rsid w:val="0B443F79"/>
    <w:rsid w:val="0B505CFE"/>
    <w:rsid w:val="0CCE6341"/>
    <w:rsid w:val="0D4279C5"/>
    <w:rsid w:val="0D852F3F"/>
    <w:rsid w:val="0E284B04"/>
    <w:rsid w:val="0EC12409"/>
    <w:rsid w:val="0F8E03D8"/>
    <w:rsid w:val="0FC01C62"/>
    <w:rsid w:val="107C1AA5"/>
    <w:rsid w:val="11F95E33"/>
    <w:rsid w:val="12F708C4"/>
    <w:rsid w:val="14FB2159"/>
    <w:rsid w:val="153E37EC"/>
    <w:rsid w:val="155E31D5"/>
    <w:rsid w:val="15F30177"/>
    <w:rsid w:val="164271B3"/>
    <w:rsid w:val="16C74C86"/>
    <w:rsid w:val="16E15A77"/>
    <w:rsid w:val="17BC2306"/>
    <w:rsid w:val="187D413F"/>
    <w:rsid w:val="18CE1A06"/>
    <w:rsid w:val="19D1085A"/>
    <w:rsid w:val="1A6251F7"/>
    <w:rsid w:val="1ACE2642"/>
    <w:rsid w:val="1BAD4A7C"/>
    <w:rsid w:val="1C1845BD"/>
    <w:rsid w:val="1CB27E9B"/>
    <w:rsid w:val="1DAD3FFF"/>
    <w:rsid w:val="1DFF41B9"/>
    <w:rsid w:val="207F2166"/>
    <w:rsid w:val="209E7837"/>
    <w:rsid w:val="20DD5D1B"/>
    <w:rsid w:val="21EF72E6"/>
    <w:rsid w:val="227B2998"/>
    <w:rsid w:val="22BF0461"/>
    <w:rsid w:val="22DF1FFB"/>
    <w:rsid w:val="239D0E6B"/>
    <w:rsid w:val="24B573DE"/>
    <w:rsid w:val="25481A61"/>
    <w:rsid w:val="25915938"/>
    <w:rsid w:val="25A92365"/>
    <w:rsid w:val="261F7110"/>
    <w:rsid w:val="26A0668D"/>
    <w:rsid w:val="26AB6C21"/>
    <w:rsid w:val="27332D86"/>
    <w:rsid w:val="27727CA4"/>
    <w:rsid w:val="27F74C72"/>
    <w:rsid w:val="28600ED5"/>
    <w:rsid w:val="28E51ADB"/>
    <w:rsid w:val="290E4770"/>
    <w:rsid w:val="2A066B4A"/>
    <w:rsid w:val="2A0F4184"/>
    <w:rsid w:val="2AB22B74"/>
    <w:rsid w:val="2D7D65C0"/>
    <w:rsid w:val="2EE02088"/>
    <w:rsid w:val="2EEE4150"/>
    <w:rsid w:val="2F9200D3"/>
    <w:rsid w:val="30C52F74"/>
    <w:rsid w:val="31390AFB"/>
    <w:rsid w:val="31727237"/>
    <w:rsid w:val="31E4442C"/>
    <w:rsid w:val="31F75EEE"/>
    <w:rsid w:val="320944EF"/>
    <w:rsid w:val="32671426"/>
    <w:rsid w:val="32B12BD0"/>
    <w:rsid w:val="36731FE9"/>
    <w:rsid w:val="36970865"/>
    <w:rsid w:val="37246F64"/>
    <w:rsid w:val="37975EBC"/>
    <w:rsid w:val="37980617"/>
    <w:rsid w:val="37D8062F"/>
    <w:rsid w:val="37F96A05"/>
    <w:rsid w:val="383060A2"/>
    <w:rsid w:val="38642EE5"/>
    <w:rsid w:val="39666407"/>
    <w:rsid w:val="39AF2A0A"/>
    <w:rsid w:val="3AA9213C"/>
    <w:rsid w:val="3B6949B8"/>
    <w:rsid w:val="3C87360C"/>
    <w:rsid w:val="3D625FAB"/>
    <w:rsid w:val="3D8F3232"/>
    <w:rsid w:val="3E3A3BD1"/>
    <w:rsid w:val="3E793D02"/>
    <w:rsid w:val="3E974FD9"/>
    <w:rsid w:val="3F944EF2"/>
    <w:rsid w:val="40787187"/>
    <w:rsid w:val="40B86FDC"/>
    <w:rsid w:val="42400E64"/>
    <w:rsid w:val="425665EF"/>
    <w:rsid w:val="426A0D65"/>
    <w:rsid w:val="44F63D12"/>
    <w:rsid w:val="45B97969"/>
    <w:rsid w:val="47492C28"/>
    <w:rsid w:val="494214A7"/>
    <w:rsid w:val="4B5049B4"/>
    <w:rsid w:val="4BC137FA"/>
    <w:rsid w:val="4C297156"/>
    <w:rsid w:val="4CCB074B"/>
    <w:rsid w:val="4D8A2EE5"/>
    <w:rsid w:val="4D9B4661"/>
    <w:rsid w:val="4E0B1BC2"/>
    <w:rsid w:val="4EED2BC8"/>
    <w:rsid w:val="4F932387"/>
    <w:rsid w:val="4FAB5F46"/>
    <w:rsid w:val="50163F73"/>
    <w:rsid w:val="50C17233"/>
    <w:rsid w:val="51896A13"/>
    <w:rsid w:val="52941F38"/>
    <w:rsid w:val="5473169E"/>
    <w:rsid w:val="554D75AB"/>
    <w:rsid w:val="55BE0029"/>
    <w:rsid w:val="566F178F"/>
    <w:rsid w:val="58C52A1E"/>
    <w:rsid w:val="591702CA"/>
    <w:rsid w:val="59203A01"/>
    <w:rsid w:val="5AF17BBB"/>
    <w:rsid w:val="5B7936AC"/>
    <w:rsid w:val="5BDC6E44"/>
    <w:rsid w:val="5C6258A4"/>
    <w:rsid w:val="5E82604C"/>
    <w:rsid w:val="5EB3567B"/>
    <w:rsid w:val="5FB4017C"/>
    <w:rsid w:val="62106968"/>
    <w:rsid w:val="62733EE5"/>
    <w:rsid w:val="62A23EF9"/>
    <w:rsid w:val="62E64A8D"/>
    <w:rsid w:val="63E51096"/>
    <w:rsid w:val="645F7C77"/>
    <w:rsid w:val="66F73F16"/>
    <w:rsid w:val="67C1146A"/>
    <w:rsid w:val="67DF1954"/>
    <w:rsid w:val="67E22ABE"/>
    <w:rsid w:val="681A5C55"/>
    <w:rsid w:val="686B67ED"/>
    <w:rsid w:val="6B0A631F"/>
    <w:rsid w:val="6B2F57E8"/>
    <w:rsid w:val="6C2A5933"/>
    <w:rsid w:val="6C532497"/>
    <w:rsid w:val="6C6A3D48"/>
    <w:rsid w:val="70433045"/>
    <w:rsid w:val="71236AF0"/>
    <w:rsid w:val="72C44654"/>
    <w:rsid w:val="731C59A6"/>
    <w:rsid w:val="740B7597"/>
    <w:rsid w:val="75A57FA1"/>
    <w:rsid w:val="76077A0F"/>
    <w:rsid w:val="76C43BAF"/>
    <w:rsid w:val="77450FC0"/>
    <w:rsid w:val="78516857"/>
    <w:rsid w:val="787917F5"/>
    <w:rsid w:val="79425C88"/>
    <w:rsid w:val="79E41CD7"/>
    <w:rsid w:val="7A27777B"/>
    <w:rsid w:val="7B5D2F26"/>
    <w:rsid w:val="7B7721FC"/>
    <w:rsid w:val="7C833972"/>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21"/>
    <w:semiHidden/>
    <w:unhideWhenUsed/>
    <w:qFormat/>
    <w:uiPriority w:val="99"/>
    <w:pPr>
      <w:spacing w:after="120"/>
    </w:pPr>
  </w:style>
  <w:style w:type="paragraph" w:styleId="3">
    <w:name w:val="Balloon Text"/>
    <w:basedOn w:val="1"/>
    <w:link w:val="20"/>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2"/>
    <w:link w:val="22"/>
    <w:qFormat/>
    <w:uiPriority w:val="0"/>
    <w:pPr>
      <w:ind w:firstLine="420" w:firstLineChars="100"/>
    </w:pPr>
    <w:rPr>
      <w:rFonts w:ascii="Times New Roman" w:hAnsi="Times New Roman" w:eastAsia="宋体" w:cs="Times New Roman"/>
      <w:szCs w:val="24"/>
    </w:rPr>
  </w:style>
  <w:style w:type="character" w:styleId="11">
    <w:name w:val="FollowedHyperlink"/>
    <w:basedOn w:val="10"/>
    <w:unhideWhenUsed/>
    <w:qFormat/>
    <w:uiPriority w:val="99"/>
    <w:rPr>
      <w:color w:val="000099"/>
      <w:sz w:val="18"/>
      <w:szCs w:val="18"/>
      <w:u w:val="single"/>
    </w:rPr>
  </w:style>
  <w:style w:type="character" w:styleId="12">
    <w:name w:val="Emphasis"/>
    <w:qFormat/>
    <w:uiPriority w:val="20"/>
    <w:rPr>
      <w:i/>
      <w:iCs/>
    </w:rPr>
  </w:style>
  <w:style w:type="character" w:styleId="13">
    <w:name w:val="Hyperlink"/>
    <w:basedOn w:val="10"/>
    <w:unhideWhenUsed/>
    <w:qFormat/>
    <w:uiPriority w:val="99"/>
    <w:rPr>
      <w:color w:val="000099"/>
      <w:sz w:val="18"/>
      <w:szCs w:val="18"/>
      <w:u w:val="single"/>
    </w:rPr>
  </w:style>
  <w:style w:type="character" w:customStyle="1" w:styleId="14">
    <w:name w:val="页眉 Char"/>
    <w:basedOn w:val="10"/>
    <w:link w:val="5"/>
    <w:semiHidden/>
    <w:qFormat/>
    <w:uiPriority w:val="99"/>
    <w:rPr>
      <w:sz w:val="18"/>
      <w:szCs w:val="18"/>
    </w:rPr>
  </w:style>
  <w:style w:type="character" w:customStyle="1" w:styleId="15">
    <w:name w:val="页脚 Char"/>
    <w:basedOn w:val="10"/>
    <w:link w:val="4"/>
    <w:semiHidden/>
    <w:qFormat/>
    <w:uiPriority w:val="99"/>
    <w:rPr>
      <w:sz w:val="18"/>
      <w:szCs w:val="18"/>
    </w:rPr>
  </w:style>
  <w:style w:type="character" w:customStyle="1" w:styleId="16">
    <w:name w:val="apple-converted-space"/>
    <w:basedOn w:val="10"/>
    <w:qFormat/>
    <w:uiPriority w:val="0"/>
  </w:style>
  <w:style w:type="paragraph" w:customStyle="1" w:styleId="17">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8">
    <w:name w:val="List Paragraph"/>
    <w:basedOn w:val="1"/>
    <w:unhideWhenUsed/>
    <w:qFormat/>
    <w:uiPriority w:val="99"/>
    <w:pPr>
      <w:ind w:firstLine="420" w:firstLineChars="200"/>
    </w:pPr>
  </w:style>
  <w:style w:type="character" w:customStyle="1" w:styleId="19">
    <w:name w:val="description"/>
    <w:basedOn w:val="10"/>
    <w:qFormat/>
    <w:uiPriority w:val="0"/>
  </w:style>
  <w:style w:type="character" w:customStyle="1" w:styleId="20">
    <w:name w:val="批注框文本 Char"/>
    <w:basedOn w:val="10"/>
    <w:link w:val="3"/>
    <w:semiHidden/>
    <w:qFormat/>
    <w:uiPriority w:val="99"/>
    <w:rPr>
      <w:rFonts w:asciiTheme="minorHAnsi" w:hAnsiTheme="minorHAnsi" w:eastAsiaTheme="minorEastAsia" w:cstheme="minorBidi"/>
      <w:kern w:val="2"/>
      <w:sz w:val="18"/>
      <w:szCs w:val="18"/>
    </w:rPr>
  </w:style>
  <w:style w:type="character" w:customStyle="1" w:styleId="21">
    <w:name w:val="正文文本 Char"/>
    <w:basedOn w:val="10"/>
    <w:link w:val="2"/>
    <w:semiHidden/>
    <w:qFormat/>
    <w:uiPriority w:val="99"/>
    <w:rPr>
      <w:rFonts w:asciiTheme="minorHAnsi" w:hAnsiTheme="minorHAnsi" w:eastAsiaTheme="minorEastAsia" w:cstheme="minorBidi"/>
      <w:kern w:val="2"/>
      <w:sz w:val="21"/>
      <w:szCs w:val="22"/>
    </w:rPr>
  </w:style>
  <w:style w:type="character" w:customStyle="1" w:styleId="22">
    <w:name w:val="正文首行缩进 Char"/>
    <w:basedOn w:val="21"/>
    <w:link w:val="8"/>
    <w:qFormat/>
    <w:uiPriority w:val="0"/>
    <w:rPr>
      <w:rFonts w:asciiTheme="minorHAnsi" w:hAnsiTheme="minorHAnsi" w:eastAsiaTheme="minorEastAsia" w:cstheme="minorBidi"/>
      <w:kern w:val="2"/>
      <w:sz w:val="21"/>
      <w:szCs w:val="24"/>
    </w:rPr>
  </w:style>
  <w:style w:type="character" w:customStyle="1" w:styleId="23">
    <w:name w:val="不明显强调1"/>
    <w:basedOn w:val="10"/>
    <w:qFormat/>
    <w:uiPriority w:val="19"/>
    <w:rPr>
      <w:i/>
      <w:iCs/>
      <w:color w:val="808080" w:themeColor="text1" w:themeTint="80"/>
      <w14:textFill>
        <w14:solidFill>
          <w14:schemeClr w14:val="tx1">
            <w14:lumMod w14:val="50000"/>
            <w14:lumOff w14:val="50000"/>
          </w14:schemeClr>
        </w14:solidFill>
      </w14:textFill>
    </w:rPr>
  </w:style>
  <w:style w:type="paragraph" w:styleId="24">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6">
    <w:name w:val="不明显强调2"/>
    <w:basedOn w:val="10"/>
    <w:qFormat/>
    <w:uiPriority w:val="19"/>
    <w:rPr>
      <w:i/>
      <w:iCs/>
      <w:color w:val="808080" w:themeColor="text1" w:themeTint="80"/>
      <w14:textFill>
        <w14:solidFill>
          <w14:schemeClr w14:val="tx1">
            <w14:lumMod w14:val="50000"/>
            <w14:lumOff w14:val="50000"/>
          </w14:schemeClr>
        </w14:solidFill>
      </w14:textFill>
    </w:rPr>
  </w:style>
  <w:style w:type="character" w:customStyle="1" w:styleId="27">
    <w:name w:val="Subtle Emphasis"/>
    <w:basedOn w:val="10"/>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157</Words>
  <Characters>899</Characters>
  <Lines>7</Lines>
  <Paragraphs>2</Paragraphs>
  <TotalTime>1</TotalTime>
  <ScaleCrop>false</ScaleCrop>
  <LinksUpToDate>false</LinksUpToDate>
  <CharactersWithSpaces>1054</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零点心晴</cp:lastModifiedBy>
  <cp:lastPrinted>2019-01-28T02:50:00Z</cp:lastPrinted>
  <dcterms:modified xsi:type="dcterms:W3CDTF">2019-08-23T05:05:20Z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y fmtid="{D5CDD505-2E9C-101B-9397-08002B2CF9AE}" pid="3" name="KSORubyTemplateID" linkTarget="0">
    <vt:lpwstr>6</vt:lpwstr>
  </property>
</Properties>
</file>