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90" w:lineRule="exact"/>
        <w:jc w:val="left"/>
        <w:textAlignment w:val="auto"/>
        <w:rPr>
          <w:rFonts w:hint="eastAsia" w:ascii="方正仿宋_GBK" w:eastAsia="方正仿宋_GBK"/>
          <w:b/>
          <w:color w:val="auto"/>
          <w:sz w:val="32"/>
          <w:szCs w:val="32"/>
          <w:lang w:eastAsia="zh-CN"/>
        </w:rPr>
      </w:pPr>
      <w:r>
        <w:rPr>
          <w:rFonts w:hint="eastAsia" w:ascii="方正仿宋_GBK" w:eastAsia="方正仿宋_GBK"/>
          <w:b/>
          <w:color w:val="auto"/>
          <w:sz w:val="32"/>
          <w:szCs w:val="32"/>
        </w:rPr>
        <w:t>附件</w:t>
      </w:r>
      <w:r>
        <w:rPr>
          <w:rFonts w:hint="eastAsia" w:ascii="方正仿宋_GBK" w:eastAsia="方正仿宋_GBK"/>
          <w:b/>
          <w:color w:val="auto"/>
          <w:sz w:val="32"/>
          <w:szCs w:val="32"/>
          <w:lang w:val="en-US" w:eastAsia="zh-CN"/>
        </w:rPr>
        <w:t>1</w:t>
      </w:r>
    </w:p>
    <w:p>
      <w:pPr>
        <w:keepNext w:val="0"/>
        <w:keepLines w:val="0"/>
        <w:pageBreakBefore w:val="0"/>
        <w:suppressAutoHyphens/>
        <w:kinsoku/>
        <w:wordWrap/>
        <w:overflowPunct/>
        <w:topLinePunct w:val="0"/>
        <w:autoSpaceDE/>
        <w:autoSpaceDN/>
        <w:bidi w:val="0"/>
        <w:adjustRightInd w:val="0"/>
        <w:snapToGrid w:val="0"/>
        <w:spacing w:line="590" w:lineRule="exact"/>
        <w:jc w:val="center"/>
        <w:textAlignment w:val="auto"/>
        <w:rPr>
          <w:rFonts w:hint="eastAsia" w:ascii="Times New Roman" w:hAnsi="Times New Roman" w:eastAsia="黑体" w:cs="Times New Roman"/>
          <w:sz w:val="32"/>
          <w:szCs w:val="32"/>
          <w:lang w:val="en-US" w:eastAsia="zh-CN"/>
        </w:rPr>
      </w:pPr>
      <w:r>
        <w:rPr>
          <w:rFonts w:hint="eastAsia" w:ascii="方正小标宋简体" w:hAnsi="方正小标宋简体" w:eastAsia="方正小标宋简体" w:cs="方正小标宋简体"/>
          <w:color w:val="auto"/>
          <w:sz w:val="44"/>
          <w:szCs w:val="44"/>
          <w:lang w:eastAsia="zh-CN"/>
        </w:rPr>
        <w:t>部分不合格</w:t>
      </w:r>
      <w:r>
        <w:rPr>
          <w:rFonts w:hint="eastAsia" w:ascii="方正小标宋简体" w:hAnsi="方正小标宋简体" w:eastAsia="方正小标宋简体" w:cs="方正小标宋简体"/>
          <w:color w:val="auto"/>
          <w:sz w:val="44"/>
          <w:szCs w:val="44"/>
        </w:rPr>
        <w:t>项目的</w:t>
      </w:r>
      <w:r>
        <w:rPr>
          <w:rFonts w:hint="eastAsia" w:ascii="方正小标宋简体" w:hAnsi="方正小标宋简体" w:eastAsia="方正小标宋简体" w:cs="方正小标宋简体"/>
          <w:color w:val="auto"/>
          <w:sz w:val="44"/>
          <w:szCs w:val="44"/>
          <w:lang w:eastAsia="zh-CN"/>
        </w:rPr>
        <w:t>小知识</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rPr>
          <w:rFonts w:hint="eastAsia" w:ascii="黑体" w:hAnsi="黑体" w:eastAsia="黑体" w:cstheme="minorBidi"/>
          <w:color w:val="auto"/>
          <w:kern w:val="2"/>
          <w:sz w:val="32"/>
          <w:szCs w:val="32"/>
          <w:lang w:val="en-US" w:eastAsia="zh-CN" w:bidi="ar-SA"/>
        </w:rPr>
      </w:pPr>
      <w:r>
        <w:rPr>
          <w:rFonts w:hint="eastAsia" w:ascii="黑体" w:hAnsi="黑体" w:eastAsia="黑体"/>
          <w:color w:val="auto"/>
          <w:sz w:val="32"/>
          <w:szCs w:val="32"/>
          <w:lang w:val="en-US" w:eastAsia="zh-CN"/>
        </w:rPr>
        <w:t>一、</w:t>
      </w:r>
      <w:r>
        <w:rPr>
          <w:rFonts w:hint="eastAsia" w:ascii="黑体" w:hAnsi="黑体" w:eastAsia="黑体" w:cstheme="minorBidi"/>
          <w:color w:val="auto"/>
          <w:kern w:val="2"/>
          <w:sz w:val="32"/>
          <w:szCs w:val="32"/>
          <w:lang w:val="en-US" w:eastAsia="zh-CN" w:bidi="ar-SA"/>
        </w:rPr>
        <w:t>防腐剂混合使用时各自用量占其最大使用量的比例之和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防腐剂是指天然或合成的化学成分，用于延缓或抑制由微生物引起的食品腐败变质。常见的防腐剂有苯甲酸及其钠盐、山梨酸及其钠盐等。《食品安全国家标准 食品添加剂使用标准》（GB 2760—2014）中规定，防腐剂混合使用时，各自用量占其最大使用量的比例之和不得超过1。糕点中防腐剂混合使用时各自用量占其最大使用量的比例之和超标的原因，可能是生产企业对国家标准不够了解，从而过量添加多种不同的防腐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592" w:firstLineChars="200"/>
        <w:jc w:val="left"/>
        <w:textAlignment w:val="auto"/>
        <w:rPr>
          <w:rFonts w:hint="default" w:ascii="黑体" w:hAnsi="黑体" w:eastAsia="黑体" w:cstheme="minorBidi"/>
          <w:color w:val="auto"/>
          <w:kern w:val="2"/>
          <w:sz w:val="32"/>
          <w:szCs w:val="32"/>
          <w:lang w:val="en-US" w:eastAsia="zh-CN" w:bidi="ar-SA"/>
        </w:rPr>
      </w:pPr>
      <w:r>
        <w:rPr>
          <w:rFonts w:hint="eastAsia" w:ascii="黑体" w:hAnsi="黑体" w:eastAsia="黑体"/>
          <w:color w:val="auto"/>
          <w:spacing w:val="-12"/>
          <w:sz w:val="32"/>
          <w:szCs w:val="32"/>
          <w:lang w:val="en-US" w:eastAsia="zh-CN"/>
        </w:rPr>
        <w:t>二、酸价</w:t>
      </w:r>
    </w:p>
    <w:p>
      <w:pPr>
        <w:spacing w:line="59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酸价主要反映食品中油脂的酸败程度。酸价超标会导致食品有哈喇味，超标严重时所产生的醛、酮、酸会破坏脂溶性维生素，导致肠胃不适。黑芝麻中酸价超标的原因，可能是产品储藏条件不当引起。</w:t>
      </w:r>
    </w:p>
    <w:p>
      <w:pPr>
        <w:keepNext w:val="0"/>
        <w:keepLines w:val="0"/>
        <w:pageBreakBefore w:val="0"/>
        <w:kinsoku/>
        <w:wordWrap/>
        <w:overflowPunct/>
        <w:topLinePunct w:val="0"/>
        <w:autoSpaceDE/>
        <w:autoSpaceDN/>
        <w:bidi w:val="0"/>
        <w:spacing w:line="590" w:lineRule="exact"/>
        <w:ind w:firstLine="592" w:firstLineChars="200"/>
        <w:textAlignment w:val="auto"/>
        <w:rPr>
          <w:rFonts w:hint="default" w:ascii="黑体" w:hAnsi="黑体" w:eastAsia="黑体"/>
          <w:color w:val="auto"/>
          <w:sz w:val="32"/>
          <w:szCs w:val="32"/>
          <w:lang w:val="en-US" w:eastAsia="zh-CN"/>
        </w:rPr>
      </w:pPr>
      <w:r>
        <w:rPr>
          <w:rFonts w:hint="eastAsia" w:eastAsia="黑体"/>
          <w:color w:val="auto"/>
          <w:spacing w:val="-12"/>
          <w:sz w:val="32"/>
          <w:szCs w:val="32"/>
          <w:lang w:val="en-US" w:eastAsia="zh-CN"/>
        </w:rPr>
        <w:t>三、</w:t>
      </w:r>
      <w:r>
        <w:rPr>
          <w:rFonts w:hint="eastAsia" w:ascii="黑体" w:hAnsi="黑体" w:eastAsia="黑体"/>
          <w:color w:val="auto"/>
          <w:sz w:val="32"/>
          <w:szCs w:val="32"/>
          <w:lang w:val="en-US" w:eastAsia="zh-CN"/>
        </w:rPr>
        <w:t>大肠菌群</w:t>
      </w:r>
    </w:p>
    <w:p>
      <w:pPr>
        <w:spacing w:line="594" w:lineRule="exact"/>
        <w:ind w:firstLine="640" w:firstLineChars="200"/>
        <w:contextualSpacing/>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大肠菌群是国内外通用的食品污染常用指示菌之一。食品中检出大肠菌群，提示被致病菌（如沙门氏菌、志贺氏菌、致病性大肠杆菌）污染的可能性较大。如果食品中的大肠菌群严重超标，将会破坏食品的营养成分，使食品失去食用价值；还会加速食品腐败变质，可能危害人体健康。大肠菌群数超标的原因，可能是产品的加工原料、包装材料受污染，也可能是产品在生产过程中受人员、工器具等的污染，还可能是灭菌工艺灭菌不彻底导致的。</w:t>
      </w:r>
    </w:p>
    <w:p>
      <w:pPr>
        <w:keepNext w:val="0"/>
        <w:keepLines w:val="0"/>
        <w:pageBreakBefore w:val="0"/>
        <w:kinsoku/>
        <w:wordWrap/>
        <w:overflowPunct/>
        <w:topLinePunct w:val="0"/>
        <w:autoSpaceDE/>
        <w:autoSpaceDN/>
        <w:bidi w:val="0"/>
        <w:spacing w:line="590" w:lineRule="exact"/>
        <w:ind w:firstLine="592" w:firstLineChars="200"/>
        <w:textAlignment w:val="auto"/>
        <w:rPr>
          <w:rFonts w:hint="default" w:ascii="黑体" w:hAnsi="黑体" w:eastAsia="黑体"/>
          <w:color w:val="auto"/>
          <w:sz w:val="32"/>
          <w:szCs w:val="32"/>
          <w:lang w:val="en-US" w:eastAsia="zh-CN"/>
        </w:rPr>
      </w:pPr>
      <w:r>
        <w:rPr>
          <w:rFonts w:hint="eastAsia" w:eastAsia="黑体"/>
          <w:color w:val="auto"/>
          <w:spacing w:val="-12"/>
          <w:sz w:val="32"/>
          <w:szCs w:val="32"/>
          <w:lang w:val="en-US" w:eastAsia="zh-CN"/>
        </w:rPr>
        <w:t>四、</w:t>
      </w:r>
      <w:r>
        <w:rPr>
          <w:rFonts w:hint="eastAsia" w:ascii="黑体" w:hAnsi="黑体" w:eastAsia="黑体"/>
          <w:color w:val="auto"/>
          <w:sz w:val="32"/>
          <w:szCs w:val="32"/>
          <w:lang w:val="en-US" w:eastAsia="zh-CN"/>
        </w:rPr>
        <w:t>腐霉利</w:t>
      </w:r>
    </w:p>
    <w:p>
      <w:pPr>
        <w:spacing w:line="594" w:lineRule="exact"/>
        <w:ind w:firstLine="640" w:firstLineChars="200"/>
        <w:rPr>
          <w:rFonts w:ascii="Times New Roman" w:hAnsi="Times New Roman" w:eastAsia="仿宋_GB2312"/>
          <w:spacing w:val="0"/>
          <w:sz w:val="32"/>
          <w:szCs w:val="32"/>
        </w:rPr>
      </w:pPr>
      <w:r>
        <w:rPr>
          <w:rFonts w:ascii="Times New Roman" w:hAnsi="Times New Roman" w:eastAsia="仿宋_GB2312" w:cs="Times New Roman"/>
          <w:spacing w:val="0"/>
          <w:sz w:val="32"/>
          <w:szCs w:val="32"/>
        </w:rPr>
        <w:t>腐霉利是一种广谱内吸性的高效杀菌剂，对低温高湿条件下发生的灰霉病、菌核病有显著效果，但菌株容易对其产生抗性。</w:t>
      </w:r>
      <w:r>
        <w:rPr>
          <w:rFonts w:ascii="Times New Roman" w:hAnsi="Times New Roman" w:eastAsia="仿宋_GB2312"/>
          <w:spacing w:val="0"/>
          <w:sz w:val="32"/>
          <w:szCs w:val="32"/>
        </w:rPr>
        <w:t>少量的残留不会引起人体急性中毒，但长期食用</w:t>
      </w:r>
      <w:r>
        <w:rPr>
          <w:rFonts w:ascii="Times New Roman" w:hAnsi="Times New Roman" w:eastAsia="仿宋_GB2312" w:cs="Times New Roman"/>
          <w:spacing w:val="0"/>
          <w:sz w:val="32"/>
          <w:szCs w:val="32"/>
        </w:rPr>
        <w:t>腐霉利</w:t>
      </w:r>
      <w:r>
        <w:rPr>
          <w:rFonts w:ascii="Times New Roman" w:hAnsi="Times New Roman" w:eastAsia="仿宋_GB2312"/>
          <w:spacing w:val="0"/>
          <w:sz w:val="32"/>
          <w:szCs w:val="32"/>
        </w:rPr>
        <w:t>超标的食品，对人体健康可能有一定影响。</w:t>
      </w:r>
      <w:r>
        <w:rPr>
          <w:rFonts w:ascii="Times New Roman" w:hAnsi="Times New Roman" w:eastAsia="仿宋_GB2312" w:cs="Times New Roman"/>
          <w:spacing w:val="0"/>
          <w:sz w:val="32"/>
          <w:szCs w:val="32"/>
        </w:rPr>
        <w:t>《食品安全国家标准 食品中农药最大残留限量》（GB 2763</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2019）中规定，腐霉利在韭菜中的最大残留限量值为0.2mg/kg。</w:t>
      </w:r>
      <w:r>
        <w:rPr>
          <w:rFonts w:hint="eastAsia" w:ascii="Times New Roman" w:hAnsi="Times New Roman" w:eastAsia="仿宋_GB2312" w:cs="Times New Roman"/>
          <w:spacing w:val="0"/>
          <w:sz w:val="32"/>
          <w:szCs w:val="32"/>
        </w:rPr>
        <w:t>韭菜中腐霉利残留量</w:t>
      </w:r>
      <w:r>
        <w:rPr>
          <w:rFonts w:ascii="Times New Roman" w:hAnsi="Times New Roman" w:eastAsia="仿宋_GB2312" w:cs="Times New Roman"/>
          <w:spacing w:val="0"/>
          <w:sz w:val="32"/>
          <w:szCs w:val="32"/>
        </w:rPr>
        <w:t>超标的原因</w:t>
      </w:r>
      <w:r>
        <w:rPr>
          <w:rFonts w:hint="eastAsia" w:ascii="Times New Roman" w:hAnsi="Times New Roman" w:eastAsia="仿宋_GB2312" w:cs="Times New Roman"/>
          <w:spacing w:val="0"/>
          <w:sz w:val="32"/>
          <w:szCs w:val="32"/>
        </w:rPr>
        <w:t>，</w:t>
      </w:r>
      <w:r>
        <w:rPr>
          <w:rFonts w:ascii="Times New Roman" w:hAnsi="Times New Roman" w:eastAsia="仿宋_GB2312"/>
          <w:spacing w:val="0"/>
          <w:sz w:val="32"/>
          <w:szCs w:val="32"/>
        </w:rPr>
        <w:t>可能是</w:t>
      </w:r>
      <w:r>
        <w:rPr>
          <w:rFonts w:hint="eastAsia" w:ascii="Times New Roman" w:hAnsi="Times New Roman" w:eastAsia="仿宋_GB2312"/>
          <w:spacing w:val="0"/>
          <w:sz w:val="32"/>
          <w:szCs w:val="32"/>
        </w:rPr>
        <w:t>为</w:t>
      </w:r>
      <w:r>
        <w:rPr>
          <w:rFonts w:ascii="Times New Roman" w:hAnsi="Times New Roman" w:eastAsia="仿宋_GB2312"/>
          <w:spacing w:val="0"/>
          <w:sz w:val="32"/>
          <w:szCs w:val="32"/>
        </w:rPr>
        <w:t>快速控制</w:t>
      </w:r>
      <w:r>
        <w:rPr>
          <w:rFonts w:hint="eastAsia" w:ascii="Times New Roman" w:hAnsi="Times New Roman" w:eastAsia="仿宋_GB2312"/>
          <w:spacing w:val="0"/>
          <w:sz w:val="32"/>
          <w:szCs w:val="32"/>
          <w:lang w:eastAsia="zh-CN"/>
        </w:rPr>
        <w:t>虫害</w:t>
      </w:r>
      <w:r>
        <w:rPr>
          <w:rFonts w:hint="eastAsia" w:ascii="Times New Roman" w:hAnsi="Times New Roman" w:eastAsia="仿宋_GB2312"/>
          <w:spacing w:val="0"/>
          <w:sz w:val="32"/>
          <w:szCs w:val="32"/>
        </w:rPr>
        <w:t>，</w:t>
      </w:r>
      <w:r>
        <w:rPr>
          <w:rFonts w:ascii="Times New Roman" w:hAnsi="Times New Roman" w:eastAsia="仿宋_GB2312"/>
          <w:spacing w:val="0"/>
          <w:sz w:val="32"/>
          <w:szCs w:val="32"/>
        </w:rPr>
        <w:t>加大用药量</w:t>
      </w:r>
      <w:r>
        <w:rPr>
          <w:rFonts w:hint="eastAsia" w:ascii="Times New Roman" w:hAnsi="Times New Roman" w:eastAsia="仿宋_GB2312"/>
          <w:spacing w:val="0"/>
          <w:sz w:val="32"/>
          <w:szCs w:val="32"/>
        </w:rPr>
        <w:t>或</w:t>
      </w:r>
      <w:r>
        <w:rPr>
          <w:rFonts w:ascii="Times New Roman" w:hAnsi="Times New Roman" w:eastAsia="仿宋_GB2312"/>
          <w:spacing w:val="0"/>
          <w:sz w:val="32"/>
          <w:szCs w:val="32"/>
        </w:rPr>
        <w:t>未遵守采摘间隔期</w:t>
      </w:r>
      <w:r>
        <w:rPr>
          <w:rFonts w:hint="eastAsia" w:ascii="Times New Roman" w:hAnsi="Times New Roman" w:eastAsia="仿宋_GB2312"/>
          <w:spacing w:val="0"/>
          <w:sz w:val="32"/>
          <w:szCs w:val="32"/>
        </w:rPr>
        <w:t>规定</w:t>
      </w:r>
      <w:r>
        <w:rPr>
          <w:rFonts w:ascii="Times New Roman" w:hAnsi="Times New Roman" w:eastAsia="仿宋_GB2312"/>
          <w:spacing w:val="0"/>
          <w:sz w:val="32"/>
          <w:szCs w:val="32"/>
        </w:rPr>
        <w:t>，致使上市销售</w:t>
      </w:r>
      <w:r>
        <w:rPr>
          <w:rFonts w:hint="eastAsia" w:ascii="Times New Roman" w:hAnsi="Times New Roman" w:eastAsia="仿宋_GB2312"/>
          <w:spacing w:val="0"/>
          <w:sz w:val="32"/>
          <w:szCs w:val="32"/>
        </w:rPr>
        <w:t>的产品中残留量超标</w:t>
      </w:r>
      <w:r>
        <w:rPr>
          <w:rFonts w:ascii="Times New Roman" w:hAnsi="Times New Roman" w:eastAsia="仿宋_GB2312"/>
          <w:spacing w:val="0"/>
          <w:sz w:val="32"/>
          <w:szCs w:val="32"/>
        </w:rPr>
        <w:t>。</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olor w:val="auto"/>
          <w:sz w:val="32"/>
          <w:szCs w:val="32"/>
          <w:lang w:val="en-US" w:eastAsia="zh-CN"/>
        </w:rPr>
      </w:pPr>
      <w:r>
        <w:rPr>
          <w:rFonts w:hint="eastAsia" w:ascii="Times New Roman" w:hAnsi="Times New Roman" w:eastAsia="黑体"/>
          <w:color w:val="auto"/>
          <w:kern w:val="0"/>
          <w:sz w:val="32"/>
          <w:szCs w:val="32"/>
          <w:lang w:val="en-US" w:eastAsia="zh-CN"/>
        </w:rPr>
        <w:t>五、</w:t>
      </w:r>
      <w:r>
        <w:rPr>
          <w:rFonts w:hint="eastAsia" w:ascii="黑体" w:hAnsi="黑体" w:eastAsia="黑体"/>
          <w:color w:val="auto"/>
          <w:sz w:val="32"/>
          <w:szCs w:val="32"/>
          <w:lang w:val="en-US" w:eastAsia="zh-CN"/>
        </w:rPr>
        <w:t>苯醚甲环唑</w:t>
      </w:r>
    </w:p>
    <w:p>
      <w:pPr>
        <w:spacing w:line="594" w:lineRule="exact"/>
        <w:ind w:firstLine="640" w:firstLineChars="200"/>
        <w:rPr>
          <w:rFonts w:ascii="Times New Roman" w:hAnsi="Times New Roman" w:eastAsia="仿宋_GB2312"/>
          <w:spacing w:val="0"/>
          <w:sz w:val="32"/>
          <w:szCs w:val="32"/>
        </w:rPr>
      </w:pPr>
      <w:r>
        <w:rPr>
          <w:rFonts w:hint="eastAsia" w:ascii="Times New Roman" w:hAnsi="Times New Roman" w:eastAsia="仿宋_GB2312"/>
          <w:spacing w:val="0"/>
          <w:sz w:val="32"/>
          <w:szCs w:val="32"/>
        </w:rPr>
        <w:t>苯醚甲环唑是三唑类杀菌剂，广泛应用于果树、蔬菜等作物，有效防治黑星病，黑痘病、白腐病、斑点落叶病、白粉病、褐斑病、锈病、条锈病、赤霉病等。属低毒农药。</w:t>
      </w:r>
      <w:r>
        <w:rPr>
          <w:rFonts w:ascii="Times New Roman" w:hAnsi="Times New Roman" w:eastAsia="仿宋_GB2312" w:cs="Times New Roman"/>
          <w:spacing w:val="0"/>
          <w:sz w:val="32"/>
          <w:szCs w:val="32"/>
        </w:rPr>
        <w:t>《食品安全国家标准 食品中农药最大残留限量》（GB 2763</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2019）中规定，</w:t>
      </w:r>
      <w:r>
        <w:rPr>
          <w:rFonts w:hint="eastAsia" w:ascii="Times New Roman" w:hAnsi="Times New Roman" w:eastAsia="仿宋_GB2312" w:cs="Times New Roman"/>
          <w:spacing w:val="0"/>
          <w:sz w:val="32"/>
          <w:szCs w:val="32"/>
          <w:lang w:val="en-US" w:eastAsia="zh-CN"/>
        </w:rPr>
        <w:t>苯醚甲环唑</w:t>
      </w:r>
      <w:r>
        <w:rPr>
          <w:rFonts w:ascii="Times New Roman" w:hAnsi="Times New Roman" w:eastAsia="仿宋_GB2312" w:cs="Times New Roman"/>
          <w:spacing w:val="0"/>
          <w:sz w:val="32"/>
          <w:szCs w:val="32"/>
        </w:rPr>
        <w:t>在</w:t>
      </w:r>
      <w:r>
        <w:rPr>
          <w:rFonts w:hint="eastAsia" w:ascii="Times New Roman" w:hAnsi="Times New Roman" w:eastAsia="仿宋_GB2312" w:cs="Times New Roman"/>
          <w:spacing w:val="0"/>
          <w:sz w:val="32"/>
          <w:szCs w:val="32"/>
        </w:rPr>
        <w:t>砂糖橘</w:t>
      </w:r>
      <w:r>
        <w:rPr>
          <w:rFonts w:ascii="Times New Roman" w:hAnsi="Times New Roman" w:eastAsia="仿宋_GB2312" w:cs="Times New Roman"/>
          <w:spacing w:val="0"/>
          <w:sz w:val="32"/>
          <w:szCs w:val="32"/>
        </w:rPr>
        <w:t>中的最大残留限量值为0.2mg/kg。</w:t>
      </w:r>
      <w:r>
        <w:rPr>
          <w:rFonts w:hint="eastAsia" w:ascii="Times New Roman" w:hAnsi="Times New Roman" w:eastAsia="仿宋_GB2312" w:cs="Times New Roman"/>
          <w:spacing w:val="0"/>
          <w:sz w:val="32"/>
          <w:szCs w:val="32"/>
        </w:rPr>
        <w:t>残留量</w:t>
      </w:r>
      <w:r>
        <w:rPr>
          <w:rFonts w:ascii="Times New Roman" w:hAnsi="Times New Roman" w:eastAsia="仿宋_GB2312" w:cs="Times New Roman"/>
          <w:spacing w:val="0"/>
          <w:sz w:val="32"/>
          <w:szCs w:val="32"/>
        </w:rPr>
        <w:t>超标的原因</w:t>
      </w:r>
      <w:r>
        <w:rPr>
          <w:rFonts w:hint="eastAsia" w:ascii="Times New Roman" w:hAnsi="Times New Roman" w:eastAsia="仿宋_GB2312" w:cs="Times New Roman"/>
          <w:spacing w:val="0"/>
          <w:sz w:val="32"/>
          <w:szCs w:val="32"/>
        </w:rPr>
        <w:t>，</w:t>
      </w:r>
      <w:r>
        <w:rPr>
          <w:rFonts w:ascii="Times New Roman" w:hAnsi="Times New Roman" w:eastAsia="仿宋_GB2312"/>
          <w:spacing w:val="0"/>
          <w:sz w:val="32"/>
          <w:szCs w:val="32"/>
        </w:rPr>
        <w:t>可能是</w:t>
      </w:r>
      <w:r>
        <w:rPr>
          <w:rFonts w:hint="eastAsia" w:ascii="Times New Roman" w:hAnsi="Times New Roman" w:eastAsia="仿宋_GB2312"/>
          <w:spacing w:val="0"/>
          <w:sz w:val="32"/>
          <w:szCs w:val="32"/>
        </w:rPr>
        <w:t>为</w:t>
      </w:r>
      <w:r>
        <w:rPr>
          <w:rFonts w:ascii="Times New Roman" w:hAnsi="Times New Roman" w:eastAsia="仿宋_GB2312"/>
          <w:spacing w:val="0"/>
          <w:sz w:val="32"/>
          <w:szCs w:val="32"/>
        </w:rPr>
        <w:t>快速控制</w:t>
      </w:r>
      <w:r>
        <w:rPr>
          <w:rFonts w:hint="eastAsia" w:ascii="Times New Roman" w:hAnsi="Times New Roman" w:eastAsia="仿宋_GB2312"/>
          <w:spacing w:val="0"/>
          <w:sz w:val="32"/>
          <w:szCs w:val="32"/>
          <w:lang w:eastAsia="zh-CN"/>
        </w:rPr>
        <w:t>虫害</w:t>
      </w:r>
      <w:r>
        <w:rPr>
          <w:rFonts w:hint="eastAsia" w:ascii="Times New Roman" w:hAnsi="Times New Roman" w:eastAsia="仿宋_GB2312"/>
          <w:spacing w:val="0"/>
          <w:sz w:val="32"/>
          <w:szCs w:val="32"/>
        </w:rPr>
        <w:t>，</w:t>
      </w:r>
      <w:r>
        <w:rPr>
          <w:rFonts w:ascii="Times New Roman" w:hAnsi="Times New Roman" w:eastAsia="仿宋_GB2312"/>
          <w:spacing w:val="0"/>
          <w:sz w:val="32"/>
          <w:szCs w:val="32"/>
        </w:rPr>
        <w:t>加大用药量</w:t>
      </w:r>
      <w:r>
        <w:rPr>
          <w:rFonts w:hint="eastAsia" w:ascii="Times New Roman" w:hAnsi="Times New Roman" w:eastAsia="仿宋_GB2312"/>
          <w:spacing w:val="0"/>
          <w:sz w:val="32"/>
          <w:szCs w:val="32"/>
        </w:rPr>
        <w:t>或</w:t>
      </w:r>
      <w:r>
        <w:rPr>
          <w:rFonts w:ascii="Times New Roman" w:hAnsi="Times New Roman" w:eastAsia="仿宋_GB2312"/>
          <w:spacing w:val="0"/>
          <w:sz w:val="32"/>
          <w:szCs w:val="32"/>
        </w:rPr>
        <w:t>未遵守采摘间隔期</w:t>
      </w:r>
      <w:r>
        <w:rPr>
          <w:rFonts w:hint="eastAsia" w:ascii="Times New Roman" w:hAnsi="Times New Roman" w:eastAsia="仿宋_GB2312"/>
          <w:spacing w:val="0"/>
          <w:sz w:val="32"/>
          <w:szCs w:val="32"/>
        </w:rPr>
        <w:t>规定</w:t>
      </w:r>
      <w:r>
        <w:rPr>
          <w:rFonts w:ascii="Times New Roman" w:hAnsi="Times New Roman" w:eastAsia="仿宋_GB2312"/>
          <w:spacing w:val="0"/>
          <w:sz w:val="32"/>
          <w:szCs w:val="32"/>
        </w:rPr>
        <w:t>，致使上市销售</w:t>
      </w:r>
      <w:r>
        <w:rPr>
          <w:rFonts w:hint="eastAsia" w:ascii="Times New Roman" w:hAnsi="Times New Roman" w:eastAsia="仿宋_GB2312"/>
          <w:spacing w:val="0"/>
          <w:sz w:val="32"/>
          <w:szCs w:val="32"/>
        </w:rPr>
        <w:t>的产品中残留量超标</w:t>
      </w:r>
      <w:r>
        <w:rPr>
          <w:rFonts w:ascii="Times New Roman" w:hAnsi="Times New Roman" w:eastAsia="仿宋_GB2312"/>
          <w:spacing w:val="0"/>
          <w:sz w:val="32"/>
          <w:szCs w:val="32"/>
        </w:rPr>
        <w:t>。</w:t>
      </w:r>
    </w:p>
    <w:p>
      <w:pPr>
        <w:pStyle w:val="2"/>
        <w:rPr>
          <w:rFonts w:hint="eastAsia"/>
          <w:lang w:val="en-US" w:eastAsia="zh-CN"/>
        </w:rPr>
      </w:pP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六、铅(以Pb计)</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铅是</w:t>
      </w:r>
      <w:r>
        <w:rPr>
          <w:rFonts w:hint="eastAsia" w:ascii="Times New Roman" w:hAnsi="Times New Roman" w:eastAsia="仿宋_GB2312" w:cstheme="minorBidi"/>
          <w:color w:val="auto"/>
          <w:kern w:val="2"/>
          <w:sz w:val="32"/>
          <w:szCs w:val="32"/>
          <w:lang w:val="en-US" w:eastAsia="zh-CN" w:bidi="ar-SA"/>
        </w:rPr>
        <w:t>最常见的重金属污染物，是一种严重危害人体健康的重金属元素，可在人体内蓄积。长期摄入铅含量超标的食品，会对血液系统、神经系统产生损害。</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七、过氧化值</w:t>
      </w:r>
    </w:p>
    <w:p>
      <w:pPr>
        <w:keepNext w:val="0"/>
        <w:keepLines w:val="0"/>
        <w:pageBreakBefore w:val="0"/>
        <w:kinsoku/>
        <w:wordWrap/>
        <w:overflowPunct/>
        <w:topLinePunct w:val="0"/>
        <w:autoSpaceDE/>
        <w:autoSpaceDN/>
        <w:bidi w:val="0"/>
        <w:spacing w:line="590" w:lineRule="exact"/>
        <w:ind w:firstLine="640" w:firstLineChars="200"/>
        <w:rPr>
          <w:rFonts w:hint="eastAsia" w:ascii="Times New Roman" w:hAnsi="Times New Roman" w:eastAsia="黑体" w:cs="Times New Roman"/>
          <w:sz w:val="32"/>
          <w:szCs w:val="32"/>
          <w:lang w:val="en-US" w:eastAsia="zh-CN"/>
        </w:rPr>
      </w:pPr>
      <w:r>
        <w:rPr>
          <w:rFonts w:ascii="仿宋_GB2312" w:hAnsi="宋体" w:eastAsia="仿宋_GB2312"/>
          <w:color w:val="auto"/>
          <w:kern w:val="0"/>
          <w:sz w:val="32"/>
          <w:szCs w:val="32"/>
        </w:rPr>
        <w:t>过氧化值主要反映</w:t>
      </w:r>
      <w:r>
        <w:rPr>
          <w:rFonts w:hint="eastAsia" w:ascii="仿宋_GB2312" w:hAnsi="宋体" w:eastAsia="仿宋_GB2312"/>
          <w:color w:val="auto"/>
          <w:kern w:val="0"/>
          <w:sz w:val="32"/>
          <w:szCs w:val="32"/>
        </w:rPr>
        <w:t>食品中</w:t>
      </w:r>
      <w:r>
        <w:rPr>
          <w:rFonts w:ascii="仿宋_GB2312" w:hAnsi="宋体" w:eastAsia="仿宋_GB2312"/>
          <w:color w:val="auto"/>
          <w:kern w:val="0"/>
          <w:sz w:val="32"/>
          <w:szCs w:val="32"/>
        </w:rPr>
        <w:t>油脂是否氧化变质</w:t>
      </w:r>
      <w:r>
        <w:rPr>
          <w:rFonts w:hint="eastAsia" w:ascii="仿宋_GB2312" w:hAnsi="宋体" w:eastAsia="仿宋_GB2312"/>
          <w:color w:val="auto"/>
          <w:kern w:val="0"/>
          <w:sz w:val="32"/>
          <w:szCs w:val="32"/>
        </w:rPr>
        <w:t>，</w:t>
      </w:r>
      <w:r>
        <w:rPr>
          <w:rFonts w:ascii="仿宋_GB2312" w:hAnsi="宋体" w:eastAsia="仿宋_GB2312"/>
          <w:color w:val="auto"/>
          <w:kern w:val="0"/>
          <w:sz w:val="32"/>
          <w:szCs w:val="32"/>
        </w:rPr>
        <w:t>随着油脂氧化，过氧化值会逐步升高</w:t>
      </w:r>
      <w:r>
        <w:rPr>
          <w:rFonts w:hint="eastAsia" w:ascii="仿宋_GB2312" w:hAnsi="宋体" w:eastAsia="仿宋_GB2312"/>
          <w:color w:val="auto"/>
          <w:kern w:val="0"/>
          <w:sz w:val="32"/>
          <w:szCs w:val="32"/>
        </w:rPr>
        <w:t>。</w:t>
      </w:r>
      <w:r>
        <w:rPr>
          <w:rFonts w:ascii="仿宋_GB2312" w:eastAsia="仿宋_GB2312"/>
          <w:color w:val="auto"/>
          <w:sz w:val="32"/>
          <w:szCs w:val="32"/>
        </w:rPr>
        <w:t>过氧化值超标的原因可能是产品用油已经变质，或者产品在储存过程中环境条件控制不当，导致油脂酸败；也可能是原料中的脂肪已经氧化，原料储存不当，未采取有效的抗氧化措施，使得终产品油脂氧化。</w:t>
      </w:r>
      <w:r>
        <w:rPr>
          <w:rFonts w:ascii="仿宋_GB2312" w:hAnsi="宋体" w:eastAsia="仿宋_GB2312"/>
          <w:color w:val="auto"/>
          <w:kern w:val="0"/>
          <w:sz w:val="32"/>
          <w:szCs w:val="32"/>
        </w:rPr>
        <w:t>过氧化值一般不会对人体的健康产生损害，但严重时会导致肠胃不适、腹泻等症状。</w:t>
      </w:r>
    </w:p>
    <w:p>
      <w:pPr>
        <w:keepNext w:val="0"/>
        <w:keepLines w:val="0"/>
        <w:pageBreakBefore w:val="0"/>
        <w:widowControl w:val="0"/>
        <w:kinsoku/>
        <w:wordWrap/>
        <w:overflowPunct/>
        <w:topLinePunct w:val="0"/>
        <w:autoSpaceDE/>
        <w:autoSpaceDN/>
        <w:bidi w:val="0"/>
        <w:snapToGrid/>
        <w:spacing w:line="590" w:lineRule="exact"/>
        <w:ind w:firstLine="592" w:firstLineChars="200"/>
        <w:textAlignment w:val="auto"/>
        <w:rPr>
          <w:rFonts w:hint="eastAsia" w:ascii="黑体" w:hAnsi="黑体" w:eastAsia="黑体"/>
          <w:color w:val="auto"/>
          <w:spacing w:val="-12"/>
          <w:sz w:val="32"/>
          <w:szCs w:val="32"/>
          <w:lang w:eastAsia="zh-CN"/>
        </w:rPr>
      </w:pPr>
      <w:r>
        <w:rPr>
          <w:rFonts w:hint="eastAsia" w:ascii="黑体" w:hAnsi="黑体" w:eastAsia="黑体"/>
          <w:color w:val="auto"/>
          <w:spacing w:val="-12"/>
          <w:sz w:val="32"/>
          <w:szCs w:val="32"/>
          <w:lang w:val="en-US" w:eastAsia="zh-CN"/>
        </w:rPr>
        <w:t>八、</w:t>
      </w:r>
      <w:r>
        <w:rPr>
          <w:rFonts w:hint="eastAsia" w:ascii="黑体" w:hAnsi="黑体" w:eastAsia="黑体"/>
          <w:color w:val="auto"/>
          <w:spacing w:val="-12"/>
          <w:sz w:val="32"/>
          <w:szCs w:val="32"/>
          <w:lang w:eastAsia="zh-CN"/>
        </w:rPr>
        <w:t>铝的残留量(干样品，以Al计)</w:t>
      </w:r>
    </w:p>
    <w:p>
      <w:pPr>
        <w:spacing w:line="594" w:lineRule="exact"/>
        <w:ind w:firstLine="640" w:firstLineChars="200"/>
        <w:rPr>
          <w:rFonts w:hint="eastAsia" w:ascii="Times New Roman" w:hAnsi="Times New Roman" w:eastAsia="仿宋_GB2312" w:cs="Times New Roman"/>
          <w:kern w:val="0"/>
          <w:sz w:val="32"/>
          <w:szCs w:val="32"/>
          <w:lang w:eastAsia="zh-CN"/>
        </w:rPr>
      </w:pPr>
      <w:r>
        <w:rPr>
          <w:rFonts w:ascii="Times New Roman" w:hAnsi="Times New Roman" w:eastAsia="仿宋_GB2312" w:cs="Times New Roman"/>
          <w:spacing w:val="0"/>
          <w:sz w:val="32"/>
          <w:szCs w:val="32"/>
        </w:rPr>
        <w:t>含铝食品添加剂，比如硫酸铝钾（又名钾明矾）、硫酸铝铵（又名铵明矾）等，在食品中作为膨松剂、稳定剂使用，使用后会产生铝残留。含铝食品添加剂按标准使用不会对健康造成危害，但长期食用铝超标的食品会导致运动和学习记忆能力下降，影响儿童智力发育。铝的残留量</w:t>
      </w:r>
      <w:r>
        <w:rPr>
          <w:rFonts w:hint="eastAsia" w:ascii="Times New Roman" w:hAnsi="Times New Roman" w:eastAsia="仿宋_GB2312" w:cs="Times New Roman"/>
          <w:spacing w:val="0"/>
          <w:sz w:val="32"/>
          <w:szCs w:val="32"/>
        </w:rPr>
        <w:t>（干样品，以</w:t>
      </w:r>
      <w:r>
        <w:rPr>
          <w:rFonts w:ascii="Times New Roman" w:hAnsi="Times New Roman" w:eastAsia="仿宋_GB2312" w:cs="Times New Roman"/>
          <w:spacing w:val="0"/>
          <w:sz w:val="32"/>
          <w:szCs w:val="32"/>
        </w:rPr>
        <w:t>Al</w:t>
      </w:r>
      <w:r>
        <w:rPr>
          <w:rFonts w:hint="eastAsia" w:ascii="Times New Roman" w:hAnsi="Times New Roman" w:eastAsia="仿宋_GB2312" w:cs="Times New Roman"/>
          <w:spacing w:val="0"/>
          <w:sz w:val="32"/>
          <w:szCs w:val="32"/>
        </w:rPr>
        <w:t>计）</w:t>
      </w:r>
      <w:r>
        <w:rPr>
          <w:rFonts w:ascii="Times New Roman" w:hAnsi="Times New Roman" w:eastAsia="仿宋_GB2312" w:cs="Times New Roman"/>
          <w:spacing w:val="0"/>
          <w:sz w:val="32"/>
          <w:szCs w:val="32"/>
        </w:rPr>
        <w:t>超标的原因，可能是个别企业为增加产品口感，在生产加工过程中超限量使用含铝食品添加剂</w:t>
      </w:r>
      <w:r>
        <w:rPr>
          <w:rFonts w:hint="eastAsia" w:ascii="Times New Roman" w:hAnsi="Times New Roman" w:eastAsia="仿宋_GB2312" w:cs="Times New Roman"/>
          <w:spacing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90" w:lineRule="exact"/>
        <w:jc w:val="both"/>
        <w:textAlignment w:val="auto"/>
        <w:rPr>
          <w:rFonts w:hint="default" w:ascii="Times New Roman" w:hAnsi="Times New Roman" w:eastAsia="仿宋_GB2312" w:cstheme="minorBidi"/>
          <w:b/>
          <w:bCs/>
          <w:color w:val="auto"/>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2000000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55"/>
    <w:rsid w:val="00004AF7"/>
    <w:rsid w:val="0001200F"/>
    <w:rsid w:val="00093CF5"/>
    <w:rsid w:val="000A6B95"/>
    <w:rsid w:val="000F3898"/>
    <w:rsid w:val="00115004"/>
    <w:rsid w:val="0012314B"/>
    <w:rsid w:val="00123E64"/>
    <w:rsid w:val="00127EED"/>
    <w:rsid w:val="0016663F"/>
    <w:rsid w:val="001902B4"/>
    <w:rsid w:val="003315E0"/>
    <w:rsid w:val="00337EED"/>
    <w:rsid w:val="00345260"/>
    <w:rsid w:val="00352572"/>
    <w:rsid w:val="003D2E81"/>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74245"/>
    <w:rsid w:val="00C904C0"/>
    <w:rsid w:val="00C93814"/>
    <w:rsid w:val="00CC2B2E"/>
    <w:rsid w:val="00D854CA"/>
    <w:rsid w:val="00DB42CD"/>
    <w:rsid w:val="00EB080C"/>
    <w:rsid w:val="00EB6150"/>
    <w:rsid w:val="00EC0E42"/>
    <w:rsid w:val="00ED73BA"/>
    <w:rsid w:val="00EE180D"/>
    <w:rsid w:val="00F66EA7"/>
    <w:rsid w:val="00F6775F"/>
    <w:rsid w:val="00F71F33"/>
    <w:rsid w:val="00F77CAB"/>
    <w:rsid w:val="01BF015D"/>
    <w:rsid w:val="02317036"/>
    <w:rsid w:val="04D81A7C"/>
    <w:rsid w:val="05B075F0"/>
    <w:rsid w:val="07503655"/>
    <w:rsid w:val="09613572"/>
    <w:rsid w:val="098168D4"/>
    <w:rsid w:val="09E0572E"/>
    <w:rsid w:val="0A4011CE"/>
    <w:rsid w:val="0B1C7DDA"/>
    <w:rsid w:val="0B443F79"/>
    <w:rsid w:val="0B505CFE"/>
    <w:rsid w:val="0C0B1D8D"/>
    <w:rsid w:val="0C705556"/>
    <w:rsid w:val="0CCE6341"/>
    <w:rsid w:val="0D0346C0"/>
    <w:rsid w:val="0D374F84"/>
    <w:rsid w:val="0D4279C5"/>
    <w:rsid w:val="0D5527DD"/>
    <w:rsid w:val="0D852F3F"/>
    <w:rsid w:val="0DE12CCF"/>
    <w:rsid w:val="0E284B04"/>
    <w:rsid w:val="0EC12409"/>
    <w:rsid w:val="0F751D38"/>
    <w:rsid w:val="0F8E03D8"/>
    <w:rsid w:val="0FA90066"/>
    <w:rsid w:val="0FC01C62"/>
    <w:rsid w:val="1034205B"/>
    <w:rsid w:val="104362FC"/>
    <w:rsid w:val="10594204"/>
    <w:rsid w:val="107C1AA5"/>
    <w:rsid w:val="11081FC8"/>
    <w:rsid w:val="11F95E33"/>
    <w:rsid w:val="12F708C4"/>
    <w:rsid w:val="13C00084"/>
    <w:rsid w:val="14FB2159"/>
    <w:rsid w:val="153E37EC"/>
    <w:rsid w:val="155E31D5"/>
    <w:rsid w:val="15F30177"/>
    <w:rsid w:val="164271B3"/>
    <w:rsid w:val="16C74C86"/>
    <w:rsid w:val="16CC5D75"/>
    <w:rsid w:val="16E15A77"/>
    <w:rsid w:val="172A0F96"/>
    <w:rsid w:val="17B40389"/>
    <w:rsid w:val="17BC2306"/>
    <w:rsid w:val="18165D76"/>
    <w:rsid w:val="187D413F"/>
    <w:rsid w:val="18B93A69"/>
    <w:rsid w:val="18CE1A06"/>
    <w:rsid w:val="19580406"/>
    <w:rsid w:val="19D1085A"/>
    <w:rsid w:val="1A6251F7"/>
    <w:rsid w:val="1A8D7F9B"/>
    <w:rsid w:val="1ACE2642"/>
    <w:rsid w:val="1B0616C5"/>
    <w:rsid w:val="1BAD4A7C"/>
    <w:rsid w:val="1C157453"/>
    <w:rsid w:val="1C1845BD"/>
    <w:rsid w:val="1C412D60"/>
    <w:rsid w:val="1CB27E9B"/>
    <w:rsid w:val="1DAD3FFF"/>
    <w:rsid w:val="1DFF41B9"/>
    <w:rsid w:val="1E9B32CF"/>
    <w:rsid w:val="207F2166"/>
    <w:rsid w:val="209E7837"/>
    <w:rsid w:val="20DD5D1B"/>
    <w:rsid w:val="21EF72E6"/>
    <w:rsid w:val="224D6ADB"/>
    <w:rsid w:val="227B2998"/>
    <w:rsid w:val="22A141AA"/>
    <w:rsid w:val="22BF0461"/>
    <w:rsid w:val="22DF1FFB"/>
    <w:rsid w:val="239D0E6B"/>
    <w:rsid w:val="24B573DE"/>
    <w:rsid w:val="251138C5"/>
    <w:rsid w:val="25481A61"/>
    <w:rsid w:val="25915938"/>
    <w:rsid w:val="25A92365"/>
    <w:rsid w:val="261F7110"/>
    <w:rsid w:val="268048E5"/>
    <w:rsid w:val="268C2746"/>
    <w:rsid w:val="26A0668D"/>
    <w:rsid w:val="26AB6C21"/>
    <w:rsid w:val="26DF3697"/>
    <w:rsid w:val="27332D86"/>
    <w:rsid w:val="27727CA4"/>
    <w:rsid w:val="27B64245"/>
    <w:rsid w:val="27F74C72"/>
    <w:rsid w:val="28600ED5"/>
    <w:rsid w:val="28B77FCD"/>
    <w:rsid w:val="28E51ADB"/>
    <w:rsid w:val="290E4770"/>
    <w:rsid w:val="2A066B4A"/>
    <w:rsid w:val="2A0F4184"/>
    <w:rsid w:val="2A14107F"/>
    <w:rsid w:val="2AB22B74"/>
    <w:rsid w:val="2AC41CC9"/>
    <w:rsid w:val="2B1206C2"/>
    <w:rsid w:val="2C243C54"/>
    <w:rsid w:val="2C414036"/>
    <w:rsid w:val="2C4D06CD"/>
    <w:rsid w:val="2D351E89"/>
    <w:rsid w:val="2D7D65C0"/>
    <w:rsid w:val="2ED22E2E"/>
    <w:rsid w:val="2EE02088"/>
    <w:rsid w:val="2EEE4150"/>
    <w:rsid w:val="2F026C43"/>
    <w:rsid w:val="2F192827"/>
    <w:rsid w:val="2F6C5736"/>
    <w:rsid w:val="2F8746A4"/>
    <w:rsid w:val="2F9200D3"/>
    <w:rsid w:val="3036111F"/>
    <w:rsid w:val="30C52F74"/>
    <w:rsid w:val="31390AFB"/>
    <w:rsid w:val="31727237"/>
    <w:rsid w:val="31E4442C"/>
    <w:rsid w:val="31F75EEE"/>
    <w:rsid w:val="320944EF"/>
    <w:rsid w:val="32671426"/>
    <w:rsid w:val="326A386A"/>
    <w:rsid w:val="327A4A98"/>
    <w:rsid w:val="32B12BD0"/>
    <w:rsid w:val="337F4F63"/>
    <w:rsid w:val="33A308EA"/>
    <w:rsid w:val="36731FE9"/>
    <w:rsid w:val="367B7D6F"/>
    <w:rsid w:val="36970865"/>
    <w:rsid w:val="37246F64"/>
    <w:rsid w:val="37975EBC"/>
    <w:rsid w:val="37980617"/>
    <w:rsid w:val="37D8062F"/>
    <w:rsid w:val="37F96A05"/>
    <w:rsid w:val="383060A2"/>
    <w:rsid w:val="38642EE5"/>
    <w:rsid w:val="39666407"/>
    <w:rsid w:val="39A57DA5"/>
    <w:rsid w:val="39AF2A0A"/>
    <w:rsid w:val="39E66244"/>
    <w:rsid w:val="3A4E210D"/>
    <w:rsid w:val="3A937552"/>
    <w:rsid w:val="3AA9213C"/>
    <w:rsid w:val="3B6949B8"/>
    <w:rsid w:val="3B932D55"/>
    <w:rsid w:val="3BC21DE2"/>
    <w:rsid w:val="3C07791D"/>
    <w:rsid w:val="3C52405A"/>
    <w:rsid w:val="3C87360C"/>
    <w:rsid w:val="3D625FAB"/>
    <w:rsid w:val="3D7846F0"/>
    <w:rsid w:val="3D8F3232"/>
    <w:rsid w:val="3DDA184A"/>
    <w:rsid w:val="3E2223F7"/>
    <w:rsid w:val="3E3A3BD1"/>
    <w:rsid w:val="3E793D02"/>
    <w:rsid w:val="3E873B26"/>
    <w:rsid w:val="3E974FD9"/>
    <w:rsid w:val="3F944EF2"/>
    <w:rsid w:val="3FF27701"/>
    <w:rsid w:val="404F47A1"/>
    <w:rsid w:val="40787187"/>
    <w:rsid w:val="40B86FDC"/>
    <w:rsid w:val="40D0460A"/>
    <w:rsid w:val="40F91F4F"/>
    <w:rsid w:val="4167249D"/>
    <w:rsid w:val="41D76D12"/>
    <w:rsid w:val="420E6C2D"/>
    <w:rsid w:val="42400E64"/>
    <w:rsid w:val="425614E3"/>
    <w:rsid w:val="425665EF"/>
    <w:rsid w:val="426A0D65"/>
    <w:rsid w:val="43842684"/>
    <w:rsid w:val="43C70ADF"/>
    <w:rsid w:val="44F63D12"/>
    <w:rsid w:val="45B97969"/>
    <w:rsid w:val="46243376"/>
    <w:rsid w:val="47492C28"/>
    <w:rsid w:val="483164C1"/>
    <w:rsid w:val="48D06DD8"/>
    <w:rsid w:val="494214A7"/>
    <w:rsid w:val="49697DDF"/>
    <w:rsid w:val="4A705AD3"/>
    <w:rsid w:val="4B5049B4"/>
    <w:rsid w:val="4BC137FA"/>
    <w:rsid w:val="4C297156"/>
    <w:rsid w:val="4C36294C"/>
    <w:rsid w:val="4CCB074B"/>
    <w:rsid w:val="4D8A2EE5"/>
    <w:rsid w:val="4D9B4661"/>
    <w:rsid w:val="4E0B1BC2"/>
    <w:rsid w:val="4EC26E4B"/>
    <w:rsid w:val="4EED2BC8"/>
    <w:rsid w:val="4F932387"/>
    <w:rsid w:val="4FAB5F46"/>
    <w:rsid w:val="50163F73"/>
    <w:rsid w:val="50565800"/>
    <w:rsid w:val="50C17233"/>
    <w:rsid w:val="51896A13"/>
    <w:rsid w:val="51AA4038"/>
    <w:rsid w:val="51FD239C"/>
    <w:rsid w:val="52941F38"/>
    <w:rsid w:val="52A6769D"/>
    <w:rsid w:val="53910666"/>
    <w:rsid w:val="53DD4918"/>
    <w:rsid w:val="5473169E"/>
    <w:rsid w:val="54C904D3"/>
    <w:rsid w:val="550115C8"/>
    <w:rsid w:val="554D75AB"/>
    <w:rsid w:val="55515C48"/>
    <w:rsid w:val="55BE0029"/>
    <w:rsid w:val="566F178F"/>
    <w:rsid w:val="583D6A55"/>
    <w:rsid w:val="58BF1D4C"/>
    <w:rsid w:val="58C52A1E"/>
    <w:rsid w:val="5900754B"/>
    <w:rsid w:val="591702CA"/>
    <w:rsid w:val="59203A01"/>
    <w:rsid w:val="59A5289E"/>
    <w:rsid w:val="59A56ED4"/>
    <w:rsid w:val="5AF17BBB"/>
    <w:rsid w:val="5B7936AC"/>
    <w:rsid w:val="5BDC6E44"/>
    <w:rsid w:val="5C6258A4"/>
    <w:rsid w:val="5C6607D4"/>
    <w:rsid w:val="5CF357D6"/>
    <w:rsid w:val="5E1C3364"/>
    <w:rsid w:val="5E3C6DCB"/>
    <w:rsid w:val="5E3D638B"/>
    <w:rsid w:val="5E82604C"/>
    <w:rsid w:val="5E9F7D04"/>
    <w:rsid w:val="5EB3567B"/>
    <w:rsid w:val="5FB4017C"/>
    <w:rsid w:val="5FC04A10"/>
    <w:rsid w:val="5FF86B48"/>
    <w:rsid w:val="6009023D"/>
    <w:rsid w:val="616D5BEF"/>
    <w:rsid w:val="62106968"/>
    <w:rsid w:val="62733EE5"/>
    <w:rsid w:val="62A23EF9"/>
    <w:rsid w:val="62E64A8D"/>
    <w:rsid w:val="637B6589"/>
    <w:rsid w:val="63E519B6"/>
    <w:rsid w:val="63E60C8E"/>
    <w:rsid w:val="645F7C77"/>
    <w:rsid w:val="648F5B34"/>
    <w:rsid w:val="64BA3CE8"/>
    <w:rsid w:val="65110BD0"/>
    <w:rsid w:val="65660390"/>
    <w:rsid w:val="65BA2B92"/>
    <w:rsid w:val="6655217A"/>
    <w:rsid w:val="66F73F16"/>
    <w:rsid w:val="67734C92"/>
    <w:rsid w:val="67C1146A"/>
    <w:rsid w:val="67DF1954"/>
    <w:rsid w:val="67E22ABE"/>
    <w:rsid w:val="681044FB"/>
    <w:rsid w:val="681A5C55"/>
    <w:rsid w:val="686B67ED"/>
    <w:rsid w:val="6A7367C6"/>
    <w:rsid w:val="6B0A631F"/>
    <w:rsid w:val="6B2F57E8"/>
    <w:rsid w:val="6B3B7A45"/>
    <w:rsid w:val="6BBD3905"/>
    <w:rsid w:val="6C2A5933"/>
    <w:rsid w:val="6C532497"/>
    <w:rsid w:val="6C6A3D48"/>
    <w:rsid w:val="6D262A1C"/>
    <w:rsid w:val="6DD70EDE"/>
    <w:rsid w:val="6ED77804"/>
    <w:rsid w:val="70433045"/>
    <w:rsid w:val="71236AF0"/>
    <w:rsid w:val="72050BDB"/>
    <w:rsid w:val="72084E58"/>
    <w:rsid w:val="72632DF3"/>
    <w:rsid w:val="72C44654"/>
    <w:rsid w:val="731C59A6"/>
    <w:rsid w:val="740B7597"/>
    <w:rsid w:val="74835084"/>
    <w:rsid w:val="75A57FA1"/>
    <w:rsid w:val="76077A0F"/>
    <w:rsid w:val="7634763B"/>
    <w:rsid w:val="76C43BAF"/>
    <w:rsid w:val="77100CAA"/>
    <w:rsid w:val="77450FC0"/>
    <w:rsid w:val="7746130E"/>
    <w:rsid w:val="77AD776A"/>
    <w:rsid w:val="7802718C"/>
    <w:rsid w:val="78516857"/>
    <w:rsid w:val="787917F5"/>
    <w:rsid w:val="78941FDE"/>
    <w:rsid w:val="79425C88"/>
    <w:rsid w:val="79E41CD7"/>
    <w:rsid w:val="7A27777B"/>
    <w:rsid w:val="7B5D2F26"/>
    <w:rsid w:val="7B7721FC"/>
    <w:rsid w:val="7C833972"/>
    <w:rsid w:val="7EC17E52"/>
    <w:rsid w:val="7ECE751F"/>
    <w:rsid w:val="7EF80517"/>
    <w:rsid w:val="7F4D5A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Body Text"/>
    <w:basedOn w:val="1"/>
    <w:link w:val="24"/>
    <w:semiHidden/>
    <w:unhideWhenUsed/>
    <w:qFormat/>
    <w:uiPriority w:val="99"/>
    <w:pPr>
      <w:spacing w:after="120"/>
    </w:pPr>
  </w:style>
  <w:style w:type="paragraph" w:styleId="5">
    <w:name w:val="Balloon Text"/>
    <w:basedOn w:val="1"/>
    <w:link w:val="23"/>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qFormat/>
    <w:uiPriority w:val="0"/>
    <w:pPr>
      <w:ind w:firstLine="420" w:firstLineChars="100"/>
    </w:pPr>
    <w:rPr>
      <w:rFonts w:ascii="Times New Roman" w:hAnsi="Times New Roman" w:eastAsia="宋体" w:cs="Times New Roman"/>
      <w:szCs w:val="24"/>
    </w:rPr>
  </w:style>
  <w:style w:type="character" w:styleId="13">
    <w:name w:val="Strong"/>
    <w:basedOn w:val="12"/>
    <w:qFormat/>
    <w:uiPriority w:val="22"/>
    <w:rPr>
      <w:b/>
    </w:rPr>
  </w:style>
  <w:style w:type="character" w:styleId="14">
    <w:name w:val="FollowedHyperlink"/>
    <w:basedOn w:val="12"/>
    <w:unhideWhenUsed/>
    <w:qFormat/>
    <w:uiPriority w:val="99"/>
    <w:rPr>
      <w:color w:val="000099"/>
      <w:sz w:val="18"/>
      <w:szCs w:val="18"/>
      <w:u w:val="single"/>
    </w:rPr>
  </w:style>
  <w:style w:type="character" w:styleId="15">
    <w:name w:val="Emphasis"/>
    <w:qFormat/>
    <w:uiPriority w:val="20"/>
    <w:rPr>
      <w:i/>
      <w:iCs/>
    </w:rPr>
  </w:style>
  <w:style w:type="character" w:styleId="16">
    <w:name w:val="Hyperlink"/>
    <w:basedOn w:val="12"/>
    <w:unhideWhenUsed/>
    <w:qFormat/>
    <w:uiPriority w:val="99"/>
    <w:rPr>
      <w:color w:val="000099"/>
      <w:sz w:val="18"/>
      <w:szCs w:val="18"/>
      <w:u w:val="single"/>
    </w:rPr>
  </w:style>
  <w:style w:type="character" w:customStyle="1" w:styleId="17">
    <w:name w:val="页眉 Char"/>
    <w:basedOn w:val="12"/>
    <w:link w:val="7"/>
    <w:semiHidden/>
    <w:qFormat/>
    <w:uiPriority w:val="99"/>
    <w:rPr>
      <w:sz w:val="18"/>
      <w:szCs w:val="18"/>
    </w:rPr>
  </w:style>
  <w:style w:type="character" w:customStyle="1" w:styleId="18">
    <w:name w:val="页脚 Char"/>
    <w:basedOn w:val="12"/>
    <w:link w:val="6"/>
    <w:semiHidden/>
    <w:qFormat/>
    <w:uiPriority w:val="99"/>
    <w:rPr>
      <w:sz w:val="18"/>
      <w:szCs w:val="18"/>
    </w:rPr>
  </w:style>
  <w:style w:type="character" w:customStyle="1" w:styleId="19">
    <w:name w:val="apple-converted-space"/>
    <w:basedOn w:val="12"/>
    <w:qFormat/>
    <w:uiPriority w:val="0"/>
  </w:style>
  <w:style w:type="paragraph" w:customStyle="1" w:styleId="2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unhideWhenUsed/>
    <w:qFormat/>
    <w:uiPriority w:val="99"/>
    <w:pPr>
      <w:ind w:firstLine="420" w:firstLineChars="200"/>
    </w:pPr>
  </w:style>
  <w:style w:type="character" w:customStyle="1" w:styleId="22">
    <w:name w:val="description"/>
    <w:basedOn w:val="12"/>
    <w:qFormat/>
    <w:uiPriority w:val="0"/>
  </w:style>
  <w:style w:type="character" w:customStyle="1" w:styleId="23">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qFormat/>
    <w:uiPriority w:val="0"/>
    <w:rPr>
      <w:rFonts w:asciiTheme="minorHAnsi" w:hAnsiTheme="minorHAnsi" w:eastAsiaTheme="minorEastAsia" w:cstheme="minorBidi"/>
      <w:kern w:val="2"/>
      <w:sz w:val="21"/>
      <w:szCs w:val="24"/>
    </w:rPr>
  </w:style>
  <w:style w:type="character" w:customStyle="1" w:styleId="26">
    <w:name w:val="不明显强调1"/>
    <w:basedOn w:val="12"/>
    <w:qFormat/>
    <w:uiPriority w:val="19"/>
    <w:rPr>
      <w:i/>
      <w:iCs/>
      <w:color w:val="808080" w:themeColor="text1" w:themeTint="80"/>
      <w14:textFill>
        <w14:solidFill>
          <w14:schemeClr w14:val="tx1">
            <w14:lumMod w14:val="50000"/>
            <w14:lumOff w14:val="50000"/>
          </w14:schemeClr>
        </w14:solidFill>
      </w14:textFill>
    </w:rPr>
  </w:style>
  <w:style w:type="paragraph" w:styleId="2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qFormat/>
    <w:uiPriority w:val="19"/>
    <w:rPr>
      <w:i/>
      <w:iCs/>
      <w:color w:val="808080" w:themeColor="text1" w:themeTint="80"/>
      <w14:textFill>
        <w14:solidFill>
          <w14:schemeClr w14:val="tx1">
            <w14:lumMod w14:val="50000"/>
            <w14:lumOff w14:val="50000"/>
          </w14:schemeClr>
        </w14:solidFill>
      </w14:textFill>
    </w:rPr>
  </w:style>
  <w:style w:type="character" w:customStyle="1" w:styleId="30">
    <w:name w:val="Subtle Emphasis"/>
    <w:basedOn w:val="12"/>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157</Words>
  <Characters>899</Characters>
  <Lines>7</Lines>
  <Paragraphs>2</Paragraphs>
  <TotalTime>0</TotalTime>
  <ScaleCrop>false</ScaleCrop>
  <LinksUpToDate>false</LinksUpToDate>
  <CharactersWithSpaces>1054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zwq</cp:lastModifiedBy>
  <cp:lastPrinted>2019-01-28T02:50:00Z</cp:lastPrinted>
  <dcterms:modified xsi:type="dcterms:W3CDTF">2021-07-30T01:22:29Z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2A53B6FC22AE486086D1BAEF8B7406EE</vt:lpwstr>
  </property>
</Properties>
</file>