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部分不合格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spacing w:line="594" w:lineRule="exact"/>
        <w:ind w:firstLine="592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一</w:t>
      </w:r>
      <w:r>
        <w:rPr>
          <w:rFonts w:ascii="Times New Roman" w:hAnsi="Times New Roman" w:eastAsia="黑体" w:cs="Times New Roman"/>
          <w:spacing w:val="-12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噻虫嗪</w:t>
      </w:r>
    </w:p>
    <w:p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left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噻虫嗪是一种全新结构的第二代烟碱类高效低毒杀虫剂，对害虫具有胃毒、触杀及内吸活性，用于叶面喷雾及土壤灌根处理。其施药后迅速被内吸，并传导到植株各部位，对刺吸式害虫如蚜虫、飞虱、叶蝉、粉虱等有良好的防效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</w:p>
    <w:p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592" w:firstLineChars="200"/>
        <w:jc w:val="left"/>
        <w:textAlignment w:val="auto"/>
        <w:rPr>
          <w:rFonts w:hint="default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spacing w:val="-12"/>
          <w:kern w:val="2"/>
          <w:sz w:val="32"/>
          <w:szCs w:val="32"/>
          <w:lang w:val="en-US" w:eastAsia="zh-CN" w:bidi="ar-SA"/>
        </w:rPr>
        <w:t>二、腐霉利</w:t>
      </w:r>
    </w:p>
    <w:p>
      <w:pPr>
        <w:spacing w:line="59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腐霉利是一种低毒内吸性杀菌剂，具有保护和治疗双重作用。主要用于蔬菜及果树灰霉病的防治。《食品安全国家标准 食品中农药最大残留限量》（GB 2763—2019）中规定，腐霉利在韭菜中的最大残留限量值为0.2mg/kg。韭菜中腐霉利超标的原因，可能是菜农对使用农药的安全间隔期不了解，从而违规使用农药。</w:t>
      </w:r>
    </w:p>
    <w:p>
      <w:pPr>
        <w:spacing w:line="594" w:lineRule="exact"/>
        <w:ind w:firstLine="592" w:firstLineChars="200"/>
        <w:rPr>
          <w:rFonts w:ascii="Times New Roman" w:hAnsi="Times New Roman" w:eastAsia="黑体" w:cs="Times New Roman"/>
          <w:spacing w:val="-12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三</w:t>
      </w:r>
      <w:r>
        <w:rPr>
          <w:rFonts w:hint="eastAsia" w:eastAsia="黑体"/>
          <w:spacing w:val="-12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spacing w:val="-12"/>
          <w:sz w:val="32"/>
          <w:szCs w:val="32"/>
        </w:rPr>
        <w:t>噻虫胺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噻虫胺是新烟碱类中的一种杀虫剂，是一类高效安全、高选择性的新型杀虫剂，</w:t>
      </w:r>
      <w:r>
        <w:rPr>
          <w:rFonts w:ascii="Times New Roman" w:hAnsi="Times New Roman" w:eastAsia="方正仿宋_GBK" w:cs="Times New Roman"/>
          <w:sz w:val="32"/>
          <w:szCs w:val="32"/>
        </w:rPr>
        <w:t>具有触杀、胃毒和内吸活性。主要用于水稻、蔬菜、果树及其他作物上防治</w:t>
      </w:r>
      <w:r>
        <w:fldChar w:fldCharType="begin"/>
      </w:r>
      <w:r>
        <w:instrText xml:space="preserve"> HYPERLINK "https://baike.so.com/doc/5415993-5654138.html" \t "https://baike.so.com/doc/_blank" </w:instrText>
      </w:r>
      <w:r>
        <w:fldChar w:fldCharType="separate"/>
      </w:r>
      <w:r>
        <w:rPr>
          <w:rFonts w:ascii="Times New Roman" w:hAnsi="Times New Roman" w:eastAsia="方正仿宋_GBK" w:cs="Times New Roman"/>
          <w:sz w:val="32"/>
          <w:szCs w:val="32"/>
        </w:rPr>
        <w:t>蚜虫</w:t>
      </w:r>
      <w:r>
        <w:rPr>
          <w:rFonts w:ascii="Times New Roman" w:hAnsi="Times New Roman" w:eastAsia="方正仿宋_GBK" w:cs="Times New Roman"/>
          <w:sz w:val="32"/>
          <w:szCs w:val="32"/>
        </w:rPr>
        <w:fldChar w:fldCharType="end"/>
      </w:r>
      <w:r>
        <w:rPr>
          <w:rFonts w:ascii="Times New Roman" w:hAnsi="Times New Roman" w:eastAsia="方正仿宋_GBK" w:cs="Times New Roman"/>
          <w:sz w:val="32"/>
          <w:szCs w:val="32"/>
        </w:rPr>
        <w:t>、</w:t>
      </w:r>
      <w:r>
        <w:fldChar w:fldCharType="begin"/>
      </w:r>
      <w:r>
        <w:instrText xml:space="preserve"> HYPERLINK "https://baike.so.com/doc/6328167-6541777.html" \t "https://baike.so.com/doc/_blank" </w:instrText>
      </w:r>
      <w:r>
        <w:fldChar w:fldCharType="separate"/>
      </w:r>
      <w:r>
        <w:rPr>
          <w:rFonts w:ascii="Times New Roman" w:hAnsi="Times New Roman" w:eastAsia="方正仿宋_GBK" w:cs="Times New Roman"/>
          <w:sz w:val="32"/>
          <w:szCs w:val="32"/>
        </w:rPr>
        <w:t>叶蝉</w:t>
      </w:r>
      <w:r>
        <w:rPr>
          <w:rFonts w:ascii="Times New Roman" w:hAnsi="Times New Roman" w:eastAsia="方正仿宋_GBK" w:cs="Times New Roman"/>
          <w:sz w:val="32"/>
          <w:szCs w:val="32"/>
        </w:rPr>
        <w:fldChar w:fldCharType="end"/>
      </w:r>
      <w:r>
        <w:rPr>
          <w:rFonts w:ascii="Times New Roman" w:hAnsi="Times New Roman" w:eastAsia="方正仿宋_GBK" w:cs="Times New Roman"/>
          <w:sz w:val="32"/>
          <w:szCs w:val="32"/>
        </w:rPr>
        <w:t>、</w:t>
      </w:r>
      <w:r>
        <w:fldChar w:fldCharType="begin"/>
      </w:r>
      <w:r>
        <w:instrText xml:space="preserve"> HYPERLINK "https://baike.so.com/doc/5666270-5878929.html" \t "https://baike.so.com/doc/_blank" </w:instrText>
      </w:r>
      <w:r>
        <w:fldChar w:fldCharType="separate"/>
      </w:r>
      <w:r>
        <w:rPr>
          <w:rFonts w:ascii="Times New Roman" w:hAnsi="Times New Roman" w:eastAsia="方正仿宋_GBK" w:cs="Times New Roman"/>
          <w:sz w:val="32"/>
          <w:szCs w:val="32"/>
        </w:rPr>
        <w:t>飞虱</w:t>
      </w:r>
      <w:r>
        <w:rPr>
          <w:rFonts w:ascii="Times New Roman" w:hAnsi="Times New Roman" w:eastAsia="方正仿宋_GBK" w:cs="Times New Roman"/>
          <w:sz w:val="32"/>
          <w:szCs w:val="32"/>
        </w:rPr>
        <w:fldChar w:fldCharType="end"/>
      </w:r>
      <w:r>
        <w:rPr>
          <w:rFonts w:ascii="Times New Roman" w:hAnsi="Times New Roman" w:eastAsia="方正仿宋_GBK" w:cs="Times New Roman"/>
          <w:sz w:val="32"/>
          <w:szCs w:val="32"/>
        </w:rPr>
        <w:t>等害虫的杀虫剂。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GB 2763-2019《食品安全国家标准 食品中农药最大残留限量》规定，生姜中噻虫胺最大允许限量为0.2mg/kg。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2" w:lineRule="exact"/>
        <w:ind w:left="630" w:leftChars="0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四、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过氧化值(以脂肪计)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过氧化值是指油脂中不饱和脂肪酸被氧化形成过氧化物，是油脂酸败的早期指标。一般不会对人体健康造成损害，但食用过氧化值严重超标的食品可能导致肠胃不适、腹泻等症状。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五、恩诺沙星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水产品中恩诺沙星超标的原因，可能是在养殖过程中为快速控制疫病，违规加大用药量或不遵守休药期规定，致使产品上市销售时的药物残留量超标。</w:t>
      </w:r>
    </w:p>
    <w:p>
      <w:pPr>
        <w:spacing w:line="58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、甲基异柳磷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甲基异柳磷，属高毒性的硫代磷酸酯类有机磷农药，是高毒、高效、广谱的内吸性杀虫杀螨剂。少量的残留不会引起人体急性中毒，但长期食用甲基异柳磷超标的食品，对人体健康可能有一定影响。蔬菜中甲基异柳磷残留量超标的原因，可能是为快速控制虫害而违规使用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少量的农药残留不会引起人体急性中毒，但长期食用农药残留超标的食品，对人体健康有一定影响。</w:t>
      </w:r>
    </w:p>
    <w:p>
      <w:pPr>
        <w:spacing w:line="58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七、菌落总数</w:t>
      </w:r>
    </w:p>
    <w:p>
      <w:pPr>
        <w:spacing w:line="594" w:lineRule="exact"/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菌落总数是指示性微生物指标，不是致病菌指标，反映食品在生产过程中的卫生状况。如果食品的菌落总数严重超标，将会破坏食品的营养成分，使食品失去食用价值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；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还会加速食品腐败变质，可能危害人体健康。食品中菌落总数超标的原因，可能是企业未按要求严格控制生产加工过程的卫生条件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也可能与产品包装密封不严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或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储运条件不当等有关。</w:t>
      </w:r>
    </w:p>
    <w:p>
      <w:pPr>
        <w:spacing w:line="582" w:lineRule="exact"/>
        <w:ind w:left="63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八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</w:t>
      </w:r>
      <w:r>
        <w:rPr>
          <w:rFonts w:ascii="方正黑体_GBK" w:hAnsi="方正黑体_GBK" w:eastAsia="方正黑体_GBK" w:cs="方正黑体_GBK"/>
          <w:sz w:val="32"/>
          <w:szCs w:val="32"/>
        </w:rPr>
        <w:t>糖精钠(以糖精计)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90" w:lineRule="exact"/>
        <w:rPr>
          <w:rFonts w:ascii="Times New Roman" w:hAnsi="Times New Roman" w:eastAsia="方正仿宋_GBK" w:cs="Times New Roman"/>
          <w:szCs w:val="32"/>
        </w:rPr>
      </w:pPr>
      <w:r>
        <w:rPr>
          <w:rFonts w:ascii="Times New Roman" w:hAnsi="Times New Roman" w:eastAsia="方正仿宋_GBK" w:cs="Times New Roman"/>
          <w:szCs w:val="32"/>
        </w:rPr>
        <w:t>糖精钠是普遍使用的人工合成甜味剂，在人体内不被吸收，不产生热量，大部分经肾排出而不损害肾功能。但如果长期摄入糖精钠超标的食品，可能会影响肠胃消化酶的正常分泌，降低小肠的吸收能力，使食欲减退。</w:t>
      </w:r>
      <w:r>
        <w:rPr>
          <w:rFonts w:hint="eastAsia" w:ascii="Times New Roman" w:hAnsi="Times New Roman" w:eastAsia="方正仿宋_GBK" w:cs="Times New Roman"/>
          <w:szCs w:val="32"/>
        </w:rPr>
        <w:t>食品</w:t>
      </w:r>
      <w:r>
        <w:rPr>
          <w:rFonts w:ascii="Times New Roman" w:hAnsi="Times New Roman" w:eastAsia="方正仿宋_GBK" w:cs="Times New Roman"/>
          <w:szCs w:val="32"/>
        </w:rPr>
        <w:t>中检出糖精钠（以糖精计）的原因，可能是企业为增加产品甜度，而超范围使用甜味剂。</w:t>
      </w:r>
    </w:p>
    <w:p>
      <w:pPr>
        <w:spacing w:line="590" w:lineRule="exact"/>
        <w:ind w:firstLine="640" w:firstLineChars="200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九</w:t>
      </w:r>
      <w:r>
        <w:rPr>
          <w:rFonts w:hint="eastAsia" w:ascii="Times New Roman" w:hAnsi="Times New Roman" w:eastAsia="黑体" w:cs="Times New Roman"/>
          <w:sz w:val="32"/>
          <w:szCs w:val="32"/>
        </w:rPr>
        <w:t>、总酸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90" w:lineRule="exact"/>
        <w:rPr>
          <w:rFonts w:ascii="Times New Roman" w:hAnsi="Times New Roman" w:eastAsia="方正仿宋_GBK" w:cs="Times New Roman"/>
          <w:szCs w:val="32"/>
        </w:rPr>
      </w:pPr>
      <w:r>
        <w:rPr>
          <w:rFonts w:ascii="Times New Roman" w:hAnsi="Times New Roman" w:eastAsia="方正仿宋_GBK" w:cs="Times New Roman"/>
          <w:szCs w:val="32"/>
        </w:rPr>
        <w:t>总酸是食醋的品质指标，反映其特色的重要特征性指标之一。对酿造食醋来说，酸度越高说明发酵程度越高，食醋的酸味也就越浓，质量也就越好。总酸含量未达标的原因，可能是生产过程工艺控制不严或未按标准执行，产品与标签标注等级不匹配等造成。</w:t>
      </w:r>
    </w:p>
    <w:p>
      <w:pPr>
        <w:numPr>
          <w:ilvl w:val="0"/>
          <w:numId w:val="0"/>
        </w:numPr>
        <w:spacing w:line="590" w:lineRule="exact"/>
        <w:ind w:leftChars="200" w:firstLine="320" w:firstLineChars="1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十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</w:rPr>
        <w:t>酒精度</w:t>
      </w:r>
    </w:p>
    <w:p>
      <w:pPr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酒精度又叫酒度，是指在20℃时，100毫升酒中含有乙醇（酒精）的毫升数，即体积（容量）的百分数。酒精度未达到产品标签明示要求的原因，可能是包装不严密造成酒精挥发；还可能是企业用低度酒冒充高度酒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  <w:lang w:val="en-US" w:eastAsia="zh-CN"/>
        </w:rPr>
      </w:pPr>
      <w:r>
        <w:rPr>
          <w:rFonts w:hint="eastAsia" w:eastAsia="黑体"/>
          <w:sz w:val="32"/>
          <w:szCs w:val="32"/>
          <w:lang w:val="en-US" w:eastAsia="zh-CN"/>
        </w:rPr>
        <w:t>十一、毒死蜱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90" w:lineRule="exact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毒死蜱是一种具有触杀、胃毒和熏蒸作用的有机磷杀虫剂。毒死蜱对鱼类及水生生物毒性较高，在土壤中残留期较长。长期暴露在含有毒死蜱的环境中，可能会导致神经毒性、生殖毒性，影响胚胎的生长发育。少量的农药残留不会引起人体急性中毒，但长期食用农药残留超标的食品，对人体健康有一定影响。</w:t>
      </w:r>
    </w:p>
    <w:p>
      <w:pPr>
        <w:spacing w:line="594" w:lineRule="exact"/>
        <w:ind w:firstLine="592" w:firstLineChars="200"/>
        <w:rPr>
          <w:rFonts w:eastAsia="黑体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十二</w:t>
      </w:r>
      <w:r>
        <w:rPr>
          <w:rFonts w:hint="eastAsia" w:eastAsia="黑体"/>
          <w:spacing w:val="-12"/>
          <w:sz w:val="32"/>
          <w:szCs w:val="32"/>
        </w:rPr>
        <w:t>、水胺硫磷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90" w:lineRule="exact"/>
        <w:rPr>
          <w:rFonts w:hint="default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</w:rPr>
        <w:t>水胺硫磷属于胆碱酯酶抑制剂，具有触杀和胃毒作用</w:t>
      </w:r>
      <w:r>
        <w:rPr>
          <w:rFonts w:hint="eastAsia" w:ascii="方正仿宋_GBK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方正仿宋_GBK" w:hAnsi="Times New Roman" w:eastAsia="方正仿宋_GBK"/>
          <w:sz w:val="32"/>
          <w:szCs w:val="32"/>
        </w:rPr>
        <w:t>是一种广谱性有机磷类杀虫、杀螨剂</w:t>
      </w:r>
      <w:r>
        <w:rPr>
          <w:rFonts w:hint="eastAsia" w:ascii="方正仿宋_GBK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方正仿宋_GBK" w:hAnsi="Times New Roman" w:eastAsia="方正仿宋_GBK"/>
          <w:sz w:val="32"/>
          <w:szCs w:val="32"/>
        </w:rPr>
        <w:t>兼有杀卵作用。水胺硫磷为高毒农药，禁止用于果、菜、烟、茶、中草药植物上。食用少量含有水胺硫磷的食品一般不会导致急性中毒，但长期食用水胺硫磷超标的食品，对人体健康有一定影响。《食品安全国家标准 食品中农药最大残留限量》（GB 2763—2019）中规定，水胺硫磷在茶叶中的最大残留限量值为0.05mg/kg。茶叶中水胺硫磷超标的原因，可能是茶农在种植环节违规使用该农药。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5D0FE64-CDB3-4683-AB15-B60EFFA1267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966F55A9-6B53-42A9-A91E-3526857A2145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2D2E9991-5FB3-42D9-8DCA-2B5DE5DA088C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6936C97D-CE25-4BFA-9AB5-33DC27601260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F416B314-41E7-468D-92F3-FD826C50165E}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E356B2"/>
    <w:rsid w:val="04D81A7C"/>
    <w:rsid w:val="05B075F0"/>
    <w:rsid w:val="07503655"/>
    <w:rsid w:val="09613572"/>
    <w:rsid w:val="098168D4"/>
    <w:rsid w:val="09E0572E"/>
    <w:rsid w:val="0A4011CE"/>
    <w:rsid w:val="0B1C7DDA"/>
    <w:rsid w:val="0B443F79"/>
    <w:rsid w:val="0B505CFE"/>
    <w:rsid w:val="0C0B1D8D"/>
    <w:rsid w:val="0C705556"/>
    <w:rsid w:val="0CCE6341"/>
    <w:rsid w:val="0D0346C0"/>
    <w:rsid w:val="0D374F84"/>
    <w:rsid w:val="0D4279C5"/>
    <w:rsid w:val="0D5527DD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081FC8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40389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412D60"/>
    <w:rsid w:val="1CB27E9B"/>
    <w:rsid w:val="1DAD3FFF"/>
    <w:rsid w:val="1DFF41B9"/>
    <w:rsid w:val="1E9B32CF"/>
    <w:rsid w:val="1EC264B5"/>
    <w:rsid w:val="205E4764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1138C5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AC41CC9"/>
    <w:rsid w:val="2B1206C2"/>
    <w:rsid w:val="2C243C54"/>
    <w:rsid w:val="2C414036"/>
    <w:rsid w:val="2C4D06CD"/>
    <w:rsid w:val="2D351E89"/>
    <w:rsid w:val="2D7D65C0"/>
    <w:rsid w:val="2ED22E2E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BC21DE2"/>
    <w:rsid w:val="3C07791D"/>
    <w:rsid w:val="3C431019"/>
    <w:rsid w:val="3C52405A"/>
    <w:rsid w:val="3C87360C"/>
    <w:rsid w:val="3D625FAB"/>
    <w:rsid w:val="3D7846F0"/>
    <w:rsid w:val="3D8F3232"/>
    <w:rsid w:val="3DDA184A"/>
    <w:rsid w:val="3E2223F7"/>
    <w:rsid w:val="3E3A3BD1"/>
    <w:rsid w:val="3E793D02"/>
    <w:rsid w:val="3E873B26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14E3"/>
    <w:rsid w:val="425665EF"/>
    <w:rsid w:val="425E5D24"/>
    <w:rsid w:val="426A0D65"/>
    <w:rsid w:val="43842684"/>
    <w:rsid w:val="43C70ADF"/>
    <w:rsid w:val="44F63D12"/>
    <w:rsid w:val="45B97969"/>
    <w:rsid w:val="46243376"/>
    <w:rsid w:val="47492C28"/>
    <w:rsid w:val="483164C1"/>
    <w:rsid w:val="48D06DD8"/>
    <w:rsid w:val="494214A7"/>
    <w:rsid w:val="49697DDF"/>
    <w:rsid w:val="4A705AD3"/>
    <w:rsid w:val="4B5049B4"/>
    <w:rsid w:val="4BC137FA"/>
    <w:rsid w:val="4C297156"/>
    <w:rsid w:val="4C36294C"/>
    <w:rsid w:val="4CCB074B"/>
    <w:rsid w:val="4D8A2EE5"/>
    <w:rsid w:val="4D9B4661"/>
    <w:rsid w:val="4E0B1BC2"/>
    <w:rsid w:val="4EBF55C1"/>
    <w:rsid w:val="4EC26E4B"/>
    <w:rsid w:val="4EED2BC8"/>
    <w:rsid w:val="4F932387"/>
    <w:rsid w:val="4FAB5F46"/>
    <w:rsid w:val="50163F73"/>
    <w:rsid w:val="50565800"/>
    <w:rsid w:val="50C17233"/>
    <w:rsid w:val="51896A13"/>
    <w:rsid w:val="51AA4038"/>
    <w:rsid w:val="51FD239C"/>
    <w:rsid w:val="52941F38"/>
    <w:rsid w:val="52A6769D"/>
    <w:rsid w:val="53910666"/>
    <w:rsid w:val="53DD4918"/>
    <w:rsid w:val="53E301FD"/>
    <w:rsid w:val="5473169E"/>
    <w:rsid w:val="54C904D3"/>
    <w:rsid w:val="550115C8"/>
    <w:rsid w:val="554D75AB"/>
    <w:rsid w:val="55515C48"/>
    <w:rsid w:val="55BE0029"/>
    <w:rsid w:val="55CC40E6"/>
    <w:rsid w:val="566F178F"/>
    <w:rsid w:val="583D6A55"/>
    <w:rsid w:val="58BF1D4C"/>
    <w:rsid w:val="58C52A1E"/>
    <w:rsid w:val="5900754B"/>
    <w:rsid w:val="591702CA"/>
    <w:rsid w:val="591F154C"/>
    <w:rsid w:val="59203A01"/>
    <w:rsid w:val="59A5289E"/>
    <w:rsid w:val="59A56ED4"/>
    <w:rsid w:val="5A461B93"/>
    <w:rsid w:val="5AF17BBB"/>
    <w:rsid w:val="5B7936AC"/>
    <w:rsid w:val="5B7A209D"/>
    <w:rsid w:val="5BDC6E44"/>
    <w:rsid w:val="5C6258A4"/>
    <w:rsid w:val="5C6607D4"/>
    <w:rsid w:val="5CF357D6"/>
    <w:rsid w:val="5E1C3364"/>
    <w:rsid w:val="5E3C6DCB"/>
    <w:rsid w:val="5E3D638B"/>
    <w:rsid w:val="5E82604C"/>
    <w:rsid w:val="5E9F7D04"/>
    <w:rsid w:val="5EB3567B"/>
    <w:rsid w:val="5EE95FBE"/>
    <w:rsid w:val="5FB4017C"/>
    <w:rsid w:val="5FC04A10"/>
    <w:rsid w:val="5FF86B48"/>
    <w:rsid w:val="6009023D"/>
    <w:rsid w:val="614C7731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660390"/>
    <w:rsid w:val="65BA2B92"/>
    <w:rsid w:val="6655217A"/>
    <w:rsid w:val="66F73F16"/>
    <w:rsid w:val="67207D8C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DD70EDE"/>
    <w:rsid w:val="6ED77804"/>
    <w:rsid w:val="6F564F90"/>
    <w:rsid w:val="70433045"/>
    <w:rsid w:val="70A4148A"/>
    <w:rsid w:val="71236AF0"/>
    <w:rsid w:val="72050BDB"/>
    <w:rsid w:val="72084E58"/>
    <w:rsid w:val="72632DF3"/>
    <w:rsid w:val="72C44654"/>
    <w:rsid w:val="731C59A6"/>
    <w:rsid w:val="740B7597"/>
    <w:rsid w:val="74835084"/>
    <w:rsid w:val="75A57FA1"/>
    <w:rsid w:val="76077A0F"/>
    <w:rsid w:val="7634763B"/>
    <w:rsid w:val="76C43BAF"/>
    <w:rsid w:val="77100CAA"/>
    <w:rsid w:val="77450FC0"/>
    <w:rsid w:val="7746130E"/>
    <w:rsid w:val="77A91F25"/>
    <w:rsid w:val="77AD776A"/>
    <w:rsid w:val="7802718C"/>
    <w:rsid w:val="78516857"/>
    <w:rsid w:val="787917F5"/>
    <w:rsid w:val="78941FDE"/>
    <w:rsid w:val="78DE7328"/>
    <w:rsid w:val="79425C88"/>
    <w:rsid w:val="79E41CD7"/>
    <w:rsid w:val="7A27777B"/>
    <w:rsid w:val="7B5D2F26"/>
    <w:rsid w:val="7B7721FC"/>
    <w:rsid w:val="7C7137ED"/>
    <w:rsid w:val="7C833972"/>
    <w:rsid w:val="7CBD0617"/>
    <w:rsid w:val="7EC17E5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ascii="Calibri" w:hAnsi="Calibri" w:eastAsia="仿宋" w:cs="Times New Roman"/>
      <w:sz w:val="32"/>
    </w:r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30">
    <w:name w:val="Subtle Emphasis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2021-12-07T01:18:59Z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