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ind w:leftChars="0"/>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ind w:leftChars="0"/>
        <w:jc w:val="center"/>
        <w:textAlignment w:val="auto"/>
        <w:rPr>
          <w:rFonts w:hint="default" w:ascii="Times New Roman" w:hAnsi="Times New Roman" w:cs="Times New Roman"/>
        </w:rPr>
      </w:pPr>
      <w:r>
        <w:rPr>
          <w:rFonts w:hint="default" w:ascii="Times New Roman" w:hAnsi="Times New Roman" w:eastAsia="方正小标宋简体" w:cs="Times New Roman"/>
          <w:color w:val="auto"/>
          <w:sz w:val="44"/>
          <w:szCs w:val="44"/>
          <w:lang w:eastAsia="zh-CN"/>
        </w:rPr>
        <w:t>部分不合格</w:t>
      </w:r>
      <w:r>
        <w:rPr>
          <w:rFonts w:hint="default" w:ascii="Times New Roman" w:hAnsi="Times New Roman" w:eastAsia="方正小标宋简体" w:cs="Times New Roman"/>
          <w:color w:val="auto"/>
          <w:sz w:val="44"/>
          <w:szCs w:val="44"/>
        </w:rPr>
        <w:t>项目的</w:t>
      </w:r>
      <w:r>
        <w:rPr>
          <w:rFonts w:hint="default" w:ascii="Times New Roman" w:hAnsi="Times New Roman" w:eastAsia="方正小标宋简体" w:cs="Times New Roman"/>
          <w:color w:val="auto"/>
          <w:sz w:val="44"/>
          <w:szCs w:val="44"/>
          <w:lang w:eastAsia="zh-CN"/>
        </w:rPr>
        <w:t>小知识</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一、镉（以Cd计）</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镉（以Cd计）是一种蓄积性的重金属元素。长期食用镉（以Cd计）超标的食品，可能对肾脏、肝脏和骨骼造成损害，还可能影响免疫系统，甚至可能对儿童高级神经活动有损害。镉（以Cd计）超标的原因，可能</w:t>
      </w:r>
      <w:bookmarkStart w:id="0" w:name="_GoBack"/>
      <w:bookmarkEnd w:id="0"/>
      <w:r>
        <w:rPr>
          <w:rFonts w:hint="default" w:ascii="Times New Roman" w:hAnsi="Times New Roman" w:eastAsia="方正仿宋_GBK" w:cs="Times New Roman"/>
          <w:color w:val="auto"/>
          <w:kern w:val="2"/>
          <w:sz w:val="32"/>
          <w:szCs w:val="32"/>
          <w:lang w:val="en-US" w:eastAsia="zh-CN" w:bidi="ar-SA"/>
        </w:rPr>
        <w:t>是在生长过程中富集了环境中的镉元素。</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二、菌落总数</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菌落总数是指示性微生物指标，不是致病菌指标，反映食品在生产经营过程中的卫生状况。如果食品的菌落总数严重超标，将会破坏食品的营养成分，使食品失去食用价值；还会加速食品腐败变质，可能危害人体健康。菌落总数超标的原因，可能是企业未按要求严格控制生产加工过程中的卫生条件，也可能与产品包装密封不严或储运条件不当等有关。</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三、霉菌</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w:t>
      </w:r>
      <w:r>
        <w:rPr>
          <w:rFonts w:hint="eastAsia" w:ascii="Times New Roman" w:hAnsi="Times New Roman" w:eastAsia="方正仿宋_GBK" w:cs="Times New Roman"/>
          <w:color w:val="auto"/>
          <w:kern w:val="2"/>
          <w:sz w:val="32"/>
          <w:szCs w:val="32"/>
          <w:lang w:val="en-US" w:eastAsia="zh-CN" w:bidi="ar-SA"/>
        </w:rPr>
        <w:t>会</w:t>
      </w:r>
      <w:r>
        <w:rPr>
          <w:rFonts w:hint="default" w:ascii="Times New Roman" w:hAnsi="Times New Roman" w:eastAsia="方正仿宋_GBK" w:cs="Times New Roman"/>
          <w:color w:val="auto"/>
          <w:kern w:val="2"/>
          <w:sz w:val="32"/>
          <w:szCs w:val="32"/>
          <w:lang w:val="en-US" w:eastAsia="zh-CN" w:bidi="ar-SA"/>
        </w:rPr>
        <w:t>危害人体健康。霉菌</w:t>
      </w:r>
      <w:r>
        <w:rPr>
          <w:rFonts w:hint="eastAsia" w:ascii="Times New Roman" w:hAnsi="Times New Roman" w:eastAsia="方正仿宋_GBK" w:cs="Times New Roman"/>
          <w:color w:val="auto"/>
          <w:kern w:val="2"/>
          <w:sz w:val="32"/>
          <w:szCs w:val="32"/>
          <w:lang w:val="en-US" w:eastAsia="zh-CN" w:bidi="ar-SA"/>
        </w:rPr>
        <w:t>数</w:t>
      </w:r>
      <w:r>
        <w:rPr>
          <w:rFonts w:hint="default" w:ascii="Times New Roman" w:hAnsi="Times New Roman" w:eastAsia="方正仿宋_GBK" w:cs="Times New Roman"/>
          <w:color w:val="auto"/>
          <w:kern w:val="2"/>
          <w:sz w:val="32"/>
          <w:szCs w:val="32"/>
          <w:lang w:val="en-US" w:eastAsia="zh-CN" w:bidi="ar-SA"/>
        </w:rPr>
        <w:t>超标的原因，可能是原料或包装材料受到霉菌污染，也可能是产品在生产加工过程中卫生条件控制不到位，还可能与产品储运条件不当有关。</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四、吡虫啉</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吡虫啉属内吸性杀虫剂，具有触杀和胃毒作用。少量的残留不会引起人体急性中毒，但长期食用吡虫啉超标的食品，对人体健康可能有一定影响。生姜中吡虫啉残留量超标的原因，可能是为</w:t>
      </w:r>
      <w:r>
        <w:rPr>
          <w:rFonts w:hint="default" w:ascii="Times New Roman" w:hAnsi="Times New Roman" w:eastAsia="方正仿宋_GBK" w:cs="Times New Roman"/>
          <w:color w:val="auto"/>
          <w:kern w:val="2"/>
          <w:sz w:val="32"/>
          <w:szCs w:val="32"/>
          <w:lang w:val="en-US" w:eastAsia="zh-CN" w:bidi="ar-SA"/>
        </w:rPr>
        <w:t>快速控制</w:t>
      </w:r>
      <w:r>
        <w:rPr>
          <w:rFonts w:hint="eastAsia" w:ascii="Times New Roman" w:hAnsi="Times New Roman" w:eastAsia="方正仿宋_GBK" w:cs="Times New Roman"/>
          <w:color w:val="auto"/>
          <w:kern w:val="2"/>
          <w:sz w:val="32"/>
          <w:szCs w:val="32"/>
          <w:lang w:val="en-US" w:eastAsia="zh-CN" w:bidi="ar-SA"/>
        </w:rPr>
        <w:t>虫害，</w:t>
      </w:r>
      <w:r>
        <w:rPr>
          <w:rFonts w:hint="default" w:ascii="Times New Roman" w:hAnsi="Times New Roman" w:eastAsia="方正仿宋_GBK" w:cs="Times New Roman"/>
          <w:color w:val="auto"/>
          <w:kern w:val="2"/>
          <w:sz w:val="32"/>
          <w:szCs w:val="32"/>
          <w:lang w:val="en-US" w:eastAsia="zh-CN" w:bidi="ar-SA"/>
        </w:rPr>
        <w:t>加大用药量</w:t>
      </w:r>
      <w:r>
        <w:rPr>
          <w:rFonts w:hint="eastAsia" w:ascii="Times New Roman" w:hAnsi="Times New Roman" w:eastAsia="方正仿宋_GBK" w:cs="Times New Roman"/>
          <w:color w:val="auto"/>
          <w:kern w:val="2"/>
          <w:sz w:val="32"/>
          <w:szCs w:val="32"/>
          <w:lang w:val="en-US" w:eastAsia="zh-CN" w:bidi="ar-SA"/>
        </w:rPr>
        <w:t>或</w:t>
      </w:r>
      <w:r>
        <w:rPr>
          <w:rFonts w:hint="default" w:ascii="Times New Roman" w:hAnsi="Times New Roman" w:eastAsia="方正仿宋_GBK" w:cs="Times New Roman"/>
          <w:color w:val="auto"/>
          <w:kern w:val="2"/>
          <w:sz w:val="32"/>
          <w:szCs w:val="32"/>
          <w:lang w:val="en-US" w:eastAsia="zh-CN" w:bidi="ar-SA"/>
        </w:rPr>
        <w:t>未遵守采摘间隔期</w:t>
      </w:r>
      <w:r>
        <w:rPr>
          <w:rFonts w:hint="eastAsia" w:ascii="Times New Roman" w:hAnsi="Times New Roman" w:eastAsia="方正仿宋_GBK" w:cs="Times New Roman"/>
          <w:color w:val="auto"/>
          <w:kern w:val="2"/>
          <w:sz w:val="32"/>
          <w:szCs w:val="32"/>
          <w:lang w:val="en-US" w:eastAsia="zh-CN" w:bidi="ar-SA"/>
        </w:rPr>
        <w:t>规定</w:t>
      </w:r>
      <w:r>
        <w:rPr>
          <w:rFonts w:hint="default" w:ascii="Times New Roman" w:hAnsi="Times New Roman" w:eastAsia="方正仿宋_GBK" w:cs="Times New Roman"/>
          <w:color w:val="auto"/>
          <w:kern w:val="2"/>
          <w:sz w:val="32"/>
          <w:szCs w:val="32"/>
          <w:lang w:val="en-US" w:eastAsia="zh-CN" w:bidi="ar-SA"/>
        </w:rPr>
        <w:t>，致使上市销售</w:t>
      </w:r>
      <w:r>
        <w:rPr>
          <w:rFonts w:hint="eastAsia" w:ascii="Times New Roman" w:hAnsi="Times New Roman" w:eastAsia="方正仿宋_GBK" w:cs="Times New Roman"/>
          <w:color w:val="auto"/>
          <w:kern w:val="2"/>
          <w:sz w:val="32"/>
          <w:szCs w:val="32"/>
          <w:lang w:val="en-US" w:eastAsia="zh-CN" w:bidi="ar-SA"/>
        </w:rPr>
        <w:t>的产品中残留量超标</w:t>
      </w:r>
      <w:r>
        <w:rPr>
          <w:rFonts w:hint="default" w:ascii="Times New Roman" w:hAnsi="Times New Roman" w:eastAsia="方正仿宋_GBK"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五、总汞（以Hg计）</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总汞属于重金属污染物指标，主要通过环境污染带入。汞是一种毒性较大、熔点低、易挥发的银色液体金属，俗称水银。食品中的汞元素主要以金属汞、无机汞和有机汞的形态存在，其对人体的毒性大小与其存在形态密切相关，危害较大的是有机汞。百合中总汞（以Hg计）检测值超标的原因，可能是使用了含汞农药，或者是在生长过程中富集了环境中的汞。</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w:t>
      </w:r>
      <w:r>
        <w:rPr>
          <w:rFonts w:hint="default" w:ascii="方正黑体_GBK" w:hAnsi="方正黑体_GBK" w:eastAsia="方正黑体_GBK" w:cs="方正黑体_GBK"/>
          <w:sz w:val="32"/>
          <w:szCs w:val="32"/>
          <w:lang w:val="en-US" w:eastAsia="zh-CN"/>
        </w:rPr>
        <w:t>、阴离子合成洗涤剂</w:t>
      </w:r>
      <w:r>
        <w:rPr>
          <w:rFonts w:hint="eastAsia" w:ascii="方正黑体_GBK" w:hAnsi="方正黑体_GBK" w:eastAsia="方正黑体_GBK" w:cs="方正黑体_GBK"/>
          <w:sz w:val="32"/>
          <w:szCs w:val="32"/>
          <w:lang w:val="en-US" w:eastAsia="zh-CN"/>
        </w:rPr>
        <w:t>（</w:t>
      </w:r>
      <w:r>
        <w:rPr>
          <w:rFonts w:hint="default" w:ascii="方正黑体_GBK" w:hAnsi="方正黑体_GBK" w:eastAsia="方正黑体_GBK" w:cs="方正黑体_GBK"/>
          <w:sz w:val="32"/>
          <w:szCs w:val="32"/>
          <w:lang w:val="en-US" w:eastAsia="zh-CN"/>
        </w:rPr>
        <w:t>以十二烷基苯磺酸钠计</w:t>
      </w:r>
      <w:r>
        <w:rPr>
          <w:rFonts w:hint="eastAsia" w:ascii="方正黑体_GBK" w:hAnsi="方正黑体_GBK" w:eastAsia="方正黑体_GBK" w:cs="方正黑体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七、铝的残留量（干样品，以Al计）</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w:t>
      </w:r>
      <w:r>
        <w:rPr>
          <w:rFonts w:hint="eastAsia" w:ascii="Times New Roman" w:hAnsi="Times New Roman" w:eastAsia="方正仿宋_GBK" w:cs="Times New Roman"/>
          <w:color w:val="auto"/>
          <w:kern w:val="2"/>
          <w:sz w:val="32"/>
          <w:szCs w:val="32"/>
          <w:lang w:val="en-US" w:eastAsia="zh-CN" w:bidi="ar-SA"/>
        </w:rPr>
        <w:t>可能</w:t>
      </w:r>
      <w:r>
        <w:rPr>
          <w:rFonts w:hint="default" w:ascii="Times New Roman" w:hAnsi="Times New Roman" w:eastAsia="方正仿宋_GBK" w:cs="Times New Roman"/>
          <w:color w:val="auto"/>
          <w:kern w:val="2"/>
          <w:sz w:val="32"/>
          <w:szCs w:val="32"/>
          <w:lang w:val="en-US" w:eastAsia="zh-CN" w:bidi="ar-SA"/>
        </w:rPr>
        <w:t>会导致运动和学习记忆能力下降。《食品安全国家标准</w:t>
      </w:r>
      <w:r>
        <w:rPr>
          <w:rFonts w:hint="eastAsia" w:ascii="Times New Roman" w:hAnsi="Times New Roman" w:eastAsia="方正仿宋_GBK" w:cs="Times New Roman"/>
          <w:color w:val="auto"/>
          <w:kern w:val="2"/>
          <w:sz w:val="32"/>
          <w:szCs w:val="32"/>
          <w:lang w:val="en-US" w:eastAsia="zh-CN" w:bidi="ar-SA"/>
        </w:rPr>
        <w:t xml:space="preserve"> </w:t>
      </w:r>
      <w:r>
        <w:rPr>
          <w:rFonts w:hint="default" w:ascii="Times New Roman" w:hAnsi="Times New Roman" w:eastAsia="方正仿宋_GBK" w:cs="Times New Roman"/>
          <w:color w:val="auto"/>
          <w:kern w:val="2"/>
          <w:sz w:val="32"/>
          <w:szCs w:val="32"/>
          <w:lang w:val="en-US" w:eastAsia="zh-CN" w:bidi="ar-SA"/>
        </w:rPr>
        <w:t>食</w:t>
      </w:r>
      <w:r>
        <w:rPr>
          <w:rFonts w:hint="eastAsia" w:ascii="Times New Roman" w:hAnsi="Times New Roman" w:eastAsia="方正仿宋_GBK" w:cs="Times New Roman"/>
          <w:color w:val="auto"/>
          <w:kern w:val="2"/>
          <w:sz w:val="32"/>
          <w:szCs w:val="32"/>
          <w:lang w:val="en-US" w:eastAsia="zh-CN" w:bidi="ar-SA"/>
        </w:rPr>
        <w:t>品</w:t>
      </w:r>
      <w:r>
        <w:rPr>
          <w:rFonts w:hint="default" w:ascii="Times New Roman" w:hAnsi="Times New Roman" w:eastAsia="方正仿宋_GBK" w:cs="Times New Roman"/>
          <w:color w:val="auto"/>
          <w:kern w:val="2"/>
          <w:sz w:val="32"/>
          <w:szCs w:val="32"/>
          <w:lang w:val="en-US" w:eastAsia="zh-CN" w:bidi="ar-SA"/>
        </w:rPr>
        <w:t>添加剂使用标准》（GB 2760</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2014）中规定</w:t>
      </w:r>
      <w:r>
        <w:rPr>
          <w:rFonts w:hint="eastAsia" w:ascii="Times New Roman" w:hAnsi="Times New Roman" w:eastAsia="方正仿宋_GBK" w:cs="Times New Roman"/>
          <w:color w:val="auto"/>
          <w:kern w:val="2"/>
          <w:sz w:val="32"/>
          <w:szCs w:val="32"/>
          <w:lang w:val="en-US" w:eastAsia="zh-CN" w:bidi="ar-SA"/>
        </w:rPr>
        <w:t>，油炸面制品</w:t>
      </w:r>
      <w:r>
        <w:rPr>
          <w:rFonts w:hint="default" w:ascii="Times New Roman" w:hAnsi="Times New Roman" w:eastAsia="方正仿宋_GBK" w:cs="Times New Roman"/>
          <w:color w:val="auto"/>
          <w:kern w:val="2"/>
          <w:sz w:val="32"/>
          <w:szCs w:val="32"/>
          <w:lang w:val="en-US" w:eastAsia="zh-CN" w:bidi="ar-SA"/>
        </w:rPr>
        <w:t>中铝的最大残留限量</w:t>
      </w:r>
      <w:r>
        <w:rPr>
          <w:rFonts w:hint="eastAsia" w:ascii="Times New Roman" w:hAnsi="Times New Roman" w:eastAsia="方正仿宋_GBK" w:cs="Times New Roman"/>
          <w:color w:val="auto"/>
          <w:kern w:val="2"/>
          <w:sz w:val="32"/>
          <w:szCs w:val="32"/>
          <w:lang w:val="en-US" w:eastAsia="zh-CN" w:bidi="ar-SA"/>
        </w:rPr>
        <w:t>值</w:t>
      </w:r>
      <w:r>
        <w:rPr>
          <w:rFonts w:hint="default" w:ascii="Times New Roman" w:hAnsi="Times New Roman" w:eastAsia="方正仿宋_GBK" w:cs="Times New Roman"/>
          <w:color w:val="auto"/>
          <w:kern w:val="2"/>
          <w:sz w:val="32"/>
          <w:szCs w:val="32"/>
          <w:lang w:val="en-US" w:eastAsia="zh-CN" w:bidi="ar-SA"/>
        </w:rPr>
        <w:t>（干样品，以Al计）为100mg/kg。</w:t>
      </w:r>
      <w:r>
        <w:rPr>
          <w:rFonts w:hint="eastAsia" w:ascii="Times New Roman" w:hAnsi="Times New Roman" w:eastAsia="方正仿宋_GBK" w:cs="Times New Roman"/>
          <w:color w:val="auto"/>
          <w:kern w:val="2"/>
          <w:sz w:val="32"/>
          <w:szCs w:val="32"/>
          <w:lang w:val="en-US" w:eastAsia="zh-CN" w:bidi="ar-SA"/>
        </w:rPr>
        <w:t>油炸面制品中</w:t>
      </w:r>
      <w:r>
        <w:rPr>
          <w:rFonts w:hint="default" w:ascii="Times New Roman" w:hAnsi="Times New Roman" w:eastAsia="方正仿宋_GBK" w:cs="Times New Roman"/>
          <w:color w:val="auto"/>
          <w:kern w:val="2"/>
          <w:sz w:val="32"/>
          <w:szCs w:val="32"/>
          <w:lang w:val="en-US" w:eastAsia="zh-CN" w:bidi="ar-SA"/>
        </w:rPr>
        <w:t>铝的残留量</w:t>
      </w:r>
      <w:r>
        <w:rPr>
          <w:rFonts w:hint="eastAsia" w:ascii="Times New Roman" w:hAnsi="Times New Roman" w:eastAsia="方正仿宋_GBK" w:cs="Times New Roman"/>
          <w:color w:val="auto"/>
          <w:kern w:val="2"/>
          <w:sz w:val="32"/>
          <w:szCs w:val="32"/>
          <w:lang w:val="en-US" w:eastAsia="zh-CN" w:bidi="ar-SA"/>
        </w:rPr>
        <w:t>（干样品，以</w:t>
      </w:r>
      <w:r>
        <w:rPr>
          <w:rFonts w:hint="default" w:ascii="Times New Roman" w:hAnsi="Times New Roman" w:eastAsia="方正仿宋_GBK" w:cs="Times New Roman"/>
          <w:color w:val="auto"/>
          <w:kern w:val="2"/>
          <w:sz w:val="32"/>
          <w:szCs w:val="32"/>
          <w:lang w:val="en-US" w:eastAsia="zh-CN" w:bidi="ar-SA"/>
        </w:rPr>
        <w:t>Al</w:t>
      </w:r>
      <w:r>
        <w:rPr>
          <w:rFonts w:hint="eastAsia" w:ascii="Times New Roman" w:hAnsi="Times New Roman" w:eastAsia="方正仿宋_GBK" w:cs="Times New Roman"/>
          <w:color w:val="auto"/>
          <w:kern w:val="2"/>
          <w:sz w:val="32"/>
          <w:szCs w:val="32"/>
          <w:lang w:val="en-US" w:eastAsia="zh-CN" w:bidi="ar-SA"/>
        </w:rPr>
        <w:t>计）超标</w:t>
      </w:r>
      <w:r>
        <w:rPr>
          <w:rFonts w:hint="default" w:ascii="Times New Roman" w:hAnsi="Times New Roman" w:eastAsia="方正仿宋_GBK" w:cs="Times New Roman"/>
          <w:color w:val="auto"/>
          <w:kern w:val="2"/>
          <w:sz w:val="32"/>
          <w:szCs w:val="32"/>
          <w:lang w:val="en-US" w:eastAsia="zh-CN" w:bidi="ar-SA"/>
        </w:rPr>
        <w:t>的原因</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可能</w:t>
      </w:r>
      <w:r>
        <w:rPr>
          <w:rFonts w:hint="eastAsia" w:ascii="Times New Roman" w:hAnsi="Times New Roman" w:eastAsia="方正仿宋_GBK" w:cs="Times New Roman"/>
          <w:color w:val="auto"/>
          <w:kern w:val="2"/>
          <w:sz w:val="32"/>
          <w:szCs w:val="32"/>
          <w:lang w:val="en-US" w:eastAsia="zh-CN" w:bidi="ar-SA"/>
        </w:rPr>
        <w:t>是个别商家为增加产品口感，在生产加工过程中超限量使用含铝食品添加剂，或者其使用的复配添加剂中铝含量过高。</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八、噻虫胺</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噻虫胺是新烟碱类中的一种杀虫剂，是一类高效安全、高选择性的新型杀虫剂，具有触杀、胃毒和内吸活性。主要用于水稻、蔬菜、果树及其他作物上防治蚜虫、叶蝉、飞虱等害虫的杀虫剂。少量的残留不会引起人体急性中毒，但长期食用噻虫胺超标的食品，对人体健康可能有一定影响。香蕉</w:t>
      </w:r>
      <w:r>
        <w:rPr>
          <w:rFonts w:hint="default" w:ascii="Times New Roman" w:hAnsi="Times New Roman" w:eastAsia="方正仿宋_GBK" w:cs="Times New Roman"/>
          <w:color w:val="auto"/>
          <w:kern w:val="2"/>
          <w:sz w:val="32"/>
          <w:szCs w:val="32"/>
          <w:lang w:val="en-US" w:eastAsia="zh-CN" w:bidi="ar-SA"/>
        </w:rPr>
        <w:t>中</w:t>
      </w:r>
      <w:r>
        <w:rPr>
          <w:rFonts w:hint="eastAsia" w:ascii="Times New Roman" w:hAnsi="Times New Roman" w:eastAsia="方正仿宋_GBK" w:cs="Times New Roman"/>
          <w:color w:val="auto"/>
          <w:kern w:val="2"/>
          <w:sz w:val="32"/>
          <w:szCs w:val="32"/>
          <w:lang w:val="en-US" w:eastAsia="zh-CN" w:bidi="ar-SA"/>
        </w:rPr>
        <w:t>噻虫胺残留量</w:t>
      </w:r>
      <w:r>
        <w:rPr>
          <w:rFonts w:hint="default" w:ascii="Times New Roman" w:hAnsi="Times New Roman" w:eastAsia="方正仿宋_GBK" w:cs="Times New Roman"/>
          <w:color w:val="auto"/>
          <w:kern w:val="2"/>
          <w:sz w:val="32"/>
          <w:szCs w:val="32"/>
          <w:lang w:val="en-US" w:eastAsia="zh-CN" w:bidi="ar-SA"/>
        </w:rPr>
        <w:t>超标</w:t>
      </w:r>
      <w:r>
        <w:rPr>
          <w:rFonts w:hint="eastAsia" w:ascii="Times New Roman" w:hAnsi="Times New Roman" w:eastAsia="方正仿宋_GBK" w:cs="Times New Roman"/>
          <w:color w:val="auto"/>
          <w:kern w:val="2"/>
          <w:sz w:val="32"/>
          <w:szCs w:val="32"/>
          <w:lang w:val="en-US" w:eastAsia="zh-CN" w:bidi="ar-SA"/>
        </w:rPr>
        <w:t>的原因</w:t>
      </w:r>
      <w:r>
        <w:rPr>
          <w:rFonts w:hint="default" w:ascii="Times New Roman" w:hAnsi="Times New Roman" w:eastAsia="方正仿宋_GBK" w:cs="Times New Roman"/>
          <w:color w:val="auto"/>
          <w:kern w:val="2"/>
          <w:sz w:val="32"/>
          <w:szCs w:val="32"/>
          <w:lang w:val="en-US" w:eastAsia="zh-CN" w:bidi="ar-SA"/>
        </w:rPr>
        <w:t>，</w:t>
      </w:r>
      <w:r>
        <w:rPr>
          <w:rFonts w:hint="eastAsia" w:ascii="Times New Roman" w:hAnsi="Times New Roman" w:eastAsia="方正仿宋_GBK" w:cs="Times New Roman"/>
          <w:color w:val="auto"/>
          <w:kern w:val="2"/>
          <w:sz w:val="32"/>
          <w:szCs w:val="32"/>
          <w:lang w:val="en-US" w:eastAsia="zh-CN" w:bidi="ar-SA"/>
        </w:rPr>
        <w:t>可能是为</w:t>
      </w:r>
      <w:r>
        <w:rPr>
          <w:rFonts w:hint="default" w:ascii="Times New Roman" w:hAnsi="Times New Roman" w:eastAsia="方正仿宋_GBK" w:cs="Times New Roman"/>
          <w:color w:val="auto"/>
          <w:kern w:val="2"/>
          <w:sz w:val="32"/>
          <w:szCs w:val="32"/>
          <w:lang w:val="en-US" w:eastAsia="zh-CN" w:bidi="ar-SA"/>
        </w:rPr>
        <w:t>快速控制</w:t>
      </w:r>
      <w:r>
        <w:rPr>
          <w:rFonts w:hint="eastAsia" w:ascii="Times New Roman" w:hAnsi="Times New Roman" w:eastAsia="方正仿宋_GBK" w:cs="Times New Roman"/>
          <w:color w:val="auto"/>
          <w:kern w:val="2"/>
          <w:sz w:val="32"/>
          <w:szCs w:val="32"/>
          <w:lang w:val="en-US" w:eastAsia="zh-CN" w:bidi="ar-SA"/>
        </w:rPr>
        <w:t>虫害，</w:t>
      </w:r>
      <w:r>
        <w:rPr>
          <w:rFonts w:hint="default" w:ascii="Times New Roman" w:hAnsi="Times New Roman" w:eastAsia="方正仿宋_GBK" w:cs="Times New Roman"/>
          <w:color w:val="auto"/>
          <w:kern w:val="2"/>
          <w:sz w:val="32"/>
          <w:szCs w:val="32"/>
          <w:lang w:val="en-US" w:eastAsia="zh-CN" w:bidi="ar-SA"/>
        </w:rPr>
        <w:t>加大用药量</w:t>
      </w:r>
      <w:r>
        <w:rPr>
          <w:rFonts w:hint="eastAsia" w:ascii="Times New Roman" w:hAnsi="Times New Roman" w:eastAsia="方正仿宋_GBK" w:cs="Times New Roman"/>
          <w:color w:val="auto"/>
          <w:kern w:val="2"/>
          <w:sz w:val="32"/>
          <w:szCs w:val="32"/>
          <w:lang w:val="en-US" w:eastAsia="zh-CN" w:bidi="ar-SA"/>
        </w:rPr>
        <w:t>或</w:t>
      </w:r>
      <w:r>
        <w:rPr>
          <w:rFonts w:hint="default" w:ascii="Times New Roman" w:hAnsi="Times New Roman" w:eastAsia="方正仿宋_GBK" w:cs="Times New Roman"/>
          <w:color w:val="auto"/>
          <w:kern w:val="2"/>
          <w:sz w:val="32"/>
          <w:szCs w:val="32"/>
          <w:lang w:val="en-US" w:eastAsia="zh-CN" w:bidi="ar-SA"/>
        </w:rPr>
        <w:t>未遵守采摘间隔期</w:t>
      </w:r>
      <w:r>
        <w:rPr>
          <w:rFonts w:hint="eastAsia" w:ascii="Times New Roman" w:hAnsi="Times New Roman" w:eastAsia="方正仿宋_GBK" w:cs="Times New Roman"/>
          <w:color w:val="auto"/>
          <w:kern w:val="2"/>
          <w:sz w:val="32"/>
          <w:szCs w:val="32"/>
          <w:lang w:val="en-US" w:eastAsia="zh-CN" w:bidi="ar-SA"/>
        </w:rPr>
        <w:t>规定</w:t>
      </w:r>
      <w:r>
        <w:rPr>
          <w:rFonts w:hint="default" w:ascii="Times New Roman" w:hAnsi="Times New Roman" w:eastAsia="方正仿宋_GBK" w:cs="Times New Roman"/>
          <w:color w:val="auto"/>
          <w:kern w:val="2"/>
          <w:sz w:val="32"/>
          <w:szCs w:val="32"/>
          <w:lang w:val="en-US" w:eastAsia="zh-CN" w:bidi="ar-SA"/>
        </w:rPr>
        <w:t>，致使上市销售</w:t>
      </w:r>
      <w:r>
        <w:rPr>
          <w:rFonts w:hint="eastAsia" w:ascii="Times New Roman" w:hAnsi="Times New Roman" w:eastAsia="方正仿宋_GBK" w:cs="Times New Roman"/>
          <w:color w:val="auto"/>
          <w:kern w:val="2"/>
          <w:sz w:val="32"/>
          <w:szCs w:val="32"/>
          <w:lang w:val="en-US" w:eastAsia="zh-CN" w:bidi="ar-SA"/>
        </w:rPr>
        <w:t>的产品中残留量超标</w:t>
      </w:r>
      <w:r>
        <w:rPr>
          <w:rFonts w:hint="default" w:ascii="Times New Roman" w:hAnsi="Times New Roman" w:eastAsia="方正仿宋_GBK" w:cs="Times New Roman"/>
          <w:color w:val="auto"/>
          <w:kern w:val="2"/>
          <w:sz w:val="32"/>
          <w:szCs w:val="32"/>
          <w:lang w:val="en-US" w:eastAsia="zh-CN" w:bidi="ar-SA"/>
        </w:rPr>
        <w:t>。</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九、酸价</w:t>
      </w:r>
      <w:r>
        <w:rPr>
          <w:rFonts w:hint="eastAsia" w:ascii="方正黑体_GBK" w:hAnsi="方正黑体_GBK" w:eastAsia="方正黑体_GBK" w:cs="方正黑体_GBK"/>
          <w:sz w:val="32"/>
          <w:szCs w:val="32"/>
          <w:lang w:val="en-US" w:eastAsia="zh-CN"/>
        </w:rPr>
        <w:t>（</w:t>
      </w:r>
      <w:r>
        <w:rPr>
          <w:rFonts w:hint="default" w:ascii="方正黑体_GBK" w:hAnsi="方正黑体_GBK" w:eastAsia="方正黑体_GBK" w:cs="方正黑体_GBK"/>
          <w:sz w:val="32"/>
          <w:szCs w:val="32"/>
          <w:lang w:val="en-US" w:eastAsia="zh-CN"/>
        </w:rPr>
        <w:t>以脂肪计</w:t>
      </w:r>
      <w:r>
        <w:rPr>
          <w:rFonts w:hint="eastAsia" w:ascii="方正黑体_GBK" w:hAnsi="方正黑体_GBK" w:eastAsia="方正黑体_GBK" w:cs="方正黑体_GBK"/>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酸价主要反映食品中油脂的酸败程度。酸价超标会导致食品有哈喇味，超标严重时所产生的醛、酮、酸会破坏脂溶性维生素，导致肠胃不适。酸价超标的原因，可能产品储藏运输条件不当。</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十</w:t>
      </w:r>
      <w:r>
        <w:rPr>
          <w:rFonts w:hint="default" w:ascii="方正黑体_GBK" w:hAnsi="方正黑体_GBK" w:eastAsia="方正黑体_GBK" w:cs="方正黑体_GBK"/>
          <w:sz w:val="32"/>
          <w:szCs w:val="32"/>
          <w:lang w:val="en-US" w:eastAsia="zh-CN"/>
        </w:rPr>
        <w:t>、大肠菌群</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大肠菌群是国内外通用的食品污染常用指示菌之一。食品中大肠菌群不合格，说明食品存在卫生质量缺陷，提示该食品中存在被肠道致病菌污染的可能，对人体健康具有潜在危害，尤其对老人、小孩的危害更大。大肠菌群超标的原因，可能是包装材料受污染，或在生产过程中产品受到人员、工具器具等生产设备、环境污染。</w:t>
      </w:r>
    </w:p>
    <w:p>
      <w:pPr>
        <w:keepNext w:val="0"/>
        <w:keepLines w:val="0"/>
        <w:pageBreakBefore w:val="0"/>
        <w:widowControl w:val="0"/>
        <w:kinsoku/>
        <w:wordWrap/>
        <w:overflowPunct/>
        <w:topLinePunct w:val="0"/>
        <w:autoSpaceDE/>
        <w:autoSpaceDN/>
        <w:bidi w:val="0"/>
        <w:spacing w:line="582" w:lineRule="exact"/>
        <w:ind w:leftChars="0"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十一、酒精度</w:t>
      </w:r>
    </w:p>
    <w:p>
      <w:pPr>
        <w:keepNext w:val="0"/>
        <w:keepLines w:val="0"/>
        <w:pageBreakBefore w:val="0"/>
        <w:widowControl w:val="0"/>
        <w:kinsoku/>
        <w:wordWrap/>
        <w:overflowPunct/>
        <w:topLinePunct w:val="0"/>
        <w:autoSpaceDE/>
        <w:autoSpaceDN/>
        <w:bidi w:val="0"/>
        <w:adjustRightInd/>
        <w:snapToGrid/>
        <w:spacing w:line="582" w:lineRule="exact"/>
        <w:ind w:left="0" w:leftChars="0" w:firstLine="640"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酒精度又叫酒度，是指在20℃时，100毫升酒中含有乙醇（酒精）的毫升数，即体积（容量）的百分数。酒精度未达到产品标签明示要求的原因，可能是包装不严密造成酒精挥发</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还可能是企业用低度酒冒充高度酒。</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embedRegular r:id="rId1" w:fontKey="{502FA3E1-A0AB-49EE-8076-B9A38C1C02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6F2E721D-4AB5-454F-A3A4-635B055AC931}"/>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9DF6539D-D63E-4DA4-B0D7-9EF8A84D869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xMmRmNjM0MDI5OTkxNWEwZDM3YWJiN2RjYjhhZmU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54CD1"/>
    <w:rsid w:val="00D854CA"/>
    <w:rsid w:val="00DB42CD"/>
    <w:rsid w:val="00EB080C"/>
    <w:rsid w:val="00EB6150"/>
    <w:rsid w:val="00EC0E42"/>
    <w:rsid w:val="00ED73BA"/>
    <w:rsid w:val="00EE180D"/>
    <w:rsid w:val="00F66EA7"/>
    <w:rsid w:val="00F6775F"/>
    <w:rsid w:val="00F71F33"/>
    <w:rsid w:val="00F77CAB"/>
    <w:rsid w:val="011B1CC1"/>
    <w:rsid w:val="01BF015D"/>
    <w:rsid w:val="02317036"/>
    <w:rsid w:val="02E356B2"/>
    <w:rsid w:val="030A45ED"/>
    <w:rsid w:val="04D81A7C"/>
    <w:rsid w:val="05B075F0"/>
    <w:rsid w:val="05F23A3F"/>
    <w:rsid w:val="072D4D2F"/>
    <w:rsid w:val="07503655"/>
    <w:rsid w:val="09613572"/>
    <w:rsid w:val="098168D4"/>
    <w:rsid w:val="099F7A3A"/>
    <w:rsid w:val="09E0572E"/>
    <w:rsid w:val="0A4011CE"/>
    <w:rsid w:val="0B140ABA"/>
    <w:rsid w:val="0B1C7DDA"/>
    <w:rsid w:val="0B443F79"/>
    <w:rsid w:val="0B505CFE"/>
    <w:rsid w:val="0BE060AB"/>
    <w:rsid w:val="0C0B1D8D"/>
    <w:rsid w:val="0C705556"/>
    <w:rsid w:val="0CCE6341"/>
    <w:rsid w:val="0D0346C0"/>
    <w:rsid w:val="0D374F84"/>
    <w:rsid w:val="0D4279C5"/>
    <w:rsid w:val="0D5527DD"/>
    <w:rsid w:val="0D852F3F"/>
    <w:rsid w:val="0DE12CCF"/>
    <w:rsid w:val="0DE43D03"/>
    <w:rsid w:val="0E284B04"/>
    <w:rsid w:val="0EC12409"/>
    <w:rsid w:val="0F056371"/>
    <w:rsid w:val="0F751D38"/>
    <w:rsid w:val="0F8E03D8"/>
    <w:rsid w:val="0FA90066"/>
    <w:rsid w:val="0FC01C62"/>
    <w:rsid w:val="1034205B"/>
    <w:rsid w:val="104362FC"/>
    <w:rsid w:val="10594204"/>
    <w:rsid w:val="107C1AA5"/>
    <w:rsid w:val="11081FC8"/>
    <w:rsid w:val="117A32C5"/>
    <w:rsid w:val="117D5443"/>
    <w:rsid w:val="11F95E33"/>
    <w:rsid w:val="12477249"/>
    <w:rsid w:val="129739A4"/>
    <w:rsid w:val="12F708C4"/>
    <w:rsid w:val="13C00084"/>
    <w:rsid w:val="14FB2159"/>
    <w:rsid w:val="153E37EC"/>
    <w:rsid w:val="155E31D5"/>
    <w:rsid w:val="15622D5B"/>
    <w:rsid w:val="15F30177"/>
    <w:rsid w:val="164271B3"/>
    <w:rsid w:val="16C74C86"/>
    <w:rsid w:val="16CC5D75"/>
    <w:rsid w:val="16E15A77"/>
    <w:rsid w:val="172A0F96"/>
    <w:rsid w:val="17B40389"/>
    <w:rsid w:val="17BC2306"/>
    <w:rsid w:val="18165D76"/>
    <w:rsid w:val="187D413F"/>
    <w:rsid w:val="18B93A69"/>
    <w:rsid w:val="18CE1A06"/>
    <w:rsid w:val="19580406"/>
    <w:rsid w:val="19D1085A"/>
    <w:rsid w:val="1A6251F7"/>
    <w:rsid w:val="1A8D7F9B"/>
    <w:rsid w:val="1ACE2642"/>
    <w:rsid w:val="1B0616C5"/>
    <w:rsid w:val="1B17289A"/>
    <w:rsid w:val="1B2E7F49"/>
    <w:rsid w:val="1B6B4652"/>
    <w:rsid w:val="1BAD4A7C"/>
    <w:rsid w:val="1C157453"/>
    <w:rsid w:val="1C1845BD"/>
    <w:rsid w:val="1C412D60"/>
    <w:rsid w:val="1CB27E9B"/>
    <w:rsid w:val="1D582E89"/>
    <w:rsid w:val="1DAD3FFF"/>
    <w:rsid w:val="1DFF41B9"/>
    <w:rsid w:val="1E9B32CF"/>
    <w:rsid w:val="1EC264B5"/>
    <w:rsid w:val="200A3A07"/>
    <w:rsid w:val="205E4764"/>
    <w:rsid w:val="207F2166"/>
    <w:rsid w:val="209E7837"/>
    <w:rsid w:val="20DD5D1B"/>
    <w:rsid w:val="21EF72E6"/>
    <w:rsid w:val="220B26C8"/>
    <w:rsid w:val="224D6ADB"/>
    <w:rsid w:val="227B2998"/>
    <w:rsid w:val="22A141AA"/>
    <w:rsid w:val="22BF0461"/>
    <w:rsid w:val="22DF1FFB"/>
    <w:rsid w:val="239D0E6B"/>
    <w:rsid w:val="24B573DE"/>
    <w:rsid w:val="251138C5"/>
    <w:rsid w:val="25481A61"/>
    <w:rsid w:val="254E25E8"/>
    <w:rsid w:val="25915938"/>
    <w:rsid w:val="25A92365"/>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CD31625"/>
    <w:rsid w:val="2D351E89"/>
    <w:rsid w:val="2D7D65C0"/>
    <w:rsid w:val="2ED22E2E"/>
    <w:rsid w:val="2EE02088"/>
    <w:rsid w:val="2EEE4150"/>
    <w:rsid w:val="2F026C43"/>
    <w:rsid w:val="2F192827"/>
    <w:rsid w:val="2F6C5736"/>
    <w:rsid w:val="2F8746A4"/>
    <w:rsid w:val="2F9200D3"/>
    <w:rsid w:val="302428C3"/>
    <w:rsid w:val="3036111F"/>
    <w:rsid w:val="30C52F74"/>
    <w:rsid w:val="31390AFB"/>
    <w:rsid w:val="31727237"/>
    <w:rsid w:val="31E4442C"/>
    <w:rsid w:val="31F75EEE"/>
    <w:rsid w:val="320944EF"/>
    <w:rsid w:val="32671426"/>
    <w:rsid w:val="326A386A"/>
    <w:rsid w:val="327A4A98"/>
    <w:rsid w:val="32A84089"/>
    <w:rsid w:val="32B12BD0"/>
    <w:rsid w:val="32D61C27"/>
    <w:rsid w:val="337F4F63"/>
    <w:rsid w:val="33A308EA"/>
    <w:rsid w:val="35AB1391"/>
    <w:rsid w:val="35C0043A"/>
    <w:rsid w:val="35EF5D6D"/>
    <w:rsid w:val="36731FE9"/>
    <w:rsid w:val="367B7D6F"/>
    <w:rsid w:val="36970865"/>
    <w:rsid w:val="36DA2B1D"/>
    <w:rsid w:val="37246F64"/>
    <w:rsid w:val="375C193B"/>
    <w:rsid w:val="37975EBC"/>
    <w:rsid w:val="37980617"/>
    <w:rsid w:val="37D8062F"/>
    <w:rsid w:val="37F96A05"/>
    <w:rsid w:val="383060A2"/>
    <w:rsid w:val="38642EE5"/>
    <w:rsid w:val="395835DE"/>
    <w:rsid w:val="39666407"/>
    <w:rsid w:val="39A57DA5"/>
    <w:rsid w:val="39AF2A0A"/>
    <w:rsid w:val="39E66244"/>
    <w:rsid w:val="3A4E210D"/>
    <w:rsid w:val="3A937552"/>
    <w:rsid w:val="3AA9213C"/>
    <w:rsid w:val="3B6949B8"/>
    <w:rsid w:val="3B932D55"/>
    <w:rsid w:val="3BC21DE2"/>
    <w:rsid w:val="3C07791D"/>
    <w:rsid w:val="3C431019"/>
    <w:rsid w:val="3C52405A"/>
    <w:rsid w:val="3C575DCE"/>
    <w:rsid w:val="3C87360C"/>
    <w:rsid w:val="3D625FAB"/>
    <w:rsid w:val="3D7846F0"/>
    <w:rsid w:val="3D8F3232"/>
    <w:rsid w:val="3DDA184A"/>
    <w:rsid w:val="3E2223F7"/>
    <w:rsid w:val="3E3A3BD1"/>
    <w:rsid w:val="3E793D02"/>
    <w:rsid w:val="3E873B26"/>
    <w:rsid w:val="3E974FD9"/>
    <w:rsid w:val="3F944EF2"/>
    <w:rsid w:val="3FF27701"/>
    <w:rsid w:val="404F47A1"/>
    <w:rsid w:val="40787187"/>
    <w:rsid w:val="40AF4442"/>
    <w:rsid w:val="40B86FDC"/>
    <w:rsid w:val="40D0460A"/>
    <w:rsid w:val="40F91F4F"/>
    <w:rsid w:val="4167249D"/>
    <w:rsid w:val="41D76D12"/>
    <w:rsid w:val="420E6C2D"/>
    <w:rsid w:val="421D53C4"/>
    <w:rsid w:val="42400E64"/>
    <w:rsid w:val="425614E3"/>
    <w:rsid w:val="425665EF"/>
    <w:rsid w:val="425E5D24"/>
    <w:rsid w:val="426A0D65"/>
    <w:rsid w:val="43842684"/>
    <w:rsid w:val="438F40A0"/>
    <w:rsid w:val="43C70ADF"/>
    <w:rsid w:val="444E2AAD"/>
    <w:rsid w:val="44F63D12"/>
    <w:rsid w:val="45B97969"/>
    <w:rsid w:val="46243376"/>
    <w:rsid w:val="47492C28"/>
    <w:rsid w:val="483164C1"/>
    <w:rsid w:val="48D06DD8"/>
    <w:rsid w:val="494214A7"/>
    <w:rsid w:val="49697DDF"/>
    <w:rsid w:val="4A705AD3"/>
    <w:rsid w:val="4B5049B4"/>
    <w:rsid w:val="4BC137FA"/>
    <w:rsid w:val="4C297156"/>
    <w:rsid w:val="4C36294C"/>
    <w:rsid w:val="4CCB074B"/>
    <w:rsid w:val="4CF84A64"/>
    <w:rsid w:val="4D8A2EE5"/>
    <w:rsid w:val="4D9B4661"/>
    <w:rsid w:val="4E0B1BC2"/>
    <w:rsid w:val="4EBF55C1"/>
    <w:rsid w:val="4EC26E4B"/>
    <w:rsid w:val="4EED2BC8"/>
    <w:rsid w:val="4F932387"/>
    <w:rsid w:val="4FAB5F46"/>
    <w:rsid w:val="50163F73"/>
    <w:rsid w:val="50565800"/>
    <w:rsid w:val="50724B2D"/>
    <w:rsid w:val="50C17233"/>
    <w:rsid w:val="51896A13"/>
    <w:rsid w:val="51AA4038"/>
    <w:rsid w:val="51FD239C"/>
    <w:rsid w:val="52941F38"/>
    <w:rsid w:val="52A072C8"/>
    <w:rsid w:val="52A6769D"/>
    <w:rsid w:val="53910666"/>
    <w:rsid w:val="53DD4918"/>
    <w:rsid w:val="53E301FD"/>
    <w:rsid w:val="5473169E"/>
    <w:rsid w:val="54C904D3"/>
    <w:rsid w:val="550115C8"/>
    <w:rsid w:val="554D75AB"/>
    <w:rsid w:val="55515C48"/>
    <w:rsid w:val="55BE0029"/>
    <w:rsid w:val="55CC40E6"/>
    <w:rsid w:val="56666EE2"/>
    <w:rsid w:val="566F178F"/>
    <w:rsid w:val="572F5526"/>
    <w:rsid w:val="57F4318A"/>
    <w:rsid w:val="583D6A55"/>
    <w:rsid w:val="588C1540"/>
    <w:rsid w:val="58BF1D4C"/>
    <w:rsid w:val="58C52A1E"/>
    <w:rsid w:val="5900754B"/>
    <w:rsid w:val="591702CA"/>
    <w:rsid w:val="591F154C"/>
    <w:rsid w:val="59203A01"/>
    <w:rsid w:val="59A5289E"/>
    <w:rsid w:val="59A56ED4"/>
    <w:rsid w:val="5A461B93"/>
    <w:rsid w:val="5AF17BBB"/>
    <w:rsid w:val="5B2D7FCE"/>
    <w:rsid w:val="5B7936AC"/>
    <w:rsid w:val="5B7A209D"/>
    <w:rsid w:val="5BDC6E44"/>
    <w:rsid w:val="5C6258A4"/>
    <w:rsid w:val="5C6607D4"/>
    <w:rsid w:val="5CF357D6"/>
    <w:rsid w:val="5E1C3364"/>
    <w:rsid w:val="5E3C6DCB"/>
    <w:rsid w:val="5E3D638B"/>
    <w:rsid w:val="5E82604C"/>
    <w:rsid w:val="5E9F7D04"/>
    <w:rsid w:val="5EB3567B"/>
    <w:rsid w:val="5EE95FBE"/>
    <w:rsid w:val="5FB4017C"/>
    <w:rsid w:val="5FC04A10"/>
    <w:rsid w:val="5FF86B48"/>
    <w:rsid w:val="6009023D"/>
    <w:rsid w:val="614C7731"/>
    <w:rsid w:val="616D5BEF"/>
    <w:rsid w:val="62100EE1"/>
    <w:rsid w:val="62106968"/>
    <w:rsid w:val="62733EE5"/>
    <w:rsid w:val="62A23EF9"/>
    <w:rsid w:val="62E64A8D"/>
    <w:rsid w:val="637B6589"/>
    <w:rsid w:val="639E5017"/>
    <w:rsid w:val="63E519B6"/>
    <w:rsid w:val="63E60C8E"/>
    <w:rsid w:val="63FF0976"/>
    <w:rsid w:val="645F7C77"/>
    <w:rsid w:val="648F5B34"/>
    <w:rsid w:val="64BA3CE8"/>
    <w:rsid w:val="65110BD0"/>
    <w:rsid w:val="652B171E"/>
    <w:rsid w:val="65660390"/>
    <w:rsid w:val="65BA2B92"/>
    <w:rsid w:val="6655217A"/>
    <w:rsid w:val="66F73F16"/>
    <w:rsid w:val="67207D8C"/>
    <w:rsid w:val="67734C92"/>
    <w:rsid w:val="67C1146A"/>
    <w:rsid w:val="67CF22BF"/>
    <w:rsid w:val="67DF1954"/>
    <w:rsid w:val="67E22ABE"/>
    <w:rsid w:val="681044FB"/>
    <w:rsid w:val="681A5C55"/>
    <w:rsid w:val="686B67ED"/>
    <w:rsid w:val="6A7367C6"/>
    <w:rsid w:val="6B0A631F"/>
    <w:rsid w:val="6B2F57E8"/>
    <w:rsid w:val="6B3B7A45"/>
    <w:rsid w:val="6BBD3905"/>
    <w:rsid w:val="6C2A5933"/>
    <w:rsid w:val="6C532497"/>
    <w:rsid w:val="6C6A3D48"/>
    <w:rsid w:val="6D262A1C"/>
    <w:rsid w:val="6D9032B2"/>
    <w:rsid w:val="6DD70EDE"/>
    <w:rsid w:val="6EAE7A04"/>
    <w:rsid w:val="6ED77804"/>
    <w:rsid w:val="6F564F90"/>
    <w:rsid w:val="6F8A37EA"/>
    <w:rsid w:val="70433045"/>
    <w:rsid w:val="704F7207"/>
    <w:rsid w:val="70A4148A"/>
    <w:rsid w:val="71236AF0"/>
    <w:rsid w:val="72050BDB"/>
    <w:rsid w:val="72084E58"/>
    <w:rsid w:val="72632DF3"/>
    <w:rsid w:val="72C44654"/>
    <w:rsid w:val="731C59A6"/>
    <w:rsid w:val="740B7597"/>
    <w:rsid w:val="74835084"/>
    <w:rsid w:val="75A57FA1"/>
    <w:rsid w:val="75CC46F0"/>
    <w:rsid w:val="76077A0F"/>
    <w:rsid w:val="7634763B"/>
    <w:rsid w:val="76C43BAF"/>
    <w:rsid w:val="77100CAA"/>
    <w:rsid w:val="77450FC0"/>
    <w:rsid w:val="7746130E"/>
    <w:rsid w:val="77A91F25"/>
    <w:rsid w:val="77AD776A"/>
    <w:rsid w:val="7802718C"/>
    <w:rsid w:val="78516857"/>
    <w:rsid w:val="787917F5"/>
    <w:rsid w:val="78941FDE"/>
    <w:rsid w:val="78DE7328"/>
    <w:rsid w:val="79425C88"/>
    <w:rsid w:val="79E41CD7"/>
    <w:rsid w:val="7A27777B"/>
    <w:rsid w:val="7B5D2F26"/>
    <w:rsid w:val="7B7721FC"/>
    <w:rsid w:val="7B83576D"/>
    <w:rsid w:val="7C7137ED"/>
    <w:rsid w:val="7C833972"/>
    <w:rsid w:val="7CBD0617"/>
    <w:rsid w:val="7EC17E5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spacing w:line="560" w:lineRule="exact"/>
      <w:ind w:firstLine="0" w:firstLineChars="0"/>
      <w:outlineLvl w:val="0"/>
    </w:pPr>
    <w:rPr>
      <w:rFonts w:eastAsia="方正黑体_GBK" w:asciiTheme="minorAscii" w:hAnsiTheme="minorAscii"/>
      <w:kern w:val="44"/>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5">
    <w:name w:val="Body Text"/>
    <w:basedOn w:val="1"/>
    <w:link w:val="25"/>
    <w:semiHidden/>
    <w:unhideWhenUsed/>
    <w:qFormat/>
    <w:uiPriority w:val="99"/>
    <w:pPr>
      <w:spacing w:after="120"/>
    </w:pPr>
  </w:style>
  <w:style w:type="paragraph" w:styleId="6">
    <w:name w:val="Balloon Text"/>
    <w:basedOn w:val="1"/>
    <w:link w:val="24"/>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1">
    <w:name w:val="Body Text First Indent"/>
    <w:basedOn w:val="5"/>
    <w:link w:val="26"/>
    <w:qFormat/>
    <w:uiPriority w:val="0"/>
    <w:pPr>
      <w:ind w:firstLine="420" w:firstLineChars="100"/>
    </w:pPr>
    <w:rPr>
      <w:rFonts w:ascii="Times New Roman" w:hAnsi="Times New Roman" w:eastAsia="宋体" w:cs="Times New Roman"/>
      <w:szCs w:val="24"/>
    </w:rPr>
  </w:style>
  <w:style w:type="character" w:styleId="14">
    <w:name w:val="Strong"/>
    <w:basedOn w:val="13"/>
    <w:qFormat/>
    <w:uiPriority w:val="22"/>
    <w:rPr>
      <w:b/>
    </w:rPr>
  </w:style>
  <w:style w:type="character" w:styleId="15">
    <w:name w:val="FollowedHyperlink"/>
    <w:basedOn w:val="13"/>
    <w:unhideWhenUsed/>
    <w:qFormat/>
    <w:uiPriority w:val="99"/>
    <w:rPr>
      <w:color w:val="000099"/>
      <w:sz w:val="18"/>
      <w:szCs w:val="18"/>
      <w:u w:val="single"/>
    </w:rPr>
  </w:style>
  <w:style w:type="character" w:styleId="16">
    <w:name w:val="Emphasis"/>
    <w:qFormat/>
    <w:uiPriority w:val="20"/>
    <w:rPr>
      <w:i/>
      <w:iCs/>
    </w:rPr>
  </w:style>
  <w:style w:type="character" w:styleId="17">
    <w:name w:val="Hyperlink"/>
    <w:basedOn w:val="13"/>
    <w:unhideWhenUsed/>
    <w:qFormat/>
    <w:uiPriority w:val="99"/>
    <w:rPr>
      <w:color w:val="000099"/>
      <w:sz w:val="18"/>
      <w:szCs w:val="18"/>
      <w:u w:val="single"/>
    </w:rPr>
  </w:style>
  <w:style w:type="character" w:customStyle="1" w:styleId="18">
    <w:name w:val="页眉 Char"/>
    <w:basedOn w:val="13"/>
    <w:link w:val="8"/>
    <w:semiHidden/>
    <w:qFormat/>
    <w:uiPriority w:val="99"/>
    <w:rPr>
      <w:sz w:val="18"/>
      <w:szCs w:val="18"/>
    </w:rPr>
  </w:style>
  <w:style w:type="character" w:customStyle="1" w:styleId="19">
    <w:name w:val="页脚 Char"/>
    <w:basedOn w:val="13"/>
    <w:link w:val="7"/>
    <w:semiHidden/>
    <w:qFormat/>
    <w:uiPriority w:val="99"/>
    <w:rPr>
      <w:sz w:val="18"/>
      <w:szCs w:val="18"/>
    </w:rPr>
  </w:style>
  <w:style w:type="character" w:customStyle="1" w:styleId="20">
    <w:name w:val="apple-converted-space"/>
    <w:basedOn w:val="13"/>
    <w:qFormat/>
    <w:uiPriority w:val="0"/>
  </w:style>
  <w:style w:type="paragraph" w:customStyle="1" w:styleId="21">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2">
    <w:name w:val="List Paragraph"/>
    <w:basedOn w:val="1"/>
    <w:unhideWhenUsed/>
    <w:qFormat/>
    <w:uiPriority w:val="99"/>
    <w:pPr>
      <w:ind w:firstLine="420" w:firstLineChars="200"/>
    </w:pPr>
  </w:style>
  <w:style w:type="character" w:customStyle="1" w:styleId="23">
    <w:name w:val="description"/>
    <w:basedOn w:val="13"/>
    <w:qFormat/>
    <w:uiPriority w:val="0"/>
  </w:style>
  <w:style w:type="character" w:customStyle="1" w:styleId="24">
    <w:name w:val="批注框文本 Char"/>
    <w:basedOn w:val="13"/>
    <w:link w:val="6"/>
    <w:semiHidden/>
    <w:qFormat/>
    <w:uiPriority w:val="99"/>
    <w:rPr>
      <w:rFonts w:asciiTheme="minorHAnsi" w:hAnsiTheme="minorHAnsi" w:eastAsiaTheme="minorEastAsia" w:cstheme="minorBidi"/>
      <w:kern w:val="2"/>
      <w:sz w:val="18"/>
      <w:szCs w:val="18"/>
    </w:rPr>
  </w:style>
  <w:style w:type="character" w:customStyle="1" w:styleId="25">
    <w:name w:val="正文文本 Char"/>
    <w:basedOn w:val="13"/>
    <w:link w:val="5"/>
    <w:semiHidden/>
    <w:qFormat/>
    <w:uiPriority w:val="99"/>
    <w:rPr>
      <w:rFonts w:asciiTheme="minorHAnsi" w:hAnsiTheme="minorHAnsi" w:eastAsiaTheme="minorEastAsia" w:cstheme="minorBidi"/>
      <w:kern w:val="2"/>
      <w:sz w:val="21"/>
      <w:szCs w:val="22"/>
    </w:rPr>
  </w:style>
  <w:style w:type="character" w:customStyle="1" w:styleId="26">
    <w:name w:val="正文首行缩进 Char"/>
    <w:basedOn w:val="25"/>
    <w:link w:val="11"/>
    <w:qFormat/>
    <w:uiPriority w:val="0"/>
    <w:rPr>
      <w:rFonts w:asciiTheme="minorHAnsi" w:hAnsiTheme="minorHAnsi" w:eastAsiaTheme="minorEastAsia" w:cstheme="minorBidi"/>
      <w:kern w:val="2"/>
      <w:sz w:val="21"/>
      <w:szCs w:val="24"/>
    </w:rPr>
  </w:style>
  <w:style w:type="character" w:customStyle="1" w:styleId="27">
    <w:name w:val="不明显强调1"/>
    <w:basedOn w:val="13"/>
    <w:qFormat/>
    <w:uiPriority w:val="19"/>
    <w:rPr>
      <w:i/>
      <w:iCs/>
      <w:color w:val="808080" w:themeColor="text1" w:themeTint="80"/>
      <w14:textFill>
        <w14:solidFill>
          <w14:schemeClr w14:val="tx1">
            <w14:lumMod w14:val="50000"/>
            <w14:lumOff w14:val="50000"/>
          </w14:schemeClr>
        </w14:solidFill>
      </w14:textFill>
    </w:rPr>
  </w:style>
  <w:style w:type="paragraph" w:styleId="2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30">
    <w:name w:val="不明显强调2"/>
    <w:basedOn w:val="13"/>
    <w:qFormat/>
    <w:uiPriority w:val="19"/>
    <w:rPr>
      <w:i/>
      <w:iCs/>
      <w:color w:val="808080" w:themeColor="text1" w:themeTint="80"/>
      <w14:textFill>
        <w14:solidFill>
          <w14:schemeClr w14:val="tx1">
            <w14:lumMod w14:val="50000"/>
            <w14:lumOff w14:val="50000"/>
          </w14:schemeClr>
        </w14:solidFill>
      </w14:textFill>
    </w:rPr>
  </w:style>
  <w:style w:type="character" w:customStyle="1" w:styleId="31">
    <w:name w:val="Subtle Emphasis"/>
    <w:basedOn w:val="13"/>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1824</Words>
  <Characters>1864</Characters>
  <Lines>7</Lines>
  <Paragraphs>2</Paragraphs>
  <TotalTime>0</TotalTime>
  <ScaleCrop>false</ScaleCrop>
  <LinksUpToDate>false</LinksUpToDate>
  <CharactersWithSpaces>1867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2022-06-27T07:26:04Z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