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7E75A1" w14:textId="77777777" w:rsidR="00AD5FE2" w:rsidRDefault="006964E4">
      <w:pPr>
        <w:spacing w:line="560" w:lineRule="exact"/>
        <w:jc w:val="center"/>
        <w:rPr>
          <w:rFonts w:ascii="方正小标宋_GBK" w:eastAsia="方正小标宋_GBK" w:hAnsi="方正小标宋_GBK" w:cs="方正小标宋_GBK" w:hint="eastAsia"/>
          <w:sz w:val="44"/>
          <w:szCs w:val="44"/>
        </w:rPr>
      </w:pPr>
      <w:r>
        <w:rPr>
          <w:rFonts w:ascii="方正小标宋_GBK" w:eastAsia="方正小标宋_GBK" w:hAnsi="方正小标宋_GBK" w:cs="方正小标宋_GBK" w:hint="eastAsia"/>
          <w:sz w:val="44"/>
          <w:szCs w:val="44"/>
        </w:rPr>
        <w:t>江苏省反不正当竞争条例（草案）</w:t>
      </w:r>
    </w:p>
    <w:p w14:paraId="50736AD8" w14:textId="77777777" w:rsidR="00AD5FE2" w:rsidRDefault="006964E4">
      <w:pPr>
        <w:spacing w:line="560" w:lineRule="exact"/>
        <w:jc w:val="center"/>
        <w:rPr>
          <w:rFonts w:ascii="方正小标宋_GBK" w:eastAsia="方正小标宋_GBK" w:hAnsi="方正小标宋_GBK" w:cs="方正小标宋_GBK" w:hint="eastAsia"/>
          <w:sz w:val="44"/>
          <w:szCs w:val="44"/>
        </w:rPr>
      </w:pPr>
      <w:r>
        <w:rPr>
          <w:rFonts w:ascii="方正楷体_GBK" w:eastAsia="方正楷体_GBK" w:hAnsi="方正楷体_GBK" w:cs="方正楷体_GBK" w:hint="eastAsia"/>
          <w:sz w:val="32"/>
          <w:szCs w:val="32"/>
        </w:rPr>
        <w:t>（征求意见稿）</w:t>
      </w:r>
    </w:p>
    <w:p w14:paraId="76D6B3A3" w14:textId="77777777" w:rsidR="00AD5FE2" w:rsidRDefault="00AD5FE2">
      <w:pPr>
        <w:pStyle w:val="a4"/>
        <w:shd w:val="clear" w:color="auto" w:fill="FFFFFF"/>
        <w:overflowPunct w:val="0"/>
        <w:spacing w:line="560" w:lineRule="exact"/>
        <w:ind w:firstLineChars="0" w:firstLine="0"/>
        <w:jc w:val="center"/>
        <w:rPr>
          <w:rFonts w:ascii="方正小标宋_GBK" w:eastAsia="方正小标宋_GBK" w:hAnsi="Arial" w:cs="Arial"/>
          <w:kern w:val="0"/>
          <w:sz w:val="44"/>
          <w:szCs w:val="44"/>
        </w:rPr>
      </w:pPr>
    </w:p>
    <w:p w14:paraId="25B665E2" w14:textId="77777777" w:rsidR="00AD5FE2" w:rsidRDefault="006964E4">
      <w:pPr>
        <w:spacing w:line="560" w:lineRule="exact"/>
        <w:jc w:val="center"/>
        <w:rPr>
          <w:rFonts w:ascii="方正黑体_GBK" w:eastAsia="方正黑体_GBK" w:hAnsi="方正黑体_GBK" w:cs="方正黑体_GBK" w:hint="eastAsia"/>
          <w:sz w:val="32"/>
          <w:szCs w:val="32"/>
        </w:rPr>
      </w:pPr>
      <w:r>
        <w:rPr>
          <w:rFonts w:ascii="方正黑体_GBK" w:eastAsia="方正黑体_GBK" w:hAnsi="方正黑体_GBK" w:cs="方正黑体_GBK" w:hint="eastAsia"/>
          <w:sz w:val="32"/>
          <w:szCs w:val="32"/>
        </w:rPr>
        <w:t>目  录</w:t>
      </w:r>
    </w:p>
    <w:p w14:paraId="616F57B5" w14:textId="77777777" w:rsidR="00AD5FE2" w:rsidRDefault="00AD5FE2">
      <w:pPr>
        <w:pStyle w:val="a4"/>
        <w:shd w:val="clear" w:color="auto" w:fill="FFFFFF"/>
        <w:overflowPunct w:val="0"/>
        <w:spacing w:line="560" w:lineRule="exact"/>
        <w:ind w:firstLineChars="0" w:firstLine="0"/>
        <w:jc w:val="center"/>
        <w:rPr>
          <w:rFonts w:ascii="方正仿宋_GB2312" w:eastAsia="方正仿宋_GB2312" w:hAnsi="方正仿宋_GB2312" w:cs="方正仿宋_GB2312" w:hint="eastAsia"/>
          <w:kern w:val="0"/>
          <w:sz w:val="32"/>
          <w:szCs w:val="32"/>
        </w:rPr>
      </w:pPr>
    </w:p>
    <w:p w14:paraId="078494F9"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第一章  总则</w:t>
      </w:r>
    </w:p>
    <w:p w14:paraId="0453BC3F"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第二章  公平竞争环境建设</w:t>
      </w:r>
    </w:p>
    <w:p w14:paraId="1B6981AC"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第三章  不正当竞争行为</w:t>
      </w:r>
    </w:p>
    <w:p w14:paraId="39A07395"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第四章  监督检查</w:t>
      </w:r>
    </w:p>
    <w:p w14:paraId="5B7EFBA3"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第五章  法律责任</w:t>
      </w:r>
    </w:p>
    <w:p w14:paraId="31887442"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第六章  附则</w:t>
      </w:r>
    </w:p>
    <w:p w14:paraId="5AE0CBDC" w14:textId="77777777" w:rsidR="00AD5FE2" w:rsidRDefault="00AD5FE2">
      <w:pPr>
        <w:shd w:val="clear" w:color="auto" w:fill="FFFFFF"/>
        <w:overflowPunct w:val="0"/>
        <w:spacing w:line="560" w:lineRule="exact"/>
        <w:ind w:firstLineChars="200" w:firstLine="640"/>
        <w:rPr>
          <w:rFonts w:ascii="方正黑体_GBK" w:eastAsia="方正黑体_GBK" w:hAnsi="方正黑体_GBK" w:cs="方正黑体_GBK" w:hint="eastAsia"/>
          <w:kern w:val="0"/>
          <w:sz w:val="32"/>
          <w:szCs w:val="32"/>
        </w:rPr>
      </w:pPr>
    </w:p>
    <w:p w14:paraId="7CF9A67D" w14:textId="77777777" w:rsidR="00AD5FE2" w:rsidRDefault="006964E4">
      <w:pPr>
        <w:shd w:val="clear" w:color="auto" w:fill="FFFFFF"/>
        <w:overflowPunct w:val="0"/>
        <w:spacing w:line="560" w:lineRule="exact"/>
        <w:jc w:val="center"/>
        <w:rPr>
          <w:rFonts w:ascii="方正黑体_GBK" w:eastAsia="方正黑体_GBK" w:hAnsi="方正黑体_GBK" w:cs="方正黑体_GBK" w:hint="eastAsia"/>
          <w:kern w:val="0"/>
          <w:sz w:val="32"/>
          <w:szCs w:val="32"/>
        </w:rPr>
      </w:pPr>
      <w:r>
        <w:rPr>
          <w:rFonts w:ascii="方正黑体_GBK" w:eastAsia="方正黑体_GBK" w:hAnsi="方正黑体_GBK" w:cs="方正黑体_GBK" w:hint="eastAsia"/>
          <w:kern w:val="0"/>
          <w:sz w:val="32"/>
          <w:szCs w:val="32"/>
        </w:rPr>
        <w:t>第一章   总 则</w:t>
      </w:r>
    </w:p>
    <w:p w14:paraId="1074F503" w14:textId="77777777" w:rsidR="00AD5FE2" w:rsidRDefault="00AD5FE2">
      <w:pPr>
        <w:pStyle w:val="a4"/>
        <w:shd w:val="clear" w:color="auto" w:fill="FFFFFF"/>
        <w:overflowPunct w:val="0"/>
        <w:spacing w:line="560" w:lineRule="exact"/>
        <w:ind w:firstLineChars="0" w:firstLine="0"/>
        <w:rPr>
          <w:rFonts w:ascii="方正黑体_GBK" w:eastAsia="方正黑体_GBK" w:hAnsi="Arial" w:cs="Arial"/>
          <w:kern w:val="0"/>
          <w:sz w:val="32"/>
          <w:szCs w:val="32"/>
        </w:rPr>
      </w:pPr>
    </w:p>
    <w:p w14:paraId="71E82145" w14:textId="77777777" w:rsidR="00AD5FE2" w:rsidRDefault="006964E4">
      <w:pPr>
        <w:shd w:val="clear" w:color="auto" w:fill="FFFFFF"/>
        <w:overflowPunct w:val="0"/>
        <w:spacing w:line="560" w:lineRule="exact"/>
        <w:ind w:firstLineChars="200" w:firstLine="640"/>
        <w:rPr>
          <w:rFonts w:ascii="方正仿宋_GBK" w:eastAsia="方正仿宋_GBK" w:hAnsi="方正仿宋_GBK" w:cs="方正仿宋_GBK" w:hint="eastAsia"/>
          <w:kern w:val="0"/>
          <w:sz w:val="32"/>
          <w:szCs w:val="32"/>
        </w:rPr>
      </w:pPr>
      <w:r>
        <w:rPr>
          <w:rFonts w:ascii="方正黑体_GBK" w:eastAsia="方正黑体_GBK" w:hAnsi="方正黑体_GBK" w:cs="方正黑体_GBK" w:hint="eastAsia"/>
          <w:kern w:val="0"/>
          <w:sz w:val="32"/>
          <w:szCs w:val="32"/>
        </w:rPr>
        <w:t>第一条【立法目的】</w:t>
      </w:r>
      <w:r>
        <w:rPr>
          <w:rFonts w:ascii="方正仿宋_GBK" w:eastAsia="方正仿宋_GBK" w:hAnsi="方正仿宋_GBK" w:cs="方正仿宋_GBK" w:hint="eastAsia"/>
          <w:kern w:val="0"/>
          <w:sz w:val="32"/>
          <w:szCs w:val="32"/>
        </w:rPr>
        <w:t>为了鼓励和保护公平竞争，预防和制止不正当竞争行为，保护经营者和消费者的合法权益，优化营商环境，推动经济社会高质量发展，根据《中华人民共和国反不正当竞争法》和有关法律、行政法规的规定，结合本省实际，制定本条例。</w:t>
      </w:r>
    </w:p>
    <w:p w14:paraId="71514235" w14:textId="77777777" w:rsidR="00AD5FE2" w:rsidRDefault="006964E4">
      <w:pPr>
        <w:shd w:val="clear" w:color="auto" w:fill="FFFFFF"/>
        <w:overflowPunct w:val="0"/>
        <w:spacing w:line="560" w:lineRule="exact"/>
        <w:ind w:firstLineChars="200" w:firstLine="640"/>
        <w:rPr>
          <w:rFonts w:ascii="方正仿宋_GBK" w:eastAsia="方正仿宋_GBK" w:hAnsi="方正仿宋_GBK" w:cs="方正仿宋_GBK" w:hint="eastAsia"/>
          <w:kern w:val="0"/>
          <w:sz w:val="32"/>
          <w:szCs w:val="32"/>
        </w:rPr>
      </w:pPr>
      <w:r>
        <w:rPr>
          <w:rFonts w:ascii="方正黑体_GBK" w:eastAsia="方正黑体_GBK" w:hAnsi="方正黑体_GBK" w:cs="方正黑体_GBK" w:hint="eastAsia"/>
          <w:kern w:val="0"/>
          <w:sz w:val="32"/>
          <w:szCs w:val="32"/>
        </w:rPr>
        <w:t>第二条【基本要求】</w:t>
      </w:r>
      <w:r>
        <w:rPr>
          <w:rFonts w:ascii="方正仿宋_GBK" w:eastAsia="方正仿宋_GBK" w:hAnsi="方正仿宋_GBK" w:cs="方正仿宋_GBK" w:hint="eastAsia"/>
          <w:kern w:val="0"/>
          <w:sz w:val="32"/>
          <w:szCs w:val="32"/>
        </w:rPr>
        <w:t>在本省行政区域内从事商品生产、经营，提供服务的自然人、法人和非法人组织（以下统称为经营者），应当遵循自愿、平等、公平、诚信的原则，遵守法律、法规和商业道德，不得实施不正当竞争行为。</w:t>
      </w:r>
    </w:p>
    <w:p w14:paraId="5565EC0E"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lastRenderedPageBreak/>
        <w:t>任何单位或者个人不得帮助经营者实施不正当竞争行为。</w:t>
      </w:r>
    </w:p>
    <w:p w14:paraId="421DB837"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本条例所称的不正当竞争行为，是指经营者在生产经营活动中，违反《中华人民共和国反不正当竞争法》和本条例规定，扰乱市场竞争秩序，损害其他经营者或者消费者合法权益的行为。</w:t>
      </w:r>
    </w:p>
    <w:p w14:paraId="0930FBBD"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黑体_GBK" w:eastAsia="方正黑体_GBK" w:hAnsi="方正黑体_GBK" w:cs="方正黑体_GBK" w:hint="eastAsia"/>
          <w:kern w:val="0"/>
          <w:sz w:val="32"/>
          <w:szCs w:val="32"/>
        </w:rPr>
        <w:t>第三条【工作原则】</w:t>
      </w:r>
      <w:r>
        <w:rPr>
          <w:rFonts w:ascii="方正仿宋_GBK" w:eastAsia="方正仿宋_GBK" w:hAnsi="方正仿宋_GBK" w:cs="方正仿宋_GBK" w:hint="eastAsia"/>
          <w:kern w:val="0"/>
          <w:sz w:val="32"/>
          <w:szCs w:val="32"/>
        </w:rPr>
        <w:t>反不正当竞争工作坚持中国共产党的领导。</w:t>
      </w:r>
    </w:p>
    <w:p w14:paraId="37362866"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本省坚持市场化、法治化、国际化原则，完善反不正当竞争规则制度，建立健全公平竞争审查制度，加强反不正当竞争执法司法，维护市场竞争秩序，保障各类经营者依法平等使用生产要素、公平参与市场竞争。</w:t>
      </w:r>
    </w:p>
    <w:p w14:paraId="33B8A760"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黑体_GBK" w:eastAsia="方正黑体_GBK" w:hAnsi="方正黑体_GBK" w:cs="方正黑体_GBK" w:hint="eastAsia"/>
          <w:kern w:val="0"/>
          <w:sz w:val="32"/>
          <w:szCs w:val="32"/>
        </w:rPr>
        <w:t>第四条【政府职责】</w:t>
      </w:r>
      <w:r>
        <w:rPr>
          <w:rFonts w:ascii="方正仿宋_GBK" w:eastAsia="方正仿宋_GBK" w:hAnsi="方正仿宋_GBK" w:cs="方正仿宋_GBK" w:hint="eastAsia"/>
          <w:kern w:val="0"/>
          <w:sz w:val="32"/>
          <w:szCs w:val="32"/>
        </w:rPr>
        <w:t>县级以上地方人民政府应当加强反不正当竞争工作的组织领导，建立健全统筹推进机制，及时协调、解决反不正当竞争工作中的重大问题，预防和制止不正当竞争行为，为公平竞争创造良好的环境和条件。</w:t>
      </w:r>
    </w:p>
    <w:p w14:paraId="4DF9CAF1"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乡镇人民政府、街道办事处按照各自职责做好反不正当竞争相关工作，保护各类经济组织的合法权益。</w:t>
      </w:r>
    </w:p>
    <w:p w14:paraId="02EB5AD1"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黑体_GBK" w:eastAsia="方正黑体_GBK" w:hAnsi="方正黑体_GBK" w:cs="方正黑体_GBK" w:hint="eastAsia"/>
          <w:kern w:val="0"/>
          <w:sz w:val="32"/>
          <w:szCs w:val="32"/>
        </w:rPr>
        <w:t>第五条【监督检查部门】</w:t>
      </w:r>
      <w:r>
        <w:rPr>
          <w:rFonts w:ascii="方正仿宋_GBK" w:eastAsia="方正仿宋_GBK" w:hAnsi="方正仿宋_GBK" w:cs="方正仿宋_GBK" w:hint="eastAsia"/>
          <w:kern w:val="0"/>
          <w:sz w:val="32"/>
          <w:szCs w:val="32"/>
        </w:rPr>
        <w:t>市场监督管理部门负责指导、协调本地区不正当竞争行为的预防和查处工作，依法对不正当竞争行为进行监督检查。</w:t>
      </w:r>
    </w:p>
    <w:p w14:paraId="1A07C08C"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财政、商务、住房和城乡建设、文化旅游、地方金融管理、民政、体育等部门（以下与市场监督管理部门统称为监督检查部门），按照各自职责依法做好不正当竞争行为的预防和查处</w:t>
      </w:r>
      <w:r>
        <w:rPr>
          <w:rFonts w:ascii="方正仿宋_GBK" w:eastAsia="方正仿宋_GBK" w:hAnsi="方正仿宋_GBK" w:cs="方正仿宋_GBK" w:hint="eastAsia"/>
          <w:kern w:val="0"/>
          <w:sz w:val="32"/>
          <w:szCs w:val="32"/>
        </w:rPr>
        <w:lastRenderedPageBreak/>
        <w:t>工作。</w:t>
      </w:r>
    </w:p>
    <w:p w14:paraId="36726C51"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公安、发展改革、网信等部门，按照各自职责做好反不正当竞争相关工作。</w:t>
      </w:r>
    </w:p>
    <w:p w14:paraId="5EB22568"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黑体_GBK" w:eastAsia="方正黑体_GBK" w:hAnsi="方正黑体_GBK" w:cs="方正黑体_GBK" w:hint="eastAsia"/>
          <w:kern w:val="0"/>
          <w:sz w:val="32"/>
          <w:szCs w:val="32"/>
        </w:rPr>
        <w:t>第六条【区域协作】</w:t>
      </w:r>
      <w:r>
        <w:rPr>
          <w:rFonts w:ascii="方正仿宋_GBK" w:eastAsia="方正仿宋_GBK" w:hAnsi="方正仿宋_GBK" w:cs="方正仿宋_GBK" w:hint="eastAsia"/>
          <w:kern w:val="0"/>
          <w:sz w:val="32"/>
          <w:szCs w:val="32"/>
        </w:rPr>
        <w:t>本省推动实施长江三角洲区域反不正当竞争工作协作，建立跨区域、跨部门行政执法联动响应和协作机制，促进区域反不正当竞争重大政策协调和市场环境优化。</w:t>
      </w:r>
    </w:p>
    <w:p w14:paraId="7351F9A5" w14:textId="77777777" w:rsidR="00AD5FE2" w:rsidRDefault="00AD5FE2">
      <w:pPr>
        <w:spacing w:line="560" w:lineRule="exact"/>
        <w:ind w:firstLineChars="200" w:firstLine="640"/>
        <w:rPr>
          <w:rFonts w:ascii="方正仿宋_GBK" w:eastAsia="方正仿宋_GBK" w:hAnsi="方正仿宋_GBK" w:cs="方正仿宋_GBK" w:hint="eastAsia"/>
          <w:kern w:val="0"/>
          <w:sz w:val="32"/>
          <w:szCs w:val="32"/>
        </w:rPr>
      </w:pPr>
    </w:p>
    <w:p w14:paraId="2AE31A3E" w14:textId="77777777" w:rsidR="00AD5FE2" w:rsidRDefault="006964E4">
      <w:pPr>
        <w:shd w:val="clear" w:color="auto" w:fill="FFFFFF"/>
        <w:overflowPunct w:val="0"/>
        <w:spacing w:line="560" w:lineRule="exact"/>
        <w:jc w:val="center"/>
        <w:rPr>
          <w:rFonts w:ascii="方正黑体_GBK" w:eastAsia="方正黑体_GBK" w:hAnsi="方正黑体_GBK" w:cs="方正黑体_GBK" w:hint="eastAsia"/>
          <w:kern w:val="0"/>
          <w:sz w:val="32"/>
          <w:szCs w:val="32"/>
        </w:rPr>
      </w:pPr>
      <w:r>
        <w:rPr>
          <w:rFonts w:ascii="方正黑体_GBK" w:eastAsia="方正黑体_GBK" w:hAnsi="方正黑体_GBK" w:cs="方正黑体_GBK" w:hint="eastAsia"/>
          <w:kern w:val="0"/>
          <w:sz w:val="32"/>
          <w:szCs w:val="32"/>
        </w:rPr>
        <w:t>第二章   公平竞争环境建设</w:t>
      </w:r>
    </w:p>
    <w:p w14:paraId="65727431" w14:textId="77777777" w:rsidR="00AD5FE2" w:rsidRDefault="006964E4">
      <w:pPr>
        <w:pStyle w:val="a4"/>
        <w:numPr>
          <w:ilvl w:val="255"/>
          <w:numId w:val="0"/>
        </w:numPr>
        <w:shd w:val="clear" w:color="auto" w:fill="FFFFFF"/>
        <w:overflowPunct w:val="0"/>
        <w:spacing w:line="560" w:lineRule="exact"/>
        <w:rPr>
          <w:rFonts w:ascii="方正黑体_GBK" w:eastAsia="方正黑体_GBK" w:hAnsi="Arial" w:cs="Arial"/>
          <w:kern w:val="0"/>
          <w:sz w:val="32"/>
          <w:szCs w:val="32"/>
        </w:rPr>
      </w:pPr>
      <w:r>
        <w:rPr>
          <w:rFonts w:ascii="方正黑体_GBK" w:eastAsia="方正黑体_GBK" w:hAnsi="Arial" w:cs="Arial" w:hint="eastAsia"/>
          <w:kern w:val="0"/>
          <w:sz w:val="32"/>
          <w:szCs w:val="32"/>
        </w:rPr>
        <w:t xml:space="preserve">            </w:t>
      </w:r>
    </w:p>
    <w:p w14:paraId="72E07A6D"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黑体_GBK" w:eastAsia="方正黑体_GBK" w:hAnsi="方正黑体_GBK" w:cs="方正黑体_GBK" w:hint="eastAsia"/>
          <w:kern w:val="0"/>
          <w:sz w:val="32"/>
          <w:szCs w:val="32"/>
        </w:rPr>
        <w:t>第七条【建设公平竞争市场】</w:t>
      </w:r>
      <w:r>
        <w:rPr>
          <w:rFonts w:ascii="方正仿宋_GBK" w:eastAsia="方正仿宋_GBK" w:hAnsi="方正仿宋_GBK" w:cs="方正仿宋_GBK" w:hint="eastAsia"/>
          <w:kern w:val="0"/>
          <w:sz w:val="32"/>
          <w:szCs w:val="32"/>
        </w:rPr>
        <w:t>本省建立政府引导、市场主导、行业自律、社会参与的公平竞争社会共治机制，防范不正当竞争行为，培育和弘扬公平竞争文化，推动形成依法合规、公平竞争的社会氛围。</w:t>
      </w:r>
    </w:p>
    <w:p w14:paraId="28C5A6C1"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县级以上地方人民政府应当强化竞争政策基础地位，充分发挥市场在资源配置中的决定性作用，建设统一开放、竞争有序的市场体系。</w:t>
      </w:r>
    </w:p>
    <w:p w14:paraId="419AF708" w14:textId="77777777" w:rsidR="00AD5FE2" w:rsidRDefault="006964E4">
      <w:pPr>
        <w:numPr>
          <w:ilvl w:val="255"/>
          <w:numId w:val="0"/>
        </w:numPr>
        <w:spacing w:line="560" w:lineRule="exact"/>
        <w:ind w:firstLineChars="200" w:firstLine="640"/>
        <w:rPr>
          <w:rFonts w:ascii="方正仿宋_GBK" w:eastAsia="方正仿宋_GBK" w:hAnsi="方正仿宋_GBK" w:cs="方正仿宋_GBK" w:hint="eastAsia"/>
          <w:kern w:val="0"/>
          <w:sz w:val="32"/>
          <w:szCs w:val="32"/>
        </w:rPr>
      </w:pPr>
      <w:bookmarkStart w:id="0" w:name="tiao_8_kuan_1"/>
      <w:bookmarkEnd w:id="0"/>
      <w:r>
        <w:rPr>
          <w:rFonts w:ascii="方正黑体_GBK" w:eastAsia="方正黑体_GBK" w:hAnsi="方正黑体_GBK" w:cs="方正黑体_GBK" w:hint="eastAsia"/>
          <w:kern w:val="0"/>
          <w:sz w:val="32"/>
          <w:szCs w:val="32"/>
        </w:rPr>
        <w:t>第八条【市场准入相关规定】</w:t>
      </w:r>
      <w:r>
        <w:rPr>
          <w:rFonts w:ascii="方正仿宋_GBK" w:eastAsia="方正仿宋_GBK" w:hAnsi="方正仿宋_GBK" w:cs="方正仿宋_GBK" w:hint="eastAsia"/>
          <w:kern w:val="0"/>
          <w:sz w:val="32"/>
          <w:szCs w:val="32"/>
        </w:rPr>
        <w:t>地方各级人民政府以及有关部门应当按照国家规定执行全国统一的市场准入负面清单制度，法律、行政法规和国务院决定未禁止和限制的行业和领域，各类经营者均可进入；推进市场准入负面清单许可事项在线监管与综合评估，清理妨碍依法平等准入的政策规定、隐形壁垒，保障各类经营者依法平等进入市场准入负面清单以外的行业、领域和业务。</w:t>
      </w:r>
    </w:p>
    <w:p w14:paraId="7103BB3B"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黑体_GBK" w:eastAsia="方正黑体_GBK" w:hAnsi="方正黑体_GBK" w:cs="方正黑体_GBK" w:hint="eastAsia"/>
          <w:kern w:val="0"/>
          <w:sz w:val="32"/>
          <w:szCs w:val="32"/>
        </w:rPr>
        <w:lastRenderedPageBreak/>
        <w:t>第九条【公平竞争审查制度】</w:t>
      </w:r>
      <w:r>
        <w:rPr>
          <w:rFonts w:ascii="方正仿宋_GBK" w:eastAsia="方正仿宋_GBK" w:hAnsi="方正仿宋_GBK" w:cs="方正仿宋_GBK" w:hint="eastAsia"/>
          <w:kern w:val="0"/>
          <w:sz w:val="32"/>
          <w:szCs w:val="32"/>
        </w:rPr>
        <w:t>地方各级人民政府以及有关部门应当落实公平竞争审查制度，完善公平竞争审查机制，定期开展政策措施评估和公平竞争审查抽查，清理废除妨碍全国统一大市场和公平竞争的规定和做法。</w:t>
      </w:r>
    </w:p>
    <w:p w14:paraId="3732B1A8" w14:textId="77777777" w:rsidR="00AD5FE2" w:rsidRDefault="006964E4">
      <w:pPr>
        <w:spacing w:line="560" w:lineRule="exact"/>
        <w:ind w:firstLineChars="200" w:firstLine="640"/>
        <w:rPr>
          <w:rFonts w:ascii="方正仿宋_GB2312" w:eastAsia="方正仿宋_GB2312" w:hAnsi="方正仿宋_GB2312" w:cs="方正仿宋_GB2312" w:hint="eastAsia"/>
          <w:kern w:val="0"/>
          <w:sz w:val="32"/>
          <w:szCs w:val="32"/>
        </w:rPr>
      </w:pPr>
      <w:r>
        <w:rPr>
          <w:rFonts w:ascii="方正仿宋_GBK" w:eastAsia="方正仿宋_GBK" w:hAnsi="方正仿宋_GBK" w:cs="方正仿宋_GBK" w:hint="eastAsia"/>
          <w:kern w:val="0"/>
          <w:sz w:val="32"/>
          <w:szCs w:val="32"/>
        </w:rPr>
        <w:t>市场监督管理部门应当健全公平竞争审查举报和处理机制，建立政策制定机关约谈制度，综合运用提醒告诫、行政建议等手段，强化公平竞争审查制度刚性约束。</w:t>
      </w:r>
    </w:p>
    <w:p w14:paraId="2ED6512D"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黑体_GBK" w:eastAsia="方正黑体_GBK" w:hAnsi="方正黑体_GBK" w:cs="方正黑体_GBK" w:hint="eastAsia"/>
          <w:kern w:val="0"/>
          <w:sz w:val="32"/>
          <w:szCs w:val="32"/>
        </w:rPr>
        <w:t>第十条【防止滥用行政权力制度】</w:t>
      </w:r>
      <w:r>
        <w:rPr>
          <w:rFonts w:ascii="方正仿宋_GBK" w:eastAsia="方正仿宋_GBK" w:hAnsi="方正仿宋_GBK" w:cs="方正仿宋_GBK" w:hint="eastAsia"/>
          <w:kern w:val="0"/>
          <w:sz w:val="32"/>
          <w:szCs w:val="32"/>
        </w:rPr>
        <w:t>行政机关和法律、法规授权的具有管理公共事务职能的组织不得滥用行政权力，制定含有排除、限制竞争内容的政策措施；没有法律、法规或者国务院决定和命令依据，不得制定减损经营者合法权益或者增加其义务的政策措施。</w:t>
      </w:r>
    </w:p>
    <w:p w14:paraId="6EF4E856"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bookmarkStart w:id="1" w:name="tiao_25_kuan_3"/>
      <w:bookmarkEnd w:id="1"/>
      <w:r>
        <w:rPr>
          <w:rFonts w:ascii="方正仿宋_GBK" w:eastAsia="方正仿宋_GBK" w:hAnsi="方正仿宋_GBK" w:cs="方正仿宋_GBK" w:hint="eastAsia"/>
          <w:kern w:val="0"/>
          <w:sz w:val="32"/>
          <w:szCs w:val="32"/>
        </w:rPr>
        <w:t>行政机关和法律、法规授权的具有管理公共事务职能的组织应当持续清理，及时废除含有排除、限制竞争内容的政策措施。</w:t>
      </w:r>
    </w:p>
    <w:p w14:paraId="448225E6"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黑体_GBK" w:eastAsia="方正黑体_GBK" w:hAnsi="方正黑体_GBK" w:cs="方正黑体_GBK" w:hint="eastAsia"/>
          <w:kern w:val="0"/>
          <w:sz w:val="32"/>
          <w:szCs w:val="32"/>
        </w:rPr>
        <w:t>第十一条【考核评估机制】</w:t>
      </w:r>
      <w:r>
        <w:rPr>
          <w:rFonts w:ascii="方正仿宋_GBK" w:eastAsia="方正仿宋_GBK" w:hAnsi="方正仿宋_GBK" w:cs="方正仿宋_GBK" w:hint="eastAsia"/>
          <w:kern w:val="0"/>
          <w:sz w:val="32"/>
          <w:szCs w:val="32"/>
        </w:rPr>
        <w:t>省人民政府应当将公平竞争审查情况、是否存在滥用行政权力妨碍公平竞争行为等纳入考核评价内容。</w:t>
      </w:r>
    </w:p>
    <w:p w14:paraId="4FF4CFBB" w14:textId="77777777" w:rsidR="00AD5FE2" w:rsidRDefault="006964E4">
      <w:pPr>
        <w:spacing w:line="560" w:lineRule="exact"/>
        <w:ind w:firstLineChars="200" w:firstLine="640"/>
        <w:rPr>
          <w:rFonts w:ascii="方正仿宋_GB2312" w:eastAsia="方正仿宋_GB2312" w:hAnsi="方正仿宋_GB2312" w:cs="方正仿宋_GB2312" w:hint="eastAsia"/>
          <w:kern w:val="0"/>
          <w:sz w:val="32"/>
          <w:szCs w:val="32"/>
        </w:rPr>
      </w:pPr>
      <w:r>
        <w:rPr>
          <w:rFonts w:ascii="方正仿宋_GBK" w:eastAsia="方正仿宋_GBK" w:hAnsi="方正仿宋_GBK" w:cs="方正仿宋_GBK" w:hint="eastAsia"/>
          <w:kern w:val="0"/>
          <w:sz w:val="32"/>
          <w:szCs w:val="32"/>
        </w:rPr>
        <w:t>县级以上地方人民政府及其有关部门应当通过听取经营者、行业协会商会等利害关系人和社会公众意见、委托第三方参与等方式开展公平竞争状况评估，营造公平竞争市场环境。</w:t>
      </w:r>
    </w:p>
    <w:p w14:paraId="7DD21757" w14:textId="77777777" w:rsidR="00AD5FE2" w:rsidRDefault="006964E4">
      <w:pPr>
        <w:shd w:val="clear" w:color="auto" w:fill="FFFFFF"/>
        <w:overflowPunct w:val="0"/>
        <w:spacing w:line="560" w:lineRule="exact"/>
        <w:ind w:firstLineChars="200" w:firstLine="640"/>
        <w:rPr>
          <w:rFonts w:ascii="方正仿宋_GBK" w:eastAsia="方正仿宋_GBK" w:hAnsi="方正仿宋_GBK" w:cs="方正仿宋_GBK" w:hint="eastAsia"/>
          <w:kern w:val="0"/>
          <w:sz w:val="32"/>
          <w:szCs w:val="32"/>
        </w:rPr>
      </w:pPr>
      <w:r>
        <w:rPr>
          <w:rFonts w:ascii="方正黑体_GBK" w:eastAsia="方正黑体_GBK" w:hAnsi="方正黑体_GBK" w:cs="方正黑体_GBK" w:hint="eastAsia"/>
          <w:kern w:val="0"/>
          <w:sz w:val="32"/>
          <w:szCs w:val="32"/>
        </w:rPr>
        <w:t>第十二条【优化竞争政策】</w:t>
      </w:r>
      <w:r>
        <w:rPr>
          <w:rFonts w:ascii="方正仿宋_GBK" w:eastAsia="方正仿宋_GBK" w:hAnsi="方正仿宋_GBK" w:cs="方正仿宋_GBK" w:hint="eastAsia"/>
          <w:kern w:val="0"/>
          <w:sz w:val="32"/>
          <w:szCs w:val="32"/>
        </w:rPr>
        <w:t>县级以上地方人民政府及其有关部门应当对新技术、新产业、新业态、新模式等新型经济形</w:t>
      </w:r>
      <w:r>
        <w:rPr>
          <w:rFonts w:ascii="方正仿宋_GBK" w:eastAsia="方正仿宋_GBK" w:hAnsi="方正仿宋_GBK" w:cs="方正仿宋_GBK" w:hint="eastAsia"/>
          <w:kern w:val="0"/>
          <w:sz w:val="32"/>
          <w:szCs w:val="32"/>
        </w:rPr>
        <w:lastRenderedPageBreak/>
        <w:t>态中出现的妨碍公平竞争行为进行分析和研究，及时制定完善公平竞争的政策；建立健全公平竞争政策与产业政策协调保障机制，完善产业政策实施方式，推动产业政策向普惠化、功能性转变。</w:t>
      </w:r>
    </w:p>
    <w:p w14:paraId="7FD65FB6" w14:textId="77777777" w:rsidR="00AD5FE2" w:rsidRDefault="006964E4">
      <w:pPr>
        <w:shd w:val="clear" w:color="auto" w:fill="FFFFFF"/>
        <w:overflowPunct w:val="0"/>
        <w:spacing w:line="560" w:lineRule="exact"/>
        <w:ind w:firstLineChars="200" w:firstLine="640"/>
        <w:rPr>
          <w:rFonts w:ascii="方正仿宋_GBK" w:eastAsia="方正仿宋_GBK" w:hAnsi="方正仿宋_GBK" w:cs="方正仿宋_GBK" w:hint="eastAsia"/>
          <w:kern w:val="0"/>
          <w:sz w:val="32"/>
          <w:szCs w:val="32"/>
        </w:rPr>
      </w:pPr>
      <w:bookmarkStart w:id="2" w:name="OLE_LINK1"/>
      <w:r>
        <w:rPr>
          <w:rFonts w:ascii="方正黑体_GBK" w:eastAsia="方正黑体_GBK" w:hAnsi="方正黑体_GBK" w:cs="方正黑体_GBK" w:hint="eastAsia"/>
          <w:kern w:val="0"/>
          <w:sz w:val="32"/>
          <w:szCs w:val="32"/>
        </w:rPr>
        <w:t>第十三条【监测机制】</w:t>
      </w:r>
      <w:r>
        <w:rPr>
          <w:rFonts w:ascii="方正仿宋_GBK" w:eastAsia="方正仿宋_GBK" w:hAnsi="方正仿宋_GBK" w:cs="方正仿宋_GBK" w:hint="eastAsia"/>
          <w:kern w:val="0"/>
          <w:sz w:val="32"/>
          <w:szCs w:val="32"/>
        </w:rPr>
        <w:t>本省探索建立市场竞争状况监测、评估和预警机制。监督检查部门会同有关部门以及高等学校、科研机构、行业组织等，对重点领域、重点区域以及新型经济形态中出现的市场竞争状况开展监测、分析和研究，完善以竞争状况评估为基础的竞争执法重点引导机制，加强对垄断和竞争失序风险的识别预警。</w:t>
      </w:r>
    </w:p>
    <w:bookmarkEnd w:id="2"/>
    <w:p w14:paraId="5E22B3BD"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黑体_GBK" w:eastAsia="方正黑体_GBK" w:hAnsi="方正黑体_GBK" w:cs="方正黑体_GBK" w:hint="eastAsia"/>
          <w:kern w:val="0"/>
          <w:sz w:val="32"/>
          <w:szCs w:val="32"/>
        </w:rPr>
        <w:t>第十四条【宣传教育】</w:t>
      </w:r>
      <w:r>
        <w:rPr>
          <w:rFonts w:ascii="方正仿宋_GBK" w:eastAsia="方正仿宋_GBK" w:hAnsi="方正仿宋_GBK" w:cs="方正仿宋_GBK" w:hint="eastAsia"/>
          <w:kern w:val="0"/>
          <w:sz w:val="32"/>
          <w:szCs w:val="32"/>
        </w:rPr>
        <w:t>县级以上地方人民政府及其有关部门应当加强公平竞争宣传教育，增强全社会的公平竞争意识，营造公平竞争的良好氛围。</w:t>
      </w:r>
    </w:p>
    <w:p w14:paraId="745645C7"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干部培训机构应当将公平竞争相关法律制度以及政策纳入培训内容，增强领导干部保护和促进市场公平竞争的意识和能力。</w:t>
      </w:r>
    </w:p>
    <w:p w14:paraId="2CBFE79E"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新闻媒体应当依法开展公平竞争的公益性宣传，对妨碍公平竞争的行为进行舆论监督。</w:t>
      </w:r>
    </w:p>
    <w:p w14:paraId="592569D8" w14:textId="77777777" w:rsidR="00AD5FE2" w:rsidRDefault="006964E4">
      <w:pPr>
        <w:shd w:val="clear" w:color="auto" w:fill="FFFFFF"/>
        <w:overflowPunct w:val="0"/>
        <w:spacing w:line="560" w:lineRule="exact"/>
        <w:ind w:firstLineChars="200" w:firstLine="640"/>
        <w:rPr>
          <w:rFonts w:ascii="方正仿宋_GBK" w:eastAsia="方正仿宋_GBK" w:hAnsi="方正仿宋_GBK" w:cs="方正仿宋_GBK" w:hint="eastAsia"/>
          <w:kern w:val="0"/>
          <w:sz w:val="32"/>
          <w:szCs w:val="32"/>
        </w:rPr>
      </w:pPr>
      <w:r>
        <w:rPr>
          <w:rFonts w:ascii="方正黑体_GBK" w:eastAsia="方正黑体_GBK" w:hAnsi="方正黑体_GBK" w:cs="方正黑体_GBK" w:hint="eastAsia"/>
          <w:kern w:val="0"/>
          <w:sz w:val="32"/>
          <w:szCs w:val="32"/>
        </w:rPr>
        <w:t>第十五条【合规指引】</w:t>
      </w:r>
      <w:r>
        <w:rPr>
          <w:rFonts w:ascii="方正仿宋_GBK" w:eastAsia="方正仿宋_GBK" w:hAnsi="方正仿宋_GBK" w:cs="方正仿宋_GBK" w:hint="eastAsia"/>
          <w:kern w:val="0"/>
          <w:sz w:val="32"/>
          <w:szCs w:val="32"/>
        </w:rPr>
        <w:t>监督检查部门、人民法院、人民检察院应当建立工作机制，通过公开不正当竞争行政裁量权基准、公布典型案例和合规指引、开展反不正当竞争法治宣传和教育等方式，引导经营者依法依规开展商业竞争，指导经营者建立健全商业秘密保护、反商业贿赂等公平竞争管理制度，依</w:t>
      </w:r>
      <w:r>
        <w:rPr>
          <w:rFonts w:ascii="方正仿宋_GBK" w:eastAsia="方正仿宋_GBK" w:hAnsi="方正仿宋_GBK" w:cs="方正仿宋_GBK" w:hint="eastAsia"/>
          <w:kern w:val="0"/>
          <w:sz w:val="32"/>
          <w:szCs w:val="32"/>
        </w:rPr>
        <w:lastRenderedPageBreak/>
        <w:t>法开展公平竞争</w:t>
      </w:r>
      <w:r w:rsidRPr="00FD5F60">
        <w:rPr>
          <w:rFonts w:ascii="方正仿宋_GBK" w:eastAsia="方正仿宋_GBK" w:hAnsi="方正仿宋_GBK" w:cs="方正仿宋_GBK" w:hint="eastAsia"/>
          <w:kern w:val="0"/>
          <w:sz w:val="32"/>
          <w:szCs w:val="32"/>
        </w:rPr>
        <w:t>合规倡导和合规激励</w:t>
      </w:r>
      <w:r>
        <w:rPr>
          <w:rFonts w:ascii="方正仿宋_GBK" w:eastAsia="方正仿宋_GBK" w:hAnsi="方正仿宋_GBK" w:cs="方正仿宋_GBK" w:hint="eastAsia"/>
          <w:kern w:val="0"/>
          <w:sz w:val="32"/>
          <w:szCs w:val="32"/>
        </w:rPr>
        <w:t>，提高经营者的公平竞争合规水平。</w:t>
      </w:r>
    </w:p>
    <w:p w14:paraId="0B5A6E52" w14:textId="77777777" w:rsidR="00AD5FE2" w:rsidRDefault="006964E4">
      <w:pPr>
        <w:shd w:val="clear" w:color="auto" w:fill="FFFFFF"/>
        <w:overflowPunct w:val="0"/>
        <w:spacing w:line="560" w:lineRule="exact"/>
        <w:ind w:firstLineChars="200" w:firstLine="640"/>
        <w:rPr>
          <w:rFonts w:ascii="方正仿宋_GBK" w:eastAsia="方正仿宋_GBK" w:hAnsi="方正仿宋_GBK" w:cs="方正仿宋_GBK" w:hint="eastAsia"/>
          <w:kern w:val="0"/>
          <w:sz w:val="32"/>
          <w:szCs w:val="32"/>
        </w:rPr>
      </w:pPr>
      <w:r>
        <w:rPr>
          <w:rFonts w:ascii="方正黑体_GBK" w:eastAsia="方正黑体_GBK" w:hAnsi="方正黑体_GBK" w:cs="方正黑体_GBK" w:hint="eastAsia"/>
          <w:kern w:val="0"/>
          <w:sz w:val="32"/>
          <w:szCs w:val="32"/>
        </w:rPr>
        <w:t>第十六条【公益诉讼支持】</w:t>
      </w:r>
      <w:r>
        <w:rPr>
          <w:rFonts w:ascii="方正仿宋_GBK" w:eastAsia="方正仿宋_GBK" w:hAnsi="方正仿宋_GBK" w:cs="方正仿宋_GBK" w:hint="eastAsia"/>
          <w:kern w:val="0"/>
          <w:sz w:val="32"/>
          <w:szCs w:val="32"/>
        </w:rPr>
        <w:t>对于影响公平竞争、侵害众多消费者合法权益等损害社会公共利益的行为，法律规定的有关机关和组织依法向人民法院提起公益诉讼的，监督检查部门依法给予支持。</w:t>
      </w:r>
    </w:p>
    <w:p w14:paraId="2746F404"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bookmarkStart w:id="3" w:name="No23_Z1T5K2"/>
      <w:bookmarkStart w:id="4" w:name="No27_Z1T7K2"/>
      <w:bookmarkStart w:id="5" w:name="No24_Z1T5K3"/>
      <w:bookmarkStart w:id="6" w:name="No26_Z1T7K1"/>
      <w:bookmarkEnd w:id="3"/>
      <w:bookmarkEnd w:id="4"/>
      <w:bookmarkEnd w:id="5"/>
      <w:bookmarkEnd w:id="6"/>
      <w:r>
        <w:rPr>
          <w:rFonts w:ascii="方正黑体_GBK" w:eastAsia="方正黑体_GBK" w:hAnsi="方正黑体_GBK" w:cs="方正黑体_GBK" w:hint="eastAsia"/>
          <w:kern w:val="0"/>
          <w:sz w:val="32"/>
          <w:szCs w:val="32"/>
        </w:rPr>
        <w:t>第十七条【经营者责任】</w:t>
      </w:r>
      <w:r>
        <w:rPr>
          <w:rFonts w:ascii="方正仿宋_GBK" w:eastAsia="方正仿宋_GBK" w:hAnsi="方正仿宋_GBK" w:cs="方正仿宋_GBK" w:hint="eastAsia"/>
          <w:kern w:val="0"/>
          <w:sz w:val="32"/>
          <w:szCs w:val="32"/>
        </w:rPr>
        <w:t>经营者应当落实主体责任，严格遵守法律法规和商业道德，加强反不正当竞争内部控制与合规管理，自觉抵制不正当竞争行为。鼓励经营者根据自身业务规模、业务结构和所面临的竞争法律风险，建立健全反商业贿赂等反不正当竞争管理制度，开展竞争合规培训，营造公平竞争文化。</w:t>
      </w:r>
    </w:p>
    <w:p w14:paraId="680C0814"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平台经营者应当在平台服务协议和交易规则中明确平台内公平竞争规则，建立不正当竞争行为投诉举报、纠纷协调等机制，协调平台内经营者之间的不正当竞争纠纷，引导平台内经营者依法竞争。</w:t>
      </w:r>
    </w:p>
    <w:p w14:paraId="309EE42C" w14:textId="77777777" w:rsidR="00AD5FE2" w:rsidRDefault="006964E4">
      <w:pPr>
        <w:shd w:val="clear" w:color="auto" w:fill="FFFFFF"/>
        <w:overflowPunct w:val="0"/>
        <w:spacing w:line="560" w:lineRule="exact"/>
        <w:ind w:firstLineChars="200" w:firstLine="640"/>
        <w:rPr>
          <w:rFonts w:ascii="方正仿宋_GBK" w:eastAsia="方正仿宋_GBK" w:hAnsi="方正仿宋_GBK" w:cs="方正仿宋_GBK" w:hint="eastAsia"/>
          <w:kern w:val="0"/>
          <w:sz w:val="32"/>
          <w:szCs w:val="32"/>
        </w:rPr>
      </w:pPr>
      <w:r>
        <w:rPr>
          <w:rFonts w:ascii="方正黑体_GBK" w:eastAsia="方正黑体_GBK" w:hAnsi="方正黑体_GBK" w:cs="方正黑体_GBK" w:hint="eastAsia"/>
          <w:kern w:val="0"/>
          <w:sz w:val="32"/>
          <w:szCs w:val="32"/>
        </w:rPr>
        <w:t>第十八条【行业组织】</w:t>
      </w:r>
      <w:r>
        <w:rPr>
          <w:rFonts w:ascii="方正仿宋_GBK" w:eastAsia="方正仿宋_GBK" w:hAnsi="方正仿宋_GBK" w:cs="方正仿宋_GBK" w:hint="eastAsia"/>
          <w:kern w:val="0"/>
          <w:sz w:val="32"/>
          <w:szCs w:val="32"/>
        </w:rPr>
        <w:t>行业协会、商会等应当加强行业自律管理，通过制定行业规则、从业规范、自律公约等，引导、规范行业经营者依法竞争、遵守商业道德，协调处理行业经营者之间的市场竞争纠纷，协助监督检查部门依法实施监督检查，维护市场竞争秩序。</w:t>
      </w:r>
    </w:p>
    <w:p w14:paraId="5AA43DF4" w14:textId="77777777" w:rsidR="00AD5FE2" w:rsidRDefault="00AD5FE2">
      <w:pPr>
        <w:pStyle w:val="a4"/>
        <w:numPr>
          <w:ilvl w:val="255"/>
          <w:numId w:val="0"/>
        </w:numPr>
        <w:shd w:val="clear" w:color="auto" w:fill="FFFFFF"/>
        <w:overflowPunct w:val="0"/>
        <w:spacing w:line="560" w:lineRule="exact"/>
        <w:ind w:firstLine="640"/>
        <w:jc w:val="center"/>
        <w:rPr>
          <w:rFonts w:ascii="方正黑体_GBK" w:eastAsia="方正黑体_GBK" w:hAnsi="方正黑体_GBK" w:cs="方正黑体_GBK" w:hint="eastAsia"/>
          <w:kern w:val="0"/>
          <w:sz w:val="32"/>
          <w:szCs w:val="32"/>
        </w:rPr>
      </w:pPr>
      <w:bookmarkStart w:id="7" w:name="tiao_43"/>
      <w:bookmarkEnd w:id="7"/>
    </w:p>
    <w:p w14:paraId="69E9AEE7" w14:textId="77777777" w:rsidR="00AD5FE2" w:rsidRDefault="006964E4">
      <w:pPr>
        <w:spacing w:line="560" w:lineRule="exact"/>
        <w:jc w:val="center"/>
        <w:rPr>
          <w:rFonts w:ascii="方正黑体_GBK" w:eastAsia="方正黑体_GBK" w:hAnsi="Arial" w:cs="Arial"/>
          <w:kern w:val="0"/>
          <w:sz w:val="32"/>
          <w:szCs w:val="32"/>
        </w:rPr>
      </w:pPr>
      <w:r>
        <w:rPr>
          <w:rFonts w:ascii="方正黑体_GBK" w:eastAsia="方正黑体_GBK" w:hAnsi="方正黑体_GBK" w:cs="方正黑体_GBK" w:hint="eastAsia"/>
          <w:kern w:val="0"/>
          <w:sz w:val="32"/>
          <w:szCs w:val="32"/>
        </w:rPr>
        <w:t>第三章   不正当竞争行为</w:t>
      </w:r>
    </w:p>
    <w:p w14:paraId="44E7B806"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黑体_GBK" w:eastAsia="方正黑体_GBK" w:hAnsi="方正黑体_GBK" w:cs="方正黑体_GBK" w:hint="eastAsia"/>
          <w:kern w:val="0"/>
          <w:sz w:val="32"/>
          <w:szCs w:val="32"/>
        </w:rPr>
        <w:lastRenderedPageBreak/>
        <w:t>第十九条【混淆行为】</w:t>
      </w:r>
      <w:r>
        <w:rPr>
          <w:rFonts w:ascii="方正仿宋_GBK" w:eastAsia="方正仿宋_GBK" w:hAnsi="方正仿宋_GBK" w:cs="方正仿宋_GBK" w:hint="eastAsia"/>
          <w:kern w:val="0"/>
          <w:sz w:val="32"/>
          <w:szCs w:val="32"/>
        </w:rPr>
        <w:t>经营者不得实施下列混淆行为，引人误认为是他人商品或者与他人存在特定联系：</w:t>
      </w:r>
    </w:p>
    <w:p w14:paraId="088B8B6F"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（一）擅自使用与他人有一定影响的商品名称、包装、装潢等相同或者近似的标识；</w:t>
      </w:r>
    </w:p>
    <w:p w14:paraId="6C70DF36"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（二）擅自使用他人有一定影响的名称（含简称、字号）、姓名（含笔名、艺名、网名、译名），以及他人特有的标志、图形、代号等；</w:t>
      </w:r>
    </w:p>
    <w:p w14:paraId="41301C2B"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（三）擅自使用他人有一定影响的域名主体部分、网站名称、网页、新媒体账号名称以及应用软件、网店、客户端、小程序、公众号、游戏界面的页面设计、名称、图标、形状等相同或者近似的标识等；</w:t>
      </w:r>
    </w:p>
    <w:p w14:paraId="6DB579B5"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（四）其他足以引人误认是他人商品或者与他人存在特定联系的行为。</w:t>
      </w:r>
    </w:p>
    <w:p w14:paraId="660AF7A8"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擅自将他人注册商标、未注册的驰名商标作为企业名称中的字号使用，或者将他人商品名称、企业名称（包括简称、字号等）、注册商标、未注册的驰名商标等设置为搜索关键词，引人误认为是他人商品或者与他人存在特定联系的，属于前款规定的混淆行为。</w:t>
      </w:r>
    </w:p>
    <w:p w14:paraId="4DCBDF3E"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本条第一款有一定影响的认定，应当综合考虑中国境内相关公众的知悉程度，标识使用时间、区域、销售额，宣传投入及范围，受保护记录等因素；引人误认的认定，应当以相关区域公众的一般注意力为标准，根据标识实际使用的范围，结合标识的相似度、显著性和知名度以及商品的类似程度等因素进</w:t>
      </w:r>
      <w:r>
        <w:rPr>
          <w:rFonts w:ascii="方正仿宋_GBK" w:eastAsia="方正仿宋_GBK" w:hAnsi="方正仿宋_GBK" w:cs="方正仿宋_GBK" w:hint="eastAsia"/>
          <w:kern w:val="0"/>
          <w:sz w:val="32"/>
          <w:szCs w:val="32"/>
        </w:rPr>
        <w:lastRenderedPageBreak/>
        <w:t>行综合认定。</w:t>
      </w:r>
    </w:p>
    <w:p w14:paraId="214026FD"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本条第一款所称特定联系包括但不限于商品来源相同或者存在商业联合、投资、许可使用、合作、广告代言等特定联系。</w:t>
      </w:r>
    </w:p>
    <w:p w14:paraId="35248D1B"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黑体_GBK" w:eastAsia="方正黑体_GBK" w:hAnsi="方正黑体_GBK" w:cs="方正黑体_GBK" w:hint="eastAsia"/>
          <w:kern w:val="0"/>
          <w:sz w:val="32"/>
          <w:szCs w:val="32"/>
        </w:rPr>
        <w:t>第二十条【帮助实施混淆行为】</w:t>
      </w:r>
      <w:r>
        <w:rPr>
          <w:rFonts w:ascii="方正仿宋_GBK" w:eastAsia="方正仿宋_GBK" w:hAnsi="方正仿宋_GBK" w:cs="方正仿宋_GBK" w:hint="eastAsia"/>
          <w:kern w:val="0"/>
          <w:sz w:val="32"/>
          <w:szCs w:val="32"/>
        </w:rPr>
        <w:t>任何单位、个人明知或者应知他人实施混淆行为，仍为其提供仓储、运输、邮寄、印制、隐匿、广告设计、网络推广、经营场所、资金结算、数据接口等帮助。</w:t>
      </w:r>
    </w:p>
    <w:p w14:paraId="56460C70" w14:textId="77777777" w:rsidR="00AD5FE2" w:rsidRDefault="006964E4">
      <w:pPr>
        <w:spacing w:line="560" w:lineRule="exact"/>
        <w:ind w:firstLineChars="200" w:firstLine="640"/>
        <w:rPr>
          <w:rFonts w:ascii="方正仿宋_GBK" w:eastAsia="方正仿宋_GBK" w:hAnsi="Arial" w:cs="Arial"/>
          <w:kern w:val="0"/>
          <w:sz w:val="32"/>
          <w:szCs w:val="32"/>
        </w:rPr>
      </w:pPr>
      <w:r>
        <w:rPr>
          <w:rFonts w:ascii="方正仿宋_GBK" w:eastAsia="方正仿宋_GBK" w:hAnsi="方正仿宋_GBK" w:cs="方正仿宋_GBK" w:hint="eastAsia"/>
          <w:kern w:val="0"/>
          <w:sz w:val="32"/>
          <w:szCs w:val="32"/>
        </w:rPr>
        <w:t>销售者明知或者应知商品属于混淆商品的，不得销售。</w:t>
      </w:r>
    </w:p>
    <w:p w14:paraId="58581767"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黑体_GBK" w:eastAsia="方正黑体_GBK" w:hAnsi="方正黑体_GBK" w:cs="方正黑体_GBK" w:hint="eastAsia"/>
          <w:kern w:val="0"/>
          <w:sz w:val="32"/>
          <w:szCs w:val="32"/>
        </w:rPr>
        <w:t>第二十一条【禁止商业贿赂行为】</w:t>
      </w:r>
      <w:r>
        <w:rPr>
          <w:rFonts w:ascii="方正仿宋_GBK" w:eastAsia="方正仿宋_GBK" w:hAnsi="方正仿宋_GBK" w:cs="方正仿宋_GBK" w:hint="eastAsia"/>
          <w:kern w:val="0"/>
          <w:sz w:val="32"/>
          <w:szCs w:val="32"/>
        </w:rPr>
        <w:t>经营者不得采用给予财物或者其他手段贿赂下列单位或者个人，以谋取交易机会或者竞争优势：</w:t>
      </w:r>
    </w:p>
    <w:p w14:paraId="4686A7C7"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（一）交易相对方的工作人员；</w:t>
      </w:r>
    </w:p>
    <w:p w14:paraId="36DF6392"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（二）受交易相对方委托办理相关事务的单位或者个人；</w:t>
      </w:r>
    </w:p>
    <w:p w14:paraId="32FBAF8E" w14:textId="08DA397A"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（三）利用职权或者影响力影响交易的单位或者个人</w:t>
      </w:r>
      <w:r w:rsidR="00506A6B">
        <w:rPr>
          <w:rFonts w:ascii="方正仿宋_GBK" w:eastAsia="方正仿宋_GBK" w:hAnsi="方正仿宋_GBK" w:cs="方正仿宋_GBK" w:hint="eastAsia"/>
          <w:kern w:val="0"/>
          <w:sz w:val="32"/>
          <w:szCs w:val="32"/>
        </w:rPr>
        <w:t>。</w:t>
      </w:r>
    </w:p>
    <w:p w14:paraId="7C8ABA6A"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前款规定的单位和个人不得索取、收受贿赂。经营者向前款所列单位或者个人的近亲属以及其他共同利益关系等特定关系人给予财物或者其他手段，谋取交易机会或者竞争优势的，视为向该单位或者个人实施贿赂。</w:t>
      </w:r>
    </w:p>
    <w:p w14:paraId="711E80EC"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经营者在交易活动中，以明示方式向交易相对方支付折扣或者向中间人支付佣金的，应当根据合同约定的金额和支付方式，按照财务会计制度规定明确如实记载。</w:t>
      </w:r>
    </w:p>
    <w:p w14:paraId="3A44C6DC"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经营者的工作人员进行贿赂的，应当认定为经营者的行为，</w:t>
      </w:r>
      <w:r>
        <w:rPr>
          <w:rFonts w:ascii="方正仿宋_GBK" w:eastAsia="方正仿宋_GBK" w:hAnsi="方正仿宋_GBK" w:cs="方正仿宋_GBK" w:hint="eastAsia"/>
          <w:kern w:val="0"/>
          <w:sz w:val="32"/>
          <w:szCs w:val="32"/>
        </w:rPr>
        <w:lastRenderedPageBreak/>
        <w:t>但经营者有证据证明工作人员的行为与为经营者谋取交易机会或者竞争优势无关的除外。经营者有证据证明已经采取了一定的预防商业贿赂措施，对工作人员的贿赂行为不知情，并积极配合监督检查部门调查的，可以依法从轻或者减轻处罚。</w:t>
      </w:r>
    </w:p>
    <w:p w14:paraId="7B8DB9C3"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lang w:val="zh-CN"/>
        </w:rPr>
      </w:pPr>
      <w:r>
        <w:rPr>
          <w:rFonts w:ascii="方正黑体_GBK" w:eastAsia="方正黑体_GBK" w:hAnsi="方正黑体_GBK" w:cs="方正黑体_GBK" w:hint="eastAsia"/>
          <w:kern w:val="0"/>
          <w:sz w:val="32"/>
          <w:szCs w:val="32"/>
        </w:rPr>
        <w:t>第二十二条【虚假宣传】</w:t>
      </w:r>
      <w:r>
        <w:rPr>
          <w:rFonts w:ascii="方正仿宋_GBK" w:eastAsia="方正仿宋_GBK" w:hAnsi="方正仿宋_GBK" w:cs="方正仿宋_GBK" w:hint="eastAsia"/>
          <w:kern w:val="0"/>
          <w:sz w:val="32"/>
          <w:szCs w:val="32"/>
          <w:lang w:val="zh-CN"/>
        </w:rPr>
        <w:t>经营者不得对下列</w:t>
      </w:r>
      <w:r>
        <w:rPr>
          <w:rFonts w:ascii="方正仿宋_GBK" w:eastAsia="方正仿宋_GBK" w:hAnsi="方正仿宋_GBK" w:cs="方正仿宋_GBK" w:hint="eastAsia"/>
          <w:kern w:val="0"/>
          <w:sz w:val="32"/>
          <w:szCs w:val="32"/>
        </w:rPr>
        <w:t>商品以及经营者信息</w:t>
      </w:r>
      <w:r>
        <w:rPr>
          <w:rFonts w:ascii="方正仿宋_GBK" w:eastAsia="方正仿宋_GBK" w:hAnsi="方正仿宋_GBK" w:cs="方正仿宋_GBK" w:hint="eastAsia"/>
          <w:kern w:val="0"/>
          <w:sz w:val="32"/>
          <w:szCs w:val="32"/>
          <w:lang w:val="zh-CN"/>
        </w:rPr>
        <w:t>作虚假或者引人误解的商业宣传，欺骗、误导消费者和其他经营者：</w:t>
      </w:r>
    </w:p>
    <w:p w14:paraId="071C77DD"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lang w:val="zh-CN"/>
        </w:rPr>
        <w:t>（一）商品的性能、功能（功效）、来源、工艺、质量、用途、产地、成分、售前售后服务等；</w:t>
      </w:r>
    </w:p>
    <w:p w14:paraId="6A2EFCE0"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lang w:val="zh-CN"/>
        </w:rPr>
      </w:pPr>
      <w:r>
        <w:rPr>
          <w:rFonts w:ascii="方正仿宋_GBK" w:eastAsia="方正仿宋_GBK" w:hAnsi="方正仿宋_GBK" w:cs="方正仿宋_GBK" w:hint="eastAsia"/>
          <w:kern w:val="0"/>
          <w:sz w:val="32"/>
          <w:szCs w:val="32"/>
          <w:lang w:val="zh-CN"/>
        </w:rPr>
        <w:t>（二）用户评价、资格资质、曾获荣誉、品牌历史、联名合作等；</w:t>
      </w:r>
    </w:p>
    <w:p w14:paraId="27A801EE" w14:textId="36DBA5EF"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lang w:val="zh-CN"/>
        </w:rPr>
        <w:t>（三）交易额、成交量、预约量、市场占有率等销售状况，商品的收藏量、点击量、关注量、点赞量、阅读量、订阅量、转发量等流量数据</w:t>
      </w:r>
      <w:r w:rsidR="0078714B">
        <w:rPr>
          <w:rFonts w:ascii="方正仿宋_GBK" w:eastAsia="方正仿宋_GBK" w:hAnsi="方正仿宋_GBK" w:cs="方正仿宋_GBK" w:hint="eastAsia"/>
          <w:kern w:val="0"/>
          <w:sz w:val="32"/>
          <w:szCs w:val="32"/>
          <w:lang w:val="zh-CN"/>
        </w:rPr>
        <w:t>，</w:t>
      </w:r>
      <w:r>
        <w:rPr>
          <w:rFonts w:ascii="方正仿宋_GBK" w:eastAsia="方正仿宋_GBK" w:hAnsi="方正仿宋_GBK" w:cs="方正仿宋_GBK" w:hint="eastAsia"/>
          <w:kern w:val="0"/>
          <w:sz w:val="32"/>
          <w:szCs w:val="32"/>
          <w:lang w:val="zh-CN"/>
        </w:rPr>
        <w:t>投票量、收听量、观看量、播放量、票房、收视率等互动数据；</w:t>
      </w:r>
    </w:p>
    <w:p w14:paraId="735ED828"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lang w:val="zh-CN"/>
        </w:rPr>
      </w:pPr>
      <w:r>
        <w:rPr>
          <w:rFonts w:ascii="方正仿宋_GBK" w:eastAsia="方正仿宋_GBK" w:hAnsi="方正仿宋_GBK" w:cs="方正仿宋_GBK" w:hint="eastAsia"/>
          <w:kern w:val="0"/>
          <w:sz w:val="32"/>
          <w:szCs w:val="32"/>
          <w:lang w:val="zh-CN"/>
        </w:rPr>
        <w:t>（四）有关商品和经营者的其他信息。</w:t>
      </w:r>
    </w:p>
    <w:p w14:paraId="1897686D"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前款所称的商业宣传行为包括：</w:t>
      </w:r>
    </w:p>
    <w:p w14:paraId="038DD4AD"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（一）在经营场所或者展览会、展销会、博览会等其他场所，或者通过网站、客户端、小程序、公众号等信息网络对商品进行展示、演示、说明、解释、推介或者文字标注等；</w:t>
      </w:r>
    </w:p>
    <w:p w14:paraId="7324915D"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（二）通过上门推销或者举办鉴定会、宣传会、推介会等方式，对商品进行展示、演示、说明、解释、推介或者文字标注等；</w:t>
      </w:r>
    </w:p>
    <w:p w14:paraId="5CE9968B"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lastRenderedPageBreak/>
        <w:t>（三）张贴、散发、邮寄商品的说明、图片或者其他资料等；</w:t>
      </w:r>
    </w:p>
    <w:p w14:paraId="084132C8"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（四）其他不构成广告的商业宣传行为。</w:t>
      </w:r>
    </w:p>
    <w:p w14:paraId="4845E5CB"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有下列情形之一，足以造成相关公众误解的，可以认定为引人误解的商业宣传：</w:t>
      </w:r>
    </w:p>
    <w:p w14:paraId="3C8D6CFF"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（一）对商品作片面的宣传或者对比的；</w:t>
      </w:r>
    </w:p>
    <w:p w14:paraId="189B3AB8"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（二）忽略前提条件、必要信息</w:t>
      </w:r>
      <w:r w:rsidR="0078714B">
        <w:rPr>
          <w:rFonts w:ascii="方正仿宋_GBK" w:eastAsia="方正仿宋_GBK" w:hAnsi="方正仿宋_GBK" w:cs="方正仿宋_GBK" w:hint="eastAsia"/>
          <w:kern w:val="0"/>
          <w:sz w:val="32"/>
          <w:szCs w:val="32"/>
        </w:rPr>
        <w:t>，</w:t>
      </w:r>
      <w:r>
        <w:rPr>
          <w:rFonts w:ascii="方正仿宋_GBK" w:eastAsia="方正仿宋_GBK" w:hAnsi="方正仿宋_GBK" w:cs="方正仿宋_GBK" w:hint="eastAsia"/>
          <w:kern w:val="0"/>
          <w:sz w:val="32"/>
          <w:szCs w:val="32"/>
        </w:rPr>
        <w:t>使用或者不完全引用第三方数据、结论等内容的；</w:t>
      </w:r>
    </w:p>
    <w:p w14:paraId="162874A5"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（三）将科学上未定论的观点、现象作为定论事实的；</w:t>
      </w:r>
    </w:p>
    <w:p w14:paraId="290FA294"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（四）使用歧义性语言进行宣传的；</w:t>
      </w:r>
    </w:p>
    <w:p w14:paraId="57DCC9ED" w14:textId="77777777" w:rsidR="00AD5FE2" w:rsidRDefault="006964E4">
      <w:pPr>
        <w:spacing w:line="560" w:lineRule="exact"/>
        <w:ind w:firstLineChars="200" w:firstLine="640"/>
        <w:rPr>
          <w:rFonts w:ascii="方正仿宋_GBK" w:eastAsia="方正仿宋_GBK" w:hAnsi="Arial" w:cs="Arial"/>
          <w:kern w:val="0"/>
          <w:sz w:val="32"/>
          <w:szCs w:val="32"/>
        </w:rPr>
      </w:pPr>
      <w:r>
        <w:rPr>
          <w:rFonts w:ascii="方正仿宋_GBK" w:eastAsia="方正仿宋_GBK" w:hAnsi="方正仿宋_GBK" w:cs="方正仿宋_GBK" w:hint="eastAsia"/>
          <w:kern w:val="0"/>
          <w:sz w:val="32"/>
          <w:szCs w:val="32"/>
        </w:rPr>
        <w:t>（五）其他足以引人误解的商业宣传。</w:t>
      </w:r>
    </w:p>
    <w:p w14:paraId="4C3B71D9"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lang w:val="zh-CN"/>
        </w:rPr>
      </w:pPr>
      <w:r>
        <w:rPr>
          <w:rFonts w:ascii="方正黑体_GBK" w:eastAsia="方正黑体_GBK" w:hAnsi="方正黑体_GBK" w:cs="方正黑体_GBK" w:hint="eastAsia"/>
          <w:kern w:val="0"/>
          <w:sz w:val="32"/>
          <w:szCs w:val="32"/>
        </w:rPr>
        <w:t>第二十三条【帮助虚假宣传】</w:t>
      </w:r>
      <w:r>
        <w:rPr>
          <w:rFonts w:ascii="方正仿宋_GBK" w:eastAsia="方正仿宋_GBK" w:hAnsi="方正仿宋_GBK" w:cs="方正仿宋_GBK" w:hint="eastAsia"/>
          <w:kern w:val="0"/>
          <w:sz w:val="32"/>
          <w:szCs w:val="32"/>
          <w:lang w:val="zh-CN"/>
        </w:rPr>
        <w:t>经营者不得实施下列行为，帮助其他经营者对销售数量、用户评价、应用排名、搜索结果排名等进行虚假或者引人误解的商业宣传：</w:t>
      </w:r>
    </w:p>
    <w:p w14:paraId="1F8B6920"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lang w:val="zh-CN"/>
        </w:rPr>
      </w:pPr>
      <w:r>
        <w:rPr>
          <w:rFonts w:ascii="方正仿宋_GBK" w:eastAsia="方正仿宋_GBK" w:hAnsi="方正仿宋_GBK" w:cs="方正仿宋_GBK" w:hint="eastAsia"/>
          <w:kern w:val="0"/>
          <w:sz w:val="32"/>
          <w:szCs w:val="32"/>
          <w:lang w:val="zh-CN"/>
        </w:rPr>
        <w:t>（一）组织虚假交易、虚构评价、虚假增加</w:t>
      </w:r>
      <w:r>
        <w:rPr>
          <w:rFonts w:ascii="方正仿宋_GBK" w:eastAsia="方正仿宋_GBK" w:hAnsi="方正仿宋_GBK" w:cs="方正仿宋_GBK" w:hint="eastAsia"/>
          <w:kern w:val="0"/>
          <w:sz w:val="32"/>
          <w:szCs w:val="32"/>
        </w:rPr>
        <w:t>流量数据</w:t>
      </w:r>
      <w:r>
        <w:rPr>
          <w:rFonts w:ascii="方正仿宋_GBK" w:eastAsia="方正仿宋_GBK" w:hAnsi="方正仿宋_GBK" w:cs="方正仿宋_GBK" w:hint="eastAsia"/>
          <w:kern w:val="0"/>
          <w:sz w:val="32"/>
          <w:szCs w:val="32"/>
          <w:lang w:val="zh-CN"/>
        </w:rPr>
        <w:t>、伪造物流单据、诱导做出指定的评价；</w:t>
      </w:r>
    </w:p>
    <w:p w14:paraId="424CBB8E" w14:textId="23799D87" w:rsidR="00AD5FE2" w:rsidRDefault="006964E4">
      <w:pPr>
        <w:spacing w:line="560" w:lineRule="exact"/>
        <w:ind w:firstLineChars="200" w:firstLine="640"/>
        <w:rPr>
          <w:rFonts w:ascii="方正仿宋_GBK" w:eastAsia="方正仿宋_GBK" w:hAnsi="方正仿宋_GBK" w:cs="方正仿宋_GBK" w:hint="eastAsia"/>
          <w:kern w:val="0"/>
          <w:sz w:val="32"/>
          <w:szCs w:val="32"/>
          <w:lang w:val="zh-CN"/>
        </w:rPr>
      </w:pPr>
      <w:r>
        <w:rPr>
          <w:rFonts w:ascii="方正仿宋_GBK" w:eastAsia="方正仿宋_GBK" w:hAnsi="方正仿宋_GBK" w:cs="方正仿宋_GBK" w:hint="eastAsia"/>
          <w:kern w:val="0"/>
          <w:sz w:val="32"/>
          <w:szCs w:val="32"/>
          <w:lang w:val="zh-CN"/>
        </w:rPr>
        <w:t>（二）</w:t>
      </w:r>
      <w:r>
        <w:rPr>
          <w:rFonts w:ascii="方正仿宋_GBK" w:eastAsia="方正仿宋_GBK" w:hAnsi="方正仿宋_GBK" w:cs="方正仿宋_GBK" w:hint="eastAsia"/>
          <w:kern w:val="0"/>
          <w:sz w:val="32"/>
          <w:szCs w:val="32"/>
        </w:rPr>
        <w:t>明知或者应知其他</w:t>
      </w:r>
      <w:r>
        <w:rPr>
          <w:rFonts w:ascii="方正仿宋_GBK" w:eastAsia="方正仿宋_GBK" w:hAnsi="方正仿宋_GBK" w:cs="方正仿宋_GBK" w:hint="eastAsia"/>
          <w:kern w:val="0"/>
          <w:sz w:val="32"/>
          <w:szCs w:val="32"/>
          <w:lang w:val="zh-CN"/>
        </w:rPr>
        <w:t>经营者进行虚假或者引人误解的商业宣传</w:t>
      </w:r>
      <w:r>
        <w:rPr>
          <w:rFonts w:ascii="方正仿宋_GBK" w:eastAsia="方正仿宋_GBK" w:hAnsi="方正仿宋_GBK" w:cs="方正仿宋_GBK" w:hint="eastAsia"/>
          <w:kern w:val="0"/>
          <w:sz w:val="32"/>
          <w:szCs w:val="32"/>
        </w:rPr>
        <w:t>而</w:t>
      </w:r>
      <w:r>
        <w:rPr>
          <w:rFonts w:ascii="方正仿宋_GBK" w:eastAsia="方正仿宋_GBK" w:hAnsi="方正仿宋_GBK" w:cs="方正仿宋_GBK" w:hint="eastAsia"/>
          <w:kern w:val="0"/>
          <w:sz w:val="32"/>
          <w:szCs w:val="32"/>
          <w:lang w:val="zh-CN"/>
        </w:rPr>
        <w:t>为其提供组织、策划、制作、发布等服务以及资金、场所、技术、工具等条件；</w:t>
      </w:r>
    </w:p>
    <w:p w14:paraId="14C402A4"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lang w:val="zh-CN"/>
        </w:rPr>
      </w:pPr>
      <w:r>
        <w:rPr>
          <w:rFonts w:ascii="方正仿宋_GBK" w:eastAsia="方正仿宋_GBK" w:hAnsi="方正仿宋_GBK" w:cs="方正仿宋_GBK" w:hint="eastAsia"/>
          <w:kern w:val="0"/>
          <w:sz w:val="32"/>
          <w:szCs w:val="32"/>
          <w:lang w:val="zh-CN"/>
        </w:rPr>
        <w:t>（三）其他帮助进行虚假或者引人误解的商业宣传的行为。</w:t>
      </w:r>
    </w:p>
    <w:p w14:paraId="3EA60F11"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lang w:val="zh-CN"/>
        </w:rPr>
        <w:t>被帮助的经营者实施的虚假或者引人误解的商业宣传是否完成，不影响前款所列违法行为的认定。</w:t>
      </w:r>
    </w:p>
    <w:p w14:paraId="039CCF94"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lang w:val="zh-CN"/>
        </w:rPr>
      </w:pPr>
      <w:r>
        <w:rPr>
          <w:rFonts w:ascii="方正黑体_GBK" w:eastAsia="方正黑体_GBK" w:hAnsi="方正黑体_GBK" w:cs="方正黑体_GBK" w:hint="eastAsia"/>
          <w:kern w:val="0"/>
          <w:sz w:val="32"/>
          <w:szCs w:val="32"/>
          <w:lang w:val="zh-CN"/>
        </w:rPr>
        <w:t>第二十四条【侵犯商业秘密】</w:t>
      </w:r>
      <w:r>
        <w:rPr>
          <w:rFonts w:ascii="方正仿宋_GBK" w:eastAsia="方正仿宋_GBK" w:hAnsi="方正仿宋_GBK" w:cs="方正仿宋_GBK" w:hint="eastAsia"/>
          <w:kern w:val="0"/>
          <w:sz w:val="32"/>
          <w:szCs w:val="32"/>
          <w:lang w:val="zh-CN"/>
        </w:rPr>
        <w:t>经营者不得实施侵犯商业秘</w:t>
      </w:r>
      <w:r>
        <w:rPr>
          <w:rFonts w:ascii="方正仿宋_GBK" w:eastAsia="方正仿宋_GBK" w:hAnsi="方正仿宋_GBK" w:cs="方正仿宋_GBK" w:hint="eastAsia"/>
          <w:kern w:val="0"/>
          <w:sz w:val="32"/>
          <w:szCs w:val="32"/>
          <w:lang w:val="zh-CN"/>
        </w:rPr>
        <w:lastRenderedPageBreak/>
        <w:t>密行为。</w:t>
      </w:r>
    </w:p>
    <w:p w14:paraId="31D4106C"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lang w:val="zh-CN"/>
        </w:rPr>
      </w:pPr>
      <w:r>
        <w:rPr>
          <w:rFonts w:ascii="方正仿宋_GBK" w:eastAsia="方正仿宋_GBK" w:hAnsi="方正仿宋_GBK" w:cs="方正仿宋_GBK" w:hint="eastAsia"/>
          <w:kern w:val="0"/>
          <w:sz w:val="32"/>
          <w:szCs w:val="32"/>
          <w:lang w:val="zh-CN"/>
        </w:rPr>
        <w:t>前款所称商业秘密，是指不为公众所知悉、具有商业价值并经权利人采取相应保密措施的技术信息、经营信息等商业信息，包括：</w:t>
      </w:r>
    </w:p>
    <w:p w14:paraId="2F86C6CB"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lang w:val="zh-CN"/>
        </w:rPr>
      </w:pPr>
      <w:r>
        <w:rPr>
          <w:rFonts w:ascii="方正仿宋_GBK" w:eastAsia="方正仿宋_GBK" w:hAnsi="方正仿宋_GBK" w:cs="方正仿宋_GBK" w:hint="eastAsia"/>
          <w:kern w:val="0"/>
          <w:sz w:val="32"/>
          <w:szCs w:val="32"/>
          <w:lang w:val="zh-CN"/>
        </w:rPr>
        <w:t>（一）与技术有关的结构、原料、组分、配方、材料、样品、样式、工艺、方法或其步骤、算法、数据、计算机程序代码及其有关文档等技术信息；</w:t>
      </w:r>
    </w:p>
    <w:p w14:paraId="60851F21"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lang w:val="zh-CN"/>
        </w:rPr>
      </w:pPr>
      <w:r>
        <w:rPr>
          <w:rFonts w:ascii="方正仿宋_GBK" w:eastAsia="方正仿宋_GBK" w:hAnsi="方正仿宋_GBK" w:cs="方正仿宋_GBK" w:hint="eastAsia"/>
          <w:kern w:val="0"/>
          <w:sz w:val="32"/>
          <w:szCs w:val="32"/>
          <w:lang w:val="zh-CN"/>
        </w:rPr>
        <w:t>（二）与经营活动有关的战略规划、创意、财务数据、货源情报、产销策略、利润模式、薪酬体系、采购计划、投标文件、客户资料等经营信息；</w:t>
      </w:r>
    </w:p>
    <w:p w14:paraId="6E081678"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lang w:val="zh-CN"/>
        </w:rPr>
      </w:pPr>
      <w:r>
        <w:rPr>
          <w:rFonts w:ascii="方正仿宋_GBK" w:eastAsia="方正仿宋_GBK" w:hAnsi="方正仿宋_GBK" w:cs="方正仿宋_GBK" w:hint="eastAsia"/>
          <w:kern w:val="0"/>
          <w:sz w:val="32"/>
          <w:szCs w:val="32"/>
          <w:lang w:val="zh-CN"/>
        </w:rPr>
        <w:t>（三）其他符合商业秘密构成要件的商业信息。</w:t>
      </w:r>
    </w:p>
    <w:p w14:paraId="4752DF7F"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lang w:val="zh-CN"/>
        </w:rPr>
      </w:pPr>
      <w:r>
        <w:rPr>
          <w:rFonts w:ascii="方正仿宋_GBK" w:eastAsia="方正仿宋_GBK" w:hAnsi="方正仿宋_GBK" w:cs="方正仿宋_GBK" w:hint="eastAsia"/>
          <w:kern w:val="0"/>
          <w:sz w:val="32"/>
          <w:szCs w:val="32"/>
          <w:lang w:val="zh-CN"/>
        </w:rPr>
        <w:t>经营者通过自行开发研制或者技术手段对从公开渠道取得的产品进行拆卸、测绘、分析等方式获得该产品技术信息的，不属于侵犯他人商业秘密的行为。</w:t>
      </w:r>
    </w:p>
    <w:p w14:paraId="5154E62D"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lang w:val="zh-CN"/>
        </w:rPr>
      </w:pPr>
      <w:r>
        <w:rPr>
          <w:rFonts w:ascii="方正黑体_GBK" w:eastAsia="方正黑体_GBK" w:hAnsi="方正黑体_GBK" w:cs="方正黑体_GBK" w:hint="eastAsia"/>
          <w:kern w:val="0"/>
          <w:sz w:val="32"/>
          <w:szCs w:val="32"/>
          <w:lang w:val="zh-CN"/>
        </w:rPr>
        <w:t>第二十五条【保密措施】</w:t>
      </w:r>
      <w:r>
        <w:rPr>
          <w:rFonts w:ascii="方正仿宋_GBK" w:eastAsia="方正仿宋_GBK" w:hAnsi="方正仿宋_GBK" w:cs="方正仿宋_GBK" w:hint="eastAsia"/>
          <w:kern w:val="0"/>
          <w:sz w:val="32"/>
          <w:szCs w:val="32"/>
          <w:lang w:val="zh-CN"/>
        </w:rPr>
        <w:t>商业秘密权利人应当根据商业秘密的实际情况，采取下列相应保密措施：</w:t>
      </w:r>
    </w:p>
    <w:p w14:paraId="410F1A6C"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lang w:val="zh-CN"/>
        </w:rPr>
      </w:pPr>
      <w:r>
        <w:rPr>
          <w:rFonts w:ascii="方正仿宋_GBK" w:eastAsia="方正仿宋_GBK" w:hAnsi="方正仿宋_GBK" w:cs="方正仿宋_GBK" w:hint="eastAsia"/>
          <w:kern w:val="0"/>
          <w:sz w:val="32"/>
          <w:szCs w:val="32"/>
          <w:lang w:val="zh-CN"/>
        </w:rPr>
        <w:t>（一）限定涉密信息的知悉范围；</w:t>
      </w:r>
    </w:p>
    <w:p w14:paraId="7B758569"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lang w:val="zh-CN"/>
        </w:rPr>
      </w:pPr>
      <w:r>
        <w:rPr>
          <w:rFonts w:ascii="方正仿宋_GBK" w:eastAsia="方正仿宋_GBK" w:hAnsi="方正仿宋_GBK" w:cs="方正仿宋_GBK" w:hint="eastAsia"/>
          <w:kern w:val="0"/>
          <w:sz w:val="32"/>
          <w:szCs w:val="32"/>
          <w:lang w:val="zh-CN"/>
        </w:rPr>
        <w:t>（二）对涉密信息设置密码或者代码，并对涉密信息的载体采取加锁、标注保密标识等措施；</w:t>
      </w:r>
    </w:p>
    <w:p w14:paraId="668C07BA"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lang w:val="zh-CN"/>
        </w:rPr>
      </w:pPr>
      <w:r>
        <w:rPr>
          <w:rFonts w:ascii="方正仿宋_GBK" w:eastAsia="方正仿宋_GBK" w:hAnsi="方正仿宋_GBK" w:cs="方正仿宋_GBK" w:hint="eastAsia"/>
          <w:kern w:val="0"/>
          <w:sz w:val="32"/>
          <w:szCs w:val="32"/>
          <w:lang w:val="zh-CN"/>
        </w:rPr>
        <w:t>（三）对涉密信息所在的厂房、车间等生产经营场所限制来访者或者进行区分管理；</w:t>
      </w:r>
    </w:p>
    <w:p w14:paraId="25114AB5"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lang w:val="zh-CN"/>
        </w:rPr>
      </w:pPr>
      <w:r>
        <w:rPr>
          <w:rFonts w:ascii="方正仿宋_GBK" w:eastAsia="方正仿宋_GBK" w:hAnsi="方正仿宋_GBK" w:cs="方正仿宋_GBK" w:hint="eastAsia"/>
          <w:kern w:val="0"/>
          <w:sz w:val="32"/>
          <w:szCs w:val="32"/>
          <w:lang w:val="zh-CN"/>
        </w:rPr>
        <w:t>（四）对相关人员签订保密协议或者对相关人员提出保密要求；</w:t>
      </w:r>
    </w:p>
    <w:p w14:paraId="236BB6F4"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lang w:val="zh-CN"/>
        </w:rPr>
      </w:pPr>
      <w:r>
        <w:rPr>
          <w:rFonts w:ascii="方正仿宋_GBK" w:eastAsia="方正仿宋_GBK" w:hAnsi="方正仿宋_GBK" w:cs="方正仿宋_GBK" w:hint="eastAsia"/>
          <w:kern w:val="0"/>
          <w:sz w:val="32"/>
          <w:szCs w:val="32"/>
          <w:lang w:val="zh-CN"/>
        </w:rPr>
        <w:lastRenderedPageBreak/>
        <w:t>（五）其他相应的保密措施。</w:t>
      </w:r>
    </w:p>
    <w:p w14:paraId="76568721"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黑体_GBK" w:eastAsia="方正黑体_GBK" w:hAnsi="方正黑体_GBK" w:cs="方正黑体_GBK" w:hint="eastAsia"/>
          <w:kern w:val="0"/>
          <w:sz w:val="32"/>
          <w:szCs w:val="32"/>
        </w:rPr>
        <w:t>第二十六条【不正当有奖销售】</w:t>
      </w:r>
      <w:r>
        <w:rPr>
          <w:rFonts w:ascii="方正仿宋_GBK" w:eastAsia="方正仿宋_GBK" w:hAnsi="方正仿宋_GBK" w:cs="方正仿宋_GBK" w:hint="eastAsia"/>
          <w:kern w:val="0"/>
          <w:sz w:val="32"/>
          <w:szCs w:val="32"/>
        </w:rPr>
        <w:t>经营者进行有奖销售，不得存在下列情形：</w:t>
      </w:r>
    </w:p>
    <w:p w14:paraId="708AEAAE"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（一）所设奖的种类、参与条件、兑奖条件、奖品种类、兑奖时间、兑奖方式、中奖概率（奖品数量）、奖金金额（奖品价格）等有奖销售信息不明确，影响兑奖；</w:t>
      </w:r>
    </w:p>
    <w:p w14:paraId="1C5A126B"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（二）有奖销售活动开始后，无正当理由变更所设奖的种类、兑奖条件、奖金金额或者奖品等有奖销售信息；</w:t>
      </w:r>
    </w:p>
    <w:p w14:paraId="46815A6D"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（三）采用谎称有奖或者故意让内定人员中奖等欺骗方式进行有奖销售；</w:t>
      </w:r>
    </w:p>
    <w:p w14:paraId="6B76F358"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 xml:space="preserve">（四）抽奖式的有奖销售，最高奖的金额超过五万元。 </w:t>
      </w:r>
    </w:p>
    <w:p w14:paraId="4D625873"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kern w:val="0"/>
          <w:sz w:val="32"/>
          <w:szCs w:val="32"/>
        </w:rPr>
        <w:t>前款所称有奖销售，是指经营者以销售商品、获取竞争优势或者推广移动客户端、招揽客户、提高知名度、获取流量、提高点击率等为目的向消费者提供奖金、物品、积分、兑换券、礼券、代金券、网络虚拟物品等利益的行为。</w:t>
      </w:r>
    </w:p>
    <w:p w14:paraId="50E819C1"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黑体_GBK" w:eastAsia="方正黑体_GBK" w:hAnsi="方正黑体_GBK" w:cs="方正黑体_GBK" w:hint="eastAsia"/>
          <w:kern w:val="0"/>
          <w:sz w:val="32"/>
          <w:szCs w:val="32"/>
        </w:rPr>
        <w:t>第二十七条【商业诋毁】</w:t>
      </w:r>
      <w:r>
        <w:rPr>
          <w:rFonts w:ascii="方正仿宋_GBK" w:eastAsia="方正仿宋_GBK" w:hAnsi="方正仿宋_GBK" w:cs="方正仿宋_GBK" w:hint="eastAsia"/>
          <w:kern w:val="0"/>
          <w:sz w:val="32"/>
          <w:szCs w:val="32"/>
        </w:rPr>
        <w:t>经营者不得编造、传播或者指使他人编造、传播虚假信息或者误导性信息，实施下列损害其他经营者商业信誉、商品声誉的行为：</w:t>
      </w:r>
    </w:p>
    <w:p w14:paraId="7330E31E"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（一）以声明、告客户书、风险提示等形式将虚假或者误导性信息传递给特定或者不特定对象；</w:t>
      </w:r>
    </w:p>
    <w:p w14:paraId="3585E638"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（二）利用新闻媒体、门户网站、搜索引擎、互联网广告、自媒体平台、自建网站、短视频社交平台等大众媒介、信息网络散布虚假或者误导性信息；</w:t>
      </w:r>
    </w:p>
    <w:p w14:paraId="6CDDB09B"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lastRenderedPageBreak/>
        <w:t>（三）组织、指使他人以消费者名义对其他经营者的商品进行恶意评价；</w:t>
      </w:r>
    </w:p>
    <w:p w14:paraId="0FCD2857"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（四）其他编造、传播虚假信息或者误导性信息损害其他经营者商业信誉、商品声誉的行为。</w:t>
      </w:r>
    </w:p>
    <w:p w14:paraId="4C915929" w14:textId="77777777" w:rsidR="00AD5FE2" w:rsidRDefault="006964E4">
      <w:pPr>
        <w:spacing w:line="560" w:lineRule="exact"/>
        <w:ind w:firstLineChars="200" w:firstLine="640"/>
        <w:rPr>
          <w:rFonts w:ascii="方正仿宋_GBK" w:eastAsia="方正仿宋_GBK" w:hAnsi="Arial" w:cs="Arial"/>
          <w:kern w:val="0"/>
          <w:sz w:val="32"/>
          <w:szCs w:val="32"/>
        </w:rPr>
      </w:pPr>
      <w:r>
        <w:rPr>
          <w:rFonts w:ascii="方正仿宋_GBK" w:eastAsia="方正仿宋_GBK" w:hAnsi="方正仿宋_GBK" w:cs="方正仿宋_GBK" w:hint="eastAsia"/>
          <w:kern w:val="0"/>
          <w:sz w:val="32"/>
          <w:szCs w:val="32"/>
        </w:rPr>
        <w:t>前款所称商业信誉，是指经营者在商业活动中的信用和名誉，包括公众对经营者的企业形象、资信状况、商业道德、技术水平、经济实力等方面的评价；商品声誉是指商品在质量、品牌、交易条件、售后服务等方面的美誉度和知名度。</w:t>
      </w:r>
    </w:p>
    <w:p w14:paraId="7F1665A3"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bookmarkStart w:id="8" w:name="OLE_LINK10"/>
      <w:bookmarkStart w:id="9" w:name="OLE_LINK11"/>
      <w:r>
        <w:rPr>
          <w:rFonts w:ascii="方正黑体_GBK" w:eastAsia="方正黑体_GBK" w:hAnsi="方正黑体_GBK" w:cs="方正黑体_GBK" w:hint="eastAsia"/>
          <w:kern w:val="0"/>
          <w:sz w:val="32"/>
          <w:szCs w:val="32"/>
        </w:rPr>
        <w:t>第二十八条【网络不正当竞争】</w:t>
      </w:r>
      <w:r>
        <w:rPr>
          <w:rFonts w:ascii="方正仿宋_GBK" w:eastAsia="方正仿宋_GBK" w:hAnsi="方正仿宋_GBK" w:cs="方正仿宋_GBK" w:hint="eastAsia"/>
          <w:kern w:val="0"/>
          <w:sz w:val="32"/>
          <w:szCs w:val="32"/>
        </w:rPr>
        <w:t>经营者利用网络从事生产经营活动，应当遵守法律、法规和商业道德，维护公平竞争秩序。</w:t>
      </w:r>
    </w:p>
    <w:p w14:paraId="19462610"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经营者不得利用网络技术手段、平台规则、数据和算法等，实施下列妨碍、破坏其他经营者合法提供的网络产品或者服务正常运行的行为：</w:t>
      </w:r>
    </w:p>
    <w:p w14:paraId="332EF36D"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（一）未经其他经营者同意，在其合法提供的网络产品或者服务中插入链接、强制进行目标跳转，或者通过关键词联想、设置虚假操作选项等方式添加自身链接，误导、欺骗、强迫用户触发；</w:t>
      </w:r>
    </w:p>
    <w:p w14:paraId="2B3D7E9B"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（二）采取虚构安全风险、功能冲突等虚假信息，通过弹窗、系统通知等方式误导、欺骗、强迫用户修改、关闭、卸载或者无法获取其他经营者合法提供的网络产品或者服务；</w:t>
      </w:r>
    </w:p>
    <w:p w14:paraId="712ECA43"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（三）对相关设备运行非必需的应用程序不提供卸载功能或者对应用程序卸载设置不合理障碍；</w:t>
      </w:r>
    </w:p>
    <w:p w14:paraId="2B1250E5"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lastRenderedPageBreak/>
        <w:t>（四）恶意对其他经营者合法提供的网络产品或者服务实施不兼容；</w:t>
      </w:r>
    </w:p>
    <w:p w14:paraId="78B63209"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（五）针对特定经营者，非法拦截、屏蔽其合法信息或者页面，或者无正当理由对其他经营者合法提供的网络产品或者服务实施拦截、拖延审查、下架等干扰行为；</w:t>
      </w:r>
    </w:p>
    <w:p w14:paraId="00AA831A"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（六）无正当理由，对其他经营者合法提供的网络产品或者服务实施搜索降权、限制服务内容、调整搜索结果的自然排序等行为；</w:t>
      </w:r>
    </w:p>
    <w:p w14:paraId="28742B6D"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（七）以欺诈、胁迫、避开或者破坏技术管理措施等不正当方式，非法获取、使用其他经营者合法持有的数据，损害其他经营者和消费者的合法权益，扰乱市场竞争秩序</w:t>
      </w:r>
      <w:r>
        <w:rPr>
          <w:rFonts w:ascii="方正仿宋_GBK" w:eastAsia="方正仿宋_GBK" w:hAnsi="方正仿宋_GBK" w:cs="方正仿宋_GBK"/>
          <w:kern w:val="0"/>
          <w:sz w:val="32"/>
          <w:szCs w:val="32"/>
        </w:rPr>
        <w:t>；</w:t>
      </w:r>
    </w:p>
    <w:p w14:paraId="0BB2CA2C"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（八）对条件相同的交易相对方不合理地提供不同的交易条件，侵害交易相对方的选择权、公平交易权</w:t>
      </w:r>
      <w:r>
        <w:rPr>
          <w:rFonts w:ascii="方正仿宋_GBK" w:eastAsia="方正仿宋_GBK" w:hAnsi="方正仿宋_GBK" w:cs="方正仿宋_GBK"/>
          <w:kern w:val="0"/>
          <w:sz w:val="32"/>
          <w:szCs w:val="32"/>
        </w:rPr>
        <w:t>；</w:t>
      </w:r>
    </w:p>
    <w:p w14:paraId="6502A33B"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（九）经营者不得滥用平台规则直接或者指使他人对其他经营者实施虚假交易、虚假评价、恶意退货等行为，或者通过影响用户选择、限流、屏蔽、商品下架等方式干扰其他经营者之间的正常交易</w:t>
      </w:r>
      <w:r>
        <w:rPr>
          <w:rFonts w:ascii="方正仿宋_GBK" w:eastAsia="方正仿宋_GBK" w:hAnsi="方正仿宋_GBK" w:cs="方正仿宋_GBK"/>
          <w:kern w:val="0"/>
          <w:sz w:val="32"/>
          <w:szCs w:val="32"/>
        </w:rPr>
        <w:t>；</w:t>
      </w:r>
    </w:p>
    <w:p w14:paraId="313CFB31"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（十）其他妨碍、破坏其他经营者合法提供的网络产品或者服务正常运行的行为。</w:t>
      </w:r>
    </w:p>
    <w:bookmarkEnd w:id="8"/>
    <w:bookmarkEnd w:id="9"/>
    <w:p w14:paraId="0B7D666A"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黑体_GBK" w:eastAsia="方正黑体_GBK" w:hAnsi="方正黑体_GBK" w:cs="方正黑体_GBK" w:hint="eastAsia"/>
          <w:kern w:val="0"/>
          <w:sz w:val="32"/>
          <w:szCs w:val="32"/>
        </w:rPr>
        <w:t>第二十九条【平台经营管理】</w:t>
      </w:r>
      <w:r>
        <w:rPr>
          <w:rFonts w:ascii="方正仿宋_GBK" w:eastAsia="方正仿宋_GBK" w:hAnsi="方正仿宋_GBK" w:cs="方正仿宋_GBK" w:hint="eastAsia"/>
          <w:kern w:val="0"/>
          <w:sz w:val="32"/>
          <w:szCs w:val="32"/>
        </w:rPr>
        <w:t>平台经营者不得利用协议、规则等，通过强制签订排他性协议、限流、屏蔽等不合理限制方式，干扰平台内经营者的正常交易。</w:t>
      </w:r>
    </w:p>
    <w:p w14:paraId="64CE9B4A"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平台经营者有证据证明其前述行为是为实现技术突破的</w:t>
      </w:r>
      <w:r>
        <w:rPr>
          <w:rFonts w:ascii="方正仿宋_GBK" w:eastAsia="方正仿宋_GBK" w:hAnsi="方正仿宋_GBK" w:cs="方正仿宋_GBK" w:hint="eastAsia"/>
          <w:kern w:val="0"/>
          <w:sz w:val="32"/>
          <w:szCs w:val="32"/>
        </w:rPr>
        <w:lastRenderedPageBreak/>
        <w:t>必要兼容性测试，且已采取合理减损措施；用户已通过明示授权并知悉后果；为维护国家安全、网络安全等公共利益的除外。</w:t>
      </w:r>
    </w:p>
    <w:p w14:paraId="65285B38"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黑体_GBK" w:eastAsia="方正黑体_GBK" w:hAnsi="方正黑体_GBK" w:cs="方正黑体_GBK"/>
          <w:kern w:val="0"/>
          <w:sz w:val="32"/>
          <w:szCs w:val="32"/>
        </w:rPr>
        <w:t>第三十条【平台经营管理】</w:t>
      </w:r>
      <w:r>
        <w:rPr>
          <w:rFonts w:ascii="方正仿宋_GBK" w:eastAsia="方正仿宋_GBK" w:hAnsi="方正仿宋_GBK" w:cs="方正仿宋_GBK" w:hint="eastAsia"/>
          <w:kern w:val="0"/>
          <w:sz w:val="32"/>
          <w:szCs w:val="32"/>
        </w:rPr>
        <w:t>平台经营者不得</w:t>
      </w:r>
      <w:r>
        <w:rPr>
          <w:rFonts w:ascii="方正仿宋_GBK" w:eastAsia="方正仿宋_GBK" w:hAnsi="方正仿宋_GBK" w:cs="方正仿宋_GBK"/>
          <w:kern w:val="0"/>
          <w:sz w:val="32"/>
          <w:szCs w:val="32"/>
        </w:rPr>
        <w:t>利用下列方式</w:t>
      </w:r>
      <w:r>
        <w:rPr>
          <w:rFonts w:ascii="方正仿宋_GBK" w:eastAsia="方正仿宋_GBK" w:hAnsi="方正仿宋_GBK" w:cs="方正仿宋_GBK" w:hint="eastAsia"/>
          <w:kern w:val="0"/>
          <w:sz w:val="32"/>
          <w:szCs w:val="32"/>
        </w:rPr>
        <w:t>强制或</w:t>
      </w:r>
      <w:r>
        <w:rPr>
          <w:rFonts w:ascii="方正仿宋_GBK" w:eastAsia="方正仿宋_GBK" w:hAnsi="方正仿宋_GBK" w:cs="方正仿宋_GBK"/>
          <w:kern w:val="0"/>
          <w:sz w:val="32"/>
          <w:szCs w:val="32"/>
        </w:rPr>
        <w:t>者</w:t>
      </w:r>
      <w:r>
        <w:rPr>
          <w:rFonts w:ascii="方正仿宋_GBK" w:eastAsia="方正仿宋_GBK" w:hAnsi="方正仿宋_GBK" w:cs="方正仿宋_GBK" w:hint="eastAsia"/>
          <w:kern w:val="0"/>
          <w:sz w:val="32"/>
          <w:szCs w:val="32"/>
        </w:rPr>
        <w:t>变相强制平台内经营者按照其定价规则，以低于成本的价格销售商品或</w:t>
      </w:r>
      <w:r>
        <w:rPr>
          <w:rFonts w:ascii="方正仿宋_GBK" w:eastAsia="方正仿宋_GBK" w:hAnsi="方正仿宋_GBK" w:cs="方正仿宋_GBK"/>
          <w:kern w:val="0"/>
          <w:sz w:val="32"/>
          <w:szCs w:val="32"/>
        </w:rPr>
        <w:t>者</w:t>
      </w:r>
      <w:r>
        <w:rPr>
          <w:rFonts w:ascii="方正仿宋_GBK" w:eastAsia="方正仿宋_GBK" w:hAnsi="方正仿宋_GBK" w:cs="方正仿宋_GBK" w:hint="eastAsia"/>
          <w:kern w:val="0"/>
          <w:sz w:val="32"/>
          <w:szCs w:val="32"/>
        </w:rPr>
        <w:t>提供服务，扰乱市场竞争秩序</w:t>
      </w:r>
      <w:r>
        <w:rPr>
          <w:rFonts w:ascii="方正仿宋_GBK" w:eastAsia="方正仿宋_GBK" w:hAnsi="方正仿宋_GBK" w:cs="方正仿宋_GBK"/>
          <w:kern w:val="0"/>
          <w:sz w:val="32"/>
          <w:szCs w:val="32"/>
        </w:rPr>
        <w:t>：</w:t>
      </w:r>
    </w:p>
    <w:p w14:paraId="58405E6A"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kern w:val="0"/>
          <w:sz w:val="32"/>
          <w:szCs w:val="32"/>
        </w:rPr>
        <w:t>（一）以降低搜索排名、限制流量、屏蔽店铺、下架商品等方式，胁迫平台内经营者接受低价销售要求；</w:t>
      </w:r>
    </w:p>
    <w:p w14:paraId="3872F800"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kern w:val="0"/>
          <w:sz w:val="32"/>
          <w:szCs w:val="32"/>
        </w:rPr>
        <w:t>（二）通过签订独家协议、优惠费率等条件，诱导或者迫使平台内经营者实施低于成本价的销售行为；</w:t>
      </w:r>
    </w:p>
    <w:p w14:paraId="2DA0FCA1"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kern w:val="0"/>
          <w:sz w:val="32"/>
          <w:szCs w:val="32"/>
        </w:rPr>
        <w:t>（三）利用平台规则或者算法，自动调整商品价格至成本价以下，且未提供合理退出机制；</w:t>
      </w:r>
    </w:p>
    <w:p w14:paraId="14088428"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kern w:val="0"/>
          <w:sz w:val="32"/>
          <w:szCs w:val="32"/>
        </w:rPr>
        <w:t>（四）其他通过技术或规则手段，变相干预平台内经营者自主定价权的行为。</w:t>
      </w:r>
    </w:p>
    <w:p w14:paraId="25C2B9F1"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黑体_GBK" w:eastAsia="方正黑体_GBK" w:hAnsi="方正黑体_GBK" w:cs="方正黑体_GBK" w:hint="eastAsia"/>
          <w:kern w:val="0"/>
          <w:sz w:val="32"/>
          <w:szCs w:val="32"/>
        </w:rPr>
        <w:t>第三十一条</w:t>
      </w:r>
      <w:r>
        <w:rPr>
          <w:rFonts w:ascii="方正黑体_GBK" w:eastAsia="方正黑体_GBK" w:hAnsi="方正黑体_GBK" w:cs="方正黑体_GBK"/>
          <w:kern w:val="0"/>
          <w:sz w:val="32"/>
          <w:szCs w:val="32"/>
        </w:rPr>
        <w:t>【大型企业滥用优势地位】</w:t>
      </w:r>
      <w:r>
        <w:rPr>
          <w:rFonts w:ascii="方正仿宋_GBK" w:eastAsia="方正仿宋_GBK" w:hAnsi="方正仿宋_GBK" w:cs="方正仿宋_GBK" w:hint="eastAsia"/>
          <w:kern w:val="0"/>
          <w:sz w:val="32"/>
          <w:szCs w:val="32"/>
        </w:rPr>
        <w:t>大型企业等经营者不得滥用自身资金、技术、交易渠道、行业影响力等方面的优势地位，要求中小企业接受明显不合理的付款期限、方式、条件和违约责任等交易条件，拖欠中小企业的货物、工程、服务等账款。</w:t>
      </w:r>
    </w:p>
    <w:p w14:paraId="3A640A00"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kern w:val="0"/>
          <w:sz w:val="32"/>
          <w:szCs w:val="32"/>
        </w:rPr>
        <w:t>大型企业仅要求中小企业接受明显不合理的交易条件，并未拖欠账款，或者由于其他原因导致拖欠账款的，不属于前款规定的不正当竞争行为。</w:t>
      </w:r>
    </w:p>
    <w:p w14:paraId="2AE0655D" w14:textId="77777777" w:rsidR="00AD5FE2" w:rsidRDefault="00AD5FE2">
      <w:pPr>
        <w:pStyle w:val="a4"/>
        <w:shd w:val="clear" w:color="auto" w:fill="FFFFFF"/>
        <w:overflowPunct w:val="0"/>
        <w:spacing w:line="560" w:lineRule="exact"/>
        <w:ind w:firstLine="640"/>
        <w:rPr>
          <w:rFonts w:ascii="方正仿宋_GBK" w:eastAsia="方正仿宋_GBK" w:hAnsi="Arial" w:cs="Arial"/>
          <w:kern w:val="0"/>
          <w:sz w:val="32"/>
          <w:szCs w:val="32"/>
        </w:rPr>
      </w:pPr>
    </w:p>
    <w:p w14:paraId="7D9D5F92" w14:textId="77777777" w:rsidR="00AD5FE2" w:rsidRDefault="006964E4">
      <w:pPr>
        <w:numPr>
          <w:ilvl w:val="255"/>
          <w:numId w:val="0"/>
        </w:numPr>
        <w:shd w:val="clear" w:color="auto" w:fill="FFFFFF"/>
        <w:overflowPunct w:val="0"/>
        <w:spacing w:line="560" w:lineRule="exact"/>
        <w:jc w:val="center"/>
        <w:rPr>
          <w:rFonts w:ascii="方正黑体_GBK" w:eastAsia="方正黑体_GBK" w:hAnsi="方正黑体_GBK" w:cs="方正黑体_GBK" w:hint="eastAsia"/>
          <w:sz w:val="32"/>
          <w:szCs w:val="32"/>
        </w:rPr>
      </w:pPr>
      <w:r>
        <w:rPr>
          <w:rFonts w:ascii="方正黑体_GBK" w:eastAsia="方正黑体_GBK" w:hAnsi="Arial" w:cs="Arial" w:hint="eastAsia"/>
          <w:kern w:val="0"/>
          <w:sz w:val="32"/>
          <w:szCs w:val="32"/>
        </w:rPr>
        <w:t>第四章   监督检查</w:t>
      </w:r>
    </w:p>
    <w:p w14:paraId="19686C7C"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黑体_GBK" w:eastAsia="方正黑体_GBK" w:hAnsi="方正黑体_GBK" w:cs="方正黑体_GBK" w:hint="eastAsia"/>
          <w:kern w:val="0"/>
          <w:sz w:val="32"/>
          <w:szCs w:val="32"/>
        </w:rPr>
        <w:lastRenderedPageBreak/>
        <w:t>第三十二条【案件来源】</w:t>
      </w:r>
      <w:r>
        <w:rPr>
          <w:rFonts w:ascii="方正仿宋_GBK" w:eastAsia="方正仿宋_GBK" w:hAnsi="方正仿宋_GBK" w:cs="方正仿宋_GBK" w:hint="eastAsia"/>
          <w:kern w:val="0"/>
          <w:sz w:val="32"/>
          <w:szCs w:val="32"/>
        </w:rPr>
        <w:t>对涉嫌不正当竞争行为，任何单位和个人有权向监督检查部门举报。举报人应当提供涉嫌违法的具体线索，对举报内容的真实性负责。</w:t>
      </w:r>
    </w:p>
    <w:p w14:paraId="5616A20B"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监督检查部门应当向社会公开受理举报的电话、信箱或者电子邮件地址以及其他可以受理举报的途径。对实名举报并提供相关事实和证据的，监督检查部门应当将处理结果及时告知举报人。</w:t>
      </w:r>
    </w:p>
    <w:p w14:paraId="3D536766"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监督检查部门对依据监督检查职权或者通过投诉、举报、其他部门移送、上级交办等途径发现的涉嫌不正当竞争行为线索，应当在规定时限内予以核查；符合立案标准的，应当及时立案。</w:t>
      </w:r>
    </w:p>
    <w:p w14:paraId="43B28102"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bookmarkStart w:id="10" w:name="No96_Z3T22K2"/>
      <w:bookmarkStart w:id="11" w:name="No95_Z3T22K1"/>
      <w:bookmarkEnd w:id="10"/>
      <w:bookmarkEnd w:id="11"/>
      <w:r>
        <w:rPr>
          <w:rFonts w:ascii="方正黑体_GBK" w:eastAsia="方正黑体_GBK" w:hAnsi="方正黑体_GBK" w:cs="方正黑体_GBK" w:hint="eastAsia"/>
          <w:kern w:val="0"/>
          <w:sz w:val="32"/>
          <w:szCs w:val="32"/>
        </w:rPr>
        <w:t>第三十三条【委托技术支持】</w:t>
      </w:r>
      <w:r>
        <w:rPr>
          <w:rFonts w:ascii="方正仿宋_GBK" w:eastAsia="方正仿宋_GBK" w:hAnsi="方正仿宋_GBK" w:cs="方正仿宋_GBK" w:hint="eastAsia"/>
          <w:kern w:val="0"/>
          <w:sz w:val="32"/>
          <w:szCs w:val="32"/>
        </w:rPr>
        <w:t>监督检查部门可以根据案件调查需要，委托专业机构提供技术支持。专业机构接受委托的，应当遵守相关法律、法规、标准、技术规范等规定，履行合同约定义务。</w:t>
      </w:r>
    </w:p>
    <w:p w14:paraId="320BF21C"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黑体_GBK" w:eastAsia="方正黑体_GBK" w:hAnsi="方正黑体_GBK" w:cs="方正黑体_GBK" w:hint="eastAsia"/>
          <w:kern w:val="0"/>
          <w:sz w:val="32"/>
          <w:szCs w:val="32"/>
        </w:rPr>
        <w:t>第三十四条【配合义务】</w:t>
      </w:r>
      <w:r>
        <w:rPr>
          <w:rFonts w:ascii="方正仿宋_GBK" w:eastAsia="方正仿宋_GBK" w:hAnsi="方正仿宋_GBK" w:cs="方正仿宋_GBK" w:hint="eastAsia"/>
          <w:kern w:val="0"/>
          <w:sz w:val="32"/>
          <w:szCs w:val="32"/>
        </w:rPr>
        <w:t>监督检查部门调查涉嫌不正当竞争行为，被调查的经营者、利害关系人以及其他有关单位、个人应当如实提供有关资料、回答询问，并协助调查或者检查，不得拒绝或者阻挠。</w:t>
      </w:r>
    </w:p>
    <w:p w14:paraId="0F53E17C"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监督检查部门在调查过程中，应当保障被调查的经营者、利害关系人的陈述权和申辩权，维护正常生产经营秩序，并在法律、法规规定的时限内完成调查。</w:t>
      </w:r>
    </w:p>
    <w:p w14:paraId="1FFE0633"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黑体_GBK" w:eastAsia="方正黑体_GBK" w:hAnsi="方正黑体_GBK" w:cs="方正黑体_GBK" w:hint="eastAsia"/>
          <w:kern w:val="0"/>
          <w:sz w:val="32"/>
          <w:szCs w:val="32"/>
        </w:rPr>
        <w:t>第三十五条【商业秘密举证义务】</w:t>
      </w:r>
      <w:r>
        <w:rPr>
          <w:rFonts w:ascii="方正仿宋_GBK" w:eastAsia="方正仿宋_GBK" w:hAnsi="方正仿宋_GBK" w:cs="方正仿宋_GBK" w:hint="eastAsia"/>
          <w:kern w:val="0"/>
          <w:sz w:val="32"/>
          <w:szCs w:val="32"/>
        </w:rPr>
        <w:t>商业秘密权利人请求监</w:t>
      </w:r>
      <w:r>
        <w:rPr>
          <w:rFonts w:ascii="方正仿宋_GBK" w:eastAsia="方正仿宋_GBK" w:hAnsi="方正仿宋_GBK" w:cs="方正仿宋_GBK" w:hint="eastAsia"/>
          <w:kern w:val="0"/>
          <w:sz w:val="32"/>
          <w:szCs w:val="32"/>
        </w:rPr>
        <w:lastRenderedPageBreak/>
        <w:t>督检查部门查处涉嫌侵犯商业秘密行为的，应当提供被侵犯商业秘密的不为公众所知悉、具有商业价值，已经采取相应保密措施以及被侵权的具体情况等初步证据。</w:t>
      </w:r>
    </w:p>
    <w:p w14:paraId="6F40962F"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监督检查部门可以根据实际情况，要求侵权嫌疑人提供其所使用的商业信息不属于商业秘密或者系合法获得的证明材料。</w:t>
      </w:r>
    </w:p>
    <w:p w14:paraId="1BCE8A1A"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黑体_GBK" w:eastAsia="方正黑体_GBK" w:hAnsi="方正黑体_GBK" w:cs="方正黑体_GBK" w:hint="eastAsia"/>
          <w:kern w:val="0"/>
          <w:sz w:val="32"/>
          <w:szCs w:val="32"/>
        </w:rPr>
        <w:t>第三十六条【大型企业滥用优势地位举证义务】</w:t>
      </w:r>
      <w:r>
        <w:rPr>
          <w:rFonts w:ascii="方正仿宋_GBK" w:eastAsia="方正仿宋_GBK" w:hAnsi="方正仿宋_GBK" w:cs="方正仿宋_GBK" w:hint="eastAsia"/>
          <w:kern w:val="0"/>
          <w:sz w:val="32"/>
          <w:szCs w:val="32"/>
        </w:rPr>
        <w:t>中小企业请求监督检查部门查处大型企业涉嫌违反本条例第三十一条规定行为的，应当向监督检查部门书面提交以下初步证据：</w:t>
      </w:r>
    </w:p>
    <w:p w14:paraId="5D94D931"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（一）拖欠货物、工程、服务等账款情况；</w:t>
      </w:r>
    </w:p>
    <w:p w14:paraId="325D0D29"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（二）大型企业滥用自身资金、技术、交易渠道、行业影响力等方面的优势地位，要求中小企业接受明显不合理的付款期限、方式、条件和违约责任等交易条件的情况；</w:t>
      </w:r>
    </w:p>
    <w:p w14:paraId="36CEA800"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（三）法律、法规规定的其他证据材料。</w:t>
      </w:r>
    </w:p>
    <w:p w14:paraId="310FD421"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黑体_GBK" w:eastAsia="方正黑体_GBK" w:hAnsi="方正黑体_GBK" w:cs="方正黑体_GBK" w:hint="eastAsia"/>
          <w:kern w:val="0"/>
          <w:sz w:val="32"/>
          <w:szCs w:val="32"/>
        </w:rPr>
        <w:t>第三十七条【电子商务经营者配合义务】</w:t>
      </w:r>
      <w:r>
        <w:rPr>
          <w:rFonts w:ascii="方正仿宋_GBK" w:eastAsia="方正仿宋_GBK" w:hAnsi="方正仿宋_GBK" w:cs="方正仿宋_GBK" w:hint="eastAsia"/>
          <w:kern w:val="0"/>
          <w:sz w:val="32"/>
          <w:szCs w:val="32"/>
        </w:rPr>
        <w:t>涉嫌不正当竞争行为涉及电子商务活动的，电子商务经营者以及提供网络经营场所、支付结算、物流快递、服务器托管、宣传推广等服务的经营者应当依法协助调查，提供监督检查部门所需要的真实有效数据信息，不得拒绝或者阻挠。</w:t>
      </w:r>
    </w:p>
    <w:p w14:paraId="4749BE72" w14:textId="77777777" w:rsidR="00AD5FE2" w:rsidRDefault="006964E4">
      <w:pPr>
        <w:spacing w:line="560" w:lineRule="exact"/>
        <w:ind w:firstLineChars="200" w:firstLine="640"/>
        <w:rPr>
          <w:rFonts w:ascii="方正仿宋_GBK" w:eastAsia="方正仿宋_GBK" w:hAnsi="Arial" w:cs="Arial"/>
          <w:kern w:val="0"/>
          <w:sz w:val="32"/>
          <w:szCs w:val="32"/>
        </w:rPr>
      </w:pPr>
      <w:r>
        <w:rPr>
          <w:rFonts w:ascii="方正仿宋_GBK" w:eastAsia="方正仿宋_GBK" w:hAnsi="方正仿宋_GBK" w:cs="方正仿宋_GBK" w:hint="eastAsia"/>
          <w:kern w:val="0"/>
          <w:sz w:val="32"/>
          <w:szCs w:val="32"/>
        </w:rPr>
        <w:t>电子商务平台经营者应当记录、保存平台上发布的商品和服务信息、交易信息，并确保信息的完整性、保密性、可用性。商品和服务信息、交易信息保存时间自交易完成之日起不少于三年；法律、行政法规另有规定的，依照其规定。</w:t>
      </w:r>
    </w:p>
    <w:p w14:paraId="731BE7B0"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黑体_GBK" w:eastAsia="方正黑体_GBK" w:hAnsi="方正黑体_GBK" w:cs="方正黑体_GBK" w:hint="eastAsia"/>
          <w:kern w:val="0"/>
          <w:sz w:val="32"/>
          <w:szCs w:val="32"/>
        </w:rPr>
        <w:lastRenderedPageBreak/>
        <w:t>第三十八条【保密义务】</w:t>
      </w:r>
      <w:r>
        <w:rPr>
          <w:rFonts w:ascii="方正仿宋_GBK" w:eastAsia="方正仿宋_GBK" w:hAnsi="方正仿宋_GBK" w:cs="方正仿宋_GBK" w:hint="eastAsia"/>
          <w:kern w:val="0"/>
          <w:sz w:val="32"/>
          <w:szCs w:val="32"/>
        </w:rPr>
        <w:t>监督检查部门及其工作人员、专业机构对调查、提供服务过程中知悉的商业秘密、个人隐私和个人信息依法负有保密义务。</w:t>
      </w:r>
    </w:p>
    <w:p w14:paraId="109447B2"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黑体_GBK" w:eastAsia="方正黑体_GBK" w:hAnsi="方正黑体_GBK" w:cs="方正黑体_GBK" w:hint="eastAsia"/>
          <w:kern w:val="0"/>
          <w:sz w:val="32"/>
          <w:szCs w:val="32"/>
        </w:rPr>
        <w:t>第三十九条【内部处理移送】</w:t>
      </w:r>
      <w:r>
        <w:rPr>
          <w:rFonts w:ascii="方正仿宋_GBK" w:eastAsia="方正仿宋_GBK" w:hAnsi="方正仿宋_GBK" w:cs="方正仿宋_GBK" w:hint="eastAsia"/>
          <w:kern w:val="0"/>
          <w:sz w:val="32"/>
          <w:szCs w:val="32"/>
        </w:rPr>
        <w:t>国家机关工作人员不得参与、支持、包庇不正当竞争行为。</w:t>
      </w:r>
    </w:p>
    <w:p w14:paraId="238F3BC7"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监督检查部门发现国家机关、相关单位及其工作人员参与</w:t>
      </w:r>
      <w:r>
        <w:rPr>
          <w:rFonts w:ascii="方正仿宋_GBK" w:eastAsia="方正仿宋_GBK" w:hAnsi="方正仿宋_GBK" w:cs="方正仿宋_GBK"/>
          <w:kern w:val="0"/>
          <w:sz w:val="32"/>
          <w:szCs w:val="32"/>
        </w:rPr>
        <w:t>、</w:t>
      </w:r>
      <w:r>
        <w:rPr>
          <w:rFonts w:ascii="方正仿宋_GBK" w:eastAsia="方正仿宋_GBK" w:hAnsi="方正仿宋_GBK" w:cs="方正仿宋_GBK" w:hint="eastAsia"/>
          <w:kern w:val="0"/>
          <w:sz w:val="32"/>
          <w:szCs w:val="32"/>
        </w:rPr>
        <w:t>支持、包庇不正当竞争行为的，应该将相关情况抄告有权处理部门；有权处理部门在办理案件过程中发现涉嫌不正当竞争行为线索的，应当移送相关监督检查部门。</w:t>
      </w:r>
    </w:p>
    <w:p w14:paraId="48F4F90A" w14:textId="77777777" w:rsidR="00AD5FE2" w:rsidRDefault="006964E4">
      <w:pPr>
        <w:spacing w:line="560" w:lineRule="exact"/>
        <w:ind w:firstLineChars="200" w:firstLine="640"/>
        <w:rPr>
          <w:rFonts w:ascii="方正仿宋_GB2312" w:eastAsia="方正仿宋_GB2312" w:hAnsi="方正仿宋_GB2312" w:cs="方正仿宋_GB2312" w:hint="eastAsia"/>
          <w:kern w:val="0"/>
          <w:sz w:val="32"/>
          <w:szCs w:val="32"/>
        </w:rPr>
      </w:pPr>
      <w:r>
        <w:rPr>
          <w:rFonts w:ascii="方正黑体_GBK" w:eastAsia="方正黑体_GBK" w:hAnsi="方正黑体_GBK" w:cs="方正黑体_GBK"/>
          <w:kern w:val="0"/>
          <w:sz w:val="32"/>
          <w:szCs w:val="32"/>
        </w:rPr>
        <w:t>第</w:t>
      </w:r>
      <w:r>
        <w:rPr>
          <w:rFonts w:ascii="方正黑体_GBK" w:eastAsia="方正黑体_GBK" w:hAnsi="方正黑体_GBK" w:cs="方正黑体_GBK" w:hint="eastAsia"/>
          <w:kern w:val="0"/>
          <w:sz w:val="32"/>
          <w:szCs w:val="32"/>
        </w:rPr>
        <w:t>四十</w:t>
      </w:r>
      <w:r>
        <w:rPr>
          <w:rFonts w:ascii="方正黑体_GBK" w:eastAsia="方正黑体_GBK" w:hAnsi="方正黑体_GBK" w:cs="方正黑体_GBK"/>
          <w:kern w:val="0"/>
          <w:sz w:val="32"/>
          <w:szCs w:val="32"/>
        </w:rPr>
        <w:t>条</w:t>
      </w:r>
      <w:r>
        <w:rPr>
          <w:rFonts w:ascii="方正黑体_GBK" w:eastAsia="方正黑体_GBK" w:hAnsi="方正黑体_GBK" w:cs="方正黑体_GBK" w:hint="eastAsia"/>
          <w:kern w:val="0"/>
          <w:sz w:val="32"/>
          <w:szCs w:val="32"/>
        </w:rPr>
        <w:t>【约谈机制】</w:t>
      </w:r>
      <w:r>
        <w:rPr>
          <w:rFonts w:ascii="方正仿宋_GBK" w:eastAsia="方正仿宋_GBK" w:hAnsi="方正仿宋_GBK" w:cs="方正仿宋_GBK" w:hint="eastAsia"/>
          <w:kern w:val="0"/>
          <w:sz w:val="32"/>
          <w:szCs w:val="32"/>
        </w:rPr>
        <w:t>经营者、行政机关和法律、法规授权的具有管理公共事务职能的组织涉嫌违反《中华人民共和国反不正当竞争法》以及本条例规定的，监督检查部门可以对其有关负责人进行约谈，要求其说明情况、提出改进措施。</w:t>
      </w:r>
    </w:p>
    <w:p w14:paraId="7902D3DD"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黑体_GBK" w:eastAsia="方正黑体_GBK" w:hAnsi="方正黑体_GBK" w:cs="方正黑体_GBK" w:hint="eastAsia"/>
          <w:kern w:val="0"/>
          <w:sz w:val="32"/>
          <w:szCs w:val="32"/>
        </w:rPr>
        <w:t>第四十一条【信用监管】</w:t>
      </w:r>
      <w:r>
        <w:rPr>
          <w:rFonts w:ascii="方正仿宋_GBK" w:eastAsia="方正仿宋_GBK" w:hAnsi="方正仿宋_GBK" w:cs="方正仿宋_GBK" w:hint="eastAsia"/>
          <w:kern w:val="0"/>
          <w:sz w:val="32"/>
          <w:szCs w:val="32"/>
        </w:rPr>
        <w:t>监督检查部门应当对经营者的不正当竞争行为依法实施信用监管。经营者违法实施不正当竞争行为的，由监督检查部门依法纳入信用记录。</w:t>
      </w:r>
    </w:p>
    <w:p w14:paraId="7C86C050"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监督检查部门应当建立健全经营者信用修复制度，对于及时纠正违法行为，积极履行信用修复义务的，予以信用修复。</w:t>
      </w:r>
    </w:p>
    <w:p w14:paraId="588CC727"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黑体_GBK" w:eastAsia="方正黑体_GBK" w:hAnsi="方正黑体_GBK" w:cs="方正黑体_GBK" w:hint="eastAsia"/>
          <w:kern w:val="0"/>
          <w:sz w:val="32"/>
          <w:szCs w:val="32"/>
        </w:rPr>
        <w:t>第四十二条【协同机制】</w:t>
      </w:r>
      <w:r>
        <w:rPr>
          <w:rFonts w:ascii="方正仿宋_GBK" w:eastAsia="方正仿宋_GBK" w:hAnsi="方正仿宋_GBK" w:cs="方正仿宋_GBK" w:hint="eastAsia"/>
          <w:kern w:val="0"/>
          <w:sz w:val="32"/>
          <w:szCs w:val="32"/>
        </w:rPr>
        <w:t>人民法院、人民检察院、公安机关、市场监督管理部门应当建立健全联络机制，分析研判本地区市场不正当竞争总体形势，研究解决重大疑难问题。</w:t>
      </w:r>
    </w:p>
    <w:p w14:paraId="2BC11A61"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市场监督管理部门应当会同其他监督检查部门，建立健全反不正当竞争案件信息共享和协同工作机制，加强案件线索通</w:t>
      </w:r>
      <w:r>
        <w:rPr>
          <w:rFonts w:ascii="方正仿宋_GBK" w:eastAsia="方正仿宋_GBK" w:hAnsi="方正仿宋_GBK" w:cs="方正仿宋_GBK" w:hint="eastAsia"/>
          <w:kern w:val="0"/>
          <w:sz w:val="32"/>
          <w:szCs w:val="32"/>
        </w:rPr>
        <w:lastRenderedPageBreak/>
        <w:t>报移送，开展调查取证协查协助，在重点领域、重点区域探索联合执法，协同推进综合治理。</w:t>
      </w:r>
    </w:p>
    <w:p w14:paraId="2A1DD4B4"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黑体_GBK" w:eastAsia="方正黑体_GBK" w:hAnsi="方正黑体_GBK" w:cs="方正黑体_GBK" w:hint="eastAsia"/>
          <w:kern w:val="0"/>
          <w:sz w:val="32"/>
          <w:szCs w:val="32"/>
        </w:rPr>
        <w:t>第四十三条【监管技术提升】</w:t>
      </w:r>
      <w:r>
        <w:rPr>
          <w:rFonts w:ascii="方正仿宋_GBK" w:eastAsia="方正仿宋_GBK" w:hAnsi="方正仿宋_GBK" w:cs="方正仿宋_GBK" w:hint="eastAsia"/>
          <w:kern w:val="0"/>
          <w:sz w:val="32"/>
          <w:szCs w:val="32"/>
        </w:rPr>
        <w:t>监督检查部门应当加强线上线下监管体系建设，利用人工智能、大数据、云计算、区块链等现代信息技术，建立健全电子取证系统和案源流转系统，提高发现和查处不正当竞争行为的能力。</w:t>
      </w:r>
    </w:p>
    <w:p w14:paraId="5575D295" w14:textId="77777777" w:rsidR="00AD5FE2" w:rsidRDefault="006964E4">
      <w:pPr>
        <w:shd w:val="clear" w:color="auto" w:fill="FFFFFF"/>
        <w:overflowPunct w:val="0"/>
        <w:spacing w:line="560" w:lineRule="exact"/>
        <w:ind w:firstLineChars="200" w:firstLine="640"/>
        <w:rPr>
          <w:rFonts w:ascii="方正仿宋_GBK" w:eastAsia="方正仿宋_GBK" w:hAnsi="方正仿宋_GBK" w:cs="方正仿宋_GBK" w:hint="eastAsia"/>
          <w:kern w:val="0"/>
          <w:sz w:val="32"/>
          <w:szCs w:val="32"/>
        </w:rPr>
      </w:pPr>
      <w:r>
        <w:rPr>
          <w:rFonts w:ascii="方正黑体_GBK" w:eastAsia="方正黑体_GBK" w:hAnsi="方正黑体_GBK" w:cs="方正黑体_GBK" w:hint="eastAsia"/>
          <w:kern w:val="0"/>
          <w:sz w:val="32"/>
          <w:szCs w:val="32"/>
        </w:rPr>
        <w:t>第四十四条【人大监督】</w:t>
      </w:r>
      <w:r>
        <w:rPr>
          <w:rFonts w:ascii="方正仿宋_GBK" w:eastAsia="方正仿宋_GBK" w:hAnsi="方正仿宋_GBK" w:cs="方正仿宋_GBK" w:hint="eastAsia"/>
          <w:kern w:val="0"/>
          <w:sz w:val="32"/>
          <w:szCs w:val="32"/>
        </w:rPr>
        <w:t>县级以上地方人民代表大会常务委员会通过听取和审议专项工作报告、开展执法检查等方式，加强对本条例实施情况的监督；充分发挥人大代表作用，组织人大代表专题调研和视察等活动，汇集、反映经营者和人民群众的意见和建议，推动有关单位落实反不正当竞争的各项工作。</w:t>
      </w:r>
    </w:p>
    <w:p w14:paraId="241C8C20"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黑体_GBK" w:eastAsia="方正黑体_GBK" w:hAnsi="方正黑体_GBK" w:cs="方正黑体_GBK" w:hint="eastAsia"/>
          <w:kern w:val="0"/>
          <w:sz w:val="32"/>
          <w:szCs w:val="32"/>
        </w:rPr>
        <w:t>第四十五条【社会监督】</w:t>
      </w:r>
      <w:r>
        <w:rPr>
          <w:rFonts w:ascii="方正仿宋_GBK" w:eastAsia="方正仿宋_GBK" w:hAnsi="方正仿宋_GBK" w:cs="方正仿宋_GBK" w:hint="eastAsia"/>
          <w:kern w:val="0"/>
          <w:sz w:val="32"/>
          <w:szCs w:val="32"/>
        </w:rPr>
        <w:t>鼓励、支持和保护单位、个人对不正当竞争行为以及滥用行政权力排除、限制竞争行为进行社会监督。监督检查部门应当为举报和协助查处的相关单位和个人保密。</w:t>
      </w:r>
    </w:p>
    <w:p w14:paraId="763873F9"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任何单位和个人不得捏造事实诬陷他人、实施敲诈勒索，不得滥用举报权利扰乱监督检查部门正常工作秩序。</w:t>
      </w:r>
    </w:p>
    <w:p w14:paraId="6EC61B2E" w14:textId="77777777" w:rsidR="00AD5FE2" w:rsidRDefault="00AD5FE2">
      <w:pPr>
        <w:shd w:val="clear" w:color="auto" w:fill="FFFFFF"/>
        <w:overflowPunct w:val="0"/>
        <w:spacing w:line="560" w:lineRule="exact"/>
        <w:ind w:firstLineChars="200" w:firstLine="640"/>
        <w:rPr>
          <w:rFonts w:ascii="方正仿宋_GB2312" w:eastAsia="方正仿宋_GB2312" w:hAnsi="方正仿宋_GB2312" w:cs="方正仿宋_GB2312" w:hint="eastAsia"/>
          <w:kern w:val="0"/>
          <w:sz w:val="32"/>
          <w:szCs w:val="32"/>
        </w:rPr>
      </w:pPr>
    </w:p>
    <w:p w14:paraId="410D9A23" w14:textId="77777777" w:rsidR="00AD5FE2" w:rsidRDefault="006964E4">
      <w:pPr>
        <w:pStyle w:val="a4"/>
        <w:shd w:val="clear" w:color="auto" w:fill="FFFFFF"/>
        <w:overflowPunct w:val="0"/>
        <w:spacing w:line="560" w:lineRule="exact"/>
        <w:ind w:firstLineChars="0" w:firstLine="0"/>
        <w:jc w:val="center"/>
        <w:rPr>
          <w:rFonts w:ascii="方正黑体_GBK" w:eastAsia="方正黑体_GBK" w:hAnsi="Arial" w:cs="Arial"/>
          <w:kern w:val="0"/>
          <w:sz w:val="32"/>
          <w:szCs w:val="32"/>
        </w:rPr>
      </w:pPr>
      <w:r>
        <w:rPr>
          <w:rFonts w:ascii="方正黑体_GBK" w:eastAsia="方正黑体_GBK" w:hAnsi="Arial" w:cs="Arial" w:hint="eastAsia"/>
          <w:kern w:val="0"/>
          <w:sz w:val="32"/>
          <w:szCs w:val="32"/>
        </w:rPr>
        <w:t>第五章   法律责任</w:t>
      </w:r>
    </w:p>
    <w:p w14:paraId="41DF163E" w14:textId="77777777" w:rsidR="00AD5FE2" w:rsidRDefault="006964E4">
      <w:pPr>
        <w:pStyle w:val="a4"/>
        <w:shd w:val="clear" w:color="auto" w:fill="FFFFFF"/>
        <w:overflowPunct w:val="0"/>
        <w:spacing w:line="560" w:lineRule="exact"/>
        <w:ind w:firstLineChars="0" w:firstLine="0"/>
        <w:rPr>
          <w:rFonts w:ascii="方正黑体_GBK" w:eastAsia="方正黑体_GBK" w:hAnsi="Arial" w:cs="Arial"/>
          <w:kern w:val="0"/>
          <w:sz w:val="32"/>
          <w:szCs w:val="32"/>
        </w:rPr>
      </w:pPr>
      <w:r>
        <w:rPr>
          <w:rFonts w:ascii="方正黑体_GBK" w:eastAsia="方正黑体_GBK" w:hAnsi="Arial" w:cs="Arial" w:hint="eastAsia"/>
          <w:kern w:val="0"/>
          <w:sz w:val="32"/>
          <w:szCs w:val="32"/>
        </w:rPr>
        <w:t xml:space="preserve">   </w:t>
      </w:r>
    </w:p>
    <w:p w14:paraId="26652716"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黑体_GBK" w:eastAsia="方正黑体_GBK" w:hAnsi="方正黑体_GBK" w:cs="方正黑体_GBK" w:hint="eastAsia"/>
          <w:kern w:val="0"/>
          <w:sz w:val="32"/>
          <w:szCs w:val="32"/>
        </w:rPr>
        <w:t>第四十六条【转致条款】</w:t>
      </w:r>
      <w:r>
        <w:rPr>
          <w:rFonts w:ascii="方正仿宋_GBK" w:eastAsia="方正仿宋_GBK" w:hAnsi="方正仿宋_GBK" w:cs="方正仿宋_GBK" w:hint="eastAsia"/>
          <w:kern w:val="0"/>
          <w:sz w:val="32"/>
          <w:szCs w:val="32"/>
        </w:rPr>
        <w:t>违反本条例规定的行为，法律、法规有处罚规定的，从其规定。</w:t>
      </w:r>
    </w:p>
    <w:p w14:paraId="11993350"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lastRenderedPageBreak/>
        <w:t>经营者违反本条例第二十二条规定，属于发布虚假广告的，依照《中华人民共和国广告法》的规定处罚。</w:t>
      </w:r>
    </w:p>
    <w:p w14:paraId="3D524001"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rPr>
      </w:pPr>
      <w:r>
        <w:rPr>
          <w:rFonts w:ascii="方正仿宋_GBK" w:eastAsia="方正仿宋_GBK" w:hAnsi="方正仿宋_GBK" w:cs="方正仿宋_GBK" w:hint="eastAsia"/>
          <w:kern w:val="0"/>
          <w:sz w:val="32"/>
          <w:szCs w:val="32"/>
        </w:rPr>
        <w:t>经营者的行为构成垄断行为的，依照《中华人民共和国反垄断法》的规定处罚。</w:t>
      </w:r>
    </w:p>
    <w:p w14:paraId="176E4C32"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lang w:val="zh-CN"/>
        </w:rPr>
      </w:pPr>
      <w:r>
        <w:rPr>
          <w:rFonts w:ascii="方正黑体_GBK" w:eastAsia="方正黑体_GBK" w:hAnsi="方正黑体_GBK" w:cs="方正黑体_GBK" w:hint="eastAsia"/>
          <w:kern w:val="0"/>
          <w:sz w:val="32"/>
          <w:szCs w:val="32"/>
        </w:rPr>
        <w:t>第四十七条【混淆行为法律责任】</w:t>
      </w:r>
      <w:r>
        <w:rPr>
          <w:rFonts w:ascii="方正仿宋_GBK" w:eastAsia="方正仿宋_GBK" w:hAnsi="方正仿宋_GBK" w:cs="方正仿宋_GBK" w:hint="eastAsia"/>
          <w:kern w:val="0"/>
          <w:sz w:val="32"/>
          <w:szCs w:val="32"/>
          <w:lang w:val="zh-CN"/>
        </w:rPr>
        <w:t>经营者违反本条例第</w:t>
      </w:r>
      <w:r>
        <w:rPr>
          <w:rFonts w:ascii="方正仿宋_GBK" w:eastAsia="方正仿宋_GBK" w:hAnsi="方正仿宋_GBK" w:cs="方正仿宋_GBK" w:hint="eastAsia"/>
          <w:kern w:val="0"/>
          <w:sz w:val="32"/>
          <w:szCs w:val="32"/>
        </w:rPr>
        <w:t>十九</w:t>
      </w:r>
      <w:r>
        <w:rPr>
          <w:rFonts w:ascii="方正仿宋_GBK" w:eastAsia="方正仿宋_GBK" w:hAnsi="方正仿宋_GBK" w:cs="方正仿宋_GBK" w:hint="eastAsia"/>
          <w:kern w:val="0"/>
          <w:sz w:val="32"/>
          <w:szCs w:val="32"/>
          <w:lang w:val="zh-CN"/>
        </w:rPr>
        <w:t>条、</w:t>
      </w:r>
      <w:r>
        <w:rPr>
          <w:rFonts w:ascii="方正仿宋_GBK" w:eastAsia="方正仿宋_GBK" w:hAnsi="方正仿宋_GBK" w:cs="方正仿宋_GBK" w:hint="eastAsia"/>
          <w:kern w:val="0"/>
          <w:sz w:val="32"/>
          <w:szCs w:val="32"/>
        </w:rPr>
        <w:t>第二十条</w:t>
      </w:r>
      <w:r>
        <w:rPr>
          <w:rFonts w:ascii="方正仿宋_GBK" w:eastAsia="方正仿宋_GBK" w:hAnsi="方正仿宋_GBK" w:cs="方正仿宋_GBK" w:hint="eastAsia"/>
          <w:kern w:val="0"/>
          <w:sz w:val="32"/>
          <w:szCs w:val="32"/>
          <w:lang w:val="zh-CN"/>
        </w:rPr>
        <w:t>规定实施混淆行为或者帮助他人实施混淆行为的，由监督检查部门责令停止违法行为，没收混淆的产品、标签、包装、宣传材料、模具、印版、图纸资料等违法商品。违法经营额五万元以上的，可以并处违法经营额五倍以下的罚款；没有违法经营额或者违法经营额不足五万元的，可以并处二十五万元以下的罚款；情节严重的，并处吊销营业执照。</w:t>
      </w:r>
    </w:p>
    <w:p w14:paraId="7D6DC7DE"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lang w:val="zh-CN"/>
        </w:rPr>
      </w:pPr>
      <w:bookmarkStart w:id="12" w:name="No108_Z4T23K3"/>
      <w:bookmarkStart w:id="13" w:name="No107_Z4T23K2"/>
      <w:bookmarkEnd w:id="12"/>
      <w:bookmarkEnd w:id="13"/>
      <w:r>
        <w:rPr>
          <w:rFonts w:ascii="方正仿宋_GBK" w:eastAsia="方正仿宋_GBK" w:hAnsi="方正仿宋_GBK" w:cs="方正仿宋_GBK" w:hint="eastAsia"/>
          <w:kern w:val="0"/>
          <w:sz w:val="32"/>
          <w:szCs w:val="32"/>
          <w:lang w:val="zh-CN"/>
        </w:rPr>
        <w:t>销售本条例第十九条规定的违法商品的，依照前款规定予以处罚；销售者不知道其销售的商品属于违法商品，能证明该商品是自己合法取得并说明提供者的，由监督检查部门责令停止销售，不予行政处罚。</w:t>
      </w:r>
    </w:p>
    <w:p w14:paraId="77998834" w14:textId="77777777" w:rsidR="00AD5FE2" w:rsidRDefault="006964E4">
      <w:pPr>
        <w:spacing w:line="560" w:lineRule="exact"/>
        <w:ind w:firstLineChars="200" w:firstLine="640"/>
        <w:rPr>
          <w:rFonts w:ascii="方正仿宋_GBK" w:eastAsia="方正仿宋_GBK" w:hAnsi="方正仿宋_GBK" w:cs="方正仿宋_GBK" w:hint="eastAsia"/>
          <w:kern w:val="0"/>
          <w:sz w:val="32"/>
          <w:szCs w:val="32"/>
          <w:lang w:val="zh-CN"/>
        </w:rPr>
      </w:pPr>
      <w:r>
        <w:rPr>
          <w:rFonts w:ascii="方正仿宋_GBK" w:eastAsia="方正仿宋_GBK" w:hAnsi="方正仿宋_GBK" w:cs="方正仿宋_GBK" w:hint="eastAsia"/>
          <w:kern w:val="0"/>
          <w:sz w:val="32"/>
          <w:szCs w:val="32"/>
          <w:lang w:val="zh-CN"/>
        </w:rPr>
        <w:t>经营者登记的名称违反</w:t>
      </w:r>
      <w:r>
        <w:rPr>
          <w:rFonts w:ascii="方正仿宋_GBK" w:eastAsia="方正仿宋_GBK" w:hAnsi="方正仿宋_GBK" w:cs="方正仿宋_GBK" w:hint="eastAsia"/>
          <w:kern w:val="0"/>
          <w:sz w:val="32"/>
          <w:szCs w:val="32"/>
        </w:rPr>
        <w:t>本条例</w:t>
      </w:r>
      <w:hyperlink r:id="rId7" w:anchor="No29_Z2T7" w:history="1">
        <w:r>
          <w:rPr>
            <w:rFonts w:ascii="方正仿宋_GBK" w:eastAsia="方正仿宋_GBK" w:hAnsi="方正仿宋_GBK" w:cs="方正仿宋_GBK" w:hint="eastAsia"/>
            <w:kern w:val="0"/>
            <w:sz w:val="32"/>
            <w:szCs w:val="32"/>
            <w:lang w:val="zh-CN"/>
          </w:rPr>
          <w:t>第</w:t>
        </w:r>
        <w:r>
          <w:rPr>
            <w:rFonts w:ascii="方正仿宋_GBK" w:eastAsia="方正仿宋_GBK" w:hAnsi="方正仿宋_GBK" w:cs="方正仿宋_GBK" w:hint="eastAsia"/>
            <w:kern w:val="0"/>
            <w:sz w:val="32"/>
            <w:szCs w:val="32"/>
          </w:rPr>
          <w:t>十九</w:t>
        </w:r>
        <w:r>
          <w:rPr>
            <w:rFonts w:ascii="方正仿宋_GBK" w:eastAsia="方正仿宋_GBK" w:hAnsi="方正仿宋_GBK" w:cs="方正仿宋_GBK" w:hint="eastAsia"/>
            <w:kern w:val="0"/>
            <w:sz w:val="32"/>
            <w:szCs w:val="32"/>
            <w:lang w:val="zh-CN"/>
          </w:rPr>
          <w:t>条</w:t>
        </w:r>
      </w:hyperlink>
      <w:r>
        <w:rPr>
          <w:rFonts w:ascii="方正仿宋_GBK" w:eastAsia="方正仿宋_GBK" w:hAnsi="方正仿宋_GBK" w:cs="方正仿宋_GBK" w:hint="eastAsia"/>
          <w:kern w:val="0"/>
          <w:sz w:val="32"/>
          <w:szCs w:val="32"/>
          <w:lang w:val="zh-CN"/>
        </w:rPr>
        <w:t>规定的，应当及时办理名称变更登记；经营者未在规定的期限内办理名称变更登记的，监督检查部门或者人民法院可以根据当事人的申请，向原登记机关发出协助执行文书。原登记机关收到协助执行文书后，应当督促经营者及时变更名称。名称变更前，以统一社会信用代码代替其名称。</w:t>
      </w:r>
    </w:p>
    <w:p w14:paraId="580B3D22" w14:textId="77777777" w:rsidR="00AD5FE2" w:rsidRDefault="00AD5FE2">
      <w:pPr>
        <w:spacing w:line="560" w:lineRule="exact"/>
        <w:jc w:val="center"/>
        <w:rPr>
          <w:rFonts w:ascii="方正黑体_GBK" w:eastAsia="方正黑体_GBK" w:hAnsi="方正黑体_GBK" w:cs="方正黑体_GBK" w:hint="eastAsia"/>
          <w:kern w:val="0"/>
          <w:sz w:val="32"/>
          <w:szCs w:val="32"/>
        </w:rPr>
      </w:pPr>
    </w:p>
    <w:p w14:paraId="42352023" w14:textId="77777777" w:rsidR="00AD5FE2" w:rsidRDefault="006964E4">
      <w:pPr>
        <w:spacing w:line="560" w:lineRule="exact"/>
        <w:jc w:val="center"/>
        <w:rPr>
          <w:rFonts w:ascii="方正黑体_GBK" w:eastAsia="方正黑体_GBK" w:hAnsi="方正黑体_GBK" w:cs="方正黑体_GBK" w:hint="eastAsia"/>
          <w:kern w:val="0"/>
          <w:sz w:val="32"/>
          <w:szCs w:val="32"/>
        </w:rPr>
      </w:pPr>
      <w:r>
        <w:rPr>
          <w:rFonts w:ascii="方正黑体_GBK" w:eastAsia="方正黑体_GBK" w:hAnsi="方正黑体_GBK" w:cs="方正黑体_GBK" w:hint="eastAsia"/>
          <w:kern w:val="0"/>
          <w:sz w:val="32"/>
          <w:szCs w:val="32"/>
        </w:rPr>
        <w:t>第六章   附则</w:t>
      </w:r>
    </w:p>
    <w:p w14:paraId="0B1EAFF1" w14:textId="77777777" w:rsidR="00AD5FE2" w:rsidRDefault="006964E4">
      <w:pPr>
        <w:shd w:val="clear" w:color="auto" w:fill="FFFFFF"/>
        <w:overflowPunct w:val="0"/>
        <w:spacing w:line="560" w:lineRule="exact"/>
        <w:ind w:firstLineChars="200" w:firstLine="640"/>
        <w:rPr>
          <w:rFonts w:ascii="方正仿宋_GB2312" w:eastAsia="方正仿宋_GB2312" w:hAnsi="方正仿宋_GB2312" w:cs="方正仿宋_GB2312" w:hint="eastAsia"/>
          <w:kern w:val="0"/>
          <w:sz w:val="32"/>
          <w:szCs w:val="32"/>
        </w:rPr>
      </w:pPr>
      <w:r>
        <w:rPr>
          <w:rFonts w:ascii="方正黑体_GBK" w:eastAsia="方正黑体_GBK" w:hAnsi="方正黑体_GBK" w:cs="方正黑体_GBK" w:hint="eastAsia"/>
          <w:kern w:val="0"/>
          <w:sz w:val="32"/>
          <w:szCs w:val="32"/>
        </w:rPr>
        <w:lastRenderedPageBreak/>
        <w:t>第四十八条【实施日期】</w:t>
      </w:r>
      <w:r>
        <w:rPr>
          <w:rFonts w:ascii="方正仿宋_GBK" w:eastAsia="方正仿宋_GBK" w:hAnsi="方正仿宋_GBK" w:cs="方正仿宋_GBK" w:hint="eastAsia"/>
          <w:kern w:val="0"/>
          <w:sz w:val="32"/>
          <w:szCs w:val="32"/>
        </w:rPr>
        <w:t>本条例自 年 月 日起施行。</w:t>
      </w:r>
    </w:p>
    <w:p w14:paraId="33506022" w14:textId="77777777" w:rsidR="00AD5FE2" w:rsidRDefault="00AD5FE2">
      <w:pPr>
        <w:shd w:val="clear" w:color="auto" w:fill="FFFFFF"/>
        <w:overflowPunct w:val="0"/>
        <w:spacing w:line="560" w:lineRule="exact"/>
        <w:ind w:firstLineChars="200" w:firstLine="640"/>
        <w:rPr>
          <w:rFonts w:ascii="方正仿宋_GB2312" w:eastAsia="方正仿宋_GB2312" w:hAnsi="方正仿宋_GB2312" w:cs="方正仿宋_GB2312" w:hint="eastAsia"/>
          <w:kern w:val="0"/>
          <w:sz w:val="32"/>
          <w:szCs w:val="32"/>
        </w:rPr>
      </w:pPr>
    </w:p>
    <w:p w14:paraId="2D84B8F1" w14:textId="77777777" w:rsidR="00AD5FE2" w:rsidRDefault="00AD5FE2">
      <w:pPr>
        <w:spacing w:line="560" w:lineRule="exact"/>
      </w:pPr>
    </w:p>
    <w:p w14:paraId="57B7BF0E" w14:textId="77777777" w:rsidR="00AD5FE2" w:rsidRDefault="00AD5FE2">
      <w:pPr>
        <w:spacing w:line="560" w:lineRule="exact"/>
      </w:pPr>
    </w:p>
    <w:p w14:paraId="3F295D32" w14:textId="77777777" w:rsidR="00AD5FE2" w:rsidRDefault="00AD5FE2">
      <w:pPr>
        <w:spacing w:line="560" w:lineRule="exact"/>
      </w:pPr>
    </w:p>
    <w:sectPr w:rsidR="00AD5FE2">
      <w:footerReference w:type="default" r:id="rId8"/>
      <w:pgSz w:w="11906" w:h="16838"/>
      <w:pgMar w:top="1701" w:right="1701" w:bottom="1701" w:left="1701"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C641B4" w14:textId="77777777" w:rsidR="0047451C" w:rsidRDefault="0047451C">
      <w:r>
        <w:separator/>
      </w:r>
    </w:p>
  </w:endnote>
  <w:endnote w:type="continuationSeparator" w:id="0">
    <w:p w14:paraId="50383F20" w14:textId="77777777" w:rsidR="0047451C" w:rsidRDefault="004745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小标宋_GBK">
    <w:panose1 w:val="03000509000000000000"/>
    <w:charset w:val="86"/>
    <w:family w:val="script"/>
    <w:pitch w:val="fixed"/>
    <w:sig w:usb0="00000003" w:usb1="080E0000" w:usb2="00000010" w:usb3="00000000" w:csb0="00040001" w:csb1="00000000"/>
  </w:font>
  <w:font w:name="方正楷体_GBK">
    <w:panose1 w:val="02000000000000000000"/>
    <w:charset w:val="86"/>
    <w:family w:val="auto"/>
    <w:pitch w:val="variable"/>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方正黑体_GBK">
    <w:panose1 w:val="02000000000000000000"/>
    <w:charset w:val="86"/>
    <w:family w:val="auto"/>
    <w:pitch w:val="variable"/>
    <w:sig w:usb0="00000001" w:usb1="080E0000" w:usb2="00000010" w:usb3="00000000" w:csb0="00040000" w:csb1="00000000"/>
  </w:font>
  <w:font w:name="方正仿宋_GB2312">
    <w:altName w:val="微软雅黑"/>
    <w:charset w:val="86"/>
    <w:family w:val="auto"/>
    <w:pitch w:val="default"/>
    <w:sig w:usb0="00000000" w:usb1="184F6CFA" w:usb2="00000012" w:usb3="00000000" w:csb0="00040001" w:csb1="00000000"/>
  </w:font>
  <w:font w:name="方正仿宋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F5CD94" w14:textId="77777777" w:rsidR="00AD5FE2" w:rsidRDefault="006964E4">
    <w:pPr>
      <w:pStyle w:val="a3"/>
    </w:pPr>
    <w:r>
      <w:rPr>
        <w:noProof/>
      </w:rPr>
      <mc:AlternateContent>
        <mc:Choice Requires="wps">
          <w:drawing>
            <wp:anchor distT="0" distB="0" distL="114300" distR="114300" simplePos="0" relativeHeight="251659264" behindDoc="0" locked="0" layoutInCell="1" allowOverlap="1" wp14:anchorId="02CDEB34" wp14:editId="30C4D5BA">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A47FE04" w14:textId="77777777" w:rsidR="00AD5FE2" w:rsidRDefault="006964E4">
                          <w:pPr>
                            <w:pStyle w:val="a3"/>
                          </w:pPr>
                          <w:r>
                            <w:fldChar w:fldCharType="begin"/>
                          </w:r>
                          <w:r>
                            <w:instrText xml:space="preserve"> PAGE  \* MERGEFORMAT </w:instrText>
                          </w:r>
                          <w:r>
                            <w:fldChar w:fldCharType="separate"/>
                          </w:r>
                          <w:r w:rsidR="00FD5F60">
                            <w:rPr>
                              <w:noProof/>
                            </w:rPr>
                            <w:t>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02CDEB34" id="_x0000_t202" coordsize="21600,21600" o:spt="202" path="m,l,21600r21600,l21600,xe">
              <v:stroke joinstyle="miter"/>
              <v:path gradientshapeok="t" o:connecttype="rect"/>
            </v:shapetype>
            <v:shape id="文本框 1"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" filled="f" stroked="f" strokeweight=".5pt">
              <v:textbox style="mso-fit-shape-to-text:t" inset="0,0,0,0">
                <w:txbxContent>
                  <w:p w14:paraId="0A47FE04" w14:textId="77777777" w:rsidR="00AD5FE2" w:rsidRDefault="006964E4">
                    <w:pPr>
                      <w:pStyle w:val="a3"/>
                    </w:pPr>
                    <w:r>
                      <w:fldChar w:fldCharType="begin"/>
                    </w:r>
                    <w:r>
                      <w:instrText xml:space="preserve"> PAGE  \* MERGEFORMAT </w:instrText>
                    </w:r>
                    <w:r>
                      <w:fldChar w:fldCharType="separate"/>
                    </w:r>
                    <w:r w:rsidR="00FD5F60">
                      <w:rPr>
                        <w:noProof/>
                      </w:rPr>
                      <w:t>6</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FE9F69" w14:textId="77777777" w:rsidR="0047451C" w:rsidRDefault="0047451C">
      <w:r>
        <w:separator/>
      </w:r>
    </w:p>
  </w:footnote>
  <w:footnote w:type="continuationSeparator" w:id="0">
    <w:p w14:paraId="336C1901" w14:textId="77777777" w:rsidR="0047451C" w:rsidRDefault="0047451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embedSystemFonts/>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ODUzY2NjYTQzMWE2NzFjN2YyMDMzZGI4ZDNjM2ZiNmQifQ=="/>
  </w:docVars>
  <w:rsids>
    <w:rsidRoot w:val="63977F43"/>
    <w:rsid w:val="0047451C"/>
    <w:rsid w:val="00506A6B"/>
    <w:rsid w:val="006964E4"/>
    <w:rsid w:val="0078714B"/>
    <w:rsid w:val="007F4526"/>
    <w:rsid w:val="00904AF7"/>
    <w:rsid w:val="00A079D3"/>
    <w:rsid w:val="00AD5FE2"/>
    <w:rsid w:val="00B7207E"/>
    <w:rsid w:val="00E81490"/>
    <w:rsid w:val="00FC658D"/>
    <w:rsid w:val="00FD5F60"/>
    <w:rsid w:val="02402543"/>
    <w:rsid w:val="0F116640"/>
    <w:rsid w:val="2D5E36BE"/>
    <w:rsid w:val="63977F43"/>
    <w:rsid w:val="6E0B4F01"/>
    <w:rsid w:val="6ED84C3F"/>
    <w:rsid w:val="7F6072C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5D772D3"/>
  <w15:docId w15:val="{C905AF27-0613-4D95-95C1-C8844CFA78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pPr>
      <w:tabs>
        <w:tab w:val="center" w:pos="4153"/>
        <w:tab w:val="right" w:pos="8306"/>
      </w:tabs>
      <w:snapToGrid w:val="0"/>
      <w:jc w:val="left"/>
    </w:pPr>
    <w:rPr>
      <w:sz w:val="18"/>
      <w:szCs w:val="18"/>
    </w:rPr>
  </w:style>
  <w:style w:type="paragraph" w:styleId="a4">
    <w:name w:val="List Paragraph"/>
    <w:basedOn w:val="a"/>
    <w:uiPriority w:val="34"/>
    <w:qFormat/>
    <w:pPr>
      <w:ind w:firstLineChars="200" w:firstLine="420"/>
    </w:pPr>
  </w:style>
  <w:style w:type="paragraph" w:customStyle="1" w:styleId="p">
    <w:name w:val="p"/>
    <w:basedOn w:val="a"/>
    <w:qFormat/>
    <w:pPr>
      <w:widowControl/>
      <w:spacing w:line="390" w:lineRule="atLeast"/>
      <w:ind w:firstLine="420"/>
      <w:jc w:val="left"/>
    </w:pPr>
    <w:rPr>
      <w:rFonts w:ascii="Times New Roman" w:hAnsi="Times New Roman" w:cs="Times New Roman"/>
      <w:kern w:val="0"/>
      <w:sz w:val="24"/>
      <w:szCs w:val="24"/>
    </w:rPr>
  </w:style>
  <w:style w:type="paragraph" w:styleId="a5">
    <w:name w:val="Balloon Text"/>
    <w:basedOn w:val="a"/>
    <w:link w:val="a6"/>
    <w:rsid w:val="00FD5F60"/>
    <w:rPr>
      <w:sz w:val="18"/>
      <w:szCs w:val="18"/>
    </w:rPr>
  </w:style>
  <w:style w:type="character" w:customStyle="1" w:styleId="a6">
    <w:name w:val="批注框文本 字符"/>
    <w:basedOn w:val="a0"/>
    <w:link w:val="a5"/>
    <w:rsid w:val="00FD5F60"/>
    <w:rPr>
      <w:kern w:val="2"/>
      <w:sz w:val="18"/>
      <w:szCs w:val="18"/>
    </w:rPr>
  </w:style>
  <w:style w:type="paragraph" w:styleId="a7">
    <w:name w:val="Revision"/>
    <w:hidden/>
    <w:uiPriority w:val="99"/>
    <w:unhideWhenUsed/>
    <w:rsid w:val="00A079D3"/>
    <w:rPr>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law.wkinfo.com.cn/document/show?collection=legislation&amp;aid=MTAxMDA1MjgyMDg%3D&amp;language=&#20013;&#25991;"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191</TotalTime>
  <Pages>21</Pages>
  <Words>1495</Words>
  <Characters>8522</Characters>
  <Application>Microsoft Office Word</Application>
  <DocSecurity>0</DocSecurity>
  <Lines>71</Lines>
  <Paragraphs>19</Paragraphs>
  <ScaleCrop>false</ScaleCrop>
  <Company/>
  <LinksUpToDate>false</LinksUpToDate>
  <CharactersWithSpaces>9998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雨</dc:creator>
  <cp:lastModifiedBy>飞 蔡</cp:lastModifiedBy>
  <cp:revision>5</cp:revision>
  <dcterms:created xsi:type="dcterms:W3CDTF">2025-10-20T12:52:00Z</dcterms:created>
  <dcterms:modified xsi:type="dcterms:W3CDTF">2025-10-21T03:24:00Z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46EA76F75BAA440E8A1732226E5CB4A8_13</vt:lpwstr>
  </property>
  <property fmtid="{D5CDD505-2E9C-101B-9397-08002B2CF9AE}" pid="4" name="KSOTemplateDocerSaveRecord">
    <vt:lpwstr>eyJoZGlkIjoiNDE2OGU5ODQwODJmNTI0MzdkNDIzMWM5ZmM0ZjJkMWYiLCJ1c2VySWQiOiI3ODUyODA5MjQifQ==</vt:lpwstr>
  </property>
</Properties>
</file>