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ascii="Times New Roman" w:hAnsi="Times New Roman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Times New Roman" w:hAnsi="Times New Roman" w:eastAsia="黑体"/>
          <w:spacing w:val="-12"/>
          <w:sz w:val="32"/>
          <w:szCs w:val="32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592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eastAsia="zh-CN"/>
        </w:rPr>
        <w:t>二、防腐剂混合使用时各自用量占其最大使用量的比例之和</w:t>
      </w: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防腐剂是以保持食品原有品质和营养价值为目的的食品添加剂，它能抑制微生物的生长繁殖，防止食品腐败变质从而延长保质期。《食品安全国家标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准 食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品添加剂使用标准》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GB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2760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—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2014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中不仅规定了我国在食品中允许添加的某一添加剂的种类、使用量或残留量，而且规定了同一功能的防腐剂在混合使用时，各自用量占其最大使用量的比例之和不应超过1</w:t>
      </w: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三、挥发性盐基氮</w:t>
      </w:r>
    </w:p>
    <w:p>
      <w:pPr>
        <w:spacing w:line="560" w:lineRule="exact"/>
        <w:ind w:firstLine="640"/>
        <w:rPr>
          <w:rFonts w:hint="default" w:ascii="仿宋_GB2312" w:hAnsi="宋体" w:eastAsia="仿宋_GB2312" w:cs="仿宋_GB2312"/>
          <w:kern w:val="0"/>
          <w:sz w:val="32"/>
          <w:szCs w:val="32"/>
        </w:rPr>
      </w:pPr>
      <w:r>
        <w:rPr>
          <w:rFonts w:hint="eastAsia" w:ascii="仿宋_GB2312" w:hAnsi="宋体" w:eastAsia="仿宋_GB2312" w:cs="仿宋_GB2312"/>
          <w:kern w:val="0"/>
          <w:sz w:val="32"/>
          <w:szCs w:val="32"/>
        </w:rPr>
        <w:t>挥发性盐基氮（TVB-N）指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"https://baike.sogou.com/lemma/ShowInnerLink.htm?lemmaId=54321507&amp;ss_c=ssc.citiao.link"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动物性食品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由于酶和细菌的作用，在腐败过程中，使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"https://baike.sogou.com/lemma/ShowInnerLink.htm?lemmaId=7739537&amp;ss_c=ssc.citiao.link"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蛋白质分解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而产生氨以及胺类等碱性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"https://baike.sogou.com/lemma/ShowInnerLink.htm?lemmaId=76379454&amp;ss_c=ssc.citiao.link"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含氮物质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。此类物质具有挥发性，其含量越高，表明氨基酸被破坏的越多，特别是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begin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instrText xml:space="preserve"> HYPERLINK "https://baike.sogou.com/lemma/ShowInnerLink.htm?lemmaId=428113&amp;ss_c=ssc.citiao.link" \t "https://baike.sogou.com/_blank" </w:instrTex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separate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蛋氨酸</w:t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fldChar w:fldCharType="end"/>
      </w:r>
      <w:r>
        <w:rPr>
          <w:rFonts w:hint="default" w:ascii="仿宋_GB2312" w:hAnsi="宋体" w:eastAsia="仿宋_GB2312" w:cs="仿宋_GB2312"/>
          <w:kern w:val="0"/>
          <w:sz w:val="32"/>
          <w:szCs w:val="32"/>
        </w:rPr>
        <w:t>和酪氨酸，因此营养价值大受影响。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四、铜绿假单胞菌</w:t>
      </w:r>
    </w:p>
    <w:p>
      <w:pPr>
        <w:spacing w:line="600" w:lineRule="exact"/>
        <w:ind w:firstLine="640" w:firstLineChars="200"/>
      </w:pP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本菌是一种常见的条件</w:t>
      </w:r>
      <w:bookmarkStart w:id="0" w:name="_GoBack"/>
      <w:bookmarkEnd w:id="0"/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致病菌，属于</w:t>
      </w: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非发酵革兰氏阴性杆菌。本菌普遍存在，而在潮湿环境尤甚。饮用水中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超标可能是由于个别企业</w:t>
      </w:r>
      <w:r>
        <w:rPr>
          <w:rFonts w:hint="eastAsia" w:ascii="仿宋_GB2312" w:eastAsia="仿宋_GB2312"/>
          <w:sz w:val="32"/>
          <w:szCs w:val="32"/>
        </w:rPr>
        <w:t>未按要求严格控制生产加工过程的卫生条件，或者包装容器清洗消毒不到位等有关。</w:t>
      </w:r>
    </w:p>
    <w:p>
      <w:pPr>
        <w:spacing w:line="560" w:lineRule="exact"/>
        <w:ind w:firstLine="640"/>
        <w:rPr>
          <w:rFonts w:hint="eastAsia" w:ascii="仿宋_GB2312" w:hAnsi="宋体" w:eastAsia="仿宋_GB2312" w:cs="仿宋_GB2312"/>
          <w:kern w:val="0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eastAsia" w:ascii="仿宋_GB2312" w:hAnsi="宋体" w:eastAsia="仿宋_GB2312"/>
          <w:kern w:val="0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Office_11.1.0.8894_F1E327BC-269C-435d-A152-05C5408002CA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2019-08-12T02:05:43Z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KSORubyTemplateID" linkTarget="0">
    <vt:lpwstr>6</vt:lpwstr>
  </property>
</Properties>
</file>