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spacing w:val="-12"/>
          <w:sz w:val="32"/>
          <w:szCs w:val="32"/>
          <w:lang w:val="en-US" w:eastAsia="zh-CN"/>
        </w:rPr>
      </w:pPr>
      <w:r>
        <w:rPr>
          <w:rFonts w:hint="eastAsia" w:ascii="黑体" w:hAnsi="黑体" w:eastAsia="黑体"/>
          <w:color w:val="auto"/>
          <w:sz w:val="32"/>
          <w:szCs w:val="32"/>
          <w:lang w:val="en-US" w:eastAsia="zh-CN"/>
        </w:rPr>
        <w:t>一、菌落总数</w:t>
      </w:r>
    </w:p>
    <w:p>
      <w:pPr>
        <w:spacing w:line="640" w:lineRule="exact"/>
        <w:ind w:firstLine="640" w:firstLineChars="200"/>
        <w:textAlignment w:val="baseline"/>
        <w:rPr>
          <w:rFonts w:ascii="Times New Roman" w:hAnsi="Times New Roman" w:eastAsia="仿宋_GB2312"/>
          <w:sz w:val="32"/>
          <w:szCs w:val="32"/>
        </w:rPr>
      </w:pPr>
      <w:r>
        <w:rPr>
          <w:rFonts w:hint="eastAsia" w:ascii="Times New Roman" w:hAnsi="Times New Roman" w:eastAsia="仿宋_GB2312"/>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ind w:firstLine="640" w:firstLineChars="200"/>
        <w:rPr>
          <w:rFonts w:hint="eastAsia" w:ascii="黑体" w:hAnsi="黑体" w:eastAsia="黑体"/>
          <w:sz w:val="32"/>
          <w:szCs w:val="32"/>
          <w:lang w:val="en-US" w:eastAsia="zh-CN"/>
        </w:rPr>
      </w:pPr>
      <w:r>
        <w:rPr>
          <w:rFonts w:hint="eastAsia" w:ascii="黑体" w:hAnsi="黑体" w:eastAsia="黑体"/>
          <w:sz w:val="32"/>
          <w:szCs w:val="32"/>
          <w:lang w:eastAsia="zh-CN"/>
        </w:rPr>
        <w:t>二</w:t>
      </w:r>
      <w:r>
        <w:rPr>
          <w:rFonts w:hint="eastAsia" w:ascii="黑体" w:hAnsi="黑体" w:eastAsia="黑体"/>
          <w:sz w:val="32"/>
          <w:szCs w:val="32"/>
        </w:rPr>
        <w:t>、</w:t>
      </w:r>
      <w:r>
        <w:rPr>
          <w:rFonts w:hint="eastAsia" w:ascii="黑体" w:hAnsi="黑体" w:eastAsia="黑体"/>
          <w:sz w:val="32"/>
          <w:szCs w:val="32"/>
          <w:lang w:eastAsia="zh-CN"/>
        </w:rPr>
        <w:t>钠</w:t>
      </w:r>
    </w:p>
    <w:p>
      <w:pPr>
        <w:spacing w:line="600" w:lineRule="exact"/>
        <w:ind w:firstLine="640" w:firstLineChars="200"/>
        <w:jc w:val="left"/>
        <w:rPr>
          <w:rFonts w:hint="eastAsia" w:ascii="仿宋_GB2312" w:eastAsia="仿宋_GB2312"/>
          <w:sz w:val="32"/>
          <w:szCs w:val="32"/>
        </w:rPr>
      </w:pPr>
      <w:r>
        <w:rPr>
          <w:rFonts w:hint="eastAsia" w:ascii="仿宋_GB2312" w:eastAsia="仿宋_GB2312"/>
          <w:sz w:val="32"/>
          <w:szCs w:val="32"/>
        </w:rPr>
        <w:t>钠是人体必需的营养元素。钠元素不</w:t>
      </w:r>
      <w:r>
        <w:rPr>
          <w:rFonts w:hint="eastAsia" w:ascii="仿宋_GB2312" w:eastAsia="仿宋_GB2312"/>
          <w:sz w:val="32"/>
          <w:szCs w:val="32"/>
          <w:lang w:eastAsia="zh-CN"/>
        </w:rPr>
        <w:t>合格</w:t>
      </w:r>
      <w:r>
        <w:rPr>
          <w:rFonts w:hint="eastAsia" w:ascii="仿宋_GB2312" w:eastAsia="仿宋_GB2312"/>
          <w:sz w:val="32"/>
          <w:szCs w:val="32"/>
        </w:rPr>
        <w:t>原因可能是原辅料质量控制不严，包括食品营养强化剂不满足质量规格要求、食品原料本底含量不清等；生产加工环节控制不严，包括生产加工过程中搅拌不均匀、企业未按标签明示值或企业标准的要求进行添加。</w:t>
      </w:r>
    </w:p>
    <w:p>
      <w:pPr>
        <w:spacing w:line="640" w:lineRule="exact"/>
        <w:ind w:firstLine="592" w:firstLineChars="200"/>
        <w:rPr>
          <w:rFonts w:ascii="黑体" w:hAnsi="黑体" w:eastAsia="黑体"/>
          <w:spacing w:val="-12"/>
          <w:sz w:val="32"/>
          <w:szCs w:val="32"/>
        </w:rPr>
      </w:pPr>
      <w:r>
        <w:rPr>
          <w:rFonts w:hint="eastAsia" w:ascii="黑体" w:hAnsi="黑体" w:eastAsia="黑体"/>
          <w:color w:val="000000" w:themeColor="text1"/>
          <w:spacing w:val="-12"/>
          <w:sz w:val="32"/>
          <w:szCs w:val="32"/>
          <w:lang w:eastAsia="zh-CN"/>
          <w14:textFill>
            <w14:solidFill>
              <w14:schemeClr w14:val="tx1"/>
            </w14:solidFill>
          </w14:textFill>
        </w:rPr>
        <w:t>三</w:t>
      </w:r>
      <w:r>
        <w:rPr>
          <w:rFonts w:hint="eastAsia" w:ascii="黑体" w:hAnsi="黑体" w:eastAsia="黑体"/>
          <w:color w:val="000000" w:themeColor="text1"/>
          <w:spacing w:val="-12"/>
          <w:sz w:val="32"/>
          <w:szCs w:val="32"/>
          <w14:textFill>
            <w14:solidFill>
              <w14:schemeClr w14:val="tx1"/>
            </w14:solidFill>
          </w14:textFill>
        </w:rPr>
        <w:t>、</w:t>
      </w:r>
      <w:r>
        <w:rPr>
          <w:rFonts w:hint="eastAsia" w:ascii="黑体" w:hAnsi="黑体" w:eastAsia="黑体"/>
          <w:color w:val="auto"/>
          <w:sz w:val="32"/>
          <w:szCs w:val="32"/>
          <w:lang w:val="en-US" w:eastAsia="zh-CN"/>
        </w:rPr>
        <w:t>酒精度</w:t>
      </w:r>
    </w:p>
    <w:p>
      <w:pPr>
        <w:widowControl/>
        <w:adjustRightInd w:val="0"/>
        <w:snapToGrid w:val="0"/>
        <w:spacing w:line="590" w:lineRule="exact"/>
        <w:ind w:firstLine="640" w:firstLineChars="200"/>
        <w:rPr>
          <w:rFonts w:hint="eastAsia" w:ascii="方正仿宋_GBK" w:hAnsi="宋体" w:eastAsia="方正仿宋_GBK" w:cs="宋体"/>
          <w:kern w:val="0"/>
          <w:sz w:val="32"/>
          <w:szCs w:val="32"/>
        </w:rPr>
      </w:pPr>
      <w:r>
        <w:rPr>
          <w:rFonts w:hint="eastAsia" w:ascii="方正仿宋_GBK" w:hAnsi="宋体" w:eastAsia="方正仿宋_GBK" w:cs="宋体"/>
          <w:kern w:val="0"/>
          <w:sz w:val="32"/>
          <w:szCs w:val="32"/>
          <w:lang w:eastAsia="zh-CN"/>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因此在白酒进行销售前，不仅要准确测量白酒酒精度，更应考虑使酒精度不达标的因素，提早预防。</w:t>
      </w:r>
    </w:p>
    <w:p>
      <w:pPr>
        <w:spacing w:line="600" w:lineRule="exact"/>
        <w:ind w:firstLine="592" w:firstLineChars="200"/>
        <w:rPr>
          <w:rFonts w:eastAsia="黑体"/>
          <w:spacing w:val="-12"/>
          <w:sz w:val="32"/>
          <w:szCs w:val="32"/>
        </w:rPr>
      </w:pPr>
      <w:r>
        <w:rPr>
          <w:rFonts w:hint="eastAsia" w:eastAsia="黑体"/>
          <w:spacing w:val="-12"/>
          <w:sz w:val="32"/>
          <w:szCs w:val="32"/>
          <w:lang w:eastAsia="zh-CN"/>
        </w:rPr>
        <w:t>四</w:t>
      </w:r>
      <w:r>
        <w:rPr>
          <w:rFonts w:hint="eastAsia" w:eastAsia="黑体"/>
          <w:spacing w:val="-12"/>
          <w:sz w:val="32"/>
          <w:szCs w:val="32"/>
        </w:rPr>
        <w:t>、碘(以I计)</w:t>
      </w:r>
    </w:p>
    <w:p>
      <w:pPr>
        <w:spacing w:line="560" w:lineRule="exact"/>
        <w:ind w:firstLine="640" w:firstLineChars="2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碘是人体必须的微量元素，是合成甲状腺激素必不可少的原料。甲状腺激素是人体重要激素，其生理功能有促进生长发育、参与脑的发育、调节新陈代谢等。</w:t>
      </w:r>
    </w:p>
    <w:p>
      <w:pPr>
        <w:spacing w:line="560" w:lineRule="exact"/>
        <w:ind w:firstLine="640" w:firstLineChars="200"/>
        <w:rPr>
          <w:rFonts w:hint="eastAsia" w:ascii="仿宋_GB2312" w:eastAsia="仿宋_GB2312" w:cstheme="minorBidi"/>
          <w:kern w:val="2"/>
          <w:sz w:val="32"/>
          <w:szCs w:val="32"/>
          <w:lang w:val="en-US" w:eastAsia="zh-CN" w:bidi="ar-SA"/>
        </w:rPr>
      </w:pPr>
      <w:r>
        <w:rPr>
          <w:rFonts w:hint="eastAsia" w:ascii="Times New Roman" w:hAnsi="Times New Roman" w:eastAsia="仿宋_GB2312"/>
          <w:color w:val="000000"/>
          <w:sz w:val="32"/>
          <w:szCs w:val="32"/>
        </w:rPr>
        <w:t>食用盐中的碘强化剂是加入食盐中的一种食品营养强化剂，包括碘酸钾、碘化钾和海藻碘。根据《中国居民膳食指南（2016）》推荐，健康成人每人每天食盐的摄入量宜少于6克。碘长期摄入不足可引起碘缺乏病，以食盐为载体添加碘强化剂是防治碘缺乏病较为方便、安全、经济的一种综合防治措施。</w:t>
      </w:r>
      <w:r>
        <w:rPr>
          <w:rFonts w:hint="eastAsia" w:ascii="Times New Roman" w:hAnsi="Times New Roman" w:eastAsia="仿宋_GB2312"/>
          <w:sz w:val="32"/>
          <w:szCs w:val="32"/>
        </w:rPr>
        <w:t>碘含</w:t>
      </w:r>
      <w:r>
        <w:rPr>
          <w:rFonts w:hint="eastAsia" w:ascii="Times New Roman" w:hAnsi="Times New Roman" w:eastAsia="仿宋_GB2312"/>
          <w:color w:val="000000"/>
          <w:sz w:val="32"/>
          <w:szCs w:val="32"/>
        </w:rPr>
        <w:t>量不达标可能是产品生产工艺存在缺陷等原因所致。</w:t>
      </w:r>
    </w:p>
    <w:p>
      <w:pPr>
        <w:spacing w:line="600" w:lineRule="exact"/>
        <w:ind w:firstLine="592" w:firstLineChars="200"/>
        <w:rPr>
          <w:rFonts w:hint="eastAsia" w:eastAsia="黑体"/>
          <w:spacing w:val="-12"/>
          <w:sz w:val="32"/>
          <w:szCs w:val="32"/>
          <w:lang w:val="en-US" w:eastAsia="zh-CN"/>
        </w:rPr>
      </w:pPr>
      <w:r>
        <w:rPr>
          <w:rFonts w:hint="eastAsia" w:eastAsia="黑体"/>
          <w:spacing w:val="-12"/>
          <w:sz w:val="32"/>
          <w:szCs w:val="32"/>
          <w:lang w:eastAsia="zh-CN"/>
        </w:rPr>
        <w:t>五、</w:t>
      </w:r>
      <w:r>
        <w:rPr>
          <w:rFonts w:hint="eastAsia" w:eastAsia="黑体"/>
          <w:spacing w:val="-12"/>
          <w:sz w:val="32"/>
          <w:szCs w:val="32"/>
          <w:lang w:val="en-US" w:eastAsia="zh-CN"/>
        </w:rPr>
        <w:t>铜绿假单胞菌</w:t>
      </w:r>
    </w:p>
    <w:p>
      <w:pPr>
        <w:spacing w:line="640" w:lineRule="exact"/>
        <w:ind w:firstLine="640" w:firstLineChars="200"/>
        <w:rPr>
          <w:rFonts w:hint="eastAsia" w:ascii="仿宋_GB2312" w:eastAsia="仿宋_GB2312"/>
          <w:sz w:val="32"/>
          <w:szCs w:val="32"/>
        </w:rPr>
      </w:pPr>
      <w:r>
        <w:rPr>
          <w:rFonts w:hint="eastAsia" w:ascii="仿宋_GB2312" w:eastAsia="仿宋_GB2312" w:hAnsiTheme="minorHAnsi" w:cstheme="minorBidi"/>
          <w:kern w:val="2"/>
          <w:sz w:val="32"/>
          <w:szCs w:val="32"/>
          <w:lang w:val="en-US" w:eastAsia="zh-CN" w:bidi="ar-SA"/>
        </w:rPr>
        <w:t>铜绿假单胞菌是一种常见的条件致病菌，属于非发酵革兰氏阴性杆菌。本菌普遍存在，而在潮湿环境尤甚。饮用水中</w:t>
      </w:r>
      <w:r>
        <w:rPr>
          <w:rFonts w:hint="eastAsia" w:ascii="仿宋_GB2312" w:eastAsia="仿宋_GB2312" w:cstheme="minorBidi"/>
          <w:kern w:val="2"/>
          <w:sz w:val="32"/>
          <w:szCs w:val="32"/>
          <w:lang w:val="en-US" w:eastAsia="zh-CN" w:bidi="ar-SA"/>
        </w:rPr>
        <w:t>超标可能是由于个别企业</w:t>
      </w:r>
      <w:r>
        <w:rPr>
          <w:rFonts w:hint="eastAsia" w:ascii="仿宋_GB2312" w:eastAsia="仿宋_GB2312"/>
          <w:sz w:val="32"/>
          <w:szCs w:val="32"/>
        </w:rPr>
        <w:t>未按要求严格控制生产加工过程的卫生条件，或者包装容器清洗消毒不到位等有关。</w:t>
      </w:r>
      <w:bookmarkStart w:id="0" w:name="_GoBack"/>
      <w:bookmarkEnd w:id="0"/>
    </w:p>
    <w:p>
      <w:pPr>
        <w:ind w:firstLine="640" w:firstLineChars="200"/>
        <w:rPr>
          <w:rFonts w:ascii="黑体" w:hAnsi="黑体" w:eastAsia="黑体"/>
          <w:sz w:val="32"/>
          <w:szCs w:val="32"/>
        </w:rPr>
      </w:pPr>
      <w:r>
        <w:rPr>
          <w:rFonts w:hint="eastAsia" w:ascii="黑体" w:hAnsi="黑体" w:eastAsia="黑体"/>
          <w:sz w:val="32"/>
          <w:szCs w:val="32"/>
          <w:lang w:eastAsia="zh-CN"/>
        </w:rPr>
        <w:t>六</w:t>
      </w:r>
      <w:r>
        <w:rPr>
          <w:rFonts w:hint="eastAsia" w:ascii="黑体" w:hAnsi="黑体" w:eastAsia="黑体"/>
          <w:sz w:val="32"/>
          <w:szCs w:val="32"/>
        </w:rPr>
        <w:t>、防腐剂混合使用时各自用量占其最大使用量的比例之和</w:t>
      </w:r>
    </w:p>
    <w:p>
      <w:pPr>
        <w:spacing w:line="640" w:lineRule="exact"/>
        <w:ind w:firstLine="640" w:firstLineChars="200"/>
        <w:rPr>
          <w:rFonts w:hint="eastAsia" w:ascii="仿宋_GB2312" w:hAnsi="ˎ̥" w:eastAsia="仿宋_GB2312" w:cs="Arial"/>
          <w:sz w:val="32"/>
          <w:szCs w:val="32"/>
        </w:rPr>
      </w:pPr>
      <w:r>
        <w:rPr>
          <w:rFonts w:hint="eastAsia" w:ascii="仿宋_GB2312" w:eastAsia="仿宋_GB2312"/>
          <w:sz w:val="32"/>
          <w:szCs w:val="32"/>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月饼中防腐剂混合使用时各自用量占其最大使用量的比例之和超标的原因，可能是生产厂商对国家标准不了解或了解得不够透彻，随意添加多种防腐剂所致。</w:t>
      </w:r>
    </w:p>
    <w:p>
      <w:pPr>
        <w:spacing w:line="600" w:lineRule="exact"/>
        <w:ind w:firstLine="640" w:firstLineChars="200"/>
        <w:rPr>
          <w:rFonts w:hint="eastAsia" w:eastAsia="黑体"/>
          <w:sz w:val="32"/>
          <w:szCs w:val="32"/>
        </w:rPr>
      </w:pPr>
      <w:r>
        <w:rPr>
          <w:rFonts w:hint="eastAsia" w:eastAsia="黑体"/>
          <w:sz w:val="32"/>
          <w:szCs w:val="32"/>
          <w:lang w:eastAsia="zh-CN"/>
        </w:rPr>
        <w:t>七</w:t>
      </w:r>
      <w:r>
        <w:rPr>
          <w:rFonts w:hint="eastAsia" w:eastAsia="黑体"/>
          <w:sz w:val="32"/>
          <w:szCs w:val="32"/>
        </w:rPr>
        <w:t>、腐霉利</w:t>
      </w:r>
    </w:p>
    <w:p>
      <w:pPr>
        <w:keepNext w:val="0"/>
        <w:keepLines w:val="0"/>
        <w:pageBreakBefore w:val="0"/>
        <w:kinsoku/>
        <w:wordWrap/>
        <w:overflowPunct/>
        <w:topLinePunct w:val="0"/>
        <w:autoSpaceDE w:val="0"/>
        <w:autoSpaceDN w:val="0"/>
        <w:bidi w:val="0"/>
        <w:adjustRightInd w:val="0"/>
        <w:snapToGrid/>
        <w:spacing w:line="640" w:lineRule="exact"/>
        <w:ind w:firstLine="640" w:firstLineChars="200"/>
        <w:outlineLvl w:val="9"/>
        <w:rPr>
          <w:rFonts w:hint="eastAsia" w:ascii="仿宋_GB2312" w:eastAsia="仿宋_GB2312"/>
          <w:sz w:val="32"/>
          <w:szCs w:val="32"/>
          <w:lang w:val="en-US" w:eastAsia="zh-CN"/>
        </w:rPr>
      </w:pPr>
      <w:r>
        <w:rPr>
          <w:rFonts w:hint="eastAsia" w:ascii="仿宋_GB2312" w:eastAsia="仿宋_GB2312"/>
          <w:sz w:val="32"/>
          <w:szCs w:val="32"/>
        </w:rPr>
        <w:t>腐霉利是一种低毒内吸性杀菌剂，具有保护和治疗双重作用，主要用于蔬菜及果树的灰霉病防治。</w:t>
      </w:r>
      <w:r>
        <w:rPr>
          <w:rFonts w:hint="eastAsia" w:ascii="Times New Roman" w:hAnsi="Times New Roman" w:eastAsia="仿宋_GB2312"/>
          <w:sz w:val="32"/>
          <w:szCs w:val="32"/>
        </w:rPr>
        <w:t>《食品安全国家标准</w:t>
      </w:r>
      <w:r>
        <w:rPr>
          <w:rFonts w:ascii="Times New Roman" w:hAnsi="Times New Roman" w:eastAsia="仿宋_GB2312"/>
          <w:sz w:val="32"/>
          <w:szCs w:val="32"/>
        </w:rPr>
        <w:t xml:space="preserve"> </w:t>
      </w:r>
      <w:r>
        <w:rPr>
          <w:rFonts w:hint="eastAsia" w:ascii="Times New Roman" w:hAnsi="Times New Roman" w:eastAsia="仿宋_GB2312"/>
          <w:sz w:val="32"/>
          <w:szCs w:val="32"/>
        </w:rPr>
        <w:t>食品中农药最大残留限量》（</w:t>
      </w:r>
      <w:r>
        <w:rPr>
          <w:rFonts w:ascii="Times New Roman" w:hAnsi="Times New Roman" w:eastAsia="仿宋_GB2312"/>
          <w:sz w:val="32"/>
          <w:szCs w:val="32"/>
        </w:rPr>
        <w:t>GB 2763</w:t>
      </w:r>
      <w:r>
        <w:rPr>
          <w:rFonts w:hint="eastAsia" w:ascii="Times New Roman" w:hAnsi="Times New Roman" w:eastAsia="仿宋_GB2312"/>
          <w:sz w:val="32"/>
          <w:szCs w:val="32"/>
        </w:rPr>
        <w:t>—</w:t>
      </w:r>
      <w:r>
        <w:rPr>
          <w:rFonts w:ascii="Times New Roman" w:hAnsi="Times New Roman" w:eastAsia="仿宋_GB2312"/>
          <w:sz w:val="32"/>
          <w:szCs w:val="32"/>
        </w:rPr>
        <w:t>2016</w:t>
      </w:r>
      <w:r>
        <w:rPr>
          <w:rFonts w:hint="eastAsia" w:ascii="Times New Roman" w:hAnsi="Times New Roman" w:eastAsia="仿宋_GB2312"/>
          <w:sz w:val="32"/>
          <w:szCs w:val="32"/>
        </w:rPr>
        <w:t>）中规定，</w:t>
      </w:r>
      <w:r>
        <w:rPr>
          <w:rFonts w:hint="eastAsia" w:ascii="仿宋_GB2312" w:eastAsia="仿宋_GB2312"/>
          <w:sz w:val="32"/>
          <w:szCs w:val="32"/>
        </w:rPr>
        <w:t>腐霉利</w:t>
      </w:r>
      <w:r>
        <w:rPr>
          <w:rFonts w:hint="eastAsia" w:ascii="Times New Roman" w:hAnsi="Times New Roman" w:eastAsia="仿宋_GB2312"/>
          <w:sz w:val="32"/>
          <w:szCs w:val="32"/>
        </w:rPr>
        <w:t>在韭菜中的最大残留限量为</w:t>
      </w:r>
      <w:r>
        <w:rPr>
          <w:rFonts w:ascii="Times New Roman" w:hAnsi="Times New Roman" w:eastAsia="仿宋_GB2312"/>
          <w:sz w:val="32"/>
          <w:szCs w:val="32"/>
        </w:rPr>
        <w:t>0.2mg/kg</w:t>
      </w:r>
      <w:r>
        <w:rPr>
          <w:rFonts w:hint="eastAsia" w:ascii="仿宋_GB2312" w:eastAsia="仿宋_GB2312"/>
          <w:sz w:val="32"/>
          <w:szCs w:val="32"/>
        </w:rPr>
        <w:t>。腐霉利对眼睛与皮肤有刺激作用，经口毒性低。</w:t>
      </w:r>
      <w:r>
        <w:rPr>
          <w:rFonts w:hint="eastAsia" w:ascii="Times New Roman" w:hAnsi="Times New Roman" w:eastAsia="仿宋_GB2312"/>
          <w:sz w:val="32"/>
          <w:szCs w:val="32"/>
        </w:rPr>
        <w:t>少量的农药残留不会引起人体急性中毒，但长期食用农药残留超标的食品，对人体健康有一定影响。</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A446D8"/>
    <w:rsid w:val="05B075F0"/>
    <w:rsid w:val="07503655"/>
    <w:rsid w:val="09613572"/>
    <w:rsid w:val="098168D4"/>
    <w:rsid w:val="09E0572E"/>
    <w:rsid w:val="0A4011CE"/>
    <w:rsid w:val="0B443F79"/>
    <w:rsid w:val="0B505CFE"/>
    <w:rsid w:val="0CCE6341"/>
    <w:rsid w:val="0D4279C5"/>
    <w:rsid w:val="0D852F3F"/>
    <w:rsid w:val="0E284B04"/>
    <w:rsid w:val="0EC12409"/>
    <w:rsid w:val="0F8E03D8"/>
    <w:rsid w:val="0FC01C62"/>
    <w:rsid w:val="107C1AA5"/>
    <w:rsid w:val="11F95E33"/>
    <w:rsid w:val="12F708C4"/>
    <w:rsid w:val="14FB2159"/>
    <w:rsid w:val="153E37EC"/>
    <w:rsid w:val="155E31D5"/>
    <w:rsid w:val="15F30177"/>
    <w:rsid w:val="164271B3"/>
    <w:rsid w:val="16C74C86"/>
    <w:rsid w:val="16E15A77"/>
    <w:rsid w:val="17BC2306"/>
    <w:rsid w:val="187D413F"/>
    <w:rsid w:val="18CE1A06"/>
    <w:rsid w:val="19D1085A"/>
    <w:rsid w:val="1A6251F7"/>
    <w:rsid w:val="1ACE2642"/>
    <w:rsid w:val="1BAC2C7B"/>
    <w:rsid w:val="1BAD4A7C"/>
    <w:rsid w:val="1C1845BD"/>
    <w:rsid w:val="1CB27E9B"/>
    <w:rsid w:val="1DAD3FFF"/>
    <w:rsid w:val="1DFF41B9"/>
    <w:rsid w:val="207F2166"/>
    <w:rsid w:val="209E7837"/>
    <w:rsid w:val="20DD5D1B"/>
    <w:rsid w:val="21296D82"/>
    <w:rsid w:val="21EF72E6"/>
    <w:rsid w:val="227B2998"/>
    <w:rsid w:val="22BF0461"/>
    <w:rsid w:val="22DF1FFB"/>
    <w:rsid w:val="239D0E6B"/>
    <w:rsid w:val="24B573DE"/>
    <w:rsid w:val="25481A61"/>
    <w:rsid w:val="25915938"/>
    <w:rsid w:val="25A92365"/>
    <w:rsid w:val="261F7110"/>
    <w:rsid w:val="26A0668D"/>
    <w:rsid w:val="26AB6C21"/>
    <w:rsid w:val="27332D86"/>
    <w:rsid w:val="27727CA4"/>
    <w:rsid w:val="27F74C72"/>
    <w:rsid w:val="28600ED5"/>
    <w:rsid w:val="28E51ADB"/>
    <w:rsid w:val="290E4770"/>
    <w:rsid w:val="2A066B4A"/>
    <w:rsid w:val="2A0F4184"/>
    <w:rsid w:val="2AB22B74"/>
    <w:rsid w:val="2C3F5D84"/>
    <w:rsid w:val="2D7D65C0"/>
    <w:rsid w:val="2E485BC9"/>
    <w:rsid w:val="2EE02088"/>
    <w:rsid w:val="2EEE4150"/>
    <w:rsid w:val="2F9200D3"/>
    <w:rsid w:val="30C52F74"/>
    <w:rsid w:val="31390AFB"/>
    <w:rsid w:val="31727237"/>
    <w:rsid w:val="31E4442C"/>
    <w:rsid w:val="31F75EEE"/>
    <w:rsid w:val="320944EF"/>
    <w:rsid w:val="32671426"/>
    <w:rsid w:val="32B12BD0"/>
    <w:rsid w:val="36731FE9"/>
    <w:rsid w:val="36970865"/>
    <w:rsid w:val="37246F64"/>
    <w:rsid w:val="372F7CA3"/>
    <w:rsid w:val="37975EBC"/>
    <w:rsid w:val="37980617"/>
    <w:rsid w:val="37A75FD3"/>
    <w:rsid w:val="37D8062F"/>
    <w:rsid w:val="37F96A05"/>
    <w:rsid w:val="383060A2"/>
    <w:rsid w:val="38642EE5"/>
    <w:rsid w:val="39666407"/>
    <w:rsid w:val="39AF2A0A"/>
    <w:rsid w:val="3AA9213C"/>
    <w:rsid w:val="3B6949B8"/>
    <w:rsid w:val="3C87360C"/>
    <w:rsid w:val="3D625FAB"/>
    <w:rsid w:val="3D8F3232"/>
    <w:rsid w:val="3E3A3BD1"/>
    <w:rsid w:val="3E793D02"/>
    <w:rsid w:val="3E974FD9"/>
    <w:rsid w:val="3F944EF2"/>
    <w:rsid w:val="40787187"/>
    <w:rsid w:val="40B86FDC"/>
    <w:rsid w:val="42400E64"/>
    <w:rsid w:val="425665EF"/>
    <w:rsid w:val="426A0D65"/>
    <w:rsid w:val="44F63D12"/>
    <w:rsid w:val="45B97969"/>
    <w:rsid w:val="47492C28"/>
    <w:rsid w:val="48DA31FD"/>
    <w:rsid w:val="494214A7"/>
    <w:rsid w:val="4B5049B4"/>
    <w:rsid w:val="4B8C27BB"/>
    <w:rsid w:val="4BC137FA"/>
    <w:rsid w:val="4C297156"/>
    <w:rsid w:val="4C967FAF"/>
    <w:rsid w:val="4CCB074B"/>
    <w:rsid w:val="4D8A2EE5"/>
    <w:rsid w:val="4D9B4661"/>
    <w:rsid w:val="4E0B1BC2"/>
    <w:rsid w:val="4E8C7012"/>
    <w:rsid w:val="4EED2BC8"/>
    <w:rsid w:val="4F932387"/>
    <w:rsid w:val="4FAB5F46"/>
    <w:rsid w:val="50163F73"/>
    <w:rsid w:val="503C6412"/>
    <w:rsid w:val="50C17233"/>
    <w:rsid w:val="51896A13"/>
    <w:rsid w:val="52941F38"/>
    <w:rsid w:val="5473169E"/>
    <w:rsid w:val="554D75AB"/>
    <w:rsid w:val="55BE0029"/>
    <w:rsid w:val="566F178F"/>
    <w:rsid w:val="58C52A1E"/>
    <w:rsid w:val="591702CA"/>
    <w:rsid w:val="59203A01"/>
    <w:rsid w:val="5AF17BBB"/>
    <w:rsid w:val="5B7936AC"/>
    <w:rsid w:val="5B9C406B"/>
    <w:rsid w:val="5BDC6E44"/>
    <w:rsid w:val="5C6258A4"/>
    <w:rsid w:val="5E82604C"/>
    <w:rsid w:val="5EB3567B"/>
    <w:rsid w:val="5FB4017C"/>
    <w:rsid w:val="62106968"/>
    <w:rsid w:val="62733EE5"/>
    <w:rsid w:val="62A23EF9"/>
    <w:rsid w:val="62E64A8D"/>
    <w:rsid w:val="63E51096"/>
    <w:rsid w:val="645F7C77"/>
    <w:rsid w:val="66F73F16"/>
    <w:rsid w:val="67C1146A"/>
    <w:rsid w:val="67DF1954"/>
    <w:rsid w:val="67E22ABE"/>
    <w:rsid w:val="681A5C55"/>
    <w:rsid w:val="686B67ED"/>
    <w:rsid w:val="6B0A631F"/>
    <w:rsid w:val="6B2F57E8"/>
    <w:rsid w:val="6C2A5933"/>
    <w:rsid w:val="6C532497"/>
    <w:rsid w:val="6C6A3D48"/>
    <w:rsid w:val="70433045"/>
    <w:rsid w:val="71236AF0"/>
    <w:rsid w:val="71A911C1"/>
    <w:rsid w:val="72C44654"/>
    <w:rsid w:val="730B7BD7"/>
    <w:rsid w:val="731C59A6"/>
    <w:rsid w:val="740B7597"/>
    <w:rsid w:val="75875DA7"/>
    <w:rsid w:val="75A57FA1"/>
    <w:rsid w:val="76077A0F"/>
    <w:rsid w:val="76C43BAF"/>
    <w:rsid w:val="77450FC0"/>
    <w:rsid w:val="78516857"/>
    <w:rsid w:val="787917F5"/>
    <w:rsid w:val="79425C88"/>
    <w:rsid w:val="79E41CD7"/>
    <w:rsid w:val="7A27777B"/>
    <w:rsid w:val="7B5D2F26"/>
    <w:rsid w:val="7B7721FC"/>
    <w:rsid w:val="7C833972"/>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2019-10-28T08:20:32Z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y fmtid="{D5CDD505-2E9C-101B-9397-08002B2CF9AE}" pid="3" name="KSORubyTemplateID" linkTarget="0">
    <vt:lpwstr>6</vt:lpwstr>
  </property>
</Properties>
</file>