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4815" w:rsidRDefault="00874815" w:rsidP="00874815">
      <w:pPr>
        <w:rPr>
          <w:rFonts w:ascii="方正黑体_GBK" w:eastAsia="方正黑体_GBK" w:hAnsi="方正仿宋_GBK" w:cs="方正仿宋_GBK" w:hint="eastAsia"/>
          <w:sz w:val="32"/>
          <w:szCs w:val="32"/>
        </w:rPr>
      </w:pPr>
      <w:r>
        <w:rPr>
          <w:rFonts w:ascii="方正黑体_GBK" w:eastAsia="方正黑体_GBK" w:hAnsi="方正仿宋_GBK" w:cs="方正仿宋_GBK" w:hint="eastAsia"/>
          <w:sz w:val="32"/>
          <w:szCs w:val="32"/>
        </w:rPr>
        <w:t>附件</w:t>
      </w:r>
    </w:p>
    <w:p w:rsidR="00874815" w:rsidRDefault="00874815" w:rsidP="00874815">
      <w:pPr>
        <w:snapToGrid w:val="0"/>
        <w:spacing w:line="560" w:lineRule="exact"/>
        <w:jc w:val="center"/>
        <w:rPr>
          <w:rFonts w:ascii="方正小标宋_GBK" w:eastAsia="方正小标宋_GBK" w:hint="eastAsia"/>
          <w:sz w:val="44"/>
          <w:szCs w:val="44"/>
        </w:rPr>
      </w:pPr>
      <w:r>
        <w:rPr>
          <w:rFonts w:ascii="方正小标宋_GBK" w:eastAsia="方正小标宋_GBK" w:hint="eastAsia"/>
          <w:sz w:val="44"/>
          <w:szCs w:val="44"/>
        </w:rPr>
        <w:t>江苏省2019年建工类检验检测机构</w:t>
      </w:r>
    </w:p>
    <w:p w:rsidR="00874815" w:rsidRDefault="00874815" w:rsidP="00874815">
      <w:pPr>
        <w:snapToGrid w:val="0"/>
        <w:spacing w:line="560" w:lineRule="exact"/>
        <w:jc w:val="center"/>
        <w:rPr>
          <w:rFonts w:ascii="方正小标宋_GBK" w:eastAsia="方正小标宋_GBK" w:hint="eastAsia"/>
          <w:sz w:val="44"/>
          <w:szCs w:val="44"/>
        </w:rPr>
      </w:pPr>
      <w:r>
        <w:rPr>
          <w:rFonts w:ascii="方正小标宋_GBK" w:eastAsia="方正小标宋_GBK" w:hint="eastAsia"/>
          <w:sz w:val="44"/>
          <w:szCs w:val="44"/>
        </w:rPr>
        <w:t>双随机监督检查结果</w:t>
      </w:r>
    </w:p>
    <w:p w:rsidR="00874815" w:rsidRDefault="00874815" w:rsidP="00874815">
      <w:pPr>
        <w:snapToGrid w:val="0"/>
        <w:spacing w:line="400" w:lineRule="exact"/>
        <w:jc w:val="center"/>
      </w:pPr>
    </w:p>
    <w:tbl>
      <w:tblPr>
        <w:tblW w:w="0" w:type="auto"/>
        <w:tblInd w:w="-28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15" w:type="dxa"/>
          <w:left w:w="15" w:type="dxa"/>
          <w:bottom w:w="15" w:type="dxa"/>
          <w:right w:w="15" w:type="dxa"/>
        </w:tblCellMar>
        <w:tblLook w:val="0000"/>
      </w:tblPr>
      <w:tblGrid>
        <w:gridCol w:w="712"/>
        <w:gridCol w:w="2259"/>
        <w:gridCol w:w="4045"/>
        <w:gridCol w:w="2140"/>
      </w:tblGrid>
      <w:tr w:rsidR="00874815" w:rsidTr="000A4A67">
        <w:trPr>
          <w:trHeight w:val="918"/>
          <w:tblHeader/>
        </w:trPr>
        <w:tc>
          <w:tcPr>
            <w:tcW w:w="712" w:type="dxa"/>
            <w:vAlign w:val="center"/>
          </w:tcPr>
          <w:p w:rsidR="00874815" w:rsidRDefault="00874815" w:rsidP="000A4A67">
            <w:pPr>
              <w:widowControl/>
              <w:spacing w:line="400" w:lineRule="exact"/>
              <w:jc w:val="center"/>
              <w:textAlignment w:val="center"/>
              <w:rPr>
                <w:rFonts w:ascii="方正黑体_GBK" w:eastAsia="方正黑体_GBK" w:hAnsi="方正黑体_GBK" w:cs="方正黑体_GBK" w:hint="eastAsia"/>
                <w:color w:val="000000"/>
                <w:sz w:val="28"/>
                <w:szCs w:val="28"/>
              </w:rPr>
            </w:pPr>
            <w:r>
              <w:rPr>
                <w:rFonts w:ascii="方正黑体_GBK" w:eastAsia="方正黑体_GBK" w:hAnsi="方正黑体_GBK" w:cs="方正黑体_GBK" w:hint="eastAsia"/>
                <w:color w:val="000000"/>
                <w:kern w:val="0"/>
                <w:sz w:val="28"/>
                <w:szCs w:val="28"/>
                <w:lang/>
              </w:rPr>
              <w:t>序号</w:t>
            </w:r>
          </w:p>
        </w:tc>
        <w:tc>
          <w:tcPr>
            <w:tcW w:w="2259" w:type="dxa"/>
            <w:vAlign w:val="center"/>
          </w:tcPr>
          <w:p w:rsidR="00874815" w:rsidRDefault="00874815" w:rsidP="000A4A67">
            <w:pPr>
              <w:widowControl/>
              <w:spacing w:line="400" w:lineRule="exact"/>
              <w:jc w:val="center"/>
              <w:textAlignment w:val="center"/>
              <w:rPr>
                <w:rFonts w:ascii="方正黑体_GBK" w:eastAsia="方正黑体_GBK" w:hAnsi="方正黑体_GBK" w:cs="方正黑体_GBK" w:hint="eastAsia"/>
                <w:color w:val="000000"/>
                <w:sz w:val="28"/>
                <w:szCs w:val="28"/>
              </w:rPr>
            </w:pPr>
            <w:r>
              <w:rPr>
                <w:rFonts w:ascii="方正黑体_GBK" w:eastAsia="方正黑体_GBK" w:hAnsi="方正黑体_GBK" w:cs="方正黑体_GBK" w:hint="eastAsia"/>
                <w:color w:val="000000"/>
                <w:kern w:val="0"/>
                <w:sz w:val="28"/>
                <w:szCs w:val="28"/>
                <w:lang/>
              </w:rPr>
              <w:t>机构名称</w:t>
            </w:r>
          </w:p>
        </w:tc>
        <w:tc>
          <w:tcPr>
            <w:tcW w:w="4045" w:type="dxa"/>
            <w:vAlign w:val="center"/>
          </w:tcPr>
          <w:p w:rsidR="00874815" w:rsidRDefault="00874815" w:rsidP="000A4A67">
            <w:pPr>
              <w:widowControl/>
              <w:spacing w:line="400" w:lineRule="exact"/>
              <w:jc w:val="center"/>
              <w:textAlignment w:val="center"/>
              <w:rPr>
                <w:rFonts w:ascii="方正黑体_GBK" w:eastAsia="方正黑体_GBK" w:hAnsi="方正黑体_GBK" w:cs="方正黑体_GBK" w:hint="eastAsia"/>
                <w:color w:val="000000"/>
                <w:sz w:val="28"/>
                <w:szCs w:val="28"/>
              </w:rPr>
            </w:pPr>
            <w:r>
              <w:rPr>
                <w:rFonts w:ascii="方正黑体_GBK" w:eastAsia="方正黑体_GBK" w:hAnsi="方正黑体_GBK" w:cs="方正黑体_GBK" w:hint="eastAsia"/>
                <w:color w:val="000000"/>
                <w:kern w:val="0"/>
                <w:sz w:val="28"/>
                <w:szCs w:val="28"/>
                <w:lang/>
              </w:rPr>
              <w:t>发现的主要问题</w:t>
            </w:r>
          </w:p>
        </w:tc>
        <w:tc>
          <w:tcPr>
            <w:tcW w:w="2140" w:type="dxa"/>
            <w:vAlign w:val="center"/>
          </w:tcPr>
          <w:p w:rsidR="00874815" w:rsidRDefault="00874815" w:rsidP="000A4A67">
            <w:pPr>
              <w:widowControl/>
              <w:spacing w:line="400" w:lineRule="exact"/>
              <w:jc w:val="center"/>
              <w:textAlignment w:val="center"/>
              <w:rPr>
                <w:rFonts w:ascii="方正黑体_GBK" w:eastAsia="方正黑体_GBK" w:hAnsi="方正黑体_GBK" w:cs="方正黑体_GBK" w:hint="eastAsia"/>
                <w:color w:val="000000"/>
                <w:kern w:val="0"/>
                <w:sz w:val="28"/>
                <w:szCs w:val="28"/>
                <w:lang/>
              </w:rPr>
            </w:pPr>
            <w:r>
              <w:rPr>
                <w:rFonts w:ascii="方正黑体_GBK" w:eastAsia="方正黑体_GBK" w:hAnsi="方正黑体_GBK" w:cs="方正黑体_GBK" w:hint="eastAsia"/>
                <w:color w:val="000000"/>
                <w:kern w:val="0"/>
                <w:sz w:val="28"/>
                <w:szCs w:val="28"/>
                <w:lang/>
              </w:rPr>
              <w:t>涉嫌违反163号令条款及建议</w:t>
            </w:r>
          </w:p>
          <w:p w:rsidR="00874815" w:rsidRDefault="00874815" w:rsidP="000A4A67">
            <w:pPr>
              <w:widowControl/>
              <w:spacing w:line="400" w:lineRule="exact"/>
              <w:jc w:val="center"/>
              <w:textAlignment w:val="center"/>
              <w:rPr>
                <w:rFonts w:ascii="方正黑体_GBK" w:eastAsia="方正黑体_GBK" w:hAnsi="方正黑体_GBK" w:cs="方正黑体_GBK" w:hint="eastAsia"/>
                <w:color w:val="000000"/>
                <w:sz w:val="28"/>
                <w:szCs w:val="28"/>
              </w:rPr>
            </w:pPr>
            <w:r>
              <w:rPr>
                <w:rFonts w:ascii="方正黑体_GBK" w:eastAsia="方正黑体_GBK" w:hAnsi="方正黑体_GBK" w:cs="方正黑体_GBK" w:hint="eastAsia"/>
                <w:color w:val="000000"/>
                <w:kern w:val="0"/>
                <w:sz w:val="28"/>
                <w:szCs w:val="28"/>
                <w:lang/>
              </w:rPr>
              <w:t>处理意见</w:t>
            </w:r>
          </w:p>
        </w:tc>
      </w:tr>
      <w:tr w:rsidR="00874815" w:rsidTr="000A4A67">
        <w:trPr>
          <w:trHeight w:val="825"/>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扬州弘海建设工程质量安全检测有限公司</w:t>
            </w:r>
          </w:p>
        </w:tc>
        <w:tc>
          <w:tcPr>
            <w:tcW w:w="4045" w:type="dxa"/>
            <w:vAlign w:val="center"/>
          </w:tcPr>
          <w:p w:rsidR="00874815" w:rsidRDefault="00874815" w:rsidP="000A4A67">
            <w:pPr>
              <w:widowControl/>
              <w:jc w:val="left"/>
              <w:rPr>
                <w:rFonts w:ascii="方正仿宋_GBK" w:eastAsia="方正仿宋_GBK" w:hAnsi="方正仿宋_GBK" w:cs="方正仿宋_GBK" w:hint="eastAsia"/>
                <w:color w:val="000000"/>
                <w:sz w:val="24"/>
              </w:rPr>
            </w:pP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自行整改后通过</w:t>
            </w:r>
          </w:p>
        </w:tc>
      </w:tr>
      <w:tr w:rsidR="00874815" w:rsidTr="000A4A67">
        <w:trPr>
          <w:trHeight w:val="420"/>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2</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江苏中路工程检测有限公司</w:t>
            </w:r>
          </w:p>
        </w:tc>
        <w:tc>
          <w:tcPr>
            <w:tcW w:w="4045" w:type="dxa"/>
            <w:vAlign w:val="center"/>
          </w:tcPr>
          <w:p w:rsidR="00874815" w:rsidRDefault="00874815" w:rsidP="000A4A67">
            <w:pPr>
              <w:widowControl/>
              <w:jc w:val="left"/>
              <w:rPr>
                <w:rFonts w:ascii="方正仿宋_GBK" w:eastAsia="方正仿宋_GBK" w:hAnsi="方正仿宋_GBK" w:cs="方正仿宋_GBK" w:hint="eastAsia"/>
                <w:color w:val="000000"/>
                <w:sz w:val="24"/>
              </w:rPr>
            </w:pP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自行整改后通过</w:t>
            </w:r>
          </w:p>
        </w:tc>
      </w:tr>
      <w:tr w:rsidR="00874815" w:rsidTr="000A4A67">
        <w:trPr>
          <w:trHeight w:val="565"/>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3</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江苏友创工程技术研究有限公司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1、内部管理不规范，质量控制不到位，仪器设备使用记录管理不规范。</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w:t>
            </w:r>
          </w:p>
        </w:tc>
      </w:tr>
      <w:tr w:rsidR="00874815" w:rsidTr="000A4A67">
        <w:trPr>
          <w:trHeight w:val="719"/>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4</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昆山宝林新型建材检测有限公司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1、内部管理不规范，质量控制不到位，委托单中信息不全，环境控制不到位。</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w:t>
            </w:r>
          </w:p>
        </w:tc>
      </w:tr>
      <w:tr w:rsidR="00874815" w:rsidTr="000A4A67">
        <w:trPr>
          <w:trHeight w:val="747"/>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5</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南京中化建设工程检测有限公司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1、内部管理不规范，质量控制不到位，多份检验检测报告与原始记录出具时间有偏差；2、部分仪器未做检定校准；3、对检验检测人员未实施有效管理，影响检验检测公正性。</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第四十二条第（一）项；第四十二条第（二）项</w:t>
            </w:r>
          </w:p>
        </w:tc>
      </w:tr>
      <w:tr w:rsidR="00874815" w:rsidTr="000A4A67">
        <w:trPr>
          <w:trHeight w:val="719"/>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6</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南京南大工程检测有限公司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1、内部管理不规范，质量控制不到位；2、未按规定办理标准变更手续。</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第四十二条第（一）项；第四十二条第（五）项</w:t>
            </w:r>
          </w:p>
        </w:tc>
      </w:tr>
      <w:tr w:rsidR="00874815" w:rsidTr="000A4A67">
        <w:trPr>
          <w:trHeight w:val="719"/>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lastRenderedPageBreak/>
              <w:t>7</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常州市恒正交通工程试验检测中心</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1、内部管理不规范，质量控制不到位，原始记录信息不全；2、授权签字人未及时变更；3、未按规定办理标准变更手续。</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第四十二条第（一）项；第四十二条第（五）项</w:t>
            </w:r>
          </w:p>
        </w:tc>
      </w:tr>
      <w:tr w:rsidR="00874815" w:rsidTr="000A4A67">
        <w:trPr>
          <w:trHeight w:val="674"/>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8</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江苏润丰工程检测有限公司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1、内部管理不规范，质量控制不到位，未对校准机构能力进行评价；2、未按规定办理标准变更手续。</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第四十二条第（一）项；第四十二条第（五）项</w:t>
            </w:r>
          </w:p>
        </w:tc>
      </w:tr>
      <w:tr w:rsidR="00874815" w:rsidTr="000A4A67">
        <w:trPr>
          <w:trHeight w:val="864"/>
        </w:trPr>
        <w:tc>
          <w:tcPr>
            <w:tcW w:w="712" w:type="dxa"/>
            <w:vAlign w:val="center"/>
          </w:tcPr>
          <w:p w:rsidR="00874815" w:rsidRDefault="00874815" w:rsidP="000A4A67">
            <w:pPr>
              <w:widowControl/>
              <w:spacing w:line="32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9</w:t>
            </w:r>
          </w:p>
        </w:tc>
        <w:tc>
          <w:tcPr>
            <w:tcW w:w="2259" w:type="dxa"/>
            <w:vAlign w:val="center"/>
          </w:tcPr>
          <w:p w:rsidR="00874815" w:rsidRDefault="00874815" w:rsidP="000A4A67">
            <w:pPr>
              <w:widowControl/>
              <w:spacing w:line="32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徐州公信公路工程检测有限公司</w:t>
            </w:r>
          </w:p>
        </w:tc>
        <w:tc>
          <w:tcPr>
            <w:tcW w:w="4045" w:type="dxa"/>
            <w:vAlign w:val="center"/>
          </w:tcPr>
          <w:p w:rsidR="00874815" w:rsidRDefault="00874815" w:rsidP="000A4A67">
            <w:pPr>
              <w:widowControl/>
              <w:spacing w:line="32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1、内部管理不规范，质量控制不到位，检验检测记录缺少必要信息，环境控制不符合要求，设备管理不规范，检测结果描述不准确；2、未按规定办理标准变更手续。</w:t>
            </w:r>
          </w:p>
        </w:tc>
        <w:tc>
          <w:tcPr>
            <w:tcW w:w="2140" w:type="dxa"/>
            <w:vAlign w:val="center"/>
          </w:tcPr>
          <w:p w:rsidR="00874815" w:rsidRDefault="00874815" w:rsidP="000A4A67">
            <w:pPr>
              <w:widowControl/>
              <w:spacing w:line="32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第四十二条第（一）项；第四十二条第第（五）项</w:t>
            </w:r>
          </w:p>
        </w:tc>
      </w:tr>
      <w:tr w:rsidR="00874815" w:rsidTr="000A4A67">
        <w:trPr>
          <w:trHeight w:val="1075"/>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10</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东台市交通工程检测中心</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1、内部管理不规范，质量控制不到位；2、未按规定办理标准变更手续；</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第四十二条第（一）项；第四十二条第（五）项</w:t>
            </w:r>
          </w:p>
        </w:tc>
      </w:tr>
      <w:tr w:rsidR="00874815" w:rsidTr="000A4A67">
        <w:trPr>
          <w:trHeight w:val="810"/>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11</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泰州市鑫通工程检测有限公司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1、内部管理不规范，质量控制不到位，仪器设备、标准物质等管理不规范；2、原始记录未按规定进行管理；3、未按规定办理标准变更手续。</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第四十二条第（一）项；第四十二条第（三）项；第四十二条第（五）项</w:t>
            </w:r>
          </w:p>
        </w:tc>
      </w:tr>
      <w:tr w:rsidR="00874815" w:rsidTr="000A4A67">
        <w:trPr>
          <w:trHeight w:val="825"/>
        </w:trPr>
        <w:tc>
          <w:tcPr>
            <w:tcW w:w="712" w:type="dxa"/>
            <w:vAlign w:val="center"/>
          </w:tcPr>
          <w:p w:rsidR="00874815" w:rsidRDefault="00874815" w:rsidP="000A4A67">
            <w:pPr>
              <w:widowControl/>
              <w:spacing w:line="32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12</w:t>
            </w:r>
          </w:p>
        </w:tc>
        <w:tc>
          <w:tcPr>
            <w:tcW w:w="2259" w:type="dxa"/>
            <w:vAlign w:val="center"/>
          </w:tcPr>
          <w:p w:rsidR="00874815" w:rsidRDefault="00874815" w:rsidP="000A4A67">
            <w:pPr>
              <w:widowControl/>
              <w:spacing w:line="32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昆山华一岩土勘察工程有限公司</w:t>
            </w:r>
          </w:p>
        </w:tc>
        <w:tc>
          <w:tcPr>
            <w:tcW w:w="4045" w:type="dxa"/>
            <w:vAlign w:val="center"/>
          </w:tcPr>
          <w:p w:rsidR="00874815" w:rsidRDefault="00874815" w:rsidP="000A4A67">
            <w:pPr>
              <w:widowControl/>
              <w:spacing w:line="32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委托单中信息不全，环境控制不到位；2、未按规定办理标准变更手续；3、超出资质认定证书规定的检验检测能力范围出具检验检测报告；4、原始数据与电子采集数据不符。</w:t>
            </w:r>
          </w:p>
        </w:tc>
        <w:tc>
          <w:tcPr>
            <w:tcW w:w="2140" w:type="dxa"/>
            <w:vAlign w:val="center"/>
          </w:tcPr>
          <w:p w:rsidR="00874815" w:rsidRDefault="00874815" w:rsidP="000A4A67">
            <w:pPr>
              <w:widowControl/>
              <w:spacing w:line="32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第四十二条第（一）项；第四十二条第（五）项；第四十三条第一款第（二）项；第四十三条第一款第（三）项</w:t>
            </w:r>
          </w:p>
        </w:tc>
      </w:tr>
      <w:tr w:rsidR="00874815" w:rsidTr="000A4A67">
        <w:trPr>
          <w:trHeight w:val="825"/>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kern w:val="0"/>
                <w:sz w:val="24"/>
                <w:lang/>
              </w:rPr>
            </w:pPr>
            <w:r>
              <w:rPr>
                <w:rFonts w:ascii="方正仿宋_GBK" w:eastAsia="方正仿宋_GBK" w:hAnsi="方正仿宋_GBK" w:cs="方正仿宋_GBK" w:hint="eastAsia"/>
                <w:color w:val="000000"/>
                <w:kern w:val="0"/>
                <w:sz w:val="24"/>
                <w:lang/>
              </w:rPr>
              <w:lastRenderedPageBreak/>
              <w:t>13</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kern w:val="0"/>
                <w:sz w:val="24"/>
                <w:lang/>
              </w:rPr>
            </w:pPr>
            <w:r>
              <w:rPr>
                <w:rFonts w:ascii="方正仿宋_GBK" w:eastAsia="方正仿宋_GBK" w:hAnsi="方正仿宋_GBK" w:cs="方正仿宋_GBK" w:hint="eastAsia"/>
                <w:color w:val="000000"/>
                <w:kern w:val="0"/>
                <w:sz w:val="24"/>
                <w:lang/>
              </w:rPr>
              <w:t>吴江市明诚工程质量检测有限公司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kern w:val="0"/>
                <w:sz w:val="24"/>
                <w:lang/>
              </w:rPr>
            </w:pPr>
            <w:r>
              <w:rPr>
                <w:rFonts w:ascii="方正仿宋_GBK" w:eastAsia="方正仿宋_GBK" w:hAnsi="方正仿宋_GBK" w:cs="方正仿宋_GBK" w:hint="eastAsia"/>
                <w:color w:val="000000"/>
                <w:kern w:val="0"/>
                <w:sz w:val="24"/>
                <w:lang/>
              </w:rPr>
              <w:t>1、内部管理不规范，质量控制不到位，设备校准后未进行有效确认；2、未按规定办理标准变更手续；3、超出资质认定证书规定的检验检测能力范围出具检验检测报告。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kern w:val="0"/>
                <w:sz w:val="24"/>
                <w:lang/>
              </w:rPr>
            </w:pPr>
            <w:r>
              <w:rPr>
                <w:rFonts w:ascii="方正仿宋_GBK" w:eastAsia="方正仿宋_GBK" w:hAnsi="方正仿宋_GBK" w:cs="方正仿宋_GBK" w:hint="eastAsia"/>
                <w:color w:val="000000"/>
                <w:kern w:val="0"/>
                <w:sz w:val="24"/>
                <w:lang/>
              </w:rPr>
              <w:t>第四十二条第（一）项；第四十二条第（五）项；第四十三条第一款第（二）项</w:t>
            </w:r>
          </w:p>
        </w:tc>
      </w:tr>
      <w:tr w:rsidR="00874815" w:rsidTr="000A4A67">
        <w:trPr>
          <w:trHeight w:val="613"/>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14</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南通市兴业桩基检测有限责任公司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1、非授权签字人签发检验检测报告。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第四十三条第一款第（五）项</w:t>
            </w:r>
          </w:p>
        </w:tc>
      </w:tr>
      <w:tr w:rsidR="00874815" w:rsidTr="000A4A67">
        <w:trPr>
          <w:trHeight w:val="825"/>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15</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南通市通州区苏通试验检测有限公司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1、内部管理不规范，质量控制不到位；2、超出资质认定证书规定的检验检测能力范围出具检验检测报告。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第四十二条第（一）项；第四十三条第一款第（二）项</w:t>
            </w:r>
          </w:p>
        </w:tc>
      </w:tr>
      <w:tr w:rsidR="00874815" w:rsidTr="000A4A67">
        <w:trPr>
          <w:trHeight w:val="1339"/>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16</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江阴市交通规划勘察设计院有限公司工程质量检测中心</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1、内部管理不规范，质量控制不到位，原始记录信息不全，环境条件记录不规范；2、超出资质认定证书规定的检验检测能力范围出具检验检测报告。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第四十二条第（一）项,第四十三条第一款第（二）项</w:t>
            </w:r>
          </w:p>
        </w:tc>
      </w:tr>
      <w:tr w:rsidR="00874815" w:rsidTr="000A4A67">
        <w:trPr>
          <w:trHeight w:val="825"/>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17</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江苏森淼工程质量检测有限公司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1、未按规定办理标准变更手续；2、超出资质认定证书规定的检验检测能力范围出具检验检测报告。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第四十二条第（五）项；第四十三条第一款第（二）项</w:t>
            </w:r>
          </w:p>
        </w:tc>
      </w:tr>
      <w:tr w:rsidR="00874815" w:rsidTr="000A4A67">
        <w:trPr>
          <w:trHeight w:val="810"/>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18</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镇江市建设工程质量检测中心有限公司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1、内部管理不规范，质量控制不到位，原始记录信息不完整，标准物质的管理不当，设备校准后未进行有效确认；2、</w:t>
            </w:r>
            <w:r>
              <w:rPr>
                <w:rFonts w:ascii="方正仿宋_GBK" w:eastAsia="方正仿宋_GBK" w:hAnsi="方正仿宋_GBK" w:cs="方正仿宋_GBK" w:hint="eastAsia"/>
                <w:color w:val="000000"/>
                <w:kern w:val="0"/>
                <w:sz w:val="24"/>
                <w:lang/>
              </w:rPr>
              <w:lastRenderedPageBreak/>
              <w:t>未按规定办理标准变更手续；3、超出资质认定证书规定的检验检测能力范围出具检验检测报告。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lastRenderedPageBreak/>
              <w:t>第四十二条第（一）项；第四十二条第（五）项；第四十三</w:t>
            </w:r>
            <w:r>
              <w:rPr>
                <w:rFonts w:ascii="方正仿宋_GBK" w:eastAsia="方正仿宋_GBK" w:hAnsi="方正仿宋_GBK" w:cs="方正仿宋_GBK" w:hint="eastAsia"/>
                <w:color w:val="000000"/>
                <w:kern w:val="0"/>
                <w:sz w:val="24"/>
                <w:lang/>
              </w:rPr>
              <w:lastRenderedPageBreak/>
              <w:t>条第一款第（二）项</w:t>
            </w:r>
          </w:p>
        </w:tc>
      </w:tr>
      <w:tr w:rsidR="00874815" w:rsidTr="000A4A67">
        <w:trPr>
          <w:trHeight w:val="1060"/>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lastRenderedPageBreak/>
              <w:t>19</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江苏顺达工程检测有限公司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检验检测记录缺少必要信息，检测结果描述不准确，环境控制不符合要求，设备管理不规范，样品管理不符合要求；2、未按规定办理标准变更手续；3、超出资质认定证书规定的检验检测能力范围出具检验检测报告；4、出具的检验检测结果失实。</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第四十二条第（一）项；第四十二条第（五）项；第四十三条第一款第（二）项；第四十三条第一款第（三）项</w:t>
            </w:r>
          </w:p>
        </w:tc>
      </w:tr>
      <w:tr w:rsidR="00874815" w:rsidTr="000A4A67">
        <w:trPr>
          <w:trHeight w:val="420"/>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20</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连云港科创工程质量检测有限公司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原始记录信息不全，环境控制不符合要求，设备管理不规范，未对校准机构能力进行评价；2、未按规定办理标准变更手续；3、超出资质认定证书规定的检验检测能力范围出具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第四十二条第（一）项；第四十二条第（五）项；第四十三条第一款第（二）项</w:t>
            </w:r>
          </w:p>
        </w:tc>
      </w:tr>
      <w:tr w:rsidR="00874815" w:rsidTr="000A4A67">
        <w:trPr>
          <w:trHeight w:val="1230"/>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21</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连云港港口工程试验检测中心有限公司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1、内部管理不规范，质量控制不到位，原始记录信息不全，环境控制不符合要求，设备管理不规范，未对校准机构能</w:t>
            </w:r>
            <w:r>
              <w:rPr>
                <w:rFonts w:ascii="方正仿宋_GBK" w:eastAsia="方正仿宋_GBK" w:hAnsi="方正仿宋_GBK" w:cs="方正仿宋_GBK" w:hint="eastAsia"/>
                <w:color w:val="000000"/>
                <w:kern w:val="0"/>
                <w:sz w:val="24"/>
                <w:lang/>
              </w:rPr>
              <w:lastRenderedPageBreak/>
              <w:t>力进行评价，检测结果描述不准确；2、未按规定办理标准变更手续；3、超出资质认定证书规定的检验检测能力范围出具检验检测报告。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lastRenderedPageBreak/>
              <w:t>第四十二条第（一）项；第四十二条第（五）项；第四十三</w:t>
            </w:r>
            <w:r>
              <w:rPr>
                <w:rFonts w:ascii="方正仿宋_GBK" w:eastAsia="方正仿宋_GBK" w:hAnsi="方正仿宋_GBK" w:cs="方正仿宋_GBK" w:hint="eastAsia"/>
                <w:color w:val="000000"/>
                <w:kern w:val="0"/>
                <w:sz w:val="24"/>
                <w:lang/>
              </w:rPr>
              <w:lastRenderedPageBreak/>
              <w:t>条第一款第（二）项</w:t>
            </w:r>
          </w:p>
        </w:tc>
      </w:tr>
      <w:tr w:rsidR="00874815" w:rsidTr="000A4A67">
        <w:trPr>
          <w:trHeight w:val="1230"/>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lastRenderedPageBreak/>
              <w:t>22</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淮安市恒信工程检测有限公司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检验检测未依据相关标准规范进行，未开展平行试验；2、原始记录中数值计算错误；3、质量手册未按规定进行改版；4、未按规定办理标准变更手续；5、该公司从事检验检测活动的人员长期在该机构和江苏捷达交通工程集团有限公司从事检验检测工作。</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第四十二条第（一）项；第四十二条第（五）项；第四十三条第一款第（一）项；第四十三条第一款第（四）项</w:t>
            </w:r>
          </w:p>
        </w:tc>
      </w:tr>
      <w:tr w:rsidR="00874815" w:rsidTr="000A4A67">
        <w:trPr>
          <w:trHeight w:val="825"/>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23</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盐城众信交通工程检测有限公司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1、内部管理不规范，质量控制不到位，检验检测未依据相关标准规范进行；2、超出资质认定证书规定的检验检测能力范围出具检验检测报告；3、非授权签字人签发检验检测报告。</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第四十二条第（一）项；第四十三条第一款第（二）项；第四十三条第一款第（五）项</w:t>
            </w:r>
          </w:p>
        </w:tc>
      </w:tr>
      <w:tr w:rsidR="00874815" w:rsidTr="000A4A67">
        <w:trPr>
          <w:trHeight w:val="1277"/>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24</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江苏省交通工程试验专用检测仪器计量检定站</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2018年11月起停业，不能正常开展工作。</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pacing w:val="-8"/>
                <w:sz w:val="24"/>
              </w:rPr>
            </w:pPr>
            <w:r>
              <w:rPr>
                <w:rFonts w:ascii="方正仿宋_GBK" w:eastAsia="方正仿宋_GBK" w:hAnsi="方正仿宋_GBK" w:cs="方正仿宋_GBK" w:hint="eastAsia"/>
                <w:color w:val="000000"/>
                <w:kern w:val="0"/>
                <w:sz w:val="24"/>
                <w:lang/>
              </w:rPr>
              <w:t>建议撤销资质认定证书</w:t>
            </w:r>
          </w:p>
        </w:tc>
      </w:tr>
      <w:tr w:rsidR="00874815" w:rsidTr="000A4A67">
        <w:trPr>
          <w:trHeight w:val="1230"/>
        </w:trPr>
        <w:tc>
          <w:tcPr>
            <w:tcW w:w="712" w:type="dxa"/>
            <w:vAlign w:val="center"/>
          </w:tcPr>
          <w:p w:rsidR="00874815" w:rsidRDefault="00874815" w:rsidP="000A4A67">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lastRenderedPageBreak/>
              <w:t>25</w:t>
            </w:r>
          </w:p>
        </w:tc>
        <w:tc>
          <w:tcPr>
            <w:tcW w:w="2259"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江苏炳辰工程质量检测有限公司</w:t>
            </w:r>
          </w:p>
        </w:tc>
        <w:tc>
          <w:tcPr>
            <w:tcW w:w="4045"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该公司所有检测人员、场地和仪器设备均被其控股公司江苏嘉隆工程建设有限公司收回所有权，已没有可独立调配使用的检测人员、场所和仪器设备。</w:t>
            </w:r>
          </w:p>
        </w:tc>
        <w:tc>
          <w:tcPr>
            <w:tcW w:w="2140" w:type="dxa"/>
            <w:vAlign w:val="center"/>
          </w:tcPr>
          <w:p w:rsidR="00874815" w:rsidRDefault="00874815" w:rsidP="000A4A67">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rPr>
              <w:t>建议撤销资质认定证书</w:t>
            </w:r>
          </w:p>
        </w:tc>
      </w:tr>
    </w:tbl>
    <w:p w:rsidR="00874815" w:rsidRDefault="00874815" w:rsidP="00874815">
      <w:pPr>
        <w:autoSpaceDE w:val="0"/>
        <w:autoSpaceDN w:val="0"/>
        <w:spacing w:line="160" w:lineRule="exact"/>
        <w:rPr>
          <w:rFonts w:ascii="方正楷体_GBK" w:eastAsia="方正楷体_GBK" w:hAnsi="宋体" w:hint="eastAsia"/>
          <w:sz w:val="32"/>
          <w:szCs w:val="32"/>
        </w:rPr>
      </w:pPr>
    </w:p>
    <w:p w:rsidR="003A6583" w:rsidRPr="00874815" w:rsidRDefault="003A6583"/>
    <w:sectPr w:rsidR="003A6583" w:rsidRPr="0087481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6583" w:rsidRDefault="003A6583" w:rsidP="00874815">
      <w:r>
        <w:separator/>
      </w:r>
    </w:p>
  </w:endnote>
  <w:endnote w:type="continuationSeparator" w:id="1">
    <w:p w:rsidR="003A6583" w:rsidRDefault="003A6583" w:rsidP="0087481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2000000000000000000"/>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3" w:usb1="080E0000" w:usb2="00000010" w:usb3="00000000" w:csb0="00040001" w:csb1="00000000"/>
  </w:font>
  <w:font w:name="方正楷体_GBK">
    <w:panose1 w:val="02000000000000000000"/>
    <w:charset w:val="86"/>
    <w:family w:val="auto"/>
    <w:pitch w:val="variable"/>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6583" w:rsidRDefault="003A6583" w:rsidP="00874815">
      <w:r>
        <w:separator/>
      </w:r>
    </w:p>
  </w:footnote>
  <w:footnote w:type="continuationSeparator" w:id="1">
    <w:p w:rsidR="003A6583" w:rsidRDefault="003A6583" w:rsidP="0087481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74815"/>
    <w:rsid w:val="003A6583"/>
    <w:rsid w:val="0087481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87481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7481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874815"/>
    <w:rPr>
      <w:sz w:val="18"/>
      <w:szCs w:val="18"/>
    </w:rPr>
  </w:style>
  <w:style w:type="paragraph" w:styleId="a4">
    <w:name w:val="footer"/>
    <w:basedOn w:val="a"/>
    <w:link w:val="Char0"/>
    <w:uiPriority w:val="99"/>
    <w:semiHidden/>
    <w:unhideWhenUsed/>
    <w:rsid w:val="0087481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874815"/>
    <w:rPr>
      <w:sz w:val="18"/>
      <w:szCs w:val="18"/>
    </w:rPr>
  </w:style>
  <w:style w:type="paragraph" w:styleId="2">
    <w:name w:val="Body Text 2"/>
    <w:basedOn w:val="a"/>
    <w:link w:val="2Char"/>
    <w:uiPriority w:val="99"/>
    <w:semiHidden/>
    <w:unhideWhenUsed/>
    <w:rsid w:val="00874815"/>
    <w:pPr>
      <w:spacing w:after="120" w:line="480" w:lineRule="auto"/>
    </w:pPr>
  </w:style>
  <w:style w:type="character" w:customStyle="1" w:styleId="2Char">
    <w:name w:val="正文文本 2 Char"/>
    <w:basedOn w:val="a0"/>
    <w:link w:val="2"/>
    <w:uiPriority w:val="99"/>
    <w:semiHidden/>
    <w:rsid w:val="00874815"/>
    <w:rPr>
      <w:rFonts w:ascii="Times New Roman" w:eastAsia="宋体" w:hAnsi="Times New Roman" w:cs="Times New Roman"/>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413</Words>
  <Characters>2356</Characters>
  <Application>Microsoft Office Word</Application>
  <DocSecurity>0</DocSecurity>
  <Lines>19</Lines>
  <Paragraphs>5</Paragraphs>
  <ScaleCrop>false</ScaleCrop>
  <Company>Microsoft</Company>
  <LinksUpToDate>false</LinksUpToDate>
  <CharactersWithSpaces>2764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2019-11-20T02:12:00Z</dcterms:created>
  <dcterms:modified xsi:type="dcterms:W3CDTF">2019-11-20T02:12:00Z</dcterms:modified>
</cp:coreProperties>
</file>