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7CF4" w:rsidRDefault="00573694">
      <w:pPr>
        <w:jc w:val="left"/>
        <w:rPr>
          <w:rFonts w:ascii="方正仿宋_GBK" w:eastAsia="方正仿宋_GBK"/>
          <w:b/>
          <w:sz w:val="32"/>
          <w:szCs w:val="32"/>
        </w:rPr>
      </w:pPr>
      <w:r>
        <w:rPr>
          <w:rFonts w:ascii="方正仿宋_GBK" w:eastAsia="方正仿宋_GBK" w:hint="eastAsia"/>
          <w:b/>
          <w:sz w:val="32"/>
          <w:szCs w:val="32"/>
        </w:rPr>
        <w:t>附件</w:t>
      </w:r>
      <w:r w:rsidR="00930884">
        <w:rPr>
          <w:rFonts w:ascii="方正仿宋_GBK" w:eastAsia="方正仿宋_GBK" w:hint="eastAsia"/>
          <w:b/>
          <w:sz w:val="32"/>
          <w:szCs w:val="32"/>
        </w:rPr>
        <w:t>1</w:t>
      </w:r>
    </w:p>
    <w:p w:rsidR="00EC7CF4" w:rsidRDefault="001C2B40">
      <w:pPr>
        <w:suppressAutoHyphens/>
        <w:adjustRightInd w:val="0"/>
        <w:snapToGrid w:val="0"/>
        <w:spacing w:line="590" w:lineRule="exact"/>
        <w:jc w:val="center"/>
        <w:rPr>
          <w:rFonts w:ascii="方正小标宋简体" w:eastAsia="方正小标宋简体" w:hAnsi="方正小标宋简体" w:cs="方正小标宋简体"/>
          <w:color w:val="000000"/>
          <w:sz w:val="44"/>
          <w:szCs w:val="44"/>
        </w:rPr>
      </w:pPr>
      <w:r w:rsidRPr="001C2B40">
        <w:rPr>
          <w:rFonts w:ascii="方正小标宋简体" w:eastAsia="方正小标宋简体" w:hAnsi="方正小标宋简体" w:cs="方正小标宋简体" w:hint="eastAsia"/>
          <w:color w:val="000000"/>
          <w:sz w:val="44"/>
          <w:szCs w:val="44"/>
        </w:rPr>
        <w:t>部分不合格项目的小知识</w:t>
      </w:r>
    </w:p>
    <w:p w:rsidR="00EC7CF4" w:rsidRDefault="00EC7CF4">
      <w:pPr>
        <w:suppressAutoHyphens/>
        <w:adjustRightInd w:val="0"/>
        <w:snapToGrid w:val="0"/>
        <w:spacing w:line="590" w:lineRule="exact"/>
        <w:jc w:val="center"/>
        <w:rPr>
          <w:rFonts w:ascii="方正小标宋简体" w:eastAsia="方正小标宋简体" w:hAnsi="方正小标宋简体" w:cs="方正小标宋简体"/>
          <w:color w:val="000000"/>
          <w:sz w:val="44"/>
          <w:szCs w:val="44"/>
        </w:rPr>
      </w:pPr>
    </w:p>
    <w:p w:rsidR="00EC7CF4" w:rsidRDefault="00573694">
      <w:pPr>
        <w:ind w:firstLineChars="200" w:firstLine="640"/>
        <w:rPr>
          <w:rFonts w:ascii="仿宋_GB2312" w:eastAsia="仿宋_GB2312"/>
          <w:sz w:val="32"/>
          <w:szCs w:val="32"/>
        </w:rPr>
      </w:pPr>
      <w:r>
        <w:rPr>
          <w:rFonts w:ascii="黑体" w:eastAsia="黑体" w:hAnsi="黑体" w:hint="eastAsia"/>
          <w:sz w:val="32"/>
          <w:szCs w:val="32"/>
        </w:rPr>
        <w:t>一、镉</w:t>
      </w:r>
    </w:p>
    <w:p w:rsidR="00EC7CF4" w:rsidRDefault="00573694">
      <w:pPr>
        <w:ind w:firstLineChars="200" w:firstLine="640"/>
        <w:rPr>
          <w:rFonts w:ascii="仿宋_GB2312" w:eastAsia="仿宋_GB2312"/>
          <w:sz w:val="32"/>
          <w:szCs w:val="32"/>
        </w:rPr>
      </w:pPr>
      <w:r>
        <w:rPr>
          <w:rFonts w:ascii="仿宋_GB2312" w:eastAsia="仿宋_GB2312" w:hint="eastAsia"/>
          <w:sz w:val="32"/>
          <w:szCs w:val="32"/>
        </w:rPr>
        <w:t>镉是食用菌中最常见的污染重金属元素之一，联合国环境规划署</w:t>
      </w:r>
      <w:r>
        <w:rPr>
          <w:rFonts w:ascii="仿宋_GB2312" w:eastAsia="仿宋_GB2312" w:hint="eastAsia"/>
          <w:sz w:val="32"/>
          <w:szCs w:val="32"/>
        </w:rPr>
        <w:t>(DNFP)</w:t>
      </w:r>
      <w:r>
        <w:rPr>
          <w:rFonts w:ascii="仿宋_GB2312" w:eastAsia="仿宋_GB2312" w:hint="eastAsia"/>
          <w:sz w:val="32"/>
          <w:szCs w:val="32"/>
        </w:rPr>
        <w:t>和国际职业卫生重金属委员会将镉列入重点研究的环境污染物，世界卫生组织</w:t>
      </w:r>
      <w:r>
        <w:rPr>
          <w:rFonts w:ascii="仿宋_GB2312" w:eastAsia="仿宋_GB2312" w:hint="eastAsia"/>
          <w:sz w:val="32"/>
          <w:szCs w:val="32"/>
        </w:rPr>
        <w:t>(WHO)</w:t>
      </w:r>
      <w:r>
        <w:rPr>
          <w:rFonts w:ascii="仿宋_GB2312" w:eastAsia="仿宋_GB2312" w:hint="eastAsia"/>
          <w:sz w:val="32"/>
          <w:szCs w:val="32"/>
        </w:rPr>
        <w:t>则将其作为优先研究的食品污染物。《食品安全国家标准</w:t>
      </w:r>
      <w:r>
        <w:rPr>
          <w:rFonts w:ascii="仿宋_GB2312" w:eastAsia="仿宋_GB2312" w:hint="eastAsia"/>
          <w:sz w:val="32"/>
          <w:szCs w:val="32"/>
        </w:rPr>
        <w:t xml:space="preserve">  </w:t>
      </w:r>
      <w:r>
        <w:rPr>
          <w:rFonts w:ascii="仿宋_GB2312" w:eastAsia="仿宋_GB2312" w:hint="eastAsia"/>
          <w:sz w:val="32"/>
          <w:szCs w:val="32"/>
        </w:rPr>
        <w:t>食品中污染物限量》（</w:t>
      </w:r>
      <w:r>
        <w:rPr>
          <w:rFonts w:ascii="仿宋_GB2312" w:eastAsia="仿宋_GB2312" w:hint="eastAsia"/>
          <w:sz w:val="32"/>
          <w:szCs w:val="32"/>
        </w:rPr>
        <w:t>GB 2762</w:t>
      </w:r>
      <w:r>
        <w:rPr>
          <w:rFonts w:ascii="仿宋_GB2312" w:eastAsia="仿宋_GB2312" w:hAnsi="微软雅黑" w:hint="eastAsia"/>
          <w:color w:val="000000"/>
          <w:sz w:val="32"/>
          <w:szCs w:val="32"/>
        </w:rPr>
        <w:t>—</w:t>
      </w:r>
      <w:r>
        <w:rPr>
          <w:rFonts w:ascii="仿宋_GB2312" w:eastAsia="仿宋_GB2312" w:hint="eastAsia"/>
          <w:sz w:val="32"/>
          <w:szCs w:val="32"/>
        </w:rPr>
        <w:t>2012</w:t>
      </w:r>
      <w:r>
        <w:rPr>
          <w:rFonts w:ascii="仿宋_GB2312" w:eastAsia="仿宋_GB2312" w:hint="eastAsia"/>
          <w:sz w:val="32"/>
          <w:szCs w:val="32"/>
        </w:rPr>
        <w:t>）中规定香菇中镉的限量为≤</w:t>
      </w:r>
      <w:r>
        <w:rPr>
          <w:rFonts w:ascii="仿宋_GB2312" w:eastAsia="仿宋_GB2312" w:hint="eastAsia"/>
          <w:sz w:val="32"/>
          <w:szCs w:val="32"/>
        </w:rPr>
        <w:t>0.5mg/kg</w:t>
      </w:r>
      <w:r>
        <w:rPr>
          <w:rFonts w:ascii="仿宋_GB2312" w:eastAsia="仿宋_GB2312" w:hint="eastAsia"/>
          <w:sz w:val="32"/>
          <w:szCs w:val="32"/>
        </w:rPr>
        <w:t>。干制食用菌中镉不合格可能是</w:t>
      </w:r>
      <w:r>
        <w:rPr>
          <w:rFonts w:ascii="仿宋_GB2312" w:eastAsia="仿宋_GB2312" w:hAnsi="仿宋_GB2312" w:cs="仿宋_GB2312" w:hint="eastAsia"/>
          <w:sz w:val="32"/>
          <w:szCs w:val="32"/>
        </w:rPr>
        <w:t>食用菌生长过程中对环境中镉元素的富集</w:t>
      </w:r>
      <w:r>
        <w:rPr>
          <w:rFonts w:ascii="仿宋_GB2312" w:eastAsia="仿宋_GB2312" w:hint="eastAsia"/>
          <w:sz w:val="32"/>
          <w:szCs w:val="32"/>
        </w:rPr>
        <w:t>。镉对人体的危害主要是慢性蓄积性，长期大量摄入镉含量超标的食品可能导致肾和骨骼损伤等。</w:t>
      </w:r>
    </w:p>
    <w:p w:rsidR="00EC7CF4" w:rsidRDefault="00573694">
      <w:pPr>
        <w:spacing w:line="640" w:lineRule="exact"/>
        <w:ind w:firstLineChars="200" w:firstLine="592"/>
        <w:rPr>
          <w:rFonts w:ascii="黑体" w:eastAsia="黑体" w:hAnsi="黑体"/>
          <w:sz w:val="32"/>
          <w:szCs w:val="32"/>
        </w:rPr>
      </w:pPr>
      <w:r>
        <w:rPr>
          <w:rFonts w:ascii="黑体" w:eastAsia="黑体" w:hAnsi="黑体" w:hint="eastAsia"/>
          <w:spacing w:val="-12"/>
          <w:sz w:val="32"/>
          <w:szCs w:val="32"/>
        </w:rPr>
        <w:t>二</w:t>
      </w:r>
      <w:r>
        <w:rPr>
          <w:rFonts w:ascii="黑体" w:eastAsia="黑体" w:hAnsi="黑体" w:hint="eastAsia"/>
          <w:spacing w:val="-12"/>
          <w:sz w:val="32"/>
          <w:szCs w:val="32"/>
        </w:rPr>
        <w:t>、铅</w:t>
      </w:r>
    </w:p>
    <w:p w:rsidR="00EC7CF4" w:rsidRDefault="00573694">
      <w:pPr>
        <w:pStyle w:val="ac"/>
        <w:spacing w:line="640" w:lineRule="exact"/>
        <w:ind w:firstLine="640"/>
        <w:rPr>
          <w:rFonts w:ascii="Times New Roman" w:eastAsia="仿宋_GB2312" w:hAnsi="Times New Roman" w:cs="Times New Roman"/>
          <w:sz w:val="32"/>
          <w:szCs w:val="32"/>
        </w:rPr>
      </w:pPr>
      <w:r>
        <w:rPr>
          <w:rFonts w:ascii="Times New Roman" w:eastAsia="仿宋_GB2312" w:hAnsi="Times New Roman" w:cs="Times New Roman" w:hint="eastAsia"/>
          <w:kern w:val="0"/>
          <w:sz w:val="32"/>
          <w:szCs w:val="32"/>
        </w:rPr>
        <w:t>铅是一种慢性和积累性毒物，进入人体后，少部分会随着身体代谢排出体外，大部分会在体内沉积，危害人体健康。</w:t>
      </w:r>
      <w:r>
        <w:rPr>
          <w:rFonts w:ascii="仿宋_GB2312" w:eastAsia="仿宋_GB2312" w:hint="eastAsia"/>
          <w:sz w:val="32"/>
          <w:szCs w:val="32"/>
        </w:rPr>
        <w:t>铅超标的原因，可能是企业在生产时未对原料进行严格验收或为降低产品成本而采用劣质原料，由生产原料或辅料带入到产品中，</w:t>
      </w:r>
      <w:r>
        <w:rPr>
          <w:rFonts w:ascii="仿宋_GB2312" w:eastAsia="仿宋_GB2312" w:hint="eastAsia"/>
          <w:sz w:val="32"/>
          <w:szCs w:val="32"/>
        </w:rPr>
        <w:t>也</w:t>
      </w:r>
      <w:r>
        <w:rPr>
          <w:rFonts w:ascii="仿宋_GB2312" w:eastAsia="仿宋_GB2312" w:hint="eastAsia"/>
          <w:sz w:val="32"/>
          <w:szCs w:val="32"/>
        </w:rPr>
        <w:t>可能是食品生产加工过程中加工设备、容器、</w:t>
      </w:r>
      <w:r>
        <w:rPr>
          <w:rFonts w:ascii="Times New Roman" w:eastAsia="仿宋_GB2312" w:hAnsi="Times New Roman" w:cs="Times New Roman" w:hint="eastAsia"/>
          <w:sz w:val="32"/>
          <w:szCs w:val="32"/>
        </w:rPr>
        <w:t>包装材料中的铅迁移带入。</w:t>
      </w:r>
    </w:p>
    <w:p w:rsidR="00EC7CF4" w:rsidRDefault="00573694">
      <w:pPr>
        <w:spacing w:line="640" w:lineRule="exact"/>
        <w:ind w:firstLineChars="200" w:firstLine="592"/>
        <w:rPr>
          <w:rFonts w:ascii="黑体" w:eastAsia="黑体" w:hAnsi="黑体"/>
          <w:sz w:val="32"/>
          <w:szCs w:val="32"/>
        </w:rPr>
      </w:pPr>
      <w:r>
        <w:rPr>
          <w:rFonts w:ascii="黑体" w:eastAsia="黑体" w:hAnsi="黑体" w:hint="eastAsia"/>
          <w:spacing w:val="-12"/>
          <w:sz w:val="32"/>
          <w:szCs w:val="32"/>
        </w:rPr>
        <w:t>三</w:t>
      </w:r>
      <w:r>
        <w:rPr>
          <w:rFonts w:ascii="黑体" w:eastAsia="黑体" w:hAnsi="黑体" w:hint="eastAsia"/>
          <w:spacing w:val="-12"/>
          <w:sz w:val="32"/>
          <w:szCs w:val="32"/>
        </w:rPr>
        <w:t>、二氧化硫残留</w:t>
      </w:r>
    </w:p>
    <w:p w:rsidR="00EC7CF4" w:rsidRDefault="00573694">
      <w:pPr>
        <w:pStyle w:val="ac"/>
        <w:spacing w:line="640" w:lineRule="exact"/>
        <w:ind w:firstLine="640"/>
        <w:rPr>
          <w:rFonts w:ascii="仿宋_GB2312" w:eastAsia="仿宋_GB2312"/>
          <w:sz w:val="32"/>
          <w:szCs w:val="32"/>
        </w:rPr>
      </w:pPr>
      <w:r>
        <w:rPr>
          <w:rFonts w:ascii="仿宋_GB2312" w:eastAsia="仿宋_GB2312" w:hint="eastAsia"/>
          <w:sz w:val="32"/>
          <w:szCs w:val="32"/>
        </w:rPr>
        <w:t>二氧化硫（以及焦亚硫酸钾、亚硫酸钠等添加剂）对食品有漂白、防腐和抗氧化作用，是食品加工中常用的漂白剂</w:t>
      </w:r>
      <w:r>
        <w:rPr>
          <w:rFonts w:ascii="仿宋_GB2312" w:eastAsia="仿宋_GB2312" w:hint="eastAsia"/>
          <w:sz w:val="32"/>
          <w:szCs w:val="32"/>
        </w:rPr>
        <w:lastRenderedPageBreak/>
        <w:t>和防腐剂，使用后均产生二氧化硫残留。摄入少量二氧化硫，可在人体内经酶转化后由尿液排出</w:t>
      </w:r>
      <w:r>
        <w:rPr>
          <w:rFonts w:ascii="Times New Roman" w:eastAsia="仿宋_GB2312" w:hAnsi="Times New Roman" w:cs="Times New Roman"/>
          <w:sz w:val="32"/>
          <w:szCs w:val="32"/>
        </w:rPr>
        <w:t>体外，一般不会对人体健康造成不良影响，但如果长期过量摄入二氧化硫，可能会对健康不利。二氧化硫残留量超标</w:t>
      </w:r>
      <w:r>
        <w:rPr>
          <w:rFonts w:ascii="Times New Roman" w:eastAsia="仿宋_GB2312" w:hAnsi="Times New Roman" w:cs="Times New Roman" w:hint="eastAsia"/>
          <w:sz w:val="32"/>
          <w:szCs w:val="32"/>
        </w:rPr>
        <w:t>的原因，</w:t>
      </w:r>
      <w:r>
        <w:rPr>
          <w:rFonts w:ascii="Times New Roman" w:eastAsia="仿宋_GB2312" w:hAnsi="Times New Roman" w:cs="Times New Roman"/>
          <w:sz w:val="32"/>
          <w:szCs w:val="32"/>
        </w:rPr>
        <w:t>可能是加工过程中超范围或超限量使用亚硫酸盐等漂白剂，以达到漂白和防腐的作用，</w:t>
      </w:r>
      <w:r>
        <w:rPr>
          <w:rFonts w:ascii="仿宋_GB2312" w:eastAsia="仿宋_GB2312" w:hint="eastAsia"/>
          <w:sz w:val="32"/>
          <w:szCs w:val="32"/>
        </w:rPr>
        <w:t>从而导致产品中二氧化硫残留不符合要求。</w:t>
      </w:r>
    </w:p>
    <w:p w:rsidR="00EC7CF4" w:rsidRDefault="00573694">
      <w:pPr>
        <w:spacing w:line="640" w:lineRule="exact"/>
        <w:ind w:firstLineChars="200" w:firstLine="592"/>
        <w:rPr>
          <w:rFonts w:ascii="黑体" w:eastAsia="黑体" w:hAnsi="黑体"/>
          <w:spacing w:val="-12"/>
          <w:sz w:val="32"/>
          <w:szCs w:val="32"/>
        </w:rPr>
      </w:pPr>
      <w:bookmarkStart w:id="0" w:name="_GoBack"/>
      <w:bookmarkEnd w:id="0"/>
      <w:r>
        <w:rPr>
          <w:rFonts w:ascii="黑体" w:eastAsia="黑体" w:hAnsi="黑体" w:hint="eastAsia"/>
          <w:spacing w:val="-12"/>
          <w:sz w:val="32"/>
          <w:szCs w:val="32"/>
        </w:rPr>
        <w:t>四、脱氢乙酸及其钠盐</w:t>
      </w:r>
    </w:p>
    <w:p w:rsidR="00EC7CF4" w:rsidRDefault="00573694">
      <w:pPr>
        <w:spacing w:line="600" w:lineRule="exact"/>
        <w:ind w:firstLineChars="200" w:firstLine="640"/>
        <w:rPr>
          <w:rFonts w:ascii="黑体" w:eastAsia="黑体" w:hAnsi="黑体"/>
          <w:spacing w:val="-12"/>
          <w:sz w:val="32"/>
          <w:szCs w:val="32"/>
        </w:rPr>
      </w:pPr>
      <w:r>
        <w:rPr>
          <w:rFonts w:ascii="仿宋_GB2312" w:eastAsia="仿宋_GB2312" w:hAnsi="ˎ̥" w:cs="Arial" w:hint="eastAsia"/>
          <w:sz w:val="32"/>
          <w:szCs w:val="32"/>
        </w:rPr>
        <w:t>脱氢乙酸及其钠盐作为食品添加剂，广泛用作防腐剂，对霉菌具有较强的抑制作用。《食品安全国家标准</w:t>
      </w:r>
      <w:r>
        <w:rPr>
          <w:rFonts w:ascii="仿宋_GB2312" w:eastAsia="仿宋_GB2312" w:hAnsi="ˎ̥" w:cs="Arial" w:hint="eastAsia"/>
          <w:sz w:val="32"/>
          <w:szCs w:val="32"/>
        </w:rPr>
        <w:t xml:space="preserve"> </w:t>
      </w:r>
      <w:r>
        <w:rPr>
          <w:rFonts w:ascii="仿宋_GB2312" w:eastAsia="仿宋_GB2312" w:hAnsi="ˎ̥" w:cs="Arial" w:hint="eastAsia"/>
          <w:sz w:val="32"/>
          <w:szCs w:val="32"/>
        </w:rPr>
        <w:t>食品添加剂使用标准》（</w:t>
      </w:r>
      <w:r>
        <w:rPr>
          <w:rFonts w:ascii="仿宋_GB2312" w:eastAsia="仿宋_GB2312" w:hAnsi="ˎ̥" w:cs="Arial" w:hint="eastAsia"/>
          <w:sz w:val="32"/>
          <w:szCs w:val="32"/>
        </w:rPr>
        <w:t>GB 2760</w:t>
      </w:r>
      <w:r>
        <w:rPr>
          <w:rFonts w:ascii="仿宋_GB2312" w:eastAsia="仿宋_GB2312" w:hAnsi="ˎ̥" w:cs="Arial" w:hint="eastAsia"/>
          <w:sz w:val="32"/>
          <w:szCs w:val="32"/>
        </w:rPr>
        <w:t>—</w:t>
      </w:r>
      <w:r>
        <w:rPr>
          <w:rFonts w:ascii="仿宋_GB2312" w:eastAsia="仿宋_GB2312" w:hAnsi="ˎ̥" w:cs="Arial" w:hint="eastAsia"/>
          <w:sz w:val="32"/>
          <w:szCs w:val="32"/>
        </w:rPr>
        <w:t>2014</w:t>
      </w:r>
      <w:r>
        <w:rPr>
          <w:rFonts w:ascii="仿宋_GB2312" w:eastAsia="仿宋_GB2312" w:hAnsi="ˎ̥" w:cs="Arial" w:hint="eastAsia"/>
          <w:sz w:val="32"/>
          <w:szCs w:val="32"/>
        </w:rPr>
        <w:t>）中规定</w:t>
      </w:r>
      <w:r>
        <w:rPr>
          <w:rFonts w:ascii="仿宋_GB2312" w:eastAsia="仿宋_GB2312" w:hAnsi="ˎ̥" w:cs="Arial" w:hint="eastAsia"/>
          <w:sz w:val="32"/>
          <w:szCs w:val="32"/>
        </w:rPr>
        <w:t>糕点</w:t>
      </w:r>
      <w:r>
        <w:rPr>
          <w:rFonts w:ascii="仿宋_GB2312" w:eastAsia="仿宋_GB2312" w:hAnsi="ˎ̥" w:cs="Arial" w:hint="eastAsia"/>
          <w:sz w:val="32"/>
          <w:szCs w:val="32"/>
        </w:rPr>
        <w:t>中脱氢乙酸及其钠盐</w:t>
      </w:r>
      <w:r>
        <w:rPr>
          <w:rFonts w:ascii="仿宋_GB2312" w:eastAsia="仿宋_GB2312" w:hAnsi="ˎ̥" w:cs="Arial" w:hint="eastAsia"/>
          <w:sz w:val="32"/>
          <w:szCs w:val="32"/>
        </w:rPr>
        <w:t>不超过</w:t>
      </w:r>
      <w:r>
        <w:rPr>
          <w:rFonts w:ascii="仿宋_GB2312" w:eastAsia="仿宋_GB2312" w:hAnsi="ˎ̥" w:cs="Arial" w:hint="eastAsia"/>
          <w:sz w:val="32"/>
          <w:szCs w:val="32"/>
        </w:rPr>
        <w:t>0.5g/kg</w:t>
      </w:r>
      <w:r>
        <w:rPr>
          <w:rFonts w:ascii="仿宋_GB2312" w:eastAsia="仿宋_GB2312" w:hAnsi="ˎ̥" w:cs="Arial" w:hint="eastAsia"/>
          <w:sz w:val="32"/>
          <w:szCs w:val="32"/>
        </w:rPr>
        <w:t>。长期大量食用脱氢乙酸及其钠盐超标</w:t>
      </w:r>
      <w:r>
        <w:rPr>
          <w:rFonts w:ascii="仿宋_GB2312" w:eastAsia="仿宋_GB2312" w:hAnsi="ˎ̥" w:cs="Arial" w:hint="eastAsia"/>
          <w:sz w:val="32"/>
          <w:szCs w:val="32"/>
        </w:rPr>
        <w:t>产品，可能对人体健康产生一定影响。</w:t>
      </w:r>
    </w:p>
    <w:p w:rsidR="00EC7CF4" w:rsidRDefault="00573694">
      <w:pPr>
        <w:spacing w:line="640" w:lineRule="exact"/>
        <w:ind w:firstLineChars="200" w:firstLine="592"/>
        <w:rPr>
          <w:rFonts w:ascii="黑体" w:eastAsia="黑体" w:hAnsi="黑体"/>
          <w:spacing w:val="-12"/>
          <w:sz w:val="32"/>
          <w:szCs w:val="32"/>
        </w:rPr>
      </w:pPr>
      <w:r>
        <w:rPr>
          <w:rFonts w:ascii="黑体" w:eastAsia="黑体" w:hAnsi="黑体" w:hint="eastAsia"/>
          <w:spacing w:val="-12"/>
          <w:sz w:val="32"/>
          <w:szCs w:val="32"/>
        </w:rPr>
        <w:t>五、</w:t>
      </w:r>
      <w:r>
        <w:rPr>
          <w:rFonts w:ascii="黑体" w:eastAsia="黑体" w:hAnsi="黑体" w:hint="eastAsia"/>
          <w:spacing w:val="-12"/>
          <w:sz w:val="32"/>
          <w:szCs w:val="32"/>
        </w:rPr>
        <w:t>防腐剂混合使用时各自用量占其最大使用量的比例之和</w:t>
      </w:r>
    </w:p>
    <w:p w:rsidR="00EC7CF4" w:rsidRDefault="00573694">
      <w:pPr>
        <w:spacing w:line="600" w:lineRule="exact"/>
        <w:ind w:firstLineChars="200" w:firstLine="640"/>
        <w:rPr>
          <w:rFonts w:ascii="黑体" w:eastAsia="黑体" w:hAnsi="黑体"/>
          <w:spacing w:val="-12"/>
          <w:sz w:val="32"/>
          <w:szCs w:val="32"/>
        </w:rPr>
      </w:pPr>
      <w:r>
        <w:rPr>
          <w:rFonts w:ascii="仿宋_GB2312" w:eastAsia="仿宋_GB2312" w:hint="eastAsia"/>
          <w:color w:val="000000" w:themeColor="text1"/>
          <w:sz w:val="32"/>
          <w:szCs w:val="32"/>
        </w:rPr>
        <w:t>防腐剂是以保持食品原有品质和营养价值为目的的食品添加剂，它能抑制微生物的生长繁殖，防止食品腐败变质从而延长保质期。《食品安全国家标</w:t>
      </w:r>
      <w:r>
        <w:rPr>
          <w:rFonts w:ascii="仿宋_GB2312" w:eastAsia="仿宋_GB2312" w:hint="eastAsia"/>
          <w:color w:val="000000" w:themeColor="text1"/>
          <w:spacing w:val="-20"/>
          <w:sz w:val="32"/>
          <w:szCs w:val="32"/>
        </w:rPr>
        <w:t>准</w:t>
      </w:r>
      <w:r>
        <w:rPr>
          <w:rFonts w:ascii="仿宋_GB2312" w:eastAsia="仿宋_GB2312" w:hint="eastAsia"/>
          <w:color w:val="000000" w:themeColor="text1"/>
          <w:spacing w:val="-20"/>
          <w:sz w:val="32"/>
          <w:szCs w:val="32"/>
        </w:rPr>
        <w:t xml:space="preserve"> </w:t>
      </w:r>
      <w:r>
        <w:rPr>
          <w:rFonts w:ascii="仿宋_GB2312" w:eastAsia="仿宋_GB2312" w:hint="eastAsia"/>
          <w:color w:val="000000" w:themeColor="text1"/>
          <w:spacing w:val="-20"/>
          <w:sz w:val="32"/>
          <w:szCs w:val="32"/>
        </w:rPr>
        <w:t>食</w:t>
      </w:r>
      <w:r>
        <w:rPr>
          <w:rFonts w:ascii="仿宋_GB2312" w:eastAsia="仿宋_GB2312" w:hint="eastAsia"/>
          <w:color w:val="000000" w:themeColor="text1"/>
          <w:sz w:val="32"/>
          <w:szCs w:val="32"/>
        </w:rPr>
        <w:t>品添加剂使用标准》</w:t>
      </w:r>
      <w:r>
        <w:rPr>
          <w:rFonts w:ascii="仿宋_GB2312" w:eastAsia="仿宋_GB2312" w:hint="eastAsia"/>
          <w:color w:val="000000" w:themeColor="text1"/>
          <w:spacing w:val="-20"/>
          <w:sz w:val="32"/>
          <w:szCs w:val="32"/>
        </w:rPr>
        <w:t>（</w:t>
      </w:r>
      <w:r>
        <w:rPr>
          <w:rFonts w:ascii="Times New Roman" w:eastAsia="仿宋_GB2312" w:hAnsi="Times New Roman" w:cs="Times New Roman"/>
          <w:color w:val="000000" w:themeColor="text1"/>
          <w:kern w:val="0"/>
          <w:sz w:val="32"/>
          <w:szCs w:val="32"/>
          <w:shd w:val="clear" w:color="auto" w:fill="FFFFFF"/>
        </w:rPr>
        <w:t>GB2760</w:t>
      </w:r>
      <w:r>
        <w:rPr>
          <w:rFonts w:ascii="Times New Roman" w:eastAsia="仿宋_GB2312" w:hAnsi="Times New Roman" w:cs="Times New Roman" w:hint="eastAsia"/>
          <w:color w:val="000000" w:themeColor="text1"/>
          <w:kern w:val="0"/>
          <w:sz w:val="32"/>
          <w:szCs w:val="32"/>
          <w:shd w:val="clear" w:color="auto" w:fill="FFFFFF"/>
        </w:rPr>
        <w:t>—</w:t>
      </w:r>
      <w:r>
        <w:rPr>
          <w:rFonts w:ascii="Times New Roman" w:eastAsia="仿宋_GB2312" w:hAnsi="Times New Roman" w:cs="Times New Roman"/>
          <w:color w:val="000000" w:themeColor="text1"/>
          <w:kern w:val="0"/>
          <w:sz w:val="32"/>
          <w:szCs w:val="32"/>
          <w:shd w:val="clear" w:color="auto" w:fill="FFFFFF"/>
        </w:rPr>
        <w:t>2014</w:t>
      </w:r>
      <w:r>
        <w:rPr>
          <w:rFonts w:ascii="仿宋_GB2312" w:eastAsia="仿宋_GB2312" w:hint="eastAsia"/>
          <w:color w:val="000000" w:themeColor="text1"/>
          <w:spacing w:val="-20"/>
          <w:sz w:val="32"/>
          <w:szCs w:val="32"/>
        </w:rPr>
        <w:t>）</w:t>
      </w:r>
      <w:r>
        <w:rPr>
          <w:rFonts w:ascii="仿宋_GB2312" w:eastAsia="仿宋_GB2312" w:hint="eastAsia"/>
          <w:color w:val="000000" w:themeColor="text1"/>
          <w:sz w:val="32"/>
          <w:szCs w:val="32"/>
        </w:rPr>
        <w:t>中不仅规定了我国在食品中允许添加的某一添加剂的种类、使用量或残留量，而且规定了同一功能的防腐剂在混合使用时，各自用量占其最大使用量的比例之和不应超过</w:t>
      </w:r>
      <w:r>
        <w:rPr>
          <w:rFonts w:ascii="仿宋_GB2312" w:eastAsia="仿宋_GB2312" w:hint="eastAsia"/>
          <w:color w:val="000000" w:themeColor="text1"/>
          <w:sz w:val="32"/>
          <w:szCs w:val="32"/>
        </w:rPr>
        <w:t>1</w:t>
      </w:r>
      <w:r>
        <w:rPr>
          <w:rFonts w:ascii="仿宋_GB2312" w:eastAsia="仿宋_GB2312" w:hAnsi="Times New Roman" w:cs="Times New Roman" w:hint="eastAsia"/>
          <w:color w:val="000000" w:themeColor="text1"/>
          <w:sz w:val="32"/>
          <w:szCs w:val="32"/>
        </w:rPr>
        <w:t>。</w:t>
      </w:r>
    </w:p>
    <w:p w:rsidR="00EC7CF4" w:rsidRDefault="00573694">
      <w:pPr>
        <w:numPr>
          <w:ilvl w:val="0"/>
          <w:numId w:val="1"/>
        </w:numPr>
        <w:spacing w:line="640" w:lineRule="exact"/>
        <w:ind w:firstLineChars="200" w:firstLine="592"/>
        <w:rPr>
          <w:rFonts w:ascii="黑体" w:eastAsia="黑体" w:hAnsi="黑体"/>
          <w:spacing w:val="-12"/>
          <w:sz w:val="32"/>
          <w:szCs w:val="32"/>
        </w:rPr>
      </w:pPr>
      <w:r>
        <w:rPr>
          <w:rFonts w:ascii="黑体" w:eastAsia="黑体" w:hAnsi="黑体" w:hint="eastAsia"/>
          <w:spacing w:val="-12"/>
          <w:sz w:val="32"/>
          <w:szCs w:val="32"/>
        </w:rPr>
        <w:t>克伦特罗</w:t>
      </w:r>
    </w:p>
    <w:p w:rsidR="00EC7CF4" w:rsidRDefault="00573694">
      <w:pPr>
        <w:ind w:firstLineChars="200" w:firstLine="640"/>
        <w:rPr>
          <w:rFonts w:ascii="黑体" w:eastAsia="黑体" w:hAnsi="黑体"/>
          <w:spacing w:val="-12"/>
          <w:sz w:val="32"/>
          <w:szCs w:val="32"/>
        </w:rPr>
      </w:pPr>
      <w:r>
        <w:rPr>
          <w:rFonts w:ascii="仿宋_GB2312" w:eastAsia="仿宋_GB2312" w:hAnsi="Calibri" w:cs="Times New Roman" w:hint="eastAsia"/>
          <w:sz w:val="32"/>
          <w:szCs w:val="32"/>
        </w:rPr>
        <w:t>克伦特罗是β</w:t>
      </w:r>
      <w:r>
        <w:rPr>
          <w:rFonts w:ascii="仿宋_GB2312" w:eastAsia="仿宋_GB2312" w:hAnsi="Calibri" w:cs="Times New Roman" w:hint="eastAsia"/>
          <w:sz w:val="32"/>
          <w:szCs w:val="32"/>
        </w:rPr>
        <w:t>-</w:t>
      </w:r>
      <w:r>
        <w:rPr>
          <w:rFonts w:ascii="仿宋_GB2312" w:eastAsia="仿宋_GB2312" w:hAnsi="Calibri" w:cs="Times New Roman" w:hint="eastAsia"/>
          <w:sz w:val="32"/>
          <w:szCs w:val="32"/>
        </w:rPr>
        <w:t>兴奋剂的一种，可促进动物体蛋白质沉积、促进脂肪分解抑制脂肪沉积，能提高胴体的瘦肉率，增重和提高饲料转化率。整顿办函</w:t>
      </w:r>
      <w:r>
        <w:rPr>
          <w:rFonts w:ascii="仿宋_GB2312" w:eastAsia="仿宋_GB2312" w:hAnsi="Calibri" w:cs="Times New Roman" w:hint="eastAsia"/>
          <w:sz w:val="32"/>
          <w:szCs w:val="32"/>
        </w:rPr>
        <w:t>[2010]</w:t>
      </w:r>
      <w:r>
        <w:rPr>
          <w:rFonts w:ascii="仿宋_GB2312" w:eastAsia="仿宋_GB2312" w:hAnsi="Calibri" w:cs="Times New Roman" w:hint="eastAsia"/>
          <w:sz w:val="32"/>
          <w:szCs w:val="32"/>
        </w:rPr>
        <w:t> </w:t>
      </w:r>
      <w:r>
        <w:rPr>
          <w:rFonts w:ascii="仿宋_GB2312" w:eastAsia="仿宋_GB2312" w:hAnsi="Calibri" w:cs="Times New Roman" w:hint="eastAsia"/>
          <w:sz w:val="32"/>
          <w:szCs w:val="32"/>
        </w:rPr>
        <w:t>50</w:t>
      </w:r>
      <w:r>
        <w:rPr>
          <w:rFonts w:ascii="仿宋_GB2312" w:eastAsia="仿宋_GB2312" w:hAnsi="Calibri" w:cs="Times New Roman" w:hint="eastAsia"/>
          <w:sz w:val="32"/>
          <w:szCs w:val="32"/>
        </w:rPr>
        <w:t> </w:t>
      </w:r>
      <w:r>
        <w:rPr>
          <w:rFonts w:ascii="仿宋_GB2312" w:eastAsia="仿宋_GB2312" w:hAnsi="Calibri" w:cs="Times New Roman" w:hint="eastAsia"/>
          <w:sz w:val="32"/>
          <w:szCs w:val="32"/>
        </w:rPr>
        <w:t>号《关于印发食品中可能违法添加的非食用物质和易滥用的食品添加剂名单（第四批）的通知》规定</w:t>
      </w:r>
      <w:r>
        <w:rPr>
          <w:rFonts w:ascii="仿宋_GB2312" w:eastAsia="仿宋_GB2312" w:hAnsi="Calibri" w:cs="Times New Roman" w:hint="eastAsia"/>
          <w:sz w:val="32"/>
          <w:szCs w:val="32"/>
        </w:rPr>
        <w:t>,</w:t>
      </w:r>
      <w:r>
        <w:rPr>
          <w:rFonts w:ascii="仿宋_GB2312" w:eastAsia="仿宋_GB2312" w:hAnsi="Calibri" w:cs="Times New Roman" w:hint="eastAsia"/>
          <w:sz w:val="32"/>
          <w:szCs w:val="32"/>
        </w:rPr>
        <w:t>克伦特罗不得在猪肉、牛羊肉及肝脏等使用。长期食用残留克伦特罗的动物性食品，有可能引起人体四肢、面、颈部骨骼肌震颤</w:t>
      </w:r>
      <w:r>
        <w:rPr>
          <w:rFonts w:ascii="仿宋_GB2312" w:eastAsia="仿宋_GB2312" w:hAnsi="Calibri" w:cs="Times New Roman" w:hint="eastAsia"/>
          <w:sz w:val="32"/>
          <w:szCs w:val="32"/>
        </w:rPr>
        <w:t>,</w:t>
      </w:r>
      <w:r>
        <w:rPr>
          <w:rFonts w:ascii="仿宋_GB2312" w:eastAsia="仿宋_GB2312" w:hAnsi="Calibri" w:cs="Times New Roman" w:hint="eastAsia"/>
          <w:sz w:val="32"/>
          <w:szCs w:val="32"/>
        </w:rPr>
        <w:t>内分泌紊乱。</w:t>
      </w:r>
    </w:p>
    <w:p w:rsidR="00EC7CF4" w:rsidRDefault="00EC7CF4">
      <w:pPr>
        <w:pStyle w:val="ac"/>
        <w:spacing w:line="640" w:lineRule="exact"/>
        <w:ind w:firstLine="640"/>
        <w:rPr>
          <w:rFonts w:ascii="仿宋_GB2312" w:eastAsia="仿宋_GB2312"/>
          <w:sz w:val="32"/>
          <w:szCs w:val="32"/>
        </w:rPr>
      </w:pPr>
    </w:p>
    <w:p w:rsidR="00EC7CF4" w:rsidRDefault="00EC7CF4">
      <w:pPr>
        <w:ind w:firstLineChars="200" w:firstLine="640"/>
        <w:rPr>
          <w:rFonts w:ascii="仿宋_GB2312" w:eastAsia="仿宋_GB2312"/>
          <w:sz w:val="32"/>
          <w:szCs w:val="32"/>
        </w:rPr>
      </w:pPr>
    </w:p>
    <w:p w:rsidR="00EC7CF4" w:rsidRDefault="00EC7CF4">
      <w:pPr>
        <w:spacing w:after="156" w:line="360" w:lineRule="auto"/>
        <w:jc w:val="left"/>
        <w:rPr>
          <w:rFonts w:ascii="宋体" w:hAnsi="宋体" w:cs="宋体"/>
          <w:sz w:val="30"/>
          <w:szCs w:val="30"/>
        </w:rPr>
      </w:pPr>
    </w:p>
    <w:sectPr w:rsidR="00EC7CF4" w:rsidSect="00EC7CF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73694" w:rsidRDefault="00573694" w:rsidP="00930884">
      <w:r>
        <w:separator/>
      </w:r>
    </w:p>
  </w:endnote>
  <w:endnote w:type="continuationSeparator" w:id="1">
    <w:p w:rsidR="00573694" w:rsidRDefault="00573694" w:rsidP="0093088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仿宋_GB2312">
    <w:panose1 w:val="02010609030101010101"/>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ˎ̥">
    <w:altName w:val="Times New Roman"/>
    <w:charset w:val="00"/>
    <w:family w:val="roman"/>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73694" w:rsidRDefault="00573694" w:rsidP="00930884">
      <w:r>
        <w:separator/>
      </w:r>
    </w:p>
  </w:footnote>
  <w:footnote w:type="continuationSeparator" w:id="1">
    <w:p w:rsidR="00573694" w:rsidRDefault="00573694" w:rsidP="0093088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0452424"/>
    <w:multiLevelType w:val="singleLevel"/>
    <w:tmpl w:val="F0452424"/>
    <w:lvl w:ilvl="0">
      <w:start w:val="6"/>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7"/>
  <w:bordersDoNotSurroundHeader/>
  <w:bordersDoNotSurroundFooter/>
  <w:defaultTabStop w:val="420"/>
  <w:drawingGridVerticalSpacing w:val="156"/>
  <w:noPunctuationKerning/>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doNotExpandShiftReturn/>
    <w:adjustLineHeightInTable/>
    <w:useFELayout/>
  </w:compat>
  <w:rsids>
    <w:rsidRoot w:val="00507955"/>
    <w:rsid w:val="00004AF7"/>
    <w:rsid w:val="0001200F"/>
    <w:rsid w:val="00093CF5"/>
    <w:rsid w:val="000A6B95"/>
    <w:rsid w:val="000F3898"/>
    <w:rsid w:val="00115004"/>
    <w:rsid w:val="0012314B"/>
    <w:rsid w:val="00123E64"/>
    <w:rsid w:val="00127EED"/>
    <w:rsid w:val="0016663F"/>
    <w:rsid w:val="001902B4"/>
    <w:rsid w:val="001C2B40"/>
    <w:rsid w:val="003315E0"/>
    <w:rsid w:val="00337EED"/>
    <w:rsid w:val="00345260"/>
    <w:rsid w:val="00352572"/>
    <w:rsid w:val="003D2E81"/>
    <w:rsid w:val="003F677D"/>
    <w:rsid w:val="0043621E"/>
    <w:rsid w:val="004864C3"/>
    <w:rsid w:val="00490214"/>
    <w:rsid w:val="004A3448"/>
    <w:rsid w:val="00507955"/>
    <w:rsid w:val="00520975"/>
    <w:rsid w:val="00573694"/>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30884"/>
    <w:rsid w:val="009463F1"/>
    <w:rsid w:val="009F1C77"/>
    <w:rsid w:val="009F4723"/>
    <w:rsid w:val="00A56708"/>
    <w:rsid w:val="00A73159"/>
    <w:rsid w:val="00A91A30"/>
    <w:rsid w:val="00A963A9"/>
    <w:rsid w:val="00AC5197"/>
    <w:rsid w:val="00AE45B8"/>
    <w:rsid w:val="00AE7483"/>
    <w:rsid w:val="00B00D41"/>
    <w:rsid w:val="00BA1E23"/>
    <w:rsid w:val="00BF6851"/>
    <w:rsid w:val="00C14A0A"/>
    <w:rsid w:val="00C74245"/>
    <w:rsid w:val="00C904C0"/>
    <w:rsid w:val="00C93814"/>
    <w:rsid w:val="00CC2B2E"/>
    <w:rsid w:val="00D854CA"/>
    <w:rsid w:val="00DB42CD"/>
    <w:rsid w:val="00EB080C"/>
    <w:rsid w:val="00EB6150"/>
    <w:rsid w:val="00EC0E42"/>
    <w:rsid w:val="00EC7CF4"/>
    <w:rsid w:val="00ED73BA"/>
    <w:rsid w:val="00EE180D"/>
    <w:rsid w:val="00F66EA7"/>
    <w:rsid w:val="00F6775F"/>
    <w:rsid w:val="00F71F33"/>
    <w:rsid w:val="00F77CAB"/>
    <w:rsid w:val="01BF015D"/>
    <w:rsid w:val="05B075F0"/>
    <w:rsid w:val="09613572"/>
    <w:rsid w:val="0B443F79"/>
    <w:rsid w:val="0CCE6341"/>
    <w:rsid w:val="0D4279C5"/>
    <w:rsid w:val="0D852F3F"/>
    <w:rsid w:val="0F8E03D8"/>
    <w:rsid w:val="107C1AA5"/>
    <w:rsid w:val="12F708C4"/>
    <w:rsid w:val="14FB2159"/>
    <w:rsid w:val="155E31D5"/>
    <w:rsid w:val="15F30177"/>
    <w:rsid w:val="164271B3"/>
    <w:rsid w:val="16C74C86"/>
    <w:rsid w:val="17BC2306"/>
    <w:rsid w:val="18CE1A06"/>
    <w:rsid w:val="19D1085A"/>
    <w:rsid w:val="1A6251F7"/>
    <w:rsid w:val="1ACE2642"/>
    <w:rsid w:val="1BAD4A7C"/>
    <w:rsid w:val="1C1845BD"/>
    <w:rsid w:val="1DFF41B9"/>
    <w:rsid w:val="207F2166"/>
    <w:rsid w:val="20DD5D1B"/>
    <w:rsid w:val="227B2998"/>
    <w:rsid w:val="22BF0461"/>
    <w:rsid w:val="24B573DE"/>
    <w:rsid w:val="25481A61"/>
    <w:rsid w:val="25915938"/>
    <w:rsid w:val="261F7110"/>
    <w:rsid w:val="26A0668D"/>
    <w:rsid w:val="27332D86"/>
    <w:rsid w:val="27727CA4"/>
    <w:rsid w:val="28600ED5"/>
    <w:rsid w:val="290E4770"/>
    <w:rsid w:val="295C5A32"/>
    <w:rsid w:val="2A066B4A"/>
    <w:rsid w:val="2A0F4184"/>
    <w:rsid w:val="2AB22B74"/>
    <w:rsid w:val="2EE02088"/>
    <w:rsid w:val="2EEE4150"/>
    <w:rsid w:val="2F9200D3"/>
    <w:rsid w:val="31390AFB"/>
    <w:rsid w:val="31727237"/>
    <w:rsid w:val="31E4442C"/>
    <w:rsid w:val="32671426"/>
    <w:rsid w:val="36731FE9"/>
    <w:rsid w:val="37246F64"/>
    <w:rsid w:val="37980617"/>
    <w:rsid w:val="37D8062F"/>
    <w:rsid w:val="39666407"/>
    <w:rsid w:val="3B6949B8"/>
    <w:rsid w:val="3C87360C"/>
    <w:rsid w:val="3E974FD9"/>
    <w:rsid w:val="3F944EF2"/>
    <w:rsid w:val="42400E64"/>
    <w:rsid w:val="425665EF"/>
    <w:rsid w:val="426A0D65"/>
    <w:rsid w:val="44F63D12"/>
    <w:rsid w:val="45B97969"/>
    <w:rsid w:val="494214A7"/>
    <w:rsid w:val="4B5049B4"/>
    <w:rsid w:val="4BC137FA"/>
    <w:rsid w:val="4C297156"/>
    <w:rsid w:val="4D8A2EE5"/>
    <w:rsid w:val="4D9B4661"/>
    <w:rsid w:val="4E0B1BC2"/>
    <w:rsid w:val="4EED2BC8"/>
    <w:rsid w:val="50C17233"/>
    <w:rsid w:val="51896A13"/>
    <w:rsid w:val="52941F38"/>
    <w:rsid w:val="5473169E"/>
    <w:rsid w:val="554D75AB"/>
    <w:rsid w:val="5AF17BBB"/>
    <w:rsid w:val="5BDC6E44"/>
    <w:rsid w:val="5C6258A4"/>
    <w:rsid w:val="5E82604C"/>
    <w:rsid w:val="5EB3567B"/>
    <w:rsid w:val="62106968"/>
    <w:rsid w:val="62733EE5"/>
    <w:rsid w:val="62A23EF9"/>
    <w:rsid w:val="67C1146A"/>
    <w:rsid w:val="67DF1954"/>
    <w:rsid w:val="67E22ABE"/>
    <w:rsid w:val="681A5C55"/>
    <w:rsid w:val="6B0A631F"/>
    <w:rsid w:val="6B2F57E8"/>
    <w:rsid w:val="6C6A3D48"/>
    <w:rsid w:val="70433045"/>
    <w:rsid w:val="72C44654"/>
    <w:rsid w:val="740B7597"/>
    <w:rsid w:val="77450FC0"/>
    <w:rsid w:val="78516857"/>
    <w:rsid w:val="787917F5"/>
    <w:rsid w:val="7B5D2F26"/>
    <w:rsid w:val="7B7721FC"/>
    <w:rsid w:val="7C83397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Subtitle" w:semiHidden="0" w:uiPriority="11" w:unhideWhenUsed="0" w:qFormat="1"/>
    <w:lsdException w:name="Body Text First Indent"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7CF4"/>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99"/>
    <w:semiHidden/>
    <w:unhideWhenUsed/>
    <w:qFormat/>
    <w:rsid w:val="00EC7CF4"/>
    <w:pPr>
      <w:spacing w:after="120"/>
    </w:pPr>
  </w:style>
  <w:style w:type="paragraph" w:styleId="a4">
    <w:name w:val="Balloon Text"/>
    <w:basedOn w:val="a"/>
    <w:link w:val="Char0"/>
    <w:uiPriority w:val="99"/>
    <w:semiHidden/>
    <w:unhideWhenUsed/>
    <w:qFormat/>
    <w:rsid w:val="00EC7CF4"/>
    <w:rPr>
      <w:sz w:val="18"/>
      <w:szCs w:val="18"/>
    </w:rPr>
  </w:style>
  <w:style w:type="paragraph" w:styleId="a5">
    <w:name w:val="footer"/>
    <w:basedOn w:val="a"/>
    <w:link w:val="Char1"/>
    <w:uiPriority w:val="99"/>
    <w:unhideWhenUsed/>
    <w:qFormat/>
    <w:rsid w:val="00EC7CF4"/>
    <w:pPr>
      <w:tabs>
        <w:tab w:val="center" w:pos="4153"/>
        <w:tab w:val="right" w:pos="8306"/>
      </w:tabs>
      <w:snapToGrid w:val="0"/>
      <w:jc w:val="left"/>
    </w:pPr>
    <w:rPr>
      <w:sz w:val="18"/>
      <w:szCs w:val="18"/>
    </w:rPr>
  </w:style>
  <w:style w:type="paragraph" w:styleId="a6">
    <w:name w:val="header"/>
    <w:basedOn w:val="a"/>
    <w:link w:val="Char2"/>
    <w:uiPriority w:val="99"/>
    <w:unhideWhenUsed/>
    <w:qFormat/>
    <w:rsid w:val="00EC7CF4"/>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rsid w:val="00EC7CF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7">
    <w:name w:val="Normal (Web)"/>
    <w:basedOn w:val="a"/>
    <w:uiPriority w:val="99"/>
    <w:semiHidden/>
    <w:unhideWhenUsed/>
    <w:qFormat/>
    <w:rsid w:val="00EC7CF4"/>
    <w:pPr>
      <w:widowControl/>
      <w:spacing w:before="100" w:beforeAutospacing="1" w:after="100" w:afterAutospacing="1"/>
      <w:jc w:val="left"/>
    </w:pPr>
    <w:rPr>
      <w:rFonts w:ascii="宋体" w:eastAsia="宋体" w:hAnsi="宋体" w:cs="宋体"/>
      <w:kern w:val="0"/>
      <w:sz w:val="24"/>
      <w:szCs w:val="24"/>
    </w:rPr>
  </w:style>
  <w:style w:type="paragraph" w:styleId="a8">
    <w:name w:val="Body Text First Indent"/>
    <w:basedOn w:val="a3"/>
    <w:link w:val="Char3"/>
    <w:qFormat/>
    <w:rsid w:val="00EC7CF4"/>
    <w:pPr>
      <w:ind w:firstLineChars="100" w:firstLine="420"/>
    </w:pPr>
    <w:rPr>
      <w:rFonts w:ascii="Times New Roman" w:eastAsia="宋体" w:hAnsi="Times New Roman" w:cs="Times New Roman"/>
      <w:szCs w:val="24"/>
    </w:rPr>
  </w:style>
  <w:style w:type="character" w:styleId="a9">
    <w:name w:val="FollowedHyperlink"/>
    <w:basedOn w:val="a0"/>
    <w:uiPriority w:val="99"/>
    <w:unhideWhenUsed/>
    <w:qFormat/>
    <w:rsid w:val="00EC7CF4"/>
    <w:rPr>
      <w:color w:val="000099"/>
      <w:sz w:val="18"/>
      <w:szCs w:val="18"/>
      <w:u w:val="single"/>
    </w:rPr>
  </w:style>
  <w:style w:type="character" w:styleId="aa">
    <w:name w:val="Emphasis"/>
    <w:uiPriority w:val="20"/>
    <w:qFormat/>
    <w:rsid w:val="00EC7CF4"/>
    <w:rPr>
      <w:i/>
      <w:iCs/>
    </w:rPr>
  </w:style>
  <w:style w:type="character" w:styleId="ab">
    <w:name w:val="Hyperlink"/>
    <w:basedOn w:val="a0"/>
    <w:uiPriority w:val="99"/>
    <w:unhideWhenUsed/>
    <w:qFormat/>
    <w:rsid w:val="00EC7CF4"/>
    <w:rPr>
      <w:color w:val="000099"/>
      <w:sz w:val="18"/>
      <w:szCs w:val="18"/>
      <w:u w:val="single"/>
    </w:rPr>
  </w:style>
  <w:style w:type="character" w:customStyle="1" w:styleId="Char2">
    <w:name w:val="页眉 Char"/>
    <w:basedOn w:val="a0"/>
    <w:link w:val="a6"/>
    <w:uiPriority w:val="99"/>
    <w:semiHidden/>
    <w:qFormat/>
    <w:rsid w:val="00EC7CF4"/>
    <w:rPr>
      <w:sz w:val="18"/>
      <w:szCs w:val="18"/>
    </w:rPr>
  </w:style>
  <w:style w:type="character" w:customStyle="1" w:styleId="Char1">
    <w:name w:val="页脚 Char"/>
    <w:basedOn w:val="a0"/>
    <w:link w:val="a5"/>
    <w:uiPriority w:val="99"/>
    <w:semiHidden/>
    <w:qFormat/>
    <w:rsid w:val="00EC7CF4"/>
    <w:rPr>
      <w:sz w:val="18"/>
      <w:szCs w:val="18"/>
    </w:rPr>
  </w:style>
  <w:style w:type="character" w:customStyle="1" w:styleId="apple-converted-space">
    <w:name w:val="apple-converted-space"/>
    <w:basedOn w:val="a0"/>
    <w:qFormat/>
    <w:rsid w:val="00EC7CF4"/>
  </w:style>
  <w:style w:type="paragraph" w:customStyle="1" w:styleId="reader-word-layer">
    <w:name w:val="reader-word-layer"/>
    <w:basedOn w:val="a"/>
    <w:qFormat/>
    <w:rsid w:val="00EC7CF4"/>
    <w:pPr>
      <w:widowControl/>
      <w:spacing w:before="100" w:beforeAutospacing="1" w:after="100" w:afterAutospacing="1"/>
      <w:jc w:val="left"/>
    </w:pPr>
    <w:rPr>
      <w:rFonts w:ascii="宋体" w:eastAsia="宋体" w:hAnsi="宋体" w:cs="宋体"/>
      <w:kern w:val="0"/>
      <w:sz w:val="24"/>
      <w:szCs w:val="24"/>
    </w:rPr>
  </w:style>
  <w:style w:type="paragraph" w:styleId="ac">
    <w:name w:val="List Paragraph"/>
    <w:basedOn w:val="a"/>
    <w:uiPriority w:val="99"/>
    <w:unhideWhenUsed/>
    <w:qFormat/>
    <w:rsid w:val="00EC7CF4"/>
    <w:pPr>
      <w:ind w:firstLineChars="200" w:firstLine="420"/>
    </w:pPr>
  </w:style>
  <w:style w:type="character" w:customStyle="1" w:styleId="description">
    <w:name w:val="description"/>
    <w:basedOn w:val="a0"/>
    <w:qFormat/>
    <w:rsid w:val="00EC7CF4"/>
  </w:style>
  <w:style w:type="character" w:customStyle="1" w:styleId="Char0">
    <w:name w:val="批注框文本 Char"/>
    <w:basedOn w:val="a0"/>
    <w:link w:val="a4"/>
    <w:uiPriority w:val="99"/>
    <w:semiHidden/>
    <w:qFormat/>
    <w:rsid w:val="00EC7CF4"/>
    <w:rPr>
      <w:rFonts w:asciiTheme="minorHAnsi" w:eastAsiaTheme="minorEastAsia" w:hAnsiTheme="minorHAnsi" w:cstheme="minorBidi"/>
      <w:kern w:val="2"/>
      <w:sz w:val="18"/>
      <w:szCs w:val="18"/>
    </w:rPr>
  </w:style>
  <w:style w:type="character" w:customStyle="1" w:styleId="Char">
    <w:name w:val="正文文本 Char"/>
    <w:basedOn w:val="a0"/>
    <w:link w:val="a3"/>
    <w:uiPriority w:val="99"/>
    <w:semiHidden/>
    <w:qFormat/>
    <w:rsid w:val="00EC7CF4"/>
    <w:rPr>
      <w:rFonts w:asciiTheme="minorHAnsi" w:eastAsiaTheme="minorEastAsia" w:hAnsiTheme="minorHAnsi" w:cstheme="minorBidi"/>
      <w:kern w:val="2"/>
      <w:sz w:val="21"/>
      <w:szCs w:val="22"/>
    </w:rPr>
  </w:style>
  <w:style w:type="character" w:customStyle="1" w:styleId="Char3">
    <w:name w:val="正文首行缩进 Char"/>
    <w:basedOn w:val="Char"/>
    <w:link w:val="a8"/>
    <w:qFormat/>
    <w:rsid w:val="00EC7CF4"/>
    <w:rPr>
      <w:rFonts w:asciiTheme="minorHAnsi" w:eastAsiaTheme="minorEastAsia" w:hAnsiTheme="minorHAnsi" w:cstheme="minorBidi"/>
      <w:kern w:val="2"/>
      <w:sz w:val="21"/>
      <w:szCs w:val="24"/>
    </w:rPr>
  </w:style>
  <w:style w:type="character" w:customStyle="1" w:styleId="1">
    <w:name w:val="不明显强调1"/>
    <w:basedOn w:val="a0"/>
    <w:uiPriority w:val="19"/>
    <w:qFormat/>
    <w:rsid w:val="00EC7CF4"/>
    <w:rPr>
      <w:i/>
      <w:iCs/>
      <w:color w:val="7F7F7F" w:themeColor="text1" w:themeTint="80"/>
    </w:rPr>
  </w:style>
  <w:style w:type="paragraph" w:styleId="ad">
    <w:name w:val="No Spacing"/>
    <w:uiPriority w:val="1"/>
    <w:qFormat/>
    <w:rsid w:val="00EC7CF4"/>
    <w:pPr>
      <w:widowControl w:val="0"/>
      <w:jc w:val="both"/>
    </w:pPr>
    <w:rPr>
      <w:kern w:val="2"/>
      <w:sz w:val="21"/>
      <w:szCs w:val="24"/>
    </w:rPr>
  </w:style>
  <w:style w:type="paragraph" w:customStyle="1" w:styleId="Default">
    <w:name w:val="Default"/>
    <w:qFormat/>
    <w:rsid w:val="00EC7CF4"/>
    <w:pPr>
      <w:widowControl w:val="0"/>
      <w:autoSpaceDE w:val="0"/>
      <w:autoSpaceDN w:val="0"/>
      <w:adjustRightInd w:val="0"/>
    </w:pPr>
    <w:rPr>
      <w:rFonts w:ascii="仿宋_GB2312" w:hAnsi="仿宋_GB2312" w:cs="仿宋_GB2312"/>
      <w:color w:val="000000"/>
      <w:sz w:val="24"/>
      <w:szCs w:val="24"/>
    </w:rPr>
  </w:style>
  <w:style w:type="character" w:customStyle="1" w:styleId="2">
    <w:name w:val="不明显强调2"/>
    <w:basedOn w:val="a0"/>
    <w:uiPriority w:val="19"/>
    <w:qFormat/>
    <w:rsid w:val="00EC7CF4"/>
    <w:rPr>
      <w:i/>
      <w:iCs/>
      <w:color w:val="7F7F7F" w:themeColor="text1" w:themeTint="80"/>
    </w:rPr>
  </w:style>
  <w:style w:type="character" w:customStyle="1" w:styleId="3">
    <w:name w:val="不明显强调3"/>
    <w:basedOn w:val="a0"/>
    <w:uiPriority w:val="19"/>
    <w:qFormat/>
    <w:rsid w:val="00EC7CF4"/>
    <w:rPr>
      <w:i/>
      <w:iCs/>
      <w:color w:val="7F7F7F" w:themeColor="text1" w:themeTint="8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C052EC1E-4758-4E6B-B008-BC491F078588}">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Pages>
  <Words>168</Words>
  <Characters>958</Characters>
  <Application>Microsoft Office Word</Application>
  <DocSecurity>0</DocSecurity>
  <Lines>7</Lines>
  <Paragraphs>2</Paragraphs>
  <ScaleCrop>false</ScaleCrop>
  <Company>微软中国</Company>
  <LinksUpToDate>false</LinksUpToDate>
  <CharactersWithSpaces>1124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AutoBVT</cp:lastModifiedBy>
  <cp:revision>4</cp:revision>
  <cp:lastPrinted>2019-01-28T02:50:00Z</cp:lastPrinted>
  <dcterms:created xsi:type="dcterms:W3CDTF">2018-12-24T03:58:00Z</dcterms:created>
  <dcterms:modified xsi:type="dcterms:W3CDTF">2019-05-30T06:54:00Z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2052-11.1.0.8612</vt:lpwstr>
  </property>
  <property fmtid="{D5CDD505-2E9C-101B-9397-08002B2CF9AE}" pid="3" name="KSORubyTemplateID" linkTarget="0">
    <vt:lpwstr>6</vt:lpwstr>
  </property>
</Properties>
</file>