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磺胺类（总量）</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磺胺类药物是一种人工合成的抗菌谱较广、性质稳定、使用简便的抗菌药，对大多数革兰氏阳性菌和阴性菌都有较强抑制作用。磺胺类超标的原因，可能是养殖户在养殖过程中违规使用相关兽药。摄入磺胺类（总量）超标的食品，可能引起皮疹、药热等过敏反应</w:t>
      </w:r>
      <w:r>
        <w:rPr>
          <w:rFonts w:ascii="Times New Roman" w:hAnsi="Times New Roman" w:eastAsia="方正仿宋_GBK" w:cs="Times New Roman"/>
          <w:sz w:val="32"/>
          <w:szCs w:val="32"/>
        </w:rPr>
        <w:t>。</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甲氧苄啶</w:t>
      </w:r>
      <w:bookmarkStart w:id="0" w:name="_GoBack"/>
      <w:bookmarkEnd w:id="0"/>
    </w:p>
    <w:p>
      <w:pPr>
        <w:spacing w:line="582" w:lineRule="exact"/>
        <w:ind w:firstLine="640" w:firstLineChars="200"/>
        <w:rPr>
          <w:rFonts w:hint="default"/>
          <w:lang w:val="en-US" w:eastAsia="zh-CN"/>
        </w:rPr>
      </w:pPr>
      <w:r>
        <w:rPr>
          <w:rFonts w:hint="eastAsia" w:ascii="Times New Roman" w:hAnsi="Times New Roman" w:eastAsia="方正仿宋_GBK" w:cs="Times New Roman"/>
          <w:sz w:val="32"/>
          <w:szCs w:val="32"/>
        </w:rPr>
        <w:t>甲氧苄啶为抗菌增效剂，常与磺胺类药物一起使用。长期食用甲氧苄啶残留超标的食品，可能会引起恶心、呕吐等反应。甲氧苄啶残留量超标的原因，</w:t>
      </w:r>
      <w:r>
        <w:rPr>
          <w:rFonts w:ascii="Times New Roman" w:hAnsi="Times New Roman" w:eastAsia="方正仿宋_GBK" w:cs="Times New Roman"/>
          <w:sz w:val="32"/>
          <w:szCs w:val="32"/>
        </w:rPr>
        <w:t>可能是在养殖过程中为快速控制疫病</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违规加大用药量或不遵守休药期规定，致使上市销售产品</w:t>
      </w:r>
      <w:r>
        <w:rPr>
          <w:rFonts w:hint="eastAsia" w:ascii="Times New Roman" w:hAnsi="Times New Roman" w:eastAsia="方正仿宋_GBK" w:cs="Times New Roman"/>
          <w:sz w:val="32"/>
          <w:szCs w:val="32"/>
        </w:rPr>
        <w:t>中的药物</w:t>
      </w:r>
      <w:r>
        <w:rPr>
          <w:rFonts w:ascii="Times New Roman" w:hAnsi="Times New Roman" w:eastAsia="方正仿宋_GBK" w:cs="Times New Roman"/>
          <w:sz w:val="32"/>
          <w:szCs w:val="32"/>
        </w:rPr>
        <w:t>残留</w:t>
      </w:r>
      <w:r>
        <w:rPr>
          <w:rFonts w:hint="eastAsia" w:ascii="Times New Roman" w:hAnsi="Times New Roman" w:eastAsia="方正仿宋_GBK" w:cs="Times New Roman"/>
          <w:sz w:val="32"/>
          <w:szCs w:val="32"/>
        </w:rPr>
        <w:t>量</w:t>
      </w:r>
      <w:r>
        <w:rPr>
          <w:rFonts w:ascii="Times New Roman" w:hAnsi="Times New Roman" w:eastAsia="方正仿宋_GBK" w:cs="Times New Roman"/>
          <w:sz w:val="32"/>
          <w:szCs w:val="32"/>
        </w:rPr>
        <w:t>超标</w:t>
      </w:r>
      <w:r>
        <w:rPr>
          <w:rFonts w:hint="eastAsia"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联苯菊酯</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联苯菊酯为一种拟除虫菊酯类杀虫剂，属于低毒性或中等毒性、高效低残留型农药。食用食品一般不会导致联苯菊酯的急性中毒，但长期食用联苯菊酯超标的食品，对人体健康也有一定影响。联苯菊酯</w:t>
      </w:r>
      <w:r>
        <w:rPr>
          <w:rFonts w:hint="eastAsia" w:ascii="Times New Roman" w:hAnsi="Times New Roman" w:eastAsia="方正仿宋_GBK" w:cs="Times New Roman"/>
          <w:sz w:val="32"/>
          <w:szCs w:val="32"/>
          <w:lang w:val="en-US" w:eastAsia="zh-CN"/>
        </w:rPr>
        <w:t>不合格</w:t>
      </w:r>
      <w:r>
        <w:rPr>
          <w:rFonts w:hint="eastAsia" w:ascii="Times New Roman" w:hAnsi="Times New Roman" w:eastAsia="方正仿宋_GBK" w:cs="Times New Roman"/>
          <w:sz w:val="32"/>
          <w:szCs w:val="32"/>
        </w:rPr>
        <w:t>的原因可能是为快速控制虫害而违规使用农药</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超限量使用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脱氢乙酸及其钠盐</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以脱氢乙酸计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highlight w:val="none"/>
          <w:lang w:val="en-US" w:eastAsia="zh-CN" w:bidi="ar-SA"/>
        </w:rPr>
        <w:t>脱氢乙酸及其钠盐作为一种广谱食品防腐剂，对霉菌和酵母菌的抑制能力强。脱氢乙酸及其钠盐能被人体完全吸收，并能抑制人体内多种氧化酶，长期过量摄入脱氢乙酸及其钠盐会危害人体健康。脱氢乙酸及其钠盐（以脱氢乙酸计）检测值超标的原因，可能是生产企业为防止食品腐败变质，超限量使用了该食品添加剂，也可能是其使用的复配添加剂中该添加剂含量较高，还可能是在添加过程中未准确计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黄曲霉毒素B</w:t>
      </w:r>
      <w:r>
        <w:rPr>
          <w:rFonts w:hint="eastAsia" w:ascii="Times New Roman" w:hAnsi="Times New Roman" w:eastAsia="方正黑体_GBK" w:cs="Times New Roman"/>
          <w:sz w:val="32"/>
          <w:szCs w:val="32"/>
          <w:vertAlign w:val="subscript"/>
          <w:lang w:val="en-US" w:eastAsia="zh-CN"/>
        </w:rPr>
        <w:t>1</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是一种强致癌性的真菌毒素。长期食用黄曲霉毒素B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超标的食品，可能会对肝脏造成损害。黄曲霉毒素B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检测值超标的原因，可能是受到黄曲霉等霉菌的污染，也可能与产品储运条件控制不当等有关。</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二氧化碳气容量</w:t>
      </w:r>
    </w:p>
    <w:p>
      <w:p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仿宋_GBK" w:cs="Times New Roman"/>
          <w:sz w:val="32"/>
          <w:szCs w:val="32"/>
        </w:rPr>
        <w:t>二氧化碳气容量是评价碳酸饮料质量的重要理化指标，其高低影响产品风味，充足的二氧化碳气容量能使碳酸饮料具有爽口感。碳酸饮料中的二氧化碳需要达到一定的含量，才能使碳酸饮料保持一定的酸度，还具有一定的杀菌和抑菌功能，人饮用后可以通过蒸发带走热量起到降温作用。二氧化碳气容量不合格会影响碳酸饮料口感。二氧化碳气容量不合格的原因可能是生产工艺过程中设备性能出问题</w:t>
      </w:r>
      <w:r>
        <w:rPr>
          <w:rFonts w:ascii="Times New Roman" w:hAnsi="Times New Roman" w:eastAsia="方正仿宋_GBK" w:cs="Times New Roman"/>
          <w:sz w:val="32"/>
          <w:szCs w:val="32"/>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氯氰菊酯和高效氯氰菊酯</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氯氰菊酯和高效氯氰菊酯是一种非内吸性杀虫剂，具有触杀、胃毒作用。少量的残留不会引起人体急性中毒，但长期食用氯氰菊酯和高效氯氰菊酯超标的食品，对人体健康可能有一定影响。氯氰菊酯和高效氯氰菊酯超标的原因，可能是为控制病情</w:t>
      </w:r>
      <w:r>
        <w:rPr>
          <w:rFonts w:hint="eastAsia" w:ascii="Times New Roman" w:hAnsi="Times New Roman" w:eastAsia="方正仿宋_GBK" w:cs="Times New Roman"/>
          <w:sz w:val="32"/>
          <w:szCs w:val="32"/>
          <w:lang w:val="en-US" w:eastAsia="zh-CN"/>
        </w:rPr>
        <w:t>未</w:t>
      </w:r>
      <w:r>
        <w:rPr>
          <w:rFonts w:hint="eastAsia" w:ascii="Times New Roman" w:hAnsi="Times New Roman" w:eastAsia="方正仿宋_GBK" w:cs="Times New Roman"/>
          <w:sz w:val="32"/>
          <w:szCs w:val="32"/>
        </w:rPr>
        <w:t>遵守休药期规定，致使上市销售时产品中的药物残留量未降解至标准限量以下</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挥发性盐基氮</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挥发性盐基氮与动物性食品腐败变质有关，是评价食品鲜度的主要指标。食用挥发性盐基氮超标的食品，可能会引起反胃、腹泻等症状。挥发性盐基氮超标的原因，可能是生产企业卫生状况不达标，造成产品微生物污染和腐败变质；也可能是运输过程中温度、氧气浓度和湿度等条件控制不当，加快了产品腐败变质速度。</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吡虫啉</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吡虫啉属内吸性杀虫剂，具有触杀和胃毒作用。少量的残留不会引起人体急性中毒，但长期食用吡虫啉超标的食品，对人体健康可能有一定影响。吡虫啉超标的原因，可能是在种植过程中违规使用，或未遵守采摘间隔期</w:t>
      </w:r>
      <w:r>
        <w:rPr>
          <w:rFonts w:hint="eastAsia" w:ascii="Times New Roman" w:hAnsi="Times New Roman" w:eastAsia="方正仿宋_GBK" w:cs="Times New Roman"/>
          <w:kern w:val="2"/>
          <w:sz w:val="32"/>
          <w:szCs w:val="32"/>
          <w:lang w:val="en-US" w:eastAsia="zh-CN" w:bidi="ar-SA"/>
        </w:rPr>
        <w:t>规定</w:t>
      </w:r>
      <w:r>
        <w:rPr>
          <w:rFonts w:hint="default" w:ascii="Times New Roman" w:hAnsi="Times New Roman" w:eastAsia="方正仿宋_GBK" w:cs="Times New Roman"/>
          <w:kern w:val="2"/>
          <w:sz w:val="32"/>
          <w:szCs w:val="32"/>
          <w:lang w:val="en-US" w:eastAsia="zh-CN" w:bidi="ar-SA"/>
        </w:rPr>
        <w:t>，致使上市销售</w:t>
      </w:r>
      <w:r>
        <w:rPr>
          <w:rFonts w:hint="eastAsia" w:ascii="Times New Roman" w:hAnsi="Times New Roman" w:eastAsia="方正仿宋_GBK" w:cs="Times New Roman"/>
          <w:kern w:val="2"/>
          <w:sz w:val="32"/>
          <w:szCs w:val="32"/>
          <w:lang w:val="en-US" w:eastAsia="zh-CN" w:bidi="ar-SA"/>
        </w:rPr>
        <w:t>的产品中残留量超标</w:t>
      </w:r>
      <w:r>
        <w:rPr>
          <w:rFonts w:hint="default" w:ascii="Times New Roman" w:hAnsi="Times New Roman" w:eastAsia="方正仿宋_GBK" w:cs="Times New Roman"/>
          <w:kern w:val="2"/>
          <w:sz w:val="32"/>
          <w:szCs w:val="32"/>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48DB7DAE-C7CD-4C52-8719-741E0F45BF25}"/>
  </w:font>
  <w:font w:name="方正小标宋_GBK">
    <w:panose1 w:val="03000509000000000000"/>
    <w:charset w:val="86"/>
    <w:family w:val="auto"/>
    <w:pitch w:val="default"/>
    <w:sig w:usb0="00000001" w:usb1="080E0000" w:usb2="00000000" w:usb3="00000000" w:csb0="00040000" w:csb1="00000000"/>
    <w:embedRegular r:id="rId2" w:fontKey="{56F38BA8-686F-42B7-9BD8-1E3CA9DAD485}"/>
  </w:font>
  <w:font w:name="方正黑体_GBK">
    <w:panose1 w:val="03000509000000000000"/>
    <w:charset w:val="86"/>
    <w:family w:val="script"/>
    <w:pitch w:val="default"/>
    <w:sig w:usb0="00000001" w:usb1="080E0000" w:usb2="00000000" w:usb3="00000000" w:csb0="00040000" w:csb1="00000000"/>
    <w:embedRegular r:id="rId3" w:fontKey="{76574A6E-E72E-4241-AB47-3E863F45DE6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63049F"/>
    <w:rsid w:val="118922C6"/>
    <w:rsid w:val="118D159A"/>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3751B0"/>
    <w:rsid w:val="13633B5E"/>
    <w:rsid w:val="137124FF"/>
    <w:rsid w:val="13732499"/>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35236A"/>
    <w:rsid w:val="1D512773"/>
    <w:rsid w:val="1D533B55"/>
    <w:rsid w:val="1D582E89"/>
    <w:rsid w:val="1D5C3464"/>
    <w:rsid w:val="1D794E63"/>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3F4B36"/>
    <w:rsid w:val="2C414036"/>
    <w:rsid w:val="2C4D06CD"/>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F75EEE"/>
    <w:rsid w:val="31FF56A1"/>
    <w:rsid w:val="320944EF"/>
    <w:rsid w:val="322150A3"/>
    <w:rsid w:val="32333292"/>
    <w:rsid w:val="32671426"/>
    <w:rsid w:val="326A386A"/>
    <w:rsid w:val="326E06BF"/>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A8437B"/>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802F9F"/>
    <w:rsid w:val="3C87360C"/>
    <w:rsid w:val="3CC04B95"/>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7D260A"/>
    <w:rsid w:val="458B7F8D"/>
    <w:rsid w:val="458F6251"/>
    <w:rsid w:val="459040FF"/>
    <w:rsid w:val="459C0CF6"/>
    <w:rsid w:val="459E79E0"/>
    <w:rsid w:val="45B97969"/>
    <w:rsid w:val="45C25A1D"/>
    <w:rsid w:val="45DE2E69"/>
    <w:rsid w:val="46182497"/>
    <w:rsid w:val="46243376"/>
    <w:rsid w:val="4646138E"/>
    <w:rsid w:val="46766CA4"/>
    <w:rsid w:val="467D7656"/>
    <w:rsid w:val="46800A18"/>
    <w:rsid w:val="46827EEC"/>
    <w:rsid w:val="46832DB9"/>
    <w:rsid w:val="46DE2AC4"/>
    <w:rsid w:val="46FD2CD3"/>
    <w:rsid w:val="471B3FF5"/>
    <w:rsid w:val="47226FD9"/>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DD112C"/>
    <w:rsid w:val="5AEB3E5A"/>
    <w:rsid w:val="5AF17BBB"/>
    <w:rsid w:val="5AF34ABD"/>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1</TotalTime>
  <ScaleCrop>false</ScaleCrop>
  <LinksUpToDate>false</LinksUpToDate>
  <CharactersWithSpaces>2028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2023-11-29T04:14:59Z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