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90" w:lineRule="exact"/>
        <w:jc w:val="left"/>
        <w:textAlignment w:val="auto"/>
        <w:rPr>
          <w:rFonts w:hint="eastAsia" w:ascii="方正小标宋_GBK" w:hAnsi="方正小标宋_GBK" w:eastAsia="方正小标宋_GBK" w:cs="方正小标宋_GBK"/>
          <w:b w:val="0"/>
          <w:bCs/>
          <w:color w:val="000000" w:themeColor="text1"/>
          <w:sz w:val="32"/>
          <w:szCs w:val="32"/>
        </w:rPr>
      </w:pPr>
      <w:r>
        <w:rPr>
          <w:rFonts w:hint="eastAsia" w:ascii="方正小标宋_GBK" w:hAnsi="方正小标宋_GBK" w:eastAsia="方正小标宋_GBK" w:cs="方正小标宋_GBK"/>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90"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一、菌落总数</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二、酸价(以脂肪计)</w:t>
      </w:r>
    </w:p>
    <w:p>
      <w:pPr>
        <w:numPr>
          <w:ilvl w:val="0"/>
          <w:numId w:val="0"/>
        </w:numPr>
        <w:spacing w:line="600" w:lineRule="exact"/>
        <w:ind w:firstLine="640" w:firstLineChars="200"/>
        <w:rPr>
          <w:rFonts w:hint="default" w:ascii="方正仿宋_GBK" w:hAnsi="方正仿宋_GBK" w:eastAsia="方正仿宋_GBK" w:cs="方正仿宋_GBK"/>
          <w:color w:val="auto"/>
          <w:sz w:val="32"/>
          <w:szCs w:val="32"/>
          <w:lang w:val="en-US" w:eastAsia="zh-CN"/>
        </w:rPr>
      </w:pPr>
      <w:r>
        <w:rPr>
          <w:rFonts w:hint="default" w:ascii="方正仿宋_GBK" w:hAnsi="方正仿宋_GBK" w:eastAsia="方正仿宋_GBK" w:cs="方正仿宋_GBK"/>
          <w:color w:val="auto"/>
          <w:sz w:val="32"/>
          <w:szCs w:val="32"/>
          <w:lang w:val="en-US" w:eastAsia="zh-CN"/>
        </w:rPr>
        <w:t>酸价主要反映食品中油脂的酸败程度。酸价超标会导致食品有哈喇味，超标严重时所产生的醛、酮、酸会破坏脂溶性维生素，导致肠胃不适。酸价超标的原因，可能产品储藏运输条件不当。</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三、铅(以Pb计)</w:t>
      </w:r>
    </w:p>
    <w:p>
      <w:pPr>
        <w:numPr>
          <w:ilvl w:val="0"/>
          <w:numId w:val="0"/>
        </w:numPr>
        <w:spacing w:line="600" w:lineRule="exact"/>
        <w:ind w:firstLine="640" w:firstLineChars="200"/>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四、镉(以Cd计)</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五、恩诺沙星</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六、酸值(KOH)</w:t>
      </w:r>
    </w:p>
    <w:p>
      <w:pPr>
        <w:widowControl/>
        <w:adjustRightInd w:val="0"/>
        <w:snapToGrid w:val="0"/>
        <w:spacing w:line="590" w:lineRule="exact"/>
        <w:ind w:firstLine="640" w:firstLineChars="200"/>
        <w:rPr>
          <w:rFonts w:ascii="方正仿宋_GBK" w:hAnsi="宋体" w:eastAsia="方正仿宋_GBK" w:cs="宋体"/>
          <w:kern w:val="0"/>
          <w:sz w:val="32"/>
          <w:szCs w:val="32"/>
        </w:rPr>
      </w:pPr>
      <w:r>
        <w:rPr>
          <w:rFonts w:hint="eastAsia" w:ascii="方正仿宋_GBK" w:hAnsi="宋体" w:eastAsia="方正仿宋_GBK" w:cs="宋体"/>
          <w:kern w:val="0"/>
          <w:sz w:val="32"/>
          <w:szCs w:val="32"/>
        </w:rPr>
        <w:t xml:space="preserve">酸值主要反映食品中的油脂酸败的程度。造成酸值不合格的主要原因有：原料采购上把关不严，如原料水分过高，会加速油脂的酸败；生产工艺不达标，如植物油精炼不到位或未精炼；产品储藏条件不当，特别是在夏季，受气候环境影响因素更大，易导致食品中脂肪的氧化酸败。 　　  </w:t>
      </w:r>
    </w:p>
    <w:p>
      <w:pPr>
        <w:widowControl/>
        <w:adjustRightInd w:val="0"/>
        <w:snapToGrid w:val="0"/>
        <w:spacing w:line="590" w:lineRule="exact"/>
        <w:ind w:firstLine="640" w:firstLineChars="200"/>
        <w:rPr>
          <w:rStyle w:val="26"/>
          <w:rFonts w:cs="Times New Roman" w:asciiTheme="minorEastAsia" w:hAnsiTheme="minorEastAsia"/>
          <w:i w:val="0"/>
          <w:sz w:val="24"/>
          <w:szCs w:val="24"/>
        </w:rPr>
      </w:pPr>
      <w:r>
        <w:rPr>
          <w:rFonts w:hint="eastAsia" w:ascii="方正仿宋_GBK" w:hAnsi="宋体" w:eastAsia="方正仿宋_GBK" w:cs="宋体"/>
          <w:kern w:val="0"/>
          <w:sz w:val="32"/>
          <w:szCs w:val="32"/>
        </w:rPr>
        <w:t>油脂酸败产生的醛酮类化合物长期摄入会对健康有一定影响，但一般情况下，消费者在使用过程中可以明显辨别出其有哈喇等异味，需避免食用。</w:t>
      </w:r>
      <w:r>
        <w:rPr>
          <w:rStyle w:val="26"/>
          <w:rFonts w:hint="eastAsia" w:cs="Times New Roman" w:asciiTheme="minorEastAsia" w:hAnsiTheme="minorEastAsia"/>
          <w:i w:val="0"/>
          <w:sz w:val="24"/>
          <w:szCs w:val="24"/>
        </w:rPr>
        <w:t xml:space="preserve"> </w:t>
      </w:r>
    </w:p>
    <w:p>
      <w:pPr>
        <w:numPr>
          <w:ilvl w:val="0"/>
          <w:numId w:val="0"/>
        </w:numPr>
        <w:spacing w:line="590" w:lineRule="exact"/>
        <w:ind w:leftChars="200" w:firstLine="320" w:firstLineChars="100"/>
        <w:rPr>
          <w:rFonts w:hint="eastAsia" w:ascii="Times New Roman" w:hAnsi="Times New Roman" w:eastAsia="黑体" w:cs="Times New Roman"/>
          <w:sz w:val="32"/>
          <w:szCs w:val="32"/>
        </w:rPr>
      </w:pPr>
      <w:r>
        <w:rPr>
          <w:rFonts w:hint="eastAsia" w:ascii="Times New Roman" w:hAnsi="Times New Roman" w:eastAsia="黑体" w:cs="Times New Roman"/>
          <w:color w:val="auto"/>
          <w:sz w:val="32"/>
          <w:szCs w:val="32"/>
          <w:lang w:val="en-US" w:eastAsia="zh-CN"/>
        </w:rPr>
        <w:t>七、</w:t>
      </w:r>
      <w:r>
        <w:rPr>
          <w:rFonts w:hint="eastAsia" w:ascii="Times New Roman" w:hAnsi="Times New Roman" w:eastAsia="黑体" w:cs="Times New Roman"/>
          <w:sz w:val="32"/>
          <w:szCs w:val="32"/>
        </w:rPr>
        <w:t>酒精度</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default"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八、腐霉利</w:t>
      </w:r>
    </w:p>
    <w:p>
      <w:pPr>
        <w:spacing w:line="59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腐霉利是一种低毒内吸性杀菌剂，具有保护和治疗双重作用。主要用于蔬菜及果树灰霉病的防治。《食品安全国家标准 食品中农药最大残留限量》（GB 2763—2019）中规定，腐霉利在韭菜中的最大残留限量值为0.2mg/kg。韭菜中腐霉利超标的原因，可能是菜农对使用农药的安全间隔期不了解，从而违规使用农药。</w:t>
      </w:r>
    </w:p>
    <w:p>
      <w:pPr>
        <w:spacing w:line="570" w:lineRule="exact"/>
        <w:ind w:firstLine="640" w:firstLineChars="200"/>
        <w:rPr>
          <w:rFonts w:ascii="Times New Roman" w:hAnsi="Times New Roman" w:eastAsia="黑体" w:cs="Times New Roman"/>
          <w:sz w:val="32"/>
          <w:szCs w:val="32"/>
        </w:rPr>
      </w:pPr>
      <w:r>
        <w:rPr>
          <w:rFonts w:hint="eastAsia" w:ascii="黑体" w:hAnsi="黑体" w:eastAsia="黑体"/>
          <w:color w:val="auto"/>
          <w:sz w:val="32"/>
          <w:szCs w:val="32"/>
          <w:lang w:val="en-US" w:eastAsia="zh-CN"/>
        </w:rPr>
        <w:t>九、</w:t>
      </w:r>
      <w:r>
        <w:rPr>
          <w:rFonts w:ascii="Times New Roman" w:hAnsi="Times New Roman" w:eastAsia="黑体" w:cs="Times New Roman"/>
          <w:sz w:val="32"/>
          <w:szCs w:val="32"/>
        </w:rPr>
        <w:t>山梨酸及其钾盐(以山梨酸计)</w:t>
      </w:r>
    </w:p>
    <w:p>
      <w:pPr>
        <w:spacing w:line="59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spacing w:line="570" w:lineRule="exact"/>
        <w:ind w:firstLine="592" w:firstLineChars="200"/>
        <w:rPr>
          <w:rFonts w:hint="eastAsia" w:ascii="黑体" w:hAnsi="黑体" w:eastAsia="黑体"/>
          <w:spacing w:val="-12"/>
          <w:sz w:val="32"/>
          <w:szCs w:val="32"/>
          <w:lang w:val="en-US" w:eastAsia="zh-CN"/>
        </w:rPr>
      </w:pPr>
      <w:r>
        <w:rPr>
          <w:rFonts w:hint="eastAsia" w:eastAsia="黑体"/>
          <w:spacing w:val="-12"/>
          <w:sz w:val="32"/>
          <w:szCs w:val="32"/>
          <w:lang w:val="en-US" w:eastAsia="zh-CN"/>
        </w:rPr>
        <w:t>十</w:t>
      </w:r>
      <w:r>
        <w:rPr>
          <w:rFonts w:hint="eastAsia" w:eastAsia="黑体"/>
          <w:spacing w:val="-12"/>
          <w:sz w:val="32"/>
          <w:szCs w:val="32"/>
        </w:rPr>
        <w:t>、</w:t>
      </w:r>
      <w:r>
        <w:rPr>
          <w:rFonts w:hint="eastAsia" w:ascii="黑体" w:hAnsi="黑体" w:eastAsia="黑体"/>
          <w:sz w:val="32"/>
          <w:szCs w:val="32"/>
          <w:lang w:val="en-US" w:eastAsia="zh-CN"/>
        </w:rPr>
        <w:t>氧乐果</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氧乐果属于有机磷类杀虫剂，具有较强的内吸、触杀和胃毒作用，主要用于防治吮吸式口器害虫和植物性螨。少量的农药残留不会引起人体急性中毒，但长期食用农药残留超标的食品，对人体健康有一定影响。</w:t>
      </w:r>
    </w:p>
    <w:p>
      <w:pPr>
        <w:spacing w:line="594" w:lineRule="exact"/>
        <w:ind w:firstLine="640" w:firstLineChars="200"/>
        <w:rPr>
          <w:rFonts w:ascii="黑体" w:hAnsi="黑体" w:eastAsia="黑体"/>
          <w:spacing w:val="0"/>
          <w:sz w:val="32"/>
          <w:szCs w:val="32"/>
        </w:rPr>
      </w:pPr>
      <w:r>
        <w:rPr>
          <w:rFonts w:hint="eastAsia" w:ascii="黑体" w:hAnsi="黑体" w:eastAsia="黑体"/>
          <w:spacing w:val="0"/>
          <w:sz w:val="32"/>
          <w:szCs w:val="32"/>
          <w:lang w:val="en-US" w:eastAsia="zh-CN"/>
        </w:rPr>
        <w:t>十一</w:t>
      </w:r>
      <w:r>
        <w:rPr>
          <w:rFonts w:hint="eastAsia" w:ascii="黑体" w:hAnsi="黑体" w:eastAsia="黑体"/>
          <w:spacing w:val="0"/>
          <w:sz w:val="32"/>
          <w:szCs w:val="32"/>
        </w:rPr>
        <w:t>、丙溴磷</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丙溴磷是一种具有触杀和胃毒作用的非内吸性有机磷类杀虫剂，在叶片上有较好的渗透性，对柑橘红蜘蛛等有较好防效。少量的残留不会引起人体急性中毒，但长期食用丙溴磷超标的食品，对人体健康可能有一定影响。柑橘中丙溴磷残留量超标的原因，可能是为快速控制虫害，加大用药量或未遵守采摘间隔期规定，致使上市销售的产品中残留量超标。</w:t>
      </w:r>
    </w:p>
    <w:p>
      <w:pPr>
        <w:spacing w:line="594" w:lineRule="exact"/>
        <w:ind w:firstLine="640" w:firstLineChars="200"/>
        <w:rPr>
          <w:rFonts w:hint="eastAsia" w:ascii="黑体" w:hAnsi="黑体" w:eastAsia="黑体"/>
          <w:spacing w:val="0"/>
          <w:sz w:val="32"/>
          <w:szCs w:val="32"/>
        </w:rPr>
      </w:pPr>
      <w:r>
        <w:rPr>
          <w:rFonts w:hint="eastAsia" w:ascii="黑体" w:hAnsi="黑体" w:eastAsia="黑体"/>
          <w:spacing w:val="0"/>
          <w:sz w:val="32"/>
          <w:szCs w:val="32"/>
          <w:lang w:val="en-US" w:eastAsia="zh-CN"/>
        </w:rPr>
        <w:t>十二</w:t>
      </w:r>
      <w:r>
        <w:rPr>
          <w:rFonts w:hint="eastAsia" w:ascii="黑体" w:hAnsi="黑体" w:eastAsia="黑体"/>
          <w:spacing w:val="0"/>
          <w:sz w:val="32"/>
          <w:szCs w:val="32"/>
        </w:rPr>
        <w:t>、尼卡巴嗪</w:t>
      </w:r>
    </w:p>
    <w:p>
      <w:pPr>
        <w:spacing w:line="570" w:lineRule="exact"/>
        <w:ind w:firstLine="640" w:firstLineChars="200"/>
        <w:rPr>
          <w:rFonts w:hint="eastAsia" w:ascii="Times New Roman" w:hAnsi="Times New Roman" w:eastAsia="方正仿宋_GBK" w:cs="Times New Roman"/>
          <w:color w:val="auto"/>
          <w:sz w:val="32"/>
          <w:szCs w:val="32"/>
          <w:lang w:val="en-US" w:eastAsia="zh-CN"/>
        </w:rPr>
      </w:pPr>
      <w:r>
        <w:rPr>
          <w:rFonts w:hint="eastAsia" w:ascii="方正仿宋_GBK" w:hAnsi="Times New Roman" w:eastAsia="方正仿宋_GBK"/>
          <w:sz w:val="32"/>
          <w:szCs w:val="32"/>
          <w:lang w:val="en-US" w:eastAsia="zh-CN"/>
        </w:rPr>
        <w:t>尼卡巴嗪具有高效、低毒、性能稳定、抗药性小等特点，主要用于预防鸡、火鸡等禽类球虫病。长期食用尼卡巴嗪残留超标的食品，可能会危害人体健康。</w:t>
      </w:r>
      <w:bookmarkStart w:id="0" w:name="_GoBack"/>
      <w:bookmarkEnd w:id="0"/>
      <w:r>
        <w:rPr>
          <w:rFonts w:hint="eastAsia" w:ascii="方正仿宋_GBK" w:hAnsi="Times New Roman" w:eastAsia="方正仿宋_GBK"/>
          <w:sz w:val="32"/>
          <w:szCs w:val="32"/>
          <w:lang w:val="en-US" w:eastAsia="zh-CN"/>
        </w:rPr>
        <w:t>鸡肉中尼卡巴嗪超标的原因，可能是养殖户在养殖过程中违规使用相关兽药。</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6B674E2-4EEE-425C-90EF-01F8552F1D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embedRegular r:id="rId2" w:fontKey="{D6FABF8C-5CF4-4DF5-AF77-0C04E07D69D0}"/>
  </w:font>
  <w:font w:name="方正小标宋简体">
    <w:panose1 w:val="02000000000000000000"/>
    <w:charset w:val="86"/>
    <w:family w:val="script"/>
    <w:pitch w:val="default"/>
    <w:sig w:usb0="00000001" w:usb1="08000000" w:usb2="00000000" w:usb3="00000000" w:csb0="00040000" w:csb1="00000000"/>
    <w:embedRegular r:id="rId3" w:fontKey="{2DFDC678-1C77-400D-9463-36679EBB058F}"/>
  </w:font>
  <w:font w:name="ˎ̥">
    <w:altName w:val="Times New Roman"/>
    <w:panose1 w:val="00000000000000000000"/>
    <w:charset w:val="00"/>
    <w:family w:val="roman"/>
    <w:pitch w:val="default"/>
    <w:sig w:usb0="00000000" w:usb1="00000000" w:usb2="00000000" w:usb3="00000000" w:csb0="00040001" w:csb1="00000000"/>
  </w:font>
  <w:font w:name="方正仿宋_GBK">
    <w:panose1 w:val="03000509000000000000"/>
    <w:charset w:val="86"/>
    <w:family w:val="script"/>
    <w:pitch w:val="default"/>
    <w:sig w:usb0="00000001" w:usb1="080E0000" w:usb2="00000000" w:usb3="00000000" w:csb0="00040000" w:csb1="00000000"/>
    <w:embedRegular r:id="rId4" w:fontKey="{C8B2078F-5D3F-4AE1-B466-EF6432AE3B28}"/>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535271"/>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D46702"/>
    <w:rsid w:val="090D03C8"/>
    <w:rsid w:val="09161662"/>
    <w:rsid w:val="0935389D"/>
    <w:rsid w:val="09613572"/>
    <w:rsid w:val="098168D4"/>
    <w:rsid w:val="09D07A4E"/>
    <w:rsid w:val="09E0572E"/>
    <w:rsid w:val="0A260814"/>
    <w:rsid w:val="0A2E733D"/>
    <w:rsid w:val="0A4011CE"/>
    <w:rsid w:val="0B443F79"/>
    <w:rsid w:val="0B505CFE"/>
    <w:rsid w:val="0BD14C97"/>
    <w:rsid w:val="0C2D7460"/>
    <w:rsid w:val="0C686E73"/>
    <w:rsid w:val="0CCE6341"/>
    <w:rsid w:val="0D2B60D6"/>
    <w:rsid w:val="0D4279C5"/>
    <w:rsid w:val="0D4E4FC5"/>
    <w:rsid w:val="0D852F3F"/>
    <w:rsid w:val="0E284B04"/>
    <w:rsid w:val="0EC12409"/>
    <w:rsid w:val="0F8E03D8"/>
    <w:rsid w:val="0FC01C62"/>
    <w:rsid w:val="107C1AA5"/>
    <w:rsid w:val="112F4831"/>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0C1690"/>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F1473B1"/>
    <w:rsid w:val="1F50331B"/>
    <w:rsid w:val="1F512493"/>
    <w:rsid w:val="1FBA587F"/>
    <w:rsid w:val="1FC678BD"/>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9200D3"/>
    <w:rsid w:val="2FBD69D2"/>
    <w:rsid w:val="306174F4"/>
    <w:rsid w:val="30AB51CA"/>
    <w:rsid w:val="30C52F74"/>
    <w:rsid w:val="312049B3"/>
    <w:rsid w:val="31390AFB"/>
    <w:rsid w:val="31727237"/>
    <w:rsid w:val="31B04CB9"/>
    <w:rsid w:val="31C2110A"/>
    <w:rsid w:val="31E4442C"/>
    <w:rsid w:val="31F75EEE"/>
    <w:rsid w:val="320944EF"/>
    <w:rsid w:val="32671426"/>
    <w:rsid w:val="32B12BD0"/>
    <w:rsid w:val="3301198A"/>
    <w:rsid w:val="331F76EF"/>
    <w:rsid w:val="33B62C00"/>
    <w:rsid w:val="35962F57"/>
    <w:rsid w:val="36731FE9"/>
    <w:rsid w:val="36970865"/>
    <w:rsid w:val="36DC7414"/>
    <w:rsid w:val="37246F64"/>
    <w:rsid w:val="372F7CA3"/>
    <w:rsid w:val="37975EBC"/>
    <w:rsid w:val="37980617"/>
    <w:rsid w:val="37CC5AA4"/>
    <w:rsid w:val="37D8062F"/>
    <w:rsid w:val="37F96A05"/>
    <w:rsid w:val="383060A2"/>
    <w:rsid w:val="38353C2B"/>
    <w:rsid w:val="38642EE5"/>
    <w:rsid w:val="38EC4654"/>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6D2745"/>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6F178F"/>
    <w:rsid w:val="56AD3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F00AC"/>
    <w:rsid w:val="5E5477D1"/>
    <w:rsid w:val="5E82604C"/>
    <w:rsid w:val="5EB3567B"/>
    <w:rsid w:val="5EBF21C8"/>
    <w:rsid w:val="5FAC4190"/>
    <w:rsid w:val="5FB4017C"/>
    <w:rsid w:val="5FFF7E8C"/>
    <w:rsid w:val="60240AE7"/>
    <w:rsid w:val="60A816BA"/>
    <w:rsid w:val="62106968"/>
    <w:rsid w:val="622D13A9"/>
    <w:rsid w:val="62733EE5"/>
    <w:rsid w:val="62A23EF9"/>
    <w:rsid w:val="62E64A8D"/>
    <w:rsid w:val="63744B4A"/>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B05E23"/>
    <w:rsid w:val="70433045"/>
    <w:rsid w:val="71236AF0"/>
    <w:rsid w:val="71A911C1"/>
    <w:rsid w:val="722F26B4"/>
    <w:rsid w:val="72734411"/>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2021-10-19T02:18:41Z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