
<file path=[Content_Types].xml><?xml version="1.0" encoding="utf-8"?>
<Types xmlns="http://schemas.openxmlformats.org/package/2006/content-types">
  <Default Extension="xml" ContentType="application/xml"/>
  <Default Extension="tiff" ContentType="image/tiff"/>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729"/>
        <w:gridCol w:w="521"/>
        <w:gridCol w:w="8114"/>
      </w:tblGrid>
      <w:tr w14:paraId="3B94E5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090" w:type="dxa"/>
            <w:gridSpan w:val="2"/>
          </w:tcPr>
          <w:p w14:paraId="695DBE08">
            <w:pPr>
              <w:pStyle w:val="18"/>
              <w:framePr w:x="848" w:y="587"/>
              <w:spacing w:before="120" w:after="120"/>
              <w:ind w:left="360" w:hanging="360" w:hanging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ICS</w:t>
            </w:r>
            <w:r>
              <w:rPr>
                <w:rFonts w:hint="eastAsia" w:ascii="Times New Roman" w:hAnsi="Times New Roman"/>
                <w:color w:val="000000" w:themeColor="text1"/>
                <w14:textFill>
                  <w14:solidFill>
                    <w14:schemeClr w14:val="tx1"/>
                  </w14:solidFill>
                </w14:textFill>
              </w:rPr>
              <w:t xml:space="preserve"> </w:t>
            </w:r>
            <w:r>
              <w:rPr>
                <w:color w:val="000000" w:themeColor="text1"/>
                <w14:textFill>
                  <w14:solidFill>
                    <w14:schemeClr w14:val="tx1"/>
                  </w14:solidFill>
                </w14:textFill>
              </w:rPr>
              <w:t>65.060.30</w:t>
            </w:r>
          </w:p>
        </w:tc>
        <w:tc>
          <w:tcPr>
            <w:tcW w:w="8274" w:type="dxa"/>
          </w:tcPr>
          <w:p w14:paraId="4C5031D7">
            <w:pPr>
              <w:pStyle w:val="230"/>
              <w:framePr w:wrap="notBeside" w:vAnchor="margin" w:hAnchor="text" w:x="848" w:y="587"/>
              <w:rPr>
                <w:color w:val="000000" w:themeColor="text1"/>
                <w14:textFill>
                  <w14:solidFill>
                    <w14:schemeClr w14:val="tx1"/>
                  </w14:solidFill>
                </w14:textFill>
              </w:rPr>
            </w:pPr>
          </w:p>
        </w:tc>
      </w:tr>
      <w:tr w14:paraId="035B97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67" w:type="dxa"/>
          </w:tcPr>
          <w:p w14:paraId="5A30F076">
            <w:pPr>
              <w:pStyle w:val="18"/>
              <w:framePr w:x="848" w:y="587"/>
              <w:spacing w:before="120" w:after="12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CCS  </w:t>
            </w:r>
          </w:p>
        </w:tc>
        <w:tc>
          <w:tcPr>
            <w:tcW w:w="8797" w:type="dxa"/>
            <w:gridSpan w:val="2"/>
          </w:tcPr>
          <w:p w14:paraId="2285D57B">
            <w:pPr>
              <w:pStyle w:val="18"/>
              <w:framePr w:x="848" w:y="587"/>
              <w:spacing w:before="120" w:after="12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B05</w:t>
            </w:r>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26BE8D00">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6BDA0A00">
            <w:pPr>
              <w:pStyle w:val="49"/>
              <w:framePr w:w="0" w:hRule="auto" w:wrap="auto" w:vAnchor="margin" w:hAnchor="text" w:xAlign="left" w:yAlign="inline"/>
              <w:rPr>
                <w:color w:val="000000" w:themeColor="text1"/>
                <w:sz w:val="28"/>
                <w:szCs w:val="28"/>
                <w14:textFill>
                  <w14:solidFill>
                    <w14:schemeClr w14:val="tx1"/>
                  </w14:solidFill>
                </w14:textFill>
              </w:rPr>
            </w:pPr>
            <w:bookmarkStart w:id="0" w:name="_Hlk26473981"/>
            <w:r>
              <w:rPr>
                <w:color w:val="000000" w:themeColor="text1"/>
                <w14:textFill>
                  <w14:solidFill>
                    <w14:schemeClr w14:val="tx1"/>
                  </w14:solidFill>
                </w14:textFill>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color w:val="000000" w:themeColor="text1"/>
                <w:sz w:val="21"/>
                <w:szCs w:val="21"/>
                <w14:textFill>
                  <w14:solidFill>
                    <w14:schemeClr w14:val="tx1"/>
                  </w14:solidFill>
                </w14:textFill>
              </w:rPr>
              <w:t xml:space="preserve"> </w:t>
            </w:r>
            <w:r>
              <w:rPr>
                <w:color w:val="000000" w:themeColor="text1"/>
                <w14:textFill>
                  <w14:solidFill>
                    <w14:schemeClr w14:val="tx1"/>
                  </w14:solidFill>
                </w14:textFill>
              </w:rPr>
              <w:t>32</w:t>
            </w:r>
          </w:p>
        </w:tc>
      </w:tr>
    </w:tbl>
    <w:p w14:paraId="7733FB29">
      <w:pPr>
        <w:pStyle w:val="50"/>
        <w:framePr w:w="9639" w:h="624" w:hRule="exact" w:hSpace="181" w:vSpace="181" w:wrap="around" w:hAnchor="page" w:x="1305" w:y="2269"/>
        <w:rPr>
          <w:rFonts w:ascii="Times New Roman" w:eastAsia="黑体"/>
          <w:b w:val="0"/>
          <w:bCs w:val="0"/>
          <w:color w:val="000000" w:themeColor="text1"/>
          <w:w w:val="100"/>
          <w:sz w:val="48"/>
          <w:szCs w:val="48"/>
          <w14:textFill>
            <w14:solidFill>
              <w14:schemeClr w14:val="tx1"/>
            </w14:solidFill>
          </w14:textFill>
        </w:rPr>
      </w:pPr>
      <w:r>
        <w:rPr>
          <w:rFonts w:ascii="Times New Roman" w:eastAsia="黑体"/>
          <w:b w:val="0"/>
          <w:color w:val="000000" w:themeColor="text1"/>
          <w:w w:val="100"/>
          <w:sz w:val="48"/>
          <w14:textFill>
            <w14:solidFill>
              <w14:schemeClr w14:val="tx1"/>
            </w14:solidFill>
          </w14:textFill>
        </w:rPr>
        <w:t>江苏省</w:t>
      </w:r>
      <w:r>
        <w:rPr>
          <w:rFonts w:ascii="Times New Roman" w:eastAsia="黑体"/>
          <w:b w:val="0"/>
          <w:bCs w:val="0"/>
          <w:color w:val="000000" w:themeColor="text1"/>
          <w:w w:val="100"/>
          <w:sz w:val="48"/>
          <w:szCs w:val="48"/>
          <w14:textFill>
            <w14:solidFill>
              <w14:schemeClr w14:val="tx1"/>
            </w14:solidFill>
          </w14:textFill>
        </w:rPr>
        <w:t>地方标准</w:t>
      </w:r>
    </w:p>
    <w:bookmarkEnd w:id="0"/>
    <w:p w14:paraId="20373CA6">
      <w:pPr>
        <w:pStyle w:val="195"/>
        <w:framePr/>
        <w:ind w:firstLine="56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DB</w:t>
      </w:r>
      <w:r>
        <w:rPr>
          <w:rFonts w:ascii="Times New Roman"/>
          <w:color w:val="000000" w:themeColor="text1"/>
          <w:sz w:val="15"/>
          <w:szCs w:val="15"/>
          <w14:textFill>
            <w14:solidFill>
              <w14:schemeClr w14:val="tx1"/>
            </w14:solidFill>
          </w14:textFill>
        </w:rPr>
        <w:t xml:space="preserve"> </w:t>
      </w:r>
      <w:r>
        <w:rPr>
          <w:rFonts w:ascii="Times New Roman"/>
          <w:color w:val="000000" w:themeColor="text1"/>
          <w14:textFill>
            <w14:solidFill>
              <w14:schemeClr w14:val="tx1"/>
            </w14:solidFill>
          </w14:textFill>
        </w:rPr>
        <w:t xml:space="preserve">32/T </w:t>
      </w:r>
      <w:r>
        <w:rPr>
          <w:rFonts w:ascii="Times New Roman"/>
          <w:color w:val="000000" w:themeColor="text1"/>
          <w14:textFill>
            <w14:solidFill>
              <w14:schemeClr w14:val="tx1"/>
            </w14:solidFill>
          </w14:textFill>
        </w:rPr>
        <w:fldChar w:fldCharType="begin">
          <w:ffData>
            <w:name w:val="NSTD_CODE_F"/>
            <w:enabled/>
            <w:calcOnExit w:val="0"/>
            <w:textInput>
              <w:default w:val="XXXX"/>
            </w:textInput>
          </w:ffData>
        </w:fldChar>
      </w:r>
      <w:bookmarkStart w:id="1" w:name="NSTD_CODE_F"/>
      <w:r>
        <w:rPr>
          <w:rFonts w:ascii="Times New Roman"/>
          <w:color w:val="000000" w:themeColor="text1"/>
          <w14:textFill>
            <w14:solidFill>
              <w14:schemeClr w14:val="tx1"/>
            </w14:solidFill>
          </w14:textFill>
        </w:rPr>
        <w:instrText xml:space="preserve"> FORMTEXT </w:instrText>
      </w:r>
      <w:r>
        <w:rPr>
          <w:rFonts w:ascii="Times New Roman"/>
          <w:color w:val="000000" w:themeColor="text1"/>
          <w14:textFill>
            <w14:solidFill>
              <w14:schemeClr w14:val="tx1"/>
            </w14:solidFill>
          </w14:textFill>
        </w:rPr>
        <w:fldChar w:fldCharType="separate"/>
      </w:r>
      <w:r>
        <w:rPr>
          <w:rFonts w:ascii="Times New Roman"/>
          <w:color w:val="000000" w:themeColor="text1"/>
          <w14:textFill>
            <w14:solidFill>
              <w14:schemeClr w14:val="tx1"/>
            </w14:solidFill>
          </w14:textFill>
        </w:rPr>
        <w:t>XXXX</w:t>
      </w:r>
      <w:r>
        <w:rPr>
          <w:rFonts w:ascii="Times New Roman"/>
          <w:color w:val="000000" w:themeColor="text1"/>
          <w14:textFill>
            <w14:solidFill>
              <w14:schemeClr w14:val="tx1"/>
            </w14:solidFill>
          </w14:textFill>
        </w:rPr>
        <w:fldChar w:fldCharType="end"/>
      </w:r>
      <w:bookmarkEnd w:id="1"/>
      <w:r>
        <w:rPr>
          <w:rFonts w:ascii="Times New Roman"/>
          <w:color w:val="000000" w:themeColor="text1"/>
          <w14:textFill>
            <w14:solidFill>
              <w14:schemeClr w14:val="tx1"/>
            </w14:solidFill>
          </w14:textFill>
        </w:rPr>
        <w:t>—</w:t>
      </w:r>
      <w:r>
        <w:rPr>
          <w:rFonts w:ascii="Times New Roman"/>
          <w:color w:val="000000" w:themeColor="text1"/>
          <w14:textFill>
            <w14:solidFill>
              <w14:schemeClr w14:val="tx1"/>
            </w14:solidFill>
          </w14:textFill>
        </w:rPr>
        <w:fldChar w:fldCharType="begin">
          <w:ffData>
            <w:name w:val="NSTD_CODE_B"/>
            <w:enabled/>
            <w:calcOnExit w:val="0"/>
            <w:textInput>
              <w:default w:val="XXXX"/>
            </w:textInput>
          </w:ffData>
        </w:fldChar>
      </w:r>
      <w:bookmarkStart w:id="2" w:name="NSTD_CODE_B"/>
      <w:r>
        <w:rPr>
          <w:rFonts w:ascii="Times New Roman"/>
          <w:color w:val="000000" w:themeColor="text1"/>
          <w14:textFill>
            <w14:solidFill>
              <w14:schemeClr w14:val="tx1"/>
            </w14:solidFill>
          </w14:textFill>
        </w:rPr>
        <w:instrText xml:space="preserve"> FORMTEXT </w:instrText>
      </w:r>
      <w:r>
        <w:rPr>
          <w:rFonts w:ascii="Times New Roman"/>
          <w:color w:val="000000" w:themeColor="text1"/>
          <w14:textFill>
            <w14:solidFill>
              <w14:schemeClr w14:val="tx1"/>
            </w14:solidFill>
          </w14:textFill>
        </w:rPr>
        <w:fldChar w:fldCharType="separate"/>
      </w:r>
      <w:r>
        <w:rPr>
          <w:rFonts w:ascii="Times New Roman"/>
          <w:color w:val="000000" w:themeColor="text1"/>
          <w14:textFill>
            <w14:solidFill>
              <w14:schemeClr w14:val="tx1"/>
            </w14:solidFill>
          </w14:textFill>
        </w:rPr>
        <w:t>XXXX</w:t>
      </w:r>
      <w:r>
        <w:rPr>
          <w:rFonts w:ascii="Times New Roman"/>
          <w:color w:val="000000" w:themeColor="text1"/>
          <w14:textFill>
            <w14:solidFill>
              <w14:schemeClr w14:val="tx1"/>
            </w14:solidFill>
          </w14:textFill>
        </w:rPr>
        <w:fldChar w:fldCharType="end"/>
      </w:r>
      <w:bookmarkEnd w:id="2"/>
    </w:p>
    <w:p w14:paraId="021E5D63">
      <w:pPr>
        <w:pStyle w:val="196"/>
        <w:framePr/>
        <w:rPr>
          <w:rFonts w:ascii="Times New Roman"/>
          <w:color w:val="000000" w:themeColor="text1"/>
          <w14:textFill>
            <w14:solidFill>
              <w14:schemeClr w14:val="tx1"/>
            </w14:solidFill>
          </w14:textFill>
        </w:rPr>
      </w:pPr>
    </w:p>
    <w:p w14:paraId="61F15177">
      <w:pPr>
        <w:spacing w:before="120" w:after="120" w:line="240" w:lineRule="auto"/>
        <w:rPr>
          <w:rFonts w:ascii="Times New Roman" w:hAnsi="Times New Roman" w:eastAsia="黑体"/>
          <w:color w:val="000000" w:themeColor="text1"/>
          <w:kern w:val="0"/>
          <w:sz w:val="10"/>
          <w:szCs w:val="10"/>
          <w14:textFill>
            <w14:solidFill>
              <w14:schemeClr w14:val="tx1"/>
            </w14:solidFill>
          </w14:textFill>
        </w:rPr>
      </w:pPr>
      <w:r>
        <w:rPr>
          <w:rFonts w:ascii="Times New Roman" w:hAnsi="Times New Roman" w:eastAsia="黑体"/>
          <w:color w:val="000000" w:themeColor="text1"/>
          <w:kern w:val="0"/>
          <w:sz w:val="10"/>
          <w:szCs w:val="10"/>
          <w14:textFill>
            <w14:solidFill>
              <w14:schemeClr w14:val="tx1"/>
            </w14:solidFill>
          </w14:textFill>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1CF2C69">
      <w:pPr>
        <w:pStyle w:val="50"/>
        <w:framePr w:w="9639" w:h="6976" w:hRule="exact" w:hSpace="0" w:vSpace="0" w:wrap="around" w:hAnchor="page" w:y="6408"/>
        <w:jc w:val="center"/>
        <w:rPr>
          <w:rFonts w:ascii="Times New Roman" w:eastAsia="黑体"/>
          <w:b w:val="0"/>
          <w:bCs w:val="0"/>
          <w:color w:val="000000" w:themeColor="text1"/>
          <w:w w:val="100"/>
          <w14:textFill>
            <w14:solidFill>
              <w14:schemeClr w14:val="tx1"/>
            </w14:solidFill>
          </w14:textFill>
        </w:rPr>
      </w:pPr>
    </w:p>
    <w:p w14:paraId="03E76B06">
      <w:pPr>
        <w:pStyle w:val="124"/>
        <w:framePr w:w="9639" w:h="6974" w:hRule="exact" w:wrap="around" w:vAnchor="page" w:hAnchor="page" w:x="1036" w:y="6286" w:anchorLock="1"/>
        <w:rPr>
          <w:rFonts w:ascii="Times New Roman" w:eastAsia="黑体"/>
          <w:color w:val="000000" w:themeColor="text1"/>
          <w:sz w:val="52"/>
          <w:szCs w:val="52"/>
          <w14:textFill>
            <w14:solidFill>
              <w14:schemeClr w14:val="tx1"/>
            </w14:solidFill>
          </w14:textFill>
        </w:rPr>
      </w:pPr>
      <w:r>
        <w:rPr>
          <w:rFonts w:ascii="Times New Roman" w:eastAsia="黑体"/>
          <w:color w:val="000000" w:themeColor="text1"/>
          <w:sz w:val="52"/>
          <w:szCs w:val="52"/>
          <w14:textFill>
            <w14:solidFill>
              <w14:schemeClr w14:val="tx1"/>
            </w14:solidFill>
          </w14:textFill>
        </w:rPr>
        <w:t>水稻机械化直播作业质量评价技术规范</w:t>
      </w:r>
    </w:p>
    <w:p w14:paraId="60018578">
      <w:pPr>
        <w:pStyle w:val="125"/>
        <w:framePr w:w="9639" w:h="6974" w:hRule="exact" w:wrap="around" w:vAnchor="page" w:hAnchor="page" w:x="1036" w:y="6286" w:anchorLock="1"/>
        <w:spacing w:before="120" w:after="120"/>
        <w:rPr>
          <w:rFonts w:eastAsia="黑体"/>
          <w:color w:val="000000" w:themeColor="text1"/>
          <w:szCs w:val="28"/>
          <w14:textFill>
            <w14:solidFill>
              <w14:schemeClr w14:val="tx1"/>
            </w14:solidFill>
          </w14:textFill>
        </w:rPr>
      </w:pPr>
    </w:p>
    <w:p w14:paraId="356A3795">
      <w:pPr>
        <w:pStyle w:val="124"/>
        <w:framePr w:w="9639" w:h="6974" w:hRule="exact" w:wrap="around" w:vAnchor="page" w:hAnchor="page" w:x="1036" w:y="6286" w:anchorLock="1"/>
        <w:rPr>
          <w:rFonts w:ascii="Times New Roman" w:eastAsia="黑体"/>
          <w:color w:val="000000" w:themeColor="text1"/>
          <w:sz w:val="28"/>
          <w:szCs w:val="28"/>
          <w14:textFill>
            <w14:solidFill>
              <w14:schemeClr w14:val="tx1"/>
            </w14:solidFill>
          </w14:textFill>
        </w:rPr>
      </w:pPr>
      <w:r>
        <w:rPr>
          <w:rFonts w:ascii="Times New Roman" w:eastAsia="黑体"/>
          <w:color w:val="000000" w:themeColor="text1"/>
          <w:sz w:val="28"/>
          <w:szCs w:val="28"/>
          <w14:textFill>
            <w14:solidFill>
              <w14:schemeClr w14:val="tx1"/>
            </w14:solidFill>
          </w14:textFill>
        </w:rPr>
        <w:t>Technical specification for quality evaluation of rice mechanized direct seeding operation</w:t>
      </w:r>
    </w:p>
    <w:p w14:paraId="46E3285E">
      <w:pPr>
        <w:pStyle w:val="123"/>
        <w:framePr w:w="9639" w:h="6974" w:hRule="exact" w:wrap="around" w:vAnchor="page" w:hAnchor="page" w:x="1036" w:y="6286" w:anchorLock="1"/>
        <w:spacing w:before="120" w:after="120"/>
        <w:rPr>
          <w:rFonts w:ascii="Times New Roman"/>
          <w:color w:val="000000" w:themeColor="text1"/>
          <w14:textFill>
            <w14:solidFill>
              <w14:schemeClr w14:val="tx1"/>
            </w14:solidFill>
          </w14:textFill>
        </w:rPr>
      </w:pPr>
    </w:p>
    <w:p w14:paraId="139084CE">
      <w:pPr>
        <w:pStyle w:val="125"/>
        <w:framePr w:w="9639" w:h="6974" w:hRule="exact" w:wrap="around" w:vAnchor="page" w:hAnchor="page" w:x="1036" w:y="6286" w:anchorLock="1"/>
        <w:jc w:val="both"/>
        <w:textAlignment w:val="bottom"/>
        <w:rPr>
          <w:rFonts w:eastAsia="黑体"/>
          <w:color w:val="000000" w:themeColor="text1"/>
          <w:szCs w:val="28"/>
          <w14:textFill>
            <w14:solidFill>
              <w14:schemeClr w14:val="tx1"/>
            </w14:solidFill>
          </w14:textFill>
        </w:rPr>
      </w:pPr>
    </w:p>
    <w:p w14:paraId="2A438078">
      <w:pPr>
        <w:pStyle w:val="125"/>
        <w:framePr w:w="9639" w:h="6974" w:hRule="exact" w:wrap="around" w:vAnchor="page" w:hAnchor="page" w:x="1036" w:y="6286" w:anchorLock="1"/>
        <w:jc w:val="both"/>
        <w:textAlignment w:val="bottom"/>
        <w:rPr>
          <w:rFonts w:eastAsia="黑体"/>
          <w:color w:val="000000" w:themeColor="text1"/>
          <w:szCs w:val="28"/>
          <w14:textFill>
            <w14:solidFill>
              <w14:schemeClr w14:val="tx1"/>
            </w14:solidFill>
          </w14:textFill>
        </w:rPr>
      </w:pPr>
    </w:p>
    <w:p w14:paraId="7AA446D2">
      <w:pPr>
        <w:pStyle w:val="125"/>
        <w:framePr w:w="9639" w:h="6974" w:hRule="exact" w:wrap="around" w:vAnchor="page" w:hAnchor="page" w:x="1036" w:y="6286" w:anchorLock="1"/>
        <w:spacing w:before="440" w:after="160"/>
        <w:textAlignment w:val="bottom"/>
        <w:rPr>
          <w:color w:val="000000" w:themeColor="text1"/>
          <w:sz w:val="24"/>
          <w:szCs w:val="28"/>
          <w14:textFill>
            <w14:solidFill>
              <w14:schemeClr w14:val="tx1"/>
            </w14:solidFill>
          </w14:textFill>
        </w:rPr>
      </w:pPr>
      <w:r>
        <w:rPr>
          <w:color w:val="000000" w:themeColor="text1"/>
          <w:sz w:val="24"/>
          <w:szCs w:val="28"/>
          <w14:textFill>
            <w14:solidFill>
              <w14:schemeClr w14:val="tx1"/>
            </w14:solidFill>
          </w14:textFill>
        </w:rPr>
        <w:t>（报批稿）</w:t>
      </w:r>
    </w:p>
    <w:p w14:paraId="0B3DCE38">
      <w:pPr>
        <w:pStyle w:val="125"/>
        <w:framePr w:w="9639" w:h="6974" w:hRule="exact" w:wrap="around" w:vAnchor="page" w:hAnchor="page" w:x="1036" w:y="6286" w:anchorLock="1"/>
        <w:spacing w:before="180" w:line="240" w:lineRule="atLeast"/>
        <w:textAlignment w:val="bottom"/>
        <w:rPr>
          <w:color w:val="000000" w:themeColor="text1"/>
          <w:sz w:val="21"/>
          <w:szCs w:val="28"/>
          <w14:textFill>
            <w14:solidFill>
              <w14:schemeClr w14:val="tx1"/>
            </w14:solidFill>
          </w14:textFill>
        </w:rPr>
      </w:pPr>
    </w:p>
    <w:p w14:paraId="5D1CEB6C">
      <w:pPr>
        <w:pStyle w:val="125"/>
        <w:framePr w:w="9639" w:h="6974" w:hRule="exact" w:wrap="around" w:vAnchor="page" w:hAnchor="page" w:x="1036" w:y="6286" w:anchorLock="1"/>
        <w:spacing w:before="720" w:beforeLines="300" w:after="72" w:afterLines="30" w:line="240" w:lineRule="auto"/>
        <w:textAlignment w:val="bottom"/>
        <w:rPr>
          <w:b/>
          <w:color w:val="000000" w:themeColor="text1"/>
          <w:sz w:val="21"/>
          <w:szCs w:val="28"/>
          <w14:textFill>
            <w14:solidFill>
              <w14:schemeClr w14:val="tx1"/>
            </w14:solidFill>
          </w14:textFill>
        </w:rPr>
      </w:pPr>
    </w:p>
    <w:p w14:paraId="3980671A">
      <w:pPr>
        <w:pStyle w:val="193"/>
        <w:framePr w:wrap="around" w:y="14176"/>
        <w:rPr>
          <w:color w:val="000000" w:themeColor="text1"/>
          <w14:textFill>
            <w14:solidFill>
              <w14:schemeClr w14:val="tx1"/>
            </w14:solidFill>
          </w14:textFill>
        </w:rPr>
      </w:pPr>
      <w:r>
        <w:rPr>
          <w:color w:val="000000" w:themeColor="text1"/>
          <w14:textFill>
            <w14:solidFill>
              <w14:schemeClr w14:val="tx1"/>
            </w14:solidFill>
          </w14:textFill>
        </w:rPr>
        <w:fldChar w:fldCharType="begin">
          <w:ffData>
            <w:name w:val="PLSH_DATE_Y"/>
            <w:enabled/>
            <w:calcOnExit w:val="0"/>
            <w:textInput>
              <w:default w:val="XXXX"/>
              <w:maxLength w:val="4"/>
            </w:textInput>
          </w:ffData>
        </w:fldChar>
      </w:r>
      <w:bookmarkStart w:id="3" w:name="PLSH_DATE_Y"/>
      <w:r>
        <w:rPr>
          <w:color w:val="000000" w:themeColor="text1"/>
          <w14:textFill>
            <w14:solidFill>
              <w14:schemeClr w14:val="tx1"/>
            </w14:solidFill>
          </w14:textFill>
        </w:rPr>
        <w:instrText xml:space="preserve"> FORMTEXT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XXXX</w:t>
      </w:r>
      <w:r>
        <w:rPr>
          <w:color w:val="000000" w:themeColor="text1"/>
          <w14:textFill>
            <w14:solidFill>
              <w14:schemeClr w14:val="tx1"/>
            </w14:solidFill>
          </w14:textFill>
        </w:rPr>
        <w:fldChar w:fldCharType="end"/>
      </w:r>
      <w:bookmarkEnd w:id="3"/>
      <w:r>
        <w:rPr>
          <w:color w:val="000000" w:themeColor="text1"/>
          <w14:textFill>
            <w14:solidFill>
              <w14:schemeClr w14:val="tx1"/>
            </w14:solidFill>
          </w14:textFill>
        </w:rPr>
        <w:t xml:space="preserve"> - </w:t>
      </w:r>
      <w:r>
        <w:rPr>
          <w:color w:val="000000" w:themeColor="text1"/>
          <w14:textFill>
            <w14:solidFill>
              <w14:schemeClr w14:val="tx1"/>
            </w14:solidFill>
          </w14:textFill>
        </w:rPr>
        <w:fldChar w:fldCharType="begin">
          <w:ffData>
            <w:name w:val="PLSH_DATE_M"/>
            <w:enabled/>
            <w:calcOnExit w:val="0"/>
            <w:textInput>
              <w:default w:val="XX"/>
              <w:maxLength w:val="2"/>
            </w:textInput>
          </w:ffData>
        </w:fldChar>
      </w:r>
      <w:bookmarkStart w:id="4" w:name="PLSH_DATE_M"/>
      <w:r>
        <w:rPr>
          <w:color w:val="000000" w:themeColor="text1"/>
          <w14:textFill>
            <w14:solidFill>
              <w14:schemeClr w14:val="tx1"/>
            </w14:solidFill>
          </w14:textFill>
        </w:rPr>
        <w:instrText xml:space="preserve"> FORMTEXT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XX</w:t>
      </w:r>
      <w:r>
        <w:rPr>
          <w:color w:val="000000" w:themeColor="text1"/>
          <w14:textFill>
            <w14:solidFill>
              <w14:schemeClr w14:val="tx1"/>
            </w14:solidFill>
          </w14:textFill>
        </w:rPr>
        <w:fldChar w:fldCharType="end"/>
      </w:r>
      <w:bookmarkEnd w:id="4"/>
      <w:r>
        <w:rPr>
          <w:color w:val="000000" w:themeColor="text1"/>
          <w14:textFill>
            <w14:solidFill>
              <w14:schemeClr w14:val="tx1"/>
            </w14:solidFill>
          </w14:textFill>
        </w:rPr>
        <w:t xml:space="preserve"> - </w:t>
      </w:r>
      <w:r>
        <w:rPr>
          <w:color w:val="000000" w:themeColor="text1"/>
          <w14:textFill>
            <w14:solidFill>
              <w14:schemeClr w14:val="tx1"/>
            </w14:solidFill>
          </w14:textFill>
        </w:rPr>
        <w:fldChar w:fldCharType="begin">
          <w:ffData>
            <w:name w:val="PLSH_DATE_D"/>
            <w:enabled/>
            <w:calcOnExit w:val="0"/>
            <w:textInput>
              <w:default w:val="XX"/>
              <w:maxLength w:val="2"/>
            </w:textInput>
          </w:ffData>
        </w:fldChar>
      </w:r>
      <w:bookmarkStart w:id="5" w:name="PLSH_DATE_D"/>
      <w:r>
        <w:rPr>
          <w:color w:val="000000" w:themeColor="text1"/>
          <w14:textFill>
            <w14:solidFill>
              <w14:schemeClr w14:val="tx1"/>
            </w14:solidFill>
          </w14:textFill>
        </w:rPr>
        <w:instrText xml:space="preserve"> FORMTEXT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XX</w:t>
      </w:r>
      <w:r>
        <w:rPr>
          <w:color w:val="000000" w:themeColor="text1"/>
          <w14:textFill>
            <w14:solidFill>
              <w14:schemeClr w14:val="tx1"/>
            </w14:solidFill>
          </w14:textFill>
        </w:rPr>
        <w:fldChar w:fldCharType="end"/>
      </w:r>
      <w:bookmarkEnd w:id="5"/>
      <w:r>
        <w:rPr>
          <w:color w:val="000000" w:themeColor="text1"/>
          <w14:textFill>
            <w14:solidFill>
              <w14:schemeClr w14:val="tx1"/>
            </w14:solidFill>
          </w14:textFill>
        </w:rPr>
        <w:t>发布</w:t>
      </w:r>
    </w:p>
    <w:p w14:paraId="0E001442">
      <w:pPr>
        <w:pStyle w:val="194"/>
        <w:framePr w:wrap="around" w:y="14176"/>
        <w:rPr>
          <w:color w:val="000000" w:themeColor="text1"/>
          <w14:textFill>
            <w14:solidFill>
              <w14:schemeClr w14:val="tx1"/>
            </w14:solidFill>
          </w14:textFill>
        </w:rPr>
      </w:pPr>
      <w:r>
        <w:rPr>
          <w:color w:val="000000" w:themeColor="text1"/>
          <w14:textFill>
            <w14:solidFill>
              <w14:schemeClr w14:val="tx1"/>
            </w14:solidFill>
          </w14:textFill>
        </w:rPr>
        <w:fldChar w:fldCharType="begin">
          <w:ffData>
            <w:name w:val="CROT_DATE_Y"/>
            <w:enabled/>
            <w:calcOnExit w:val="0"/>
            <w:textInput>
              <w:default w:val="XXXX"/>
              <w:maxLength w:val="4"/>
            </w:textInput>
          </w:ffData>
        </w:fldChar>
      </w:r>
      <w:bookmarkStart w:id="6" w:name="CROT_DATE_Y"/>
      <w:r>
        <w:rPr>
          <w:color w:val="000000" w:themeColor="text1"/>
          <w14:textFill>
            <w14:solidFill>
              <w14:schemeClr w14:val="tx1"/>
            </w14:solidFill>
          </w14:textFill>
        </w:rPr>
        <w:instrText xml:space="preserve"> FORMTEXT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XXXX</w:t>
      </w:r>
      <w:r>
        <w:rPr>
          <w:color w:val="000000" w:themeColor="text1"/>
          <w14:textFill>
            <w14:solidFill>
              <w14:schemeClr w14:val="tx1"/>
            </w14:solidFill>
          </w14:textFill>
        </w:rPr>
        <w:fldChar w:fldCharType="end"/>
      </w:r>
      <w:bookmarkEnd w:id="6"/>
      <w:r>
        <w:rPr>
          <w:color w:val="000000" w:themeColor="text1"/>
          <w14:textFill>
            <w14:solidFill>
              <w14:schemeClr w14:val="tx1"/>
            </w14:solidFill>
          </w14:textFill>
        </w:rPr>
        <w:t xml:space="preserve"> - </w:t>
      </w:r>
      <w:r>
        <w:rPr>
          <w:color w:val="000000" w:themeColor="text1"/>
          <w14:textFill>
            <w14:solidFill>
              <w14:schemeClr w14:val="tx1"/>
            </w14:solidFill>
          </w14:textFill>
        </w:rPr>
        <w:fldChar w:fldCharType="begin">
          <w:ffData>
            <w:name w:val="CROT_DATE_M"/>
            <w:enabled/>
            <w:calcOnExit w:val="0"/>
            <w:textInput>
              <w:default w:val="XX"/>
              <w:maxLength w:val="2"/>
            </w:textInput>
          </w:ffData>
        </w:fldChar>
      </w:r>
      <w:bookmarkStart w:id="7" w:name="CROT_DATE_M"/>
      <w:r>
        <w:rPr>
          <w:color w:val="000000" w:themeColor="text1"/>
          <w14:textFill>
            <w14:solidFill>
              <w14:schemeClr w14:val="tx1"/>
            </w14:solidFill>
          </w14:textFill>
        </w:rPr>
        <w:instrText xml:space="preserve"> FORMTEXT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XX</w:t>
      </w:r>
      <w:r>
        <w:rPr>
          <w:color w:val="000000" w:themeColor="text1"/>
          <w14:textFill>
            <w14:solidFill>
              <w14:schemeClr w14:val="tx1"/>
            </w14:solidFill>
          </w14:textFill>
        </w:rPr>
        <w:fldChar w:fldCharType="end"/>
      </w:r>
      <w:bookmarkEnd w:id="7"/>
      <w:r>
        <w:rPr>
          <w:color w:val="000000" w:themeColor="text1"/>
          <w14:textFill>
            <w14:solidFill>
              <w14:schemeClr w14:val="tx1"/>
            </w14:solidFill>
          </w14:textFill>
        </w:rPr>
        <w:t xml:space="preserve"> - </w:t>
      </w:r>
      <w:r>
        <w:rPr>
          <w:color w:val="000000" w:themeColor="text1"/>
          <w14:textFill>
            <w14:solidFill>
              <w14:schemeClr w14:val="tx1"/>
            </w14:solidFill>
          </w14:textFill>
        </w:rPr>
        <w:fldChar w:fldCharType="begin">
          <w:ffData>
            <w:name w:val="CROT_DATE_D"/>
            <w:enabled/>
            <w:calcOnExit w:val="0"/>
            <w:textInput>
              <w:default w:val="XX"/>
              <w:maxLength w:val="2"/>
            </w:textInput>
          </w:ffData>
        </w:fldChar>
      </w:r>
      <w:bookmarkStart w:id="8" w:name="CROT_DATE_D"/>
      <w:r>
        <w:rPr>
          <w:color w:val="000000" w:themeColor="text1"/>
          <w14:textFill>
            <w14:solidFill>
              <w14:schemeClr w14:val="tx1"/>
            </w14:solidFill>
          </w14:textFill>
        </w:rPr>
        <w:instrText xml:space="preserve"> FORMTEXT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XX</w:t>
      </w:r>
      <w:r>
        <w:rPr>
          <w:color w:val="000000" w:themeColor="text1"/>
          <w14:textFill>
            <w14:solidFill>
              <w14:schemeClr w14:val="tx1"/>
            </w14:solidFill>
          </w14:textFill>
        </w:rPr>
        <w:fldChar w:fldCharType="end"/>
      </w:r>
      <w:bookmarkEnd w:id="8"/>
      <w:r>
        <w:rPr>
          <w:color w:val="000000" w:themeColor="text1"/>
          <w14:textFill>
            <w14:solidFill>
              <w14:schemeClr w14:val="tx1"/>
            </w14:solidFill>
          </w14:textFill>
        </w:rPr>
        <w:t>实施</w:t>
      </w:r>
    </w:p>
    <w:p w14:paraId="3415EA37">
      <w:pPr>
        <w:pStyle w:val="151"/>
        <w:framePr w:h="584" w:hRule="exact" w:hSpace="181" w:vSpace="181" w:wrap="around" w:y="15027"/>
        <w:rPr>
          <w:rFonts w:ascii="Times New Roman"/>
          <w:color w:val="000000" w:themeColor="text1"/>
          <w14:textFill>
            <w14:solidFill>
              <w14:schemeClr w14:val="tx1"/>
            </w14:solidFill>
          </w14:textFill>
        </w:rPr>
      </w:pPr>
      <w:r>
        <w:rPr>
          <w:rFonts w:ascii="Times New Roman"/>
          <w:color w:val="000000" w:themeColor="text1"/>
          <w:w w:val="100"/>
          <w:sz w:val="28"/>
          <w14:textFill>
            <w14:solidFill>
              <w14:schemeClr w14:val="tx1"/>
            </w14:solidFill>
          </w14:textFill>
        </w:rPr>
        <w:t>江苏省市场监督管理局  </w:t>
      </w:r>
      <w:r>
        <w:rPr>
          <w:rStyle w:val="229"/>
          <w:rFonts w:ascii="Times New Roman"/>
          <w:color w:val="000000" w:themeColor="text1"/>
          <w:position w:val="0"/>
          <w14:textFill>
            <w14:solidFill>
              <w14:schemeClr w14:val="tx1"/>
            </w14:solidFill>
          </w14:textFill>
        </w:rPr>
        <w:t>发</w:t>
      </w:r>
      <w:r>
        <w:rPr>
          <w:rStyle w:val="229"/>
          <w:rFonts w:ascii="Times New Roman"/>
          <w:color w:val="000000" w:themeColor="text1"/>
          <w:spacing w:val="0"/>
          <w:position w:val="0"/>
          <w14:textFill>
            <w14:solidFill>
              <w14:schemeClr w14:val="tx1"/>
            </w14:solidFill>
          </w14:textFill>
        </w:rPr>
        <w:t>布</w:t>
      </w:r>
    </w:p>
    <w:p w14:paraId="7A6C61CF">
      <w:pPr>
        <w:spacing w:before="120" w:after="120"/>
        <w:rPr>
          <w:rFonts w:ascii="Times New Roman" w:hAnsi="Times New Roman"/>
          <w:color w:val="000000" w:themeColor="text1"/>
          <w:sz w:val="28"/>
          <w:szCs w:val="28"/>
          <w14:textFill>
            <w14:solidFill>
              <w14:schemeClr w14:val="tx1"/>
            </w14:solidFill>
          </w14:textFill>
        </w:rPr>
        <w:sectPr>
          <w:footerReference r:id="rId7" w:type="first"/>
          <w:headerReference r:id="rId5" w:type="default"/>
          <w:footerReference r:id="rId6" w:type="even"/>
          <w:type w:val="continuous"/>
          <w:pgSz w:w="11906" w:h="16838"/>
          <w:pgMar w:top="-338" w:right="1134" w:bottom="1021" w:left="1134" w:header="0" w:footer="0" w:gutter="284"/>
          <w:cols w:space="425" w:num="1"/>
          <w:titlePg/>
          <w:docGrid w:linePitch="312" w:charSpace="0"/>
        </w:sectPr>
      </w:pPr>
      <w:r>
        <w:rPr>
          <w:rFonts w:ascii="Times New Roman" w:hAnsi="Times New Roman"/>
          <w:color w:val="000000" w:themeColor="text1"/>
          <w:sz w:val="28"/>
          <w:szCs w:val="28"/>
          <w14:textFill>
            <w14:solidFill>
              <w14:schemeClr w14:val="tx1"/>
            </w14:solidFill>
          </w14:textFill>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9BDFB6A">
      <w:pPr>
        <w:pStyle w:val="89"/>
        <w:spacing w:after="468"/>
        <w:rPr>
          <w:rFonts w:ascii="Times New Roman"/>
          <w:color w:val="000000" w:themeColor="text1"/>
          <w14:textFill>
            <w14:solidFill>
              <w14:schemeClr w14:val="tx1"/>
            </w14:solidFill>
          </w14:textFill>
        </w:rPr>
      </w:pPr>
      <w:bookmarkStart w:id="9" w:name="BookMark2"/>
      <w:r>
        <w:rPr>
          <w:rFonts w:ascii="Times New Roman"/>
          <w:color w:val="000000" w:themeColor="text1"/>
          <w:spacing w:val="320"/>
          <w14:textFill>
            <w14:solidFill>
              <w14:schemeClr w14:val="tx1"/>
            </w14:solidFill>
          </w14:textFill>
        </w:rPr>
        <w:t>前</w:t>
      </w:r>
      <w:r>
        <w:rPr>
          <w:rFonts w:ascii="Times New Roman"/>
          <w:color w:val="000000" w:themeColor="text1"/>
          <w14:textFill>
            <w14:solidFill>
              <w14:schemeClr w14:val="tx1"/>
            </w14:solidFill>
          </w14:textFill>
        </w:rPr>
        <w:t>言</w:t>
      </w:r>
    </w:p>
    <w:p w14:paraId="4862DCD0">
      <w:pPr>
        <w:pStyle w:val="56"/>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本文件按</w:t>
      </w:r>
      <w:r>
        <w:rPr>
          <w:rFonts w:ascii="Times New Roman"/>
          <w:color w:val="000000" w:themeColor="text1"/>
          <w:lang w:val="en-US"/>
          <w14:textFill>
            <w14:solidFill>
              <w14:schemeClr w14:val="tx1"/>
            </w14:solidFill>
          </w14:textFill>
        </w:rPr>
        <w:t>照</w:t>
      </w:r>
      <w:r>
        <w:rPr>
          <w:rFonts w:ascii="Times New Roman"/>
          <w:color w:val="000000" w:themeColor="text1"/>
          <w14:textFill>
            <w14:solidFill>
              <w14:schemeClr w14:val="tx1"/>
            </w14:solidFill>
          </w14:textFill>
        </w:rPr>
        <w:t>GB／T 1.1—2020《标准化工作导则</w:t>
      </w:r>
      <w:r>
        <w:rPr>
          <w:rFonts w:ascii="Times New Roman"/>
          <w:color w:val="000000" w:themeColor="text1"/>
          <w:lang w:val="en-US"/>
          <w14:textFill>
            <w14:solidFill>
              <w14:schemeClr w14:val="tx1"/>
            </w14:solidFill>
          </w14:textFill>
        </w:rPr>
        <w:t xml:space="preserve"> </w:t>
      </w:r>
      <w:r>
        <w:rPr>
          <w:rFonts w:ascii="Times New Roman"/>
          <w:color w:val="000000" w:themeColor="text1"/>
          <w14:textFill>
            <w14:solidFill>
              <w14:schemeClr w14:val="tx1"/>
            </w14:solidFill>
          </w14:textFill>
        </w:rPr>
        <w:t>第1部分：标准</w:t>
      </w:r>
      <w:r>
        <w:rPr>
          <w:rFonts w:ascii="Times New Roman"/>
          <w:color w:val="000000" w:themeColor="text1"/>
          <w:lang w:val="en-US"/>
          <w14:textFill>
            <w14:solidFill>
              <w14:schemeClr w14:val="tx1"/>
            </w14:solidFill>
          </w14:textFill>
        </w:rPr>
        <w:t>化文件</w:t>
      </w:r>
      <w:r>
        <w:rPr>
          <w:rFonts w:ascii="Times New Roman"/>
          <w:color w:val="000000" w:themeColor="text1"/>
          <w14:textFill>
            <w14:solidFill>
              <w14:schemeClr w14:val="tx1"/>
            </w14:solidFill>
          </w14:textFill>
        </w:rPr>
        <w:t>的结构和</w:t>
      </w:r>
      <w:r>
        <w:rPr>
          <w:rFonts w:ascii="Times New Roman"/>
          <w:color w:val="000000" w:themeColor="text1"/>
          <w:lang w:val="en-US"/>
          <w14:textFill>
            <w14:solidFill>
              <w14:schemeClr w14:val="tx1"/>
            </w14:solidFill>
          </w14:textFill>
        </w:rPr>
        <w:t>起草</w:t>
      </w:r>
      <w:r>
        <w:rPr>
          <w:rFonts w:ascii="Times New Roman"/>
          <w:color w:val="000000" w:themeColor="text1"/>
          <w14:textFill>
            <w14:solidFill>
              <w14:schemeClr w14:val="tx1"/>
            </w14:solidFill>
          </w14:textFill>
        </w:rPr>
        <w:t>规则》</w:t>
      </w:r>
      <w:r>
        <w:rPr>
          <w:rFonts w:ascii="Times New Roman"/>
          <w:color w:val="000000" w:themeColor="text1"/>
          <w:lang w:val="en-US"/>
          <w14:textFill>
            <w14:solidFill>
              <w14:schemeClr w14:val="tx1"/>
            </w14:solidFill>
          </w14:textFill>
        </w:rPr>
        <w:t>的规定</w:t>
      </w:r>
      <w:r>
        <w:rPr>
          <w:rFonts w:ascii="Times New Roman"/>
          <w:color w:val="000000" w:themeColor="text1"/>
          <w14:textFill>
            <w14:solidFill>
              <w14:schemeClr w14:val="tx1"/>
            </w14:solidFill>
          </w14:textFill>
        </w:rPr>
        <w:t>起草。</w:t>
      </w:r>
    </w:p>
    <w:p w14:paraId="13BDE019">
      <w:pPr>
        <w:pStyle w:val="56"/>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请注意本文件的某些内容可能涉及专利。本文件的发布机构不承担识别专利的责任。</w:t>
      </w:r>
    </w:p>
    <w:p w14:paraId="764ACBF6">
      <w:pPr>
        <w:pStyle w:val="56"/>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本文件由江苏省农业机械标准化专业技术委员会提出并归口。</w:t>
      </w:r>
    </w:p>
    <w:p w14:paraId="2E7F9501">
      <w:pPr>
        <w:pStyle w:val="56"/>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本文件起草单位:江苏省农垦农业发展股份有限公司、江苏省农业机械试验鉴定站、江苏省农业机械技术推广站</w:t>
      </w:r>
      <w:r>
        <w:rPr>
          <w:rFonts w:hint="eastAsia" w:ascii="Times New Roman"/>
          <w:color w:val="000000" w:themeColor="text1"/>
          <w14:textFill>
            <w14:solidFill>
              <w14:schemeClr w14:val="tx1"/>
            </w14:solidFill>
          </w14:textFill>
        </w:rPr>
        <w:t>、南京农业大学</w:t>
      </w:r>
      <w:r>
        <w:rPr>
          <w:rFonts w:ascii="Times New Roman"/>
          <w:color w:val="000000" w:themeColor="text1"/>
          <w14:textFill>
            <w14:solidFill>
              <w14:schemeClr w14:val="tx1"/>
            </w14:solidFill>
          </w14:textFill>
        </w:rPr>
        <w:t>。</w:t>
      </w:r>
    </w:p>
    <w:p w14:paraId="37CA3E4B">
      <w:pPr>
        <w:pStyle w:val="56"/>
        <w:rPr>
          <w:rFonts w:ascii="Times New Roman"/>
          <w:color w:val="000000" w:themeColor="text1"/>
          <w14:textFill>
            <w14:solidFill>
              <w14:schemeClr w14:val="tx1"/>
            </w14:solidFill>
          </w14:textFill>
        </w:rPr>
      </w:pPr>
      <w:bookmarkStart w:id="29" w:name="_GoBack"/>
      <w:bookmarkEnd w:id="29"/>
      <w:r>
        <w:rPr>
          <w:rFonts w:ascii="Times New Roman"/>
          <w:color w:val="000000" w:themeColor="text1"/>
          <w14:textFill>
            <w14:solidFill>
              <w14:schemeClr w14:val="tx1"/>
            </w14:solidFill>
          </w14:textFill>
        </w:rPr>
        <w:t>本文件主要起草人：徐启来、邢全道、朱松、陈智、刘晨、唐莉莉、</w:t>
      </w:r>
      <w:r>
        <w:rPr>
          <w:rFonts w:hint="eastAsia" w:ascii="Times New Roman"/>
          <w:color w:val="000000" w:themeColor="text1"/>
          <w14:textFill>
            <w14:solidFill>
              <w14:schemeClr w14:val="tx1"/>
            </w14:solidFill>
          </w14:textFill>
        </w:rPr>
        <w:t>何瑞银、</w:t>
      </w:r>
      <w:r>
        <w:rPr>
          <w:rFonts w:ascii="Times New Roman"/>
          <w:color w:val="000000" w:themeColor="text1"/>
          <w14:textFill>
            <w14:solidFill>
              <w14:schemeClr w14:val="tx1"/>
            </w14:solidFill>
          </w14:textFill>
        </w:rPr>
        <w:t>徐伟、仇维佑、李玲、蔡金、杨振彭、蒋东峰</w:t>
      </w:r>
      <w:r>
        <w:rPr>
          <w:rFonts w:hint="eastAsia" w:ascii="Times New Roman"/>
          <w:color w:val="000000" w:themeColor="text1"/>
          <w14:textFill>
            <w14:solidFill>
              <w14:schemeClr w14:val="tx1"/>
            </w14:solidFill>
          </w14:textFill>
        </w:rPr>
        <w:t>、陶云坤</w:t>
      </w:r>
      <w:r>
        <w:rPr>
          <w:rFonts w:ascii="Times New Roman"/>
          <w:color w:val="000000" w:themeColor="text1"/>
          <w14:textFill>
            <w14:solidFill>
              <w14:schemeClr w14:val="tx1"/>
            </w14:solidFill>
          </w14:textFill>
        </w:rPr>
        <w:t>。</w:t>
      </w:r>
    </w:p>
    <w:p w14:paraId="08F98A24">
      <w:pPr>
        <w:pStyle w:val="56"/>
        <w:rPr>
          <w:rFonts w:ascii="Times New Roman"/>
          <w:color w:val="000000" w:themeColor="text1"/>
          <w14:textFill>
            <w14:solidFill>
              <w14:schemeClr w14:val="tx1"/>
            </w14:solidFill>
          </w14:textFill>
        </w:rPr>
        <w:sectPr>
          <w:headerReference r:id="rId8" w:type="default"/>
          <w:footerReference r:id="rId10" w:type="default"/>
          <w:headerReference r:id="rId9" w:type="even"/>
          <w:pgSz w:w="11906" w:h="16838"/>
          <w:pgMar w:top="2410" w:right="1134" w:bottom="1134" w:left="1134" w:header="1418" w:footer="1134" w:gutter="284"/>
          <w:pgNumType w:fmt="upperRoman" w:start="1"/>
          <w:cols w:space="425" w:num="1"/>
          <w:formProt w:val="0"/>
          <w:docGrid w:type="lines" w:linePitch="312" w:charSpace="0"/>
        </w:sectPr>
      </w:pPr>
    </w:p>
    <w:bookmarkEnd w:id="9"/>
    <w:p w14:paraId="62EB47C5">
      <w:pPr>
        <w:spacing w:line="20" w:lineRule="exact"/>
        <w:jc w:val="center"/>
        <w:rPr>
          <w:rFonts w:ascii="Times New Roman" w:hAnsi="Times New Roman" w:eastAsia="黑体"/>
          <w:color w:val="000000" w:themeColor="text1"/>
          <w:sz w:val="32"/>
          <w:szCs w:val="32"/>
          <w:lang w:val="en-GB"/>
          <w14:textFill>
            <w14:solidFill>
              <w14:schemeClr w14:val="tx1"/>
            </w14:solidFill>
          </w14:textFill>
        </w:rPr>
      </w:pPr>
      <w:bookmarkStart w:id="10" w:name="BookMark4"/>
    </w:p>
    <w:p w14:paraId="772D3D22">
      <w:pPr>
        <w:spacing w:line="20" w:lineRule="exact"/>
        <w:jc w:val="center"/>
        <w:rPr>
          <w:rFonts w:ascii="Times New Roman" w:hAnsi="Times New Roman" w:eastAsia="黑体"/>
          <w:color w:val="000000" w:themeColor="text1"/>
          <w:sz w:val="32"/>
          <w:szCs w:val="32"/>
          <w14:textFill>
            <w14:solidFill>
              <w14:schemeClr w14:val="tx1"/>
            </w14:solidFill>
          </w14:textFill>
        </w:rPr>
      </w:pPr>
    </w:p>
    <w:sdt>
      <w:sdtPr>
        <w:rPr>
          <w:rFonts w:ascii="Times New Roman"/>
          <w:color w:val="000000" w:themeColor="text1"/>
          <w14:textFill>
            <w14:solidFill>
              <w14:schemeClr w14:val="tx1"/>
            </w14:solidFill>
          </w14:textFill>
        </w:rPr>
        <w:tag w:val="NEW_STAND_NAME"/>
        <w:id w:val="595910757"/>
        <w:lock w:val="sdtLocked"/>
        <w:placeholder>
          <w:docPart w:val="9F09FD4AB5D94D7A84F88D58253FF242"/>
        </w:placeholder>
      </w:sdtPr>
      <w:sdtEndPr>
        <w:rPr>
          <w:rFonts w:ascii="Times New Roman"/>
          <w:color w:val="000000" w:themeColor="text1"/>
          <w14:textFill>
            <w14:solidFill>
              <w14:schemeClr w14:val="tx1"/>
            </w14:solidFill>
          </w14:textFill>
        </w:rPr>
      </w:sdtEndPr>
      <w:sdtContent>
        <w:p w14:paraId="1D8F4920">
          <w:pPr>
            <w:pStyle w:val="238"/>
            <w:numPr>
              <w:ilvl w:val="0"/>
              <w:numId w:val="0"/>
            </w:numPr>
            <w:jc w:val="center"/>
            <w:rPr>
              <w:rFonts w:ascii="Times New Roman"/>
              <w:color w:val="000000" w:themeColor="text1"/>
              <w14:textFill>
                <w14:solidFill>
                  <w14:schemeClr w14:val="tx1"/>
                </w14:solidFill>
              </w14:textFill>
            </w:rPr>
          </w:pPr>
          <w:bookmarkStart w:id="11" w:name="NEW_STAND_NAME"/>
          <w:r>
            <w:rPr>
              <w:rFonts w:ascii="Times New Roman" w:eastAsia="黑体"/>
              <w:color w:val="000000" w:themeColor="text1"/>
              <w:sz w:val="32"/>
              <w:szCs w:val="32"/>
              <w:lang w:val="en-GB"/>
              <w14:textFill>
                <w14:solidFill>
                  <w14:schemeClr w14:val="tx1"/>
                </w14:solidFill>
              </w14:textFill>
            </w:rPr>
            <w:t>水稻机械化直播作业质量评价技术规范</w:t>
          </w:r>
        </w:p>
      </w:sdtContent>
    </w:sdt>
    <w:bookmarkEnd w:id="10"/>
    <w:bookmarkEnd w:id="11"/>
    <w:p w14:paraId="1CF50933">
      <w:pPr>
        <w:pStyle w:val="104"/>
        <w:spacing w:before="312" w:after="312"/>
        <w:rPr>
          <w:rFonts w:ascii="Times New Roman"/>
          <w:color w:val="000000" w:themeColor="text1"/>
          <w14:textFill>
            <w14:solidFill>
              <w14:schemeClr w14:val="tx1"/>
            </w14:solidFill>
          </w14:textFill>
        </w:rPr>
      </w:pPr>
      <w:bookmarkStart w:id="12" w:name="_Toc26986530"/>
      <w:bookmarkStart w:id="13" w:name="_Toc24884211"/>
      <w:bookmarkStart w:id="14" w:name="_Toc17233333"/>
      <w:bookmarkStart w:id="15" w:name="_Toc26648465"/>
      <w:bookmarkStart w:id="16" w:name="_Toc26718930"/>
      <w:bookmarkStart w:id="17" w:name="_Toc24884218"/>
      <w:bookmarkStart w:id="18" w:name="_Toc17233325"/>
      <w:bookmarkStart w:id="19" w:name="_Toc26986771"/>
      <w:r>
        <w:rPr>
          <w:rFonts w:ascii="Times New Roman"/>
          <w:color w:val="000000" w:themeColor="text1"/>
          <w14:textFill>
            <w14:solidFill>
              <w14:schemeClr w14:val="tx1"/>
            </w14:solidFill>
          </w14:textFill>
        </w:rPr>
        <w:t xml:space="preserve">范围 </w:t>
      </w:r>
    </w:p>
    <w:p w14:paraId="7F6EA252">
      <w:pPr>
        <w:pStyle w:val="56"/>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本文件规定了水稻机械化直播基本条件、作业质量、检测</w:t>
      </w:r>
      <w:r>
        <w:rPr>
          <w:rFonts w:ascii="Times New Roman"/>
          <w:color w:val="000000" w:themeColor="text1"/>
          <w:lang w:val="en-US"/>
          <w14:textFill>
            <w14:solidFill>
              <w14:schemeClr w14:val="tx1"/>
            </w14:solidFill>
          </w14:textFill>
        </w:rPr>
        <w:t>准备</w:t>
      </w:r>
      <w:r>
        <w:rPr>
          <w:rFonts w:ascii="Times New Roman"/>
          <w:color w:val="000000" w:themeColor="text1"/>
          <w14:textFill>
            <w14:solidFill>
              <w14:schemeClr w14:val="tx1"/>
            </w14:solidFill>
          </w14:textFill>
        </w:rPr>
        <w:t>、检测方法和</w:t>
      </w:r>
      <w:r>
        <w:rPr>
          <w:rFonts w:ascii="Times New Roman"/>
          <w:color w:val="000000" w:themeColor="text1"/>
          <w:lang w:val="en-US"/>
          <w14:textFill>
            <w14:solidFill>
              <w14:schemeClr w14:val="tx1"/>
            </w14:solidFill>
          </w14:textFill>
        </w:rPr>
        <w:t>评定</w:t>
      </w:r>
      <w:r>
        <w:rPr>
          <w:rFonts w:ascii="Times New Roman"/>
          <w:color w:val="000000" w:themeColor="text1"/>
          <w14:textFill>
            <w14:solidFill>
              <w14:schemeClr w14:val="tx1"/>
            </w14:solidFill>
          </w14:textFill>
        </w:rPr>
        <w:t>规则。</w:t>
      </w:r>
    </w:p>
    <w:p w14:paraId="525617DA">
      <w:pPr>
        <w:pStyle w:val="56"/>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本文件适用于水稻机械化条播或穴播作业质量评价。</w:t>
      </w:r>
    </w:p>
    <w:p w14:paraId="4BDDEDF8">
      <w:pPr>
        <w:pStyle w:val="104"/>
        <w:spacing w:before="312" w:after="312"/>
        <w:rPr>
          <w:rFonts w:ascii="Times New Roman"/>
          <w:color w:val="000000" w:themeColor="text1"/>
          <w:szCs w:val="21"/>
          <w14:textFill>
            <w14:solidFill>
              <w14:schemeClr w14:val="tx1"/>
            </w14:solidFill>
          </w14:textFill>
        </w:rPr>
      </w:pPr>
      <w:bookmarkStart w:id="20" w:name="_Toc26718931"/>
      <w:bookmarkStart w:id="21" w:name="_Toc26986531"/>
      <w:bookmarkStart w:id="22" w:name="_Toc26986772"/>
      <w:r>
        <w:rPr>
          <w:rFonts w:ascii="Times New Roman"/>
          <w:color w:val="000000" w:themeColor="text1"/>
          <w14:textFill>
            <w14:solidFill>
              <w14:schemeClr w14:val="tx1"/>
            </w14:solidFill>
          </w14:textFill>
        </w:rPr>
        <w:t>规</w:t>
      </w:r>
      <w:r>
        <w:rPr>
          <w:rFonts w:ascii="Times New Roman"/>
          <w:color w:val="000000" w:themeColor="text1"/>
          <w:szCs w:val="21"/>
          <w14:textFill>
            <w14:solidFill>
              <w14:schemeClr w14:val="tx1"/>
            </w14:solidFill>
          </w14:textFill>
        </w:rPr>
        <w:t>范性引用文件</w:t>
      </w:r>
    </w:p>
    <w:p w14:paraId="1BFF32E4">
      <w:pPr>
        <w:pStyle w:val="56"/>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2850089B">
      <w:pPr>
        <w:pStyle w:val="56"/>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GB 4404.1  粮食作物种子</w:t>
      </w:r>
      <w:r>
        <w:rPr>
          <w:rFonts w:hint="eastAsia" w:ascii="Times New Roman"/>
          <w:color w:val="000000" w:themeColor="text1"/>
          <w14:textFill>
            <w14:solidFill>
              <w14:schemeClr w14:val="tx1"/>
            </w14:solidFill>
          </w14:textFill>
        </w:rPr>
        <w:t xml:space="preserve"> </w:t>
      </w:r>
      <w:r>
        <w:rPr>
          <w:rFonts w:ascii="Times New Roman"/>
          <w:color w:val="000000" w:themeColor="text1"/>
          <w14:textFill>
            <w14:solidFill>
              <w14:schemeClr w14:val="tx1"/>
            </w14:solidFill>
          </w14:textFill>
        </w:rPr>
        <w:t>第</w:t>
      </w:r>
      <w:r>
        <w:rPr>
          <w:rFonts w:hint="eastAsia" w:ascii="Times New Roman"/>
          <w:color w:val="000000" w:themeColor="text1"/>
          <w:lang w:val="en-US"/>
          <w14:textFill>
            <w14:solidFill>
              <w14:schemeClr w14:val="tx1"/>
            </w14:solidFill>
          </w14:textFill>
        </w:rPr>
        <w:t>1</w:t>
      </w:r>
      <w:r>
        <w:rPr>
          <w:rFonts w:ascii="Times New Roman"/>
          <w:color w:val="000000" w:themeColor="text1"/>
          <w14:textFill>
            <w14:solidFill>
              <w14:schemeClr w14:val="tx1"/>
            </w14:solidFill>
          </w14:textFill>
        </w:rPr>
        <w:t>部分：禾谷类</w:t>
      </w:r>
    </w:p>
    <w:p w14:paraId="2166E97E">
      <w:pPr>
        <w:pStyle w:val="56"/>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GB/T 25418—</w:t>
      </w:r>
      <w:r>
        <w:rPr>
          <w:rFonts w:hint="eastAsia" w:ascii="Times New Roman"/>
          <w:color w:val="000000" w:themeColor="text1"/>
          <w:lang w:val="en-US"/>
          <w14:textFill>
            <w14:solidFill>
              <w14:schemeClr w14:val="tx1"/>
            </w14:solidFill>
          </w14:textFill>
        </w:rPr>
        <w:t>2022</w:t>
      </w:r>
      <w:r>
        <w:rPr>
          <w:rFonts w:ascii="Times New Roman"/>
          <w:color w:val="000000" w:themeColor="text1"/>
          <w14:textFill>
            <w14:solidFill>
              <w14:schemeClr w14:val="tx1"/>
            </w14:solidFill>
          </w14:textFill>
        </w:rPr>
        <w:t xml:space="preserve">  水稻直播机</w:t>
      </w:r>
    </w:p>
    <w:p w14:paraId="04184FAF">
      <w:pPr>
        <w:pStyle w:val="56"/>
        <w:rPr>
          <w:rFonts w:ascii="Times New Roman"/>
          <w:color w:val="000000" w:themeColor="text1"/>
          <w:lang w:val="en-US"/>
          <w14:textFill>
            <w14:solidFill>
              <w14:schemeClr w14:val="tx1"/>
            </w14:solidFill>
          </w14:textFill>
        </w:rPr>
      </w:pPr>
      <w:r>
        <w:rPr>
          <w:rFonts w:ascii="Times New Roman"/>
          <w:color w:val="000000" w:themeColor="text1"/>
          <w:lang w:val="en-US"/>
          <w14:textFill>
            <w14:solidFill>
              <w14:schemeClr w14:val="tx1"/>
            </w14:solidFill>
          </w14:textFill>
        </w:rPr>
        <w:t>JB</w:t>
      </w:r>
      <w:r>
        <w:rPr>
          <w:rFonts w:ascii="Times New Roman"/>
          <w:color w:val="000000" w:themeColor="text1"/>
          <w14:textFill>
            <w14:solidFill>
              <w14:schemeClr w14:val="tx1"/>
            </w14:solidFill>
          </w14:textFill>
        </w:rPr>
        <w:t>/T</w:t>
      </w:r>
      <w:r>
        <w:rPr>
          <w:rFonts w:ascii="Times New Roman"/>
          <w:color w:val="000000" w:themeColor="text1"/>
          <w:lang w:val="en-US"/>
          <w14:textFill>
            <w14:solidFill>
              <w14:schemeClr w14:val="tx1"/>
            </w14:solidFill>
          </w14:textFill>
        </w:rPr>
        <w:t xml:space="preserve"> 7874</w:t>
      </w:r>
      <w:r>
        <w:rPr>
          <w:rFonts w:ascii="Times New Roman"/>
          <w:color w:val="000000" w:themeColor="text1"/>
          <w14:textFill>
            <w14:solidFill>
              <w14:schemeClr w14:val="tx1"/>
            </w14:solidFill>
          </w14:textFill>
        </w:rPr>
        <w:t>—</w:t>
      </w:r>
      <w:r>
        <w:rPr>
          <w:rFonts w:ascii="Times New Roman"/>
          <w:color w:val="000000" w:themeColor="text1"/>
          <w:lang w:val="en-US"/>
          <w14:textFill>
            <w14:solidFill>
              <w14:schemeClr w14:val="tx1"/>
            </w14:solidFill>
          </w14:textFill>
        </w:rPr>
        <w:t xml:space="preserve">2015  种植机械 </w:t>
      </w:r>
      <w:r>
        <w:rPr>
          <w:rFonts w:hint="eastAsia" w:ascii="Times New Roman"/>
          <w:color w:val="000000" w:themeColor="text1"/>
          <w:lang w:val="en-US"/>
          <w14:textFill>
            <w14:solidFill>
              <w14:schemeClr w14:val="tx1"/>
            </w14:solidFill>
          </w14:textFill>
        </w:rPr>
        <w:t xml:space="preserve"> </w:t>
      </w:r>
      <w:r>
        <w:rPr>
          <w:rFonts w:ascii="Times New Roman"/>
          <w:color w:val="000000" w:themeColor="text1"/>
          <w:lang w:val="en-US"/>
          <w14:textFill>
            <w14:solidFill>
              <w14:schemeClr w14:val="tx1"/>
            </w14:solidFill>
          </w14:textFill>
        </w:rPr>
        <w:t>术语</w:t>
      </w:r>
    </w:p>
    <w:p w14:paraId="33B595F0">
      <w:pPr>
        <w:pStyle w:val="56"/>
        <w:rPr>
          <w:rFonts w:ascii="Times New Roman"/>
          <w:color w:val="000000" w:themeColor="text1"/>
          <w:lang w:val="en-US"/>
          <w14:textFill>
            <w14:solidFill>
              <w14:schemeClr w14:val="tx1"/>
            </w14:solidFill>
          </w14:textFill>
        </w:rPr>
      </w:pPr>
      <w:r>
        <w:rPr>
          <w:rFonts w:ascii="Times New Roman"/>
          <w:color w:val="000000" w:themeColor="text1"/>
          <w:lang w:val="en-US"/>
          <w14:textFill>
            <w14:solidFill>
              <w14:schemeClr w14:val="tx1"/>
            </w14:solidFill>
          </w14:textFill>
        </w:rPr>
        <w:t>NY/T 847  水稻产地环境技术条件</w:t>
      </w:r>
    </w:p>
    <w:bookmarkEnd w:id="20"/>
    <w:bookmarkEnd w:id="21"/>
    <w:bookmarkEnd w:id="22"/>
    <w:p w14:paraId="5845D5DA">
      <w:pPr>
        <w:pStyle w:val="104"/>
        <w:spacing w:before="312" w:after="312"/>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术语和定义</w:t>
      </w:r>
    </w:p>
    <w:p w14:paraId="0A29F8D8">
      <w:pPr>
        <w:pStyle w:val="56"/>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下列术语和定义适用于本文件。</w:t>
      </w:r>
    </w:p>
    <w:p w14:paraId="073C387C">
      <w:pPr>
        <w:pStyle w:val="105"/>
        <w:rPr>
          <w:rFonts w:ascii="Times New Roman"/>
          <w:color w:val="000000" w:themeColor="text1"/>
          <w14:textFill>
            <w14:solidFill>
              <w14:schemeClr w14:val="tx1"/>
            </w14:solidFill>
          </w14:textFill>
        </w:rPr>
      </w:pPr>
    </w:p>
    <w:p w14:paraId="2C4FA180">
      <w:pPr>
        <w:pStyle w:val="105"/>
        <w:numPr>
          <w:ilvl w:val="0"/>
          <w:numId w:val="0"/>
        </w:numPr>
        <w:ind w:firstLine="420" w:firstLineChars="200"/>
        <w:rPr>
          <w:rFonts w:ascii="Times New Roman"/>
          <w:color w:val="000000" w:themeColor="text1"/>
          <w14:textFill>
            <w14:solidFill>
              <w14:schemeClr w14:val="tx1"/>
            </w14:solidFill>
          </w14:textFill>
        </w:rPr>
      </w:pPr>
      <w:r>
        <w:rPr>
          <w:rFonts w:ascii="Times New Roman"/>
          <w:color w:val="000000" w:themeColor="text1"/>
          <w:lang w:val="en-US"/>
          <w14:textFill>
            <w14:solidFill>
              <w14:schemeClr w14:val="tx1"/>
            </w14:solidFill>
          </w14:textFill>
        </w:rPr>
        <w:t>水稻</w:t>
      </w:r>
      <w:r>
        <w:rPr>
          <w:rFonts w:ascii="Times New Roman"/>
          <w:color w:val="000000" w:themeColor="text1"/>
          <w14:textFill>
            <w14:solidFill>
              <w14:schemeClr w14:val="tx1"/>
            </w14:solidFill>
          </w14:textFill>
        </w:rPr>
        <w:t>直播</w:t>
      </w:r>
      <w:bookmarkStart w:id="23" w:name="_Hlk164242102"/>
      <w:r>
        <w:rPr>
          <w:rFonts w:ascii="Times New Roman"/>
          <w:color w:val="000000" w:themeColor="text1"/>
          <w14:textFill>
            <w14:solidFill>
              <w14:schemeClr w14:val="tx1"/>
            </w14:solidFill>
          </w14:textFill>
        </w:rPr>
        <w:t xml:space="preserve">  rice</w:t>
      </w:r>
      <w:r>
        <w:rPr>
          <w:rFonts w:ascii="Times New Roman"/>
          <w:color w:val="000000" w:themeColor="text1"/>
          <w:lang w:val="en-US"/>
          <w14:textFill>
            <w14:solidFill>
              <w14:schemeClr w14:val="tx1"/>
            </w14:solidFill>
          </w14:textFill>
        </w:rPr>
        <w:t xml:space="preserve"> </w:t>
      </w:r>
      <w:r>
        <w:rPr>
          <w:rFonts w:ascii="Times New Roman"/>
          <w:color w:val="000000" w:themeColor="text1"/>
          <w14:textFill>
            <w14:solidFill>
              <w14:schemeClr w14:val="tx1"/>
            </w14:solidFill>
          </w14:textFill>
        </w:rPr>
        <w:t xml:space="preserve">seeding </w:t>
      </w:r>
    </w:p>
    <w:p w14:paraId="05F364AD">
      <w:pPr>
        <w:pStyle w:val="56"/>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将稻种直接播到</w:t>
      </w:r>
      <w:r>
        <w:rPr>
          <w:rFonts w:hint="eastAsia" w:ascii="Times New Roman"/>
          <w:color w:val="000000" w:themeColor="text1"/>
          <w14:textFill>
            <w14:solidFill>
              <w14:schemeClr w14:val="tx1"/>
            </w14:solidFill>
          </w14:textFill>
        </w:rPr>
        <w:t>田间</w:t>
      </w:r>
      <w:r>
        <w:rPr>
          <w:rFonts w:ascii="Times New Roman"/>
          <w:color w:val="000000" w:themeColor="text1"/>
          <w14:textFill>
            <w14:solidFill>
              <w14:schemeClr w14:val="tx1"/>
            </w14:solidFill>
          </w14:textFill>
        </w:rPr>
        <w:t>的一种栽培技术。</w:t>
      </w:r>
    </w:p>
    <w:p w14:paraId="6569E4A9">
      <w:pPr>
        <w:widowControl/>
        <w:autoSpaceDE w:val="0"/>
        <w:autoSpaceDN w:val="0"/>
        <w:ind w:firstLine="420" w:firstLineChars="200"/>
        <w:rPr>
          <w:rFonts w:ascii="Times New Roman" w:hAnsi="Times New Roman"/>
          <w:kern w:val="0"/>
          <w:szCs w:val="20"/>
        </w:rPr>
      </w:pPr>
      <w:r>
        <w:rPr>
          <w:rFonts w:ascii="Times New Roman" w:hAnsi="Times New Roman"/>
          <w:kern w:val="0"/>
          <w:szCs w:val="20"/>
        </w:rPr>
        <w:t>[来源：</w:t>
      </w:r>
      <w:r>
        <w:rPr>
          <w:rFonts w:ascii="Times New Roman" w:hAnsi="Times New Roman"/>
          <w:color w:val="000000" w:themeColor="text1"/>
          <w14:textFill>
            <w14:solidFill>
              <w14:schemeClr w14:val="tx1"/>
            </w14:solidFill>
          </w14:textFill>
        </w:rPr>
        <w:t>JB/T 7874—2015</w:t>
      </w:r>
      <w:r>
        <w:rPr>
          <w:rFonts w:ascii="Times New Roman" w:hAnsi="Times New Roman"/>
          <w:kern w:val="0"/>
          <w:szCs w:val="20"/>
        </w:rPr>
        <w:t>，</w:t>
      </w:r>
      <w:r>
        <w:rPr>
          <w:rFonts w:ascii="Times New Roman" w:hAnsi="Times New Roman"/>
          <w:color w:val="000000" w:themeColor="text1"/>
          <w14:textFill>
            <w14:solidFill>
              <w14:schemeClr w14:val="tx1"/>
            </w14:solidFill>
          </w14:textFill>
        </w:rPr>
        <w:t>3.1.14</w:t>
      </w:r>
      <w:r>
        <w:rPr>
          <w:rFonts w:ascii="Times New Roman" w:hAnsi="Times New Roman"/>
          <w:kern w:val="0"/>
          <w:szCs w:val="20"/>
        </w:rPr>
        <w:t>，有修改]</w:t>
      </w:r>
    </w:p>
    <w:bookmarkEnd w:id="23"/>
    <w:p w14:paraId="2A7620DB">
      <w:pPr>
        <w:pStyle w:val="105"/>
        <w:rPr>
          <w:rFonts w:ascii="Times New Roman"/>
          <w:color w:val="000000" w:themeColor="text1"/>
          <w14:textFill>
            <w14:solidFill>
              <w14:schemeClr w14:val="tx1"/>
            </w14:solidFill>
          </w14:textFill>
        </w:rPr>
      </w:pPr>
    </w:p>
    <w:p w14:paraId="10D735E5">
      <w:pPr>
        <w:pStyle w:val="105"/>
        <w:numPr>
          <w:ilvl w:val="0"/>
          <w:numId w:val="0"/>
        </w:numPr>
        <w:ind w:firstLine="420" w:firstLineChars="200"/>
        <w:rPr>
          <w:rFonts w:ascii="Times New Roman"/>
          <w:color w:val="000000" w:themeColor="text1"/>
          <w:lang w:val="en-US"/>
          <w14:textFill>
            <w14:solidFill>
              <w14:schemeClr w14:val="tx1"/>
            </w14:solidFill>
          </w14:textFill>
        </w:rPr>
      </w:pPr>
      <w:r>
        <w:rPr>
          <w:rFonts w:ascii="Times New Roman"/>
          <w:color w:val="000000" w:themeColor="text1"/>
          <w14:textFill>
            <w14:solidFill>
              <w14:schemeClr w14:val="tx1"/>
            </w14:solidFill>
          </w14:textFill>
        </w:rPr>
        <w:t xml:space="preserve">条播  </w:t>
      </w:r>
      <w:r>
        <w:rPr>
          <w:rFonts w:ascii="Times New Roman"/>
          <w:color w:val="000000" w:themeColor="text1"/>
          <w:lang w:val="en-US"/>
          <w14:textFill>
            <w14:solidFill>
              <w14:schemeClr w14:val="tx1"/>
            </w14:solidFill>
          </w14:textFill>
        </w:rPr>
        <w:t>drilling</w:t>
      </w:r>
    </w:p>
    <w:p w14:paraId="2B3B5ED8">
      <w:pPr>
        <w:pStyle w:val="56"/>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将经过处理的水稻种子按照农艺要求成行播于</w:t>
      </w:r>
      <w:r>
        <w:rPr>
          <w:rFonts w:hint="eastAsia" w:ascii="Times New Roman"/>
          <w:color w:val="000000" w:themeColor="text1"/>
          <w14:textFill>
            <w14:solidFill>
              <w14:schemeClr w14:val="tx1"/>
            </w14:solidFill>
          </w14:textFill>
        </w:rPr>
        <w:t>田间</w:t>
      </w:r>
      <w:r>
        <w:rPr>
          <w:rFonts w:ascii="Times New Roman"/>
          <w:color w:val="000000" w:themeColor="text1"/>
          <w14:textFill>
            <w14:solidFill>
              <w14:schemeClr w14:val="tx1"/>
            </w14:solidFill>
          </w14:textFill>
        </w:rPr>
        <w:t>的一种方式。</w:t>
      </w:r>
    </w:p>
    <w:p w14:paraId="1FB25757">
      <w:pPr>
        <w:widowControl/>
        <w:autoSpaceDE w:val="0"/>
        <w:autoSpaceDN w:val="0"/>
        <w:ind w:firstLine="420" w:firstLineChars="200"/>
        <w:rPr>
          <w:rFonts w:ascii="Times New Roman" w:hAnsi="Times New Roman"/>
          <w:kern w:val="0"/>
          <w:szCs w:val="20"/>
        </w:rPr>
      </w:pPr>
      <w:r>
        <w:rPr>
          <w:rFonts w:ascii="Times New Roman" w:hAnsi="Times New Roman"/>
          <w:kern w:val="0"/>
          <w:szCs w:val="20"/>
        </w:rPr>
        <w:t>[来源：</w:t>
      </w:r>
      <w:r>
        <w:rPr>
          <w:rFonts w:ascii="Times New Roman" w:hAnsi="Times New Roman"/>
          <w:color w:val="000000" w:themeColor="text1"/>
          <w14:textFill>
            <w14:solidFill>
              <w14:schemeClr w14:val="tx1"/>
            </w14:solidFill>
          </w14:textFill>
        </w:rPr>
        <w:t>JB/T 7874—2015</w:t>
      </w:r>
      <w:r>
        <w:rPr>
          <w:rFonts w:ascii="Times New Roman" w:hAnsi="Times New Roman"/>
          <w:kern w:val="0"/>
          <w:szCs w:val="20"/>
        </w:rPr>
        <w:t>，</w:t>
      </w:r>
      <w:r>
        <w:rPr>
          <w:rFonts w:ascii="Times New Roman" w:hAnsi="Times New Roman"/>
          <w:color w:val="000000" w:themeColor="text1"/>
          <w14:textFill>
            <w14:solidFill>
              <w14:schemeClr w14:val="tx1"/>
            </w14:solidFill>
          </w14:textFill>
        </w:rPr>
        <w:t>3.1.2</w:t>
      </w:r>
      <w:r>
        <w:rPr>
          <w:rFonts w:ascii="Times New Roman" w:hAnsi="Times New Roman"/>
          <w:kern w:val="0"/>
          <w:szCs w:val="20"/>
        </w:rPr>
        <w:t>，有修改]</w:t>
      </w:r>
    </w:p>
    <w:p w14:paraId="17CD7A67">
      <w:pPr>
        <w:pStyle w:val="105"/>
        <w:rPr>
          <w:rFonts w:ascii="Times New Roman"/>
          <w:color w:val="000000" w:themeColor="text1"/>
          <w14:textFill>
            <w14:solidFill>
              <w14:schemeClr w14:val="tx1"/>
            </w14:solidFill>
          </w14:textFill>
        </w:rPr>
      </w:pPr>
    </w:p>
    <w:p w14:paraId="40DD7412">
      <w:pPr>
        <w:pStyle w:val="105"/>
        <w:numPr>
          <w:ilvl w:val="0"/>
          <w:numId w:val="0"/>
        </w:numPr>
        <w:ind w:firstLine="420" w:firstLineChars="200"/>
        <w:rPr>
          <w:rFonts w:ascii="Times New Roman"/>
          <w:color w:val="000000" w:themeColor="text1"/>
          <w:lang w:val="en-US"/>
          <w14:textFill>
            <w14:solidFill>
              <w14:schemeClr w14:val="tx1"/>
            </w14:solidFill>
          </w14:textFill>
        </w:rPr>
      </w:pPr>
      <w:r>
        <w:rPr>
          <w:rFonts w:ascii="Times New Roman"/>
          <w:color w:val="000000" w:themeColor="text1"/>
          <w14:textFill>
            <w14:solidFill>
              <w14:schemeClr w14:val="tx1"/>
            </w14:solidFill>
          </w14:textFill>
        </w:rPr>
        <w:t xml:space="preserve">穴播  </w:t>
      </w:r>
      <w:r>
        <w:rPr>
          <w:rFonts w:ascii="Times New Roman"/>
          <w:color w:val="000000" w:themeColor="text1"/>
          <w:lang w:val="en-US"/>
          <w14:textFill>
            <w14:solidFill>
              <w14:schemeClr w14:val="tx1"/>
            </w14:solidFill>
          </w14:textFill>
        </w:rPr>
        <w:t>hill-drop planting</w:t>
      </w:r>
    </w:p>
    <w:p w14:paraId="0ABAA84A">
      <w:pPr>
        <w:pStyle w:val="56"/>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将经过处理的水稻种子按照农艺要求的行距、穴距及穴粒数播于</w:t>
      </w:r>
      <w:r>
        <w:rPr>
          <w:rFonts w:hint="eastAsia" w:ascii="Times New Roman"/>
          <w:color w:val="000000" w:themeColor="text1"/>
          <w14:textFill>
            <w14:solidFill>
              <w14:schemeClr w14:val="tx1"/>
            </w14:solidFill>
          </w14:textFill>
        </w:rPr>
        <w:t>田间</w:t>
      </w:r>
      <w:r>
        <w:rPr>
          <w:rFonts w:ascii="Times New Roman"/>
          <w:color w:val="000000" w:themeColor="text1"/>
          <w14:textFill>
            <w14:solidFill>
              <w14:schemeClr w14:val="tx1"/>
            </w14:solidFill>
          </w14:textFill>
        </w:rPr>
        <w:t>的一种方式。</w:t>
      </w:r>
    </w:p>
    <w:p w14:paraId="35D6D8E1">
      <w:pPr>
        <w:widowControl/>
        <w:autoSpaceDE w:val="0"/>
        <w:autoSpaceDN w:val="0"/>
        <w:ind w:firstLine="420" w:firstLineChars="200"/>
        <w:rPr>
          <w:rFonts w:ascii="Times New Roman" w:hAnsi="Times New Roman"/>
          <w:kern w:val="0"/>
          <w:szCs w:val="20"/>
        </w:rPr>
      </w:pPr>
      <w:r>
        <w:rPr>
          <w:rFonts w:ascii="Times New Roman" w:hAnsi="Times New Roman"/>
          <w:kern w:val="0"/>
          <w:szCs w:val="20"/>
        </w:rPr>
        <w:t>[来源：</w:t>
      </w:r>
      <w:r>
        <w:rPr>
          <w:rFonts w:ascii="Times New Roman" w:hAnsi="Times New Roman"/>
          <w:color w:val="000000" w:themeColor="text1"/>
          <w14:textFill>
            <w14:solidFill>
              <w14:schemeClr w14:val="tx1"/>
            </w14:solidFill>
          </w14:textFill>
        </w:rPr>
        <w:t>JB/T 7874—2015</w:t>
      </w:r>
      <w:r>
        <w:rPr>
          <w:rFonts w:ascii="Times New Roman" w:hAnsi="Times New Roman"/>
          <w:kern w:val="0"/>
          <w:szCs w:val="20"/>
        </w:rPr>
        <w:t>，</w:t>
      </w:r>
      <w:r>
        <w:rPr>
          <w:rFonts w:ascii="Times New Roman" w:hAnsi="Times New Roman"/>
          <w:color w:val="000000" w:themeColor="text1"/>
          <w14:textFill>
            <w14:solidFill>
              <w14:schemeClr w14:val="tx1"/>
            </w14:solidFill>
          </w14:textFill>
        </w:rPr>
        <w:t>3.1.3</w:t>
      </w:r>
      <w:r>
        <w:rPr>
          <w:rFonts w:ascii="Times New Roman" w:hAnsi="Times New Roman"/>
          <w:kern w:val="0"/>
          <w:szCs w:val="20"/>
        </w:rPr>
        <w:t>，有修改]</w:t>
      </w:r>
    </w:p>
    <w:p w14:paraId="0E4AF9D9">
      <w:pPr>
        <w:pStyle w:val="104"/>
        <w:spacing w:before="312" w:after="312"/>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基本条件</w:t>
      </w:r>
    </w:p>
    <w:bookmarkEnd w:id="12"/>
    <w:bookmarkEnd w:id="13"/>
    <w:bookmarkEnd w:id="14"/>
    <w:bookmarkEnd w:id="15"/>
    <w:bookmarkEnd w:id="16"/>
    <w:bookmarkEnd w:id="17"/>
    <w:bookmarkEnd w:id="18"/>
    <w:bookmarkEnd w:id="19"/>
    <w:p w14:paraId="6D5F9F98">
      <w:pPr>
        <w:pStyle w:val="105"/>
        <w:rPr>
          <w:rFonts w:ascii="Times New Roman"/>
          <w:color w:val="000000" w:themeColor="text1"/>
          <w14:textFill>
            <w14:solidFill>
              <w14:schemeClr w14:val="tx1"/>
            </w14:solidFill>
          </w14:textFill>
        </w:rPr>
      </w:pPr>
      <w:bookmarkStart w:id="24" w:name="_Hlk164180476"/>
      <w:r>
        <w:rPr>
          <w:rFonts w:ascii="Times New Roman"/>
          <w:color w:val="000000" w:themeColor="text1"/>
          <w14:textFill>
            <w14:solidFill>
              <w14:schemeClr w14:val="tx1"/>
            </w14:solidFill>
          </w14:textFill>
        </w:rPr>
        <w:t>田间条件</w:t>
      </w:r>
    </w:p>
    <w:p w14:paraId="087A790B">
      <w:pPr>
        <w:pStyle w:val="65"/>
        <w:rPr>
          <w:rFonts w:ascii="Times New Roman" w:eastAsia="宋体"/>
          <w:color w:val="000000" w:themeColor="text1"/>
          <w:lang w:val="en-GB"/>
          <w14:textFill>
            <w14:solidFill>
              <w14:schemeClr w14:val="tx1"/>
            </w14:solidFill>
          </w14:textFill>
        </w:rPr>
      </w:pPr>
      <w:r>
        <w:rPr>
          <w:rFonts w:ascii="Times New Roman" w:eastAsia="宋体"/>
          <w:color w:val="000000" w:themeColor="text1"/>
          <w:lang w:val="en-GB"/>
          <w14:textFill>
            <w14:solidFill>
              <w14:schemeClr w14:val="tx1"/>
            </w14:solidFill>
          </w14:textFill>
        </w:rPr>
        <w:t>宜选择土壤肥力中等以上、保水保肥性好、灌溉方便和平整度好的田块，稻田环境质量条件符合</w:t>
      </w:r>
      <w:r>
        <w:rPr>
          <w:rFonts w:ascii="Times New Roman"/>
          <w:color w:val="000000" w:themeColor="text1"/>
          <w14:textFill>
            <w14:solidFill>
              <w14:schemeClr w14:val="tx1"/>
            </w14:solidFill>
          </w14:textFill>
        </w:rPr>
        <w:t>NY/T 847</w:t>
      </w:r>
      <w:r>
        <w:rPr>
          <w:rFonts w:ascii="Times New Roman" w:eastAsia="宋体"/>
          <w:color w:val="000000" w:themeColor="text1"/>
          <w:lang w:val="en-GB"/>
          <w14:textFill>
            <w14:solidFill>
              <w14:schemeClr w14:val="tx1"/>
            </w14:solidFill>
          </w14:textFill>
        </w:rPr>
        <w:t>的规定。</w:t>
      </w:r>
    </w:p>
    <w:p w14:paraId="5D8240FC">
      <w:pPr>
        <w:pStyle w:val="65"/>
        <w:rPr>
          <w:rFonts w:ascii="Times New Roman"/>
          <w:color w:val="000000" w:themeColor="text1"/>
          <w:lang w:val="en-GB"/>
          <w14:textFill>
            <w14:solidFill>
              <w14:schemeClr w14:val="tx1"/>
            </w14:solidFill>
          </w14:textFill>
        </w:rPr>
      </w:pPr>
      <w:r>
        <w:rPr>
          <w:rFonts w:ascii="Times New Roman" w:eastAsia="宋体"/>
          <w:color w:val="000000" w:themeColor="text1"/>
          <w:lang w:val="en-GB"/>
          <w14:textFill>
            <w14:solidFill>
              <w14:schemeClr w14:val="tx1"/>
            </w14:solidFill>
          </w14:textFill>
        </w:rPr>
        <w:t>水直播稻田块表面高低差不超过3</w:t>
      </w:r>
      <w:r>
        <w:rPr>
          <w:rFonts w:ascii="Times New Roman" w:eastAsia="宋体"/>
          <w:color w:val="000000" w:themeColor="text1"/>
          <w14:textFill>
            <w14:solidFill>
              <w14:schemeClr w14:val="tx1"/>
            </w14:solidFill>
          </w14:textFill>
        </w:rPr>
        <w:t>c</w:t>
      </w:r>
      <w:r>
        <w:rPr>
          <w:rFonts w:ascii="Times New Roman" w:eastAsia="宋体"/>
          <w:color w:val="000000" w:themeColor="text1"/>
          <w:lang w:val="en-GB"/>
          <w14:textFill>
            <w14:solidFill>
              <w14:schemeClr w14:val="tx1"/>
            </w14:solidFill>
          </w14:textFill>
        </w:rPr>
        <w:t>m；播前上水泡田，旋耕埋茬，做到田面基本无杂草、无杂物、无残茬等残留物。耕后的田块视土质及气候条件排水沉淀，沉实</w:t>
      </w:r>
      <w:r>
        <w:rPr>
          <w:rFonts w:ascii="Times New Roman" w:eastAsia="宋体"/>
          <w:color w:val="000000" w:themeColor="text1"/>
          <w14:textFill>
            <w14:solidFill>
              <w14:schemeClr w14:val="tx1"/>
            </w14:solidFill>
          </w14:textFill>
        </w:rPr>
        <w:t>1</w:t>
      </w:r>
      <w:r>
        <w:rPr>
          <w:rFonts w:ascii="Times New Roman" w:eastAsia="宋体"/>
          <w:color w:val="000000" w:themeColor="text1"/>
          <w:lang w:val="en-GB"/>
          <w14:textFill>
            <w14:solidFill>
              <w14:schemeClr w14:val="tx1"/>
            </w14:solidFill>
          </w14:textFill>
        </w:rPr>
        <w:t>~3天进行播种。</w:t>
      </w:r>
    </w:p>
    <w:p w14:paraId="6903E0E8">
      <w:pPr>
        <w:pStyle w:val="65"/>
        <w:rPr>
          <w:rFonts w:ascii="Times New Roman"/>
          <w:color w:val="000000" w:themeColor="text1"/>
          <w14:textFill>
            <w14:solidFill>
              <w14:schemeClr w14:val="tx1"/>
            </w14:solidFill>
          </w14:textFill>
        </w:rPr>
      </w:pPr>
      <w:r>
        <w:rPr>
          <w:rFonts w:ascii="Times New Roman" w:eastAsia="宋体"/>
          <w:color w:val="000000" w:themeColor="text1"/>
          <w:lang w:val="en-GB"/>
          <w14:textFill>
            <w14:solidFill>
              <w14:schemeClr w14:val="tx1"/>
            </w14:solidFill>
          </w14:textFill>
        </w:rPr>
        <w:t>旱直播稻田块应先清理或移走前茬留下的秸秆等杂物，采用少、免耕耕作法进行整地，田面要求平整，表面高低差不应超过3</w:t>
      </w:r>
      <w:r>
        <w:rPr>
          <w:rFonts w:ascii="Times New Roman" w:eastAsia="宋体"/>
          <w:color w:val="000000" w:themeColor="text1"/>
          <w14:textFill>
            <w14:solidFill>
              <w14:schemeClr w14:val="tx1"/>
            </w14:solidFill>
          </w14:textFill>
        </w:rPr>
        <w:t>c</w:t>
      </w:r>
      <w:r>
        <w:rPr>
          <w:rFonts w:ascii="Times New Roman" w:eastAsia="宋体"/>
          <w:color w:val="000000" w:themeColor="text1"/>
          <w:lang w:val="en-GB"/>
          <w14:textFill>
            <w14:solidFill>
              <w14:schemeClr w14:val="tx1"/>
            </w14:solidFill>
          </w14:textFill>
        </w:rPr>
        <w:t>m。</w:t>
      </w:r>
    </w:p>
    <w:p w14:paraId="54D80A8F">
      <w:pPr>
        <w:pStyle w:val="105"/>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种子条件</w:t>
      </w:r>
    </w:p>
    <w:p w14:paraId="7F19E776">
      <w:pPr>
        <w:pStyle w:val="56"/>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应选用筛选、脱芒处理过的水稻种子，种子应符合GB4404.1中的</w:t>
      </w:r>
      <w:r>
        <w:rPr>
          <w:rFonts w:ascii="Times New Roman"/>
          <w:color w:val="000000" w:themeColor="text1"/>
          <w:lang w:val="en-US"/>
          <w14:textFill>
            <w14:solidFill>
              <w14:schemeClr w14:val="tx1"/>
            </w14:solidFill>
          </w14:textFill>
        </w:rPr>
        <w:t>规定要求</w:t>
      </w:r>
      <w:r>
        <w:rPr>
          <w:rFonts w:ascii="Times New Roman"/>
          <w:color w:val="000000" w:themeColor="text1"/>
          <w14:textFill>
            <w14:solidFill>
              <w14:schemeClr w14:val="tx1"/>
            </w14:solidFill>
          </w14:textFill>
        </w:rPr>
        <w:t>。</w:t>
      </w:r>
    </w:p>
    <w:p w14:paraId="1FD1A011">
      <w:pPr>
        <w:pStyle w:val="105"/>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作业机具</w:t>
      </w:r>
    </w:p>
    <w:p w14:paraId="47F66BF1">
      <w:pPr>
        <w:pStyle w:val="65"/>
        <w:rPr>
          <w:rFonts w:ascii="Times New Roman"/>
          <w:color w:val="000000" w:themeColor="text1"/>
          <w:lang w:val="en-GB"/>
          <w14:textFill>
            <w14:solidFill>
              <w14:schemeClr w14:val="tx1"/>
            </w14:solidFill>
          </w14:textFill>
        </w:rPr>
      </w:pPr>
      <w:r>
        <w:rPr>
          <w:rFonts w:ascii="Times New Roman" w:eastAsia="宋体"/>
          <w:color w:val="000000" w:themeColor="text1"/>
          <w:lang w:val="en-GB"/>
          <w14:textFill>
            <w14:solidFill>
              <w14:schemeClr w14:val="tx1"/>
            </w14:solidFill>
          </w14:textFill>
        </w:rPr>
        <w:t>水稻直播机应满足相关产品标准及安全标准，保持性能良好状态，无故障，无零部件损坏。</w:t>
      </w:r>
    </w:p>
    <w:p w14:paraId="5397C621">
      <w:pPr>
        <w:pStyle w:val="65"/>
        <w:rPr>
          <w:rFonts w:ascii="Times New Roman"/>
          <w:color w:val="000000" w:themeColor="text1"/>
          <w:lang w:val="en-GB"/>
          <w14:textFill>
            <w14:solidFill>
              <w14:schemeClr w14:val="tx1"/>
            </w14:solidFill>
          </w14:textFill>
        </w:rPr>
      </w:pPr>
      <w:r>
        <w:rPr>
          <w:rFonts w:ascii="Times New Roman" w:eastAsia="宋体"/>
          <w:color w:val="000000" w:themeColor="text1"/>
          <w:lang w:val="en-GB"/>
          <w14:textFill>
            <w14:solidFill>
              <w14:schemeClr w14:val="tx1"/>
            </w14:solidFill>
          </w14:textFill>
        </w:rPr>
        <w:t>水稻条播机的播量大小应调整方便，排种器应具有“排种”或“停排”功能，调整应方便可靠。</w:t>
      </w:r>
    </w:p>
    <w:p w14:paraId="0098C811">
      <w:pPr>
        <w:pStyle w:val="65"/>
        <w:rPr>
          <w:rFonts w:ascii="Times New Roman"/>
          <w:color w:val="000000" w:themeColor="text1"/>
          <w:lang w:val="en-GB"/>
          <w14:textFill>
            <w14:solidFill>
              <w14:schemeClr w14:val="tx1"/>
            </w14:solidFill>
          </w14:textFill>
        </w:rPr>
      </w:pPr>
      <w:r>
        <w:rPr>
          <w:rFonts w:ascii="Times New Roman" w:eastAsia="宋体"/>
          <w:color w:val="000000" w:themeColor="text1"/>
          <w:lang w:val="en-GB"/>
          <w14:textFill>
            <w14:solidFill>
              <w14:schemeClr w14:val="tx1"/>
            </w14:solidFill>
          </w14:textFill>
        </w:rPr>
        <w:t>水稻穴播机的穴粒数和穴距应调整方便，调整后穴粒数和穴距应满足当地农艺要求。</w:t>
      </w:r>
    </w:p>
    <w:p w14:paraId="003FF31F">
      <w:pPr>
        <w:pStyle w:val="105"/>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作业人员</w:t>
      </w:r>
    </w:p>
    <w:p w14:paraId="305E8F8E">
      <w:pPr>
        <w:pStyle w:val="56"/>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水稻直播机操作人员应是专业人员或经过专业培训的合格人员，并严格按照机具使用说明书的操作规程进行调整、作业和维护。</w:t>
      </w:r>
    </w:p>
    <w:p w14:paraId="36B60EC4">
      <w:pPr>
        <w:pStyle w:val="105"/>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作业流程</w:t>
      </w:r>
    </w:p>
    <w:p w14:paraId="016150EB">
      <w:pPr>
        <w:pStyle w:val="56"/>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按农艺要求进行水稻直播作业，</w:t>
      </w:r>
      <w:r>
        <w:rPr>
          <w:rFonts w:ascii="Times New Roman"/>
          <w:color w:val="000000" w:themeColor="text1"/>
          <w:lang w:val="en-US"/>
          <w14:textFill>
            <w14:solidFill>
              <w14:schemeClr w14:val="tx1"/>
            </w14:solidFill>
          </w14:textFill>
        </w:rPr>
        <w:t>水稻机械化直播生产</w:t>
      </w:r>
      <w:r>
        <w:rPr>
          <w:rFonts w:ascii="Times New Roman"/>
          <w:color w:val="000000" w:themeColor="text1"/>
          <w14:textFill>
            <w14:solidFill>
              <w14:schemeClr w14:val="tx1"/>
            </w14:solidFill>
          </w14:textFill>
        </w:rPr>
        <w:t>流程参见附录A。</w:t>
      </w:r>
    </w:p>
    <w:bookmarkEnd w:id="24"/>
    <w:p w14:paraId="0D6A0770">
      <w:pPr>
        <w:pStyle w:val="104"/>
        <w:spacing w:before="312" w:after="312"/>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作业质量</w:t>
      </w:r>
    </w:p>
    <w:p w14:paraId="37AC12C7">
      <w:pPr>
        <w:pStyle w:val="105"/>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作业质量要求</w:t>
      </w:r>
    </w:p>
    <w:p w14:paraId="5F593F62">
      <w:pPr>
        <w:pStyle w:val="56"/>
        <w:rPr>
          <w:rFonts w:ascii="Times New Roman"/>
          <w:color w:val="000000" w:themeColor="text1"/>
          <w14:textFill>
            <w14:solidFill>
              <w14:schemeClr w14:val="tx1"/>
            </w14:solidFill>
          </w14:textFill>
        </w:rPr>
      </w:pPr>
      <w:r>
        <w:rPr>
          <w:rFonts w:ascii="Times New Roman"/>
        </w:rPr>
        <w:t>在满足规定的作业条件下，</w:t>
      </w:r>
      <w:bookmarkStart w:id="25" w:name="_Hlk173387001"/>
      <w:r>
        <w:rPr>
          <w:rFonts w:ascii="Times New Roman"/>
        </w:rPr>
        <w:t>水稻条播质量应符合表1的规定</w:t>
      </w:r>
      <w:bookmarkEnd w:id="25"/>
      <w:r>
        <w:rPr>
          <w:rFonts w:ascii="Times New Roman"/>
        </w:rPr>
        <w:t>，水稻穴播质量应符合表2的规定。</w:t>
      </w:r>
    </w:p>
    <w:p w14:paraId="7DE18816">
      <w:pPr>
        <w:spacing w:line="360" w:lineRule="exact"/>
        <w:jc w:val="center"/>
        <w:rPr>
          <w:rFonts w:ascii="Times New Roman" w:hAnsi="Times New Roman" w:eastAsia="黑体"/>
          <w:color w:val="000000" w:themeColor="text1"/>
          <w14:textFill>
            <w14:solidFill>
              <w14:schemeClr w14:val="tx1"/>
            </w14:solidFill>
          </w14:textFill>
        </w:rPr>
      </w:pPr>
      <w:r>
        <w:rPr>
          <w:rFonts w:ascii="Times New Roman" w:hAnsi="Times New Roman" w:eastAsia="黑体"/>
          <w:color w:val="000000" w:themeColor="text1"/>
          <w14:textFill>
            <w14:solidFill>
              <w14:schemeClr w14:val="tx1"/>
            </w14:solidFill>
          </w14:textFill>
        </w:rPr>
        <w:t>表1 水稻条播作业质量指标要求</w:t>
      </w:r>
    </w:p>
    <w:tbl>
      <w:tblPr>
        <w:tblStyle w:val="26"/>
        <w:tblW w:w="93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5"/>
        <w:gridCol w:w="3240"/>
        <w:gridCol w:w="4789"/>
      </w:tblGrid>
      <w:tr w14:paraId="72BC2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05" w:type="dxa"/>
            <w:vAlign w:val="center"/>
          </w:tcPr>
          <w:p w14:paraId="502EAD00">
            <w:pPr>
              <w:spacing w:line="360" w:lineRule="exact"/>
              <w:jc w:val="center"/>
              <w:rPr>
                <w:rFonts w:ascii="Times New Roman" w:hAnsi="Times New Roman"/>
                <w:b/>
                <w:color w:val="000000" w:themeColor="text1"/>
                <w:sz w:val="18"/>
                <w:szCs w:val="18"/>
                <w14:textFill>
                  <w14:solidFill>
                    <w14:schemeClr w14:val="tx1"/>
                  </w14:solidFill>
                </w14:textFill>
              </w:rPr>
            </w:pPr>
            <w:r>
              <w:rPr>
                <w:rFonts w:ascii="Times New Roman" w:hAnsi="Times New Roman"/>
                <w:b/>
                <w:color w:val="000000" w:themeColor="text1"/>
                <w:sz w:val="18"/>
                <w:szCs w:val="18"/>
                <w14:textFill>
                  <w14:solidFill>
                    <w14:schemeClr w14:val="tx1"/>
                  </w14:solidFill>
                </w14:textFill>
              </w:rPr>
              <w:t>序号</w:t>
            </w:r>
          </w:p>
        </w:tc>
        <w:tc>
          <w:tcPr>
            <w:tcW w:w="3240" w:type="dxa"/>
            <w:noWrap/>
            <w:vAlign w:val="center"/>
          </w:tcPr>
          <w:p w14:paraId="29AFC054">
            <w:pPr>
              <w:spacing w:line="360" w:lineRule="exact"/>
              <w:jc w:val="center"/>
              <w:rPr>
                <w:rFonts w:ascii="Times New Roman" w:hAnsi="Times New Roman"/>
                <w:b/>
                <w:color w:val="000000" w:themeColor="text1"/>
                <w:sz w:val="18"/>
                <w:szCs w:val="18"/>
                <w14:textFill>
                  <w14:solidFill>
                    <w14:schemeClr w14:val="tx1"/>
                  </w14:solidFill>
                </w14:textFill>
              </w:rPr>
            </w:pPr>
            <w:r>
              <w:rPr>
                <w:rFonts w:ascii="Times New Roman" w:hAnsi="Times New Roman"/>
                <w:b/>
                <w:color w:val="000000" w:themeColor="text1"/>
                <w:sz w:val="18"/>
                <w:szCs w:val="18"/>
                <w14:textFill>
                  <w14:solidFill>
                    <w14:schemeClr w14:val="tx1"/>
                  </w14:solidFill>
                </w14:textFill>
              </w:rPr>
              <w:t>项目</w:t>
            </w:r>
          </w:p>
        </w:tc>
        <w:tc>
          <w:tcPr>
            <w:tcW w:w="4789" w:type="dxa"/>
            <w:noWrap/>
            <w:vAlign w:val="center"/>
          </w:tcPr>
          <w:p w14:paraId="56721C7F">
            <w:pPr>
              <w:widowControl/>
              <w:spacing w:line="360" w:lineRule="exact"/>
              <w:jc w:val="center"/>
              <w:rPr>
                <w:rFonts w:ascii="Times New Roman" w:hAnsi="Times New Roman"/>
                <w:b/>
                <w:color w:val="000000" w:themeColor="text1"/>
                <w:sz w:val="18"/>
                <w:szCs w:val="18"/>
                <w14:textFill>
                  <w14:solidFill>
                    <w14:schemeClr w14:val="tx1"/>
                  </w14:solidFill>
                </w14:textFill>
              </w:rPr>
            </w:pPr>
            <w:r>
              <w:rPr>
                <w:rFonts w:ascii="Times New Roman" w:hAnsi="Times New Roman"/>
                <w:b/>
                <w:color w:val="000000" w:themeColor="text1"/>
                <w:sz w:val="18"/>
                <w:szCs w:val="18"/>
                <w14:textFill>
                  <w14:solidFill>
                    <w14:schemeClr w14:val="tx1"/>
                  </w14:solidFill>
                </w14:textFill>
              </w:rPr>
              <w:t>条播质量指标</w:t>
            </w:r>
          </w:p>
        </w:tc>
      </w:tr>
      <w:tr w14:paraId="47944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05" w:type="dxa"/>
          </w:tcPr>
          <w:p w14:paraId="3731164C">
            <w:pPr>
              <w:widowControl/>
              <w:spacing w:line="360" w:lineRule="exact"/>
              <w:ind w:left="420"/>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w:t>
            </w:r>
          </w:p>
        </w:tc>
        <w:tc>
          <w:tcPr>
            <w:tcW w:w="3240" w:type="dxa"/>
            <w:vAlign w:val="center"/>
          </w:tcPr>
          <w:p w14:paraId="71313FA4">
            <w:pPr>
              <w:widowControl/>
              <w:spacing w:line="360" w:lineRule="exact"/>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lang w:bidi="ar"/>
                <w14:textFill>
                  <w14:solidFill>
                    <w14:schemeClr w14:val="tx1"/>
                  </w14:solidFill>
                </w14:textFill>
              </w:rPr>
              <w:t>各行排种量一致性变异系数/%</w:t>
            </w:r>
          </w:p>
        </w:tc>
        <w:tc>
          <w:tcPr>
            <w:tcW w:w="4789" w:type="dxa"/>
            <w:vAlign w:val="center"/>
          </w:tcPr>
          <w:p w14:paraId="09637536">
            <w:pPr>
              <w:spacing w:line="360" w:lineRule="exact"/>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lang w:bidi="ar"/>
                <w14:textFill>
                  <w14:solidFill>
                    <w14:schemeClr w14:val="tx1"/>
                  </w14:solidFill>
                </w14:textFill>
              </w:rPr>
              <w:t>≤3.9</w:t>
            </w:r>
          </w:p>
        </w:tc>
      </w:tr>
      <w:tr w14:paraId="3A79F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05" w:type="dxa"/>
          </w:tcPr>
          <w:p w14:paraId="1F1587F2">
            <w:pPr>
              <w:widowControl/>
              <w:spacing w:line="360" w:lineRule="exact"/>
              <w:ind w:left="420"/>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w:t>
            </w:r>
          </w:p>
        </w:tc>
        <w:tc>
          <w:tcPr>
            <w:tcW w:w="3240" w:type="dxa"/>
            <w:vAlign w:val="center"/>
          </w:tcPr>
          <w:p w14:paraId="180D0D08">
            <w:pPr>
              <w:widowControl/>
              <w:spacing w:line="360" w:lineRule="exact"/>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lang w:bidi="ar"/>
                <w14:textFill>
                  <w14:solidFill>
                    <w14:schemeClr w14:val="tx1"/>
                  </w14:solidFill>
                </w14:textFill>
              </w:rPr>
              <w:t>总排种量稳定性变异系数/%</w:t>
            </w:r>
          </w:p>
        </w:tc>
        <w:tc>
          <w:tcPr>
            <w:tcW w:w="4789" w:type="dxa"/>
            <w:vAlign w:val="center"/>
          </w:tcPr>
          <w:p w14:paraId="47B9B5A3">
            <w:pPr>
              <w:spacing w:line="360" w:lineRule="exact"/>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lang w:bidi="ar"/>
                <w14:textFill>
                  <w14:solidFill>
                    <w14:schemeClr w14:val="tx1"/>
                  </w14:solidFill>
                </w14:textFill>
              </w:rPr>
              <w:t>≤2.0</w:t>
            </w:r>
          </w:p>
        </w:tc>
      </w:tr>
      <w:tr w14:paraId="4A82F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1305" w:type="dxa"/>
          </w:tcPr>
          <w:p w14:paraId="750CE458">
            <w:pPr>
              <w:widowControl/>
              <w:spacing w:line="360" w:lineRule="exact"/>
              <w:ind w:left="420"/>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w:t>
            </w:r>
          </w:p>
        </w:tc>
        <w:tc>
          <w:tcPr>
            <w:tcW w:w="3240" w:type="dxa"/>
            <w:vAlign w:val="center"/>
          </w:tcPr>
          <w:p w14:paraId="0AA0F4BD">
            <w:pPr>
              <w:widowControl/>
              <w:spacing w:line="360" w:lineRule="exact"/>
              <w:jc w:val="center"/>
              <w:rPr>
                <w:rFonts w:ascii="Times New Roman" w:hAnsi="Times New Roman"/>
                <w:color w:val="000000" w:themeColor="text1"/>
                <w:sz w:val="18"/>
                <w:szCs w:val="18"/>
                <w:lang w:bidi="ar"/>
                <w14:textFill>
                  <w14:solidFill>
                    <w14:schemeClr w14:val="tx1"/>
                  </w14:solidFill>
                </w14:textFill>
              </w:rPr>
            </w:pPr>
            <w:r>
              <w:rPr>
                <w:rFonts w:ascii="Times New Roman" w:hAnsi="Times New Roman"/>
                <w:color w:val="000000" w:themeColor="text1"/>
                <w:sz w:val="18"/>
                <w:szCs w:val="18"/>
                <w:lang w:bidi="ar"/>
                <w14:textFill>
                  <w14:solidFill>
                    <w14:schemeClr w14:val="tx1"/>
                  </w14:solidFill>
                </w14:textFill>
              </w:rPr>
              <w:t>播种均匀性变异系数/%</w:t>
            </w:r>
          </w:p>
        </w:tc>
        <w:tc>
          <w:tcPr>
            <w:tcW w:w="4789" w:type="dxa"/>
            <w:vAlign w:val="center"/>
          </w:tcPr>
          <w:p w14:paraId="5BD9B85F">
            <w:pPr>
              <w:spacing w:line="360" w:lineRule="exact"/>
              <w:jc w:val="center"/>
              <w:rPr>
                <w:rFonts w:ascii="Times New Roman" w:hAnsi="Times New Roman"/>
                <w:color w:val="000000" w:themeColor="text1"/>
                <w:sz w:val="18"/>
                <w:szCs w:val="18"/>
                <w:lang w:bidi="ar"/>
                <w14:textFill>
                  <w14:solidFill>
                    <w14:schemeClr w14:val="tx1"/>
                  </w14:solidFill>
                </w14:textFill>
              </w:rPr>
            </w:pPr>
            <w:r>
              <w:rPr>
                <w:rFonts w:ascii="Times New Roman" w:hAnsi="Times New Roman"/>
                <w:color w:val="000000" w:themeColor="text1"/>
                <w:sz w:val="18"/>
                <w:szCs w:val="18"/>
                <w:lang w:bidi="ar"/>
                <w14:textFill>
                  <w14:solidFill>
                    <w14:schemeClr w14:val="tx1"/>
                  </w14:solidFill>
                </w14:textFill>
              </w:rPr>
              <w:t>≤45</w:t>
            </w:r>
          </w:p>
        </w:tc>
      </w:tr>
      <w:tr w14:paraId="017FD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1305" w:type="dxa"/>
          </w:tcPr>
          <w:p w14:paraId="1DB69095">
            <w:pPr>
              <w:widowControl/>
              <w:spacing w:line="360" w:lineRule="exact"/>
              <w:ind w:left="420"/>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w:t>
            </w:r>
          </w:p>
        </w:tc>
        <w:tc>
          <w:tcPr>
            <w:tcW w:w="3240" w:type="dxa"/>
            <w:vAlign w:val="center"/>
          </w:tcPr>
          <w:p w14:paraId="7FD56CCE">
            <w:pPr>
              <w:widowControl/>
              <w:spacing w:line="360" w:lineRule="exact"/>
              <w:jc w:val="center"/>
              <w:rPr>
                <w:rFonts w:ascii="Times New Roman" w:hAnsi="Times New Roman"/>
                <w:color w:val="000000" w:themeColor="text1"/>
                <w:sz w:val="18"/>
                <w:szCs w:val="18"/>
                <w:lang w:bidi="ar"/>
                <w14:textFill>
                  <w14:solidFill>
                    <w14:schemeClr w14:val="tx1"/>
                  </w14:solidFill>
                </w14:textFill>
              </w:rPr>
            </w:pPr>
            <w:r>
              <w:rPr>
                <w:rFonts w:ascii="Times New Roman" w:hAnsi="Times New Roman"/>
                <w:color w:val="000000" w:themeColor="text1"/>
                <w:sz w:val="18"/>
                <w:szCs w:val="18"/>
                <w:lang w:bidi="ar"/>
                <w14:textFill>
                  <w14:solidFill>
                    <w14:schemeClr w14:val="tx1"/>
                  </w14:solidFill>
                </w14:textFill>
              </w:rPr>
              <w:t>种子破损率/%</w:t>
            </w:r>
          </w:p>
        </w:tc>
        <w:tc>
          <w:tcPr>
            <w:tcW w:w="4789" w:type="dxa"/>
            <w:vAlign w:val="center"/>
          </w:tcPr>
          <w:p w14:paraId="39BC2262">
            <w:pPr>
              <w:spacing w:line="360" w:lineRule="exact"/>
              <w:jc w:val="center"/>
              <w:rPr>
                <w:rFonts w:ascii="Times New Roman" w:hAnsi="Times New Roman"/>
                <w:color w:val="000000" w:themeColor="text1"/>
                <w:sz w:val="18"/>
                <w:szCs w:val="18"/>
                <w:lang w:bidi="ar"/>
                <w14:textFill>
                  <w14:solidFill>
                    <w14:schemeClr w14:val="tx1"/>
                  </w14:solidFill>
                </w14:textFill>
              </w:rPr>
            </w:pPr>
            <w:r>
              <w:rPr>
                <w:rFonts w:ascii="Times New Roman" w:hAnsi="Times New Roman"/>
                <w:color w:val="000000" w:themeColor="text1"/>
                <w:sz w:val="18"/>
                <w:szCs w:val="18"/>
                <w:lang w:bidi="ar"/>
                <w14:textFill>
                  <w14:solidFill>
                    <w14:schemeClr w14:val="tx1"/>
                  </w14:solidFill>
                </w14:textFill>
              </w:rPr>
              <w:t>≤0.8</w:t>
            </w:r>
          </w:p>
        </w:tc>
      </w:tr>
      <w:tr w14:paraId="1EA80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05" w:type="dxa"/>
            <w:vAlign w:val="center"/>
          </w:tcPr>
          <w:p w14:paraId="1FE992E2">
            <w:pPr>
              <w:widowControl/>
              <w:spacing w:line="360" w:lineRule="exact"/>
              <w:ind w:left="420"/>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14:textFill>
                  <w14:solidFill>
                    <w14:schemeClr w14:val="tx1"/>
                  </w14:solidFill>
                </w14:textFill>
              </w:rPr>
              <w:t>5</w:t>
            </w:r>
          </w:p>
        </w:tc>
        <w:tc>
          <w:tcPr>
            <w:tcW w:w="3240" w:type="dxa"/>
            <w:vAlign w:val="center"/>
          </w:tcPr>
          <w:p w14:paraId="5EB4B08F">
            <w:pPr>
              <w:widowControl/>
              <w:spacing w:line="360" w:lineRule="exact"/>
              <w:jc w:val="center"/>
              <w:rPr>
                <w:rFonts w:ascii="Times New Roman" w:hAnsi="Times New Roman"/>
                <w:color w:val="000000" w:themeColor="text1"/>
                <w:sz w:val="18"/>
                <w:szCs w:val="18"/>
                <w:lang w:bidi="ar"/>
                <w14:textFill>
                  <w14:solidFill>
                    <w14:schemeClr w14:val="tx1"/>
                  </w14:solidFill>
                </w14:textFill>
              </w:rPr>
            </w:pPr>
            <w:r>
              <w:rPr>
                <w:rFonts w:ascii="Times New Roman" w:hAnsi="Times New Roman"/>
                <w:color w:val="000000" w:themeColor="text1"/>
                <w:sz w:val="18"/>
                <w:szCs w:val="18"/>
                <w:lang w:bidi="ar"/>
                <w14:textFill>
                  <w14:solidFill>
                    <w14:schemeClr w14:val="tx1"/>
                  </w14:solidFill>
                </w14:textFill>
              </w:rPr>
              <w:t>播深合格率/%</w:t>
            </w:r>
          </w:p>
        </w:tc>
        <w:tc>
          <w:tcPr>
            <w:tcW w:w="4789" w:type="dxa"/>
            <w:vAlign w:val="center"/>
          </w:tcPr>
          <w:p w14:paraId="54E635BA">
            <w:pPr>
              <w:widowControl/>
              <w:spacing w:line="360" w:lineRule="exact"/>
              <w:jc w:val="center"/>
              <w:rPr>
                <w:rFonts w:ascii="Times New Roman" w:hAnsi="Times New Roman"/>
                <w:color w:val="000000" w:themeColor="text1"/>
                <w:sz w:val="18"/>
                <w:szCs w:val="18"/>
                <w:lang w:bidi="ar"/>
                <w14:textFill>
                  <w14:solidFill>
                    <w14:schemeClr w14:val="tx1"/>
                  </w14:solidFill>
                </w14:textFill>
              </w:rPr>
            </w:pPr>
            <w:r>
              <w:rPr>
                <w:rFonts w:ascii="Times New Roman" w:hAnsi="Times New Roman"/>
                <w:color w:val="000000" w:themeColor="text1"/>
                <w:sz w:val="18"/>
                <w:szCs w:val="18"/>
                <w:lang w:bidi="ar"/>
                <w14:textFill>
                  <w14:solidFill>
                    <w14:schemeClr w14:val="tx1"/>
                  </w14:solidFill>
                </w14:textFill>
              </w:rPr>
              <w:t>≥80</w:t>
            </w:r>
          </w:p>
        </w:tc>
      </w:tr>
      <w:tr w14:paraId="7BEA5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34" w:type="dxa"/>
            <w:gridSpan w:val="3"/>
          </w:tcPr>
          <w:p w14:paraId="2EEAAC8C">
            <w:pPr>
              <w:spacing w:line="360" w:lineRule="exact"/>
              <w:ind w:firstLine="180" w:firstLineChars="100"/>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lang w:bidi="ar"/>
                <w14:textFill>
                  <w14:solidFill>
                    <w14:schemeClr w14:val="tx1"/>
                  </w14:solidFill>
                </w14:textFill>
              </w:rPr>
              <w:t>注：旱直播按当地农艺要求的播深为h，当h≥3cm时，h±1cm为合格；当h＜3cm时，h±0.5cm为合格。</w:t>
            </w:r>
          </w:p>
        </w:tc>
      </w:tr>
    </w:tbl>
    <w:p w14:paraId="2A321C01">
      <w:pPr>
        <w:spacing w:line="360" w:lineRule="exact"/>
        <w:jc w:val="center"/>
        <w:rPr>
          <w:rFonts w:ascii="Times New Roman" w:hAnsi="Times New Roman" w:eastAsia="黑体"/>
          <w:color w:val="000000" w:themeColor="text1"/>
          <w14:textFill>
            <w14:solidFill>
              <w14:schemeClr w14:val="tx1"/>
            </w14:solidFill>
          </w14:textFill>
        </w:rPr>
      </w:pPr>
    </w:p>
    <w:p w14:paraId="34B02A23">
      <w:pPr>
        <w:spacing w:line="360" w:lineRule="exact"/>
        <w:jc w:val="center"/>
        <w:rPr>
          <w:rFonts w:ascii="Times New Roman" w:hAnsi="Times New Roman" w:eastAsia="黑体"/>
          <w:color w:val="000000" w:themeColor="text1"/>
          <w14:textFill>
            <w14:solidFill>
              <w14:schemeClr w14:val="tx1"/>
            </w14:solidFill>
          </w14:textFill>
        </w:rPr>
      </w:pPr>
    </w:p>
    <w:p w14:paraId="670CD5DC">
      <w:pPr>
        <w:spacing w:line="360" w:lineRule="exact"/>
        <w:jc w:val="center"/>
        <w:rPr>
          <w:rFonts w:ascii="Times New Roman" w:hAnsi="Times New Roman" w:eastAsia="黑体"/>
          <w:color w:val="000000" w:themeColor="text1"/>
          <w14:textFill>
            <w14:solidFill>
              <w14:schemeClr w14:val="tx1"/>
            </w14:solidFill>
          </w14:textFill>
        </w:rPr>
      </w:pPr>
      <w:r>
        <w:rPr>
          <w:rFonts w:ascii="Times New Roman" w:hAnsi="Times New Roman" w:eastAsia="黑体"/>
          <w:color w:val="000000" w:themeColor="text1"/>
          <w14:textFill>
            <w14:solidFill>
              <w14:schemeClr w14:val="tx1"/>
            </w14:solidFill>
          </w14:textFill>
        </w:rPr>
        <w:t>表2 水稻穴播作业质量指标要求</w:t>
      </w:r>
    </w:p>
    <w:tbl>
      <w:tblPr>
        <w:tblStyle w:val="26"/>
        <w:tblW w:w="93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5"/>
        <w:gridCol w:w="3240"/>
        <w:gridCol w:w="4789"/>
      </w:tblGrid>
      <w:tr w14:paraId="6CEA1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05" w:type="dxa"/>
            <w:vAlign w:val="center"/>
          </w:tcPr>
          <w:p w14:paraId="72755779">
            <w:pPr>
              <w:spacing w:line="360" w:lineRule="exact"/>
              <w:jc w:val="center"/>
              <w:rPr>
                <w:rFonts w:ascii="Times New Roman" w:hAnsi="Times New Roman"/>
                <w:b/>
                <w:color w:val="000000" w:themeColor="text1"/>
                <w:sz w:val="18"/>
                <w:szCs w:val="18"/>
                <w14:textFill>
                  <w14:solidFill>
                    <w14:schemeClr w14:val="tx1"/>
                  </w14:solidFill>
                </w14:textFill>
              </w:rPr>
            </w:pPr>
            <w:r>
              <w:rPr>
                <w:rFonts w:ascii="Times New Roman" w:hAnsi="Times New Roman"/>
                <w:b/>
                <w:color w:val="000000" w:themeColor="text1"/>
                <w:sz w:val="18"/>
                <w:szCs w:val="18"/>
                <w14:textFill>
                  <w14:solidFill>
                    <w14:schemeClr w14:val="tx1"/>
                  </w14:solidFill>
                </w14:textFill>
              </w:rPr>
              <w:t>序号</w:t>
            </w:r>
          </w:p>
        </w:tc>
        <w:tc>
          <w:tcPr>
            <w:tcW w:w="3240" w:type="dxa"/>
            <w:noWrap/>
            <w:vAlign w:val="center"/>
          </w:tcPr>
          <w:p w14:paraId="1AA9B525">
            <w:pPr>
              <w:spacing w:line="360" w:lineRule="exact"/>
              <w:jc w:val="center"/>
              <w:rPr>
                <w:rFonts w:ascii="Times New Roman" w:hAnsi="Times New Roman"/>
                <w:b/>
                <w:color w:val="000000" w:themeColor="text1"/>
                <w:sz w:val="18"/>
                <w:szCs w:val="18"/>
                <w14:textFill>
                  <w14:solidFill>
                    <w14:schemeClr w14:val="tx1"/>
                  </w14:solidFill>
                </w14:textFill>
              </w:rPr>
            </w:pPr>
            <w:r>
              <w:rPr>
                <w:rFonts w:ascii="Times New Roman" w:hAnsi="Times New Roman"/>
                <w:b/>
                <w:color w:val="000000" w:themeColor="text1"/>
                <w:sz w:val="18"/>
                <w:szCs w:val="18"/>
                <w14:textFill>
                  <w14:solidFill>
                    <w14:schemeClr w14:val="tx1"/>
                  </w14:solidFill>
                </w14:textFill>
              </w:rPr>
              <w:t>项目</w:t>
            </w:r>
          </w:p>
        </w:tc>
        <w:tc>
          <w:tcPr>
            <w:tcW w:w="4789" w:type="dxa"/>
            <w:noWrap/>
            <w:vAlign w:val="center"/>
          </w:tcPr>
          <w:p w14:paraId="7B970D67">
            <w:pPr>
              <w:widowControl/>
              <w:spacing w:line="360" w:lineRule="exact"/>
              <w:jc w:val="center"/>
              <w:rPr>
                <w:rFonts w:ascii="Times New Roman" w:hAnsi="Times New Roman"/>
                <w:b/>
                <w:color w:val="000000" w:themeColor="text1"/>
                <w:sz w:val="18"/>
                <w:szCs w:val="18"/>
                <w14:textFill>
                  <w14:solidFill>
                    <w14:schemeClr w14:val="tx1"/>
                  </w14:solidFill>
                </w14:textFill>
              </w:rPr>
            </w:pPr>
            <w:r>
              <w:rPr>
                <w:rFonts w:ascii="Times New Roman" w:hAnsi="Times New Roman"/>
                <w:b/>
                <w:color w:val="000000" w:themeColor="text1"/>
                <w:sz w:val="18"/>
                <w:szCs w:val="18"/>
                <w14:textFill>
                  <w14:solidFill>
                    <w14:schemeClr w14:val="tx1"/>
                  </w14:solidFill>
                </w14:textFill>
              </w:rPr>
              <w:t>穴播质量指标</w:t>
            </w:r>
          </w:p>
        </w:tc>
      </w:tr>
      <w:tr w14:paraId="259A6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05" w:type="dxa"/>
          </w:tcPr>
          <w:p w14:paraId="6B2B6FDA">
            <w:pPr>
              <w:widowControl/>
              <w:spacing w:line="360" w:lineRule="exact"/>
              <w:ind w:left="420"/>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w:t>
            </w:r>
          </w:p>
        </w:tc>
        <w:tc>
          <w:tcPr>
            <w:tcW w:w="3240" w:type="dxa"/>
            <w:vAlign w:val="center"/>
          </w:tcPr>
          <w:p w14:paraId="7C6EF780">
            <w:pPr>
              <w:widowControl/>
              <w:spacing w:line="360" w:lineRule="exact"/>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lang w:bidi="ar"/>
                <w14:textFill>
                  <w14:solidFill>
                    <w14:schemeClr w14:val="tx1"/>
                  </w14:solidFill>
                </w14:textFill>
              </w:rPr>
              <w:t>播种均匀性变异系数/%</w:t>
            </w:r>
          </w:p>
        </w:tc>
        <w:tc>
          <w:tcPr>
            <w:tcW w:w="4789" w:type="dxa"/>
            <w:vAlign w:val="center"/>
          </w:tcPr>
          <w:p w14:paraId="4819ECB3">
            <w:pPr>
              <w:spacing w:line="360" w:lineRule="exact"/>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lang w:bidi="ar"/>
                <w14:textFill>
                  <w14:solidFill>
                    <w14:schemeClr w14:val="tx1"/>
                  </w14:solidFill>
                </w14:textFill>
              </w:rPr>
              <w:t>≤40</w:t>
            </w:r>
          </w:p>
        </w:tc>
      </w:tr>
      <w:tr w14:paraId="07ECC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05" w:type="dxa"/>
          </w:tcPr>
          <w:p w14:paraId="30065AB3">
            <w:pPr>
              <w:widowControl/>
              <w:spacing w:line="360" w:lineRule="exact"/>
              <w:ind w:left="420"/>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w:t>
            </w:r>
          </w:p>
        </w:tc>
        <w:tc>
          <w:tcPr>
            <w:tcW w:w="3240" w:type="dxa"/>
            <w:vAlign w:val="center"/>
          </w:tcPr>
          <w:p w14:paraId="7ED25E1D">
            <w:pPr>
              <w:widowControl/>
              <w:spacing w:line="360" w:lineRule="exact"/>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lang w:bidi="ar"/>
                <w14:textFill>
                  <w14:solidFill>
                    <w14:schemeClr w14:val="tx1"/>
                  </w14:solidFill>
                </w14:textFill>
              </w:rPr>
              <w:t>种子破损率/%</w:t>
            </w:r>
          </w:p>
        </w:tc>
        <w:tc>
          <w:tcPr>
            <w:tcW w:w="4789" w:type="dxa"/>
            <w:vAlign w:val="center"/>
          </w:tcPr>
          <w:p w14:paraId="67717D9D">
            <w:pPr>
              <w:spacing w:line="360" w:lineRule="exact"/>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lang w:bidi="ar"/>
                <w14:textFill>
                  <w14:solidFill>
                    <w14:schemeClr w14:val="tx1"/>
                  </w14:solidFill>
                </w14:textFill>
              </w:rPr>
              <w:t>≤0.8</w:t>
            </w:r>
          </w:p>
        </w:tc>
      </w:tr>
      <w:tr w14:paraId="5DF92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05" w:type="dxa"/>
          </w:tcPr>
          <w:p w14:paraId="226563E9">
            <w:pPr>
              <w:widowControl/>
              <w:spacing w:line="360" w:lineRule="exact"/>
              <w:ind w:left="420"/>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w:t>
            </w:r>
          </w:p>
        </w:tc>
        <w:tc>
          <w:tcPr>
            <w:tcW w:w="3240" w:type="dxa"/>
            <w:vAlign w:val="center"/>
          </w:tcPr>
          <w:p w14:paraId="26B6AA40">
            <w:pPr>
              <w:widowControl/>
              <w:spacing w:line="360" w:lineRule="exact"/>
              <w:jc w:val="center"/>
              <w:rPr>
                <w:rFonts w:ascii="Times New Roman" w:hAnsi="Times New Roman"/>
                <w:color w:val="000000" w:themeColor="text1"/>
                <w:sz w:val="18"/>
                <w:szCs w:val="18"/>
                <w:lang w:bidi="ar"/>
                <w14:textFill>
                  <w14:solidFill>
                    <w14:schemeClr w14:val="tx1"/>
                  </w14:solidFill>
                </w14:textFill>
              </w:rPr>
            </w:pPr>
            <w:r>
              <w:rPr>
                <w:rFonts w:ascii="Times New Roman" w:hAnsi="Times New Roman"/>
                <w:color w:val="000000" w:themeColor="text1"/>
                <w:sz w:val="18"/>
                <w:szCs w:val="18"/>
                <w:lang w:bidi="ar"/>
                <w14:textFill>
                  <w14:solidFill>
                    <w14:schemeClr w14:val="tx1"/>
                  </w14:solidFill>
                </w14:textFill>
              </w:rPr>
              <w:t>空穴率/%</w:t>
            </w:r>
          </w:p>
        </w:tc>
        <w:tc>
          <w:tcPr>
            <w:tcW w:w="4789" w:type="dxa"/>
            <w:vAlign w:val="center"/>
          </w:tcPr>
          <w:p w14:paraId="48AE3377">
            <w:pPr>
              <w:spacing w:line="360" w:lineRule="exact"/>
              <w:jc w:val="center"/>
              <w:rPr>
                <w:rFonts w:ascii="Times New Roman" w:hAnsi="Times New Roman"/>
                <w:color w:val="000000" w:themeColor="text1"/>
                <w:sz w:val="18"/>
                <w:szCs w:val="18"/>
                <w:lang w:bidi="ar"/>
                <w14:textFill>
                  <w14:solidFill>
                    <w14:schemeClr w14:val="tx1"/>
                  </w14:solidFill>
                </w14:textFill>
              </w:rPr>
            </w:pPr>
            <w:r>
              <w:rPr>
                <w:rFonts w:ascii="Times New Roman" w:hAnsi="Times New Roman"/>
                <w:color w:val="000000" w:themeColor="text1"/>
                <w:sz w:val="18"/>
                <w:szCs w:val="18"/>
                <w:lang w:bidi="ar"/>
                <w14:textFill>
                  <w14:solidFill>
                    <w14:schemeClr w14:val="tx1"/>
                  </w14:solidFill>
                </w14:textFill>
              </w:rPr>
              <w:t>≤5.0</w:t>
            </w:r>
          </w:p>
        </w:tc>
      </w:tr>
      <w:tr w14:paraId="0EC77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05" w:type="dxa"/>
          </w:tcPr>
          <w:p w14:paraId="3ADBB663">
            <w:pPr>
              <w:widowControl/>
              <w:spacing w:line="360" w:lineRule="exact"/>
              <w:ind w:left="420"/>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w:t>
            </w:r>
          </w:p>
        </w:tc>
        <w:tc>
          <w:tcPr>
            <w:tcW w:w="3240" w:type="dxa"/>
            <w:vAlign w:val="center"/>
          </w:tcPr>
          <w:p w14:paraId="19F0C411">
            <w:pPr>
              <w:widowControl/>
              <w:spacing w:line="360" w:lineRule="exact"/>
              <w:jc w:val="center"/>
              <w:rPr>
                <w:rFonts w:ascii="Times New Roman" w:hAnsi="Times New Roman"/>
                <w:color w:val="000000" w:themeColor="text1"/>
                <w:sz w:val="18"/>
                <w:szCs w:val="18"/>
                <w:lang w:bidi="ar"/>
                <w14:textFill>
                  <w14:solidFill>
                    <w14:schemeClr w14:val="tx1"/>
                  </w14:solidFill>
                </w14:textFill>
              </w:rPr>
            </w:pPr>
            <w:r>
              <w:rPr>
                <w:rFonts w:ascii="Times New Roman" w:hAnsi="Times New Roman"/>
                <w:color w:val="000000" w:themeColor="text1"/>
                <w:sz w:val="18"/>
                <w:szCs w:val="18"/>
                <w:lang w:bidi="ar"/>
                <w14:textFill>
                  <w14:solidFill>
                    <w14:schemeClr w14:val="tx1"/>
                  </w14:solidFill>
                </w14:textFill>
              </w:rPr>
              <w:t>穴距合格指数/%</w:t>
            </w:r>
          </w:p>
        </w:tc>
        <w:tc>
          <w:tcPr>
            <w:tcW w:w="4789" w:type="dxa"/>
            <w:vAlign w:val="center"/>
          </w:tcPr>
          <w:p w14:paraId="449E7A52">
            <w:pPr>
              <w:spacing w:line="360" w:lineRule="exact"/>
              <w:jc w:val="center"/>
              <w:rPr>
                <w:rFonts w:ascii="Times New Roman" w:hAnsi="Times New Roman"/>
                <w:color w:val="000000" w:themeColor="text1"/>
                <w:sz w:val="18"/>
                <w:szCs w:val="18"/>
                <w:lang w:bidi="ar"/>
                <w14:textFill>
                  <w14:solidFill>
                    <w14:schemeClr w14:val="tx1"/>
                  </w14:solidFill>
                </w14:textFill>
              </w:rPr>
            </w:pPr>
            <w:r>
              <w:rPr>
                <w:rFonts w:ascii="Times New Roman" w:hAnsi="Times New Roman"/>
                <w:color w:val="000000" w:themeColor="text1"/>
                <w:sz w:val="18"/>
                <w:szCs w:val="18"/>
                <w:lang w:bidi="ar"/>
                <w14:textFill>
                  <w14:solidFill>
                    <w14:schemeClr w14:val="tx1"/>
                  </w14:solidFill>
                </w14:textFill>
              </w:rPr>
              <w:t>≥80</w:t>
            </w:r>
          </w:p>
        </w:tc>
      </w:tr>
      <w:tr w14:paraId="6F0AE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05" w:type="dxa"/>
            <w:vAlign w:val="center"/>
          </w:tcPr>
          <w:p w14:paraId="14B37644">
            <w:pPr>
              <w:widowControl/>
              <w:spacing w:line="360" w:lineRule="exact"/>
              <w:ind w:left="420"/>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14:textFill>
                  <w14:solidFill>
                    <w14:schemeClr w14:val="tx1"/>
                  </w14:solidFill>
                </w14:textFill>
              </w:rPr>
              <w:t>5</w:t>
            </w:r>
          </w:p>
        </w:tc>
        <w:tc>
          <w:tcPr>
            <w:tcW w:w="3240" w:type="dxa"/>
            <w:vAlign w:val="center"/>
          </w:tcPr>
          <w:p w14:paraId="43CCD7E8">
            <w:pPr>
              <w:widowControl/>
              <w:spacing w:line="360" w:lineRule="exact"/>
              <w:jc w:val="center"/>
              <w:rPr>
                <w:rFonts w:ascii="Times New Roman" w:hAnsi="Times New Roman"/>
                <w:color w:val="000000" w:themeColor="text1"/>
                <w:sz w:val="18"/>
                <w:szCs w:val="18"/>
                <w:lang w:bidi="ar"/>
                <w14:textFill>
                  <w14:solidFill>
                    <w14:schemeClr w14:val="tx1"/>
                  </w14:solidFill>
                </w14:textFill>
              </w:rPr>
            </w:pPr>
            <w:r>
              <w:rPr>
                <w:rFonts w:ascii="Times New Roman" w:hAnsi="Times New Roman"/>
                <w:color w:val="000000" w:themeColor="text1"/>
                <w:sz w:val="18"/>
                <w:szCs w:val="18"/>
                <w:lang w:bidi="ar"/>
                <w14:textFill>
                  <w14:solidFill>
                    <w14:schemeClr w14:val="tx1"/>
                  </w14:solidFill>
                </w14:textFill>
              </w:rPr>
              <w:t>穴粒数合格率/%</w:t>
            </w:r>
          </w:p>
        </w:tc>
        <w:tc>
          <w:tcPr>
            <w:tcW w:w="4789" w:type="dxa"/>
            <w:vAlign w:val="center"/>
          </w:tcPr>
          <w:p w14:paraId="2483CAE1">
            <w:pPr>
              <w:spacing w:line="360" w:lineRule="exact"/>
              <w:jc w:val="center"/>
              <w:rPr>
                <w:rFonts w:ascii="Times New Roman" w:hAnsi="Times New Roman"/>
                <w:color w:val="000000" w:themeColor="text1"/>
                <w:sz w:val="18"/>
                <w:szCs w:val="18"/>
                <w:lang w:bidi="ar"/>
                <w14:textFill>
                  <w14:solidFill>
                    <w14:schemeClr w14:val="tx1"/>
                  </w14:solidFill>
                </w14:textFill>
              </w:rPr>
            </w:pPr>
            <w:r>
              <w:rPr>
                <w:rFonts w:ascii="Times New Roman" w:hAnsi="Times New Roman"/>
                <w:color w:val="000000" w:themeColor="text1"/>
                <w:sz w:val="18"/>
                <w:szCs w:val="18"/>
                <w:lang w:bidi="ar"/>
                <w14:textFill>
                  <w14:solidFill>
                    <w14:schemeClr w14:val="tx1"/>
                  </w14:solidFill>
                </w14:textFill>
              </w:rPr>
              <w:t>≥85</w:t>
            </w:r>
          </w:p>
        </w:tc>
      </w:tr>
      <w:tr w14:paraId="7C8BD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05" w:type="dxa"/>
            <w:vAlign w:val="center"/>
          </w:tcPr>
          <w:p w14:paraId="113DD14E">
            <w:pPr>
              <w:widowControl/>
              <w:spacing w:line="360" w:lineRule="exact"/>
              <w:ind w:left="42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6</w:t>
            </w:r>
          </w:p>
        </w:tc>
        <w:tc>
          <w:tcPr>
            <w:tcW w:w="3240" w:type="dxa"/>
            <w:vAlign w:val="center"/>
          </w:tcPr>
          <w:p w14:paraId="0B93516A">
            <w:pPr>
              <w:widowControl/>
              <w:spacing w:line="360" w:lineRule="exact"/>
              <w:jc w:val="center"/>
              <w:rPr>
                <w:rFonts w:ascii="Times New Roman" w:hAnsi="Times New Roman"/>
                <w:color w:val="000000" w:themeColor="text1"/>
                <w:sz w:val="18"/>
                <w:szCs w:val="18"/>
                <w:lang w:bidi="ar"/>
                <w14:textFill>
                  <w14:solidFill>
                    <w14:schemeClr w14:val="tx1"/>
                  </w14:solidFill>
                </w14:textFill>
              </w:rPr>
            </w:pPr>
            <w:r>
              <w:rPr>
                <w:rFonts w:ascii="Times New Roman" w:hAnsi="Times New Roman"/>
                <w:color w:val="000000" w:themeColor="text1"/>
                <w:sz w:val="18"/>
                <w:szCs w:val="18"/>
                <w:lang w:bidi="ar"/>
                <w14:textFill>
                  <w14:solidFill>
                    <w14:schemeClr w14:val="tx1"/>
                  </w14:solidFill>
                </w14:textFill>
              </w:rPr>
              <w:t>播深合格率/%</w:t>
            </w:r>
          </w:p>
        </w:tc>
        <w:tc>
          <w:tcPr>
            <w:tcW w:w="4789" w:type="dxa"/>
            <w:vAlign w:val="center"/>
          </w:tcPr>
          <w:p w14:paraId="2DA70C34">
            <w:pPr>
              <w:widowControl/>
              <w:spacing w:line="360" w:lineRule="exact"/>
              <w:jc w:val="center"/>
              <w:rPr>
                <w:rFonts w:ascii="Times New Roman" w:hAnsi="Times New Roman"/>
                <w:color w:val="000000" w:themeColor="text1"/>
                <w:sz w:val="18"/>
                <w:szCs w:val="18"/>
                <w:lang w:bidi="ar"/>
                <w14:textFill>
                  <w14:solidFill>
                    <w14:schemeClr w14:val="tx1"/>
                  </w14:solidFill>
                </w14:textFill>
              </w:rPr>
            </w:pPr>
            <w:r>
              <w:rPr>
                <w:rFonts w:ascii="Times New Roman" w:hAnsi="Times New Roman"/>
                <w:color w:val="000000" w:themeColor="text1"/>
                <w:sz w:val="18"/>
                <w:szCs w:val="18"/>
                <w:lang w:bidi="ar"/>
                <w14:textFill>
                  <w14:solidFill>
                    <w14:schemeClr w14:val="tx1"/>
                  </w14:solidFill>
                </w14:textFill>
              </w:rPr>
              <w:t>≥80</w:t>
            </w:r>
          </w:p>
        </w:tc>
      </w:tr>
      <w:tr w14:paraId="1023B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34" w:type="dxa"/>
            <w:gridSpan w:val="3"/>
          </w:tcPr>
          <w:p w14:paraId="1D02D14A">
            <w:pPr>
              <w:spacing w:line="360" w:lineRule="exac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lang w:bidi="ar"/>
                <w14:textFill>
                  <w14:solidFill>
                    <w14:schemeClr w14:val="tx1"/>
                  </w14:solidFill>
                </w14:textFill>
              </w:rPr>
              <w:t>注：旱直播按当地农艺要求的播深为h，当h≥3cm时，h±1cm为合格；当h＜3cm时，h±0.5cm为合格。</w:t>
            </w:r>
          </w:p>
        </w:tc>
      </w:tr>
    </w:tbl>
    <w:p w14:paraId="44A89CD2">
      <w:pPr>
        <w:pStyle w:val="104"/>
        <w:spacing w:before="312" w:after="312"/>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检测准备</w:t>
      </w:r>
    </w:p>
    <w:p w14:paraId="1394EDCC">
      <w:pPr>
        <w:pStyle w:val="105"/>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作业质量检</w:t>
      </w:r>
      <w:r>
        <w:rPr>
          <w:rFonts w:ascii="Times New Roman"/>
          <w:color w:val="000000" w:themeColor="text1"/>
          <w:lang w:val="en-US"/>
          <w14:textFill>
            <w14:solidFill>
              <w14:schemeClr w14:val="tx1"/>
            </w14:solidFill>
          </w14:textFill>
        </w:rPr>
        <w:t>测取样</w:t>
      </w:r>
    </w:p>
    <w:p w14:paraId="537365DA">
      <w:pPr>
        <w:pStyle w:val="56"/>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水稻机械化直播作业质量检测应随机械作业进行，在作业开始不久、作业过程中、作业结束后，会同农业技术人员对作业</w:t>
      </w:r>
      <w:r>
        <w:rPr>
          <w:rFonts w:ascii="Times New Roman"/>
          <w:color w:val="000000" w:themeColor="text1"/>
          <w:lang w:val="en-US"/>
          <w14:textFill>
            <w14:solidFill>
              <w14:schemeClr w14:val="tx1"/>
            </w14:solidFill>
          </w14:textFill>
        </w:rPr>
        <w:t>区域进行取样检测</w:t>
      </w:r>
      <w:r>
        <w:rPr>
          <w:rFonts w:ascii="Times New Roman"/>
          <w:color w:val="000000" w:themeColor="text1"/>
          <w14:textFill>
            <w14:solidFill>
              <w14:schemeClr w14:val="tx1"/>
            </w14:solidFill>
          </w14:textFill>
        </w:rPr>
        <w:t>，并根据检</w:t>
      </w:r>
      <w:r>
        <w:rPr>
          <w:rFonts w:ascii="Times New Roman"/>
          <w:color w:val="000000" w:themeColor="text1"/>
          <w:lang w:val="en-US"/>
          <w14:textFill>
            <w14:solidFill>
              <w14:schemeClr w14:val="tx1"/>
            </w14:solidFill>
          </w14:textFill>
        </w:rPr>
        <w:t>测</w:t>
      </w:r>
      <w:r>
        <w:rPr>
          <w:rFonts w:ascii="Times New Roman"/>
          <w:color w:val="000000" w:themeColor="text1"/>
          <w14:textFill>
            <w14:solidFill>
              <w14:schemeClr w14:val="tx1"/>
            </w14:solidFill>
          </w14:textFill>
        </w:rPr>
        <w:t>结果及时纠正缺陷，具体作业流程见附录A。</w:t>
      </w:r>
    </w:p>
    <w:p w14:paraId="0D17459F">
      <w:pPr>
        <w:pStyle w:val="105"/>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检测仪器</w:t>
      </w:r>
    </w:p>
    <w:p w14:paraId="50D6AE0A">
      <w:pPr>
        <w:pStyle w:val="56"/>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电子秤、计数器</w:t>
      </w:r>
      <w:r>
        <w:rPr>
          <w:rFonts w:ascii="Times New Roman"/>
          <w:color w:val="000000" w:themeColor="text1"/>
          <w:lang w:val="en-US"/>
          <w14:textFill>
            <w14:solidFill>
              <w14:schemeClr w14:val="tx1"/>
            </w14:solidFill>
          </w14:textFill>
        </w:rPr>
        <w:t>等</w:t>
      </w:r>
      <w:r>
        <w:rPr>
          <w:rFonts w:ascii="Times New Roman"/>
          <w:color w:val="000000" w:themeColor="text1"/>
          <w14:textFill>
            <w14:solidFill>
              <w14:schemeClr w14:val="tx1"/>
            </w14:solidFill>
          </w14:textFill>
        </w:rPr>
        <w:t>相关检测仪器，</w:t>
      </w:r>
      <w:r>
        <w:rPr>
          <w:rFonts w:ascii="Times New Roman"/>
          <w:color w:val="000000" w:themeColor="text1"/>
          <w:lang w:val="en-US"/>
          <w14:textFill>
            <w14:solidFill>
              <w14:schemeClr w14:val="tx1"/>
            </w14:solidFill>
          </w14:textFill>
        </w:rPr>
        <w:t>检测前应对检测仪器进行检</w:t>
      </w:r>
      <w:r>
        <w:rPr>
          <w:rFonts w:hint="eastAsia" w:ascii="Times New Roman"/>
          <w:color w:val="000000" w:themeColor="text1"/>
          <w:lang w:val="en-US"/>
          <w14:textFill>
            <w14:solidFill>
              <w14:schemeClr w14:val="tx1"/>
            </w14:solidFill>
          </w14:textFill>
        </w:rPr>
        <w:t>定</w:t>
      </w:r>
      <w:r>
        <w:rPr>
          <w:rFonts w:ascii="Times New Roman"/>
          <w:color w:val="000000" w:themeColor="text1"/>
          <w:lang w:val="en-US"/>
          <w14:textFill>
            <w14:solidFill>
              <w14:schemeClr w14:val="tx1"/>
            </w14:solidFill>
          </w14:textFill>
        </w:rPr>
        <w:t>校准</w:t>
      </w:r>
      <w:r>
        <w:rPr>
          <w:rFonts w:ascii="Times New Roman"/>
          <w:color w:val="000000" w:themeColor="text1"/>
          <w14:textFill>
            <w14:solidFill>
              <w14:schemeClr w14:val="tx1"/>
            </w14:solidFill>
          </w14:textFill>
        </w:rPr>
        <w:t>。</w:t>
      </w:r>
    </w:p>
    <w:p w14:paraId="56DFA832">
      <w:pPr>
        <w:pStyle w:val="104"/>
        <w:spacing w:before="312" w:after="312"/>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检测方法</w:t>
      </w:r>
    </w:p>
    <w:p w14:paraId="5D447BF3">
      <w:pPr>
        <w:pStyle w:val="105"/>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各行排种量一致性</w:t>
      </w:r>
      <w:r>
        <w:rPr>
          <w:rFonts w:ascii="Times New Roman"/>
          <w:color w:val="000000" w:themeColor="text1"/>
          <w:lang w:val="en-US"/>
          <w14:textFill>
            <w14:solidFill>
              <w14:schemeClr w14:val="tx1"/>
            </w14:solidFill>
          </w14:textFill>
        </w:rPr>
        <w:t>检测</w:t>
      </w:r>
    </w:p>
    <w:p w14:paraId="275407CC">
      <w:pPr>
        <w:pStyle w:val="56"/>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按GB/T 25418—2022中7.2.1规定的方法进行</w:t>
      </w:r>
      <w:r>
        <w:rPr>
          <w:rFonts w:ascii="Times New Roman"/>
          <w:color w:val="000000" w:themeColor="text1"/>
          <w:lang w:val="en-US"/>
          <w14:textFill>
            <w14:solidFill>
              <w14:schemeClr w14:val="tx1"/>
            </w14:solidFill>
          </w14:textFill>
        </w:rPr>
        <w:t>检测</w:t>
      </w:r>
      <w:r>
        <w:rPr>
          <w:rFonts w:ascii="Times New Roman"/>
          <w:color w:val="000000" w:themeColor="text1"/>
          <w14:textFill>
            <w14:solidFill>
              <w14:schemeClr w14:val="tx1"/>
            </w14:solidFill>
          </w14:textFill>
        </w:rPr>
        <w:t>。</w:t>
      </w:r>
    </w:p>
    <w:p w14:paraId="5DBBF3E0">
      <w:pPr>
        <w:pStyle w:val="105"/>
        <w:rPr>
          <w:rFonts w:ascii="Times New Roman"/>
          <w:color w:val="000000" w:themeColor="text1"/>
          <w14:textFill>
            <w14:solidFill>
              <w14:schemeClr w14:val="tx1"/>
            </w14:solidFill>
          </w14:textFill>
        </w:rPr>
      </w:pPr>
      <w:bookmarkStart w:id="26" w:name="_Hlk164268872"/>
      <w:r>
        <w:rPr>
          <w:rFonts w:ascii="Times New Roman"/>
          <w:color w:val="000000" w:themeColor="text1"/>
          <w14:textFill>
            <w14:solidFill>
              <w14:schemeClr w14:val="tx1"/>
            </w14:solidFill>
          </w14:textFill>
        </w:rPr>
        <w:t>总排种量稳定性</w:t>
      </w:r>
      <w:r>
        <w:rPr>
          <w:rFonts w:ascii="Times New Roman"/>
          <w:color w:val="000000" w:themeColor="text1"/>
          <w:lang w:val="en-US"/>
          <w14:textFill>
            <w14:solidFill>
              <w14:schemeClr w14:val="tx1"/>
            </w14:solidFill>
          </w14:textFill>
        </w:rPr>
        <w:t>检测</w:t>
      </w:r>
    </w:p>
    <w:bookmarkEnd w:id="26"/>
    <w:p w14:paraId="0E87BF41">
      <w:pPr>
        <w:pStyle w:val="56"/>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按GB/T 25418—2022中7.2.3规定的方法进行</w:t>
      </w:r>
      <w:r>
        <w:rPr>
          <w:rFonts w:ascii="Times New Roman"/>
          <w:color w:val="000000" w:themeColor="text1"/>
          <w:lang w:val="en-US"/>
          <w14:textFill>
            <w14:solidFill>
              <w14:schemeClr w14:val="tx1"/>
            </w14:solidFill>
          </w14:textFill>
        </w:rPr>
        <w:t>检测</w:t>
      </w:r>
      <w:r>
        <w:rPr>
          <w:rFonts w:ascii="Times New Roman"/>
          <w:color w:val="000000" w:themeColor="text1"/>
          <w14:textFill>
            <w14:solidFill>
              <w14:schemeClr w14:val="tx1"/>
            </w14:solidFill>
          </w14:textFill>
        </w:rPr>
        <w:t>。</w:t>
      </w:r>
    </w:p>
    <w:p w14:paraId="08C0E327">
      <w:pPr>
        <w:pStyle w:val="105"/>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播种均匀性</w:t>
      </w:r>
      <w:r>
        <w:rPr>
          <w:rFonts w:ascii="Times New Roman"/>
          <w:color w:val="000000" w:themeColor="text1"/>
          <w:lang w:val="en-US"/>
          <w14:textFill>
            <w14:solidFill>
              <w14:schemeClr w14:val="tx1"/>
            </w14:solidFill>
          </w14:textFill>
        </w:rPr>
        <w:t>检测</w:t>
      </w:r>
    </w:p>
    <w:p w14:paraId="6AD70E08">
      <w:pPr>
        <w:pStyle w:val="56"/>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按GB/T 25418—2022中7.2.4规定的方法进行</w:t>
      </w:r>
      <w:r>
        <w:rPr>
          <w:rFonts w:ascii="Times New Roman"/>
          <w:color w:val="000000" w:themeColor="text1"/>
          <w:lang w:val="en-US"/>
          <w14:textFill>
            <w14:solidFill>
              <w14:schemeClr w14:val="tx1"/>
            </w14:solidFill>
          </w14:textFill>
        </w:rPr>
        <w:t>检测</w:t>
      </w:r>
      <w:r>
        <w:rPr>
          <w:rFonts w:ascii="Times New Roman"/>
          <w:color w:val="000000" w:themeColor="text1"/>
          <w14:textFill>
            <w14:solidFill>
              <w14:schemeClr w14:val="tx1"/>
            </w14:solidFill>
          </w14:textFill>
        </w:rPr>
        <w:t>。</w:t>
      </w:r>
    </w:p>
    <w:p w14:paraId="574231F4">
      <w:pPr>
        <w:pStyle w:val="105"/>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种子破损率</w:t>
      </w:r>
      <w:r>
        <w:rPr>
          <w:rFonts w:ascii="Times New Roman"/>
          <w:color w:val="000000" w:themeColor="text1"/>
          <w:lang w:val="en-US"/>
          <w14:textFill>
            <w14:solidFill>
              <w14:schemeClr w14:val="tx1"/>
            </w14:solidFill>
          </w14:textFill>
        </w:rPr>
        <w:t>检测</w:t>
      </w:r>
    </w:p>
    <w:p w14:paraId="218350F5">
      <w:pPr>
        <w:pStyle w:val="56"/>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按GB/T 25418—2022中7.2.2规定的方法进行</w:t>
      </w:r>
      <w:r>
        <w:rPr>
          <w:rFonts w:ascii="Times New Roman"/>
          <w:color w:val="000000" w:themeColor="text1"/>
          <w:lang w:val="en-US"/>
          <w14:textFill>
            <w14:solidFill>
              <w14:schemeClr w14:val="tx1"/>
            </w14:solidFill>
          </w14:textFill>
        </w:rPr>
        <w:t>检测</w:t>
      </w:r>
      <w:r>
        <w:rPr>
          <w:rFonts w:ascii="Times New Roman"/>
          <w:color w:val="000000" w:themeColor="text1"/>
          <w14:textFill>
            <w14:solidFill>
              <w14:schemeClr w14:val="tx1"/>
            </w14:solidFill>
          </w14:textFill>
        </w:rPr>
        <w:t>。</w:t>
      </w:r>
    </w:p>
    <w:p w14:paraId="45C58F62">
      <w:pPr>
        <w:pStyle w:val="105"/>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穴距合格率，空穴率，穴粒数合格率</w:t>
      </w:r>
      <w:r>
        <w:rPr>
          <w:rFonts w:ascii="Times New Roman"/>
          <w:color w:val="000000" w:themeColor="text1"/>
          <w:lang w:val="en-US"/>
          <w14:textFill>
            <w14:solidFill>
              <w14:schemeClr w14:val="tx1"/>
            </w14:solidFill>
          </w14:textFill>
        </w:rPr>
        <w:t>检测</w:t>
      </w:r>
    </w:p>
    <w:p w14:paraId="471A8E46">
      <w:pPr>
        <w:pStyle w:val="56"/>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按GB/T 25418—2022中7.2.6规定的方法进行</w:t>
      </w:r>
      <w:r>
        <w:rPr>
          <w:rFonts w:ascii="Times New Roman"/>
          <w:color w:val="000000" w:themeColor="text1"/>
          <w:lang w:val="en-US"/>
          <w14:textFill>
            <w14:solidFill>
              <w14:schemeClr w14:val="tx1"/>
            </w14:solidFill>
          </w14:textFill>
        </w:rPr>
        <w:t>检测</w:t>
      </w:r>
      <w:r>
        <w:rPr>
          <w:rFonts w:ascii="Times New Roman"/>
          <w:color w:val="000000" w:themeColor="text1"/>
          <w14:textFill>
            <w14:solidFill>
              <w14:schemeClr w14:val="tx1"/>
            </w14:solidFill>
          </w14:textFill>
        </w:rPr>
        <w:t>。</w:t>
      </w:r>
    </w:p>
    <w:p w14:paraId="60D0EDF1">
      <w:pPr>
        <w:pStyle w:val="105"/>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播种深度</w:t>
      </w:r>
      <w:r>
        <w:rPr>
          <w:rFonts w:ascii="Times New Roman"/>
          <w:color w:val="000000" w:themeColor="text1"/>
          <w:lang w:val="en-US"/>
          <w14:textFill>
            <w14:solidFill>
              <w14:schemeClr w14:val="tx1"/>
            </w14:solidFill>
          </w14:textFill>
        </w:rPr>
        <w:t>检测</w:t>
      </w:r>
    </w:p>
    <w:p w14:paraId="4A452093">
      <w:pPr>
        <w:pStyle w:val="56"/>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按GB/T 25418—2022中7.2.5规定的方法进行</w:t>
      </w:r>
      <w:r>
        <w:rPr>
          <w:rFonts w:ascii="Times New Roman"/>
          <w:color w:val="000000" w:themeColor="text1"/>
          <w:lang w:val="en-US"/>
          <w14:textFill>
            <w14:solidFill>
              <w14:schemeClr w14:val="tx1"/>
            </w14:solidFill>
          </w14:textFill>
        </w:rPr>
        <w:t>检测</w:t>
      </w:r>
      <w:r>
        <w:rPr>
          <w:rFonts w:ascii="Times New Roman"/>
          <w:color w:val="000000" w:themeColor="text1"/>
          <w14:textFill>
            <w14:solidFill>
              <w14:schemeClr w14:val="tx1"/>
            </w14:solidFill>
          </w14:textFill>
        </w:rPr>
        <w:t>。</w:t>
      </w:r>
    </w:p>
    <w:p w14:paraId="58FF8210">
      <w:pPr>
        <w:pStyle w:val="104"/>
        <w:spacing w:before="312" w:after="312"/>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评定规则</w:t>
      </w:r>
    </w:p>
    <w:p w14:paraId="5D2D97C5">
      <w:pPr>
        <w:pStyle w:val="105"/>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不合格项目分类</w:t>
      </w:r>
    </w:p>
    <w:p w14:paraId="3924595A">
      <w:pPr>
        <w:pStyle w:val="56"/>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根据不合格项目按其对播种质量的影响程度得到不合格项目分类详见表</w:t>
      </w:r>
      <w:r>
        <w:rPr>
          <w:rFonts w:ascii="Times New Roman"/>
          <w:color w:val="000000" w:themeColor="text1"/>
          <w:lang w:val="en-US"/>
          <w14:textFill>
            <w14:solidFill>
              <w14:schemeClr w14:val="tx1"/>
            </w14:solidFill>
          </w14:textFill>
        </w:rPr>
        <w:t>3、表4</w:t>
      </w:r>
      <w:r>
        <w:rPr>
          <w:rFonts w:ascii="Times New Roman"/>
          <w:color w:val="000000" w:themeColor="text1"/>
          <w14:textFill>
            <w14:solidFill>
              <w14:schemeClr w14:val="tx1"/>
            </w14:solidFill>
          </w14:textFill>
        </w:rPr>
        <w:t>，按其对作业质量的影响程度分为A类不合格，B类不合格。</w:t>
      </w:r>
    </w:p>
    <w:p w14:paraId="4284A40B">
      <w:pPr>
        <w:spacing w:line="360" w:lineRule="exact"/>
        <w:jc w:val="center"/>
        <w:rPr>
          <w:rFonts w:ascii="Times New Roman" w:hAnsi="Times New Roman" w:eastAsia="黑体"/>
          <w:color w:val="000000" w:themeColor="text1"/>
          <w14:textFill>
            <w14:solidFill>
              <w14:schemeClr w14:val="tx1"/>
            </w14:solidFill>
          </w14:textFill>
        </w:rPr>
      </w:pPr>
      <w:r>
        <w:rPr>
          <w:rFonts w:ascii="Times New Roman" w:hAnsi="Times New Roman" w:eastAsia="黑体"/>
          <w:color w:val="000000" w:themeColor="text1"/>
          <w14:textFill>
            <w14:solidFill>
              <w14:schemeClr w14:val="tx1"/>
            </w14:solidFill>
          </w14:textFill>
        </w:rPr>
        <w:t>表3 条播不合格项目分类</w:t>
      </w:r>
    </w:p>
    <w:tbl>
      <w:tblPr>
        <w:tblStyle w:val="26"/>
        <w:tblW w:w="9227" w:type="dxa"/>
        <w:tblInd w:w="124" w:type="dxa"/>
        <w:tblLayout w:type="fixed"/>
        <w:tblCellMar>
          <w:top w:w="0" w:type="dxa"/>
          <w:left w:w="0" w:type="dxa"/>
          <w:bottom w:w="0" w:type="dxa"/>
          <w:right w:w="0" w:type="dxa"/>
        </w:tblCellMar>
      </w:tblPr>
      <w:tblGrid>
        <w:gridCol w:w="1357"/>
        <w:gridCol w:w="1349"/>
        <w:gridCol w:w="2835"/>
        <w:gridCol w:w="1843"/>
        <w:gridCol w:w="1843"/>
      </w:tblGrid>
      <w:tr w14:paraId="6699A615">
        <w:trPr>
          <w:trHeight w:val="359" w:hRule="atLeast"/>
        </w:trPr>
        <w:tc>
          <w:tcPr>
            <w:tcW w:w="2706" w:type="dxa"/>
            <w:gridSpan w:val="2"/>
            <w:tcBorders>
              <w:top w:val="single" w:color="000000" w:sz="4" w:space="0"/>
              <w:left w:val="single" w:color="000000" w:sz="4" w:space="0"/>
              <w:bottom w:val="single" w:color="000000" w:sz="4" w:space="0"/>
              <w:right w:val="single" w:color="000000" w:sz="4" w:space="0"/>
            </w:tcBorders>
            <w:vAlign w:val="center"/>
          </w:tcPr>
          <w:p w14:paraId="7596055F">
            <w:pPr>
              <w:pStyle w:val="239"/>
              <w:kinsoku w:val="0"/>
              <w:overflowPunct w:val="0"/>
              <w:spacing w:before="156"/>
              <w:jc w:val="center"/>
              <w:rPr>
                <w:rFonts w:ascii="Times New Roman" w:cs="Times New Roman"/>
                <w:color w:val="000000" w:themeColor="text1"/>
                <w:sz w:val="18"/>
                <w:szCs w:val="18"/>
                <w14:textFill>
                  <w14:solidFill>
                    <w14:schemeClr w14:val="tx1"/>
                  </w14:solidFill>
                </w14:textFill>
              </w:rPr>
            </w:pPr>
            <w:r>
              <w:rPr>
                <w:rFonts w:ascii="Times New Roman" w:cs="Times New Roman"/>
                <w:color w:val="000000" w:themeColor="text1"/>
                <w:sz w:val="18"/>
                <w:szCs w:val="18"/>
                <w14:textFill>
                  <w14:solidFill>
                    <w14:schemeClr w14:val="tx1"/>
                  </w14:solidFill>
                </w14:textFill>
              </w:rPr>
              <w:t>不合格分类</w:t>
            </w:r>
          </w:p>
        </w:tc>
        <w:tc>
          <w:tcPr>
            <w:tcW w:w="2835" w:type="dxa"/>
            <w:vMerge w:val="restart"/>
            <w:tcBorders>
              <w:top w:val="single" w:color="000000" w:sz="4" w:space="0"/>
              <w:left w:val="single" w:color="000000" w:sz="4" w:space="0"/>
              <w:bottom w:val="single" w:color="000000" w:sz="4" w:space="0"/>
              <w:right w:val="single" w:color="000000" w:sz="4" w:space="0"/>
            </w:tcBorders>
            <w:vAlign w:val="center"/>
          </w:tcPr>
          <w:p w14:paraId="17590360">
            <w:pPr>
              <w:pStyle w:val="239"/>
              <w:kinsoku w:val="0"/>
              <w:overflowPunct w:val="0"/>
              <w:ind w:left="1171" w:right="1162"/>
              <w:jc w:val="center"/>
              <w:rPr>
                <w:rFonts w:ascii="Times New Roman" w:cs="Times New Roman"/>
                <w:color w:val="000000" w:themeColor="text1"/>
                <w:sz w:val="18"/>
                <w:szCs w:val="18"/>
                <w14:textFill>
                  <w14:solidFill>
                    <w14:schemeClr w14:val="tx1"/>
                  </w14:solidFill>
                </w14:textFill>
              </w:rPr>
            </w:pPr>
            <w:r>
              <w:rPr>
                <w:rFonts w:ascii="Times New Roman" w:cs="Times New Roman"/>
                <w:color w:val="000000" w:themeColor="text1"/>
                <w:sz w:val="18"/>
                <w:szCs w:val="18"/>
                <w14:textFill>
                  <w14:solidFill>
                    <w14:schemeClr w14:val="tx1"/>
                  </w14:solidFill>
                </w14:textFill>
              </w:rPr>
              <w:t>项目</w:t>
            </w:r>
          </w:p>
        </w:tc>
        <w:tc>
          <w:tcPr>
            <w:tcW w:w="1843" w:type="dxa"/>
            <w:vMerge w:val="restart"/>
            <w:tcBorders>
              <w:top w:val="single" w:color="000000" w:sz="4" w:space="0"/>
              <w:left w:val="single" w:color="000000" w:sz="4" w:space="0"/>
              <w:bottom w:val="single" w:color="000000" w:sz="4" w:space="0"/>
              <w:right w:val="single" w:color="000000" w:sz="4" w:space="0"/>
            </w:tcBorders>
            <w:vAlign w:val="center"/>
          </w:tcPr>
          <w:p w14:paraId="4CE34913">
            <w:pPr>
              <w:pStyle w:val="239"/>
              <w:kinsoku w:val="0"/>
              <w:overflowPunct w:val="0"/>
              <w:ind w:left="333"/>
              <w:jc w:val="center"/>
              <w:rPr>
                <w:rFonts w:ascii="Times New Roman" w:cs="Times New Roman"/>
                <w:color w:val="000000" w:themeColor="text1"/>
                <w:sz w:val="18"/>
                <w:szCs w:val="18"/>
                <w14:textFill>
                  <w14:solidFill>
                    <w14:schemeClr w14:val="tx1"/>
                  </w14:solidFill>
                </w14:textFill>
              </w:rPr>
            </w:pPr>
            <w:r>
              <w:rPr>
                <w:rFonts w:ascii="Times New Roman" w:cs="Times New Roman"/>
                <w:color w:val="000000" w:themeColor="text1"/>
                <w:sz w:val="18"/>
                <w:szCs w:val="18"/>
                <w14:textFill>
                  <w14:solidFill>
                    <w14:schemeClr w14:val="tx1"/>
                  </w14:solidFill>
                </w14:textFill>
              </w:rPr>
              <w:t>对应条款号</w:t>
            </w:r>
          </w:p>
        </w:tc>
        <w:tc>
          <w:tcPr>
            <w:tcW w:w="1843" w:type="dxa"/>
            <w:vMerge w:val="restart"/>
            <w:tcBorders>
              <w:top w:val="single" w:color="000000" w:sz="4" w:space="0"/>
              <w:left w:val="single" w:color="000000" w:sz="4" w:space="0"/>
              <w:right w:val="single" w:color="000000" w:sz="4" w:space="0"/>
            </w:tcBorders>
            <w:vAlign w:val="center"/>
          </w:tcPr>
          <w:p w14:paraId="46773784">
            <w:pPr>
              <w:pStyle w:val="239"/>
              <w:kinsoku w:val="0"/>
              <w:overflowPunct w:val="0"/>
              <w:ind w:left="180"/>
              <w:jc w:val="center"/>
              <w:rPr>
                <w:rFonts w:ascii="Times New Roman" w:cs="Times New Roman"/>
                <w:color w:val="000000" w:themeColor="text1"/>
                <w:sz w:val="18"/>
                <w:szCs w:val="18"/>
                <w14:textFill>
                  <w14:solidFill>
                    <w14:schemeClr w14:val="tx1"/>
                  </w14:solidFill>
                </w14:textFill>
              </w:rPr>
            </w:pPr>
            <w:r>
              <w:rPr>
                <w:rFonts w:ascii="Times New Roman" w:cs="Times New Roman"/>
                <w:color w:val="000000" w:themeColor="text1"/>
                <w:sz w:val="18"/>
                <w:szCs w:val="18"/>
                <w14:textFill>
                  <w14:solidFill>
                    <w14:schemeClr w14:val="tx1"/>
                  </w14:solidFill>
                </w14:textFill>
              </w:rPr>
              <w:t>检测</w:t>
            </w:r>
          </w:p>
        </w:tc>
      </w:tr>
      <w:tr w14:paraId="57BC5B5F">
        <w:tblPrEx>
          <w:tblCellMar>
            <w:top w:w="0" w:type="dxa"/>
            <w:left w:w="0" w:type="dxa"/>
            <w:bottom w:w="0" w:type="dxa"/>
            <w:right w:w="0" w:type="dxa"/>
          </w:tblCellMar>
        </w:tblPrEx>
        <w:trPr>
          <w:trHeight w:val="358" w:hRule="atLeast"/>
        </w:trPr>
        <w:tc>
          <w:tcPr>
            <w:tcW w:w="1357" w:type="dxa"/>
            <w:tcBorders>
              <w:top w:val="single" w:color="auto" w:sz="4" w:space="0"/>
              <w:left w:val="single" w:color="000000" w:sz="4" w:space="0"/>
              <w:bottom w:val="single" w:color="auto" w:sz="4" w:space="0"/>
              <w:right w:val="single" w:color="000000" w:sz="4" w:space="0"/>
            </w:tcBorders>
            <w:vAlign w:val="center"/>
          </w:tcPr>
          <w:p w14:paraId="2F855962">
            <w:pPr>
              <w:pStyle w:val="239"/>
              <w:kinsoku w:val="0"/>
              <w:overflowPunct w:val="0"/>
              <w:spacing w:before="156"/>
              <w:ind w:left="8"/>
              <w:jc w:val="center"/>
              <w:rPr>
                <w:rFonts w:ascii="Times New Roman" w:cs="Times New Roman"/>
                <w:color w:val="000000" w:themeColor="text1"/>
                <w:sz w:val="18"/>
                <w:szCs w:val="18"/>
                <w14:textFill>
                  <w14:solidFill>
                    <w14:schemeClr w14:val="tx1"/>
                  </w14:solidFill>
                </w14:textFill>
              </w:rPr>
            </w:pPr>
            <w:r>
              <w:rPr>
                <w:rFonts w:ascii="Times New Roman" w:cs="Times New Roman"/>
                <w:color w:val="000000" w:themeColor="text1"/>
                <w:sz w:val="18"/>
                <w:szCs w:val="18"/>
                <w14:textFill>
                  <w14:solidFill>
                    <w14:schemeClr w14:val="tx1"/>
                  </w14:solidFill>
                </w14:textFill>
              </w:rPr>
              <w:t>类</w:t>
            </w:r>
          </w:p>
        </w:tc>
        <w:tc>
          <w:tcPr>
            <w:tcW w:w="1349" w:type="dxa"/>
            <w:tcBorders>
              <w:top w:val="single" w:color="000000" w:sz="4" w:space="0"/>
              <w:left w:val="single" w:color="000000" w:sz="4" w:space="0"/>
              <w:bottom w:val="single" w:color="000000" w:sz="4" w:space="0"/>
              <w:right w:val="single" w:color="000000" w:sz="4" w:space="0"/>
            </w:tcBorders>
            <w:vAlign w:val="center"/>
          </w:tcPr>
          <w:p w14:paraId="29C2D1B4">
            <w:pPr>
              <w:pStyle w:val="239"/>
              <w:kinsoku w:val="0"/>
              <w:overflowPunct w:val="0"/>
              <w:spacing w:before="156"/>
              <w:ind w:left="432" w:right="423"/>
              <w:jc w:val="center"/>
              <w:rPr>
                <w:rFonts w:ascii="Times New Roman" w:cs="Times New Roman"/>
                <w:color w:val="000000" w:themeColor="text1"/>
                <w:sz w:val="18"/>
                <w:szCs w:val="18"/>
                <w14:textFill>
                  <w14:solidFill>
                    <w14:schemeClr w14:val="tx1"/>
                  </w14:solidFill>
                </w14:textFill>
              </w:rPr>
            </w:pPr>
            <w:r>
              <w:rPr>
                <w:rFonts w:ascii="Times New Roman" w:cs="Times New Roman"/>
                <w:color w:val="000000" w:themeColor="text1"/>
                <w:sz w:val="18"/>
                <w:szCs w:val="18"/>
                <w14:textFill>
                  <w14:solidFill>
                    <w14:schemeClr w14:val="tx1"/>
                  </w14:solidFill>
                </w14:textFill>
              </w:rPr>
              <w:t>项</w:t>
            </w:r>
          </w:p>
        </w:tc>
        <w:tc>
          <w:tcPr>
            <w:tcW w:w="2835" w:type="dxa"/>
            <w:vMerge w:val="continue"/>
            <w:tcBorders>
              <w:top w:val="nil"/>
              <w:left w:val="single" w:color="000000" w:sz="4" w:space="0"/>
              <w:bottom w:val="single" w:color="000000" w:sz="4" w:space="0"/>
              <w:right w:val="single" w:color="000000" w:sz="4" w:space="0"/>
            </w:tcBorders>
            <w:vAlign w:val="center"/>
          </w:tcPr>
          <w:p w14:paraId="31F3BCB6">
            <w:pPr>
              <w:pStyle w:val="13"/>
              <w:spacing w:before="156"/>
            </w:pPr>
          </w:p>
        </w:tc>
        <w:tc>
          <w:tcPr>
            <w:tcW w:w="1843" w:type="dxa"/>
            <w:vMerge w:val="continue"/>
            <w:tcBorders>
              <w:top w:val="nil"/>
              <w:left w:val="single" w:color="000000" w:sz="4" w:space="0"/>
              <w:bottom w:val="single" w:color="000000" w:sz="4" w:space="0"/>
              <w:right w:val="single" w:color="000000" w:sz="4" w:space="0"/>
            </w:tcBorders>
            <w:vAlign w:val="center"/>
          </w:tcPr>
          <w:p w14:paraId="6E9B4F2E">
            <w:pPr>
              <w:pStyle w:val="13"/>
              <w:spacing w:before="156"/>
            </w:pPr>
          </w:p>
        </w:tc>
        <w:tc>
          <w:tcPr>
            <w:tcW w:w="1843" w:type="dxa"/>
            <w:vMerge w:val="continue"/>
            <w:tcBorders>
              <w:left w:val="single" w:color="000000" w:sz="4" w:space="0"/>
              <w:bottom w:val="single" w:color="000000" w:sz="4" w:space="0"/>
              <w:right w:val="single" w:color="000000" w:sz="4" w:space="0"/>
            </w:tcBorders>
            <w:vAlign w:val="center"/>
          </w:tcPr>
          <w:p w14:paraId="57399956">
            <w:pPr>
              <w:pStyle w:val="13"/>
              <w:spacing w:before="156"/>
            </w:pPr>
          </w:p>
        </w:tc>
      </w:tr>
      <w:tr w14:paraId="422A7FA7">
        <w:tblPrEx>
          <w:tblCellMar>
            <w:top w:w="0" w:type="dxa"/>
            <w:left w:w="0" w:type="dxa"/>
            <w:bottom w:w="0" w:type="dxa"/>
            <w:right w:w="0" w:type="dxa"/>
          </w:tblCellMar>
        </w:tblPrEx>
        <w:trPr>
          <w:trHeight w:val="358" w:hRule="atLeast"/>
        </w:trPr>
        <w:tc>
          <w:tcPr>
            <w:tcW w:w="1357" w:type="dxa"/>
            <w:vMerge w:val="restart"/>
            <w:tcBorders>
              <w:top w:val="single" w:color="auto" w:sz="4" w:space="0"/>
              <w:left w:val="single" w:color="000000" w:sz="4" w:space="0"/>
              <w:bottom w:val="single" w:color="auto" w:sz="4" w:space="0"/>
              <w:right w:val="single" w:color="000000" w:sz="4" w:space="0"/>
            </w:tcBorders>
            <w:vAlign w:val="center"/>
          </w:tcPr>
          <w:p w14:paraId="700A3143">
            <w:pPr>
              <w:pStyle w:val="13"/>
              <w:spacing w:before="156"/>
            </w:pPr>
            <w:r>
              <w:t>A</w:t>
            </w:r>
          </w:p>
        </w:tc>
        <w:tc>
          <w:tcPr>
            <w:tcW w:w="1349" w:type="dxa"/>
            <w:tcBorders>
              <w:top w:val="single" w:color="000000" w:sz="4" w:space="0"/>
              <w:left w:val="single" w:color="000000" w:sz="4" w:space="0"/>
              <w:bottom w:val="single" w:color="000000" w:sz="4" w:space="0"/>
              <w:right w:val="single" w:color="000000" w:sz="4" w:space="0"/>
            </w:tcBorders>
            <w:vAlign w:val="center"/>
          </w:tcPr>
          <w:p w14:paraId="5210CACE">
            <w:pPr>
              <w:pStyle w:val="239"/>
              <w:kinsoku w:val="0"/>
              <w:overflowPunct w:val="0"/>
              <w:spacing w:before="156"/>
              <w:ind w:left="10"/>
              <w:jc w:val="center"/>
              <w:rPr>
                <w:rFonts w:ascii="Times New Roman" w:cs="Times New Roman"/>
                <w:color w:val="000000" w:themeColor="text1"/>
                <w:sz w:val="18"/>
                <w:szCs w:val="18"/>
                <w14:textFill>
                  <w14:solidFill>
                    <w14:schemeClr w14:val="tx1"/>
                  </w14:solidFill>
                </w14:textFill>
              </w:rPr>
            </w:pPr>
            <w:r>
              <w:rPr>
                <w:rFonts w:ascii="Times New Roman" w:cs="Times New Roman"/>
                <w:color w:val="000000" w:themeColor="text1"/>
                <w:sz w:val="18"/>
                <w:szCs w:val="18"/>
                <w14:textFill>
                  <w14:solidFill>
                    <w14:schemeClr w14:val="tx1"/>
                  </w14:solidFill>
                </w14:textFill>
              </w:rPr>
              <w:t>1</w:t>
            </w:r>
          </w:p>
        </w:tc>
        <w:tc>
          <w:tcPr>
            <w:tcW w:w="2835" w:type="dxa"/>
            <w:tcBorders>
              <w:top w:val="single" w:color="000000" w:sz="4" w:space="0"/>
              <w:left w:val="single" w:color="000000" w:sz="4" w:space="0"/>
              <w:bottom w:val="single" w:color="000000" w:sz="4" w:space="0"/>
              <w:right w:val="single" w:color="000000" w:sz="4" w:space="0"/>
            </w:tcBorders>
            <w:vAlign w:val="center"/>
          </w:tcPr>
          <w:p w14:paraId="6941173A">
            <w:pPr>
              <w:pStyle w:val="239"/>
              <w:kinsoku w:val="0"/>
              <w:overflowPunct w:val="0"/>
              <w:spacing w:before="156"/>
              <w:ind w:left="10"/>
              <w:jc w:val="center"/>
              <w:rPr>
                <w:rFonts w:ascii="Times New Roman" w:cs="Times New Roman"/>
                <w:color w:val="000000" w:themeColor="text1"/>
                <w:sz w:val="18"/>
                <w:szCs w:val="18"/>
                <w14:textFill>
                  <w14:solidFill>
                    <w14:schemeClr w14:val="tx1"/>
                  </w14:solidFill>
                </w14:textFill>
              </w:rPr>
            </w:pPr>
            <w:r>
              <w:rPr>
                <w:rFonts w:ascii="Times New Roman" w:cs="Times New Roman"/>
                <w:color w:val="000000" w:themeColor="text1"/>
                <w:sz w:val="18"/>
                <w:szCs w:val="18"/>
                <w:lang w:bidi="ar"/>
                <w14:textFill>
                  <w14:solidFill>
                    <w14:schemeClr w14:val="tx1"/>
                  </w14:solidFill>
                </w14:textFill>
              </w:rPr>
              <w:t>各行排种量一致性变异系数</w:t>
            </w:r>
          </w:p>
        </w:tc>
        <w:tc>
          <w:tcPr>
            <w:tcW w:w="1843" w:type="dxa"/>
            <w:tcBorders>
              <w:top w:val="single" w:color="000000" w:sz="4" w:space="0"/>
              <w:left w:val="single" w:color="000000" w:sz="4" w:space="0"/>
              <w:bottom w:val="single" w:color="000000" w:sz="4" w:space="0"/>
              <w:right w:val="single" w:color="000000" w:sz="4" w:space="0"/>
            </w:tcBorders>
            <w:vAlign w:val="center"/>
          </w:tcPr>
          <w:p w14:paraId="0124F679">
            <w:pPr>
              <w:pStyle w:val="239"/>
              <w:kinsoku w:val="0"/>
              <w:overflowPunct w:val="0"/>
              <w:spacing w:before="156"/>
              <w:ind w:left="10"/>
              <w:jc w:val="center"/>
              <w:rPr>
                <w:rFonts w:ascii="Times New Roman" w:cs="Times New Roman"/>
                <w:color w:val="000000" w:themeColor="text1"/>
                <w:sz w:val="18"/>
                <w:szCs w:val="18"/>
                <w14:textFill>
                  <w14:solidFill>
                    <w14:schemeClr w14:val="tx1"/>
                  </w14:solidFill>
                </w14:textFill>
              </w:rPr>
            </w:pPr>
            <w:r>
              <w:rPr>
                <w:rFonts w:ascii="Times New Roman" w:cs="Times New Roman"/>
                <w:color w:val="000000" w:themeColor="text1"/>
                <w:sz w:val="18"/>
                <w:szCs w:val="18"/>
                <w14:textFill>
                  <w14:solidFill>
                    <w14:schemeClr w14:val="tx1"/>
                  </w14:solidFill>
                </w14:textFill>
              </w:rPr>
              <w:t>表1</w:t>
            </w:r>
          </w:p>
        </w:tc>
        <w:tc>
          <w:tcPr>
            <w:tcW w:w="1843" w:type="dxa"/>
            <w:tcBorders>
              <w:top w:val="single" w:color="000000" w:sz="4" w:space="0"/>
              <w:left w:val="single" w:color="000000" w:sz="4" w:space="0"/>
              <w:bottom w:val="single" w:color="000000" w:sz="4" w:space="0"/>
              <w:right w:val="single" w:color="000000" w:sz="4" w:space="0"/>
            </w:tcBorders>
            <w:vAlign w:val="center"/>
          </w:tcPr>
          <w:p w14:paraId="021030BD">
            <w:pPr>
              <w:pStyle w:val="239"/>
              <w:kinsoku w:val="0"/>
              <w:overflowPunct w:val="0"/>
              <w:spacing w:before="156"/>
              <w:ind w:left="10"/>
              <w:jc w:val="center"/>
              <w:rPr>
                <w:rFonts w:ascii="Times New Roman" w:cs="Times New Roman"/>
                <w:color w:val="000000" w:themeColor="text1"/>
                <w:sz w:val="18"/>
                <w:szCs w:val="18"/>
                <w14:textFill>
                  <w14:solidFill>
                    <w14:schemeClr w14:val="tx1"/>
                  </w14:solidFill>
                </w14:textFill>
              </w:rPr>
            </w:pPr>
            <w:r>
              <w:rPr>
                <w:rFonts w:ascii="Times New Roman" w:cs="Times New Roman"/>
                <w:color w:val="000000" w:themeColor="text1"/>
                <w:sz w:val="18"/>
                <w:szCs w:val="18"/>
                <w14:textFill>
                  <w14:solidFill>
                    <w14:schemeClr w14:val="tx1"/>
                  </w14:solidFill>
                </w14:textFill>
              </w:rPr>
              <w:t>√</w:t>
            </w:r>
          </w:p>
        </w:tc>
      </w:tr>
      <w:tr w14:paraId="727AE905">
        <w:tblPrEx>
          <w:tblCellMar>
            <w:top w:w="0" w:type="dxa"/>
            <w:left w:w="0" w:type="dxa"/>
            <w:bottom w:w="0" w:type="dxa"/>
            <w:right w:w="0" w:type="dxa"/>
          </w:tblCellMar>
        </w:tblPrEx>
        <w:trPr>
          <w:trHeight w:val="229" w:hRule="atLeast"/>
        </w:trPr>
        <w:tc>
          <w:tcPr>
            <w:tcW w:w="1357" w:type="dxa"/>
            <w:vMerge w:val="continue"/>
            <w:tcBorders>
              <w:top w:val="single" w:color="auto" w:sz="4" w:space="0"/>
              <w:left w:val="single" w:color="000000" w:sz="4" w:space="0"/>
              <w:bottom w:val="single" w:color="auto" w:sz="4" w:space="0"/>
              <w:right w:val="single" w:color="000000" w:sz="4" w:space="0"/>
            </w:tcBorders>
            <w:vAlign w:val="center"/>
          </w:tcPr>
          <w:p w14:paraId="73700975">
            <w:pPr>
              <w:pStyle w:val="13"/>
              <w:spacing w:before="156"/>
            </w:pPr>
          </w:p>
        </w:tc>
        <w:tc>
          <w:tcPr>
            <w:tcW w:w="1349" w:type="dxa"/>
            <w:tcBorders>
              <w:top w:val="single" w:color="000000" w:sz="4" w:space="0"/>
              <w:left w:val="single" w:color="000000" w:sz="4" w:space="0"/>
              <w:bottom w:val="single" w:color="000000" w:sz="4" w:space="0"/>
              <w:right w:val="single" w:color="000000" w:sz="4" w:space="0"/>
            </w:tcBorders>
            <w:vAlign w:val="center"/>
          </w:tcPr>
          <w:p w14:paraId="2C27D2A7">
            <w:pPr>
              <w:pStyle w:val="239"/>
              <w:kinsoku w:val="0"/>
              <w:overflowPunct w:val="0"/>
              <w:spacing w:before="156"/>
              <w:ind w:left="10"/>
              <w:jc w:val="center"/>
              <w:rPr>
                <w:rFonts w:ascii="Times New Roman" w:cs="Times New Roman"/>
                <w:color w:val="000000" w:themeColor="text1"/>
                <w:sz w:val="18"/>
                <w:szCs w:val="18"/>
                <w14:textFill>
                  <w14:solidFill>
                    <w14:schemeClr w14:val="tx1"/>
                  </w14:solidFill>
                </w14:textFill>
              </w:rPr>
            </w:pPr>
            <w:r>
              <w:rPr>
                <w:rFonts w:ascii="Times New Roman" w:cs="Times New Roman"/>
                <w:color w:val="000000" w:themeColor="text1"/>
                <w:sz w:val="18"/>
                <w:szCs w:val="18"/>
                <w14:textFill>
                  <w14:solidFill>
                    <w14:schemeClr w14:val="tx1"/>
                  </w14:solidFill>
                </w14:textFill>
              </w:rPr>
              <w:t>2</w:t>
            </w:r>
          </w:p>
        </w:tc>
        <w:tc>
          <w:tcPr>
            <w:tcW w:w="2835" w:type="dxa"/>
            <w:tcBorders>
              <w:top w:val="single" w:color="000000" w:sz="4" w:space="0"/>
              <w:left w:val="single" w:color="000000" w:sz="4" w:space="0"/>
              <w:bottom w:val="single" w:color="000000" w:sz="4" w:space="0"/>
              <w:right w:val="single" w:color="000000" w:sz="4" w:space="0"/>
            </w:tcBorders>
            <w:vAlign w:val="center"/>
          </w:tcPr>
          <w:p w14:paraId="0EC921F8">
            <w:pPr>
              <w:pStyle w:val="239"/>
              <w:kinsoku w:val="0"/>
              <w:overflowPunct w:val="0"/>
              <w:spacing w:before="156"/>
              <w:ind w:left="10"/>
              <w:jc w:val="center"/>
              <w:rPr>
                <w:rFonts w:ascii="Times New Roman" w:cs="Times New Roman"/>
                <w:color w:val="000000" w:themeColor="text1"/>
                <w:sz w:val="18"/>
                <w:szCs w:val="18"/>
                <w14:textFill>
                  <w14:solidFill>
                    <w14:schemeClr w14:val="tx1"/>
                  </w14:solidFill>
                </w14:textFill>
              </w:rPr>
            </w:pPr>
            <w:r>
              <w:rPr>
                <w:rFonts w:ascii="Times New Roman" w:cs="Times New Roman"/>
                <w:color w:val="000000" w:themeColor="text1"/>
                <w:sz w:val="18"/>
                <w:szCs w:val="18"/>
                <w:lang w:bidi="ar"/>
                <w14:textFill>
                  <w14:solidFill>
                    <w14:schemeClr w14:val="tx1"/>
                  </w14:solidFill>
                </w14:textFill>
              </w:rPr>
              <w:t>播种均匀性变异系数</w:t>
            </w:r>
          </w:p>
        </w:tc>
        <w:tc>
          <w:tcPr>
            <w:tcW w:w="1843" w:type="dxa"/>
            <w:tcBorders>
              <w:top w:val="single" w:color="000000" w:sz="4" w:space="0"/>
              <w:left w:val="single" w:color="000000" w:sz="4" w:space="0"/>
              <w:bottom w:val="single" w:color="000000" w:sz="4" w:space="0"/>
              <w:right w:val="single" w:color="000000" w:sz="4" w:space="0"/>
            </w:tcBorders>
            <w:vAlign w:val="center"/>
          </w:tcPr>
          <w:p w14:paraId="5528DDA4">
            <w:pPr>
              <w:pStyle w:val="239"/>
              <w:kinsoku w:val="0"/>
              <w:overflowPunct w:val="0"/>
              <w:spacing w:before="156"/>
              <w:ind w:left="10"/>
              <w:jc w:val="center"/>
              <w:rPr>
                <w:rFonts w:ascii="Times New Roman" w:cs="Times New Roman"/>
                <w:color w:val="000000" w:themeColor="text1"/>
                <w:sz w:val="18"/>
                <w:szCs w:val="18"/>
                <w14:textFill>
                  <w14:solidFill>
                    <w14:schemeClr w14:val="tx1"/>
                  </w14:solidFill>
                </w14:textFill>
              </w:rPr>
            </w:pPr>
            <w:r>
              <w:rPr>
                <w:rFonts w:ascii="Times New Roman" w:cs="Times New Roman"/>
                <w:color w:val="000000" w:themeColor="text1"/>
                <w:sz w:val="18"/>
                <w:szCs w:val="18"/>
                <w14:textFill>
                  <w14:solidFill>
                    <w14:schemeClr w14:val="tx1"/>
                  </w14:solidFill>
                </w14:textFill>
              </w:rPr>
              <w:t>表1</w:t>
            </w:r>
          </w:p>
        </w:tc>
        <w:tc>
          <w:tcPr>
            <w:tcW w:w="1843" w:type="dxa"/>
            <w:tcBorders>
              <w:top w:val="single" w:color="000000" w:sz="4" w:space="0"/>
              <w:left w:val="single" w:color="000000" w:sz="4" w:space="0"/>
              <w:bottom w:val="single" w:color="000000" w:sz="4" w:space="0"/>
              <w:right w:val="single" w:color="000000" w:sz="4" w:space="0"/>
            </w:tcBorders>
            <w:vAlign w:val="center"/>
          </w:tcPr>
          <w:p w14:paraId="1BCBBF69">
            <w:pPr>
              <w:pStyle w:val="239"/>
              <w:kinsoku w:val="0"/>
              <w:overflowPunct w:val="0"/>
              <w:spacing w:before="156"/>
              <w:ind w:left="10"/>
              <w:jc w:val="center"/>
              <w:rPr>
                <w:rFonts w:ascii="Times New Roman" w:cs="Times New Roman"/>
                <w:color w:val="000000" w:themeColor="text1"/>
                <w:sz w:val="18"/>
                <w:szCs w:val="18"/>
                <w14:textFill>
                  <w14:solidFill>
                    <w14:schemeClr w14:val="tx1"/>
                  </w14:solidFill>
                </w14:textFill>
              </w:rPr>
            </w:pPr>
            <w:r>
              <w:rPr>
                <w:rFonts w:ascii="Times New Roman" w:cs="Times New Roman"/>
                <w:color w:val="000000" w:themeColor="text1"/>
                <w:sz w:val="18"/>
                <w:szCs w:val="18"/>
                <w14:textFill>
                  <w14:solidFill>
                    <w14:schemeClr w14:val="tx1"/>
                  </w14:solidFill>
                </w14:textFill>
              </w:rPr>
              <w:t>√</w:t>
            </w:r>
          </w:p>
        </w:tc>
      </w:tr>
      <w:tr w14:paraId="7F00A949">
        <w:tblPrEx>
          <w:tblCellMar>
            <w:top w:w="0" w:type="dxa"/>
            <w:left w:w="0" w:type="dxa"/>
            <w:bottom w:w="0" w:type="dxa"/>
            <w:right w:w="0" w:type="dxa"/>
          </w:tblCellMar>
        </w:tblPrEx>
        <w:trPr>
          <w:trHeight w:val="363" w:hRule="atLeast"/>
        </w:trPr>
        <w:tc>
          <w:tcPr>
            <w:tcW w:w="1357" w:type="dxa"/>
            <w:vMerge w:val="continue"/>
            <w:tcBorders>
              <w:top w:val="single" w:color="auto" w:sz="4" w:space="0"/>
              <w:left w:val="single" w:color="000000" w:sz="4" w:space="0"/>
              <w:bottom w:val="single" w:color="auto" w:sz="4" w:space="0"/>
              <w:right w:val="single" w:color="000000" w:sz="4" w:space="0"/>
            </w:tcBorders>
            <w:vAlign w:val="center"/>
          </w:tcPr>
          <w:p w14:paraId="704A68C3">
            <w:pPr>
              <w:pStyle w:val="13"/>
              <w:spacing w:before="156"/>
            </w:pPr>
          </w:p>
        </w:tc>
        <w:tc>
          <w:tcPr>
            <w:tcW w:w="1349" w:type="dxa"/>
            <w:tcBorders>
              <w:top w:val="single" w:color="000000" w:sz="4" w:space="0"/>
              <w:left w:val="single" w:color="000000" w:sz="4" w:space="0"/>
              <w:bottom w:val="single" w:color="000000" w:sz="4" w:space="0"/>
              <w:right w:val="single" w:color="000000" w:sz="4" w:space="0"/>
            </w:tcBorders>
            <w:vAlign w:val="center"/>
          </w:tcPr>
          <w:p w14:paraId="71A1FC18">
            <w:pPr>
              <w:pStyle w:val="239"/>
              <w:kinsoku w:val="0"/>
              <w:overflowPunct w:val="0"/>
              <w:spacing w:before="156"/>
              <w:ind w:left="10"/>
              <w:jc w:val="center"/>
              <w:rPr>
                <w:rFonts w:ascii="Times New Roman" w:cs="Times New Roman"/>
                <w:color w:val="000000" w:themeColor="text1"/>
                <w:sz w:val="18"/>
                <w:szCs w:val="18"/>
                <w14:textFill>
                  <w14:solidFill>
                    <w14:schemeClr w14:val="tx1"/>
                  </w14:solidFill>
                </w14:textFill>
              </w:rPr>
            </w:pPr>
            <w:r>
              <w:rPr>
                <w:rFonts w:ascii="Times New Roman" w:cs="Times New Roman"/>
                <w:color w:val="000000" w:themeColor="text1"/>
                <w:sz w:val="18"/>
                <w:szCs w:val="18"/>
                <w14:textFill>
                  <w14:solidFill>
                    <w14:schemeClr w14:val="tx1"/>
                  </w14:solidFill>
                </w14:textFill>
              </w:rPr>
              <w:t>3</w:t>
            </w:r>
          </w:p>
        </w:tc>
        <w:tc>
          <w:tcPr>
            <w:tcW w:w="2835" w:type="dxa"/>
            <w:tcBorders>
              <w:top w:val="single" w:color="000000" w:sz="4" w:space="0"/>
              <w:left w:val="single" w:color="000000" w:sz="4" w:space="0"/>
              <w:bottom w:val="single" w:color="000000" w:sz="4" w:space="0"/>
              <w:right w:val="single" w:color="000000" w:sz="4" w:space="0"/>
            </w:tcBorders>
            <w:vAlign w:val="center"/>
          </w:tcPr>
          <w:p w14:paraId="6E511D47">
            <w:pPr>
              <w:pStyle w:val="239"/>
              <w:kinsoku w:val="0"/>
              <w:overflowPunct w:val="0"/>
              <w:spacing w:before="156"/>
              <w:ind w:left="10"/>
              <w:jc w:val="center"/>
              <w:rPr>
                <w:rFonts w:ascii="Times New Roman" w:cs="Times New Roman"/>
                <w:color w:val="000000" w:themeColor="text1"/>
                <w:sz w:val="18"/>
                <w:szCs w:val="18"/>
                <w:lang w:bidi="ar"/>
                <w14:textFill>
                  <w14:solidFill>
                    <w14:schemeClr w14:val="tx1"/>
                  </w14:solidFill>
                </w14:textFill>
              </w:rPr>
            </w:pPr>
            <w:r>
              <w:rPr>
                <w:rFonts w:ascii="Times New Roman" w:cs="Times New Roman"/>
                <w:color w:val="000000" w:themeColor="text1"/>
                <w:sz w:val="18"/>
                <w:szCs w:val="18"/>
                <w:lang w:bidi="ar"/>
                <w14:textFill>
                  <w14:solidFill>
                    <w14:schemeClr w14:val="tx1"/>
                  </w14:solidFill>
                </w14:textFill>
              </w:rPr>
              <w:t>种子破损率</w:t>
            </w:r>
          </w:p>
        </w:tc>
        <w:tc>
          <w:tcPr>
            <w:tcW w:w="1843" w:type="dxa"/>
            <w:tcBorders>
              <w:top w:val="single" w:color="000000" w:sz="4" w:space="0"/>
              <w:left w:val="single" w:color="000000" w:sz="4" w:space="0"/>
              <w:bottom w:val="single" w:color="000000" w:sz="4" w:space="0"/>
              <w:right w:val="single" w:color="000000" w:sz="4" w:space="0"/>
            </w:tcBorders>
            <w:vAlign w:val="center"/>
          </w:tcPr>
          <w:p w14:paraId="38DD10AC">
            <w:pPr>
              <w:pStyle w:val="239"/>
              <w:kinsoku w:val="0"/>
              <w:overflowPunct w:val="0"/>
              <w:spacing w:before="156"/>
              <w:ind w:left="10"/>
              <w:jc w:val="center"/>
              <w:rPr>
                <w:rFonts w:ascii="Times New Roman" w:cs="Times New Roman"/>
                <w:color w:val="000000" w:themeColor="text1"/>
                <w:sz w:val="18"/>
                <w:szCs w:val="18"/>
                <w14:textFill>
                  <w14:solidFill>
                    <w14:schemeClr w14:val="tx1"/>
                  </w14:solidFill>
                </w14:textFill>
              </w:rPr>
            </w:pPr>
            <w:r>
              <w:rPr>
                <w:rFonts w:ascii="Times New Roman" w:cs="Times New Roman"/>
                <w:color w:val="000000" w:themeColor="text1"/>
                <w:sz w:val="18"/>
                <w:szCs w:val="18"/>
                <w14:textFill>
                  <w14:solidFill>
                    <w14:schemeClr w14:val="tx1"/>
                  </w14:solidFill>
                </w14:textFill>
              </w:rPr>
              <w:t>表1</w:t>
            </w:r>
          </w:p>
        </w:tc>
        <w:tc>
          <w:tcPr>
            <w:tcW w:w="1843" w:type="dxa"/>
            <w:tcBorders>
              <w:top w:val="single" w:color="000000" w:sz="4" w:space="0"/>
              <w:left w:val="single" w:color="000000" w:sz="4" w:space="0"/>
              <w:bottom w:val="single" w:color="000000" w:sz="4" w:space="0"/>
              <w:right w:val="single" w:color="000000" w:sz="4" w:space="0"/>
            </w:tcBorders>
            <w:vAlign w:val="center"/>
          </w:tcPr>
          <w:p w14:paraId="13D57546">
            <w:pPr>
              <w:pStyle w:val="239"/>
              <w:kinsoku w:val="0"/>
              <w:overflowPunct w:val="0"/>
              <w:spacing w:before="156"/>
              <w:ind w:left="10"/>
              <w:jc w:val="center"/>
              <w:rPr>
                <w:rFonts w:ascii="Times New Roman" w:cs="Times New Roman"/>
                <w:color w:val="000000" w:themeColor="text1"/>
                <w:sz w:val="18"/>
                <w:szCs w:val="18"/>
                <w14:textFill>
                  <w14:solidFill>
                    <w14:schemeClr w14:val="tx1"/>
                  </w14:solidFill>
                </w14:textFill>
              </w:rPr>
            </w:pPr>
            <w:r>
              <w:rPr>
                <w:rFonts w:ascii="Times New Roman" w:cs="Times New Roman"/>
                <w:color w:val="000000" w:themeColor="text1"/>
                <w:sz w:val="18"/>
                <w:szCs w:val="18"/>
                <w14:textFill>
                  <w14:solidFill>
                    <w14:schemeClr w14:val="tx1"/>
                  </w14:solidFill>
                </w14:textFill>
              </w:rPr>
              <w:t>√</w:t>
            </w:r>
          </w:p>
        </w:tc>
      </w:tr>
      <w:tr w14:paraId="2D476D82">
        <w:tblPrEx>
          <w:tblCellMar>
            <w:top w:w="0" w:type="dxa"/>
            <w:left w:w="0" w:type="dxa"/>
            <w:bottom w:w="0" w:type="dxa"/>
            <w:right w:w="0" w:type="dxa"/>
          </w:tblCellMar>
        </w:tblPrEx>
        <w:trPr>
          <w:trHeight w:val="363" w:hRule="atLeast"/>
        </w:trPr>
        <w:tc>
          <w:tcPr>
            <w:tcW w:w="1357" w:type="dxa"/>
            <w:tcBorders>
              <w:top w:val="single" w:color="auto" w:sz="4" w:space="0"/>
              <w:left w:val="single" w:color="000000" w:sz="4" w:space="0"/>
              <w:right w:val="single" w:color="000000" w:sz="4" w:space="0"/>
            </w:tcBorders>
            <w:vAlign w:val="center"/>
          </w:tcPr>
          <w:p w14:paraId="576B51D3">
            <w:pPr>
              <w:pStyle w:val="13"/>
              <w:spacing w:before="156"/>
            </w:pPr>
            <w:r>
              <w:t>B</w:t>
            </w:r>
          </w:p>
        </w:tc>
        <w:tc>
          <w:tcPr>
            <w:tcW w:w="1349" w:type="dxa"/>
            <w:tcBorders>
              <w:top w:val="single" w:color="000000" w:sz="4" w:space="0"/>
              <w:left w:val="single" w:color="000000" w:sz="4" w:space="0"/>
              <w:bottom w:val="single" w:color="000000" w:sz="4" w:space="0"/>
              <w:right w:val="single" w:color="000000" w:sz="4" w:space="0"/>
            </w:tcBorders>
            <w:vAlign w:val="center"/>
          </w:tcPr>
          <w:p w14:paraId="4B2EF2AE">
            <w:pPr>
              <w:pStyle w:val="239"/>
              <w:kinsoku w:val="0"/>
              <w:overflowPunct w:val="0"/>
              <w:spacing w:before="156"/>
              <w:ind w:left="10"/>
              <w:jc w:val="center"/>
              <w:rPr>
                <w:rFonts w:ascii="Times New Roman" w:cs="Times New Roman"/>
                <w:color w:val="000000" w:themeColor="text1"/>
                <w:sz w:val="18"/>
                <w:szCs w:val="18"/>
                <w14:textFill>
                  <w14:solidFill>
                    <w14:schemeClr w14:val="tx1"/>
                  </w14:solidFill>
                </w14:textFill>
              </w:rPr>
            </w:pPr>
            <w:r>
              <w:rPr>
                <w:rFonts w:ascii="Times New Roman" w:cs="Times New Roman"/>
                <w:color w:val="000000" w:themeColor="text1"/>
                <w:sz w:val="18"/>
                <w:szCs w:val="18"/>
                <w14:textFill>
                  <w14:solidFill>
                    <w14:schemeClr w14:val="tx1"/>
                  </w14:solidFill>
                </w14:textFill>
              </w:rPr>
              <w:t>1</w:t>
            </w:r>
          </w:p>
        </w:tc>
        <w:tc>
          <w:tcPr>
            <w:tcW w:w="2835" w:type="dxa"/>
            <w:tcBorders>
              <w:top w:val="single" w:color="000000" w:sz="4" w:space="0"/>
              <w:left w:val="single" w:color="000000" w:sz="4" w:space="0"/>
              <w:bottom w:val="single" w:color="000000" w:sz="4" w:space="0"/>
              <w:right w:val="single" w:color="000000" w:sz="4" w:space="0"/>
            </w:tcBorders>
            <w:vAlign w:val="center"/>
          </w:tcPr>
          <w:p w14:paraId="6320CDAF">
            <w:pPr>
              <w:pStyle w:val="239"/>
              <w:kinsoku w:val="0"/>
              <w:overflowPunct w:val="0"/>
              <w:spacing w:before="156"/>
              <w:ind w:left="10"/>
              <w:jc w:val="center"/>
              <w:rPr>
                <w:rFonts w:ascii="Times New Roman" w:cs="Times New Roman"/>
                <w:color w:val="000000" w:themeColor="text1"/>
                <w:sz w:val="18"/>
                <w:szCs w:val="18"/>
                <w14:textFill>
                  <w14:solidFill>
                    <w14:schemeClr w14:val="tx1"/>
                  </w14:solidFill>
                </w14:textFill>
              </w:rPr>
            </w:pPr>
            <w:r>
              <w:rPr>
                <w:rFonts w:ascii="Times New Roman" w:cs="Times New Roman"/>
                <w:color w:val="000000" w:themeColor="text1"/>
                <w:sz w:val="18"/>
                <w:szCs w:val="18"/>
                <w:lang w:bidi="ar"/>
                <w14:textFill>
                  <w14:solidFill>
                    <w14:schemeClr w14:val="tx1"/>
                  </w14:solidFill>
                </w14:textFill>
              </w:rPr>
              <w:t>总排种量稳定性变异系数</w:t>
            </w:r>
          </w:p>
        </w:tc>
        <w:tc>
          <w:tcPr>
            <w:tcW w:w="1843" w:type="dxa"/>
            <w:tcBorders>
              <w:top w:val="single" w:color="000000" w:sz="4" w:space="0"/>
              <w:left w:val="single" w:color="000000" w:sz="4" w:space="0"/>
              <w:bottom w:val="single" w:color="000000" w:sz="4" w:space="0"/>
              <w:right w:val="single" w:color="000000" w:sz="4" w:space="0"/>
            </w:tcBorders>
            <w:vAlign w:val="center"/>
          </w:tcPr>
          <w:p w14:paraId="7C7F8F8F">
            <w:pPr>
              <w:pStyle w:val="239"/>
              <w:kinsoku w:val="0"/>
              <w:overflowPunct w:val="0"/>
              <w:spacing w:before="156"/>
              <w:ind w:left="10"/>
              <w:jc w:val="center"/>
              <w:rPr>
                <w:rFonts w:ascii="Times New Roman" w:cs="Times New Roman"/>
                <w:color w:val="000000" w:themeColor="text1"/>
                <w:sz w:val="18"/>
                <w:szCs w:val="18"/>
                <w14:textFill>
                  <w14:solidFill>
                    <w14:schemeClr w14:val="tx1"/>
                  </w14:solidFill>
                </w14:textFill>
              </w:rPr>
            </w:pPr>
            <w:r>
              <w:rPr>
                <w:rFonts w:ascii="Times New Roman" w:cs="Times New Roman"/>
                <w:color w:val="000000" w:themeColor="text1"/>
                <w:sz w:val="18"/>
                <w:szCs w:val="18"/>
                <w14:textFill>
                  <w14:solidFill>
                    <w14:schemeClr w14:val="tx1"/>
                  </w14:solidFill>
                </w14:textFill>
              </w:rPr>
              <w:t>表1</w:t>
            </w:r>
          </w:p>
        </w:tc>
        <w:tc>
          <w:tcPr>
            <w:tcW w:w="1843" w:type="dxa"/>
            <w:tcBorders>
              <w:top w:val="single" w:color="000000" w:sz="4" w:space="0"/>
              <w:left w:val="single" w:color="000000" w:sz="4" w:space="0"/>
              <w:bottom w:val="single" w:color="000000" w:sz="4" w:space="0"/>
              <w:right w:val="single" w:color="000000" w:sz="4" w:space="0"/>
            </w:tcBorders>
            <w:vAlign w:val="center"/>
          </w:tcPr>
          <w:p w14:paraId="44B34ABF">
            <w:pPr>
              <w:pStyle w:val="239"/>
              <w:kinsoku w:val="0"/>
              <w:overflowPunct w:val="0"/>
              <w:spacing w:before="156"/>
              <w:ind w:left="10"/>
              <w:jc w:val="center"/>
              <w:rPr>
                <w:rFonts w:ascii="Times New Roman" w:cs="Times New Roman"/>
                <w:color w:val="000000" w:themeColor="text1"/>
                <w:sz w:val="18"/>
                <w:szCs w:val="18"/>
                <w14:textFill>
                  <w14:solidFill>
                    <w14:schemeClr w14:val="tx1"/>
                  </w14:solidFill>
                </w14:textFill>
              </w:rPr>
            </w:pPr>
            <w:r>
              <w:rPr>
                <w:rFonts w:ascii="Times New Roman" w:cs="Times New Roman"/>
                <w:color w:val="000000" w:themeColor="text1"/>
                <w:sz w:val="18"/>
                <w:szCs w:val="18"/>
                <w14:textFill>
                  <w14:solidFill>
                    <w14:schemeClr w14:val="tx1"/>
                  </w14:solidFill>
                </w14:textFill>
              </w:rPr>
              <w:t>√</w:t>
            </w:r>
          </w:p>
        </w:tc>
      </w:tr>
      <w:tr w14:paraId="7ED33698">
        <w:tblPrEx>
          <w:tblCellMar>
            <w:top w:w="0" w:type="dxa"/>
            <w:left w:w="0" w:type="dxa"/>
            <w:bottom w:w="0" w:type="dxa"/>
            <w:right w:w="0" w:type="dxa"/>
          </w:tblCellMar>
        </w:tblPrEx>
        <w:trPr>
          <w:trHeight w:val="363" w:hRule="atLeast"/>
        </w:trPr>
        <w:tc>
          <w:tcPr>
            <w:tcW w:w="1357" w:type="dxa"/>
            <w:tcBorders>
              <w:left w:val="single" w:color="000000" w:sz="4" w:space="0"/>
              <w:right w:val="single" w:color="000000" w:sz="4" w:space="0"/>
            </w:tcBorders>
            <w:vAlign w:val="center"/>
          </w:tcPr>
          <w:p w14:paraId="2840F230">
            <w:pPr>
              <w:pStyle w:val="13"/>
              <w:spacing w:before="156"/>
            </w:pPr>
          </w:p>
        </w:tc>
        <w:tc>
          <w:tcPr>
            <w:tcW w:w="1349" w:type="dxa"/>
            <w:tcBorders>
              <w:top w:val="single" w:color="000000" w:sz="4" w:space="0"/>
              <w:left w:val="single" w:color="000000" w:sz="4" w:space="0"/>
              <w:bottom w:val="single" w:color="000000" w:sz="4" w:space="0"/>
              <w:right w:val="single" w:color="000000" w:sz="4" w:space="0"/>
            </w:tcBorders>
            <w:vAlign w:val="center"/>
          </w:tcPr>
          <w:p w14:paraId="5E97ECBC">
            <w:pPr>
              <w:pStyle w:val="239"/>
              <w:kinsoku w:val="0"/>
              <w:overflowPunct w:val="0"/>
              <w:spacing w:before="156"/>
              <w:ind w:left="10"/>
              <w:jc w:val="center"/>
              <w:rPr>
                <w:rFonts w:ascii="Times New Roman" w:cs="Times New Roman"/>
                <w:color w:val="000000" w:themeColor="text1"/>
                <w:sz w:val="18"/>
                <w:szCs w:val="18"/>
                <w14:textFill>
                  <w14:solidFill>
                    <w14:schemeClr w14:val="tx1"/>
                  </w14:solidFill>
                </w14:textFill>
              </w:rPr>
            </w:pPr>
            <w:r>
              <w:rPr>
                <w:rFonts w:ascii="Times New Roman" w:cs="Times New Roman"/>
                <w:color w:val="000000" w:themeColor="text1"/>
                <w:sz w:val="18"/>
                <w:szCs w:val="18"/>
                <w14:textFill>
                  <w14:solidFill>
                    <w14:schemeClr w14:val="tx1"/>
                  </w14:solidFill>
                </w14:textFill>
              </w:rPr>
              <w:t>2</w:t>
            </w:r>
          </w:p>
        </w:tc>
        <w:tc>
          <w:tcPr>
            <w:tcW w:w="2835" w:type="dxa"/>
            <w:tcBorders>
              <w:top w:val="single" w:color="000000" w:sz="4" w:space="0"/>
              <w:left w:val="single" w:color="000000" w:sz="4" w:space="0"/>
              <w:bottom w:val="single" w:color="000000" w:sz="4" w:space="0"/>
              <w:right w:val="single" w:color="000000" w:sz="4" w:space="0"/>
            </w:tcBorders>
            <w:vAlign w:val="center"/>
          </w:tcPr>
          <w:p w14:paraId="0561C536">
            <w:pPr>
              <w:pStyle w:val="239"/>
              <w:kinsoku w:val="0"/>
              <w:overflowPunct w:val="0"/>
              <w:spacing w:before="156"/>
              <w:ind w:left="10"/>
              <w:jc w:val="center"/>
              <w:rPr>
                <w:rFonts w:ascii="Times New Roman" w:cs="Times New Roman"/>
                <w:color w:val="000000" w:themeColor="text1"/>
                <w:sz w:val="18"/>
                <w:szCs w:val="18"/>
                <w14:textFill>
                  <w14:solidFill>
                    <w14:schemeClr w14:val="tx1"/>
                  </w14:solidFill>
                </w14:textFill>
              </w:rPr>
            </w:pPr>
            <w:r>
              <w:rPr>
                <w:rFonts w:ascii="Times New Roman" w:cs="Times New Roman"/>
                <w:color w:val="000000" w:themeColor="text1"/>
                <w:sz w:val="18"/>
                <w:szCs w:val="18"/>
                <w14:textFill>
                  <w14:solidFill>
                    <w14:schemeClr w14:val="tx1"/>
                  </w14:solidFill>
                </w14:textFill>
              </w:rPr>
              <w:t>播深合格率</w:t>
            </w:r>
          </w:p>
        </w:tc>
        <w:tc>
          <w:tcPr>
            <w:tcW w:w="1843" w:type="dxa"/>
            <w:tcBorders>
              <w:top w:val="single" w:color="000000" w:sz="4" w:space="0"/>
              <w:left w:val="single" w:color="000000" w:sz="4" w:space="0"/>
              <w:bottom w:val="single" w:color="000000" w:sz="4" w:space="0"/>
              <w:right w:val="single" w:color="000000" w:sz="4" w:space="0"/>
            </w:tcBorders>
            <w:vAlign w:val="center"/>
          </w:tcPr>
          <w:p w14:paraId="12D76516">
            <w:pPr>
              <w:pStyle w:val="239"/>
              <w:kinsoku w:val="0"/>
              <w:overflowPunct w:val="0"/>
              <w:spacing w:before="156"/>
              <w:ind w:left="10"/>
              <w:jc w:val="center"/>
              <w:rPr>
                <w:rFonts w:ascii="Times New Roman" w:cs="Times New Roman"/>
                <w:color w:val="000000" w:themeColor="text1"/>
                <w:sz w:val="18"/>
                <w:szCs w:val="18"/>
                <w14:textFill>
                  <w14:solidFill>
                    <w14:schemeClr w14:val="tx1"/>
                  </w14:solidFill>
                </w14:textFill>
              </w:rPr>
            </w:pPr>
            <w:r>
              <w:rPr>
                <w:rFonts w:ascii="Times New Roman" w:cs="Times New Roman"/>
                <w:color w:val="000000" w:themeColor="text1"/>
                <w:sz w:val="18"/>
                <w:szCs w:val="18"/>
                <w14:textFill>
                  <w14:solidFill>
                    <w14:schemeClr w14:val="tx1"/>
                  </w14:solidFill>
                </w14:textFill>
              </w:rPr>
              <w:t>表1</w:t>
            </w:r>
          </w:p>
        </w:tc>
        <w:tc>
          <w:tcPr>
            <w:tcW w:w="1843" w:type="dxa"/>
            <w:tcBorders>
              <w:top w:val="single" w:color="000000" w:sz="4" w:space="0"/>
              <w:left w:val="single" w:color="000000" w:sz="4" w:space="0"/>
              <w:bottom w:val="single" w:color="000000" w:sz="4" w:space="0"/>
              <w:right w:val="single" w:color="000000" w:sz="4" w:space="0"/>
            </w:tcBorders>
            <w:vAlign w:val="center"/>
          </w:tcPr>
          <w:p w14:paraId="6C4DC6DE">
            <w:pPr>
              <w:pStyle w:val="239"/>
              <w:kinsoku w:val="0"/>
              <w:overflowPunct w:val="0"/>
              <w:spacing w:before="156"/>
              <w:ind w:left="10"/>
              <w:jc w:val="center"/>
              <w:rPr>
                <w:rFonts w:ascii="Times New Roman" w:cs="Times New Roman"/>
                <w:color w:val="000000" w:themeColor="text1"/>
                <w:sz w:val="18"/>
                <w:szCs w:val="18"/>
                <w14:textFill>
                  <w14:solidFill>
                    <w14:schemeClr w14:val="tx1"/>
                  </w14:solidFill>
                </w14:textFill>
              </w:rPr>
            </w:pPr>
            <w:r>
              <w:rPr>
                <w:rFonts w:ascii="Times New Roman" w:cs="Times New Roman"/>
                <w:color w:val="000000" w:themeColor="text1"/>
                <w:sz w:val="18"/>
                <w:szCs w:val="18"/>
                <w14:textFill>
                  <w14:solidFill>
                    <w14:schemeClr w14:val="tx1"/>
                  </w14:solidFill>
                </w14:textFill>
              </w:rPr>
              <w:t>√</w:t>
            </w:r>
          </w:p>
        </w:tc>
      </w:tr>
      <w:tr w14:paraId="129BFA85">
        <w:tblPrEx>
          <w:tblCellMar>
            <w:top w:w="0" w:type="dxa"/>
            <w:left w:w="0" w:type="dxa"/>
            <w:bottom w:w="0" w:type="dxa"/>
            <w:right w:w="0" w:type="dxa"/>
          </w:tblCellMar>
        </w:tblPrEx>
        <w:trPr>
          <w:trHeight w:val="359" w:hRule="atLeast"/>
        </w:trPr>
        <w:tc>
          <w:tcPr>
            <w:tcW w:w="9227" w:type="dxa"/>
            <w:gridSpan w:val="5"/>
            <w:tcBorders>
              <w:top w:val="single" w:color="auto" w:sz="4" w:space="0"/>
              <w:left w:val="single" w:color="000000" w:sz="4" w:space="0"/>
              <w:bottom w:val="single" w:color="auto" w:sz="4" w:space="0"/>
              <w:right w:val="single" w:color="000000" w:sz="4" w:space="0"/>
            </w:tcBorders>
            <w:vAlign w:val="center"/>
          </w:tcPr>
          <w:p w14:paraId="07E2607B">
            <w:pPr>
              <w:pStyle w:val="239"/>
              <w:kinsoku w:val="0"/>
              <w:overflowPunct w:val="0"/>
              <w:spacing w:before="156"/>
              <w:ind w:left="10" w:firstLine="360" w:firstLineChars="200"/>
              <w:rPr>
                <w:rFonts w:ascii="Times New Roman" w:cs="Times New Roman"/>
                <w:color w:val="000000" w:themeColor="text1"/>
                <w:sz w:val="18"/>
                <w:szCs w:val="18"/>
                <w14:textFill>
                  <w14:solidFill>
                    <w14:schemeClr w14:val="tx1"/>
                  </w14:solidFill>
                </w14:textFill>
              </w:rPr>
            </w:pPr>
            <w:r>
              <w:rPr>
                <w:rFonts w:ascii="Times New Roman" w:cs="Times New Roman"/>
                <w:color w:val="000000" w:themeColor="text1"/>
                <w:sz w:val="18"/>
                <w:szCs w:val="18"/>
                <w14:textFill>
                  <w14:solidFill>
                    <w14:schemeClr w14:val="tx1"/>
                  </w14:solidFill>
                </w14:textFill>
              </w:rPr>
              <w:t>注：“√”表示应检测项目。</w:t>
            </w:r>
          </w:p>
        </w:tc>
      </w:tr>
    </w:tbl>
    <w:p w14:paraId="04E67DC3">
      <w:pPr>
        <w:spacing w:line="360" w:lineRule="exact"/>
        <w:jc w:val="center"/>
        <w:rPr>
          <w:rFonts w:ascii="Times New Roman" w:hAnsi="Times New Roman" w:eastAsia="黑体"/>
          <w:color w:val="000000" w:themeColor="text1"/>
          <w14:textFill>
            <w14:solidFill>
              <w14:schemeClr w14:val="tx1"/>
            </w14:solidFill>
          </w14:textFill>
        </w:rPr>
      </w:pPr>
      <w:r>
        <w:rPr>
          <w:rFonts w:ascii="Times New Roman" w:hAnsi="Times New Roman" w:eastAsia="黑体"/>
          <w:color w:val="000000" w:themeColor="text1"/>
          <w14:textFill>
            <w14:solidFill>
              <w14:schemeClr w14:val="tx1"/>
            </w14:solidFill>
          </w14:textFill>
        </w:rPr>
        <w:t>表4 穴播不合格项目分类</w:t>
      </w:r>
    </w:p>
    <w:tbl>
      <w:tblPr>
        <w:tblStyle w:val="26"/>
        <w:tblW w:w="9227" w:type="dxa"/>
        <w:tblInd w:w="124" w:type="dxa"/>
        <w:tblLayout w:type="fixed"/>
        <w:tblCellMar>
          <w:top w:w="0" w:type="dxa"/>
          <w:left w:w="0" w:type="dxa"/>
          <w:bottom w:w="0" w:type="dxa"/>
          <w:right w:w="0" w:type="dxa"/>
        </w:tblCellMar>
      </w:tblPr>
      <w:tblGrid>
        <w:gridCol w:w="1357"/>
        <w:gridCol w:w="1349"/>
        <w:gridCol w:w="2835"/>
        <w:gridCol w:w="1843"/>
        <w:gridCol w:w="1843"/>
      </w:tblGrid>
      <w:tr w14:paraId="7FDBDE5D">
        <w:tblPrEx>
          <w:tblCellMar>
            <w:top w:w="0" w:type="dxa"/>
            <w:left w:w="0" w:type="dxa"/>
            <w:bottom w:w="0" w:type="dxa"/>
            <w:right w:w="0" w:type="dxa"/>
          </w:tblCellMar>
        </w:tblPrEx>
        <w:trPr>
          <w:trHeight w:val="359" w:hRule="atLeast"/>
        </w:trPr>
        <w:tc>
          <w:tcPr>
            <w:tcW w:w="2706" w:type="dxa"/>
            <w:gridSpan w:val="2"/>
            <w:tcBorders>
              <w:top w:val="single" w:color="000000" w:sz="4" w:space="0"/>
              <w:left w:val="single" w:color="000000" w:sz="4" w:space="0"/>
              <w:bottom w:val="single" w:color="000000" w:sz="4" w:space="0"/>
              <w:right w:val="single" w:color="000000" w:sz="4" w:space="0"/>
            </w:tcBorders>
            <w:vAlign w:val="center"/>
          </w:tcPr>
          <w:p w14:paraId="19735338">
            <w:pPr>
              <w:pStyle w:val="239"/>
              <w:kinsoku w:val="0"/>
              <w:overflowPunct w:val="0"/>
              <w:spacing w:before="156"/>
              <w:jc w:val="center"/>
              <w:rPr>
                <w:rFonts w:ascii="Times New Roman" w:cs="Times New Roman"/>
                <w:color w:val="000000" w:themeColor="text1"/>
                <w:sz w:val="18"/>
                <w:szCs w:val="18"/>
                <w14:textFill>
                  <w14:solidFill>
                    <w14:schemeClr w14:val="tx1"/>
                  </w14:solidFill>
                </w14:textFill>
              </w:rPr>
            </w:pPr>
            <w:r>
              <w:rPr>
                <w:rFonts w:ascii="Times New Roman" w:cs="Times New Roman"/>
                <w:color w:val="000000" w:themeColor="text1"/>
                <w:sz w:val="18"/>
                <w:szCs w:val="18"/>
                <w14:textFill>
                  <w14:solidFill>
                    <w14:schemeClr w14:val="tx1"/>
                  </w14:solidFill>
                </w14:textFill>
              </w:rPr>
              <w:t>不合格分类</w:t>
            </w:r>
          </w:p>
        </w:tc>
        <w:tc>
          <w:tcPr>
            <w:tcW w:w="2835" w:type="dxa"/>
            <w:vMerge w:val="restart"/>
            <w:tcBorders>
              <w:top w:val="single" w:color="000000" w:sz="4" w:space="0"/>
              <w:left w:val="single" w:color="000000" w:sz="4" w:space="0"/>
              <w:bottom w:val="single" w:color="000000" w:sz="4" w:space="0"/>
              <w:right w:val="single" w:color="000000" w:sz="4" w:space="0"/>
            </w:tcBorders>
            <w:vAlign w:val="center"/>
          </w:tcPr>
          <w:p w14:paraId="784C59B7">
            <w:pPr>
              <w:pStyle w:val="239"/>
              <w:kinsoku w:val="0"/>
              <w:overflowPunct w:val="0"/>
              <w:ind w:left="1171" w:right="1162"/>
              <w:jc w:val="center"/>
              <w:rPr>
                <w:rFonts w:ascii="Times New Roman" w:cs="Times New Roman"/>
                <w:color w:val="000000" w:themeColor="text1"/>
                <w:sz w:val="18"/>
                <w:szCs w:val="18"/>
                <w14:textFill>
                  <w14:solidFill>
                    <w14:schemeClr w14:val="tx1"/>
                  </w14:solidFill>
                </w14:textFill>
              </w:rPr>
            </w:pPr>
            <w:r>
              <w:rPr>
                <w:rFonts w:ascii="Times New Roman" w:cs="Times New Roman"/>
                <w:color w:val="000000" w:themeColor="text1"/>
                <w:sz w:val="18"/>
                <w:szCs w:val="18"/>
                <w14:textFill>
                  <w14:solidFill>
                    <w14:schemeClr w14:val="tx1"/>
                  </w14:solidFill>
                </w14:textFill>
              </w:rPr>
              <w:t>项目</w:t>
            </w:r>
          </w:p>
        </w:tc>
        <w:tc>
          <w:tcPr>
            <w:tcW w:w="1843" w:type="dxa"/>
            <w:vMerge w:val="restart"/>
            <w:tcBorders>
              <w:top w:val="single" w:color="000000" w:sz="4" w:space="0"/>
              <w:left w:val="single" w:color="000000" w:sz="4" w:space="0"/>
              <w:bottom w:val="single" w:color="000000" w:sz="4" w:space="0"/>
              <w:right w:val="single" w:color="000000" w:sz="4" w:space="0"/>
            </w:tcBorders>
            <w:vAlign w:val="center"/>
          </w:tcPr>
          <w:p w14:paraId="241AC189">
            <w:pPr>
              <w:pStyle w:val="239"/>
              <w:kinsoku w:val="0"/>
              <w:overflowPunct w:val="0"/>
              <w:ind w:left="333"/>
              <w:jc w:val="center"/>
              <w:rPr>
                <w:rFonts w:ascii="Times New Roman" w:cs="Times New Roman"/>
                <w:color w:val="000000" w:themeColor="text1"/>
                <w:sz w:val="18"/>
                <w:szCs w:val="18"/>
                <w14:textFill>
                  <w14:solidFill>
                    <w14:schemeClr w14:val="tx1"/>
                  </w14:solidFill>
                </w14:textFill>
              </w:rPr>
            </w:pPr>
            <w:r>
              <w:rPr>
                <w:rFonts w:ascii="Times New Roman" w:cs="Times New Roman"/>
                <w:color w:val="000000" w:themeColor="text1"/>
                <w:sz w:val="18"/>
                <w:szCs w:val="18"/>
                <w14:textFill>
                  <w14:solidFill>
                    <w14:schemeClr w14:val="tx1"/>
                  </w14:solidFill>
                </w14:textFill>
              </w:rPr>
              <w:t>对应条款号</w:t>
            </w:r>
          </w:p>
        </w:tc>
        <w:tc>
          <w:tcPr>
            <w:tcW w:w="1843" w:type="dxa"/>
            <w:vMerge w:val="restart"/>
            <w:tcBorders>
              <w:top w:val="single" w:color="000000" w:sz="4" w:space="0"/>
              <w:left w:val="single" w:color="000000" w:sz="4" w:space="0"/>
              <w:right w:val="single" w:color="000000" w:sz="4" w:space="0"/>
            </w:tcBorders>
            <w:vAlign w:val="center"/>
          </w:tcPr>
          <w:p w14:paraId="317F6895">
            <w:pPr>
              <w:pStyle w:val="239"/>
              <w:kinsoku w:val="0"/>
              <w:overflowPunct w:val="0"/>
              <w:ind w:left="180"/>
              <w:jc w:val="center"/>
              <w:rPr>
                <w:rFonts w:ascii="Times New Roman" w:cs="Times New Roman"/>
                <w:color w:val="000000" w:themeColor="text1"/>
                <w:sz w:val="18"/>
                <w:szCs w:val="18"/>
                <w14:textFill>
                  <w14:solidFill>
                    <w14:schemeClr w14:val="tx1"/>
                  </w14:solidFill>
                </w14:textFill>
              </w:rPr>
            </w:pPr>
            <w:r>
              <w:rPr>
                <w:rFonts w:ascii="Times New Roman" w:cs="Times New Roman"/>
                <w:color w:val="000000" w:themeColor="text1"/>
                <w:sz w:val="18"/>
                <w:szCs w:val="18"/>
                <w14:textFill>
                  <w14:solidFill>
                    <w14:schemeClr w14:val="tx1"/>
                  </w14:solidFill>
                </w14:textFill>
              </w:rPr>
              <w:t>检测</w:t>
            </w:r>
          </w:p>
        </w:tc>
      </w:tr>
      <w:tr w14:paraId="5E1AD40C">
        <w:tblPrEx>
          <w:tblCellMar>
            <w:top w:w="0" w:type="dxa"/>
            <w:left w:w="0" w:type="dxa"/>
            <w:bottom w:w="0" w:type="dxa"/>
            <w:right w:w="0" w:type="dxa"/>
          </w:tblCellMar>
        </w:tblPrEx>
        <w:trPr>
          <w:trHeight w:val="358" w:hRule="atLeast"/>
        </w:trPr>
        <w:tc>
          <w:tcPr>
            <w:tcW w:w="1357" w:type="dxa"/>
            <w:tcBorders>
              <w:top w:val="single" w:color="auto" w:sz="4" w:space="0"/>
              <w:left w:val="single" w:color="000000" w:sz="4" w:space="0"/>
              <w:bottom w:val="single" w:color="auto" w:sz="4" w:space="0"/>
              <w:right w:val="single" w:color="000000" w:sz="4" w:space="0"/>
            </w:tcBorders>
            <w:vAlign w:val="center"/>
          </w:tcPr>
          <w:p w14:paraId="30EE8581">
            <w:pPr>
              <w:pStyle w:val="239"/>
              <w:kinsoku w:val="0"/>
              <w:overflowPunct w:val="0"/>
              <w:spacing w:before="156"/>
              <w:ind w:left="8"/>
              <w:jc w:val="center"/>
              <w:rPr>
                <w:rFonts w:ascii="Times New Roman" w:cs="Times New Roman"/>
                <w:color w:val="000000" w:themeColor="text1"/>
                <w:sz w:val="18"/>
                <w:szCs w:val="18"/>
                <w14:textFill>
                  <w14:solidFill>
                    <w14:schemeClr w14:val="tx1"/>
                  </w14:solidFill>
                </w14:textFill>
              </w:rPr>
            </w:pPr>
            <w:r>
              <w:rPr>
                <w:rFonts w:ascii="Times New Roman" w:cs="Times New Roman"/>
                <w:color w:val="000000" w:themeColor="text1"/>
                <w:sz w:val="18"/>
                <w:szCs w:val="18"/>
                <w14:textFill>
                  <w14:solidFill>
                    <w14:schemeClr w14:val="tx1"/>
                  </w14:solidFill>
                </w14:textFill>
              </w:rPr>
              <w:t>类</w:t>
            </w:r>
          </w:p>
        </w:tc>
        <w:tc>
          <w:tcPr>
            <w:tcW w:w="1349" w:type="dxa"/>
            <w:tcBorders>
              <w:top w:val="single" w:color="000000" w:sz="4" w:space="0"/>
              <w:left w:val="single" w:color="000000" w:sz="4" w:space="0"/>
              <w:bottom w:val="single" w:color="000000" w:sz="4" w:space="0"/>
              <w:right w:val="single" w:color="000000" w:sz="4" w:space="0"/>
            </w:tcBorders>
            <w:vAlign w:val="center"/>
          </w:tcPr>
          <w:p w14:paraId="4984791C">
            <w:pPr>
              <w:pStyle w:val="239"/>
              <w:kinsoku w:val="0"/>
              <w:overflowPunct w:val="0"/>
              <w:spacing w:before="156"/>
              <w:ind w:left="432" w:right="423"/>
              <w:jc w:val="center"/>
              <w:rPr>
                <w:rFonts w:ascii="Times New Roman" w:cs="Times New Roman"/>
                <w:color w:val="000000" w:themeColor="text1"/>
                <w:sz w:val="18"/>
                <w:szCs w:val="18"/>
                <w14:textFill>
                  <w14:solidFill>
                    <w14:schemeClr w14:val="tx1"/>
                  </w14:solidFill>
                </w14:textFill>
              </w:rPr>
            </w:pPr>
            <w:r>
              <w:rPr>
                <w:rFonts w:ascii="Times New Roman" w:cs="Times New Roman"/>
                <w:color w:val="000000" w:themeColor="text1"/>
                <w:sz w:val="18"/>
                <w:szCs w:val="18"/>
                <w14:textFill>
                  <w14:solidFill>
                    <w14:schemeClr w14:val="tx1"/>
                  </w14:solidFill>
                </w14:textFill>
              </w:rPr>
              <w:t>项</w:t>
            </w:r>
          </w:p>
        </w:tc>
        <w:tc>
          <w:tcPr>
            <w:tcW w:w="2835" w:type="dxa"/>
            <w:vMerge w:val="continue"/>
            <w:tcBorders>
              <w:top w:val="nil"/>
              <w:left w:val="single" w:color="000000" w:sz="4" w:space="0"/>
              <w:bottom w:val="single" w:color="000000" w:sz="4" w:space="0"/>
              <w:right w:val="single" w:color="000000" w:sz="4" w:space="0"/>
            </w:tcBorders>
            <w:vAlign w:val="center"/>
          </w:tcPr>
          <w:p w14:paraId="7A26F971">
            <w:pPr>
              <w:pStyle w:val="13"/>
              <w:spacing w:before="156"/>
            </w:pPr>
          </w:p>
        </w:tc>
        <w:tc>
          <w:tcPr>
            <w:tcW w:w="1843" w:type="dxa"/>
            <w:vMerge w:val="continue"/>
            <w:tcBorders>
              <w:top w:val="nil"/>
              <w:left w:val="single" w:color="000000" w:sz="4" w:space="0"/>
              <w:bottom w:val="single" w:color="000000" w:sz="4" w:space="0"/>
              <w:right w:val="single" w:color="000000" w:sz="4" w:space="0"/>
            </w:tcBorders>
            <w:vAlign w:val="center"/>
          </w:tcPr>
          <w:p w14:paraId="443C4ED3">
            <w:pPr>
              <w:pStyle w:val="13"/>
              <w:spacing w:before="156"/>
            </w:pPr>
          </w:p>
        </w:tc>
        <w:tc>
          <w:tcPr>
            <w:tcW w:w="1843" w:type="dxa"/>
            <w:vMerge w:val="continue"/>
            <w:tcBorders>
              <w:left w:val="single" w:color="000000" w:sz="4" w:space="0"/>
              <w:bottom w:val="single" w:color="000000" w:sz="4" w:space="0"/>
              <w:right w:val="single" w:color="000000" w:sz="4" w:space="0"/>
            </w:tcBorders>
            <w:vAlign w:val="center"/>
          </w:tcPr>
          <w:p w14:paraId="58A8C859">
            <w:pPr>
              <w:pStyle w:val="13"/>
              <w:spacing w:before="156"/>
            </w:pPr>
          </w:p>
        </w:tc>
      </w:tr>
      <w:tr w14:paraId="07C305F1">
        <w:tblPrEx>
          <w:tblCellMar>
            <w:top w:w="0" w:type="dxa"/>
            <w:left w:w="0" w:type="dxa"/>
            <w:bottom w:w="0" w:type="dxa"/>
            <w:right w:w="0" w:type="dxa"/>
          </w:tblCellMar>
        </w:tblPrEx>
        <w:trPr>
          <w:trHeight w:val="229" w:hRule="atLeast"/>
        </w:trPr>
        <w:tc>
          <w:tcPr>
            <w:tcW w:w="1357" w:type="dxa"/>
            <w:vMerge w:val="restart"/>
            <w:tcBorders>
              <w:top w:val="single" w:color="auto" w:sz="4" w:space="0"/>
              <w:left w:val="single" w:color="000000" w:sz="4" w:space="0"/>
              <w:right w:val="single" w:color="000000" w:sz="4" w:space="0"/>
            </w:tcBorders>
            <w:vAlign w:val="center"/>
          </w:tcPr>
          <w:p w14:paraId="4645C8C5">
            <w:pPr>
              <w:pStyle w:val="13"/>
              <w:spacing w:before="156"/>
            </w:pPr>
            <w:r>
              <w:t>A</w:t>
            </w:r>
          </w:p>
        </w:tc>
        <w:tc>
          <w:tcPr>
            <w:tcW w:w="1349" w:type="dxa"/>
            <w:tcBorders>
              <w:top w:val="single" w:color="000000" w:sz="4" w:space="0"/>
              <w:left w:val="single" w:color="000000" w:sz="4" w:space="0"/>
              <w:bottom w:val="single" w:color="000000" w:sz="4" w:space="0"/>
              <w:right w:val="single" w:color="000000" w:sz="4" w:space="0"/>
            </w:tcBorders>
            <w:vAlign w:val="center"/>
          </w:tcPr>
          <w:p w14:paraId="7E34036E">
            <w:pPr>
              <w:pStyle w:val="239"/>
              <w:kinsoku w:val="0"/>
              <w:overflowPunct w:val="0"/>
              <w:spacing w:before="156"/>
              <w:ind w:left="10"/>
              <w:jc w:val="center"/>
              <w:rPr>
                <w:rFonts w:ascii="Times New Roman" w:cs="Times New Roman"/>
                <w:color w:val="000000" w:themeColor="text1"/>
                <w:sz w:val="18"/>
                <w:szCs w:val="18"/>
                <w14:textFill>
                  <w14:solidFill>
                    <w14:schemeClr w14:val="tx1"/>
                  </w14:solidFill>
                </w14:textFill>
              </w:rPr>
            </w:pPr>
            <w:r>
              <w:rPr>
                <w:rFonts w:ascii="Times New Roman" w:cs="Times New Roman"/>
                <w:color w:val="000000" w:themeColor="text1"/>
                <w:sz w:val="18"/>
                <w:szCs w:val="18"/>
                <w14:textFill>
                  <w14:solidFill>
                    <w14:schemeClr w14:val="tx1"/>
                  </w14:solidFill>
                </w14:textFill>
              </w:rPr>
              <w:t>1</w:t>
            </w:r>
          </w:p>
        </w:tc>
        <w:tc>
          <w:tcPr>
            <w:tcW w:w="2835" w:type="dxa"/>
            <w:tcBorders>
              <w:top w:val="single" w:color="000000" w:sz="4" w:space="0"/>
              <w:left w:val="single" w:color="000000" w:sz="4" w:space="0"/>
              <w:bottom w:val="single" w:color="000000" w:sz="4" w:space="0"/>
              <w:right w:val="single" w:color="000000" w:sz="4" w:space="0"/>
            </w:tcBorders>
            <w:vAlign w:val="center"/>
          </w:tcPr>
          <w:p w14:paraId="2C74994F">
            <w:pPr>
              <w:pStyle w:val="239"/>
              <w:kinsoku w:val="0"/>
              <w:overflowPunct w:val="0"/>
              <w:spacing w:before="156"/>
              <w:ind w:left="10"/>
              <w:jc w:val="center"/>
              <w:rPr>
                <w:rFonts w:ascii="Times New Roman" w:cs="Times New Roman"/>
                <w:color w:val="000000" w:themeColor="text1"/>
                <w:sz w:val="18"/>
                <w:szCs w:val="18"/>
                <w14:textFill>
                  <w14:solidFill>
                    <w14:schemeClr w14:val="tx1"/>
                  </w14:solidFill>
                </w14:textFill>
              </w:rPr>
            </w:pPr>
            <w:r>
              <w:rPr>
                <w:rFonts w:ascii="Times New Roman" w:cs="Times New Roman"/>
                <w:color w:val="000000" w:themeColor="text1"/>
                <w:sz w:val="18"/>
                <w:szCs w:val="18"/>
                <w:lang w:bidi="ar"/>
                <w14:textFill>
                  <w14:solidFill>
                    <w14:schemeClr w14:val="tx1"/>
                  </w14:solidFill>
                </w14:textFill>
              </w:rPr>
              <w:t>播种均匀性变异系数</w:t>
            </w:r>
          </w:p>
        </w:tc>
        <w:tc>
          <w:tcPr>
            <w:tcW w:w="1843" w:type="dxa"/>
            <w:tcBorders>
              <w:top w:val="single" w:color="000000" w:sz="4" w:space="0"/>
              <w:left w:val="single" w:color="000000" w:sz="4" w:space="0"/>
              <w:bottom w:val="single" w:color="000000" w:sz="4" w:space="0"/>
              <w:right w:val="single" w:color="000000" w:sz="4" w:space="0"/>
            </w:tcBorders>
            <w:vAlign w:val="center"/>
          </w:tcPr>
          <w:p w14:paraId="102A3967">
            <w:pPr>
              <w:pStyle w:val="239"/>
              <w:kinsoku w:val="0"/>
              <w:overflowPunct w:val="0"/>
              <w:spacing w:before="156"/>
              <w:ind w:left="10"/>
              <w:jc w:val="center"/>
              <w:rPr>
                <w:rFonts w:ascii="Times New Roman" w:cs="Times New Roman"/>
                <w:color w:val="000000" w:themeColor="text1"/>
                <w:sz w:val="18"/>
                <w:szCs w:val="18"/>
                <w14:textFill>
                  <w14:solidFill>
                    <w14:schemeClr w14:val="tx1"/>
                  </w14:solidFill>
                </w14:textFill>
              </w:rPr>
            </w:pPr>
            <w:r>
              <w:rPr>
                <w:rFonts w:ascii="Times New Roman" w:cs="Times New Roman"/>
                <w:color w:val="000000" w:themeColor="text1"/>
                <w:sz w:val="18"/>
                <w:szCs w:val="18"/>
                <w14:textFill>
                  <w14:solidFill>
                    <w14:schemeClr w14:val="tx1"/>
                  </w14:solidFill>
                </w14:textFill>
              </w:rPr>
              <w:t>表2</w:t>
            </w:r>
          </w:p>
        </w:tc>
        <w:tc>
          <w:tcPr>
            <w:tcW w:w="1843" w:type="dxa"/>
            <w:tcBorders>
              <w:top w:val="single" w:color="000000" w:sz="4" w:space="0"/>
              <w:left w:val="single" w:color="000000" w:sz="4" w:space="0"/>
              <w:bottom w:val="single" w:color="000000" w:sz="4" w:space="0"/>
              <w:right w:val="single" w:color="000000" w:sz="4" w:space="0"/>
            </w:tcBorders>
            <w:vAlign w:val="center"/>
          </w:tcPr>
          <w:p w14:paraId="3EE8E5C1">
            <w:pPr>
              <w:pStyle w:val="239"/>
              <w:kinsoku w:val="0"/>
              <w:overflowPunct w:val="0"/>
              <w:spacing w:before="156"/>
              <w:ind w:left="10"/>
              <w:jc w:val="center"/>
              <w:rPr>
                <w:rFonts w:ascii="Times New Roman" w:cs="Times New Roman"/>
                <w:color w:val="000000" w:themeColor="text1"/>
                <w:sz w:val="18"/>
                <w:szCs w:val="18"/>
                <w14:textFill>
                  <w14:solidFill>
                    <w14:schemeClr w14:val="tx1"/>
                  </w14:solidFill>
                </w14:textFill>
              </w:rPr>
            </w:pPr>
            <w:r>
              <w:rPr>
                <w:rFonts w:ascii="Times New Roman" w:cs="Times New Roman"/>
                <w:color w:val="000000" w:themeColor="text1"/>
                <w:sz w:val="18"/>
                <w:szCs w:val="18"/>
                <w14:textFill>
                  <w14:solidFill>
                    <w14:schemeClr w14:val="tx1"/>
                  </w14:solidFill>
                </w14:textFill>
              </w:rPr>
              <w:t>√</w:t>
            </w:r>
          </w:p>
        </w:tc>
      </w:tr>
      <w:tr w14:paraId="3B7D84F7">
        <w:tblPrEx>
          <w:tblCellMar>
            <w:top w:w="0" w:type="dxa"/>
            <w:left w:w="0" w:type="dxa"/>
            <w:bottom w:w="0" w:type="dxa"/>
            <w:right w:w="0" w:type="dxa"/>
          </w:tblCellMar>
        </w:tblPrEx>
        <w:trPr>
          <w:trHeight w:val="363" w:hRule="atLeast"/>
        </w:trPr>
        <w:tc>
          <w:tcPr>
            <w:tcW w:w="1357" w:type="dxa"/>
            <w:vMerge w:val="continue"/>
            <w:tcBorders>
              <w:top w:val="single" w:color="auto" w:sz="4" w:space="0"/>
              <w:left w:val="single" w:color="000000" w:sz="4" w:space="0"/>
              <w:bottom w:val="single" w:color="auto" w:sz="4" w:space="0"/>
              <w:right w:val="single" w:color="000000" w:sz="4" w:space="0"/>
            </w:tcBorders>
            <w:vAlign w:val="center"/>
          </w:tcPr>
          <w:p w14:paraId="5FC7A672">
            <w:pPr>
              <w:pStyle w:val="13"/>
              <w:spacing w:before="156"/>
            </w:pPr>
          </w:p>
        </w:tc>
        <w:tc>
          <w:tcPr>
            <w:tcW w:w="1349" w:type="dxa"/>
            <w:tcBorders>
              <w:top w:val="single" w:color="000000" w:sz="4" w:space="0"/>
              <w:left w:val="single" w:color="000000" w:sz="4" w:space="0"/>
              <w:bottom w:val="single" w:color="000000" w:sz="4" w:space="0"/>
              <w:right w:val="single" w:color="000000" w:sz="4" w:space="0"/>
            </w:tcBorders>
            <w:vAlign w:val="center"/>
          </w:tcPr>
          <w:p w14:paraId="09495097">
            <w:pPr>
              <w:pStyle w:val="239"/>
              <w:kinsoku w:val="0"/>
              <w:overflowPunct w:val="0"/>
              <w:spacing w:before="156"/>
              <w:ind w:left="10"/>
              <w:jc w:val="center"/>
              <w:rPr>
                <w:rFonts w:ascii="Times New Roman" w:cs="Times New Roman"/>
                <w:color w:val="000000" w:themeColor="text1"/>
                <w:sz w:val="18"/>
                <w:szCs w:val="18"/>
                <w14:textFill>
                  <w14:solidFill>
                    <w14:schemeClr w14:val="tx1"/>
                  </w14:solidFill>
                </w14:textFill>
              </w:rPr>
            </w:pPr>
            <w:r>
              <w:rPr>
                <w:rFonts w:ascii="Times New Roman" w:cs="Times New Roman"/>
                <w:color w:val="000000" w:themeColor="text1"/>
                <w:sz w:val="18"/>
                <w:szCs w:val="18"/>
                <w14:textFill>
                  <w14:solidFill>
                    <w14:schemeClr w14:val="tx1"/>
                  </w14:solidFill>
                </w14:textFill>
              </w:rPr>
              <w:t>2</w:t>
            </w:r>
          </w:p>
        </w:tc>
        <w:tc>
          <w:tcPr>
            <w:tcW w:w="2835" w:type="dxa"/>
            <w:tcBorders>
              <w:top w:val="single" w:color="000000" w:sz="4" w:space="0"/>
              <w:left w:val="single" w:color="000000" w:sz="4" w:space="0"/>
              <w:bottom w:val="single" w:color="000000" w:sz="4" w:space="0"/>
              <w:right w:val="single" w:color="000000" w:sz="4" w:space="0"/>
            </w:tcBorders>
            <w:vAlign w:val="center"/>
          </w:tcPr>
          <w:p w14:paraId="5CA556EB">
            <w:pPr>
              <w:pStyle w:val="239"/>
              <w:kinsoku w:val="0"/>
              <w:overflowPunct w:val="0"/>
              <w:spacing w:before="156"/>
              <w:ind w:left="10"/>
              <w:jc w:val="center"/>
              <w:rPr>
                <w:rFonts w:ascii="Times New Roman" w:cs="Times New Roman"/>
                <w:color w:val="000000" w:themeColor="text1"/>
                <w:sz w:val="18"/>
                <w:szCs w:val="18"/>
                <w:lang w:bidi="ar"/>
                <w14:textFill>
                  <w14:solidFill>
                    <w14:schemeClr w14:val="tx1"/>
                  </w14:solidFill>
                </w14:textFill>
              </w:rPr>
            </w:pPr>
            <w:r>
              <w:rPr>
                <w:rFonts w:ascii="Times New Roman" w:cs="Times New Roman"/>
                <w:color w:val="000000" w:themeColor="text1"/>
                <w:sz w:val="18"/>
                <w:szCs w:val="18"/>
                <w:lang w:bidi="ar"/>
                <w14:textFill>
                  <w14:solidFill>
                    <w14:schemeClr w14:val="tx1"/>
                  </w14:solidFill>
                </w14:textFill>
              </w:rPr>
              <w:t>种子破损率</w:t>
            </w:r>
          </w:p>
        </w:tc>
        <w:tc>
          <w:tcPr>
            <w:tcW w:w="1843" w:type="dxa"/>
            <w:tcBorders>
              <w:top w:val="single" w:color="000000" w:sz="4" w:space="0"/>
              <w:left w:val="single" w:color="000000" w:sz="4" w:space="0"/>
              <w:bottom w:val="single" w:color="000000" w:sz="4" w:space="0"/>
              <w:right w:val="single" w:color="000000" w:sz="4" w:space="0"/>
            </w:tcBorders>
            <w:vAlign w:val="center"/>
          </w:tcPr>
          <w:p w14:paraId="4E0459B3">
            <w:pPr>
              <w:pStyle w:val="239"/>
              <w:kinsoku w:val="0"/>
              <w:overflowPunct w:val="0"/>
              <w:spacing w:before="156"/>
              <w:ind w:left="10"/>
              <w:jc w:val="center"/>
              <w:rPr>
                <w:rFonts w:ascii="Times New Roman" w:cs="Times New Roman"/>
                <w:color w:val="000000" w:themeColor="text1"/>
                <w:sz w:val="18"/>
                <w:szCs w:val="18"/>
                <w14:textFill>
                  <w14:solidFill>
                    <w14:schemeClr w14:val="tx1"/>
                  </w14:solidFill>
                </w14:textFill>
              </w:rPr>
            </w:pPr>
            <w:r>
              <w:rPr>
                <w:rFonts w:ascii="Times New Roman" w:cs="Times New Roman"/>
                <w:color w:val="000000" w:themeColor="text1"/>
                <w:sz w:val="18"/>
                <w:szCs w:val="18"/>
                <w14:textFill>
                  <w14:solidFill>
                    <w14:schemeClr w14:val="tx1"/>
                  </w14:solidFill>
                </w14:textFill>
              </w:rPr>
              <w:t>表2</w:t>
            </w:r>
          </w:p>
        </w:tc>
        <w:tc>
          <w:tcPr>
            <w:tcW w:w="1843" w:type="dxa"/>
            <w:tcBorders>
              <w:top w:val="single" w:color="000000" w:sz="4" w:space="0"/>
              <w:left w:val="single" w:color="000000" w:sz="4" w:space="0"/>
              <w:bottom w:val="single" w:color="000000" w:sz="4" w:space="0"/>
              <w:right w:val="single" w:color="000000" w:sz="4" w:space="0"/>
            </w:tcBorders>
            <w:vAlign w:val="center"/>
          </w:tcPr>
          <w:p w14:paraId="17F20A30">
            <w:pPr>
              <w:pStyle w:val="239"/>
              <w:kinsoku w:val="0"/>
              <w:overflowPunct w:val="0"/>
              <w:spacing w:before="156"/>
              <w:ind w:left="10"/>
              <w:jc w:val="center"/>
              <w:rPr>
                <w:rFonts w:ascii="Times New Roman" w:cs="Times New Roman"/>
                <w:color w:val="000000" w:themeColor="text1"/>
                <w:sz w:val="18"/>
                <w:szCs w:val="18"/>
                <w14:textFill>
                  <w14:solidFill>
                    <w14:schemeClr w14:val="tx1"/>
                  </w14:solidFill>
                </w14:textFill>
              </w:rPr>
            </w:pPr>
            <w:r>
              <w:rPr>
                <w:rFonts w:ascii="Times New Roman" w:cs="Times New Roman"/>
                <w:color w:val="000000" w:themeColor="text1"/>
                <w:sz w:val="18"/>
                <w:szCs w:val="18"/>
                <w14:textFill>
                  <w14:solidFill>
                    <w14:schemeClr w14:val="tx1"/>
                  </w14:solidFill>
                </w14:textFill>
              </w:rPr>
              <w:t>√</w:t>
            </w:r>
          </w:p>
        </w:tc>
      </w:tr>
      <w:tr w14:paraId="0829D116">
        <w:tblPrEx>
          <w:tblCellMar>
            <w:top w:w="0" w:type="dxa"/>
            <w:left w:w="0" w:type="dxa"/>
            <w:bottom w:w="0" w:type="dxa"/>
            <w:right w:w="0" w:type="dxa"/>
          </w:tblCellMar>
        </w:tblPrEx>
        <w:trPr>
          <w:trHeight w:val="363" w:hRule="atLeast"/>
        </w:trPr>
        <w:tc>
          <w:tcPr>
            <w:tcW w:w="1357" w:type="dxa"/>
            <w:vMerge w:val="restart"/>
            <w:tcBorders>
              <w:top w:val="single" w:color="auto" w:sz="4" w:space="0"/>
              <w:left w:val="single" w:color="000000" w:sz="4" w:space="0"/>
              <w:right w:val="single" w:color="000000" w:sz="4" w:space="0"/>
            </w:tcBorders>
            <w:vAlign w:val="center"/>
          </w:tcPr>
          <w:p w14:paraId="5962D40A">
            <w:pPr>
              <w:pStyle w:val="13"/>
              <w:spacing w:before="156"/>
            </w:pPr>
            <w:r>
              <w:t>B</w:t>
            </w:r>
          </w:p>
        </w:tc>
        <w:tc>
          <w:tcPr>
            <w:tcW w:w="1349" w:type="dxa"/>
            <w:tcBorders>
              <w:top w:val="single" w:color="000000" w:sz="4" w:space="0"/>
              <w:left w:val="single" w:color="000000" w:sz="4" w:space="0"/>
              <w:bottom w:val="single" w:color="000000" w:sz="4" w:space="0"/>
              <w:right w:val="single" w:color="000000" w:sz="4" w:space="0"/>
            </w:tcBorders>
            <w:vAlign w:val="center"/>
          </w:tcPr>
          <w:p w14:paraId="3F6D7B72">
            <w:pPr>
              <w:pStyle w:val="239"/>
              <w:kinsoku w:val="0"/>
              <w:overflowPunct w:val="0"/>
              <w:spacing w:before="156"/>
              <w:ind w:left="10"/>
              <w:jc w:val="center"/>
              <w:rPr>
                <w:rFonts w:ascii="Times New Roman" w:cs="Times New Roman"/>
                <w:color w:val="000000" w:themeColor="text1"/>
                <w:sz w:val="18"/>
                <w:szCs w:val="18"/>
                <w14:textFill>
                  <w14:solidFill>
                    <w14:schemeClr w14:val="tx1"/>
                  </w14:solidFill>
                </w14:textFill>
              </w:rPr>
            </w:pPr>
            <w:r>
              <w:rPr>
                <w:rFonts w:ascii="Times New Roman" w:cs="Times New Roman"/>
                <w:color w:val="000000" w:themeColor="text1"/>
                <w:sz w:val="18"/>
                <w:szCs w:val="18"/>
                <w14:textFill>
                  <w14:solidFill>
                    <w14:schemeClr w14:val="tx1"/>
                  </w14:solidFill>
                </w14:textFill>
              </w:rPr>
              <w:t>1</w:t>
            </w:r>
          </w:p>
        </w:tc>
        <w:tc>
          <w:tcPr>
            <w:tcW w:w="2835" w:type="dxa"/>
            <w:tcBorders>
              <w:top w:val="single" w:color="000000" w:sz="4" w:space="0"/>
              <w:left w:val="single" w:color="000000" w:sz="4" w:space="0"/>
              <w:bottom w:val="single" w:color="000000" w:sz="4" w:space="0"/>
              <w:right w:val="single" w:color="000000" w:sz="4" w:space="0"/>
            </w:tcBorders>
            <w:vAlign w:val="center"/>
          </w:tcPr>
          <w:p w14:paraId="662588E6">
            <w:pPr>
              <w:pStyle w:val="239"/>
              <w:kinsoku w:val="0"/>
              <w:overflowPunct w:val="0"/>
              <w:spacing w:before="156"/>
              <w:ind w:left="10"/>
              <w:jc w:val="center"/>
              <w:rPr>
                <w:rFonts w:ascii="Times New Roman" w:cs="Times New Roman"/>
                <w:color w:val="000000" w:themeColor="text1"/>
                <w:sz w:val="18"/>
                <w:szCs w:val="18"/>
                <w14:textFill>
                  <w14:solidFill>
                    <w14:schemeClr w14:val="tx1"/>
                  </w14:solidFill>
                </w14:textFill>
              </w:rPr>
            </w:pPr>
            <w:r>
              <w:rPr>
                <w:rFonts w:ascii="Times New Roman" w:cs="Times New Roman"/>
                <w:color w:val="000000" w:themeColor="text1"/>
                <w:sz w:val="18"/>
                <w:szCs w:val="18"/>
                <w14:textFill>
                  <w14:solidFill>
                    <w14:schemeClr w14:val="tx1"/>
                  </w14:solidFill>
                </w14:textFill>
              </w:rPr>
              <w:t>空穴率</w:t>
            </w:r>
          </w:p>
        </w:tc>
        <w:tc>
          <w:tcPr>
            <w:tcW w:w="1843" w:type="dxa"/>
            <w:tcBorders>
              <w:top w:val="single" w:color="000000" w:sz="4" w:space="0"/>
              <w:left w:val="single" w:color="000000" w:sz="4" w:space="0"/>
              <w:bottom w:val="single" w:color="000000" w:sz="4" w:space="0"/>
              <w:right w:val="single" w:color="000000" w:sz="4" w:space="0"/>
            </w:tcBorders>
            <w:vAlign w:val="center"/>
          </w:tcPr>
          <w:p w14:paraId="4901BA25">
            <w:pPr>
              <w:pStyle w:val="239"/>
              <w:kinsoku w:val="0"/>
              <w:overflowPunct w:val="0"/>
              <w:spacing w:before="156"/>
              <w:ind w:left="10"/>
              <w:jc w:val="center"/>
              <w:rPr>
                <w:rFonts w:ascii="Times New Roman" w:cs="Times New Roman"/>
                <w:color w:val="000000" w:themeColor="text1"/>
                <w:sz w:val="18"/>
                <w:szCs w:val="18"/>
                <w14:textFill>
                  <w14:solidFill>
                    <w14:schemeClr w14:val="tx1"/>
                  </w14:solidFill>
                </w14:textFill>
              </w:rPr>
            </w:pPr>
            <w:r>
              <w:rPr>
                <w:rFonts w:ascii="Times New Roman" w:cs="Times New Roman"/>
                <w:color w:val="000000" w:themeColor="text1"/>
                <w:sz w:val="18"/>
                <w:szCs w:val="18"/>
                <w14:textFill>
                  <w14:solidFill>
                    <w14:schemeClr w14:val="tx1"/>
                  </w14:solidFill>
                </w14:textFill>
              </w:rPr>
              <w:t>表2</w:t>
            </w:r>
          </w:p>
        </w:tc>
        <w:tc>
          <w:tcPr>
            <w:tcW w:w="1843" w:type="dxa"/>
            <w:tcBorders>
              <w:top w:val="single" w:color="000000" w:sz="4" w:space="0"/>
              <w:left w:val="single" w:color="000000" w:sz="4" w:space="0"/>
              <w:bottom w:val="single" w:color="000000" w:sz="4" w:space="0"/>
              <w:right w:val="single" w:color="000000" w:sz="4" w:space="0"/>
            </w:tcBorders>
            <w:vAlign w:val="center"/>
          </w:tcPr>
          <w:p w14:paraId="624EE811">
            <w:pPr>
              <w:pStyle w:val="239"/>
              <w:kinsoku w:val="0"/>
              <w:overflowPunct w:val="0"/>
              <w:spacing w:before="156"/>
              <w:ind w:left="10"/>
              <w:jc w:val="center"/>
              <w:rPr>
                <w:rFonts w:ascii="Times New Roman" w:cs="Times New Roman"/>
                <w:color w:val="000000" w:themeColor="text1"/>
                <w:sz w:val="18"/>
                <w:szCs w:val="18"/>
                <w14:textFill>
                  <w14:solidFill>
                    <w14:schemeClr w14:val="tx1"/>
                  </w14:solidFill>
                </w14:textFill>
              </w:rPr>
            </w:pPr>
            <w:r>
              <w:rPr>
                <w:rFonts w:ascii="Times New Roman" w:cs="Times New Roman"/>
                <w:color w:val="000000" w:themeColor="text1"/>
                <w:sz w:val="18"/>
                <w:szCs w:val="18"/>
                <w14:textFill>
                  <w14:solidFill>
                    <w14:schemeClr w14:val="tx1"/>
                  </w14:solidFill>
                </w14:textFill>
              </w:rPr>
              <w:t>√</w:t>
            </w:r>
          </w:p>
        </w:tc>
      </w:tr>
      <w:tr w14:paraId="6F4B8EEB">
        <w:tblPrEx>
          <w:tblCellMar>
            <w:top w:w="0" w:type="dxa"/>
            <w:left w:w="0" w:type="dxa"/>
            <w:bottom w:w="0" w:type="dxa"/>
            <w:right w:w="0" w:type="dxa"/>
          </w:tblCellMar>
        </w:tblPrEx>
        <w:trPr>
          <w:trHeight w:val="363" w:hRule="atLeast"/>
        </w:trPr>
        <w:tc>
          <w:tcPr>
            <w:tcW w:w="1357" w:type="dxa"/>
            <w:vMerge w:val="continue"/>
            <w:tcBorders>
              <w:left w:val="single" w:color="000000" w:sz="4" w:space="0"/>
              <w:right w:val="single" w:color="000000" w:sz="4" w:space="0"/>
            </w:tcBorders>
            <w:vAlign w:val="center"/>
          </w:tcPr>
          <w:p w14:paraId="4746E49A">
            <w:pPr>
              <w:pStyle w:val="13"/>
              <w:spacing w:before="156"/>
            </w:pPr>
          </w:p>
        </w:tc>
        <w:tc>
          <w:tcPr>
            <w:tcW w:w="1349" w:type="dxa"/>
            <w:tcBorders>
              <w:top w:val="single" w:color="000000" w:sz="4" w:space="0"/>
              <w:left w:val="single" w:color="000000" w:sz="4" w:space="0"/>
              <w:bottom w:val="single" w:color="000000" w:sz="4" w:space="0"/>
              <w:right w:val="single" w:color="000000" w:sz="4" w:space="0"/>
            </w:tcBorders>
            <w:vAlign w:val="center"/>
          </w:tcPr>
          <w:p w14:paraId="05BCB6D9">
            <w:pPr>
              <w:pStyle w:val="239"/>
              <w:kinsoku w:val="0"/>
              <w:overflowPunct w:val="0"/>
              <w:spacing w:before="156"/>
              <w:ind w:left="10"/>
              <w:jc w:val="center"/>
              <w:rPr>
                <w:rFonts w:ascii="Times New Roman" w:cs="Times New Roman"/>
                <w:color w:val="000000" w:themeColor="text1"/>
                <w:sz w:val="18"/>
                <w:szCs w:val="18"/>
                <w14:textFill>
                  <w14:solidFill>
                    <w14:schemeClr w14:val="tx1"/>
                  </w14:solidFill>
                </w14:textFill>
              </w:rPr>
            </w:pPr>
            <w:r>
              <w:rPr>
                <w:rFonts w:ascii="Times New Roman" w:cs="Times New Roman"/>
                <w:color w:val="000000" w:themeColor="text1"/>
                <w:sz w:val="18"/>
                <w:szCs w:val="18"/>
                <w14:textFill>
                  <w14:solidFill>
                    <w14:schemeClr w14:val="tx1"/>
                  </w14:solidFill>
                </w14:textFill>
              </w:rPr>
              <w:t>2</w:t>
            </w:r>
          </w:p>
        </w:tc>
        <w:tc>
          <w:tcPr>
            <w:tcW w:w="2835" w:type="dxa"/>
            <w:tcBorders>
              <w:top w:val="single" w:color="000000" w:sz="4" w:space="0"/>
              <w:left w:val="single" w:color="000000" w:sz="4" w:space="0"/>
              <w:bottom w:val="single" w:color="000000" w:sz="4" w:space="0"/>
              <w:right w:val="single" w:color="000000" w:sz="4" w:space="0"/>
            </w:tcBorders>
            <w:vAlign w:val="center"/>
          </w:tcPr>
          <w:p w14:paraId="33BF6093">
            <w:pPr>
              <w:pStyle w:val="239"/>
              <w:kinsoku w:val="0"/>
              <w:overflowPunct w:val="0"/>
              <w:spacing w:before="156"/>
              <w:ind w:left="10"/>
              <w:jc w:val="center"/>
              <w:rPr>
                <w:rFonts w:ascii="Times New Roman" w:cs="Times New Roman"/>
                <w:color w:val="000000" w:themeColor="text1"/>
                <w:sz w:val="18"/>
                <w:szCs w:val="18"/>
                <w14:textFill>
                  <w14:solidFill>
                    <w14:schemeClr w14:val="tx1"/>
                  </w14:solidFill>
                </w14:textFill>
              </w:rPr>
            </w:pPr>
            <w:r>
              <w:rPr>
                <w:rFonts w:ascii="Times New Roman" w:cs="Times New Roman"/>
                <w:color w:val="000000" w:themeColor="text1"/>
                <w:sz w:val="18"/>
                <w:szCs w:val="18"/>
                <w14:textFill>
                  <w14:solidFill>
                    <w14:schemeClr w14:val="tx1"/>
                  </w14:solidFill>
                </w14:textFill>
              </w:rPr>
              <w:t>穴距合格指数</w:t>
            </w:r>
          </w:p>
        </w:tc>
        <w:tc>
          <w:tcPr>
            <w:tcW w:w="1843" w:type="dxa"/>
            <w:tcBorders>
              <w:top w:val="single" w:color="000000" w:sz="4" w:space="0"/>
              <w:left w:val="single" w:color="000000" w:sz="4" w:space="0"/>
              <w:bottom w:val="single" w:color="000000" w:sz="4" w:space="0"/>
              <w:right w:val="single" w:color="000000" w:sz="4" w:space="0"/>
            </w:tcBorders>
            <w:vAlign w:val="center"/>
          </w:tcPr>
          <w:p w14:paraId="4FE8B4A7">
            <w:pPr>
              <w:pStyle w:val="239"/>
              <w:kinsoku w:val="0"/>
              <w:overflowPunct w:val="0"/>
              <w:spacing w:before="156"/>
              <w:ind w:left="10"/>
              <w:jc w:val="center"/>
              <w:rPr>
                <w:rFonts w:ascii="Times New Roman" w:cs="Times New Roman"/>
                <w:color w:val="000000" w:themeColor="text1"/>
                <w:sz w:val="18"/>
                <w:szCs w:val="18"/>
                <w14:textFill>
                  <w14:solidFill>
                    <w14:schemeClr w14:val="tx1"/>
                  </w14:solidFill>
                </w14:textFill>
              </w:rPr>
            </w:pPr>
            <w:r>
              <w:rPr>
                <w:rFonts w:ascii="Times New Roman" w:cs="Times New Roman"/>
                <w:color w:val="000000" w:themeColor="text1"/>
                <w:sz w:val="18"/>
                <w:szCs w:val="18"/>
                <w14:textFill>
                  <w14:solidFill>
                    <w14:schemeClr w14:val="tx1"/>
                  </w14:solidFill>
                </w14:textFill>
              </w:rPr>
              <w:t>表2</w:t>
            </w:r>
          </w:p>
        </w:tc>
        <w:tc>
          <w:tcPr>
            <w:tcW w:w="1843" w:type="dxa"/>
            <w:tcBorders>
              <w:top w:val="single" w:color="000000" w:sz="4" w:space="0"/>
              <w:left w:val="single" w:color="000000" w:sz="4" w:space="0"/>
              <w:bottom w:val="single" w:color="000000" w:sz="4" w:space="0"/>
              <w:right w:val="single" w:color="000000" w:sz="4" w:space="0"/>
            </w:tcBorders>
            <w:vAlign w:val="center"/>
          </w:tcPr>
          <w:p w14:paraId="2D674EEC">
            <w:pPr>
              <w:pStyle w:val="239"/>
              <w:kinsoku w:val="0"/>
              <w:overflowPunct w:val="0"/>
              <w:spacing w:before="156"/>
              <w:ind w:left="10"/>
              <w:jc w:val="center"/>
              <w:rPr>
                <w:rFonts w:ascii="Times New Roman" w:cs="Times New Roman"/>
                <w:color w:val="000000" w:themeColor="text1"/>
                <w:sz w:val="18"/>
                <w:szCs w:val="18"/>
                <w14:textFill>
                  <w14:solidFill>
                    <w14:schemeClr w14:val="tx1"/>
                  </w14:solidFill>
                </w14:textFill>
              </w:rPr>
            </w:pPr>
            <w:r>
              <w:rPr>
                <w:rFonts w:ascii="Times New Roman" w:cs="Times New Roman"/>
                <w:color w:val="000000" w:themeColor="text1"/>
                <w:sz w:val="18"/>
                <w:szCs w:val="18"/>
                <w14:textFill>
                  <w14:solidFill>
                    <w14:schemeClr w14:val="tx1"/>
                  </w14:solidFill>
                </w14:textFill>
              </w:rPr>
              <w:t>√</w:t>
            </w:r>
          </w:p>
        </w:tc>
      </w:tr>
      <w:tr w14:paraId="460FCE62">
        <w:tblPrEx>
          <w:tblCellMar>
            <w:top w:w="0" w:type="dxa"/>
            <w:left w:w="0" w:type="dxa"/>
            <w:bottom w:w="0" w:type="dxa"/>
            <w:right w:w="0" w:type="dxa"/>
          </w:tblCellMar>
        </w:tblPrEx>
        <w:trPr>
          <w:trHeight w:val="363" w:hRule="atLeast"/>
        </w:trPr>
        <w:tc>
          <w:tcPr>
            <w:tcW w:w="1357" w:type="dxa"/>
            <w:vMerge w:val="continue"/>
            <w:tcBorders>
              <w:left w:val="single" w:color="000000" w:sz="4" w:space="0"/>
              <w:right w:val="single" w:color="000000" w:sz="4" w:space="0"/>
            </w:tcBorders>
            <w:vAlign w:val="center"/>
          </w:tcPr>
          <w:p w14:paraId="40B6CFBF">
            <w:pPr>
              <w:pStyle w:val="13"/>
              <w:spacing w:before="156"/>
            </w:pPr>
          </w:p>
        </w:tc>
        <w:tc>
          <w:tcPr>
            <w:tcW w:w="1349" w:type="dxa"/>
            <w:tcBorders>
              <w:top w:val="single" w:color="000000" w:sz="4" w:space="0"/>
              <w:left w:val="single" w:color="000000" w:sz="4" w:space="0"/>
              <w:bottom w:val="single" w:color="000000" w:sz="4" w:space="0"/>
              <w:right w:val="single" w:color="000000" w:sz="4" w:space="0"/>
            </w:tcBorders>
            <w:vAlign w:val="center"/>
          </w:tcPr>
          <w:p w14:paraId="404CAE53">
            <w:pPr>
              <w:pStyle w:val="239"/>
              <w:kinsoku w:val="0"/>
              <w:overflowPunct w:val="0"/>
              <w:spacing w:before="156"/>
              <w:ind w:left="10"/>
              <w:jc w:val="center"/>
              <w:rPr>
                <w:rFonts w:ascii="Times New Roman" w:cs="Times New Roman"/>
                <w:color w:val="000000" w:themeColor="text1"/>
                <w:sz w:val="18"/>
                <w:szCs w:val="18"/>
                <w14:textFill>
                  <w14:solidFill>
                    <w14:schemeClr w14:val="tx1"/>
                  </w14:solidFill>
                </w14:textFill>
              </w:rPr>
            </w:pPr>
            <w:r>
              <w:rPr>
                <w:rFonts w:ascii="Times New Roman" w:cs="Times New Roman"/>
                <w:color w:val="000000" w:themeColor="text1"/>
                <w:sz w:val="18"/>
                <w:szCs w:val="18"/>
                <w14:textFill>
                  <w14:solidFill>
                    <w14:schemeClr w14:val="tx1"/>
                  </w14:solidFill>
                </w14:textFill>
              </w:rPr>
              <w:t>3</w:t>
            </w:r>
          </w:p>
        </w:tc>
        <w:tc>
          <w:tcPr>
            <w:tcW w:w="2835" w:type="dxa"/>
            <w:tcBorders>
              <w:top w:val="single" w:color="000000" w:sz="4" w:space="0"/>
              <w:left w:val="single" w:color="000000" w:sz="4" w:space="0"/>
              <w:bottom w:val="single" w:color="000000" w:sz="4" w:space="0"/>
              <w:right w:val="single" w:color="000000" w:sz="4" w:space="0"/>
            </w:tcBorders>
            <w:vAlign w:val="center"/>
          </w:tcPr>
          <w:p w14:paraId="58C87B1F">
            <w:pPr>
              <w:pStyle w:val="239"/>
              <w:kinsoku w:val="0"/>
              <w:overflowPunct w:val="0"/>
              <w:spacing w:before="156"/>
              <w:ind w:left="10"/>
              <w:jc w:val="center"/>
              <w:rPr>
                <w:rFonts w:ascii="Times New Roman" w:cs="Times New Roman"/>
                <w:color w:val="000000" w:themeColor="text1"/>
                <w:sz w:val="18"/>
                <w:szCs w:val="18"/>
                <w14:textFill>
                  <w14:solidFill>
                    <w14:schemeClr w14:val="tx1"/>
                  </w14:solidFill>
                </w14:textFill>
              </w:rPr>
            </w:pPr>
            <w:r>
              <w:rPr>
                <w:rFonts w:ascii="Times New Roman" w:cs="Times New Roman"/>
                <w:color w:val="000000" w:themeColor="text1"/>
                <w:sz w:val="18"/>
                <w:szCs w:val="18"/>
                <w14:textFill>
                  <w14:solidFill>
                    <w14:schemeClr w14:val="tx1"/>
                  </w14:solidFill>
                </w14:textFill>
              </w:rPr>
              <w:t>穴粒数合格率</w:t>
            </w:r>
          </w:p>
        </w:tc>
        <w:tc>
          <w:tcPr>
            <w:tcW w:w="1843" w:type="dxa"/>
            <w:tcBorders>
              <w:top w:val="single" w:color="000000" w:sz="4" w:space="0"/>
              <w:left w:val="single" w:color="000000" w:sz="4" w:space="0"/>
              <w:bottom w:val="single" w:color="000000" w:sz="4" w:space="0"/>
              <w:right w:val="single" w:color="000000" w:sz="4" w:space="0"/>
            </w:tcBorders>
            <w:vAlign w:val="center"/>
          </w:tcPr>
          <w:p w14:paraId="1E282D5B">
            <w:pPr>
              <w:pStyle w:val="239"/>
              <w:kinsoku w:val="0"/>
              <w:overflowPunct w:val="0"/>
              <w:spacing w:before="156"/>
              <w:ind w:left="10"/>
              <w:jc w:val="center"/>
              <w:rPr>
                <w:rFonts w:ascii="Times New Roman" w:cs="Times New Roman"/>
                <w:color w:val="000000" w:themeColor="text1"/>
                <w:sz w:val="18"/>
                <w:szCs w:val="18"/>
                <w14:textFill>
                  <w14:solidFill>
                    <w14:schemeClr w14:val="tx1"/>
                  </w14:solidFill>
                </w14:textFill>
              </w:rPr>
            </w:pPr>
            <w:r>
              <w:rPr>
                <w:rFonts w:ascii="Times New Roman" w:cs="Times New Roman"/>
                <w:color w:val="000000" w:themeColor="text1"/>
                <w:sz w:val="18"/>
                <w:szCs w:val="18"/>
                <w14:textFill>
                  <w14:solidFill>
                    <w14:schemeClr w14:val="tx1"/>
                  </w14:solidFill>
                </w14:textFill>
              </w:rPr>
              <w:t>表2</w:t>
            </w:r>
          </w:p>
        </w:tc>
        <w:tc>
          <w:tcPr>
            <w:tcW w:w="1843" w:type="dxa"/>
            <w:tcBorders>
              <w:top w:val="single" w:color="000000" w:sz="4" w:space="0"/>
              <w:left w:val="single" w:color="000000" w:sz="4" w:space="0"/>
              <w:bottom w:val="single" w:color="000000" w:sz="4" w:space="0"/>
              <w:right w:val="single" w:color="000000" w:sz="4" w:space="0"/>
            </w:tcBorders>
            <w:vAlign w:val="center"/>
          </w:tcPr>
          <w:p w14:paraId="0660AE6A">
            <w:pPr>
              <w:pStyle w:val="239"/>
              <w:kinsoku w:val="0"/>
              <w:overflowPunct w:val="0"/>
              <w:spacing w:before="156"/>
              <w:ind w:left="10"/>
              <w:jc w:val="center"/>
              <w:rPr>
                <w:rFonts w:ascii="Times New Roman" w:cs="Times New Roman"/>
                <w:color w:val="000000" w:themeColor="text1"/>
                <w:sz w:val="18"/>
                <w:szCs w:val="18"/>
                <w14:textFill>
                  <w14:solidFill>
                    <w14:schemeClr w14:val="tx1"/>
                  </w14:solidFill>
                </w14:textFill>
              </w:rPr>
            </w:pPr>
            <w:r>
              <w:rPr>
                <w:rFonts w:ascii="Times New Roman" w:cs="Times New Roman"/>
                <w:color w:val="000000" w:themeColor="text1"/>
                <w:sz w:val="18"/>
                <w:szCs w:val="18"/>
                <w14:textFill>
                  <w14:solidFill>
                    <w14:schemeClr w14:val="tx1"/>
                  </w14:solidFill>
                </w14:textFill>
              </w:rPr>
              <w:t>√</w:t>
            </w:r>
          </w:p>
        </w:tc>
      </w:tr>
      <w:tr w14:paraId="059EB8CD">
        <w:tblPrEx>
          <w:tblCellMar>
            <w:top w:w="0" w:type="dxa"/>
            <w:left w:w="0" w:type="dxa"/>
            <w:bottom w:w="0" w:type="dxa"/>
            <w:right w:w="0" w:type="dxa"/>
          </w:tblCellMar>
        </w:tblPrEx>
        <w:trPr>
          <w:trHeight w:val="363" w:hRule="atLeast"/>
        </w:trPr>
        <w:tc>
          <w:tcPr>
            <w:tcW w:w="1357" w:type="dxa"/>
            <w:vMerge w:val="continue"/>
            <w:tcBorders>
              <w:left w:val="single" w:color="000000" w:sz="4" w:space="0"/>
              <w:right w:val="single" w:color="000000" w:sz="4" w:space="0"/>
            </w:tcBorders>
            <w:vAlign w:val="center"/>
          </w:tcPr>
          <w:p w14:paraId="676D5014">
            <w:pPr>
              <w:pStyle w:val="13"/>
              <w:spacing w:before="156"/>
            </w:pPr>
          </w:p>
        </w:tc>
        <w:tc>
          <w:tcPr>
            <w:tcW w:w="1349" w:type="dxa"/>
            <w:tcBorders>
              <w:top w:val="single" w:color="000000" w:sz="4" w:space="0"/>
              <w:left w:val="single" w:color="000000" w:sz="4" w:space="0"/>
              <w:bottom w:val="single" w:color="000000" w:sz="4" w:space="0"/>
              <w:right w:val="single" w:color="000000" w:sz="4" w:space="0"/>
            </w:tcBorders>
            <w:vAlign w:val="center"/>
          </w:tcPr>
          <w:p w14:paraId="67A5FE3B">
            <w:pPr>
              <w:pStyle w:val="239"/>
              <w:kinsoku w:val="0"/>
              <w:overflowPunct w:val="0"/>
              <w:spacing w:before="156"/>
              <w:ind w:left="10"/>
              <w:jc w:val="center"/>
              <w:rPr>
                <w:rFonts w:ascii="Times New Roman" w:cs="Times New Roman"/>
                <w:color w:val="000000" w:themeColor="text1"/>
                <w:sz w:val="18"/>
                <w:szCs w:val="18"/>
                <w14:textFill>
                  <w14:solidFill>
                    <w14:schemeClr w14:val="tx1"/>
                  </w14:solidFill>
                </w14:textFill>
              </w:rPr>
            </w:pPr>
            <w:r>
              <w:rPr>
                <w:rFonts w:ascii="Times New Roman" w:cs="Times New Roman"/>
                <w:color w:val="000000" w:themeColor="text1"/>
                <w:sz w:val="18"/>
                <w:szCs w:val="18"/>
                <w14:textFill>
                  <w14:solidFill>
                    <w14:schemeClr w14:val="tx1"/>
                  </w14:solidFill>
                </w14:textFill>
              </w:rPr>
              <w:t>4</w:t>
            </w:r>
          </w:p>
        </w:tc>
        <w:tc>
          <w:tcPr>
            <w:tcW w:w="2835" w:type="dxa"/>
            <w:tcBorders>
              <w:top w:val="single" w:color="000000" w:sz="4" w:space="0"/>
              <w:left w:val="single" w:color="000000" w:sz="4" w:space="0"/>
              <w:bottom w:val="single" w:color="000000" w:sz="4" w:space="0"/>
              <w:right w:val="single" w:color="000000" w:sz="4" w:space="0"/>
            </w:tcBorders>
            <w:vAlign w:val="center"/>
          </w:tcPr>
          <w:p w14:paraId="66171E02">
            <w:pPr>
              <w:pStyle w:val="239"/>
              <w:kinsoku w:val="0"/>
              <w:overflowPunct w:val="0"/>
              <w:spacing w:before="156"/>
              <w:ind w:left="10"/>
              <w:jc w:val="center"/>
              <w:rPr>
                <w:rFonts w:ascii="Times New Roman" w:cs="Times New Roman"/>
                <w:color w:val="000000" w:themeColor="text1"/>
                <w:sz w:val="18"/>
                <w:szCs w:val="18"/>
                <w14:textFill>
                  <w14:solidFill>
                    <w14:schemeClr w14:val="tx1"/>
                  </w14:solidFill>
                </w14:textFill>
              </w:rPr>
            </w:pPr>
            <w:r>
              <w:rPr>
                <w:rFonts w:ascii="Times New Roman" w:cs="Times New Roman"/>
                <w:color w:val="000000" w:themeColor="text1"/>
                <w:sz w:val="18"/>
                <w:szCs w:val="18"/>
                <w14:textFill>
                  <w14:solidFill>
                    <w14:schemeClr w14:val="tx1"/>
                  </w14:solidFill>
                </w14:textFill>
              </w:rPr>
              <w:t>播深合格率</w:t>
            </w:r>
          </w:p>
        </w:tc>
        <w:tc>
          <w:tcPr>
            <w:tcW w:w="1843" w:type="dxa"/>
            <w:tcBorders>
              <w:top w:val="single" w:color="000000" w:sz="4" w:space="0"/>
              <w:left w:val="single" w:color="000000" w:sz="4" w:space="0"/>
              <w:bottom w:val="single" w:color="000000" w:sz="4" w:space="0"/>
              <w:right w:val="single" w:color="000000" w:sz="4" w:space="0"/>
            </w:tcBorders>
            <w:vAlign w:val="center"/>
          </w:tcPr>
          <w:p w14:paraId="1FE7273E">
            <w:pPr>
              <w:pStyle w:val="239"/>
              <w:kinsoku w:val="0"/>
              <w:overflowPunct w:val="0"/>
              <w:spacing w:before="156"/>
              <w:ind w:left="10"/>
              <w:jc w:val="center"/>
              <w:rPr>
                <w:rFonts w:ascii="Times New Roman" w:cs="Times New Roman"/>
                <w:color w:val="000000" w:themeColor="text1"/>
                <w:sz w:val="18"/>
                <w:szCs w:val="18"/>
                <w14:textFill>
                  <w14:solidFill>
                    <w14:schemeClr w14:val="tx1"/>
                  </w14:solidFill>
                </w14:textFill>
              </w:rPr>
            </w:pPr>
            <w:r>
              <w:rPr>
                <w:rFonts w:ascii="Times New Roman" w:cs="Times New Roman"/>
                <w:color w:val="000000" w:themeColor="text1"/>
                <w:sz w:val="18"/>
                <w:szCs w:val="18"/>
                <w14:textFill>
                  <w14:solidFill>
                    <w14:schemeClr w14:val="tx1"/>
                  </w14:solidFill>
                </w14:textFill>
              </w:rPr>
              <w:t>表2</w:t>
            </w:r>
          </w:p>
        </w:tc>
        <w:tc>
          <w:tcPr>
            <w:tcW w:w="1843" w:type="dxa"/>
            <w:tcBorders>
              <w:top w:val="single" w:color="000000" w:sz="4" w:space="0"/>
              <w:left w:val="single" w:color="000000" w:sz="4" w:space="0"/>
              <w:bottom w:val="single" w:color="000000" w:sz="4" w:space="0"/>
              <w:right w:val="single" w:color="000000" w:sz="4" w:space="0"/>
            </w:tcBorders>
            <w:vAlign w:val="center"/>
          </w:tcPr>
          <w:p w14:paraId="01D93A50">
            <w:pPr>
              <w:pStyle w:val="239"/>
              <w:kinsoku w:val="0"/>
              <w:overflowPunct w:val="0"/>
              <w:spacing w:before="156"/>
              <w:ind w:left="10"/>
              <w:jc w:val="center"/>
              <w:rPr>
                <w:rFonts w:ascii="Times New Roman" w:cs="Times New Roman"/>
                <w:color w:val="000000" w:themeColor="text1"/>
                <w:sz w:val="18"/>
                <w:szCs w:val="18"/>
                <w14:textFill>
                  <w14:solidFill>
                    <w14:schemeClr w14:val="tx1"/>
                  </w14:solidFill>
                </w14:textFill>
              </w:rPr>
            </w:pPr>
            <w:r>
              <w:rPr>
                <w:rFonts w:ascii="Times New Roman" w:cs="Times New Roman"/>
                <w:color w:val="000000" w:themeColor="text1"/>
                <w:sz w:val="18"/>
                <w:szCs w:val="18"/>
                <w14:textFill>
                  <w14:solidFill>
                    <w14:schemeClr w14:val="tx1"/>
                  </w14:solidFill>
                </w14:textFill>
              </w:rPr>
              <w:t>√</w:t>
            </w:r>
          </w:p>
        </w:tc>
      </w:tr>
      <w:tr w14:paraId="4C4F7E6F">
        <w:tblPrEx>
          <w:tblCellMar>
            <w:top w:w="0" w:type="dxa"/>
            <w:left w:w="0" w:type="dxa"/>
            <w:bottom w:w="0" w:type="dxa"/>
            <w:right w:w="0" w:type="dxa"/>
          </w:tblCellMar>
        </w:tblPrEx>
        <w:trPr>
          <w:trHeight w:val="359" w:hRule="atLeast"/>
        </w:trPr>
        <w:tc>
          <w:tcPr>
            <w:tcW w:w="9227" w:type="dxa"/>
            <w:gridSpan w:val="5"/>
            <w:tcBorders>
              <w:top w:val="single" w:color="auto" w:sz="4" w:space="0"/>
              <w:left w:val="single" w:color="000000" w:sz="4" w:space="0"/>
              <w:bottom w:val="single" w:color="auto" w:sz="4" w:space="0"/>
              <w:right w:val="single" w:color="000000" w:sz="4" w:space="0"/>
            </w:tcBorders>
            <w:vAlign w:val="center"/>
          </w:tcPr>
          <w:p w14:paraId="35244A9F">
            <w:pPr>
              <w:pStyle w:val="239"/>
              <w:kinsoku w:val="0"/>
              <w:overflowPunct w:val="0"/>
              <w:spacing w:before="156"/>
              <w:ind w:left="10" w:firstLine="180" w:firstLineChars="100"/>
              <w:rPr>
                <w:rFonts w:ascii="Times New Roman" w:cs="Times New Roman"/>
                <w:color w:val="000000" w:themeColor="text1"/>
                <w:sz w:val="18"/>
                <w:szCs w:val="18"/>
                <w14:textFill>
                  <w14:solidFill>
                    <w14:schemeClr w14:val="tx1"/>
                  </w14:solidFill>
                </w14:textFill>
              </w:rPr>
            </w:pPr>
            <w:r>
              <w:rPr>
                <w:rFonts w:ascii="Times New Roman" w:cs="Times New Roman"/>
                <w:color w:val="000000" w:themeColor="text1"/>
                <w:sz w:val="18"/>
                <w:szCs w:val="18"/>
                <w14:textFill>
                  <w14:solidFill>
                    <w14:schemeClr w14:val="tx1"/>
                  </w14:solidFill>
                </w14:textFill>
              </w:rPr>
              <w:t>注：“√”表示应检测项目。</w:t>
            </w:r>
          </w:p>
        </w:tc>
      </w:tr>
    </w:tbl>
    <w:p w14:paraId="20B23A43">
      <w:pPr>
        <w:pStyle w:val="105"/>
        <w:rPr>
          <w:rFonts w:ascii="Times New Roman"/>
          <w:color w:val="000000" w:themeColor="text1"/>
          <w14:textFill>
            <w14:solidFill>
              <w14:schemeClr w14:val="tx1"/>
            </w14:solidFill>
          </w14:textFill>
        </w:rPr>
      </w:pPr>
      <w:r>
        <w:rPr>
          <w:rFonts w:ascii="Times New Roman"/>
          <w:color w:val="000000" w:themeColor="text1"/>
          <w:lang w:val="en-US"/>
          <w14:textFill>
            <w14:solidFill>
              <w14:schemeClr w14:val="tx1"/>
            </w14:solidFill>
          </w14:textFill>
        </w:rPr>
        <w:t>判定</w:t>
      </w:r>
      <w:r>
        <w:rPr>
          <w:rFonts w:ascii="Times New Roman"/>
          <w:color w:val="000000" w:themeColor="text1"/>
          <w14:textFill>
            <w14:solidFill>
              <w14:schemeClr w14:val="tx1"/>
            </w14:solidFill>
          </w14:textFill>
        </w:rPr>
        <w:t>规则</w:t>
      </w:r>
    </w:p>
    <w:p w14:paraId="7071D489">
      <w:pPr>
        <w:pStyle w:val="56"/>
        <w:rPr>
          <w:rFonts w:ascii="Times New Roman"/>
        </w:rPr>
      </w:pPr>
      <w:r>
        <w:rPr>
          <w:rFonts w:ascii="Times New Roman"/>
        </w:rPr>
        <w:t>对检测项目逐项进行检</w:t>
      </w:r>
      <w:r>
        <w:rPr>
          <w:rFonts w:hint="eastAsia" w:ascii="Times New Roman"/>
          <w:lang w:val="en-US"/>
        </w:rPr>
        <w:t>测</w:t>
      </w:r>
      <w:r>
        <w:rPr>
          <w:rFonts w:ascii="Times New Roman"/>
        </w:rPr>
        <w:t>，当A类不合格项目为0，B类不合格项目为≤1，即判定水稻直播作业质量为合格；否则，为不合格。</w:t>
      </w:r>
    </w:p>
    <w:p w14:paraId="59F36E73">
      <w:pPr>
        <w:pStyle w:val="56"/>
        <w:rPr>
          <w:rFonts w:ascii="Times New Roman"/>
        </w:rPr>
      </w:pPr>
    </w:p>
    <w:p w14:paraId="6AE11428">
      <w:pPr>
        <w:pStyle w:val="56"/>
        <w:ind w:firstLine="0" w:firstLineChars="0"/>
        <w:jc w:val="center"/>
        <w:rPr>
          <w:rFonts w:ascii="Times New Roman" w:eastAsia="黑体"/>
          <w:color w:val="000000" w:themeColor="text1"/>
          <w:szCs w:val="21"/>
          <w14:textFill>
            <w14:solidFill>
              <w14:schemeClr w14:val="tx1"/>
            </w14:solidFill>
          </w14:textFill>
        </w:rPr>
      </w:pPr>
      <w:r>
        <w:rPr>
          <w:rFonts w:ascii="Times New Roman"/>
        </w:rPr>
        <w:br w:type="page"/>
      </w:r>
      <w:r>
        <w:rPr>
          <w:rFonts w:ascii="Times New Roman" w:eastAsia="黑体"/>
          <w:color w:val="000000" w:themeColor="text1"/>
          <w:szCs w:val="21"/>
          <w14:textFill>
            <w14:solidFill>
              <w14:schemeClr w14:val="tx1"/>
            </w14:solidFill>
          </w14:textFill>
        </w:rPr>
        <w:t>附 录 A</w:t>
      </w:r>
    </w:p>
    <w:p w14:paraId="57CF2F53">
      <w:pPr>
        <w:pStyle w:val="56"/>
        <w:ind w:firstLine="0" w:firstLineChars="0"/>
        <w:jc w:val="center"/>
        <w:rPr>
          <w:rFonts w:ascii="Times New Roman" w:eastAsia="黑体"/>
          <w:color w:val="000000" w:themeColor="text1"/>
          <w:szCs w:val="21"/>
          <w14:textFill>
            <w14:solidFill>
              <w14:schemeClr w14:val="tx1"/>
            </w14:solidFill>
          </w14:textFill>
        </w:rPr>
      </w:pPr>
      <w:r>
        <w:rPr>
          <w:rFonts w:ascii="Times New Roman" w:eastAsia="黑体"/>
          <w:color w:val="000000" w:themeColor="text1"/>
          <w:szCs w:val="21"/>
          <w14:textFill>
            <w14:solidFill>
              <w14:schemeClr w14:val="tx1"/>
            </w14:solidFill>
          </w14:textFill>
        </w:rPr>
        <w:t>（资料性）</w:t>
      </w:r>
    </w:p>
    <w:p w14:paraId="42577977">
      <w:pPr>
        <w:pStyle w:val="243"/>
        <w:adjustRightInd w:val="0"/>
        <w:snapToGrid w:val="0"/>
        <w:spacing w:before="156" w:after="156"/>
        <w:rPr>
          <w:rFonts w:ascii="Times New Roman" w:hAnsi="Times New Roman" w:cs="Times New Roman"/>
        </w:rPr>
      </w:pPr>
      <w:r>
        <w:rPr>
          <w:rFonts w:ascii="Times New Roman" w:hAnsi="Times New Roman" w:cs="Times New Roman"/>
        </w:rPr>
        <w:t>水稻机械化直播作业流程图</w:t>
      </w:r>
    </w:p>
    <w:p w14:paraId="30DB9CCD">
      <w:pPr>
        <w:widowControl/>
        <w:wordWrap w:val="0"/>
        <w:overflowPunct w:val="0"/>
        <w:snapToGrid w:val="0"/>
        <w:spacing w:before="156" w:beforeLines="50" w:after="156" w:afterLines="50"/>
        <w:ind w:firstLine="420" w:firstLineChars="200"/>
        <w:textAlignment w:val="baseline"/>
        <w:rPr>
          <w:rFonts w:ascii="Times New Roman" w:hAnsi="Times New Roman"/>
          <w:kern w:val="21"/>
        </w:rPr>
      </w:pPr>
      <w:bookmarkStart w:id="27" w:name="_Toc144216728"/>
      <w:bookmarkEnd w:id="27"/>
      <w:r>
        <w:rPr>
          <w:rFonts w:ascii="Times New Roman" w:hAnsi="Times New Roman"/>
          <w:kern w:val="21"/>
        </w:rPr>
        <w:t xml:space="preserve">A.1 </w:t>
      </w:r>
      <w:bookmarkStart w:id="28" w:name="_Hlk164344098"/>
      <w:bookmarkEnd w:id="28"/>
      <w:r>
        <w:rPr>
          <w:rFonts w:ascii="Times New Roman" w:hAnsi="Times New Roman"/>
          <w:kern w:val="21"/>
        </w:rPr>
        <w:t>水稻水直播（条播、穴播）作业流程图</w:t>
      </w:r>
    </w:p>
    <w:p w14:paraId="741B44C1">
      <w:pPr>
        <w:pStyle w:val="238"/>
        <w:numPr>
          <w:ilvl w:val="0"/>
          <w:numId w:val="0"/>
        </w:numPr>
        <w:jc w:val="center"/>
        <w:rPr>
          <w:rFonts w:ascii="Times New Roman"/>
        </w:rPr>
      </w:pPr>
      <w:r>
        <w:rPr>
          <w:rFonts w:ascii="Times New Roman"/>
        </w:rPr>
        <w:pict>
          <v:shape id="_x0000_i1025" o:spt="75" type="#_x0000_t75" style="height:85.3pt;width:387.5pt;" filled="f" o:preferrelative="t" stroked="f" coordsize="21600,21600">
            <v:path/>
            <v:fill on="f" focussize="0,0"/>
            <v:stroke on="f" joinstyle="miter"/>
            <v:imagedata r:id="rId13" croptop="21066f" o:title=""/>
            <o:lock v:ext="edit" aspectratio="t"/>
            <w10:wrap type="none"/>
            <w10:anchorlock/>
          </v:shape>
        </w:pict>
      </w:r>
    </w:p>
    <w:p w14:paraId="5529899D">
      <w:pPr>
        <w:pStyle w:val="238"/>
        <w:numPr>
          <w:ilvl w:val="0"/>
          <w:numId w:val="0"/>
        </w:numPr>
        <w:jc w:val="center"/>
        <w:rPr>
          <w:rFonts w:ascii="Times New Roman"/>
          <w:kern w:val="21"/>
        </w:rPr>
      </w:pPr>
      <w:r>
        <w:rPr>
          <w:rFonts w:ascii="Times New Roman"/>
          <w:kern w:val="21"/>
        </w:rPr>
        <w:pict>
          <v:shape id="_x0000_s1035" o:spid="_x0000_s1035" o:spt="75" type="#_x0000_t75" style="position:absolute;left:0pt;margin-left:39.65pt;margin-top:27.05pt;height:93.4pt;width:389.5pt;mso-wrap-distance-bottom:0pt;mso-wrap-distance-left:9pt;mso-wrap-distance-right:9pt;mso-wrap-distance-top:0pt;z-index:251661312;mso-width-relative:page;mso-height-relative:page;" o:ole="t" filled="f" o:preferrelative="t" stroked="f" coordsize="21600,21600">
            <v:path/>
            <v:fill on="f" focussize="0,0"/>
            <v:stroke on="f" joinstyle="miter"/>
            <v:imagedata r:id="rId15" croptop="21094f" o:title=""/>
            <o:lock v:ext="edit" aspectratio="t"/>
            <w10:wrap type="square" side="left"/>
          </v:shape>
          <o:OLEObject Type="Embed" ProgID="Visio.Drawing.15" ShapeID="_x0000_s1035" DrawAspect="Content" ObjectID="_1468075725" r:id="rId14">
            <o:LockedField>false</o:LockedField>
          </o:OLEObject>
        </w:pict>
      </w:r>
      <w:r>
        <w:rPr>
          <w:rFonts w:ascii="Times New Roman"/>
          <w:kern w:val="21"/>
          <w:sz w:val="21"/>
          <w:szCs w:val="21"/>
        </w:rPr>
        <w:t>图A</w:t>
      </w:r>
      <w:r>
        <w:rPr>
          <w:rFonts w:hint="eastAsia" w:ascii="Times New Roman"/>
          <w:kern w:val="21"/>
          <w:sz w:val="21"/>
          <w:szCs w:val="21"/>
        </w:rPr>
        <w:t>.</w:t>
      </w:r>
      <w:r>
        <w:rPr>
          <w:rFonts w:ascii="Times New Roman"/>
          <w:kern w:val="21"/>
          <w:sz w:val="21"/>
          <w:szCs w:val="21"/>
        </w:rPr>
        <w:t>1  水直播条播作业流程图</w:t>
      </w:r>
    </w:p>
    <w:p w14:paraId="35911C49">
      <w:pPr>
        <w:widowControl/>
        <w:overflowPunct w:val="0"/>
        <w:snapToGrid w:val="0"/>
        <w:spacing w:before="156" w:beforeLines="50" w:after="156" w:afterLines="50" w:line="240" w:lineRule="auto"/>
        <w:ind w:firstLine="420" w:firstLineChars="200"/>
        <w:jc w:val="center"/>
        <w:textAlignment w:val="baseline"/>
        <w:rPr>
          <w:rFonts w:ascii="Times New Roman" w:hAnsi="Times New Roman"/>
          <w:kern w:val="21"/>
          <w:sz w:val="18"/>
          <w:szCs w:val="20"/>
        </w:rPr>
      </w:pPr>
      <w:r>
        <w:rPr>
          <w:rFonts w:ascii="Times New Roman" w:hAnsi="Times New Roman"/>
          <w:kern w:val="21"/>
        </w:rPr>
        <w:t>图A</w:t>
      </w:r>
      <w:r>
        <w:rPr>
          <w:rFonts w:hint="eastAsia" w:ascii="Times New Roman" w:hAnsi="Times New Roman"/>
          <w:kern w:val="21"/>
        </w:rPr>
        <w:t>.</w:t>
      </w:r>
      <w:r>
        <w:rPr>
          <w:rFonts w:ascii="Times New Roman" w:hAnsi="Times New Roman"/>
          <w:kern w:val="21"/>
        </w:rPr>
        <w:t>2  水直播穴播作业流程图</w:t>
      </w:r>
    </w:p>
    <w:p w14:paraId="1AF6E49A">
      <w:pPr>
        <w:widowControl/>
        <w:wordWrap w:val="0"/>
        <w:overflowPunct w:val="0"/>
        <w:snapToGrid w:val="0"/>
        <w:spacing w:before="156" w:beforeLines="50" w:after="156" w:afterLines="50"/>
        <w:ind w:firstLine="420" w:firstLineChars="200"/>
        <w:textAlignment w:val="baseline"/>
        <w:rPr>
          <w:rFonts w:ascii="Times New Roman" w:hAnsi="Times New Roman"/>
          <w:kern w:val="21"/>
        </w:rPr>
      </w:pPr>
      <w:r>
        <w:rPr>
          <w:rFonts w:ascii="Times New Roman" w:hAnsi="Times New Roman"/>
          <w:kern w:val="21"/>
        </w:rPr>
        <w:t>A.2 水稻旱直播（条播、穴播）作业流程图</w:t>
      </w:r>
    </w:p>
    <w:p w14:paraId="0CACB7BF">
      <w:pPr>
        <w:pStyle w:val="238"/>
        <w:numPr>
          <w:ilvl w:val="0"/>
          <w:numId w:val="0"/>
        </w:numPr>
        <w:jc w:val="center"/>
        <w:rPr>
          <w:rFonts w:ascii="Times New Roman"/>
        </w:rPr>
      </w:pPr>
      <w:r>
        <w:rPr>
          <w:rFonts w:ascii="Times New Roman"/>
        </w:rPr>
        <w:object>
          <v:shape id="_x0000_i1026" o:spt="75" type="#_x0000_t75" style="height:96.7pt;width:387.5pt;" o:ole="t" filled="f" o:preferrelative="t" stroked="f" coordsize="21600,21600">
            <v:path/>
            <v:fill on="f" focussize="0,0"/>
            <v:stroke on="f" joinstyle="miter"/>
            <v:imagedata r:id="rId17" croptop="17560f" o:title=""/>
            <o:lock v:ext="edit" aspectratio="t"/>
            <w10:wrap type="none"/>
            <w10:anchorlock/>
          </v:shape>
          <o:OLEObject Type="Embed" ProgID="Visio.Drawing.15" ShapeID="_x0000_i1026" DrawAspect="Content" ObjectID="_1468075726" r:id="rId16">
            <o:LockedField>false</o:LockedField>
          </o:OLEObject>
        </w:object>
      </w:r>
    </w:p>
    <w:p w14:paraId="5911DF05">
      <w:pPr>
        <w:widowControl/>
        <w:overflowPunct w:val="0"/>
        <w:snapToGrid w:val="0"/>
        <w:spacing w:before="156" w:beforeLines="50" w:after="156" w:afterLines="50" w:line="240" w:lineRule="auto"/>
        <w:ind w:firstLine="420" w:firstLineChars="200"/>
        <w:jc w:val="center"/>
        <w:textAlignment w:val="baseline"/>
        <w:rPr>
          <w:rFonts w:ascii="Times New Roman" w:hAnsi="Times New Roman"/>
          <w:kern w:val="21"/>
        </w:rPr>
      </w:pPr>
      <w:r>
        <w:rPr>
          <w:rFonts w:ascii="Times New Roman" w:hAnsi="Times New Roman"/>
          <w:kern w:val="21"/>
        </w:rPr>
        <w:t>图A</w:t>
      </w:r>
      <w:r>
        <w:rPr>
          <w:rFonts w:hint="eastAsia" w:ascii="Times New Roman" w:hAnsi="Times New Roman"/>
          <w:kern w:val="21"/>
        </w:rPr>
        <w:t>.</w:t>
      </w:r>
      <w:r>
        <w:rPr>
          <w:rFonts w:ascii="Times New Roman" w:hAnsi="Times New Roman"/>
          <w:kern w:val="21"/>
        </w:rPr>
        <w:t>3  旱直播条播作业流程图</w:t>
      </w:r>
    </w:p>
    <w:p w14:paraId="1DA5AB58">
      <w:pPr>
        <w:pStyle w:val="238"/>
        <w:numPr>
          <w:ilvl w:val="0"/>
          <w:numId w:val="0"/>
        </w:numPr>
        <w:jc w:val="center"/>
        <w:rPr>
          <w:rFonts w:ascii="Times New Roman"/>
        </w:rPr>
      </w:pPr>
      <w:r>
        <w:rPr>
          <w:rFonts w:ascii="Times New Roman"/>
        </w:rPr>
        <w:object>
          <v:shape id="_x0000_i1027" o:spt="75" type="#_x0000_t75" style="height:85.3pt;width:396.45pt;" o:ole="t" filled="f" o:preferrelative="t" stroked="f" coordsize="21600,21600">
            <v:path/>
            <v:fill on="f" focussize="0,0"/>
            <v:stroke on="f" joinstyle="miter"/>
            <v:imagedata r:id="rId19" croptop="23168f" o:title=""/>
            <o:lock v:ext="edit" aspectratio="t"/>
            <w10:wrap type="none"/>
            <w10:anchorlock/>
          </v:shape>
          <o:OLEObject Type="Embed" ProgID="Visio.Drawing.15" ShapeID="_x0000_i1027" DrawAspect="Content" ObjectID="_1468075727" r:id="rId18">
            <o:LockedField>false</o:LockedField>
          </o:OLEObject>
        </w:object>
      </w:r>
    </w:p>
    <w:p w14:paraId="77AB115A">
      <w:pPr>
        <w:widowControl/>
        <w:overflowPunct w:val="0"/>
        <w:snapToGrid w:val="0"/>
        <w:spacing w:before="156" w:beforeLines="50" w:after="156" w:afterLines="50" w:line="240" w:lineRule="auto"/>
        <w:ind w:firstLine="420" w:firstLineChars="200"/>
        <w:jc w:val="center"/>
        <w:textAlignment w:val="baseline"/>
        <w:rPr>
          <w:rFonts w:ascii="Times New Roman" w:hAnsi="Times New Roman"/>
          <w:kern w:val="21"/>
        </w:rPr>
      </w:pPr>
      <w:r>
        <w:rPr>
          <w:rFonts w:ascii="Times New Roman" w:hAnsi="Times New Roman"/>
          <w:kern w:val="21"/>
        </w:rPr>
        <w:t>图A</w:t>
      </w:r>
      <w:r>
        <w:rPr>
          <w:rFonts w:hint="eastAsia" w:ascii="Times New Roman" w:hAnsi="Times New Roman"/>
          <w:kern w:val="21"/>
        </w:rPr>
        <w:t>.</w:t>
      </w:r>
      <w:r>
        <w:rPr>
          <w:rFonts w:ascii="Times New Roman" w:hAnsi="Times New Roman"/>
          <w:kern w:val="21"/>
        </w:rPr>
        <w:t>4  旱直播穴播作业流程图</w:t>
      </w:r>
    </w:p>
    <w:p w14:paraId="78C5A759">
      <w:pPr>
        <w:widowControl/>
        <w:overflowPunct w:val="0"/>
        <w:snapToGrid w:val="0"/>
        <w:spacing w:before="156" w:beforeLines="50" w:after="156" w:afterLines="50" w:line="240" w:lineRule="auto"/>
        <w:jc w:val="center"/>
        <w:textAlignment w:val="baseline"/>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drawing>
          <wp:inline distT="0" distB="0" distL="0" distR="0">
            <wp:extent cx="1485900" cy="312420"/>
            <wp:effectExtent l="0" t="0" r="0" b="0"/>
            <wp:docPr id="4902900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029009"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485900" cy="312420"/>
                    </a:xfrm>
                    <a:prstGeom prst="rect">
                      <a:avLst/>
                    </a:prstGeom>
                    <a:noFill/>
                    <a:ln>
                      <a:noFill/>
                    </a:ln>
                  </pic:spPr>
                </pic:pic>
              </a:graphicData>
            </a:graphic>
          </wp:inline>
        </w:drawing>
      </w:r>
    </w:p>
    <w:sectPr>
      <w:pgSz w:w="11906" w:h="16838"/>
      <w:pgMar w:top="2410"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32C5A8">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81421A">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BDE4EC">
    <w:pPr>
      <w:pStyle w:val="52"/>
    </w:pPr>
    <w:r>
      <w:fldChar w:fldCharType="begin"/>
    </w:r>
    <w:r>
      <w:instrText xml:space="preserve">PAGE   \* MERGEFORMAT</w:instrText>
    </w:r>
    <w:r>
      <w:fldChar w:fldCharType="separate"/>
    </w:r>
    <w:r>
      <w:rPr>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EA9DA0">
    <w:pPr>
      <w:pStyle w:val="18"/>
      <w:framePr/>
    </w:pPr>
    <w:r>
      <w:t>Q/LB.</w:t>
    </w:r>
    <w:r>
      <w:rPr>
        <w:rFonts w:hint="eastAsia"/>
      </w:rPr>
      <w:t>□</w:t>
    </w:r>
    <w: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2D9924">
    <w:pPr>
      <w:pStyle w:val="61"/>
      <w:rPr>
        <w:rFonts w:hint="eastAsia"/>
      </w:rPr>
    </w:pPr>
    <w:r>
      <w:fldChar w:fldCharType="begin"/>
    </w:r>
    <w:r>
      <w:instrText xml:space="preserve"> STYLEREF  标准文件_文件编号  \* MERGEFORMAT </w:instrText>
    </w:r>
    <w:r>
      <w:fldChar w:fldCharType="separate"/>
    </w:r>
    <w:r>
      <w:t>DB 32/T XXXX—XXXX</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05A873">
    <w:pPr>
      <w:pStyle w:val="18"/>
      <w:framePr/>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32/T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pStyle w:val="238"/>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mNDNkOWUxODQ5YzRjYzI2Mjk0ZTQ4NGE4MDc3ZDUifQ=="/>
  </w:docVars>
  <w:rsids>
    <w:rsidRoot w:val="00F6388E"/>
    <w:rsid w:val="0000040A"/>
    <w:rsid w:val="00000A94"/>
    <w:rsid w:val="00001972"/>
    <w:rsid w:val="00001D9A"/>
    <w:rsid w:val="00007B3A"/>
    <w:rsid w:val="000107E0"/>
    <w:rsid w:val="00011FDE"/>
    <w:rsid w:val="00012F26"/>
    <w:rsid w:val="00012FFD"/>
    <w:rsid w:val="00014162"/>
    <w:rsid w:val="00014340"/>
    <w:rsid w:val="00016A9C"/>
    <w:rsid w:val="00022184"/>
    <w:rsid w:val="00022762"/>
    <w:rsid w:val="00022C31"/>
    <w:rsid w:val="000238E0"/>
    <w:rsid w:val="000243BA"/>
    <w:rsid w:val="000249DB"/>
    <w:rsid w:val="00025625"/>
    <w:rsid w:val="0002595E"/>
    <w:rsid w:val="000303C3"/>
    <w:rsid w:val="000331D3"/>
    <w:rsid w:val="000346A5"/>
    <w:rsid w:val="000359C3"/>
    <w:rsid w:val="00035A7D"/>
    <w:rsid w:val="00035F5F"/>
    <w:rsid w:val="000365ED"/>
    <w:rsid w:val="00036DFF"/>
    <w:rsid w:val="00040A7A"/>
    <w:rsid w:val="00040DF0"/>
    <w:rsid w:val="0004249A"/>
    <w:rsid w:val="00043282"/>
    <w:rsid w:val="00044286"/>
    <w:rsid w:val="00047F28"/>
    <w:rsid w:val="0005003A"/>
    <w:rsid w:val="000503AA"/>
    <w:rsid w:val="000506A1"/>
    <w:rsid w:val="000508D9"/>
    <w:rsid w:val="000515DD"/>
    <w:rsid w:val="0005265A"/>
    <w:rsid w:val="000539DD"/>
    <w:rsid w:val="00053BD3"/>
    <w:rsid w:val="000556ED"/>
    <w:rsid w:val="000558C4"/>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47B8"/>
    <w:rsid w:val="00086AA1"/>
    <w:rsid w:val="00087568"/>
    <w:rsid w:val="00087A77"/>
    <w:rsid w:val="00090CA6"/>
    <w:rsid w:val="00090EAB"/>
    <w:rsid w:val="00092B8A"/>
    <w:rsid w:val="00092FB0"/>
    <w:rsid w:val="000934C5"/>
    <w:rsid w:val="000939D3"/>
    <w:rsid w:val="00093D25"/>
    <w:rsid w:val="00093DAB"/>
    <w:rsid w:val="000944AA"/>
    <w:rsid w:val="00094D73"/>
    <w:rsid w:val="00096D63"/>
    <w:rsid w:val="000A002D"/>
    <w:rsid w:val="000A0B60"/>
    <w:rsid w:val="000A0EB8"/>
    <w:rsid w:val="000A19FC"/>
    <w:rsid w:val="000A296B"/>
    <w:rsid w:val="000A7311"/>
    <w:rsid w:val="000B060F"/>
    <w:rsid w:val="000B1592"/>
    <w:rsid w:val="000B1FF2"/>
    <w:rsid w:val="000B3CDA"/>
    <w:rsid w:val="000B43F7"/>
    <w:rsid w:val="000B5D43"/>
    <w:rsid w:val="000B6A0B"/>
    <w:rsid w:val="000C0F6C"/>
    <w:rsid w:val="000C11DB"/>
    <w:rsid w:val="000C1492"/>
    <w:rsid w:val="000C2FBD"/>
    <w:rsid w:val="000C4B41"/>
    <w:rsid w:val="000C57D6"/>
    <w:rsid w:val="000C6362"/>
    <w:rsid w:val="000C6A56"/>
    <w:rsid w:val="000C7666"/>
    <w:rsid w:val="000D0A9C"/>
    <w:rsid w:val="000D1795"/>
    <w:rsid w:val="000D329A"/>
    <w:rsid w:val="000D4B9C"/>
    <w:rsid w:val="000D4EB6"/>
    <w:rsid w:val="000D753B"/>
    <w:rsid w:val="000E0E65"/>
    <w:rsid w:val="000E4C9E"/>
    <w:rsid w:val="000E5227"/>
    <w:rsid w:val="000E6FD7"/>
    <w:rsid w:val="000F06E1"/>
    <w:rsid w:val="000F0E3C"/>
    <w:rsid w:val="000F19D5"/>
    <w:rsid w:val="000F4AEA"/>
    <w:rsid w:val="000F633F"/>
    <w:rsid w:val="000F67E9"/>
    <w:rsid w:val="00104926"/>
    <w:rsid w:val="00113ACE"/>
    <w:rsid w:val="00113B1E"/>
    <w:rsid w:val="00114477"/>
    <w:rsid w:val="0011711C"/>
    <w:rsid w:val="0012059C"/>
    <w:rsid w:val="001245FF"/>
    <w:rsid w:val="00124E4F"/>
    <w:rsid w:val="001260B7"/>
    <w:rsid w:val="001265CB"/>
    <w:rsid w:val="001321C6"/>
    <w:rsid w:val="00132238"/>
    <w:rsid w:val="001325C4"/>
    <w:rsid w:val="00133010"/>
    <w:rsid w:val="001338EE"/>
    <w:rsid w:val="00133AAE"/>
    <w:rsid w:val="00135323"/>
    <w:rsid w:val="001356C4"/>
    <w:rsid w:val="00141114"/>
    <w:rsid w:val="00142969"/>
    <w:rsid w:val="00144554"/>
    <w:rsid w:val="001446C2"/>
    <w:rsid w:val="001457E7"/>
    <w:rsid w:val="00145D9D"/>
    <w:rsid w:val="00146388"/>
    <w:rsid w:val="001529E5"/>
    <w:rsid w:val="001534AE"/>
    <w:rsid w:val="00153C7E"/>
    <w:rsid w:val="00153F87"/>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E78"/>
    <w:rsid w:val="00170804"/>
    <w:rsid w:val="001708E9"/>
    <w:rsid w:val="0017340B"/>
    <w:rsid w:val="00173FB1"/>
    <w:rsid w:val="001766C0"/>
    <w:rsid w:val="00176DFD"/>
    <w:rsid w:val="001852C9"/>
    <w:rsid w:val="0018653D"/>
    <w:rsid w:val="00190087"/>
    <w:rsid w:val="001913C4"/>
    <w:rsid w:val="0019348F"/>
    <w:rsid w:val="001937C0"/>
    <w:rsid w:val="00193A07"/>
    <w:rsid w:val="00194674"/>
    <w:rsid w:val="00194C95"/>
    <w:rsid w:val="00195C34"/>
    <w:rsid w:val="00196EF5"/>
    <w:rsid w:val="001A0CD0"/>
    <w:rsid w:val="001A1A53"/>
    <w:rsid w:val="001A234A"/>
    <w:rsid w:val="001A4CF3"/>
    <w:rsid w:val="001A54EF"/>
    <w:rsid w:val="001B06E8"/>
    <w:rsid w:val="001B0744"/>
    <w:rsid w:val="001B1ABD"/>
    <w:rsid w:val="001B71D0"/>
    <w:rsid w:val="001B71EE"/>
    <w:rsid w:val="001C04A8"/>
    <w:rsid w:val="001C16C6"/>
    <w:rsid w:val="001C2A9E"/>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527"/>
    <w:rsid w:val="001E4882"/>
    <w:rsid w:val="001E73AB"/>
    <w:rsid w:val="001F092D"/>
    <w:rsid w:val="001F143A"/>
    <w:rsid w:val="001F1605"/>
    <w:rsid w:val="001F2508"/>
    <w:rsid w:val="001F2E9A"/>
    <w:rsid w:val="001F4816"/>
    <w:rsid w:val="001F4EE9"/>
    <w:rsid w:val="001F67EA"/>
    <w:rsid w:val="001F69B4"/>
    <w:rsid w:val="001F77C7"/>
    <w:rsid w:val="00200183"/>
    <w:rsid w:val="00200333"/>
    <w:rsid w:val="0020107D"/>
    <w:rsid w:val="002028B4"/>
    <w:rsid w:val="00202AA4"/>
    <w:rsid w:val="002031F7"/>
    <w:rsid w:val="002040E6"/>
    <w:rsid w:val="002047AC"/>
    <w:rsid w:val="0020527B"/>
    <w:rsid w:val="00205F2C"/>
    <w:rsid w:val="002102B3"/>
    <w:rsid w:val="00210B15"/>
    <w:rsid w:val="002142EA"/>
    <w:rsid w:val="00214E36"/>
    <w:rsid w:val="002204BB"/>
    <w:rsid w:val="00220526"/>
    <w:rsid w:val="00220E4D"/>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2547"/>
    <w:rsid w:val="002529EC"/>
    <w:rsid w:val="0026148A"/>
    <w:rsid w:val="00262696"/>
    <w:rsid w:val="00263D25"/>
    <w:rsid w:val="002643C3"/>
    <w:rsid w:val="00264A0C"/>
    <w:rsid w:val="0026558D"/>
    <w:rsid w:val="00266EEB"/>
    <w:rsid w:val="00267EF4"/>
    <w:rsid w:val="0027079E"/>
    <w:rsid w:val="00270CB8"/>
    <w:rsid w:val="00272B08"/>
    <w:rsid w:val="00274A9D"/>
    <w:rsid w:val="002757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52"/>
    <w:rsid w:val="002A5977"/>
    <w:rsid w:val="002A5A13"/>
    <w:rsid w:val="002A757F"/>
    <w:rsid w:val="002A7F44"/>
    <w:rsid w:val="002B0C40"/>
    <w:rsid w:val="002B1966"/>
    <w:rsid w:val="002B2AE0"/>
    <w:rsid w:val="002B44AA"/>
    <w:rsid w:val="002B4508"/>
    <w:rsid w:val="002B4BAF"/>
    <w:rsid w:val="002B5779"/>
    <w:rsid w:val="002B7332"/>
    <w:rsid w:val="002B7F51"/>
    <w:rsid w:val="002C09E7"/>
    <w:rsid w:val="002C1E06"/>
    <w:rsid w:val="002C1E1C"/>
    <w:rsid w:val="002C3F07"/>
    <w:rsid w:val="002C5278"/>
    <w:rsid w:val="002C7C08"/>
    <w:rsid w:val="002C7EBB"/>
    <w:rsid w:val="002D06C1"/>
    <w:rsid w:val="002D42B5"/>
    <w:rsid w:val="002D4F1A"/>
    <w:rsid w:val="002D6EC6"/>
    <w:rsid w:val="002D79AC"/>
    <w:rsid w:val="002E039D"/>
    <w:rsid w:val="002E4D5A"/>
    <w:rsid w:val="002E5772"/>
    <w:rsid w:val="002E6326"/>
    <w:rsid w:val="002F30E0"/>
    <w:rsid w:val="002F35E4"/>
    <w:rsid w:val="002F3730"/>
    <w:rsid w:val="002F38E1"/>
    <w:rsid w:val="002F7652"/>
    <w:rsid w:val="002F7A33"/>
    <w:rsid w:val="002F7AF6"/>
    <w:rsid w:val="00300E63"/>
    <w:rsid w:val="00302F5F"/>
    <w:rsid w:val="0030441D"/>
    <w:rsid w:val="00306063"/>
    <w:rsid w:val="00306DDA"/>
    <w:rsid w:val="00313B85"/>
    <w:rsid w:val="00317988"/>
    <w:rsid w:val="003221B4"/>
    <w:rsid w:val="0032258D"/>
    <w:rsid w:val="00322E62"/>
    <w:rsid w:val="00324614"/>
    <w:rsid w:val="00324D13"/>
    <w:rsid w:val="00324D2A"/>
    <w:rsid w:val="00324EDD"/>
    <w:rsid w:val="003331E4"/>
    <w:rsid w:val="0033372A"/>
    <w:rsid w:val="00334306"/>
    <w:rsid w:val="00336C64"/>
    <w:rsid w:val="00337162"/>
    <w:rsid w:val="0034194F"/>
    <w:rsid w:val="00344605"/>
    <w:rsid w:val="00347359"/>
    <w:rsid w:val="003474AA"/>
    <w:rsid w:val="00350D1D"/>
    <w:rsid w:val="00352C83"/>
    <w:rsid w:val="00355B05"/>
    <w:rsid w:val="00357358"/>
    <w:rsid w:val="003615D2"/>
    <w:rsid w:val="0036429C"/>
    <w:rsid w:val="00364498"/>
    <w:rsid w:val="00364A53"/>
    <w:rsid w:val="003654CB"/>
    <w:rsid w:val="00365AA9"/>
    <w:rsid w:val="00365F86"/>
    <w:rsid w:val="00365F87"/>
    <w:rsid w:val="00366E89"/>
    <w:rsid w:val="003705F4"/>
    <w:rsid w:val="00370D58"/>
    <w:rsid w:val="00371316"/>
    <w:rsid w:val="00371B8F"/>
    <w:rsid w:val="00374004"/>
    <w:rsid w:val="003756C6"/>
    <w:rsid w:val="00376713"/>
    <w:rsid w:val="00377F4C"/>
    <w:rsid w:val="00381815"/>
    <w:rsid w:val="00381824"/>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5972"/>
    <w:rsid w:val="0039713B"/>
    <w:rsid w:val="003974EB"/>
    <w:rsid w:val="00397CC5"/>
    <w:rsid w:val="003A1582"/>
    <w:rsid w:val="003A4077"/>
    <w:rsid w:val="003B09AD"/>
    <w:rsid w:val="003B0B44"/>
    <w:rsid w:val="003B1F18"/>
    <w:rsid w:val="003B2590"/>
    <w:rsid w:val="003B5BF0"/>
    <w:rsid w:val="003B60BF"/>
    <w:rsid w:val="003B6BE3"/>
    <w:rsid w:val="003C010C"/>
    <w:rsid w:val="003C0A6C"/>
    <w:rsid w:val="003C14F8"/>
    <w:rsid w:val="003C5A43"/>
    <w:rsid w:val="003C76A2"/>
    <w:rsid w:val="003D0519"/>
    <w:rsid w:val="003D0FF6"/>
    <w:rsid w:val="003D262C"/>
    <w:rsid w:val="003D6AA5"/>
    <w:rsid w:val="003D6D61"/>
    <w:rsid w:val="003D6E55"/>
    <w:rsid w:val="003E091D"/>
    <w:rsid w:val="003E1C53"/>
    <w:rsid w:val="003E2A69"/>
    <w:rsid w:val="003E2D49"/>
    <w:rsid w:val="003E2FD4"/>
    <w:rsid w:val="003E49F6"/>
    <w:rsid w:val="003E660F"/>
    <w:rsid w:val="003E7516"/>
    <w:rsid w:val="003F0841"/>
    <w:rsid w:val="003F23D3"/>
    <w:rsid w:val="003F3F08"/>
    <w:rsid w:val="003F49F1"/>
    <w:rsid w:val="003F6272"/>
    <w:rsid w:val="00400E72"/>
    <w:rsid w:val="00401400"/>
    <w:rsid w:val="00402BB6"/>
    <w:rsid w:val="00404869"/>
    <w:rsid w:val="00404C19"/>
    <w:rsid w:val="00405177"/>
    <w:rsid w:val="00405884"/>
    <w:rsid w:val="00407D39"/>
    <w:rsid w:val="0041477A"/>
    <w:rsid w:val="004167A3"/>
    <w:rsid w:val="00432DAA"/>
    <w:rsid w:val="00434305"/>
    <w:rsid w:val="00435DF7"/>
    <w:rsid w:val="0044083F"/>
    <w:rsid w:val="004409A9"/>
    <w:rsid w:val="00441AE7"/>
    <w:rsid w:val="00444BC6"/>
    <w:rsid w:val="00445574"/>
    <w:rsid w:val="004467FB"/>
    <w:rsid w:val="00452D6B"/>
    <w:rsid w:val="00454484"/>
    <w:rsid w:val="0045517B"/>
    <w:rsid w:val="004551AE"/>
    <w:rsid w:val="00463B77"/>
    <w:rsid w:val="00463C7B"/>
    <w:rsid w:val="004644A6"/>
    <w:rsid w:val="004659BD"/>
    <w:rsid w:val="00470775"/>
    <w:rsid w:val="00471F08"/>
    <w:rsid w:val="00473C81"/>
    <w:rsid w:val="004746B1"/>
    <w:rsid w:val="0047583F"/>
    <w:rsid w:val="00475DE8"/>
    <w:rsid w:val="00481C44"/>
    <w:rsid w:val="00481CB7"/>
    <w:rsid w:val="00484936"/>
    <w:rsid w:val="00485C89"/>
    <w:rsid w:val="00486BE3"/>
    <w:rsid w:val="004872E7"/>
    <w:rsid w:val="004905E4"/>
    <w:rsid w:val="00490A89"/>
    <w:rsid w:val="00490AB4"/>
    <w:rsid w:val="004915AA"/>
    <w:rsid w:val="00492F02"/>
    <w:rsid w:val="004939AE"/>
    <w:rsid w:val="0049634A"/>
    <w:rsid w:val="004978D0"/>
    <w:rsid w:val="004A12DF"/>
    <w:rsid w:val="004A17E6"/>
    <w:rsid w:val="004A1BA8"/>
    <w:rsid w:val="004A4B57"/>
    <w:rsid w:val="004A59D6"/>
    <w:rsid w:val="004A63FA"/>
    <w:rsid w:val="004A7BB5"/>
    <w:rsid w:val="004A7F0B"/>
    <w:rsid w:val="004B0272"/>
    <w:rsid w:val="004B2701"/>
    <w:rsid w:val="004B2E1B"/>
    <w:rsid w:val="004B3AA8"/>
    <w:rsid w:val="004B3E93"/>
    <w:rsid w:val="004B7EA3"/>
    <w:rsid w:val="004C1FBC"/>
    <w:rsid w:val="004C244C"/>
    <w:rsid w:val="004C3F1D"/>
    <w:rsid w:val="004C458D"/>
    <w:rsid w:val="004C60AE"/>
    <w:rsid w:val="004C7556"/>
    <w:rsid w:val="004C7E8B"/>
    <w:rsid w:val="004C7E9D"/>
    <w:rsid w:val="004C7F67"/>
    <w:rsid w:val="004D076D"/>
    <w:rsid w:val="004D0EF1"/>
    <w:rsid w:val="004D2253"/>
    <w:rsid w:val="004D4406"/>
    <w:rsid w:val="004D523B"/>
    <w:rsid w:val="004D6CDC"/>
    <w:rsid w:val="004D6DF8"/>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0406"/>
    <w:rsid w:val="00500A59"/>
    <w:rsid w:val="00500BA9"/>
    <w:rsid w:val="00501139"/>
    <w:rsid w:val="00502C64"/>
    <w:rsid w:val="0050363E"/>
    <w:rsid w:val="005039BC"/>
    <w:rsid w:val="005043BB"/>
    <w:rsid w:val="00504A3D"/>
    <w:rsid w:val="00505767"/>
    <w:rsid w:val="005073F0"/>
    <w:rsid w:val="00510A7B"/>
    <w:rsid w:val="00511C92"/>
    <w:rsid w:val="00511EC2"/>
    <w:rsid w:val="00512F6E"/>
    <w:rsid w:val="00513038"/>
    <w:rsid w:val="00514174"/>
    <w:rsid w:val="00516088"/>
    <w:rsid w:val="00516B0B"/>
    <w:rsid w:val="0052202F"/>
    <w:rsid w:val="005220EC"/>
    <w:rsid w:val="00523F95"/>
    <w:rsid w:val="00524D65"/>
    <w:rsid w:val="00525913"/>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77DD"/>
    <w:rsid w:val="00561475"/>
    <w:rsid w:val="0056487B"/>
    <w:rsid w:val="00564FB9"/>
    <w:rsid w:val="0056506F"/>
    <w:rsid w:val="005656FA"/>
    <w:rsid w:val="005721DB"/>
    <w:rsid w:val="00573D9E"/>
    <w:rsid w:val="005801E3"/>
    <w:rsid w:val="00581802"/>
    <w:rsid w:val="005836A8"/>
    <w:rsid w:val="0058409C"/>
    <w:rsid w:val="00584262"/>
    <w:rsid w:val="00585B23"/>
    <w:rsid w:val="00586630"/>
    <w:rsid w:val="00587ADD"/>
    <w:rsid w:val="00591E27"/>
    <w:rsid w:val="00594C3A"/>
    <w:rsid w:val="00596160"/>
    <w:rsid w:val="005966E2"/>
    <w:rsid w:val="00597007"/>
    <w:rsid w:val="005A0966"/>
    <w:rsid w:val="005A11B7"/>
    <w:rsid w:val="005A1DB8"/>
    <w:rsid w:val="005A260B"/>
    <w:rsid w:val="005A41AC"/>
    <w:rsid w:val="005A4921"/>
    <w:rsid w:val="005A4A1B"/>
    <w:rsid w:val="005A7830"/>
    <w:rsid w:val="005A7FCE"/>
    <w:rsid w:val="005B0F3F"/>
    <w:rsid w:val="005B4903"/>
    <w:rsid w:val="005B51CE"/>
    <w:rsid w:val="005B5885"/>
    <w:rsid w:val="005B5CD7"/>
    <w:rsid w:val="005B6CF6"/>
    <w:rsid w:val="005B7422"/>
    <w:rsid w:val="005C29B8"/>
    <w:rsid w:val="005C4C82"/>
    <w:rsid w:val="005C5F21"/>
    <w:rsid w:val="005C7156"/>
    <w:rsid w:val="005D08C7"/>
    <w:rsid w:val="005D0C75"/>
    <w:rsid w:val="005D0F6E"/>
    <w:rsid w:val="005D4171"/>
    <w:rsid w:val="005D6A95"/>
    <w:rsid w:val="005D6B2C"/>
    <w:rsid w:val="005D6D9C"/>
    <w:rsid w:val="005D792A"/>
    <w:rsid w:val="005E2335"/>
    <w:rsid w:val="005E34CA"/>
    <w:rsid w:val="005E3C18"/>
    <w:rsid w:val="005E6812"/>
    <w:rsid w:val="005E7881"/>
    <w:rsid w:val="005E78E0"/>
    <w:rsid w:val="005F0D9C"/>
    <w:rsid w:val="005F284E"/>
    <w:rsid w:val="005F4712"/>
    <w:rsid w:val="005F5330"/>
    <w:rsid w:val="005F54B9"/>
    <w:rsid w:val="006015CE"/>
    <w:rsid w:val="00604784"/>
    <w:rsid w:val="00606419"/>
    <w:rsid w:val="00607D29"/>
    <w:rsid w:val="00612952"/>
    <w:rsid w:val="00612F9C"/>
    <w:rsid w:val="00614CC1"/>
    <w:rsid w:val="00615A9D"/>
    <w:rsid w:val="00616914"/>
    <w:rsid w:val="00617387"/>
    <w:rsid w:val="006205D6"/>
    <w:rsid w:val="0062078E"/>
    <w:rsid w:val="00620E10"/>
    <w:rsid w:val="00621F22"/>
    <w:rsid w:val="00622044"/>
    <w:rsid w:val="006252D8"/>
    <w:rsid w:val="006259BC"/>
    <w:rsid w:val="0062636B"/>
    <w:rsid w:val="00632182"/>
    <w:rsid w:val="00632AE0"/>
    <w:rsid w:val="00632D78"/>
    <w:rsid w:val="00633C17"/>
    <w:rsid w:val="00634D9E"/>
    <w:rsid w:val="0063527D"/>
    <w:rsid w:val="00636E3E"/>
    <w:rsid w:val="006379F7"/>
    <w:rsid w:val="00637E4D"/>
    <w:rsid w:val="00640620"/>
    <w:rsid w:val="00641572"/>
    <w:rsid w:val="00641A1F"/>
    <w:rsid w:val="00641A39"/>
    <w:rsid w:val="00641B14"/>
    <w:rsid w:val="00645904"/>
    <w:rsid w:val="006460FC"/>
    <w:rsid w:val="00651ACB"/>
    <w:rsid w:val="00651C47"/>
    <w:rsid w:val="00652AB2"/>
    <w:rsid w:val="00653FED"/>
    <w:rsid w:val="00654EC0"/>
    <w:rsid w:val="0065525B"/>
    <w:rsid w:val="00655D4F"/>
    <w:rsid w:val="00656D29"/>
    <w:rsid w:val="00664086"/>
    <w:rsid w:val="006640E5"/>
    <w:rsid w:val="006646F1"/>
    <w:rsid w:val="00664929"/>
    <w:rsid w:val="00664F62"/>
    <w:rsid w:val="006655E1"/>
    <w:rsid w:val="00667008"/>
    <w:rsid w:val="00667E01"/>
    <w:rsid w:val="00672060"/>
    <w:rsid w:val="00672BFD"/>
    <w:rsid w:val="006738D8"/>
    <w:rsid w:val="0067653B"/>
    <w:rsid w:val="006770F4"/>
    <w:rsid w:val="00677A84"/>
    <w:rsid w:val="0068026D"/>
    <w:rsid w:val="00680A27"/>
    <w:rsid w:val="006816A4"/>
    <w:rsid w:val="006819B8"/>
    <w:rsid w:val="00683B35"/>
    <w:rsid w:val="006840A6"/>
    <w:rsid w:val="006850CD"/>
    <w:rsid w:val="00685AAB"/>
    <w:rsid w:val="00687E17"/>
    <w:rsid w:val="00691898"/>
    <w:rsid w:val="00695D22"/>
    <w:rsid w:val="00697717"/>
    <w:rsid w:val="006A0174"/>
    <w:rsid w:val="006A07AA"/>
    <w:rsid w:val="006A25E5"/>
    <w:rsid w:val="006A2B46"/>
    <w:rsid w:val="006A336D"/>
    <w:rsid w:val="006A37B9"/>
    <w:rsid w:val="006A7533"/>
    <w:rsid w:val="006A7836"/>
    <w:rsid w:val="006B1E81"/>
    <w:rsid w:val="006B2672"/>
    <w:rsid w:val="006B54BF"/>
    <w:rsid w:val="006B5F44"/>
    <w:rsid w:val="006B5F90"/>
    <w:rsid w:val="006B62E4"/>
    <w:rsid w:val="006C1BBA"/>
    <w:rsid w:val="006C2079"/>
    <w:rsid w:val="006C5A62"/>
    <w:rsid w:val="006C5D68"/>
    <w:rsid w:val="006C6976"/>
    <w:rsid w:val="006C6DD0"/>
    <w:rsid w:val="006C7F08"/>
    <w:rsid w:val="006D04EA"/>
    <w:rsid w:val="006D1376"/>
    <w:rsid w:val="006D16C4"/>
    <w:rsid w:val="006D3E96"/>
    <w:rsid w:val="006D4515"/>
    <w:rsid w:val="006D4BB1"/>
    <w:rsid w:val="006D4D96"/>
    <w:rsid w:val="006D6593"/>
    <w:rsid w:val="006E165D"/>
    <w:rsid w:val="006E23EA"/>
    <w:rsid w:val="006E4EB3"/>
    <w:rsid w:val="006E6672"/>
    <w:rsid w:val="006E7B38"/>
    <w:rsid w:val="006F03A8"/>
    <w:rsid w:val="006F1468"/>
    <w:rsid w:val="006F2ACA"/>
    <w:rsid w:val="006F2ADC"/>
    <w:rsid w:val="006F2BFE"/>
    <w:rsid w:val="006F31E9"/>
    <w:rsid w:val="006F457C"/>
    <w:rsid w:val="006F6284"/>
    <w:rsid w:val="007002C5"/>
    <w:rsid w:val="00702E7C"/>
    <w:rsid w:val="00704387"/>
    <w:rsid w:val="00704CF5"/>
    <w:rsid w:val="0070731C"/>
    <w:rsid w:val="00707669"/>
    <w:rsid w:val="0070769F"/>
    <w:rsid w:val="00711CBA"/>
    <w:rsid w:val="00711FB5"/>
    <w:rsid w:val="00712A01"/>
    <w:rsid w:val="00714834"/>
    <w:rsid w:val="00714F58"/>
    <w:rsid w:val="00715835"/>
    <w:rsid w:val="00722FBF"/>
    <w:rsid w:val="00722FC2"/>
    <w:rsid w:val="00723451"/>
    <w:rsid w:val="00724879"/>
    <w:rsid w:val="00724E1B"/>
    <w:rsid w:val="00725949"/>
    <w:rsid w:val="00727733"/>
    <w:rsid w:val="00727FA2"/>
    <w:rsid w:val="007322D9"/>
    <w:rsid w:val="00732BC0"/>
    <w:rsid w:val="0073720F"/>
    <w:rsid w:val="00737796"/>
    <w:rsid w:val="0074165C"/>
    <w:rsid w:val="00741AF8"/>
    <w:rsid w:val="00742C35"/>
    <w:rsid w:val="007432CA"/>
    <w:rsid w:val="007439EB"/>
    <w:rsid w:val="00743CB4"/>
    <w:rsid w:val="00743F0A"/>
    <w:rsid w:val="007444E8"/>
    <w:rsid w:val="0074548E"/>
    <w:rsid w:val="00745773"/>
    <w:rsid w:val="00746800"/>
    <w:rsid w:val="007469C7"/>
    <w:rsid w:val="007501A8"/>
    <w:rsid w:val="00750986"/>
    <w:rsid w:val="00750D61"/>
    <w:rsid w:val="00750EE1"/>
    <w:rsid w:val="00752B4D"/>
    <w:rsid w:val="00755402"/>
    <w:rsid w:val="00756B26"/>
    <w:rsid w:val="00756EDF"/>
    <w:rsid w:val="007600E3"/>
    <w:rsid w:val="00765C43"/>
    <w:rsid w:val="00765EFB"/>
    <w:rsid w:val="007671CA"/>
    <w:rsid w:val="00767C61"/>
    <w:rsid w:val="0077008A"/>
    <w:rsid w:val="007724CF"/>
    <w:rsid w:val="00773C1F"/>
    <w:rsid w:val="00774CFD"/>
    <w:rsid w:val="00774DA4"/>
    <w:rsid w:val="00776599"/>
    <w:rsid w:val="00777FCA"/>
    <w:rsid w:val="0078092D"/>
    <w:rsid w:val="007810CC"/>
    <w:rsid w:val="0078114B"/>
    <w:rsid w:val="00781DD2"/>
    <w:rsid w:val="00783ECF"/>
    <w:rsid w:val="0078413A"/>
    <w:rsid w:val="007845F3"/>
    <w:rsid w:val="00793719"/>
    <w:rsid w:val="007959E8"/>
    <w:rsid w:val="00795E9C"/>
    <w:rsid w:val="007A0521"/>
    <w:rsid w:val="007A2E12"/>
    <w:rsid w:val="007A3475"/>
    <w:rsid w:val="007A41C8"/>
    <w:rsid w:val="007A54CE"/>
    <w:rsid w:val="007A6FD9"/>
    <w:rsid w:val="007A7FFA"/>
    <w:rsid w:val="007B04EB"/>
    <w:rsid w:val="007B0D4F"/>
    <w:rsid w:val="007B3099"/>
    <w:rsid w:val="007B5A3D"/>
    <w:rsid w:val="007B5B95"/>
    <w:rsid w:val="007B68EA"/>
    <w:rsid w:val="007B7453"/>
    <w:rsid w:val="007C1E8B"/>
    <w:rsid w:val="007C20D2"/>
    <w:rsid w:val="007C2D89"/>
    <w:rsid w:val="007C4593"/>
    <w:rsid w:val="007C5309"/>
    <w:rsid w:val="007C6069"/>
    <w:rsid w:val="007D06C4"/>
    <w:rsid w:val="007D0D95"/>
    <w:rsid w:val="007D1352"/>
    <w:rsid w:val="007D2508"/>
    <w:rsid w:val="007D346A"/>
    <w:rsid w:val="007D4B70"/>
    <w:rsid w:val="007D6518"/>
    <w:rsid w:val="007D76BD"/>
    <w:rsid w:val="007E0BF1"/>
    <w:rsid w:val="007E5FA4"/>
    <w:rsid w:val="007F0ED8"/>
    <w:rsid w:val="007F0F63"/>
    <w:rsid w:val="007F41D3"/>
    <w:rsid w:val="007F75CE"/>
    <w:rsid w:val="007F799B"/>
    <w:rsid w:val="008013A4"/>
    <w:rsid w:val="008027CE"/>
    <w:rsid w:val="00802F42"/>
    <w:rsid w:val="00804383"/>
    <w:rsid w:val="00804BB7"/>
    <w:rsid w:val="00804D41"/>
    <w:rsid w:val="008071E1"/>
    <w:rsid w:val="00810257"/>
    <w:rsid w:val="008104F5"/>
    <w:rsid w:val="00810A96"/>
    <w:rsid w:val="00811072"/>
    <w:rsid w:val="00811369"/>
    <w:rsid w:val="00815419"/>
    <w:rsid w:val="008163C8"/>
    <w:rsid w:val="008164A1"/>
    <w:rsid w:val="00817325"/>
    <w:rsid w:val="008209E6"/>
    <w:rsid w:val="00823303"/>
    <w:rsid w:val="008233B2"/>
    <w:rsid w:val="00823A9F"/>
    <w:rsid w:val="00823C85"/>
    <w:rsid w:val="00825138"/>
    <w:rsid w:val="008269DD"/>
    <w:rsid w:val="00826D69"/>
    <w:rsid w:val="00830621"/>
    <w:rsid w:val="0083348C"/>
    <w:rsid w:val="00833A70"/>
    <w:rsid w:val="008365A0"/>
    <w:rsid w:val="008373D3"/>
    <w:rsid w:val="00840617"/>
    <w:rsid w:val="00840F84"/>
    <w:rsid w:val="00842A47"/>
    <w:rsid w:val="00843C13"/>
    <w:rsid w:val="008454F8"/>
    <w:rsid w:val="0085173A"/>
    <w:rsid w:val="0085441D"/>
    <w:rsid w:val="00856316"/>
    <w:rsid w:val="008603CE"/>
    <w:rsid w:val="008620FC"/>
    <w:rsid w:val="008627A5"/>
    <w:rsid w:val="00863E05"/>
    <w:rsid w:val="00865ACA"/>
    <w:rsid w:val="00865D28"/>
    <w:rsid w:val="00865F85"/>
    <w:rsid w:val="00866FED"/>
    <w:rsid w:val="00867670"/>
    <w:rsid w:val="00867C10"/>
    <w:rsid w:val="00870439"/>
    <w:rsid w:val="00870DA1"/>
    <w:rsid w:val="008713E9"/>
    <w:rsid w:val="00881AFF"/>
    <w:rsid w:val="00882A87"/>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3885"/>
    <w:rsid w:val="008B3AF3"/>
    <w:rsid w:val="008B4AC4"/>
    <w:rsid w:val="008B50C8"/>
    <w:rsid w:val="008B5281"/>
    <w:rsid w:val="008B7E05"/>
    <w:rsid w:val="008B7FC5"/>
    <w:rsid w:val="008C1797"/>
    <w:rsid w:val="008C219C"/>
    <w:rsid w:val="008C475E"/>
    <w:rsid w:val="008C619A"/>
    <w:rsid w:val="008D0CE8"/>
    <w:rsid w:val="008D1C68"/>
    <w:rsid w:val="008D2D1D"/>
    <w:rsid w:val="008D35B7"/>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E7BE2"/>
    <w:rsid w:val="008F0CDC"/>
    <w:rsid w:val="008F17A3"/>
    <w:rsid w:val="008F1ED3"/>
    <w:rsid w:val="008F23A5"/>
    <w:rsid w:val="008F4C29"/>
    <w:rsid w:val="008F70BD"/>
    <w:rsid w:val="008F788F"/>
    <w:rsid w:val="008F7EA2"/>
    <w:rsid w:val="00902722"/>
    <w:rsid w:val="009027BC"/>
    <w:rsid w:val="00904960"/>
    <w:rsid w:val="009062E6"/>
    <w:rsid w:val="00910CB8"/>
    <w:rsid w:val="00911BE5"/>
    <w:rsid w:val="00913CA9"/>
    <w:rsid w:val="009145AE"/>
    <w:rsid w:val="009146CE"/>
    <w:rsid w:val="00914CA7"/>
    <w:rsid w:val="00915C3E"/>
    <w:rsid w:val="009161A8"/>
    <w:rsid w:val="009224D7"/>
    <w:rsid w:val="009245F5"/>
    <w:rsid w:val="009249EC"/>
    <w:rsid w:val="009273B3"/>
    <w:rsid w:val="009278D7"/>
    <w:rsid w:val="009305B5"/>
    <w:rsid w:val="009341EE"/>
    <w:rsid w:val="009429D5"/>
    <w:rsid w:val="00942BF1"/>
    <w:rsid w:val="009439A5"/>
    <w:rsid w:val="00945180"/>
    <w:rsid w:val="00945428"/>
    <w:rsid w:val="0094607B"/>
    <w:rsid w:val="00950DCC"/>
    <w:rsid w:val="009525B7"/>
    <w:rsid w:val="00953604"/>
    <w:rsid w:val="0095496B"/>
    <w:rsid w:val="009610DC"/>
    <w:rsid w:val="00961490"/>
    <w:rsid w:val="0096381A"/>
    <w:rsid w:val="00965C06"/>
    <w:rsid w:val="00965D08"/>
    <w:rsid w:val="00965E04"/>
    <w:rsid w:val="009674AD"/>
    <w:rsid w:val="00970CDC"/>
    <w:rsid w:val="00972314"/>
    <w:rsid w:val="00974B74"/>
    <w:rsid w:val="00977010"/>
    <w:rsid w:val="00977D02"/>
    <w:rsid w:val="00977EFB"/>
    <w:rsid w:val="009809BB"/>
    <w:rsid w:val="0098364B"/>
    <w:rsid w:val="009855C6"/>
    <w:rsid w:val="009872FC"/>
    <w:rsid w:val="009878C5"/>
    <w:rsid w:val="009911AF"/>
    <w:rsid w:val="00991875"/>
    <w:rsid w:val="00991F92"/>
    <w:rsid w:val="00992985"/>
    <w:rsid w:val="00993889"/>
    <w:rsid w:val="00994BB7"/>
    <w:rsid w:val="0099551B"/>
    <w:rsid w:val="00997BF1"/>
    <w:rsid w:val="009A089C"/>
    <w:rsid w:val="009A118E"/>
    <w:rsid w:val="009A21CD"/>
    <w:rsid w:val="009A278C"/>
    <w:rsid w:val="009A2BC2"/>
    <w:rsid w:val="009A42C1"/>
    <w:rsid w:val="009A5429"/>
    <w:rsid w:val="009A72AD"/>
    <w:rsid w:val="009B09C0"/>
    <w:rsid w:val="009B09E0"/>
    <w:rsid w:val="009B0BC5"/>
    <w:rsid w:val="009B1247"/>
    <w:rsid w:val="009B6029"/>
    <w:rsid w:val="009B6971"/>
    <w:rsid w:val="009C27F1"/>
    <w:rsid w:val="009C3152"/>
    <w:rsid w:val="009C4B7A"/>
    <w:rsid w:val="009C4CFA"/>
    <w:rsid w:val="009C5070"/>
    <w:rsid w:val="009C7A71"/>
    <w:rsid w:val="009D112C"/>
    <w:rsid w:val="009D2926"/>
    <w:rsid w:val="009D47FA"/>
    <w:rsid w:val="009D4C5B"/>
    <w:rsid w:val="009D50D2"/>
    <w:rsid w:val="009D6A43"/>
    <w:rsid w:val="009D6BCA"/>
    <w:rsid w:val="009E0F62"/>
    <w:rsid w:val="009E4A58"/>
    <w:rsid w:val="009E5A2D"/>
    <w:rsid w:val="009E5AB2"/>
    <w:rsid w:val="009E6219"/>
    <w:rsid w:val="009F03B3"/>
    <w:rsid w:val="009F0F45"/>
    <w:rsid w:val="009F3DA7"/>
    <w:rsid w:val="00A0096C"/>
    <w:rsid w:val="00A01757"/>
    <w:rsid w:val="00A028C0"/>
    <w:rsid w:val="00A02BAE"/>
    <w:rsid w:val="00A06A6B"/>
    <w:rsid w:val="00A07E47"/>
    <w:rsid w:val="00A129D0"/>
    <w:rsid w:val="00A12C33"/>
    <w:rsid w:val="00A138BA"/>
    <w:rsid w:val="00A13951"/>
    <w:rsid w:val="00A14C8E"/>
    <w:rsid w:val="00A153D9"/>
    <w:rsid w:val="00A15F09"/>
    <w:rsid w:val="00A169B6"/>
    <w:rsid w:val="00A1779B"/>
    <w:rsid w:val="00A2271D"/>
    <w:rsid w:val="00A237D5"/>
    <w:rsid w:val="00A246F3"/>
    <w:rsid w:val="00A30EFC"/>
    <w:rsid w:val="00A31984"/>
    <w:rsid w:val="00A32D73"/>
    <w:rsid w:val="00A3367B"/>
    <w:rsid w:val="00A340F1"/>
    <w:rsid w:val="00A3597D"/>
    <w:rsid w:val="00A36DD1"/>
    <w:rsid w:val="00A4006C"/>
    <w:rsid w:val="00A40091"/>
    <w:rsid w:val="00A4030F"/>
    <w:rsid w:val="00A41C79"/>
    <w:rsid w:val="00A41CB5"/>
    <w:rsid w:val="00A42CDF"/>
    <w:rsid w:val="00A4452E"/>
    <w:rsid w:val="00A4472C"/>
    <w:rsid w:val="00A44E69"/>
    <w:rsid w:val="00A45248"/>
    <w:rsid w:val="00A4661E"/>
    <w:rsid w:val="00A51E88"/>
    <w:rsid w:val="00A55BD6"/>
    <w:rsid w:val="00A55D50"/>
    <w:rsid w:val="00A57142"/>
    <w:rsid w:val="00A57F0D"/>
    <w:rsid w:val="00A62216"/>
    <w:rsid w:val="00A646CF"/>
    <w:rsid w:val="00A648CD"/>
    <w:rsid w:val="00A6537A"/>
    <w:rsid w:val="00A67866"/>
    <w:rsid w:val="00A70B07"/>
    <w:rsid w:val="00A70DC8"/>
    <w:rsid w:val="00A723F8"/>
    <w:rsid w:val="00A76089"/>
    <w:rsid w:val="00A77320"/>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2C73"/>
    <w:rsid w:val="00AA4286"/>
    <w:rsid w:val="00AA456B"/>
    <w:rsid w:val="00AA57F5"/>
    <w:rsid w:val="00AA672E"/>
    <w:rsid w:val="00AA6EC9"/>
    <w:rsid w:val="00AB41D5"/>
    <w:rsid w:val="00AB6309"/>
    <w:rsid w:val="00AB6C5F"/>
    <w:rsid w:val="00AB7129"/>
    <w:rsid w:val="00AC27A6"/>
    <w:rsid w:val="00AC30F7"/>
    <w:rsid w:val="00AC3A5A"/>
    <w:rsid w:val="00AC4BBB"/>
    <w:rsid w:val="00AC4D95"/>
    <w:rsid w:val="00AC5DF4"/>
    <w:rsid w:val="00AC7FF2"/>
    <w:rsid w:val="00AD0AEF"/>
    <w:rsid w:val="00AD11B7"/>
    <w:rsid w:val="00AD1A94"/>
    <w:rsid w:val="00AD1C05"/>
    <w:rsid w:val="00AD4126"/>
    <w:rsid w:val="00AD421C"/>
    <w:rsid w:val="00AD44FA"/>
    <w:rsid w:val="00AD4D4B"/>
    <w:rsid w:val="00AD5125"/>
    <w:rsid w:val="00AD5BF7"/>
    <w:rsid w:val="00AE0326"/>
    <w:rsid w:val="00AE070A"/>
    <w:rsid w:val="00AE101C"/>
    <w:rsid w:val="00AE37E5"/>
    <w:rsid w:val="00AE51B3"/>
    <w:rsid w:val="00AE5EB4"/>
    <w:rsid w:val="00AF0C18"/>
    <w:rsid w:val="00AF47C5"/>
    <w:rsid w:val="00AF4D20"/>
    <w:rsid w:val="00AF5398"/>
    <w:rsid w:val="00AF6358"/>
    <w:rsid w:val="00B01D4A"/>
    <w:rsid w:val="00B049AF"/>
    <w:rsid w:val="00B07242"/>
    <w:rsid w:val="00B10534"/>
    <w:rsid w:val="00B113DB"/>
    <w:rsid w:val="00B11D8A"/>
    <w:rsid w:val="00B12764"/>
    <w:rsid w:val="00B12981"/>
    <w:rsid w:val="00B12F98"/>
    <w:rsid w:val="00B147DD"/>
    <w:rsid w:val="00B156FD"/>
    <w:rsid w:val="00B16E42"/>
    <w:rsid w:val="00B21F61"/>
    <w:rsid w:val="00B2244A"/>
    <w:rsid w:val="00B22A94"/>
    <w:rsid w:val="00B261F1"/>
    <w:rsid w:val="00B265BC"/>
    <w:rsid w:val="00B31FB1"/>
    <w:rsid w:val="00B33952"/>
    <w:rsid w:val="00B33C5E"/>
    <w:rsid w:val="00B342F4"/>
    <w:rsid w:val="00B34369"/>
    <w:rsid w:val="00B34DC2"/>
    <w:rsid w:val="00B378E5"/>
    <w:rsid w:val="00B4346D"/>
    <w:rsid w:val="00B440F4"/>
    <w:rsid w:val="00B447A5"/>
    <w:rsid w:val="00B4654C"/>
    <w:rsid w:val="00B466EC"/>
    <w:rsid w:val="00B46E32"/>
    <w:rsid w:val="00B47293"/>
    <w:rsid w:val="00B479FF"/>
    <w:rsid w:val="00B50E50"/>
    <w:rsid w:val="00B51505"/>
    <w:rsid w:val="00B52120"/>
    <w:rsid w:val="00B54ABC"/>
    <w:rsid w:val="00B54DDE"/>
    <w:rsid w:val="00B553F2"/>
    <w:rsid w:val="00B56FBE"/>
    <w:rsid w:val="00B57F54"/>
    <w:rsid w:val="00B60ACF"/>
    <w:rsid w:val="00B62B58"/>
    <w:rsid w:val="00B62D98"/>
    <w:rsid w:val="00B645D6"/>
    <w:rsid w:val="00B65149"/>
    <w:rsid w:val="00B66567"/>
    <w:rsid w:val="00B66F52"/>
    <w:rsid w:val="00B66FE5"/>
    <w:rsid w:val="00B72880"/>
    <w:rsid w:val="00B7333F"/>
    <w:rsid w:val="00B758BF"/>
    <w:rsid w:val="00B77EC8"/>
    <w:rsid w:val="00B80F41"/>
    <w:rsid w:val="00B827A6"/>
    <w:rsid w:val="00B831CE"/>
    <w:rsid w:val="00B86677"/>
    <w:rsid w:val="00B87131"/>
    <w:rsid w:val="00B939B1"/>
    <w:rsid w:val="00B96D40"/>
    <w:rsid w:val="00B97386"/>
    <w:rsid w:val="00BA263B"/>
    <w:rsid w:val="00BA3A89"/>
    <w:rsid w:val="00BA42B2"/>
    <w:rsid w:val="00BA58D4"/>
    <w:rsid w:val="00BA5B9E"/>
    <w:rsid w:val="00BA7C9A"/>
    <w:rsid w:val="00BB1969"/>
    <w:rsid w:val="00BB5F8F"/>
    <w:rsid w:val="00BB657A"/>
    <w:rsid w:val="00BC115D"/>
    <w:rsid w:val="00BC1A4E"/>
    <w:rsid w:val="00BC56BD"/>
    <w:rsid w:val="00BC5DC7"/>
    <w:rsid w:val="00BC6B8B"/>
    <w:rsid w:val="00BC73D8"/>
    <w:rsid w:val="00BD52D7"/>
    <w:rsid w:val="00BD5383"/>
    <w:rsid w:val="00BD5AD2"/>
    <w:rsid w:val="00BE22F3"/>
    <w:rsid w:val="00BE4C68"/>
    <w:rsid w:val="00BE5B52"/>
    <w:rsid w:val="00BE7B8D"/>
    <w:rsid w:val="00BF0993"/>
    <w:rsid w:val="00BF0E93"/>
    <w:rsid w:val="00BF10A9"/>
    <w:rsid w:val="00BF1276"/>
    <w:rsid w:val="00BF1703"/>
    <w:rsid w:val="00BF231C"/>
    <w:rsid w:val="00BF2BD4"/>
    <w:rsid w:val="00BF2DFF"/>
    <w:rsid w:val="00BF51E5"/>
    <w:rsid w:val="00BF74A6"/>
    <w:rsid w:val="00BF7846"/>
    <w:rsid w:val="00C013AD"/>
    <w:rsid w:val="00C04904"/>
    <w:rsid w:val="00C056B3"/>
    <w:rsid w:val="00C0575D"/>
    <w:rsid w:val="00C1007D"/>
    <w:rsid w:val="00C103E5"/>
    <w:rsid w:val="00C13319"/>
    <w:rsid w:val="00C13328"/>
    <w:rsid w:val="00C13EE9"/>
    <w:rsid w:val="00C14FC4"/>
    <w:rsid w:val="00C15340"/>
    <w:rsid w:val="00C21540"/>
    <w:rsid w:val="00C21906"/>
    <w:rsid w:val="00C21BFA"/>
    <w:rsid w:val="00C22148"/>
    <w:rsid w:val="00C23DF4"/>
    <w:rsid w:val="00C24C8D"/>
    <w:rsid w:val="00C25FE2"/>
    <w:rsid w:val="00C26B53"/>
    <w:rsid w:val="00C273A1"/>
    <w:rsid w:val="00C279B2"/>
    <w:rsid w:val="00C33E50"/>
    <w:rsid w:val="00C34C20"/>
    <w:rsid w:val="00C35A3E"/>
    <w:rsid w:val="00C375F6"/>
    <w:rsid w:val="00C40436"/>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6756"/>
    <w:rsid w:val="00C80CB8"/>
    <w:rsid w:val="00C819F8"/>
    <w:rsid w:val="00C8248C"/>
    <w:rsid w:val="00C84E33"/>
    <w:rsid w:val="00C8558E"/>
    <w:rsid w:val="00C86D6F"/>
    <w:rsid w:val="00C905FC"/>
    <w:rsid w:val="00C92D03"/>
    <w:rsid w:val="00C9319C"/>
    <w:rsid w:val="00C9435D"/>
    <w:rsid w:val="00C9478E"/>
    <w:rsid w:val="00C94DF2"/>
    <w:rsid w:val="00C96741"/>
    <w:rsid w:val="00C97159"/>
    <w:rsid w:val="00CA2D1B"/>
    <w:rsid w:val="00CA375D"/>
    <w:rsid w:val="00CA662A"/>
    <w:rsid w:val="00CA7AFD"/>
    <w:rsid w:val="00CA7C3C"/>
    <w:rsid w:val="00CB0189"/>
    <w:rsid w:val="00CB0BA2"/>
    <w:rsid w:val="00CB1A42"/>
    <w:rsid w:val="00CB1B0C"/>
    <w:rsid w:val="00CB2C0B"/>
    <w:rsid w:val="00CB517D"/>
    <w:rsid w:val="00CB699F"/>
    <w:rsid w:val="00CC038D"/>
    <w:rsid w:val="00CC08DB"/>
    <w:rsid w:val="00CC39FF"/>
    <w:rsid w:val="00CC3C2F"/>
    <w:rsid w:val="00CC4AC8"/>
    <w:rsid w:val="00CC5233"/>
    <w:rsid w:val="00CC5DE6"/>
    <w:rsid w:val="00CC64D5"/>
    <w:rsid w:val="00CC6E4E"/>
    <w:rsid w:val="00CC6FE8"/>
    <w:rsid w:val="00CC7202"/>
    <w:rsid w:val="00CD2808"/>
    <w:rsid w:val="00CD28BF"/>
    <w:rsid w:val="00CD2C5B"/>
    <w:rsid w:val="00CD2DBE"/>
    <w:rsid w:val="00CD4092"/>
    <w:rsid w:val="00CD4124"/>
    <w:rsid w:val="00CD4A20"/>
    <w:rsid w:val="00CD50A1"/>
    <w:rsid w:val="00CD519E"/>
    <w:rsid w:val="00CE0C4F"/>
    <w:rsid w:val="00CE1582"/>
    <w:rsid w:val="00CE20A9"/>
    <w:rsid w:val="00CE30EA"/>
    <w:rsid w:val="00CF048A"/>
    <w:rsid w:val="00CF1425"/>
    <w:rsid w:val="00CF155A"/>
    <w:rsid w:val="00CF2947"/>
    <w:rsid w:val="00CF3ACB"/>
    <w:rsid w:val="00CF686F"/>
    <w:rsid w:val="00CF6E60"/>
    <w:rsid w:val="00CF709B"/>
    <w:rsid w:val="00CF7BCA"/>
    <w:rsid w:val="00D008FD"/>
    <w:rsid w:val="00D019AD"/>
    <w:rsid w:val="00D0321C"/>
    <w:rsid w:val="00D035EC"/>
    <w:rsid w:val="00D03DA0"/>
    <w:rsid w:val="00D06AB1"/>
    <w:rsid w:val="00D072ED"/>
    <w:rsid w:val="00D07A16"/>
    <w:rsid w:val="00D10582"/>
    <w:rsid w:val="00D1067E"/>
    <w:rsid w:val="00D10F50"/>
    <w:rsid w:val="00D11272"/>
    <w:rsid w:val="00D11810"/>
    <w:rsid w:val="00D126F5"/>
    <w:rsid w:val="00D1489E"/>
    <w:rsid w:val="00D20737"/>
    <w:rsid w:val="00D217B9"/>
    <w:rsid w:val="00D21E81"/>
    <w:rsid w:val="00D223DE"/>
    <w:rsid w:val="00D236A3"/>
    <w:rsid w:val="00D23E57"/>
    <w:rsid w:val="00D25E37"/>
    <w:rsid w:val="00D2661A"/>
    <w:rsid w:val="00D27582"/>
    <w:rsid w:val="00D27EC4"/>
    <w:rsid w:val="00D30B83"/>
    <w:rsid w:val="00D32719"/>
    <w:rsid w:val="00D33333"/>
    <w:rsid w:val="00D33457"/>
    <w:rsid w:val="00D352A2"/>
    <w:rsid w:val="00D4088D"/>
    <w:rsid w:val="00D40CA4"/>
    <w:rsid w:val="00D4162B"/>
    <w:rsid w:val="00D4514F"/>
    <w:rsid w:val="00D451E2"/>
    <w:rsid w:val="00D45E89"/>
    <w:rsid w:val="00D45E8D"/>
    <w:rsid w:val="00D466AE"/>
    <w:rsid w:val="00D4734F"/>
    <w:rsid w:val="00D47845"/>
    <w:rsid w:val="00D51BF3"/>
    <w:rsid w:val="00D54A3B"/>
    <w:rsid w:val="00D632A0"/>
    <w:rsid w:val="00D66846"/>
    <w:rsid w:val="00D675FB"/>
    <w:rsid w:val="00D71F25"/>
    <w:rsid w:val="00D72A9C"/>
    <w:rsid w:val="00D73836"/>
    <w:rsid w:val="00D74554"/>
    <w:rsid w:val="00D746E6"/>
    <w:rsid w:val="00D77031"/>
    <w:rsid w:val="00D84941"/>
    <w:rsid w:val="00D84FA1"/>
    <w:rsid w:val="00D851F0"/>
    <w:rsid w:val="00D86DB7"/>
    <w:rsid w:val="00D926D0"/>
    <w:rsid w:val="00D93030"/>
    <w:rsid w:val="00D9360C"/>
    <w:rsid w:val="00D950E1"/>
    <w:rsid w:val="00D952A6"/>
    <w:rsid w:val="00D95B7E"/>
    <w:rsid w:val="00D97F99"/>
    <w:rsid w:val="00DA1E08"/>
    <w:rsid w:val="00DA24F8"/>
    <w:rsid w:val="00DA28E8"/>
    <w:rsid w:val="00DA38D3"/>
    <w:rsid w:val="00DA3932"/>
    <w:rsid w:val="00DA3AFC"/>
    <w:rsid w:val="00DA64F8"/>
    <w:rsid w:val="00DA6C15"/>
    <w:rsid w:val="00DA7245"/>
    <w:rsid w:val="00DB0258"/>
    <w:rsid w:val="00DB38EE"/>
    <w:rsid w:val="00DB3AD3"/>
    <w:rsid w:val="00DB498B"/>
    <w:rsid w:val="00DB66CA"/>
    <w:rsid w:val="00DB6BCA"/>
    <w:rsid w:val="00DB73F7"/>
    <w:rsid w:val="00DC0321"/>
    <w:rsid w:val="00DC284E"/>
    <w:rsid w:val="00DC3067"/>
    <w:rsid w:val="00DC370B"/>
    <w:rsid w:val="00DC5B90"/>
    <w:rsid w:val="00DC7E94"/>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0E70"/>
    <w:rsid w:val="00DF1961"/>
    <w:rsid w:val="00DF1C60"/>
    <w:rsid w:val="00DF44DE"/>
    <w:rsid w:val="00DF5F11"/>
    <w:rsid w:val="00E01138"/>
    <w:rsid w:val="00E01A91"/>
    <w:rsid w:val="00E02DFB"/>
    <w:rsid w:val="00E030F9"/>
    <w:rsid w:val="00E0311A"/>
    <w:rsid w:val="00E03138"/>
    <w:rsid w:val="00E05D65"/>
    <w:rsid w:val="00E06404"/>
    <w:rsid w:val="00E11A85"/>
    <w:rsid w:val="00E12495"/>
    <w:rsid w:val="00E141B7"/>
    <w:rsid w:val="00E15CCD"/>
    <w:rsid w:val="00E202EF"/>
    <w:rsid w:val="00E210B5"/>
    <w:rsid w:val="00E23D99"/>
    <w:rsid w:val="00E2552F"/>
    <w:rsid w:val="00E26932"/>
    <w:rsid w:val="00E275E0"/>
    <w:rsid w:val="00E3091B"/>
    <w:rsid w:val="00E30CC0"/>
    <w:rsid w:val="00E3137A"/>
    <w:rsid w:val="00E32CCF"/>
    <w:rsid w:val="00E34A98"/>
    <w:rsid w:val="00E35D1E"/>
    <w:rsid w:val="00E364F9"/>
    <w:rsid w:val="00E365FA"/>
    <w:rsid w:val="00E36789"/>
    <w:rsid w:val="00E44A83"/>
    <w:rsid w:val="00E502C1"/>
    <w:rsid w:val="00E502DD"/>
    <w:rsid w:val="00E50D3A"/>
    <w:rsid w:val="00E51387"/>
    <w:rsid w:val="00E517D6"/>
    <w:rsid w:val="00E51E68"/>
    <w:rsid w:val="00E52EFD"/>
    <w:rsid w:val="00E5408A"/>
    <w:rsid w:val="00E56800"/>
    <w:rsid w:val="00E60C63"/>
    <w:rsid w:val="00E60E07"/>
    <w:rsid w:val="00E62FF9"/>
    <w:rsid w:val="00E635D6"/>
    <w:rsid w:val="00E639BC"/>
    <w:rsid w:val="00E64313"/>
    <w:rsid w:val="00E664CC"/>
    <w:rsid w:val="00E70388"/>
    <w:rsid w:val="00E7083D"/>
    <w:rsid w:val="00E70F92"/>
    <w:rsid w:val="00E73BB4"/>
    <w:rsid w:val="00E74C54"/>
    <w:rsid w:val="00E77A03"/>
    <w:rsid w:val="00E822E8"/>
    <w:rsid w:val="00E82554"/>
    <w:rsid w:val="00E82606"/>
    <w:rsid w:val="00E834C2"/>
    <w:rsid w:val="00E837E5"/>
    <w:rsid w:val="00E846C8"/>
    <w:rsid w:val="00E84957"/>
    <w:rsid w:val="00E84A55"/>
    <w:rsid w:val="00E85BFF"/>
    <w:rsid w:val="00E90391"/>
    <w:rsid w:val="00E906C2"/>
    <w:rsid w:val="00E9311F"/>
    <w:rsid w:val="00E934D1"/>
    <w:rsid w:val="00E9416C"/>
    <w:rsid w:val="00E94AF0"/>
    <w:rsid w:val="00E95D13"/>
    <w:rsid w:val="00E95DD3"/>
    <w:rsid w:val="00E969D5"/>
    <w:rsid w:val="00E97A82"/>
    <w:rsid w:val="00EA58D1"/>
    <w:rsid w:val="00EA61BC"/>
    <w:rsid w:val="00EA6435"/>
    <w:rsid w:val="00EA681A"/>
    <w:rsid w:val="00EA735B"/>
    <w:rsid w:val="00EB17DE"/>
    <w:rsid w:val="00EB1E69"/>
    <w:rsid w:val="00EB2086"/>
    <w:rsid w:val="00EB5EDF"/>
    <w:rsid w:val="00EB60FE"/>
    <w:rsid w:val="00EB6AC2"/>
    <w:rsid w:val="00EB74DB"/>
    <w:rsid w:val="00EB7B88"/>
    <w:rsid w:val="00EC5359"/>
    <w:rsid w:val="00EC562A"/>
    <w:rsid w:val="00ED067A"/>
    <w:rsid w:val="00ED2B50"/>
    <w:rsid w:val="00ED7CB7"/>
    <w:rsid w:val="00EE0350"/>
    <w:rsid w:val="00EE0719"/>
    <w:rsid w:val="00EE0E80"/>
    <w:rsid w:val="00EE1725"/>
    <w:rsid w:val="00EE40CF"/>
    <w:rsid w:val="00EE54A6"/>
    <w:rsid w:val="00EE613F"/>
    <w:rsid w:val="00EE7295"/>
    <w:rsid w:val="00EE7869"/>
    <w:rsid w:val="00EE7A04"/>
    <w:rsid w:val="00EE7B5A"/>
    <w:rsid w:val="00EF054A"/>
    <w:rsid w:val="00EF3235"/>
    <w:rsid w:val="00EF7E72"/>
    <w:rsid w:val="00F06D37"/>
    <w:rsid w:val="00F07B9D"/>
    <w:rsid w:val="00F10358"/>
    <w:rsid w:val="00F11586"/>
    <w:rsid w:val="00F1183B"/>
    <w:rsid w:val="00F11C9F"/>
    <w:rsid w:val="00F11E4F"/>
    <w:rsid w:val="00F12263"/>
    <w:rsid w:val="00F1409D"/>
    <w:rsid w:val="00F14214"/>
    <w:rsid w:val="00F157A9"/>
    <w:rsid w:val="00F25BB6"/>
    <w:rsid w:val="00F2676B"/>
    <w:rsid w:val="00F2680D"/>
    <w:rsid w:val="00F26B7E"/>
    <w:rsid w:val="00F27A3B"/>
    <w:rsid w:val="00F316E3"/>
    <w:rsid w:val="00F33817"/>
    <w:rsid w:val="00F420D5"/>
    <w:rsid w:val="00F44C72"/>
    <w:rsid w:val="00F451EA"/>
    <w:rsid w:val="00F45447"/>
    <w:rsid w:val="00F456C6"/>
    <w:rsid w:val="00F4577B"/>
    <w:rsid w:val="00F46496"/>
    <w:rsid w:val="00F474D0"/>
    <w:rsid w:val="00F50179"/>
    <w:rsid w:val="00F5087C"/>
    <w:rsid w:val="00F515EE"/>
    <w:rsid w:val="00F52DEC"/>
    <w:rsid w:val="00F56511"/>
    <w:rsid w:val="00F6194E"/>
    <w:rsid w:val="00F623AC"/>
    <w:rsid w:val="00F6388E"/>
    <w:rsid w:val="00F6412A"/>
    <w:rsid w:val="00F65893"/>
    <w:rsid w:val="00F66A4A"/>
    <w:rsid w:val="00F67257"/>
    <w:rsid w:val="00F71E22"/>
    <w:rsid w:val="00F72142"/>
    <w:rsid w:val="00F72AE7"/>
    <w:rsid w:val="00F81141"/>
    <w:rsid w:val="00F833BA"/>
    <w:rsid w:val="00F84045"/>
    <w:rsid w:val="00F84258"/>
    <w:rsid w:val="00F84FD0"/>
    <w:rsid w:val="00F859A8"/>
    <w:rsid w:val="00F86D87"/>
    <w:rsid w:val="00F871FC"/>
    <w:rsid w:val="00F9108B"/>
    <w:rsid w:val="00F91349"/>
    <w:rsid w:val="00F92380"/>
    <w:rsid w:val="00F93A8A"/>
    <w:rsid w:val="00F95248"/>
    <w:rsid w:val="00F956A9"/>
    <w:rsid w:val="00F963ED"/>
    <w:rsid w:val="00F966CF"/>
    <w:rsid w:val="00F96CAE"/>
    <w:rsid w:val="00F97C99"/>
    <w:rsid w:val="00FA1F18"/>
    <w:rsid w:val="00FA4DAC"/>
    <w:rsid w:val="00FA662D"/>
    <w:rsid w:val="00FA73B1"/>
    <w:rsid w:val="00FB0CB9"/>
    <w:rsid w:val="00FB1C24"/>
    <w:rsid w:val="00FB231D"/>
    <w:rsid w:val="00FB322B"/>
    <w:rsid w:val="00FB45F1"/>
    <w:rsid w:val="00FB4A72"/>
    <w:rsid w:val="00FB54E8"/>
    <w:rsid w:val="00FB7054"/>
    <w:rsid w:val="00FC01AB"/>
    <w:rsid w:val="00FC0399"/>
    <w:rsid w:val="00FC17B7"/>
    <w:rsid w:val="00FC2CB7"/>
    <w:rsid w:val="00FC4090"/>
    <w:rsid w:val="00FC55B4"/>
    <w:rsid w:val="00FD00E6"/>
    <w:rsid w:val="00FD09A1"/>
    <w:rsid w:val="00FD2A7C"/>
    <w:rsid w:val="00FD4267"/>
    <w:rsid w:val="00FD5048"/>
    <w:rsid w:val="00FD59EB"/>
    <w:rsid w:val="00FD7299"/>
    <w:rsid w:val="00FE1FBE"/>
    <w:rsid w:val="00FE2529"/>
    <w:rsid w:val="00FE3901"/>
    <w:rsid w:val="00FE39D3"/>
    <w:rsid w:val="00FE4BCE"/>
    <w:rsid w:val="00FE54AE"/>
    <w:rsid w:val="00FE576A"/>
    <w:rsid w:val="00FE7E79"/>
    <w:rsid w:val="00FF22A8"/>
    <w:rsid w:val="00FF3E7D"/>
    <w:rsid w:val="00FF5312"/>
    <w:rsid w:val="00FF5B99"/>
    <w:rsid w:val="00FF730C"/>
    <w:rsid w:val="00FF73F4"/>
    <w:rsid w:val="00FF7814"/>
    <w:rsid w:val="00FF7CE4"/>
    <w:rsid w:val="00FF7E39"/>
    <w:rsid w:val="025A5F49"/>
    <w:rsid w:val="079C0106"/>
    <w:rsid w:val="0A975339"/>
    <w:rsid w:val="0B2F34DE"/>
    <w:rsid w:val="12332FF8"/>
    <w:rsid w:val="178169D1"/>
    <w:rsid w:val="19F77607"/>
    <w:rsid w:val="19FC63B9"/>
    <w:rsid w:val="1B18764C"/>
    <w:rsid w:val="1E5742A8"/>
    <w:rsid w:val="263537A8"/>
    <w:rsid w:val="27AD45D6"/>
    <w:rsid w:val="2F6B15C4"/>
    <w:rsid w:val="2F9257C7"/>
    <w:rsid w:val="338145ED"/>
    <w:rsid w:val="33E80DE1"/>
    <w:rsid w:val="38663170"/>
    <w:rsid w:val="38AA543C"/>
    <w:rsid w:val="38C5276A"/>
    <w:rsid w:val="39A46823"/>
    <w:rsid w:val="404C2229"/>
    <w:rsid w:val="416A4533"/>
    <w:rsid w:val="426B5BFD"/>
    <w:rsid w:val="446B4368"/>
    <w:rsid w:val="4654337F"/>
    <w:rsid w:val="48B005F7"/>
    <w:rsid w:val="4B4734B2"/>
    <w:rsid w:val="4B6E7F64"/>
    <w:rsid w:val="4F310701"/>
    <w:rsid w:val="53D762D1"/>
    <w:rsid w:val="57CC0E5E"/>
    <w:rsid w:val="591C2557"/>
    <w:rsid w:val="59E00D5A"/>
    <w:rsid w:val="5CE37D55"/>
    <w:rsid w:val="62CC4571"/>
    <w:rsid w:val="638451E5"/>
    <w:rsid w:val="642B3519"/>
    <w:rsid w:val="66B617C0"/>
    <w:rsid w:val="6A9F6C4E"/>
    <w:rsid w:val="6B5F6623"/>
    <w:rsid w:val="6D3A487F"/>
    <w:rsid w:val="6D741A8D"/>
    <w:rsid w:val="72004451"/>
    <w:rsid w:val="73A82902"/>
    <w:rsid w:val="73EB6821"/>
    <w:rsid w:val="782F2619"/>
    <w:rsid w:val="7B8E6CC5"/>
    <w:rsid w:val="7D7456FA"/>
    <w:rsid w:val="7EAC2DCA"/>
    <w:rsid w:val="7FEB1D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7"/>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autoRedefine/>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Body Text"/>
    <w:basedOn w:val="1"/>
    <w:link w:val="86"/>
    <w:autoRedefine/>
    <w:qFormat/>
    <w:uiPriority w:val="0"/>
    <w:pPr>
      <w:kinsoku w:val="0"/>
      <w:overflowPunct w:val="0"/>
      <w:autoSpaceDE w:val="0"/>
      <w:autoSpaceDN w:val="0"/>
      <w:spacing w:before="69" w:line="240" w:lineRule="auto"/>
      <w:ind w:left="10"/>
      <w:jc w:val="center"/>
    </w:pPr>
    <w:rPr>
      <w:rFonts w:ascii="Times New Roman" w:hAnsi="Times New Roman"/>
      <w:color w:val="000000" w:themeColor="text1"/>
      <w:kern w:val="0"/>
      <w:sz w:val="18"/>
      <w:szCs w:val="18"/>
      <w14:textFill>
        <w14:solidFill>
          <w14:schemeClr w14:val="tx1"/>
        </w14:solidFill>
      </w14:textFill>
    </w:r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autoRedefine/>
    <w:semiHidden/>
    <w:unhideWhenUsed/>
    <w:qFormat/>
    <w:uiPriority w:val="99"/>
    <w:rPr>
      <w:sz w:val="18"/>
      <w:szCs w:val="18"/>
    </w:rPr>
  </w:style>
  <w:style w:type="paragraph" w:styleId="17">
    <w:name w:val="footer"/>
    <w:basedOn w:val="1"/>
    <w:link w:val="44"/>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autoRedefine/>
    <w:qFormat/>
    <w:uiPriority w:val="99"/>
    <w:pPr>
      <w:framePr w:wrap="notBeside" w:vAnchor="page" w:hAnchor="page" w:x="1372" w:y="568"/>
      <w:adjustRightInd/>
      <w:snapToGrid w:val="0"/>
      <w:spacing w:line="240" w:lineRule="auto"/>
      <w:jc w:val="left"/>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autoRedefine/>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autoRedefine/>
    <w:qFormat/>
    <w:uiPriority w:val="0"/>
    <w:pPr>
      <w:spacing w:before="240" w:after="60"/>
      <w:jc w:val="center"/>
      <w:outlineLvl w:val="0"/>
    </w:pPr>
    <w:rPr>
      <w:rFonts w:ascii="Arial" w:hAnsi="Arial" w:cs="Arial"/>
      <w:b/>
      <w:bCs/>
      <w:sz w:val="32"/>
      <w:szCs w:val="32"/>
    </w:rPr>
  </w:style>
  <w:style w:type="table" w:styleId="27">
    <w:name w:val="Table Grid"/>
    <w:basedOn w:val="26"/>
    <w:autoRedefine/>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autoRedefine/>
    <w:qFormat/>
    <w:uiPriority w:val="22"/>
    <w:rPr>
      <w:b/>
      <w:bCs/>
    </w:rPr>
  </w:style>
  <w:style w:type="character" w:styleId="30">
    <w:name w:val="page number"/>
    <w:autoRedefine/>
    <w:qFormat/>
    <w:uiPriority w:val="0"/>
    <w:rPr>
      <w:rFonts w:ascii="宋体" w:hAnsi="Times New Roman" w:eastAsia="宋体"/>
      <w:sz w:val="18"/>
    </w:rPr>
  </w:style>
  <w:style w:type="character" w:styleId="31">
    <w:name w:val="Emphasis"/>
    <w:autoRedefine/>
    <w:qFormat/>
    <w:uiPriority w:val="20"/>
    <w:rPr>
      <w:i/>
      <w:iCs/>
    </w:rPr>
  </w:style>
  <w:style w:type="character" w:styleId="32">
    <w:name w:val="Hyperlink"/>
    <w:autoRedefine/>
    <w:qFormat/>
    <w:uiPriority w:val="99"/>
    <w:rPr>
      <w:rFonts w:ascii="宋体" w:hAnsi="Times New Roman" w:eastAsia="宋体"/>
      <w:color w:val="auto"/>
      <w:spacing w:val="0"/>
      <w:w w:val="100"/>
      <w:position w:val="0"/>
      <w:sz w:val="21"/>
      <w:u w:val="none"/>
      <w:vertAlign w:val="baseline"/>
    </w:rPr>
  </w:style>
  <w:style w:type="character" w:styleId="33">
    <w:name w:val="footnote reference"/>
    <w:autoRedefine/>
    <w:semiHidden/>
    <w:qFormat/>
    <w:uiPriority w:val="0"/>
    <w:rPr>
      <w:rFonts w:ascii="宋体" w:hAnsi="宋体" w:eastAsia="宋体" w:cs="Times New Roman"/>
      <w:spacing w:val="0"/>
      <w:sz w:val="18"/>
      <w:vertAlign w:val="superscript"/>
    </w:rPr>
  </w:style>
  <w:style w:type="character" w:customStyle="1" w:styleId="34">
    <w:name w:val="标题 1 字符"/>
    <w:link w:val="2"/>
    <w:autoRedefine/>
    <w:qFormat/>
    <w:uiPriority w:val="0"/>
    <w:rPr>
      <w:rFonts w:ascii="Times New Roman" w:hAnsi="Times New Roman" w:eastAsia="宋体" w:cs="Times New Roman"/>
      <w:b/>
      <w:bCs/>
      <w:kern w:val="44"/>
      <w:sz w:val="44"/>
      <w:szCs w:val="44"/>
    </w:rPr>
  </w:style>
  <w:style w:type="character" w:customStyle="1" w:styleId="35">
    <w:name w:val="标题 2 字符"/>
    <w:link w:val="3"/>
    <w:autoRedefine/>
    <w:qFormat/>
    <w:uiPriority w:val="0"/>
    <w:rPr>
      <w:rFonts w:ascii="Arial" w:hAnsi="Arial" w:eastAsia="黑体" w:cs="Times New Roman"/>
      <w:b/>
      <w:bCs/>
      <w:sz w:val="32"/>
      <w:szCs w:val="32"/>
    </w:rPr>
  </w:style>
  <w:style w:type="character" w:customStyle="1" w:styleId="36">
    <w:name w:val="标题 3 字符"/>
    <w:link w:val="4"/>
    <w:autoRedefine/>
    <w:qFormat/>
    <w:uiPriority w:val="0"/>
    <w:rPr>
      <w:rFonts w:ascii="Times New Roman" w:hAnsi="Times New Roman" w:eastAsia="宋体" w:cs="Times New Roman"/>
      <w:b/>
      <w:bCs/>
      <w:sz w:val="32"/>
      <w:szCs w:val="32"/>
    </w:rPr>
  </w:style>
  <w:style w:type="character" w:customStyle="1" w:styleId="37">
    <w:name w:val="标题 4 字符"/>
    <w:link w:val="5"/>
    <w:autoRedefine/>
    <w:qFormat/>
    <w:uiPriority w:val="0"/>
    <w:rPr>
      <w:rFonts w:ascii="Arial" w:hAnsi="Arial" w:eastAsia="黑体" w:cs="Times New Roman"/>
      <w:b/>
      <w:bCs/>
      <w:sz w:val="28"/>
      <w:szCs w:val="28"/>
    </w:rPr>
  </w:style>
  <w:style w:type="character" w:customStyle="1" w:styleId="38">
    <w:name w:val="标题 5 字符"/>
    <w:link w:val="6"/>
    <w:autoRedefine/>
    <w:qFormat/>
    <w:uiPriority w:val="0"/>
    <w:rPr>
      <w:rFonts w:ascii="Times New Roman" w:hAnsi="Times New Roman" w:eastAsia="宋体" w:cs="Times New Roman"/>
      <w:b/>
      <w:bCs/>
      <w:sz w:val="28"/>
      <w:szCs w:val="28"/>
    </w:rPr>
  </w:style>
  <w:style w:type="character" w:customStyle="1" w:styleId="39">
    <w:name w:val="标题 6 字符"/>
    <w:link w:val="7"/>
    <w:autoRedefine/>
    <w:qFormat/>
    <w:uiPriority w:val="0"/>
    <w:rPr>
      <w:rFonts w:ascii="Arial" w:hAnsi="Arial" w:eastAsia="黑体" w:cs="Times New Roman"/>
      <w:b/>
      <w:bCs/>
      <w:sz w:val="24"/>
      <w:szCs w:val="24"/>
    </w:rPr>
  </w:style>
  <w:style w:type="character" w:customStyle="1" w:styleId="40">
    <w:name w:val="标题 7 字符"/>
    <w:link w:val="8"/>
    <w:autoRedefine/>
    <w:qFormat/>
    <w:uiPriority w:val="0"/>
    <w:rPr>
      <w:rFonts w:ascii="Times New Roman" w:hAnsi="Times New Roman" w:eastAsia="宋体" w:cs="Times New Roman"/>
      <w:b/>
      <w:bCs/>
      <w:sz w:val="24"/>
      <w:szCs w:val="24"/>
    </w:rPr>
  </w:style>
  <w:style w:type="character" w:customStyle="1" w:styleId="41">
    <w:name w:val="标题 8 字符"/>
    <w:link w:val="9"/>
    <w:autoRedefine/>
    <w:qFormat/>
    <w:uiPriority w:val="0"/>
    <w:rPr>
      <w:rFonts w:ascii="Arial" w:hAnsi="Arial" w:eastAsia="黑体" w:cs="Times New Roman"/>
      <w:sz w:val="24"/>
      <w:szCs w:val="24"/>
    </w:rPr>
  </w:style>
  <w:style w:type="character" w:customStyle="1" w:styleId="42">
    <w:name w:val="标题 9 字符"/>
    <w:link w:val="10"/>
    <w:autoRedefine/>
    <w:qFormat/>
    <w:uiPriority w:val="0"/>
    <w:rPr>
      <w:rFonts w:ascii="Arial" w:hAnsi="Arial" w:eastAsia="黑体" w:cs="Times New Roman"/>
      <w:szCs w:val="21"/>
    </w:rPr>
  </w:style>
  <w:style w:type="character" w:customStyle="1" w:styleId="43">
    <w:name w:val="页眉 字符"/>
    <w:link w:val="18"/>
    <w:autoRedefine/>
    <w:qFormat/>
    <w:uiPriority w:val="99"/>
    <w:rPr>
      <w:kern w:val="2"/>
      <w:sz w:val="18"/>
      <w:szCs w:val="18"/>
    </w:rPr>
  </w:style>
  <w:style w:type="character" w:customStyle="1" w:styleId="44">
    <w:name w:val="页脚 字符"/>
    <w:link w:val="17"/>
    <w:autoRedefine/>
    <w:qFormat/>
    <w:uiPriority w:val="99"/>
    <w:rPr>
      <w:rFonts w:ascii="宋体" w:hAnsi="Times New Roman" w:eastAsia="宋体" w:cs="Times New Roman"/>
      <w:sz w:val="18"/>
      <w:szCs w:val="18"/>
    </w:rPr>
  </w:style>
  <w:style w:type="character" w:customStyle="1" w:styleId="45">
    <w:name w:val="批注框文本 字符"/>
    <w:link w:val="16"/>
    <w:autoRedefine/>
    <w:semiHidden/>
    <w:qFormat/>
    <w:uiPriority w:val="99"/>
    <w:rPr>
      <w:sz w:val="18"/>
      <w:szCs w:val="18"/>
    </w:rPr>
  </w:style>
  <w:style w:type="paragraph" w:styleId="46">
    <w:name w:val="Quote"/>
    <w:basedOn w:val="1"/>
    <w:next w:val="1"/>
    <w:link w:val="47"/>
    <w:autoRedefine/>
    <w:qFormat/>
    <w:uiPriority w:val="29"/>
    <w:rPr>
      <w:i/>
      <w:iCs/>
      <w:color w:val="000000"/>
    </w:rPr>
  </w:style>
  <w:style w:type="character" w:customStyle="1" w:styleId="47">
    <w:name w:val="引用 字符"/>
    <w:link w:val="46"/>
    <w:autoRedefine/>
    <w:qFormat/>
    <w:uiPriority w:val="29"/>
    <w:rPr>
      <w:i/>
      <w:iCs/>
      <w:color w:val="000000"/>
    </w:rPr>
  </w:style>
  <w:style w:type="character" w:customStyle="1" w:styleId="48">
    <w:name w:val="标题 字符"/>
    <w:link w:val="25"/>
    <w:autoRedefine/>
    <w:qFormat/>
    <w:uiPriority w:val="0"/>
    <w:rPr>
      <w:rFonts w:ascii="Arial" w:hAnsi="Arial" w:eastAsia="宋体" w:cs="Arial"/>
      <w:b/>
      <w:bCs/>
      <w:sz w:val="32"/>
      <w:szCs w:val="32"/>
    </w:rPr>
  </w:style>
  <w:style w:type="paragraph" w:customStyle="1" w:styleId="49">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autoRedefine/>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autoRedefine/>
    <w:qFormat/>
    <w:uiPriority w:val="0"/>
    <w:pPr>
      <w:spacing w:line="0" w:lineRule="atLeast"/>
    </w:pPr>
    <w:rPr>
      <w:rFonts w:ascii="黑体" w:hAnsi="宋体" w:eastAsia="黑体"/>
    </w:rPr>
  </w:style>
  <w:style w:type="paragraph" w:customStyle="1" w:styleId="55">
    <w:name w:val="标准文件_标准正文"/>
    <w:basedOn w:val="1"/>
    <w:next w:val="56"/>
    <w:autoRedefine/>
    <w:qFormat/>
    <w:uiPriority w:val="0"/>
    <w:pPr>
      <w:snapToGrid w:val="0"/>
      <w:ind w:firstLine="200" w:firstLineChars="200"/>
    </w:pPr>
    <w:rPr>
      <w:kern w:val="0"/>
    </w:rPr>
  </w:style>
  <w:style w:type="paragraph" w:customStyle="1" w:styleId="56">
    <w:name w:val="标准文件_段"/>
    <w:link w:val="184"/>
    <w:autoRedefine/>
    <w:qFormat/>
    <w:uiPriority w:val="0"/>
    <w:pPr>
      <w:autoSpaceDE w:val="0"/>
      <w:autoSpaceDN w:val="0"/>
      <w:ind w:firstLine="420" w:firstLineChars="200"/>
      <w:jc w:val="both"/>
    </w:pPr>
    <w:rPr>
      <w:rFonts w:ascii="宋体" w:hAnsi="Times New Roman" w:eastAsia="宋体" w:cs="Times New Roman"/>
      <w:sz w:val="21"/>
      <w:lang w:val="en-GB" w:eastAsia="zh-CN" w:bidi="ar-SA"/>
    </w:rPr>
  </w:style>
  <w:style w:type="paragraph" w:customStyle="1" w:styleId="57">
    <w:name w:val="标准文件_版本"/>
    <w:basedOn w:val="55"/>
    <w:autoRedefine/>
    <w:qFormat/>
    <w:uiPriority w:val="0"/>
    <w:pPr>
      <w:adjustRightInd/>
      <w:snapToGrid/>
      <w:ind w:firstLine="0" w:firstLineChars="0"/>
    </w:pPr>
    <w:rPr>
      <w:rFonts w:ascii="宋体" w:hAnsi="宋体"/>
      <w:kern w:val="2"/>
    </w:rPr>
  </w:style>
  <w:style w:type="paragraph" w:customStyle="1" w:styleId="58">
    <w:name w:val="标准文件_标准部门"/>
    <w:basedOn w:val="1"/>
    <w:autoRedefine/>
    <w:qFormat/>
    <w:uiPriority w:val="0"/>
    <w:pPr>
      <w:jc w:val="center"/>
    </w:pPr>
    <w:rPr>
      <w:rFonts w:ascii="黑体" w:eastAsia="黑体"/>
      <w:kern w:val="0"/>
      <w:sz w:val="44"/>
    </w:rPr>
  </w:style>
  <w:style w:type="paragraph" w:customStyle="1" w:styleId="59">
    <w:name w:val="标准文件_标准代替"/>
    <w:basedOn w:val="1"/>
    <w:next w:val="1"/>
    <w:autoRedefine/>
    <w:qFormat/>
    <w:uiPriority w:val="0"/>
    <w:pPr>
      <w:spacing w:line="310" w:lineRule="exact"/>
      <w:jc w:val="right"/>
    </w:pPr>
    <w:rPr>
      <w:rFonts w:ascii="宋体" w:hAnsi="宋体"/>
      <w:kern w:val="0"/>
    </w:rPr>
  </w:style>
  <w:style w:type="paragraph" w:customStyle="1" w:styleId="60">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autoRedefine/>
    <w:qFormat/>
    <w:uiPriority w:val="0"/>
    <w:pPr>
      <w:jc w:val="left"/>
    </w:pPr>
  </w:style>
  <w:style w:type="paragraph" w:customStyle="1" w:styleId="63">
    <w:name w:val="标准文件_参考文献标题"/>
    <w:basedOn w:val="1"/>
    <w:next w:val="1"/>
    <w:autoRedefine/>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4">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autoRedefine/>
    <w:qFormat/>
    <w:uiPriority w:val="0"/>
    <w:pPr>
      <w:widowControl w:val="0"/>
      <w:numPr>
        <w:ilvl w:val="3"/>
        <w:numId w:val="2"/>
      </w:numPr>
      <w:spacing w:before="156" w:beforeLines="50" w:after="156" w:afterLines="50"/>
      <w:jc w:val="both"/>
      <w:outlineLvl w:val="2"/>
    </w:pPr>
    <w:rPr>
      <w:rFonts w:ascii="黑体" w:hAnsi="Times New Roman" w:eastAsia="黑体" w:cs="Times New Roman"/>
      <w:sz w:val="21"/>
      <w:lang w:val="en-US" w:eastAsia="zh-CN" w:bidi="ar-SA"/>
    </w:rPr>
  </w:style>
  <w:style w:type="character" w:customStyle="1" w:styleId="66">
    <w:name w:val="标准文件_发布"/>
    <w:autoRedefine/>
    <w:qFormat/>
    <w:uiPriority w:val="0"/>
    <w:rPr>
      <w:rFonts w:ascii="黑体" w:eastAsia="黑体"/>
      <w:spacing w:val="0"/>
      <w:w w:val="100"/>
      <w:position w:val="3"/>
      <w:sz w:val="28"/>
    </w:rPr>
  </w:style>
  <w:style w:type="paragraph" w:customStyle="1" w:styleId="67">
    <w:name w:val="标准文件_方框数字列项"/>
    <w:basedOn w:val="56"/>
    <w:autoRedefine/>
    <w:qFormat/>
    <w:uiPriority w:val="0"/>
    <w:pPr>
      <w:numPr>
        <w:ilvl w:val="0"/>
        <w:numId w:val="3"/>
      </w:numPr>
      <w:ind w:firstLine="0"/>
    </w:pPr>
  </w:style>
  <w:style w:type="paragraph" w:customStyle="1" w:styleId="68">
    <w:name w:val="标准文件_封面标准编号"/>
    <w:basedOn w:val="1"/>
    <w:next w:val="59"/>
    <w:autoRedefine/>
    <w:qFormat/>
    <w:uiPriority w:val="0"/>
    <w:pPr>
      <w:spacing w:line="310" w:lineRule="exact"/>
      <w:jc w:val="right"/>
    </w:pPr>
    <w:rPr>
      <w:rFonts w:ascii="黑体" w:eastAsia="黑体"/>
      <w:kern w:val="0"/>
      <w:sz w:val="28"/>
    </w:rPr>
  </w:style>
  <w:style w:type="paragraph" w:customStyle="1" w:styleId="69">
    <w:name w:val="标准文件_封面标准分类号"/>
    <w:basedOn w:val="1"/>
    <w:autoRedefine/>
    <w:qFormat/>
    <w:uiPriority w:val="0"/>
    <w:rPr>
      <w:rFonts w:ascii="黑体" w:eastAsia="黑体"/>
      <w:b/>
      <w:kern w:val="0"/>
      <w:sz w:val="28"/>
    </w:rPr>
  </w:style>
  <w:style w:type="paragraph" w:customStyle="1" w:styleId="70">
    <w:name w:val="标准文件_封面标准名称"/>
    <w:basedOn w:val="1"/>
    <w:autoRedefine/>
    <w:qFormat/>
    <w:uiPriority w:val="0"/>
    <w:pPr>
      <w:spacing w:line="240" w:lineRule="auto"/>
      <w:jc w:val="center"/>
    </w:pPr>
    <w:rPr>
      <w:rFonts w:ascii="黑体" w:eastAsia="黑体"/>
      <w:kern w:val="0"/>
      <w:sz w:val="52"/>
    </w:rPr>
  </w:style>
  <w:style w:type="paragraph" w:customStyle="1" w:styleId="71">
    <w:name w:val="标准文件_封面标准英文名称"/>
    <w:basedOn w:val="1"/>
    <w:autoRedefine/>
    <w:qFormat/>
    <w:uiPriority w:val="0"/>
    <w:pPr>
      <w:spacing w:line="240" w:lineRule="auto"/>
      <w:jc w:val="center"/>
    </w:pPr>
    <w:rPr>
      <w:rFonts w:ascii="黑体" w:eastAsia="黑体"/>
      <w:b/>
      <w:sz w:val="28"/>
    </w:rPr>
  </w:style>
  <w:style w:type="paragraph" w:customStyle="1" w:styleId="72">
    <w:name w:val="标准文件_封面发布日期"/>
    <w:basedOn w:val="1"/>
    <w:autoRedefine/>
    <w:qFormat/>
    <w:uiPriority w:val="0"/>
    <w:pPr>
      <w:spacing w:line="310" w:lineRule="exact"/>
    </w:pPr>
    <w:rPr>
      <w:rFonts w:ascii="黑体" w:eastAsia="黑体"/>
      <w:kern w:val="0"/>
      <w:sz w:val="28"/>
    </w:rPr>
  </w:style>
  <w:style w:type="paragraph" w:customStyle="1" w:styleId="73">
    <w:name w:val="标准文件_封面密级"/>
    <w:basedOn w:val="1"/>
    <w:autoRedefine/>
    <w:qFormat/>
    <w:uiPriority w:val="0"/>
    <w:rPr>
      <w:rFonts w:eastAsia="黑体"/>
      <w:sz w:val="32"/>
    </w:rPr>
  </w:style>
  <w:style w:type="paragraph" w:customStyle="1" w:styleId="74">
    <w:name w:val="标准文件_封面实施日期"/>
    <w:basedOn w:val="1"/>
    <w:autoRedefine/>
    <w:qFormat/>
    <w:uiPriority w:val="0"/>
    <w:pPr>
      <w:spacing w:line="310" w:lineRule="exact"/>
      <w:jc w:val="right"/>
    </w:pPr>
    <w:rPr>
      <w:rFonts w:ascii="黑体" w:eastAsia="黑体"/>
      <w:sz w:val="28"/>
    </w:rPr>
  </w:style>
  <w:style w:type="paragraph" w:customStyle="1" w:styleId="75">
    <w:name w:val="标准文件_封面抬头"/>
    <w:basedOn w:val="56"/>
    <w:autoRedefine/>
    <w:qFormat/>
    <w:uiPriority w:val="0"/>
    <w:pPr>
      <w:adjustRightInd w:val="0"/>
      <w:spacing w:line="800" w:lineRule="exact"/>
      <w:jc w:val="distribute"/>
    </w:pPr>
    <w:rPr>
      <w:rFonts w:ascii="黑体" w:eastAsia="黑体"/>
      <w:b/>
      <w:sz w:val="64"/>
    </w:rPr>
  </w:style>
  <w:style w:type="paragraph" w:customStyle="1" w:styleId="76">
    <w:name w:val="标准文件_附录标识"/>
    <w:next w:val="56"/>
    <w:autoRedefine/>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autoRedefine/>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autoRedefine/>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autoRedefine/>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autoRedefine/>
    <w:qFormat/>
    <w:uiPriority w:val="0"/>
    <w:rPr>
      <w:color w:val="000000" w:themeColor="text1"/>
      <w:sz w:val="18"/>
      <w:szCs w:val="18"/>
      <w14:textFill>
        <w14:solidFill>
          <w14:schemeClr w14:val="tx1"/>
        </w14:solidFill>
      </w14:textFill>
    </w:rPr>
  </w:style>
  <w:style w:type="paragraph" w:customStyle="1" w:styleId="87">
    <w:name w:val="标准文件_附录章标题"/>
    <w:next w:val="56"/>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autoRedefine/>
    <w:qFormat/>
    <w:uiPriority w:val="0"/>
    <w:pPr>
      <w:ind w:left="488" w:leftChars="200" w:hanging="289" w:hangingChars="290"/>
    </w:pPr>
  </w:style>
  <w:style w:type="paragraph" w:customStyle="1" w:styleId="89">
    <w:name w:val="标准文件_前言、引言标题"/>
    <w:next w:val="1"/>
    <w:autoRedefine/>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autoRedefine/>
    <w:qFormat/>
    <w:uiPriority w:val="0"/>
    <w:pPr>
      <w:spacing w:line="460" w:lineRule="exact"/>
    </w:pPr>
  </w:style>
  <w:style w:type="paragraph" w:customStyle="1" w:styleId="91">
    <w:name w:val="标准文件_目录标题"/>
    <w:basedOn w:val="1"/>
    <w:autoRedefine/>
    <w:qFormat/>
    <w:uiPriority w:val="0"/>
    <w:pPr>
      <w:spacing w:after="150" w:afterLines="150" w:line="240" w:lineRule="auto"/>
      <w:jc w:val="center"/>
    </w:pPr>
    <w:rPr>
      <w:rFonts w:ascii="黑体" w:eastAsia="黑体"/>
      <w:sz w:val="32"/>
    </w:rPr>
  </w:style>
  <w:style w:type="paragraph" w:customStyle="1" w:styleId="92">
    <w:name w:val="标准文件_破折号列项"/>
    <w:autoRedefine/>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autoRedefine/>
    <w:qFormat/>
    <w:uiPriority w:val="0"/>
    <w:pPr>
      <w:numPr>
        <w:numId w:val="10"/>
      </w:numPr>
      <w:ind w:left="0" w:firstLine="200"/>
    </w:pPr>
  </w:style>
  <w:style w:type="paragraph" w:customStyle="1" w:styleId="94">
    <w:name w:val="标准文件_三级条标题"/>
    <w:basedOn w:val="65"/>
    <w:next w:val="56"/>
    <w:autoRedefine/>
    <w:qFormat/>
    <w:uiPriority w:val="0"/>
    <w:pPr>
      <w:widowControl/>
      <w:numPr>
        <w:ilvl w:val="4"/>
      </w:numPr>
      <w:outlineLvl w:val="3"/>
    </w:pPr>
  </w:style>
  <w:style w:type="character" w:customStyle="1" w:styleId="95">
    <w:name w:val="不明显参考1"/>
    <w:autoRedefine/>
    <w:qFormat/>
    <w:uiPriority w:val="31"/>
    <w:rPr>
      <w:smallCaps/>
      <w:color w:val="C0504D"/>
      <w:u w:val="single"/>
    </w:rPr>
  </w:style>
  <w:style w:type="paragraph" w:customStyle="1" w:styleId="96">
    <w:name w:val="标准文件_示例后续"/>
    <w:basedOn w:val="1"/>
    <w:autoRedefine/>
    <w:qFormat/>
    <w:uiPriority w:val="0"/>
    <w:pPr>
      <w:adjustRightInd/>
      <w:spacing w:line="240" w:lineRule="auto"/>
      <w:ind w:firstLine="200" w:firstLineChars="200"/>
    </w:pPr>
    <w:rPr>
      <w:sz w:val="18"/>
      <w:szCs w:val="24"/>
    </w:rPr>
  </w:style>
  <w:style w:type="paragraph" w:customStyle="1" w:styleId="97">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autoRedefine/>
    <w:semiHidden/>
    <w:qFormat/>
    <w:uiPriority w:val="0"/>
    <w:rPr>
      <w:rFonts w:ascii="宋体" w:hAnsi="Times New Roman" w:eastAsia="宋体" w:cs="Times New Roman"/>
      <w:sz w:val="18"/>
      <w:szCs w:val="18"/>
    </w:rPr>
  </w:style>
  <w:style w:type="paragraph" w:customStyle="1" w:styleId="100">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autoRedefine/>
    <w:qFormat/>
    <w:uiPriority w:val="0"/>
    <w:pPr>
      <w:numPr>
        <w:ilvl w:val="0"/>
        <w:numId w:val="12"/>
      </w:numPr>
      <w:spacing w:line="240" w:lineRule="auto"/>
      <w:jc w:val="left"/>
    </w:pPr>
    <w:rPr>
      <w:rFonts w:ascii="宋体" w:hAnsi="宋体"/>
      <w:sz w:val="18"/>
    </w:rPr>
  </w:style>
  <w:style w:type="character" w:customStyle="1" w:styleId="102">
    <w:name w:val="标准文件_图表脚注内容"/>
    <w:autoRedefine/>
    <w:qFormat/>
    <w:uiPriority w:val="0"/>
    <w:rPr>
      <w:rFonts w:ascii="宋体" w:hAnsi="宋体" w:eastAsia="宋体" w:cs="Times New Roman"/>
      <w:spacing w:val="0"/>
      <w:sz w:val="18"/>
      <w:vertAlign w:val="superscript"/>
    </w:rPr>
  </w:style>
  <w:style w:type="paragraph" w:customStyle="1" w:styleId="103">
    <w:name w:val="标准文件_五级条标题"/>
    <w:next w:val="56"/>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autoRedefine/>
    <w:qFormat/>
    <w:uiPriority w:val="0"/>
    <w:pPr>
      <w:numPr>
        <w:ilvl w:val="2"/>
      </w:numPr>
      <w:spacing w:before="156" w:beforeLines="50" w:after="156" w:afterLines="50"/>
      <w:outlineLvl w:val="1"/>
    </w:pPr>
    <w:rPr>
      <w:color w:val="FF0000"/>
      <w:lang w:val="en-GB"/>
    </w:rPr>
  </w:style>
  <w:style w:type="paragraph" w:customStyle="1" w:styleId="106">
    <w:name w:val="标准文件_一致程度"/>
    <w:basedOn w:val="1"/>
    <w:autoRedefine/>
    <w:qFormat/>
    <w:uiPriority w:val="0"/>
    <w:pPr>
      <w:spacing w:line="440" w:lineRule="exact"/>
      <w:jc w:val="center"/>
    </w:pPr>
    <w:rPr>
      <w:sz w:val="28"/>
    </w:rPr>
  </w:style>
  <w:style w:type="paragraph" w:customStyle="1" w:styleId="107">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autoRedefine/>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autoRedefine/>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19">
    <w:name w:val="发布部门"/>
    <w:next w:val="56"/>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autoRedefine/>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autoRedefine/>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pPr>
    <w:rPr>
      <w:rFonts w:ascii="Times New Roman" w:cs="Arial"/>
      <w:szCs w:val="28"/>
    </w:rPr>
  </w:style>
  <w:style w:type="paragraph" w:customStyle="1" w:styleId="169">
    <w:name w:val="标准文件_小写罗马数字编号列项"/>
    <w:basedOn w:val="56"/>
    <w:uiPriority w:val="0"/>
    <w:pPr>
      <w:numPr>
        <w:ilvl w:val="0"/>
        <w:numId w:val="24"/>
      </w:numPr>
      <w:ind w:firstLine="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rPr>
      <w:sz w:val="18"/>
    </w:rPr>
  </w:style>
  <w:style w:type="paragraph" w:customStyle="1" w:styleId="179">
    <w:name w:val="标准文件_注："/>
    <w:next w:val="56"/>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autoRedefine/>
    <w:qFormat/>
    <w:uiPriority w:val="0"/>
    <w:rPr>
      <w:sz w:val="18"/>
    </w:rPr>
  </w:style>
  <w:style w:type="paragraph" w:customStyle="1" w:styleId="183">
    <w:name w:val="标准文件_示例×："/>
    <w:basedOn w:val="1"/>
    <w:next w:val="182"/>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autoRedefine/>
    <w:qFormat/>
    <w:uiPriority w:val="0"/>
    <w:rPr>
      <w:rFonts w:ascii="宋体" w:hAnsi="Times New Roman"/>
      <w:sz w:val="21"/>
      <w:lang w:val="en-GB"/>
    </w:rPr>
  </w:style>
  <w:style w:type="paragraph" w:customStyle="1" w:styleId="185">
    <w:name w:val="标准文件_表格续"/>
    <w:basedOn w:val="56"/>
    <w:next w:val="56"/>
    <w:autoRedefine/>
    <w:qFormat/>
    <w:uiPriority w:val="0"/>
    <w:rPr>
      <w:rFonts w:ascii="黑体" w:hAnsi="黑体" w:eastAsia="黑体"/>
    </w:rPr>
  </w:style>
  <w:style w:type="character" w:styleId="186">
    <w:name w:val="Placeholder Text"/>
    <w:basedOn w:val="28"/>
    <w:autoRedefine/>
    <w:semiHidden/>
    <w:qFormat/>
    <w:uiPriority w:val="99"/>
    <w:rPr>
      <w:color w:val="808080"/>
    </w:rPr>
  </w:style>
  <w:style w:type="paragraph" w:customStyle="1" w:styleId="187">
    <w:name w:val="标准文件_二级项2"/>
    <w:basedOn w:val="56"/>
    <w:autoRedefine/>
    <w:qFormat/>
    <w:uiPriority w:val="0"/>
    <w:pPr>
      <w:numPr>
        <w:ilvl w:val="1"/>
        <w:numId w:val="21"/>
      </w:numPr>
      <w:ind w:left="1271" w:hanging="420"/>
    </w:pPr>
  </w:style>
  <w:style w:type="paragraph" w:customStyle="1" w:styleId="188">
    <w:name w:val="标准文件_三级项2"/>
    <w:basedOn w:val="56"/>
    <w:autoRedefine/>
    <w:qFormat/>
    <w:uiPriority w:val="0"/>
    <w:pPr>
      <w:numPr>
        <w:ilvl w:val="0"/>
        <w:numId w:val="30"/>
      </w:numPr>
      <w:spacing w:line="300" w:lineRule="exact"/>
      <w:ind w:left="1276" w:hanging="425"/>
    </w:pPr>
    <w:rPr>
      <w:rFonts w:ascii="Times New Roman"/>
    </w:rPr>
  </w:style>
  <w:style w:type="paragraph" w:customStyle="1" w:styleId="189">
    <w:name w:val="标准文件_一级项2"/>
    <w:basedOn w:val="56"/>
    <w:autoRedefine/>
    <w:qFormat/>
    <w:uiPriority w:val="0"/>
    <w:pPr>
      <w:numPr>
        <w:ilvl w:val="0"/>
        <w:numId w:val="31"/>
      </w:numPr>
      <w:spacing w:line="300" w:lineRule="exact"/>
      <w:ind w:left="1271" w:hanging="420"/>
    </w:pPr>
    <w:rPr>
      <w:rFonts w:ascii="Times New Roman"/>
    </w:rPr>
  </w:style>
  <w:style w:type="paragraph" w:customStyle="1" w:styleId="190">
    <w:name w:val="标准文件_提示"/>
    <w:basedOn w:val="56"/>
    <w:next w:val="56"/>
    <w:autoRedefine/>
    <w:qFormat/>
    <w:uiPriority w:val="0"/>
    <w:rPr>
      <w:rFonts w:ascii="黑体" w:eastAsia="黑体"/>
    </w:rPr>
  </w:style>
  <w:style w:type="character" w:customStyle="1" w:styleId="191">
    <w:name w:val="标准文件_来源"/>
    <w:basedOn w:val="28"/>
    <w:autoRedefine/>
    <w:qFormat/>
    <w:uiPriority w:val="1"/>
    <w:rPr>
      <w:rFonts w:eastAsia="宋体"/>
      <w:sz w:val="21"/>
    </w:rPr>
  </w:style>
  <w:style w:type="paragraph" w:customStyle="1" w:styleId="192">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autoRedefine/>
    <w:qFormat/>
    <w:uiPriority w:val="0"/>
    <w:pPr>
      <w:framePr w:w="3997" w:h="471" w:hRule="exact" w:hSpace="0" w:vSpace="181" w:wrap="around" w:vAnchor="page" w:hAnchor="page" w:x="1419" w:y="14097"/>
    </w:pPr>
  </w:style>
  <w:style w:type="paragraph" w:customStyle="1" w:styleId="194">
    <w:name w:val="其他实施日期"/>
    <w:basedOn w:val="154"/>
    <w:autoRedefine/>
    <w:qFormat/>
    <w:uiPriority w:val="0"/>
    <w:pPr>
      <w:framePr w:w="3997" w:h="471" w:hRule="exact" w:vSpace="181" w:wrap="around" w:vAnchor="page" w:hAnchor="page" w:x="7089" w:y="14097"/>
    </w:pPr>
  </w:style>
  <w:style w:type="paragraph" w:customStyle="1" w:styleId="195">
    <w:name w:val="标准文件_文件编号"/>
    <w:basedOn w:val="56"/>
    <w:autoRedefine/>
    <w:qFormat/>
    <w:uiPriority w:val="0"/>
    <w:pPr>
      <w:framePr w:w="9356" w:h="624" w:hRule="exact" w:hSpace="181" w:vSpace="181" w:wrap="auto" w:vAnchor="page" w:hAnchor="page" w:x="1419" w:y="3284"/>
      <w:wordWrap w:val="0"/>
      <w:spacing w:line="280" w:lineRule="exact"/>
      <w:jc w:val="right"/>
    </w:pPr>
    <w:rPr>
      <w:rFonts w:ascii="黑体" w:eastAsia="黑体"/>
      <w:bCs/>
      <w:sz w:val="28"/>
      <w:szCs w:val="28"/>
    </w:rPr>
  </w:style>
  <w:style w:type="paragraph" w:customStyle="1" w:styleId="196">
    <w:name w:val="标准文件_替换文件编号"/>
    <w:basedOn w:val="195"/>
    <w:autoRedefine/>
    <w:qFormat/>
    <w:uiPriority w:val="0"/>
    <w:pPr>
      <w:framePr/>
      <w:spacing w:before="57"/>
    </w:pPr>
    <w:rPr>
      <w:sz w:val="21"/>
    </w:rPr>
  </w:style>
  <w:style w:type="paragraph" w:customStyle="1" w:styleId="197">
    <w:name w:val="标准文件_文件名称"/>
    <w:basedOn w:val="56"/>
    <w:next w:val="56"/>
    <w:autoRedefine/>
    <w:qFormat/>
    <w:uiPriority w:val="0"/>
    <w:pPr>
      <w:framePr w:w="9639" w:h="6976" w:hRule="exact" w:wrap="auto" w:vAnchor="page" w:hAnchor="page" w:y="6408"/>
      <w:autoSpaceDE/>
      <w:autoSpaceDN/>
      <w:spacing w:line="700" w:lineRule="exact"/>
    </w:pPr>
    <w:rPr>
      <w:rFonts w:ascii="黑体" w:hAnsi="黑体" w:eastAsia="黑体"/>
      <w:bCs/>
      <w:sz w:val="52"/>
    </w:rPr>
  </w:style>
  <w:style w:type="paragraph" w:customStyle="1" w:styleId="198">
    <w:name w:val="标准文件_附录图标号"/>
    <w:basedOn w:val="56"/>
    <w:next w:val="56"/>
    <w:autoRedefine/>
    <w:qFormat/>
    <w:uiPriority w:val="0"/>
    <w:pPr>
      <w:numPr>
        <w:ilvl w:val="0"/>
        <w:numId w:val="6"/>
      </w:numPr>
      <w:spacing w:line="14" w:lineRule="exact"/>
      <w:ind w:firstLine="0"/>
    </w:pPr>
    <w:rPr>
      <w:rFonts w:ascii="黑体" w:hAnsi="黑体" w:eastAsia="黑体"/>
      <w:vanish/>
      <w:sz w:val="2"/>
      <w:szCs w:val="21"/>
    </w:rPr>
  </w:style>
  <w:style w:type="paragraph" w:customStyle="1" w:styleId="199">
    <w:name w:val="标准文件_附录表标号"/>
    <w:basedOn w:val="56"/>
    <w:next w:val="56"/>
    <w:autoRedefine/>
    <w:qFormat/>
    <w:uiPriority w:val="0"/>
    <w:pPr>
      <w:numPr>
        <w:ilvl w:val="0"/>
        <w:numId w:val="5"/>
      </w:numPr>
      <w:spacing w:line="14" w:lineRule="exact"/>
      <w:ind w:firstLine="0"/>
    </w:pPr>
    <w:rPr>
      <w:rFonts w:eastAsia="黑体"/>
      <w:vanish/>
      <w:sz w:val="2"/>
    </w:rPr>
  </w:style>
  <w:style w:type="paragraph" w:customStyle="1" w:styleId="200">
    <w:name w:val="标准文件_引言一级条标题"/>
    <w:basedOn w:val="56"/>
    <w:next w:val="56"/>
    <w:autoRedefine/>
    <w:qFormat/>
    <w:uiPriority w:val="0"/>
    <w:pPr>
      <w:numPr>
        <w:ilvl w:val="1"/>
        <w:numId w:val="8"/>
      </w:numPr>
      <w:spacing w:before="50" w:beforeLines="50" w:after="50" w:afterLines="50"/>
    </w:pPr>
    <w:rPr>
      <w:rFonts w:ascii="黑体" w:eastAsia="黑体"/>
    </w:rPr>
  </w:style>
  <w:style w:type="paragraph" w:customStyle="1" w:styleId="201">
    <w:name w:val="标准文件_引言二级条标题"/>
    <w:basedOn w:val="56"/>
    <w:next w:val="56"/>
    <w:autoRedefine/>
    <w:qFormat/>
    <w:uiPriority w:val="0"/>
    <w:pPr>
      <w:numPr>
        <w:ilvl w:val="2"/>
        <w:numId w:val="8"/>
      </w:numPr>
      <w:spacing w:before="50" w:beforeLines="50" w:after="50" w:afterLines="50"/>
    </w:pPr>
    <w:rPr>
      <w:rFonts w:ascii="黑体" w:eastAsia="黑体"/>
    </w:rPr>
  </w:style>
  <w:style w:type="paragraph" w:customStyle="1" w:styleId="202">
    <w:name w:val="标准文件_引言三级条标题"/>
    <w:basedOn w:val="56"/>
    <w:next w:val="56"/>
    <w:autoRedefine/>
    <w:qFormat/>
    <w:uiPriority w:val="0"/>
    <w:pPr>
      <w:numPr>
        <w:ilvl w:val="3"/>
        <w:numId w:val="8"/>
      </w:numPr>
      <w:spacing w:before="50" w:beforeLines="50" w:after="50" w:afterLines="50"/>
    </w:pPr>
    <w:rPr>
      <w:rFonts w:ascii="黑体" w:eastAsia="黑体"/>
    </w:rPr>
  </w:style>
  <w:style w:type="paragraph" w:customStyle="1" w:styleId="203">
    <w:name w:val="标准文件_引言四级条标题"/>
    <w:basedOn w:val="56"/>
    <w:next w:val="56"/>
    <w:autoRedefine/>
    <w:qFormat/>
    <w:uiPriority w:val="0"/>
    <w:pPr>
      <w:numPr>
        <w:ilvl w:val="4"/>
        <w:numId w:val="8"/>
      </w:numPr>
      <w:spacing w:before="50" w:beforeLines="50" w:after="50" w:afterLines="50"/>
    </w:pPr>
    <w:rPr>
      <w:rFonts w:ascii="黑体" w:eastAsia="黑体"/>
    </w:rPr>
  </w:style>
  <w:style w:type="paragraph" w:customStyle="1" w:styleId="204">
    <w:name w:val="标准文件_引言五级条标题"/>
    <w:basedOn w:val="56"/>
    <w:next w:val="56"/>
    <w:autoRedefine/>
    <w:qFormat/>
    <w:uiPriority w:val="0"/>
    <w:pPr>
      <w:numPr>
        <w:ilvl w:val="5"/>
        <w:numId w:val="8"/>
      </w:numPr>
      <w:spacing w:before="50" w:beforeLines="50" w:after="50" w:afterLines="50"/>
    </w:pPr>
    <w:rPr>
      <w:rFonts w:ascii="黑体" w:eastAsia="黑体"/>
    </w:rPr>
  </w:style>
  <w:style w:type="paragraph" w:customStyle="1" w:styleId="205">
    <w:name w:val="标准文件_注后"/>
    <w:basedOn w:val="56"/>
    <w:autoRedefine/>
    <w:qFormat/>
    <w:uiPriority w:val="0"/>
    <w:pPr>
      <w:ind w:left="811"/>
    </w:pPr>
    <w:rPr>
      <w:sz w:val="18"/>
    </w:rPr>
  </w:style>
  <w:style w:type="paragraph" w:customStyle="1" w:styleId="206">
    <w:name w:val="标准文件_注X后"/>
    <w:basedOn w:val="56"/>
    <w:autoRedefine/>
    <w:qFormat/>
    <w:uiPriority w:val="0"/>
    <w:pPr>
      <w:ind w:left="811"/>
    </w:pPr>
    <w:rPr>
      <w:sz w:val="18"/>
    </w:rPr>
  </w:style>
  <w:style w:type="paragraph" w:customStyle="1" w:styleId="207">
    <w:name w:val="标准文件_示例后"/>
    <w:basedOn w:val="56"/>
    <w:autoRedefine/>
    <w:qFormat/>
    <w:uiPriority w:val="0"/>
    <w:pPr>
      <w:ind w:left="964"/>
    </w:pPr>
    <w:rPr>
      <w:sz w:val="18"/>
    </w:rPr>
  </w:style>
  <w:style w:type="paragraph" w:customStyle="1" w:styleId="208">
    <w:name w:val="标准文件_示例X后"/>
    <w:basedOn w:val="56"/>
    <w:link w:val="209"/>
    <w:autoRedefine/>
    <w:qFormat/>
    <w:uiPriority w:val="0"/>
    <w:pPr>
      <w:ind w:left="1049"/>
    </w:pPr>
    <w:rPr>
      <w:sz w:val="18"/>
    </w:rPr>
  </w:style>
  <w:style w:type="character" w:customStyle="1" w:styleId="209">
    <w:name w:val="标准文件_示例X后 字符"/>
    <w:basedOn w:val="184"/>
    <w:link w:val="208"/>
    <w:autoRedefine/>
    <w:qFormat/>
    <w:uiPriority w:val="0"/>
    <w:rPr>
      <w:rFonts w:ascii="宋体" w:hAnsi="Times New Roman"/>
      <w:sz w:val="18"/>
      <w:lang w:val="en-GB"/>
    </w:rPr>
  </w:style>
  <w:style w:type="paragraph" w:customStyle="1" w:styleId="210">
    <w:name w:val="标准文件_索引项"/>
    <w:basedOn w:val="56"/>
    <w:next w:val="56"/>
    <w:autoRedefine/>
    <w:qFormat/>
    <w:uiPriority w:val="0"/>
    <w:pPr>
      <w:tabs>
        <w:tab w:val="right" w:leader="dot" w:pos="9356"/>
      </w:tabs>
      <w:ind w:left="210" w:hanging="210"/>
      <w:jc w:val="left"/>
    </w:pPr>
  </w:style>
  <w:style w:type="paragraph" w:customStyle="1" w:styleId="211">
    <w:name w:val="标准文件_附录一级无标题"/>
    <w:basedOn w:val="78"/>
    <w:autoRedefine/>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autoRedefine/>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autoRedefine/>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autoRedefine/>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autoRedefine/>
    <w:qFormat/>
    <w:uiPriority w:val="0"/>
  </w:style>
  <w:style w:type="paragraph" w:customStyle="1" w:styleId="224">
    <w:name w:val="标准文件_术语条二"/>
    <w:basedOn w:val="165"/>
    <w:next w:val="56"/>
    <w:autoRedefine/>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autoRedefine/>
    <w:qFormat/>
    <w:uiPriority w:val="0"/>
  </w:style>
  <w:style w:type="paragraph" w:customStyle="1" w:styleId="227">
    <w:name w:val="标准文件_术语条五"/>
    <w:basedOn w:val="163"/>
    <w:next w:val="56"/>
    <w:qFormat/>
    <w:uiPriority w:val="0"/>
  </w:style>
  <w:style w:type="paragraph" w:customStyle="1" w:styleId="228">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31">
    <w:name w:val="段"/>
    <w:basedOn w:val="1"/>
    <w:qFormat/>
    <w:uiPriority w:val="0"/>
    <w:pPr>
      <w:widowControl/>
      <w:autoSpaceDE w:val="0"/>
      <w:autoSpaceDN w:val="0"/>
      <w:adjustRightInd/>
      <w:spacing w:line="240" w:lineRule="auto"/>
      <w:ind w:firstLine="420" w:firstLineChars="200"/>
      <w:jc w:val="left"/>
    </w:pPr>
    <w:rPr>
      <w:rFonts w:ascii="宋体" w:hAnsi="Times New Roman"/>
      <w:kern w:val="0"/>
    </w:rPr>
  </w:style>
  <w:style w:type="paragraph" w:customStyle="1" w:styleId="232">
    <w:name w:val="章标题"/>
    <w:basedOn w:val="1"/>
    <w:next w:val="231"/>
    <w:qFormat/>
    <w:uiPriority w:val="0"/>
    <w:pPr>
      <w:widowControl/>
      <w:adjustRightInd/>
      <w:spacing w:beforeLines="100" w:afterLines="100" w:line="240" w:lineRule="auto"/>
      <w:ind w:left="210"/>
      <w:outlineLvl w:val="1"/>
    </w:pPr>
    <w:rPr>
      <w:rFonts w:ascii="黑体" w:hAnsi="Times New Roman" w:eastAsia="黑体"/>
      <w:kern w:val="0"/>
    </w:rPr>
  </w:style>
  <w:style w:type="paragraph" w:customStyle="1" w:styleId="233">
    <w:name w:val="一级条标题"/>
    <w:basedOn w:val="1"/>
    <w:next w:val="231"/>
    <w:qFormat/>
    <w:uiPriority w:val="0"/>
    <w:pPr>
      <w:widowControl/>
      <w:adjustRightInd/>
      <w:spacing w:beforeLines="50" w:afterLines="50" w:line="240" w:lineRule="auto"/>
      <w:ind w:left="710"/>
      <w:jc w:val="left"/>
      <w:outlineLvl w:val="2"/>
    </w:pPr>
    <w:rPr>
      <w:rFonts w:ascii="黑体" w:hAnsi="Times New Roman" w:eastAsia="黑体"/>
      <w:kern w:val="0"/>
    </w:rPr>
  </w:style>
  <w:style w:type="paragraph" w:customStyle="1" w:styleId="234">
    <w:name w:val="二级无"/>
    <w:basedOn w:val="1"/>
    <w:qFormat/>
    <w:uiPriority w:val="0"/>
    <w:pPr>
      <w:widowControl/>
      <w:adjustRightInd/>
      <w:spacing w:line="240" w:lineRule="auto"/>
      <w:ind w:left="568"/>
      <w:jc w:val="left"/>
      <w:outlineLvl w:val="3"/>
    </w:pPr>
    <w:rPr>
      <w:rFonts w:ascii="宋体" w:hAnsi="Times New Roman"/>
      <w:kern w:val="0"/>
    </w:rPr>
  </w:style>
  <w:style w:type="paragraph" w:customStyle="1" w:styleId="235">
    <w:name w:val="附录五级条标题"/>
    <w:basedOn w:val="1"/>
    <w:next w:val="1"/>
    <w:qFormat/>
    <w:uiPriority w:val="0"/>
    <w:pPr>
      <w:widowControl/>
      <w:wordWrap w:val="0"/>
      <w:overflowPunct w:val="0"/>
      <w:autoSpaceDE w:val="0"/>
      <w:autoSpaceDN w:val="0"/>
      <w:adjustRightInd/>
      <w:spacing w:beforeLines="50" w:afterLines="50" w:line="240" w:lineRule="auto"/>
      <w:textAlignment w:val="baseline"/>
      <w:outlineLvl w:val="6"/>
    </w:pPr>
    <w:rPr>
      <w:rFonts w:ascii="黑体" w:hAnsi="Times New Roman" w:eastAsia="黑体"/>
      <w:kern w:val="21"/>
    </w:rPr>
  </w:style>
  <w:style w:type="paragraph" w:customStyle="1" w:styleId="236">
    <w:name w:val="附录一级无"/>
    <w:basedOn w:val="1"/>
    <w:qFormat/>
    <w:uiPriority w:val="0"/>
    <w:pPr>
      <w:widowControl/>
      <w:wordWrap w:val="0"/>
      <w:overflowPunct w:val="0"/>
      <w:autoSpaceDE w:val="0"/>
      <w:autoSpaceDN w:val="0"/>
      <w:adjustRightInd/>
      <w:spacing w:line="240" w:lineRule="auto"/>
      <w:jc w:val="center"/>
      <w:textAlignment w:val="baseline"/>
      <w:outlineLvl w:val="2"/>
    </w:pPr>
    <w:rPr>
      <w:rFonts w:ascii="宋体" w:hAnsi="Times New Roman"/>
      <w:kern w:val="21"/>
    </w:rPr>
  </w:style>
  <w:style w:type="paragraph" w:customStyle="1" w:styleId="237">
    <w:name w:val="附录五级无"/>
    <w:basedOn w:val="235"/>
    <w:qFormat/>
    <w:uiPriority w:val="0"/>
    <w:pPr>
      <w:spacing w:beforeLines="0" w:afterLines="0"/>
      <w:jc w:val="left"/>
    </w:pPr>
    <w:rPr>
      <w:rFonts w:ascii="宋体" w:eastAsia="宋体"/>
    </w:rPr>
  </w:style>
  <w:style w:type="paragraph" w:customStyle="1" w:styleId="238">
    <w:name w:val="示例X："/>
    <w:basedOn w:val="1"/>
    <w:autoRedefine/>
    <w:qFormat/>
    <w:uiPriority w:val="0"/>
    <w:pPr>
      <w:numPr>
        <w:ilvl w:val="1"/>
        <w:numId w:val="1"/>
      </w:numPr>
      <w:tabs>
        <w:tab w:val="left" w:pos="1646"/>
      </w:tabs>
      <w:adjustRightInd/>
      <w:spacing w:line="240" w:lineRule="auto"/>
      <w:jc w:val="left"/>
    </w:pPr>
    <w:rPr>
      <w:rFonts w:ascii="宋体" w:hAnsi="Times New Roman"/>
      <w:kern w:val="0"/>
      <w:sz w:val="18"/>
      <w:szCs w:val="20"/>
    </w:rPr>
  </w:style>
  <w:style w:type="paragraph" w:customStyle="1" w:styleId="239">
    <w:name w:val="Table Paragraph"/>
    <w:basedOn w:val="1"/>
    <w:autoRedefine/>
    <w:qFormat/>
    <w:uiPriority w:val="1"/>
    <w:pPr>
      <w:autoSpaceDE w:val="0"/>
      <w:autoSpaceDN w:val="0"/>
      <w:spacing w:line="240" w:lineRule="auto"/>
      <w:jc w:val="left"/>
    </w:pPr>
    <w:rPr>
      <w:rFonts w:ascii="宋体" w:hAnsi="Times New Roman" w:cs="宋体"/>
      <w:kern w:val="0"/>
      <w:sz w:val="24"/>
      <w:szCs w:val="24"/>
    </w:rPr>
  </w:style>
  <w:style w:type="paragraph" w:customStyle="1" w:styleId="240">
    <w:name w:val="列出段落1"/>
    <w:basedOn w:val="1"/>
    <w:autoRedefine/>
    <w:qFormat/>
    <w:uiPriority w:val="1"/>
    <w:pPr>
      <w:autoSpaceDE w:val="0"/>
      <w:autoSpaceDN w:val="0"/>
      <w:spacing w:line="240" w:lineRule="auto"/>
      <w:ind w:left="333"/>
      <w:jc w:val="left"/>
    </w:pPr>
    <w:rPr>
      <w:rFonts w:ascii="宋体" w:hAnsi="Times New Roman" w:cs="宋体"/>
      <w:kern w:val="0"/>
      <w:sz w:val="24"/>
      <w:szCs w:val="24"/>
    </w:rPr>
  </w:style>
  <w:style w:type="paragraph" w:customStyle="1" w:styleId="241">
    <w:name w:val="修订1"/>
    <w:autoRedefine/>
    <w:hidden/>
    <w:unhideWhenUsed/>
    <w:qFormat/>
    <w:uiPriority w:val="99"/>
    <w:rPr>
      <w:rFonts w:ascii="Calibri" w:hAnsi="Calibri" w:eastAsia="宋体" w:cs="Times New Roman"/>
      <w:kern w:val="2"/>
      <w:sz w:val="21"/>
      <w:szCs w:val="21"/>
      <w:lang w:val="en-US" w:eastAsia="zh-CN" w:bidi="ar-SA"/>
    </w:rPr>
  </w:style>
  <w:style w:type="paragraph" w:customStyle="1" w:styleId="242">
    <w:name w:val="修订2"/>
    <w:autoRedefine/>
    <w:hidden/>
    <w:unhideWhenUsed/>
    <w:qFormat/>
    <w:uiPriority w:val="99"/>
    <w:rPr>
      <w:rFonts w:ascii="Calibri" w:hAnsi="Calibri" w:eastAsia="宋体" w:cs="Times New Roman"/>
      <w:kern w:val="2"/>
      <w:sz w:val="21"/>
      <w:szCs w:val="21"/>
      <w:lang w:val="en-US" w:eastAsia="zh-CN" w:bidi="ar-SA"/>
    </w:rPr>
  </w:style>
  <w:style w:type="paragraph" w:customStyle="1" w:styleId="243">
    <w:name w:val="附录标识"/>
    <w:basedOn w:val="1"/>
    <w:next w:val="1"/>
    <w:autoRedefine/>
    <w:qFormat/>
    <w:uiPriority w:val="0"/>
    <w:pPr>
      <w:keepNext/>
      <w:widowControl/>
      <w:shd w:val="clear" w:color="auto" w:fill="FFFFFF"/>
      <w:adjustRightInd/>
      <w:spacing w:before="640" w:after="280" w:line="240" w:lineRule="auto"/>
      <w:jc w:val="center"/>
      <w:outlineLvl w:val="0"/>
    </w:pPr>
    <w:rPr>
      <w:rFonts w:ascii="黑体" w:hAnsi="黑体" w:eastAsia="黑体" w:cs="宋体"/>
      <w:kern w:val="0"/>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glossaryDocument" Target="glossary/document.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6.png"/><Relationship Id="rId2" Type="http://schemas.openxmlformats.org/officeDocument/2006/relationships/settings" Target="settings.xml"/><Relationship Id="rId19" Type="http://schemas.openxmlformats.org/officeDocument/2006/relationships/image" Target="media/image5.emf"/><Relationship Id="rId18" Type="http://schemas.openxmlformats.org/officeDocument/2006/relationships/package" Target="embeddings/Microsoft_Visio___3.vsdx"/><Relationship Id="rId17" Type="http://schemas.openxmlformats.org/officeDocument/2006/relationships/image" Target="media/image4.emf"/><Relationship Id="rId16" Type="http://schemas.openxmlformats.org/officeDocument/2006/relationships/package" Target="embeddings/Microsoft_Visio___2.vsdx"/><Relationship Id="rId15" Type="http://schemas.openxmlformats.org/officeDocument/2006/relationships/image" Target="media/image3.emf"/><Relationship Id="rId14" Type="http://schemas.openxmlformats.org/officeDocument/2006/relationships/package" Target="embeddings/Microsoft_Visio___1.vsdx"/><Relationship Id="rId13" Type="http://schemas.openxmlformats.org/officeDocument/2006/relationships/image" Target="media/image2.emf"/><Relationship Id="rId12" Type="http://schemas.openxmlformats.org/officeDocument/2006/relationships/image" Target="media/image1.tif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F09FD4AB5D94D7A84F88D58253FF242"/>
        <w:style w:val=""/>
        <w:category>
          <w:name w:val="常规"/>
          <w:gallery w:val="placeholder"/>
        </w:category>
        <w:types>
          <w:type w:val="bbPlcHdr"/>
        </w:types>
        <w:behaviors>
          <w:behavior w:val="content"/>
        </w:behaviors>
        <w:description w:val=""/>
        <w:guid w:val="{8160D33E-92A9-44E5-9ABF-269F5C2E7D2F}"/>
      </w:docPartPr>
      <w:docPartBody>
        <w:p w14:paraId="7570D050">
          <w:pPr>
            <w:pStyle w:val="5"/>
            <w:rPr>
              <w:rFonts w:hint="eastAsia"/>
            </w:rPr>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5F51"/>
    <w:rsid w:val="0009199A"/>
    <w:rsid w:val="000F561F"/>
    <w:rsid w:val="00132238"/>
    <w:rsid w:val="00170BDA"/>
    <w:rsid w:val="00176E07"/>
    <w:rsid w:val="00206BA7"/>
    <w:rsid w:val="00220526"/>
    <w:rsid w:val="0023053F"/>
    <w:rsid w:val="00252547"/>
    <w:rsid w:val="002B4BAF"/>
    <w:rsid w:val="002E5772"/>
    <w:rsid w:val="00333378"/>
    <w:rsid w:val="00344FC8"/>
    <w:rsid w:val="00345EA1"/>
    <w:rsid w:val="003756C6"/>
    <w:rsid w:val="0044339A"/>
    <w:rsid w:val="004F1CA0"/>
    <w:rsid w:val="00503ABD"/>
    <w:rsid w:val="0052558F"/>
    <w:rsid w:val="005558B9"/>
    <w:rsid w:val="005727D9"/>
    <w:rsid w:val="005D792A"/>
    <w:rsid w:val="005E064F"/>
    <w:rsid w:val="00610AF9"/>
    <w:rsid w:val="0062060A"/>
    <w:rsid w:val="0062537E"/>
    <w:rsid w:val="00660D90"/>
    <w:rsid w:val="0067653B"/>
    <w:rsid w:val="006C4193"/>
    <w:rsid w:val="006D1376"/>
    <w:rsid w:val="006E7B38"/>
    <w:rsid w:val="00722F12"/>
    <w:rsid w:val="00731AD1"/>
    <w:rsid w:val="00802AC7"/>
    <w:rsid w:val="00881AFF"/>
    <w:rsid w:val="00882BDA"/>
    <w:rsid w:val="00882D39"/>
    <w:rsid w:val="0089051A"/>
    <w:rsid w:val="00892819"/>
    <w:rsid w:val="008D663D"/>
    <w:rsid w:val="00981F92"/>
    <w:rsid w:val="009F6E0F"/>
    <w:rsid w:val="00A40EFA"/>
    <w:rsid w:val="00A501BE"/>
    <w:rsid w:val="00A70DC8"/>
    <w:rsid w:val="00AD16DA"/>
    <w:rsid w:val="00B3551E"/>
    <w:rsid w:val="00B82ED3"/>
    <w:rsid w:val="00BF32DB"/>
    <w:rsid w:val="00BF7846"/>
    <w:rsid w:val="00C05FFB"/>
    <w:rsid w:val="00C07CF0"/>
    <w:rsid w:val="00C467D4"/>
    <w:rsid w:val="00C6523B"/>
    <w:rsid w:val="00C773CE"/>
    <w:rsid w:val="00D12222"/>
    <w:rsid w:val="00D3771C"/>
    <w:rsid w:val="00DB3AD3"/>
    <w:rsid w:val="00DB5F51"/>
    <w:rsid w:val="00DD4ED2"/>
    <w:rsid w:val="00E02790"/>
    <w:rsid w:val="00E11020"/>
    <w:rsid w:val="00E837E5"/>
    <w:rsid w:val="00F37DD1"/>
    <w:rsid w:val="00F5620F"/>
    <w:rsid w:val="00F664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9F09FD4AB5D94D7A84F88D58253FF24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Info spid="_x0000_s1035"/>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F17B0D-6718-44E2-99B8-BB822044DF85}">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7</Pages>
  <Words>2121</Words>
  <Characters>2548</Characters>
  <Lines>21</Lines>
  <Paragraphs>6</Paragraphs>
  <TotalTime>26</TotalTime>
  <ScaleCrop>false</ScaleCrop>
  <LinksUpToDate>false</LinksUpToDate>
  <CharactersWithSpaces>2625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2024-01-05T00:56:00Z</dcterms:created>
  <dc:creator>DELL</dc:creator>
  <dc:description>&lt;config cover="true" show_menu="true" version="1.0.0" doctype="SDKXY"&gt;_x000d_
&lt;/config&gt;</dc:description>
  <cp:lastModifiedBy>mmme</cp:lastModifiedBy>
  <cp:lastPrinted>2024-07-18T10:07:00Z</cp:lastPrinted>
  <dcterms:modified xsi:type="dcterms:W3CDTF">2024-10-11T00:50:00Z</dcterms:modified>
  <dc:title>地方标准</dc:title>
  <cp:revision>305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2052-12.1.0.18276</vt:lpwstr>
  </property>
  <property fmtid="{D5CDD505-2E9C-101B-9397-08002B2CF9AE}" pid="15" name="ICV">
    <vt:lpwstr>ED31111A38E54942ADFB672F729FB91F_12</vt:lpwstr>
  </property>
  <property fmtid="{D5CDD505-2E9C-101B-9397-08002B2CF9AE}" pid="16" name="MTWinEqns">
    <vt:bool>true</vt:bool>
  </property>
</Properties>
</file>