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left" w:pos="420"/>
              </w:tabs>
              <w:spacing w:line="240" w:lineRule="auto"/>
              <w:jc w:val="left"/>
              <w:rPr>
                <w:rFonts w:ascii="黑体" w:hAnsi="黑体" w:eastAsia="黑体"/>
                <w:sz w:val="21"/>
                <w:szCs w:val="21"/>
              </w:rPr>
            </w:pPr>
            <w:r>
              <w:rPr>
                <w:rFonts w:ascii="Times New Roman" w:hAnsi="Times New Roman" w:eastAsia="黑体"/>
                <w:sz w:val="21"/>
                <w:szCs w:val="21"/>
              </w:rPr>
              <w:t>ICS</w:t>
            </w:r>
            <w:r>
              <w:rPr>
                <w:rFonts w:hint="eastAsia" w:ascii="黑体" w:hAnsi="黑体" w:eastAsia="黑体"/>
                <w:sz w:val="21"/>
                <w:szCs w:val="21"/>
              </w:rPr>
              <w:t xml:space="preserve">  </w:t>
            </w:r>
          </w:p>
        </w:tc>
        <w:tc>
          <w:tcPr>
            <w:tcW w:w="8855" w:type="dxa"/>
          </w:tcPr>
          <w:p>
            <w:pPr>
              <w:pStyle w:val="19"/>
              <w:framePr w:wrap="notBeside" w:vAnchor="page" w:hAnchor="page" w:x="1372" w:y="568"/>
              <w:tabs>
                <w:tab w:val="left" w:pos="420"/>
              </w:tabs>
              <w:spacing w:line="240" w:lineRule="auto"/>
              <w:jc w:val="both"/>
              <w:rPr>
                <w:rFonts w:ascii="黑体" w:hAnsi="黑体" w:eastAsia="黑体"/>
                <w:sz w:val="21"/>
                <w:szCs w:val="21"/>
              </w:rPr>
            </w:pPr>
            <w:r>
              <w:rPr>
                <w:rFonts w:hint="eastAsia" w:ascii="黑体" w:hAnsi="黑体" w:eastAsia="黑体"/>
                <w:sz w:val="21"/>
                <w:szCs w:val="21"/>
              </w:rPr>
              <w:fldChar w:fldCharType="begin">
                <w:ffData>
                  <w:name w:val="ICS"/>
                  <w:enabled/>
                  <w:calcOnExit w:val="0"/>
                  <w:textInput>
                    <w:default w:val="点击此处添加ICS号"/>
                  </w:textInput>
                </w:ffData>
              </w:fldChar>
            </w:r>
            <w:bookmarkStart w:id="0" w:name="ICS"/>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13.020.40</w:t>
            </w:r>
            <w:r>
              <w:rPr>
                <w:rFonts w:hint="eastAsia"/>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left" w:pos="420"/>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hint="eastAsia" w:ascii="黑体" w:hAnsi="黑体" w:eastAsia="黑体"/>
                <w:sz w:val="21"/>
                <w:szCs w:val="21"/>
              </w:rPr>
              <w:t xml:space="preserve"> </w:t>
            </w:r>
          </w:p>
        </w:tc>
        <w:tc>
          <w:tcPr>
            <w:tcW w:w="8855" w:type="dxa"/>
          </w:tcPr>
          <w:p>
            <w:pPr>
              <w:pStyle w:val="19"/>
              <w:framePr w:wrap="notBeside" w:vAnchor="page" w:hAnchor="page" w:x="1372" w:y="568"/>
              <w:tabs>
                <w:tab w:val="left" w:pos="420"/>
              </w:tabs>
              <w:spacing w:before="40" w:line="240" w:lineRule="auto"/>
              <w:jc w:val="left"/>
              <w:rPr>
                <w:rFonts w:ascii="黑体" w:hAnsi="黑体" w:eastAsia="黑体"/>
                <w:sz w:val="21"/>
                <w:szCs w:val="21"/>
              </w:rPr>
            </w:pPr>
            <w:r>
              <w:rPr>
                <w:rFonts w:hint="eastAsia"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Z10     </w:t>
            </w:r>
            <w:r>
              <w:rPr>
                <w:rFonts w:hint="eastAsia"/>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2" w:name="_Hlk26473981"/>
            <w:r>
              <w:drawing>
                <wp:inline distT="0" distB="0" distL="0" distR="0">
                  <wp:extent cx="803275" cy="397510"/>
                  <wp:effectExtent l="0" t="0" r="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03275"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6"/>
        <w:framePr w:w="9639" w:h="624" w:hRule="exact" w:hSpace="181" w:vSpace="181" w:wrap="around" w:vAnchor="margin" w:hAnchor="page" w:x="1305" w:y="2269"/>
        <w:rPr>
          <w:rFonts w:ascii="黑体" w:hAnsi="黑体" w:eastAsia="黑体"/>
          <w:b w:val="0"/>
          <w:bCs w:val="0"/>
          <w:w w:val="100"/>
          <w:sz w:val="48"/>
          <w:szCs w:val="48"/>
        </w:rPr>
      </w:pPr>
      <w:r>
        <w:rPr>
          <w:rFonts w:hint="eastAsia"/>
        </w:rPr>
        <w:fldChar w:fldCharType="begin">
          <w:ffData>
            <w:name w:val="c2"/>
            <w:enabled/>
            <w:calcOnExit w:val="0"/>
            <w:textInput/>
          </w:ffData>
        </w:fldChar>
      </w:r>
      <w:bookmarkStart w:id="4" w:name="c2"/>
      <w:r>
        <w:rPr>
          <w:rFonts w:hint="eastAsia" w:ascii="黑体" w:eastAsia="黑体"/>
          <w:b w:val="0"/>
          <w:w w:val="100"/>
          <w:sz w:val="48"/>
        </w:rPr>
        <w:instrText xml:space="preserve"> FORMTEXT </w:instrText>
      </w:r>
      <w:r>
        <w:rPr>
          <w:rFonts w:hint="eastAsia"/>
        </w:rPr>
        <w:fldChar w:fldCharType="separate"/>
      </w:r>
      <w:r>
        <w:rPr>
          <w:rFonts w:hint="eastAsia" w:ascii="黑体" w:eastAsia="黑体"/>
          <w:b w:val="0"/>
          <w:w w:val="100"/>
          <w:sz w:val="48"/>
        </w:rPr>
        <w:t>江苏省</w:t>
      </w:r>
      <w:r>
        <w:rPr>
          <w:rFonts w:hint="eastAsia"/>
        </w:rPr>
        <w:fldChar w:fldCharType="end"/>
      </w:r>
      <w:bookmarkEnd w:id="4"/>
      <w:r>
        <w:rPr>
          <w:rFonts w:hint="eastAsia" w:ascii="黑体" w:hAnsi="黑体" w:eastAsia="黑体"/>
          <w:b w:val="0"/>
          <w:bCs w:val="0"/>
          <w:w w:val="100"/>
          <w:sz w:val="48"/>
          <w:szCs w:val="48"/>
        </w:rPr>
        <w:t>地方标准</w:t>
      </w:r>
    </w:p>
    <w:bookmarkEnd w:id="2"/>
    <w:p>
      <w:pPr>
        <w:pStyle w:val="192"/>
        <w:framePr w:h="624" w:hRule="exact"/>
        <w:rPr>
          <w:lang w:val="fr-FR"/>
        </w:rPr>
      </w:pPr>
      <w:r>
        <w:rPr>
          <w:rFonts w:hint="eastAsia"/>
          <w:lang w:val="fr-FR"/>
        </w:rPr>
        <w:t>DB</w:t>
      </w:r>
      <w:r>
        <w:rPr>
          <w:rFonts w:hint="eastAsia"/>
          <w:sz w:val="15"/>
          <w:szCs w:val="15"/>
          <w:lang w:val="fr-FR"/>
        </w:rPr>
        <w:t xml:space="preserve"> </w:t>
      </w:r>
      <w:r>
        <w:rPr>
          <w:rFonts w:hint="eastAsia"/>
        </w:rPr>
        <w:fldChar w:fldCharType="begin">
          <w:ffData>
            <w:name w:val="文字1"/>
            <w:enabled/>
            <w:calcOnExit w:val="0"/>
            <w:textInput>
              <w:default w:val="XX/T"/>
            </w:textInput>
          </w:ffData>
        </w:fldChar>
      </w:r>
      <w:bookmarkStart w:id="5" w:name="文字1"/>
      <w:r>
        <w:rPr>
          <w:rFonts w:hint="eastAsia"/>
          <w:lang w:val="fr-FR"/>
        </w:rPr>
        <w:instrText xml:space="preserve"> FORMTEXT </w:instrText>
      </w:r>
      <w:r>
        <w:rPr>
          <w:rFonts w:hint="eastAsia"/>
        </w:rPr>
        <w:fldChar w:fldCharType="separate"/>
      </w:r>
      <w:r>
        <w:rPr>
          <w:rFonts w:hint="eastAsia"/>
          <w:lang w:val="fr-FR"/>
        </w:rPr>
        <w:t>XX/T</w:t>
      </w:r>
      <w:r>
        <w:rPr>
          <w:rFonts w:hint="eastAsia"/>
        </w:rPr>
        <w:fldChar w:fldCharType="end"/>
      </w:r>
      <w:bookmarkEnd w:id="5"/>
      <w:r>
        <w:rPr>
          <w:rFonts w:hint="eastAsia"/>
          <w:lang w:val="fr-FR"/>
        </w:rPr>
        <w:t xml:space="preserve"> </w:t>
      </w:r>
      <w:r>
        <w:rPr>
          <w:rFonts w:hint="eastAsia"/>
        </w:rPr>
        <w:fldChar w:fldCharType="begin">
          <w:ffData>
            <w:name w:val="NSTD_CODE_F"/>
            <w:enabled/>
            <w:calcOnExit w:val="0"/>
            <w:textInput>
              <w:default w:val="XXXX"/>
            </w:textInput>
          </w:ffData>
        </w:fldChar>
      </w:r>
      <w:bookmarkStart w:id="6" w:name="NSTD_CODE_F"/>
      <w:r>
        <w:rPr>
          <w:rFonts w:hint="eastAsia"/>
          <w:lang w:val="fr-FR"/>
        </w:rPr>
        <w:instrText xml:space="preserve"> FORMTEXT </w:instrText>
      </w:r>
      <w:r>
        <w:rPr>
          <w:rFonts w:hint="eastAsia"/>
        </w:rPr>
        <w:fldChar w:fldCharType="separate"/>
      </w:r>
      <w:r>
        <w:rPr>
          <w:rFonts w:hint="eastAsia"/>
          <w:lang w:val="fr-FR"/>
        </w:rPr>
        <w:t>XXXX</w:t>
      </w:r>
      <w:r>
        <w:rPr>
          <w:rFonts w:hint="eastAsia"/>
        </w:rPr>
        <w:fldChar w:fldCharType="end"/>
      </w:r>
      <w:bookmarkEnd w:id="6"/>
      <w:r>
        <w:rPr>
          <w:rFonts w:hint="eastAsia" w:hAnsi="黑体"/>
          <w:lang w:val="fr-FR"/>
        </w:rPr>
        <w:t>—</w:t>
      </w:r>
      <w:r>
        <w:rPr>
          <w:rFonts w:hint="eastAsia"/>
        </w:rPr>
        <w:fldChar w:fldCharType="begin">
          <w:ffData>
            <w:name w:val="NSTD_CODE_B"/>
            <w:enabled/>
            <w:calcOnExit w:val="0"/>
            <w:textInput>
              <w:default w:val="XXXX"/>
            </w:textInput>
          </w:ffData>
        </w:fldChar>
      </w:r>
      <w:bookmarkStart w:id="7" w:name="NSTD_CODE_B"/>
      <w:r>
        <w:rPr>
          <w:rFonts w:hint="eastAsia"/>
          <w:lang w:val="fr-FR"/>
        </w:rPr>
        <w:instrText xml:space="preserve"> FORMTEXT </w:instrText>
      </w:r>
      <w:r>
        <w:rPr>
          <w:rFonts w:hint="eastAsia"/>
        </w:rPr>
        <w:fldChar w:fldCharType="separate"/>
      </w:r>
      <w:r>
        <w:rPr>
          <w:rFonts w:hint="eastAsia"/>
          <w:lang w:val="fr-FR"/>
        </w:rPr>
        <w:t>XXXX</w:t>
      </w:r>
      <w:r>
        <w:rPr>
          <w:rFonts w:hint="eastAsia"/>
        </w:rPr>
        <w:fldChar w:fldCharType="end"/>
      </w:r>
      <w:bookmarkEnd w:id="7"/>
    </w:p>
    <w:p>
      <w:pPr>
        <w:pStyle w:val="193"/>
        <w:framePr w:h="624" w:hRule="exact"/>
        <w:rPr>
          <w:rFonts w:hAnsi="黑体"/>
        </w:rPr>
      </w:pPr>
      <w:r>
        <w:rPr>
          <w:rFonts w:hint="eastAsia" w:hAnsi="黑体"/>
        </w:rPr>
        <w:fldChar w:fldCharType="begin">
          <w:ffData>
            <w:name w:val="OSTD_CODE"/>
            <w:enabled/>
            <w:calcOnExit w:val="0"/>
            <w:textInput/>
          </w:ffData>
        </w:fldChar>
      </w:r>
      <w:bookmarkStart w:id="8" w:name="OSTD_CODE"/>
      <w:r>
        <w:rPr>
          <w:rFonts w:hint="eastAsia" w:hAnsi="黑体"/>
        </w:rPr>
        <w:instrText xml:space="preserve"> FORMTEXT </w:instrText>
      </w:r>
      <w:r>
        <w:rPr>
          <w:rFonts w:hint="eastAsia" w:hAnsi="黑体"/>
        </w:rPr>
        <w:fldChar w:fldCharType="separate"/>
      </w:r>
      <w:r>
        <w:rPr>
          <w:rFonts w:hint="eastAsia" w:hAnsi="黑体"/>
        </w:rPr>
        <w:t>     </w:t>
      </w:r>
      <w:r>
        <w:rPr>
          <w:rFonts w:hint="eastAsia"/>
        </w:rPr>
        <w:fldChar w:fldCharType="end"/>
      </w:r>
      <w:bookmarkEnd w:id="8"/>
    </w:p>
    <w:p>
      <w:pPr>
        <w:spacing w:line="240" w:lineRule="auto"/>
        <w:rPr>
          <w:rFonts w:ascii="黑体" w:hAnsi="黑体" w:eastAsia="黑体"/>
          <w:kern w:val="0"/>
          <w:sz w:val="10"/>
          <w:szCs w:val="10"/>
        </w:rPr>
      </w:pPr>
      <w:r>
        <w:rPr>
          <w:rFonts w:hint="eastAsia"/>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pStyle w:val="56"/>
        <w:framePr w:w="9639" w:h="6976" w:hRule="exact" w:hSpace="0" w:vSpace="0" w:wrap="around" w:vAnchor="margin" w:hAnchor="page" w:y="6408"/>
        <w:jc w:val="center"/>
        <w:rPr>
          <w:rFonts w:ascii="黑体" w:hAnsi="黑体" w:eastAsia="黑体"/>
          <w:b w:val="0"/>
          <w:bCs w:val="0"/>
          <w:w w:val="100"/>
        </w:rPr>
      </w:pPr>
    </w:p>
    <w:p>
      <w:pPr>
        <w:pStyle w:val="194"/>
        <w:framePr w:h="6974" w:hRule="exact" w:wrap="around" w:x="1419" w:anchorLock="1"/>
      </w:pPr>
      <w:r>
        <w:rPr>
          <w:rFonts w:hint="eastAsia"/>
        </w:rPr>
        <w:fldChar w:fldCharType="begin">
          <w:ffData>
            <w:name w:val="CSTD_NAME"/>
            <w:enabled/>
            <w:calcOnExit w:val="0"/>
            <w:textInput>
              <w:default w:val="点击此处添加标准名称"/>
            </w:textInput>
          </w:ffData>
        </w:fldChar>
      </w:r>
      <w:bookmarkStart w:id="9" w:name="CSTD_NAME"/>
      <w:r>
        <w:rPr>
          <w:rFonts w:hint="eastAsia"/>
        </w:rPr>
        <w:instrText xml:space="preserve"> FORMTEXT </w:instrText>
      </w:r>
      <w:r>
        <w:rPr>
          <w:rFonts w:hint="eastAsia"/>
        </w:rPr>
        <w:fldChar w:fldCharType="separate"/>
      </w:r>
      <w:r>
        <w:rPr>
          <w:rFonts w:hint="eastAsia"/>
        </w:rPr>
        <w:t>生活垃圾焚烧发电厂烟气排放过程</w:t>
      </w:r>
    </w:p>
    <w:p>
      <w:pPr>
        <w:pStyle w:val="194"/>
        <w:framePr w:h="6974" w:hRule="exact" w:wrap="around" w:x="1419" w:anchorLock="1"/>
      </w:pPr>
      <w:r>
        <w:rPr>
          <w:rFonts w:hint="eastAsia"/>
        </w:rPr>
        <w:t>（工况）自动监控系统技术规范</w:t>
      </w:r>
      <w:r>
        <w:rPr>
          <w:rFonts w:hint="eastAsia"/>
        </w:rP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t xml:space="preserve"> Technical specification for automatic Monitoring of flue gas Emission process (operating status) in domestic municipal solid waste incineration Power Plant</w:t>
      </w:r>
    </w:p>
    <w:p>
      <w:pPr>
        <w:pStyle w:val="127"/>
        <w:framePr w:w="9639" w:h="6974" w:hRule="exact" w:wrap="around" w:vAnchor="page" w:hAnchor="page" w:x="1419" w:y="6408" w:anchorLock="1"/>
        <w:textAlignment w:val="bottom"/>
        <w:rPr>
          <w:rFonts w:eastAsia="黑体"/>
          <w:szCs w:val="28"/>
        </w:rPr>
      </w:pPr>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rFonts w:hint="eastAsia"/>
          <w:sz w:val="24"/>
          <w:szCs w:val="28"/>
        </w:rPr>
        <w:t>（</w:t>
      </w:r>
      <w:r>
        <w:rPr>
          <w:rFonts w:hint="eastAsia"/>
          <w:sz w:val="24"/>
          <w:szCs w:val="28"/>
          <w:lang w:val="en-US" w:eastAsia="zh-CN"/>
        </w:rPr>
        <w:t>报批</w:t>
      </w:r>
      <w:bookmarkStart w:id="59" w:name="_GoBack"/>
      <w:bookmarkEnd w:id="59"/>
      <w:r>
        <w:rPr>
          <w:rFonts w:hint="eastAsia"/>
          <w:sz w:val="24"/>
          <w:szCs w:val="28"/>
        </w:rPr>
        <w:t>稿）</w:t>
      </w:r>
    </w:p>
    <w:p>
      <w:pPr>
        <w:pStyle w:val="127"/>
        <w:framePr w:w="9639" w:h="6974" w:hRule="exact" w:wrap="around" w:vAnchor="page" w:hAnchor="page" w:x="1419" w:y="6408" w:anchorLock="1"/>
        <w:spacing w:before="180" w:line="240" w:lineRule="exac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fldChar w:fldCharType="end"/>
      </w:r>
      <w:bookmarkEnd w:id="10"/>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fldChar w:fldCharType="end"/>
      </w:r>
      <w:bookmarkEnd w:id="11"/>
    </w:p>
    <w:p>
      <w:pPr>
        <w:pStyle w:val="190"/>
        <w:framePr w:h="471" w:hRule="exact" w:wrap="around" w:y="14176"/>
      </w:pPr>
      <w:r>
        <w:rPr>
          <w:rFonts w:hint="eastAsia" w:ascii="黑体"/>
        </w:rPr>
        <w:fldChar w:fldCharType="begin">
          <w:ffData>
            <w:name w:val="PLSH_DATE_Y"/>
            <w:enabled/>
            <w:calcOnExit w:val="0"/>
            <w:textInput>
              <w:default w:val="XXXX"/>
              <w:maxLength w:val="4"/>
            </w:textInput>
          </w:ffData>
        </w:fldChar>
      </w:r>
      <w:bookmarkStart w:id="12" w:name="PLSH_DATE_Y"/>
      <w:r>
        <w:rPr>
          <w:rFonts w:hint="eastAsia" w:ascii="黑体"/>
        </w:rPr>
        <w:instrText xml:space="preserve"> FORMTEXT </w:instrText>
      </w:r>
      <w:r>
        <w:rPr>
          <w:rFonts w:hint="eastAsia" w:ascii="黑体"/>
        </w:rPr>
        <w:fldChar w:fldCharType="separate"/>
      </w:r>
      <w:r>
        <w:rPr>
          <w:rFonts w:hint="eastAsia" w:ascii="黑体"/>
        </w:rPr>
        <w:t>XXXX</w:t>
      </w:r>
      <w:r>
        <w:rPr>
          <w:rFonts w:hint="eastAsia"/>
        </w:rPr>
        <w:fldChar w:fldCharType="end"/>
      </w:r>
      <w:bookmarkEnd w:id="12"/>
      <w:r>
        <w:t xml:space="preserve"> </w:t>
      </w:r>
      <w:r>
        <w:rPr>
          <w:rFonts w:hint="eastAsia" w:ascii="黑体"/>
        </w:rPr>
        <w:t>-</w:t>
      </w:r>
      <w:r>
        <w:t xml:space="preserve"> </w:t>
      </w:r>
      <w:r>
        <w:rPr>
          <w:rFonts w:hint="eastAsia" w:ascii="黑体"/>
        </w:rPr>
        <w:fldChar w:fldCharType="begin">
          <w:ffData>
            <w:name w:val="PLSH_DATE_M"/>
            <w:enabled/>
            <w:calcOnExit w:val="0"/>
            <w:textInput>
              <w:default w:val="XX"/>
              <w:maxLength w:val="2"/>
            </w:textInput>
          </w:ffData>
        </w:fldChar>
      </w:r>
      <w:bookmarkStart w:id="13" w:name="PLSH_DATE_M"/>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3"/>
      <w:r>
        <w:t xml:space="preserve"> </w:t>
      </w:r>
      <w:r>
        <w:rPr>
          <w:rFonts w:hint="eastAsia" w:ascii="黑体"/>
        </w:rPr>
        <w:t>-</w:t>
      </w:r>
      <w:r>
        <w:t xml:space="preserve"> </w:t>
      </w:r>
      <w:r>
        <w:rPr>
          <w:rFonts w:hint="eastAsia" w:ascii="黑体"/>
        </w:rPr>
        <w:fldChar w:fldCharType="begin">
          <w:ffData>
            <w:name w:val="PLSH_DATE_D"/>
            <w:enabled/>
            <w:calcOnExit w:val="0"/>
            <w:textInput>
              <w:default w:val="XX"/>
              <w:maxLength w:val="2"/>
            </w:textInput>
          </w:ffData>
        </w:fldChar>
      </w:r>
      <w:bookmarkStart w:id="14" w:name="PLSH_DATE_D"/>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4"/>
      <w:r>
        <w:rPr>
          <w:rFonts w:hint="eastAsia"/>
        </w:rPr>
        <w:t>发布</w:t>
      </w:r>
    </w:p>
    <w:p>
      <w:pPr>
        <w:pStyle w:val="191"/>
        <w:framePr w:h="471" w:hRule="exact" w:wrap="around" w:y="14176"/>
      </w:pPr>
      <w:r>
        <w:rPr>
          <w:rFonts w:hint="eastAsia" w:ascii="黑体"/>
        </w:rPr>
        <w:fldChar w:fldCharType="begin">
          <w:ffData>
            <w:name w:val="CROT_DATE_Y"/>
            <w:enabled/>
            <w:calcOnExit w:val="0"/>
            <w:textInput>
              <w:default w:val="XXXX"/>
              <w:maxLength w:val="4"/>
            </w:textInput>
          </w:ffData>
        </w:fldChar>
      </w:r>
      <w:bookmarkStart w:id="15" w:name="CROT_DATE_Y"/>
      <w:r>
        <w:rPr>
          <w:rFonts w:hint="eastAsia" w:ascii="黑体"/>
        </w:rPr>
        <w:instrText xml:space="preserve"> FORMTEXT </w:instrText>
      </w:r>
      <w:r>
        <w:rPr>
          <w:rFonts w:hint="eastAsia" w:ascii="黑体"/>
        </w:rPr>
        <w:fldChar w:fldCharType="separate"/>
      </w:r>
      <w:r>
        <w:rPr>
          <w:rFonts w:hint="eastAsia" w:ascii="黑体"/>
        </w:rPr>
        <w:t>XXXX</w:t>
      </w:r>
      <w:r>
        <w:rPr>
          <w:rFonts w:hint="eastAsia"/>
        </w:rPr>
        <w:fldChar w:fldCharType="end"/>
      </w:r>
      <w:bookmarkEnd w:id="15"/>
      <w:r>
        <w:t xml:space="preserve"> </w:t>
      </w:r>
      <w:r>
        <w:rPr>
          <w:rFonts w:hint="eastAsia" w:ascii="黑体"/>
        </w:rPr>
        <w:t>-</w:t>
      </w:r>
      <w:r>
        <w:t xml:space="preserve"> </w:t>
      </w:r>
      <w:r>
        <w:rPr>
          <w:rFonts w:hint="eastAsia" w:ascii="黑体"/>
        </w:rPr>
        <w:fldChar w:fldCharType="begin">
          <w:ffData>
            <w:name w:val="CROT_DATE_M"/>
            <w:enabled/>
            <w:calcOnExit w:val="0"/>
            <w:textInput>
              <w:default w:val="XX"/>
              <w:maxLength w:val="2"/>
            </w:textInput>
          </w:ffData>
        </w:fldChar>
      </w:r>
      <w:bookmarkStart w:id="16" w:name="CROT_DATE_M"/>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6"/>
      <w:r>
        <w:t xml:space="preserve"> </w:t>
      </w:r>
      <w:r>
        <w:rPr>
          <w:rFonts w:hint="eastAsia" w:ascii="黑体"/>
        </w:rPr>
        <w:t>-</w:t>
      </w:r>
      <w:r>
        <w:t xml:space="preserve"> </w:t>
      </w:r>
      <w:r>
        <w:rPr>
          <w:rFonts w:hint="eastAsia" w:ascii="黑体"/>
        </w:rPr>
        <w:fldChar w:fldCharType="begin">
          <w:ffData>
            <w:name w:val="CROT_DATE_D"/>
            <w:enabled/>
            <w:calcOnExit w:val="0"/>
            <w:textInput>
              <w:default w:val="XX"/>
              <w:maxLength w:val="2"/>
            </w:textInput>
          </w:ffData>
        </w:fldChar>
      </w:r>
      <w:bookmarkStart w:id="17" w:name="CROT_DATE_D"/>
      <w:r>
        <w:rPr>
          <w:rFonts w:hint="eastAsia" w:ascii="黑体"/>
        </w:rPr>
        <w:instrText xml:space="preserve"> FORMTEXT </w:instrText>
      </w:r>
      <w:r>
        <w:rPr>
          <w:rFonts w:hint="eastAsia" w:ascii="黑体"/>
        </w:rPr>
        <w:fldChar w:fldCharType="separate"/>
      </w:r>
      <w:r>
        <w:rPr>
          <w:rFonts w:hint="eastAsia" w:ascii="黑体"/>
        </w:rPr>
        <w:t>XX</w:t>
      </w:r>
      <w:r>
        <w:rPr>
          <w:rFonts w:hint="eastAsia"/>
        </w:rPr>
        <w:fldChar w:fldCharType="end"/>
      </w:r>
      <w:bookmarkEnd w:id="17"/>
      <w:r>
        <w:rPr>
          <w:rFonts w:hint="eastAsia"/>
        </w:rPr>
        <w:t>实施</w:t>
      </w:r>
    </w:p>
    <w:p>
      <w:pPr>
        <w:pStyle w:val="151"/>
        <w:framePr w:h="584" w:hRule="exact" w:hSpace="181" w:vSpace="181" w:wrap="around" w:y="15027"/>
        <w:rPr>
          <w:rFonts w:hAnsi="黑体"/>
        </w:rPr>
      </w:pPr>
      <w:r>
        <w:rPr>
          <w:rFonts w:hint="eastAsia" w:hAnsi="黑体"/>
          <w:w w:val="100"/>
          <w:sz w:val="28"/>
        </w:rPr>
        <w:fldChar w:fldCharType="begin">
          <w:ffData>
            <w:name w:val="fm"/>
            <w:enabled/>
            <w:calcOnExit w:val="0"/>
            <w:textInput/>
          </w:ffData>
        </w:fldChar>
      </w:r>
      <w:bookmarkStart w:id="18"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江苏省市场监督管理局</w:t>
      </w:r>
      <w:r>
        <w:rPr>
          <w:rFonts w:hint="eastAsia"/>
        </w:rPr>
        <w:fldChar w:fldCharType="end"/>
      </w:r>
      <w:bookmarkEnd w:id="18"/>
      <w:r>
        <w:rPr>
          <w:rFonts w:ascii="Times New Roman"/>
          <w:w w:val="100"/>
          <w:sz w:val="28"/>
        </w:rPr>
        <w:t>  </w:t>
      </w:r>
      <w:r>
        <w:rPr>
          <w:rStyle w:val="233"/>
          <w:rFonts w:hint="default"/>
          <w:position w:val="0"/>
        </w:rPr>
        <w:t>发</w:t>
      </w:r>
      <w:r>
        <w:rPr>
          <w:rStyle w:val="233"/>
          <w:rFonts w:hint="default"/>
          <w:spacing w:val="0"/>
          <w:position w:val="0"/>
        </w:rPr>
        <w:t>布</w:t>
      </w:r>
    </w:p>
    <w:p>
      <w:pPr>
        <w:rPr>
          <w:rFonts w:ascii="宋体" w:hAnsi="宋体"/>
          <w:sz w:val="28"/>
          <w:szCs w:val="28"/>
        </w:rPr>
      </w:pPr>
      <w:r>
        <w:rPr>
          <w:rFonts w:hint="eastAsia"/>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3"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VaaC8uMB&#10;AACqAwAADgAAAAAAAAABACAAAAAmAQAAZHJzL2Uyb0RvYy54bWxQSwUGAAAAAAYABgBZAQAAewUA&#10;AAAA&#10;">
                <v:fill on="f" focussize="0,0"/>
                <v:stroke color="#000000" joinstyle="round"/>
                <v:imagedata o:title=""/>
                <o:lock v:ext="edit" aspectratio="f"/>
                <w10:anchorlock/>
              </v:line>
            </w:pict>
          </mc:Fallback>
        </mc:AlternateContent>
      </w:r>
    </w:p>
    <w:p>
      <w:pPr>
        <w:widowControl/>
        <w:adjustRightInd/>
        <w:spacing w:line="240" w:lineRule="auto"/>
        <w:jc w:val="left"/>
        <w:rPr>
          <w:rFonts w:ascii="宋体" w:hAnsi="宋体"/>
          <w:sz w:val="28"/>
          <w:szCs w:val="28"/>
        </w:rPr>
        <w:sectPr>
          <w:headerReference r:id="rId8" w:type="first"/>
          <w:footerReference r:id="rId10" w:type="first"/>
          <w:headerReference r:id="rId7" w:type="default"/>
          <w:footerReference r:id="rId9" w:type="even"/>
          <w:pgSz w:w="11906" w:h="16838"/>
          <w:pgMar w:top="-338" w:right="1134" w:bottom="1021" w:left="1134" w:header="0" w:footer="0" w:gutter="284"/>
          <w:cols w:space="425" w:num="1"/>
          <w:titlePg/>
          <w:docGrid w:linePitch="312" w:charSpace="0"/>
        </w:sectPr>
      </w:pPr>
    </w:p>
    <w:p>
      <w:pPr>
        <w:pStyle w:val="96"/>
        <w:spacing w:after="468"/>
      </w:pPr>
      <w:bookmarkStart w:id="19" w:name="BookMark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rPr>
          <w:rFonts w:hint="eastAsia"/>
        </w:rPr>
        <w:fldChar w:fldCharType="begin"/>
      </w:r>
      <w:r>
        <w:rPr>
          <w:rFonts w:hint="eastAsia"/>
        </w:rPr>
        <w:instrText xml:space="preserve"> TOC \o "1-1" \h </w:instrText>
      </w:r>
      <w:r>
        <w:rPr>
          <w:rFonts w:hint="eastAsia"/>
        </w:rPr>
        <w:fldChar w:fldCharType="separate"/>
      </w:r>
      <w:r>
        <w:fldChar w:fldCharType="begin"/>
      </w:r>
      <w:r>
        <w:instrText xml:space="preserve"> HYPERLINK \l "_Toc92141757" </w:instrText>
      </w:r>
      <w:r>
        <w:fldChar w:fldCharType="separate"/>
      </w:r>
      <w:r>
        <w:rPr>
          <w:rStyle w:val="33"/>
          <w:rFonts w:hint="default"/>
        </w:rPr>
        <w:t>前言</w:t>
      </w:r>
      <w:r>
        <w:rPr>
          <w:rStyle w:val="33"/>
          <w:rFonts w:hint="default" w:hAnsi="Calibri"/>
        </w:rPr>
        <w:tab/>
      </w:r>
      <w:r>
        <w:rPr>
          <w:rStyle w:val="33"/>
          <w:rFonts w:hint="default"/>
        </w:rPr>
        <w:fldChar w:fldCharType="begin"/>
      </w:r>
      <w:r>
        <w:rPr>
          <w:rStyle w:val="33"/>
          <w:rFonts w:hint="default" w:hAnsi="Calibri"/>
        </w:rPr>
        <w:instrText xml:space="preserve"> PAGEREF _Toc92141757 \h </w:instrText>
      </w:r>
      <w:r>
        <w:rPr>
          <w:rStyle w:val="33"/>
          <w:rFonts w:hint="default"/>
        </w:rPr>
        <w:fldChar w:fldCharType="separate"/>
      </w:r>
      <w:r>
        <w:rPr>
          <w:rStyle w:val="33"/>
          <w:rFonts w:hint="default" w:hAnsi="Calibri"/>
        </w:rPr>
        <w:t>II</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"_Toc92141758" </w:instrText>
      </w:r>
      <w:r>
        <w:fldChar w:fldCharType="separate"/>
      </w:r>
      <w:r>
        <w:rPr>
          <w:rStyle w:val="33"/>
          <w:rFonts w:hint="default"/>
        </w:rPr>
        <w:t>1  范围</w:t>
      </w:r>
      <w:r>
        <w:rPr>
          <w:rStyle w:val="33"/>
          <w:rFonts w:hint="default" w:hAnsi="Calibri"/>
        </w:rPr>
        <w:tab/>
      </w:r>
      <w:r>
        <w:rPr>
          <w:rStyle w:val="33"/>
          <w:rFonts w:hint="default"/>
        </w:rPr>
        <w:fldChar w:fldCharType="begin"/>
      </w:r>
      <w:r>
        <w:rPr>
          <w:rStyle w:val="33"/>
          <w:rFonts w:hint="default" w:hAnsi="Calibri"/>
        </w:rPr>
        <w:instrText xml:space="preserve"> PAGEREF _Toc92141758 \h </w:instrText>
      </w:r>
      <w:r>
        <w:rPr>
          <w:rStyle w:val="33"/>
          <w:rFonts w:hint="default"/>
        </w:rPr>
        <w:fldChar w:fldCharType="separate"/>
      </w:r>
      <w:r>
        <w:rPr>
          <w:rStyle w:val="33"/>
          <w:rFonts w:hint="default" w:hAnsi="Calibri"/>
        </w:rPr>
        <w:t>1</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"_Toc92141759" </w:instrText>
      </w:r>
      <w:r>
        <w:fldChar w:fldCharType="separate"/>
      </w:r>
      <w:r>
        <w:rPr>
          <w:rStyle w:val="33"/>
          <w:rFonts w:hint="default"/>
        </w:rPr>
        <w:t>2  规范性引用文件</w:t>
      </w:r>
      <w:r>
        <w:rPr>
          <w:rStyle w:val="33"/>
          <w:rFonts w:hint="default" w:hAnsi="Calibri"/>
        </w:rPr>
        <w:tab/>
      </w:r>
      <w:r>
        <w:rPr>
          <w:rStyle w:val="33"/>
          <w:rFonts w:hint="default"/>
        </w:rPr>
        <w:fldChar w:fldCharType="begin"/>
      </w:r>
      <w:r>
        <w:rPr>
          <w:rStyle w:val="33"/>
          <w:rFonts w:hint="default" w:hAnsi="Calibri"/>
        </w:rPr>
        <w:instrText xml:space="preserve"> PAGEREF _Toc92141759 \h </w:instrText>
      </w:r>
      <w:r>
        <w:rPr>
          <w:rStyle w:val="33"/>
          <w:rFonts w:hint="default"/>
        </w:rPr>
        <w:fldChar w:fldCharType="separate"/>
      </w:r>
      <w:r>
        <w:rPr>
          <w:rStyle w:val="33"/>
          <w:rFonts w:hint="default" w:hAnsi="Calibri"/>
        </w:rPr>
        <w:t>1</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"_Toc92141760" </w:instrText>
      </w:r>
      <w:r>
        <w:fldChar w:fldCharType="separate"/>
      </w:r>
      <w:r>
        <w:rPr>
          <w:rStyle w:val="33"/>
          <w:rFonts w:hint="default"/>
        </w:rPr>
        <w:t>3  术语和定义</w:t>
      </w:r>
      <w:r>
        <w:rPr>
          <w:rStyle w:val="33"/>
          <w:rFonts w:hint="default" w:hAnsi="Calibri"/>
        </w:rPr>
        <w:tab/>
      </w:r>
      <w:r>
        <w:rPr>
          <w:rStyle w:val="33"/>
          <w:rFonts w:hint="default"/>
        </w:rPr>
        <w:fldChar w:fldCharType="begin"/>
      </w:r>
      <w:r>
        <w:rPr>
          <w:rStyle w:val="33"/>
          <w:rFonts w:hint="default" w:hAnsi="Calibri"/>
        </w:rPr>
        <w:instrText xml:space="preserve"> PAGEREF _Toc92141760 \h </w:instrText>
      </w:r>
      <w:r>
        <w:rPr>
          <w:rStyle w:val="33"/>
          <w:rFonts w:hint="default"/>
        </w:rPr>
        <w:fldChar w:fldCharType="separate"/>
      </w:r>
      <w:r>
        <w:rPr>
          <w:rStyle w:val="33"/>
          <w:rFonts w:hint="default" w:hAnsi="Calibri"/>
        </w:rPr>
        <w:t>1</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"_Toc92141761" </w:instrText>
      </w:r>
      <w:r>
        <w:fldChar w:fldCharType="separate"/>
      </w:r>
      <w:r>
        <w:rPr>
          <w:rStyle w:val="33"/>
          <w:rFonts w:hint="default"/>
        </w:rPr>
        <w:t xml:space="preserve">4 </w:t>
      </w:r>
      <w:r>
        <w:rPr>
          <w:rStyle w:val="33"/>
          <w:rFonts w:hint="default" w:hAnsi="黑体"/>
        </w:rPr>
        <w:t xml:space="preserve"> 缩略语</w:t>
      </w:r>
      <w:r>
        <w:rPr>
          <w:rStyle w:val="33"/>
          <w:rFonts w:hint="default" w:hAnsi="Calibri"/>
        </w:rPr>
        <w:tab/>
      </w:r>
      <w:r>
        <w:rPr>
          <w:rStyle w:val="33"/>
          <w:rFonts w:hint="default"/>
        </w:rPr>
        <w:fldChar w:fldCharType="begin"/>
      </w:r>
      <w:r>
        <w:rPr>
          <w:rStyle w:val="33"/>
          <w:rFonts w:hint="default" w:hAnsi="Calibri"/>
        </w:rPr>
        <w:instrText xml:space="preserve"> PAGEREF _Toc92141761 \h </w:instrText>
      </w:r>
      <w:r>
        <w:rPr>
          <w:rStyle w:val="33"/>
          <w:rFonts w:hint="default"/>
        </w:rPr>
        <w:fldChar w:fldCharType="separate"/>
      </w:r>
      <w:r>
        <w:rPr>
          <w:rStyle w:val="33"/>
          <w:rFonts w:hint="default" w:hAnsi="Calibri"/>
        </w:rPr>
        <w:t>2</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"_Toc92141761" </w:instrText>
      </w:r>
      <w:r>
        <w:fldChar w:fldCharType="separate"/>
      </w:r>
      <w:r>
        <w:rPr>
          <w:rStyle w:val="33"/>
          <w:rFonts w:hint="default"/>
        </w:rPr>
        <w:t xml:space="preserve">5 </w:t>
      </w:r>
      <w:r>
        <w:rPr>
          <w:rStyle w:val="33"/>
          <w:rFonts w:hint="default" w:hAnsi="黑体"/>
        </w:rPr>
        <w:t xml:space="preserve"> 系统组成</w:t>
      </w:r>
      <w:r>
        <w:rPr>
          <w:rStyle w:val="33"/>
          <w:rFonts w:hint="default" w:hAnsi="Calibri"/>
        </w:rPr>
        <w:tab/>
      </w:r>
      <w:r>
        <w:rPr>
          <w:rStyle w:val="33"/>
          <w:rFonts w:hint="default"/>
        </w:rPr>
        <w:fldChar w:fldCharType="begin"/>
      </w:r>
      <w:r>
        <w:rPr>
          <w:rStyle w:val="33"/>
          <w:rFonts w:hint="default" w:hAnsi="Calibri"/>
        </w:rPr>
        <w:instrText xml:space="preserve"> PAGEREF _Toc92141761 \h </w:instrText>
      </w:r>
      <w:r>
        <w:rPr>
          <w:rStyle w:val="33"/>
          <w:rFonts w:hint="default"/>
        </w:rPr>
        <w:fldChar w:fldCharType="separate"/>
      </w:r>
      <w:r>
        <w:rPr>
          <w:rStyle w:val="33"/>
          <w:rFonts w:hint="default" w:hAnsi="Calibri"/>
        </w:rPr>
        <w:t>2</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"_Toc92141762" </w:instrText>
      </w:r>
      <w:r>
        <w:fldChar w:fldCharType="separate"/>
      </w:r>
      <w:r>
        <w:rPr>
          <w:rStyle w:val="33"/>
          <w:rFonts w:hint="default"/>
        </w:rPr>
        <w:t xml:space="preserve">6 </w:t>
      </w:r>
      <w:r>
        <w:rPr>
          <w:rStyle w:val="33"/>
          <w:rFonts w:hint="default" w:hAnsi="黑体"/>
        </w:rPr>
        <w:t xml:space="preserve"> 建设原则</w:t>
      </w:r>
      <w:r>
        <w:rPr>
          <w:rStyle w:val="33"/>
          <w:rFonts w:hint="default" w:hAnsi="Calibri"/>
        </w:rPr>
        <w:tab/>
      </w:r>
      <w:r>
        <w:rPr>
          <w:rStyle w:val="33"/>
          <w:rFonts w:hint="default"/>
        </w:rPr>
        <w:fldChar w:fldCharType="begin"/>
      </w:r>
      <w:r>
        <w:rPr>
          <w:rStyle w:val="33"/>
          <w:rFonts w:hint="default" w:hAnsi="Calibri"/>
        </w:rPr>
        <w:instrText xml:space="preserve"> PAGEREF _Toc92141762 \h </w:instrText>
      </w:r>
      <w:r>
        <w:rPr>
          <w:rStyle w:val="33"/>
          <w:rFonts w:hint="default"/>
        </w:rPr>
        <w:fldChar w:fldCharType="separate"/>
      </w:r>
      <w:r>
        <w:rPr>
          <w:rStyle w:val="33"/>
          <w:rFonts w:hint="default" w:hAnsi="Calibri"/>
        </w:rPr>
        <w:t>4</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"_Toc92141762" </w:instrText>
      </w:r>
      <w:r>
        <w:fldChar w:fldCharType="separate"/>
      </w:r>
      <w:r>
        <w:rPr>
          <w:rStyle w:val="33"/>
          <w:rFonts w:hint="default"/>
        </w:rPr>
        <w:t xml:space="preserve">7 </w:t>
      </w:r>
      <w:r>
        <w:rPr>
          <w:rStyle w:val="33"/>
          <w:rFonts w:hint="default" w:hAnsi="黑体"/>
        </w:rPr>
        <w:t xml:space="preserve"> 系统要求</w:t>
      </w:r>
      <w:r>
        <w:rPr>
          <w:rStyle w:val="33"/>
          <w:rFonts w:hint="default" w:hAnsi="Calibri"/>
        </w:rPr>
        <w:tab/>
      </w:r>
      <w:r>
        <w:rPr>
          <w:rStyle w:val="33"/>
          <w:rFonts w:hint="default"/>
        </w:rPr>
        <w:fldChar w:fldCharType="begin"/>
      </w:r>
      <w:r>
        <w:rPr>
          <w:rStyle w:val="33"/>
          <w:rFonts w:hint="default" w:hAnsi="Calibri"/>
        </w:rPr>
        <w:instrText xml:space="preserve"> PAGEREF _Toc92141762 \h </w:instrText>
      </w:r>
      <w:r>
        <w:rPr>
          <w:rStyle w:val="33"/>
          <w:rFonts w:hint="default"/>
        </w:rPr>
        <w:fldChar w:fldCharType="separate"/>
      </w:r>
      <w:r>
        <w:rPr>
          <w:rStyle w:val="33"/>
          <w:rFonts w:hint="default" w:hAnsi="Calibri"/>
        </w:rPr>
        <w:t>4</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"_Toc92141763" </w:instrText>
      </w:r>
      <w:r>
        <w:fldChar w:fldCharType="separate"/>
      </w:r>
      <w:r>
        <w:rPr>
          <w:rStyle w:val="33"/>
          <w:rFonts w:hint="default"/>
        </w:rPr>
        <w:t xml:space="preserve">8 </w:t>
      </w:r>
      <w:r>
        <w:rPr>
          <w:rStyle w:val="33"/>
          <w:rFonts w:hint="default" w:hAnsi="黑体"/>
        </w:rPr>
        <w:t xml:space="preserve"> 判定规则</w:t>
      </w:r>
      <w:r>
        <w:rPr>
          <w:rStyle w:val="33"/>
          <w:rFonts w:hint="default" w:hAnsi="Calibri"/>
        </w:rPr>
        <w:tab/>
      </w:r>
      <w:r>
        <w:rPr>
          <w:rStyle w:val="33"/>
          <w:rFonts w:hint="default" w:hAnsi="Calibri"/>
        </w:rPr>
        <w:t>7</w:t>
      </w:r>
      <w:r>
        <w:rPr>
          <w:rStyle w:val="33"/>
          <w:rFonts w:hint="default" w:hAnsi="Calibri"/>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"_Toc92141764" </w:instrText>
      </w:r>
      <w:r>
        <w:fldChar w:fldCharType="separate"/>
      </w:r>
      <w:r>
        <w:rPr>
          <w:rStyle w:val="33"/>
          <w:rFonts w:hint="default"/>
        </w:rPr>
        <w:t>9  验收</w:t>
      </w:r>
      <w:r>
        <w:rPr>
          <w:rStyle w:val="33"/>
          <w:rFonts w:hint="default" w:hAnsi="Calibri"/>
        </w:rPr>
        <w:tab/>
      </w:r>
      <w:r>
        <w:rPr>
          <w:rStyle w:val="33"/>
          <w:rFonts w:hint="default"/>
        </w:rPr>
        <w:fldChar w:fldCharType="begin"/>
      </w:r>
      <w:r>
        <w:rPr>
          <w:rStyle w:val="33"/>
          <w:rFonts w:hint="default" w:hAnsi="Calibri"/>
        </w:rPr>
        <w:instrText xml:space="preserve"> PAGEREF _Toc92141764 \h </w:instrText>
      </w:r>
      <w:r>
        <w:rPr>
          <w:rStyle w:val="33"/>
          <w:rFonts w:hint="default"/>
        </w:rPr>
        <w:fldChar w:fldCharType="separate"/>
      </w:r>
      <w:r>
        <w:rPr>
          <w:rStyle w:val="33"/>
          <w:rFonts w:hint="default" w:hAnsi="Calibri"/>
        </w:rPr>
        <w:t>10</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"_Toc92141765" </w:instrText>
      </w:r>
      <w:r>
        <w:fldChar w:fldCharType="separate"/>
      </w:r>
      <w:r>
        <w:rPr>
          <w:rStyle w:val="33"/>
          <w:rFonts w:hint="default"/>
        </w:rPr>
        <w:t>10  运行管理</w:t>
      </w:r>
      <w:r>
        <w:rPr>
          <w:rStyle w:val="33"/>
          <w:rFonts w:hint="default" w:hAnsi="Calibri"/>
        </w:rPr>
        <w:tab/>
      </w:r>
      <w:r>
        <w:rPr>
          <w:rStyle w:val="33"/>
          <w:rFonts w:hint="default"/>
        </w:rPr>
        <w:fldChar w:fldCharType="begin"/>
      </w:r>
      <w:r>
        <w:rPr>
          <w:rStyle w:val="33"/>
          <w:rFonts w:hint="default" w:hAnsi="Calibri"/>
        </w:rPr>
        <w:instrText xml:space="preserve"> PAGEREF _Toc92141765 \h </w:instrText>
      </w:r>
      <w:r>
        <w:rPr>
          <w:rStyle w:val="33"/>
          <w:rFonts w:hint="default"/>
        </w:rPr>
        <w:fldChar w:fldCharType="separate"/>
      </w:r>
      <w:r>
        <w:rPr>
          <w:rStyle w:val="33"/>
          <w:rFonts w:hint="default" w:hAnsi="Calibri"/>
        </w:rPr>
        <w:t>11</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"_Toc92141766" </w:instrText>
      </w:r>
      <w:r>
        <w:fldChar w:fldCharType="separate"/>
      </w:r>
      <w:r>
        <w:rPr>
          <w:rStyle w:val="33"/>
          <w:rFonts w:hint="default"/>
        </w:rPr>
        <w:t>附录A（资料性）生活垃圾焚烧厂烟气排放过程（工况）关键参数表</w:t>
      </w:r>
      <w:r>
        <w:rPr>
          <w:rStyle w:val="33"/>
          <w:rFonts w:hint="default" w:hAnsi="Calibri"/>
        </w:rPr>
        <w:tab/>
      </w:r>
      <w:r>
        <w:rPr>
          <w:rStyle w:val="33"/>
          <w:rFonts w:hint="default"/>
        </w:rPr>
        <w:fldChar w:fldCharType="begin"/>
      </w:r>
      <w:r>
        <w:rPr>
          <w:rStyle w:val="33"/>
          <w:rFonts w:hint="default" w:hAnsi="Calibri"/>
        </w:rPr>
        <w:instrText xml:space="preserve"> PAGEREF _Toc92141766 \h </w:instrText>
      </w:r>
      <w:r>
        <w:rPr>
          <w:rStyle w:val="33"/>
          <w:rFonts w:hint="default"/>
        </w:rPr>
        <w:fldChar w:fldCharType="separate"/>
      </w:r>
      <w:r>
        <w:rPr>
          <w:rStyle w:val="33"/>
          <w:rFonts w:hint="default" w:hAnsi="Calibri"/>
        </w:rPr>
        <w:t>12</w:t>
      </w:r>
      <w:r>
        <w:rPr>
          <w:rStyle w:val="33"/>
          <w:rFonts w:hint="default"/>
        </w:rPr>
        <w:fldChar w:fldCharType="end"/>
      </w:r>
      <w:r>
        <w:rPr>
          <w:rStyle w:val="33"/>
          <w:rFonts w:hint="default"/>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"_Toc92141767" </w:instrText>
      </w:r>
      <w:r>
        <w:fldChar w:fldCharType="separate"/>
      </w:r>
      <w:r>
        <w:rPr>
          <w:rStyle w:val="33"/>
          <w:rFonts w:hint="default"/>
        </w:rPr>
        <w:t>附录B（规范性）生活垃圾焚烧厂烟气排放过程（工况）监控系统数据传输规范</w:t>
      </w:r>
      <w:r>
        <w:rPr>
          <w:rStyle w:val="33"/>
          <w:rFonts w:hint="default" w:hAnsi="Calibri"/>
        </w:rPr>
        <w:tab/>
      </w:r>
      <w:r>
        <w:rPr>
          <w:rStyle w:val="33"/>
          <w:rFonts w:hint="default" w:hAnsi="Calibri"/>
        </w:rPr>
        <w:t>15</w:t>
      </w:r>
      <w:r>
        <w:rPr>
          <w:rStyle w:val="33"/>
          <w:rFonts w:hint="default" w:hAnsi="Calibri"/>
        </w:rP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"_Toc92141768" </w:instrText>
      </w:r>
      <w:r>
        <w:fldChar w:fldCharType="separate"/>
      </w:r>
      <w:r>
        <w:rPr>
          <w:rStyle w:val="33"/>
          <w:rFonts w:hint="default"/>
        </w:rPr>
        <w:t>附录C（规范性）污染治理设施运行状况判定</w:t>
      </w:r>
      <w:r>
        <w:rPr>
          <w:rStyle w:val="33"/>
          <w:rFonts w:hint="default" w:hAnsi="Calibri"/>
        </w:rPr>
        <w:tab/>
      </w:r>
      <w:r>
        <w:rPr>
          <w:rStyle w:val="33"/>
          <w:rFonts w:hint="default" w:hAnsi="Calibri"/>
        </w:rPr>
        <w:t>21</w:t>
      </w:r>
      <w:r>
        <w:rPr>
          <w:rStyle w:val="33"/>
          <w:rFonts w:hint="default" w:hAnsi="Calibri"/>
        </w:rPr>
        <w:fldChar w:fldCharType="end"/>
      </w:r>
    </w:p>
    <w:p>
      <w:pPr>
        <w:pStyle w:val="96"/>
        <w:spacing w:after="468"/>
      </w:pPr>
      <w:r>
        <w:rPr>
          <w:rFonts w:hint="eastAsia"/>
        </w:rPr>
        <w:fldChar w:fldCharType="end"/>
      </w:r>
    </w:p>
    <w:p>
      <w:pPr>
        <w:widowControl/>
        <w:adjustRightInd/>
        <w:spacing w:beforeAutospacing="1" w:line="240" w:lineRule="auto"/>
        <w:jc w:val="left"/>
        <w:rPr>
          <w:rFonts w:ascii="黑体" w:eastAsia="黑体"/>
          <w:sz w:val="32"/>
        </w:rPr>
        <w:sectPr>
          <w:headerReference r:id="rId11" w:type="default"/>
          <w:footerReference r:id="rId13" w:type="default"/>
          <w:headerReference r:id="rId12" w:type="even"/>
          <w:pgSz w:w="11906" w:h="16838"/>
          <w:pgMar w:top="2410" w:right="1134" w:bottom="1134" w:left="1134" w:header="1418" w:footer="1134" w:gutter="284"/>
          <w:pgNumType w:fmt="upperRoman" w:start="1"/>
          <w:cols w:space="720" w:num="1"/>
          <w:formProt w:val="0"/>
          <w:docGrid w:type="lines" w:linePitch="312" w:charSpace="0"/>
        </w:sectPr>
      </w:pPr>
    </w:p>
    <w:bookmarkEnd w:id="19"/>
    <w:p>
      <w:pPr>
        <w:pStyle w:val="94"/>
        <w:spacing w:after="468"/>
        <w:ind w:left="0"/>
      </w:pPr>
      <w:bookmarkStart w:id="20" w:name="_Toc92141757"/>
      <w:bookmarkStart w:id="21" w:name="BookMark2"/>
      <w:r>
        <w:rPr>
          <w:rFonts w:hint="eastAsia"/>
          <w:spacing w:val="320"/>
        </w:rPr>
        <w:t>前</w:t>
      </w:r>
      <w:r>
        <w:rPr>
          <w:rFonts w:hint="eastAsia"/>
        </w:rPr>
        <w:t>言</w:t>
      </w:r>
      <w:bookmarkEnd w:id="20"/>
    </w:p>
    <w:p>
      <w:pPr>
        <w:pStyle w:val="61"/>
        <w:ind w:firstLine="420"/>
      </w:pPr>
      <w:r>
        <w:rPr>
          <w:rFonts w:hint="eastAsia"/>
        </w:rPr>
        <w:t>本文件按照GB/T 1.1—2020《标准化工作导则  第1部分：标准化文件的结构和起草规则》的规定起草。</w:t>
      </w:r>
    </w:p>
    <w:p>
      <w:pPr>
        <w:pStyle w:val="61"/>
        <w:ind w:firstLine="420"/>
      </w:pPr>
      <w:r>
        <w:rPr>
          <w:rFonts w:hint="eastAsia"/>
        </w:rPr>
        <w:t>请注意本文件的某些内容可能涉及专利。本文件的发布机构不承担识别专利的责任。</w:t>
      </w:r>
    </w:p>
    <w:p>
      <w:pPr>
        <w:pStyle w:val="61"/>
        <w:ind w:firstLine="420"/>
      </w:pPr>
      <w:r>
        <w:rPr>
          <w:rFonts w:hint="eastAsia"/>
        </w:rPr>
        <w:t>本文件由江苏省生态环境厅提出并归口。</w:t>
      </w:r>
    </w:p>
    <w:p>
      <w:pPr>
        <w:pStyle w:val="61"/>
        <w:ind w:firstLine="420"/>
      </w:pPr>
      <w:r>
        <w:rPr>
          <w:rFonts w:hint="eastAsia"/>
        </w:rPr>
        <w:t>本文件起草单位：南京工业大学、江苏省生态环境监控中心、江苏省产业技术研究院绿色智慧化工技术与装备研究所。</w:t>
      </w:r>
    </w:p>
    <w:p>
      <w:pPr>
        <w:pStyle w:val="61"/>
        <w:ind w:firstLine="420"/>
      </w:pPr>
      <w:r>
        <w:rPr>
          <w:rFonts w:hint="eastAsia"/>
        </w:rPr>
        <w:t>本文件主要起草人：薄翠梅、黎刚、张贺、黄华、乔旭、何文敏、高世达、喻果、彭岳、张梦怡、黄书华、赵涛、常璐璐、周通、汤吉海、费兆阳、张竹修、郇洪江、吴昌子、俞辉、李俊、张泉灵、张登峰。</w:t>
      </w:r>
    </w:p>
    <w:p>
      <w:pPr>
        <w:pStyle w:val="61"/>
        <w:ind w:firstLine="420"/>
      </w:pPr>
    </w:p>
    <w:p>
      <w:pPr>
        <w:widowControl/>
        <w:adjustRightInd/>
        <w:spacing w:line="240" w:lineRule="auto"/>
        <w:jc w:val="left"/>
        <w:rPr>
          <w:rFonts w:ascii="宋体" w:hAnsi="Times New Roman"/>
          <w:kern w:val="0"/>
          <w:szCs w:val="20"/>
        </w:rPr>
        <w:sectPr>
          <w:pgSz w:w="11906" w:h="16838"/>
          <w:pgMar w:top="2410" w:right="1134" w:bottom="1134" w:left="1134" w:header="1418" w:footer="1134" w:gutter="284"/>
          <w:pgNumType w:fmt="upperRoman"/>
          <w:cols w:space="720"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rPr>
          <w:rFonts w:hint="eastAsia"/>
        </w:rPr>
        <w:tag w:val="NEW_STAND_NAME"/>
        <w:id w:val="595910757"/>
        <w:lock w:val="sdtLocked"/>
        <w:placeholder>
          <w:docPart w:val="FC5F6AD3F8F24CBF88055025E5F2AD85"/>
        </w:placeholder>
      </w:sdtPr>
      <w:sdtEndPr>
        <w:rPr>
          <w:rFonts w:hint="eastAsia"/>
        </w:rPr>
      </w:sdtEndPr>
      <w:sdtContent>
        <w:p>
          <w:pPr>
            <w:pStyle w:val="177"/>
            <w:spacing w:before="3" w:beforeLines="1" w:after="686" w:afterLines="220"/>
          </w:pPr>
          <w:bookmarkStart w:id="23" w:name="NEW_STAND_NAME"/>
          <w:r>
            <w:rPr>
              <w:rFonts w:hint="eastAsia"/>
            </w:rPr>
            <w:t>生活垃圾焚烧发电厂烟气排放过程（工况）自动监控系统技术规范</w:t>
          </w:r>
        </w:p>
      </w:sdtContent>
    </w:sdt>
    <w:bookmarkEnd w:id="23"/>
    <w:p>
      <w:pPr>
        <w:pStyle w:val="106"/>
        <w:spacing w:before="312" w:after="312"/>
      </w:pPr>
      <w:bookmarkStart w:id="24" w:name="_Toc17233333"/>
      <w:bookmarkStart w:id="25" w:name="_Toc24884218"/>
      <w:bookmarkStart w:id="26" w:name="_Toc24884211"/>
      <w:bookmarkStart w:id="27" w:name="_Toc17233325"/>
      <w:bookmarkStart w:id="28" w:name="_Toc26986530"/>
      <w:bookmarkStart w:id="29" w:name="_Toc92141758"/>
      <w:bookmarkStart w:id="30" w:name="_Toc26648465"/>
      <w:bookmarkStart w:id="31" w:name="_Toc26986771"/>
      <w:bookmarkStart w:id="32" w:name="_Toc26718930"/>
      <w:r>
        <w:rPr>
          <w:rFonts w:hint="eastAsia"/>
        </w:rPr>
        <w:t>范围</w:t>
      </w:r>
      <w:bookmarkEnd w:id="24"/>
      <w:bookmarkEnd w:id="25"/>
      <w:bookmarkEnd w:id="26"/>
      <w:bookmarkEnd w:id="27"/>
      <w:bookmarkEnd w:id="28"/>
      <w:bookmarkEnd w:id="29"/>
      <w:bookmarkEnd w:id="30"/>
      <w:bookmarkEnd w:id="31"/>
      <w:bookmarkEnd w:id="32"/>
    </w:p>
    <w:p>
      <w:pPr>
        <w:pStyle w:val="61"/>
        <w:ind w:firstLine="420"/>
      </w:pPr>
      <w:bookmarkStart w:id="33" w:name="_Toc26648466"/>
      <w:bookmarkStart w:id="34" w:name="_Toc24884219"/>
      <w:bookmarkStart w:id="35" w:name="_Toc17233326"/>
      <w:bookmarkStart w:id="36" w:name="_Toc17233334"/>
      <w:bookmarkStart w:id="37" w:name="_Toc24884212"/>
      <w:r>
        <w:rPr>
          <w:rFonts w:hint="eastAsia"/>
        </w:rPr>
        <w:t>本文件规定了生活垃圾焚烧发电厂烟气排放过程（工况）自动监控系统的组成、要求、判定规则、验收和运行管理。</w:t>
      </w:r>
    </w:p>
    <w:p>
      <w:pPr>
        <w:pStyle w:val="61"/>
        <w:ind w:firstLine="420"/>
      </w:pPr>
      <w:r>
        <w:rPr>
          <w:rFonts w:hint="eastAsia"/>
        </w:rPr>
        <w:t>本文件适用于生活垃圾焚烧发电厂烟气排放过程（工况）自动监控系统建设与运行管理。掺加生活垃圾质量超过入炉(窑)物料总质量</w:t>
      </w:r>
      <w:r>
        <w:rPr>
          <w:rFonts w:ascii="Times New Roman"/>
        </w:rPr>
        <w:t>30%</w:t>
      </w:r>
      <w:r>
        <w:rPr>
          <w:rFonts w:hint="eastAsia"/>
        </w:rPr>
        <w:t>的工业窑炉和一般工业固体废物的专用焚烧炉的烟气监控系统的建设与运行管理可参照本文件执行。</w:t>
      </w:r>
    </w:p>
    <w:p>
      <w:pPr>
        <w:pStyle w:val="106"/>
        <w:spacing w:before="312" w:after="312"/>
      </w:pPr>
      <w:bookmarkStart w:id="38" w:name="_Toc26718931"/>
      <w:bookmarkStart w:id="39" w:name="_Toc26986531"/>
      <w:bookmarkStart w:id="40" w:name="_Toc26986772"/>
      <w:bookmarkStart w:id="41" w:name="_Toc92141759"/>
      <w:r>
        <w:rPr>
          <w:rFonts w:hint="eastAsia"/>
        </w:rPr>
        <w:t>规范性引用文件</w:t>
      </w:r>
      <w:bookmarkEnd w:id="33"/>
      <w:bookmarkEnd w:id="34"/>
      <w:bookmarkEnd w:id="35"/>
      <w:bookmarkEnd w:id="36"/>
      <w:bookmarkEnd w:id="37"/>
      <w:bookmarkEnd w:id="38"/>
      <w:bookmarkEnd w:id="39"/>
      <w:bookmarkEnd w:id="40"/>
      <w:bookmarkEnd w:id="41"/>
    </w:p>
    <w:p>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61"/>
        <w:ind w:firstLine="420"/>
        <w:rPr>
          <w:rFonts w:ascii="Times New Roman"/>
        </w:rPr>
      </w:pPr>
      <w:r>
        <w:rPr>
          <w:rFonts w:ascii="Times New Roman"/>
        </w:rPr>
        <w:t xml:space="preserve">GB/T 6587  </w:t>
      </w:r>
      <w:r>
        <w:rPr>
          <w:rFonts w:hint="eastAsia" w:ascii="Times New Roman"/>
        </w:rPr>
        <w:t>电子测量仪器通用规范</w:t>
      </w:r>
    </w:p>
    <w:p>
      <w:pPr>
        <w:pStyle w:val="61"/>
        <w:ind w:firstLine="420"/>
        <w:rPr>
          <w:rFonts w:ascii="Times New Roman"/>
        </w:rPr>
      </w:pPr>
      <w:r>
        <w:rPr>
          <w:rFonts w:hint="eastAsia" w:ascii="Times New Roman"/>
        </w:rPr>
        <w:t>GB/T 18268.1  测量、控制和实验室用的电设备　 电磁兼容性要求　 第1部分：通用要求</w:t>
      </w:r>
    </w:p>
    <w:p>
      <w:pPr>
        <w:pStyle w:val="61"/>
        <w:ind w:firstLine="420"/>
        <w:rPr>
          <w:rFonts w:ascii="Times New Roman"/>
        </w:rPr>
      </w:pPr>
      <w:r>
        <w:rPr>
          <w:rFonts w:ascii="Times New Roman"/>
        </w:rPr>
        <w:t xml:space="preserve">CJJ 128  </w:t>
      </w:r>
      <w:r>
        <w:rPr>
          <w:rFonts w:hint="eastAsia" w:ascii="Times New Roman"/>
        </w:rPr>
        <w:t>生活垃圾焚烧厂运行维护与安全技术标准</w:t>
      </w:r>
    </w:p>
    <w:p>
      <w:pPr>
        <w:pStyle w:val="61"/>
        <w:ind w:firstLine="420"/>
        <w:rPr>
          <w:rFonts w:ascii="Times New Roman"/>
        </w:rPr>
      </w:pPr>
      <w:r>
        <w:rPr>
          <w:rFonts w:ascii="Times New Roman"/>
        </w:rPr>
        <w:t xml:space="preserve">DL/T 5137  </w:t>
      </w:r>
      <w:r>
        <w:rPr>
          <w:rFonts w:hint="eastAsia" w:ascii="Times New Roman"/>
        </w:rPr>
        <w:t>电测量及电能计量装置设计技术规程</w:t>
      </w:r>
    </w:p>
    <w:p>
      <w:pPr>
        <w:pStyle w:val="61"/>
        <w:ind w:firstLine="420"/>
        <w:rPr>
          <w:rFonts w:ascii="Times New Roman"/>
        </w:rPr>
      </w:pPr>
      <w:r>
        <w:rPr>
          <w:rFonts w:ascii="Times New Roman"/>
        </w:rPr>
        <w:t xml:space="preserve">DL/T 634.5104-2009  </w:t>
      </w:r>
      <w:r>
        <w:rPr>
          <w:rFonts w:hint="eastAsia" w:ascii="Times New Roman"/>
        </w:rPr>
        <w:t>远动设备及系统第</w:t>
      </w:r>
      <w:r>
        <w:rPr>
          <w:rFonts w:ascii="Times New Roman"/>
        </w:rPr>
        <w:t>5-104</w:t>
      </w:r>
      <w:r>
        <w:rPr>
          <w:rFonts w:hint="eastAsia" w:ascii="Times New Roman"/>
        </w:rPr>
        <w:t>部分传输规约</w:t>
      </w:r>
    </w:p>
    <w:p>
      <w:pPr>
        <w:pStyle w:val="61"/>
        <w:ind w:firstLine="420"/>
        <w:rPr>
          <w:rFonts w:ascii="Times New Roman"/>
        </w:rPr>
      </w:pPr>
      <w:r>
        <w:rPr>
          <w:rFonts w:ascii="Times New Roman"/>
        </w:rPr>
        <w:t xml:space="preserve">HJ 75  </w:t>
      </w:r>
      <w:r>
        <w:rPr>
          <w:rFonts w:hint="eastAsia" w:ascii="Times New Roman"/>
        </w:rPr>
        <w:t>固定污染源烟气（</w:t>
      </w:r>
      <w:r>
        <w:rPr>
          <w:rFonts w:ascii="Times New Roman"/>
        </w:rPr>
        <w:t>SO2</w:t>
      </w:r>
      <w:r>
        <w:rPr>
          <w:rFonts w:hint="eastAsia" w:ascii="Times New Roman"/>
        </w:rPr>
        <w:t>、</w:t>
      </w:r>
      <w:r>
        <w:rPr>
          <w:rFonts w:ascii="Times New Roman"/>
        </w:rPr>
        <w:t>NOx</w:t>
      </w:r>
      <w:r>
        <w:rPr>
          <w:rFonts w:hint="eastAsia" w:ascii="Times New Roman"/>
        </w:rPr>
        <w:t>、颗粒物）排放连续监测技术规范</w:t>
      </w:r>
    </w:p>
    <w:p>
      <w:pPr>
        <w:pStyle w:val="61"/>
        <w:ind w:firstLine="420"/>
        <w:rPr>
          <w:rFonts w:ascii="Times New Roman"/>
        </w:rPr>
      </w:pPr>
      <w:r>
        <w:rPr>
          <w:rFonts w:ascii="Times New Roman"/>
        </w:rPr>
        <w:t xml:space="preserve">HJ 76  </w:t>
      </w:r>
      <w:r>
        <w:rPr>
          <w:rFonts w:hint="eastAsia" w:ascii="Times New Roman"/>
        </w:rPr>
        <w:t>固定污染源烟气（</w:t>
      </w:r>
      <w:r>
        <w:rPr>
          <w:rFonts w:ascii="Times New Roman"/>
        </w:rPr>
        <w:t>SO2</w:t>
      </w:r>
      <w:r>
        <w:rPr>
          <w:rFonts w:hint="eastAsia" w:ascii="Times New Roman"/>
        </w:rPr>
        <w:t>、</w:t>
      </w:r>
      <w:r>
        <w:rPr>
          <w:rFonts w:ascii="Times New Roman"/>
        </w:rPr>
        <w:t>NOx</w:t>
      </w:r>
      <w:r>
        <w:rPr>
          <w:rFonts w:hint="eastAsia" w:ascii="Times New Roman"/>
        </w:rPr>
        <w:t>、颗粒物）排放连续监测系统技术要求及检测方法</w:t>
      </w:r>
    </w:p>
    <w:p>
      <w:pPr>
        <w:pStyle w:val="61"/>
        <w:ind w:firstLine="420"/>
        <w:rPr>
          <w:rFonts w:ascii="Times New Roman"/>
        </w:rPr>
      </w:pPr>
      <w:r>
        <w:rPr>
          <w:rFonts w:ascii="Times New Roman"/>
        </w:rPr>
        <w:t xml:space="preserve">HJ 212  </w:t>
      </w:r>
      <w:r>
        <w:rPr>
          <w:rFonts w:hint="eastAsia" w:ascii="Times New Roman"/>
        </w:rPr>
        <w:t>污染物在线自动监控（监测）系统数据传输标准</w:t>
      </w:r>
    </w:p>
    <w:p>
      <w:pPr>
        <w:pStyle w:val="61"/>
        <w:ind w:firstLine="420"/>
        <w:rPr>
          <w:rFonts w:ascii="Times New Roman"/>
        </w:rPr>
      </w:pPr>
      <w:r>
        <w:rPr>
          <w:rFonts w:ascii="Times New Roman"/>
        </w:rPr>
        <w:t xml:space="preserve">HJ 477  </w:t>
      </w:r>
      <w:r>
        <w:rPr>
          <w:rFonts w:hint="eastAsia" w:ascii="Times New Roman"/>
        </w:rPr>
        <w:t>污染源在线自动监控（监测）数据采集传输仪技术要求</w:t>
      </w:r>
    </w:p>
    <w:p>
      <w:pPr>
        <w:pStyle w:val="61"/>
        <w:ind w:firstLine="420"/>
        <w:rPr>
          <w:rFonts w:ascii="Times New Roman"/>
        </w:rPr>
      </w:pPr>
      <w:r>
        <w:rPr>
          <w:rFonts w:ascii="Times New Roman"/>
        </w:rPr>
        <w:t xml:space="preserve">HJ 888  </w:t>
      </w:r>
      <w:r>
        <w:rPr>
          <w:rFonts w:hint="eastAsia" w:ascii="Times New Roman"/>
        </w:rPr>
        <w:t>污染源源强核算技术指南</w:t>
      </w:r>
      <w:r>
        <w:rPr>
          <w:rFonts w:ascii="Times New Roman"/>
        </w:rPr>
        <w:t xml:space="preserve"> </w:t>
      </w:r>
      <w:r>
        <w:rPr>
          <w:rFonts w:hint="eastAsia" w:ascii="Times New Roman"/>
        </w:rPr>
        <w:t>火电</w:t>
      </w:r>
    </w:p>
    <w:p>
      <w:pPr>
        <w:pStyle w:val="61"/>
        <w:ind w:firstLine="420"/>
        <w:rPr>
          <w:rFonts w:ascii="Times New Roman"/>
        </w:rPr>
      </w:pPr>
      <w:r>
        <w:rPr>
          <w:rFonts w:ascii="Times New Roman"/>
        </w:rPr>
        <w:t xml:space="preserve">HJ 991  </w:t>
      </w:r>
      <w:r>
        <w:rPr>
          <w:rFonts w:hint="eastAsia" w:ascii="Times New Roman"/>
        </w:rPr>
        <w:t>污染源源强核算技术指南</w:t>
      </w:r>
      <w:r>
        <w:rPr>
          <w:rFonts w:ascii="Times New Roman"/>
        </w:rPr>
        <w:t xml:space="preserve"> </w:t>
      </w:r>
      <w:r>
        <w:rPr>
          <w:rFonts w:hint="eastAsia" w:ascii="Times New Roman"/>
        </w:rPr>
        <w:t>锅炉</w:t>
      </w:r>
    </w:p>
    <w:p>
      <w:pPr>
        <w:pStyle w:val="61"/>
        <w:ind w:firstLine="420"/>
        <w:rPr>
          <w:rFonts w:ascii="Times New Roman"/>
        </w:rPr>
      </w:pPr>
      <w:r>
        <w:rPr>
          <w:rFonts w:ascii="Times New Roman"/>
        </w:rPr>
        <w:t xml:space="preserve">HJ/T 373  </w:t>
      </w:r>
      <w:r>
        <w:rPr>
          <w:rFonts w:hint="eastAsia" w:ascii="Times New Roman"/>
        </w:rPr>
        <w:t>固定污染源监测质量保证与质量控制技术规范（试行）</w:t>
      </w:r>
    </w:p>
    <w:p>
      <w:pPr>
        <w:pStyle w:val="61"/>
        <w:ind w:firstLine="420"/>
        <w:rPr>
          <w:rFonts w:ascii="Times New Roman"/>
        </w:rPr>
      </w:pPr>
      <w:r>
        <w:rPr>
          <w:rFonts w:ascii="Times New Roman"/>
        </w:rPr>
        <w:t xml:space="preserve">HJ/T 397  </w:t>
      </w:r>
      <w:r>
        <w:rPr>
          <w:rFonts w:hint="eastAsia" w:ascii="Times New Roman"/>
        </w:rPr>
        <w:t>固定源废气监测技术规范</w:t>
      </w:r>
    </w:p>
    <w:p>
      <w:pPr>
        <w:pStyle w:val="61"/>
        <w:ind w:firstLine="420"/>
        <w:rPr>
          <w:rFonts w:ascii="Times New Roman"/>
        </w:rPr>
      </w:pPr>
    </w:p>
    <w:p>
      <w:pPr>
        <w:pStyle w:val="106"/>
        <w:spacing w:before="312" w:after="312"/>
      </w:pPr>
      <w:bookmarkStart w:id="42" w:name="_Toc92141760"/>
      <w:r>
        <w:rPr>
          <w:rFonts w:hint="eastAsia"/>
          <w:szCs w:val="21"/>
        </w:rPr>
        <w:t>术语和定义</w:t>
      </w:r>
      <w:bookmarkEnd w:id="42"/>
    </w:p>
    <w:p>
      <w:pPr>
        <w:pStyle w:val="61"/>
        <w:ind w:firstLine="420"/>
      </w:pPr>
      <w:bookmarkStart w:id="43" w:name="_Toc26986532"/>
      <w:bookmarkEnd w:id="43"/>
      <w:r>
        <w:rPr>
          <w:rFonts w:hint="eastAsia"/>
        </w:rPr>
        <w:t>下列术语和定义适用于本文件。</w:t>
      </w:r>
    </w:p>
    <w:p>
      <w:pPr>
        <w:pStyle w:val="220"/>
        <w:ind w:left="420" w:hanging="420" w:hangingChars="200"/>
        <w:rPr>
          <w:rFonts w:ascii="黑体" w:hAnsi="黑体" w:eastAsia="黑体"/>
        </w:rPr>
      </w:pPr>
    </w:p>
    <w:p>
      <w:pPr>
        <w:pStyle w:val="61"/>
        <w:ind w:firstLine="420"/>
        <w:rPr>
          <w:rFonts w:ascii="黑体" w:hAnsi="黑体" w:eastAsia="黑体"/>
        </w:rPr>
      </w:pPr>
      <w:r>
        <w:rPr>
          <w:rFonts w:hint="eastAsia" w:ascii="黑体" w:hAnsi="黑体" w:eastAsia="黑体"/>
        </w:rPr>
        <w:t>污染治理设施  pollutant treatment equipment</w:t>
      </w:r>
    </w:p>
    <w:p>
      <w:pPr>
        <w:pStyle w:val="61"/>
        <w:ind w:firstLine="420"/>
        <w:rPr>
          <w:rFonts w:hAnsi="宋体" w:cs="宋体"/>
        </w:rPr>
      </w:pPr>
      <w:r>
        <w:rPr>
          <w:rFonts w:hint="eastAsia" w:hAnsi="宋体" w:cs="宋体"/>
        </w:rPr>
        <w:t>用于治理排放烟气中污染物所需的设备、装置</w:t>
      </w:r>
    </w:p>
    <w:p>
      <w:pPr>
        <w:pStyle w:val="61"/>
        <w:ind w:firstLine="360"/>
        <w:rPr>
          <w:rFonts w:hint="eastAsia" w:hAnsi="宋体" w:cs="宋体"/>
          <w:sz w:val="18"/>
          <w:szCs w:val="18"/>
        </w:rPr>
      </w:pPr>
      <w:r>
        <w:rPr>
          <w:rFonts w:hint="eastAsia" w:ascii="黑体" w:hAnsi="黑体" w:eastAsia="黑体" w:cs="宋体"/>
          <w:sz w:val="18"/>
          <w:szCs w:val="18"/>
        </w:rPr>
        <w:t>注</w:t>
      </w:r>
      <w:r>
        <w:rPr>
          <w:rFonts w:hAnsi="宋体" w:cs="宋体"/>
          <w:sz w:val="18"/>
          <w:szCs w:val="18"/>
        </w:rPr>
        <w:t>:引风机、浆液循环泵、稀释风机等。</w:t>
      </w:r>
    </w:p>
    <w:p>
      <w:pPr>
        <w:pStyle w:val="220"/>
        <w:ind w:left="420" w:hanging="420" w:hangingChars="200"/>
        <w:rPr>
          <w:rFonts w:ascii="黑体" w:hAnsi="黑体" w:eastAsia="黑体"/>
        </w:rPr>
      </w:pPr>
    </w:p>
    <w:p>
      <w:pPr>
        <w:pStyle w:val="61"/>
        <w:ind w:firstLine="420"/>
        <w:rPr>
          <w:rFonts w:ascii="黑体" w:hAnsi="黑体" w:eastAsia="黑体"/>
        </w:rPr>
      </w:pPr>
      <w:r>
        <w:rPr>
          <w:rFonts w:hint="eastAsia" w:ascii="黑体" w:hAnsi="黑体" w:eastAsia="黑体"/>
        </w:rPr>
        <w:t>排放过程（工况）自动监控系统  process monitoring system</w:t>
      </w:r>
    </w:p>
    <w:p>
      <w:pPr>
        <w:pStyle w:val="61"/>
        <w:ind w:firstLine="420"/>
        <w:rPr>
          <w:rFonts w:hAnsi="宋体" w:cs="宋体"/>
        </w:rPr>
      </w:pPr>
      <w:r>
        <w:rPr>
          <w:rFonts w:hint="eastAsia" w:hAnsi="宋体" w:cs="宋体"/>
        </w:rPr>
        <w:t>对垃圾焚烧发电厂生产设施和治理设施的关键参数进行实时测量、传输、监视、分析和控制等，并提供关键参数的永久性记录所需的全部设备及应用软件系统。</w:t>
      </w:r>
    </w:p>
    <w:p>
      <w:pPr>
        <w:pStyle w:val="220"/>
        <w:ind w:left="420" w:hanging="420" w:hangingChars="200"/>
        <w:rPr>
          <w:rFonts w:ascii="黑体" w:hAnsi="黑体" w:eastAsia="黑体"/>
        </w:rPr>
      </w:pPr>
    </w:p>
    <w:p>
      <w:pPr>
        <w:pStyle w:val="61"/>
        <w:ind w:firstLine="420"/>
        <w:rPr>
          <w:rFonts w:ascii="黑体" w:hAnsi="黑体" w:eastAsia="黑体"/>
        </w:rPr>
      </w:pPr>
      <w:r>
        <w:rPr>
          <w:rFonts w:hint="eastAsia" w:ascii="黑体" w:hAnsi="黑体" w:eastAsia="黑体"/>
        </w:rPr>
        <w:t>单向隔离器 unidirectional isolator</w:t>
      </w:r>
    </w:p>
    <w:p>
      <w:pPr>
        <w:pStyle w:val="61"/>
        <w:ind w:firstLine="420"/>
        <w:rPr>
          <w:rFonts w:hAnsi="宋体" w:cs="宋体"/>
        </w:rPr>
      </w:pPr>
      <w:r>
        <w:rPr>
          <w:rFonts w:hint="eastAsia" w:hAnsi="宋体" w:cs="宋体"/>
        </w:rPr>
        <w:t>在中控系统与工况数据采集传输仪之间安装的、用于实现数据单向传输的安全隔离设备。</w:t>
      </w:r>
    </w:p>
    <w:p>
      <w:pPr>
        <w:pStyle w:val="220"/>
        <w:ind w:left="420" w:hanging="420" w:hangingChars="200"/>
        <w:rPr>
          <w:rFonts w:ascii="黑体" w:hAnsi="黑体" w:eastAsia="黑体"/>
        </w:rPr>
      </w:pPr>
    </w:p>
    <w:p>
      <w:pPr>
        <w:pStyle w:val="61"/>
        <w:ind w:firstLine="420"/>
        <w:rPr>
          <w:rFonts w:ascii="黑体" w:hAnsi="黑体" w:eastAsia="黑体"/>
        </w:rPr>
      </w:pPr>
      <w:r>
        <w:rPr>
          <w:rFonts w:hint="eastAsia" w:ascii="黑体" w:hAnsi="黑体" w:eastAsia="黑体"/>
        </w:rPr>
        <w:t>中控系统  central control system</w:t>
      </w:r>
    </w:p>
    <w:p>
      <w:pPr>
        <w:pStyle w:val="61"/>
        <w:ind w:firstLine="420"/>
      </w:pPr>
      <w:r>
        <w:rPr>
          <w:rFonts w:hint="eastAsia" w:hAnsi="宋体"/>
          <w:szCs w:val="21"/>
        </w:rPr>
        <w:t>生活垃圾焚烧发电厂集中自动控制系统。</w:t>
      </w:r>
    </w:p>
    <w:p>
      <w:pPr>
        <w:pStyle w:val="220"/>
        <w:ind w:left="420" w:hanging="420" w:hangingChars="200"/>
        <w:rPr>
          <w:rFonts w:ascii="黑体" w:hAnsi="黑体" w:eastAsia="黑体"/>
        </w:rPr>
      </w:pPr>
    </w:p>
    <w:p>
      <w:pPr>
        <w:pStyle w:val="61"/>
        <w:ind w:firstLine="420"/>
        <w:rPr>
          <w:rFonts w:ascii="黑体" w:hAnsi="黑体" w:eastAsia="黑体"/>
        </w:rPr>
      </w:pPr>
      <w:r>
        <w:rPr>
          <w:rFonts w:hint="eastAsia" w:ascii="黑体" w:hAnsi="黑体" w:eastAsia="黑体"/>
        </w:rPr>
        <w:t>数据采集传输仪  data acquisition and transmission instrument</w:t>
      </w:r>
    </w:p>
    <w:p>
      <w:pPr>
        <w:pStyle w:val="61"/>
        <w:ind w:firstLine="420"/>
        <w:rPr>
          <w:rFonts w:hAnsi="宋体"/>
          <w:szCs w:val="21"/>
        </w:rPr>
      </w:pPr>
      <w:r>
        <w:rPr>
          <w:rFonts w:hint="eastAsia" w:hAnsi="宋体"/>
          <w:szCs w:val="21"/>
        </w:rPr>
        <w:t>用于采集、存储各种类型监测仪表的数据，并具有向上位机传输数据功能的单片机系统、工控机、嵌入式计算机或可编程控制器等。</w:t>
      </w:r>
    </w:p>
    <w:p>
      <w:pPr>
        <w:pStyle w:val="61"/>
        <w:ind w:firstLine="420"/>
        <w:rPr>
          <w:rFonts w:hAnsi="宋体"/>
          <w:szCs w:val="21"/>
        </w:rPr>
      </w:pPr>
      <w:r>
        <w:rPr>
          <w:rFonts w:hint="eastAsia" w:hAnsi="宋体"/>
          <w:szCs w:val="21"/>
        </w:rPr>
        <w:t>[来源：HJ 477—2009，3.2]。</w:t>
      </w:r>
    </w:p>
    <w:p>
      <w:pPr>
        <w:pStyle w:val="106"/>
        <w:spacing w:before="312" w:after="312"/>
      </w:pPr>
      <w:r>
        <w:rPr>
          <w:rFonts w:hint="eastAsia" w:hAnsi="黑体"/>
          <w:szCs w:val="21"/>
        </w:rPr>
        <w:t>缩略语</w:t>
      </w:r>
    </w:p>
    <w:p>
      <w:pPr>
        <w:pStyle w:val="61"/>
        <w:ind w:firstLine="420"/>
        <w:rPr>
          <w:rFonts w:ascii="Times New Roman"/>
        </w:rPr>
      </w:pPr>
      <w:commentRangeStart w:id="0"/>
      <w:r>
        <w:rPr>
          <w:rFonts w:hint="eastAsia" w:ascii="Times New Roman"/>
        </w:rPr>
        <w:t>下列缩略语适用于本文件。</w:t>
      </w:r>
      <w:commentRangeEnd w:id="0"/>
      <w:r>
        <w:rPr>
          <w:rStyle w:val="34"/>
          <w:rFonts w:ascii="Calibri" w:hAnsi="Calibri"/>
          <w:kern w:val="2"/>
        </w:rPr>
        <w:commentReference w:id="0"/>
      </w:r>
    </w:p>
    <w:p>
      <w:pPr>
        <w:pStyle w:val="61"/>
        <w:ind w:firstLine="420"/>
        <w:rPr>
          <w:rFonts w:ascii="Times New Roman"/>
        </w:rPr>
      </w:pPr>
      <w:r>
        <w:rPr>
          <w:rFonts w:ascii="Times New Roman"/>
        </w:rPr>
        <w:t>CEMS</w:t>
      </w:r>
      <w:r>
        <w:rPr>
          <w:rFonts w:hint="eastAsia"/>
        </w:rPr>
        <w:t xml:space="preserve"> 烟气排放连续监控系统  </w:t>
      </w:r>
      <w:r>
        <w:rPr>
          <w:rFonts w:ascii="Times New Roman"/>
        </w:rPr>
        <w:t>Continuous Emission Monitoring System</w:t>
      </w:r>
    </w:p>
    <w:p>
      <w:pPr>
        <w:pStyle w:val="61"/>
        <w:ind w:firstLine="420"/>
        <w:rPr>
          <w:rFonts w:ascii="Times New Roman"/>
          <w:color w:val="333333"/>
          <w:szCs w:val="18"/>
          <w:shd w:val="clear" w:color="auto" w:fill="FFFFFF"/>
        </w:rPr>
      </w:pPr>
      <w:r>
        <w:rPr>
          <w:rFonts w:ascii="Times New Roman"/>
          <w:color w:val="333333"/>
          <w:szCs w:val="18"/>
          <w:shd w:val="clear" w:color="auto" w:fill="FFFFFF"/>
        </w:rPr>
        <w:t xml:space="preserve">PMS </w:t>
      </w:r>
      <w:r>
        <w:rPr>
          <w:rFonts w:hint="eastAsia" w:hAnsi="宋体"/>
          <w:szCs w:val="18"/>
        </w:rPr>
        <w:t xml:space="preserve">排放过程（工况）监控系统  </w:t>
      </w:r>
      <w:r>
        <w:rPr>
          <w:rFonts w:ascii="Times New Roman"/>
          <w:color w:val="333333"/>
          <w:szCs w:val="18"/>
          <w:shd w:val="clear" w:color="auto" w:fill="FFFFFF"/>
        </w:rPr>
        <w:t>Process Monitoring System</w:t>
      </w:r>
    </w:p>
    <w:p>
      <w:pPr>
        <w:pStyle w:val="61"/>
        <w:ind w:firstLine="420"/>
        <w:rPr>
          <w:rFonts w:ascii="Times New Roman"/>
          <w:color w:val="333333"/>
          <w:szCs w:val="18"/>
          <w:shd w:val="clear" w:color="auto" w:fill="FFFFFF"/>
        </w:rPr>
      </w:pPr>
      <w:r>
        <w:rPr>
          <w:rFonts w:ascii="Times New Roman"/>
          <w:color w:val="333333"/>
          <w:szCs w:val="18"/>
          <w:shd w:val="clear" w:color="auto" w:fill="FFFFFF"/>
        </w:rPr>
        <w:t xml:space="preserve">SCR </w:t>
      </w:r>
      <w:r>
        <w:rPr>
          <w:rFonts w:hint="eastAsia" w:hAnsi="宋体" w:cs="Arial"/>
          <w:color w:val="333333"/>
          <w:szCs w:val="18"/>
          <w:shd w:val="clear" w:color="auto" w:fill="FFFFFF"/>
        </w:rPr>
        <w:t xml:space="preserve">选择性催化还原  </w:t>
      </w:r>
      <w:r>
        <w:rPr>
          <w:rFonts w:ascii="Times New Roman"/>
          <w:color w:val="333333"/>
          <w:szCs w:val="18"/>
          <w:shd w:val="clear" w:color="auto" w:fill="FFFFFF"/>
        </w:rPr>
        <w:t>Selective Catalytic Reduction</w:t>
      </w:r>
    </w:p>
    <w:p>
      <w:pPr>
        <w:pStyle w:val="61"/>
        <w:ind w:firstLine="420"/>
        <w:rPr>
          <w:rFonts w:ascii="Times New Roman"/>
          <w:color w:val="333333"/>
          <w:szCs w:val="18"/>
          <w:shd w:val="clear" w:color="auto" w:fill="FFFFFF"/>
        </w:rPr>
      </w:pPr>
      <w:r>
        <w:rPr>
          <w:rFonts w:ascii="Times New Roman"/>
          <w:color w:val="333333"/>
          <w:szCs w:val="18"/>
          <w:shd w:val="clear" w:color="auto" w:fill="FFFFFF"/>
        </w:rPr>
        <w:t xml:space="preserve">SNCR </w:t>
      </w:r>
      <w:r>
        <w:rPr>
          <w:rFonts w:hint="eastAsia" w:hAnsi="宋体" w:cs="Arial"/>
          <w:color w:val="333333"/>
          <w:szCs w:val="18"/>
          <w:shd w:val="clear" w:color="auto" w:fill="FFFFFF"/>
        </w:rPr>
        <w:t xml:space="preserve">选择性非催化还原  </w:t>
      </w:r>
      <w:r>
        <w:rPr>
          <w:rFonts w:ascii="Times New Roman"/>
          <w:color w:val="333333"/>
          <w:szCs w:val="18"/>
          <w:shd w:val="clear" w:color="auto" w:fill="FFFFFF"/>
        </w:rPr>
        <w:t>Selective Non-catalytic Reduction</w:t>
      </w:r>
    </w:p>
    <w:p>
      <w:pPr>
        <w:pStyle w:val="106"/>
        <w:spacing w:before="312" w:after="312"/>
      </w:pPr>
      <w:r>
        <w:rPr>
          <w:rFonts w:hint="eastAsia" w:hAnsi="黑体"/>
          <w:szCs w:val="21"/>
        </w:rPr>
        <w:t>总体原则</w:t>
      </w:r>
    </w:p>
    <w:p>
      <w:pPr>
        <w:pStyle w:val="107"/>
        <w:spacing w:before="156" w:after="156"/>
        <w:rPr>
          <w:rFonts w:ascii="Times New Roman"/>
        </w:rPr>
      </w:pPr>
      <w:r>
        <w:rPr>
          <w:rFonts w:hint="eastAsia" w:ascii="Times New Roman"/>
        </w:rPr>
        <w:t>安全性原则</w:t>
      </w:r>
    </w:p>
    <w:p>
      <w:pPr>
        <w:pStyle w:val="61"/>
        <w:ind w:firstLine="420"/>
        <w:rPr>
          <w:rFonts w:ascii="Times New Roman"/>
        </w:rPr>
      </w:pPr>
      <w:r>
        <w:rPr>
          <w:rFonts w:hint="eastAsia" w:ascii="Times New Roman"/>
        </w:rPr>
        <w:t>在排放过程（工况）自动监控系统建设过程中应该始终贯彻安全观念，系统应具有逻辑严密的安全管理方式，恰当采用身份认证、权限控制、跟踪审计等各种安全技术手段，确保系统无故障，保证数据安全；对纸质文件、档案的数字化以及排放过程（工况）自动监控系统建设进行全程安全管理，制定科学适用的管理制度，加强对敏感数据的管控和文件管理过程的监控，确保业务安全。</w:t>
      </w:r>
    </w:p>
    <w:p>
      <w:pPr>
        <w:pStyle w:val="107"/>
        <w:spacing w:before="156" w:after="156"/>
        <w:rPr>
          <w:rFonts w:ascii="Times New Roman"/>
        </w:rPr>
      </w:pPr>
      <w:r>
        <w:rPr>
          <w:rFonts w:hint="eastAsia" w:ascii="Times New Roman"/>
        </w:rPr>
        <w:t>可扩展性原则</w:t>
      </w:r>
    </w:p>
    <w:p>
      <w:pPr>
        <w:pStyle w:val="61"/>
        <w:ind w:firstLine="420"/>
      </w:pPr>
      <w:r>
        <w:rPr>
          <w:rFonts w:hint="eastAsia"/>
        </w:rPr>
        <w:t>采用松耦合、模块化的系统设计思路，遵守相关国家和行业的元数据标准，保证数据的可重复使用，保证系统的规模、模块较易扩展，尽量降低日后系统升级的成本。</w:t>
      </w:r>
    </w:p>
    <w:p>
      <w:pPr>
        <w:pStyle w:val="107"/>
        <w:spacing w:before="156" w:after="156"/>
      </w:pPr>
      <w:r>
        <w:rPr>
          <w:rFonts w:hint="eastAsia"/>
        </w:rPr>
        <w:t>开放性原则</w:t>
      </w:r>
    </w:p>
    <w:p>
      <w:pPr>
        <w:pStyle w:val="61"/>
        <w:ind w:firstLine="420"/>
        <w:rPr>
          <w:rFonts w:hint="eastAsia"/>
        </w:rPr>
      </w:pPr>
      <w:r>
        <w:rPr>
          <w:rFonts w:hint="eastAsia"/>
        </w:rPr>
        <w:t>机构设计或购买的系统应尽可能依托开放标准，保持技术的中立，减少对特定软件、硬件技术的依赖性，确保其具有跨平台、跨领域和跨时间的互操作性，以保证文件的长期访问和保存。</w:t>
      </w:r>
    </w:p>
    <w:p>
      <w:pPr>
        <w:pStyle w:val="106"/>
        <w:spacing w:before="312" w:after="312"/>
      </w:pPr>
      <w:bookmarkStart w:id="44" w:name="_Toc92133079"/>
      <w:bookmarkStart w:id="45" w:name="_Toc92141761"/>
      <w:bookmarkStart w:id="46" w:name="_Hlk92184276"/>
      <w:r>
        <w:rPr>
          <w:rFonts w:hint="eastAsia" w:hAnsi="黑体"/>
          <w:szCs w:val="21"/>
        </w:rPr>
        <w:t>系统组成</w:t>
      </w:r>
      <w:bookmarkEnd w:id="44"/>
      <w:bookmarkEnd w:id="45"/>
    </w:p>
    <w:bookmarkEnd w:id="46"/>
    <w:p>
      <w:pPr>
        <w:pStyle w:val="107"/>
        <w:spacing w:before="156" w:after="156"/>
      </w:pPr>
      <w:r>
        <w:rPr>
          <w:rFonts w:hint="eastAsia"/>
        </w:rPr>
        <w:t>系统示意图</w:t>
      </w:r>
    </w:p>
    <w:p>
      <w:pPr>
        <w:pStyle w:val="61"/>
        <w:ind w:firstLine="420"/>
      </w:pPr>
      <w:r>
        <w:rPr>
          <w:rFonts w:hint="eastAsia" w:hAnsi="宋体"/>
        </w:rPr>
        <w:t>PMS由现场端监控系统和行业监管部门监控系统两部分构成，</w:t>
      </w:r>
      <w:commentRangeStart w:id="1"/>
      <w:r>
        <w:rPr>
          <w:rFonts w:hint="eastAsia" w:hAnsi="宋体"/>
        </w:rPr>
        <w:t>如图1所示。</w:t>
      </w:r>
      <w:commentRangeEnd w:id="1"/>
      <w:r>
        <w:rPr>
          <w:rStyle w:val="34"/>
          <w:rFonts w:ascii="Calibri" w:hAnsi="Calibri"/>
          <w:kern w:val="2"/>
        </w:rPr>
        <w:commentReference w:id="1"/>
      </w:r>
    </w:p>
    <w:p>
      <w:pPr>
        <w:pStyle w:val="61"/>
        <w:ind w:firstLine="420"/>
      </w:pPr>
      <w:r>
        <w:rPr>
          <w:rFonts w:hint="eastAsia"/>
          <w:szCs w:val="21"/>
        </w:rPr>
        <w:object>
          <v:shape id="_x0000_i1025" o:spt="75" type="#_x0000_t75" style="height:505.8pt;width:427.2pt;" o:ole="t" filled="f" o:preferrelative="t" stroked="f" coordsize="21600,21600">
            <v:path/>
            <v:fill on="f" focussize="0,0"/>
            <v:stroke on="f" joinstyle="miter"/>
            <v:imagedata r:id="rId17" o:title=""/>
            <o:lock v:ext="edit" aspectratio="t"/>
            <w10:wrap type="none"/>
            <w10:anchorlock/>
          </v:shape>
          <o:OLEObject Type="Embed" ProgID="Visio.Drawing.11" ShapeID="_x0000_i1025" DrawAspect="Content" ObjectID="_1468075725" r:id="rId16">
            <o:LockedField>false</o:LockedField>
          </o:OLEObject>
        </w:object>
      </w:r>
    </w:p>
    <w:p>
      <w:pPr>
        <w:pStyle w:val="179"/>
      </w:pPr>
      <w:r>
        <w:rPr>
          <w:rFonts w:hint="eastAsia" w:cs="宋体"/>
        </w:rPr>
        <w:t>组成图仅表示单个生产设施和污染治理设施运行参数数据的采集、污染物监测、数据传输及与行业监管部门监控系统的连接和部分功能。生产设施和污染治理设施的运行参数数据用传感器直接获取或经单向隔离器从中控系统获取。具备条件的中控系统</w:t>
      </w:r>
      <w:commentRangeStart w:id="2"/>
      <w:r>
        <w:rPr>
          <w:rFonts w:hint="eastAsia" w:cs="宋体"/>
        </w:rPr>
        <w:t>需</w:t>
      </w:r>
      <w:commentRangeEnd w:id="2"/>
      <w:r>
        <w:rPr>
          <w:rStyle w:val="34"/>
          <w:rFonts w:ascii="Calibri" w:hAnsi="Calibri"/>
          <w:kern w:val="2"/>
        </w:rPr>
        <w:commentReference w:id="2"/>
      </w:r>
      <w:r>
        <w:rPr>
          <w:rFonts w:hint="eastAsia" w:cs="宋体"/>
        </w:rPr>
        <w:t>通过隔离网闸和防火墙等安全设备直接向行业监管部门报送数据。</w:t>
      </w:r>
    </w:p>
    <w:p>
      <w:pPr>
        <w:pStyle w:val="116"/>
        <w:spacing w:before="156" w:after="156"/>
      </w:pPr>
      <w:r>
        <w:rPr>
          <w:rFonts w:hint="eastAsia" w:hAnsi="黑体" w:cs="黑体"/>
          <w:color w:val="000000"/>
          <w:szCs w:val="21"/>
        </w:rPr>
        <w:t>生活垃圾焚烧发电厂烟气排放过程（工况）自动监控系统组成图</w:t>
      </w:r>
    </w:p>
    <w:p>
      <w:pPr>
        <w:pStyle w:val="107"/>
        <w:spacing w:before="156" w:after="156"/>
      </w:pPr>
      <w:r>
        <w:rPr>
          <w:rFonts w:hint="eastAsia" w:hAnsi="黑体" w:cs="黑体"/>
        </w:rPr>
        <w:t>现场端监控系统</w:t>
      </w:r>
    </w:p>
    <w:p>
      <w:pPr>
        <w:pStyle w:val="61"/>
        <w:ind w:firstLine="420"/>
      </w:pPr>
      <w:r>
        <w:rPr>
          <w:rFonts w:hint="eastAsia"/>
        </w:rPr>
        <w:t>由参数监测、数据采集传输和应用软件三个子系统组成：</w:t>
      </w:r>
    </w:p>
    <w:p>
      <w:pPr>
        <w:pStyle w:val="174"/>
      </w:pPr>
      <w:r>
        <w:rPr>
          <w:rFonts w:hint="eastAsia" w:hAnsi="宋体"/>
        </w:rPr>
        <w:t>参数监测子系统：由各类传感器和监测设备组成，能够准确、完整、系统地获取生产设施、污染治理设施运行的关键参数数据和污染物排放及烟气参数监测数据；</w:t>
      </w:r>
    </w:p>
    <w:p>
      <w:pPr>
        <w:pStyle w:val="174"/>
      </w:pPr>
      <w:r>
        <w:rPr>
          <w:rFonts w:hint="eastAsia" w:hAnsi="宋体"/>
        </w:rPr>
        <w:t>数据采集传输子系统：</w:t>
      </w:r>
      <w:r>
        <w:rPr>
          <w:rFonts w:hint="eastAsia"/>
        </w:rPr>
        <w:t>由中控系统、数据采集传输仪</w:t>
      </w:r>
      <w:r>
        <w:rPr>
          <w:rStyle w:val="34"/>
          <w:rFonts w:ascii="Calibri" w:hAnsi="Calibri"/>
          <w:kern w:val="2"/>
        </w:rPr>
        <w:commentReference w:id="3"/>
      </w:r>
      <w:r>
        <w:rPr>
          <w:rFonts w:hint="eastAsia"/>
        </w:rPr>
        <w:t>等组成，可实现数据的采集、存储、传输等功能</w:t>
      </w:r>
      <w:r>
        <w:rPr>
          <w:rFonts w:hint="eastAsia" w:hAnsi="宋体"/>
        </w:rPr>
        <w:t>；</w:t>
      </w:r>
    </w:p>
    <w:p>
      <w:pPr>
        <w:pStyle w:val="174"/>
      </w:pPr>
      <w:r>
        <w:rPr>
          <w:rFonts w:hint="eastAsia" w:hAnsi="宋体"/>
        </w:rPr>
        <w:t>现场端应用</w:t>
      </w:r>
      <w:r>
        <w:rPr>
          <w:rFonts w:hint="eastAsia" w:hAnsi="宋体" w:cs="宋体"/>
        </w:rPr>
        <w:t>子系统：具有</w:t>
      </w:r>
      <w:r>
        <w:rPr>
          <w:rFonts w:hint="eastAsia"/>
        </w:rPr>
        <w:t>工艺监控、数据审核、工况核定、异常报警和趋势预警。实施现场监测数据的统计分析，污染治理设施运行状态的判定。</w:t>
      </w:r>
    </w:p>
    <w:p>
      <w:pPr>
        <w:pStyle w:val="107"/>
        <w:spacing w:before="156" w:after="156"/>
        <w:jc w:val="left"/>
      </w:pPr>
      <w:r>
        <w:rPr>
          <w:rFonts w:hint="eastAsia" w:hAnsi="黑体" w:cs="黑体"/>
        </w:rPr>
        <w:t>行业监管部门监控系统</w:t>
      </w:r>
    </w:p>
    <w:p>
      <w:pPr>
        <w:pStyle w:val="61"/>
        <w:ind w:firstLine="420"/>
        <w:rPr>
          <w:rFonts w:ascii="Times New Roman"/>
        </w:rPr>
      </w:pPr>
      <w:r>
        <w:rPr>
          <w:rFonts w:hint="eastAsia" w:ascii="Times New Roman"/>
        </w:rPr>
        <w:t>接受多个现场端监控系统的信息，实现现场数据的监控、汇总、统计分析、报警管理、共享交换等功能；根据环境管理的需要，可扩展环境监察、环境信用评价、企业绿色信贷及其他方面的功能。</w:t>
      </w:r>
    </w:p>
    <w:p>
      <w:pPr>
        <w:pStyle w:val="106"/>
        <w:spacing w:before="312" w:after="312"/>
      </w:pPr>
      <w:bookmarkStart w:id="47" w:name="_Toc92141762"/>
      <w:bookmarkStart w:id="48" w:name="_Toc92133080"/>
      <w:bookmarkStart w:id="49" w:name="_Hlk92189504"/>
      <w:r>
        <w:rPr>
          <w:rFonts w:hint="eastAsia" w:hAnsi="黑体"/>
          <w:szCs w:val="21"/>
        </w:rPr>
        <w:t>系统要求</w:t>
      </w:r>
      <w:bookmarkEnd w:id="47"/>
      <w:bookmarkEnd w:id="48"/>
    </w:p>
    <w:bookmarkEnd w:id="49"/>
    <w:p>
      <w:pPr>
        <w:pStyle w:val="107"/>
        <w:spacing w:before="156" w:after="156"/>
      </w:pPr>
      <w:r>
        <w:rPr>
          <w:rFonts w:hint="eastAsia" w:hAnsi="黑体" w:cs="黑体"/>
        </w:rPr>
        <w:t>安装环境要求</w:t>
      </w:r>
    </w:p>
    <w:p>
      <w:pPr>
        <w:pStyle w:val="165"/>
        <w:rPr>
          <w:rFonts w:ascii="Times New Roman"/>
        </w:rPr>
      </w:pPr>
      <w:r>
        <w:rPr>
          <w:rFonts w:hint="eastAsia" w:ascii="Times New Roman"/>
        </w:rPr>
        <w:t>中控室、仪表间应具有保温供暖及通风的环境条件，温度、湿度和抗振动性能符合</w:t>
      </w:r>
      <w:r>
        <w:rPr>
          <w:rFonts w:ascii="Times New Roman"/>
        </w:rPr>
        <w:t>GB/T 6587</w:t>
      </w:r>
      <w:r>
        <w:rPr>
          <w:rFonts w:hint="eastAsia" w:ascii="Times New Roman"/>
        </w:rPr>
        <w:t>环境组别</w:t>
      </w:r>
      <w:r>
        <w:rPr>
          <w:rFonts w:ascii="Times New Roman"/>
        </w:rPr>
        <w:t>II</w:t>
      </w:r>
      <w:r>
        <w:rPr>
          <w:rFonts w:hint="eastAsia" w:ascii="Times New Roman"/>
        </w:rPr>
        <w:t>组的规定，受控电磁环境符合</w:t>
      </w:r>
      <w:r>
        <w:rPr>
          <w:rFonts w:ascii="Times New Roman"/>
        </w:rPr>
        <w:t>GB/T 18268.1</w:t>
      </w:r>
      <w:r>
        <w:rPr>
          <w:rFonts w:hint="eastAsia" w:ascii="Times New Roman"/>
        </w:rPr>
        <w:t>的规定。</w:t>
      </w:r>
    </w:p>
    <w:p>
      <w:pPr>
        <w:pStyle w:val="165"/>
        <w:rPr>
          <w:rFonts w:ascii="Times New Roman"/>
        </w:rPr>
      </w:pPr>
      <w:r>
        <w:rPr>
          <w:rFonts w:hint="eastAsia"/>
        </w:rPr>
        <w:t>现场端监控系统的安装应避免对企业安全生产和环境造成影响，应集成在一个机柜中，在室内安装应配备完善规范的接地装置、除湿装置和避雷措施，以及防盗和防止人为破坏的设施。</w:t>
      </w:r>
    </w:p>
    <w:p>
      <w:pPr>
        <w:pStyle w:val="107"/>
        <w:spacing w:before="156" w:after="156"/>
        <w:rPr>
          <w:rFonts w:hAnsi="黑体" w:cs="黑体"/>
        </w:rPr>
      </w:pPr>
      <w:r>
        <w:rPr>
          <w:rFonts w:hint="eastAsia" w:hAnsi="黑体" w:cs="黑体"/>
        </w:rPr>
        <w:t>安全要求</w:t>
      </w:r>
    </w:p>
    <w:p>
      <w:pPr>
        <w:pStyle w:val="165"/>
      </w:pPr>
      <w:r>
        <w:rPr>
          <w:rFonts w:hint="eastAsia" w:ascii="Times New Roman"/>
        </w:rPr>
        <w:t>绝缘阻抗应不小于</w:t>
      </w:r>
      <w:r>
        <w:rPr>
          <w:rFonts w:ascii="Times New Roman"/>
        </w:rPr>
        <w:t>20M</w:t>
      </w:r>
      <w:r>
        <w:rPr>
          <w:rFonts w:hint="eastAsia" w:ascii="Times New Roman"/>
        </w:rPr>
        <w:t>Ω</w:t>
      </w:r>
      <w:r>
        <w:rPr>
          <w:rFonts w:hint="eastAsia"/>
        </w:rPr>
        <w:t>。</w:t>
      </w:r>
    </w:p>
    <w:p>
      <w:pPr>
        <w:pStyle w:val="165"/>
        <w:rPr>
          <w:rFonts w:ascii="Times New Roman"/>
        </w:rPr>
      </w:pPr>
      <w:r>
        <w:rPr>
          <w:rFonts w:hint="eastAsia" w:ascii="Times New Roman"/>
        </w:rPr>
        <w:t>在正常大气条件下，应能承受频率为</w:t>
      </w:r>
      <w:r>
        <w:rPr>
          <w:rFonts w:ascii="Times New Roman"/>
        </w:rPr>
        <w:t>50Hz</w:t>
      </w:r>
      <w:r>
        <w:rPr>
          <w:rFonts w:hint="eastAsia" w:ascii="Times New Roman"/>
        </w:rPr>
        <w:t>、有效值为</w:t>
      </w:r>
      <w:r>
        <w:rPr>
          <w:rFonts w:ascii="Times New Roman"/>
        </w:rPr>
        <w:t>1500V</w:t>
      </w:r>
      <w:r>
        <w:rPr>
          <w:rFonts w:hint="eastAsia" w:ascii="Times New Roman"/>
        </w:rPr>
        <w:t>的正弦交流电压</w:t>
      </w:r>
      <w:r>
        <w:rPr>
          <w:rFonts w:ascii="Times New Roman"/>
        </w:rPr>
        <w:t>1</w:t>
      </w:r>
      <w:r>
        <w:rPr>
          <w:rFonts w:hint="eastAsia" w:ascii="Times New Roman"/>
        </w:rPr>
        <w:t>分钟，应无飞弧和击穿现象。</w:t>
      </w:r>
    </w:p>
    <w:p>
      <w:pPr>
        <w:pStyle w:val="165"/>
        <w:rPr>
          <w:rFonts w:ascii="Times New Roman"/>
        </w:rPr>
      </w:pPr>
      <w:r>
        <w:rPr>
          <w:rFonts w:hint="eastAsia" w:ascii="Times New Roman"/>
        </w:rPr>
        <w:t>监控系统具有安全保护措施、防止非法接入、病毒感染、防雷击、过载、断电、电磁干扰，部分特殊环境下具有防水防爆要求。</w:t>
      </w:r>
    </w:p>
    <w:p>
      <w:pPr>
        <w:pStyle w:val="107"/>
        <w:spacing w:before="156" w:after="156"/>
        <w:rPr>
          <w:rFonts w:hAnsi="黑体" w:cs="黑体"/>
        </w:rPr>
      </w:pPr>
      <w:r>
        <w:rPr>
          <w:rFonts w:hint="eastAsia" w:hAnsi="黑体" w:cs="黑体"/>
        </w:rPr>
        <w:t>功能要求</w:t>
      </w:r>
    </w:p>
    <w:p>
      <w:pPr>
        <w:pStyle w:val="72"/>
        <w:spacing w:before="156" w:after="156"/>
        <w:rPr>
          <w:rFonts w:hAnsi="黑体" w:cs="黑体"/>
        </w:rPr>
      </w:pPr>
      <w:r>
        <w:rPr>
          <w:rFonts w:hint="eastAsia" w:hAnsi="黑体" w:cs="黑体"/>
        </w:rPr>
        <w:t>现场端监控系统</w:t>
      </w:r>
    </w:p>
    <w:p>
      <w:pPr>
        <w:pStyle w:val="99"/>
        <w:spacing w:before="156" w:after="156"/>
      </w:pPr>
      <w:r>
        <w:rPr>
          <w:rFonts w:hint="eastAsia" w:hAnsi="黑体" w:cs="黑体"/>
        </w:rPr>
        <w:t>概述</w:t>
      </w:r>
    </w:p>
    <w:p>
      <w:pPr>
        <w:pStyle w:val="61"/>
        <w:ind w:firstLine="420"/>
        <w:rPr>
          <w:rFonts w:ascii="Times New Roman"/>
        </w:rPr>
      </w:pPr>
      <w:r>
        <w:rPr>
          <w:rFonts w:hint="eastAsia" w:ascii="Times New Roman"/>
        </w:rPr>
        <w:t>系统提供基础数据来源、向行业监管部门监控系统传输分析处理后的数据、应用多种方式查询现场数据，安装预测污染物排放的模型软件后分析处理输入模型的数据和模型输出数据。</w:t>
      </w:r>
    </w:p>
    <w:p>
      <w:pPr>
        <w:pStyle w:val="99"/>
        <w:spacing w:before="156" w:after="156"/>
      </w:pPr>
      <w:bookmarkStart w:id="50" w:name="_Hlk92186232"/>
      <w:r>
        <w:rPr>
          <w:rFonts w:hint="eastAsia" w:hAnsi="黑体" w:cs="黑体"/>
        </w:rPr>
        <w:t>参数监测子系统</w:t>
      </w:r>
    </w:p>
    <w:bookmarkEnd w:id="50"/>
    <w:p>
      <w:pPr>
        <w:pStyle w:val="61"/>
        <w:ind w:firstLine="420"/>
        <w:rPr>
          <w:rFonts w:ascii="Times New Roman"/>
        </w:rPr>
      </w:pPr>
      <w:r>
        <w:rPr>
          <w:rFonts w:hint="eastAsia" w:ascii="Times New Roman"/>
        </w:rPr>
        <w:t>参数监测子系统的监测要求参见附录</w:t>
      </w:r>
      <w:r>
        <w:rPr>
          <w:rFonts w:ascii="Times New Roman"/>
        </w:rPr>
        <w:t>A</w:t>
      </w:r>
      <w:r>
        <w:rPr>
          <w:rFonts w:hint="eastAsia" w:ascii="Times New Roman"/>
        </w:rPr>
        <w:t>。</w:t>
      </w:r>
    </w:p>
    <w:p>
      <w:pPr>
        <w:pStyle w:val="61"/>
        <w:ind w:firstLine="420"/>
        <w:rPr>
          <w:rFonts w:ascii="Times New Roman"/>
        </w:rPr>
      </w:pPr>
      <w:r>
        <w:rPr>
          <w:rFonts w:hint="eastAsia" w:ascii="Times New Roman"/>
        </w:rPr>
        <w:t>现场通过二维码来标识和定位参数监测子系统各因子对应设备的测点信息，二维码至少应包含排污单位统一社会信用代码、工况监测因子编码分类、处理工艺分类、工况监控因子名称、工况监控设备编码等信息，具体按附录</w:t>
      </w:r>
      <w:r>
        <w:rPr>
          <w:rFonts w:ascii="Times New Roman"/>
        </w:rPr>
        <w:t>B.4</w:t>
      </w:r>
      <w:r>
        <w:rPr>
          <w:rFonts w:hint="eastAsia" w:ascii="Times New Roman"/>
        </w:rPr>
        <w:t>。</w:t>
      </w:r>
    </w:p>
    <w:p>
      <w:pPr>
        <w:pStyle w:val="99"/>
        <w:spacing w:before="156" w:after="156"/>
      </w:pPr>
      <w:r>
        <w:rPr>
          <w:rFonts w:hint="eastAsia" w:hAnsi="黑体" w:cs="黑体"/>
        </w:rPr>
        <w:t>数据采集传输子系统</w:t>
      </w:r>
    </w:p>
    <w:p>
      <w:pPr>
        <w:pStyle w:val="61"/>
        <w:ind w:firstLine="420"/>
      </w:pPr>
      <w:r>
        <w:rPr>
          <w:rFonts w:hint="eastAsia" w:hAnsi="黑体" w:cs="黑体"/>
        </w:rPr>
        <w:t>数据采集传输子系统具有以下要求。</w:t>
      </w:r>
    </w:p>
    <w:p>
      <w:pPr>
        <w:pStyle w:val="134"/>
        <w:rPr>
          <w:rFonts w:ascii="Times New Roman"/>
        </w:rPr>
      </w:pPr>
      <w:r>
        <w:rPr>
          <w:rFonts w:hint="eastAsia" w:ascii="Times New Roman"/>
        </w:rPr>
        <w:t>数据获取：企业生产设施和污染治理设施的运行参数及电气参数等监控数据（以下简称“工况数据”），由工况数据采集传输仪从中控系统中通过</w:t>
      </w:r>
      <w:r>
        <w:rPr>
          <w:rFonts w:ascii="Times New Roman"/>
        </w:rPr>
        <w:t>OPC</w:t>
      </w:r>
      <w:r>
        <w:rPr>
          <w:rFonts w:hint="eastAsia" w:ascii="Times New Roman"/>
        </w:rPr>
        <w:t>或</w:t>
      </w:r>
      <w:r>
        <w:rPr>
          <w:rFonts w:ascii="Times New Roman"/>
        </w:rPr>
        <w:t>MODBUS</w:t>
      </w:r>
      <w:r>
        <w:rPr>
          <w:rFonts w:hint="eastAsia" w:ascii="Times New Roman"/>
        </w:rPr>
        <w:t>协议通讯获取并上传，或由中控系统通过隔离网闸、防火墙安全方式直接上传。工况数据的采集频率为</w:t>
      </w:r>
      <w:r>
        <w:rPr>
          <w:rFonts w:ascii="Times New Roman"/>
        </w:rPr>
        <w:t>1</w:t>
      </w:r>
      <w:r>
        <w:rPr>
          <w:rFonts w:hint="eastAsia" w:ascii="Times New Roman"/>
        </w:rPr>
        <w:t>min</w:t>
      </w:r>
      <w:r>
        <w:rPr>
          <w:rFonts w:hint="eastAsia" w:hAnsi="宋体"/>
        </w:rPr>
        <w:t>/次</w:t>
      </w:r>
      <w:r>
        <w:rPr>
          <w:rFonts w:hint="eastAsia" w:ascii="Times New Roman"/>
        </w:rPr>
        <w:t>。</w:t>
      </w:r>
    </w:p>
    <w:p>
      <w:pPr>
        <w:pStyle w:val="134"/>
        <w:rPr>
          <w:rFonts w:ascii="Times New Roman"/>
        </w:rPr>
      </w:pPr>
      <w:r>
        <w:rPr>
          <w:rFonts w:hint="eastAsia" w:ascii="Times New Roman"/>
        </w:rPr>
        <w:t>信号电缆配置要求：对于模拟量输入信号，开关量输入（输出）信号，应采用屏蔽电缆，宜采用屏蔽双绞电缆，屏蔽层需单端接地。</w:t>
      </w:r>
    </w:p>
    <w:p>
      <w:pPr>
        <w:pStyle w:val="134"/>
        <w:rPr>
          <w:rFonts w:ascii="Times New Roman"/>
        </w:rPr>
      </w:pPr>
      <w:r>
        <w:rPr>
          <w:rFonts w:hint="eastAsia" w:ascii="Times New Roman"/>
        </w:rPr>
        <w:t>模拟信号隔离要求：模拟输入通道应具有隔离功能，可采用普通光耦隔离、线性光耦隔离或变压器隔离等其它信号隔离方法，应采用适应实际工况需要的规格型号，保证参数的准确采集。</w:t>
      </w:r>
    </w:p>
    <w:p>
      <w:pPr>
        <w:pStyle w:val="134"/>
        <w:rPr>
          <w:rFonts w:ascii="Times New Roman"/>
        </w:rPr>
      </w:pPr>
      <w:r>
        <w:rPr>
          <w:rFonts w:hint="eastAsia" w:ascii="Times New Roman"/>
        </w:rPr>
        <w:t>信号电缆安装要求：如果信号电缆和电源电缆之间的间距小于</w:t>
      </w:r>
      <w:r>
        <w:rPr>
          <w:rFonts w:ascii="Times New Roman"/>
        </w:rPr>
        <w:t>15cm</w:t>
      </w:r>
      <w:r>
        <w:rPr>
          <w:rFonts w:hint="eastAsia" w:ascii="Times New Roman"/>
        </w:rPr>
        <w:t>，应在信号电缆和电源电缆之间设置屏蔽用的金属隔板，并将隔板接地，避免交叉走线，以减少干扰；当信号电缆和电源电缆垂直方向或水平方向安装时，信号电缆和电源电缆之间的间距应大于</w:t>
      </w:r>
      <w:r>
        <w:rPr>
          <w:rFonts w:ascii="Times New Roman"/>
        </w:rPr>
        <w:t>15cm</w:t>
      </w:r>
      <w:r>
        <w:rPr>
          <w:rFonts w:hint="eastAsia" w:ascii="Times New Roman"/>
        </w:rPr>
        <w:t>。</w:t>
      </w:r>
    </w:p>
    <w:p>
      <w:pPr>
        <w:pStyle w:val="134"/>
        <w:rPr>
          <w:rFonts w:ascii="Times New Roman"/>
        </w:rPr>
      </w:pPr>
      <w:r>
        <w:rPr>
          <w:rFonts w:hint="eastAsia" w:ascii="Times New Roman"/>
        </w:rPr>
        <w:t>物理隔离装置要求：依据电力系统二次安全防护的要求，在生活垃圾焚烧发电厂获取工况数据时应加装单向物理隔离装置，选用的隔离设备应经国家继电保护及自动化设备质量监督检验中心和公安部计算机信息系统安全产品质量监督检验中心检测合格。</w:t>
      </w:r>
    </w:p>
    <w:p>
      <w:pPr>
        <w:pStyle w:val="134"/>
        <w:rPr>
          <w:rFonts w:ascii="Times New Roman"/>
        </w:rPr>
      </w:pPr>
      <w:r>
        <w:rPr>
          <w:rFonts w:hint="eastAsia" w:ascii="Times New Roman"/>
        </w:rPr>
        <w:t>数据传输：</w:t>
      </w:r>
      <w:r>
        <w:rPr>
          <w:rFonts w:ascii="Times New Roman"/>
        </w:rPr>
        <w:t>PMS</w:t>
      </w:r>
      <w:r>
        <w:rPr>
          <w:rFonts w:hint="eastAsia" w:ascii="Times New Roman"/>
        </w:rPr>
        <w:t>的数据编码规则和传输协议应符合</w:t>
      </w:r>
      <w:r>
        <w:rPr>
          <w:rFonts w:ascii="Times New Roman"/>
        </w:rPr>
        <w:t>IEC60875-5-104</w:t>
      </w:r>
      <w:r>
        <w:rPr>
          <w:rFonts w:hint="eastAsia" w:ascii="Times New Roman"/>
        </w:rPr>
        <w:t>和</w:t>
      </w:r>
      <w:r>
        <w:rPr>
          <w:rFonts w:ascii="Times New Roman"/>
        </w:rPr>
        <w:t>HJ 212</w:t>
      </w:r>
      <w:r>
        <w:rPr>
          <w:rFonts w:hint="eastAsia" w:ascii="Times New Roman"/>
        </w:rPr>
        <w:t>的要求，对于</w:t>
      </w:r>
      <w:r>
        <w:rPr>
          <w:rFonts w:ascii="Times New Roman"/>
        </w:rPr>
        <w:t>HJ 212</w:t>
      </w:r>
      <w:r>
        <w:rPr>
          <w:rFonts w:hint="eastAsia" w:ascii="Times New Roman"/>
        </w:rPr>
        <w:t>未覆盖部分，应遵循本文件的要求，应符合附录</w:t>
      </w:r>
      <w:r>
        <w:rPr>
          <w:rFonts w:ascii="Times New Roman"/>
        </w:rPr>
        <w:t>B</w:t>
      </w:r>
      <w:r>
        <w:rPr>
          <w:rFonts w:hint="eastAsia" w:ascii="Times New Roman"/>
        </w:rPr>
        <w:t>要求。工况数据采集传输仪通过有线、无线网络将数据发送至行业监管部门监控系统。支持实时数据传输、历史数据补遗、远程参数设置等功能。</w:t>
      </w:r>
    </w:p>
    <w:p>
      <w:pPr>
        <w:pStyle w:val="134"/>
        <w:rPr>
          <w:rFonts w:ascii="Times New Roman"/>
        </w:rPr>
      </w:pPr>
      <w:r>
        <w:rPr>
          <w:rFonts w:hint="eastAsia" w:ascii="Times New Roman"/>
        </w:rPr>
        <w:t>信号采集误差要求：工况数据采集传输仪模拟量采集传输过程中产生的误差应小于</w:t>
      </w:r>
      <w:r>
        <w:rPr>
          <w:rFonts w:ascii="Times New Roman"/>
        </w:rPr>
        <w:t>1</w:t>
      </w:r>
      <w:r>
        <w:rPr>
          <w:rFonts w:hint="eastAsia" w:ascii="Times New Roman"/>
        </w:rPr>
        <w:t>‰。</w:t>
      </w:r>
    </w:p>
    <w:p>
      <w:pPr>
        <w:pStyle w:val="134"/>
        <w:rPr>
          <w:rFonts w:ascii="Times New Roman"/>
        </w:rPr>
      </w:pPr>
      <w:r>
        <w:rPr>
          <w:rFonts w:hint="eastAsia" w:ascii="Times New Roman"/>
        </w:rPr>
        <w:t>系统时钟计时误差：工况数据采集传输仪系统时钟时间控制</w:t>
      </w:r>
      <w:r>
        <w:rPr>
          <w:rFonts w:ascii="Times New Roman"/>
        </w:rPr>
        <w:t>48</w:t>
      </w:r>
      <w:r>
        <w:rPr>
          <w:rFonts w:hint="eastAsia" w:ascii="Times New Roman"/>
        </w:rPr>
        <w:t>小时内误差不超过±</w:t>
      </w:r>
      <w:r>
        <w:rPr>
          <w:rFonts w:ascii="Times New Roman"/>
        </w:rPr>
        <w:t>0.5</w:t>
      </w:r>
      <w:r>
        <w:rPr>
          <w:rFonts w:hint="eastAsia" w:ascii="Times New Roman"/>
        </w:rPr>
        <w:t>‰，支持通过行业监管部门监控系统对时钟进行校准。</w:t>
      </w:r>
    </w:p>
    <w:p>
      <w:pPr>
        <w:pStyle w:val="134"/>
        <w:rPr>
          <w:rFonts w:ascii="Times New Roman"/>
        </w:rPr>
      </w:pPr>
      <w:r>
        <w:rPr>
          <w:rFonts w:hint="eastAsia" w:ascii="Times New Roman"/>
        </w:rPr>
        <w:t>存储要求：工况数据采集传输仪应具备断电保护功能，断电后所存储数据不丢失。存储容量不低于</w:t>
      </w:r>
      <w:r>
        <w:rPr>
          <w:rFonts w:ascii="Times New Roman"/>
        </w:rPr>
        <w:t>128G</w:t>
      </w:r>
      <w:r>
        <w:rPr>
          <w:rFonts w:hint="eastAsia" w:ascii="Times New Roman"/>
        </w:rPr>
        <w:t>，应保存</w:t>
      </w:r>
      <w:r>
        <w:rPr>
          <w:rFonts w:ascii="Times New Roman"/>
        </w:rPr>
        <w:t>3</w:t>
      </w:r>
      <w:r>
        <w:rPr>
          <w:rFonts w:hint="eastAsia" w:ascii="Times New Roman"/>
        </w:rPr>
        <w:t>年及以上的</w:t>
      </w:r>
      <w:r>
        <w:rPr>
          <w:rFonts w:ascii="Times New Roman"/>
        </w:rPr>
        <w:t>1</w:t>
      </w:r>
      <w:r>
        <w:rPr>
          <w:rFonts w:hint="eastAsia" w:ascii="Times New Roman"/>
        </w:rPr>
        <w:t>分钟数据并支持通过移动介质导出。</w:t>
      </w:r>
      <w:r>
        <w:rPr>
          <w:rFonts w:ascii="Times New Roman"/>
        </w:rPr>
        <w:t>1</w:t>
      </w:r>
      <w:r>
        <w:rPr>
          <w:rFonts w:hint="eastAsia" w:ascii="Times New Roman"/>
        </w:rPr>
        <w:t>年以上的数据采用数据库文件备份技术导出至其他存储介质。</w:t>
      </w:r>
    </w:p>
    <w:p>
      <w:pPr>
        <w:pStyle w:val="134"/>
        <w:rPr>
          <w:rFonts w:ascii="Times New Roman"/>
        </w:rPr>
      </w:pPr>
      <w:r>
        <w:rPr>
          <w:rFonts w:hint="eastAsia" w:ascii="Times New Roman"/>
        </w:rPr>
        <w:t>后备电源：工况数据采集传输仪应配备后备电源。当外部电源停止供电后，后备电源可以持续供电，持续工作时间不低于</w:t>
      </w:r>
      <w:r>
        <w:rPr>
          <w:rFonts w:ascii="Times New Roman"/>
        </w:rPr>
        <w:t>6</w:t>
      </w:r>
      <w:r>
        <w:rPr>
          <w:rFonts w:hint="eastAsia" w:ascii="Times New Roman"/>
        </w:rPr>
        <w:t>小时。外部电源正常供电时，可对后备电源充电。</w:t>
      </w:r>
    </w:p>
    <w:p>
      <w:pPr>
        <w:pStyle w:val="99"/>
        <w:spacing w:before="156" w:after="156"/>
      </w:pPr>
      <w:r>
        <w:rPr>
          <w:rFonts w:hint="eastAsia" w:hAnsi="黑体" w:cs="黑体"/>
        </w:rPr>
        <w:t>现场端应用子系统</w:t>
      </w:r>
    </w:p>
    <w:p>
      <w:pPr>
        <w:pStyle w:val="61"/>
        <w:ind w:firstLine="420"/>
      </w:pPr>
      <w:r>
        <w:rPr>
          <w:rFonts w:hint="eastAsia" w:hAnsi="黑体" w:cs="黑体"/>
        </w:rPr>
        <w:t>现场端应用软件应具备以下功能。</w:t>
      </w:r>
    </w:p>
    <w:p>
      <w:pPr>
        <w:pStyle w:val="134"/>
        <w:rPr>
          <w:rFonts w:ascii="Times New Roman"/>
        </w:rPr>
      </w:pPr>
      <w:r>
        <w:rPr>
          <w:rFonts w:hint="eastAsia" w:ascii="Times New Roman"/>
        </w:rPr>
        <w:t>数据展示：自动监控系统应能实时通过图表方式显示采集的焚烧设施、污染治理设施的运行数据，以及与监控污染物排放相关的监测数据或统计数据。</w:t>
      </w:r>
    </w:p>
    <w:p>
      <w:pPr>
        <w:pStyle w:val="134"/>
        <w:rPr>
          <w:rFonts w:ascii="Times New Roman"/>
        </w:rPr>
      </w:pPr>
      <w:r>
        <w:rPr>
          <w:rFonts w:hint="eastAsia" w:ascii="Times New Roman"/>
        </w:rPr>
        <w:t>数据查询：能查询实时数据、历史数据、异常报警记录等。</w:t>
      </w:r>
    </w:p>
    <w:p>
      <w:pPr>
        <w:pStyle w:val="134"/>
        <w:rPr>
          <w:rFonts w:ascii="Times New Roman"/>
        </w:rPr>
      </w:pPr>
      <w:r>
        <w:rPr>
          <w:rFonts w:hint="eastAsia" w:ascii="Times New Roman"/>
        </w:rPr>
        <w:t>多曲线比较：比较监控设施运行参数数据、排放污染物、生产设施与污染治理设施关联参数（如：发电负荷与脱硫系统增压风机电流关联曲线）数据的小时、日、月等的变化曲线。</w:t>
      </w:r>
    </w:p>
    <w:p>
      <w:pPr>
        <w:pStyle w:val="134"/>
        <w:rPr>
          <w:rFonts w:ascii="Times New Roman"/>
        </w:rPr>
      </w:pPr>
      <w:r>
        <w:rPr>
          <w:rFonts w:hint="eastAsia" w:ascii="Times New Roman"/>
        </w:rPr>
        <w:t>异动分析：能对采集的数据进行预处理，筛除离群值、可疑值并能识别在设施非稳定运行状态下获得的监测数据。</w:t>
      </w:r>
    </w:p>
    <w:p>
      <w:pPr>
        <w:pStyle w:val="134"/>
        <w:rPr>
          <w:rFonts w:ascii="Times New Roman"/>
        </w:rPr>
      </w:pPr>
      <w:r>
        <w:rPr>
          <w:rFonts w:hint="eastAsia" w:ascii="Times New Roman"/>
        </w:rPr>
        <w:t>工况核定：判定污染治理设施的投运、停运及运行状况，并核定运行状况正常或异常，以保证精确的统计污染治理设施的有关数据及核定监控污染物的排放状态。</w:t>
      </w:r>
    </w:p>
    <w:p>
      <w:pPr>
        <w:pStyle w:val="134"/>
        <w:rPr>
          <w:rFonts w:ascii="Times New Roman"/>
        </w:rPr>
      </w:pPr>
      <w:r>
        <w:rPr>
          <w:rFonts w:hint="eastAsia" w:ascii="Times New Roman"/>
        </w:rPr>
        <w:t>数据判定：监控生产设施和污染治理设施的关键参数，对治理设施运行状况判定。</w:t>
      </w:r>
    </w:p>
    <w:p>
      <w:pPr>
        <w:pStyle w:val="134"/>
        <w:rPr>
          <w:rFonts w:ascii="Times New Roman"/>
        </w:rPr>
      </w:pPr>
      <w:r>
        <w:rPr>
          <w:rFonts w:hint="eastAsia" w:ascii="Times New Roman"/>
        </w:rPr>
        <w:t>故障报警：能针对生产设施和污染治理设施运行中出现的故障或异常情况进行实时预警和报警，并可记录和查询报警，并对故障内容进行分级和对报警内容进行推送，跟踪报警处理措施和处理结果，形成报警信息闭环管理。</w:t>
      </w:r>
    </w:p>
    <w:p>
      <w:pPr>
        <w:pStyle w:val="134"/>
        <w:rPr>
          <w:rFonts w:ascii="Times New Roman"/>
        </w:rPr>
      </w:pPr>
      <w:r>
        <w:rPr>
          <w:rFonts w:hint="eastAsia" w:ascii="Times New Roman"/>
        </w:rPr>
        <w:t>安全管理：具有安全管理功能，操作人员需进行身份认证后才能进入控制界面。安全管理功能应至少为二级系统操作管理权限，具有屏保功能。</w:t>
      </w:r>
    </w:p>
    <w:p>
      <w:pPr>
        <w:pStyle w:val="134"/>
        <w:rPr>
          <w:rFonts w:ascii="Times New Roman"/>
        </w:rPr>
      </w:pPr>
      <w:r>
        <w:rPr>
          <w:rFonts w:hint="eastAsia" w:ascii="Times New Roman"/>
        </w:rPr>
        <w:t>自动恢复：设备开机应自动运行，当停电或设备重新启动后，不需要人工操作，自动恢复运行状态并记录出现故障时的时间和恢复运行时的时间以及故障信息。</w:t>
      </w:r>
    </w:p>
    <w:p>
      <w:pPr>
        <w:pStyle w:val="134"/>
        <w:rPr>
          <w:rFonts w:ascii="Times New Roman"/>
        </w:rPr>
      </w:pPr>
      <w:r>
        <w:rPr>
          <w:rFonts w:hint="eastAsia" w:ascii="Times New Roman"/>
        </w:rPr>
        <w:t>运行指示：设备应有电源、运行、故障、报警状态的运行指示。</w:t>
      </w:r>
    </w:p>
    <w:p>
      <w:pPr>
        <w:pStyle w:val="134"/>
        <w:rPr>
          <w:rFonts w:ascii="Times New Roman"/>
        </w:rPr>
      </w:pPr>
      <w:r>
        <w:rPr>
          <w:rFonts w:hint="eastAsia" w:ascii="Times New Roman"/>
        </w:rPr>
        <w:t>其他功能：能按有关标准的规定标识数据，提供多种报告和数据汇总表；向行业监管部门监控系统平台传输信息，发出和应答指令。</w:t>
      </w:r>
    </w:p>
    <w:p>
      <w:pPr>
        <w:pStyle w:val="72"/>
        <w:spacing w:before="156" w:after="156"/>
      </w:pPr>
      <w:r>
        <w:rPr>
          <w:rFonts w:hint="eastAsia" w:hAnsi="黑体" w:cs="黑体"/>
        </w:rPr>
        <w:t>行业监管部门监控系统</w:t>
      </w:r>
    </w:p>
    <w:p>
      <w:pPr>
        <w:pStyle w:val="61"/>
        <w:ind w:firstLine="420"/>
        <w:rPr>
          <w:rFonts w:ascii="Times New Roman"/>
        </w:rPr>
      </w:pPr>
      <w:r>
        <w:rPr>
          <w:rFonts w:hint="eastAsia" w:cs="宋体"/>
          <w:szCs w:val="18"/>
        </w:rPr>
        <w:t>行业监管部门</w:t>
      </w:r>
      <w:r>
        <w:rPr>
          <w:rFonts w:hint="eastAsia" w:hAnsi="宋体"/>
          <w:bCs/>
        </w:rPr>
        <w:t>监控系统的主要功能是完成各企业污染治理设施运行参数数据的收集、存储、分析和应用，核对烟气污染源排放数据的合理性、真实性和可靠性，为环境管理提供数据基础，为企业提供生产运行的优化建议，其具体</w:t>
      </w:r>
      <w:r>
        <w:rPr>
          <w:rFonts w:hint="eastAsia" w:ascii="Times New Roman"/>
        </w:rPr>
        <w:t>功能要求如下：</w:t>
      </w:r>
    </w:p>
    <w:p>
      <w:pPr>
        <w:pStyle w:val="134"/>
        <w:rPr>
          <w:rFonts w:ascii="Times New Roman"/>
        </w:rPr>
      </w:pPr>
      <w:r>
        <w:rPr>
          <w:rFonts w:hint="eastAsia" w:ascii="Times New Roman"/>
        </w:rPr>
        <w:t>统计分析：提供生产设施和污染治理设施运行数据的多种报告和数据汇总表，结果可导出成</w:t>
      </w:r>
      <w:r>
        <w:rPr>
          <w:rFonts w:ascii="Times New Roman"/>
        </w:rPr>
        <w:t xml:space="preserve"> Excel</w:t>
      </w:r>
      <w:r>
        <w:rPr>
          <w:rFonts w:hint="eastAsia" w:ascii="Times New Roman"/>
        </w:rPr>
        <w:t>、</w:t>
      </w:r>
      <w:r>
        <w:rPr>
          <w:rFonts w:ascii="Times New Roman"/>
        </w:rPr>
        <w:t>PDF</w:t>
      </w:r>
      <w:r>
        <w:rPr>
          <w:rFonts w:hint="eastAsia" w:ascii="Times New Roman"/>
        </w:rPr>
        <w:t>、</w:t>
      </w:r>
      <w:r>
        <w:rPr>
          <w:rFonts w:ascii="Times New Roman"/>
        </w:rPr>
        <w:t>Word</w:t>
      </w:r>
      <w:r>
        <w:rPr>
          <w:rFonts w:hint="eastAsia" w:ascii="Times New Roman"/>
        </w:rPr>
        <w:t>等格式；</w:t>
      </w:r>
    </w:p>
    <w:p>
      <w:pPr>
        <w:pStyle w:val="134"/>
      </w:pPr>
      <w:r>
        <w:rPr>
          <w:rFonts w:hint="eastAsia" w:hAnsi="黑体" w:cs="黑体"/>
        </w:rPr>
        <w:t>共享交换：</w:t>
      </w:r>
      <w:r>
        <w:rPr>
          <w:rFonts w:hint="eastAsia"/>
        </w:rPr>
        <w:t>应提供数据交换接</w:t>
      </w:r>
      <w:r>
        <w:rPr>
          <w:rFonts w:hint="eastAsia" w:ascii="Times New Roman"/>
        </w:rPr>
        <w:t>口，支持工况监控系统与行业监管部门污染源自动监控系统之间及其他业务系统之间的数据交换共享。</w:t>
      </w:r>
    </w:p>
    <w:p>
      <w:pPr>
        <w:pStyle w:val="134"/>
      </w:pPr>
      <w:r>
        <w:rPr>
          <w:rFonts w:hint="eastAsia" w:hAnsi="黑体" w:cs="黑体"/>
        </w:rPr>
        <w:t>数据存储：</w:t>
      </w:r>
      <w:r>
        <w:rPr>
          <w:rFonts w:hint="eastAsia"/>
        </w:rPr>
        <w:t>存储容量应不低</w:t>
      </w:r>
      <w:r>
        <w:rPr>
          <w:rFonts w:hint="eastAsia" w:ascii="Times New Roman"/>
        </w:rPr>
        <w:t>于</w:t>
      </w:r>
      <w:r>
        <w:rPr>
          <w:rFonts w:ascii="Times New Roman"/>
        </w:rPr>
        <w:t>1 T</w:t>
      </w:r>
      <w:r>
        <w:rPr>
          <w:rFonts w:hint="eastAsia" w:ascii="Times New Roman"/>
        </w:rPr>
        <w:t>，应保存</w:t>
      </w:r>
      <w:r>
        <w:rPr>
          <w:rFonts w:ascii="Times New Roman"/>
        </w:rPr>
        <w:t>1</w:t>
      </w:r>
      <w:r>
        <w:rPr>
          <w:rFonts w:hint="eastAsia" w:ascii="Times New Roman"/>
        </w:rPr>
        <w:t>年及以上的分钟数据。存储单元应具备断电保护功能，可通过移动介质或专用软件导出数据。</w:t>
      </w:r>
    </w:p>
    <w:p>
      <w:pPr>
        <w:pStyle w:val="106"/>
        <w:spacing w:before="312" w:after="312"/>
      </w:pPr>
      <w:r>
        <w:rPr>
          <w:rFonts w:hint="eastAsia"/>
        </w:rPr>
        <w:t>判定规则</w:t>
      </w:r>
    </w:p>
    <w:p>
      <w:pPr>
        <w:pStyle w:val="107"/>
        <w:spacing w:before="156" w:after="156"/>
        <w:rPr>
          <w:rFonts w:hAnsi="黑体" w:cs="黑体"/>
        </w:rPr>
      </w:pPr>
      <w:r>
        <w:rPr>
          <w:rFonts w:hint="eastAsia" w:hAnsi="黑体" w:cs="黑体"/>
        </w:rPr>
        <w:t>生产设施运行状况判定</w:t>
      </w:r>
    </w:p>
    <w:p>
      <w:pPr>
        <w:pStyle w:val="61"/>
        <w:ind w:firstLine="420"/>
      </w:pPr>
      <w:r>
        <w:rPr>
          <w:rFonts w:hint="eastAsia" w:hAnsi="宋体"/>
        </w:rPr>
        <w:t>机组运行状态判定应接入的参数是锅炉负荷、引风机状态和引风机电流。运行状况判定如下：</w:t>
      </w:r>
    </w:p>
    <w:p>
      <w:pPr>
        <w:pStyle w:val="134"/>
      </w:pPr>
      <w:r>
        <w:rPr>
          <w:rFonts w:hint="eastAsia" w:hAnsi="宋体" w:cs="宋体"/>
          <w:szCs w:val="21"/>
        </w:rPr>
        <w:t>处</w:t>
      </w:r>
      <w:r>
        <w:rPr>
          <w:rFonts w:hint="eastAsia" w:ascii="Times New Roman"/>
        </w:rPr>
        <w:t>理设施未投入运行：锅炉负荷额定值小于</w:t>
      </w:r>
      <w:r>
        <w:rPr>
          <w:rFonts w:ascii="Times New Roman"/>
        </w:rPr>
        <w:t>10%</w:t>
      </w:r>
      <w:r>
        <w:rPr>
          <w:rFonts w:hint="eastAsia" w:ascii="Times New Roman"/>
        </w:rPr>
        <w:t>；引风机状态为关，或工作电流小于额定电流的</w:t>
      </w:r>
      <w:r>
        <w:rPr>
          <w:rFonts w:ascii="Times New Roman"/>
        </w:rPr>
        <w:t>30%</w:t>
      </w:r>
      <w:r>
        <w:rPr>
          <w:rFonts w:hint="eastAsia" w:ascii="Times New Roman"/>
        </w:rPr>
        <w:t>；</w:t>
      </w:r>
    </w:p>
    <w:p>
      <w:pPr>
        <w:pStyle w:val="134"/>
      </w:pPr>
      <w:r>
        <w:rPr>
          <w:rFonts w:hint="eastAsia" w:hAnsi="宋体" w:cs="宋体"/>
          <w:szCs w:val="21"/>
        </w:rPr>
        <w:t>处理设施异常运行：</w:t>
      </w:r>
      <w:r>
        <w:rPr>
          <w:rFonts w:hint="eastAsia"/>
        </w:rPr>
        <w:t>引风机等设备运转偏离正常值范围，最大一般不</w:t>
      </w:r>
      <w:r>
        <w:rPr>
          <w:rFonts w:hint="eastAsia" w:ascii="Times New Roman"/>
        </w:rPr>
        <w:t>超过</w:t>
      </w:r>
      <w:r>
        <w:rPr>
          <w:rFonts w:ascii="Times New Roman"/>
        </w:rPr>
        <w:t>10%</w:t>
      </w:r>
      <w:r>
        <w:rPr>
          <w:rFonts w:hint="eastAsia" w:ascii="Times New Roman"/>
        </w:rPr>
        <w:t>；</w:t>
      </w:r>
    </w:p>
    <w:p>
      <w:pPr>
        <w:pStyle w:val="134"/>
      </w:pPr>
      <w:r>
        <w:rPr>
          <w:rFonts w:hint="eastAsia" w:hAnsi="宋体" w:cs="宋体"/>
          <w:szCs w:val="21"/>
        </w:rPr>
        <w:t>处理设施停机检修：</w:t>
      </w:r>
      <w:r>
        <w:rPr>
          <w:rFonts w:hint="eastAsia"/>
        </w:rPr>
        <w:t>生产设备负责人员备案，由备案记录判定。</w:t>
      </w:r>
    </w:p>
    <w:p>
      <w:pPr>
        <w:pStyle w:val="107"/>
        <w:spacing w:before="156" w:after="156"/>
        <w:rPr>
          <w:rFonts w:hAnsi="黑体" w:cs="黑体"/>
        </w:rPr>
      </w:pPr>
      <w:r>
        <w:rPr>
          <w:rFonts w:hint="eastAsia" w:hAnsi="黑体" w:cs="黑体"/>
        </w:rPr>
        <w:t>污染治理设施运行状况判定</w:t>
      </w:r>
    </w:p>
    <w:p>
      <w:pPr>
        <w:pStyle w:val="72"/>
        <w:spacing w:before="156" w:after="156"/>
      </w:pPr>
      <w:r>
        <w:rPr>
          <w:rFonts w:hint="eastAsia"/>
        </w:rPr>
        <w:t>概述</w:t>
      </w:r>
    </w:p>
    <w:p>
      <w:pPr>
        <w:pStyle w:val="61"/>
        <w:ind w:firstLine="420"/>
        <w:rPr>
          <w:rFonts w:ascii="Times New Roman"/>
        </w:rPr>
      </w:pPr>
      <w:r>
        <w:rPr>
          <w:rFonts w:hint="eastAsia" w:ascii="Times New Roman"/>
        </w:rPr>
        <w:t>在机组正常运行的条件下，污染治理设施运行状况的变化随其运行的主要参数的变化而变化，直接影响设施的安全、污染物的治理效果和排放。通过对污染治理设施运行参数的监测，来监控和判定设施运行状况。对于部分采用变频控制或其他节能措施的设施，通过工艺备案及审核后进行处理。本文件未涉及的污染治理设施运行工况判定方法可扩充预留（见附录</w:t>
      </w:r>
      <w:r>
        <w:rPr>
          <w:rFonts w:ascii="Times New Roman"/>
        </w:rPr>
        <w:t xml:space="preserve">B </w:t>
      </w:r>
      <w:r>
        <w:rPr>
          <w:rFonts w:hint="eastAsia" w:ascii="Times New Roman"/>
        </w:rPr>
        <w:t>表</w:t>
      </w:r>
      <w:r>
        <w:rPr>
          <w:rFonts w:ascii="Times New Roman"/>
        </w:rPr>
        <w:t>B.3</w:t>
      </w:r>
      <w:r>
        <w:rPr>
          <w:rFonts w:hint="eastAsia" w:ascii="Times New Roman"/>
        </w:rPr>
        <w:t>）。</w:t>
      </w:r>
    </w:p>
    <w:p>
      <w:pPr>
        <w:pStyle w:val="72"/>
        <w:spacing w:before="156" w:after="156"/>
      </w:pPr>
      <w:r>
        <w:rPr>
          <w:rFonts w:hint="eastAsia" w:hAnsi="黑体"/>
        </w:rPr>
        <w:t>脱硫设施运行状况判定</w:t>
      </w:r>
    </w:p>
    <w:p>
      <w:pPr>
        <w:pStyle w:val="99"/>
        <w:spacing w:before="156" w:after="156"/>
      </w:pPr>
      <w:r>
        <w:rPr>
          <w:rFonts w:hint="eastAsia" w:hAnsi="黑体" w:cs="黑体"/>
        </w:rPr>
        <w:t>湿法脱硫——石灰石/石灰-石膏法</w:t>
      </w:r>
    </w:p>
    <w:p>
      <w:pPr>
        <w:pStyle w:val="61"/>
        <w:ind w:firstLine="420"/>
      </w:pPr>
      <w:r>
        <w:rPr>
          <w:rFonts w:hint="eastAsia"/>
        </w:rPr>
        <w:t>石灰石/石灰-石膏法脱硫设施运行状况判定</w:t>
      </w:r>
      <w:r>
        <w:rPr>
          <w:rFonts w:hint="eastAsia" w:hAnsi="宋体"/>
        </w:rPr>
        <w:t>应</w:t>
      </w:r>
      <w:r>
        <w:rPr>
          <w:rFonts w:hint="eastAsia"/>
        </w:rPr>
        <w:t>接入的参数是浆液循环泵电流、脱硫塔内浆液pH等。</w:t>
      </w:r>
    </w:p>
    <w:p>
      <w:pPr>
        <w:pStyle w:val="61"/>
        <w:ind w:firstLine="420"/>
      </w:pPr>
      <w:r>
        <w:rPr>
          <w:rFonts w:hint="eastAsia"/>
        </w:rPr>
        <w:t>机组运行而脱硫设施未投入运行：浆液循环泵未开（工作电流小于额定电流的10%）。</w:t>
      </w:r>
    </w:p>
    <w:p>
      <w:pPr>
        <w:pStyle w:val="99"/>
        <w:spacing w:before="156" w:after="156"/>
      </w:pPr>
      <w:r>
        <w:rPr>
          <w:rFonts w:hint="eastAsia"/>
        </w:rPr>
        <w:t>湿法</w:t>
      </w:r>
      <w:r>
        <w:rPr>
          <w:rFonts w:hint="eastAsia" w:hAnsi="黑体"/>
        </w:rPr>
        <w:t>脱硫——氨法</w:t>
      </w:r>
    </w:p>
    <w:p>
      <w:pPr>
        <w:pStyle w:val="61"/>
        <w:ind w:firstLine="420"/>
        <w:rPr>
          <w:rFonts w:ascii="Times New Roman"/>
        </w:rPr>
      </w:pPr>
      <w:r>
        <w:rPr>
          <w:rFonts w:hint="eastAsia" w:ascii="Times New Roman"/>
        </w:rPr>
        <w:t>氨法脱硫设施运行状况判定应接入的参数是吸收塔浆液循环泵电流、吸收塔内浆液</w:t>
      </w:r>
      <w:r>
        <w:rPr>
          <w:rFonts w:ascii="Times New Roman"/>
        </w:rPr>
        <w:t>pH</w:t>
      </w:r>
      <w:r>
        <w:rPr>
          <w:rFonts w:hint="eastAsia" w:ascii="Times New Roman"/>
        </w:rPr>
        <w:t>、吸收塔内浆液浓度值、吸收塔供氨流量等，其中吸收塔内浆液</w:t>
      </w:r>
      <w:r>
        <w:rPr>
          <w:rFonts w:ascii="Times New Roman"/>
        </w:rPr>
        <w:t>pH</w:t>
      </w:r>
      <w:r>
        <w:rPr>
          <w:rFonts w:hint="eastAsia" w:ascii="Times New Roman"/>
        </w:rPr>
        <w:t>通常应控制在</w:t>
      </w:r>
      <w:r>
        <w:rPr>
          <w:rFonts w:ascii="Times New Roman"/>
        </w:rPr>
        <w:t>5</w:t>
      </w:r>
      <m:oMath>
        <m:r>
          <m:rPr>
            <m:sty m:val="p"/>
          </m:rPr>
          <w:rPr>
            <w:rFonts w:ascii="Cambria Math" w:hAnsi="Cambria Math"/>
          </w:rPr>
          <m:t>~</m:t>
        </m:r>
      </m:oMath>
      <w:r>
        <w:rPr>
          <w:rFonts w:ascii="Times New Roman"/>
        </w:rPr>
        <w:t>6</w:t>
      </w:r>
      <w:r>
        <w:rPr>
          <w:rFonts w:hint="eastAsia" w:ascii="Times New Roman"/>
        </w:rPr>
        <w:t>。机组运行而脱硫设施未投入运行：</w:t>
      </w:r>
    </w:p>
    <w:p>
      <w:pPr>
        <w:pStyle w:val="61"/>
        <w:numPr>
          <w:ilvl w:val="0"/>
          <w:numId w:val="32"/>
        </w:numPr>
        <w:ind w:firstLineChars="0"/>
      </w:pPr>
      <w:r>
        <w:rPr>
          <w:rFonts w:hint="eastAsia"/>
        </w:rPr>
        <w:t>吸收塔浆液循环泵未开（工作电流小于额定电流的10%）；</w:t>
      </w:r>
    </w:p>
    <w:p>
      <w:pPr>
        <w:pStyle w:val="61"/>
        <w:numPr>
          <w:ilvl w:val="0"/>
          <w:numId w:val="32"/>
        </w:numPr>
        <w:ind w:firstLineChars="0"/>
      </w:pPr>
      <w:r>
        <w:rPr>
          <w:rFonts w:hint="eastAsia"/>
        </w:rPr>
        <w:t>吸收塔供氨泵未开（供氨流量小于额定流量的10%）。</w:t>
      </w:r>
    </w:p>
    <w:p>
      <w:pPr>
        <w:pStyle w:val="99"/>
        <w:spacing w:before="156" w:after="156"/>
      </w:pPr>
      <w:r>
        <w:rPr>
          <w:rFonts w:hint="eastAsia" w:hAnsi="黑体"/>
        </w:rPr>
        <w:t>循环流化床法半干法脱硫</w:t>
      </w:r>
    </w:p>
    <w:p>
      <w:pPr>
        <w:pStyle w:val="61"/>
        <w:ind w:firstLine="420"/>
      </w:pPr>
      <w:r>
        <w:rPr>
          <w:rFonts w:hint="eastAsia"/>
        </w:rPr>
        <w:t>循环流化床法脱硫设施运行状况判定应接入的参数是消石灰流量、脱硫塔内喷水泵电流等。机组运行而脱硫设施未投入运行：</w:t>
      </w:r>
    </w:p>
    <w:p>
      <w:pPr>
        <w:pStyle w:val="61"/>
        <w:numPr>
          <w:ilvl w:val="0"/>
          <w:numId w:val="33"/>
        </w:numPr>
        <w:ind w:firstLineChars="0"/>
      </w:pPr>
      <w:r>
        <w:rPr>
          <w:rFonts w:hint="eastAsia"/>
        </w:rPr>
        <w:t>脱硫剂输送装置带未开（消石灰流量小于额定流量的10%）；</w:t>
      </w:r>
    </w:p>
    <w:p>
      <w:pPr>
        <w:pStyle w:val="61"/>
        <w:numPr>
          <w:ilvl w:val="0"/>
          <w:numId w:val="33"/>
        </w:numPr>
        <w:ind w:firstLineChars="0"/>
      </w:pPr>
      <w:r>
        <w:rPr>
          <w:rFonts w:hint="eastAsia"/>
        </w:rPr>
        <w:t>喷水泵未开（工作电流小于额定电流的10%）。</w:t>
      </w:r>
    </w:p>
    <w:p>
      <w:pPr>
        <w:pStyle w:val="99"/>
        <w:spacing w:before="156" w:after="156"/>
      </w:pPr>
      <w:r>
        <w:rPr>
          <w:rFonts w:hint="eastAsia"/>
        </w:rPr>
        <w:t>循环流化床法干法脱硫</w:t>
      </w:r>
    </w:p>
    <w:p>
      <w:pPr>
        <w:pStyle w:val="61"/>
        <w:ind w:firstLine="420"/>
      </w:pPr>
      <w:r>
        <w:rPr>
          <w:rFonts w:hint="eastAsia"/>
        </w:rPr>
        <w:t>循环流化床法干法脱硫设施运行状况判定</w:t>
      </w:r>
      <w:r>
        <w:rPr>
          <w:rFonts w:hint="eastAsia" w:hAnsi="宋体"/>
        </w:rPr>
        <w:t>应</w:t>
      </w:r>
      <w:r>
        <w:rPr>
          <w:rFonts w:hint="eastAsia"/>
        </w:rPr>
        <w:t>接入的参数是石灰石喷射量等。</w:t>
      </w:r>
    </w:p>
    <w:p>
      <w:pPr>
        <w:pStyle w:val="61"/>
        <w:ind w:firstLine="420"/>
      </w:pPr>
      <w:r>
        <w:rPr>
          <w:rFonts w:hint="eastAsia"/>
        </w:rPr>
        <w:t>机组运行而脱硫设施未投入运行。</w:t>
      </w:r>
    </w:p>
    <w:p>
      <w:pPr>
        <w:pStyle w:val="61"/>
        <w:ind w:firstLine="420"/>
      </w:pPr>
      <w:r>
        <w:rPr>
          <w:rFonts w:hint="eastAsia"/>
        </w:rPr>
        <w:t>脱硫剂输送装置带未开（石灰石喷射量小于额定量的10%）。</w:t>
      </w:r>
    </w:p>
    <w:p>
      <w:pPr>
        <w:pStyle w:val="72"/>
        <w:spacing w:before="156" w:after="156"/>
      </w:pPr>
      <w:r>
        <w:rPr>
          <w:rFonts w:hint="eastAsia" w:hAnsi="黑体"/>
        </w:rPr>
        <w:t>脱硝设施运行状况判定</w:t>
      </w:r>
    </w:p>
    <w:p>
      <w:pPr>
        <w:pStyle w:val="99"/>
        <w:spacing w:before="156" w:after="156"/>
      </w:pPr>
      <w:r>
        <w:rPr>
          <w:rFonts w:hint="eastAsia" w:hAnsi="黑体"/>
        </w:rPr>
        <w:t>SNCR脱硝</w:t>
      </w:r>
    </w:p>
    <w:p>
      <w:pPr>
        <w:pStyle w:val="61"/>
        <w:ind w:firstLine="420"/>
        <w:rPr>
          <w:rFonts w:ascii="Times New Roman"/>
        </w:rPr>
      </w:pPr>
      <w:commentRangeStart w:id="4"/>
      <w:r>
        <w:rPr>
          <w:rFonts w:ascii="Times New Roman"/>
        </w:rPr>
        <w:t>SNCR</w:t>
      </w:r>
      <w:commentRangeEnd w:id="4"/>
      <w:r>
        <w:rPr>
          <w:rStyle w:val="34"/>
          <w:rFonts w:ascii="Calibri" w:hAnsi="Calibri"/>
          <w:kern w:val="2"/>
        </w:rPr>
        <w:commentReference w:id="4"/>
      </w:r>
      <w:r>
        <w:rPr>
          <w:rFonts w:hint="eastAsia" w:ascii="Times New Roman"/>
        </w:rPr>
        <w:t>脱硝设施运行状况判定应接入的参数是喷氨流量、调节阀开度等。机组运行而脱硝设施未投入运行：</w:t>
      </w:r>
    </w:p>
    <w:p>
      <w:pPr>
        <w:pStyle w:val="61"/>
        <w:numPr>
          <w:ilvl w:val="0"/>
          <w:numId w:val="34"/>
        </w:numPr>
        <w:ind w:firstLineChars="0"/>
      </w:pPr>
      <w:r>
        <w:rPr>
          <w:rFonts w:hint="eastAsia"/>
        </w:rPr>
        <w:t>氨喷射系统未开（喷氨流量小于额定流量的10%）；</w:t>
      </w:r>
    </w:p>
    <w:p>
      <w:pPr>
        <w:pStyle w:val="61"/>
        <w:numPr>
          <w:ilvl w:val="0"/>
          <w:numId w:val="34"/>
        </w:numPr>
        <w:ind w:firstLineChars="0"/>
      </w:pPr>
      <w:r>
        <w:rPr>
          <w:rFonts w:hint="eastAsia"/>
        </w:rPr>
        <w:t>未喷氨（调节阀开度小于额定开度的10%）。</w:t>
      </w:r>
    </w:p>
    <w:p>
      <w:pPr>
        <w:pStyle w:val="99"/>
        <w:spacing w:before="156" w:after="156"/>
      </w:pPr>
      <w:r>
        <w:rPr>
          <w:rFonts w:hint="eastAsia"/>
        </w:rPr>
        <w:t>SCR脱硝-尿素法</w:t>
      </w:r>
    </w:p>
    <w:p>
      <w:pPr>
        <w:pStyle w:val="99"/>
        <w:numPr>
          <w:ilvl w:val="0"/>
          <w:numId w:val="0"/>
        </w:numPr>
        <w:spacing w:before="156" w:after="156"/>
        <w:ind w:firstLine="420" w:firstLineChars="200"/>
        <w:rPr>
          <w:rFonts w:ascii="Calibri" w:hAnsi="Calibri" w:eastAsia="宋体"/>
          <w:kern w:val="2"/>
          <w:szCs w:val="21"/>
        </w:rPr>
      </w:pPr>
      <w:commentRangeStart w:id="5"/>
      <w:r>
        <w:rPr>
          <w:rFonts w:ascii="Times New Roman" w:eastAsia="宋体"/>
        </w:rPr>
        <w:t>SCR</w:t>
      </w:r>
      <w:commentRangeEnd w:id="5"/>
      <w:r>
        <w:rPr>
          <w:rStyle w:val="34"/>
          <w:rFonts w:ascii="Calibri" w:hAnsi="Calibri" w:eastAsia="宋体"/>
          <w:kern w:val="2"/>
        </w:rPr>
        <w:commentReference w:id="5"/>
      </w:r>
      <w:r>
        <w:rPr>
          <w:rFonts w:hint="eastAsia" w:ascii="Times New Roman" w:eastAsia="宋体"/>
        </w:rPr>
        <w:t>脱硝设施，采用液氨法运行状况判定应接入的参数分别是：尿素喷射量、稀释风机电流等。</w:t>
      </w:r>
    </w:p>
    <w:p>
      <w:pPr>
        <w:pStyle w:val="61"/>
        <w:ind w:firstLine="420"/>
        <w:rPr>
          <w:rFonts w:ascii="Calibri" w:hAnsi="Calibri"/>
          <w:kern w:val="2"/>
          <w:szCs w:val="21"/>
        </w:rPr>
      </w:pPr>
      <w:r>
        <w:rPr>
          <w:rFonts w:hint="eastAsia" w:ascii="Calibri" w:hAnsi="Calibri"/>
          <w:kern w:val="2"/>
          <w:szCs w:val="21"/>
        </w:rPr>
        <w:t>机组运行而脱硝设施未投入运行：</w:t>
      </w:r>
    </w:p>
    <w:p>
      <w:pPr>
        <w:pStyle w:val="61"/>
        <w:numPr>
          <w:ilvl w:val="0"/>
          <w:numId w:val="35"/>
        </w:numPr>
        <w:ind w:firstLineChars="0"/>
      </w:pPr>
      <w:r>
        <w:rPr>
          <w:rFonts w:hint="eastAsia"/>
        </w:rPr>
        <w:t>尿素喷射系统未开（尿素喷射量小于额定流量的10%）；</w:t>
      </w:r>
    </w:p>
    <w:p>
      <w:pPr>
        <w:pStyle w:val="61"/>
        <w:numPr>
          <w:ilvl w:val="0"/>
          <w:numId w:val="35"/>
        </w:numPr>
        <w:ind w:firstLineChars="0"/>
      </w:pPr>
      <w:r>
        <w:rPr>
          <w:rFonts w:hint="eastAsia"/>
        </w:rPr>
        <w:t>稀释风机未开（工作电流小于额定电流的10%）。</w:t>
      </w:r>
    </w:p>
    <w:p>
      <w:pPr>
        <w:pStyle w:val="99"/>
        <w:spacing w:before="156" w:after="156"/>
      </w:pPr>
      <w:r>
        <w:rPr>
          <w:rFonts w:hint="eastAsia"/>
        </w:rPr>
        <w:t>SCR脱硝-液氨法</w:t>
      </w:r>
    </w:p>
    <w:p>
      <w:pPr>
        <w:pStyle w:val="61"/>
        <w:ind w:firstLine="420"/>
      </w:pPr>
      <w:r>
        <w:rPr>
          <w:rFonts w:hint="eastAsia"/>
        </w:rPr>
        <w:t>选择性催化还原法（SCR）脱硝设施，采用液氨法运行状况判定应接入的参数分别是：喷氨流量、稀释风机电流等。</w:t>
      </w:r>
    </w:p>
    <w:p>
      <w:pPr>
        <w:pStyle w:val="61"/>
        <w:ind w:firstLine="420"/>
      </w:pPr>
      <w:r>
        <w:rPr>
          <w:rFonts w:hint="eastAsia"/>
        </w:rPr>
        <w:t>机组运行而脱硝设施未投入运行：</w:t>
      </w:r>
    </w:p>
    <w:p>
      <w:pPr>
        <w:pStyle w:val="61"/>
        <w:numPr>
          <w:ilvl w:val="0"/>
          <w:numId w:val="36"/>
        </w:numPr>
        <w:ind w:firstLineChars="0"/>
      </w:pPr>
      <w:r>
        <w:rPr>
          <w:rFonts w:hint="eastAsia"/>
        </w:rPr>
        <w:t>氨喷射系统未开（喷氨流量小于额定流量的10%）；</w:t>
      </w:r>
    </w:p>
    <w:p>
      <w:pPr>
        <w:pStyle w:val="61"/>
        <w:numPr>
          <w:ilvl w:val="0"/>
          <w:numId w:val="36"/>
        </w:numPr>
        <w:ind w:firstLineChars="0"/>
      </w:pPr>
      <w:r>
        <w:rPr>
          <w:rFonts w:hint="eastAsia"/>
        </w:rPr>
        <w:t>稀释风机未开（工作电流小于额定电流的10%）</w:t>
      </w:r>
    </w:p>
    <w:p>
      <w:pPr>
        <w:pStyle w:val="72"/>
        <w:spacing w:before="156" w:after="156"/>
      </w:pPr>
      <w:r>
        <w:rPr>
          <w:rFonts w:hint="eastAsia"/>
        </w:rPr>
        <w:t>活性炭喷射设施运行状况</w:t>
      </w:r>
    </w:p>
    <w:p>
      <w:pPr>
        <w:pStyle w:val="61"/>
        <w:ind w:firstLine="420"/>
      </w:pPr>
      <w:r>
        <w:rPr>
          <w:rFonts w:hint="eastAsia"/>
        </w:rPr>
        <w:t>机组运行而活性炭未正常投放：活性炭喷射量小于额定喷射量的10%。</w:t>
      </w:r>
    </w:p>
    <w:p>
      <w:pPr>
        <w:pStyle w:val="72"/>
        <w:spacing w:before="156" w:after="156"/>
        <w:rPr>
          <w:rFonts w:hAnsi="黑体"/>
        </w:rPr>
      </w:pPr>
      <w:r>
        <w:rPr>
          <w:rFonts w:hint="eastAsia" w:hAnsi="黑体"/>
        </w:rPr>
        <w:t>除尘设施运行状况判定</w:t>
      </w:r>
    </w:p>
    <w:p>
      <w:pPr>
        <w:pStyle w:val="99"/>
        <w:spacing w:before="156" w:after="156"/>
      </w:pPr>
      <w:r>
        <w:rPr>
          <w:rFonts w:hint="eastAsia"/>
        </w:rPr>
        <w:t>布袋除尘</w:t>
      </w:r>
    </w:p>
    <w:p>
      <w:pPr>
        <w:pStyle w:val="61"/>
        <w:ind w:firstLine="420"/>
      </w:pPr>
      <w:r>
        <w:rPr>
          <w:rFonts w:hint="eastAsia"/>
        </w:rPr>
        <w:t>机组运行而除尘器异常：除尘器进出口工作压差信号大于设计压差的1.8倍。</w:t>
      </w:r>
    </w:p>
    <w:p>
      <w:pPr>
        <w:pStyle w:val="99"/>
        <w:spacing w:before="156" w:after="156"/>
      </w:pPr>
      <w:r>
        <w:rPr>
          <w:rFonts w:hint="eastAsia"/>
        </w:rPr>
        <w:t>电除尘</w:t>
      </w:r>
    </w:p>
    <w:p>
      <w:pPr>
        <w:pStyle w:val="61"/>
        <w:ind w:firstLine="420"/>
      </w:pPr>
      <w:r>
        <w:rPr>
          <w:rFonts w:hint="eastAsia"/>
        </w:rPr>
        <w:t>机组运行而电除尘器电场未正常投运：电场高压整流器电流小于额定电流的10%。</w:t>
      </w:r>
    </w:p>
    <w:p>
      <w:pPr>
        <w:pStyle w:val="99"/>
        <w:spacing w:before="156" w:after="156"/>
      </w:pPr>
      <w:r>
        <w:rPr>
          <w:rFonts w:hint="eastAsia"/>
        </w:rPr>
        <w:t>湿式电除尘</w:t>
      </w:r>
    </w:p>
    <w:p>
      <w:pPr>
        <w:pStyle w:val="61"/>
        <w:ind w:firstLine="420"/>
      </w:pPr>
      <w:r>
        <w:rPr>
          <w:rFonts w:hint="eastAsia"/>
        </w:rPr>
        <w:t>机组运行而除尘器未开：高压整流器电流小于额定压差的10%。</w:t>
      </w:r>
    </w:p>
    <w:p>
      <w:pPr>
        <w:pStyle w:val="107"/>
        <w:spacing w:before="156" w:after="156"/>
      </w:pPr>
      <w:r>
        <w:rPr>
          <w:rFonts w:hint="eastAsia"/>
        </w:rPr>
        <w:t>以污染物去除效率为基准判定</w:t>
      </w:r>
    </w:p>
    <w:p>
      <w:pPr>
        <w:pStyle w:val="72"/>
        <w:spacing w:before="156" w:after="156"/>
      </w:pPr>
      <w:r>
        <w:rPr>
          <w:rFonts w:hint="eastAsia"/>
        </w:rPr>
        <w:t>概述</w:t>
      </w:r>
    </w:p>
    <w:p>
      <w:pPr>
        <w:pStyle w:val="61"/>
        <w:ind w:firstLine="420"/>
      </w:pPr>
      <w:r>
        <w:rPr>
          <w:rFonts w:hint="eastAsia"/>
        </w:rPr>
        <w:t>以有关技术标准规定的污染物去除效率为参考，并给定污染物去除效率允许的波动范围，在污染治理设施正常运行的条件下通过计算一定时间期间内实际测定获得的污染物去除效率，判定污染治理设施是否正常运行。</w:t>
      </w:r>
    </w:p>
    <w:p>
      <w:pPr>
        <w:pStyle w:val="72"/>
        <w:spacing w:before="156" w:after="156"/>
      </w:pPr>
      <w:r>
        <w:rPr>
          <w:rFonts w:hint="eastAsia"/>
        </w:rPr>
        <w:t>标准规定的污染物去除效率为基准判定</w:t>
      </w:r>
    </w:p>
    <w:p>
      <w:pPr>
        <w:pStyle w:val="99"/>
        <w:spacing w:before="156" w:after="156"/>
      </w:pPr>
      <w:r>
        <w:rPr>
          <w:rFonts w:hint="eastAsia"/>
        </w:rPr>
        <w:t>SO</w:t>
      </w:r>
      <w:r>
        <w:rPr>
          <w:vertAlign w:val="subscript"/>
        </w:rPr>
        <w:t>2</w:t>
      </w:r>
      <w:r>
        <w:rPr>
          <w:rFonts w:hint="eastAsia"/>
        </w:rPr>
        <w:t>去除效率判定</w:t>
      </w:r>
    </w:p>
    <w:p>
      <w:pPr>
        <w:pStyle w:val="61"/>
        <w:ind w:firstLine="420"/>
      </w:pPr>
      <w:r>
        <w:rPr>
          <w:rFonts w:hint="eastAsia"/>
        </w:rPr>
        <w:t>烟气脱硫设施SO2去除效率判定如下：</w:t>
      </w:r>
    </w:p>
    <w:p>
      <w:pPr>
        <w:pStyle w:val="61"/>
        <w:numPr>
          <w:ilvl w:val="0"/>
          <w:numId w:val="37"/>
        </w:numPr>
        <w:ind w:firstLineChars="0"/>
      </w:pPr>
      <w:r>
        <w:rPr>
          <w:rFonts w:hint="eastAsia"/>
        </w:rPr>
        <w:t>循环流化床法：80%～95%</w:t>
      </w:r>
      <w:r>
        <w:rPr>
          <w:rStyle w:val="34"/>
          <w:rFonts w:ascii="Calibri" w:hAnsi="Calibri"/>
          <w:kern w:val="2"/>
        </w:rPr>
        <w:commentReference w:id="6"/>
      </w:r>
      <w:r>
        <w:rPr>
          <w:rFonts w:hint="eastAsia"/>
        </w:rPr>
        <w:t>，判定</w:t>
      </w:r>
      <w:r>
        <w:rPr>
          <w:rFonts w:hint="eastAsia" w:hAnsi="宋体"/>
        </w:rPr>
        <w:t>污染</w:t>
      </w:r>
      <w:r>
        <w:rPr>
          <w:rFonts w:hint="eastAsia"/>
        </w:rPr>
        <w:t>治理设施运行状态良好；</w:t>
      </w:r>
    </w:p>
    <w:p>
      <w:pPr>
        <w:pStyle w:val="61"/>
        <w:numPr>
          <w:ilvl w:val="0"/>
          <w:numId w:val="37"/>
        </w:numPr>
        <w:ind w:firstLineChars="0"/>
      </w:pPr>
      <w:r>
        <w:rPr>
          <w:rFonts w:hint="eastAsia"/>
        </w:rPr>
        <w:t>石灰石/石灰-石膏法：90%～99%，判定</w:t>
      </w:r>
      <w:r>
        <w:rPr>
          <w:rFonts w:hint="eastAsia" w:hAnsi="宋体"/>
        </w:rPr>
        <w:t>污染</w:t>
      </w:r>
      <w:r>
        <w:rPr>
          <w:rFonts w:hint="eastAsia"/>
        </w:rPr>
        <w:t>治理设施运行状态良好；</w:t>
      </w:r>
    </w:p>
    <w:p>
      <w:pPr>
        <w:pStyle w:val="61"/>
        <w:numPr>
          <w:ilvl w:val="0"/>
          <w:numId w:val="37"/>
        </w:numPr>
        <w:ind w:firstLineChars="0"/>
      </w:pPr>
      <w:r>
        <w:rPr>
          <w:rFonts w:hint="eastAsia"/>
        </w:rPr>
        <w:t>氨法：90%～99%，判定</w:t>
      </w:r>
      <w:r>
        <w:rPr>
          <w:rFonts w:hint="eastAsia" w:hAnsi="宋体"/>
        </w:rPr>
        <w:t>污染</w:t>
      </w:r>
      <w:r>
        <w:rPr>
          <w:rFonts w:hint="eastAsia"/>
        </w:rPr>
        <w:t>治理设施运行状态良好。</w:t>
      </w:r>
    </w:p>
    <w:p>
      <w:pPr>
        <w:pStyle w:val="99"/>
        <w:spacing w:before="156" w:after="156"/>
      </w:pPr>
      <w:r>
        <w:rPr>
          <w:rFonts w:hint="eastAsia"/>
        </w:rPr>
        <w:t>NOx去除效率判定</w:t>
      </w:r>
    </w:p>
    <w:p>
      <w:pPr>
        <w:pStyle w:val="61"/>
        <w:ind w:firstLine="420"/>
      </w:pPr>
      <w:r>
        <w:rPr>
          <w:rFonts w:hint="eastAsia"/>
        </w:rPr>
        <w:t>烟气脱硝设施NOx去除效率判定如下：</w:t>
      </w:r>
    </w:p>
    <w:p>
      <w:pPr>
        <w:pStyle w:val="61"/>
        <w:ind w:firstLine="420"/>
      </w:pPr>
      <w:r>
        <w:rPr>
          <w:rFonts w:hint="eastAsia"/>
        </w:rPr>
        <w:t>a）</w:t>
      </w:r>
      <w:r>
        <w:rPr>
          <w:rFonts w:hint="eastAsia"/>
        </w:rPr>
        <w:tab/>
      </w:r>
      <w:r>
        <w:rPr>
          <w:rFonts w:hint="eastAsia"/>
        </w:rPr>
        <w:t>SCR：50%～90%，判定污染治理设施运行状态良好；</w:t>
      </w:r>
    </w:p>
    <w:p>
      <w:pPr>
        <w:pStyle w:val="61"/>
        <w:ind w:firstLine="420"/>
      </w:pPr>
      <w:r>
        <w:rPr>
          <w:rFonts w:hint="eastAsia"/>
        </w:rPr>
        <w:t>b）</w:t>
      </w:r>
      <w:r>
        <w:rPr>
          <w:rFonts w:hint="eastAsia"/>
        </w:rPr>
        <w:tab/>
      </w:r>
      <w:r>
        <w:rPr>
          <w:rFonts w:hint="eastAsia"/>
        </w:rPr>
        <w:t>SNCR：层燃炉30%～50%，判定污染治理设施运行状态良好；流化床炉60%～80%，判定污染治理设施运行状态良好；煤粉炉30%～50%，判定污染治理设施运行状态良好；</w:t>
      </w:r>
    </w:p>
    <w:p>
      <w:pPr>
        <w:pStyle w:val="61"/>
        <w:ind w:firstLine="420"/>
      </w:pPr>
      <w:r>
        <w:rPr>
          <w:rFonts w:hint="eastAsia"/>
        </w:rPr>
        <w:t>c）</w:t>
      </w:r>
      <w:r>
        <w:rPr>
          <w:rFonts w:hint="eastAsia"/>
        </w:rPr>
        <w:tab/>
      </w:r>
      <w:r>
        <w:rPr>
          <w:rFonts w:hint="eastAsia"/>
        </w:rPr>
        <w:t>SNCR+SCR联合法：55%～85%，判定污染治理设施运行状态良好；</w:t>
      </w:r>
    </w:p>
    <w:p>
      <w:pPr>
        <w:pStyle w:val="61"/>
        <w:ind w:firstLine="420"/>
      </w:pPr>
      <w:r>
        <w:rPr>
          <w:rFonts w:hint="eastAsia"/>
        </w:rPr>
        <w:t>d）</w:t>
      </w:r>
      <w:r>
        <w:rPr>
          <w:rFonts w:hint="eastAsia"/>
        </w:rPr>
        <w:tab/>
      </w:r>
      <w:r>
        <w:rPr>
          <w:rFonts w:hint="eastAsia"/>
        </w:rPr>
        <w:t>对于采用低氮燃烧技术的情形，通过工艺备案及审核后进行处理。</w:t>
      </w:r>
    </w:p>
    <w:p>
      <w:pPr>
        <w:pStyle w:val="99"/>
        <w:spacing w:before="156" w:after="156"/>
      </w:pPr>
      <w:r>
        <w:rPr>
          <w:rFonts w:hint="eastAsia"/>
        </w:rPr>
        <w:t>颗粒物去除效率判定</w:t>
      </w:r>
    </w:p>
    <w:p>
      <w:pPr>
        <w:pStyle w:val="61"/>
        <w:ind w:firstLine="420"/>
      </w:pPr>
      <w:r>
        <w:rPr>
          <w:rFonts w:hint="eastAsia"/>
        </w:rPr>
        <w:t>除尘设施颗粒物去除效率判定如下：</w:t>
      </w:r>
    </w:p>
    <w:p>
      <w:pPr>
        <w:pStyle w:val="61"/>
        <w:ind w:firstLine="420"/>
      </w:pPr>
      <w:r>
        <w:rPr>
          <w:rFonts w:hint="eastAsia"/>
        </w:rPr>
        <w:t>a）</w:t>
      </w:r>
      <w:r>
        <w:rPr>
          <w:rFonts w:hint="eastAsia"/>
        </w:rPr>
        <w:tab/>
      </w:r>
      <w:r>
        <w:rPr>
          <w:rFonts w:hint="eastAsia"/>
        </w:rPr>
        <w:t>电除尘：96%～99.9%，判定污染治理设施运行状态良好；</w:t>
      </w:r>
    </w:p>
    <w:p>
      <w:pPr>
        <w:pStyle w:val="61"/>
        <w:ind w:firstLine="420"/>
      </w:pPr>
      <w:r>
        <w:rPr>
          <w:rFonts w:hint="eastAsia"/>
        </w:rPr>
        <w:t>b）</w:t>
      </w:r>
      <w:r>
        <w:rPr>
          <w:rFonts w:hint="eastAsia"/>
        </w:rPr>
        <w:tab/>
      </w:r>
      <w:r>
        <w:rPr>
          <w:rFonts w:hint="eastAsia"/>
        </w:rPr>
        <w:t>布袋除尘：99%～99.99%，判定污染治理设施运行状态良好；</w:t>
      </w:r>
    </w:p>
    <w:p>
      <w:pPr>
        <w:pStyle w:val="61"/>
        <w:ind w:firstLine="420"/>
      </w:pPr>
      <w:r>
        <w:rPr>
          <w:rFonts w:hint="eastAsia"/>
        </w:rPr>
        <w:t>c）</w:t>
      </w:r>
      <w:r>
        <w:rPr>
          <w:rFonts w:hint="eastAsia"/>
        </w:rPr>
        <w:tab/>
      </w:r>
      <w:r>
        <w:rPr>
          <w:rFonts w:hint="eastAsia"/>
        </w:rPr>
        <w:t>湿式电除尘：70%～90%，判定污染治理设施运行状态良好。</w:t>
      </w:r>
    </w:p>
    <w:p>
      <w:pPr>
        <w:pStyle w:val="72"/>
        <w:spacing w:before="156" w:after="156"/>
      </w:pPr>
      <w:r>
        <w:rPr>
          <w:rFonts w:hint="eastAsia"/>
        </w:rPr>
        <w:t>以实际测定污染物去除效率为基准判定</w:t>
      </w:r>
    </w:p>
    <w:p>
      <w:pPr>
        <w:pStyle w:val="99"/>
        <w:spacing w:before="156" w:after="156"/>
      </w:pPr>
      <w:r>
        <w:rPr>
          <w:rFonts w:hint="eastAsia"/>
        </w:rPr>
        <w:t>污染物质量流量</w:t>
      </w:r>
    </w:p>
    <w:p>
      <w:pPr>
        <w:pStyle w:val="61"/>
        <w:ind w:firstLine="420"/>
        <w:rPr>
          <w:rFonts w:ascii="Times New Roman"/>
        </w:rPr>
      </w:pPr>
      <w:r>
        <w:rPr>
          <w:rFonts w:hint="eastAsia" w:ascii="Times New Roman"/>
        </w:rPr>
        <w:t>应在生产设施和污染治理设施正常运行的条件下，通过安装在污染治理设施入口的</w:t>
      </w:r>
      <w:r>
        <w:rPr>
          <w:rFonts w:ascii="Times New Roman"/>
        </w:rPr>
        <w:t>CEMS</w:t>
      </w:r>
      <w:r>
        <w:rPr>
          <w:rFonts w:hint="eastAsia" w:ascii="Times New Roman"/>
        </w:rPr>
        <w:t>和安装在净烟气烟道或进入烟囱前烟道上的</w:t>
      </w:r>
      <w:r>
        <w:rPr>
          <w:rFonts w:ascii="Times New Roman"/>
        </w:rPr>
        <w:t>CEMS</w:t>
      </w:r>
      <w:r>
        <w:rPr>
          <w:rFonts w:hint="eastAsia" w:ascii="Times New Roman"/>
        </w:rPr>
        <w:t>测定污染物的质量流量（</w:t>
      </w:r>
      <w:r>
        <w:rPr>
          <w:rFonts w:ascii="Times New Roman"/>
        </w:rPr>
        <w:t>kg/h</w:t>
      </w:r>
      <w:r>
        <w:rPr>
          <w:rFonts w:hint="eastAsia" w:ascii="Times New Roman"/>
        </w:rPr>
        <w:t>）。</w:t>
      </w:r>
    </w:p>
    <w:p>
      <w:pPr>
        <w:pStyle w:val="99"/>
        <w:spacing w:before="156" w:after="156"/>
      </w:pPr>
      <w:r>
        <w:rPr>
          <w:rFonts w:hint="eastAsia"/>
        </w:rPr>
        <w:t>污染物去除效率计算</w:t>
      </w:r>
    </w:p>
    <w:p>
      <w:pPr>
        <w:pStyle w:val="61"/>
        <w:ind w:firstLine="420"/>
        <w:rPr>
          <w:rFonts w:ascii="Times New Roman"/>
        </w:rPr>
      </w:pPr>
      <w:r>
        <w:rPr>
          <w:rFonts w:hint="eastAsia" w:ascii="Times New Roman"/>
        </w:rPr>
        <w:t>连续测定、计算</w:t>
      </w:r>
      <w:r>
        <w:rPr>
          <w:rFonts w:ascii="Times New Roman"/>
        </w:rPr>
        <w:t>720</w:t>
      </w:r>
      <w:r>
        <w:rPr>
          <w:rFonts w:hint="eastAsia" w:ascii="Times New Roman"/>
        </w:rPr>
        <w:t>小时去除效率的小时平均值和平均值的标准偏差，以去除效率的平均值为基准，标准偏差的±</w:t>
      </w:r>
      <w:r>
        <w:rPr>
          <w:rFonts w:ascii="Times New Roman"/>
        </w:rPr>
        <w:t>3</w:t>
      </w:r>
      <w:r>
        <w:rPr>
          <w:rFonts w:hint="eastAsia" w:ascii="Times New Roman"/>
        </w:rPr>
        <w:t>倍为限值。当测定去除效率在平均值±</w:t>
      </w:r>
      <w:r>
        <w:rPr>
          <w:rFonts w:ascii="Times New Roman"/>
        </w:rPr>
        <w:t>3</w:t>
      </w:r>
      <w:r>
        <w:rPr>
          <w:rFonts w:hint="eastAsia" w:ascii="Times New Roman"/>
        </w:rPr>
        <w:t>倍标准偏差以内时，判定污染治理设施运行状态良好。</w:t>
      </w:r>
    </w:p>
    <w:p>
      <w:pPr>
        <w:pStyle w:val="61"/>
        <w:ind w:firstLine="420"/>
        <w:rPr>
          <w:rFonts w:ascii="Times New Roman"/>
        </w:rPr>
      </w:pPr>
      <w:r>
        <w:rPr>
          <w:rFonts w:hint="eastAsia" w:ascii="Times New Roman"/>
        </w:rPr>
        <w:t>污染物的去除效率的计算见</w:t>
      </w:r>
      <w:r>
        <w:rPr>
          <w:rFonts w:hint="eastAsia"/>
        </w:rPr>
        <w:t>附录</w:t>
      </w:r>
      <w:r>
        <w:rPr>
          <w:rFonts w:ascii="Times New Roman"/>
        </w:rPr>
        <w:t>C</w:t>
      </w:r>
      <w:r>
        <w:rPr>
          <w:rFonts w:hint="eastAsia"/>
        </w:rPr>
        <w:t>的</w:t>
      </w:r>
      <w:r>
        <w:rPr>
          <w:rFonts w:hint="eastAsia" w:ascii="Times New Roman"/>
        </w:rPr>
        <w:t>附录</w:t>
      </w:r>
      <w:r>
        <w:rPr>
          <w:rFonts w:ascii="Times New Roman"/>
        </w:rPr>
        <w:t>C.1</w:t>
      </w:r>
      <w:r>
        <w:rPr>
          <w:rFonts w:hint="eastAsia" w:ascii="Times New Roman"/>
        </w:rPr>
        <w:t>。</w:t>
      </w:r>
    </w:p>
    <w:p>
      <w:pPr>
        <w:pStyle w:val="107"/>
        <w:spacing w:before="156" w:after="156"/>
      </w:pPr>
      <w:r>
        <w:rPr>
          <w:rFonts w:hint="eastAsia"/>
        </w:rPr>
        <w:t>以实际测定污染物浓度为基准判定</w:t>
      </w:r>
    </w:p>
    <w:p>
      <w:pPr>
        <w:pStyle w:val="72"/>
        <w:spacing w:before="156" w:after="156"/>
      </w:pPr>
      <w:r>
        <w:rPr>
          <w:rFonts w:hint="eastAsia"/>
        </w:rPr>
        <w:t>污染物的实际浓度</w:t>
      </w:r>
    </w:p>
    <w:p>
      <w:pPr>
        <w:pStyle w:val="61"/>
        <w:ind w:firstLine="420"/>
        <w:rPr>
          <w:rFonts w:hint="eastAsia" w:ascii="Times New Roman"/>
        </w:rPr>
      </w:pPr>
      <w:r>
        <w:rPr>
          <w:rFonts w:hint="eastAsia" w:ascii="Times New Roman"/>
        </w:rPr>
        <w:t>应在生产设施和污染治理设施正常运行的条件下，通过安装在净烟气烟道或进入烟囱前烟道上的</w:t>
      </w:r>
      <w:r>
        <w:rPr>
          <w:rFonts w:ascii="Times New Roman"/>
        </w:rPr>
        <w:t>CEMS</w:t>
      </w:r>
      <w:r>
        <w:rPr>
          <w:rFonts w:hint="eastAsia" w:ascii="Times New Roman"/>
        </w:rPr>
        <w:t>测定污染物的浓度（</w:t>
      </w:r>
      <w:r>
        <w:rPr>
          <w:rFonts w:ascii="Times New Roman"/>
        </w:rPr>
        <w:t>mg/m</w:t>
      </w:r>
      <w:r>
        <w:rPr>
          <w:rFonts w:ascii="Times New Roman"/>
          <w:vertAlign w:val="superscript"/>
        </w:rPr>
        <w:t>3</w:t>
      </w:r>
      <w:r>
        <w:rPr>
          <w:rFonts w:hint="eastAsia" w:ascii="Times New Roman"/>
        </w:rPr>
        <w:t>）。</w:t>
      </w:r>
    </w:p>
    <w:p>
      <w:pPr>
        <w:pStyle w:val="72"/>
        <w:spacing w:before="156" w:after="156"/>
      </w:pPr>
      <w:r>
        <w:rPr>
          <w:rFonts w:hint="eastAsia"/>
        </w:rPr>
        <w:t>污染物浓度计算</w:t>
      </w:r>
    </w:p>
    <w:p>
      <w:pPr>
        <w:pStyle w:val="61"/>
        <w:ind w:firstLine="420"/>
        <w:rPr>
          <w:rFonts w:ascii="Times New Roman"/>
        </w:rPr>
      </w:pPr>
      <w:r>
        <w:rPr>
          <w:rFonts w:hint="eastAsia"/>
        </w:rPr>
        <w:t>连续测定、计算720 小时气态污染物（如：SO2、NOx等）浓度的小时平均值和平均值的标准偏差，以</w:t>
      </w:r>
      <w:r>
        <w:rPr>
          <w:rFonts w:hint="eastAsia" w:ascii="Times New Roman"/>
        </w:rPr>
        <w:t>浓度平均值为基准，标准偏差的±</w:t>
      </w:r>
      <w:r>
        <w:rPr>
          <w:rFonts w:ascii="Times New Roman"/>
        </w:rPr>
        <w:t>3</w:t>
      </w:r>
      <w:r>
        <w:rPr>
          <w:rFonts w:hint="eastAsia" w:ascii="Times New Roman"/>
        </w:rPr>
        <w:t>倍为限值。当测定污染物浓度在基准值的±</w:t>
      </w:r>
      <w:r>
        <w:rPr>
          <w:rFonts w:ascii="Times New Roman"/>
        </w:rPr>
        <w:t>3</w:t>
      </w:r>
      <w:r>
        <w:rPr>
          <w:rFonts w:hint="eastAsia" w:ascii="Times New Roman"/>
        </w:rPr>
        <w:t>倍标准偏差以内时，判定污染治理设施运行正常。污染物浓度的平均值、标准偏差和判别式的计算和判定见附录</w:t>
      </w:r>
      <w:r>
        <w:rPr>
          <w:rFonts w:ascii="Times New Roman"/>
        </w:rPr>
        <w:t>C</w:t>
      </w:r>
      <w:r>
        <w:rPr>
          <w:rFonts w:hint="eastAsia" w:ascii="Times New Roman"/>
        </w:rPr>
        <w:t>。</w:t>
      </w:r>
    </w:p>
    <w:p>
      <w:pPr>
        <w:pStyle w:val="106"/>
        <w:spacing w:before="312" w:after="312"/>
      </w:pPr>
      <w:bookmarkStart w:id="51" w:name="_Toc92141764"/>
      <w:r>
        <w:rPr>
          <w:rFonts w:hint="eastAsia"/>
        </w:rPr>
        <w:t>验收</w:t>
      </w:r>
      <w:bookmarkEnd w:id="51"/>
    </w:p>
    <w:p>
      <w:pPr>
        <w:pStyle w:val="107"/>
        <w:spacing w:before="156" w:after="156"/>
      </w:pPr>
      <w:r>
        <w:rPr>
          <w:rFonts w:hint="eastAsia"/>
        </w:rPr>
        <w:t>现场检查</w:t>
      </w:r>
    </w:p>
    <w:p>
      <w:pPr>
        <w:pStyle w:val="61"/>
        <w:ind w:firstLine="420"/>
      </w:pPr>
      <w:r>
        <w:rPr>
          <w:rFonts w:hint="eastAsia"/>
        </w:rPr>
        <w:t>主要检查设备安装、运行维护、故障发生及处理、设备运行稳定性、数据一致性、设备功能设置等，要求如下。</w:t>
      </w:r>
    </w:p>
    <w:p>
      <w:pPr>
        <w:pStyle w:val="61"/>
        <w:ind w:firstLine="420"/>
      </w:pPr>
      <w:r>
        <w:rPr>
          <w:rFonts w:hint="eastAsia"/>
        </w:rPr>
        <w:t>a)</w:t>
      </w:r>
      <w:r>
        <w:rPr>
          <w:rFonts w:hint="eastAsia"/>
        </w:rPr>
        <w:tab/>
      </w:r>
      <w:r>
        <w:rPr>
          <w:rFonts w:hint="eastAsia"/>
        </w:rPr>
        <w:t>检查设备安装是否齐全，满足污染治理设施过程（工况）监控的需要；安装位置是否符合有关标的要求；维护、检修、更换设备是否方便，易于接近；是否安全可靠。</w:t>
      </w:r>
    </w:p>
    <w:p>
      <w:pPr>
        <w:pStyle w:val="61"/>
        <w:ind w:firstLine="420"/>
      </w:pPr>
      <w:r>
        <w:rPr>
          <w:rFonts w:hint="eastAsia"/>
        </w:rPr>
        <w:t>b)</w:t>
      </w:r>
      <w:r>
        <w:rPr>
          <w:rFonts w:hint="eastAsia"/>
        </w:rPr>
        <w:tab/>
      </w:r>
      <w:r>
        <w:rPr>
          <w:rFonts w:hint="eastAsia"/>
        </w:rPr>
        <w:t>检查开展设备日常维护，保证设备正常运行开展的实际活动，如：仪器的漂移检查和校准，关键设备及采样装置的目视检查及记录。</w:t>
      </w:r>
    </w:p>
    <w:p>
      <w:pPr>
        <w:pStyle w:val="61"/>
        <w:ind w:firstLine="420"/>
      </w:pPr>
      <w:r>
        <w:rPr>
          <w:rFonts w:hint="eastAsia"/>
        </w:rPr>
        <w:t>c)</w:t>
      </w:r>
      <w:r>
        <w:rPr>
          <w:rFonts w:hint="eastAsia"/>
        </w:rPr>
        <w:tab/>
      </w:r>
      <w:r>
        <w:rPr>
          <w:rFonts w:hint="eastAsia"/>
        </w:rPr>
        <w:t>检查故障发生及处理，经常发生的故障、原因分析、采取的应急处理措施；是否采取在故障发生前的预防性措施，如：提前更换部件。</w:t>
      </w:r>
    </w:p>
    <w:p>
      <w:pPr>
        <w:pStyle w:val="61"/>
        <w:ind w:firstLine="420"/>
      </w:pPr>
      <w:r>
        <w:rPr>
          <w:rFonts w:hint="eastAsia"/>
        </w:rPr>
        <w:t>d)</w:t>
      </w:r>
      <w:r>
        <w:rPr>
          <w:rFonts w:hint="eastAsia"/>
        </w:rPr>
        <w:tab/>
      </w:r>
      <w:r>
        <w:rPr>
          <w:rFonts w:hint="eastAsia" w:ascii="Times New Roman"/>
        </w:rPr>
        <w:t>检查设备运</w:t>
      </w:r>
      <w:r>
        <w:rPr>
          <w:rFonts w:hint="eastAsia"/>
        </w:rPr>
        <w:t>行稳定性，主要是查看设备的各种功能是否正常，判定设备是否能稳定运行；</w:t>
      </w:r>
    </w:p>
    <w:p>
      <w:pPr>
        <w:pStyle w:val="61"/>
        <w:ind w:firstLine="420"/>
      </w:pPr>
      <w:r>
        <w:rPr>
          <w:rFonts w:hint="eastAsia"/>
        </w:rPr>
        <w:t>e)</w:t>
      </w:r>
      <w:r>
        <w:rPr>
          <w:rFonts w:hint="eastAsia"/>
        </w:rPr>
        <w:tab/>
      </w:r>
      <w:r>
        <w:rPr>
          <w:rFonts w:hint="eastAsia"/>
        </w:rPr>
        <w:t>数据一致性，查看</w:t>
      </w:r>
      <w:r>
        <w:rPr>
          <w:rFonts w:ascii="Times New Roman"/>
        </w:rPr>
        <w:t>PMS</w:t>
      </w:r>
      <w:r>
        <w:rPr>
          <w:rFonts w:hint="eastAsia"/>
        </w:rPr>
        <w:t>所采集数据误差是否小于</w:t>
      </w:r>
      <w:r>
        <w:rPr>
          <w:rFonts w:ascii="Times New Roman"/>
        </w:rPr>
        <w:t>1</w:t>
      </w:r>
      <w:r>
        <w:rPr>
          <w:rFonts w:hint="eastAsia" w:ascii="Times New Roman"/>
        </w:rPr>
        <w:t>‰。</w:t>
      </w:r>
    </w:p>
    <w:p>
      <w:pPr>
        <w:pStyle w:val="61"/>
        <w:ind w:firstLine="420"/>
      </w:pPr>
      <w:r>
        <w:rPr>
          <w:rFonts w:hint="eastAsia"/>
        </w:rPr>
        <w:t>f)</w:t>
      </w:r>
      <w:r>
        <w:rPr>
          <w:rFonts w:hint="eastAsia"/>
        </w:rPr>
        <w:tab/>
      </w:r>
      <w:r>
        <w:rPr>
          <w:rFonts w:hint="eastAsia"/>
        </w:rPr>
        <w:t>检查设备功能设置，查看设备的基本功能是否齐全。</w:t>
      </w:r>
    </w:p>
    <w:p>
      <w:pPr>
        <w:pStyle w:val="61"/>
        <w:ind w:firstLine="420"/>
      </w:pPr>
      <w:r>
        <w:rPr>
          <w:rFonts w:hint="eastAsia"/>
        </w:rPr>
        <w:t>g)</w:t>
      </w:r>
      <w:r>
        <w:rPr>
          <w:rFonts w:hint="eastAsia"/>
        </w:rPr>
        <w:tab/>
      </w:r>
      <w:r>
        <w:rPr>
          <w:rFonts w:hint="eastAsia"/>
        </w:rPr>
        <w:t>检查操作手册、仪器说明书等相关技术文件。</w:t>
      </w:r>
    </w:p>
    <w:p>
      <w:pPr>
        <w:pStyle w:val="61"/>
        <w:ind w:firstLine="420"/>
      </w:pPr>
      <w:r>
        <w:rPr>
          <w:rFonts w:hint="eastAsia"/>
        </w:rPr>
        <w:t>h)</w:t>
      </w:r>
      <w:r>
        <w:rPr>
          <w:rFonts w:hint="eastAsia"/>
        </w:rPr>
        <w:tab/>
      </w:r>
      <w:r>
        <w:rPr>
          <w:rFonts w:hint="eastAsia"/>
        </w:rPr>
        <w:t>检查软件功能是否满足7.4的要求。</w:t>
      </w:r>
    </w:p>
    <w:p>
      <w:pPr>
        <w:pStyle w:val="107"/>
        <w:spacing w:before="156" w:after="156"/>
      </w:pPr>
      <w:r>
        <w:rPr>
          <w:rFonts w:hint="eastAsia"/>
        </w:rPr>
        <w:t>系统测试</w:t>
      </w:r>
    </w:p>
    <w:p>
      <w:pPr>
        <w:pStyle w:val="72"/>
        <w:spacing w:before="156" w:after="156"/>
      </w:pPr>
      <w:r>
        <w:rPr>
          <w:rFonts w:hint="eastAsia"/>
        </w:rPr>
        <w:t>概述</w:t>
      </w:r>
    </w:p>
    <w:p>
      <w:pPr>
        <w:pStyle w:val="61"/>
        <w:ind w:firstLine="420"/>
        <w:rPr>
          <w:rFonts w:ascii="Times New Roman"/>
        </w:rPr>
      </w:pPr>
      <w:r>
        <w:rPr>
          <w:rFonts w:hint="eastAsia" w:ascii="Times New Roman"/>
        </w:rPr>
        <w:t>系统测试项目应包含数据获取、数据展示、数据查询、异动分析、工况核定、数据判定、故障报警、安全管理等测试内容。</w:t>
      </w:r>
    </w:p>
    <w:p>
      <w:pPr>
        <w:pStyle w:val="72"/>
        <w:spacing w:before="156" w:after="156"/>
      </w:pPr>
      <w:bookmarkStart w:id="52" w:name="_Hlk92189813"/>
      <w:r>
        <w:rPr>
          <w:rFonts w:hint="eastAsia"/>
        </w:rPr>
        <w:t>稳定性测试</w:t>
      </w:r>
    </w:p>
    <w:bookmarkEnd w:id="52"/>
    <w:p>
      <w:pPr>
        <w:pStyle w:val="61"/>
        <w:ind w:firstLine="420"/>
      </w:pPr>
      <w:r>
        <w:rPr>
          <w:rFonts w:ascii="Times New Roman"/>
        </w:rPr>
        <w:t>PMS</w:t>
      </w:r>
      <w:r>
        <w:rPr>
          <w:rFonts w:hint="eastAsia" w:ascii="Times New Roman"/>
        </w:rPr>
        <w:t>安装完毕，连续稳定运行</w:t>
      </w:r>
      <w:r>
        <w:rPr>
          <w:rFonts w:ascii="Times New Roman"/>
        </w:rPr>
        <w:t>168</w:t>
      </w:r>
      <w:r>
        <w:rPr>
          <w:rFonts w:hint="eastAsia" w:ascii="Times New Roman"/>
        </w:rPr>
        <w:t>小时后，</w:t>
      </w:r>
      <w:r>
        <w:rPr>
          <w:rFonts w:ascii="Times New Roman"/>
        </w:rPr>
        <w:t>PMS</w:t>
      </w:r>
      <w:r>
        <w:rPr>
          <w:rFonts w:hint="eastAsia" w:ascii="Times New Roman"/>
        </w:rPr>
        <w:t>所采集数据与一次仪表测量数据一致。监控系统的传输演示、丢包率、吞吐率、时延抖动、响应时间等稳定性要求应满足</w:t>
      </w:r>
      <w:r>
        <w:rPr>
          <w:rFonts w:ascii="Times New Roman"/>
        </w:rPr>
        <w:t>DB33/T 502-2004</w:t>
      </w:r>
      <w:r>
        <w:rPr>
          <w:rFonts w:hint="eastAsia"/>
        </w:rPr>
        <w:t>的</w:t>
      </w:r>
      <w:r>
        <w:rPr>
          <w:rStyle w:val="34"/>
          <w:rFonts w:ascii="Calibri" w:hAnsi="Calibri"/>
          <w:kern w:val="2"/>
        </w:rPr>
        <w:commentReference w:id="7"/>
      </w:r>
      <w:r>
        <w:rPr>
          <w:rFonts w:hint="eastAsia"/>
        </w:rPr>
        <w:t>规定。</w:t>
      </w:r>
    </w:p>
    <w:p>
      <w:pPr>
        <w:pStyle w:val="72"/>
        <w:spacing w:before="156" w:after="156"/>
      </w:pPr>
      <w:r>
        <w:rPr>
          <w:rFonts w:hint="eastAsia"/>
        </w:rPr>
        <w:t>符合性测试</w:t>
      </w:r>
    </w:p>
    <w:p>
      <w:pPr>
        <w:pStyle w:val="61"/>
        <w:ind w:firstLine="420"/>
        <w:rPr>
          <w:rFonts w:hint="eastAsia"/>
        </w:rPr>
      </w:pPr>
      <w:r>
        <w:rPr>
          <w:rFonts w:hint="eastAsia"/>
        </w:rPr>
        <w:t>数据采集和传输以及通信协议应符合HJ 212及本文件的要求，并提供一个月内数据采集和传输自检报告，报告应当对数据传输标准的各项内容作出响应。</w:t>
      </w:r>
    </w:p>
    <w:p>
      <w:pPr>
        <w:pStyle w:val="106"/>
        <w:spacing w:before="312" w:after="312"/>
      </w:pPr>
      <w:bookmarkStart w:id="53" w:name="_Toc92141765"/>
      <w:r>
        <w:rPr>
          <w:rFonts w:hint="eastAsia"/>
        </w:rPr>
        <w:t>运行管理</w:t>
      </w:r>
      <w:bookmarkEnd w:id="53"/>
    </w:p>
    <w:p>
      <w:pPr>
        <w:pStyle w:val="107"/>
        <w:spacing w:before="156" w:after="156"/>
      </w:pPr>
      <w:r>
        <w:rPr>
          <w:rFonts w:hint="eastAsia"/>
        </w:rPr>
        <w:t>制订运行管理规程</w:t>
      </w:r>
    </w:p>
    <w:p>
      <w:pPr>
        <w:pStyle w:val="61"/>
        <w:ind w:firstLine="420"/>
        <w:rPr>
          <w:rFonts w:ascii="Times New Roman"/>
        </w:rPr>
      </w:pPr>
      <w:r>
        <w:rPr>
          <w:rFonts w:hint="eastAsia"/>
        </w:rPr>
        <w:t>从事PMS日常运行管理的单位和部门应根据本</w:t>
      </w:r>
      <w:r>
        <w:rPr>
          <w:rStyle w:val="34"/>
          <w:rFonts w:ascii="Calibri" w:hAnsi="Calibri"/>
          <w:kern w:val="2"/>
        </w:rPr>
        <w:commentReference w:id="8"/>
      </w:r>
      <w:r>
        <w:rPr>
          <w:rFonts w:hint="eastAsia"/>
        </w:rPr>
        <w:t>文件、</w:t>
      </w:r>
      <w:r>
        <w:rPr>
          <w:rFonts w:ascii="Times New Roman"/>
        </w:rPr>
        <w:t>HJ/T 355</w:t>
      </w:r>
      <w:r>
        <w:rPr>
          <w:rFonts w:hint="eastAsia" w:ascii="Times New Roman"/>
        </w:rPr>
        <w:t>的要求编制</w:t>
      </w:r>
      <w:r>
        <w:rPr>
          <w:rFonts w:ascii="Times New Roman"/>
        </w:rPr>
        <w:t>PMS</w:t>
      </w:r>
      <w:r>
        <w:rPr>
          <w:rFonts w:hint="eastAsia" w:ascii="Times New Roman"/>
        </w:rPr>
        <w:t>的运行管理规程、质量保证和质量管理计划，明确运行操作人员和维护人员的工作职责。</w:t>
      </w:r>
    </w:p>
    <w:p>
      <w:pPr>
        <w:pStyle w:val="107"/>
        <w:spacing w:before="156" w:after="156"/>
      </w:pPr>
      <w:r>
        <w:rPr>
          <w:rFonts w:hint="eastAsia"/>
        </w:rPr>
        <w:t>监控系统的质量保障和质量控制</w:t>
      </w:r>
    </w:p>
    <w:p>
      <w:pPr>
        <w:pStyle w:val="61"/>
        <w:ind w:firstLine="420"/>
      </w:pPr>
      <w:r>
        <w:rPr>
          <w:rFonts w:hint="eastAsia"/>
        </w:rPr>
        <w:t>参数监测子系统应按照设计的要求，至少每天用自动或手动的方法判定传感器和监测设备是否存在缺陷。定期地抽查在参考值、操作或排放水平传感器的输入读数的正确与否（如：用恒流电源检查传感器的电流输入信号，误差应在规定范围内），在传感器出现缺陷或发生故障时及时告警，确保传感器正常的工作，提供有质量保证的电器参数数据。</w:t>
      </w:r>
    </w:p>
    <w:p>
      <w:pPr>
        <w:pStyle w:val="61"/>
        <w:ind w:firstLine="420"/>
      </w:pPr>
      <w:r>
        <w:rPr>
          <w:rFonts w:hint="eastAsia"/>
        </w:rPr>
        <w:t>数据采集传输子系统应至少每天检查数据传输是否准确正常，不应出现数据错乱和缺失，如出现问题及时通知技术人员维护，保障监控系统有质量地运行。</w:t>
      </w:r>
    </w:p>
    <w:p>
      <w:pPr>
        <w:pStyle w:val="61"/>
        <w:ind w:firstLine="420"/>
      </w:pPr>
      <w:r>
        <w:rPr>
          <w:rFonts w:hint="eastAsia"/>
        </w:rPr>
        <w:t>污染治理设施如泵、风机等设备按照要求，至少5天一次用手动的方法监测设施是否正常运行，确保设施正常工作，提供有质量的设备控制。</w:t>
      </w:r>
    </w:p>
    <w:p>
      <w:pPr>
        <w:pStyle w:val="107"/>
        <w:spacing w:before="156" w:after="156"/>
      </w:pPr>
      <w:r>
        <w:rPr>
          <w:rFonts w:hint="eastAsia"/>
        </w:rPr>
        <w:t>日常巡检与维护</w:t>
      </w:r>
    </w:p>
    <w:p>
      <w:pPr>
        <w:pStyle w:val="61"/>
        <w:ind w:firstLine="420"/>
      </w:pPr>
      <w:r>
        <w:rPr>
          <w:rFonts w:hint="eastAsia"/>
        </w:rPr>
        <w:t>应配备相应的人力（含应急救援处置人员）、物力资源（常用工具、通信设备、交通工具、应急救援处置物资等），专人负责日常维护环保设备和监控设备。应在7天内对PMS进行一次巡检。巡检包括系统各种设备的运行状况，查看判定运行状况的主要参数是否在设备正常运行、检测的范围内。</w:t>
      </w:r>
    </w:p>
    <w:p>
      <w:pPr>
        <w:pStyle w:val="61"/>
        <w:ind w:firstLine="420"/>
      </w:pPr>
      <w:r>
        <w:rPr>
          <w:rFonts w:ascii="Times New Roman"/>
        </w:rPr>
        <w:t>PMS</w:t>
      </w:r>
      <w:r>
        <w:rPr>
          <w:rFonts w:hint="eastAsia"/>
        </w:rPr>
        <w:t>的日常维护主要针对以下几方面：</w:t>
      </w:r>
    </w:p>
    <w:p>
      <w:pPr>
        <w:pStyle w:val="61"/>
        <w:ind w:firstLine="420"/>
      </w:pPr>
      <w:r>
        <w:rPr>
          <w:rFonts w:hint="eastAsia"/>
        </w:rPr>
        <w:t>a)</w:t>
      </w:r>
      <w:r>
        <w:rPr>
          <w:rFonts w:hint="eastAsia"/>
        </w:rPr>
        <w:tab/>
      </w:r>
      <w:r>
        <w:rPr>
          <w:rFonts w:hint="eastAsia"/>
        </w:rPr>
        <w:t>与工况监控相关的设备应保持24小时运行；</w:t>
      </w:r>
    </w:p>
    <w:p>
      <w:pPr>
        <w:pStyle w:val="61"/>
        <w:ind w:firstLine="420"/>
      </w:pPr>
      <w:r>
        <w:rPr>
          <w:rFonts w:hint="eastAsia"/>
        </w:rPr>
        <w:t>b)</w:t>
      </w:r>
      <w:r>
        <w:rPr>
          <w:rFonts w:hint="eastAsia"/>
        </w:rPr>
        <w:tab/>
      </w:r>
      <w:r>
        <w:rPr>
          <w:rFonts w:hint="eastAsia"/>
        </w:rPr>
        <w:t>不定时检查维护易损易耗件；</w:t>
      </w:r>
    </w:p>
    <w:p>
      <w:pPr>
        <w:pStyle w:val="61"/>
        <w:ind w:firstLine="420"/>
      </w:pPr>
      <w:r>
        <w:rPr>
          <w:rFonts w:hint="eastAsia"/>
        </w:rPr>
        <w:t>c)</w:t>
      </w:r>
      <w:r>
        <w:rPr>
          <w:rFonts w:hint="eastAsia"/>
        </w:rPr>
        <w:tab/>
      </w:r>
      <w:r>
        <w:rPr>
          <w:rFonts w:hint="eastAsia"/>
        </w:rPr>
        <w:t>设备经长期使用，元件自然老化导致的设备损坏故障维护；</w:t>
      </w:r>
    </w:p>
    <w:p>
      <w:pPr>
        <w:pStyle w:val="61"/>
        <w:ind w:firstLine="420"/>
      </w:pPr>
      <w:r>
        <w:rPr>
          <w:rFonts w:hint="eastAsia"/>
        </w:rPr>
        <w:t>d)</w:t>
      </w:r>
      <w:r>
        <w:rPr>
          <w:rFonts w:hint="eastAsia"/>
        </w:rPr>
        <w:tab/>
      </w:r>
      <w:r>
        <w:rPr>
          <w:rFonts w:hint="eastAsia"/>
        </w:rPr>
        <w:t>在运行过程中，由于电压、电流的不稳定，导致的设备损坏故障；</w:t>
      </w:r>
    </w:p>
    <w:p>
      <w:pPr>
        <w:pStyle w:val="61"/>
        <w:ind w:firstLine="420"/>
      </w:pPr>
      <w:r>
        <w:rPr>
          <w:rFonts w:hint="eastAsia"/>
        </w:rPr>
        <w:t>e)</w:t>
      </w:r>
      <w:r>
        <w:rPr>
          <w:rFonts w:hint="eastAsia"/>
        </w:rPr>
        <w:tab/>
      </w:r>
      <w:r>
        <w:rPr>
          <w:rFonts w:hint="eastAsia"/>
        </w:rPr>
        <w:t>由于线路受损导致的信号传输故障；</w:t>
      </w:r>
    </w:p>
    <w:p>
      <w:pPr>
        <w:pStyle w:val="61"/>
        <w:ind w:firstLine="420"/>
      </w:pPr>
      <w:r>
        <w:rPr>
          <w:rFonts w:hint="eastAsia"/>
        </w:rPr>
        <w:t>f)</w:t>
      </w:r>
      <w:r>
        <w:rPr>
          <w:rFonts w:hint="eastAsia"/>
        </w:rPr>
        <w:tab/>
      </w:r>
      <w:r>
        <w:rPr>
          <w:rFonts w:hint="eastAsia"/>
        </w:rPr>
        <w:t>由于施工质量或未采取防雷措施等造成的施工质量故障等。</w:t>
      </w:r>
    </w:p>
    <w:p>
      <w:pPr>
        <w:pStyle w:val="61"/>
        <w:ind w:firstLine="0" w:firstLineChars="0"/>
        <w:rPr>
          <w:rFonts w:hint="eastAsia"/>
        </w:rPr>
      </w:pPr>
    </w:p>
    <w:p>
      <w:pPr>
        <w:widowControl/>
        <w:adjustRightInd/>
        <w:spacing w:line="240" w:lineRule="auto"/>
        <w:jc w:val="left"/>
        <w:rPr>
          <w:rFonts w:ascii="宋体" w:hAnsi="Times New Roman"/>
          <w:kern w:val="0"/>
          <w:szCs w:val="20"/>
        </w:rPr>
        <w:sectPr>
          <w:pgSz w:w="11906" w:h="16838"/>
          <w:pgMar w:top="2410" w:right="1134" w:bottom="1134" w:left="1134" w:header="1418" w:footer="1134" w:gutter="284"/>
          <w:pgNumType w:start="1"/>
          <w:cols w:space="720" w:num="1"/>
          <w:formProt w:val="0"/>
          <w:docGrid w:type="lines" w:linePitch="312" w:charSpace="0"/>
        </w:sectPr>
      </w:pPr>
    </w:p>
    <w:bookmarkEnd w:id="22"/>
    <w:p>
      <w:pPr>
        <w:pStyle w:val="195"/>
        <w:rPr>
          <w:vanish w:val="0"/>
        </w:rPr>
      </w:pPr>
      <w:bookmarkStart w:id="54" w:name="BookMark5"/>
    </w:p>
    <w:p>
      <w:pPr>
        <w:pStyle w:val="196"/>
        <w:rPr>
          <w:vanish w:val="0"/>
        </w:rPr>
      </w:pPr>
    </w:p>
    <w:p>
      <w:pPr>
        <w:pStyle w:val="82"/>
        <w:spacing w:before="78" w:after="156"/>
      </w:pPr>
      <w:bookmarkStart w:id="55" w:name="_Toc92141766"/>
    </w:p>
    <w:p>
      <w:pPr>
        <w:pStyle w:val="82"/>
        <w:numPr>
          <w:ilvl w:val="0"/>
          <w:numId w:val="0"/>
        </w:numPr>
        <w:spacing w:before="78" w:after="156"/>
      </w:pPr>
      <w:r>
        <w:rPr>
          <w:rFonts w:hint="eastAsia"/>
        </w:rPr>
        <w:t>（资料性）</w:t>
      </w:r>
    </w:p>
    <w:p>
      <w:pPr>
        <w:pStyle w:val="82"/>
        <w:numPr>
          <w:ilvl w:val="0"/>
          <w:numId w:val="0"/>
        </w:numPr>
        <w:spacing w:before="78" w:after="156"/>
      </w:pPr>
      <w:r>
        <w:rPr>
          <w:rFonts w:hint="eastAsia"/>
        </w:rPr>
        <w:t>生活垃圾焚烧厂烟气排放过程（工况）关键参数表</w:t>
      </w:r>
      <w:bookmarkEnd w:id="55"/>
    </w:p>
    <w:p>
      <w:pPr>
        <w:pStyle w:val="83"/>
        <w:spacing w:before="156" w:after="156"/>
      </w:pPr>
      <w:r>
        <w:rPr>
          <w:rFonts w:hint="eastAsia"/>
        </w:rPr>
        <w:t>生活垃圾焚烧厂烟气排放过程（工况）关键参数表</w:t>
      </w:r>
    </w:p>
    <w:tbl>
      <w:tblPr>
        <w:tblStyle w:val="28"/>
        <w:tblW w:w="939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401"/>
        <w:gridCol w:w="1470"/>
        <w:gridCol w:w="1081"/>
        <w:gridCol w:w="2972"/>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828" w:type="dxa"/>
            <w:gridSpan w:val="2"/>
            <w:tcBorders>
              <w:top w:val="single" w:color="auto" w:sz="12" w:space="0"/>
              <w:left w:val="single" w:color="auto" w:sz="12"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类别</w:t>
            </w:r>
          </w:p>
        </w:tc>
        <w:tc>
          <w:tcPr>
            <w:tcW w:w="1471" w:type="dxa"/>
            <w:tcBorders>
              <w:top w:val="single" w:color="auto" w:sz="12" w:space="0"/>
              <w:left w:val="single" w:color="auto" w:sz="4"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工艺类型</w:t>
            </w:r>
          </w:p>
        </w:tc>
        <w:tc>
          <w:tcPr>
            <w:tcW w:w="4054" w:type="dxa"/>
            <w:gridSpan w:val="2"/>
            <w:tcBorders>
              <w:top w:val="single" w:color="auto" w:sz="12" w:space="0"/>
              <w:left w:val="single" w:color="auto" w:sz="4" w:space="0"/>
              <w:bottom w:val="single" w:color="auto" w:sz="12" w:space="0"/>
              <w:right w:val="single" w:color="auto" w:sz="4" w:space="0"/>
            </w:tcBorders>
          </w:tcPr>
          <w:p>
            <w:pPr>
              <w:widowControl/>
              <w:jc w:val="center"/>
              <w:rPr>
                <w:rFonts w:ascii="宋体" w:hAnsi="宋体"/>
                <w:sz w:val="18"/>
                <w:szCs w:val="18"/>
              </w:rPr>
            </w:pPr>
            <w:r>
              <w:rPr>
                <w:rFonts w:hint="eastAsia" w:ascii="宋体" w:hAnsi="宋体"/>
                <w:sz w:val="18"/>
                <w:szCs w:val="18"/>
              </w:rPr>
              <w:t>监控对象</w:t>
            </w:r>
          </w:p>
        </w:tc>
        <w:tc>
          <w:tcPr>
            <w:tcW w:w="2041" w:type="dxa"/>
            <w:tcBorders>
              <w:top w:val="single" w:color="auto" w:sz="12" w:space="0"/>
              <w:left w:val="single" w:color="auto" w:sz="4" w:space="0"/>
              <w:bottom w:val="single" w:color="auto" w:sz="12"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主要记录参数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26" w:type="dxa"/>
            <w:vMerge w:val="restart"/>
            <w:tcBorders>
              <w:top w:val="single" w:color="auto" w:sz="12" w:space="0"/>
              <w:left w:val="single" w:color="auto" w:sz="12" w:space="0"/>
              <w:bottom w:val="single" w:color="auto" w:sz="12" w:space="0"/>
              <w:right w:val="single" w:color="auto" w:sz="4" w:space="0"/>
            </w:tcBorders>
            <w:vAlign w:val="center"/>
          </w:tcPr>
          <w:p>
            <w:pPr>
              <w:jc w:val="center"/>
              <w:rPr>
                <w:rFonts w:ascii="宋体" w:hAnsi="宋体"/>
                <w:sz w:val="18"/>
                <w:szCs w:val="18"/>
              </w:rPr>
            </w:pPr>
          </w:p>
          <w:p>
            <w:pPr>
              <w:jc w:val="center"/>
              <w:rPr>
                <w:rFonts w:ascii="宋体" w:hAnsi="宋体"/>
                <w:sz w:val="18"/>
                <w:szCs w:val="18"/>
              </w:rPr>
            </w:pPr>
            <w:r>
              <w:rPr>
                <w:rFonts w:hint="eastAsia" w:ascii="宋体" w:hAnsi="宋体"/>
                <w:sz w:val="18"/>
                <w:szCs w:val="18"/>
              </w:rPr>
              <w:t>生活垃圾焚烧</w:t>
            </w:r>
          </w:p>
          <w:p>
            <w:pPr>
              <w:jc w:val="center"/>
              <w:rPr>
                <w:rFonts w:ascii="宋体" w:hAnsi="宋体"/>
                <w:sz w:val="18"/>
                <w:szCs w:val="18"/>
              </w:rPr>
            </w:pPr>
            <w:r>
              <w:rPr>
                <w:rFonts w:hint="eastAsia" w:ascii="宋体" w:hAnsi="宋体"/>
                <w:sz w:val="18"/>
                <w:szCs w:val="18"/>
              </w:rPr>
              <w:t>厂</w:t>
            </w:r>
          </w:p>
          <w:p>
            <w:pPr>
              <w:jc w:val="center"/>
              <w:rPr>
                <w:rFonts w:ascii="宋体" w:hAnsi="宋体"/>
                <w:sz w:val="18"/>
                <w:szCs w:val="18"/>
              </w:rPr>
            </w:pPr>
          </w:p>
        </w:tc>
        <w:tc>
          <w:tcPr>
            <w:tcW w:w="1402" w:type="dxa"/>
            <w:vMerge w:val="restart"/>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排放口</w:t>
            </w:r>
          </w:p>
          <w:p>
            <w:pPr>
              <w:widowControl/>
              <w:jc w:val="center"/>
              <w:rPr>
                <w:rFonts w:ascii="宋体" w:hAnsi="宋体"/>
                <w:sz w:val="18"/>
                <w:szCs w:val="18"/>
              </w:rPr>
            </w:pPr>
            <w:r>
              <w:rPr>
                <w:rFonts w:hint="eastAsia" w:ascii="宋体" w:hAnsi="宋体"/>
                <w:sz w:val="18"/>
                <w:szCs w:val="18"/>
              </w:rPr>
              <w:t>烟气参数与污染物监测系统</w:t>
            </w:r>
          </w:p>
        </w:tc>
        <w:tc>
          <w:tcPr>
            <w:tcW w:w="1471" w:type="dxa"/>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烟气参数</w:t>
            </w:r>
          </w:p>
        </w:tc>
        <w:tc>
          <w:tcPr>
            <w:tcW w:w="4054" w:type="dxa"/>
            <w:gridSpan w:val="2"/>
            <w:tcBorders>
              <w:top w:val="single" w:color="auto" w:sz="12" w:space="0"/>
              <w:left w:val="single" w:color="auto" w:sz="4" w:space="0"/>
              <w:bottom w:val="single" w:color="auto" w:sz="4" w:space="0"/>
              <w:right w:val="single" w:color="auto" w:sz="4" w:space="0"/>
            </w:tcBorders>
            <w:vAlign w:val="center"/>
          </w:tcPr>
          <w:p>
            <w:pPr>
              <w:autoSpaceDE w:val="0"/>
              <w:autoSpaceDN w:val="0"/>
              <w:jc w:val="left"/>
              <w:rPr>
                <w:rFonts w:ascii="宋体" w:hAnsi="宋体"/>
                <w:sz w:val="18"/>
                <w:szCs w:val="18"/>
              </w:rPr>
            </w:pPr>
            <w:r>
              <w:rPr>
                <w:rFonts w:hint="eastAsia" w:ascii="宋体" w:hAnsi="宋体"/>
                <w:sz w:val="18"/>
                <w:szCs w:val="18"/>
              </w:rPr>
              <w:t>*温度、压力、流量、湿度、氧量</w:t>
            </w:r>
          </w:p>
        </w:tc>
        <w:tc>
          <w:tcPr>
            <w:tcW w:w="2041" w:type="dxa"/>
            <w:tcBorders>
              <w:top w:val="single" w:color="auto" w:sz="12"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12"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污染物浓度</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sz w:val="18"/>
                <w:szCs w:val="18"/>
                <w:vertAlign w:val="subscript"/>
              </w:rPr>
            </w:pPr>
            <w:r>
              <w:rPr>
                <w:rFonts w:hint="eastAsia" w:ascii="宋体" w:hAnsi="宋体"/>
                <w:sz w:val="18"/>
                <w:szCs w:val="18"/>
              </w:rPr>
              <w:t>*烟尘、</w:t>
            </w:r>
            <w:r>
              <w:rPr>
                <w:rFonts w:ascii="Times New Roman" w:hAnsi="Times New Roman"/>
                <w:sz w:val="18"/>
                <w:szCs w:val="18"/>
              </w:rPr>
              <w:t>SO</w:t>
            </w:r>
            <w:r>
              <w:rPr>
                <w:rFonts w:ascii="Times New Roman" w:hAnsi="Times New Roman"/>
                <w:sz w:val="18"/>
                <w:szCs w:val="18"/>
                <w:vertAlign w:val="subscript"/>
              </w:rPr>
              <w:t>2</w:t>
            </w:r>
            <w:r>
              <w:rPr>
                <w:rFonts w:hint="eastAsia" w:ascii="Times New Roman" w:hAnsi="Times New Roman"/>
                <w:sz w:val="18"/>
                <w:szCs w:val="18"/>
              </w:rPr>
              <w:t>、</w:t>
            </w:r>
            <w:r>
              <w:rPr>
                <w:rFonts w:ascii="Times New Roman" w:hAnsi="Times New Roman"/>
                <w:sz w:val="18"/>
                <w:szCs w:val="18"/>
              </w:rPr>
              <w:t>NO</w:t>
            </w:r>
            <w:r>
              <w:rPr>
                <w:rFonts w:ascii="Times New Roman" w:hAnsi="Times New Roman"/>
                <w:sz w:val="18"/>
                <w:szCs w:val="18"/>
                <w:vertAlign w:val="subscript"/>
              </w:rPr>
              <w:t>x</w:t>
            </w:r>
            <w:r>
              <w:rPr>
                <w:rFonts w:hint="eastAsia" w:ascii="Times New Roman" w:hAnsi="Times New Roman"/>
                <w:sz w:val="18"/>
                <w:szCs w:val="18"/>
              </w:rPr>
              <w:t>、</w:t>
            </w:r>
            <w:r>
              <w:rPr>
                <w:rFonts w:ascii="Times New Roman" w:hAnsi="Times New Roman"/>
                <w:sz w:val="18"/>
                <w:szCs w:val="18"/>
              </w:rPr>
              <w:t>CO</w:t>
            </w:r>
            <w:r>
              <w:rPr>
                <w:rFonts w:hint="eastAsia" w:ascii="Times New Roman" w:hAnsi="Times New Roman"/>
                <w:sz w:val="18"/>
                <w:szCs w:val="18"/>
              </w:rPr>
              <w:t>、</w:t>
            </w:r>
            <w:r>
              <w:rPr>
                <w:rFonts w:ascii="Times New Roman" w:hAnsi="Times New Roman"/>
                <w:sz w:val="18"/>
                <w:szCs w:val="18"/>
              </w:rPr>
              <w:t>HCl</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生产</w:t>
            </w:r>
          </w:p>
          <w:p>
            <w:pPr>
              <w:widowControl/>
              <w:jc w:val="center"/>
              <w:rPr>
                <w:rFonts w:ascii="宋体" w:hAnsi="宋体"/>
                <w:sz w:val="18"/>
                <w:szCs w:val="18"/>
              </w:rPr>
            </w:pPr>
            <w:r>
              <w:rPr>
                <w:rFonts w:hint="eastAsia" w:ascii="宋体" w:hAnsi="宋体"/>
                <w:sz w:val="18"/>
                <w:szCs w:val="18"/>
              </w:rPr>
              <w:t>设施</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w:t>
            </w: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cs="Arial"/>
                <w:sz w:val="18"/>
                <w:szCs w:val="18"/>
                <w:shd w:val="clear" w:color="auto" w:fill="FFFFFF"/>
              </w:rPr>
              <w:t>垃圾抓斗起重机</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cs="Arial"/>
                <w:sz w:val="18"/>
                <w:szCs w:val="18"/>
                <w:shd w:val="clear" w:color="auto" w:fill="FFFFFF"/>
              </w:rPr>
              <w:t>煤进料量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sz w:val="18"/>
                <w:szCs w:val="18"/>
              </w:rPr>
            </w:pPr>
            <w:r>
              <w:rPr>
                <w:rFonts w:hint="eastAsia" w:ascii="宋体" w:hAnsi="宋体"/>
                <w:sz w:val="18"/>
                <w:szCs w:val="18"/>
              </w:rPr>
              <w:t>*推料器</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sz w:val="18"/>
                <w:szCs w:val="18"/>
              </w:rPr>
            </w:pPr>
            <w:r>
              <w:rPr>
                <w:rFonts w:hint="eastAsia" w:ascii="宋体" w:hAnsi="宋体"/>
                <w:sz w:val="18"/>
                <w:szCs w:val="18"/>
              </w:rPr>
              <w:t>*炉门信号</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焚</w:t>
            </w:r>
          </w:p>
          <w:p>
            <w:pPr>
              <w:widowControl/>
              <w:jc w:val="center"/>
              <w:rPr>
                <w:rFonts w:ascii="宋体" w:hAnsi="宋体"/>
                <w:sz w:val="18"/>
                <w:szCs w:val="18"/>
              </w:rPr>
            </w:pPr>
            <w:r>
              <w:rPr>
                <w:rFonts w:hint="eastAsia" w:ascii="宋体" w:hAnsi="宋体"/>
                <w:sz w:val="18"/>
                <w:szCs w:val="18"/>
              </w:rPr>
              <w:t>烧</w:t>
            </w:r>
          </w:p>
          <w:p>
            <w:pPr>
              <w:widowControl/>
              <w:jc w:val="center"/>
              <w:rPr>
                <w:rFonts w:ascii="宋体" w:hAnsi="宋体"/>
                <w:sz w:val="18"/>
                <w:szCs w:val="18"/>
              </w:rPr>
            </w:pPr>
            <w:r>
              <w:rPr>
                <w:rFonts w:hint="eastAsia" w:ascii="宋体" w:hAnsi="宋体"/>
                <w:sz w:val="18"/>
                <w:szCs w:val="18"/>
              </w:rPr>
              <w:t>系</w:t>
            </w:r>
          </w:p>
          <w:p>
            <w:pPr>
              <w:widowControl/>
              <w:jc w:val="center"/>
              <w:rPr>
                <w:rFonts w:ascii="宋体" w:hAnsi="宋体"/>
                <w:sz w:val="18"/>
                <w:szCs w:val="18"/>
              </w:rPr>
            </w:pPr>
            <w:r>
              <w:rPr>
                <w:rFonts w:hint="eastAsia" w:ascii="宋体" w:hAnsi="宋体"/>
                <w:sz w:val="18"/>
                <w:szCs w:val="18"/>
              </w:rPr>
              <w:t>统</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排炉或</w:t>
            </w:r>
          </w:p>
          <w:p>
            <w:pPr>
              <w:widowControl/>
              <w:jc w:val="left"/>
              <w:rPr>
                <w:rFonts w:ascii="宋体" w:hAnsi="宋体"/>
                <w:sz w:val="18"/>
                <w:szCs w:val="18"/>
              </w:rPr>
            </w:pPr>
            <w:r>
              <w:rPr>
                <w:rFonts w:hint="eastAsia" w:ascii="宋体" w:hAnsi="宋体"/>
                <w:sz w:val="18"/>
                <w:szCs w:val="18"/>
              </w:rPr>
              <w:t>流化床</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w:t>
            </w:r>
            <w:r>
              <w:rPr>
                <w:rFonts w:hint="eastAsia" w:ascii="宋体" w:hAnsi="宋体" w:cs="Arial"/>
                <w:sz w:val="18"/>
                <w:szCs w:val="18"/>
                <w:shd w:val="clear" w:color="auto" w:fill="FFFFFF"/>
              </w:rPr>
              <w:t>炉膛内上部焚烧温度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w:t>
            </w:r>
            <w:r>
              <w:rPr>
                <w:rFonts w:hint="eastAsia" w:ascii="宋体" w:hAnsi="宋体" w:cs="Arial"/>
                <w:sz w:val="18"/>
                <w:szCs w:val="18"/>
                <w:shd w:val="clear" w:color="auto" w:fill="FFFFFF"/>
              </w:rPr>
              <w:t>炉膛内中部焚烧温度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sz w:val="18"/>
                <w:szCs w:val="18"/>
                <w:shd w:val="clear" w:color="auto" w:fill="FFFFFF"/>
              </w:rPr>
            </w:pPr>
            <w:r>
              <w:rPr>
                <w:rFonts w:hint="eastAsia" w:ascii="宋体" w:hAnsi="宋体"/>
                <w:sz w:val="18"/>
                <w:szCs w:val="18"/>
              </w:rPr>
              <w:t>*</w:t>
            </w:r>
            <w:r>
              <w:rPr>
                <w:rFonts w:hint="eastAsia" w:ascii="宋体" w:hAnsi="宋体" w:cs="Arial"/>
                <w:sz w:val="18"/>
                <w:szCs w:val="18"/>
                <w:shd w:val="clear" w:color="auto" w:fill="FFFFFF"/>
              </w:rPr>
              <w:t>炉膛内下部焚烧温度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sz w:val="18"/>
                <w:szCs w:val="18"/>
              </w:rPr>
              <w:t>*</w:t>
            </w:r>
            <w:r>
              <w:rPr>
                <w:rFonts w:hint="eastAsia" w:ascii="宋体" w:hAnsi="宋体" w:cs="Arial"/>
                <w:sz w:val="18"/>
                <w:szCs w:val="18"/>
                <w:shd w:val="clear" w:color="auto" w:fill="FFFFFF"/>
              </w:rPr>
              <w:t>炉膛内</w:t>
            </w:r>
            <w:r>
              <w:rPr>
                <w:rFonts w:hint="eastAsia" w:ascii="宋体" w:hAnsi="宋体" w:cs="Arial"/>
                <w:kern w:val="0"/>
                <w:sz w:val="18"/>
                <w:szCs w:val="18"/>
              </w:rPr>
              <w:t>二次空气喷入点</w:t>
            </w:r>
            <w:r>
              <w:rPr>
                <w:rFonts w:hint="eastAsia" w:ascii="宋体" w:hAnsi="宋体" w:cs="Arial"/>
                <w:sz w:val="18"/>
                <w:szCs w:val="18"/>
                <w:shd w:val="clear" w:color="auto" w:fill="FFFFFF"/>
              </w:rPr>
              <w:t>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sz w:val="18"/>
                <w:szCs w:val="18"/>
                <w:shd w:val="clear" w:color="auto" w:fill="FFFFFF"/>
              </w:rPr>
            </w:pPr>
            <w:r>
              <w:rPr>
                <w:rFonts w:hint="eastAsia" w:ascii="宋体" w:hAnsi="宋体"/>
                <w:sz w:val="18"/>
                <w:szCs w:val="18"/>
              </w:rPr>
              <w:t>*</w:t>
            </w:r>
            <w:r>
              <w:rPr>
                <w:rFonts w:hint="eastAsia" w:ascii="宋体" w:hAnsi="宋体" w:cs="Arial"/>
                <w:sz w:val="18"/>
                <w:szCs w:val="18"/>
                <w:shd w:val="clear" w:color="auto" w:fill="FFFFFF"/>
              </w:rPr>
              <w:t>炉膛平均温度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kern w:val="0"/>
                <w:sz w:val="18"/>
                <w:szCs w:val="18"/>
              </w:rPr>
            </w:pPr>
            <w:r>
              <w:rPr>
                <w:rFonts w:hint="eastAsia" w:ascii="宋体" w:hAnsi="宋体"/>
                <w:kern w:val="0"/>
                <w:sz w:val="18"/>
                <w:szCs w:val="18"/>
              </w:rPr>
              <w:t>计算值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sz w:val="18"/>
                <w:szCs w:val="18"/>
                <w:shd w:val="clear" w:color="auto" w:fill="FFFFFF"/>
              </w:rPr>
            </w:pPr>
            <w:r>
              <w:rPr>
                <w:rFonts w:hint="eastAsia" w:ascii="宋体" w:hAnsi="宋体"/>
                <w:sz w:val="18"/>
                <w:szCs w:val="18"/>
              </w:rPr>
              <w:t>*</w:t>
            </w:r>
            <w:r>
              <w:rPr>
                <w:rFonts w:hint="eastAsia" w:ascii="宋体" w:hAnsi="宋体" w:cs="Arial"/>
                <w:sz w:val="18"/>
                <w:szCs w:val="18"/>
                <w:shd w:val="clear" w:color="auto" w:fill="FFFFFF"/>
              </w:rPr>
              <w:t>炉膛</w:t>
            </w:r>
            <w:r>
              <w:rPr>
                <w:rFonts w:ascii="Times New Roman" w:hAnsi="Times New Roman"/>
                <w:sz w:val="18"/>
                <w:szCs w:val="18"/>
                <w:shd w:val="clear" w:color="auto" w:fill="FFFFFF"/>
              </w:rPr>
              <w:t>DCS</w:t>
            </w:r>
            <w:r>
              <w:rPr>
                <w:rFonts w:hint="eastAsia" w:ascii="宋体" w:hAnsi="宋体" w:cs="Arial"/>
                <w:sz w:val="18"/>
                <w:szCs w:val="18"/>
                <w:shd w:val="clear" w:color="auto" w:fill="FFFFFF"/>
              </w:rPr>
              <w:t>温度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kern w:val="0"/>
                <w:sz w:val="18"/>
                <w:szCs w:val="18"/>
              </w:rPr>
            </w:pPr>
            <w:r>
              <w:rPr>
                <w:rFonts w:hint="eastAsia" w:ascii="宋体" w:hAnsi="宋体"/>
                <w:kern w:val="0"/>
                <w:sz w:val="18"/>
                <w:szCs w:val="18"/>
              </w:rPr>
              <w:t>计算值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供风</w:t>
            </w:r>
          </w:p>
          <w:p>
            <w:pPr>
              <w:widowControl/>
              <w:jc w:val="center"/>
              <w:rPr>
                <w:rFonts w:ascii="宋体" w:hAnsi="宋体"/>
                <w:sz w:val="18"/>
                <w:szCs w:val="18"/>
              </w:rPr>
            </w:pPr>
            <w:r>
              <w:rPr>
                <w:rFonts w:hint="eastAsia" w:ascii="宋体" w:hAnsi="宋体"/>
                <w:sz w:val="18"/>
                <w:szCs w:val="18"/>
              </w:rPr>
              <w:t>系统</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液力耦合器调节</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sz w:val="18"/>
                <w:szCs w:val="18"/>
              </w:rPr>
            </w:pPr>
            <w:r>
              <w:rPr>
                <w:rFonts w:hint="eastAsia" w:ascii="宋体" w:hAnsi="宋体"/>
                <w:sz w:val="18"/>
                <w:szCs w:val="18"/>
              </w:rPr>
              <w:t>*风机阀门开度</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变频调节</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*变频输出功率</w:t>
            </w:r>
          </w:p>
        </w:tc>
        <w:tc>
          <w:tcPr>
            <w:tcW w:w="2041" w:type="dxa"/>
            <w:tcBorders>
              <w:top w:val="single" w:color="auto" w:sz="4" w:space="0"/>
              <w:left w:val="single" w:color="auto" w:sz="4" w:space="0"/>
              <w:bottom w:val="single" w:color="auto" w:sz="4" w:space="0"/>
              <w:right w:val="single" w:color="auto" w:sz="12" w:space="0"/>
            </w:tcBorders>
          </w:tcPr>
          <w:p>
            <w:pPr>
              <w:jc w:val="center"/>
              <w:rPr>
                <w:rFonts w:ascii="宋体" w:hAnsi="宋体"/>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restart"/>
            <w:tcBorders>
              <w:top w:val="single" w:color="auto" w:sz="4" w:space="0"/>
              <w:left w:val="single" w:color="auto" w:sz="4"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烟</w:t>
            </w:r>
          </w:p>
          <w:p>
            <w:pPr>
              <w:widowControl/>
              <w:jc w:val="center"/>
              <w:rPr>
                <w:rFonts w:ascii="宋体" w:hAnsi="宋体"/>
                <w:sz w:val="18"/>
                <w:szCs w:val="18"/>
              </w:rPr>
            </w:pPr>
            <w:r>
              <w:rPr>
                <w:rFonts w:hint="eastAsia" w:ascii="宋体" w:hAnsi="宋体"/>
                <w:sz w:val="18"/>
                <w:szCs w:val="18"/>
              </w:rPr>
              <w:t>气</w:t>
            </w:r>
          </w:p>
          <w:p>
            <w:pPr>
              <w:widowControl/>
              <w:jc w:val="center"/>
              <w:rPr>
                <w:rFonts w:ascii="宋体" w:hAnsi="宋体"/>
                <w:sz w:val="18"/>
                <w:szCs w:val="18"/>
              </w:rPr>
            </w:pPr>
            <w:r>
              <w:rPr>
                <w:rFonts w:hint="eastAsia" w:ascii="宋体" w:hAnsi="宋体"/>
                <w:sz w:val="18"/>
                <w:szCs w:val="18"/>
              </w:rPr>
              <w:t>净</w:t>
            </w:r>
          </w:p>
          <w:p>
            <w:pPr>
              <w:widowControl/>
              <w:jc w:val="center"/>
              <w:rPr>
                <w:rFonts w:ascii="宋体" w:hAnsi="宋体"/>
                <w:sz w:val="18"/>
                <w:szCs w:val="18"/>
              </w:rPr>
            </w:pPr>
            <w:r>
              <w:rPr>
                <w:rFonts w:hint="eastAsia" w:ascii="宋体" w:hAnsi="宋体"/>
                <w:sz w:val="18"/>
                <w:szCs w:val="18"/>
              </w:rPr>
              <w:t>化</w:t>
            </w:r>
          </w:p>
          <w:p>
            <w:pPr>
              <w:widowControl/>
              <w:jc w:val="center"/>
              <w:rPr>
                <w:rFonts w:ascii="宋体" w:hAnsi="宋体"/>
                <w:sz w:val="18"/>
                <w:szCs w:val="18"/>
              </w:rPr>
            </w:pPr>
            <w:r>
              <w:rPr>
                <w:rFonts w:hint="eastAsia" w:ascii="宋体" w:hAnsi="宋体"/>
                <w:sz w:val="18"/>
                <w:szCs w:val="18"/>
              </w:rPr>
              <w:t>系</w:t>
            </w:r>
          </w:p>
          <w:p>
            <w:pPr>
              <w:widowControl/>
              <w:jc w:val="center"/>
              <w:rPr>
                <w:rFonts w:ascii="宋体" w:hAnsi="宋体"/>
                <w:sz w:val="18"/>
                <w:szCs w:val="18"/>
              </w:rPr>
            </w:pPr>
            <w:r>
              <w:rPr>
                <w:rFonts w:hint="eastAsia" w:ascii="宋体" w:hAnsi="宋体"/>
                <w:sz w:val="18"/>
                <w:szCs w:val="18"/>
              </w:rPr>
              <w:t>统</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jc w:val="left"/>
              <w:rPr>
                <w:rFonts w:ascii="宋体" w:hAnsi="宋体"/>
                <w:sz w:val="18"/>
                <w:szCs w:val="18"/>
              </w:rPr>
            </w:pPr>
            <w:r>
              <w:rPr>
                <w:rFonts w:hint="eastAsia" w:ascii="宋体" w:hAnsi="宋体"/>
                <w:sz w:val="18"/>
                <w:szCs w:val="18"/>
              </w:rPr>
              <w:t>半干法脱酸</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*石灰浆喷射量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*旋转雾化器电流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干法脱酸</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*生石灰喷射量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活性炭吸附</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*活性炭喷射量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8"/>
                <w:szCs w:val="18"/>
              </w:rPr>
            </w:pPr>
            <w:r>
              <w:rPr>
                <w:rFonts w:ascii="Times New Roman" w:hAnsi="Times New Roman"/>
                <w:sz w:val="18"/>
                <w:szCs w:val="18"/>
              </w:rPr>
              <w:t>SCR</w:t>
            </w:r>
          </w:p>
        </w:tc>
        <w:tc>
          <w:tcPr>
            <w:tcW w:w="1081"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kern w:val="0"/>
                <w:sz w:val="18"/>
                <w:szCs w:val="18"/>
              </w:rPr>
            </w:pPr>
            <w:r>
              <w:rPr>
                <w:rFonts w:hint="eastAsia" w:ascii="宋体" w:hAnsi="宋体"/>
                <w:kern w:val="0"/>
                <w:sz w:val="18"/>
                <w:szCs w:val="18"/>
              </w:rPr>
              <w:t>液氨法</w:t>
            </w:r>
          </w:p>
        </w:tc>
        <w:tc>
          <w:tcPr>
            <w:tcW w:w="297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氨喷射系统电流</w:t>
            </w:r>
          </w:p>
        </w:tc>
        <w:tc>
          <w:tcPr>
            <w:tcW w:w="2041" w:type="dxa"/>
            <w:tcBorders>
              <w:top w:val="single" w:color="auto" w:sz="4" w:space="0"/>
              <w:left w:val="single" w:color="auto" w:sz="4" w:space="0"/>
              <w:bottom w:val="single" w:color="auto" w:sz="4" w:space="0"/>
              <w:right w:val="single" w:color="auto" w:sz="12" w:space="0"/>
            </w:tcBorders>
            <w:vAlign w:val="center"/>
          </w:tcPr>
          <w:p>
            <w:pPr>
              <w:autoSpaceDE w:val="0"/>
              <w:autoSpaceDN w:val="0"/>
              <w:jc w:val="center"/>
              <w:rPr>
                <w:rFonts w:ascii="宋体" w:hAnsi="宋体"/>
                <w:kern w:val="0"/>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973"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稀释风机状态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kern w:val="0"/>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973" w:type="dxa"/>
            <w:tcBorders>
              <w:top w:val="single" w:color="auto" w:sz="4" w:space="0"/>
              <w:left w:val="single" w:color="auto" w:sz="4" w:space="0"/>
              <w:bottom w:val="single" w:color="auto" w:sz="4" w:space="0"/>
              <w:right w:val="single" w:color="auto" w:sz="4" w:space="0"/>
            </w:tcBorders>
          </w:tcPr>
          <w:p>
            <w:pPr>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稀释风机电流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973" w:type="dxa"/>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氨泵风机状态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kern w:val="0"/>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973" w:type="dxa"/>
            <w:tcBorders>
              <w:top w:val="single" w:color="auto" w:sz="4" w:space="0"/>
              <w:left w:val="single" w:color="auto" w:sz="4" w:space="0"/>
              <w:bottom w:val="single" w:color="auto" w:sz="4" w:space="0"/>
              <w:right w:val="single" w:color="auto" w:sz="4" w:space="0"/>
            </w:tcBorders>
          </w:tcPr>
          <w:p>
            <w:pPr>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氨泵风机电流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108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尿素法</w:t>
            </w:r>
          </w:p>
        </w:tc>
        <w:tc>
          <w:tcPr>
            <w:tcW w:w="297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尿素溶液流量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center"/>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297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喷枪运行状态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sz w:val="18"/>
                <w:szCs w:val="18"/>
              </w:rPr>
            </w:pPr>
            <w:r>
              <w:rPr>
                <w:rFonts w:hint="eastAsia" w:ascii="宋体" w:hAnsi="宋体"/>
                <w:kern w:val="0"/>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297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尿素循环泵状态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kern w:val="0"/>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297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尿素循环泵电流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18"/>
                <w:szCs w:val="18"/>
              </w:rPr>
            </w:pPr>
            <w:r>
              <w:rPr>
                <w:rFonts w:ascii="Times New Roman" w:hAnsi="Times New Roman"/>
                <w:sz w:val="18"/>
                <w:szCs w:val="18"/>
              </w:rPr>
              <w:t>SNCR</w:t>
            </w: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还原剂流量</w:t>
            </w:r>
          </w:p>
        </w:tc>
        <w:tc>
          <w:tcPr>
            <w:tcW w:w="2041" w:type="dxa"/>
            <w:tcBorders>
              <w:top w:val="single" w:color="auto" w:sz="4" w:space="0"/>
              <w:left w:val="single" w:color="auto" w:sz="4" w:space="0"/>
              <w:bottom w:val="single" w:color="auto" w:sz="4" w:space="0"/>
              <w:right w:val="single" w:color="auto" w:sz="12" w:space="0"/>
            </w:tcBorders>
            <w:vAlign w:val="center"/>
          </w:tcPr>
          <w:p>
            <w:pPr>
              <w:autoSpaceDE w:val="0"/>
              <w:autoSpaceDN w:val="0"/>
              <w:jc w:val="left"/>
              <w:rPr>
                <w:rFonts w:ascii="宋体" w:hAnsi="宋体"/>
                <w:kern w:val="0"/>
                <w:sz w:val="18"/>
                <w:szCs w:val="18"/>
              </w:rPr>
            </w:pPr>
            <w:r>
              <w:rPr>
                <w:rFonts w:hint="eastAsia" w:ascii="宋体" w:hAnsi="宋体"/>
                <w:kern w:val="0"/>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氨泵电流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kern w:val="0"/>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电除尘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w:t>
            </w:r>
            <w:r>
              <w:rPr>
                <w:rFonts w:hint="eastAsia" w:ascii="宋体" w:hAnsi="宋体"/>
                <w:sz w:val="18"/>
                <w:szCs w:val="18"/>
              </w:rPr>
              <w:t>二次电压</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工作电压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一次、二次电流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布袋除尘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*进出口压差</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压差值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kern w:val="0"/>
                <w:sz w:val="18"/>
                <w:szCs w:val="18"/>
              </w:rPr>
              <w:t>进口温度</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测量值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kern w:val="0"/>
                <w:sz w:val="18"/>
                <w:szCs w:val="18"/>
              </w:rPr>
              <w:t>反吹阀状态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开关信号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restart"/>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湿式电除尘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一次电压、</w:t>
            </w:r>
            <w:r>
              <w:rPr>
                <w:rFonts w:hint="eastAsia" w:ascii="宋体" w:hAnsi="宋体"/>
                <w:sz w:val="18"/>
                <w:szCs w:val="18"/>
              </w:rPr>
              <w:t>二次电压</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工作电压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02"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471"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12"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一次电流、二次电流</w:t>
            </w:r>
          </w:p>
        </w:tc>
        <w:tc>
          <w:tcPr>
            <w:tcW w:w="2041" w:type="dxa"/>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工作电流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394" w:type="dxa"/>
            <w:gridSpan w:val="6"/>
            <w:tcBorders>
              <w:top w:val="single" w:color="auto" w:sz="12" w:space="0"/>
              <w:left w:val="single" w:color="auto" w:sz="12" w:space="0"/>
              <w:bottom w:val="single" w:color="auto" w:sz="12" w:space="0"/>
              <w:right w:val="single" w:color="auto" w:sz="12" w:space="0"/>
            </w:tcBorders>
            <w:vAlign w:val="center"/>
          </w:tcPr>
          <w:p>
            <w:pPr>
              <w:widowControl/>
              <w:ind w:firstLine="360" w:firstLineChars="200"/>
              <w:rPr>
                <w:rFonts w:ascii="宋体" w:hAnsi="宋体"/>
                <w:sz w:val="18"/>
                <w:szCs w:val="18"/>
              </w:rPr>
            </w:pPr>
            <w:r>
              <w:rPr>
                <w:rFonts w:hint="eastAsia" w:ascii="黑体" w:hAnsi="黑体" w:eastAsia="黑体"/>
                <w:sz w:val="18"/>
                <w:szCs w:val="18"/>
              </w:rPr>
              <w:t>注1：</w:t>
            </w:r>
            <w:r>
              <w:rPr>
                <w:rFonts w:hint="eastAsia" w:ascii="宋体" w:hAnsi="宋体"/>
                <w:sz w:val="18"/>
                <w:szCs w:val="18"/>
              </w:rPr>
              <w:t>治理单位根据自身烟气治理工艺选择相应参数</w:t>
            </w:r>
          </w:p>
          <w:p>
            <w:pPr>
              <w:widowControl/>
              <w:ind w:firstLine="360" w:firstLineChars="200"/>
              <w:rPr>
                <w:rFonts w:ascii="宋体" w:hAnsi="宋体"/>
                <w:sz w:val="18"/>
                <w:szCs w:val="18"/>
              </w:rPr>
            </w:pPr>
            <w:r>
              <w:rPr>
                <w:rFonts w:hint="eastAsia" w:ascii="黑体" w:hAnsi="黑体" w:eastAsia="黑体"/>
                <w:sz w:val="18"/>
                <w:szCs w:val="18"/>
              </w:rPr>
              <w:t>注2：</w:t>
            </w:r>
            <w:r>
              <w:rPr>
                <w:rFonts w:hint="eastAsia" w:ascii="宋体" w:hAnsi="宋体"/>
                <w:sz w:val="18"/>
                <w:szCs w:val="18"/>
              </w:rPr>
              <w:t>*项目为必选参数，其他项目为参考参数。</w:t>
            </w:r>
          </w:p>
        </w:tc>
      </w:tr>
    </w:tbl>
    <w:p>
      <w:pPr>
        <w:pStyle w:val="83"/>
        <w:numPr>
          <w:ilvl w:val="0"/>
          <w:numId w:val="0"/>
        </w:numPr>
        <w:spacing w:before="156" w:after="156"/>
        <w:ind w:left="420"/>
        <w:jc w:val="both"/>
      </w:pPr>
    </w:p>
    <w:p>
      <w:pPr>
        <w:widowControl/>
        <w:adjustRightInd/>
        <w:spacing w:line="240" w:lineRule="auto"/>
        <w:jc w:val="left"/>
        <w:rPr>
          <w:rFonts w:ascii="黑体" w:hAnsi="Times New Roman" w:eastAsia="黑体"/>
          <w:kern w:val="21"/>
          <w:szCs w:val="20"/>
        </w:rPr>
      </w:pPr>
      <w:r>
        <w:br w:type="page"/>
      </w:r>
    </w:p>
    <w:p>
      <w:pPr>
        <w:pStyle w:val="83"/>
        <w:spacing w:before="156" w:after="156"/>
      </w:pPr>
      <w:r>
        <w:rPr>
          <w:rFonts w:hint="eastAsia"/>
        </w:rPr>
        <w:t>生活垃圾焚烧厂烟气排放过程（工况）关键参数表（额定值）</w:t>
      </w:r>
    </w:p>
    <w:tbl>
      <w:tblPr>
        <w:tblStyle w:val="28"/>
        <w:tblW w:w="939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43"/>
        <w:gridCol w:w="1558"/>
        <w:gridCol w:w="2494"/>
        <w:gridCol w:w="2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555" w:type="dxa"/>
            <w:tcBorders>
              <w:top w:val="single" w:color="auto" w:sz="12" w:space="0"/>
              <w:left w:val="single" w:color="auto" w:sz="12"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类别</w:t>
            </w:r>
          </w:p>
        </w:tc>
        <w:tc>
          <w:tcPr>
            <w:tcW w:w="1744" w:type="dxa"/>
            <w:tcBorders>
              <w:top w:val="single" w:color="auto" w:sz="12" w:space="0"/>
              <w:left w:val="single" w:color="auto" w:sz="4"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工艺类型</w:t>
            </w:r>
          </w:p>
        </w:tc>
        <w:tc>
          <w:tcPr>
            <w:tcW w:w="4054" w:type="dxa"/>
            <w:gridSpan w:val="2"/>
            <w:tcBorders>
              <w:top w:val="single" w:color="auto" w:sz="12" w:space="0"/>
              <w:left w:val="single" w:color="auto" w:sz="4" w:space="0"/>
              <w:bottom w:val="single" w:color="auto" w:sz="12" w:space="0"/>
              <w:right w:val="single" w:color="auto" w:sz="4" w:space="0"/>
            </w:tcBorders>
          </w:tcPr>
          <w:p>
            <w:pPr>
              <w:widowControl/>
              <w:jc w:val="center"/>
              <w:rPr>
                <w:rFonts w:ascii="宋体" w:hAnsi="宋体"/>
                <w:sz w:val="18"/>
                <w:szCs w:val="18"/>
              </w:rPr>
            </w:pPr>
            <w:r>
              <w:rPr>
                <w:rFonts w:hint="eastAsia" w:ascii="宋体" w:hAnsi="宋体"/>
                <w:sz w:val="18"/>
                <w:szCs w:val="18"/>
              </w:rPr>
              <w:t>监控对象</w:t>
            </w:r>
          </w:p>
        </w:tc>
        <w:tc>
          <w:tcPr>
            <w:tcW w:w="2041" w:type="dxa"/>
            <w:tcBorders>
              <w:top w:val="single" w:color="auto" w:sz="12" w:space="0"/>
              <w:left w:val="single" w:color="auto" w:sz="4" w:space="0"/>
              <w:bottom w:val="single" w:color="auto" w:sz="12" w:space="0"/>
              <w:right w:val="single" w:color="auto" w:sz="12" w:space="0"/>
            </w:tcBorders>
            <w:vAlign w:val="center"/>
          </w:tcPr>
          <w:p>
            <w:pPr>
              <w:widowControl/>
              <w:jc w:val="center"/>
              <w:rPr>
                <w:rFonts w:ascii="宋体" w:hAnsi="宋体"/>
                <w:sz w:val="18"/>
                <w:szCs w:val="18"/>
              </w:rPr>
            </w:pPr>
            <w:r>
              <w:rPr>
                <w:rFonts w:hint="eastAsia" w:ascii="宋体" w:hAnsi="宋体"/>
                <w:sz w:val="18"/>
                <w:szCs w:val="18"/>
              </w:rPr>
              <w:t>主要记录参数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555" w:type="dxa"/>
            <w:vMerge w:val="restart"/>
            <w:tcBorders>
              <w:top w:val="single" w:color="auto" w:sz="12" w:space="0"/>
              <w:left w:val="single" w:color="auto" w:sz="12" w:space="0"/>
              <w:bottom w:val="single" w:color="auto" w:sz="12" w:space="0"/>
              <w:right w:val="single" w:color="auto" w:sz="4" w:space="0"/>
            </w:tcBorders>
            <w:vAlign w:val="center"/>
          </w:tcPr>
          <w:p>
            <w:pPr>
              <w:widowControl/>
              <w:jc w:val="center"/>
              <w:rPr>
                <w:rFonts w:ascii="宋体" w:hAnsi="宋体"/>
                <w:sz w:val="18"/>
                <w:szCs w:val="18"/>
              </w:rPr>
            </w:pPr>
            <w:r>
              <w:rPr>
                <w:rFonts w:hint="eastAsia" w:ascii="宋体" w:hAnsi="宋体"/>
                <w:sz w:val="18"/>
                <w:szCs w:val="18"/>
              </w:rPr>
              <w:t>烟</w:t>
            </w:r>
          </w:p>
          <w:p>
            <w:pPr>
              <w:widowControl/>
              <w:jc w:val="center"/>
              <w:rPr>
                <w:rFonts w:ascii="宋体" w:hAnsi="宋体"/>
                <w:sz w:val="18"/>
                <w:szCs w:val="18"/>
              </w:rPr>
            </w:pPr>
            <w:r>
              <w:rPr>
                <w:rFonts w:hint="eastAsia" w:ascii="宋体" w:hAnsi="宋体"/>
                <w:sz w:val="18"/>
                <w:szCs w:val="18"/>
              </w:rPr>
              <w:t>气</w:t>
            </w:r>
          </w:p>
          <w:p>
            <w:pPr>
              <w:widowControl/>
              <w:jc w:val="center"/>
              <w:rPr>
                <w:rFonts w:ascii="宋体" w:hAnsi="宋体"/>
                <w:sz w:val="18"/>
                <w:szCs w:val="18"/>
              </w:rPr>
            </w:pPr>
            <w:r>
              <w:rPr>
                <w:rFonts w:hint="eastAsia" w:ascii="宋体" w:hAnsi="宋体"/>
                <w:sz w:val="18"/>
                <w:szCs w:val="18"/>
              </w:rPr>
              <w:t>净</w:t>
            </w:r>
          </w:p>
          <w:p>
            <w:pPr>
              <w:widowControl/>
              <w:jc w:val="center"/>
              <w:rPr>
                <w:rFonts w:ascii="宋体" w:hAnsi="宋体"/>
                <w:sz w:val="18"/>
                <w:szCs w:val="18"/>
              </w:rPr>
            </w:pPr>
            <w:r>
              <w:rPr>
                <w:rFonts w:hint="eastAsia" w:ascii="宋体" w:hAnsi="宋体"/>
                <w:sz w:val="18"/>
                <w:szCs w:val="18"/>
              </w:rPr>
              <w:t>化</w:t>
            </w:r>
          </w:p>
          <w:p>
            <w:pPr>
              <w:widowControl/>
              <w:jc w:val="center"/>
              <w:rPr>
                <w:rFonts w:ascii="宋体" w:hAnsi="宋体"/>
                <w:sz w:val="18"/>
                <w:szCs w:val="18"/>
              </w:rPr>
            </w:pPr>
            <w:r>
              <w:rPr>
                <w:rFonts w:hint="eastAsia" w:ascii="宋体" w:hAnsi="宋体"/>
                <w:sz w:val="18"/>
                <w:szCs w:val="18"/>
              </w:rPr>
              <w:t>系</w:t>
            </w:r>
          </w:p>
          <w:p>
            <w:pPr>
              <w:widowControl/>
              <w:jc w:val="center"/>
              <w:rPr>
                <w:rFonts w:ascii="宋体" w:hAnsi="宋体"/>
                <w:sz w:val="18"/>
                <w:szCs w:val="18"/>
              </w:rPr>
            </w:pPr>
            <w:r>
              <w:rPr>
                <w:rFonts w:hint="eastAsia" w:ascii="宋体" w:hAnsi="宋体"/>
                <w:sz w:val="18"/>
                <w:szCs w:val="18"/>
              </w:rPr>
              <w:t>统</w:t>
            </w:r>
          </w:p>
        </w:tc>
        <w:tc>
          <w:tcPr>
            <w:tcW w:w="1744" w:type="dxa"/>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变频调节</w:t>
            </w:r>
          </w:p>
        </w:tc>
        <w:tc>
          <w:tcPr>
            <w:tcW w:w="4054" w:type="dxa"/>
            <w:gridSpan w:val="2"/>
            <w:tcBorders>
              <w:top w:val="single" w:color="auto" w:sz="12"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*变频输出功率</w:t>
            </w:r>
          </w:p>
        </w:tc>
        <w:tc>
          <w:tcPr>
            <w:tcW w:w="2041" w:type="dxa"/>
            <w:tcBorders>
              <w:top w:val="single" w:color="auto" w:sz="12"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restart"/>
            <w:tcBorders>
              <w:top w:val="single" w:color="auto" w:sz="4" w:space="0"/>
              <w:left w:val="single" w:color="auto" w:sz="4" w:space="0"/>
              <w:bottom w:val="single" w:color="auto" w:sz="4" w:space="0"/>
              <w:right w:val="single" w:color="auto" w:sz="4" w:space="0"/>
            </w:tcBorders>
            <w:vAlign w:val="center"/>
          </w:tcPr>
          <w:p>
            <w:pPr>
              <w:jc w:val="left"/>
              <w:rPr>
                <w:rFonts w:ascii="宋体" w:hAnsi="宋体"/>
                <w:sz w:val="18"/>
                <w:szCs w:val="18"/>
              </w:rPr>
            </w:pPr>
            <w:r>
              <w:rPr>
                <w:rFonts w:hint="eastAsia" w:ascii="宋体" w:hAnsi="宋体"/>
                <w:sz w:val="18"/>
                <w:szCs w:val="18"/>
              </w:rPr>
              <w:t>半干法脱酸</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*石灰浆喷射量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*旋转雾化器电流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干法脱酸</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*生石灰喷射量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活性炭吸附</w:t>
            </w:r>
          </w:p>
        </w:tc>
        <w:tc>
          <w:tcPr>
            <w:tcW w:w="4054"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*活性炭喷射量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SCR</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jc w:val="left"/>
              <w:rPr>
                <w:rFonts w:ascii="宋体" w:hAnsi="宋体"/>
                <w:kern w:val="0"/>
                <w:sz w:val="18"/>
                <w:szCs w:val="18"/>
              </w:rPr>
            </w:pPr>
            <w:r>
              <w:rPr>
                <w:rFonts w:hint="eastAsia" w:ascii="宋体" w:hAnsi="宋体"/>
                <w:kern w:val="0"/>
                <w:sz w:val="18"/>
                <w:szCs w:val="18"/>
              </w:rPr>
              <w:t>液氨法</w:t>
            </w:r>
          </w:p>
        </w:tc>
        <w:tc>
          <w:tcPr>
            <w:tcW w:w="2495"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氨喷射系统电流</w:t>
            </w:r>
          </w:p>
        </w:tc>
        <w:tc>
          <w:tcPr>
            <w:tcW w:w="2041" w:type="dxa"/>
            <w:tcBorders>
              <w:top w:val="single" w:color="auto" w:sz="4" w:space="0"/>
              <w:left w:val="single" w:color="auto" w:sz="4" w:space="0"/>
              <w:bottom w:val="single" w:color="auto" w:sz="4" w:space="0"/>
              <w:right w:val="single" w:color="auto" w:sz="12" w:space="0"/>
            </w:tcBorders>
            <w:vAlign w:val="center"/>
          </w:tcPr>
          <w:p>
            <w:pPr>
              <w:autoSpaceDE w:val="0"/>
              <w:autoSpaceDN w:val="0"/>
              <w:jc w:val="left"/>
              <w:rPr>
                <w:rFonts w:ascii="宋体" w:hAnsi="宋体"/>
                <w:kern w:val="0"/>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495" w:type="dxa"/>
            <w:tcBorders>
              <w:top w:val="single" w:color="auto" w:sz="4" w:space="0"/>
              <w:left w:val="single" w:color="auto" w:sz="4" w:space="0"/>
              <w:bottom w:val="single" w:color="auto" w:sz="4" w:space="0"/>
              <w:right w:val="single" w:color="auto" w:sz="4" w:space="0"/>
            </w:tcBorders>
          </w:tcPr>
          <w:p>
            <w:pPr>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稀释风机电流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2495" w:type="dxa"/>
            <w:tcBorders>
              <w:top w:val="single" w:color="auto" w:sz="4" w:space="0"/>
              <w:left w:val="single" w:color="auto" w:sz="4" w:space="0"/>
              <w:bottom w:val="single" w:color="auto" w:sz="4" w:space="0"/>
              <w:right w:val="single" w:color="auto" w:sz="4" w:space="0"/>
            </w:tcBorders>
          </w:tcPr>
          <w:p>
            <w:pPr>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氨泵风机电流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尿素法</w:t>
            </w:r>
          </w:p>
        </w:tc>
        <w:tc>
          <w:tcPr>
            <w:tcW w:w="2495"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尿素溶液流量</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kern w:val="0"/>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2495" w:type="dxa"/>
            <w:tcBorders>
              <w:top w:val="single" w:color="auto" w:sz="4" w:space="0"/>
              <w:left w:val="single" w:color="auto" w:sz="4" w:space="0"/>
              <w:bottom w:val="single" w:color="auto" w:sz="4" w:space="0"/>
              <w:right w:val="single" w:color="auto" w:sz="4" w:space="0"/>
            </w:tcBorders>
          </w:tcPr>
          <w:p>
            <w:pPr>
              <w:widowControl/>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尿素循环泵电流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SNCR</w:t>
            </w:r>
          </w:p>
        </w:tc>
        <w:tc>
          <w:tcPr>
            <w:tcW w:w="4054" w:type="dxa"/>
            <w:gridSpan w:val="2"/>
            <w:tcBorders>
              <w:top w:val="single" w:color="auto" w:sz="4" w:space="0"/>
              <w:left w:val="single" w:color="auto" w:sz="4" w:space="0"/>
              <w:bottom w:val="single" w:color="auto" w:sz="4" w:space="0"/>
              <w:right w:val="single" w:color="auto" w:sz="4" w:space="0"/>
            </w:tcBorders>
          </w:tcPr>
          <w:p>
            <w:pPr>
              <w:autoSpaceDE w:val="0"/>
              <w:autoSpaceDN w:val="0"/>
              <w:jc w:val="left"/>
              <w:rPr>
                <w:rFonts w:ascii="宋体" w:hAnsi="宋体"/>
                <w:kern w:val="0"/>
                <w:sz w:val="18"/>
                <w:szCs w:val="18"/>
              </w:rPr>
            </w:pPr>
            <w:r>
              <w:rPr>
                <w:rFonts w:hint="eastAsia" w:ascii="宋体" w:hAnsi="宋体"/>
                <w:sz w:val="18"/>
                <w:szCs w:val="18"/>
              </w:rPr>
              <w:t>*</w:t>
            </w:r>
            <w:r>
              <w:rPr>
                <w:rFonts w:hint="eastAsia" w:ascii="宋体" w:hAnsi="宋体"/>
                <w:kern w:val="0"/>
                <w:sz w:val="18"/>
                <w:szCs w:val="18"/>
              </w:rPr>
              <w:t>还原剂流量</w:t>
            </w:r>
          </w:p>
        </w:tc>
        <w:tc>
          <w:tcPr>
            <w:tcW w:w="2041" w:type="dxa"/>
            <w:tcBorders>
              <w:top w:val="single" w:color="auto" w:sz="4" w:space="0"/>
              <w:left w:val="single" w:color="auto" w:sz="4" w:space="0"/>
              <w:bottom w:val="single" w:color="auto" w:sz="4" w:space="0"/>
              <w:right w:val="single" w:color="auto" w:sz="12" w:space="0"/>
            </w:tcBorders>
            <w:vAlign w:val="center"/>
          </w:tcPr>
          <w:p>
            <w:pPr>
              <w:autoSpaceDE w:val="0"/>
              <w:autoSpaceDN w:val="0"/>
              <w:jc w:val="left"/>
              <w:rPr>
                <w:rFonts w:ascii="宋体" w:hAnsi="宋体"/>
                <w:kern w:val="0"/>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氨泵电流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电除尘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w:t>
            </w:r>
            <w:r>
              <w:rPr>
                <w:rFonts w:hint="eastAsia" w:ascii="宋体" w:hAnsi="宋体"/>
                <w:sz w:val="18"/>
                <w:szCs w:val="18"/>
              </w:rPr>
              <w:t>二次电压</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一次、二次电流</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布袋除尘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*进出口压差</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设计值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restart"/>
            <w:tcBorders>
              <w:top w:val="single" w:color="auto" w:sz="4" w:space="0"/>
              <w:left w:val="single" w:color="auto" w:sz="4" w:space="0"/>
              <w:bottom w:val="single" w:color="auto" w:sz="12" w:space="0"/>
              <w:right w:val="single" w:color="auto" w:sz="4" w:space="0"/>
            </w:tcBorders>
            <w:vAlign w:val="center"/>
          </w:tcPr>
          <w:p>
            <w:pPr>
              <w:widowControl/>
              <w:jc w:val="left"/>
              <w:rPr>
                <w:rFonts w:ascii="宋体" w:hAnsi="宋体"/>
                <w:sz w:val="18"/>
                <w:szCs w:val="18"/>
              </w:rPr>
            </w:pPr>
            <w:r>
              <w:rPr>
                <w:rFonts w:hint="eastAsia" w:ascii="宋体" w:hAnsi="宋体"/>
                <w:sz w:val="18"/>
                <w:szCs w:val="18"/>
              </w:rPr>
              <w:t>湿式电除尘</w:t>
            </w:r>
          </w:p>
        </w:tc>
        <w:tc>
          <w:tcPr>
            <w:tcW w:w="4054"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一次电压、</w:t>
            </w:r>
            <w:r>
              <w:rPr>
                <w:rFonts w:hint="eastAsia" w:ascii="宋体" w:hAnsi="宋体"/>
                <w:sz w:val="18"/>
                <w:szCs w:val="18"/>
              </w:rPr>
              <w:t>二次电压</w:t>
            </w:r>
          </w:p>
        </w:tc>
        <w:tc>
          <w:tcPr>
            <w:tcW w:w="2041" w:type="dxa"/>
            <w:tcBorders>
              <w:top w:val="single" w:color="auto" w:sz="4" w:space="0"/>
              <w:left w:val="single" w:color="auto" w:sz="4" w:space="0"/>
              <w:bottom w:val="single" w:color="auto" w:sz="4"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vMerge w:val="continue"/>
            <w:tcBorders>
              <w:top w:val="single" w:color="auto" w:sz="12" w:space="0"/>
              <w:left w:val="single" w:color="auto" w:sz="12"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1744" w:type="dxa"/>
            <w:vMerge w:val="continue"/>
            <w:tcBorders>
              <w:top w:val="single" w:color="auto" w:sz="4" w:space="0"/>
              <w:left w:val="single" w:color="auto" w:sz="4" w:space="0"/>
              <w:bottom w:val="single" w:color="auto" w:sz="12" w:space="0"/>
              <w:right w:val="single" w:color="auto" w:sz="4" w:space="0"/>
            </w:tcBorders>
            <w:vAlign w:val="center"/>
          </w:tcPr>
          <w:p>
            <w:pPr>
              <w:widowControl/>
              <w:adjustRightInd/>
              <w:spacing w:line="240" w:lineRule="auto"/>
              <w:jc w:val="left"/>
              <w:rPr>
                <w:rFonts w:ascii="宋体" w:hAnsi="宋体"/>
                <w:sz w:val="18"/>
                <w:szCs w:val="18"/>
              </w:rPr>
            </w:pPr>
          </w:p>
        </w:tc>
        <w:tc>
          <w:tcPr>
            <w:tcW w:w="4054" w:type="dxa"/>
            <w:gridSpan w:val="2"/>
            <w:tcBorders>
              <w:top w:val="single" w:color="auto" w:sz="4" w:space="0"/>
              <w:left w:val="single" w:color="auto" w:sz="4" w:space="0"/>
              <w:bottom w:val="single" w:color="auto" w:sz="12" w:space="0"/>
              <w:right w:val="single" w:color="auto" w:sz="4" w:space="0"/>
            </w:tcBorders>
          </w:tcPr>
          <w:p>
            <w:pPr>
              <w:widowControl/>
              <w:jc w:val="left"/>
              <w:rPr>
                <w:rFonts w:ascii="宋体" w:hAnsi="宋体"/>
                <w:sz w:val="18"/>
                <w:szCs w:val="18"/>
              </w:rPr>
            </w:pPr>
            <w:r>
              <w:rPr>
                <w:rFonts w:hint="eastAsia" w:ascii="宋体" w:hAnsi="宋体"/>
                <w:sz w:val="18"/>
                <w:szCs w:val="18"/>
              </w:rPr>
              <w:t>*</w:t>
            </w:r>
            <w:r>
              <w:rPr>
                <w:rFonts w:hint="eastAsia" w:ascii="宋体" w:hAnsi="宋体"/>
                <w:kern w:val="0"/>
                <w:sz w:val="18"/>
                <w:szCs w:val="18"/>
              </w:rPr>
              <w:t>一次电流、二次电流</w:t>
            </w:r>
          </w:p>
        </w:tc>
        <w:tc>
          <w:tcPr>
            <w:tcW w:w="2041" w:type="dxa"/>
            <w:tcBorders>
              <w:top w:val="single" w:color="auto" w:sz="4" w:space="0"/>
              <w:left w:val="single" w:color="auto" w:sz="4" w:space="0"/>
              <w:bottom w:val="single" w:color="auto" w:sz="12" w:space="0"/>
              <w:right w:val="single" w:color="auto" w:sz="12" w:space="0"/>
            </w:tcBorders>
            <w:vAlign w:val="center"/>
          </w:tcPr>
          <w:p>
            <w:pPr>
              <w:widowControl/>
              <w:jc w:val="left"/>
              <w:rPr>
                <w:rFonts w:ascii="宋体" w:hAnsi="宋体"/>
                <w:sz w:val="18"/>
                <w:szCs w:val="18"/>
              </w:rPr>
            </w:pPr>
            <w:r>
              <w:rPr>
                <w:rFonts w:hint="eastAsia" w:ascii="宋体" w:hAnsi="宋体"/>
                <w:sz w:val="18"/>
                <w:szCs w:val="18"/>
              </w:rPr>
              <w:t>额定值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9394" w:type="dxa"/>
            <w:gridSpan w:val="5"/>
            <w:tcBorders>
              <w:top w:val="single" w:color="auto" w:sz="12" w:space="0"/>
              <w:left w:val="single" w:color="auto" w:sz="12" w:space="0"/>
              <w:bottom w:val="single" w:color="auto" w:sz="12" w:space="0"/>
              <w:right w:val="single" w:color="auto" w:sz="12" w:space="0"/>
            </w:tcBorders>
            <w:vAlign w:val="center"/>
          </w:tcPr>
          <w:p>
            <w:pPr>
              <w:widowControl/>
              <w:ind w:firstLine="360" w:firstLineChars="200"/>
              <w:rPr>
                <w:rFonts w:ascii="宋体" w:hAnsi="宋体"/>
                <w:sz w:val="18"/>
                <w:szCs w:val="18"/>
              </w:rPr>
            </w:pPr>
            <w:r>
              <w:rPr>
                <w:rFonts w:hint="eastAsia" w:ascii="黑体" w:hAnsi="黑体" w:eastAsia="黑体"/>
                <w:sz w:val="18"/>
                <w:szCs w:val="18"/>
              </w:rPr>
              <w:t>注1：</w:t>
            </w:r>
            <w:r>
              <w:rPr>
                <w:rFonts w:hint="eastAsia" w:ascii="宋体" w:hAnsi="宋体"/>
                <w:sz w:val="18"/>
                <w:szCs w:val="18"/>
              </w:rPr>
              <w:t>治理单位根据自身烟气治理工艺选择相应参数</w:t>
            </w:r>
          </w:p>
          <w:p>
            <w:pPr>
              <w:widowControl/>
              <w:ind w:firstLine="360" w:firstLineChars="200"/>
              <w:rPr>
                <w:rFonts w:ascii="宋体" w:hAnsi="宋体"/>
                <w:sz w:val="18"/>
                <w:szCs w:val="18"/>
              </w:rPr>
            </w:pPr>
            <w:r>
              <w:rPr>
                <w:rFonts w:hint="eastAsia" w:ascii="黑体" w:hAnsi="黑体" w:eastAsia="黑体"/>
                <w:sz w:val="18"/>
                <w:szCs w:val="18"/>
              </w:rPr>
              <w:t>注2：*</w:t>
            </w:r>
            <w:r>
              <w:rPr>
                <w:rFonts w:hint="eastAsia" w:ascii="宋体" w:hAnsi="宋体"/>
                <w:sz w:val="18"/>
                <w:szCs w:val="18"/>
              </w:rPr>
              <w:t>项目为必选参数，其他项目为参考参数。</w:t>
            </w:r>
          </w:p>
        </w:tc>
      </w:tr>
    </w:tbl>
    <w:p>
      <w:pPr>
        <w:pStyle w:val="61"/>
        <w:ind w:firstLine="420"/>
      </w:pPr>
    </w:p>
    <w:p>
      <w:pPr>
        <w:widowControl/>
        <w:adjustRightInd/>
        <w:spacing w:line="240" w:lineRule="auto"/>
        <w:jc w:val="left"/>
        <w:rPr>
          <w:rFonts w:ascii="宋体" w:hAnsi="Times New Roman"/>
          <w:kern w:val="0"/>
          <w:szCs w:val="20"/>
        </w:rPr>
        <w:sectPr>
          <w:pgSz w:w="11906" w:h="16838"/>
          <w:pgMar w:top="2410" w:right="1134" w:bottom="1134" w:left="1134" w:header="1418" w:footer="1134" w:gutter="284"/>
          <w:cols w:space="720" w:num="1"/>
          <w:formProt w:val="0"/>
          <w:docGrid w:type="lines" w:linePitch="312" w:charSpace="0"/>
        </w:sectPr>
      </w:pPr>
    </w:p>
    <w:p>
      <w:pPr>
        <w:pStyle w:val="195"/>
        <w:rPr>
          <w:vanish w:val="0"/>
        </w:rPr>
      </w:pPr>
    </w:p>
    <w:p>
      <w:pPr>
        <w:pStyle w:val="196"/>
        <w:rPr>
          <w:vanish w:val="0"/>
        </w:rPr>
      </w:pPr>
    </w:p>
    <w:p>
      <w:pPr>
        <w:pStyle w:val="82"/>
        <w:spacing w:before="78" w:after="156"/>
      </w:pPr>
      <w:bookmarkStart w:id="56" w:name="_Toc92141767"/>
    </w:p>
    <w:p>
      <w:pPr>
        <w:pStyle w:val="82"/>
        <w:numPr>
          <w:ilvl w:val="0"/>
          <w:numId w:val="0"/>
        </w:numPr>
        <w:spacing w:before="78" w:after="156"/>
      </w:pPr>
      <w:r>
        <w:rPr>
          <w:rFonts w:hint="eastAsia"/>
        </w:rPr>
        <w:t>（规范性）</w:t>
      </w:r>
    </w:p>
    <w:p>
      <w:pPr>
        <w:pStyle w:val="82"/>
        <w:numPr>
          <w:ilvl w:val="0"/>
          <w:numId w:val="0"/>
        </w:numPr>
        <w:spacing w:before="78" w:after="156"/>
      </w:pPr>
      <w:r>
        <w:rPr>
          <w:rFonts w:hint="eastAsia"/>
        </w:rPr>
        <w:t>生活垃圾焚烧厂烟气排放过程（工况）监控系统数据传输规范</w:t>
      </w:r>
      <w:bookmarkEnd w:id="56"/>
    </w:p>
    <w:p>
      <w:pPr>
        <w:pStyle w:val="84"/>
        <w:spacing w:before="156" w:after="156"/>
        <w:rPr>
          <w:rFonts w:hAnsi="黑体" w:cs="宋体"/>
          <w:bCs/>
        </w:rPr>
      </w:pPr>
      <w:r>
        <w:rPr>
          <w:rFonts w:hint="eastAsia" w:hAnsi="黑体" w:cs="宋体"/>
          <w:bCs/>
        </w:rPr>
        <w:t>通信协议数据结构</w:t>
      </w:r>
    </w:p>
    <w:p>
      <w:pPr>
        <w:pStyle w:val="61"/>
        <w:ind w:firstLine="420"/>
      </w:pPr>
      <w:r>
        <w:rPr>
          <w:rFonts w:hint="eastAsia"/>
        </w:rPr>
        <w:t>按</w:t>
      </w:r>
      <w:r>
        <w:rPr>
          <w:rFonts w:ascii="Times New Roman"/>
        </w:rPr>
        <w:t>HJ 212</w:t>
      </w:r>
      <w:r>
        <w:rPr>
          <w:rFonts w:hint="eastAsia" w:ascii="Times New Roman"/>
        </w:rPr>
        <w:t>的</w:t>
      </w:r>
      <w:r>
        <w:rPr>
          <w:rFonts w:hint="eastAsia"/>
        </w:rPr>
        <w:t>要求，污水排放过程（工况）监控数据所有的通信包都是由</w:t>
      </w:r>
      <w:r>
        <w:rPr>
          <w:rFonts w:ascii="Times New Roman"/>
        </w:rPr>
        <w:t>ASCII</w:t>
      </w:r>
      <w:r>
        <w:rPr>
          <w:rFonts w:hint="eastAsia"/>
        </w:rPr>
        <w:t>码（汉字除外，采用</w:t>
      </w:r>
      <w:r>
        <w:rPr>
          <w:rFonts w:ascii="Times New Roman"/>
        </w:rPr>
        <w:t>UTF-8</w:t>
      </w:r>
      <w:r>
        <w:rPr>
          <w:rFonts w:hint="eastAsia"/>
        </w:rPr>
        <w:t>码，</w:t>
      </w:r>
      <w:r>
        <w:rPr>
          <w:rFonts w:ascii="Times New Roman"/>
        </w:rPr>
        <w:t>8</w:t>
      </w:r>
      <w:r>
        <w:rPr>
          <w:rFonts w:hint="eastAsia"/>
        </w:rPr>
        <w:t>位，</w:t>
      </w:r>
      <w:r>
        <w:rPr>
          <w:rFonts w:ascii="Times New Roman"/>
        </w:rPr>
        <w:t>1</w:t>
      </w:r>
      <w:r>
        <w:rPr>
          <w:rFonts w:hint="eastAsia"/>
        </w:rPr>
        <w:t>字节）字符组成。通信协议数据结构如附图</w:t>
      </w:r>
      <w:r>
        <w:rPr>
          <w:rFonts w:ascii="Times New Roman"/>
        </w:rPr>
        <w:t>B.1</w:t>
      </w:r>
      <w:r>
        <w:rPr>
          <w:rFonts w:hint="eastAsia"/>
        </w:rPr>
        <w:t>所示。</w:t>
      </w:r>
    </w:p>
    <w:p>
      <w:pPr>
        <w:pStyle w:val="61"/>
        <w:ind w:firstLine="0" w:firstLineChars="0"/>
      </w:pPr>
      <w:r>
        <w:rPr>
          <w:rFonts w:hint="eastAsia"/>
        </w:rPr>
        <w:drawing>
          <wp:inline distT="0" distB="0" distL="0" distR="0">
            <wp:extent cx="5793105" cy="2272665"/>
            <wp:effectExtent l="0" t="0" r="0" b="0"/>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793105" cy="2272665"/>
                    </a:xfrm>
                    <a:prstGeom prst="rect">
                      <a:avLst/>
                    </a:prstGeom>
                    <a:noFill/>
                  </pic:spPr>
                </pic:pic>
              </a:graphicData>
            </a:graphic>
          </wp:inline>
        </w:drawing>
      </w:r>
    </w:p>
    <w:p>
      <w:pPr>
        <w:pStyle w:val="89"/>
        <w:spacing w:before="156" w:after="156"/>
      </w:pPr>
      <w:r>
        <w:rPr>
          <w:rFonts w:hint="eastAsia" w:ascii="宋体" w:hAnsi="宋体" w:cs="宋体"/>
          <w:bCs/>
        </w:rPr>
        <w:t>通讯协议数据结构</w:t>
      </w:r>
    </w:p>
    <w:p>
      <w:pPr>
        <w:pStyle w:val="84"/>
        <w:spacing w:before="156" w:after="156"/>
        <w:rPr>
          <w:rFonts w:hAnsi="黑体" w:cs="宋体"/>
          <w:bCs/>
        </w:rPr>
      </w:pPr>
      <w:r>
        <w:rPr>
          <w:rFonts w:hint="eastAsia" w:hAnsi="黑体" w:cs="宋体"/>
          <w:bCs/>
        </w:rPr>
        <w:t>通信包结构组成</w:t>
      </w:r>
    </w:p>
    <w:p>
      <w:pPr>
        <w:pStyle w:val="61"/>
        <w:ind w:firstLine="420"/>
      </w:pPr>
      <w:r>
        <w:rPr>
          <w:rFonts w:hint="eastAsia"/>
        </w:rPr>
        <w:t>通信包结构组成见附表</w:t>
      </w:r>
      <w:r>
        <w:rPr>
          <w:rFonts w:ascii="Times New Roman"/>
        </w:rPr>
        <w:t>B.1</w:t>
      </w:r>
      <w:r>
        <w:rPr>
          <w:rFonts w:hint="eastAsia"/>
        </w:rPr>
        <w:t>。</w:t>
      </w:r>
    </w:p>
    <w:p>
      <w:pPr>
        <w:pStyle w:val="83"/>
        <w:spacing w:before="156" w:after="156"/>
      </w:pPr>
      <w:r>
        <w:rPr>
          <w:rFonts w:hint="eastAsia" w:hAnsi="黑体" w:cs="黑体"/>
          <w:bCs/>
        </w:rPr>
        <w:t>通信包结构组成表</w:t>
      </w:r>
    </w:p>
    <w:tbl>
      <w:tblPr>
        <w:tblStyle w:val="28"/>
        <w:tblW w:w="4998" w:type="pct"/>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383"/>
        <w:gridCol w:w="1699"/>
        <w:gridCol w:w="1699"/>
        <w:gridCol w:w="4785"/>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auto" w:sz="12" w:space="0"/>
              <w:left w:val="single" w:color="auto" w:sz="12"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名称</w:t>
            </w:r>
          </w:p>
        </w:tc>
        <w:tc>
          <w:tcPr>
            <w:tcW w:w="888" w:type="pct"/>
            <w:tcBorders>
              <w:top w:val="single" w:color="auto" w:sz="12" w:space="0"/>
              <w:left w:val="single" w:color="000000" w:sz="4"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类型</w:t>
            </w:r>
          </w:p>
        </w:tc>
        <w:tc>
          <w:tcPr>
            <w:tcW w:w="888" w:type="pct"/>
            <w:tcBorders>
              <w:top w:val="single" w:color="auto" w:sz="12" w:space="0"/>
              <w:left w:val="single" w:color="000000" w:sz="4"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长度</w:t>
            </w:r>
          </w:p>
        </w:tc>
        <w:tc>
          <w:tcPr>
            <w:tcW w:w="2501" w:type="pct"/>
            <w:tcBorders>
              <w:top w:val="single" w:color="auto" w:sz="12" w:space="0"/>
              <w:left w:val="single" w:color="000000" w:sz="4" w:space="0"/>
              <w:bottom w:val="single" w:color="auto" w:sz="12" w:space="0"/>
              <w:right w:val="single" w:color="auto" w:sz="12"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描述</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auto" w:sz="12" w:space="0"/>
              <w:left w:val="single" w:color="auto" w:sz="12"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包头</w:t>
            </w:r>
          </w:p>
        </w:tc>
        <w:tc>
          <w:tcPr>
            <w:tcW w:w="888" w:type="pct"/>
            <w:tcBorders>
              <w:top w:val="single" w:color="auto" w:sz="12"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888" w:type="pct"/>
            <w:tcBorders>
              <w:top w:val="single" w:color="auto" w:sz="12"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2</w:t>
            </w:r>
          </w:p>
        </w:tc>
        <w:tc>
          <w:tcPr>
            <w:tcW w:w="2501" w:type="pct"/>
            <w:tcBorders>
              <w:top w:val="single" w:color="auto" w:sz="12"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固定为</w:t>
            </w:r>
            <w:r>
              <w:rPr>
                <w:rFonts w:ascii="Times New Roman" w:hAnsi="Times New Roman"/>
                <w:bCs/>
                <w:color w:val="000000"/>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000000" w:sz="4" w:space="0"/>
              <w:left w:val="single" w:color="auto" w:sz="12"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数据段长度</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十进制整数</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4</w:t>
            </w:r>
          </w:p>
        </w:tc>
        <w:tc>
          <w:tcPr>
            <w:tcW w:w="2501"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数据段的</w:t>
            </w:r>
            <w:r>
              <w:rPr>
                <w:rFonts w:ascii="Times New Roman" w:hAnsi="Times New Roman"/>
                <w:bCs/>
                <w:color w:val="000000"/>
                <w:kern w:val="0"/>
                <w:sz w:val="18"/>
                <w:szCs w:val="18"/>
              </w:rPr>
              <w:t xml:space="preserve">ASCII </w:t>
            </w:r>
            <w:r>
              <w:rPr>
                <w:rFonts w:hint="eastAsia" w:ascii="Times New Roman" w:hAnsi="Times New Roman"/>
                <w:bCs/>
                <w:color w:val="000000"/>
                <w:kern w:val="0"/>
                <w:sz w:val="18"/>
                <w:szCs w:val="18"/>
              </w:rPr>
              <w:t>字符数，例如：长</w:t>
            </w:r>
            <w:r>
              <w:rPr>
                <w:rFonts w:ascii="Times New Roman" w:hAnsi="Times New Roman"/>
                <w:bCs/>
                <w:color w:val="000000"/>
                <w:kern w:val="0"/>
                <w:sz w:val="18"/>
                <w:szCs w:val="18"/>
              </w:rPr>
              <w:t>255</w:t>
            </w:r>
            <w:r>
              <w:rPr>
                <w:rFonts w:hint="eastAsia" w:ascii="Times New Roman" w:hAnsi="Times New Roman"/>
                <w:bCs/>
                <w:color w:val="000000"/>
                <w:kern w:val="0"/>
                <w:sz w:val="18"/>
                <w:szCs w:val="18"/>
              </w:rPr>
              <w:t>，则写为</w:t>
            </w:r>
            <w:r>
              <w:rPr>
                <w:rFonts w:ascii="Times New Roman" w:hAnsi="Times New Roman"/>
                <w:bCs/>
                <w:color w:val="000000"/>
                <w:kern w:val="0"/>
                <w:sz w:val="18"/>
                <w:szCs w:val="18"/>
              </w:rPr>
              <w:t>“0255”</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000000" w:sz="4" w:space="0"/>
              <w:left w:val="single" w:color="auto" w:sz="12"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数据段</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0</w:t>
            </w:r>
            <w:r>
              <w:rPr>
                <w:rFonts w:hint="eastAsia" w:ascii="Times New Roman" w:hAnsi="Times New Roman"/>
                <w:bCs/>
                <w:color w:val="000000"/>
                <w:kern w:val="0"/>
                <w:sz w:val="18"/>
                <w:szCs w:val="18"/>
              </w:rPr>
              <w:t>≤</w:t>
            </w:r>
            <w:r>
              <w:rPr>
                <w:rFonts w:ascii="Times New Roman" w:hAnsi="Times New Roman"/>
                <w:bCs/>
                <w:i/>
                <w:iCs/>
                <w:color w:val="000000"/>
                <w:kern w:val="0"/>
                <w:sz w:val="18"/>
                <w:szCs w:val="18"/>
              </w:rPr>
              <w:t>n</w:t>
            </w:r>
            <w:r>
              <w:rPr>
                <w:rFonts w:hint="eastAsia" w:ascii="Times New Roman" w:hAnsi="Times New Roman"/>
                <w:bCs/>
                <w:color w:val="000000"/>
                <w:kern w:val="0"/>
                <w:sz w:val="18"/>
                <w:szCs w:val="18"/>
              </w:rPr>
              <w:t>≤</w:t>
            </w:r>
            <w:r>
              <w:rPr>
                <w:rFonts w:ascii="Times New Roman" w:hAnsi="Times New Roman"/>
                <w:bCs/>
                <w:color w:val="000000"/>
                <w:kern w:val="0"/>
                <w:sz w:val="18"/>
                <w:szCs w:val="18"/>
              </w:rPr>
              <w:t>1024</w:t>
            </w:r>
          </w:p>
        </w:tc>
        <w:tc>
          <w:tcPr>
            <w:tcW w:w="2501"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变长的数据，详见表</w:t>
            </w:r>
            <w:r>
              <w:rPr>
                <w:rFonts w:ascii="Times New Roman" w:hAnsi="Times New Roman"/>
                <w:bCs/>
                <w:color w:val="000000"/>
                <w:kern w:val="0"/>
                <w:sz w:val="18"/>
                <w:szCs w:val="18"/>
              </w:rPr>
              <w:t>B.2</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CRC</w:t>
            </w:r>
            <w:r>
              <w:rPr>
                <w:rFonts w:hint="eastAsia" w:ascii="Times New Roman" w:hAnsi="Times New Roman"/>
                <w:bCs/>
                <w:color w:val="000000"/>
                <w:kern w:val="0"/>
                <w:sz w:val="18"/>
                <w:szCs w:val="18"/>
              </w:rPr>
              <w:t>校验</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十六进制整数</w:t>
            </w:r>
          </w:p>
        </w:tc>
        <w:tc>
          <w:tcPr>
            <w:tcW w:w="888" w:type="pct"/>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4</w:t>
            </w:r>
          </w:p>
        </w:tc>
        <w:tc>
          <w:tcPr>
            <w:tcW w:w="2501"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数据段的校验结果，</w:t>
            </w:r>
            <w:r>
              <w:rPr>
                <w:rFonts w:ascii="Times New Roman" w:hAnsi="Times New Roman"/>
                <w:bCs/>
                <w:color w:val="000000"/>
                <w:kern w:val="0"/>
                <w:sz w:val="18"/>
                <w:szCs w:val="18"/>
              </w:rPr>
              <w:t xml:space="preserve">CRC </w:t>
            </w:r>
            <w:r>
              <w:rPr>
                <w:rFonts w:hint="eastAsia" w:ascii="Times New Roman" w:hAnsi="Times New Roman"/>
                <w:bCs/>
                <w:color w:val="000000"/>
                <w:kern w:val="0"/>
                <w:sz w:val="18"/>
                <w:szCs w:val="18"/>
              </w:rPr>
              <w:t>校验算法见附录</w:t>
            </w:r>
            <w:r>
              <w:rPr>
                <w:rFonts w:ascii="Times New Roman" w:hAnsi="Times New Roman"/>
                <w:bCs/>
                <w:color w:val="000000"/>
                <w:kern w:val="0"/>
                <w:sz w:val="18"/>
                <w:szCs w:val="18"/>
              </w:rPr>
              <w:t>A</w:t>
            </w:r>
            <w:r>
              <w:rPr>
                <w:rFonts w:hint="eastAsia" w:ascii="Times New Roman" w:hAnsi="Times New Roman"/>
                <w:bCs/>
                <w:color w:val="000000"/>
                <w:kern w:val="0"/>
                <w:sz w:val="18"/>
                <w:szCs w:val="18"/>
              </w:rPr>
              <w:t>。接收到一条命令，如果</w:t>
            </w:r>
            <w:r>
              <w:rPr>
                <w:rFonts w:ascii="Times New Roman" w:hAnsi="Times New Roman"/>
                <w:bCs/>
                <w:color w:val="000000"/>
                <w:kern w:val="0"/>
                <w:sz w:val="18"/>
                <w:szCs w:val="18"/>
              </w:rPr>
              <w:t xml:space="preserve">CRC </w:t>
            </w:r>
            <w:r>
              <w:rPr>
                <w:rFonts w:hint="eastAsia" w:ascii="Times New Roman" w:hAnsi="Times New Roman"/>
                <w:bCs/>
                <w:color w:val="000000"/>
                <w:kern w:val="0"/>
                <w:sz w:val="18"/>
                <w:szCs w:val="18"/>
              </w:rPr>
              <w:t>错误，执行结束</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723" w:type="pct"/>
            <w:tcBorders>
              <w:top w:val="single" w:color="000000" w:sz="4" w:space="0"/>
              <w:left w:val="single" w:color="auto" w:sz="12" w:space="0"/>
              <w:bottom w:val="single" w:color="auto" w:sz="12"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包尾</w:t>
            </w:r>
          </w:p>
        </w:tc>
        <w:tc>
          <w:tcPr>
            <w:tcW w:w="888" w:type="pct"/>
            <w:tcBorders>
              <w:top w:val="single" w:color="000000" w:sz="4" w:space="0"/>
              <w:left w:val="single" w:color="000000" w:sz="4" w:space="0"/>
              <w:bottom w:val="single" w:color="auto" w:sz="12"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888" w:type="pct"/>
            <w:tcBorders>
              <w:top w:val="single" w:color="000000" w:sz="4" w:space="0"/>
              <w:left w:val="single" w:color="000000" w:sz="4" w:space="0"/>
              <w:bottom w:val="single" w:color="auto" w:sz="12"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2</w:t>
            </w:r>
          </w:p>
        </w:tc>
        <w:tc>
          <w:tcPr>
            <w:tcW w:w="2501" w:type="pct"/>
            <w:tcBorders>
              <w:top w:val="single" w:color="000000" w:sz="4" w:space="0"/>
              <w:left w:val="single" w:color="000000" w:sz="4" w:space="0"/>
              <w:bottom w:val="single" w:color="auto" w:sz="12"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固定为</w:t>
            </w:r>
            <w:r>
              <w:rPr>
                <w:rFonts w:ascii="Times New Roman" w:hAnsi="Times New Roman"/>
                <w:bCs/>
                <w:color w:val="000000"/>
                <w:kern w:val="0"/>
                <w:sz w:val="18"/>
                <w:szCs w:val="18"/>
              </w:rPr>
              <w:t>&lt;CR&gt;&lt;LF&gt;</w:t>
            </w:r>
            <w:r>
              <w:rPr>
                <w:rFonts w:hint="eastAsia" w:ascii="Times New Roman" w:hAnsi="Times New Roman"/>
                <w:bCs/>
                <w:color w:val="000000"/>
                <w:kern w:val="0"/>
                <w:sz w:val="18"/>
                <w:szCs w:val="18"/>
              </w:rPr>
              <w:t>（回车、换行）</w:t>
            </w:r>
          </w:p>
        </w:tc>
      </w:tr>
    </w:tbl>
    <w:p>
      <w:pPr>
        <w:pStyle w:val="84"/>
        <w:spacing w:before="156" w:after="156"/>
        <w:rPr>
          <w:rFonts w:hAnsi="黑体" w:cs="宋体"/>
          <w:bCs/>
        </w:rPr>
      </w:pPr>
      <w:r>
        <w:rPr>
          <w:rFonts w:hint="eastAsia" w:hAnsi="黑体" w:cs="宋体"/>
          <w:bCs/>
        </w:rPr>
        <w:t>数据段结构组成</w:t>
      </w:r>
    </w:p>
    <w:p>
      <w:pPr>
        <w:pStyle w:val="61"/>
        <w:ind w:firstLine="420"/>
      </w:pPr>
      <w:r>
        <w:rPr>
          <w:rFonts w:hint="eastAsia"/>
        </w:rPr>
        <w:t>数据段结构组成见表</w:t>
      </w:r>
      <w:r>
        <w:rPr>
          <w:rFonts w:ascii="Times New Roman"/>
        </w:rPr>
        <w:t>B.2</w:t>
      </w:r>
      <w:r>
        <w:rPr>
          <w:rFonts w:hint="eastAsia"/>
        </w:rPr>
        <w:t>，其中“长度”包含字段名称、‘=’、字段内容三部分。</w:t>
      </w:r>
    </w:p>
    <w:p>
      <w:pPr>
        <w:pStyle w:val="61"/>
        <w:ind w:firstLine="420"/>
      </w:pPr>
    </w:p>
    <w:p>
      <w:pPr>
        <w:pStyle w:val="61"/>
        <w:ind w:firstLine="420"/>
      </w:pPr>
    </w:p>
    <w:p>
      <w:pPr>
        <w:pStyle w:val="61"/>
        <w:ind w:firstLine="420"/>
      </w:pPr>
    </w:p>
    <w:p>
      <w:pPr>
        <w:pStyle w:val="83"/>
        <w:spacing w:before="156" w:after="156"/>
        <w:rPr>
          <w:rFonts w:hAnsi="黑体" w:cs="黑体"/>
          <w:bCs/>
        </w:rPr>
      </w:pPr>
      <w:r>
        <w:rPr>
          <w:rFonts w:hint="eastAsia" w:hAnsi="黑体" w:cs="黑体"/>
          <w:bCs/>
        </w:rPr>
        <w:t>数据段结构组成表</w:t>
      </w:r>
    </w:p>
    <w:tbl>
      <w:tblPr>
        <w:tblStyle w:val="28"/>
        <w:tblW w:w="4998" w:type="pct"/>
        <w:tblInd w:w="0"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1882"/>
        <w:gridCol w:w="1068"/>
        <w:gridCol w:w="1190"/>
        <w:gridCol w:w="5426"/>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tblHeader/>
        </w:trPr>
        <w:tc>
          <w:tcPr>
            <w:tcW w:w="984" w:type="pct"/>
            <w:tcBorders>
              <w:top w:val="single" w:color="auto" w:sz="12" w:space="0"/>
              <w:left w:val="single" w:color="auto" w:sz="12"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名称</w:t>
            </w:r>
          </w:p>
        </w:tc>
        <w:tc>
          <w:tcPr>
            <w:tcW w:w="558" w:type="pct"/>
            <w:tcBorders>
              <w:top w:val="single" w:color="auto" w:sz="12" w:space="0"/>
              <w:left w:val="single" w:color="000000" w:sz="4"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类型</w:t>
            </w:r>
          </w:p>
        </w:tc>
        <w:tc>
          <w:tcPr>
            <w:tcW w:w="622" w:type="pct"/>
            <w:tcBorders>
              <w:top w:val="single" w:color="auto" w:sz="12" w:space="0"/>
              <w:left w:val="single" w:color="000000" w:sz="4" w:space="0"/>
              <w:bottom w:val="single" w:color="auto" w:sz="12"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长度</w:t>
            </w:r>
          </w:p>
        </w:tc>
        <w:tc>
          <w:tcPr>
            <w:tcW w:w="2837" w:type="pct"/>
            <w:tcBorders>
              <w:top w:val="single" w:color="auto" w:sz="12" w:space="0"/>
              <w:left w:val="single" w:color="000000" w:sz="4" w:space="0"/>
              <w:bottom w:val="single" w:color="auto" w:sz="12" w:space="0"/>
              <w:right w:val="single" w:color="auto" w:sz="12"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描述</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auto" w:sz="12"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请求编码</w:t>
            </w:r>
            <w:r>
              <w:rPr>
                <w:rFonts w:ascii="Times New Roman" w:hAnsi="Times New Roman"/>
                <w:bCs/>
                <w:color w:val="000000"/>
                <w:kern w:val="0"/>
                <w:sz w:val="18"/>
                <w:szCs w:val="18"/>
              </w:rPr>
              <w:t>QN</w:t>
            </w:r>
          </w:p>
        </w:tc>
        <w:tc>
          <w:tcPr>
            <w:tcW w:w="558" w:type="pct"/>
            <w:tcBorders>
              <w:top w:val="single" w:color="auto" w:sz="12"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auto" w:sz="12"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20</w:t>
            </w:r>
          </w:p>
        </w:tc>
        <w:tc>
          <w:tcPr>
            <w:tcW w:w="2837" w:type="pct"/>
            <w:tcBorders>
              <w:top w:val="single" w:color="auto" w:sz="12"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精确到毫秒的时间戳</w:t>
            </w:r>
            <w:r>
              <w:rPr>
                <w:rFonts w:ascii="Times New Roman" w:hAnsi="Times New Roman"/>
                <w:bCs/>
                <w:color w:val="000000"/>
                <w:kern w:val="0"/>
                <w:sz w:val="18"/>
                <w:szCs w:val="18"/>
              </w:rPr>
              <w:t>:QN=YYYYMMDDhhmmsszzz</w:t>
            </w:r>
            <w:r>
              <w:rPr>
                <w:rFonts w:hint="eastAsia" w:ascii="Times New Roman" w:hAnsi="Times New Roman"/>
                <w:bCs/>
                <w:color w:val="000000"/>
                <w:kern w:val="0"/>
                <w:sz w:val="18"/>
                <w:szCs w:val="18"/>
              </w:rPr>
              <w:t>，用来唯一标识一次命令交互</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系统编码</w:t>
            </w:r>
            <w:r>
              <w:rPr>
                <w:rFonts w:ascii="Times New Roman" w:hAnsi="Times New Roman"/>
                <w:bCs/>
                <w:color w:val="000000"/>
                <w:kern w:val="0"/>
                <w:sz w:val="18"/>
                <w:szCs w:val="18"/>
              </w:rPr>
              <w:t>ST</w:t>
            </w: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5</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ST=</w:t>
            </w:r>
            <w:r>
              <w:rPr>
                <w:rFonts w:hint="eastAsia" w:ascii="Times New Roman" w:hAnsi="Times New Roman"/>
                <w:bCs/>
                <w:color w:val="000000"/>
                <w:kern w:val="0"/>
                <w:sz w:val="18"/>
                <w:szCs w:val="18"/>
              </w:rPr>
              <w:t>系统编码，系统编码取值参考</w:t>
            </w:r>
            <w:r>
              <w:rPr>
                <w:rFonts w:ascii="Times New Roman" w:hAnsi="Times New Roman"/>
                <w:bCs/>
                <w:color w:val="000000"/>
                <w:kern w:val="0"/>
                <w:sz w:val="18"/>
                <w:szCs w:val="18"/>
              </w:rPr>
              <w:t>HJ 212-2017</w:t>
            </w:r>
            <w:r>
              <w:rPr>
                <w:rFonts w:hint="eastAsia" w:ascii="Times New Roman" w:hAnsi="Times New Roman"/>
                <w:bCs/>
                <w:color w:val="000000"/>
                <w:kern w:val="0"/>
                <w:sz w:val="18"/>
                <w:szCs w:val="18"/>
              </w:rPr>
              <w:t>中表</w:t>
            </w:r>
            <w:r>
              <w:rPr>
                <w:rFonts w:ascii="Times New Roman" w:hAnsi="Times New Roman"/>
                <w:bCs/>
                <w:color w:val="000000"/>
                <w:kern w:val="0"/>
                <w:sz w:val="18"/>
                <w:szCs w:val="18"/>
              </w:rPr>
              <w:t>5</w:t>
            </w:r>
            <w:r>
              <w:rPr>
                <w:rFonts w:hint="eastAsia" w:ascii="Times New Roman" w:hAnsi="Times New Roman"/>
                <w:bCs/>
                <w:color w:val="000000"/>
                <w:kern w:val="0"/>
                <w:sz w:val="18"/>
                <w:szCs w:val="18"/>
              </w:rPr>
              <w:t>，本系统</w:t>
            </w:r>
            <w:r>
              <w:rPr>
                <w:rFonts w:ascii="Times New Roman" w:hAnsi="Times New Roman"/>
                <w:bCs/>
                <w:color w:val="000000"/>
                <w:kern w:val="0"/>
                <w:sz w:val="18"/>
                <w:szCs w:val="18"/>
              </w:rPr>
              <w:t>ST=52</w:t>
            </w:r>
            <w:r>
              <w:rPr>
                <w:rFonts w:hint="eastAsia" w:ascii="Times New Roman" w:hAnsi="Times New Roman"/>
                <w:bCs/>
                <w:color w:val="000000"/>
                <w:kern w:val="0"/>
                <w:sz w:val="18"/>
                <w:szCs w:val="18"/>
              </w:rPr>
              <w:t>“污水排放过程监控”</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命令编码</w:t>
            </w:r>
            <w:r>
              <w:rPr>
                <w:rFonts w:ascii="Times New Roman" w:hAnsi="Times New Roman"/>
                <w:bCs/>
                <w:color w:val="000000"/>
                <w:kern w:val="0"/>
                <w:sz w:val="18"/>
                <w:szCs w:val="18"/>
              </w:rPr>
              <w:t>CN</w:t>
            </w: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7</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CN=</w:t>
            </w:r>
            <w:r>
              <w:rPr>
                <w:rFonts w:hint="eastAsia" w:ascii="Times New Roman" w:hAnsi="Times New Roman"/>
                <w:bCs/>
                <w:color w:val="000000"/>
                <w:kern w:val="0"/>
                <w:sz w:val="18"/>
                <w:szCs w:val="18"/>
              </w:rPr>
              <w:t>命令编码</w:t>
            </w:r>
            <w:r>
              <w:rPr>
                <w:rFonts w:ascii="Times New Roman" w:hAnsi="Times New Roman"/>
                <w:bCs/>
                <w:color w:val="000000"/>
                <w:kern w:val="0"/>
                <w:sz w:val="18"/>
                <w:szCs w:val="18"/>
              </w:rPr>
              <w:t xml:space="preserve">, </w:t>
            </w:r>
            <w:r>
              <w:rPr>
                <w:rFonts w:hint="eastAsia" w:ascii="Times New Roman" w:hAnsi="Times New Roman"/>
                <w:bCs/>
                <w:color w:val="000000"/>
                <w:kern w:val="0"/>
                <w:sz w:val="18"/>
                <w:szCs w:val="18"/>
              </w:rPr>
              <w:t>命令编码取值详见</w:t>
            </w:r>
            <w:r>
              <w:rPr>
                <w:rFonts w:ascii="Times New Roman" w:hAnsi="Times New Roman"/>
                <w:bCs/>
                <w:color w:val="000000"/>
                <w:kern w:val="0"/>
                <w:sz w:val="18"/>
                <w:szCs w:val="18"/>
              </w:rPr>
              <w:t>HJ 212-2017</w:t>
            </w:r>
            <w:r>
              <w:rPr>
                <w:rFonts w:hint="eastAsia" w:ascii="Times New Roman" w:hAnsi="Times New Roman"/>
                <w:bCs/>
                <w:color w:val="000000"/>
                <w:kern w:val="0"/>
                <w:sz w:val="18"/>
                <w:szCs w:val="18"/>
              </w:rPr>
              <w:t>中表</w:t>
            </w:r>
            <w:r>
              <w:rPr>
                <w:rFonts w:ascii="Times New Roman" w:hAnsi="Times New Roman"/>
                <w:bCs/>
                <w:color w:val="000000"/>
                <w:kern w:val="0"/>
                <w:sz w:val="18"/>
                <w:szCs w:val="18"/>
              </w:rPr>
              <w:t>9</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宋体" w:hAnsi="宋体" w:cs="宋体"/>
                <w:bCs/>
                <w:color w:val="000000"/>
                <w:kern w:val="0"/>
                <w:sz w:val="18"/>
                <w:szCs w:val="18"/>
              </w:rPr>
            </w:pPr>
            <w:r>
              <w:rPr>
                <w:rFonts w:hint="eastAsia" w:ascii="宋体" w:hAnsi="宋体" w:cs="宋体"/>
                <w:bCs/>
                <w:color w:val="000000"/>
                <w:kern w:val="0"/>
                <w:sz w:val="18"/>
                <w:szCs w:val="18"/>
              </w:rPr>
              <w:t>访问密码</w:t>
            </w:r>
          </w:p>
        </w:tc>
        <w:tc>
          <w:tcPr>
            <w:tcW w:w="558"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Cs/>
                <w:color w:val="000000"/>
                <w:kern w:val="0"/>
                <w:sz w:val="18"/>
                <w:szCs w:val="18"/>
              </w:rPr>
            </w:pPr>
            <w:r>
              <w:rPr>
                <w:rFonts w:hint="eastAsia" w:ascii="宋体" w:hAnsi="宋体" w:cs="宋体"/>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9</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宋体" w:hAnsi="宋体" w:cs="宋体"/>
                <w:bCs/>
                <w:color w:val="000000"/>
                <w:kern w:val="0"/>
                <w:sz w:val="18"/>
                <w:szCs w:val="18"/>
              </w:rPr>
            </w:pPr>
            <w:r>
              <w:rPr>
                <w:rFonts w:ascii="Times New Roman" w:hAnsi="Times New Roman"/>
                <w:bCs/>
                <w:color w:val="000000"/>
                <w:kern w:val="0"/>
                <w:sz w:val="18"/>
                <w:szCs w:val="18"/>
              </w:rPr>
              <w:t>PW=</w:t>
            </w:r>
            <w:r>
              <w:rPr>
                <w:rFonts w:hint="eastAsia" w:ascii="宋体" w:hAnsi="宋体" w:cs="宋体"/>
                <w:bCs/>
                <w:color w:val="000000"/>
                <w:kern w:val="0"/>
                <w:sz w:val="18"/>
                <w:szCs w:val="18"/>
              </w:rPr>
              <w:t>访问密码</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设备唯一标识</w:t>
            </w:r>
            <w:r>
              <w:rPr>
                <w:rFonts w:ascii="Times New Roman" w:hAnsi="Times New Roman"/>
                <w:bCs/>
                <w:color w:val="000000"/>
                <w:kern w:val="0"/>
                <w:sz w:val="18"/>
                <w:szCs w:val="18"/>
              </w:rPr>
              <w:t>MN</w:t>
            </w: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27</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MN=</w:t>
            </w:r>
            <w:r>
              <w:rPr>
                <w:rFonts w:hint="eastAsia" w:ascii="Times New Roman" w:hAnsi="Times New Roman"/>
                <w:bCs/>
                <w:color w:val="000000"/>
                <w:kern w:val="0"/>
                <w:sz w:val="18"/>
                <w:szCs w:val="18"/>
              </w:rPr>
              <w:t>设备唯一标识，这个标识固化在设备中，用于唯一标识一个设备。</w:t>
            </w:r>
          </w:p>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 xml:space="preserve">MN </w:t>
            </w:r>
            <w:r>
              <w:rPr>
                <w:rFonts w:hint="eastAsia" w:ascii="Times New Roman" w:hAnsi="Times New Roman"/>
                <w:bCs/>
                <w:color w:val="000000"/>
                <w:kern w:val="0"/>
                <w:sz w:val="18"/>
                <w:szCs w:val="18"/>
              </w:rPr>
              <w:t>由</w:t>
            </w:r>
            <w:r>
              <w:rPr>
                <w:rFonts w:ascii="Times New Roman" w:hAnsi="Times New Roman"/>
                <w:bCs/>
                <w:color w:val="000000"/>
                <w:kern w:val="0"/>
                <w:sz w:val="18"/>
                <w:szCs w:val="18"/>
              </w:rPr>
              <w:t xml:space="preserve">EPC-96 </w:t>
            </w:r>
            <w:r>
              <w:rPr>
                <w:rFonts w:hint="eastAsia" w:ascii="Times New Roman" w:hAnsi="Times New Roman"/>
                <w:bCs/>
                <w:color w:val="000000"/>
                <w:kern w:val="0"/>
                <w:sz w:val="18"/>
                <w:szCs w:val="18"/>
              </w:rPr>
              <w:t>编码转化的字符串组成，即</w:t>
            </w:r>
            <w:r>
              <w:rPr>
                <w:rFonts w:ascii="Times New Roman" w:hAnsi="Times New Roman"/>
                <w:bCs/>
                <w:color w:val="000000"/>
                <w:kern w:val="0"/>
                <w:sz w:val="18"/>
                <w:szCs w:val="18"/>
              </w:rPr>
              <w:t xml:space="preserve">MN </w:t>
            </w:r>
            <w:r>
              <w:rPr>
                <w:rFonts w:hint="eastAsia" w:ascii="Times New Roman" w:hAnsi="Times New Roman"/>
                <w:bCs/>
                <w:color w:val="000000"/>
                <w:kern w:val="0"/>
                <w:sz w:val="18"/>
                <w:szCs w:val="18"/>
              </w:rPr>
              <w:t>由</w:t>
            </w:r>
            <w:r>
              <w:rPr>
                <w:rFonts w:ascii="Times New Roman" w:hAnsi="Times New Roman"/>
                <w:bCs/>
                <w:color w:val="000000"/>
                <w:kern w:val="0"/>
                <w:sz w:val="18"/>
                <w:szCs w:val="18"/>
              </w:rPr>
              <w:t xml:space="preserve">24 </w:t>
            </w:r>
            <w:r>
              <w:rPr>
                <w:rFonts w:hint="eastAsia" w:ascii="Times New Roman" w:hAnsi="Times New Roman"/>
                <w:bCs/>
                <w:color w:val="000000"/>
                <w:kern w:val="0"/>
                <w:sz w:val="18"/>
                <w:szCs w:val="18"/>
              </w:rPr>
              <w:t>个</w:t>
            </w:r>
            <w:r>
              <w:rPr>
                <w:rFonts w:ascii="Times New Roman" w:hAnsi="Times New Roman"/>
                <w:bCs/>
                <w:color w:val="000000"/>
                <w:kern w:val="0"/>
                <w:sz w:val="18"/>
                <w:szCs w:val="18"/>
              </w:rPr>
              <w:t>0~9</w:t>
            </w:r>
            <w:r>
              <w:rPr>
                <w:rFonts w:hint="eastAsia" w:ascii="Times New Roman" w:hAnsi="Times New Roman"/>
                <w:bCs/>
                <w:color w:val="000000"/>
                <w:kern w:val="0"/>
                <w:sz w:val="18"/>
                <w:szCs w:val="18"/>
              </w:rPr>
              <w:t>，</w:t>
            </w:r>
            <w:r>
              <w:rPr>
                <w:rFonts w:ascii="Times New Roman" w:hAnsi="Times New Roman"/>
                <w:bCs/>
                <w:color w:val="000000"/>
                <w:kern w:val="0"/>
                <w:sz w:val="18"/>
                <w:szCs w:val="18"/>
              </w:rPr>
              <w:t xml:space="preserve">A~F </w:t>
            </w:r>
            <w:r>
              <w:rPr>
                <w:rFonts w:hint="eastAsia" w:ascii="Times New Roman" w:hAnsi="Times New Roman"/>
                <w:bCs/>
                <w:color w:val="000000"/>
                <w:kern w:val="0"/>
                <w:sz w:val="18"/>
                <w:szCs w:val="18"/>
              </w:rPr>
              <w:t>的字符组成</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拆分包及应答标志</w:t>
            </w:r>
          </w:p>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Flag</w:t>
            </w:r>
          </w:p>
          <w:p>
            <w:pPr>
              <w:widowControl/>
              <w:jc w:val="left"/>
              <w:rPr>
                <w:rFonts w:ascii="Times New Roman" w:hAnsi="Times New Roman"/>
                <w:bCs/>
                <w:color w:val="000000"/>
                <w:kern w:val="0"/>
                <w:sz w:val="18"/>
                <w:szCs w:val="18"/>
              </w:rPr>
            </w:pP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整数（</w:t>
            </w:r>
            <w:r>
              <w:rPr>
                <w:rFonts w:ascii="Times New Roman" w:hAnsi="Times New Roman"/>
                <w:bCs/>
                <w:color w:val="000000"/>
                <w:kern w:val="0"/>
                <w:sz w:val="18"/>
                <w:szCs w:val="18"/>
              </w:rPr>
              <w:t>0-255</w:t>
            </w:r>
            <w:r>
              <w:rPr>
                <w:rFonts w:hint="eastAsia" w:ascii="Times New Roman" w:hAnsi="Times New Roman"/>
                <w:bCs/>
                <w:color w:val="000000"/>
                <w:kern w:val="0"/>
                <w:sz w:val="18"/>
                <w:szCs w:val="18"/>
              </w:rPr>
              <w:t>）</w:t>
            </w:r>
          </w:p>
          <w:p>
            <w:pPr>
              <w:widowControl/>
              <w:jc w:val="center"/>
              <w:rPr>
                <w:rFonts w:ascii="Times New Roman" w:hAnsi="Times New Roman"/>
                <w:bCs/>
                <w:color w:val="000000"/>
                <w:kern w:val="0"/>
                <w:sz w:val="18"/>
                <w:szCs w:val="18"/>
              </w:rPr>
            </w:pPr>
          </w:p>
          <w:p>
            <w:pPr>
              <w:widowControl/>
              <w:jc w:val="center"/>
              <w:rPr>
                <w:rFonts w:ascii="Times New Roman" w:hAnsi="Times New Roman"/>
                <w:bCs/>
                <w:color w:val="000000"/>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8</w:t>
            </w:r>
          </w:p>
          <w:p>
            <w:pPr>
              <w:widowControl/>
              <w:jc w:val="center"/>
              <w:rPr>
                <w:rFonts w:ascii="Times New Roman" w:hAnsi="Times New Roman"/>
                <w:bCs/>
                <w:color w:val="000000"/>
                <w:kern w:val="0"/>
                <w:sz w:val="18"/>
                <w:szCs w:val="18"/>
              </w:rPr>
            </w:pP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Flag=</w:t>
            </w:r>
            <w:r>
              <w:rPr>
                <w:rFonts w:hint="eastAsia" w:ascii="Times New Roman" w:hAnsi="Times New Roman"/>
                <w:bCs/>
                <w:color w:val="000000"/>
                <w:kern w:val="0"/>
                <w:sz w:val="18"/>
                <w:szCs w:val="18"/>
              </w:rPr>
              <w:t>标志位，这个标志位包含标准版本号、是否拆分包、数据是否应答。</w:t>
            </w:r>
          </w:p>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V5~V0</w:t>
            </w:r>
            <w:r>
              <w:rPr>
                <w:rFonts w:hint="eastAsia" w:ascii="Times New Roman" w:hAnsi="Times New Roman"/>
                <w:bCs/>
                <w:color w:val="000000"/>
                <w:kern w:val="0"/>
                <w:sz w:val="18"/>
                <w:szCs w:val="18"/>
              </w:rPr>
              <w:t>：标准版本号；</w:t>
            </w:r>
            <w:r>
              <w:rPr>
                <w:rFonts w:ascii="Times New Roman" w:hAnsi="Times New Roman"/>
                <w:bCs/>
                <w:color w:val="000000"/>
                <w:kern w:val="0"/>
                <w:sz w:val="18"/>
                <w:szCs w:val="18"/>
              </w:rPr>
              <w:t>Bit</w:t>
            </w:r>
            <w:r>
              <w:rPr>
                <w:rFonts w:hint="eastAsia" w:ascii="Times New Roman" w:hAnsi="Times New Roman"/>
                <w:bCs/>
                <w:color w:val="000000"/>
                <w:kern w:val="0"/>
                <w:sz w:val="18"/>
                <w:szCs w:val="18"/>
              </w:rPr>
              <w:t>：</w:t>
            </w:r>
            <w:r>
              <w:rPr>
                <w:rFonts w:ascii="Times New Roman" w:hAnsi="Times New Roman"/>
                <w:bCs/>
                <w:color w:val="000000"/>
                <w:kern w:val="0"/>
                <w:sz w:val="18"/>
                <w:szCs w:val="18"/>
              </w:rPr>
              <w:t xml:space="preserve">000000 </w:t>
            </w:r>
            <w:r>
              <w:rPr>
                <w:rFonts w:hint="eastAsia" w:ascii="Times New Roman" w:hAnsi="Times New Roman"/>
                <w:bCs/>
                <w:color w:val="000000"/>
                <w:kern w:val="0"/>
                <w:sz w:val="18"/>
                <w:szCs w:val="18"/>
              </w:rPr>
              <w:t>表示标准</w:t>
            </w:r>
            <w:r>
              <w:rPr>
                <w:rFonts w:ascii="Times New Roman" w:hAnsi="Times New Roman"/>
                <w:bCs/>
                <w:color w:val="000000"/>
                <w:kern w:val="0"/>
                <w:sz w:val="18"/>
                <w:szCs w:val="18"/>
              </w:rPr>
              <w:t>HJ/T 212-2005</w:t>
            </w:r>
            <w:r>
              <w:rPr>
                <w:rFonts w:hint="eastAsia" w:ascii="Times New Roman" w:hAnsi="Times New Roman"/>
                <w:bCs/>
                <w:color w:val="000000"/>
                <w:kern w:val="0"/>
                <w:sz w:val="18"/>
                <w:szCs w:val="18"/>
              </w:rPr>
              <w:t>，</w:t>
            </w:r>
            <w:r>
              <w:rPr>
                <w:rFonts w:ascii="Times New Roman" w:hAnsi="Times New Roman"/>
                <w:bCs/>
                <w:color w:val="000000"/>
                <w:kern w:val="0"/>
                <w:sz w:val="18"/>
                <w:szCs w:val="18"/>
              </w:rPr>
              <w:t xml:space="preserve">000001 </w:t>
            </w:r>
            <w:r>
              <w:rPr>
                <w:rFonts w:hint="eastAsia" w:ascii="Times New Roman" w:hAnsi="Times New Roman"/>
                <w:bCs/>
                <w:color w:val="000000"/>
                <w:kern w:val="0"/>
                <w:sz w:val="18"/>
                <w:szCs w:val="18"/>
              </w:rPr>
              <w:t>表示标准</w:t>
            </w:r>
            <w:r>
              <w:rPr>
                <w:rFonts w:ascii="Times New Roman" w:hAnsi="Times New Roman"/>
                <w:bCs/>
                <w:color w:val="000000"/>
                <w:kern w:val="0"/>
                <w:sz w:val="18"/>
                <w:szCs w:val="18"/>
              </w:rPr>
              <w:t>HJ 212-2017</w:t>
            </w:r>
            <w:r>
              <w:rPr>
                <w:rFonts w:hint="eastAsia" w:ascii="Times New Roman" w:hAnsi="Times New Roman"/>
                <w:bCs/>
                <w:color w:val="000000"/>
                <w:kern w:val="0"/>
                <w:sz w:val="18"/>
                <w:szCs w:val="18"/>
              </w:rPr>
              <w:t>。</w:t>
            </w:r>
          </w:p>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A</w:t>
            </w:r>
            <w:r>
              <w:rPr>
                <w:rFonts w:hint="eastAsia" w:ascii="Times New Roman" w:hAnsi="Times New Roman"/>
                <w:bCs/>
                <w:color w:val="000000"/>
                <w:kern w:val="0"/>
                <w:sz w:val="18"/>
                <w:szCs w:val="18"/>
              </w:rPr>
              <w:t>：命令是否应答；</w:t>
            </w:r>
            <w:r>
              <w:rPr>
                <w:rFonts w:ascii="Times New Roman" w:hAnsi="Times New Roman"/>
                <w:bCs/>
                <w:color w:val="000000"/>
                <w:kern w:val="0"/>
                <w:sz w:val="18"/>
                <w:szCs w:val="18"/>
              </w:rPr>
              <w:t>Bit</w:t>
            </w:r>
            <w:r>
              <w:rPr>
                <w:rFonts w:hint="eastAsia" w:ascii="Times New Roman" w:hAnsi="Times New Roman"/>
                <w:bCs/>
                <w:color w:val="000000"/>
                <w:kern w:val="0"/>
                <w:sz w:val="18"/>
                <w:szCs w:val="18"/>
              </w:rPr>
              <w:t>：</w:t>
            </w:r>
            <w:r>
              <w:rPr>
                <w:rFonts w:ascii="Times New Roman" w:hAnsi="Times New Roman"/>
                <w:bCs/>
                <w:color w:val="000000"/>
                <w:kern w:val="0"/>
                <w:sz w:val="18"/>
                <w:szCs w:val="18"/>
              </w:rPr>
              <w:t>1-</w:t>
            </w:r>
            <w:r>
              <w:rPr>
                <w:rFonts w:hint="eastAsia" w:ascii="Times New Roman" w:hAnsi="Times New Roman"/>
                <w:bCs/>
                <w:color w:val="000000"/>
                <w:kern w:val="0"/>
                <w:sz w:val="18"/>
                <w:szCs w:val="18"/>
              </w:rPr>
              <w:t>应答，</w:t>
            </w:r>
            <w:r>
              <w:rPr>
                <w:rFonts w:ascii="Times New Roman" w:hAnsi="Times New Roman"/>
                <w:bCs/>
                <w:color w:val="000000"/>
                <w:kern w:val="0"/>
                <w:sz w:val="18"/>
                <w:szCs w:val="18"/>
              </w:rPr>
              <w:t>0-</w:t>
            </w:r>
            <w:r>
              <w:rPr>
                <w:rFonts w:hint="eastAsia" w:ascii="Times New Roman" w:hAnsi="Times New Roman"/>
                <w:bCs/>
                <w:color w:val="000000"/>
                <w:kern w:val="0"/>
                <w:sz w:val="18"/>
                <w:szCs w:val="18"/>
              </w:rPr>
              <w:t>不应答。</w:t>
            </w:r>
          </w:p>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D</w:t>
            </w:r>
            <w:r>
              <w:rPr>
                <w:rFonts w:hint="eastAsia" w:ascii="Times New Roman" w:hAnsi="Times New Roman"/>
                <w:bCs/>
                <w:color w:val="000000"/>
                <w:kern w:val="0"/>
                <w:sz w:val="18"/>
                <w:szCs w:val="18"/>
              </w:rPr>
              <w:t>：是否有数据包序号；</w:t>
            </w:r>
            <w:r>
              <w:rPr>
                <w:rFonts w:ascii="Times New Roman" w:hAnsi="Times New Roman"/>
                <w:bCs/>
                <w:color w:val="000000"/>
                <w:kern w:val="0"/>
                <w:sz w:val="18"/>
                <w:szCs w:val="18"/>
              </w:rPr>
              <w:t>Bit</w:t>
            </w:r>
            <w:r>
              <w:rPr>
                <w:rFonts w:hint="eastAsia" w:ascii="Times New Roman" w:hAnsi="Times New Roman"/>
                <w:bCs/>
                <w:color w:val="000000"/>
                <w:kern w:val="0"/>
                <w:sz w:val="18"/>
                <w:szCs w:val="18"/>
              </w:rPr>
              <w:t>：</w:t>
            </w:r>
            <w:r>
              <w:rPr>
                <w:rFonts w:ascii="Times New Roman" w:hAnsi="Times New Roman"/>
                <w:bCs/>
                <w:color w:val="000000"/>
                <w:kern w:val="0"/>
                <w:sz w:val="18"/>
                <w:szCs w:val="18"/>
              </w:rPr>
              <w:t>1-</w:t>
            </w:r>
            <w:r>
              <w:rPr>
                <w:rFonts w:hint="eastAsia" w:ascii="Times New Roman" w:hAnsi="Times New Roman"/>
                <w:bCs/>
                <w:color w:val="000000"/>
                <w:kern w:val="0"/>
                <w:sz w:val="18"/>
                <w:szCs w:val="18"/>
              </w:rPr>
              <w:t>数据包中包含包号和总包数两部分</w:t>
            </w:r>
            <w:r>
              <w:rPr>
                <w:rFonts w:ascii="Times New Roman" w:hAnsi="Times New Roman"/>
                <w:bCs/>
                <w:color w:val="000000"/>
                <w:kern w:val="0"/>
                <w:sz w:val="18"/>
                <w:szCs w:val="18"/>
              </w:rPr>
              <w:t>,0-</w:t>
            </w:r>
            <w:r>
              <w:rPr>
                <w:rFonts w:hint="eastAsia" w:ascii="Times New Roman" w:hAnsi="Times New Roman"/>
                <w:bCs/>
                <w:color w:val="000000"/>
                <w:kern w:val="0"/>
                <w:sz w:val="18"/>
                <w:szCs w:val="18"/>
              </w:rPr>
              <w:t>数据包中不包含包号和总包数两部分。</w:t>
            </w:r>
          </w:p>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示例：</w:t>
            </w:r>
            <w:r>
              <w:rPr>
                <w:rFonts w:ascii="Times New Roman" w:hAnsi="Times New Roman"/>
                <w:bCs/>
                <w:color w:val="000000"/>
                <w:kern w:val="0"/>
                <w:sz w:val="18"/>
                <w:szCs w:val="18"/>
              </w:rPr>
              <w:t xml:space="preserve">Flag=7 </w:t>
            </w:r>
            <w:r>
              <w:rPr>
                <w:rFonts w:hint="eastAsia" w:ascii="Times New Roman" w:hAnsi="Times New Roman"/>
                <w:bCs/>
                <w:color w:val="000000"/>
                <w:kern w:val="0"/>
                <w:sz w:val="18"/>
                <w:szCs w:val="18"/>
              </w:rPr>
              <w:t>表示标准版本为本次修订版本号，数据段需要拆分并且命令需要应答</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宋体" w:hAnsi="宋体" w:cs="宋体"/>
                <w:bCs/>
                <w:color w:val="000000"/>
                <w:kern w:val="0"/>
                <w:sz w:val="18"/>
                <w:szCs w:val="18"/>
              </w:rPr>
            </w:pPr>
            <w:r>
              <w:rPr>
                <w:rFonts w:hint="eastAsia" w:ascii="宋体" w:hAnsi="宋体" w:cs="宋体"/>
                <w:bCs/>
                <w:color w:val="000000"/>
                <w:kern w:val="0"/>
                <w:sz w:val="18"/>
                <w:szCs w:val="18"/>
              </w:rPr>
              <w:t>总包数</w:t>
            </w:r>
            <w:r>
              <w:rPr>
                <w:rFonts w:ascii="Times New Roman" w:hAnsi="Times New Roman"/>
                <w:bCs/>
                <w:color w:val="000000"/>
                <w:kern w:val="0"/>
                <w:sz w:val="18"/>
                <w:szCs w:val="18"/>
              </w:rPr>
              <w:t>PNUM</w:t>
            </w: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9</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宋体" w:hAnsi="宋体" w:cs="宋体"/>
                <w:bCs/>
                <w:color w:val="000000"/>
                <w:kern w:val="0"/>
                <w:sz w:val="18"/>
                <w:szCs w:val="18"/>
              </w:rPr>
            </w:pPr>
            <w:r>
              <w:rPr>
                <w:rFonts w:ascii="Times New Roman" w:hAnsi="Times New Roman"/>
                <w:bCs/>
                <w:color w:val="000000"/>
                <w:kern w:val="0"/>
                <w:sz w:val="18"/>
                <w:szCs w:val="18"/>
              </w:rPr>
              <w:t>PNUM</w:t>
            </w:r>
            <w:r>
              <w:rPr>
                <w:rFonts w:hint="eastAsia" w:ascii="宋体" w:hAnsi="宋体" w:cs="宋体"/>
                <w:bCs/>
                <w:color w:val="000000"/>
                <w:kern w:val="0"/>
                <w:sz w:val="18"/>
                <w:szCs w:val="18"/>
              </w:rPr>
              <w:t xml:space="preserve"> 指示本次通信中总共包含的包数</w:t>
            </w:r>
          </w:p>
          <w:p>
            <w:pPr>
              <w:widowControl/>
              <w:jc w:val="left"/>
              <w:rPr>
                <w:rFonts w:ascii="宋体" w:hAnsi="宋体" w:cs="宋体"/>
                <w:bCs/>
                <w:color w:val="000000"/>
                <w:kern w:val="0"/>
                <w:sz w:val="18"/>
                <w:szCs w:val="18"/>
              </w:rPr>
            </w:pPr>
            <w:r>
              <w:rPr>
                <w:rFonts w:hint="eastAsia" w:ascii="宋体" w:hAnsi="宋体" w:cs="宋体"/>
                <w:bCs/>
                <w:color w:val="000000"/>
                <w:kern w:val="0"/>
                <w:sz w:val="18"/>
                <w:szCs w:val="18"/>
              </w:rPr>
              <w:t>注：不分包时可以没有本字段，与标志位有关</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000000" w:sz="4"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包号</w:t>
            </w:r>
            <w:r>
              <w:rPr>
                <w:rFonts w:ascii="Times New Roman" w:hAnsi="Times New Roman"/>
                <w:bCs/>
                <w:color w:val="000000"/>
                <w:kern w:val="0"/>
                <w:sz w:val="18"/>
                <w:szCs w:val="18"/>
              </w:rPr>
              <w:t>PNO</w:t>
            </w:r>
          </w:p>
        </w:tc>
        <w:tc>
          <w:tcPr>
            <w:tcW w:w="558"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8</w:t>
            </w:r>
          </w:p>
        </w:tc>
        <w:tc>
          <w:tcPr>
            <w:tcW w:w="2837" w:type="pct"/>
            <w:tcBorders>
              <w:top w:val="single" w:color="000000" w:sz="4" w:space="0"/>
              <w:left w:val="single" w:color="000000" w:sz="4" w:space="0"/>
              <w:bottom w:val="single" w:color="000000" w:sz="4"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 xml:space="preserve">PNO </w:t>
            </w:r>
            <w:r>
              <w:rPr>
                <w:rFonts w:hint="eastAsia" w:ascii="Times New Roman" w:hAnsi="Times New Roman"/>
                <w:bCs/>
                <w:color w:val="000000"/>
                <w:kern w:val="0"/>
                <w:sz w:val="18"/>
                <w:szCs w:val="18"/>
              </w:rPr>
              <w:t>指示当前数据包的包号</w:t>
            </w:r>
          </w:p>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注：不分包时可以没有本字段，与标志位有关</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c>
          <w:tcPr>
            <w:tcW w:w="984" w:type="pct"/>
            <w:tcBorders>
              <w:top w:val="single" w:color="000000" w:sz="4" w:space="0"/>
              <w:left w:val="single" w:color="auto" w:sz="12" w:space="0"/>
              <w:bottom w:val="single" w:color="auto" w:sz="12" w:space="0"/>
              <w:right w:val="single" w:color="000000" w:sz="4" w:space="0"/>
            </w:tcBorders>
            <w:vAlign w:val="center"/>
          </w:tcPr>
          <w:p>
            <w:pPr>
              <w:widowControl/>
              <w:jc w:val="left"/>
              <w:rPr>
                <w:rFonts w:ascii="Times New Roman" w:hAnsi="Times New Roman"/>
                <w:bCs/>
                <w:color w:val="000000"/>
                <w:kern w:val="0"/>
                <w:sz w:val="18"/>
                <w:szCs w:val="18"/>
              </w:rPr>
            </w:pPr>
            <w:r>
              <w:rPr>
                <w:rFonts w:hint="eastAsia" w:ascii="Times New Roman" w:hAnsi="Times New Roman"/>
                <w:bCs/>
                <w:color w:val="000000"/>
                <w:kern w:val="0"/>
                <w:sz w:val="18"/>
                <w:szCs w:val="18"/>
              </w:rPr>
              <w:t>指令参数</w:t>
            </w:r>
            <w:r>
              <w:rPr>
                <w:rFonts w:ascii="Times New Roman" w:hAnsi="Times New Roman"/>
                <w:bCs/>
                <w:color w:val="000000"/>
                <w:kern w:val="0"/>
                <w:sz w:val="18"/>
                <w:szCs w:val="18"/>
              </w:rPr>
              <w:t>CP</w:t>
            </w:r>
          </w:p>
        </w:tc>
        <w:tc>
          <w:tcPr>
            <w:tcW w:w="558" w:type="pct"/>
            <w:tcBorders>
              <w:top w:val="single" w:color="000000" w:sz="4" w:space="0"/>
              <w:left w:val="single" w:color="000000" w:sz="4" w:space="0"/>
              <w:bottom w:val="single" w:color="auto" w:sz="12" w:space="0"/>
              <w:right w:val="single" w:color="000000" w:sz="4" w:space="0"/>
            </w:tcBorders>
            <w:vAlign w:val="center"/>
          </w:tcPr>
          <w:p>
            <w:pPr>
              <w:widowControl/>
              <w:jc w:val="center"/>
              <w:rPr>
                <w:rFonts w:ascii="Times New Roman" w:hAnsi="Times New Roman"/>
                <w:bCs/>
                <w:color w:val="000000"/>
                <w:kern w:val="0"/>
                <w:sz w:val="18"/>
                <w:szCs w:val="18"/>
              </w:rPr>
            </w:pPr>
            <w:r>
              <w:rPr>
                <w:rFonts w:hint="eastAsia" w:ascii="Times New Roman" w:hAnsi="Times New Roman"/>
                <w:bCs/>
                <w:color w:val="000000"/>
                <w:kern w:val="0"/>
                <w:sz w:val="18"/>
                <w:szCs w:val="18"/>
              </w:rPr>
              <w:t>字符</w:t>
            </w:r>
          </w:p>
        </w:tc>
        <w:tc>
          <w:tcPr>
            <w:tcW w:w="622" w:type="pct"/>
            <w:tcBorders>
              <w:top w:val="single" w:color="000000" w:sz="4" w:space="0"/>
              <w:left w:val="single" w:color="000000" w:sz="4" w:space="0"/>
              <w:bottom w:val="single" w:color="auto" w:sz="12" w:space="0"/>
              <w:right w:val="single" w:color="000000" w:sz="4" w:space="0"/>
            </w:tcBorders>
            <w:vAlign w:val="center"/>
          </w:tcPr>
          <w:p>
            <w:pPr>
              <w:widowControl/>
              <w:jc w:val="center"/>
              <w:rPr>
                <w:rFonts w:ascii="Times New Roman" w:hAnsi="Times New Roman"/>
                <w:bCs/>
                <w:color w:val="000000"/>
                <w:kern w:val="0"/>
                <w:sz w:val="18"/>
                <w:szCs w:val="18"/>
              </w:rPr>
            </w:pPr>
            <w:r>
              <w:rPr>
                <w:rFonts w:ascii="Times New Roman" w:hAnsi="Times New Roman"/>
                <w:bCs/>
                <w:color w:val="000000"/>
                <w:kern w:val="0"/>
                <w:sz w:val="18"/>
                <w:szCs w:val="18"/>
              </w:rPr>
              <w:t>0</w:t>
            </w:r>
            <w:r>
              <w:rPr>
                <w:rFonts w:hint="eastAsia" w:ascii="Times New Roman" w:hAnsi="Times New Roman"/>
                <w:bCs/>
                <w:color w:val="000000"/>
                <w:kern w:val="0"/>
                <w:sz w:val="18"/>
                <w:szCs w:val="18"/>
              </w:rPr>
              <w:t>≤</w:t>
            </w:r>
            <w:r>
              <w:rPr>
                <w:rFonts w:ascii="Times New Roman" w:hAnsi="Times New Roman"/>
                <w:bCs/>
                <w:i/>
                <w:iCs/>
                <w:color w:val="000000"/>
                <w:kern w:val="0"/>
                <w:sz w:val="18"/>
                <w:szCs w:val="18"/>
              </w:rPr>
              <w:t>n</w:t>
            </w:r>
            <w:r>
              <w:rPr>
                <w:rFonts w:hint="eastAsia" w:ascii="Times New Roman" w:hAnsi="Times New Roman"/>
                <w:bCs/>
                <w:color w:val="000000"/>
                <w:kern w:val="0"/>
                <w:sz w:val="18"/>
                <w:szCs w:val="18"/>
              </w:rPr>
              <w:t>≤</w:t>
            </w:r>
            <w:r>
              <w:rPr>
                <w:rFonts w:ascii="Times New Roman" w:hAnsi="Times New Roman"/>
                <w:bCs/>
                <w:color w:val="000000"/>
                <w:kern w:val="0"/>
                <w:sz w:val="18"/>
                <w:szCs w:val="18"/>
              </w:rPr>
              <w:t>950</w:t>
            </w:r>
          </w:p>
        </w:tc>
        <w:tc>
          <w:tcPr>
            <w:tcW w:w="2837" w:type="pct"/>
            <w:tcBorders>
              <w:top w:val="single" w:color="000000" w:sz="4" w:space="0"/>
              <w:left w:val="single" w:color="000000" w:sz="4" w:space="0"/>
              <w:bottom w:val="single" w:color="auto" w:sz="12" w:space="0"/>
              <w:right w:val="single" w:color="auto" w:sz="12" w:space="0"/>
            </w:tcBorders>
            <w:vAlign w:val="center"/>
          </w:tcPr>
          <w:p>
            <w:pPr>
              <w:widowControl/>
              <w:jc w:val="left"/>
              <w:rPr>
                <w:rFonts w:ascii="Times New Roman" w:hAnsi="Times New Roman"/>
                <w:bCs/>
                <w:color w:val="000000"/>
                <w:kern w:val="0"/>
                <w:sz w:val="18"/>
                <w:szCs w:val="18"/>
              </w:rPr>
            </w:pPr>
            <w:r>
              <w:rPr>
                <w:rFonts w:ascii="Times New Roman" w:hAnsi="Times New Roman"/>
                <w:bCs/>
                <w:color w:val="000000"/>
                <w:kern w:val="0"/>
                <w:sz w:val="18"/>
                <w:szCs w:val="18"/>
              </w:rPr>
              <w:t>CP=&amp;&amp;</w:t>
            </w:r>
            <w:r>
              <w:rPr>
                <w:rFonts w:hint="eastAsia" w:ascii="Times New Roman" w:hAnsi="Times New Roman"/>
                <w:bCs/>
                <w:color w:val="000000"/>
                <w:kern w:val="0"/>
                <w:sz w:val="18"/>
                <w:szCs w:val="18"/>
              </w:rPr>
              <w:t>数据区</w:t>
            </w:r>
            <w:r>
              <w:rPr>
                <w:rFonts w:ascii="Times New Roman" w:hAnsi="Times New Roman"/>
                <w:bCs/>
                <w:color w:val="000000"/>
                <w:kern w:val="0"/>
                <w:sz w:val="18"/>
                <w:szCs w:val="18"/>
              </w:rPr>
              <w:t>&amp;&amp;</w:t>
            </w:r>
            <w:r>
              <w:rPr>
                <w:rFonts w:hint="eastAsia" w:ascii="Times New Roman" w:hAnsi="Times New Roman"/>
                <w:bCs/>
                <w:color w:val="000000"/>
                <w:kern w:val="0"/>
                <w:sz w:val="18"/>
                <w:szCs w:val="18"/>
              </w:rPr>
              <w:t>，数据区定义详见</w:t>
            </w:r>
            <w:r>
              <w:rPr>
                <w:rFonts w:ascii="Times New Roman" w:hAnsi="Times New Roman"/>
                <w:bCs/>
                <w:color w:val="000000"/>
                <w:kern w:val="0"/>
                <w:sz w:val="18"/>
                <w:szCs w:val="18"/>
              </w:rPr>
              <w:t>HJ 212-2017</w:t>
            </w:r>
            <w:r>
              <w:rPr>
                <w:rFonts w:hint="eastAsia" w:ascii="Times New Roman" w:hAnsi="Times New Roman"/>
                <w:bCs/>
                <w:color w:val="000000"/>
                <w:kern w:val="0"/>
                <w:sz w:val="18"/>
                <w:szCs w:val="18"/>
              </w:rPr>
              <w:t>中</w:t>
            </w:r>
            <w:r>
              <w:rPr>
                <w:rFonts w:ascii="Times New Roman" w:hAnsi="Times New Roman"/>
                <w:bCs/>
                <w:color w:val="000000"/>
                <w:kern w:val="0"/>
                <w:sz w:val="18"/>
                <w:szCs w:val="18"/>
              </w:rPr>
              <w:t xml:space="preserve">6.3.3 </w:t>
            </w:r>
          </w:p>
        </w:tc>
      </w:tr>
    </w:tbl>
    <w:p>
      <w:pPr>
        <w:pStyle w:val="84"/>
        <w:spacing w:before="156" w:after="156"/>
        <w:rPr>
          <w:rFonts w:hAnsi="黑体" w:cs="宋体"/>
          <w:bCs/>
        </w:rPr>
      </w:pPr>
      <w:r>
        <w:rPr>
          <w:rFonts w:hint="eastAsia" w:hAnsi="黑体" w:cs="宋体"/>
          <w:bCs/>
        </w:rPr>
        <w:t>数据区中工况监控因子的描述</w:t>
      </w:r>
    </w:p>
    <w:p>
      <w:pPr>
        <w:pStyle w:val="174"/>
      </w:pPr>
      <w:r>
        <w:rPr>
          <w:rFonts w:hint="eastAsia" w:hAnsi="宋体" w:cs="宋体"/>
          <w:bCs/>
        </w:rPr>
        <w:t>结构定义：</w:t>
      </w:r>
    </w:p>
    <w:p>
      <w:pPr>
        <w:pStyle w:val="174"/>
        <w:numPr>
          <w:ilvl w:val="0"/>
          <w:numId w:val="0"/>
        </w:numPr>
        <w:ind w:left="851"/>
      </w:pPr>
      <w:r>
        <w:rPr>
          <w:rFonts w:hint="eastAsia"/>
        </w:rPr>
        <w:t>字段与其值用‘=’连接；在数据区中，同一项目的不同分类值间用‘，’来分隔，不同项目之间用‘；’来分隔。</w:t>
      </w:r>
    </w:p>
    <w:p>
      <w:pPr>
        <w:pStyle w:val="174"/>
      </w:pPr>
      <w:r>
        <w:rPr>
          <w:rFonts w:hint="eastAsia" w:hAnsi="宋体" w:cs="宋体"/>
          <w:bCs/>
        </w:rPr>
        <w:t>字段定义：</w:t>
      </w:r>
    </w:p>
    <w:p>
      <w:pPr>
        <w:pStyle w:val="174"/>
        <w:numPr>
          <w:ilvl w:val="0"/>
          <w:numId w:val="0"/>
        </w:numPr>
        <w:ind w:left="851"/>
      </w:pPr>
      <w:r>
        <w:rPr>
          <w:rFonts w:hint="eastAsia"/>
        </w:rPr>
        <w:t>字段名要区分大小写，单词的首个字符为大写，其他部分为小写，详见</w:t>
      </w:r>
      <w:r>
        <w:rPr>
          <w:rFonts w:hint="eastAsia"/>
          <w:color w:val="000000"/>
        </w:rPr>
        <w:t>HJ 212</w:t>
      </w:r>
      <w:r>
        <w:rPr>
          <w:color w:val="000000"/>
        </w:rPr>
        <w:t>-2017</w:t>
      </w:r>
      <w:r>
        <w:rPr>
          <w:rFonts w:hint="eastAsia"/>
          <w:color w:val="000000"/>
        </w:rPr>
        <w:t>中表4</w:t>
      </w:r>
      <w:r>
        <w:rPr>
          <w:rFonts w:hint="eastAsia"/>
        </w:rPr>
        <w:t>。</w:t>
      </w:r>
    </w:p>
    <w:p>
      <w:pPr>
        <w:pStyle w:val="174"/>
      </w:pPr>
      <w:r>
        <w:rPr>
          <w:rFonts w:hint="eastAsia" w:hAnsi="宋体" w:cs="宋体"/>
          <w:bCs/>
        </w:rPr>
        <w:t>编码规则：</w:t>
      </w:r>
    </w:p>
    <w:p>
      <w:pPr>
        <w:pStyle w:val="174"/>
        <w:numPr>
          <w:ilvl w:val="0"/>
          <w:numId w:val="0"/>
        </w:numPr>
        <w:ind w:left="851"/>
      </w:pPr>
      <w:r>
        <w:rPr>
          <w:rFonts w:hint="eastAsia"/>
        </w:rPr>
        <w:t>数据区中，工况监测因子编码格式国家有规定的直接采用国家编码，国家没有规定的采用六位固定长度的字母数字混合格式组成。字母代码采用缩写码，数字代码采用阿拉伯数字表示，采用递增的数字码。</w:t>
      </w:r>
    </w:p>
    <w:p>
      <w:pPr>
        <w:pStyle w:val="174"/>
        <w:numPr>
          <w:ilvl w:val="0"/>
          <w:numId w:val="0"/>
        </w:numPr>
        <w:ind w:left="851"/>
        <w:rPr>
          <w:rFonts w:hAnsi="宋体" w:cs="宋体"/>
          <w:bCs/>
        </w:rPr>
      </w:pPr>
      <w:r>
        <w:rPr>
          <w:rStyle w:val="34"/>
          <w:rFonts w:ascii="Calibri" w:hAnsi="Calibri"/>
          <w:kern w:val="2"/>
        </w:rPr>
        <w:commentReference w:id="9"/>
      </w:r>
      <w:r>
        <w:rPr>
          <w:rFonts w:hint="eastAsia" w:hAnsi="宋体" w:cs="宋体"/>
          <w:bCs/>
        </w:rPr>
        <w:t>工况监测因子编码分为4层（图B.2）。</w:t>
      </w:r>
    </w:p>
    <w:p>
      <w:pPr>
        <w:pStyle w:val="52"/>
        <w:numPr>
          <w:ilvl w:val="0"/>
          <w:numId w:val="38"/>
        </w:numPr>
        <w:autoSpaceDE w:val="0"/>
        <w:autoSpaceDN w:val="0"/>
        <w:snapToGrid w:val="0"/>
        <w:spacing w:line="360" w:lineRule="auto"/>
        <w:ind w:firstLineChars="0"/>
        <w:rPr>
          <w:rFonts w:ascii="宋体" w:hAnsi="宋体" w:cs="宋体"/>
          <w:bCs/>
        </w:rPr>
      </w:pPr>
      <w:r>
        <w:rPr>
          <w:rFonts w:hint="eastAsia" w:ascii="宋体" w:hAnsi="宋体" w:cs="宋体"/>
          <w:bCs/>
        </w:rPr>
        <w:t>第一层：编码分类，采用</w:t>
      </w:r>
      <w:r>
        <w:rPr>
          <w:rFonts w:ascii="Times New Roman" w:hAnsi="Times New Roman"/>
          <w:bCs/>
        </w:rPr>
        <w:t>1</w:t>
      </w:r>
      <w:r>
        <w:rPr>
          <w:rFonts w:hint="eastAsia" w:ascii="宋体" w:hAnsi="宋体" w:cs="宋体"/>
          <w:bCs/>
        </w:rPr>
        <w:t xml:space="preserve"> 位小写字母表示，‘</w:t>
      </w:r>
      <w:r>
        <w:rPr>
          <w:rFonts w:ascii="Times New Roman" w:hAnsi="Times New Roman"/>
          <w:bCs/>
        </w:rPr>
        <w:t>e</w:t>
      </w:r>
      <w:r>
        <w:rPr>
          <w:rFonts w:hint="eastAsia" w:ascii="宋体" w:hAnsi="宋体" w:cs="宋体"/>
          <w:bCs/>
        </w:rPr>
        <w:t>’表示污水类、‘</w:t>
      </w:r>
      <w:r>
        <w:rPr>
          <w:rFonts w:ascii="Times New Roman" w:hAnsi="Times New Roman"/>
          <w:bCs/>
        </w:rPr>
        <w:t>g</w:t>
      </w:r>
      <w:r>
        <w:rPr>
          <w:rFonts w:hint="eastAsia" w:ascii="宋体" w:hAnsi="宋体" w:cs="宋体"/>
          <w:bCs/>
        </w:rPr>
        <w:t>’表示烟气类；</w:t>
      </w:r>
    </w:p>
    <w:p>
      <w:pPr>
        <w:pStyle w:val="52"/>
        <w:numPr>
          <w:ilvl w:val="0"/>
          <w:numId w:val="38"/>
        </w:numPr>
        <w:autoSpaceDE w:val="0"/>
        <w:autoSpaceDN w:val="0"/>
        <w:snapToGrid w:val="0"/>
        <w:spacing w:line="360" w:lineRule="auto"/>
        <w:ind w:firstLineChars="0"/>
        <w:rPr>
          <w:rFonts w:ascii="宋体" w:hAnsi="宋体" w:cs="宋体"/>
          <w:bCs/>
        </w:rPr>
      </w:pPr>
      <w:r>
        <w:rPr>
          <w:rFonts w:hint="eastAsia" w:ascii="宋体" w:hAnsi="宋体" w:cs="宋体"/>
          <w:bCs/>
        </w:rPr>
        <w:t>第二层：处理工艺分类，表示生产设施和</w:t>
      </w:r>
      <w:r>
        <w:rPr>
          <w:rFonts w:hint="eastAsia" w:hAnsi="宋体"/>
        </w:rPr>
        <w:t>污染</w:t>
      </w:r>
      <w:r>
        <w:rPr>
          <w:rFonts w:hint="eastAsia" w:ascii="宋体" w:hAnsi="宋体" w:cs="宋体"/>
          <w:bCs/>
        </w:rPr>
        <w:t>治理设施处理工艺类别，采用1 位阿拉伯数字或字母表示，即</w:t>
      </w:r>
      <w:r>
        <w:rPr>
          <w:rFonts w:ascii="Times New Roman" w:hAnsi="Times New Roman"/>
          <w:bCs/>
        </w:rPr>
        <w:t>1</w:t>
      </w:r>
      <w:r>
        <w:rPr>
          <w:rFonts w:hint="eastAsia" w:ascii="Times New Roman" w:hAnsi="Times New Roman"/>
          <w:bCs/>
          <w:color w:val="000000"/>
          <w:kern w:val="0"/>
          <w:sz w:val="18"/>
          <w:szCs w:val="18"/>
        </w:rPr>
        <w:t>～</w:t>
      </w:r>
      <w:r>
        <w:rPr>
          <w:rFonts w:ascii="Times New Roman" w:hAnsi="Times New Roman"/>
          <w:bCs/>
        </w:rPr>
        <w:t>9</w:t>
      </w:r>
      <w:r>
        <w:rPr>
          <w:rFonts w:hint="eastAsia" w:ascii="Times New Roman" w:hAnsi="Times New Roman"/>
          <w:bCs/>
        </w:rPr>
        <w:t>、</w:t>
      </w:r>
      <w:r>
        <w:rPr>
          <w:rFonts w:ascii="Times New Roman" w:hAnsi="Times New Roman"/>
          <w:bCs/>
        </w:rPr>
        <w:t>a</w:t>
      </w:r>
      <w:r>
        <w:rPr>
          <w:rFonts w:hint="eastAsia" w:ascii="Times New Roman" w:hAnsi="Times New Roman"/>
          <w:bCs/>
          <w:color w:val="000000"/>
          <w:kern w:val="0"/>
          <w:sz w:val="18"/>
          <w:szCs w:val="18"/>
        </w:rPr>
        <w:t>～</w:t>
      </w:r>
      <w:r>
        <w:rPr>
          <w:rFonts w:ascii="Times New Roman" w:hAnsi="Times New Roman"/>
          <w:bCs/>
        </w:rPr>
        <w:t>b</w:t>
      </w:r>
      <w:r>
        <w:rPr>
          <w:rFonts w:hint="eastAsia" w:ascii="宋体" w:hAnsi="宋体" w:cs="宋体"/>
          <w:bCs/>
        </w:rPr>
        <w:t>，具体编码见表B.3；</w:t>
      </w:r>
    </w:p>
    <w:p>
      <w:pPr>
        <w:pStyle w:val="52"/>
        <w:numPr>
          <w:ilvl w:val="0"/>
          <w:numId w:val="38"/>
        </w:numPr>
        <w:autoSpaceDE w:val="0"/>
        <w:autoSpaceDN w:val="0"/>
        <w:snapToGrid w:val="0"/>
        <w:spacing w:line="360" w:lineRule="auto"/>
        <w:ind w:firstLineChars="0"/>
        <w:rPr>
          <w:rFonts w:ascii="Times New Roman" w:hAnsi="Times New Roman"/>
          <w:kern w:val="0"/>
        </w:rPr>
      </w:pPr>
      <w:r>
        <w:rPr>
          <w:rFonts w:hint="eastAsia" w:ascii="宋体" w:hAnsi="宋体" w:cs="宋体"/>
          <w:bCs/>
        </w:rPr>
        <w:t>第三</w:t>
      </w:r>
      <w:r>
        <w:rPr>
          <w:rFonts w:hint="eastAsia" w:ascii="Times New Roman" w:hAnsi="Times New Roman"/>
          <w:kern w:val="0"/>
        </w:rPr>
        <w:t>层：工况监测因子编码，表示监测因子或一个监测指标在一个工艺类型中代码，采用</w:t>
      </w:r>
      <w:r>
        <w:rPr>
          <w:rFonts w:ascii="Times New Roman" w:hAnsi="Times New Roman"/>
          <w:kern w:val="0"/>
        </w:rPr>
        <w:t>2</w:t>
      </w:r>
      <w:r>
        <w:rPr>
          <w:rFonts w:hint="eastAsia" w:ascii="Times New Roman" w:hAnsi="Times New Roman"/>
          <w:kern w:val="0"/>
        </w:rPr>
        <w:t>位阿拉伯数字表示，即</w:t>
      </w:r>
      <w:r>
        <w:rPr>
          <w:rFonts w:ascii="Times New Roman" w:hAnsi="Times New Roman"/>
          <w:kern w:val="0"/>
        </w:rPr>
        <w:t>01-99</w:t>
      </w:r>
      <w:r>
        <w:rPr>
          <w:rFonts w:hint="eastAsia" w:ascii="Times New Roman" w:hAnsi="Times New Roman"/>
          <w:kern w:val="0"/>
        </w:rPr>
        <w:t>，每一种阿拉伯数字表示一种监测因子或一个监测指标，具体编码见表</w:t>
      </w:r>
      <w:r>
        <w:rPr>
          <w:rFonts w:ascii="Times New Roman" w:hAnsi="Times New Roman"/>
          <w:kern w:val="0"/>
        </w:rPr>
        <w:t>B.4</w:t>
      </w:r>
      <w:r>
        <w:rPr>
          <w:rFonts w:hint="eastAsia" w:ascii="Times New Roman" w:hAnsi="Times New Roman"/>
          <w:kern w:val="0"/>
        </w:rPr>
        <w:t>；</w:t>
      </w:r>
    </w:p>
    <w:p>
      <w:pPr>
        <w:pStyle w:val="52"/>
        <w:numPr>
          <w:ilvl w:val="0"/>
          <w:numId w:val="38"/>
        </w:numPr>
        <w:autoSpaceDE w:val="0"/>
        <w:autoSpaceDN w:val="0"/>
        <w:snapToGrid w:val="0"/>
        <w:spacing w:line="360" w:lineRule="auto"/>
        <w:ind w:firstLineChars="0"/>
        <w:rPr>
          <w:rFonts w:ascii="宋体" w:hAnsi="宋体" w:cs="宋体"/>
          <w:bCs/>
        </w:rPr>
      </w:pPr>
      <w:r>
        <w:rPr>
          <w:rFonts w:hint="eastAsia" w:ascii="Times New Roman" w:hAnsi="Times New Roman"/>
          <w:kern w:val="0"/>
        </w:rPr>
        <w:t>第四层：相同工况监测设备编码，采用</w:t>
      </w:r>
      <w:r>
        <w:rPr>
          <w:rFonts w:ascii="Times New Roman" w:hAnsi="Times New Roman"/>
          <w:kern w:val="0"/>
        </w:rPr>
        <w:t>2</w:t>
      </w:r>
      <w:r>
        <w:rPr>
          <w:rFonts w:hint="eastAsia" w:ascii="Times New Roman" w:hAnsi="Times New Roman"/>
          <w:kern w:val="0"/>
        </w:rPr>
        <w:t>位阿拉伯数</w:t>
      </w:r>
      <w:r>
        <w:rPr>
          <w:rFonts w:hint="eastAsia" w:ascii="宋体" w:hAnsi="宋体" w:cs="宋体"/>
          <w:bCs/>
        </w:rPr>
        <w:t>字表示，即</w:t>
      </w:r>
      <w:r>
        <w:rPr>
          <w:rFonts w:ascii="Times New Roman" w:hAnsi="Times New Roman"/>
          <w:kern w:val="0"/>
        </w:rPr>
        <w:t>01-99</w:t>
      </w:r>
      <w:r>
        <w:rPr>
          <w:rFonts w:hint="eastAsia" w:ascii="Times New Roman" w:hAnsi="Times New Roman"/>
          <w:kern w:val="0"/>
        </w:rPr>
        <w:t>，默认值为</w:t>
      </w:r>
      <w:r>
        <w:rPr>
          <w:rFonts w:ascii="Times New Roman" w:hAnsi="Times New Roman"/>
          <w:kern w:val="0"/>
        </w:rPr>
        <w:t>01</w:t>
      </w:r>
      <w:r>
        <w:rPr>
          <w:rFonts w:hint="eastAsia" w:ascii="宋体" w:hAnsi="宋体" w:cs="宋体"/>
          <w:bCs/>
        </w:rPr>
        <w:t>，同一处理工艺中，多个相同监测对象，数字码编码依次递增。</w:t>
      </w:r>
    </w:p>
    <w:p>
      <w:pPr>
        <w:pStyle w:val="174"/>
        <w:numPr>
          <w:ilvl w:val="0"/>
          <w:numId w:val="0"/>
        </w:numPr>
        <w:ind w:left="851"/>
        <w:jc w:val="center"/>
      </w:pPr>
      <w:r>
        <w:rPr>
          <w:rFonts w:hint="eastAsia"/>
        </w:rPr>
        <w:object>
          <v:shape id="_x0000_i1026" o:spt="75" type="#_x0000_t75" style="height:183pt;width:462.6pt;" o:ole="t" filled="f" o:preferrelative="t" stroked="f" coordsize="21600,21600">
            <v:path/>
            <v:fill on="f" focussize="0,0"/>
            <v:stroke on="f" joinstyle="miter"/>
            <v:imagedata r:id="rId20" o:title=""/>
            <o:lock v:ext="edit" aspectratio="t"/>
            <w10:wrap type="none"/>
            <w10:anchorlock/>
          </v:shape>
          <o:OLEObject Type="Embed" ProgID="Visio.Drawing.11" ShapeID="_x0000_i1026" DrawAspect="Content" ObjectID="_1468075726" r:id="rId19">
            <o:LockedField>false</o:LockedField>
          </o:OLEObject>
        </w:object>
      </w:r>
    </w:p>
    <w:p>
      <w:pPr>
        <w:pStyle w:val="89"/>
        <w:spacing w:before="156" w:after="156"/>
      </w:pPr>
      <w:r>
        <w:rPr>
          <w:rFonts w:hint="eastAsia" w:hAnsi="黑体" w:cs="黑体"/>
          <w:bCs/>
        </w:rPr>
        <w:t>工况监控因子编码规则</w:t>
      </w:r>
    </w:p>
    <w:p>
      <w:pPr>
        <w:autoSpaceDE w:val="0"/>
        <w:autoSpaceDN w:val="0"/>
        <w:snapToGrid w:val="0"/>
        <w:spacing w:line="360" w:lineRule="auto"/>
        <w:rPr>
          <w:rFonts w:ascii="宋体" w:hAnsi="宋体" w:cs="宋体"/>
          <w:bCs/>
        </w:rPr>
      </w:pPr>
    </w:p>
    <w:p>
      <w:pPr>
        <w:pStyle w:val="84"/>
        <w:spacing w:before="156" w:after="156"/>
        <w:rPr>
          <w:rFonts w:hAnsi="黑体" w:cs="宋体"/>
          <w:bCs/>
        </w:rPr>
      </w:pPr>
      <w:r>
        <w:rPr>
          <w:rFonts w:hint="eastAsia" w:hAnsi="黑体" w:cs="宋体"/>
          <w:bCs/>
        </w:rPr>
        <w:t>工况监控因子通信命令示例</w:t>
      </w:r>
    </w:p>
    <w:p>
      <w:pPr>
        <w:pStyle w:val="174"/>
        <w:numPr>
          <w:ilvl w:val="0"/>
          <w:numId w:val="39"/>
        </w:numPr>
      </w:pPr>
      <w:r>
        <w:rPr>
          <w:rFonts w:hint="eastAsia"/>
        </w:rPr>
        <w:t>示例1：取污染物（工况）实时数据；</w:t>
      </w:r>
    </w:p>
    <w:p>
      <w:pPr>
        <w:pStyle w:val="174"/>
        <w:numPr>
          <w:ilvl w:val="0"/>
          <w:numId w:val="0"/>
        </w:numPr>
        <w:ind w:left="851"/>
      </w:pPr>
      <w:r>
        <w:rPr>
          <w:rFonts w:hint="eastAsia"/>
        </w:rPr>
        <w:t>上位机使用命令如下：</w:t>
      </w:r>
    </w:p>
    <w:p>
      <w:pPr>
        <w:pStyle w:val="174"/>
        <w:numPr>
          <w:ilvl w:val="0"/>
          <w:numId w:val="0"/>
        </w:numPr>
        <w:ind w:left="851"/>
        <w:rPr>
          <w:rFonts w:ascii="Times New Roman"/>
        </w:rPr>
      </w:pPr>
      <w:r>
        <w:rPr>
          <w:rFonts w:ascii="Times New Roman"/>
        </w:rPr>
        <w:t>QN=20190301085857223;ST=51;CN=2011;PW=123456;MN=010000A8900016F000169DC0;Flag=5;CP=&amp;&amp;&amp;&amp;</w:t>
      </w:r>
    </w:p>
    <w:p>
      <w:pPr>
        <w:pStyle w:val="174"/>
        <w:numPr>
          <w:ilvl w:val="0"/>
          <w:numId w:val="0"/>
        </w:numPr>
        <w:ind w:left="851"/>
        <w:rPr>
          <w:rFonts w:ascii="Times New Roman"/>
        </w:rPr>
      </w:pPr>
      <w:r>
        <w:rPr>
          <w:rFonts w:hint="eastAsia" w:ascii="Times New Roman"/>
        </w:rPr>
        <w:t>示例说明：</w:t>
      </w:r>
    </w:p>
    <w:p>
      <w:pPr>
        <w:pStyle w:val="174"/>
        <w:numPr>
          <w:ilvl w:val="1"/>
          <w:numId w:val="13"/>
        </w:numPr>
        <w:rPr>
          <w:rFonts w:ascii="Times New Roman"/>
        </w:rPr>
      </w:pPr>
      <w:r>
        <w:rPr>
          <w:rFonts w:ascii="Times New Roman"/>
        </w:rPr>
        <w:t>QN=20190301085857223</w:t>
      </w:r>
      <w:r>
        <w:rPr>
          <w:rFonts w:hint="eastAsia" w:ascii="Times New Roman"/>
        </w:rPr>
        <w:t>表示在</w:t>
      </w:r>
      <w:r>
        <w:rPr>
          <w:rFonts w:ascii="Times New Roman"/>
        </w:rPr>
        <w:t>2019</w:t>
      </w:r>
      <w:r>
        <w:rPr>
          <w:rFonts w:hint="eastAsia" w:ascii="Times New Roman"/>
        </w:rPr>
        <w:t>年</w:t>
      </w:r>
      <w:r>
        <w:rPr>
          <w:rFonts w:ascii="Times New Roman"/>
        </w:rPr>
        <w:t>3</w:t>
      </w:r>
      <w:r>
        <w:rPr>
          <w:rFonts w:hint="eastAsia" w:ascii="Times New Roman"/>
        </w:rPr>
        <w:t>月</w:t>
      </w:r>
      <w:r>
        <w:rPr>
          <w:rFonts w:ascii="Times New Roman"/>
        </w:rPr>
        <w:t>1</w:t>
      </w:r>
      <w:r>
        <w:rPr>
          <w:rFonts w:hint="eastAsia" w:ascii="Times New Roman"/>
        </w:rPr>
        <w:t>日</w:t>
      </w:r>
      <w:r>
        <w:rPr>
          <w:rFonts w:ascii="Times New Roman"/>
        </w:rPr>
        <w:t>8</w:t>
      </w:r>
      <w:r>
        <w:rPr>
          <w:rFonts w:hint="eastAsia" w:ascii="Times New Roman"/>
        </w:rPr>
        <w:t>时</w:t>
      </w:r>
      <w:r>
        <w:rPr>
          <w:rFonts w:ascii="Times New Roman"/>
        </w:rPr>
        <w:t>58</w:t>
      </w:r>
      <w:r>
        <w:rPr>
          <w:rFonts w:hint="eastAsia" w:ascii="Times New Roman"/>
        </w:rPr>
        <w:t>分</w:t>
      </w:r>
      <w:r>
        <w:rPr>
          <w:rFonts w:ascii="Times New Roman"/>
        </w:rPr>
        <w:t>57</w:t>
      </w:r>
      <w:r>
        <w:rPr>
          <w:rFonts w:hint="eastAsia" w:ascii="Times New Roman"/>
        </w:rPr>
        <w:t>秒</w:t>
      </w:r>
      <w:r>
        <w:rPr>
          <w:rFonts w:ascii="Times New Roman"/>
        </w:rPr>
        <w:t>223</w:t>
      </w:r>
      <w:r>
        <w:rPr>
          <w:rFonts w:hint="eastAsia" w:ascii="Times New Roman"/>
        </w:rPr>
        <w:t>毫秒触发一个命令请求；</w:t>
      </w:r>
    </w:p>
    <w:p>
      <w:pPr>
        <w:pStyle w:val="174"/>
        <w:numPr>
          <w:ilvl w:val="1"/>
          <w:numId w:val="13"/>
        </w:numPr>
        <w:rPr>
          <w:rFonts w:ascii="Times New Roman"/>
        </w:rPr>
      </w:pPr>
      <w:r>
        <w:rPr>
          <w:rFonts w:ascii="Times New Roman"/>
        </w:rPr>
        <w:t>ST=51</w:t>
      </w:r>
      <w:r>
        <w:rPr>
          <w:rFonts w:hint="eastAsia" w:ascii="Times New Roman"/>
        </w:rPr>
        <w:t>表示系统类型为烟气排放过程监控；</w:t>
      </w:r>
    </w:p>
    <w:p>
      <w:pPr>
        <w:pStyle w:val="174"/>
        <w:numPr>
          <w:ilvl w:val="1"/>
          <w:numId w:val="13"/>
        </w:numPr>
        <w:rPr>
          <w:rFonts w:ascii="Times New Roman"/>
        </w:rPr>
      </w:pPr>
      <w:r>
        <w:rPr>
          <w:rFonts w:ascii="Times New Roman"/>
        </w:rPr>
        <w:t>CN=2011</w:t>
      </w:r>
      <w:r>
        <w:rPr>
          <w:rFonts w:hint="eastAsia" w:ascii="Times New Roman"/>
        </w:rPr>
        <w:t>表示取污染物实时数据；</w:t>
      </w:r>
    </w:p>
    <w:p>
      <w:pPr>
        <w:pStyle w:val="174"/>
        <w:numPr>
          <w:ilvl w:val="1"/>
          <w:numId w:val="13"/>
        </w:numPr>
        <w:rPr>
          <w:rFonts w:ascii="Times New Roman"/>
        </w:rPr>
      </w:pPr>
      <w:r>
        <w:rPr>
          <w:rFonts w:ascii="Times New Roman"/>
        </w:rPr>
        <w:t>PW=123456</w:t>
      </w:r>
      <w:r>
        <w:rPr>
          <w:rFonts w:hint="eastAsia" w:ascii="Times New Roman"/>
        </w:rPr>
        <w:t>表示设备访问密码；</w:t>
      </w:r>
    </w:p>
    <w:p>
      <w:pPr>
        <w:pStyle w:val="174"/>
        <w:numPr>
          <w:ilvl w:val="1"/>
          <w:numId w:val="13"/>
        </w:numPr>
        <w:rPr>
          <w:rFonts w:ascii="Times New Roman"/>
        </w:rPr>
      </w:pPr>
      <w:r>
        <w:rPr>
          <w:rFonts w:ascii="Times New Roman"/>
        </w:rPr>
        <w:t>MN=010000A8900016F000169DC0</w:t>
      </w:r>
      <w:r>
        <w:rPr>
          <w:rFonts w:hint="eastAsia" w:ascii="Times New Roman"/>
        </w:rPr>
        <w:t>表示设备唯一标识。</w:t>
      </w:r>
    </w:p>
    <w:p>
      <w:pPr>
        <w:pStyle w:val="174"/>
        <w:numPr>
          <w:ilvl w:val="0"/>
          <w:numId w:val="39"/>
        </w:numPr>
      </w:pPr>
      <w:r>
        <w:rPr>
          <w:rFonts w:hint="eastAsia"/>
        </w:rPr>
        <w:t>示例2：上传污染物（工况）实时数据。</w:t>
      </w:r>
    </w:p>
    <w:p>
      <w:pPr>
        <w:pStyle w:val="174"/>
        <w:numPr>
          <w:ilvl w:val="0"/>
          <w:numId w:val="0"/>
        </w:numPr>
        <w:ind w:left="851"/>
        <w:rPr>
          <w:rFonts w:ascii="Times New Roman"/>
        </w:rPr>
      </w:pPr>
      <w:r>
        <w:rPr>
          <w:rFonts w:hint="eastAsia" w:ascii="Times New Roman"/>
        </w:rPr>
        <w:t>现场机使用命令如下：</w:t>
      </w:r>
    </w:p>
    <w:p>
      <w:pPr>
        <w:pStyle w:val="174"/>
        <w:numPr>
          <w:ilvl w:val="0"/>
          <w:numId w:val="0"/>
        </w:numPr>
        <w:ind w:left="851"/>
        <w:rPr>
          <w:rFonts w:ascii="Times New Roman"/>
        </w:rPr>
      </w:pPr>
      <w:r>
        <w:rPr>
          <w:rFonts w:ascii="Times New Roman"/>
        </w:rPr>
        <w:t>QN=201903010858572023;ST=51;CN=2011;PW=123456;MN=010000A8900016F000169DC0;Flag=5;CP=&amp;&amp;DataTime=20190301085857;g10401-Rtd=7.1,g10401-Flag=N;g12401-SampleTime=20190301070000, g12401-Rtd=2.2, g12401-Flag=N, g12401-EFlag=A01;…&amp;&amp;</w:t>
      </w:r>
    </w:p>
    <w:p>
      <w:pPr>
        <w:pStyle w:val="174"/>
        <w:numPr>
          <w:ilvl w:val="0"/>
          <w:numId w:val="0"/>
        </w:numPr>
        <w:ind w:left="851"/>
        <w:rPr>
          <w:rFonts w:ascii="Times New Roman"/>
        </w:rPr>
      </w:pPr>
      <w:r>
        <w:rPr>
          <w:rFonts w:hint="eastAsia" w:ascii="Times New Roman"/>
        </w:rPr>
        <w:t>示例说明：</w:t>
      </w:r>
    </w:p>
    <w:p>
      <w:pPr>
        <w:pStyle w:val="174"/>
        <w:numPr>
          <w:ilvl w:val="0"/>
          <w:numId w:val="40"/>
        </w:numPr>
        <w:tabs>
          <w:tab w:val="left" w:pos="1276"/>
        </w:tabs>
      </w:pPr>
      <w:r>
        <w:rPr>
          <w:rFonts w:ascii="Times New Roman"/>
        </w:rPr>
        <w:t>QN=20190301085857223</w:t>
      </w:r>
      <w:r>
        <w:rPr>
          <w:rFonts w:hint="eastAsia" w:ascii="Times New Roman"/>
        </w:rPr>
        <w:t>表示在</w:t>
      </w:r>
      <w:r>
        <w:rPr>
          <w:rFonts w:ascii="Times New Roman"/>
        </w:rPr>
        <w:t>2019</w:t>
      </w:r>
      <w:r>
        <w:rPr>
          <w:rFonts w:hint="eastAsia" w:ascii="Times New Roman"/>
        </w:rPr>
        <w:t>年</w:t>
      </w:r>
      <w:r>
        <w:rPr>
          <w:rFonts w:ascii="Times New Roman"/>
        </w:rPr>
        <w:t>3</w:t>
      </w:r>
      <w:r>
        <w:rPr>
          <w:rFonts w:hint="eastAsia" w:ascii="Times New Roman"/>
        </w:rPr>
        <w:t>月</w:t>
      </w:r>
      <w:r>
        <w:rPr>
          <w:rFonts w:ascii="Times New Roman"/>
        </w:rPr>
        <w:t>1</w:t>
      </w:r>
      <w:r>
        <w:rPr>
          <w:rFonts w:hint="eastAsia" w:ascii="Times New Roman"/>
        </w:rPr>
        <w:t>日</w:t>
      </w:r>
      <w:r>
        <w:rPr>
          <w:rFonts w:ascii="Times New Roman"/>
        </w:rPr>
        <w:t>8</w:t>
      </w:r>
      <w:r>
        <w:rPr>
          <w:rFonts w:hint="eastAsia" w:ascii="Times New Roman"/>
        </w:rPr>
        <w:t>时</w:t>
      </w:r>
      <w:r>
        <w:rPr>
          <w:rFonts w:ascii="Times New Roman"/>
        </w:rPr>
        <w:t>58</w:t>
      </w:r>
      <w:r>
        <w:rPr>
          <w:rFonts w:hint="eastAsia" w:ascii="Times New Roman"/>
        </w:rPr>
        <w:t>分</w:t>
      </w:r>
      <w:r>
        <w:rPr>
          <w:rFonts w:ascii="Times New Roman"/>
        </w:rPr>
        <w:t>57</w:t>
      </w:r>
      <w:r>
        <w:rPr>
          <w:rFonts w:hint="eastAsia" w:ascii="Times New Roman"/>
        </w:rPr>
        <w:t>秒</w:t>
      </w:r>
      <w:r>
        <w:rPr>
          <w:rFonts w:ascii="Times New Roman"/>
        </w:rPr>
        <w:t>223</w:t>
      </w:r>
      <w:r>
        <w:rPr>
          <w:rFonts w:hint="eastAsia" w:ascii="Times New Roman"/>
        </w:rPr>
        <w:t>毫秒触发一个命令请求；</w:t>
      </w:r>
    </w:p>
    <w:p>
      <w:pPr>
        <w:pStyle w:val="174"/>
        <w:numPr>
          <w:ilvl w:val="0"/>
          <w:numId w:val="40"/>
        </w:numPr>
        <w:tabs>
          <w:tab w:val="left" w:pos="1276"/>
        </w:tabs>
      </w:pPr>
      <w:r>
        <w:rPr>
          <w:rFonts w:ascii="Times New Roman"/>
        </w:rPr>
        <w:tab/>
      </w:r>
      <w:r>
        <w:rPr>
          <w:rFonts w:ascii="Times New Roman"/>
        </w:rPr>
        <w:t>ST=51</w:t>
      </w:r>
      <w:r>
        <w:rPr>
          <w:rFonts w:hint="eastAsia" w:ascii="Times New Roman"/>
        </w:rPr>
        <w:t>表示系统类型为烟气排放过程监控；</w:t>
      </w:r>
    </w:p>
    <w:p>
      <w:pPr>
        <w:pStyle w:val="174"/>
        <w:numPr>
          <w:ilvl w:val="0"/>
          <w:numId w:val="40"/>
        </w:numPr>
        <w:tabs>
          <w:tab w:val="left" w:pos="1276"/>
        </w:tabs>
        <w:rPr>
          <w:rFonts w:ascii="Times New Roman"/>
        </w:rPr>
      </w:pPr>
      <w:r>
        <w:rPr>
          <w:rFonts w:ascii="Times New Roman"/>
        </w:rPr>
        <w:t>CN=2011</w:t>
      </w:r>
      <w:r>
        <w:rPr>
          <w:rFonts w:hint="eastAsia" w:ascii="Times New Roman"/>
        </w:rPr>
        <w:t>表示上传污染物实时数据；</w:t>
      </w:r>
    </w:p>
    <w:p>
      <w:pPr>
        <w:pStyle w:val="174"/>
        <w:numPr>
          <w:ilvl w:val="0"/>
          <w:numId w:val="40"/>
        </w:numPr>
        <w:tabs>
          <w:tab w:val="left" w:pos="1276"/>
        </w:tabs>
        <w:rPr>
          <w:rFonts w:ascii="Times New Roman"/>
        </w:rPr>
      </w:pPr>
      <w:r>
        <w:rPr>
          <w:rFonts w:ascii="Times New Roman"/>
        </w:rPr>
        <w:t>PW=123456</w:t>
      </w:r>
      <w:r>
        <w:rPr>
          <w:rFonts w:hint="eastAsia" w:ascii="Times New Roman"/>
        </w:rPr>
        <w:t>表示设备访问密码；</w:t>
      </w:r>
    </w:p>
    <w:p>
      <w:pPr>
        <w:pStyle w:val="174"/>
        <w:numPr>
          <w:ilvl w:val="0"/>
          <w:numId w:val="40"/>
        </w:numPr>
        <w:tabs>
          <w:tab w:val="left" w:pos="1276"/>
        </w:tabs>
        <w:rPr>
          <w:rFonts w:ascii="Times New Roman"/>
        </w:rPr>
      </w:pPr>
      <w:r>
        <w:rPr>
          <w:rFonts w:ascii="Times New Roman"/>
        </w:rPr>
        <w:t>MN=010000A8900016F000169DC0</w:t>
      </w:r>
      <w:r>
        <w:rPr>
          <w:rFonts w:hint="eastAsia" w:ascii="Times New Roman"/>
        </w:rPr>
        <w:t>表示设备唯一标识；</w:t>
      </w:r>
    </w:p>
    <w:p>
      <w:pPr>
        <w:pStyle w:val="174"/>
        <w:numPr>
          <w:ilvl w:val="0"/>
          <w:numId w:val="40"/>
        </w:numPr>
        <w:tabs>
          <w:tab w:val="left" w:pos="1276"/>
        </w:tabs>
        <w:rPr>
          <w:rFonts w:ascii="Times New Roman"/>
        </w:rPr>
      </w:pPr>
      <w:r>
        <w:rPr>
          <w:rFonts w:ascii="Times New Roman"/>
        </w:rPr>
        <w:t>DataTime=20190301085857</w:t>
      </w:r>
      <w:r>
        <w:rPr>
          <w:rFonts w:hint="eastAsia" w:ascii="Times New Roman"/>
        </w:rPr>
        <w:t>表示上传数据为</w:t>
      </w:r>
      <w:r>
        <w:rPr>
          <w:rFonts w:ascii="Times New Roman"/>
        </w:rPr>
        <w:t>2019</w:t>
      </w:r>
      <w:r>
        <w:rPr>
          <w:rFonts w:hint="eastAsia" w:ascii="Times New Roman"/>
        </w:rPr>
        <w:t>年</w:t>
      </w:r>
      <w:r>
        <w:rPr>
          <w:rFonts w:ascii="Times New Roman"/>
        </w:rPr>
        <w:t>3</w:t>
      </w:r>
      <w:r>
        <w:rPr>
          <w:rFonts w:hint="eastAsia" w:ascii="Times New Roman"/>
        </w:rPr>
        <w:t>月</w:t>
      </w:r>
      <w:r>
        <w:rPr>
          <w:rFonts w:ascii="Times New Roman"/>
        </w:rPr>
        <w:t xml:space="preserve">1 </w:t>
      </w:r>
      <w:r>
        <w:rPr>
          <w:rFonts w:hint="eastAsia" w:ascii="Times New Roman"/>
        </w:rPr>
        <w:t>日</w:t>
      </w:r>
      <w:r>
        <w:rPr>
          <w:rFonts w:ascii="Times New Roman"/>
        </w:rPr>
        <w:t xml:space="preserve">8 </w:t>
      </w:r>
      <w:r>
        <w:rPr>
          <w:rFonts w:hint="eastAsia" w:ascii="Times New Roman"/>
        </w:rPr>
        <w:t>时</w:t>
      </w:r>
      <w:r>
        <w:rPr>
          <w:rFonts w:ascii="Times New Roman"/>
        </w:rPr>
        <w:t xml:space="preserve">58 </w:t>
      </w:r>
      <w:r>
        <w:rPr>
          <w:rFonts w:hint="eastAsia" w:ascii="Times New Roman"/>
        </w:rPr>
        <w:t>分</w:t>
      </w:r>
      <w:r>
        <w:rPr>
          <w:rFonts w:ascii="Times New Roman"/>
        </w:rPr>
        <w:t xml:space="preserve">57 </w:t>
      </w:r>
      <w:r>
        <w:rPr>
          <w:rFonts w:hint="eastAsia" w:ascii="Times New Roman"/>
        </w:rPr>
        <w:t>秒的污染物实时数据（精确到秒）；</w:t>
      </w:r>
    </w:p>
    <w:p>
      <w:pPr>
        <w:pStyle w:val="174"/>
        <w:numPr>
          <w:ilvl w:val="0"/>
          <w:numId w:val="40"/>
        </w:numPr>
        <w:tabs>
          <w:tab w:val="left" w:pos="1276"/>
        </w:tabs>
        <w:rPr>
          <w:rFonts w:ascii="Times New Roman"/>
        </w:rPr>
      </w:pPr>
      <w:r>
        <w:rPr>
          <w:rFonts w:ascii="Times New Roman"/>
        </w:rPr>
        <w:t>g10401-Rtd</w:t>
      </w:r>
      <w:r>
        <w:rPr>
          <w:rFonts w:hint="eastAsia" w:ascii="Times New Roman"/>
        </w:rPr>
        <w:t>表示污染物</w:t>
      </w:r>
      <w:r>
        <w:rPr>
          <w:rFonts w:ascii="Times New Roman"/>
        </w:rPr>
        <w:t>g10401</w:t>
      </w:r>
      <w:r>
        <w:rPr>
          <w:rFonts w:hint="eastAsia" w:ascii="Times New Roman"/>
        </w:rPr>
        <w:t>（浆液循环泵电流）的实时数据；</w:t>
      </w:r>
    </w:p>
    <w:p>
      <w:pPr>
        <w:pStyle w:val="174"/>
        <w:numPr>
          <w:ilvl w:val="0"/>
          <w:numId w:val="40"/>
        </w:numPr>
        <w:tabs>
          <w:tab w:val="left" w:pos="1276"/>
        </w:tabs>
        <w:rPr>
          <w:rFonts w:ascii="Times New Roman"/>
        </w:rPr>
      </w:pPr>
      <w:r>
        <w:rPr>
          <w:rFonts w:ascii="Times New Roman"/>
        </w:rPr>
        <w:t>g10401-Flag</w:t>
      </w:r>
      <w:r>
        <w:rPr>
          <w:rFonts w:hint="eastAsia" w:ascii="Times New Roman"/>
        </w:rPr>
        <w:t>表示污染物</w:t>
      </w:r>
      <w:r>
        <w:rPr>
          <w:rFonts w:ascii="Times New Roman"/>
        </w:rPr>
        <w:t>g10401</w:t>
      </w:r>
      <w:r>
        <w:rPr>
          <w:rFonts w:hint="eastAsia" w:ascii="Times New Roman"/>
        </w:rPr>
        <w:t>的实时数据标记，值为</w:t>
      </w:r>
      <w:r>
        <w:rPr>
          <w:rFonts w:ascii="Times New Roman"/>
        </w:rPr>
        <w:t>N</w:t>
      </w:r>
      <w:r>
        <w:rPr>
          <w:rFonts w:hint="eastAsia" w:ascii="Times New Roman"/>
        </w:rPr>
        <w:t>表示在线监控（监控）仪器仪表工作正常；</w:t>
      </w:r>
    </w:p>
    <w:p>
      <w:pPr>
        <w:pStyle w:val="174"/>
        <w:numPr>
          <w:ilvl w:val="0"/>
          <w:numId w:val="40"/>
        </w:numPr>
        <w:tabs>
          <w:tab w:val="left" w:pos="1276"/>
        </w:tabs>
        <w:rPr>
          <w:rFonts w:ascii="Times New Roman"/>
        </w:rPr>
      </w:pPr>
      <w:r>
        <w:rPr>
          <w:rFonts w:ascii="Times New Roman"/>
        </w:rPr>
        <w:t>g12401-SampleTime</w:t>
      </w:r>
      <w:r>
        <w:rPr>
          <w:rFonts w:hint="eastAsia" w:ascii="Times New Roman"/>
        </w:rPr>
        <w:t>表示污染物</w:t>
      </w:r>
      <w:r>
        <w:rPr>
          <w:rFonts w:ascii="Times New Roman"/>
        </w:rPr>
        <w:t>g12401</w:t>
      </w:r>
      <w:r>
        <w:rPr>
          <w:rFonts w:hint="eastAsia" w:ascii="Times New Roman"/>
        </w:rPr>
        <w:t>（脱硫设施入口烟尘）的实时数据采样时间点，精确到秒（可以没有此项，根据实际情况确定）；</w:t>
      </w:r>
    </w:p>
    <w:p>
      <w:pPr>
        <w:pStyle w:val="174"/>
        <w:numPr>
          <w:ilvl w:val="0"/>
          <w:numId w:val="40"/>
        </w:numPr>
        <w:tabs>
          <w:tab w:val="left" w:pos="1276"/>
        </w:tabs>
        <w:rPr>
          <w:rFonts w:ascii="Times New Roman"/>
        </w:rPr>
      </w:pPr>
      <w:r>
        <w:rPr>
          <w:rFonts w:ascii="Times New Roman"/>
        </w:rPr>
        <w:t>g12401-EFlag</w:t>
      </w:r>
      <w:r>
        <w:rPr>
          <w:rFonts w:hint="eastAsia" w:ascii="Times New Roman"/>
        </w:rPr>
        <w:t>表示污染物</w:t>
      </w:r>
      <w:r>
        <w:rPr>
          <w:rFonts w:ascii="Times New Roman"/>
        </w:rPr>
        <w:t>g12401</w:t>
      </w:r>
      <w:r>
        <w:rPr>
          <w:rFonts w:hint="eastAsia" w:ascii="Times New Roman"/>
        </w:rPr>
        <w:t>对应在线监控（监控）仪器仪表的设备标志，取值由具体设备自行定义（可以没有此项，根据实际情况确定）。</w:t>
      </w:r>
    </w:p>
    <w:p>
      <w:pPr>
        <w:pStyle w:val="83"/>
        <w:spacing w:before="156" w:after="156"/>
        <w:rPr>
          <w:rFonts w:hAnsi="黑体" w:cs="黑体"/>
          <w:bCs/>
        </w:rPr>
      </w:pPr>
      <w:r>
        <w:rPr>
          <w:rFonts w:hint="eastAsia" w:hAnsi="黑体" w:cs="黑体"/>
          <w:bCs/>
        </w:rPr>
        <w:t>生活垃圾焚烧厂烟气排放过程（工况）监控处理工艺表</w:t>
      </w:r>
    </w:p>
    <w:tbl>
      <w:tblPr>
        <w:tblStyle w:val="28"/>
        <w:tblW w:w="9480" w:type="dxa"/>
        <w:tblInd w:w="9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285"/>
        <w:gridCol w:w="3260"/>
        <w:gridCol w:w="850"/>
        <w:gridCol w:w="32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859" w:type="dxa"/>
            <w:tcBorders>
              <w:top w:val="single" w:color="auto" w:sz="12" w:space="0"/>
              <w:left w:val="single" w:color="auto" w:sz="12" w:space="0"/>
              <w:bottom w:val="single" w:color="auto" w:sz="12"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序号</w:t>
            </w:r>
          </w:p>
        </w:tc>
        <w:tc>
          <w:tcPr>
            <w:tcW w:w="1285"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类别</w:t>
            </w:r>
          </w:p>
        </w:tc>
        <w:tc>
          <w:tcPr>
            <w:tcW w:w="3260"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工艺类型</w:t>
            </w:r>
          </w:p>
        </w:tc>
        <w:tc>
          <w:tcPr>
            <w:tcW w:w="850"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代码</w:t>
            </w:r>
          </w:p>
        </w:tc>
        <w:tc>
          <w:tcPr>
            <w:tcW w:w="3225" w:type="dxa"/>
            <w:tcBorders>
              <w:top w:val="single" w:color="auto" w:sz="12" w:space="0"/>
              <w:left w:val="single" w:color="auto" w:sz="4" w:space="0"/>
              <w:bottom w:val="single" w:color="auto" w:sz="12" w:space="0"/>
              <w:right w:val="single" w:color="auto" w:sz="12" w:space="0"/>
            </w:tcBorders>
          </w:tcPr>
          <w:p>
            <w:pPr>
              <w:widowControl/>
              <w:jc w:val="center"/>
              <w:rPr>
                <w:rFonts w:ascii="宋体" w:hAnsi="宋体"/>
                <w:color w:val="000000"/>
                <w:kern w:val="0"/>
              </w:rPr>
            </w:pPr>
            <w:r>
              <w:rPr>
                <w:rFonts w:hint="eastAsia" w:ascii="宋体" w:hAnsi="宋体"/>
                <w:color w:val="000000"/>
                <w:kern w:val="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12"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1</w:t>
            </w:r>
          </w:p>
        </w:tc>
        <w:tc>
          <w:tcPr>
            <w:tcW w:w="1285" w:type="dxa"/>
            <w:tcBorders>
              <w:top w:val="single" w:color="auto" w:sz="12" w:space="0"/>
              <w:left w:val="single" w:color="auto" w:sz="4" w:space="0"/>
              <w:bottom w:val="single" w:color="auto" w:sz="4" w:space="0"/>
              <w:right w:val="single" w:color="auto" w:sz="4" w:space="0"/>
            </w:tcBorders>
            <w:noWrap/>
            <w:vAlign w:val="center"/>
          </w:tcPr>
          <w:p>
            <w:pPr>
              <w:jc w:val="left"/>
              <w:rPr>
                <w:rFonts w:ascii="宋体" w:hAnsi="宋体"/>
                <w:color w:val="000000"/>
                <w:kern w:val="0"/>
              </w:rPr>
            </w:pPr>
            <w:r>
              <w:rPr>
                <w:rFonts w:hint="eastAsia" w:ascii="宋体" w:hAnsi="宋体"/>
                <w:color w:val="000000"/>
                <w:kern w:val="0"/>
              </w:rPr>
              <w:t>焚烧系统</w:t>
            </w:r>
          </w:p>
        </w:tc>
        <w:tc>
          <w:tcPr>
            <w:tcW w:w="3260" w:type="dxa"/>
            <w:tcBorders>
              <w:top w:val="single" w:color="auto" w:sz="12"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rPr>
              <w:t>排炉或流化床</w:t>
            </w:r>
          </w:p>
        </w:tc>
        <w:tc>
          <w:tcPr>
            <w:tcW w:w="850"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hAnsi="宋体"/>
                <w:kern w:val="0"/>
              </w:rPr>
            </w:pPr>
            <w:r>
              <w:rPr>
                <w:rFonts w:hint="eastAsia" w:ascii="宋体" w:hAnsi="宋体"/>
                <w:kern w:val="0"/>
              </w:rPr>
              <w:t>/</w:t>
            </w:r>
          </w:p>
        </w:tc>
        <w:tc>
          <w:tcPr>
            <w:tcW w:w="3225" w:type="dxa"/>
            <w:tcBorders>
              <w:top w:val="single" w:color="auto" w:sz="12"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延用</w:t>
            </w:r>
            <w:r>
              <w:rPr>
                <w:rFonts w:ascii="Times New Roman" w:hAnsi="Times New Roman"/>
                <w:kern w:val="0"/>
              </w:rPr>
              <w:t>HJ 212</w:t>
            </w:r>
            <w:r>
              <w:rPr>
                <w:rFonts w:hint="eastAsia" w:ascii="宋体" w:hAnsi="宋体"/>
                <w:kern w:val="0"/>
              </w:rPr>
              <w:t>表</w:t>
            </w:r>
            <w:r>
              <w:rPr>
                <w:rFonts w:ascii="Times New Roman" w:hAnsi="Times New Roman"/>
                <w:kern w:val="0"/>
              </w:rPr>
              <w:t>B.10</w:t>
            </w:r>
            <w:r>
              <w:rPr>
                <w:rFonts w:hint="eastAsia" w:ascii="宋体" w:hAnsi="宋体"/>
                <w:kern w:val="0"/>
              </w:rPr>
              <w:t>“现场端信息编码表”中编码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2</w:t>
            </w:r>
          </w:p>
        </w:tc>
        <w:tc>
          <w:tcPr>
            <w:tcW w:w="1285"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供风系统</w:t>
            </w:r>
          </w:p>
        </w:tc>
        <w:tc>
          <w:tcPr>
            <w:tcW w:w="32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rPr>
            </w:pPr>
            <w:r>
              <w:rPr>
                <w:rFonts w:hint="eastAsia" w:ascii="宋体" w:hAnsi="宋体"/>
                <w:kern w:val="0"/>
              </w:rPr>
              <w:t>--</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a</w:t>
            </w:r>
            <w:r>
              <w:rPr>
                <w:rFonts w:ascii="Times New Roman" w:hAnsi="Times New Roman"/>
                <w:kern w:val="0"/>
                <w:vertAlign w:val="superscript"/>
              </w:rPr>
              <w:t>*</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3</w:t>
            </w:r>
          </w:p>
        </w:tc>
        <w:tc>
          <w:tcPr>
            <w:tcW w:w="1285" w:type="dxa"/>
            <w:vMerge w:val="restart"/>
            <w:tcBorders>
              <w:top w:val="single" w:color="auto" w:sz="4" w:space="0"/>
              <w:left w:val="single" w:color="auto" w:sz="4" w:space="0"/>
              <w:bottom w:val="single" w:color="auto" w:sz="4" w:space="0"/>
              <w:right w:val="single" w:color="auto" w:sz="4" w:space="0"/>
            </w:tcBorders>
            <w:noWrap/>
            <w:vAlign w:val="center"/>
          </w:tcPr>
          <w:p>
            <w:pPr>
              <w:jc w:val="left"/>
              <w:rPr>
                <w:rFonts w:ascii="宋体" w:hAnsi="宋体"/>
                <w:color w:val="000000"/>
                <w:kern w:val="0"/>
              </w:rPr>
            </w:pPr>
            <w:r>
              <w:rPr>
                <w:rFonts w:hint="eastAsia" w:ascii="宋体" w:hAnsi="宋体"/>
                <w:color w:val="000000"/>
                <w:kern w:val="0"/>
              </w:rPr>
              <w:t>烟气净化系统</w:t>
            </w: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半干法脱酸</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b</w:t>
            </w:r>
            <w:r>
              <w:rPr>
                <w:rFonts w:ascii="Times New Roman" w:hAnsi="Times New Roman"/>
                <w:kern w:val="0"/>
                <w:vertAlign w:val="superscript"/>
              </w:rPr>
              <w:t>*</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4</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活性炭吸附</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c</w:t>
            </w:r>
            <w:r>
              <w:rPr>
                <w:rFonts w:ascii="Times New Roman" w:hAnsi="Times New Roman"/>
                <w:kern w:val="0"/>
                <w:vertAlign w:val="superscript"/>
              </w:rPr>
              <w:t>*</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5</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rPr>
            </w:pPr>
            <w:r>
              <w:rPr>
                <w:rFonts w:ascii="Times New Roman" w:hAnsi="Times New Roman"/>
                <w:kern w:val="0"/>
              </w:rPr>
              <w:t>SCR</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3</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包括液氨法和尿素法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6</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rPr>
            </w:pPr>
            <w:r>
              <w:rPr>
                <w:rFonts w:ascii="Times New Roman" w:hAnsi="Times New Roman"/>
                <w:kern w:val="0"/>
              </w:rPr>
              <w:t>SNCR</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4</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7</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电除尘</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5</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8</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布袋除尘</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6</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9</w:t>
            </w:r>
          </w:p>
        </w:tc>
        <w:tc>
          <w:tcPr>
            <w:tcW w:w="45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color w:val="000000"/>
                <w:kern w:val="0"/>
              </w:rPr>
            </w:pP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湿式电除尘</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8</w:t>
            </w:r>
            <w:r>
              <w:rPr>
                <w:rFonts w:ascii="Times New Roman" w:hAnsi="Times New Roman"/>
                <w:kern w:val="0"/>
                <w:vertAlign w:val="superscript"/>
              </w:rPr>
              <w:t>*</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10</w:t>
            </w:r>
          </w:p>
        </w:tc>
        <w:tc>
          <w:tcPr>
            <w:tcW w:w="4545" w:type="dxa"/>
            <w:gridSpan w:val="2"/>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rPr>
            </w:pPr>
            <w:r>
              <w:rPr>
                <w:rFonts w:hint="eastAsia" w:ascii="宋体" w:hAnsi="宋体"/>
                <w:kern w:val="0"/>
              </w:rPr>
              <w:t>生产设施</w:t>
            </w:r>
          </w:p>
        </w:tc>
        <w:tc>
          <w:tcPr>
            <w:tcW w:w="85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kern w:val="0"/>
              </w:rPr>
            </w:pPr>
            <w:r>
              <w:rPr>
                <w:rFonts w:ascii="Times New Roman" w:hAnsi="Times New Roman"/>
                <w:kern w:val="0"/>
              </w:rPr>
              <w:t>9</w:t>
            </w:r>
            <w:r>
              <w:rPr>
                <w:rFonts w:ascii="Times New Roman" w:hAnsi="Times New Roman"/>
                <w:kern w:val="0"/>
                <w:vertAlign w:val="superscript"/>
              </w:rPr>
              <w:t>*</w:t>
            </w:r>
          </w:p>
        </w:tc>
        <w:tc>
          <w:tcPr>
            <w:tcW w:w="3225" w:type="dxa"/>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rPr>
            </w:pPr>
            <w:r>
              <w:rPr>
                <w:rFonts w:hint="eastAsia" w:ascii="宋体" w:hAnsi="宋体"/>
                <w:kern w:val="0"/>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9" w:type="dxa"/>
            <w:tcBorders>
              <w:top w:val="single" w:color="auto" w:sz="4" w:space="0"/>
              <w:left w:val="single" w:color="auto" w:sz="12" w:space="0"/>
              <w:bottom w:val="single" w:color="auto" w:sz="12" w:space="0"/>
              <w:right w:val="single" w:color="auto" w:sz="4" w:space="0"/>
            </w:tcBorders>
            <w:noWrap/>
            <w:vAlign w:val="center"/>
          </w:tcPr>
          <w:p>
            <w:pPr>
              <w:widowControl/>
              <w:jc w:val="center"/>
              <w:rPr>
                <w:rFonts w:ascii="宋体" w:hAnsi="宋体"/>
                <w:color w:val="000000"/>
                <w:kern w:val="0"/>
              </w:rPr>
            </w:pPr>
            <w:r>
              <w:rPr>
                <w:rFonts w:hint="eastAsia" w:ascii="宋体" w:hAnsi="宋体"/>
                <w:color w:val="000000"/>
                <w:kern w:val="0"/>
              </w:rPr>
              <w:t>11</w:t>
            </w:r>
          </w:p>
        </w:tc>
        <w:tc>
          <w:tcPr>
            <w:tcW w:w="4545" w:type="dxa"/>
            <w:gridSpan w:val="2"/>
            <w:tcBorders>
              <w:top w:val="single" w:color="auto" w:sz="4" w:space="0"/>
              <w:left w:val="single" w:color="auto" w:sz="4" w:space="0"/>
              <w:bottom w:val="single" w:color="auto" w:sz="12" w:space="0"/>
              <w:right w:val="single" w:color="auto" w:sz="4" w:space="0"/>
            </w:tcBorders>
            <w:noWrap/>
            <w:vAlign w:val="center"/>
          </w:tcPr>
          <w:p>
            <w:pPr>
              <w:widowControl/>
              <w:jc w:val="left"/>
              <w:rPr>
                <w:rFonts w:ascii="宋体" w:hAnsi="宋体"/>
              </w:rPr>
            </w:pPr>
            <w:r>
              <w:rPr>
                <w:rFonts w:hint="eastAsia" w:ascii="宋体" w:hAnsi="宋体"/>
              </w:rPr>
              <w:t>预留扩充</w:t>
            </w:r>
          </w:p>
        </w:tc>
        <w:tc>
          <w:tcPr>
            <w:tcW w:w="850"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Times New Roman" w:hAnsi="Times New Roman"/>
                <w:color w:val="000000"/>
                <w:kern w:val="0"/>
              </w:rPr>
            </w:pPr>
            <w:r>
              <w:rPr>
                <w:rFonts w:ascii="Times New Roman" w:hAnsi="Times New Roman"/>
                <w:color w:val="000000"/>
                <w:kern w:val="0"/>
              </w:rPr>
              <w:t>d-z</w:t>
            </w:r>
          </w:p>
        </w:tc>
        <w:tc>
          <w:tcPr>
            <w:tcW w:w="3225" w:type="dxa"/>
            <w:tcBorders>
              <w:top w:val="single" w:color="auto" w:sz="4" w:space="0"/>
              <w:left w:val="single" w:color="auto" w:sz="4" w:space="0"/>
              <w:bottom w:val="single" w:color="auto" w:sz="12" w:space="0"/>
              <w:right w:val="single" w:color="auto" w:sz="12" w:space="0"/>
            </w:tcBorders>
          </w:tcPr>
          <w:p>
            <w:pPr>
              <w:widowControl/>
              <w:jc w:val="left"/>
              <w:rPr>
                <w:rFonts w:ascii="宋体" w:hAnsi="宋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479" w:type="dxa"/>
            <w:gridSpan w:val="5"/>
            <w:tcBorders>
              <w:top w:val="single" w:color="auto" w:sz="12" w:space="0"/>
              <w:left w:val="single" w:color="auto" w:sz="12" w:space="0"/>
              <w:bottom w:val="single" w:color="auto" w:sz="12" w:space="0"/>
              <w:right w:val="single" w:color="auto" w:sz="12" w:space="0"/>
            </w:tcBorders>
            <w:noWrap/>
            <w:vAlign w:val="center"/>
          </w:tcPr>
          <w:p>
            <w:pPr>
              <w:widowControl/>
              <w:ind w:firstLine="420" w:firstLineChars="200"/>
              <w:jc w:val="left"/>
              <w:rPr>
                <w:rFonts w:ascii="宋体" w:hAnsi="宋体"/>
                <w:color w:val="000000"/>
                <w:kern w:val="0"/>
              </w:rPr>
            </w:pPr>
            <w:r>
              <w:rPr>
                <w:rFonts w:hint="eastAsia" w:ascii="黑体" w:hAnsi="黑体" w:eastAsia="黑体"/>
              </w:rPr>
              <w:t>注：</w:t>
            </w:r>
            <w:r>
              <w:rPr>
                <w:rFonts w:hint="eastAsia" w:ascii="宋体" w:hAnsi="宋体"/>
              </w:rPr>
              <w:t>加“*”表示该项为</w:t>
            </w:r>
            <w:r>
              <w:rPr>
                <w:rFonts w:ascii="Times New Roman" w:hAnsi="Times New Roman"/>
              </w:rPr>
              <w:t>HJ 212</w:t>
            </w:r>
            <w:r>
              <w:rPr>
                <w:rFonts w:hint="eastAsia" w:ascii="宋体" w:hAnsi="宋体"/>
              </w:rPr>
              <w:t>的扩充项。</w:t>
            </w:r>
          </w:p>
        </w:tc>
      </w:tr>
    </w:tbl>
    <w:p>
      <w:pPr>
        <w:widowControl/>
        <w:jc w:val="left"/>
        <w:rPr>
          <w:rFonts w:ascii="宋体" w:hAnsi="宋体"/>
        </w:rPr>
      </w:pPr>
    </w:p>
    <w:p>
      <w:pPr>
        <w:pStyle w:val="83"/>
        <w:spacing w:before="156" w:after="156"/>
        <w:rPr>
          <w:rFonts w:hAnsi="黑体" w:cs="黑体"/>
          <w:bCs/>
        </w:rPr>
      </w:pPr>
      <w:r>
        <w:rPr>
          <w:rFonts w:hint="eastAsia" w:hAnsi="黑体" w:cs="黑体"/>
          <w:bCs/>
        </w:rPr>
        <w:t>生活垃圾焚烧厂烟气排放过程（工况）监控监测因子编码表</w:t>
      </w:r>
    </w:p>
    <w:tbl>
      <w:tblPr>
        <w:tblStyle w:val="28"/>
        <w:tblW w:w="9105" w:type="dxa"/>
        <w:tblInd w:w="9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2409"/>
        <w:gridCol w:w="1436"/>
        <w:gridCol w:w="1418"/>
        <w:gridCol w:w="1842"/>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151" w:type="dxa"/>
            <w:tcBorders>
              <w:top w:val="single" w:color="auto" w:sz="12" w:space="0"/>
              <w:left w:val="single" w:color="auto" w:sz="12" w:space="0"/>
              <w:bottom w:val="single" w:color="auto" w:sz="12"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编码</w:t>
            </w:r>
          </w:p>
        </w:tc>
        <w:tc>
          <w:tcPr>
            <w:tcW w:w="2410"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中文名称</w:t>
            </w:r>
          </w:p>
        </w:tc>
        <w:tc>
          <w:tcPr>
            <w:tcW w:w="1436"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缺省计量单位</w:t>
            </w:r>
          </w:p>
        </w:tc>
        <w:tc>
          <w:tcPr>
            <w:tcW w:w="1418" w:type="dxa"/>
            <w:tcBorders>
              <w:top w:val="single" w:color="auto" w:sz="12" w:space="0"/>
              <w:left w:val="single" w:color="auto" w:sz="4" w:space="0"/>
              <w:bottom w:val="single" w:color="auto" w:sz="12"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缺省数据类型</w:t>
            </w:r>
          </w:p>
        </w:tc>
        <w:tc>
          <w:tcPr>
            <w:tcW w:w="2693" w:type="dxa"/>
            <w:gridSpan w:val="2"/>
            <w:tcBorders>
              <w:top w:val="single" w:color="auto" w:sz="12" w:space="0"/>
              <w:left w:val="single" w:color="auto" w:sz="4" w:space="0"/>
              <w:bottom w:val="single" w:color="auto" w:sz="12" w:space="0"/>
              <w:right w:val="single" w:color="auto" w:sz="12" w:space="0"/>
            </w:tcBorders>
          </w:tcPr>
          <w:p>
            <w:pPr>
              <w:widowControl/>
              <w:jc w:val="center"/>
              <w:rPr>
                <w:rFonts w:ascii="宋体" w:hAnsi="宋体"/>
                <w:color w:val="000000"/>
                <w:kern w:val="0"/>
                <w:sz w:val="18"/>
                <w:szCs w:val="18"/>
              </w:rPr>
            </w:pPr>
            <w:r>
              <w:rPr>
                <w:rFonts w:hint="eastAsia" w:ascii="宋体" w:hAnsi="宋体"/>
                <w:color w:val="000000"/>
                <w:kern w:val="0"/>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12"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i3331x</w:t>
            </w:r>
          </w:p>
        </w:tc>
        <w:tc>
          <w:tcPr>
            <w:tcW w:w="2410" w:type="dxa"/>
            <w:tcBorders>
              <w:top w:val="single" w:color="auto" w:sz="12"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shd w:val="clear" w:color="auto" w:fill="FFFFFF"/>
              </w:rPr>
              <w:t>炉膛内上部焚烧温度</w:t>
            </w:r>
          </w:p>
        </w:tc>
        <w:tc>
          <w:tcPr>
            <w:tcW w:w="1436" w:type="dxa"/>
            <w:tcBorders>
              <w:top w:val="single" w:color="auto" w:sz="12"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12"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2693" w:type="dxa"/>
            <w:gridSpan w:val="2"/>
            <w:vMerge w:val="restart"/>
            <w:tcBorders>
              <w:top w:val="single" w:color="auto" w:sz="12" w:space="0"/>
              <w:left w:val="single" w:color="auto" w:sz="4" w:space="0"/>
              <w:bottom w:val="single" w:color="auto" w:sz="4" w:space="0"/>
              <w:right w:val="single" w:color="auto" w:sz="12" w:space="0"/>
            </w:tcBorders>
            <w:vAlign w:val="center"/>
          </w:tcPr>
          <w:p>
            <w:pPr>
              <w:widowControl/>
              <w:jc w:val="left"/>
              <w:rPr>
                <w:rFonts w:ascii="Times New Roman" w:hAnsi="Times New Roman"/>
                <w:kern w:val="0"/>
                <w:sz w:val="18"/>
                <w:szCs w:val="18"/>
              </w:rPr>
            </w:pPr>
            <w:r>
              <w:rPr>
                <w:rFonts w:hint="eastAsia" w:ascii="宋体" w:hAnsi="宋体"/>
                <w:kern w:val="0"/>
                <w:sz w:val="18"/>
                <w:szCs w:val="18"/>
              </w:rPr>
              <w:t>延用HJ 212编码，此处x 为设备编号（0-9），可以根据测点数量扩充；测量数值变化或者以固定时间间隔上传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i3332x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shd w:val="clear" w:color="auto" w:fill="FFFFFF"/>
              </w:rPr>
              <w:t>炉膛内中部焚烧温度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35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i3333x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shd w:val="clear" w:color="auto" w:fill="FFFFFF"/>
              </w:rPr>
              <w:t>炉膛内下部焚烧温度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35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i3334x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shd w:val="clear" w:color="auto" w:fill="FFFFFF"/>
              </w:rPr>
              <w:t>炉膛内</w:t>
            </w:r>
            <w:r>
              <w:rPr>
                <w:rFonts w:hint="eastAsia" w:ascii="宋体" w:hAnsi="宋体"/>
                <w:kern w:val="0"/>
                <w:sz w:val="18"/>
                <w:szCs w:val="18"/>
              </w:rPr>
              <w:t>二次空气喷入点</w:t>
            </w:r>
            <w:r>
              <w:rPr>
                <w:rFonts w:hint="eastAsia" w:ascii="宋体" w:hAnsi="宋体"/>
                <w:sz w:val="18"/>
                <w:szCs w:val="18"/>
                <w:shd w:val="clear" w:color="auto" w:fill="FFFFFF"/>
              </w:rPr>
              <w:t>温度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35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Times New Roman" w:hAnsi="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i3335x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sz w:val="18"/>
                <w:szCs w:val="18"/>
                <w:shd w:val="clear" w:color="auto" w:fill="FFFFFF"/>
              </w:rPr>
              <w:t>炉膛平均温度</w:t>
            </w:r>
            <w:r>
              <w:rPr>
                <w:rFonts w:hint="eastAsia" w:ascii="宋体" w:hAnsi="宋体"/>
                <w:kern w:val="0"/>
                <w:sz w:val="18"/>
                <w:szCs w:val="18"/>
                <w:vertAlign w:val="superscript"/>
              </w:rPr>
              <w:t>*</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扩充，因子编码续HJ 212</w:t>
            </w:r>
          </w:p>
        </w:tc>
        <w:tc>
          <w:tcPr>
            <w:tcW w:w="850" w:type="dxa"/>
            <w:tcBorders>
              <w:top w:val="single" w:color="auto" w:sz="4" w:space="0"/>
              <w:left w:val="single" w:color="auto" w:sz="4" w:space="0"/>
              <w:bottom w:val="single" w:color="auto" w:sz="4" w:space="0"/>
              <w:right w:val="single" w:color="auto" w:sz="12" w:space="0"/>
            </w:tcBorders>
            <w:vAlign w:val="center"/>
          </w:tcPr>
          <w:p>
            <w:pPr>
              <w:jc w:val="left"/>
              <w:rPr>
                <w:rFonts w:ascii="Times New Roman" w:hAnsi="Times New Roman"/>
                <w:kern w:val="0"/>
                <w:sz w:val="18"/>
                <w:szCs w:val="18"/>
              </w:rPr>
            </w:pPr>
            <w:r>
              <w:rPr>
                <w:rFonts w:ascii="Times New Roman" w:hAnsi="Times New Roman"/>
                <w:bCs/>
                <w:kern w:val="44"/>
                <w:sz w:val="18"/>
                <w:szCs w:val="18"/>
              </w:rPr>
              <w:t>A01</w:t>
            </w:r>
            <w:r>
              <w:rPr>
                <w:rFonts w:ascii="Times New Roman" w:hAnsi="Times New Roman"/>
                <w:kern w:val="0"/>
                <w:sz w:val="18"/>
                <w:szCs w:val="18"/>
              </w:rPr>
              <w:t>901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i3336x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sz w:val="18"/>
                <w:szCs w:val="18"/>
                <w:shd w:val="clear" w:color="auto" w:fill="FFFFFF"/>
              </w:rPr>
              <w:t>炉膛DCS温度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26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hAnsi="宋体"/>
                <w:kern w:val="0"/>
                <w:sz w:val="18"/>
                <w:szCs w:val="18"/>
              </w:rPr>
            </w:pPr>
          </w:p>
        </w:tc>
        <w:tc>
          <w:tcPr>
            <w:tcW w:w="850" w:type="dxa"/>
            <w:tcBorders>
              <w:top w:val="single" w:color="auto" w:sz="4" w:space="0"/>
              <w:left w:val="single" w:color="auto" w:sz="4" w:space="0"/>
              <w:bottom w:val="single" w:color="auto" w:sz="4" w:space="0"/>
              <w:right w:val="single" w:color="auto" w:sz="12" w:space="0"/>
            </w:tcBorders>
            <w:vAlign w:val="center"/>
          </w:tcPr>
          <w:p>
            <w:pPr>
              <w:widowControl/>
              <w:jc w:val="left"/>
              <w:rPr>
                <w:rFonts w:ascii="Times New Roman" w:hAnsi="Times New Roman"/>
                <w:kern w:val="0"/>
                <w:sz w:val="18"/>
                <w:szCs w:val="18"/>
              </w:rPr>
            </w:pPr>
            <w:r>
              <w:rPr>
                <w:rFonts w:ascii="Times New Roman" w:hAnsi="Times New Roman"/>
                <w:bCs/>
                <w:kern w:val="44"/>
                <w:sz w:val="18"/>
                <w:szCs w:val="18"/>
              </w:rPr>
              <w:t>A01</w:t>
            </w:r>
            <w:r>
              <w:rPr>
                <w:rFonts w:ascii="Times New Roman" w:hAnsi="Times New Roman"/>
                <w:kern w:val="0"/>
                <w:sz w:val="18"/>
                <w:szCs w:val="18"/>
              </w:rPr>
              <w:t>902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ga01xx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风机阀门开度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N3.1</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ga02xx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变频输出功率</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瓦[特]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gb01xx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石灰浆喷射量</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千克/小时</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sz w:val="18"/>
                <w:szCs w:val="18"/>
              </w:rPr>
            </w:pPr>
            <w:r>
              <w:rPr>
                <w:rFonts w:ascii="Times New Roman" w:hAnsi="Times New Roman"/>
                <w:sz w:val="18"/>
                <w:szCs w:val="18"/>
              </w:rPr>
              <w:t>N4.3</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gb02xx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旋转雾化器电流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sz w:val="18"/>
                <w:szCs w:val="18"/>
              </w:rPr>
            </w:pPr>
            <w:r>
              <w:rPr>
                <w:rFonts w:ascii="Times New Roman" w:hAnsi="Times New Roman"/>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gc01xx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sz w:val="18"/>
                <w:szCs w:val="18"/>
              </w:rPr>
            </w:pPr>
            <w:r>
              <w:rPr>
                <w:rFonts w:hint="eastAsia" w:ascii="宋体" w:hAnsi="宋体"/>
                <w:sz w:val="18"/>
                <w:szCs w:val="18"/>
              </w:rPr>
              <w:t>活性炭喷射量</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千克/小时</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N2.1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g301xx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氨喷射系统电流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g302xx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稀释风机状态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g303xx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稀释风机电流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g304xx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氨泵风机状态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g305xx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氨泵风机电流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widowControl/>
              <w:jc w:val="left"/>
              <w:rPr>
                <w:rFonts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g306xx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旁路挡板状态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g307xx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旁路挡板开度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[角]度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N4</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color w:val="000000"/>
                <w:kern w:val="0"/>
                <w:sz w:val="18"/>
                <w:szCs w:val="18"/>
              </w:rPr>
            </w:pPr>
            <w:r>
              <w:rPr>
                <w:rFonts w:hint="eastAsia" w:ascii="宋体" w:hAnsi="宋体"/>
                <w:color w:val="000000"/>
                <w:kern w:val="0"/>
                <w:sz w:val="18"/>
                <w:szCs w:val="18"/>
              </w:rPr>
              <w:t>g308xx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旁路挡板左右压差</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olor w:val="000000"/>
                <w:kern w:val="0"/>
                <w:sz w:val="18"/>
                <w:szCs w:val="18"/>
              </w:rPr>
            </w:pPr>
            <w:r>
              <w:rPr>
                <w:rFonts w:hint="eastAsia" w:ascii="宋体" w:hAnsi="宋体"/>
                <w:color w:val="000000"/>
                <w:kern w:val="0"/>
                <w:sz w:val="18"/>
                <w:szCs w:val="18"/>
              </w:rPr>
              <w:t>千帕</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color w:val="000000"/>
                <w:kern w:val="0"/>
                <w:sz w:val="18"/>
                <w:szCs w:val="18"/>
              </w:rPr>
            </w:pPr>
            <w:r>
              <w:rPr>
                <w:rFonts w:ascii="Times New Roman" w:hAnsi="Times New Roman"/>
                <w:color w:val="000000"/>
                <w:kern w:val="0"/>
                <w:sz w:val="18"/>
                <w:szCs w:val="18"/>
              </w:rPr>
              <w:t>N5.3</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tcPr>
          <w:p>
            <w:pPr>
              <w:jc w:val="center"/>
              <w:rPr>
                <w:rFonts w:ascii="宋体" w:hAnsi="宋体"/>
                <w:sz w:val="18"/>
                <w:szCs w:val="18"/>
              </w:rPr>
            </w:pPr>
            <w:r>
              <w:rPr>
                <w:rFonts w:hint="eastAsia" w:ascii="宋体" w:hAnsi="宋体"/>
                <w:kern w:val="0"/>
                <w:sz w:val="18"/>
                <w:szCs w:val="18"/>
              </w:rPr>
              <w:t>g309xx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尿素溶液流量</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立方米/小时</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N4.3</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tcPr>
          <w:p>
            <w:pPr>
              <w:jc w:val="center"/>
              <w:rPr>
                <w:rFonts w:ascii="宋体" w:hAnsi="宋体"/>
                <w:sz w:val="18"/>
                <w:szCs w:val="18"/>
              </w:rPr>
            </w:pPr>
            <w:r>
              <w:rPr>
                <w:rFonts w:hint="eastAsia" w:ascii="宋体" w:hAnsi="宋体"/>
                <w:kern w:val="0"/>
                <w:sz w:val="18"/>
                <w:szCs w:val="18"/>
              </w:rPr>
              <w:t>g310xx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喷枪运行状态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tcPr>
          <w:p>
            <w:pPr>
              <w:jc w:val="center"/>
              <w:rPr>
                <w:rFonts w:ascii="宋体" w:hAnsi="宋体"/>
                <w:sz w:val="18"/>
                <w:szCs w:val="18"/>
              </w:rPr>
            </w:pPr>
            <w:r>
              <w:rPr>
                <w:rFonts w:hint="eastAsia" w:ascii="宋体" w:hAnsi="宋体"/>
                <w:kern w:val="0"/>
                <w:sz w:val="18"/>
                <w:szCs w:val="18"/>
              </w:rPr>
              <w:t>g311xx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kern w:val="0"/>
                <w:sz w:val="18"/>
                <w:szCs w:val="18"/>
              </w:rPr>
            </w:pPr>
            <w:r>
              <w:rPr>
                <w:rFonts w:hint="eastAsia" w:ascii="宋体" w:hAnsi="宋体"/>
                <w:kern w:val="0"/>
                <w:sz w:val="18"/>
                <w:szCs w:val="18"/>
              </w:rPr>
              <w:t>尿素循环泵状态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tcPr>
          <w:p>
            <w:pPr>
              <w:jc w:val="center"/>
              <w:rPr>
                <w:rFonts w:ascii="宋体" w:hAnsi="宋体"/>
                <w:sz w:val="18"/>
                <w:szCs w:val="18"/>
              </w:rPr>
            </w:pPr>
            <w:r>
              <w:rPr>
                <w:rFonts w:hint="eastAsia" w:ascii="宋体" w:hAnsi="宋体"/>
                <w:kern w:val="0"/>
                <w:sz w:val="18"/>
                <w:szCs w:val="18"/>
              </w:rPr>
              <w:t>g312xx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kern w:val="0"/>
                <w:sz w:val="18"/>
                <w:szCs w:val="18"/>
              </w:rPr>
            </w:pPr>
            <w:r>
              <w:rPr>
                <w:rFonts w:hint="eastAsia" w:ascii="宋体" w:hAnsi="宋体"/>
                <w:kern w:val="0"/>
                <w:sz w:val="18"/>
                <w:szCs w:val="18"/>
              </w:rPr>
              <w:t>尿素循环泵电流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g401xx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还原剂流量</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立方米/小时</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N4.3</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g402xx</w:t>
            </w:r>
          </w:p>
        </w:tc>
        <w:tc>
          <w:tcPr>
            <w:tcW w:w="241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氨泵电流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g501xx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sz w:val="18"/>
                <w:szCs w:val="18"/>
              </w:rPr>
            </w:pPr>
            <w:r>
              <w:rPr>
                <w:rFonts w:hint="eastAsia" w:ascii="宋体" w:hAnsi="宋体"/>
                <w:kern w:val="0"/>
                <w:sz w:val="18"/>
                <w:szCs w:val="18"/>
              </w:rPr>
              <w:t>一次电压、</w:t>
            </w:r>
            <w:r>
              <w:rPr>
                <w:rFonts w:hint="eastAsia" w:ascii="宋体" w:hAnsi="宋体"/>
                <w:sz w:val="18"/>
                <w:szCs w:val="18"/>
              </w:rPr>
              <w:t>二次电压</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伏[特]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g502xx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sz w:val="18"/>
                <w:szCs w:val="18"/>
              </w:rPr>
            </w:pPr>
            <w:r>
              <w:rPr>
                <w:rFonts w:hint="eastAsia" w:ascii="宋体" w:hAnsi="宋体"/>
                <w:kern w:val="0"/>
                <w:sz w:val="18"/>
                <w:szCs w:val="18"/>
              </w:rPr>
              <w:t>一次电流、二次电流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g601xx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sz w:val="18"/>
                <w:szCs w:val="18"/>
              </w:rPr>
            </w:pPr>
            <w:r>
              <w:rPr>
                <w:rFonts w:hint="eastAsia" w:ascii="宋体" w:hAnsi="宋体"/>
                <w:sz w:val="18"/>
                <w:szCs w:val="18"/>
              </w:rPr>
              <w:t>进出口压差</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千帕</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N5.3</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g602xx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kern w:val="0"/>
                <w:sz w:val="18"/>
                <w:szCs w:val="18"/>
              </w:rPr>
            </w:pPr>
            <w:r>
              <w:rPr>
                <w:rFonts w:hint="eastAsia" w:ascii="宋体" w:hAnsi="宋体"/>
                <w:kern w:val="0"/>
                <w:sz w:val="18"/>
                <w:szCs w:val="18"/>
              </w:rPr>
              <w:t>进口温度</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摄氏度</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N3.1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g603xx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kern w:val="0"/>
                <w:sz w:val="18"/>
                <w:szCs w:val="18"/>
              </w:rPr>
            </w:pPr>
            <w:r>
              <w:rPr>
                <w:rFonts w:hint="eastAsia" w:ascii="宋体" w:hAnsi="宋体"/>
                <w:kern w:val="0"/>
                <w:sz w:val="18"/>
                <w:szCs w:val="18"/>
              </w:rPr>
              <w:t>反吹阀状态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无量纲</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g801xx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sz w:val="18"/>
                <w:szCs w:val="18"/>
              </w:rPr>
            </w:pPr>
            <w:r>
              <w:rPr>
                <w:rFonts w:hint="eastAsia" w:ascii="宋体" w:hAnsi="宋体"/>
                <w:kern w:val="0"/>
                <w:sz w:val="18"/>
                <w:szCs w:val="18"/>
              </w:rPr>
              <w:t>一次电压、</w:t>
            </w:r>
            <w:r>
              <w:rPr>
                <w:rFonts w:hint="eastAsia" w:ascii="宋体" w:hAnsi="宋体"/>
                <w:sz w:val="18"/>
                <w:szCs w:val="18"/>
              </w:rPr>
              <w:t>二次电压</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伏[特]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vAlign w:val="center"/>
          </w:tcPr>
          <w:p>
            <w:pPr>
              <w:widowControl/>
              <w:jc w:val="center"/>
              <w:rPr>
                <w:rFonts w:ascii="宋体" w:hAnsi="宋体"/>
                <w:kern w:val="0"/>
                <w:sz w:val="18"/>
                <w:szCs w:val="18"/>
              </w:rPr>
            </w:pPr>
            <w:r>
              <w:rPr>
                <w:rFonts w:hint="eastAsia" w:ascii="宋体" w:hAnsi="宋体"/>
                <w:kern w:val="0"/>
                <w:sz w:val="18"/>
                <w:szCs w:val="18"/>
              </w:rPr>
              <w:t>g802xx</w:t>
            </w:r>
          </w:p>
        </w:tc>
        <w:tc>
          <w:tcPr>
            <w:tcW w:w="2410" w:type="dxa"/>
            <w:tcBorders>
              <w:top w:val="single" w:color="auto" w:sz="4" w:space="0"/>
              <w:left w:val="single" w:color="auto" w:sz="4" w:space="0"/>
              <w:bottom w:val="single" w:color="auto" w:sz="4" w:space="0"/>
              <w:right w:val="single" w:color="auto" w:sz="4" w:space="0"/>
            </w:tcBorders>
            <w:noWrap/>
          </w:tcPr>
          <w:p>
            <w:pPr>
              <w:widowControl/>
              <w:jc w:val="left"/>
              <w:rPr>
                <w:rFonts w:ascii="宋体" w:hAnsi="宋体"/>
                <w:sz w:val="18"/>
                <w:szCs w:val="18"/>
              </w:rPr>
            </w:pPr>
            <w:r>
              <w:rPr>
                <w:rFonts w:hint="eastAsia" w:ascii="宋体" w:hAnsi="宋体"/>
                <w:kern w:val="0"/>
                <w:sz w:val="18"/>
                <w:szCs w:val="18"/>
              </w:rPr>
              <w:t>一次电流、二次电流</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安[培]</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N4.2</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4" w:space="0"/>
              <w:right w:val="single" w:color="auto" w:sz="4" w:space="0"/>
            </w:tcBorders>
            <w:noWrap/>
          </w:tcPr>
          <w:p>
            <w:pPr>
              <w:jc w:val="center"/>
              <w:rPr>
                <w:rFonts w:ascii="宋体" w:hAnsi="宋体"/>
                <w:kern w:val="0"/>
                <w:sz w:val="18"/>
                <w:szCs w:val="18"/>
              </w:rPr>
            </w:pPr>
            <w:r>
              <w:rPr>
                <w:rFonts w:hint="eastAsia" w:ascii="宋体" w:hAnsi="宋体"/>
                <w:kern w:val="0"/>
                <w:sz w:val="18"/>
                <w:szCs w:val="18"/>
              </w:rPr>
              <w:t>g908xx</w:t>
            </w:r>
          </w:p>
        </w:tc>
        <w:tc>
          <w:tcPr>
            <w:tcW w:w="2410" w:type="dxa"/>
            <w:tcBorders>
              <w:top w:val="single" w:color="auto" w:sz="4" w:space="0"/>
              <w:left w:val="single" w:color="auto" w:sz="4" w:space="0"/>
              <w:bottom w:val="single" w:color="auto" w:sz="4" w:space="0"/>
              <w:right w:val="single" w:color="auto" w:sz="4" w:space="0"/>
            </w:tcBorders>
            <w:noWrap/>
          </w:tcPr>
          <w:p>
            <w:pPr>
              <w:autoSpaceDE w:val="0"/>
              <w:autoSpaceDN w:val="0"/>
              <w:jc w:val="left"/>
              <w:rPr>
                <w:rFonts w:ascii="宋体" w:hAnsi="宋体"/>
                <w:kern w:val="0"/>
                <w:sz w:val="18"/>
                <w:szCs w:val="18"/>
              </w:rPr>
            </w:pPr>
            <w:r>
              <w:rPr>
                <w:rFonts w:hint="eastAsia" w:ascii="宋体" w:hAnsi="宋体"/>
                <w:sz w:val="18"/>
                <w:szCs w:val="18"/>
                <w:shd w:val="clear" w:color="auto" w:fill="FFFFFF"/>
              </w:rPr>
              <w:t>垃圾抓斗起重机</w:t>
            </w:r>
          </w:p>
        </w:tc>
        <w:tc>
          <w:tcPr>
            <w:tcW w:w="1436"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吨</w:t>
            </w:r>
          </w:p>
        </w:tc>
        <w:tc>
          <w:tcPr>
            <w:tcW w:w="14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2693" w:type="dxa"/>
            <w:gridSpan w:val="2"/>
            <w:tcBorders>
              <w:top w:val="single" w:color="auto" w:sz="4" w:space="0"/>
              <w:left w:val="single" w:color="auto" w:sz="4" w:space="0"/>
              <w:bottom w:val="single" w:color="auto" w:sz="4"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1" w:type="dxa"/>
            <w:tcBorders>
              <w:top w:val="single" w:color="auto" w:sz="4" w:space="0"/>
              <w:left w:val="single" w:color="auto" w:sz="12" w:space="0"/>
              <w:bottom w:val="single" w:color="auto" w:sz="12" w:space="0"/>
              <w:right w:val="single" w:color="auto" w:sz="4" w:space="0"/>
            </w:tcBorders>
            <w:noWrap/>
          </w:tcPr>
          <w:p>
            <w:pPr>
              <w:jc w:val="center"/>
              <w:rPr>
                <w:rFonts w:ascii="宋体" w:hAnsi="宋体"/>
                <w:kern w:val="0"/>
                <w:sz w:val="18"/>
                <w:szCs w:val="18"/>
              </w:rPr>
            </w:pPr>
            <w:r>
              <w:rPr>
                <w:rFonts w:hint="eastAsia" w:ascii="宋体" w:hAnsi="宋体"/>
                <w:kern w:val="0"/>
                <w:sz w:val="18"/>
                <w:szCs w:val="18"/>
              </w:rPr>
              <w:t>g909xx</w:t>
            </w:r>
          </w:p>
        </w:tc>
        <w:tc>
          <w:tcPr>
            <w:tcW w:w="2410" w:type="dxa"/>
            <w:tcBorders>
              <w:top w:val="single" w:color="auto" w:sz="4" w:space="0"/>
              <w:left w:val="single" w:color="auto" w:sz="4" w:space="0"/>
              <w:bottom w:val="single" w:color="auto" w:sz="12" w:space="0"/>
              <w:right w:val="single" w:color="auto" w:sz="4" w:space="0"/>
            </w:tcBorders>
            <w:noWrap/>
          </w:tcPr>
          <w:p>
            <w:pPr>
              <w:autoSpaceDE w:val="0"/>
              <w:autoSpaceDN w:val="0"/>
              <w:jc w:val="left"/>
              <w:rPr>
                <w:rFonts w:ascii="宋体" w:hAnsi="宋体"/>
                <w:kern w:val="0"/>
                <w:sz w:val="18"/>
                <w:szCs w:val="18"/>
              </w:rPr>
            </w:pPr>
            <w:r>
              <w:rPr>
                <w:rFonts w:hint="eastAsia" w:ascii="宋体" w:hAnsi="宋体"/>
                <w:sz w:val="18"/>
                <w:szCs w:val="18"/>
                <w:shd w:val="clear" w:color="auto" w:fill="FFFFFF"/>
              </w:rPr>
              <w:t>煤进料量</w:t>
            </w:r>
          </w:p>
        </w:tc>
        <w:tc>
          <w:tcPr>
            <w:tcW w:w="1436" w:type="dxa"/>
            <w:tcBorders>
              <w:top w:val="single" w:color="auto" w:sz="4" w:space="0"/>
              <w:left w:val="single" w:color="auto" w:sz="4" w:space="0"/>
              <w:bottom w:val="single" w:color="auto" w:sz="12" w:space="0"/>
              <w:right w:val="single" w:color="auto" w:sz="4" w:space="0"/>
            </w:tcBorders>
            <w:noWrap/>
            <w:vAlign w:val="center"/>
          </w:tcPr>
          <w:p>
            <w:pPr>
              <w:widowControl/>
              <w:jc w:val="left"/>
              <w:rPr>
                <w:rFonts w:ascii="宋体" w:hAnsi="宋体"/>
                <w:kern w:val="0"/>
                <w:sz w:val="18"/>
                <w:szCs w:val="18"/>
              </w:rPr>
            </w:pPr>
            <w:r>
              <w:rPr>
                <w:rFonts w:hint="eastAsia" w:ascii="宋体" w:hAnsi="宋体"/>
                <w:kern w:val="0"/>
                <w:sz w:val="18"/>
                <w:szCs w:val="18"/>
              </w:rPr>
              <w:t>吨</w:t>
            </w:r>
          </w:p>
        </w:tc>
        <w:tc>
          <w:tcPr>
            <w:tcW w:w="1418" w:type="dxa"/>
            <w:tcBorders>
              <w:top w:val="single" w:color="auto" w:sz="4" w:space="0"/>
              <w:left w:val="single" w:color="auto" w:sz="4" w:space="0"/>
              <w:bottom w:val="single" w:color="auto" w:sz="12" w:space="0"/>
              <w:right w:val="single" w:color="auto" w:sz="4" w:space="0"/>
            </w:tcBorders>
            <w:noWrap/>
            <w:vAlign w:val="center"/>
          </w:tcPr>
          <w:p>
            <w:pPr>
              <w:widowControl/>
              <w:jc w:val="left"/>
              <w:rPr>
                <w:rFonts w:ascii="Times New Roman" w:hAnsi="Times New Roman"/>
                <w:kern w:val="0"/>
                <w:sz w:val="18"/>
                <w:szCs w:val="18"/>
              </w:rPr>
            </w:pPr>
            <w:r>
              <w:rPr>
                <w:rFonts w:ascii="Times New Roman" w:hAnsi="Times New Roman"/>
                <w:kern w:val="0"/>
                <w:sz w:val="18"/>
                <w:szCs w:val="18"/>
              </w:rPr>
              <w:t>N4.1</w:t>
            </w:r>
          </w:p>
        </w:tc>
        <w:tc>
          <w:tcPr>
            <w:tcW w:w="2693" w:type="dxa"/>
            <w:gridSpan w:val="2"/>
            <w:tcBorders>
              <w:top w:val="single" w:color="auto" w:sz="4" w:space="0"/>
              <w:left w:val="single" w:color="auto" w:sz="4" w:space="0"/>
              <w:bottom w:val="single" w:color="auto" w:sz="12" w:space="0"/>
              <w:right w:val="single" w:color="auto" w:sz="12" w:space="0"/>
            </w:tcBorders>
          </w:tcPr>
          <w:p>
            <w:pPr>
              <w:jc w:val="left"/>
              <w:rPr>
                <w:rFonts w:ascii="宋体" w:hAnsi="宋体"/>
                <w:sz w:val="18"/>
                <w:szCs w:val="18"/>
              </w:rPr>
            </w:pPr>
            <w:r>
              <w:rPr>
                <w:rFonts w:hint="eastAsia" w:ascii="宋体" w:hAnsi="宋体"/>
                <w:kern w:val="0"/>
                <w:sz w:val="18"/>
                <w:szCs w:val="18"/>
              </w:rPr>
              <w:t>扩充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08" w:type="dxa"/>
            <w:gridSpan w:val="6"/>
            <w:tcBorders>
              <w:top w:val="single" w:color="auto" w:sz="12" w:space="0"/>
              <w:left w:val="single" w:color="auto" w:sz="12" w:space="0"/>
              <w:bottom w:val="single" w:color="auto" w:sz="12" w:space="0"/>
              <w:right w:val="single" w:color="auto" w:sz="12" w:space="0"/>
            </w:tcBorders>
            <w:noWrap/>
          </w:tcPr>
          <w:p>
            <w:pPr>
              <w:pStyle w:val="180"/>
              <w:numPr>
                <w:ilvl w:val="0"/>
                <w:numId w:val="41"/>
              </w:numPr>
              <w:rPr>
                <w:rFonts w:ascii="Times New Roman"/>
              </w:rPr>
            </w:pPr>
            <w:r>
              <w:rPr>
                <w:rFonts w:hint="eastAsia" w:ascii="Times New Roman"/>
              </w:rPr>
              <w:t>数据类型：</w:t>
            </w:r>
          </w:p>
          <w:p>
            <w:pPr>
              <w:pStyle w:val="180"/>
              <w:numPr>
                <w:ilvl w:val="0"/>
                <w:numId w:val="0"/>
              </w:numPr>
              <w:ind w:left="811"/>
              <w:rPr>
                <w:rFonts w:ascii="Times New Roman"/>
              </w:rPr>
            </w:pPr>
            <w:r>
              <w:rPr>
                <w:rFonts w:ascii="Times New Roman"/>
              </w:rPr>
              <w:t>N5</w:t>
            </w:r>
            <w:r>
              <w:rPr>
                <w:rFonts w:hint="eastAsia" w:ascii="Times New Roman"/>
              </w:rPr>
              <w:t>：表示最多</w:t>
            </w:r>
            <w:r>
              <w:rPr>
                <w:rFonts w:ascii="Times New Roman"/>
              </w:rPr>
              <w:t xml:space="preserve">5 </w:t>
            </w:r>
            <w:r>
              <w:rPr>
                <w:rFonts w:hint="eastAsia" w:ascii="Times New Roman"/>
              </w:rPr>
              <w:t>位的数字型字符串，不足</w:t>
            </w:r>
            <w:r>
              <w:rPr>
                <w:rFonts w:ascii="Times New Roman"/>
              </w:rPr>
              <w:t xml:space="preserve">5 </w:t>
            </w:r>
            <w:r>
              <w:rPr>
                <w:rFonts w:hint="eastAsia" w:ascii="Times New Roman"/>
              </w:rPr>
              <w:t>位按实际位数；</w:t>
            </w:r>
          </w:p>
          <w:p>
            <w:pPr>
              <w:pStyle w:val="180"/>
              <w:numPr>
                <w:ilvl w:val="0"/>
                <w:numId w:val="0"/>
              </w:numPr>
              <w:ind w:left="811"/>
              <w:rPr>
                <w:rFonts w:ascii="Times New Roman"/>
              </w:rPr>
            </w:pPr>
            <w:r>
              <w:rPr>
                <w:rFonts w:ascii="Times New Roman"/>
              </w:rPr>
              <w:t>N14.2</w:t>
            </w:r>
            <w:r>
              <w:rPr>
                <w:rFonts w:hint="eastAsia" w:ascii="Times New Roman"/>
              </w:rPr>
              <w:t>：用可变长字符串形式表达的数字型，表示</w:t>
            </w:r>
            <w:r>
              <w:rPr>
                <w:rFonts w:ascii="Times New Roman"/>
              </w:rPr>
              <w:t>14</w:t>
            </w:r>
            <w:r>
              <w:rPr>
                <w:rFonts w:hint="eastAsia" w:ascii="Times New Roman"/>
              </w:rPr>
              <w:t>位整数和</w:t>
            </w:r>
            <w:r>
              <w:rPr>
                <w:rFonts w:ascii="Times New Roman"/>
              </w:rPr>
              <w:t>2</w:t>
            </w:r>
            <w:r>
              <w:rPr>
                <w:rFonts w:hint="eastAsia" w:ascii="Times New Roman"/>
              </w:rPr>
              <w:t>位小数，带小数点，带符号，最大长度为</w:t>
            </w:r>
            <w:r>
              <w:rPr>
                <w:rFonts w:ascii="Times New Roman"/>
              </w:rPr>
              <w:t>18</w:t>
            </w:r>
            <w:r>
              <w:rPr>
                <w:rFonts w:hint="eastAsia" w:ascii="Times New Roman"/>
              </w:rPr>
              <w:t>。</w:t>
            </w:r>
          </w:p>
        </w:tc>
      </w:tr>
    </w:tbl>
    <w:p>
      <w:pPr>
        <w:pStyle w:val="61"/>
        <w:ind w:firstLine="420"/>
      </w:pPr>
    </w:p>
    <w:p>
      <w:pPr>
        <w:pStyle w:val="61"/>
        <w:ind w:firstLine="420"/>
      </w:pPr>
    </w:p>
    <w:p>
      <w:pPr>
        <w:pStyle w:val="61"/>
        <w:ind w:firstLine="420"/>
      </w:pPr>
    </w:p>
    <w:p>
      <w:pPr>
        <w:pStyle w:val="61"/>
        <w:ind w:firstLine="420"/>
      </w:pPr>
    </w:p>
    <w:p>
      <w:pPr>
        <w:pStyle w:val="195"/>
        <w:rPr>
          <w:vanish w:val="0"/>
        </w:rPr>
      </w:pPr>
    </w:p>
    <w:p>
      <w:pPr>
        <w:pStyle w:val="196"/>
        <w:rPr>
          <w:vanish w:val="0"/>
        </w:rPr>
      </w:pPr>
    </w:p>
    <w:p>
      <w:pPr>
        <w:pStyle w:val="61"/>
        <w:ind w:firstLine="420"/>
      </w:pPr>
    </w:p>
    <w:p>
      <w:pPr>
        <w:pStyle w:val="61"/>
        <w:ind w:firstLine="420"/>
      </w:pPr>
    </w:p>
    <w:p>
      <w:pPr>
        <w:widowControl/>
        <w:adjustRightInd/>
        <w:spacing w:line="240" w:lineRule="auto"/>
        <w:jc w:val="left"/>
        <w:rPr>
          <w:rFonts w:ascii="宋体" w:hAnsi="Times New Roman"/>
          <w:kern w:val="0"/>
          <w:szCs w:val="20"/>
        </w:rPr>
        <w:sectPr>
          <w:pgSz w:w="11906" w:h="16838"/>
          <w:pgMar w:top="2410" w:right="1134" w:bottom="1134" w:left="1134" w:header="1418" w:footer="1134" w:gutter="284"/>
          <w:cols w:space="720" w:num="1"/>
          <w:formProt w:val="0"/>
          <w:docGrid w:type="lines" w:linePitch="312" w:charSpace="0"/>
        </w:sectPr>
      </w:pPr>
    </w:p>
    <w:p>
      <w:pPr>
        <w:pStyle w:val="195"/>
        <w:rPr>
          <w:vanish w:val="0"/>
        </w:rPr>
      </w:pPr>
    </w:p>
    <w:p>
      <w:pPr>
        <w:pStyle w:val="196"/>
        <w:rPr>
          <w:vanish w:val="0"/>
        </w:rPr>
      </w:pPr>
    </w:p>
    <w:p>
      <w:pPr>
        <w:pStyle w:val="82"/>
        <w:spacing w:before="78" w:after="156"/>
      </w:pPr>
      <w:bookmarkStart w:id="57" w:name="_Toc92141769"/>
    </w:p>
    <w:p>
      <w:pPr>
        <w:pStyle w:val="82"/>
        <w:numPr>
          <w:ilvl w:val="0"/>
          <w:numId w:val="0"/>
        </w:numPr>
        <w:spacing w:before="78" w:after="156"/>
      </w:pPr>
      <w:r>
        <w:rPr>
          <w:rFonts w:hint="eastAsia"/>
        </w:rPr>
        <w:t>（规范性）</w:t>
      </w:r>
    </w:p>
    <w:p>
      <w:pPr>
        <w:pStyle w:val="82"/>
        <w:numPr>
          <w:ilvl w:val="0"/>
          <w:numId w:val="0"/>
        </w:numPr>
        <w:spacing w:before="78" w:after="156"/>
      </w:pPr>
      <w:r>
        <w:rPr>
          <w:rFonts w:hint="eastAsia"/>
        </w:rPr>
        <w:t>污染治理设施运行状况判定</w:t>
      </w:r>
      <w:bookmarkEnd w:id="57"/>
    </w:p>
    <w:p>
      <w:pPr>
        <w:pStyle w:val="84"/>
        <w:spacing w:before="156" w:after="156"/>
      </w:pPr>
      <w:r>
        <w:rPr>
          <w:rFonts w:hint="eastAsia"/>
        </w:rPr>
        <w:t>污染物去除效率计算</w:t>
      </w:r>
    </w:p>
    <w:p>
      <w:pPr>
        <w:spacing w:line="240" w:lineRule="auto"/>
        <w:ind w:firstLine="420"/>
        <w:rPr>
          <w:rFonts w:ascii="宋体" w:hAnsi="宋体"/>
        </w:rPr>
      </w:pPr>
      <w:r>
        <w:rPr>
          <w:rFonts w:hint="eastAsia"/>
        </w:rPr>
        <w:t>污染物的去除效率按式（</w:t>
      </w:r>
      <w:r>
        <w:t>C.1</w:t>
      </w:r>
      <w:r>
        <w:rPr>
          <w:rFonts w:hint="eastAsia"/>
        </w:rPr>
        <w:t>）计算。</w:t>
      </w:r>
    </w:p>
    <w:p>
      <w:pPr>
        <w:tabs>
          <w:tab w:val="center" w:pos="4678"/>
          <w:tab w:val="right" w:leader="middleDot" w:pos="9356"/>
        </w:tabs>
        <w:spacing w:line="240" w:lineRule="auto"/>
        <w:rPr>
          <w:rFonts w:ascii="宋体" w:hAnsi="宋体"/>
        </w:rPr>
      </w:pPr>
      <w:r>
        <w:rPr>
          <w:rFonts w:hint="eastAsia" w:ascii="宋体" w:hAnsi="宋体"/>
        </w:rPr>
        <w:tab/>
      </w:r>
      <m:oMath>
        <m:r>
          <m:rPr/>
          <w:rPr>
            <w:rFonts w:ascii="Cambria Math" w:hAnsi="Cambria Math"/>
            <w:sz w:val="22"/>
          </w:rPr>
          <m:t>η=</m:t>
        </m:r>
        <m:f>
          <m:fPr>
            <m:ctrlPr>
              <w:rPr>
                <w:rFonts w:ascii="Cambria Math" w:hAnsi="Cambria Math"/>
                <w:i/>
                <w:sz w:val="22"/>
                <w:szCs w:val="22"/>
              </w:rPr>
            </m:ctrlPr>
          </m:fPr>
          <m:num>
            <m:sSub>
              <m:sSubPr>
                <m:ctrlPr>
                  <w:rPr>
                    <w:rFonts w:ascii="Cambria Math" w:hAnsi="Cambria Math"/>
                    <w:i/>
                    <w:sz w:val="22"/>
                    <w:szCs w:val="22"/>
                  </w:rPr>
                </m:ctrlPr>
              </m:sSubPr>
              <m:e>
                <m:r>
                  <m:rPr/>
                  <w:rPr>
                    <w:rFonts w:ascii="Cambria Math" w:hAnsi="Cambria Math"/>
                    <w:sz w:val="22"/>
                  </w:rPr>
                  <m:t>M</m:t>
                </m:r>
                <m:ctrlPr>
                  <w:rPr>
                    <w:rFonts w:ascii="Cambria Math" w:hAnsi="Cambria Math"/>
                    <w:i/>
                    <w:sz w:val="22"/>
                    <w:szCs w:val="22"/>
                  </w:rPr>
                </m:ctrlPr>
              </m:e>
              <m:sub>
                <m:r>
                  <m:rPr>
                    <m:sty m:val="p"/>
                  </m:rPr>
                  <w:rPr>
                    <w:rFonts w:ascii="Cambria Math" w:hAnsi="Cambria Math"/>
                    <w:sz w:val="22"/>
                  </w:rPr>
                  <m:t>I</m:t>
                </m:r>
                <m:ctrlPr>
                  <w:rPr>
                    <w:rFonts w:ascii="Cambria Math" w:hAnsi="Cambria Math"/>
                    <w:i/>
                    <w:sz w:val="22"/>
                    <w:szCs w:val="22"/>
                  </w:rPr>
                </m:ctrlPr>
              </m:sub>
            </m:sSub>
            <m:r>
              <m:rPr/>
              <w:rPr>
                <w:rFonts w:ascii="Cambria Math" w:hAnsi="Cambria Math"/>
                <w:sz w:val="22"/>
              </w:rPr>
              <m:t>−</m:t>
            </m:r>
            <m:sSub>
              <m:sSubPr>
                <m:ctrlPr>
                  <w:rPr>
                    <w:rFonts w:ascii="Cambria Math" w:hAnsi="Cambria Math"/>
                    <w:i/>
                    <w:sz w:val="22"/>
                    <w:szCs w:val="22"/>
                  </w:rPr>
                </m:ctrlPr>
              </m:sSubPr>
              <m:e>
                <w:bookmarkStart w:id="58" w:name="_Hlk92026604"/>
                <m:r>
                  <m:rPr/>
                  <w:rPr>
                    <w:rFonts w:ascii="Cambria Math" w:hAnsi="Cambria Math"/>
                    <w:sz w:val="22"/>
                  </w:rPr>
                  <m:t>M</m:t>
                </m:r>
                <m:ctrlPr>
                  <w:rPr>
                    <w:rFonts w:ascii="Cambria Math" w:hAnsi="Cambria Math"/>
                    <w:i/>
                    <w:sz w:val="22"/>
                    <w:szCs w:val="22"/>
                  </w:rPr>
                </m:ctrlPr>
              </m:e>
              <m:sub>
                <m:r>
                  <m:rPr/>
                  <w:rPr>
                    <w:rFonts w:ascii="Cambria Math" w:hAnsi="Cambria Math"/>
                    <w:sz w:val="22"/>
                  </w:rPr>
                  <m:t>t</m:t>
                </m:r>
                <w:bookmarkEnd w:id="58"/>
                <m:ctrlPr>
                  <w:rPr>
                    <w:rFonts w:ascii="Cambria Math" w:hAnsi="Cambria Math"/>
                    <w:i/>
                    <w:sz w:val="22"/>
                    <w:szCs w:val="22"/>
                  </w:rPr>
                </m:ctrlPr>
              </m:sub>
            </m:sSub>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rPr>
                  <m:t>M</m:t>
                </m:r>
                <m:ctrlPr>
                  <w:rPr>
                    <w:rFonts w:ascii="Cambria Math" w:hAnsi="Cambria Math"/>
                    <w:i/>
                    <w:sz w:val="22"/>
                    <w:szCs w:val="22"/>
                  </w:rPr>
                </m:ctrlPr>
              </m:e>
              <m:sub>
                <m:r>
                  <m:rPr/>
                  <w:rPr>
                    <w:rFonts w:ascii="Cambria Math" w:hAnsi="Cambria Math"/>
                    <w:sz w:val="22"/>
                  </w:rPr>
                  <m:t>I</m:t>
                </m:r>
                <m:ctrlPr>
                  <w:rPr>
                    <w:rFonts w:ascii="Cambria Math" w:hAnsi="Cambria Math"/>
                    <w:i/>
                    <w:sz w:val="22"/>
                    <w:szCs w:val="22"/>
                  </w:rPr>
                </m:ctrlPr>
              </m:sub>
            </m:sSub>
            <m:ctrlPr>
              <w:rPr>
                <w:rFonts w:ascii="Cambria Math" w:hAnsi="Cambria Math"/>
                <w:i/>
                <w:sz w:val="22"/>
                <w:szCs w:val="22"/>
              </w:rPr>
            </m:ctrlPr>
          </m:den>
        </m:f>
        <m:r>
          <m:rPr>
            <m:sty m:val="p"/>
          </m:rPr>
          <w:rPr>
            <w:rFonts w:ascii="Cambria Math" w:hAnsi="Cambria Math"/>
            <w:sz w:val="22"/>
          </w:rPr>
          <m:t>×100%</m:t>
        </m:r>
      </m:oMath>
      <w:r>
        <w:rPr>
          <w:rFonts w:hint="eastAsia" w:ascii="微软雅黑" w:hAnsi="微软雅黑" w:eastAsia="微软雅黑"/>
        </w:rPr>
        <w:tab/>
      </w:r>
      <w:r>
        <w:rPr>
          <w:rFonts w:hint="eastAsia" w:ascii="宋体" w:hAnsi="宋体"/>
        </w:rPr>
        <w:t>(C.1)</w:t>
      </w:r>
    </w:p>
    <w:p>
      <w:pPr>
        <w:snapToGrid w:val="0"/>
        <w:spacing w:line="240" w:lineRule="auto"/>
        <w:ind w:firstLine="420" w:firstLineChars="200"/>
        <w:rPr>
          <w:rFonts w:ascii="宋体" w:hAnsi="宋体"/>
        </w:rPr>
      </w:pPr>
      <w:r>
        <w:rPr>
          <w:rFonts w:hint="eastAsia" w:ascii="宋体" w:hAnsi="宋体"/>
        </w:rPr>
        <w:t>式中：</w:t>
      </w:r>
    </w:p>
    <w:p>
      <w:pPr>
        <w:snapToGrid w:val="0"/>
        <w:spacing w:line="240" w:lineRule="auto"/>
        <w:ind w:firstLine="420" w:firstLineChars="200"/>
        <w:rPr>
          <w:rFonts w:ascii="宋体" w:hAnsi="宋体"/>
        </w:rPr>
      </w:pPr>
      <m:oMath>
        <m:r>
          <m:rPr/>
          <w:rPr>
            <w:rFonts w:ascii="Cambria Math" w:hAnsi="Cambria Math"/>
          </w:rPr>
          <m:t xml:space="preserve">η  </m:t>
        </m:r>
      </m:oMath>
      <w:r>
        <w:rPr>
          <w:rFonts w:hint="eastAsia" w:ascii="宋体" w:hAnsi="宋体"/>
        </w:rPr>
        <w:t>——实测污染物去除效率，%；</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524510" cy="182880"/>
            <wp:effectExtent l="0" t="0" r="889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24510" cy="182880"/>
                    </a:xfrm>
                    <a:prstGeom prst="rect">
                      <a:avLst/>
                    </a:prstGeom>
                    <a:noFill/>
                    <a:ln>
                      <a:noFill/>
                    </a:ln>
                  </pic:spPr>
                </pic:pic>
              </a:graphicData>
            </a:graphic>
          </wp:inline>
        </w:drawing>
      </w:r>
      <w:r>
        <w:fldChar w:fldCharType="separate"/>
      </w:r>
      <m:oMath>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oMath>
      <w:r>
        <w:fldChar w:fldCharType="end"/>
      </w:r>
      <w:r>
        <w:rPr>
          <w:rFonts w:hint="eastAsia" w:ascii="宋体" w:hAnsi="宋体"/>
        </w:rPr>
        <w:t>——实测</w:t>
      </w:r>
      <w:r>
        <w:rPr>
          <w:rFonts w:hint="eastAsia" w:hAnsi="宋体"/>
        </w:rPr>
        <w:t>污染</w:t>
      </w:r>
      <w:r>
        <w:rPr>
          <w:rFonts w:hint="eastAsia" w:ascii="宋体" w:hAnsi="宋体"/>
        </w:rPr>
        <w:t>治理设施入口烟气中的污染物质量流量，</w:t>
      </w:r>
      <w:commentRangeStart w:id="10"/>
      <w:r>
        <w:rPr>
          <w:rFonts w:hint="eastAsia" w:ascii="宋体" w:hAnsi="宋体"/>
        </w:rPr>
        <w:t>单位为千克每时</w:t>
      </w:r>
      <w:commentRangeEnd w:id="10"/>
      <w:r>
        <w:rPr>
          <w:rStyle w:val="34"/>
        </w:rPr>
        <w:commentReference w:id="10"/>
      </w:r>
      <w:r>
        <w:rPr>
          <w:rFonts w:hint="eastAsia" w:ascii="宋体" w:hAnsi="宋体"/>
        </w:rPr>
        <w:t>（kg/h）；</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t</m:t>
            </m:r>
            <m:ctrlPr>
              <w:rPr>
                <w:rFonts w:ascii="Cambria Math" w:hAnsi="Cambria Math"/>
                <w:i/>
              </w:rPr>
            </m:ctrlPr>
          </m:sub>
        </m:sSub>
      </m:oMath>
      <w:r>
        <w:fldChar w:fldCharType="begin"/>
      </w:r>
      <w:r>
        <w:rPr>
          <w:rFonts w:hint="eastAsia" w:ascii="宋体" w:hAnsi="宋体"/>
        </w:rPr>
        <w:instrText xml:space="preserve"> QUOTE </w:instrText>
      </w:r>
      <w:r>
        <w:rPr>
          <w:rFonts w:ascii="宋体" w:hAnsi="宋体"/>
        </w:rPr>
        <w:drawing>
          <wp:inline distT="0" distB="0" distL="0" distR="0">
            <wp:extent cx="174625" cy="182880"/>
            <wp:effectExtent l="0" t="0" r="0" b="7620"/>
            <wp:docPr id="5" name="图片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68"/>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74625" cy="182880"/>
                    </a:xfrm>
                    <a:prstGeom prst="rect">
                      <a:avLst/>
                    </a:prstGeom>
                    <a:noFill/>
                    <a:ln>
                      <a:noFill/>
                    </a:ln>
                  </pic:spPr>
                </pic:pic>
              </a:graphicData>
            </a:graphic>
          </wp:inline>
        </w:drawing>
      </w:r>
      <w:r>
        <w:fldChar w:fldCharType="end"/>
      </w:r>
      <w:r>
        <w:rPr>
          <w:rFonts w:hint="eastAsia" w:ascii="宋体" w:hAnsi="宋体"/>
        </w:rPr>
        <w:t>——实测净烟气烟道或进入烟囱前烟道烟气中的污染物质量流量，</w:t>
      </w:r>
      <w:commentRangeStart w:id="11"/>
      <w:r>
        <w:rPr>
          <w:rFonts w:hint="eastAsia" w:ascii="宋体" w:hAnsi="宋体"/>
        </w:rPr>
        <w:t>单位为千克每时</w:t>
      </w:r>
      <w:commentRangeEnd w:id="11"/>
      <w:r>
        <w:rPr>
          <w:rStyle w:val="34"/>
        </w:rPr>
        <w:commentReference w:id="11"/>
      </w:r>
      <w:r>
        <w:rPr>
          <w:rFonts w:hint="eastAsia" w:ascii="宋体" w:hAnsi="宋体"/>
        </w:rPr>
        <w:t>（kg/h）。</w:t>
      </w:r>
    </w:p>
    <w:p>
      <w:pPr>
        <w:snapToGrid w:val="0"/>
        <w:spacing w:line="240" w:lineRule="auto"/>
        <w:ind w:firstLine="420" w:firstLineChars="200"/>
        <w:rPr>
          <w:rFonts w:ascii="宋体" w:hAnsi="宋体"/>
        </w:rPr>
      </w:pPr>
      <w:r>
        <w:rPr>
          <w:rFonts w:hint="eastAsia" w:ascii="宋体" w:hAnsi="宋体"/>
        </w:rPr>
        <w:t>式中</w:t>
      </w:r>
      <w:r>
        <w:fldChar w:fldCharType="begin"/>
      </w:r>
      <w:r>
        <w:rPr>
          <w:rFonts w:hint="eastAsia" w:ascii="宋体" w:hAnsi="宋体"/>
        </w:rPr>
        <w:instrText xml:space="preserve"> QUOTE </w:instrText>
      </w:r>
      <w:r>
        <w:rPr>
          <w:rFonts w:ascii="宋体" w:hAnsi="宋体"/>
        </w:rPr>
        <w:drawing>
          <wp:inline distT="0" distB="0" distL="0" distR="0">
            <wp:extent cx="524510" cy="182880"/>
            <wp:effectExtent l="0" t="0" r="8890" b="7620"/>
            <wp:docPr id="6" name="图片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67"/>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24510" cy="182880"/>
                    </a:xfrm>
                    <a:prstGeom prst="rect">
                      <a:avLst/>
                    </a:prstGeom>
                    <a:noFill/>
                    <a:ln>
                      <a:noFill/>
                    </a:ln>
                  </pic:spPr>
                </pic:pic>
              </a:graphicData>
            </a:graphic>
          </wp:inline>
        </w:drawing>
      </w:r>
      <w:r>
        <w:fldChar w:fldCharType="separate"/>
      </w:r>
      <m:oMath>
        <m:sSub>
          <m:sSubPr>
            <m:ctrlPr>
              <w:rPr>
                <w:rFonts w:ascii="Cambria Math" w:hAnsi="Cambria Math"/>
                <w:i/>
              </w:rPr>
            </m:ctrlPr>
          </m:sSubPr>
          <m:e>
            <m:r>
              <m:rPr>
                <m:sty m:val="p"/>
              </m:rPr>
              <w:rPr>
                <w:rFonts w:ascii="Cambria Math" w:hAnsi="Cambria Math"/>
              </w:rPr>
              <m:t>M</m:t>
            </m:r>
            <m:ctrlPr>
              <w:rPr>
                <w:rFonts w:ascii="Cambria Math" w:hAnsi="Cambria Math"/>
                <w:i/>
              </w:rPr>
            </m:ctrlPr>
          </m:e>
          <m:sub>
            <m:r>
              <m:rPr>
                <m:sty m:val="p"/>
              </m:rPr>
              <w:rPr>
                <w:rFonts w:ascii="Cambria Math" w:hAnsi="Cambria Math"/>
              </w:rPr>
              <m:t>I</m:t>
            </m:r>
            <m:ctrlPr>
              <w:rPr>
                <w:rFonts w:ascii="Cambria Math" w:hAnsi="Cambria Math"/>
                <w:i/>
              </w:rPr>
            </m:ctrlPr>
          </m:sub>
        </m:sSub>
      </m:oMath>
      <w:r>
        <w:fldChar w:fldCharType="end"/>
      </w:r>
      <w:r>
        <w:rPr>
          <w:rFonts w:hint="eastAsia" w:ascii="宋体" w:hAnsi="宋体"/>
        </w:rPr>
        <w:t>、</w:t>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t</m:t>
            </m:r>
            <m:ctrlPr>
              <w:rPr>
                <w:rFonts w:ascii="Cambria Math" w:hAnsi="Cambria Math"/>
                <w:i/>
              </w:rPr>
            </m:ctrlPr>
          </m:sub>
        </m:sSub>
      </m:oMath>
      <w:r>
        <w:rPr>
          <w:rFonts w:hint="eastAsia" w:ascii="宋体" w:hAnsi="宋体"/>
        </w:rPr>
        <w:t>可由式（</w:t>
      </w:r>
      <w:r>
        <w:t>C.2</w:t>
      </w:r>
      <w:r>
        <w:rPr>
          <w:rFonts w:hint="eastAsia" w:ascii="宋体" w:hAnsi="宋体"/>
        </w:rPr>
        <w:t>）计算</w:t>
      </w:r>
    </w:p>
    <w:p>
      <w:pPr>
        <w:tabs>
          <w:tab w:val="center" w:pos="4678"/>
          <w:tab w:val="right" w:leader="middleDot" w:pos="9356"/>
        </w:tabs>
        <w:spacing w:line="240" w:lineRule="auto"/>
        <w:ind w:firstLine="3570" w:firstLineChars="1700"/>
        <w:rPr>
          <w:rFonts w:ascii="宋体" w:hAnsi="宋体"/>
        </w:rPr>
      </w:pPr>
      <m:oMath>
        <m:r>
          <m:rPr/>
          <w:rPr>
            <w:rFonts w:ascii="Cambria Math" w:hAnsi="Cambria Math"/>
          </w:rPr>
          <m:t>M</m:t>
        </m:r>
        <m:r>
          <m:rPr>
            <m:sty m:val="p"/>
          </m:rPr>
          <w:rPr>
            <w:rFonts w:ascii="Cambria Math" w:hAnsi="Cambria Math"/>
          </w:rPr>
          <m:t>=</m:t>
        </m:r>
        <m:r>
          <m:rPr/>
          <w:rPr>
            <w:rFonts w:ascii="Cambria Math" w:hAnsi="Cambria Math"/>
          </w:rPr>
          <m:t>ρ</m:t>
        </m:r>
        <m:r>
          <m:rPr>
            <m:sty m:val="p"/>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m:sty m:val="p"/>
              </m:rPr>
              <w:rPr>
                <w:rFonts w:ascii="Cambria Math" w:hAnsi="Cambria Math"/>
              </w:rPr>
              <m:t>sn</m:t>
            </m:r>
            <m:ctrlPr>
              <w:rPr>
                <w:rFonts w:ascii="Cambria Math" w:hAnsi="Cambria Math"/>
                <w:i/>
              </w:rPr>
            </m:ctrlP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−6</m:t>
            </m:r>
            <m:ctrlPr>
              <w:rPr>
                <w:rFonts w:ascii="Cambria Math" w:hAnsi="Cambria Math"/>
              </w:rPr>
            </m:ctrlPr>
          </m:sup>
        </m:sSup>
      </m:oMath>
      <w:r>
        <w:rPr>
          <w:rFonts w:hint="eastAsia" w:ascii="微软雅黑" w:hAnsi="微软雅黑" w:eastAsia="微软雅黑"/>
        </w:rPr>
        <w:tab/>
      </w:r>
      <w:r>
        <w:rPr>
          <w:rFonts w:hint="eastAsia" w:ascii="宋体" w:hAnsi="宋体"/>
        </w:rPr>
        <w:t>(C.2)</w:t>
      </w:r>
    </w:p>
    <w:p>
      <w:pPr>
        <w:snapToGrid w:val="0"/>
        <w:spacing w:line="240" w:lineRule="auto"/>
        <w:ind w:firstLine="420" w:firstLineChars="200"/>
        <w:rPr>
          <w:rFonts w:ascii="宋体" w:hAnsi="宋体"/>
        </w:rPr>
      </w:pPr>
      <w:r>
        <w:rPr>
          <w:rFonts w:hint="eastAsia" w:ascii="宋体" w:hAnsi="宋体"/>
        </w:rPr>
        <w:t>式中：</w:t>
      </w:r>
    </w:p>
    <w:p>
      <w:pPr>
        <w:snapToGrid w:val="0"/>
        <w:spacing w:line="240" w:lineRule="auto"/>
        <w:ind w:firstLine="420" w:firstLineChars="200"/>
        <w:rPr>
          <w:rFonts w:ascii="宋体" w:hAnsi="宋体"/>
        </w:rPr>
      </w:pPr>
      <w:r>
        <w:rPr>
          <w:rFonts w:hint="eastAsia" w:ascii="宋体" w:hAnsi="宋体"/>
          <w:i/>
        </w:rPr>
        <w:t>M</w:t>
      </w:r>
      <w:r>
        <w:rPr>
          <w:rFonts w:hint="eastAsia" w:ascii="宋体" w:hAnsi="宋体"/>
        </w:rPr>
        <w:t>——实测烟气中的污染物质量流量，</w:t>
      </w:r>
      <w:commentRangeStart w:id="12"/>
      <w:r>
        <w:rPr>
          <w:rFonts w:hint="eastAsia" w:ascii="宋体" w:hAnsi="宋体"/>
        </w:rPr>
        <w:t>单位为千克每时</w:t>
      </w:r>
      <w:commentRangeEnd w:id="12"/>
      <w:r>
        <w:rPr>
          <w:rStyle w:val="34"/>
        </w:rPr>
        <w:commentReference w:id="12"/>
      </w:r>
      <w:r>
        <w:rPr>
          <w:rFonts w:hint="eastAsia" w:ascii="宋体" w:hAnsi="宋体"/>
        </w:rPr>
        <w:t>（kg/h）；</w:t>
      </w:r>
    </w:p>
    <w:p>
      <w:pPr>
        <w:snapToGrid w:val="0"/>
        <w:spacing w:line="240" w:lineRule="auto"/>
        <w:ind w:firstLine="420" w:firstLineChars="200"/>
        <w:rPr>
          <w:rFonts w:ascii="宋体" w:hAnsi="宋体"/>
        </w:rPr>
      </w:pPr>
      <m:oMath>
        <m:r>
          <m:rPr/>
          <w:rPr>
            <w:rFonts w:ascii="Cambria Math" w:hAnsi="Cambria Math"/>
          </w:rPr>
          <m:t>ρ</m:t>
        </m:r>
      </m:oMath>
      <w:r>
        <w:rPr>
          <w:rFonts w:hint="eastAsia" w:ascii="宋体" w:hAnsi="宋体"/>
        </w:rPr>
        <w:t>——实测烟气中的污染物浓度，</w:t>
      </w:r>
      <w:commentRangeStart w:id="13"/>
      <w:r>
        <w:rPr>
          <w:rFonts w:hint="eastAsia" w:ascii="宋体" w:hAnsi="宋体"/>
        </w:rPr>
        <w:t>单位为毫克每立方米</w:t>
      </w:r>
      <w:commentRangeEnd w:id="13"/>
      <w:r>
        <w:rPr>
          <w:rStyle w:val="34"/>
        </w:rPr>
        <w:commentReference w:id="13"/>
      </w:r>
      <w:r>
        <w:rPr>
          <w:rFonts w:hint="eastAsia" w:ascii="宋体" w:hAnsi="宋体"/>
        </w:rPr>
        <w:t>（mg/m</w:t>
      </w:r>
      <w:r>
        <w:rPr>
          <w:rFonts w:hint="eastAsia" w:ascii="宋体" w:hAnsi="宋体"/>
          <w:vertAlign w:val="superscript"/>
        </w:rPr>
        <w:t>3</w:t>
      </w:r>
      <w:r>
        <w:rPr>
          <w:rFonts w:hint="eastAsia" w:ascii="宋体" w:hAnsi="宋体"/>
        </w:rPr>
        <w:t>）；</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sn</m:t>
            </m:r>
            <m:ctrlPr>
              <w:rPr>
                <w:rFonts w:ascii="Cambria Math" w:hAnsi="Cambria Math"/>
                <w:i/>
              </w:rPr>
            </m:ctrlPr>
          </m:sub>
        </m:sSub>
      </m:oMath>
      <w:r>
        <w:rPr>
          <w:rFonts w:hint="eastAsia" w:ascii="宋体" w:hAnsi="宋体"/>
        </w:rPr>
        <w:t>——实测标准状态下</w:t>
      </w:r>
      <w:r>
        <w:fldChar w:fldCharType="begin"/>
      </w:r>
      <w:r>
        <w:rPr>
          <w:rFonts w:hint="eastAsia" w:ascii="宋体" w:hAnsi="宋体"/>
        </w:rPr>
        <w:instrText xml:space="preserve"> QUOTE </w:instrText>
      </w:r>
      <w:r>
        <w:rPr>
          <w:rFonts w:ascii="宋体" w:hAnsi="宋体"/>
        </w:rPr>
        <w:drawing>
          <wp:inline distT="0" distB="0" distL="0" distR="0">
            <wp:extent cx="1105535" cy="850900"/>
            <wp:effectExtent l="0" t="0" r="0" b="0"/>
            <wp:docPr id="7" name="图片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14"/>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105535" cy="850900"/>
                    </a:xfrm>
                    <a:prstGeom prst="rect">
                      <a:avLst/>
                    </a:prstGeom>
                    <a:noFill/>
                    <a:ln>
                      <a:noFill/>
                    </a:ln>
                  </pic:spPr>
                </pic:pic>
              </a:graphicData>
            </a:graphic>
          </wp:inline>
        </w:drawing>
      </w:r>
      <w:r>
        <w:fldChar w:fldCharType="end"/>
      </w:r>
      <w:r>
        <w:rPr>
          <w:rFonts w:hint="eastAsia" w:ascii="宋体" w:hAnsi="宋体"/>
        </w:rPr>
        <w:t>干烟气的体积流量，</w:t>
      </w:r>
      <w:commentRangeStart w:id="14"/>
      <w:r>
        <w:rPr>
          <w:rFonts w:hint="eastAsia" w:ascii="宋体" w:hAnsi="宋体"/>
        </w:rPr>
        <w:t>单位为立方米每时</w:t>
      </w:r>
      <w:commentRangeEnd w:id="14"/>
      <w:r>
        <w:rPr>
          <w:rStyle w:val="34"/>
        </w:rPr>
        <w:commentReference w:id="14"/>
      </w:r>
      <w:r>
        <w:rPr>
          <w:rFonts w:hint="eastAsia" w:ascii="宋体" w:hAnsi="宋体"/>
        </w:rPr>
        <w:t>（m</w:t>
      </w:r>
      <w:r>
        <w:rPr>
          <w:rFonts w:hint="eastAsia" w:ascii="宋体" w:hAnsi="宋体"/>
          <w:vertAlign w:val="superscript"/>
        </w:rPr>
        <w:t>3</w:t>
      </w:r>
      <w:r>
        <w:rPr>
          <w:rFonts w:hint="eastAsia" w:ascii="宋体" w:hAnsi="宋体"/>
        </w:rPr>
        <w:t>/h）。</w:t>
      </w:r>
    </w:p>
    <w:p>
      <w:pPr>
        <w:snapToGrid w:val="0"/>
        <w:spacing w:line="240" w:lineRule="auto"/>
        <w:ind w:firstLine="420" w:firstLineChars="200"/>
        <w:rPr>
          <w:rFonts w:ascii="宋体" w:hAnsi="宋体"/>
        </w:rPr>
      </w:pPr>
      <w:r>
        <w:rPr>
          <w:rFonts w:hint="eastAsia" w:ascii="宋体" w:hAnsi="宋体"/>
        </w:rPr>
        <w:t>式中</w:t>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sn</m:t>
            </m:r>
            <m:ctrlPr>
              <w:rPr>
                <w:rFonts w:ascii="Cambria Math" w:hAnsi="Cambria Math"/>
                <w:i/>
              </w:rPr>
            </m:ctrlPr>
          </m:sub>
        </m:sSub>
      </m:oMath>
      <w:r>
        <w:rPr>
          <w:rFonts w:hint="eastAsia" w:ascii="宋体" w:hAnsi="宋体"/>
        </w:rPr>
        <w:t>可由式（C.3）计算</w:t>
      </w:r>
    </w:p>
    <w:p>
      <w:pPr>
        <w:tabs>
          <w:tab w:val="center" w:pos="4678"/>
          <w:tab w:val="right" w:leader="middleDot" w:pos="9356"/>
        </w:tabs>
        <w:spacing w:line="240" w:lineRule="auto"/>
        <w:ind w:firstLine="2940" w:firstLineChars="1400"/>
        <w:rPr>
          <w:rFonts w:ascii="宋体" w:hAnsi="宋体"/>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m:sty m:val="p"/>
              </m:rPr>
              <w:rPr>
                <w:rFonts w:ascii="Cambria Math" w:hAnsi="Cambria Math"/>
              </w:rPr>
              <m:t>sn</m:t>
            </m:r>
            <m:ctrlPr>
              <w:rPr>
                <w:rFonts w:ascii="Cambria Math" w:hAnsi="Cambria Math"/>
                <w:i/>
              </w:rPr>
            </m:ctrlPr>
          </m:sub>
        </m:sSub>
        <m:r>
          <m:rPr>
            <m:sty m:val="p"/>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m:sty m:val="p"/>
              </m:rPr>
              <w:rPr>
                <w:rFonts w:ascii="Cambria Math" w:hAnsi="Cambria Math"/>
              </w:rPr>
              <m:t>s</m:t>
            </m:r>
            <m:ctrlPr>
              <w:rPr>
                <w:rFonts w:ascii="Cambria Math" w:hAnsi="Cambria Math"/>
                <w:i/>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273</m:t>
            </m:r>
            <m:ctrlPr>
              <w:rPr>
                <w:rFonts w:ascii="Cambria Math" w:hAnsi="Cambria Math"/>
              </w:rPr>
            </m:ctrlPr>
          </m:num>
          <m:den>
            <m:r>
              <m:rPr>
                <m:sty m:val="p"/>
              </m:rPr>
              <w:rPr>
                <w:rFonts w:ascii="Cambria Math" w:hAnsi="Cambria Math"/>
              </w:rPr>
              <m:t>273+</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num>
          <m:den>
            <m:r>
              <m:rPr>
                <m:sty m:val="p"/>
              </m:rPr>
              <w:rPr>
                <w:rFonts w:ascii="Cambria Math" w:hAnsi="Cambria Math"/>
              </w:rPr>
              <m:t>101 325</m:t>
            </m:r>
            <m:ctrlPr>
              <w:rPr>
                <w:rFonts w:ascii="Cambria Math" w:hAnsi="Cambria Math"/>
              </w:rPr>
            </m:ctrlPr>
          </m:den>
        </m:f>
        <m:r>
          <m:rPr>
            <m:sty m:val="p"/>
          </m:rP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i/>
                  </w:rPr>
                </m:ctrlPr>
              </m:sSubPr>
              <m:e>
                <m:r>
                  <m:rPr/>
                  <w:rPr>
                    <w:rFonts w:ascii="Cambria Math" w:hAnsi="Cambria Math"/>
                  </w:rPr>
                  <m:t>B</m:t>
                </m:r>
                <m:ctrlPr>
                  <w:rPr>
                    <w:rFonts w:ascii="Cambria Math" w:hAnsi="Cambria Math"/>
                    <w:i/>
                  </w:rPr>
                </m:ctrlPr>
              </m:e>
              <m:sub>
                <m:r>
                  <m:rPr>
                    <m:sty m:val="p"/>
                  </m:rPr>
                  <w:rPr>
                    <w:rFonts w:ascii="Cambria Math" w:hAnsi="Cambria Math"/>
                  </w:rPr>
                  <m:t>ws</m:t>
                </m:r>
                <m:ctrlPr>
                  <w:rPr>
                    <w:rFonts w:ascii="Cambria Math" w:hAnsi="Cambria Math"/>
                    <w:i/>
                  </w:rPr>
                </m:ctrlPr>
              </m:sub>
            </m:sSub>
            <m:ctrlPr>
              <w:rPr>
                <w:rFonts w:ascii="Cambria Math" w:hAnsi="Cambria Math"/>
              </w:rPr>
            </m:ctrlPr>
          </m:e>
        </m:d>
      </m:oMath>
      <w:r>
        <w:rPr>
          <w:rFonts w:hint="eastAsia" w:ascii="微软雅黑" w:hAnsi="微软雅黑" w:eastAsia="微软雅黑"/>
        </w:rPr>
        <w:tab/>
      </w:r>
      <w:r>
        <w:rPr>
          <w:rFonts w:hint="eastAsia" w:ascii="宋体" w:hAnsi="宋体"/>
        </w:rPr>
        <w:t>(C.3)</w:t>
      </w:r>
    </w:p>
    <w:p>
      <w:pPr>
        <w:tabs>
          <w:tab w:val="center" w:pos="4678"/>
          <w:tab w:val="right" w:leader="middleDot" w:pos="9356"/>
        </w:tabs>
        <w:spacing w:line="240" w:lineRule="auto"/>
        <w:ind w:firstLine="3570" w:firstLineChars="1700"/>
        <w:rPr>
          <w:rFonts w:ascii="宋体" w:hAnsi="宋体"/>
        </w:rPr>
      </w:pPr>
      <m:oMath>
        <m:sSub>
          <m:sSubPr>
            <m:ctrlPr>
              <w:rPr>
                <w:rFonts w:ascii="Cambria Math" w:hAnsi="Cambria Math"/>
                <w:i/>
              </w:rPr>
            </m:ctrlPr>
          </m:sSubPr>
          <m:e>
            <m:r>
              <m:rPr/>
              <w:rPr>
                <w:rFonts w:ascii="Cambria Math" w:hAnsi="Cambria Math"/>
              </w:rPr>
              <m:t>Q</m:t>
            </m:r>
            <m:ctrlPr>
              <w:rPr>
                <w:rFonts w:ascii="Cambria Math" w:hAnsi="Cambria Math"/>
                <w:i/>
              </w:rPr>
            </m:ctrlPr>
          </m:e>
          <m:sub>
            <m:r>
              <m:rPr>
                <m:sty m:val="p"/>
              </m:rPr>
              <w:rPr>
                <w:rFonts w:ascii="Cambria Math" w:hAnsi="Cambria Math"/>
              </w:rPr>
              <m:t>S</m:t>
            </m:r>
            <m:ctrlPr>
              <w:rPr>
                <w:rFonts w:ascii="Cambria Math" w:hAnsi="Cambria Math"/>
                <w:i/>
              </w:rPr>
            </m:ctrlPr>
          </m:sub>
        </m:sSub>
        <m:r>
          <m:rPr>
            <m:sty m:val="p"/>
          </m:rPr>
          <w:rPr>
            <w:rFonts w:ascii="Cambria Math" w:hAnsi="Cambria Math"/>
          </w:rPr>
          <m:t>=3600×</m:t>
        </m:r>
        <m:r>
          <m:rPr/>
          <w:rPr>
            <w:rFonts w:ascii="Cambria Math" w:hAnsi="Cambria Math"/>
          </w:rPr>
          <m:t>F</m:t>
        </m:r>
        <m:r>
          <m:rPr>
            <m:sty m:val="p"/>
          </m:rPr>
          <w:rPr>
            <w:rFonts w:ascii="Cambria Math" w:hAnsi="Cambria Math"/>
          </w:rPr>
          <m:t>×</m:t>
        </m:r>
        <m:acc>
          <m:accPr>
            <m:chr m:val="̅"/>
            <m:ctrlPr>
              <w:rPr>
                <w:rFonts w:ascii="Cambria Math" w:hAnsi="Cambria Math"/>
                <w:i/>
              </w:rPr>
            </m:ctrlPr>
          </m:acc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i/>
              </w:rPr>
            </m:ctrlPr>
          </m:e>
        </m:acc>
      </m:oMath>
      <w:r>
        <w:rPr>
          <w:rFonts w:hint="eastAsia" w:ascii="微软雅黑" w:hAnsi="微软雅黑" w:eastAsia="微软雅黑"/>
        </w:rPr>
        <w:tab/>
      </w:r>
      <w:r>
        <w:rPr>
          <w:rFonts w:hint="eastAsia" w:ascii="宋体" w:hAnsi="宋体"/>
        </w:rPr>
        <w:t>(C.4)</w:t>
      </w:r>
    </w:p>
    <w:p>
      <w:pPr>
        <w:snapToGrid w:val="0"/>
        <w:spacing w:line="240" w:lineRule="auto"/>
        <w:ind w:firstLine="420" w:firstLineChars="200"/>
        <w:rPr>
          <w:rFonts w:ascii="宋体" w:hAnsi="宋体"/>
        </w:rPr>
      </w:pPr>
      <w:r>
        <w:rPr>
          <w:rFonts w:hint="eastAsia" w:ascii="宋体" w:hAnsi="宋体"/>
        </w:rPr>
        <w:t>式中：</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151130" cy="182880"/>
            <wp:effectExtent l="0" t="0" r="1270" b="7620"/>
            <wp:docPr id="8" name="图片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16"/>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1130" cy="182880"/>
                    </a:xfrm>
                    <a:prstGeom prst="rect">
                      <a:avLst/>
                    </a:prstGeom>
                    <a:noFill/>
                    <a:ln>
                      <a:noFill/>
                    </a:ln>
                  </pic:spPr>
                </pic:pic>
              </a:graphicData>
            </a:graphic>
          </wp:inline>
        </w:drawing>
      </w:r>
      <w:r>
        <w:fldChar w:fldCharType="end"/>
      </w:r>
      <m:oMath>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m:t>
            </m:r>
            <m:ctrlPr>
              <w:rPr>
                <w:rFonts w:ascii="Cambria Math" w:hAnsi="Cambria Math"/>
                <w:i/>
              </w:rPr>
            </m:ctrlPr>
          </m:sub>
        </m:sSub>
      </m:oMath>
      <w:r>
        <w:rPr>
          <w:rFonts w:hint="eastAsia" w:ascii="宋体" w:hAnsi="宋体"/>
        </w:rPr>
        <w:t>——实际条件下湿烟气体积流量，</w:t>
      </w:r>
      <w:commentRangeStart w:id="15"/>
      <w:r>
        <w:rPr>
          <w:rFonts w:hint="eastAsia" w:ascii="宋体" w:hAnsi="宋体"/>
        </w:rPr>
        <w:t>单位为立方米每时</w:t>
      </w:r>
      <w:commentRangeEnd w:id="15"/>
      <w:r>
        <w:rPr>
          <w:rStyle w:val="34"/>
        </w:rPr>
        <w:commentReference w:id="15"/>
      </w:r>
      <w:r>
        <w:rPr>
          <w:rFonts w:hint="eastAsia" w:ascii="宋体" w:hAnsi="宋体"/>
        </w:rPr>
        <w:t>（m</w:t>
      </w:r>
      <w:r>
        <w:rPr>
          <w:rFonts w:hint="eastAsia" w:ascii="宋体" w:hAnsi="宋体"/>
          <w:vertAlign w:val="superscript"/>
        </w:rPr>
        <w:t>3</w:t>
      </w:r>
      <w:r>
        <w:rPr>
          <w:rFonts w:hint="eastAsia" w:ascii="宋体" w:hAnsi="宋体"/>
        </w:rPr>
        <w:t>/h）；</w:t>
      </w:r>
    </w:p>
    <w:p>
      <w:pPr>
        <w:snapToGrid w:val="0"/>
        <w:spacing w:line="240" w:lineRule="auto"/>
        <w:ind w:firstLine="420" w:firstLineChars="200"/>
        <w:rPr>
          <w:rFonts w:ascii="宋体" w:hAnsi="宋体"/>
        </w:rPr>
      </w:pPr>
      <m:oMath>
        <m:r>
          <m:rPr/>
          <w:rPr>
            <w:rFonts w:ascii="Cambria Math" w:hAnsi="Cambria Math"/>
          </w:rPr>
          <m:t>F</m:t>
        </m:r>
      </m:oMath>
      <w:r>
        <w:rPr>
          <w:rFonts w:hint="eastAsia" w:ascii="宋体" w:hAnsi="宋体"/>
        </w:rPr>
        <w:t>——测定断面面积，</w:t>
      </w:r>
      <w:commentRangeStart w:id="16"/>
      <w:r>
        <w:rPr>
          <w:rFonts w:hint="eastAsia" w:ascii="宋体" w:hAnsi="宋体"/>
        </w:rPr>
        <w:t>单位为平方米（m</w:t>
      </w:r>
      <w:r>
        <w:rPr>
          <w:rFonts w:hint="eastAsia" w:ascii="宋体" w:hAnsi="宋体"/>
          <w:vertAlign w:val="superscript"/>
        </w:rPr>
        <w:t>2</w:t>
      </w:r>
      <w:r>
        <w:rPr>
          <w:rFonts w:hint="eastAsia" w:ascii="宋体" w:hAnsi="宋体"/>
        </w:rPr>
        <w:t>）</w:t>
      </w:r>
      <w:commentRangeEnd w:id="16"/>
      <w:r>
        <w:rPr>
          <w:rStyle w:val="34"/>
        </w:rPr>
        <w:commentReference w:id="16"/>
      </w:r>
      <w:r>
        <w:rPr>
          <w:rFonts w:hint="eastAsia" w:ascii="宋体" w:hAnsi="宋体"/>
        </w:rPr>
        <w:t>；</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142875" cy="182880"/>
            <wp:effectExtent l="0" t="0" r="9525" b="7620"/>
            <wp:docPr id="9" name="图片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20"/>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182880"/>
                    </a:xfrm>
                    <a:prstGeom prst="rect">
                      <a:avLst/>
                    </a:prstGeom>
                    <a:noFill/>
                    <a:ln>
                      <a:noFill/>
                    </a:ln>
                  </pic:spPr>
                </pic:pic>
              </a:graphicData>
            </a:graphic>
          </wp:inline>
        </w:drawing>
      </w:r>
      <w:r>
        <w:fldChar w:fldCharType="end"/>
      </w:r>
      <m:oMath>
        <m:acc>
          <m:accPr>
            <m:chr m:val="̅"/>
            <m:ctrlPr>
              <w:rPr>
                <w:rFonts w:ascii="Cambria Math" w:hAnsi="Cambria Math"/>
              </w:rPr>
            </m:ctrlPr>
          </m:accPr>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s</m:t>
                </m:r>
                <m:ctrlPr>
                  <w:rPr>
                    <w:rFonts w:ascii="Cambria Math" w:hAnsi="Cambria Math"/>
                    <w:i/>
                  </w:rPr>
                </m:ctrlPr>
              </m:sub>
            </m:sSub>
            <m:ctrlPr>
              <w:rPr>
                <w:rFonts w:ascii="Cambria Math" w:hAnsi="Cambria Math"/>
              </w:rPr>
            </m:ctrlPr>
          </m:e>
        </m:acc>
      </m:oMath>
      <w:r>
        <w:rPr>
          <w:rFonts w:hint="eastAsia" w:ascii="宋体" w:hAnsi="宋体"/>
        </w:rPr>
        <w:t>——测定断面湿烟气平均流速，</w:t>
      </w:r>
      <w:commentRangeStart w:id="17"/>
      <w:r>
        <w:rPr>
          <w:rFonts w:hint="eastAsia" w:ascii="宋体" w:hAnsi="宋体"/>
        </w:rPr>
        <w:t>单位为米每秒（m/s）</w:t>
      </w:r>
      <w:commentRangeEnd w:id="17"/>
      <w:r>
        <w:rPr>
          <w:rStyle w:val="34"/>
        </w:rPr>
        <w:commentReference w:id="17"/>
      </w:r>
      <w:r>
        <w:rPr>
          <w:rFonts w:hint="eastAsia" w:ascii="宋体" w:hAnsi="宋体"/>
        </w:rPr>
        <w:t>；</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
            </m:r>
            <m:ctrlPr>
              <w:rPr>
                <w:rFonts w:ascii="Cambria Math" w:hAnsi="Cambria Math"/>
                <w:i/>
              </w:rPr>
            </m:ctrlPr>
          </m:sub>
        </m:sSub>
      </m:oMath>
      <w:r>
        <w:fldChar w:fldCharType="begin"/>
      </w:r>
      <w:r>
        <w:rPr>
          <w:rFonts w:hint="eastAsia" w:ascii="宋体" w:hAnsi="宋体"/>
        </w:rPr>
        <w:instrText xml:space="preserve"> QUOTE </w:instrText>
      </w:r>
      <w:r>
        <w:rPr>
          <w:rFonts w:ascii="宋体" w:hAnsi="宋体"/>
        </w:rPr>
        <w:drawing>
          <wp:inline distT="0" distB="0" distL="0" distR="0">
            <wp:extent cx="548640" cy="182880"/>
            <wp:effectExtent l="0" t="0" r="3810" b="7620"/>
            <wp:docPr id="10" name="图片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22"/>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48640" cy="182880"/>
                    </a:xfrm>
                    <a:prstGeom prst="rect">
                      <a:avLst/>
                    </a:prstGeom>
                    <a:noFill/>
                    <a:ln>
                      <a:noFill/>
                    </a:ln>
                  </pic:spPr>
                </pic:pic>
              </a:graphicData>
            </a:graphic>
          </wp:inline>
        </w:drawing>
      </w:r>
      <w:r>
        <w:fldChar w:fldCharType="end"/>
      </w:r>
      <w:r>
        <w:rPr>
          <w:rFonts w:hint="eastAsia" w:ascii="宋体" w:hAnsi="宋体"/>
        </w:rPr>
        <w:t>——烟气温度，</w:t>
      </w:r>
      <w:commentRangeStart w:id="18"/>
      <w:r>
        <w:rPr>
          <w:rFonts w:hint="eastAsia" w:ascii="宋体" w:hAnsi="宋体"/>
        </w:rPr>
        <w:t>单位为摄氏度</w:t>
      </w:r>
      <w:commentRangeEnd w:id="18"/>
      <w:r>
        <w:rPr>
          <w:rStyle w:val="34"/>
        </w:rPr>
        <w:commentReference w:id="18"/>
      </w:r>
      <w:r>
        <w:rPr>
          <w:rFonts w:hint="eastAsia" w:ascii="宋体" w:hAnsi="宋体"/>
        </w:rPr>
        <w:t>（</w:t>
      </w:r>
      <w:r>
        <w:rPr>
          <w:rFonts w:hint="eastAsia" w:ascii="宋体" w:hAnsi="宋体"/>
          <w:vertAlign w:val="superscript"/>
        </w:rPr>
        <w:t>o</w:t>
      </w:r>
      <w:r>
        <w:rPr>
          <w:rFonts w:hint="eastAsia" w:ascii="宋体" w:hAnsi="宋体"/>
        </w:rPr>
        <w:t>C）；</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524510" cy="182880"/>
            <wp:effectExtent l="0" t="0" r="8890" b="7620"/>
            <wp:docPr id="11" name="图片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24"/>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24510" cy="182880"/>
                    </a:xfrm>
                    <a:prstGeom prst="rect">
                      <a:avLst/>
                    </a:prstGeom>
                    <a:noFill/>
                    <a:ln>
                      <a:noFill/>
                    </a:ln>
                  </pic:spPr>
                </pic:pic>
              </a:graphicData>
            </a:graphic>
          </wp:inline>
        </w:drawing>
      </w:r>
      <w:r>
        <w:fldChar w:fldCharType="end"/>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ascii="宋体" w:hAnsi="宋体"/>
        </w:rPr>
        <w:t>——大气压力，</w:t>
      </w:r>
      <w:commentRangeStart w:id="19"/>
      <w:r>
        <w:rPr>
          <w:rFonts w:hint="eastAsia" w:ascii="宋体" w:hAnsi="宋体"/>
        </w:rPr>
        <w:t>单位为帕</w:t>
      </w:r>
      <w:commentRangeEnd w:id="19"/>
      <w:r>
        <w:rPr>
          <w:rStyle w:val="34"/>
        </w:rPr>
        <w:commentReference w:id="19"/>
      </w:r>
      <w:r>
        <w:rPr>
          <w:rFonts w:hint="eastAsia" w:ascii="宋体" w:hAnsi="宋体"/>
        </w:rPr>
        <w:t>（pa）；</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540385" cy="182880"/>
            <wp:effectExtent l="0" t="0" r="0" b="7620"/>
            <wp:docPr id="12" name="图片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26"/>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40385" cy="182880"/>
                    </a:xfrm>
                    <a:prstGeom prst="rect">
                      <a:avLst/>
                    </a:prstGeom>
                    <a:noFill/>
                    <a:ln>
                      <a:noFill/>
                    </a:ln>
                  </pic:spPr>
                </pic:pic>
              </a:graphicData>
            </a:graphic>
          </wp:inline>
        </w:drawing>
      </w:r>
      <w:r>
        <w:fldChar w:fldCharType="separate"/>
      </w:r>
      <m:oMath>
        <m:sSub>
          <m:sSubPr>
            <m:ctrlPr>
              <w:rPr>
                <w:rFonts w:ascii="Cambria Math" w:hAnsi="Cambria Math"/>
                <w:i/>
              </w:rPr>
            </m:ctrlPr>
          </m:sSubPr>
          <m:e>
            <m:r>
              <m:rPr>
                <m:sty m:val="p"/>
              </m:rPr>
              <w:rPr>
                <w:rFonts w:ascii="Cambria Math" w:hAnsi="Cambria Math"/>
              </w:rPr>
              <m:t>P</m:t>
            </m:r>
            <m:ctrlPr>
              <w:rPr>
                <w:rFonts w:ascii="Cambria Math" w:hAnsi="Cambria Math"/>
                <w:i/>
              </w:rPr>
            </m:ctrlPr>
          </m:e>
          <m:sub>
            <m:r>
              <m:rPr>
                <m:sty m:val="p"/>
              </m:rPr>
              <w:rPr>
                <w:rFonts w:ascii="Cambria Math" w:hAnsi="Cambria Math"/>
              </w:rPr>
              <m:t>s</m:t>
            </m:r>
            <m:ctrlPr>
              <w:rPr>
                <w:rFonts w:ascii="Cambria Math" w:hAnsi="Cambria Math"/>
                <w:i/>
              </w:rPr>
            </m:ctrlPr>
          </m:sub>
        </m:sSub>
      </m:oMath>
      <w:r>
        <w:fldChar w:fldCharType="end"/>
      </w:r>
      <w:r>
        <w:rPr>
          <w:rFonts w:hint="eastAsia" w:ascii="宋体" w:hAnsi="宋体"/>
        </w:rPr>
        <w:t>——烟气静压，</w:t>
      </w:r>
      <w:commentRangeStart w:id="20"/>
      <w:r>
        <w:rPr>
          <w:rFonts w:hint="eastAsia" w:ascii="宋体" w:hAnsi="宋体"/>
        </w:rPr>
        <w:t>单位为帕</w:t>
      </w:r>
      <w:commentRangeEnd w:id="20"/>
      <w:r>
        <w:rPr>
          <w:rStyle w:val="34"/>
        </w:rPr>
        <w:commentReference w:id="20"/>
      </w:r>
      <w:r>
        <w:rPr>
          <w:rFonts w:hint="eastAsia" w:ascii="宋体" w:hAnsi="宋体"/>
        </w:rPr>
        <w:t>（pa）；</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sw</m:t>
            </m:r>
            <m:ctrlPr>
              <w:rPr>
                <w:rFonts w:ascii="Cambria Math" w:hAnsi="Cambria Math"/>
                <w:i/>
              </w:rPr>
            </m:ctrlPr>
          </m:sub>
        </m:sSub>
      </m:oMath>
      <w:r>
        <w:fldChar w:fldCharType="begin"/>
      </w:r>
      <w:r>
        <w:rPr>
          <w:rFonts w:hint="eastAsia" w:ascii="宋体" w:hAnsi="宋体"/>
        </w:rPr>
        <w:instrText xml:space="preserve"> QUOTE </w:instrText>
      </w:r>
      <w:r>
        <w:rPr>
          <w:rFonts w:ascii="宋体" w:hAnsi="宋体"/>
        </w:rPr>
        <w:drawing>
          <wp:inline distT="0" distB="0" distL="0" distR="0">
            <wp:extent cx="230505" cy="182880"/>
            <wp:effectExtent l="0" t="0" r="0" b="7620"/>
            <wp:docPr id="13" name="图片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28"/>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30505" cy="182880"/>
                    </a:xfrm>
                    <a:prstGeom prst="rect">
                      <a:avLst/>
                    </a:prstGeom>
                    <a:noFill/>
                    <a:ln>
                      <a:noFill/>
                    </a:ln>
                  </pic:spPr>
                </pic:pic>
              </a:graphicData>
            </a:graphic>
          </wp:inline>
        </w:drawing>
      </w:r>
      <w:r>
        <w:fldChar w:fldCharType="end"/>
      </w:r>
      <w:r>
        <w:rPr>
          <w:rFonts w:hint="eastAsia" w:ascii="宋体" w:hAnsi="宋体"/>
        </w:rPr>
        <w:t>——烟气含湿量。</w:t>
      </w:r>
    </w:p>
    <w:p>
      <w:pPr>
        <w:snapToGrid w:val="0"/>
        <w:spacing w:line="240" w:lineRule="auto"/>
        <w:ind w:firstLine="420"/>
        <w:rPr>
          <w:rFonts w:ascii="宋体" w:hAnsi="宋体"/>
        </w:rPr>
      </w:pPr>
      <w:r>
        <w:rPr>
          <w:rFonts w:hint="eastAsia" w:ascii="黑体" w:eastAsia="黑体"/>
        </w:rPr>
        <w:t>注：</w:t>
      </w:r>
      <w:r>
        <w:rPr>
          <w:rFonts w:hint="eastAsia" w:ascii="宋体" w:hAnsi="宋体"/>
        </w:rPr>
        <w:t>为避免测定烟气流速因测定位置和测点点位不能满足标准的要求影响污染物质量流量的准确测量，造成测定污染物去除效率的较大误差，可用式（C.5）、式（C.6）替代式（C.1）。</w:t>
      </w:r>
    </w:p>
    <w:p>
      <w:pPr>
        <w:tabs>
          <w:tab w:val="center" w:pos="4678"/>
          <w:tab w:val="right" w:leader="middleDot" w:pos="9356"/>
        </w:tabs>
        <w:spacing w:line="240" w:lineRule="auto"/>
        <w:ind w:firstLine="3780" w:firstLineChars="2100"/>
        <w:rPr>
          <w:rFonts w:ascii="宋体" w:hAnsi="宋体"/>
        </w:rPr>
      </w:pPr>
      <m:oMath>
        <m:r>
          <m:rPr/>
          <w:rPr>
            <w:rFonts w:ascii="Cambria Math" w:hAnsi="Cambria Math"/>
            <w:sz w:val="18"/>
            <w:szCs w:val="18"/>
          </w:rPr>
          <m:t>η=</m:t>
        </m:r>
        <m:d>
          <m:dPr>
            <m:begChr m:val="["/>
            <m:endChr m:val="]"/>
            <m:ctrlPr>
              <w:rPr>
                <w:rFonts w:ascii="Cambria Math" w:hAnsi="Cambria Math"/>
                <w:i/>
                <w:sz w:val="18"/>
                <w:szCs w:val="18"/>
              </w:rPr>
            </m:ctrlPr>
          </m:dPr>
          <m:e>
            <m:r>
              <m:rPr/>
              <w:rPr>
                <w:rFonts w:ascii="Cambria Math" w:hAnsi="Cambria Math"/>
                <w:sz w:val="18"/>
                <w:szCs w:val="18"/>
              </w:rPr>
              <m:t>1−</m:t>
            </m:r>
            <m:f>
              <m:fPr>
                <m:ctrlPr>
                  <w:rPr>
                    <w:rFonts w:ascii="Cambria Math" w:hAnsi="Cambria Math"/>
                    <w:i/>
                    <w:sz w:val="18"/>
                    <w:szCs w:val="18"/>
                  </w:rPr>
                </m:ctrlPr>
              </m:fPr>
              <m:num>
                <m:sSub>
                  <m:sSubPr>
                    <m:ctrlPr>
                      <w:rPr>
                        <w:rFonts w:ascii="Cambria Math" w:hAnsi="Cambria Math"/>
                        <w:i/>
                        <w:sz w:val="18"/>
                        <w:szCs w:val="18"/>
                      </w:rPr>
                    </m:ctrlPr>
                  </m:sSubPr>
                  <m:e>
                    <m:r>
                      <m:rPr/>
                      <w:rPr>
                        <w:rFonts w:ascii="Cambria Math" w:hAnsi="Cambria Math"/>
                        <w:sz w:val="18"/>
                        <w:szCs w:val="18"/>
                      </w:rPr>
                      <m:t>ρ</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α</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ctrlPr>
                  <w:rPr>
                    <w:rFonts w:ascii="Cambria Math" w:hAnsi="Cambria Math"/>
                    <w:i/>
                    <w:sz w:val="18"/>
                    <w:szCs w:val="18"/>
                  </w:rPr>
                </m:ctrlPr>
              </m:num>
              <m:den>
                <m:sSub>
                  <m:sSubPr>
                    <m:ctrlPr>
                      <w:rPr>
                        <w:rFonts w:ascii="Cambria Math" w:hAnsi="Cambria Math"/>
                        <w:i/>
                        <w:sz w:val="18"/>
                        <w:szCs w:val="18"/>
                      </w:rPr>
                    </m:ctrlPr>
                  </m:sSubPr>
                  <m:e>
                    <m:r>
                      <m:rPr/>
                      <w:rPr>
                        <w:rFonts w:ascii="Cambria Math" w:hAnsi="Cambria Math"/>
                        <w:sz w:val="18"/>
                        <w:szCs w:val="18"/>
                      </w:rPr>
                      <m:t>ρ</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α</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ctrlPr>
                  <w:rPr>
                    <w:rFonts w:ascii="Cambria Math" w:hAnsi="Cambria Math"/>
                    <w:i/>
                    <w:sz w:val="18"/>
                    <w:szCs w:val="18"/>
                  </w:rPr>
                </m:ctrlPr>
              </m:den>
            </m:f>
            <m:ctrlPr>
              <w:rPr>
                <w:rFonts w:ascii="Cambria Math" w:hAnsi="Cambria Math"/>
                <w:i/>
                <w:sz w:val="18"/>
                <w:szCs w:val="18"/>
              </w:rPr>
            </m:ctrlPr>
          </m:e>
        </m:d>
        <m:r>
          <m:rPr/>
          <w:rPr>
            <w:rFonts w:ascii="Cambria Math" w:hAnsi="Cambria Math"/>
            <w:sz w:val="18"/>
            <w:szCs w:val="18"/>
          </w:rPr>
          <m:t>×100%</m:t>
        </m:r>
      </m:oMath>
      <w:r>
        <w:rPr>
          <w:rFonts w:hint="eastAsia" w:ascii="微软雅黑" w:hAnsi="微软雅黑" w:eastAsia="微软雅黑"/>
        </w:rPr>
        <w:tab/>
      </w:r>
      <w:r>
        <w:rPr>
          <w:rFonts w:hint="eastAsia" w:ascii="宋体" w:hAnsi="宋体"/>
        </w:rPr>
        <w:t>(C.5)</w:t>
      </w:r>
    </w:p>
    <w:p>
      <w:pPr>
        <w:snapToGrid w:val="0"/>
        <w:spacing w:line="240" w:lineRule="auto"/>
        <w:ind w:firstLine="360" w:firstLineChars="200"/>
        <w:jc w:val="left"/>
        <w:rPr>
          <w:rFonts w:ascii="宋体" w:hAnsi="宋体"/>
          <w:sz w:val="18"/>
          <w:szCs w:val="18"/>
        </w:rPr>
      </w:pPr>
      <w:r>
        <w:rPr>
          <w:rFonts w:hint="eastAsia" w:ascii="宋体" w:hAnsi="宋体"/>
          <w:sz w:val="18"/>
          <w:szCs w:val="18"/>
        </w:rPr>
        <w:t>或</w:t>
      </w:r>
    </w:p>
    <w:p>
      <w:pPr>
        <w:tabs>
          <w:tab w:val="center" w:pos="4678"/>
          <w:tab w:val="right" w:leader="middleDot" w:pos="9356"/>
        </w:tabs>
        <w:spacing w:line="240" w:lineRule="auto"/>
        <w:ind w:firstLine="3600" w:firstLineChars="2000"/>
        <w:rPr>
          <w:rFonts w:ascii="宋体" w:hAnsi="宋体"/>
        </w:rPr>
      </w:pPr>
      <m:oMath>
        <m:r>
          <m:rPr/>
          <w:rPr>
            <w:rFonts w:ascii="Cambria Math" w:hAnsi="Cambria Math"/>
            <w:sz w:val="18"/>
            <w:szCs w:val="18"/>
          </w:rPr>
          <m:t>η=</m:t>
        </m:r>
        <m:d>
          <m:dPr>
            <m:begChr m:val="["/>
            <m:endChr m:val="]"/>
            <m:ctrlPr>
              <w:rPr>
                <w:rFonts w:ascii="Cambria Math" w:hAnsi="Cambria Math"/>
                <w:i/>
                <w:sz w:val="18"/>
                <w:szCs w:val="18"/>
              </w:rPr>
            </m:ctrlPr>
          </m:dPr>
          <m:e>
            <m:r>
              <m:rPr/>
              <w:rPr>
                <w:rFonts w:ascii="Cambria Math" w:hAnsi="Cambria Math"/>
                <w:sz w:val="18"/>
                <w:szCs w:val="18"/>
              </w:rPr>
              <m:t>1−</m:t>
            </m:r>
            <m:f>
              <m:fPr>
                <m:ctrlPr>
                  <w:rPr>
                    <w:rFonts w:ascii="Cambria Math" w:hAnsi="Cambria Math"/>
                    <w:i/>
                    <w:sz w:val="18"/>
                    <w:szCs w:val="18"/>
                  </w:rPr>
                </m:ctrlPr>
              </m:fPr>
              <m:num>
                <m:sSub>
                  <m:sSubPr>
                    <m:ctrlPr>
                      <w:rPr>
                        <w:rFonts w:ascii="Cambria Math" w:hAnsi="Cambria Math"/>
                        <w:i/>
                        <w:sz w:val="18"/>
                        <w:szCs w:val="18"/>
                      </w:rPr>
                    </m:ctrlPr>
                  </m:sSubPr>
                  <m:e>
                    <m:r>
                      <m:rPr/>
                      <w:rPr>
                        <w:rFonts w:ascii="Cambria Math" w:hAnsi="Cambria Math"/>
                        <w:sz w:val="18"/>
                        <w:szCs w:val="18"/>
                      </w:rPr>
                      <m:t>ρ</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r>
                  <m:rPr/>
                  <w:rPr>
                    <w:rFonts w:ascii="Cambria Math" w:hAnsi="Cambria Math"/>
                    <w:sz w:val="18"/>
                    <w:szCs w:val="18"/>
                  </w:rPr>
                  <m:t>×</m:t>
                </m:r>
                <m:r>
                  <m:rPr>
                    <m:sty m:val="p"/>
                  </m:rPr>
                  <w:rPr>
                    <w:rFonts w:hint="eastAsia" w:ascii="Cambria Math" w:hAnsi="Cambria Math"/>
                    <w:sz w:val="18"/>
                    <w:szCs w:val="18"/>
                  </w:rPr>
                  <m:t>（</m:t>
                </m:r>
                <m:r>
                  <m:rPr>
                    <m:sty m:val="p"/>
                  </m:rPr>
                  <w:rPr>
                    <w:rFonts w:ascii="Cambria Math" w:hAnsi="Cambria Math"/>
                    <w:sz w:val="18"/>
                    <w:szCs w:val="18"/>
                  </w:rPr>
                  <m:t>20.9−</m:t>
                </m:r>
                <m:sSub>
                  <m:sSubPr>
                    <m:ctrlPr>
                      <w:rPr>
                        <w:rFonts w:ascii="Cambria Math" w:hAnsi="Cambria Math"/>
                        <w:sz w:val="18"/>
                        <w:szCs w:val="18"/>
                      </w:rPr>
                    </m:ctrlPr>
                  </m:sSubPr>
                  <m:e>
                    <m:r>
                      <m:rPr>
                        <m:sty m:val="p"/>
                      </m:rPr>
                      <w:rPr>
                        <w:rFonts w:ascii="Cambria Math" w:hAnsi="Cambria Math"/>
                        <w:sz w:val="18"/>
                        <w:szCs w:val="18"/>
                      </w:rPr>
                      <m:t>OR</m:t>
                    </m:r>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r>
                  <m:rPr>
                    <m:sty m:val="p"/>
                  </m:rPr>
                  <w:rPr>
                    <w:rFonts w:hint="eastAsia" w:ascii="Cambria Math" w:hAnsi="Cambria Math"/>
                    <w:sz w:val="18"/>
                    <w:szCs w:val="18"/>
                  </w:rPr>
                  <m:t>）</m:t>
                </m:r>
                <m:ctrlPr>
                  <w:rPr>
                    <w:rFonts w:ascii="Cambria Math" w:hAnsi="Cambria Math"/>
                    <w:i/>
                    <w:sz w:val="18"/>
                    <w:szCs w:val="18"/>
                  </w:rPr>
                </m:ctrlPr>
              </m:num>
              <m:den>
                <m:sSub>
                  <m:sSubPr>
                    <m:ctrlPr>
                      <w:rPr>
                        <w:rFonts w:ascii="Cambria Math" w:hAnsi="Cambria Math"/>
                        <w:i/>
                        <w:sz w:val="18"/>
                        <w:szCs w:val="18"/>
                      </w:rPr>
                    </m:ctrlPr>
                  </m:sSubPr>
                  <m:e>
                    <m:r>
                      <m:rPr/>
                      <w:rPr>
                        <w:rFonts w:ascii="Cambria Math" w:hAnsi="Cambria Math"/>
                        <w:sz w:val="18"/>
                        <w:szCs w:val="18"/>
                      </w:rPr>
                      <m:t>ρ</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r>
                  <m:rPr/>
                  <w:rPr>
                    <w:rFonts w:ascii="Cambria Math" w:hAnsi="Cambria Math"/>
                    <w:sz w:val="18"/>
                    <w:szCs w:val="18"/>
                  </w:rPr>
                  <m:t>×</m:t>
                </m:r>
                <m:r>
                  <m:rPr>
                    <m:sty m:val="p"/>
                  </m:rPr>
                  <w:rPr>
                    <w:rFonts w:hint="eastAsia" w:ascii="Cambria Math" w:hAnsi="Cambria Math"/>
                    <w:sz w:val="18"/>
                    <w:szCs w:val="18"/>
                  </w:rPr>
                  <m:t>（</m:t>
                </m:r>
                <m:r>
                  <m:rPr>
                    <m:sty m:val="p"/>
                  </m:rPr>
                  <w:rPr>
                    <w:rFonts w:ascii="Cambria Math" w:hAnsi="Cambria Math"/>
                    <w:sz w:val="18"/>
                    <w:szCs w:val="18"/>
                  </w:rPr>
                  <m:t>20.9−</m:t>
                </m:r>
                <m:sSub>
                  <m:sSubPr>
                    <m:ctrlPr>
                      <w:rPr>
                        <w:rFonts w:ascii="Cambria Math" w:hAnsi="Cambria Math"/>
                        <w:sz w:val="18"/>
                        <w:szCs w:val="18"/>
                      </w:rPr>
                    </m:ctrlPr>
                  </m:sSubPr>
                  <m:e>
                    <m:r>
                      <m:rPr>
                        <m:sty m:val="p"/>
                      </m:rPr>
                      <w:rPr>
                        <w:rFonts w:ascii="Cambria Math" w:hAnsi="Cambria Math"/>
                        <w:sz w:val="18"/>
                        <w:szCs w:val="18"/>
                      </w:rPr>
                      <m:t>OR</m:t>
                    </m:r>
                    <m:ctrlPr>
                      <w:rPr>
                        <w:rFonts w:ascii="Cambria Math" w:hAnsi="Cambria Math"/>
                        <w:sz w:val="18"/>
                        <w:szCs w:val="18"/>
                      </w:rPr>
                    </m:ctrlPr>
                  </m:e>
                  <m:sub>
                    <m:r>
                      <m:rPr>
                        <m:sty m:val="p"/>
                      </m:rPr>
                      <w:rPr>
                        <w:rFonts w:ascii="Cambria Math" w:hAnsi="Cambria Math"/>
                        <w:sz w:val="18"/>
                        <w:szCs w:val="18"/>
                      </w:rPr>
                      <m:t>t</m:t>
                    </m:r>
                    <m:ctrlPr>
                      <w:rPr>
                        <w:rFonts w:ascii="Cambria Math" w:hAnsi="Cambria Math"/>
                        <w:sz w:val="18"/>
                        <w:szCs w:val="18"/>
                      </w:rPr>
                    </m:ctrlPr>
                  </m:sub>
                </m:sSub>
                <m:r>
                  <m:rPr>
                    <m:sty m:val="p"/>
                  </m:rPr>
                  <w:rPr>
                    <w:rFonts w:hint="eastAsia" w:ascii="Cambria Math" w:hAnsi="Cambria Math"/>
                    <w:sz w:val="18"/>
                    <w:szCs w:val="18"/>
                  </w:rPr>
                  <m:t>）</m:t>
                </m:r>
                <m:ctrlPr>
                  <w:rPr>
                    <w:rFonts w:ascii="Cambria Math" w:hAnsi="Cambria Math"/>
                    <w:i/>
                    <w:sz w:val="18"/>
                    <w:szCs w:val="18"/>
                  </w:rPr>
                </m:ctrlPr>
              </m:den>
            </m:f>
            <m:ctrlPr>
              <w:rPr>
                <w:rFonts w:ascii="Cambria Math" w:hAnsi="Cambria Math"/>
                <w:i/>
                <w:sz w:val="18"/>
                <w:szCs w:val="18"/>
              </w:rPr>
            </m:ctrlPr>
          </m:e>
        </m:d>
        <m:r>
          <m:rPr/>
          <w:rPr>
            <w:rFonts w:ascii="Cambria Math" w:hAnsi="Cambria Math"/>
            <w:sz w:val="18"/>
            <w:szCs w:val="18"/>
          </w:rPr>
          <m:t>×100%</m:t>
        </m:r>
      </m:oMath>
      <w:r>
        <w:rPr>
          <w:rFonts w:hint="eastAsia" w:ascii="微软雅黑" w:hAnsi="微软雅黑" w:eastAsia="微软雅黑"/>
        </w:rPr>
        <w:tab/>
      </w:r>
      <w:r>
        <w:rPr>
          <w:rFonts w:hint="eastAsia" w:ascii="宋体" w:hAnsi="宋体"/>
        </w:rPr>
        <w:t>(C.6)</w:t>
      </w:r>
    </w:p>
    <w:p>
      <w:pPr>
        <w:snapToGrid w:val="0"/>
        <w:spacing w:line="240" w:lineRule="auto"/>
        <w:ind w:firstLine="420" w:firstLineChars="200"/>
        <w:rPr>
          <w:rFonts w:ascii="宋体" w:hAnsi="宋体"/>
        </w:rPr>
      </w:pPr>
      <w:r>
        <w:rPr>
          <w:rFonts w:hint="eastAsia" w:ascii="宋体" w:hAnsi="宋体"/>
        </w:rPr>
        <w:t>式中：</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127000" cy="182880"/>
            <wp:effectExtent l="0" t="0" r="6350" b="7620"/>
            <wp:docPr id="14" name="图片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77"/>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82880"/>
                    </a:xfrm>
                    <a:prstGeom prst="rect">
                      <a:avLst/>
                    </a:prstGeom>
                    <a:noFill/>
                    <a:ln>
                      <a:noFill/>
                    </a:ln>
                  </pic:spPr>
                </pic:pic>
              </a:graphicData>
            </a:graphic>
          </wp:inline>
        </w:drawing>
      </w:r>
      <w:r>
        <w:fldChar w:fldCharType="separate"/>
      </w:r>
      <m:oMath>
        <m:sSub>
          <m:sSubPr>
            <m:ctrlPr>
              <w:rPr>
                <w:rFonts w:ascii="Cambria Math" w:hAnsi="Cambria Math"/>
                <w:i/>
              </w:rPr>
            </m:ctrlPr>
          </m:sSubPr>
          <m:e>
            <m:r>
              <m:rPr>
                <m:sty m:val="p"/>
              </m:rPr>
              <w:rPr>
                <w:rFonts w:ascii="Cambria Math" w:hAnsi="Cambria Math"/>
              </w:rPr>
              <m:t>α</m:t>
            </m:r>
            <m:ctrlPr>
              <w:rPr>
                <w:rFonts w:ascii="Cambria Math" w:hAnsi="Cambria Math"/>
                <w:i/>
              </w:rPr>
            </m:ctrlPr>
          </m:e>
          <m:sub>
            <m:r>
              <m:rPr>
                <m:sty m:val="p"/>
              </m:rPr>
              <w:rPr>
                <w:rFonts w:ascii="Cambria Math" w:hAnsi="Cambria Math"/>
              </w:rPr>
              <m:t>I</m:t>
            </m:r>
            <m:ctrlPr>
              <w:rPr>
                <w:rFonts w:ascii="Cambria Math" w:hAnsi="Cambria Math"/>
                <w:i/>
              </w:rPr>
            </m:ctrlPr>
          </m:sub>
        </m:sSub>
      </m:oMath>
      <w:r>
        <w:fldChar w:fldCharType="end"/>
      </w:r>
      <w:r>
        <w:rPr>
          <w:rFonts w:hint="eastAsia" w:ascii="宋体" w:hAnsi="宋体"/>
        </w:rPr>
        <w:t>——实测</w:t>
      </w:r>
      <w:r>
        <w:rPr>
          <w:rFonts w:hint="eastAsia" w:hAnsi="宋体"/>
        </w:rPr>
        <w:t>污染</w:t>
      </w:r>
      <w:r>
        <w:rPr>
          <w:rFonts w:hint="eastAsia" w:ascii="宋体" w:hAnsi="宋体"/>
        </w:rPr>
        <w:t>治理设施入口烟道测点烟气的过量空气系数；</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Cambria Math" w:hAnsi="Cambria Math"/>
              </w:rPr>
              <m:t>t</m:t>
            </m:r>
            <m:ctrlPr>
              <w:rPr>
                <w:rFonts w:ascii="Cambria Math" w:hAnsi="Cambria Math"/>
                <w:i/>
              </w:rPr>
            </m:ctrlPr>
          </m:sub>
        </m:sSub>
      </m:oMath>
      <w:r>
        <w:fldChar w:fldCharType="begin"/>
      </w:r>
      <w:r>
        <w:rPr>
          <w:rFonts w:hint="eastAsia" w:ascii="宋体" w:hAnsi="宋体"/>
        </w:rPr>
        <w:instrText xml:space="preserve"> QUOTE </w:instrText>
      </w:r>
      <w:r>
        <w:rPr>
          <w:rFonts w:ascii="宋体" w:hAnsi="宋体"/>
        </w:rPr>
        <w:drawing>
          <wp:inline distT="0" distB="0" distL="0" distR="0">
            <wp:extent cx="127000" cy="182880"/>
            <wp:effectExtent l="0" t="0" r="6350" b="7620"/>
            <wp:docPr id="15" name="图片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78"/>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7000" cy="182880"/>
                    </a:xfrm>
                    <a:prstGeom prst="rect">
                      <a:avLst/>
                    </a:prstGeom>
                    <a:noFill/>
                    <a:ln>
                      <a:noFill/>
                    </a:ln>
                  </pic:spPr>
                </pic:pic>
              </a:graphicData>
            </a:graphic>
          </wp:inline>
        </w:drawing>
      </w:r>
      <w:r>
        <w:fldChar w:fldCharType="end"/>
      </w:r>
      <w:r>
        <w:rPr>
          <w:rFonts w:hint="eastAsia" w:ascii="宋体" w:hAnsi="宋体"/>
        </w:rPr>
        <w:t>——实测净烟气烟道或进入烟囱前烟道测点烟气的过量空气系数；</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ascii="宋体" w:hAnsi="宋体"/>
        </w:rPr>
        <w:t>——实测</w:t>
      </w:r>
      <w:r>
        <w:rPr>
          <w:rFonts w:hint="eastAsia" w:hAnsi="宋体"/>
        </w:rPr>
        <w:t>污染</w:t>
      </w:r>
      <w:r>
        <w:rPr>
          <w:rFonts w:hint="eastAsia" w:ascii="宋体" w:hAnsi="宋体"/>
        </w:rPr>
        <w:t>治理设施入口烟道测点烟气中的污染物浓度，</w:t>
      </w:r>
      <w:commentRangeStart w:id="21"/>
      <w:r>
        <w:rPr>
          <w:rFonts w:hint="eastAsia" w:ascii="宋体" w:hAnsi="宋体"/>
        </w:rPr>
        <w:t>单位为毫克每立方米（mg/m</w:t>
      </w:r>
      <w:r>
        <w:rPr>
          <w:rFonts w:hint="eastAsia" w:ascii="宋体" w:hAnsi="宋体"/>
          <w:vertAlign w:val="superscript"/>
        </w:rPr>
        <w:t>3</w:t>
      </w:r>
      <w:r>
        <w:rPr>
          <w:rFonts w:hint="eastAsia" w:ascii="宋体" w:hAnsi="宋体"/>
        </w:rPr>
        <w:t>）</w:t>
      </w:r>
      <w:commentRangeEnd w:id="21"/>
      <w:r>
        <w:rPr>
          <w:rStyle w:val="34"/>
        </w:rPr>
        <w:commentReference w:id="21"/>
      </w:r>
      <w:r>
        <w:rPr>
          <w:rFonts w:hint="eastAsia" w:ascii="宋体" w:hAnsi="宋体"/>
        </w:rPr>
        <w:t>；</w:t>
      </w:r>
    </w:p>
    <w:p>
      <w:pPr>
        <w:snapToGrid w:val="0"/>
        <w:spacing w:line="240" w:lineRule="auto"/>
        <w:ind w:firstLine="420" w:firstLineChars="200"/>
        <w:rPr>
          <w:rFonts w:ascii="宋体" w:hAnsi="宋体"/>
        </w:rPr>
      </w:pPr>
      <m:oMath>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t</m:t>
            </m:r>
            <m:ctrlPr>
              <w:rPr>
                <w:rFonts w:ascii="Cambria Math" w:hAnsi="Cambria Math"/>
                <w:i/>
              </w:rPr>
            </m:ctrlPr>
          </m:sub>
        </m:sSub>
      </m:oMath>
      <w:r>
        <w:rPr>
          <w:rFonts w:hint="eastAsia" w:ascii="宋体" w:hAnsi="宋体"/>
        </w:rPr>
        <w:t>——实测净烟气烟道或进入烟囱前烟道测点烟气中的污染物浓度，</w:t>
      </w:r>
      <w:commentRangeStart w:id="22"/>
      <w:r>
        <w:rPr>
          <w:rFonts w:hint="eastAsia" w:ascii="宋体" w:hAnsi="宋体"/>
        </w:rPr>
        <w:t>单位为毫克每立方米（mg/m</w:t>
      </w:r>
      <w:r>
        <w:rPr>
          <w:rFonts w:hint="eastAsia" w:ascii="宋体" w:hAnsi="宋体"/>
          <w:vertAlign w:val="superscript"/>
        </w:rPr>
        <w:t>3</w:t>
      </w:r>
      <w:r>
        <w:rPr>
          <w:rFonts w:hint="eastAsia" w:ascii="宋体" w:hAnsi="宋体"/>
        </w:rPr>
        <w:t>）</w:t>
      </w:r>
      <w:commentRangeEnd w:id="22"/>
      <w:r>
        <w:rPr>
          <w:rStyle w:val="34"/>
        </w:rPr>
        <w:commentReference w:id="22"/>
      </w:r>
      <w:r>
        <w:rPr>
          <w:rFonts w:hint="eastAsia" w:ascii="宋体" w:hAnsi="宋体"/>
        </w:rPr>
        <w:t>；</w:t>
      </w:r>
    </w:p>
    <w:p>
      <w:pPr>
        <w:snapToGrid w:val="0"/>
        <w:spacing w:line="240" w:lineRule="auto"/>
        <w:ind w:firstLine="420" w:firstLineChars="200"/>
        <w:rPr>
          <w:rFonts w:ascii="宋体" w:hAnsi="宋体"/>
        </w:rPr>
      </w:pPr>
      <w:r>
        <w:fldChar w:fldCharType="begin"/>
      </w:r>
      <w:r>
        <w:rPr>
          <w:rFonts w:hint="eastAsia" w:ascii="宋体" w:hAnsi="宋体"/>
        </w:rPr>
        <w:instrText xml:space="preserve"> QUOTE </w:instrText>
      </w:r>
      <w:r>
        <w:rPr>
          <w:rFonts w:ascii="宋体" w:hAnsi="宋体"/>
        </w:rPr>
        <w:drawing>
          <wp:inline distT="0" distB="0" distL="0" distR="0">
            <wp:extent cx="787400" cy="739775"/>
            <wp:effectExtent l="0" t="0" r="0" b="0"/>
            <wp:docPr id="16" name="图片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79"/>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87400" cy="739775"/>
                    </a:xfrm>
                    <a:prstGeom prst="rect">
                      <a:avLst/>
                    </a:prstGeom>
                    <a:noFill/>
                    <a:ln>
                      <a:noFill/>
                    </a:ln>
                  </pic:spPr>
                </pic:pic>
              </a:graphicData>
            </a:graphic>
          </wp:inline>
        </w:drawing>
      </w:r>
      <w:r>
        <w:fldChar w:fldCharType="end"/>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w:fldChar w:fldCharType="begin"/>
        </m:r>
        <m:r>
          <m:rPr>
            <m:sty m:val="p"/>
          </m:rPr>
          <w:rPr>
            <w:rFonts w:ascii="Cambria Math" w:hAnsi="Cambria Math"/>
          </w:rPr>
          <m:t xml:space="preserve"> QUOTE </m:t>
        </m:r>
        <m:r>
          <m:rPr>
            <m:sty m:val="p"/>
          </m:rPr>
          <w:rPr>
            <w:rFonts w:hint="eastAsia" w:ascii="Cambria Math" w:hAnsi="Cambria Math"/>
          </w:rPr>
          <w:drawing>
            <wp:inline distT="0" distB="0" distL="0" distR="0">
              <wp:extent cx="790575" cy="742950"/>
              <wp:effectExtent l="0" t="0" r="0" b="0"/>
              <wp:docPr id="37" name="图片 1079"/>
              <wp:cNvGraphicFramePr/>
              <a:graphic xmlns:a="http://schemas.openxmlformats.org/drawingml/2006/main">
                <a:graphicData uri="http://schemas.openxmlformats.org/drawingml/2006/picture">
                  <pic:pic xmlns:pic="http://schemas.openxmlformats.org/drawingml/2006/picture">
                    <pic:nvPicPr>
                      <pic:cNvPr id="37" name="图片 1079"/>
                      <pic:cNvPicPr/>
                    </pic:nvPicPr>
                    <pic:blipFill>
                      <a:blip r:embed="rId32" cstate="print">
                        <a:clrChange>
                          <a:clrFrom>
                            <a:srgbClr val="FFFFFF"/>
                          </a:clrFrom>
                          <a:clrTo>
                            <a:srgbClr val="FFFFFF">
                              <a:alpha val="0"/>
                            </a:srgbClr>
                          </a:clrTo>
                        </a:clrChange>
                      </a:blip>
                      <a:srcRect/>
                      <a:stretch>
                        <a:fillRect/>
                      </a:stretch>
                    </pic:blipFill>
                    <pic:spPr>
                      <a:xfrm>
                        <a:off x="0" y="0"/>
                        <a:ext cx="790575" cy="742950"/>
                      </a:xfrm>
                      <a:prstGeom prst="rect">
                        <a:avLst/>
                      </a:prstGeom>
                      <a:ln>
                        <a:noFill/>
                      </a:ln>
                    </pic:spPr>
                  </pic:pic>
                </a:graphicData>
              </a:graphic>
            </wp:inline>
          </w:drawing>
        </m:r>
        <m:r>
          <m:rPr>
            <m:sty m:val="p"/>
          </m:rPr>
          <w:rPr>
            <w:rFonts w:ascii="Cambria Math" w:hAnsi="Cambria Math"/>
          </w:rPr>
          <w:fldChar w:fldCharType="end"/>
        </m:r>
      </m:oMath>
      <w:r>
        <w:rPr>
          <w:rFonts w:hint="eastAsia" w:ascii="宋体" w:hAnsi="宋体"/>
        </w:rPr>
        <w:t>——实测</w:t>
      </w:r>
      <w:r>
        <w:rPr>
          <w:rFonts w:hint="eastAsia" w:hAnsi="宋体"/>
        </w:rPr>
        <w:t>污染</w:t>
      </w:r>
      <w:r>
        <w:rPr>
          <w:rFonts w:hint="eastAsia" w:ascii="宋体" w:hAnsi="宋体"/>
        </w:rPr>
        <w:t>治理设施入口烟道测点烟气中的氧浓度，%；</w:t>
      </w:r>
    </w:p>
    <w:p>
      <w:pPr>
        <w:widowControl/>
        <w:autoSpaceDE w:val="0"/>
        <w:autoSpaceDN w:val="0"/>
        <w:adjustRightInd/>
        <w:spacing w:line="240" w:lineRule="auto"/>
        <w:ind w:firstLine="420" w:firstLineChars="200"/>
        <w:rPr>
          <w:rFonts w:ascii="宋体" w:hAnsi="宋体"/>
          <w:kern w:val="0"/>
          <w:szCs w:val="20"/>
        </w:rPr>
      </w:pPr>
      <w:r>
        <w:fldChar w:fldCharType="begin"/>
      </w:r>
      <w:r>
        <w:rPr>
          <w:rFonts w:hint="eastAsia" w:ascii="宋体" w:hAnsi="宋体"/>
          <w:kern w:val="0"/>
          <w:szCs w:val="20"/>
        </w:rPr>
        <w:instrText xml:space="preserve"> QUOTE </w:instrText>
      </w:r>
      <w:r>
        <w:rPr>
          <w:rFonts w:ascii="宋体" w:hAnsi="宋体"/>
          <w:kern w:val="0"/>
          <w:szCs w:val="20"/>
        </w:rPr>
        <w:drawing>
          <wp:inline distT="0" distB="0" distL="0" distR="0">
            <wp:extent cx="501015" cy="142875"/>
            <wp:effectExtent l="0" t="0" r="0" b="9525"/>
            <wp:docPr id="17" name="图片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80"/>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01015" cy="142875"/>
                    </a:xfrm>
                    <a:prstGeom prst="rect">
                      <a:avLst/>
                    </a:prstGeom>
                    <a:noFill/>
                    <a:ln>
                      <a:noFill/>
                    </a:ln>
                  </pic:spPr>
                </pic:pic>
              </a:graphicData>
            </a:graphic>
          </wp:inline>
        </w:drawing>
      </w:r>
      <w:r>
        <w:fldChar w:fldCharType="end"/>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w:rPr>
                <w:rFonts w:ascii="Cambria Math" w:hAnsi="Cambria Math"/>
              </w:rPr>
              <m:t>t</m:t>
            </m:r>
            <m:ctrlPr>
              <w:rPr>
                <w:rFonts w:ascii="Cambria Math" w:hAnsi="Cambria Math"/>
              </w:rPr>
            </m:ctrlPr>
          </m:sub>
        </m:sSub>
      </m:oMath>
      <w:r>
        <w:rPr>
          <w:rFonts w:hint="eastAsia" w:ascii="宋体" w:hAnsi="宋体"/>
          <w:kern w:val="0"/>
          <w:szCs w:val="20"/>
        </w:rPr>
        <w:t>——实测净烟气烟道或进入烟囱前烟道测点烟气中的氧浓度，%。</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黑体" w:cs="黑体"/>
          <w:kern w:val="0"/>
          <w:szCs w:val="20"/>
        </w:rPr>
        <w:t>结果的比较</w:t>
      </w:r>
      <w:r>
        <w:rPr>
          <w:rFonts w:hint="eastAsia" w:ascii="宋体" w:hAnsi="Times New Roman"/>
          <w:kern w:val="0"/>
          <w:szCs w:val="20"/>
        </w:rPr>
        <w:t>根据去除率判断基准与通过计算而得到的去除率的比较，判定</w:t>
      </w:r>
      <w:r>
        <w:rPr>
          <w:rFonts w:hint="eastAsia" w:hAnsi="宋体"/>
        </w:rPr>
        <w:t>污染</w:t>
      </w:r>
      <w:r>
        <w:rPr>
          <w:rFonts w:hint="eastAsia" w:ascii="宋体" w:hAnsi="Times New Roman"/>
          <w:kern w:val="0"/>
          <w:szCs w:val="20"/>
        </w:rPr>
        <w:t>治理设施是否正常运行。</w:t>
      </w:r>
    </w:p>
    <w:p>
      <w:pPr>
        <w:pStyle w:val="84"/>
        <w:spacing w:before="156" w:after="156"/>
        <w:rPr>
          <w:rFonts w:ascii="宋体" w:eastAsia="宋体"/>
        </w:rPr>
      </w:pPr>
      <w:r>
        <w:rPr>
          <w:rFonts w:hint="eastAsia"/>
        </w:rPr>
        <w:t>污染物浓度相关参数计算</w:t>
      </w:r>
    </w:p>
    <w:p>
      <w:pPr>
        <w:autoSpaceDE w:val="0"/>
        <w:autoSpaceDN w:val="0"/>
        <w:spacing w:line="240" w:lineRule="auto"/>
        <w:ind w:firstLine="420" w:firstLineChars="200"/>
        <w:jc w:val="left"/>
        <w:rPr>
          <w:rFonts w:ascii="宋体" w:hAnsi="宋体"/>
        </w:rPr>
      </w:pPr>
      <w:r>
        <w:rPr>
          <w:rFonts w:hint="eastAsia" w:ascii="宋体" w:hAnsi="宋体"/>
        </w:rPr>
        <w:t>连续测定、计算720 小时气态污染物（如</w:t>
      </w:r>
      <w:r>
        <w:rPr>
          <w:rFonts w:hint="eastAsia" w:ascii="宋体" w:hAnsi="宋体" w:cs="宋体"/>
        </w:rPr>
        <w:t>SO</w:t>
      </w:r>
      <w:r>
        <w:rPr>
          <w:rFonts w:hint="eastAsia" w:ascii="宋体" w:hAnsi="宋体" w:cs="宋体"/>
          <w:vertAlign w:val="subscript"/>
        </w:rPr>
        <w:t>2</w:t>
      </w:r>
      <w:r>
        <w:rPr>
          <w:rFonts w:hint="eastAsia" w:ascii="宋体" w:hAnsi="宋体"/>
        </w:rPr>
        <w:t>、NO</w:t>
      </w:r>
      <w:r>
        <w:rPr>
          <w:rFonts w:hint="eastAsia" w:ascii="宋体" w:hAnsi="宋体"/>
          <w:vertAlign w:val="subscript"/>
        </w:rPr>
        <w:t>x</w:t>
      </w:r>
      <w:r>
        <w:rPr>
          <w:rFonts w:hint="eastAsia" w:ascii="宋体" w:hAnsi="宋体"/>
        </w:rPr>
        <w:t>等）浓度的小时平均值和平均值的标准偏差，以浓度平均值为基准，标准偏差的±3倍为限值。污染物浓度平均值、标准偏差分别按式（C.7）、式（C.8）计算：</w:t>
      </w:r>
    </w:p>
    <w:p>
      <w:pPr>
        <w:tabs>
          <w:tab w:val="center" w:pos="4678"/>
          <w:tab w:val="right" w:leader="middleDot" w:pos="9356"/>
        </w:tabs>
        <w:spacing w:line="240" w:lineRule="auto"/>
        <w:ind w:firstLine="3990" w:firstLineChars="1900"/>
        <w:rPr>
          <w:rFonts w:ascii="宋体" w:hAnsi="宋体"/>
        </w:rPr>
      </w:pPr>
      <m:oMath>
        <m:acc>
          <m:accPr>
            <m:chr m:val="̅"/>
            <m:ctrlPr>
              <w:rPr>
                <w:rFonts w:ascii="Cambria Math" w:hAnsi="Cambria Math"/>
                <w:bCs/>
                <w:i/>
              </w:rPr>
            </m:ctrlPr>
          </m:accPr>
          <m:e>
            <m:r>
              <m:rPr/>
              <w:rPr>
                <w:rFonts w:ascii="Cambria Math" w:hAnsi="Cambria Math"/>
              </w:rPr>
              <m:t>ρ</m:t>
            </m:r>
            <m:ctrlPr>
              <w:rPr>
                <w:rFonts w:ascii="Cambria Math" w:hAnsi="Cambria Math"/>
                <w:bCs/>
                <w:i/>
              </w:rPr>
            </m:ctrlPr>
          </m:e>
        </m:acc>
        <m:r>
          <m:rPr/>
          <w:rPr>
            <w:rFonts w:ascii="Cambria Math" w:hAnsi="Cambria Math"/>
          </w:rPr>
          <m:t>=</m:t>
        </m:r>
        <m:f>
          <m:fPr>
            <m:ctrlPr>
              <w:rPr>
                <w:rFonts w:ascii="Cambria Math" w:hAnsi="Cambria Math"/>
                <w:bCs/>
                <w:i/>
              </w:rPr>
            </m:ctrlPr>
          </m:fPr>
          <m:num>
            <m:r>
              <m:rPr/>
              <w:rPr>
                <w:rFonts w:ascii="Cambria Math" w:hAnsi="Cambria Math"/>
              </w:rPr>
              <m:t>1</m:t>
            </m:r>
            <m:ctrlPr>
              <w:rPr>
                <w:rFonts w:ascii="Cambria Math" w:hAnsi="Cambria Math"/>
                <w:bCs/>
                <w:i/>
              </w:rPr>
            </m:ctrlPr>
          </m:num>
          <m:den>
            <m:r>
              <m:rPr/>
              <w:rPr>
                <w:rFonts w:ascii="Cambria Math" w:hAnsi="Cambria Math"/>
              </w:rPr>
              <m:t>n</m:t>
            </m:r>
            <m:ctrlPr>
              <w:rPr>
                <w:rFonts w:ascii="Cambria Math" w:hAnsi="Cambria Math"/>
                <w:bCs/>
                <w:i/>
              </w:rPr>
            </m:ctrlPr>
          </m:den>
        </m:f>
        <m:nary>
          <m:naryPr>
            <m:chr m:val="∑"/>
            <m:limLoc m:val="undOvr"/>
            <m:ctrlPr>
              <w:rPr>
                <w:rFonts w:ascii="Cambria Math" w:hAnsi="Cambria Math"/>
                <w:bCs/>
                <w:i/>
              </w:rPr>
            </m:ctrlPr>
          </m:naryPr>
          <m:sub>
            <m:r>
              <m:rPr/>
              <w:rPr>
                <w:rFonts w:ascii="Cambria Math" w:hAnsi="Cambria Math"/>
              </w:rPr>
              <m:t>i=1</m:t>
            </m:r>
            <m:ctrlPr>
              <w:rPr>
                <w:rFonts w:ascii="Cambria Math" w:hAnsi="Cambria Math"/>
                <w:bCs/>
                <w:i/>
              </w:rPr>
            </m:ctrlPr>
          </m:sub>
          <m:sup>
            <m:r>
              <m:rPr/>
              <w:rPr>
                <w:rFonts w:ascii="Cambria Math" w:hAnsi="Cambria Math"/>
              </w:rPr>
              <m:t>n</m:t>
            </m:r>
            <m:ctrlPr>
              <w:rPr>
                <w:rFonts w:ascii="Cambria Math" w:hAnsi="Cambria Math"/>
                <w:bCs/>
                <w:i/>
              </w:rPr>
            </m:ctrlPr>
          </m:sup>
          <m:e>
            <m:sSub>
              <m:sSubPr>
                <m:ctrlPr>
                  <w:rPr>
                    <w:rFonts w:ascii="Cambria Math" w:hAnsi="Cambria Math"/>
                    <w:bCs/>
                    <w:i/>
                  </w:rPr>
                </m:ctrlPr>
              </m:sSubPr>
              <m:e>
                <m:r>
                  <m:rPr/>
                  <w:rPr>
                    <w:rFonts w:ascii="Cambria Math" w:hAnsi="Cambria Math"/>
                  </w:rPr>
                  <m:t>ρ</m:t>
                </m:r>
                <m:ctrlPr>
                  <w:rPr>
                    <w:rFonts w:ascii="Cambria Math" w:hAnsi="Cambria Math"/>
                    <w:bCs/>
                    <w:i/>
                  </w:rPr>
                </m:ctrlPr>
              </m:e>
              <m:sub>
                <m:r>
                  <m:rPr/>
                  <w:rPr>
                    <w:rFonts w:ascii="Cambria Math" w:hAnsi="Cambria Math"/>
                  </w:rPr>
                  <m:t>i</m:t>
                </m:r>
                <m:ctrlPr>
                  <w:rPr>
                    <w:rFonts w:ascii="Cambria Math" w:hAnsi="Cambria Math"/>
                    <w:bCs/>
                    <w:i/>
                  </w:rPr>
                </m:ctrlPr>
              </m:sub>
            </m:sSub>
            <m:ctrlPr>
              <w:rPr>
                <w:rFonts w:ascii="Cambria Math" w:hAnsi="Cambria Math"/>
                <w:bCs/>
                <w:i/>
              </w:rPr>
            </m:ctrlPr>
          </m:e>
        </m:nary>
      </m:oMath>
      <w:r>
        <w:rPr>
          <w:rFonts w:hint="eastAsia" w:ascii="微软雅黑" w:hAnsi="微软雅黑" w:eastAsia="微软雅黑"/>
        </w:rPr>
        <w:tab/>
      </w:r>
      <w:r>
        <w:rPr>
          <w:rFonts w:hint="eastAsia" w:ascii="宋体" w:hAnsi="宋体"/>
        </w:rPr>
        <w:t>(C.7)</w:t>
      </w:r>
    </w:p>
    <w:p>
      <w:pPr>
        <w:autoSpaceDE w:val="0"/>
        <w:autoSpaceDN w:val="0"/>
        <w:spacing w:line="240" w:lineRule="auto"/>
        <w:ind w:firstLine="420" w:firstLineChars="200"/>
        <w:jc w:val="left"/>
        <w:rPr>
          <w:rFonts w:ascii="宋体" w:hAnsi="宋体"/>
        </w:rPr>
      </w:pPr>
      <w:r>
        <w:rPr>
          <w:rFonts w:hint="eastAsia" w:ascii="宋体" w:hAnsi="宋体"/>
        </w:rPr>
        <w:t>式中：</w:t>
      </w:r>
    </w:p>
    <w:p>
      <w:pPr>
        <w:autoSpaceDE w:val="0"/>
        <w:autoSpaceDN w:val="0"/>
        <w:spacing w:line="240" w:lineRule="auto"/>
        <w:ind w:firstLine="420" w:firstLineChars="200"/>
        <w:jc w:val="left"/>
        <w:rPr>
          <w:rFonts w:ascii="宋体" w:hAnsi="宋体"/>
        </w:rPr>
      </w:pPr>
      <m:oMath>
        <m:sSub>
          <m:sSubPr>
            <m:ctrlPr>
              <w:rPr>
                <w:rFonts w:ascii="Cambria Math" w:hAnsi="Cambria Math"/>
              </w:rPr>
            </m:ctrlPr>
          </m:sSubPr>
          <m:e>
            <m:r>
              <m:rPr/>
              <w:rPr>
                <w:rFonts w:ascii="Cambria Math" w:hAnsi="Cambria Math"/>
              </w:rPr>
              <m:t>ρ</m:t>
            </m:r>
            <m:ctrlPr>
              <w:rPr>
                <w:rFonts w:ascii="Cambria Math" w:hAnsi="Cambria Math"/>
              </w:rPr>
            </m:ctrlPr>
          </m:e>
          <m:sub>
            <m:r>
              <m:rPr/>
              <w:rPr>
                <w:rFonts w:ascii="Cambria Math" w:hAnsi="Cambria Math"/>
              </w:rPr>
              <m:t>i</m:t>
            </m:r>
            <m:ctrlPr>
              <w:rPr>
                <w:rFonts w:ascii="Cambria Math" w:hAnsi="Cambria Math"/>
              </w:rPr>
            </m:ctrlPr>
          </m:sub>
        </m:sSub>
      </m:oMath>
      <w:r>
        <w:fldChar w:fldCharType="begin"/>
      </w:r>
      <w:r>
        <w:rPr>
          <w:rFonts w:hint="eastAsia" w:ascii="宋体" w:hAnsi="宋体"/>
        </w:rPr>
        <w:instrText xml:space="preserve"> QUOTE </w:instrText>
      </w:r>
      <w:r>
        <w:rPr>
          <w:rFonts w:ascii="宋体" w:hAnsi="宋体"/>
        </w:rPr>
        <w:drawing>
          <wp:inline distT="0" distB="0" distL="0" distR="0">
            <wp:extent cx="135255" cy="182880"/>
            <wp:effectExtent l="0" t="0" r="0" b="7620"/>
            <wp:docPr id="18" name="图片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81"/>
                    <pic:cNvPicPr>
                      <a:picLocks noChangeAspect="1" noChangeArrowheads="1"/>
                    </pic:cNvPicPr>
                  </pic:nvPicPr>
                  <pic:blipFill>
                    <a:blip r:embed="rId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35255" cy="182880"/>
                    </a:xfrm>
                    <a:prstGeom prst="rect">
                      <a:avLst/>
                    </a:prstGeom>
                    <a:noFill/>
                    <a:ln>
                      <a:noFill/>
                    </a:ln>
                  </pic:spPr>
                </pic:pic>
              </a:graphicData>
            </a:graphic>
          </wp:inline>
        </w:drawing>
      </w:r>
      <w:r>
        <w:fldChar w:fldCharType="end"/>
      </w:r>
      <w:r>
        <w:rPr>
          <w:rFonts w:hint="eastAsia" w:ascii="宋体" w:hAnsi="宋体"/>
        </w:rPr>
        <w:t>——污染物</w:t>
      </w:r>
      <w:r>
        <w:rPr>
          <w:rFonts w:hint="eastAsia" w:ascii="宋体" w:hAnsi="宋体"/>
          <w:i/>
        </w:rPr>
        <w:t>i</w:t>
      </w:r>
      <w:r>
        <w:rPr>
          <w:rFonts w:hint="eastAsia" w:ascii="宋体" w:hAnsi="宋体"/>
        </w:rPr>
        <w:t>的浓度值，</w:t>
      </w:r>
      <w:commentRangeStart w:id="23"/>
      <w:r>
        <w:rPr>
          <w:rFonts w:hint="eastAsia" w:ascii="宋体" w:hAnsi="宋体"/>
        </w:rPr>
        <w:t>单位为毫克每立方米（</w:t>
      </w:r>
      <w:r>
        <w:rPr>
          <w:rFonts w:hint="eastAsia" w:ascii="宋体" w:hAnsi="宋体"/>
          <w:kern w:val="0"/>
        </w:rPr>
        <w:t>mg/m</w:t>
      </w:r>
      <w:r>
        <w:rPr>
          <w:rFonts w:hint="eastAsia" w:ascii="宋体" w:hAnsi="宋体"/>
          <w:kern w:val="0"/>
          <w:vertAlign w:val="superscript"/>
        </w:rPr>
        <w:t>3</w:t>
      </w:r>
      <w:r>
        <w:rPr>
          <w:rFonts w:ascii="宋体" w:hAnsi="宋体"/>
        </w:rPr>
        <w:t>）</w:t>
      </w:r>
      <w:commentRangeEnd w:id="23"/>
      <w:r>
        <w:rPr>
          <w:rStyle w:val="34"/>
        </w:rPr>
        <w:commentReference w:id="23"/>
      </w:r>
      <w:r>
        <w:rPr>
          <w:rFonts w:hint="eastAsia" w:ascii="宋体" w:hAnsi="宋体"/>
        </w:rPr>
        <w:t>；</w:t>
      </w:r>
    </w:p>
    <w:p>
      <w:pPr>
        <w:autoSpaceDE w:val="0"/>
        <w:autoSpaceDN w:val="0"/>
        <w:spacing w:line="240" w:lineRule="auto"/>
        <w:ind w:firstLine="420" w:firstLineChars="200"/>
        <w:jc w:val="left"/>
        <w:rPr>
          <w:rFonts w:ascii="宋体" w:hAnsi="宋体"/>
        </w:rPr>
      </w:pPr>
      <m:oMath>
        <m:acc>
          <m:accPr>
            <m:chr m:val="̅"/>
            <m:ctrlPr>
              <w:rPr>
                <w:rFonts w:ascii="Cambria Math" w:hAnsi="Cambria Math"/>
                <w:bCs/>
                <w:i/>
              </w:rPr>
            </m:ctrlPr>
          </m:accPr>
          <m:e>
            <m:r>
              <m:rPr/>
              <w:rPr>
                <w:rFonts w:ascii="Cambria Math" w:hAnsi="Cambria Math"/>
              </w:rPr>
              <m:t>ρ</m:t>
            </m:r>
            <m:ctrlPr>
              <w:rPr>
                <w:rFonts w:ascii="Cambria Math" w:hAnsi="Cambria Math"/>
                <w:bCs/>
                <w:i/>
              </w:rPr>
            </m:ctrlPr>
          </m:e>
        </m:acc>
      </m:oMath>
      <w:r>
        <w:fldChar w:fldCharType="begin"/>
      </w:r>
      <w:r>
        <w:rPr>
          <w:rFonts w:hint="eastAsia" w:ascii="宋体" w:hAnsi="宋体"/>
        </w:rPr>
        <w:instrText xml:space="preserve"> QUOTE </w:instrText>
      </w:r>
      <w:r>
        <w:rPr>
          <w:rFonts w:ascii="宋体" w:hAnsi="宋体"/>
        </w:rPr>
        <w:drawing>
          <wp:inline distT="0" distB="0" distL="0" distR="0">
            <wp:extent cx="540385" cy="182880"/>
            <wp:effectExtent l="0" t="0" r="0" b="7620"/>
            <wp:docPr id="19" name="图片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83"/>
                    <pic:cNvPicPr>
                      <a:picLocks noChangeAspect="1" noChangeArrowheads="1"/>
                    </pic:cNvPicPr>
                  </pic:nvPicPr>
                  <pic:blipFill>
                    <a:blip r:embed="rId3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540385" cy="182880"/>
                    </a:xfrm>
                    <a:prstGeom prst="rect">
                      <a:avLst/>
                    </a:prstGeom>
                    <a:noFill/>
                    <a:ln>
                      <a:noFill/>
                    </a:ln>
                  </pic:spPr>
                </pic:pic>
              </a:graphicData>
            </a:graphic>
          </wp:inline>
        </w:drawing>
      </w:r>
      <w:r>
        <w:fldChar w:fldCharType="end"/>
      </w:r>
      <w:r>
        <w:rPr>
          <w:rFonts w:hint="eastAsia" w:ascii="宋体" w:hAnsi="宋体"/>
        </w:rPr>
        <w:t>——污染物</w:t>
      </w:r>
      <w:r>
        <w:rPr>
          <w:rFonts w:hint="eastAsia" w:ascii="宋体" w:hAnsi="宋体"/>
          <w:i/>
        </w:rPr>
        <w:t>i</w:t>
      </w:r>
      <w:r>
        <w:rPr>
          <w:rFonts w:hint="eastAsia" w:ascii="宋体" w:hAnsi="宋体"/>
        </w:rPr>
        <w:t>浓度的平均值，</w:t>
      </w:r>
      <w:commentRangeStart w:id="24"/>
      <w:r>
        <w:rPr>
          <w:rFonts w:hint="eastAsia" w:ascii="宋体" w:hAnsi="宋体"/>
        </w:rPr>
        <w:t>单位为毫克每立方米（</w:t>
      </w:r>
      <w:commentRangeEnd w:id="24"/>
      <w:r>
        <w:rPr>
          <w:rStyle w:val="34"/>
        </w:rPr>
        <w:commentReference w:id="24"/>
      </w:r>
      <w:r>
        <w:rPr>
          <w:rFonts w:hint="eastAsia" w:ascii="宋体" w:hAnsi="宋体"/>
          <w:kern w:val="0"/>
        </w:rPr>
        <w:t>mg/m</w:t>
      </w:r>
      <w:r>
        <w:rPr>
          <w:rFonts w:hint="eastAsia" w:ascii="宋体" w:hAnsi="宋体"/>
          <w:kern w:val="0"/>
          <w:vertAlign w:val="superscript"/>
        </w:rPr>
        <w:t>3</w:t>
      </w:r>
      <w:r>
        <w:rPr>
          <w:rFonts w:ascii="宋体" w:hAnsi="宋体"/>
        </w:rPr>
        <w:t>）</w:t>
      </w:r>
      <w:r>
        <w:rPr>
          <w:rFonts w:hint="eastAsia" w:ascii="宋体" w:hAnsi="宋体"/>
        </w:rPr>
        <w:t>；</w:t>
      </w:r>
    </w:p>
    <w:p>
      <w:pPr>
        <w:autoSpaceDE w:val="0"/>
        <w:autoSpaceDN w:val="0"/>
        <w:spacing w:line="240" w:lineRule="auto"/>
        <w:ind w:firstLine="420" w:firstLineChars="200"/>
        <w:jc w:val="left"/>
        <w:rPr>
          <w:rFonts w:ascii="宋体" w:hAnsi="宋体"/>
        </w:rPr>
      </w:pPr>
      <m:oMath>
        <m:r>
          <m:rPr/>
          <w:rPr>
            <w:rFonts w:ascii="Cambria Math" w:hAnsi="Cambria Math"/>
          </w:rPr>
          <m:t>n</m:t>
        </m:r>
      </m:oMath>
      <w:r>
        <w:rPr>
          <w:rFonts w:hint="eastAsia" w:ascii="宋体" w:hAnsi="宋体"/>
        </w:rPr>
        <w:t>——样品数量。</w:t>
      </w:r>
    </w:p>
    <w:p>
      <w:pPr>
        <w:tabs>
          <w:tab w:val="center" w:pos="4678"/>
          <w:tab w:val="right" w:leader="middleDot" w:pos="9356"/>
        </w:tabs>
        <w:spacing w:line="240" w:lineRule="auto"/>
        <w:ind w:firstLine="3570" w:firstLineChars="1700"/>
        <w:rPr>
          <w:rFonts w:ascii="宋体" w:hAnsi="宋体"/>
        </w:rPr>
      </w:pPr>
      <m:oMath>
        <m:r>
          <m:rPr/>
          <w:rPr>
            <w:rFonts w:ascii="Cambria Math" w:hAnsi="Cambria Math"/>
          </w:rPr>
          <m:t>S=</m:t>
        </m:r>
        <m:rad>
          <m:radPr>
            <m:degHide m:val="1"/>
            <m:ctrlPr>
              <w:rPr>
                <w:rFonts w:ascii="Cambria Math" w:hAnsi="Cambria Math"/>
                <w:i/>
              </w:rPr>
            </m:ctrlPr>
          </m:radPr>
          <m:deg>
            <m:ctrlPr>
              <w:rPr>
                <w:rFonts w:ascii="Cambria Math" w:hAnsi="Cambria Math"/>
                <w:i/>
              </w:rPr>
            </m:ctrlPr>
          </m:deg>
          <m:e>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n−1</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bCs/>
                                <w:i/>
                              </w:rPr>
                            </m:ctrlPr>
                          </m:accPr>
                          <m:e>
                            <m:r>
                              <m:rPr/>
                              <w:rPr>
                                <w:rFonts w:ascii="Cambria Math" w:hAnsi="Cambria Math"/>
                              </w:rPr>
                              <m:t>ρ</m:t>
                            </m:r>
                            <m:ctrlPr>
                              <w:rPr>
                                <w:rFonts w:ascii="Cambria Math" w:hAnsi="Cambria Math"/>
                                <w:bCs/>
                                <w:i/>
                              </w:rPr>
                            </m:ctrlPr>
                          </m:e>
                        </m:acc>
                        <m:ctrlPr>
                          <w:rPr>
                            <w:rFonts w:ascii="Cambria Math" w:hAnsi="Cambria Math"/>
                            <w:i/>
                          </w:rPr>
                        </m:ctrlPr>
                      </m:e>
                    </m:d>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e>
            </m:nary>
            <m:ctrlPr>
              <w:rPr>
                <w:rFonts w:ascii="Cambria Math" w:hAnsi="Cambria Math"/>
                <w:i/>
              </w:rPr>
            </m:ctrlPr>
          </m:e>
        </m:rad>
      </m:oMath>
      <w:r>
        <w:rPr>
          <w:rFonts w:hint="eastAsia" w:ascii="微软雅黑" w:hAnsi="微软雅黑" w:eastAsia="微软雅黑"/>
        </w:rPr>
        <w:tab/>
      </w:r>
      <w:r>
        <w:rPr>
          <w:rFonts w:hint="eastAsia" w:ascii="宋体" w:hAnsi="宋体"/>
        </w:rPr>
        <w:t>(C.8)</w:t>
      </w:r>
    </w:p>
    <w:p>
      <w:pPr>
        <w:autoSpaceDE w:val="0"/>
        <w:autoSpaceDN w:val="0"/>
        <w:spacing w:line="240" w:lineRule="auto"/>
        <w:ind w:firstLine="420" w:firstLineChars="200"/>
        <w:jc w:val="left"/>
        <w:rPr>
          <w:rFonts w:ascii="宋体" w:hAnsi="宋体"/>
        </w:rPr>
      </w:pPr>
      <w:r>
        <w:rPr>
          <w:rFonts w:hint="eastAsia" w:ascii="宋体" w:hAnsi="宋体"/>
        </w:rPr>
        <w:t>式中：</w:t>
      </w:r>
    </w:p>
    <w:p>
      <w:pPr>
        <w:autoSpaceDE w:val="0"/>
        <w:autoSpaceDN w:val="0"/>
        <w:spacing w:line="240" w:lineRule="auto"/>
        <w:ind w:firstLine="420" w:firstLineChars="200"/>
        <w:jc w:val="left"/>
        <w:rPr>
          <w:rFonts w:ascii="宋体" w:hAnsi="宋体"/>
        </w:rPr>
      </w:pPr>
      <w:r>
        <w:rPr>
          <w:rFonts w:hint="eastAsia" w:ascii="宋体" w:hAnsi="宋体"/>
          <w:i/>
        </w:rPr>
        <w:t>S</w:t>
      </w:r>
      <w:r>
        <w:rPr>
          <w:rFonts w:hint="eastAsia" w:ascii="宋体" w:hAnsi="宋体"/>
        </w:rPr>
        <w:t>——标准偏差。</w:t>
      </w:r>
    </w:p>
    <w:p>
      <w:pPr>
        <w:tabs>
          <w:tab w:val="center" w:pos="4678"/>
          <w:tab w:val="right" w:leader="middleDot" w:pos="9356"/>
        </w:tabs>
        <w:spacing w:line="240" w:lineRule="auto"/>
        <w:ind w:firstLine="3570" w:firstLineChars="1700"/>
        <w:rPr>
          <w:rFonts w:ascii="宋体" w:hAnsi="宋体"/>
        </w:rPr>
      </w:pP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ρ</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acc>
              <m:accPr>
                <m:chr m:val="̅"/>
                <m:ctrlPr>
                  <w:rPr>
                    <w:rFonts w:ascii="Cambria Math" w:hAnsi="Cambria Math"/>
                    <w:bCs/>
                    <w:i/>
                  </w:rPr>
                </m:ctrlPr>
              </m:accPr>
              <m:e>
                <m:r>
                  <m:rPr/>
                  <w:rPr>
                    <w:rFonts w:ascii="Cambria Math" w:hAnsi="Cambria Math"/>
                  </w:rPr>
                  <m:t>ρ</m:t>
                </m:r>
                <m:ctrlPr>
                  <w:rPr>
                    <w:rFonts w:ascii="Cambria Math" w:hAnsi="Cambria Math"/>
                    <w:bCs/>
                    <w:i/>
                  </w:rPr>
                </m:ctrlPr>
              </m:e>
            </m:acc>
            <m:ctrlPr>
              <w:rPr>
                <w:rFonts w:ascii="Cambria Math" w:hAnsi="Cambria Math"/>
                <w:i/>
              </w:rPr>
            </m:ctrlPr>
          </m:e>
        </m:d>
        <m:r>
          <m:rPr/>
          <w:rPr>
            <w:rFonts w:ascii="Cambria Math" w:hAnsi="Cambria Math"/>
          </w:rPr>
          <m:t>≤3S</m:t>
        </m:r>
      </m:oMath>
      <w:r>
        <w:rPr>
          <w:rFonts w:hint="eastAsia" w:ascii="微软雅黑" w:hAnsi="微软雅黑" w:eastAsia="微软雅黑"/>
        </w:rPr>
        <w:tab/>
      </w:r>
      <w:r>
        <w:rPr>
          <w:rFonts w:hint="eastAsia" w:ascii="宋体" w:hAnsi="宋体"/>
        </w:rPr>
        <w:t>(C.9)</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宋体"/>
          <w:kern w:val="0"/>
          <w:szCs w:val="20"/>
        </w:rPr>
        <w:t>当满足式（C.9） 情形时，判定</w:t>
      </w:r>
      <w:r>
        <w:rPr>
          <w:rFonts w:hint="eastAsia" w:hAnsi="宋体"/>
        </w:rPr>
        <w:t>污染</w:t>
      </w:r>
      <w:r>
        <w:rPr>
          <w:rFonts w:hint="eastAsia" w:ascii="宋体" w:hAnsi="宋体"/>
          <w:kern w:val="0"/>
          <w:szCs w:val="20"/>
        </w:rPr>
        <w:t>治理设施运行正常。</w:t>
      </w:r>
    </w:p>
    <w:p>
      <w:pPr>
        <w:pStyle w:val="61"/>
        <w:ind w:firstLine="0" w:firstLineChars="0"/>
      </w:pPr>
    </w:p>
    <w:bookmarkEnd w:id="54"/>
    <w:p>
      <w:pPr>
        <w:tabs>
          <w:tab w:val="left" w:pos="4045"/>
        </w:tabs>
      </w:pPr>
    </w:p>
    <w:p>
      <w:pPr>
        <w:tabs>
          <w:tab w:val="left" w:pos="4045"/>
        </w:tabs>
      </w:pPr>
    </w:p>
    <w:p>
      <w:pPr>
        <w:tabs>
          <w:tab w:val="left" w:pos="4045"/>
        </w:tabs>
      </w:pPr>
    </w:p>
    <w:p>
      <w:pPr>
        <w:tabs>
          <w:tab w:val="left" w:pos="4045"/>
        </w:tabs>
      </w:pPr>
      <w:r>
        <w:pict>
          <v:rect id="_x0000_i1027" o:spt="1" style="height:1.5pt;width:116.95pt;" fillcolor="#000000" filled="t" stroked="f" coordsize="21600,21600" o:hr="t" o:hrstd="t" o:hrnoshade="t" o:hrpct="250" o:hralign="center">
            <v:path/>
            <v:fill on="t" focussize="0,0"/>
            <v:stroke on="f"/>
            <v:imagedata o:title=""/>
            <o:lock v:ext="edit"/>
            <w10:wrap type="none"/>
            <w10:anchorlock/>
          </v:rect>
        </w:pict>
      </w:r>
    </w:p>
    <w:p>
      <w:pPr>
        <w:tabs>
          <w:tab w:val="left" w:pos="4045"/>
        </w:tabs>
      </w:pPr>
      <w:r>
        <w:tab/>
      </w:r>
    </w:p>
    <w:sectPr>
      <w:pgSz w:w="11906" w:h="16838"/>
      <w:pgMar w:top="2410" w:right="1134" w:bottom="1134" w:left="1134" w:header="1418" w:footer="1134" w:gutter="284"/>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张 宁涛" w:date="2023-09-13T21:37:00Z" w:initials="张">
    <w:p w14:paraId="57EB02D8">
      <w:pPr>
        <w:pStyle w:val="61"/>
        <w:ind w:firstLine="420"/>
        <w:rPr>
          <w:rFonts w:ascii="Times New Roman"/>
        </w:rPr>
      </w:pPr>
      <w:r>
        <w:rPr>
          <w:rFonts w:hint="eastAsia"/>
        </w:rPr>
        <w:t>增加“</w:t>
      </w:r>
      <w:r>
        <w:rPr>
          <w:rFonts w:hint="eastAsia" w:ascii="Times New Roman"/>
        </w:rPr>
        <w:t>下列缩略语适用于本文件。</w:t>
      </w:r>
    </w:p>
    <w:p w14:paraId="50BA0E8F">
      <w:pPr>
        <w:pStyle w:val="13"/>
      </w:pPr>
      <w:r>
        <w:rPr>
          <w:rFonts w:hint="eastAsia"/>
        </w:rPr>
        <w:t>”</w:t>
      </w:r>
    </w:p>
  </w:comment>
  <w:comment w:id="1" w:author="张 宁涛" w:date="2023-09-13T21:40:00Z" w:initials="张">
    <w:p w14:paraId="518400E6">
      <w:pPr>
        <w:pStyle w:val="13"/>
      </w:pPr>
      <w:r>
        <w:rPr>
          <w:rFonts w:hint="eastAsia"/>
        </w:rPr>
        <w:t>修改为“如图1所示”</w:t>
      </w:r>
    </w:p>
  </w:comment>
  <w:comment w:id="2" w:author="张 宁涛" w:date="2023-09-13T21:45:00Z" w:initials="张">
    <w:p w14:paraId="22AD2CB6">
      <w:pPr>
        <w:pStyle w:val="13"/>
      </w:pPr>
      <w:r>
        <w:rPr>
          <w:rFonts w:hint="eastAsia"/>
        </w:rPr>
        <w:t>“可”修改为“需”</w:t>
      </w:r>
    </w:p>
  </w:comment>
  <w:comment w:id="3" w:author="张 宁涛" w:date="2023-09-14T10:38:00Z" w:initials="张">
    <w:p w14:paraId="78311E12">
      <w:pPr>
        <w:pStyle w:val="13"/>
      </w:pPr>
      <w:r>
        <w:rPr>
          <w:rFonts w:hint="eastAsia"/>
        </w:rPr>
        <w:t>删除“局域网组网设施”</w:t>
      </w:r>
    </w:p>
  </w:comment>
  <w:comment w:id="4" w:author="张 宁涛" w:date="2023-09-14T10:39:00Z" w:initials="张">
    <w:p w14:paraId="31FD185B">
      <w:pPr>
        <w:pStyle w:val="13"/>
      </w:pPr>
      <w:r>
        <w:rPr>
          <w:rFonts w:hint="eastAsia"/>
        </w:rPr>
        <w:t>删除“选择性非催化还原法”</w:t>
      </w:r>
    </w:p>
  </w:comment>
  <w:comment w:id="5" w:author="张 宁涛" w:date="2023-09-14T10:39:00Z" w:initials="张">
    <w:p w14:paraId="3C1A25AA">
      <w:pPr>
        <w:pStyle w:val="13"/>
      </w:pPr>
      <w:r>
        <w:rPr>
          <w:rFonts w:hint="eastAsia"/>
        </w:rPr>
        <w:t>删除“选择性催化还原法”</w:t>
      </w:r>
    </w:p>
  </w:comment>
  <w:comment w:id="6" w:author="张 宁涛" w:date="2023-09-14T10:40:00Z" w:initials="张">
    <w:p w14:paraId="75334AD4">
      <w:pPr>
        <w:pStyle w:val="13"/>
      </w:pPr>
      <w:r>
        <w:rPr>
          <w:rFonts w:hint="eastAsia"/>
        </w:rPr>
        <w:t>删除“之间”</w:t>
      </w:r>
    </w:p>
  </w:comment>
  <w:comment w:id="7" w:author="张 宁涛" w:date="2023-09-14T10:43:00Z" w:initials="张">
    <w:p w14:paraId="76374C5E">
      <w:pPr>
        <w:pStyle w:val="13"/>
      </w:pPr>
      <w:r>
        <w:rPr>
          <w:rFonts w:hint="eastAsia"/>
        </w:rPr>
        <w:t>“要求”修改为“规定”</w:t>
      </w:r>
    </w:p>
  </w:comment>
  <w:comment w:id="8" w:author="张 宁涛" w:date="2023-09-14T10:40:00Z" w:initials="张">
    <w:p w14:paraId="2C2B140A">
      <w:pPr>
        <w:pStyle w:val="13"/>
      </w:pPr>
      <w:r>
        <w:rPr>
          <w:rFonts w:hint="eastAsia"/>
        </w:rPr>
        <w:t>“技术指南”修改为“文件”</w:t>
      </w:r>
    </w:p>
  </w:comment>
  <w:comment w:id="9" w:author="张 宁涛" w:date="2023-09-14T10:36:00Z" w:initials="张">
    <w:p w14:paraId="7D6603EC">
      <w:pPr>
        <w:pStyle w:val="13"/>
      </w:pPr>
      <w:r>
        <w:rPr>
          <w:rFonts w:hint="eastAsia"/>
        </w:rPr>
        <w:t>先文后图</w:t>
      </w:r>
    </w:p>
  </w:comment>
  <w:comment w:id="10" w:author="张 宁涛" w:date="2023-09-14T10:35:00Z" w:initials="张">
    <w:p w14:paraId="3DC92B34">
      <w:pPr>
        <w:pStyle w:val="13"/>
      </w:pPr>
      <w:r>
        <w:rPr>
          <w:rFonts w:hint="eastAsia"/>
        </w:rPr>
        <w:t>增加“</w:t>
      </w:r>
      <w:r>
        <w:rPr>
          <w:rFonts w:hint="eastAsia" w:ascii="宋体" w:hAnsi="宋体"/>
        </w:rPr>
        <w:t>单位为千克每时</w:t>
      </w:r>
      <w:r>
        <w:rPr>
          <w:rFonts w:hint="eastAsia"/>
        </w:rPr>
        <w:t>”</w:t>
      </w:r>
    </w:p>
  </w:comment>
  <w:comment w:id="11" w:author="张 宁涛" w:date="2023-09-14T10:35:00Z" w:initials="张">
    <w:p w14:paraId="11BB31FD">
      <w:pPr>
        <w:pStyle w:val="13"/>
      </w:pPr>
      <w:r>
        <w:rPr>
          <w:rFonts w:hint="eastAsia"/>
        </w:rPr>
        <w:t>增加“</w:t>
      </w:r>
      <w:r>
        <w:rPr>
          <w:rFonts w:hint="eastAsia" w:ascii="宋体" w:hAnsi="宋体"/>
        </w:rPr>
        <w:t>单位为千克每时</w:t>
      </w:r>
      <w:r>
        <w:rPr>
          <w:rFonts w:hint="eastAsia"/>
        </w:rPr>
        <w:t>”</w:t>
      </w:r>
    </w:p>
  </w:comment>
  <w:comment w:id="12" w:author="张 宁涛" w:date="2023-09-14T10:35:00Z" w:initials="张">
    <w:p w14:paraId="1DE83CE5">
      <w:pPr>
        <w:pStyle w:val="13"/>
      </w:pPr>
      <w:r>
        <w:rPr>
          <w:rFonts w:hint="eastAsia"/>
        </w:rPr>
        <w:t>增加“</w:t>
      </w:r>
      <w:r>
        <w:rPr>
          <w:rFonts w:hint="eastAsia" w:ascii="宋体" w:hAnsi="宋体"/>
        </w:rPr>
        <w:t>单位为千克每时</w:t>
      </w:r>
      <w:r>
        <w:rPr>
          <w:rFonts w:hint="eastAsia"/>
        </w:rPr>
        <w:t>”</w:t>
      </w:r>
    </w:p>
  </w:comment>
  <w:comment w:id="13" w:author="张 宁涛" w:date="2023-09-14T10:35:00Z" w:initials="张">
    <w:p w14:paraId="12174E49">
      <w:pPr>
        <w:pStyle w:val="13"/>
      </w:pPr>
      <w:r>
        <w:rPr>
          <w:rFonts w:hint="eastAsia"/>
        </w:rPr>
        <w:t>增加“</w:t>
      </w:r>
      <w:r>
        <w:rPr>
          <w:rFonts w:hint="eastAsia" w:ascii="宋体" w:hAnsi="宋体"/>
        </w:rPr>
        <w:t>单位为毫克每立方米</w:t>
      </w:r>
      <w:r>
        <w:rPr>
          <w:rFonts w:hint="eastAsia"/>
        </w:rPr>
        <w:t>”</w:t>
      </w:r>
    </w:p>
  </w:comment>
  <w:comment w:id="14" w:author="张 宁涛" w:date="2023-09-14T10:35:00Z" w:initials="张">
    <w:p w14:paraId="4F931A49">
      <w:pPr>
        <w:pStyle w:val="13"/>
      </w:pPr>
      <w:r>
        <w:rPr>
          <w:rFonts w:hint="eastAsia"/>
        </w:rPr>
        <w:t>增加“</w:t>
      </w:r>
      <w:r>
        <w:rPr>
          <w:rFonts w:hint="eastAsia" w:ascii="宋体" w:hAnsi="宋体"/>
        </w:rPr>
        <w:t>单位为立方米每时</w:t>
      </w:r>
      <w:r>
        <w:rPr>
          <w:rFonts w:hint="eastAsia"/>
        </w:rPr>
        <w:t>”</w:t>
      </w:r>
    </w:p>
  </w:comment>
  <w:comment w:id="15" w:author="张 宁涛" w:date="2023-09-14T10:33:00Z" w:initials="张">
    <w:p w14:paraId="2FFC2C02">
      <w:pPr>
        <w:pStyle w:val="13"/>
      </w:pPr>
      <w:r>
        <w:rPr>
          <w:rFonts w:hint="eastAsia"/>
        </w:rPr>
        <w:t>增加“</w:t>
      </w:r>
      <w:r>
        <w:rPr>
          <w:rFonts w:hint="eastAsia" w:ascii="宋体" w:hAnsi="宋体"/>
        </w:rPr>
        <w:t>单位为立方米每时</w:t>
      </w:r>
      <w:r>
        <w:rPr>
          <w:rFonts w:hint="eastAsia"/>
        </w:rPr>
        <w:t>”</w:t>
      </w:r>
    </w:p>
  </w:comment>
  <w:comment w:id="16" w:author="张 宁涛" w:date="2023-09-14T10:33:00Z" w:initials="张">
    <w:p w14:paraId="57786DAB">
      <w:pPr>
        <w:pStyle w:val="13"/>
      </w:pPr>
      <w:r>
        <w:rPr>
          <w:rFonts w:hint="eastAsia"/>
        </w:rPr>
        <w:t>增加“</w:t>
      </w:r>
      <w:r>
        <w:rPr>
          <w:rFonts w:hint="eastAsia" w:ascii="宋体" w:hAnsi="宋体"/>
        </w:rPr>
        <w:t>单位为平方米</w:t>
      </w:r>
      <w:r>
        <w:rPr>
          <w:rFonts w:hint="eastAsia"/>
        </w:rPr>
        <w:t>”</w:t>
      </w:r>
    </w:p>
  </w:comment>
  <w:comment w:id="17" w:author="张 宁涛" w:date="2023-09-14T10:34:00Z" w:initials="张">
    <w:p w14:paraId="159F7270">
      <w:pPr>
        <w:pStyle w:val="13"/>
      </w:pPr>
      <w:r>
        <w:rPr>
          <w:rFonts w:hint="eastAsia"/>
        </w:rPr>
        <w:t>增加“</w:t>
      </w:r>
      <w:r>
        <w:rPr>
          <w:rFonts w:hint="eastAsia" w:ascii="宋体" w:hAnsi="宋体"/>
        </w:rPr>
        <w:t>单位为米每秒</w:t>
      </w:r>
      <w:r>
        <w:rPr>
          <w:rFonts w:hint="eastAsia"/>
        </w:rPr>
        <w:t>”</w:t>
      </w:r>
    </w:p>
  </w:comment>
  <w:comment w:id="18" w:author="张 宁涛" w:date="2023-09-14T10:34:00Z" w:initials="张">
    <w:p w14:paraId="3299183B">
      <w:pPr>
        <w:pStyle w:val="13"/>
      </w:pPr>
      <w:r>
        <w:rPr>
          <w:rFonts w:hint="eastAsia"/>
        </w:rPr>
        <w:t>增加“</w:t>
      </w:r>
      <w:r>
        <w:rPr>
          <w:rFonts w:hint="eastAsia" w:ascii="宋体" w:hAnsi="宋体"/>
        </w:rPr>
        <w:t>单位为摄氏度</w:t>
      </w:r>
      <w:r>
        <w:rPr>
          <w:rFonts w:hint="eastAsia"/>
        </w:rPr>
        <w:t>”</w:t>
      </w:r>
    </w:p>
  </w:comment>
  <w:comment w:id="19" w:author="张 宁涛" w:date="2023-09-14T10:34:00Z" w:initials="张">
    <w:p w14:paraId="323F08D9">
      <w:pPr>
        <w:pStyle w:val="13"/>
      </w:pPr>
      <w:r>
        <w:rPr>
          <w:rFonts w:hint="eastAsia"/>
        </w:rPr>
        <w:t>增加“</w:t>
      </w:r>
      <w:r>
        <w:rPr>
          <w:rFonts w:hint="eastAsia" w:ascii="宋体" w:hAnsi="宋体"/>
        </w:rPr>
        <w:t>单位为摄氏度</w:t>
      </w:r>
      <w:r>
        <w:rPr>
          <w:rFonts w:hint="eastAsia"/>
        </w:rPr>
        <w:t>”</w:t>
      </w:r>
    </w:p>
  </w:comment>
  <w:comment w:id="20" w:author="张 宁涛" w:date="2023-09-14T10:34:00Z" w:initials="张">
    <w:p w14:paraId="25451D0F">
      <w:pPr>
        <w:pStyle w:val="13"/>
      </w:pPr>
      <w:r>
        <w:rPr>
          <w:rFonts w:hint="eastAsia"/>
        </w:rPr>
        <w:t>增加“</w:t>
      </w:r>
      <w:r>
        <w:rPr>
          <w:rFonts w:hint="eastAsia" w:ascii="宋体" w:hAnsi="宋体"/>
        </w:rPr>
        <w:t>单位为帕</w:t>
      </w:r>
      <w:r>
        <w:rPr>
          <w:rFonts w:hint="eastAsia"/>
        </w:rPr>
        <w:t>”</w:t>
      </w:r>
    </w:p>
    <w:p w14:paraId="20B679A3">
      <w:pPr>
        <w:pStyle w:val="13"/>
      </w:pPr>
    </w:p>
  </w:comment>
  <w:comment w:id="21" w:author="张 宁涛" w:date="2023-09-14T10:33:00Z" w:initials="张">
    <w:p w14:paraId="76473D67">
      <w:pPr>
        <w:pStyle w:val="13"/>
      </w:pPr>
      <w:r>
        <w:rPr>
          <w:rFonts w:hint="eastAsia"/>
        </w:rPr>
        <w:t>增加“</w:t>
      </w:r>
      <w:r>
        <w:rPr>
          <w:rFonts w:hint="eastAsia" w:ascii="宋体" w:hAnsi="宋体"/>
        </w:rPr>
        <w:t>单位为帕</w:t>
      </w:r>
      <w:r>
        <w:rPr>
          <w:rFonts w:hint="eastAsia"/>
        </w:rPr>
        <w:t>”</w:t>
      </w:r>
    </w:p>
  </w:comment>
  <w:comment w:id="22" w:author="张 宁涛" w:date="2023-09-14T10:33:00Z" w:initials="张">
    <w:p w14:paraId="5C4E10BC">
      <w:pPr>
        <w:pStyle w:val="13"/>
      </w:pPr>
      <w:r>
        <w:rPr>
          <w:rFonts w:hint="eastAsia"/>
        </w:rPr>
        <w:t>增加“</w:t>
      </w:r>
      <w:r>
        <w:rPr>
          <w:rFonts w:hint="eastAsia" w:ascii="宋体" w:hAnsi="宋体"/>
        </w:rPr>
        <w:t>单位为毫克每立方米</w:t>
      </w:r>
      <w:r>
        <w:rPr>
          <w:rFonts w:hint="eastAsia"/>
        </w:rPr>
        <w:t>”</w:t>
      </w:r>
    </w:p>
  </w:comment>
  <w:comment w:id="23" w:author="张 宁涛" w:date="2023-09-14T10:30:00Z" w:initials="张">
    <w:p w14:paraId="6A5D2A35">
      <w:pPr>
        <w:pStyle w:val="13"/>
      </w:pPr>
      <w:r>
        <w:rPr>
          <w:rFonts w:hint="eastAsia"/>
        </w:rPr>
        <w:t>增加“</w:t>
      </w:r>
      <w:r>
        <w:rPr>
          <w:rFonts w:hint="eastAsia" w:ascii="宋体" w:hAnsi="宋体"/>
        </w:rPr>
        <w:t>单位为毫克每立方米</w:t>
      </w:r>
      <w:r>
        <w:rPr>
          <w:rFonts w:hint="eastAsia"/>
        </w:rPr>
        <w:t>”</w:t>
      </w:r>
    </w:p>
  </w:comment>
  <w:comment w:id="24" w:author="张 宁涛" w:date="2023-09-14T10:30:00Z" w:initials="张">
    <w:p w14:paraId="37D5393A">
      <w:pPr>
        <w:pStyle w:val="13"/>
      </w:pPr>
      <w:r>
        <w:rPr>
          <w:rFonts w:hint="eastAsia"/>
        </w:rPr>
        <w:t>增加“</w:t>
      </w:r>
      <w:r>
        <w:rPr>
          <w:rFonts w:hint="eastAsia" w:ascii="宋体" w:hAnsi="宋体"/>
        </w:rPr>
        <w:t>单位为毫克每立方米</w:t>
      </w:r>
      <w:r>
        <w:rPr>
          <w:rFonts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0BA0E8F" w15:done="0"/>
  <w15:commentEx w15:paraId="518400E6" w15:done="0"/>
  <w15:commentEx w15:paraId="22AD2CB6" w15:done="0"/>
  <w15:commentEx w15:paraId="78311E12" w15:done="0"/>
  <w15:commentEx w15:paraId="31FD185B" w15:done="0"/>
  <w15:commentEx w15:paraId="3C1A25AA" w15:done="0"/>
  <w15:commentEx w15:paraId="75334AD4" w15:done="1"/>
  <w15:commentEx w15:paraId="76374C5E" w15:done="0"/>
  <w15:commentEx w15:paraId="2C2B140A" w15:done="0"/>
  <w15:commentEx w15:paraId="7D6603EC" w15:done="0"/>
  <w15:commentEx w15:paraId="3DC92B34" w15:done="0"/>
  <w15:commentEx w15:paraId="11BB31FD" w15:done="0"/>
  <w15:commentEx w15:paraId="1DE83CE5" w15:done="0"/>
  <w15:commentEx w15:paraId="12174E49" w15:done="0"/>
  <w15:commentEx w15:paraId="4F931A49" w15:done="0"/>
  <w15:commentEx w15:paraId="2FFC2C02" w15:done="0"/>
  <w15:commentEx w15:paraId="57786DAB" w15:done="0"/>
  <w15:commentEx w15:paraId="159F7270" w15:done="0"/>
  <w15:commentEx w15:paraId="3299183B" w15:done="0"/>
  <w15:commentEx w15:paraId="323F08D9" w15:done="0"/>
  <w15:commentEx w15:paraId="20B679A3" w15:done="0"/>
  <w15:commentEx w15:paraId="76473D67" w15:done="0"/>
  <w15:commentEx w15:paraId="5C4E10BC" w15:done="0"/>
  <w15:commentEx w15:paraId="6A5D2A35" w15:done="0"/>
  <w15:commentEx w15:paraId="37D539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fldChar w:fldCharType="begin"/>
    </w:r>
    <w:r>
      <w:rPr>
        <w:rFonts w:hint="eastAsia"/>
      </w:rPr>
      <w:instrText xml:space="preserve">PAGE   \* MERGEFORMAT</w:instrText>
    </w:r>
    <w:r>
      <w:rPr>
        <w:rFonts w:hint="eastAsia"/>
      </w:rPr>
      <w:fldChar w:fldCharType="separate"/>
    </w:r>
    <w:r>
      <w:rPr>
        <w:rFonts w:hint="eastAsia"/>
        <w:lang w:val="zh-CN"/>
      </w:rPr>
      <w:t>2</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rPr>
        <w:rFonts w:hint="eastAsia"/>
      </w:rPr>
      <w:fldChar w:fldCharType="begin"/>
    </w:r>
    <w:r>
      <w:rPr>
        <w:rFonts w:hint="eastAsia"/>
      </w:rPr>
      <w:instrText xml:space="preserve">PAGE   \* MERGEFORMAT</w:instrText>
    </w:r>
    <w:r>
      <w:rPr>
        <w:rFonts w:hint="eastAsia"/>
      </w:rPr>
      <w:fldChar w:fldCharType="separate"/>
    </w:r>
    <w:r>
      <w:rPr>
        <w:rFonts w:hint="eastAsia"/>
        <w:lang w:val="zh-CN"/>
      </w:rPr>
      <w:t>2</w:t>
    </w:r>
    <w:r>
      <w:rPr>
        <w:rFonts w:hint="eastAs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hint="eastAsia" w:ascii="黑体" w:hAnsi="黑体" w:eastAsia="黑体"/>
      </w:rPr>
      <w:t>Q/LB.□XXXXX-XXXX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XX/T XXXX—XXXX</w:t>
    </w:r>
    <w:r>
      <w:rPr>
        <w:rFonts w:hint="eastAsia"/>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rPr>
        <w:rFonts w:hint="eastAsia"/>
      </w:rPr>
      <w:instrText xml:space="preserve">标准文件</w:instrText>
    </w:r>
    <w:r>
      <w:rPr>
        <w:lang w:val="fr-FR"/>
      </w:rPr>
      <w:instrText xml:space="preserve">_</w:instrText>
    </w:r>
    <w:r>
      <w:rPr>
        <w:rFonts w:hint="eastAsia"/>
      </w:rP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1"/>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hAnsi="Times New Roman" w:eastAsia="黑体"/>
        <w:b w:val="0"/>
        <w:i w:val="0"/>
        <w:sz w:val="18"/>
      </w:rPr>
    </w:lvl>
    <w:lvl w:ilvl="1" w:tentative="0">
      <w:start w:val="1"/>
      <w:numFmt w:val="lowerLetter"/>
      <w:lvlText w:val="%2)"/>
      <w:lvlJc w:val="left"/>
      <w:pPr>
        <w:tabs>
          <w:tab w:val="left" w:pos="0"/>
        </w:tabs>
        <w:ind w:left="992" w:hanging="629"/>
      </w:pPr>
    </w:lvl>
    <w:lvl w:ilvl="2" w:tentative="0">
      <w:start w:val="1"/>
      <w:numFmt w:val="lowerRoman"/>
      <w:lvlText w:val="%3."/>
      <w:lvlJc w:val="right"/>
      <w:pPr>
        <w:tabs>
          <w:tab w:val="left" w:pos="0"/>
        </w:tabs>
        <w:ind w:left="992" w:hanging="629"/>
      </w:pPr>
    </w:lvl>
    <w:lvl w:ilvl="3" w:tentative="0">
      <w:start w:val="1"/>
      <w:numFmt w:val="decimal"/>
      <w:lvlText w:val="%4."/>
      <w:lvlJc w:val="left"/>
      <w:pPr>
        <w:tabs>
          <w:tab w:val="left" w:pos="0"/>
        </w:tabs>
        <w:ind w:left="992" w:hanging="629"/>
      </w:pPr>
    </w:lvl>
    <w:lvl w:ilvl="4" w:tentative="0">
      <w:start w:val="1"/>
      <w:numFmt w:val="lowerLetter"/>
      <w:lvlText w:val="%5)"/>
      <w:lvlJc w:val="left"/>
      <w:pPr>
        <w:tabs>
          <w:tab w:val="left" w:pos="0"/>
        </w:tabs>
        <w:ind w:left="992" w:hanging="629"/>
      </w:pPr>
    </w:lvl>
    <w:lvl w:ilvl="5" w:tentative="0">
      <w:start w:val="1"/>
      <w:numFmt w:val="lowerRoman"/>
      <w:lvlText w:val="%6."/>
      <w:lvlJc w:val="right"/>
      <w:pPr>
        <w:tabs>
          <w:tab w:val="left" w:pos="0"/>
        </w:tabs>
        <w:ind w:left="992" w:hanging="629"/>
      </w:pPr>
    </w:lvl>
    <w:lvl w:ilvl="6" w:tentative="0">
      <w:start w:val="1"/>
      <w:numFmt w:val="decimal"/>
      <w:lvlText w:val="%7."/>
      <w:lvlJc w:val="left"/>
      <w:pPr>
        <w:tabs>
          <w:tab w:val="left" w:pos="0"/>
        </w:tabs>
        <w:ind w:left="992" w:hanging="629"/>
      </w:pPr>
    </w:lvl>
    <w:lvl w:ilvl="7" w:tentative="0">
      <w:start w:val="1"/>
      <w:numFmt w:val="lowerLetter"/>
      <w:lvlText w:val="%8)"/>
      <w:lvlJc w:val="left"/>
      <w:pPr>
        <w:tabs>
          <w:tab w:val="left" w:pos="0"/>
        </w:tabs>
        <w:ind w:left="992" w:hanging="629"/>
      </w:pPr>
    </w:lvl>
    <w:lvl w:ilvl="8" w:tentative="0">
      <w:start w:val="1"/>
      <w:numFmt w:val="lowerRoman"/>
      <w:lvlText w:val="%9."/>
      <w:lvlJc w:val="right"/>
      <w:pPr>
        <w:tabs>
          <w:tab w:val="left" w:pos="0"/>
        </w:tabs>
        <w:ind w:left="992" w:hanging="629"/>
      </w:pPr>
    </w:lvl>
  </w:abstractNum>
  <w:abstractNum w:abstractNumId="3">
    <w:nsid w:val="07ED3FEA"/>
    <w:multiLevelType w:val="multilevel"/>
    <w:tmpl w:val="07ED3FEA"/>
    <w:lvl w:ilvl="0" w:tentative="0">
      <w:start w:val="1"/>
      <w:numFmt w:val="none"/>
      <w:pStyle w:val="94"/>
      <w:lvlText w:val="%1"/>
      <w:lvlJc w:val="left"/>
      <w:pPr>
        <w:ind w:left="425" w:hanging="425"/>
      </w:pPr>
    </w:lvl>
    <w:lvl w:ilvl="1" w:tentative="0">
      <w:start w:val="1"/>
      <w:numFmt w:val="decimal"/>
      <w:pStyle w:val="197"/>
      <w:suff w:val="nothing"/>
      <w:lvlText w:val="%10.%2 "/>
      <w:lvlJc w:val="left"/>
      <w:pPr>
        <w:ind w:left="0" w:firstLine="0"/>
      </w:pPr>
      <w:rPr>
        <w:rFonts w:hint="eastAsia" w:ascii="黑体" w:eastAsia="黑体" w:hAnsiTheme="minorHAnsi"/>
        <w:b w:val="0"/>
        <w:i w:val="0"/>
        <w:sz w:val="21"/>
      </w:rPr>
    </w:lvl>
    <w:lvl w:ilvl="2" w:tentative="0">
      <w:start w:val="1"/>
      <w:numFmt w:val="decimal"/>
      <w:pStyle w:val="198"/>
      <w:suff w:val="nothing"/>
      <w:lvlText w:val="%10.%2.%3 "/>
      <w:lvlJc w:val="left"/>
      <w:pPr>
        <w:ind w:left="0" w:firstLine="0"/>
      </w:pPr>
      <w:rPr>
        <w:rFonts w:hint="eastAsia" w:ascii="黑体" w:eastAsia="黑体" w:hAnsiTheme="minorHAnsi"/>
        <w:b w:val="0"/>
        <w:i w:val="0"/>
        <w:sz w:val="21"/>
      </w:rPr>
    </w:lvl>
    <w:lvl w:ilvl="3" w:tentative="0">
      <w:start w:val="1"/>
      <w:numFmt w:val="decimal"/>
      <w:pStyle w:val="199"/>
      <w:suff w:val="nothing"/>
      <w:lvlText w:val="%10.%2.%3.%4 "/>
      <w:lvlJc w:val="left"/>
      <w:pPr>
        <w:ind w:left="0" w:firstLine="0"/>
      </w:pPr>
      <w:rPr>
        <w:rFonts w:hint="eastAsia" w:ascii="黑体" w:eastAsia="黑体" w:hAnsiTheme="minorHAnsi"/>
        <w:b w:val="0"/>
        <w:i w:val="0"/>
        <w:sz w:val="21"/>
      </w:rPr>
    </w:lvl>
    <w:lvl w:ilvl="4" w:tentative="0">
      <w:start w:val="1"/>
      <w:numFmt w:val="decimal"/>
      <w:pStyle w:val="200"/>
      <w:suff w:val="nothing"/>
      <w:lvlText w:val="%10.%2.%3.%4.%5 "/>
      <w:lvlJc w:val="left"/>
      <w:pPr>
        <w:ind w:left="0" w:firstLine="0"/>
      </w:pPr>
      <w:rPr>
        <w:rFonts w:hint="eastAsia" w:ascii="黑体" w:eastAsia="黑体" w:hAnsiTheme="minorHAnsi"/>
        <w:b w:val="0"/>
        <w:i w:val="0"/>
        <w:sz w:val="21"/>
      </w:rPr>
    </w:lvl>
    <w:lvl w:ilvl="5" w:tentative="0">
      <w:start w:val="1"/>
      <w:numFmt w:val="decimal"/>
      <w:pStyle w:val="20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08C813D3"/>
    <w:multiLevelType w:val="multilevel"/>
    <w:tmpl w:val="08C813D3"/>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363"/>
        </w:tabs>
        <w:ind w:left="0" w:firstLine="363"/>
      </w:pPr>
    </w:lvl>
    <w:lvl w:ilvl="2" w:tentative="0">
      <w:start w:val="1"/>
      <w:numFmt w:val="lowerRoman"/>
      <w:lvlText w:val="%3."/>
      <w:lvlJc w:val="right"/>
      <w:pPr>
        <w:tabs>
          <w:tab w:val="left" w:pos="363"/>
        </w:tabs>
        <w:ind w:left="0" w:firstLine="363"/>
      </w:pPr>
    </w:lvl>
    <w:lvl w:ilvl="3" w:tentative="0">
      <w:start w:val="1"/>
      <w:numFmt w:val="decimal"/>
      <w:lvlText w:val="%4."/>
      <w:lvlJc w:val="left"/>
      <w:pPr>
        <w:tabs>
          <w:tab w:val="left" w:pos="363"/>
        </w:tabs>
        <w:ind w:left="0" w:firstLine="363"/>
      </w:pPr>
    </w:lvl>
    <w:lvl w:ilvl="4" w:tentative="0">
      <w:start w:val="1"/>
      <w:numFmt w:val="lowerLetter"/>
      <w:lvlText w:val="%5)"/>
      <w:lvlJc w:val="left"/>
      <w:pPr>
        <w:tabs>
          <w:tab w:val="left" w:pos="363"/>
        </w:tabs>
        <w:ind w:left="0" w:firstLine="363"/>
      </w:pPr>
    </w:lvl>
    <w:lvl w:ilvl="5" w:tentative="0">
      <w:start w:val="1"/>
      <w:numFmt w:val="lowerRoman"/>
      <w:lvlText w:val="%6."/>
      <w:lvlJc w:val="right"/>
      <w:pPr>
        <w:tabs>
          <w:tab w:val="left" w:pos="363"/>
        </w:tabs>
        <w:ind w:left="0" w:firstLine="363"/>
      </w:pPr>
    </w:lvl>
    <w:lvl w:ilvl="6" w:tentative="0">
      <w:start w:val="1"/>
      <w:numFmt w:val="decimal"/>
      <w:lvlText w:val="%7."/>
      <w:lvlJc w:val="left"/>
      <w:pPr>
        <w:tabs>
          <w:tab w:val="left" w:pos="363"/>
        </w:tabs>
        <w:ind w:left="0" w:firstLine="363"/>
      </w:pPr>
    </w:lvl>
    <w:lvl w:ilvl="7" w:tentative="0">
      <w:start w:val="1"/>
      <w:numFmt w:val="lowerLetter"/>
      <w:lvlText w:val="%8)"/>
      <w:lvlJc w:val="left"/>
      <w:pPr>
        <w:tabs>
          <w:tab w:val="left" w:pos="363"/>
        </w:tabs>
        <w:ind w:left="0" w:firstLine="363"/>
      </w:pPr>
    </w:lvl>
    <w:lvl w:ilvl="8" w:tentative="0">
      <w:start w:val="1"/>
      <w:numFmt w:val="lowerRoman"/>
      <w:lvlText w:val="%9."/>
      <w:lvlJc w:val="right"/>
      <w:pPr>
        <w:tabs>
          <w:tab w:val="left" w:pos="363"/>
        </w:tabs>
        <w:ind w:left="0" w:firstLine="363"/>
      </w:pPr>
    </w:lvl>
  </w:abstractNum>
  <w:abstractNum w:abstractNumId="6">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lvl>
    <w:lvl w:ilvl="2" w:tentative="0">
      <w:start w:val="1"/>
      <w:numFmt w:val="lowerRoman"/>
      <w:lvlText w:val="%3."/>
      <w:lvlJc w:val="right"/>
      <w:pPr>
        <w:tabs>
          <w:tab w:val="left" w:pos="1963"/>
        </w:tabs>
        <w:ind w:left="1963" w:hanging="420"/>
      </w:pPr>
    </w:lvl>
    <w:lvl w:ilvl="3" w:tentative="0">
      <w:start w:val="1"/>
      <w:numFmt w:val="decimal"/>
      <w:lvlText w:val="%4."/>
      <w:lvlJc w:val="left"/>
      <w:pPr>
        <w:tabs>
          <w:tab w:val="left" w:pos="2383"/>
        </w:tabs>
        <w:ind w:left="2383" w:hanging="420"/>
      </w:pPr>
    </w:lvl>
    <w:lvl w:ilvl="4" w:tentative="0">
      <w:start w:val="1"/>
      <w:numFmt w:val="lowerLetter"/>
      <w:lvlText w:val="%5)"/>
      <w:lvlJc w:val="left"/>
      <w:pPr>
        <w:tabs>
          <w:tab w:val="left" w:pos="2803"/>
        </w:tabs>
        <w:ind w:left="2803" w:hanging="420"/>
      </w:pPr>
    </w:lvl>
    <w:lvl w:ilvl="5" w:tentative="0">
      <w:start w:val="1"/>
      <w:numFmt w:val="lowerRoman"/>
      <w:lvlText w:val="%6."/>
      <w:lvlJc w:val="right"/>
      <w:pPr>
        <w:tabs>
          <w:tab w:val="left" w:pos="3223"/>
        </w:tabs>
        <w:ind w:left="3223" w:hanging="420"/>
      </w:pPr>
    </w:lvl>
    <w:lvl w:ilvl="6" w:tentative="0">
      <w:start w:val="1"/>
      <w:numFmt w:val="decimal"/>
      <w:lvlText w:val="%7."/>
      <w:lvlJc w:val="left"/>
      <w:pPr>
        <w:tabs>
          <w:tab w:val="left" w:pos="3643"/>
        </w:tabs>
        <w:ind w:left="3643" w:hanging="420"/>
      </w:pPr>
    </w:lvl>
    <w:lvl w:ilvl="7" w:tentative="0">
      <w:start w:val="1"/>
      <w:numFmt w:val="lowerLetter"/>
      <w:lvlText w:val="%8)"/>
      <w:lvlJc w:val="left"/>
      <w:pPr>
        <w:tabs>
          <w:tab w:val="left" w:pos="4063"/>
        </w:tabs>
        <w:ind w:left="4063" w:hanging="420"/>
      </w:pPr>
    </w:lvl>
    <w:lvl w:ilvl="8" w:tentative="0">
      <w:start w:val="1"/>
      <w:numFmt w:val="lowerRoman"/>
      <w:lvlText w:val="%9."/>
      <w:lvlJc w:val="right"/>
      <w:pPr>
        <w:tabs>
          <w:tab w:val="left" w:pos="4483"/>
        </w:tabs>
        <w:ind w:left="4483" w:hanging="420"/>
      </w:pPr>
    </w:lvl>
  </w:abstractNum>
  <w:abstractNum w:abstractNumId="8">
    <w:nsid w:val="0F85240A"/>
    <w:multiLevelType w:val="multilevel"/>
    <w:tmpl w:val="0F85240A"/>
    <w:lvl w:ilvl="0" w:tentative="0">
      <w:start w:val="1"/>
      <w:numFmt w:val="decimal"/>
      <w:lvlText w:val="%1)"/>
      <w:lvlJc w:val="left"/>
      <w:pPr>
        <w:ind w:left="1265" w:hanging="420"/>
      </w:pPr>
    </w:lvl>
    <w:lvl w:ilvl="1" w:tentative="0">
      <w:start w:val="1"/>
      <w:numFmt w:val="lowerLetter"/>
      <w:lvlText w:val="%2)"/>
      <w:lvlJc w:val="left"/>
      <w:pPr>
        <w:ind w:left="1685" w:hanging="420"/>
      </w:pPr>
    </w:lvl>
    <w:lvl w:ilvl="2" w:tentative="0">
      <w:start w:val="1"/>
      <w:numFmt w:val="lowerRoman"/>
      <w:lvlText w:val="%3."/>
      <w:lvlJc w:val="right"/>
      <w:pPr>
        <w:ind w:left="2105" w:hanging="420"/>
      </w:pPr>
    </w:lvl>
    <w:lvl w:ilvl="3" w:tentative="0">
      <w:start w:val="1"/>
      <w:numFmt w:val="decimal"/>
      <w:lvlText w:val="%4."/>
      <w:lvlJc w:val="left"/>
      <w:pPr>
        <w:ind w:left="2525" w:hanging="420"/>
      </w:pPr>
    </w:lvl>
    <w:lvl w:ilvl="4" w:tentative="0">
      <w:start w:val="1"/>
      <w:numFmt w:val="lowerLetter"/>
      <w:lvlText w:val="%5)"/>
      <w:lvlJc w:val="left"/>
      <w:pPr>
        <w:ind w:left="2945" w:hanging="420"/>
      </w:pPr>
    </w:lvl>
    <w:lvl w:ilvl="5" w:tentative="0">
      <w:start w:val="1"/>
      <w:numFmt w:val="lowerRoman"/>
      <w:lvlText w:val="%6."/>
      <w:lvlJc w:val="right"/>
      <w:pPr>
        <w:ind w:left="3365" w:hanging="420"/>
      </w:pPr>
    </w:lvl>
    <w:lvl w:ilvl="6" w:tentative="0">
      <w:start w:val="1"/>
      <w:numFmt w:val="decimal"/>
      <w:lvlText w:val="%7."/>
      <w:lvlJc w:val="left"/>
      <w:pPr>
        <w:ind w:left="3785" w:hanging="420"/>
      </w:pPr>
    </w:lvl>
    <w:lvl w:ilvl="7" w:tentative="0">
      <w:start w:val="1"/>
      <w:numFmt w:val="lowerLetter"/>
      <w:lvlText w:val="%8)"/>
      <w:lvlJc w:val="left"/>
      <w:pPr>
        <w:ind w:left="4205" w:hanging="420"/>
      </w:pPr>
    </w:lvl>
    <w:lvl w:ilvl="8" w:tentative="0">
      <w:start w:val="1"/>
      <w:numFmt w:val="lowerRoman"/>
      <w:lvlText w:val="%9."/>
      <w:lvlJc w:val="right"/>
      <w:pPr>
        <w:ind w:left="4625" w:hanging="420"/>
      </w:pPr>
    </w:lvl>
  </w:abstractNum>
  <w:abstractNum w:abstractNumId="9">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5"/>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3">
    <w:nsid w:val="32F04FB2"/>
    <w:multiLevelType w:val="multilevel"/>
    <w:tmpl w:val="32F04FB2"/>
    <w:lvl w:ilvl="0" w:tentative="0">
      <w:start w:val="1"/>
      <w:numFmt w:val="lowerLetter"/>
      <w:pStyle w:val="104"/>
      <w:lvlText w:val="%1"/>
      <w:lvlJc w:val="left"/>
      <w:pPr>
        <w:tabs>
          <w:tab w:val="left" w:pos="539"/>
        </w:tabs>
        <w:ind w:left="539" w:hanging="119"/>
      </w:pPr>
      <w:rPr>
        <w:caps w:val="0"/>
        <w:strike w:val="0"/>
        <w:dstrike w:val="0"/>
        <w:vanish w:val="0"/>
        <w:u w:val="none"/>
        <w:vertAlign w:val="superscrip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4">
    <w:nsid w:val="33F87686"/>
    <w:multiLevelType w:val="multilevel"/>
    <w:tmpl w:val="33F87686"/>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16">
    <w:nsid w:val="48802D1C"/>
    <w:multiLevelType w:val="multilevel"/>
    <w:tmpl w:val="48802D1C"/>
    <w:lvl w:ilvl="0" w:tentative="0">
      <w:start w:val="1"/>
      <w:numFmt w:val="upperLetter"/>
      <w:pStyle w:val="195"/>
      <w:lvlText w:val="%1"/>
      <w:lvlJc w:val="left"/>
      <w:pPr>
        <w:ind w:left="420" w:hanging="420"/>
      </w:pPr>
    </w:lvl>
    <w:lvl w:ilvl="1" w:tentative="0">
      <w:start w:val="1"/>
      <w:numFmt w:val="decimal"/>
      <w:pStyle w:val="89"/>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B733A5F"/>
    <w:multiLevelType w:val="multilevel"/>
    <w:tmpl w:val="4B733A5F"/>
    <w:lvl w:ilvl="0" w:tentative="0">
      <w:start w:val="1"/>
      <w:numFmt w:val="decimal"/>
      <w:pStyle w:val="183"/>
      <w:suff w:val="nothing"/>
      <w:lvlText w:val="示例%1："/>
      <w:lvlJc w:val="left"/>
      <w:pPr>
        <w:ind w:left="0" w:firstLine="363"/>
      </w:pPr>
      <w:rPr>
        <w:rFonts w:hint="eastAsia" w:ascii="黑体" w:hAnsi="Times New Roman" w:eastAsia="黑体"/>
        <w:b w:val="0"/>
        <w:i w:val="0"/>
        <w:sz w:val="18"/>
      </w:rPr>
    </w:lvl>
    <w:lvl w:ilvl="1" w:tentative="0">
      <w:start w:val="1"/>
      <w:numFmt w:val="none"/>
      <w:suff w:val="space"/>
      <w:lvlText w:val=""/>
      <w:lvlJc w:val="left"/>
      <w:pPr>
        <w:ind w:left="0" w:firstLine="0"/>
      </w:pPr>
    </w:lvl>
    <w:lvl w:ilvl="2" w:tentative="0">
      <w:start w:val="1"/>
      <w:numFmt w:val="decimal"/>
      <w:suff w:val="space"/>
      <w:lvlText w:val="2.2.%3"/>
      <w:lvlJc w:val="left"/>
      <w:pPr>
        <w:ind w:left="0" w:firstLine="0"/>
      </w:pPr>
    </w:lvl>
    <w:lvl w:ilvl="3" w:tentative="0">
      <w:start w:val="1"/>
      <w:numFmt w:val="decimal"/>
      <w:lvlText w:val="%4."/>
      <w:lvlJc w:val="left"/>
      <w:pPr>
        <w:tabs>
          <w:tab w:val="left" w:pos="0"/>
        </w:tabs>
        <w:ind w:left="992" w:hanging="629"/>
      </w:pPr>
    </w:lvl>
    <w:lvl w:ilvl="4" w:tentative="0">
      <w:start w:val="1"/>
      <w:numFmt w:val="lowerLetter"/>
      <w:lvlText w:val="%5)"/>
      <w:lvlJc w:val="left"/>
      <w:pPr>
        <w:tabs>
          <w:tab w:val="left" w:pos="0"/>
        </w:tabs>
        <w:ind w:left="992" w:hanging="629"/>
      </w:pPr>
    </w:lvl>
    <w:lvl w:ilvl="5" w:tentative="0">
      <w:start w:val="1"/>
      <w:numFmt w:val="lowerRoman"/>
      <w:lvlText w:val="%6."/>
      <w:lvlJc w:val="right"/>
      <w:pPr>
        <w:tabs>
          <w:tab w:val="left" w:pos="0"/>
        </w:tabs>
        <w:ind w:left="992" w:hanging="629"/>
      </w:pPr>
    </w:lvl>
    <w:lvl w:ilvl="6" w:tentative="0">
      <w:start w:val="1"/>
      <w:numFmt w:val="decimal"/>
      <w:lvlText w:val="%7."/>
      <w:lvlJc w:val="left"/>
      <w:pPr>
        <w:tabs>
          <w:tab w:val="left" w:pos="0"/>
        </w:tabs>
        <w:ind w:left="992" w:hanging="629"/>
      </w:pPr>
    </w:lvl>
    <w:lvl w:ilvl="7" w:tentative="0">
      <w:start w:val="1"/>
      <w:numFmt w:val="lowerLetter"/>
      <w:lvlText w:val="%8)"/>
      <w:lvlJc w:val="left"/>
      <w:pPr>
        <w:tabs>
          <w:tab w:val="left" w:pos="0"/>
        </w:tabs>
        <w:ind w:left="992" w:hanging="629"/>
      </w:pPr>
    </w:lvl>
    <w:lvl w:ilvl="8" w:tentative="0">
      <w:start w:val="1"/>
      <w:numFmt w:val="lowerRoman"/>
      <w:lvlText w:val="%9."/>
      <w:lvlJc w:val="right"/>
      <w:pPr>
        <w:tabs>
          <w:tab w:val="left" w:pos="0"/>
        </w:tabs>
        <w:ind w:left="992" w:hanging="629"/>
      </w:pPr>
    </w:lvl>
  </w:abstractNum>
  <w:abstractNum w:abstractNumId="18">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750C5F"/>
    <w:multiLevelType w:val="multilevel"/>
    <w:tmpl w:val="4F750C5F"/>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4F9143E8"/>
    <w:multiLevelType w:val="multilevel"/>
    <w:tmpl w:val="4F9143E8"/>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2D173CC"/>
    <w:multiLevelType w:val="multilevel"/>
    <w:tmpl w:val="52D173CC"/>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5986F51"/>
    <w:multiLevelType w:val="multilevel"/>
    <w:tmpl w:val="55986F51"/>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5603797C"/>
    <w:multiLevelType w:val="multilevel"/>
    <w:tmpl w:val="5603797C"/>
    <w:lvl w:ilvl="0" w:tentative="0">
      <w:start w:val="1"/>
      <w:numFmt w:val="upperLetter"/>
      <w:pStyle w:val="196"/>
      <w:suff w:val="space"/>
      <w:lvlText w:val="%1"/>
      <w:lvlJc w:val="left"/>
      <w:pPr>
        <w:ind w:left="425" w:hanging="425"/>
      </w:pPr>
    </w:lvl>
    <w:lvl w:ilvl="1" w:tentative="0">
      <w:start w:val="1"/>
      <w:numFmt w:val="decimal"/>
      <w:pStyle w:val="83"/>
      <w:suff w:val="space"/>
      <w:lvlText w:val="表%1.%2"/>
      <w:lvlJc w:val="center"/>
      <w:pPr>
        <w:ind w:left="0" w:firstLine="0"/>
      </w:pPr>
      <w:rPr>
        <w:rFonts w:hint="eastAsia" w:ascii="黑体" w:hAnsi="Times New Roman" w:eastAsia="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6">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A6A597F"/>
    <w:multiLevelType w:val="multilevel"/>
    <w:tmpl w:val="5A6A597F"/>
    <w:lvl w:ilvl="0" w:tentative="0">
      <w:start w:val="1"/>
      <w:numFmt w:val="lowerLetter"/>
      <w:lvlText w:val="%1）"/>
      <w:lvlJc w:val="left"/>
      <w:pPr>
        <w:ind w:left="840" w:hanging="420"/>
      </w:pPr>
      <w:rPr>
        <w:rFonts w:hAnsi="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lvl>
    <w:lvl w:ilvl="2" w:tentative="0">
      <w:start w:val="1"/>
      <w:numFmt w:val="lowerRoman"/>
      <w:lvlText w:val="%3."/>
      <w:lvlJc w:val="right"/>
      <w:pPr>
        <w:tabs>
          <w:tab w:val="left" w:pos="1730"/>
        </w:tabs>
        <w:ind w:left="1730" w:hanging="420"/>
      </w:pPr>
    </w:lvl>
    <w:lvl w:ilvl="3" w:tentative="0">
      <w:start w:val="1"/>
      <w:numFmt w:val="decimal"/>
      <w:lvlText w:val="%4."/>
      <w:lvlJc w:val="left"/>
      <w:pPr>
        <w:tabs>
          <w:tab w:val="left" w:pos="2150"/>
        </w:tabs>
        <w:ind w:left="2150" w:hanging="420"/>
      </w:pPr>
    </w:lvl>
    <w:lvl w:ilvl="4" w:tentative="0">
      <w:start w:val="1"/>
      <w:numFmt w:val="lowerLetter"/>
      <w:lvlText w:val="%5)"/>
      <w:lvlJc w:val="left"/>
      <w:pPr>
        <w:tabs>
          <w:tab w:val="left" w:pos="2570"/>
        </w:tabs>
        <w:ind w:left="2570" w:hanging="420"/>
      </w:pPr>
    </w:lvl>
    <w:lvl w:ilvl="5" w:tentative="0">
      <w:start w:val="1"/>
      <w:numFmt w:val="lowerRoman"/>
      <w:lvlText w:val="%6."/>
      <w:lvlJc w:val="right"/>
      <w:pPr>
        <w:tabs>
          <w:tab w:val="left" w:pos="2990"/>
        </w:tabs>
        <w:ind w:left="2990" w:hanging="420"/>
      </w:pPr>
    </w:lvl>
    <w:lvl w:ilvl="6" w:tentative="0">
      <w:start w:val="1"/>
      <w:numFmt w:val="decimal"/>
      <w:lvlText w:val="%7."/>
      <w:lvlJc w:val="left"/>
      <w:pPr>
        <w:tabs>
          <w:tab w:val="left" w:pos="3410"/>
        </w:tabs>
        <w:ind w:left="3410" w:hanging="420"/>
      </w:pPr>
    </w:lvl>
    <w:lvl w:ilvl="7" w:tentative="0">
      <w:start w:val="1"/>
      <w:numFmt w:val="lowerLetter"/>
      <w:lvlText w:val="%8)"/>
      <w:lvlJc w:val="left"/>
      <w:pPr>
        <w:tabs>
          <w:tab w:val="left" w:pos="3830"/>
        </w:tabs>
        <w:ind w:left="3830" w:hanging="420"/>
      </w:pPr>
    </w:lvl>
    <w:lvl w:ilvl="8" w:tentative="0">
      <w:start w:val="1"/>
      <w:numFmt w:val="lowerRoman"/>
      <w:lvlText w:val="%9."/>
      <w:lvlJc w:val="right"/>
      <w:pPr>
        <w:tabs>
          <w:tab w:val="left" w:pos="4250"/>
        </w:tabs>
        <w:ind w:left="4250" w:hanging="420"/>
      </w:pPr>
    </w:lvl>
  </w:abstractNum>
  <w:abstractNum w:abstractNumId="2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0">
    <w:nsid w:val="654A26C9"/>
    <w:multiLevelType w:val="multilevel"/>
    <w:tmpl w:val="654A26C9"/>
    <w:lvl w:ilvl="0" w:tentative="0">
      <w:start w:val="1"/>
      <w:numFmt w:val="none"/>
      <w:pStyle w:val="18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1">
    <w:nsid w:val="657D3FBC"/>
    <w:multiLevelType w:val="multilevel"/>
    <w:tmpl w:val="657D3FBC"/>
    <w:lvl w:ilvl="0" w:tentative="0">
      <w:start w:val="1"/>
      <w:numFmt w:val="upperLetter"/>
      <w:pStyle w:val="82"/>
      <w:suff w:val="nothing"/>
      <w:lvlText w:val="附录%1"/>
      <w:lvlJc w:val="left"/>
      <w:pPr>
        <w:ind w:left="0" w:firstLine="0"/>
      </w:pPr>
      <w:rPr>
        <w:spacing w:val="100"/>
      </w:rPr>
    </w:lvl>
    <w:lvl w:ilvl="1" w:tentative="0">
      <w:start w:val="1"/>
      <w:numFmt w:val="decimal"/>
      <w:pStyle w:val="84"/>
      <w:suff w:val="nothing"/>
      <w:lvlText w:val="%1.%2　"/>
      <w:lvlJc w:val="left"/>
      <w:pPr>
        <w:ind w:left="0" w:firstLine="0"/>
      </w:pPr>
      <w:rPr>
        <w:rFonts w:hint="eastAsia" w:ascii="黑体" w:hAnsi="Times New Roman" w:eastAsia="黑体"/>
        <w:b w:val="0"/>
        <w:i w:val="0"/>
        <w:sz w:val="21"/>
      </w:rPr>
    </w:lvl>
    <w:lvl w:ilvl="2" w:tentative="0">
      <w:start w:val="1"/>
      <w:numFmt w:val="decimal"/>
      <w:pStyle w:val="85"/>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88"/>
      <w:suff w:val="nothing"/>
      <w:lvlText w:val="%1.%2.%3.%4.%5　"/>
      <w:lvlJc w:val="left"/>
      <w:pPr>
        <w:ind w:left="0"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2">
    <w:nsid w:val="69506ABF"/>
    <w:multiLevelType w:val="multilevel"/>
    <w:tmpl w:val="69506ABF"/>
    <w:lvl w:ilvl="0" w:tentative="0">
      <w:start w:val="1"/>
      <w:numFmt w:val="bullet"/>
      <w:pStyle w:val="18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3">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2"/>
      <w:suff w:val="nothing"/>
      <w:lvlText w:val="%1"/>
      <w:lvlJc w:val="left"/>
      <w:pPr>
        <w:ind w:left="0" w:firstLine="0"/>
      </w:pPr>
    </w:lvl>
    <w:lvl w:ilvl="1" w:tentative="0">
      <w:start w:val="1"/>
      <w:numFmt w:val="decimal"/>
      <w:pStyle w:val="106"/>
      <w:suff w:val="nothing"/>
      <w:lvlText w:val="%1%2　"/>
      <w:lvlJc w:val="left"/>
      <w:pPr>
        <w:ind w:left="0" w:firstLine="0"/>
      </w:pPr>
      <w:rPr>
        <w:rFonts w:hint="eastAsia" w:ascii="黑体" w:hAnsi="Times New Roman"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99"/>
      <w:suff w:val="nothing"/>
      <w:lvlText w:val="%1%2.%3.%4.%5　"/>
      <w:lvlJc w:val="left"/>
      <w:pPr>
        <w:ind w:left="0" w:firstLine="0"/>
      </w:pPr>
      <w:rPr>
        <w:rFonts w:hint="eastAsia" w:ascii="黑体" w:hAnsi="Times New Roman" w:eastAsia="黑体"/>
        <w:b w:val="0"/>
        <w:i w:val="0"/>
        <w:sz w:val="21"/>
      </w:rPr>
    </w:lvl>
    <w:lvl w:ilvl="5" w:tentative="0">
      <w:start w:val="1"/>
      <w:numFmt w:val="decimal"/>
      <w:pStyle w:val="102"/>
      <w:suff w:val="nothing"/>
      <w:lvlText w:val="%1%2.%3.%4.%5.%6　"/>
      <w:lvlJc w:val="left"/>
      <w:pPr>
        <w:ind w:left="0" w:firstLine="0"/>
      </w:pPr>
      <w:rPr>
        <w:rFonts w:hint="eastAsia" w:ascii="黑体" w:hAnsi="Times New Roman" w:eastAsia="黑体"/>
        <w:b w:val="0"/>
        <w:i w:val="0"/>
        <w:sz w:val="21"/>
      </w:rPr>
    </w:lvl>
    <w:lvl w:ilvl="6" w:tentative="0">
      <w:start w:val="1"/>
      <w:numFmt w:val="decimal"/>
      <w:pStyle w:val="10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36">
    <w:nsid w:val="6DBF04F4"/>
    <w:multiLevelType w:val="multilevel"/>
    <w:tmpl w:val="6DBF04F4"/>
    <w:lvl w:ilvl="0" w:tentative="0">
      <w:start w:val="1"/>
      <w:numFmt w:val="none"/>
      <w:pStyle w:val="179"/>
      <w:lvlText w:val="%1注："/>
      <w:lvlJc w:val="left"/>
      <w:pPr>
        <w:ind w:left="737" w:hanging="374"/>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7">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7DF03741"/>
    <w:multiLevelType w:val="multilevel"/>
    <w:tmpl w:val="7DF03741"/>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 宁涛">
    <w15:presenceInfo w15:providerId="Windows Live" w15:userId="200b0516a44a0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wY2I5NzE5NTFmYjU2OTBlYTExYjZlODQ0YTZlNTgifQ=="/>
  </w:docVars>
  <w:rsids>
    <w:rsidRoot w:val="007B7A17"/>
    <w:rsid w:val="00087E63"/>
    <w:rsid w:val="000A6720"/>
    <w:rsid w:val="000D7289"/>
    <w:rsid w:val="000F5B12"/>
    <w:rsid w:val="00170C28"/>
    <w:rsid w:val="001A1F93"/>
    <w:rsid w:val="001F6332"/>
    <w:rsid w:val="0020185D"/>
    <w:rsid w:val="002364B4"/>
    <w:rsid w:val="002512CE"/>
    <w:rsid w:val="00263BA7"/>
    <w:rsid w:val="002A5DE3"/>
    <w:rsid w:val="002C3879"/>
    <w:rsid w:val="00302E9D"/>
    <w:rsid w:val="00332D87"/>
    <w:rsid w:val="003559D3"/>
    <w:rsid w:val="003E51E4"/>
    <w:rsid w:val="00411FAB"/>
    <w:rsid w:val="00471637"/>
    <w:rsid w:val="00502672"/>
    <w:rsid w:val="00506A7C"/>
    <w:rsid w:val="00540774"/>
    <w:rsid w:val="0057561E"/>
    <w:rsid w:val="0059645B"/>
    <w:rsid w:val="005E670F"/>
    <w:rsid w:val="00673511"/>
    <w:rsid w:val="006B068A"/>
    <w:rsid w:val="006D4613"/>
    <w:rsid w:val="00706E3D"/>
    <w:rsid w:val="00763023"/>
    <w:rsid w:val="00772E83"/>
    <w:rsid w:val="00792116"/>
    <w:rsid w:val="00794530"/>
    <w:rsid w:val="007B7A17"/>
    <w:rsid w:val="007D61FD"/>
    <w:rsid w:val="007E6484"/>
    <w:rsid w:val="008062B1"/>
    <w:rsid w:val="00811BC7"/>
    <w:rsid w:val="008479A3"/>
    <w:rsid w:val="00850C5B"/>
    <w:rsid w:val="00876887"/>
    <w:rsid w:val="00886AE3"/>
    <w:rsid w:val="00887B79"/>
    <w:rsid w:val="00932FFC"/>
    <w:rsid w:val="009407EC"/>
    <w:rsid w:val="009415CC"/>
    <w:rsid w:val="00946609"/>
    <w:rsid w:val="00967C37"/>
    <w:rsid w:val="00A265EB"/>
    <w:rsid w:val="00A31F3B"/>
    <w:rsid w:val="00A60699"/>
    <w:rsid w:val="00A7359A"/>
    <w:rsid w:val="00AE118B"/>
    <w:rsid w:val="00AF603B"/>
    <w:rsid w:val="00B03F9D"/>
    <w:rsid w:val="00B10304"/>
    <w:rsid w:val="00B31065"/>
    <w:rsid w:val="00BB01C5"/>
    <w:rsid w:val="00BD4C89"/>
    <w:rsid w:val="00BE04C5"/>
    <w:rsid w:val="00C03444"/>
    <w:rsid w:val="00C520E2"/>
    <w:rsid w:val="00CB1A7C"/>
    <w:rsid w:val="00CD6E03"/>
    <w:rsid w:val="00CE22C1"/>
    <w:rsid w:val="00D01784"/>
    <w:rsid w:val="00D57866"/>
    <w:rsid w:val="00D82265"/>
    <w:rsid w:val="00DE12DF"/>
    <w:rsid w:val="00E47BA7"/>
    <w:rsid w:val="00E82404"/>
    <w:rsid w:val="00F03052"/>
    <w:rsid w:val="00F70DDC"/>
    <w:rsid w:val="00F7665E"/>
    <w:rsid w:val="00F77C54"/>
    <w:rsid w:val="33A53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6" w:lineRule="auto"/>
      <w:outlineLvl w:val="0"/>
    </w:pPr>
    <w:rPr>
      <w:rFonts w:cs="宋体"/>
      <w:b/>
      <w:bCs/>
      <w:kern w:val="44"/>
      <w:sz w:val="44"/>
      <w:szCs w:val="44"/>
    </w:rPr>
  </w:style>
  <w:style w:type="paragraph" w:styleId="3">
    <w:name w:val="heading 2"/>
    <w:basedOn w:val="1"/>
    <w:next w:val="1"/>
    <w:link w:val="37"/>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5" w:lineRule="auto"/>
      <w:outlineLvl w:val="2"/>
    </w:pPr>
    <w:rPr>
      <w:rFonts w:cs="宋体"/>
      <w:b/>
      <w:bCs/>
      <w:sz w:val="32"/>
      <w:szCs w:val="32"/>
    </w:rPr>
  </w:style>
  <w:style w:type="paragraph" w:styleId="5">
    <w:name w:val="heading 4"/>
    <w:basedOn w:val="1"/>
    <w:next w:val="1"/>
    <w:link w:val="39"/>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4" w:lineRule="auto"/>
      <w:outlineLvl w:val="4"/>
    </w:pPr>
    <w:rPr>
      <w:rFonts w:cs="宋体"/>
      <w:b/>
      <w:bCs/>
      <w:sz w:val="28"/>
      <w:szCs w:val="28"/>
    </w:rPr>
  </w:style>
  <w:style w:type="paragraph" w:styleId="7">
    <w:name w:val="heading 6"/>
    <w:basedOn w:val="1"/>
    <w:next w:val="1"/>
    <w:link w:val="41"/>
    <w:qFormat/>
    <w:uiPriority w:val="0"/>
    <w:pPr>
      <w:keepNext/>
      <w:keepLines/>
      <w:adjustRightInd/>
      <w:spacing w:before="240" w:after="64" w:line="319"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19"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19"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19"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uiPriority w:val="99"/>
    <w:pPr>
      <w:jc w:val="left"/>
    </w:pPr>
  </w:style>
  <w:style w:type="paragraph" w:styleId="14">
    <w:name w:val="Body Text"/>
    <w:basedOn w:val="1"/>
    <w:link w:val="5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1"/>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46"/>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qFormat/>
    <w:uiPriority w:val="0"/>
    <w:rPr>
      <w:rFonts w:hint="eastAsia" w:ascii="宋体" w:hAnsi="Times New Roman" w:eastAsia="宋体"/>
      <w:sz w:val="18"/>
    </w:rPr>
  </w:style>
  <w:style w:type="character" w:styleId="32">
    <w:name w:val="FollowedHyperlink"/>
    <w:basedOn w:val="30"/>
    <w:semiHidden/>
    <w:unhideWhenUsed/>
    <w:qFormat/>
    <w:uiPriority w:val="99"/>
    <w:rPr>
      <w:color w:val="954F72" w:themeColor="followedHyperlink"/>
      <w:u w:val="single"/>
      <w14:textFill>
        <w14:solidFill>
          <w14:schemeClr w14:val="folHlink"/>
        </w14:solidFill>
      </w14:textFill>
    </w:rPr>
  </w:style>
  <w:style w:type="character" w:styleId="33">
    <w:name w:val="Hyperlink"/>
    <w:qFormat/>
    <w:uiPriority w:val="99"/>
    <w:rPr>
      <w:rFonts w:hint="eastAsia" w:ascii="宋体" w:hAnsi="Times New Roman" w:eastAsia="宋体"/>
      <w:color w:val="auto"/>
      <w:spacing w:val="0"/>
      <w:w w:val="100"/>
      <w:position w:val="0"/>
      <w:sz w:val="21"/>
      <w:u w:val="none"/>
      <w:vertAlign w:val="baseline"/>
    </w:rPr>
  </w:style>
  <w:style w:type="character" w:styleId="34">
    <w:name w:val="annotation reference"/>
    <w:basedOn w:val="30"/>
    <w:semiHidden/>
    <w:unhideWhenUsed/>
    <w:qFormat/>
    <w:uiPriority w:val="99"/>
    <w:rPr>
      <w:sz w:val="21"/>
      <w:szCs w:val="21"/>
    </w:rPr>
  </w:style>
  <w:style w:type="character" w:styleId="35">
    <w:name w:val="footnote reference"/>
    <w:semiHidden/>
    <w:qFormat/>
    <w:uiPriority w:val="0"/>
    <w:rPr>
      <w:rFonts w:hint="eastAsia" w:ascii="宋体" w:hAnsi="宋体" w:eastAsia="宋体" w:cs="Times New Roman"/>
      <w:spacing w:val="0"/>
      <w:sz w:val="18"/>
      <w:vertAlign w:val="superscript"/>
    </w:rPr>
  </w:style>
  <w:style w:type="character" w:customStyle="1" w:styleId="36">
    <w:name w:val="标题 1 字符"/>
    <w:link w:val="2"/>
    <w:qFormat/>
    <w:locked/>
    <w:uiPriority w:val="0"/>
    <w:rPr>
      <w:rFonts w:hint="default" w:ascii="Times New Roman" w:hAnsi="Times New Roman" w:eastAsia="宋体" w:cs="Times New Roman"/>
      <w:b/>
      <w:bCs/>
      <w:kern w:val="44"/>
      <w:sz w:val="44"/>
      <w:szCs w:val="44"/>
    </w:rPr>
  </w:style>
  <w:style w:type="character" w:customStyle="1" w:styleId="37">
    <w:name w:val="标题 2 字符"/>
    <w:link w:val="3"/>
    <w:qFormat/>
    <w:locked/>
    <w:uiPriority w:val="0"/>
    <w:rPr>
      <w:rFonts w:hint="default" w:ascii="Arial" w:hAnsi="Arial" w:eastAsia="黑体" w:cs="Times New Roman"/>
      <w:b/>
      <w:bCs/>
      <w:sz w:val="32"/>
      <w:szCs w:val="32"/>
    </w:rPr>
  </w:style>
  <w:style w:type="character" w:customStyle="1" w:styleId="38">
    <w:name w:val="标题 3 字符"/>
    <w:link w:val="4"/>
    <w:qFormat/>
    <w:locked/>
    <w:uiPriority w:val="0"/>
    <w:rPr>
      <w:rFonts w:hint="default" w:ascii="Times New Roman" w:hAnsi="Times New Roman" w:eastAsia="宋体" w:cs="Times New Roman"/>
      <w:b/>
      <w:bCs/>
      <w:sz w:val="32"/>
      <w:szCs w:val="32"/>
    </w:rPr>
  </w:style>
  <w:style w:type="character" w:customStyle="1" w:styleId="39">
    <w:name w:val="标题 4 字符"/>
    <w:link w:val="5"/>
    <w:qFormat/>
    <w:locked/>
    <w:uiPriority w:val="0"/>
    <w:rPr>
      <w:rFonts w:hint="default" w:ascii="Arial" w:hAnsi="Arial" w:eastAsia="黑体" w:cs="Times New Roman"/>
      <w:b/>
      <w:bCs/>
      <w:sz w:val="28"/>
      <w:szCs w:val="28"/>
    </w:rPr>
  </w:style>
  <w:style w:type="character" w:customStyle="1" w:styleId="40">
    <w:name w:val="标题 5 字符"/>
    <w:link w:val="6"/>
    <w:qFormat/>
    <w:locked/>
    <w:uiPriority w:val="0"/>
    <w:rPr>
      <w:rFonts w:hint="default" w:ascii="Times New Roman" w:hAnsi="Times New Roman" w:eastAsia="宋体" w:cs="Times New Roman"/>
      <w:b/>
      <w:bCs/>
      <w:sz w:val="28"/>
      <w:szCs w:val="28"/>
    </w:rPr>
  </w:style>
  <w:style w:type="character" w:customStyle="1" w:styleId="41">
    <w:name w:val="标题 6 字符"/>
    <w:link w:val="7"/>
    <w:qFormat/>
    <w:locked/>
    <w:uiPriority w:val="0"/>
    <w:rPr>
      <w:rFonts w:hint="default" w:ascii="Arial" w:hAnsi="Arial" w:eastAsia="黑体" w:cs="Times New Roman"/>
      <w:b/>
      <w:bCs/>
      <w:sz w:val="24"/>
      <w:szCs w:val="24"/>
    </w:rPr>
  </w:style>
  <w:style w:type="paragraph" w:customStyle="1" w:styleId="42">
    <w:name w:val="msonormal"/>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43">
    <w:name w:val="标题 7 字符"/>
    <w:link w:val="8"/>
    <w:qFormat/>
    <w:locked/>
    <w:uiPriority w:val="0"/>
    <w:rPr>
      <w:rFonts w:hint="default" w:ascii="Times New Roman" w:hAnsi="Times New Roman" w:eastAsia="宋体" w:cs="Times New Roman"/>
      <w:b/>
      <w:bCs/>
      <w:sz w:val="24"/>
      <w:szCs w:val="24"/>
    </w:rPr>
  </w:style>
  <w:style w:type="character" w:customStyle="1" w:styleId="44">
    <w:name w:val="标题 8 字符"/>
    <w:link w:val="9"/>
    <w:qFormat/>
    <w:locked/>
    <w:uiPriority w:val="0"/>
    <w:rPr>
      <w:rFonts w:hint="default" w:ascii="Arial" w:hAnsi="Arial" w:eastAsia="黑体" w:cs="Times New Roman"/>
      <w:sz w:val="24"/>
      <w:szCs w:val="24"/>
    </w:rPr>
  </w:style>
  <w:style w:type="character" w:customStyle="1" w:styleId="45">
    <w:name w:val="标题 9 字符"/>
    <w:link w:val="10"/>
    <w:qFormat/>
    <w:locked/>
    <w:uiPriority w:val="0"/>
    <w:rPr>
      <w:rFonts w:hint="default" w:ascii="Arial" w:hAnsi="Arial" w:eastAsia="黑体" w:cs="Times New Roman"/>
      <w:szCs w:val="21"/>
    </w:rPr>
  </w:style>
  <w:style w:type="character" w:customStyle="1" w:styleId="46">
    <w:name w:val="脚注文本 字符"/>
    <w:link w:val="22"/>
    <w:semiHidden/>
    <w:qFormat/>
    <w:locked/>
    <w:uiPriority w:val="0"/>
    <w:rPr>
      <w:rFonts w:hint="eastAsia" w:ascii="宋体" w:hAnsi="Times New Roman" w:eastAsia="宋体" w:cs="Times New Roman"/>
      <w:sz w:val="18"/>
      <w:szCs w:val="18"/>
    </w:rPr>
  </w:style>
  <w:style w:type="character" w:customStyle="1" w:styleId="47">
    <w:name w:val="页眉 字符"/>
    <w:link w:val="19"/>
    <w:qFormat/>
    <w:locked/>
    <w:uiPriority w:val="99"/>
    <w:rPr>
      <w:rFonts w:hint="default" w:ascii="Times New Roman" w:hAnsi="Times New Roman" w:eastAsia="宋体" w:cs="Times New Roman"/>
      <w:sz w:val="18"/>
      <w:szCs w:val="18"/>
    </w:rPr>
  </w:style>
  <w:style w:type="character" w:customStyle="1" w:styleId="48">
    <w:name w:val="页脚 字符"/>
    <w:link w:val="18"/>
    <w:qFormat/>
    <w:locked/>
    <w:uiPriority w:val="99"/>
    <w:rPr>
      <w:rFonts w:hint="eastAsia" w:ascii="宋体" w:hAnsi="Times New Roman" w:eastAsia="宋体" w:cs="Times New Roman"/>
      <w:sz w:val="18"/>
      <w:szCs w:val="18"/>
    </w:rPr>
  </w:style>
  <w:style w:type="character" w:customStyle="1" w:styleId="49">
    <w:name w:val="标题 字符"/>
    <w:link w:val="26"/>
    <w:qFormat/>
    <w:locked/>
    <w:uiPriority w:val="0"/>
    <w:rPr>
      <w:rFonts w:hint="default" w:ascii="Arial" w:hAnsi="Arial" w:eastAsia="宋体" w:cs="Arial"/>
      <w:b/>
      <w:bCs/>
      <w:sz w:val="32"/>
      <w:szCs w:val="32"/>
    </w:rPr>
  </w:style>
  <w:style w:type="character" w:customStyle="1" w:styleId="50">
    <w:name w:val="正文文本 字符"/>
    <w:link w:val="14"/>
    <w:qFormat/>
    <w:locked/>
    <w:uiPriority w:val="0"/>
    <w:rPr>
      <w:rFonts w:hint="default" w:ascii="Times New Roman" w:hAnsi="Times New Roman" w:eastAsia="宋体" w:cs="Times New Roman"/>
      <w:szCs w:val="20"/>
    </w:rPr>
  </w:style>
  <w:style w:type="character" w:customStyle="1" w:styleId="51">
    <w:name w:val="批注框文本 字符"/>
    <w:link w:val="17"/>
    <w:semiHidden/>
    <w:qFormat/>
    <w:locked/>
    <w:uiPriority w:val="99"/>
    <w:rPr>
      <w:sz w:val="18"/>
      <w:szCs w:val="18"/>
    </w:rPr>
  </w:style>
  <w:style w:type="paragraph" w:styleId="52">
    <w:name w:val="List Paragraph"/>
    <w:basedOn w:val="1"/>
    <w:qFormat/>
    <w:uiPriority w:val="34"/>
    <w:pPr>
      <w:ind w:firstLine="420" w:firstLineChars="200"/>
    </w:pPr>
  </w:style>
  <w:style w:type="paragraph" w:styleId="53">
    <w:name w:val="Quote"/>
    <w:basedOn w:val="1"/>
    <w:next w:val="1"/>
    <w:link w:val="54"/>
    <w:qFormat/>
    <w:uiPriority w:val="29"/>
    <w:rPr>
      <w:i/>
      <w:iCs/>
      <w:color w:val="000000"/>
    </w:rPr>
  </w:style>
  <w:style w:type="character" w:customStyle="1" w:styleId="54">
    <w:name w:val="引用 字符"/>
    <w:link w:val="53"/>
    <w:qFormat/>
    <w:locked/>
    <w:uiPriority w:val="29"/>
    <w:rPr>
      <w:i/>
      <w:iCs/>
      <w:color w:val="000000"/>
    </w:rPr>
  </w:style>
  <w:style w:type="paragraph" w:customStyle="1" w:styleId="55">
    <w:name w:val="标准标志"/>
    <w:next w:val="1"/>
    <w:qFormat/>
    <w:uiPriority w:val="0"/>
    <w:pPr>
      <w:framePr w:w="2268" w:h="1392"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6">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9">
    <w:name w:val="标准书眉一"/>
    <w:qFormat/>
    <w:uiPriority w:val="0"/>
    <w:pPr>
      <w:jc w:val="both"/>
    </w:pPr>
    <w:rPr>
      <w:rFonts w:ascii="Times New Roman" w:hAnsi="Times New Roman" w:eastAsia="宋体" w:cs="Times New Roman"/>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段"/>
    <w:link w:val="6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标准正文"/>
    <w:basedOn w:val="1"/>
    <w:next w:val="61"/>
    <w:qFormat/>
    <w:uiPriority w:val="0"/>
    <w:pPr>
      <w:snapToGrid w:val="0"/>
      <w:ind w:firstLine="200" w:firstLineChars="200"/>
    </w:pPr>
    <w:rPr>
      <w:kern w:val="0"/>
    </w:rPr>
  </w:style>
  <w:style w:type="character" w:customStyle="1" w:styleId="63">
    <w:name w:val="标准文件_段 Char"/>
    <w:link w:val="61"/>
    <w:qFormat/>
    <w:locked/>
    <w:uiPriority w:val="0"/>
    <w:rPr>
      <w:rFonts w:hint="eastAsia" w:ascii="宋体" w:hAnsi="Times New Roman" w:eastAsia="宋体"/>
      <w:sz w:val="21"/>
    </w:rPr>
  </w:style>
  <w:style w:type="paragraph" w:customStyle="1" w:styleId="64">
    <w:name w:val="标准文件_版本"/>
    <w:basedOn w:val="62"/>
    <w:qFormat/>
    <w:uiPriority w:val="0"/>
    <w:pPr>
      <w:adjustRightInd/>
      <w:snapToGrid/>
      <w:ind w:firstLine="0" w:firstLineChars="0"/>
    </w:pPr>
    <w:rPr>
      <w:rFonts w:ascii="宋体" w:hAnsi="宋体"/>
      <w:kern w:val="2"/>
    </w:rPr>
  </w:style>
  <w:style w:type="paragraph" w:customStyle="1" w:styleId="65">
    <w:name w:val="标准文件_标准部门"/>
    <w:basedOn w:val="1"/>
    <w:qFormat/>
    <w:uiPriority w:val="0"/>
    <w:pPr>
      <w:jc w:val="center"/>
    </w:pPr>
    <w:rPr>
      <w:rFonts w:ascii="黑体" w:eastAsia="黑体"/>
      <w:kern w:val="0"/>
      <w:sz w:val="44"/>
    </w:rPr>
  </w:style>
  <w:style w:type="paragraph" w:customStyle="1" w:styleId="66">
    <w:name w:val="标准文件_标准代替"/>
    <w:basedOn w:val="1"/>
    <w:next w:val="1"/>
    <w:qFormat/>
    <w:uiPriority w:val="0"/>
    <w:pPr>
      <w:spacing w:line="310" w:lineRule="exact"/>
      <w:jc w:val="right"/>
    </w:pPr>
    <w:rPr>
      <w:rFonts w:ascii="宋体" w:hAnsi="宋体"/>
      <w:kern w:val="0"/>
    </w:rPr>
  </w:style>
  <w:style w:type="paragraph" w:customStyle="1" w:styleId="67">
    <w:name w:val="标准文件_标准名称标题"/>
    <w:basedOn w:val="1"/>
    <w:next w:val="1"/>
    <w:qFormat/>
    <w:uiPriority w:val="0"/>
    <w:pPr>
      <w:widowControl/>
      <w:shd w:val="clear" w:color="auto" w:fill="FFFFFF"/>
      <w:adjustRightInd/>
      <w:spacing w:before="640" w:after="100"/>
      <w:jc w:val="center"/>
    </w:pPr>
    <w:rPr>
      <w:rFonts w:ascii="黑体" w:eastAsia="黑体"/>
      <w:kern w:val="0"/>
      <w:sz w:val="32"/>
    </w:rPr>
  </w:style>
  <w:style w:type="paragraph" w:customStyle="1" w:styleId="6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9">
    <w:name w:val="标准文件_页眉偶数页"/>
    <w:basedOn w:val="68"/>
    <w:next w:val="1"/>
    <w:qFormat/>
    <w:uiPriority w:val="0"/>
    <w:pPr>
      <w:jc w:val="left"/>
    </w:pPr>
  </w:style>
  <w:style w:type="paragraph" w:customStyle="1" w:styleId="70">
    <w:name w:val="标准文件_参考文献标题"/>
    <w:basedOn w:val="1"/>
    <w:next w:val="1"/>
    <w:qFormat/>
    <w:uiPriority w:val="0"/>
    <w:pPr>
      <w:widowControl/>
      <w:shd w:val="clear" w:color="auto" w:fill="FFFFFF"/>
      <w:adjustRightInd/>
      <w:spacing w:beforeLines="40" w:afterLines="50" w:line="240" w:lineRule="auto"/>
      <w:jc w:val="center"/>
      <w:outlineLvl w:val="0"/>
    </w:pPr>
    <w:rPr>
      <w:rFonts w:ascii="黑体" w:eastAsia="黑体"/>
      <w:kern w:val="0"/>
    </w:rPr>
  </w:style>
  <w:style w:type="paragraph" w:customStyle="1" w:styleId="7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2">
    <w:name w:val="标准文件_二级条标题"/>
    <w:next w:val="61"/>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73">
    <w:name w:val="标准文件_方框数字列项"/>
    <w:basedOn w:val="61"/>
    <w:qFormat/>
    <w:uiPriority w:val="0"/>
    <w:pPr>
      <w:numPr>
        <w:ilvl w:val="0"/>
        <w:numId w:val="3"/>
      </w:numPr>
      <w:ind w:firstLine="0" w:firstLineChars="0"/>
    </w:pPr>
  </w:style>
  <w:style w:type="paragraph" w:customStyle="1" w:styleId="74">
    <w:name w:val="标准文件_封面标准编号"/>
    <w:basedOn w:val="1"/>
    <w:next w:val="66"/>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1"/>
    <w:qFormat/>
    <w:uiPriority w:val="0"/>
    <w:pPr>
      <w:numPr>
        <w:ilvl w:val="0"/>
        <w:numId w:val="4"/>
      </w:numPr>
      <w:shd w:val="clear" w:color="auto"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1"/>
    <w:qFormat/>
    <w:uiPriority w:val="0"/>
    <w:pPr>
      <w:numPr>
        <w:ilvl w:val="1"/>
        <w:numId w:val="5"/>
      </w:numPr>
      <w:adjustRightInd w:val="0"/>
      <w:snapToGrid w:val="0"/>
      <w:spacing w:beforeLines="50" w:afterLines="50"/>
      <w:ind w:firstLine="420"/>
      <w:jc w:val="center"/>
    </w:pPr>
    <w:rPr>
      <w:rFonts w:ascii="黑体" w:hAnsi="Times New Roman" w:eastAsia="黑体" w:cs="Times New Roman"/>
      <w:kern w:val="21"/>
      <w:sz w:val="21"/>
      <w:lang w:val="en-US" w:eastAsia="zh-CN" w:bidi="ar-SA"/>
    </w:rPr>
  </w:style>
  <w:style w:type="paragraph" w:customStyle="1" w:styleId="84">
    <w:name w:val="标准文件_附录一级条标题"/>
    <w:next w:val="61"/>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1"/>
    <w:qFormat/>
    <w:uiPriority w:val="0"/>
    <w:pPr>
      <w:widowControl/>
      <w:numPr>
        <w:ilvl w:val="2"/>
      </w:numPr>
      <w:wordWrap w:val="0"/>
      <w:overflowPunct w:val="0"/>
      <w:autoSpaceDE w:val="0"/>
      <w:autoSpaceDN w:val="0"/>
      <w:outlineLvl w:val="3"/>
    </w:pPr>
  </w:style>
  <w:style w:type="paragraph" w:customStyle="1" w:styleId="86">
    <w:name w:val="标准文件_附录公式"/>
    <w:basedOn w:val="62"/>
    <w:next w:val="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1"/>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1"/>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1"/>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90">
    <w:name w:val="标准文件_附录五级条标题"/>
    <w:next w:val="61"/>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2">
    <w:name w:val="标准文件_附录章标题"/>
    <w:next w:val="61"/>
    <w:qFormat/>
    <w:uiPriority w:val="0"/>
    <w:pPr>
      <w:wordWrap w:val="0"/>
      <w:overflowPunct w:val="0"/>
      <w:autoSpaceDE w:val="0"/>
      <w:spacing w:beforeLines="50" w:afterLines="50"/>
      <w:jc w:val="both"/>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auto" w:fill="FFFFFF"/>
      <w:spacing w:afterLines="150"/>
      <w:ind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2"/>
    <w:next w:val="61"/>
    <w:qFormat/>
    <w:uiPriority w:val="0"/>
    <w:pPr>
      <w:widowControl/>
      <w:numPr>
        <w:ilvl w:val="4"/>
      </w:numPr>
      <w:outlineLvl w:val="3"/>
    </w:p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61"/>
    <w:qFormat/>
    <w:uiPriority w:val="0"/>
    <w:pPr>
      <w:numPr>
        <w:ilvl w:val="0"/>
        <w:numId w:val="12"/>
      </w:numPr>
      <w:spacing w:line="240" w:lineRule="auto"/>
      <w:jc w:val="left"/>
    </w:pPr>
    <w:rPr>
      <w:rFonts w:ascii="宋体" w:hAnsi="宋体"/>
      <w:sz w:val="18"/>
    </w:rPr>
  </w:style>
  <w:style w:type="paragraph" w:customStyle="1" w:styleId="105">
    <w:name w:val="标准文件_五级条标题"/>
    <w:next w:val="6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6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61"/>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auto"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62"/>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61"/>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62"/>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6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61"/>
    <w:qFormat/>
    <w:uiPriority w:val="0"/>
    <w:pPr>
      <w:framePr w:w="7433" w:h="585"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wrap="auto" w:vAnchor="page" w:hAnchor="margin" w:y="2908"/>
      <w:kinsoku w:val="0"/>
      <w:overflowPunct w:val="0"/>
      <w:autoSpaceDE w:val="0"/>
      <w:autoSpaceDN w:val="0"/>
      <w:spacing w:before="57" w:line="280" w:lineRule="exact"/>
      <w:jc w:val="right"/>
    </w:pPr>
    <w:rPr>
      <w:rFonts w:ascii="宋体" w:hAnsi="Times New Roman"/>
      <w:kern w:val="0"/>
      <w:szCs w:val="20"/>
    </w:rPr>
  </w:style>
  <w:style w:type="paragraph" w:customStyle="1" w:styleId="124">
    <w:name w:val="封面标准名称"/>
    <w:qFormat/>
    <w:uiPriority w:val="0"/>
    <w:pPr>
      <w:framePr w:w="9638" w:h="6917" w:wrap="around" w:vAnchor="margin" w:hAnchor="margin" w:xAlign="center" w:y="5955" w:anchorLock="1"/>
      <w:widowControl w:val="0"/>
      <w:spacing w:line="680" w:lineRule="exact"/>
      <w:jc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61"/>
    <w:qFormat/>
    <w:uiPriority w:val="0"/>
    <w:pPr>
      <w:widowControl/>
      <w:wordWrap w:val="0"/>
      <w:overflowPunct w:val="0"/>
      <w:autoSpaceDE w:val="0"/>
      <w:autoSpaceDN w:val="0"/>
      <w:adjustRightInd/>
      <w:spacing w:line="240" w:lineRule="auto"/>
      <w:outlineLvl w:val="3"/>
    </w:pPr>
    <w:rPr>
      <w:rFonts w:ascii="宋体" w:hAnsi="宋体"/>
      <w:kern w:val="21"/>
    </w:rPr>
  </w:style>
  <w:style w:type="paragraph" w:customStyle="1" w:styleId="131">
    <w:name w:val="附录三级无标题条"/>
    <w:basedOn w:val="130"/>
    <w:next w:val="61"/>
    <w:qFormat/>
    <w:uiPriority w:val="0"/>
    <w:pPr>
      <w:outlineLvl w:val="4"/>
    </w:pPr>
  </w:style>
  <w:style w:type="paragraph" w:customStyle="1" w:styleId="132">
    <w:name w:val="附录四级无标题条"/>
    <w:basedOn w:val="131"/>
    <w:next w:val="61"/>
    <w:qFormat/>
    <w:uiPriority w:val="0"/>
    <w:pPr>
      <w:outlineLvl w:val="5"/>
    </w:pPr>
  </w:style>
  <w:style w:type="paragraph" w:customStyle="1" w:styleId="133">
    <w:name w:val="附录图"/>
    <w:next w:val="61"/>
    <w:qFormat/>
    <w:uiPriority w:val="0"/>
    <w:pPr>
      <w:wordWrap w:val="0"/>
      <w:overflowPunct w:val="0"/>
      <w:autoSpaceDE w:val="0"/>
      <w:spacing w:beforeLines="50" w:afterLines="50"/>
      <w:jc w:val="center"/>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61"/>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92"/>
    <w:next w:val="61"/>
    <w:qFormat/>
    <w:uiPriority w:val="0"/>
    <w:pPr>
      <w:autoSpaceDN w:val="0"/>
      <w:outlineLvl w:val="2"/>
    </w:pPr>
    <w:rPr>
      <w:rFonts w:ascii="宋体" w:hAnsi="宋体" w:eastAsia="宋体"/>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61"/>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21"/>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auto"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2"/>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pPr>
    <w:rPr>
      <w:rFonts w:ascii="Times New Roman" w:hAnsi="Times New Roman" w:eastAsia="黑体" w:cs="Times New Roman"/>
      <w:sz w:val="21"/>
      <w:lang w:val="en-US" w:eastAsia="zh-CN" w:bidi="ar-SA"/>
    </w:rPr>
  </w:style>
  <w:style w:type="paragraph" w:customStyle="1" w:styleId="157">
    <w:name w:val="无标题条"/>
    <w:next w:val="61"/>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7"/>
    <w:qFormat/>
    <w:uiPriority w:val="0"/>
    <w:pPr>
      <w:spacing w:beforeLines="0" w:afterLines="0"/>
      <w:ind w:left="567"/>
      <w:outlineLvl w:val="9"/>
    </w:pPr>
    <w:rPr>
      <w:rFonts w:ascii="宋体" w:eastAsia="宋体"/>
    </w:rPr>
  </w:style>
  <w:style w:type="paragraph" w:customStyle="1" w:styleId="163">
    <w:name w:val="标准文件_五级无标题"/>
    <w:basedOn w:val="105"/>
    <w:qFormat/>
    <w:uiPriority w:val="0"/>
    <w:pPr>
      <w:spacing w:beforeLines="0" w:afterLines="0"/>
      <w:outlineLvl w:val="9"/>
    </w:pPr>
    <w:rPr>
      <w:rFonts w:ascii="宋体" w:eastAsia="宋体"/>
    </w:rPr>
  </w:style>
  <w:style w:type="paragraph" w:customStyle="1" w:styleId="164">
    <w:name w:val="标准文件_三级无标题"/>
    <w:basedOn w:val="99"/>
    <w:qFormat/>
    <w:uiPriority w:val="0"/>
    <w:pPr>
      <w:spacing w:beforeLines="0" w:afterLines="0"/>
      <w:outlineLvl w:val="9"/>
    </w:pPr>
    <w:rPr>
      <w:rFonts w:ascii="宋体" w:eastAsia="宋体"/>
    </w:rPr>
  </w:style>
  <w:style w:type="paragraph" w:customStyle="1" w:styleId="165">
    <w:name w:val="标准文件_二级无标题"/>
    <w:basedOn w:val="72"/>
    <w:qFormat/>
    <w:uiPriority w:val="0"/>
    <w:pPr>
      <w:spacing w:beforeLines="0" w:afterLines="0"/>
      <w:outlineLvl w:val="9"/>
    </w:pPr>
    <w:rPr>
      <w:rFonts w:ascii="宋体" w:eastAsia="宋体"/>
    </w:rPr>
  </w:style>
  <w:style w:type="paragraph" w:customStyle="1" w:styleId="166">
    <w:name w:val="标准_四级无标题"/>
    <w:basedOn w:val="102"/>
    <w:next w:val="61"/>
    <w:qFormat/>
    <w:uiPriority w:val="0"/>
    <w:rPr>
      <w:rFonts w:eastAsia="宋体"/>
    </w:rPr>
  </w:style>
  <w:style w:type="paragraph" w:customStyle="1" w:styleId="167">
    <w:name w:val="标准文件_四级无标题"/>
    <w:basedOn w:val="102"/>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61"/>
    <w:qFormat/>
    <w:uiPriority w:val="0"/>
    <w:pPr>
      <w:numPr>
        <w:ilvl w:val="0"/>
        <w:numId w:val="24"/>
      </w:numPr>
      <w:ind w:firstLine="0" w:firstLineChars="0"/>
    </w:pPr>
    <w:rPr>
      <w:rFonts w:cs="Arial"/>
      <w:szCs w:val="28"/>
    </w:rPr>
  </w:style>
  <w:style w:type="paragraph" w:customStyle="1" w:styleId="170">
    <w:name w:val="标准文件_附录标题"/>
    <w:basedOn w:val="82"/>
    <w:qFormat/>
    <w:uiPriority w:val="0"/>
    <w:pPr>
      <w:numPr>
        <w:numId w:val="0"/>
      </w:numPr>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61"/>
    <w:qFormat/>
    <w:uiPriority w:val="0"/>
    <w:pPr>
      <w:ind w:firstLine="0" w:firstLineChars="0"/>
      <w:jc w:val="center"/>
    </w:pPr>
    <w:rPr>
      <w:sz w:val="18"/>
    </w:rPr>
  </w:style>
  <w:style w:type="paragraph" w:customStyle="1" w:styleId="179">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内容"/>
    <w:basedOn w:val="61"/>
    <w:qFormat/>
    <w:uiPriority w:val="0"/>
    <w:pPr>
      <w:ind w:firstLine="420"/>
    </w:pPr>
    <w:rPr>
      <w:sz w:val="18"/>
    </w:rPr>
  </w:style>
  <w:style w:type="paragraph" w:customStyle="1" w:styleId="182">
    <w:name w:val="标准文件_示例："/>
    <w:next w:val="181"/>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
    <w:basedOn w:val="1"/>
    <w:next w:val="181"/>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4">
    <w:name w:val="标准文件_表格续"/>
    <w:basedOn w:val="61"/>
    <w:next w:val="61"/>
    <w:qFormat/>
    <w:uiPriority w:val="0"/>
    <w:pPr>
      <w:jc w:val="center"/>
    </w:pPr>
    <w:rPr>
      <w:rFonts w:ascii="黑体" w:hAnsi="黑体" w:eastAsia="黑体"/>
    </w:rPr>
  </w:style>
  <w:style w:type="paragraph" w:customStyle="1" w:styleId="185">
    <w:name w:val="标准文件_二级项2"/>
    <w:basedOn w:val="61"/>
    <w:qFormat/>
    <w:uiPriority w:val="0"/>
    <w:pPr>
      <w:numPr>
        <w:ilvl w:val="1"/>
        <w:numId w:val="21"/>
      </w:numPr>
      <w:ind w:left="1271" w:hanging="420" w:firstLineChars="0"/>
    </w:pPr>
  </w:style>
  <w:style w:type="paragraph" w:customStyle="1" w:styleId="186">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87">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88">
    <w:name w:val="标准文件_提示"/>
    <w:basedOn w:val="61"/>
    <w:next w:val="61"/>
    <w:qFormat/>
    <w:uiPriority w:val="0"/>
    <w:pPr>
      <w:ind w:firstLine="420"/>
    </w:pPr>
    <w:rPr>
      <w:rFonts w:ascii="黑体" w:eastAsia="黑体"/>
    </w:rPr>
  </w:style>
  <w:style w:type="paragraph" w:customStyle="1" w:styleId="18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0">
    <w:name w:val="其他发布日期"/>
    <w:basedOn w:val="122"/>
    <w:qFormat/>
    <w:uiPriority w:val="0"/>
    <w:pPr>
      <w:framePr w:w="3997" w:h="471" w:hSpace="0" w:vSpace="181" w:wrap="around" w:vAnchor="page" w:hAnchor="page" w:x="1419" w:y="14097"/>
    </w:pPr>
  </w:style>
  <w:style w:type="paragraph" w:customStyle="1" w:styleId="191">
    <w:name w:val="其他实施日期"/>
    <w:basedOn w:val="154"/>
    <w:qFormat/>
    <w:uiPriority w:val="0"/>
    <w:pPr>
      <w:framePr w:w="3997" w:h="471" w:vSpace="181" w:wrap="around" w:vAnchor="page" w:hAnchor="page" w:x="7089" w:y="14097"/>
    </w:pPr>
  </w:style>
  <w:style w:type="paragraph" w:customStyle="1" w:styleId="192">
    <w:name w:val="标准文件_文件编号"/>
    <w:basedOn w:val="61"/>
    <w:qFormat/>
    <w:uiPriority w:val="0"/>
    <w:pPr>
      <w:framePr w:w="9356" w:h="624"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3">
    <w:name w:val="标准文件_替换文件编号"/>
    <w:basedOn w:val="192"/>
    <w:qFormat/>
    <w:uiPriority w:val="0"/>
    <w:pPr>
      <w:framePr/>
      <w:spacing w:before="57"/>
    </w:pPr>
    <w:rPr>
      <w:sz w:val="21"/>
    </w:rPr>
  </w:style>
  <w:style w:type="paragraph" w:customStyle="1" w:styleId="194">
    <w:name w:val="标准文件_文件名称"/>
    <w:basedOn w:val="61"/>
    <w:next w:val="61"/>
    <w:qFormat/>
    <w:uiPriority w:val="0"/>
    <w:pPr>
      <w:framePr w:w="9639" w:h="6976"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5">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6">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197">
    <w:name w:val="标准文件_引言一级条标题"/>
    <w:basedOn w:val="61"/>
    <w:next w:val="61"/>
    <w:qFormat/>
    <w:uiPriority w:val="0"/>
    <w:pPr>
      <w:numPr>
        <w:ilvl w:val="1"/>
        <w:numId w:val="8"/>
      </w:numPr>
      <w:spacing w:beforeLines="50" w:afterLines="50"/>
      <w:ind w:firstLineChars="0"/>
    </w:pPr>
    <w:rPr>
      <w:rFonts w:ascii="黑体" w:eastAsia="黑体"/>
    </w:rPr>
  </w:style>
  <w:style w:type="paragraph" w:customStyle="1" w:styleId="198">
    <w:name w:val="标准文件_引言二级条标题"/>
    <w:basedOn w:val="61"/>
    <w:next w:val="61"/>
    <w:qFormat/>
    <w:uiPriority w:val="0"/>
    <w:pPr>
      <w:numPr>
        <w:ilvl w:val="2"/>
        <w:numId w:val="8"/>
      </w:numPr>
      <w:spacing w:beforeLines="50" w:afterLines="50"/>
      <w:ind w:firstLineChars="0"/>
    </w:pPr>
    <w:rPr>
      <w:rFonts w:ascii="黑体" w:eastAsia="黑体"/>
    </w:rPr>
  </w:style>
  <w:style w:type="paragraph" w:customStyle="1" w:styleId="199">
    <w:name w:val="标准文件_引言三级条标题"/>
    <w:basedOn w:val="61"/>
    <w:next w:val="61"/>
    <w:qFormat/>
    <w:uiPriority w:val="0"/>
    <w:pPr>
      <w:numPr>
        <w:ilvl w:val="3"/>
        <w:numId w:val="8"/>
      </w:numPr>
      <w:spacing w:beforeLines="50" w:afterLines="50"/>
      <w:ind w:firstLineChars="0"/>
    </w:pPr>
    <w:rPr>
      <w:rFonts w:ascii="黑体" w:eastAsia="黑体"/>
    </w:rPr>
  </w:style>
  <w:style w:type="paragraph" w:customStyle="1" w:styleId="200">
    <w:name w:val="标准文件_引言四级条标题"/>
    <w:basedOn w:val="61"/>
    <w:next w:val="61"/>
    <w:qFormat/>
    <w:uiPriority w:val="0"/>
    <w:pPr>
      <w:numPr>
        <w:ilvl w:val="4"/>
        <w:numId w:val="8"/>
      </w:numPr>
      <w:spacing w:beforeLines="50" w:afterLines="50"/>
      <w:ind w:firstLineChars="0"/>
    </w:pPr>
    <w:rPr>
      <w:rFonts w:ascii="黑体" w:eastAsia="黑体"/>
    </w:rPr>
  </w:style>
  <w:style w:type="paragraph" w:customStyle="1" w:styleId="201">
    <w:name w:val="标准文件_引言五级条标题"/>
    <w:basedOn w:val="61"/>
    <w:next w:val="61"/>
    <w:qFormat/>
    <w:uiPriority w:val="0"/>
    <w:pPr>
      <w:numPr>
        <w:ilvl w:val="5"/>
        <w:numId w:val="8"/>
      </w:numPr>
      <w:spacing w:beforeLines="50" w:afterLines="50"/>
      <w:ind w:firstLineChars="0"/>
    </w:pPr>
    <w:rPr>
      <w:rFonts w:ascii="黑体" w:eastAsia="黑体"/>
    </w:rPr>
  </w:style>
  <w:style w:type="paragraph" w:customStyle="1" w:styleId="202">
    <w:name w:val="标准文件_注后"/>
    <w:basedOn w:val="61"/>
    <w:qFormat/>
    <w:uiPriority w:val="0"/>
    <w:pPr>
      <w:ind w:left="811" w:firstLine="0" w:firstLineChars="0"/>
    </w:pPr>
    <w:rPr>
      <w:sz w:val="18"/>
    </w:rPr>
  </w:style>
  <w:style w:type="paragraph" w:customStyle="1" w:styleId="203">
    <w:name w:val="标准文件_注X后"/>
    <w:basedOn w:val="61"/>
    <w:qFormat/>
    <w:uiPriority w:val="0"/>
    <w:pPr>
      <w:ind w:left="811" w:firstLine="0" w:firstLineChars="0"/>
    </w:pPr>
    <w:rPr>
      <w:sz w:val="18"/>
    </w:rPr>
  </w:style>
  <w:style w:type="paragraph" w:customStyle="1" w:styleId="204">
    <w:name w:val="标准文件_示例后"/>
    <w:basedOn w:val="61"/>
    <w:qFormat/>
    <w:uiPriority w:val="0"/>
    <w:pPr>
      <w:ind w:left="964" w:firstLine="0" w:firstLineChars="0"/>
    </w:pPr>
    <w:rPr>
      <w:sz w:val="18"/>
    </w:rPr>
  </w:style>
  <w:style w:type="character" w:customStyle="1" w:styleId="205">
    <w:name w:val="标准文件_示例X后 字符"/>
    <w:basedOn w:val="63"/>
    <w:link w:val="206"/>
    <w:qFormat/>
    <w:locked/>
    <w:uiPriority w:val="0"/>
    <w:rPr>
      <w:rFonts w:hint="eastAsia" w:ascii="宋体" w:hAnsi="Times New Roman" w:eastAsia="宋体"/>
      <w:sz w:val="18"/>
    </w:rPr>
  </w:style>
  <w:style w:type="paragraph" w:customStyle="1" w:styleId="206">
    <w:name w:val="标准文件_示例X后"/>
    <w:basedOn w:val="61"/>
    <w:link w:val="205"/>
    <w:qFormat/>
    <w:uiPriority w:val="0"/>
    <w:pPr>
      <w:ind w:left="1049" w:firstLine="0" w:firstLineChars="0"/>
    </w:pPr>
    <w:rPr>
      <w:sz w:val="18"/>
    </w:rPr>
  </w:style>
  <w:style w:type="paragraph" w:customStyle="1" w:styleId="207">
    <w:name w:val="标准文件_索引项"/>
    <w:basedOn w:val="61"/>
    <w:next w:val="61"/>
    <w:qFormat/>
    <w:uiPriority w:val="0"/>
    <w:pPr>
      <w:tabs>
        <w:tab w:val="right" w:leader="dot" w:pos="9356"/>
      </w:tabs>
      <w:ind w:left="210" w:hanging="210" w:firstLineChars="0"/>
      <w:jc w:val="left"/>
    </w:pPr>
  </w:style>
  <w:style w:type="paragraph" w:customStyle="1" w:styleId="208">
    <w:name w:val="标准文件_附录一级无标题"/>
    <w:basedOn w:val="84"/>
    <w:qFormat/>
    <w:uiPriority w:val="0"/>
    <w:pPr>
      <w:spacing w:beforeLines="0" w:afterLines="0" w:line="276" w:lineRule="auto"/>
      <w:outlineLvl w:val="9"/>
    </w:pPr>
    <w:rPr>
      <w:rFonts w:ascii="宋体" w:eastAsia="宋体"/>
    </w:rPr>
  </w:style>
  <w:style w:type="paragraph" w:customStyle="1" w:styleId="209">
    <w:name w:val="标准文件_附录二级无标题"/>
    <w:basedOn w:val="85"/>
    <w:qFormat/>
    <w:uiPriority w:val="0"/>
    <w:pPr>
      <w:spacing w:beforeLines="0" w:afterLines="0" w:line="276" w:lineRule="auto"/>
      <w:outlineLvl w:val="9"/>
    </w:pPr>
    <w:rPr>
      <w:rFonts w:ascii="宋体" w:eastAsia="宋体"/>
    </w:rPr>
  </w:style>
  <w:style w:type="paragraph" w:customStyle="1" w:styleId="210">
    <w:name w:val="标准文件_附录三级无标题"/>
    <w:basedOn w:val="87"/>
    <w:qFormat/>
    <w:uiPriority w:val="0"/>
    <w:pPr>
      <w:spacing w:beforeLines="0" w:afterLines="0" w:line="276" w:lineRule="auto"/>
      <w:outlineLvl w:val="9"/>
    </w:pPr>
    <w:rPr>
      <w:rFonts w:ascii="宋体" w:eastAsia="宋体"/>
    </w:rPr>
  </w:style>
  <w:style w:type="paragraph" w:customStyle="1" w:styleId="211">
    <w:name w:val="标准文件_附录四级无标题"/>
    <w:basedOn w:val="88"/>
    <w:qFormat/>
    <w:uiPriority w:val="0"/>
    <w:pPr>
      <w:spacing w:beforeLines="0" w:afterLines="0" w:line="276" w:lineRule="auto"/>
      <w:outlineLvl w:val="9"/>
    </w:pPr>
    <w:rPr>
      <w:rFonts w:ascii="宋体" w:eastAsia="宋体"/>
    </w:rPr>
  </w:style>
  <w:style w:type="paragraph" w:customStyle="1" w:styleId="212">
    <w:name w:val="标准文件_附录五级无标题"/>
    <w:basedOn w:val="90"/>
    <w:qFormat/>
    <w:uiPriority w:val="0"/>
    <w:pPr>
      <w:spacing w:beforeLines="0" w:afterLines="0" w:line="276" w:lineRule="auto"/>
      <w:outlineLvl w:val="9"/>
    </w:pPr>
    <w:rPr>
      <w:rFonts w:ascii="宋体" w:eastAsia="宋体"/>
    </w:rPr>
  </w:style>
  <w:style w:type="paragraph" w:customStyle="1" w:styleId="213">
    <w:name w:val="标准文件_引言一级无标题"/>
    <w:basedOn w:val="197"/>
    <w:next w:val="61"/>
    <w:qFormat/>
    <w:uiPriority w:val="0"/>
    <w:pPr>
      <w:spacing w:beforeLines="0" w:afterLines="0" w:line="276" w:lineRule="auto"/>
    </w:pPr>
    <w:rPr>
      <w:rFonts w:ascii="宋体" w:eastAsia="宋体"/>
    </w:rPr>
  </w:style>
  <w:style w:type="paragraph" w:customStyle="1" w:styleId="214">
    <w:name w:val="标准文件_引言二级无标题"/>
    <w:basedOn w:val="198"/>
    <w:next w:val="61"/>
    <w:qFormat/>
    <w:uiPriority w:val="0"/>
    <w:pPr>
      <w:spacing w:beforeLines="0" w:afterLines="0" w:line="276" w:lineRule="auto"/>
    </w:pPr>
    <w:rPr>
      <w:rFonts w:ascii="宋体" w:eastAsia="宋体"/>
    </w:rPr>
  </w:style>
  <w:style w:type="paragraph" w:customStyle="1" w:styleId="215">
    <w:name w:val="标准文件_引言三级无标题"/>
    <w:basedOn w:val="199"/>
    <w:next w:val="61"/>
    <w:qFormat/>
    <w:uiPriority w:val="0"/>
    <w:pPr>
      <w:spacing w:beforeLines="0" w:afterLines="0" w:line="276" w:lineRule="auto"/>
    </w:pPr>
    <w:rPr>
      <w:rFonts w:ascii="宋体" w:eastAsia="宋体"/>
    </w:rPr>
  </w:style>
  <w:style w:type="paragraph" w:customStyle="1" w:styleId="216">
    <w:name w:val="标准文件_引言四级无标题"/>
    <w:basedOn w:val="200"/>
    <w:next w:val="61"/>
    <w:qFormat/>
    <w:uiPriority w:val="0"/>
    <w:pPr>
      <w:spacing w:beforeLines="0" w:afterLines="0" w:line="276" w:lineRule="auto"/>
    </w:pPr>
    <w:rPr>
      <w:rFonts w:ascii="宋体" w:eastAsia="宋体"/>
    </w:rPr>
  </w:style>
  <w:style w:type="paragraph" w:customStyle="1" w:styleId="217">
    <w:name w:val="标准文件_引言五级无标题"/>
    <w:basedOn w:val="201"/>
    <w:next w:val="61"/>
    <w:qFormat/>
    <w:uiPriority w:val="0"/>
    <w:pPr>
      <w:spacing w:beforeLines="0" w:afterLines="0" w:line="276" w:lineRule="auto"/>
    </w:pPr>
    <w:rPr>
      <w:rFonts w:ascii="宋体" w:eastAsia="宋体"/>
    </w:rPr>
  </w:style>
  <w:style w:type="paragraph" w:customStyle="1" w:styleId="218">
    <w:name w:val="标准文件_索引标题"/>
    <w:basedOn w:val="70"/>
    <w:next w:val="61"/>
    <w:qFormat/>
    <w:uiPriority w:val="0"/>
    <w:rPr>
      <w:rFonts w:hAnsi="黑体"/>
    </w:rPr>
  </w:style>
  <w:style w:type="paragraph" w:customStyle="1" w:styleId="219">
    <w:name w:val="标准文件_脚注内容"/>
    <w:basedOn w:val="61"/>
    <w:qFormat/>
    <w:uiPriority w:val="0"/>
    <w:pPr>
      <w:ind w:left="400" w:leftChars="200" w:hanging="200" w:hangingChars="200"/>
    </w:pPr>
    <w:rPr>
      <w:sz w:val="15"/>
    </w:rPr>
  </w:style>
  <w:style w:type="paragraph" w:customStyle="1" w:styleId="220">
    <w:name w:val="标准文件_术语条一"/>
    <w:basedOn w:val="162"/>
    <w:next w:val="61"/>
    <w:qFormat/>
    <w:uiPriority w:val="0"/>
  </w:style>
  <w:style w:type="paragraph" w:customStyle="1" w:styleId="221">
    <w:name w:val="标准文件_术语条二"/>
    <w:basedOn w:val="165"/>
    <w:next w:val="61"/>
    <w:qFormat/>
    <w:uiPriority w:val="0"/>
  </w:style>
  <w:style w:type="paragraph" w:customStyle="1" w:styleId="222">
    <w:name w:val="标准文件_术语条三"/>
    <w:basedOn w:val="164"/>
    <w:next w:val="61"/>
    <w:qFormat/>
    <w:uiPriority w:val="0"/>
  </w:style>
  <w:style w:type="paragraph" w:customStyle="1" w:styleId="223">
    <w:name w:val="标准文件_术语条四"/>
    <w:basedOn w:val="167"/>
    <w:next w:val="61"/>
    <w:qFormat/>
    <w:uiPriority w:val="0"/>
  </w:style>
  <w:style w:type="paragraph" w:customStyle="1" w:styleId="224">
    <w:name w:val="标准文件_术语条五"/>
    <w:basedOn w:val="163"/>
    <w:next w:val="61"/>
    <w:qFormat/>
    <w:uiPriority w:val="0"/>
  </w:style>
  <w:style w:type="paragraph" w:customStyle="1" w:styleId="22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styleId="226">
    <w:name w:val="Placeholder Text"/>
    <w:basedOn w:val="30"/>
    <w:semiHidden/>
    <w:qFormat/>
    <w:uiPriority w:val="99"/>
    <w:rPr>
      <w:color w:val="808080"/>
    </w:rPr>
  </w:style>
  <w:style w:type="character" w:customStyle="1" w:styleId="227">
    <w:name w:val="标准文件_发布"/>
    <w:qFormat/>
    <w:uiPriority w:val="0"/>
    <w:rPr>
      <w:rFonts w:hint="eastAsia" w:ascii="黑体" w:hAnsi="黑体" w:eastAsia="黑体"/>
      <w:spacing w:val="0"/>
      <w:w w:val="100"/>
      <w:position w:val="3"/>
      <w:sz w:val="28"/>
    </w:rPr>
  </w:style>
  <w:style w:type="character" w:customStyle="1" w:styleId="228">
    <w:name w:val="不明显参考1"/>
    <w:qFormat/>
    <w:uiPriority w:val="31"/>
    <w:rPr>
      <w:smallCaps/>
      <w:color w:val="C0504D"/>
      <w:u w:val="single"/>
    </w:rPr>
  </w:style>
  <w:style w:type="character" w:customStyle="1" w:styleId="229">
    <w:name w:val="标准文件_图表脚注内容"/>
    <w:qFormat/>
    <w:uiPriority w:val="0"/>
    <w:rPr>
      <w:rFonts w:hint="eastAsia" w:ascii="宋体" w:hAnsi="宋体" w:eastAsia="宋体" w:cs="Times New Roman"/>
      <w:spacing w:val="0"/>
      <w:sz w:val="18"/>
      <w:vertAlign w:val="superscript"/>
    </w:rPr>
  </w:style>
  <w:style w:type="character" w:customStyle="1" w:styleId="230">
    <w:name w:val="个人答复风格"/>
    <w:qFormat/>
    <w:uiPriority w:val="0"/>
    <w:rPr>
      <w:rFonts w:hint="default" w:ascii="Arial" w:hAnsi="Arial" w:eastAsia="宋体" w:cs="Arial"/>
      <w:color w:val="auto"/>
      <w:spacing w:val="0"/>
      <w:sz w:val="20"/>
    </w:rPr>
  </w:style>
  <w:style w:type="character" w:customStyle="1" w:styleId="231">
    <w:name w:val="个人撰写风格"/>
    <w:qFormat/>
    <w:uiPriority w:val="0"/>
    <w:rPr>
      <w:rFonts w:hint="default" w:ascii="Arial" w:hAnsi="Arial" w:eastAsia="宋体" w:cs="Arial"/>
      <w:color w:val="auto"/>
      <w:spacing w:val="0"/>
      <w:sz w:val="20"/>
    </w:rPr>
  </w:style>
  <w:style w:type="character" w:customStyle="1" w:styleId="232">
    <w:name w:val="标准文件_来源"/>
    <w:basedOn w:val="30"/>
    <w:qFormat/>
    <w:uiPriority w:val="1"/>
    <w:rPr>
      <w:rFonts w:hint="eastAsia" w:ascii="宋体" w:hAnsi="宋体" w:eastAsia="宋体"/>
      <w:sz w:val="21"/>
    </w:rPr>
  </w:style>
  <w:style w:type="character" w:customStyle="1" w:styleId="233">
    <w:name w:val="发布"/>
    <w:basedOn w:val="30"/>
    <w:qFormat/>
    <w:uiPriority w:val="0"/>
    <w:rPr>
      <w:rFonts w:hint="eastAsia" w:ascii="黑体" w:hAnsi="黑体" w:eastAsia="黑体"/>
      <w:spacing w:val="85"/>
      <w:w w:val="100"/>
      <w:position w:val="3"/>
      <w:sz w:val="28"/>
      <w:szCs w:val="28"/>
    </w:rPr>
  </w:style>
  <w:style w:type="character" w:customStyle="1" w:styleId="234">
    <w:name w:val="不明显参考11"/>
    <w:qFormat/>
    <w:uiPriority w:val="31"/>
    <w:rPr>
      <w:smallCaps/>
      <w:color w:val="C0504D"/>
      <w:u w:val="single"/>
    </w:rPr>
  </w:style>
  <w:style w:type="character" w:customStyle="1" w:styleId="235">
    <w:name w:val="apple-converted-space"/>
    <w:basedOn w:val="30"/>
    <w:qFormat/>
    <w:uiPriority w:val="0"/>
  </w:style>
  <w:style w:type="character" w:customStyle="1" w:styleId="236">
    <w:name w:val="批注文字 字符"/>
    <w:basedOn w:val="30"/>
    <w:link w:val="13"/>
    <w:semiHidden/>
    <w:qFormat/>
    <w:uiPriority w:val="99"/>
    <w:rPr>
      <w:kern w:val="2"/>
      <w:sz w:val="21"/>
      <w:szCs w:val="21"/>
    </w:rPr>
  </w:style>
  <w:style w:type="character" w:customStyle="1" w:styleId="237">
    <w:name w:val="批注主题 字符"/>
    <w:basedOn w:val="236"/>
    <w:link w:val="27"/>
    <w:semiHidden/>
    <w:qFormat/>
    <w:uiPriority w:val="99"/>
    <w:rPr>
      <w:b/>
      <w:bCs/>
      <w:kern w:val="2"/>
      <w:sz w:val="21"/>
      <w:szCs w:val="21"/>
    </w:rPr>
  </w:style>
  <w:style w:type="paragraph" w:customStyle="1" w:styleId="238">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1" Type="http://schemas.openxmlformats.org/officeDocument/2006/relationships/glossaryDocument" Target="glossary/document.xml"/><Relationship Id="rId40" Type="http://schemas.microsoft.com/office/2011/relationships/people" Target="people.xml"/><Relationship Id="rId4" Type="http://schemas.microsoft.com/office/2011/relationships/commentsExtended" Target="commentsExtended.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comments" Target="comment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Microsoft_Visio_2003-2010___2.vsd"/><Relationship Id="rId18" Type="http://schemas.openxmlformats.org/officeDocument/2006/relationships/image" Target="media/image3.png"/><Relationship Id="rId17" Type="http://schemas.openxmlformats.org/officeDocument/2006/relationships/image" Target="media/image2.emf"/><Relationship Id="rId16" Type="http://schemas.openxmlformats.org/officeDocument/2006/relationships/oleObject" Target="embeddings/Microsoft_Visio_2003-2010___1.vsd"/><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700;&#38754;\&#22320;&#26041;&#26631;&#20934;"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C5F6AD3F8F24CBF88055025E5F2AD85"/>
        <w:style w:val=""/>
        <w:category>
          <w:name w:val="常规"/>
          <w:gallery w:val="placeholder"/>
        </w:category>
        <w:types>
          <w:type w:val="bbPlcHdr"/>
        </w:types>
        <w:behaviors>
          <w:behavior w:val="content"/>
        </w:behaviors>
        <w:description w:val=""/>
        <w:guid w:val="{8703E43E-E3F5-4316-BC2A-A3BED914039F}"/>
      </w:docPartPr>
      <w:docPartBody>
        <w:p>
          <w:pPr>
            <w:pStyle w:val="5"/>
          </w:pPr>
          <w:r>
            <w:rPr>
              <w:rStyle w:val="4"/>
              <w:rFonts w:hint="eastAsia" w:asciiTheme="minorHAnsi" w:hAnsiTheme="minorHAnsi" w:eastAsiaTheme="minorEastAsia" w:cstheme="minorBidi"/>
              <w:kern w:val="2"/>
              <w:sz w:val="21"/>
              <w:szCs w:val="22"/>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480"/>
    <w:rsid w:val="00035B84"/>
    <w:rsid w:val="000D73E7"/>
    <w:rsid w:val="000F665F"/>
    <w:rsid w:val="00157E6D"/>
    <w:rsid w:val="00170262"/>
    <w:rsid w:val="002478D6"/>
    <w:rsid w:val="002D0A41"/>
    <w:rsid w:val="00335B5E"/>
    <w:rsid w:val="00484480"/>
    <w:rsid w:val="005247B1"/>
    <w:rsid w:val="0061771F"/>
    <w:rsid w:val="00746DA6"/>
    <w:rsid w:val="00857064"/>
    <w:rsid w:val="0096727A"/>
    <w:rsid w:val="0098092E"/>
    <w:rsid w:val="009A0184"/>
    <w:rsid w:val="009A0C9A"/>
    <w:rsid w:val="00A5446A"/>
    <w:rsid w:val="00AD0B29"/>
    <w:rsid w:val="00B955F1"/>
    <w:rsid w:val="00BD79B4"/>
    <w:rsid w:val="00D32A26"/>
    <w:rsid w:val="00DB12F9"/>
    <w:rsid w:val="00E520C1"/>
    <w:rsid w:val="00F27F51"/>
    <w:rsid w:val="00F40B36"/>
    <w:rsid w:val="00F8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style>
  <w:style w:type="paragraph" w:customStyle="1" w:styleId="5">
    <w:name w:val="FC5F6AD3F8F24CBF88055025E5F2AD85"/>
    <w:qFormat/>
    <w:uiPriority w:val="0"/>
    <w:rPr>
      <w:rFonts w:ascii="宋体" w:hAnsi="宋体" w:eastAsia="宋体" w:cs="宋体"/>
      <w:kern w:val="0"/>
      <w:sz w:val="24"/>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12B33-B35E-4FD9-A7BA-662DAC327EB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24</Pages>
  <Words>2620</Words>
  <Characters>14936</Characters>
  <Lines>124</Lines>
  <Paragraphs>35</Paragraphs>
  <TotalTime>20</TotalTime>
  <ScaleCrop>false</ScaleCrop>
  <LinksUpToDate>false</LinksUpToDate>
  <CharactersWithSpaces>17521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2023-11-22T04:42:00Z</dcterms:created>
  <dc:creator>admin</dc:creator>
  <dc:description>&lt;config cover="true" show_menu="true" version="1.0.0" doctype="SDKXY"&gt;_x000d_
&lt;/config&gt;</dc:description>
  <cp:lastModifiedBy>如果叶知道</cp:lastModifiedBy>
  <cp:lastPrinted>2020-08-30T10:00:00Z</cp:lastPrinted>
  <dcterms:modified xsi:type="dcterms:W3CDTF">2023-12-13T03:58:11Z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78679EA2456E4892A7CE5D32DFE7B7FA</vt:lpwstr>
  </property>
</Properties>
</file>