
<file path=[Content_Types].xml><?xml version="1.0" encoding="utf-8"?>
<Types xmlns="http://schemas.openxmlformats.org/package/2006/content-types">
  <Default Extension="xml" ContentType="application/xml"/>
  <Default Extension="tiff" ContentType="image/tif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p>
        </w:tc>
        <w:tc>
          <w:tcPr>
            <w:tcW w:w="8855" w:type="dxa"/>
          </w:tcPr>
          <w:p>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hint="eastAsia" w:ascii="黑体" w:hAnsi="黑体" w:eastAsia="黑体"/>
                <w:sz w:val="21"/>
                <w:szCs w:val="21"/>
              </w:rPr>
              <w:t>13.020.40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p>
        </w:tc>
        <w:tc>
          <w:tcPr>
            <w:tcW w:w="8855"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hint="eastAsia" w:ascii="黑体" w:hAnsi="黑体" w:eastAsia="黑体"/>
                <w:sz w:val="21"/>
                <w:szCs w:val="21"/>
              </w:rPr>
              <w:t>Z10</w:t>
            </w:r>
          </w:p>
        </w:tc>
      </w:tr>
    </w:tbl>
    <w:tbl>
      <w:tblPr>
        <w:tblStyle w:val="29"/>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2"/>
              <w:framePr w:w="0" w:hRule="auto" w:wrap="auto" w:vAnchor="margin" w:hAnchor="text" w:xAlign="left" w:yAlign="inline"/>
              <w:rPr>
                <w:rFonts w:ascii="宋体" w:hAnsi="宋体"/>
                <w:sz w:val="28"/>
                <w:szCs w:val="28"/>
              </w:rPr>
            </w:pPr>
            <w:bookmarkStart w:id="0"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fldChar w:fldCharType="begin">
                <w:ffData>
                  <w:name w:val="c1"/>
                  <w:enabled/>
                  <w:calcOnExit w:val="0"/>
                  <w:textInput>
                    <w:maxLength w:val="8"/>
                  </w:textInput>
                </w:ffData>
              </w:fldChar>
            </w:r>
            <w:bookmarkStart w:id="1" w:name="c1"/>
            <w:r>
              <w:instrText xml:space="preserve"> FORMTEXT </w:instrText>
            </w:r>
            <w:r>
              <w:fldChar w:fldCharType="separate"/>
            </w:r>
            <w:r>
              <w:rPr>
                <w:rFonts w:hint="eastAsia"/>
              </w:rPr>
              <w:t>32</w:t>
            </w:r>
            <w:r>
              <w:fldChar w:fldCharType="end"/>
            </w:r>
            <w:bookmarkEnd w:id="1"/>
          </w:p>
        </w:tc>
      </w:tr>
    </w:tbl>
    <w:p>
      <w:pPr>
        <w:pStyle w:val="53"/>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2"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2"/>
      <w:r>
        <w:rPr>
          <w:rFonts w:hint="eastAsia" w:ascii="黑体" w:hAnsi="黑体" w:eastAsia="黑体"/>
          <w:b w:val="0"/>
          <w:bCs w:val="0"/>
          <w:w w:val="100"/>
          <w:sz w:val="48"/>
          <w:szCs w:val="48"/>
        </w:rPr>
        <w:t>地方标准</w:t>
      </w:r>
    </w:p>
    <w:bookmarkEnd w:id="0"/>
    <w:p>
      <w:pPr>
        <w:pStyle w:val="198"/>
        <w:framePr/>
        <w:rPr>
          <w:lang w:val="fr-FR"/>
        </w:rPr>
      </w:pPr>
      <w:r>
        <w:rPr>
          <w:lang w:val="fr-FR"/>
        </w:rPr>
        <w:t>DB</w:t>
      </w:r>
      <w:r>
        <w:fldChar w:fldCharType="begin">
          <w:ffData>
            <w:name w:val="文字1"/>
            <w:enabled/>
            <w:calcOnExit w:val="0"/>
            <w:textInput>
              <w:default w:val="XX/T"/>
            </w:textInput>
          </w:ffData>
        </w:fldChar>
      </w:r>
      <w:bookmarkStart w:id="3" w:name="文字1"/>
      <w:r>
        <w:rPr>
          <w:lang w:val="fr-FR"/>
        </w:rPr>
        <w:instrText xml:space="preserve"> FORMTEXT </w:instrText>
      </w:r>
      <w:r>
        <w:fldChar w:fldCharType="separate"/>
      </w:r>
      <w:r>
        <w:rPr>
          <w:rFonts w:hint="eastAsia"/>
        </w:rPr>
        <w:t>32</w:t>
      </w:r>
      <w:r>
        <w:rPr>
          <w:lang w:val="fr-FR"/>
        </w:rPr>
        <w:t>/T</w:t>
      </w:r>
      <w:r>
        <w:fldChar w:fldCharType="end"/>
      </w:r>
      <w:bookmarkEnd w:id="3"/>
      <w:r>
        <w:fldChar w:fldCharType="begin">
          <w:ffData>
            <w:name w:val="NSTD_CODE_F"/>
            <w:enabled/>
            <w:calcOnExit w:val="0"/>
            <w:textInput>
              <w:default w:val="XXXX"/>
            </w:textInput>
          </w:ffData>
        </w:fldChar>
      </w:r>
      <w:bookmarkStart w:id="4" w:name="NSTD_CODE_F"/>
      <w:r>
        <w:rPr>
          <w:lang w:val="fr-FR"/>
        </w:rPr>
        <w:instrText xml:space="preserve"> FORMTEXT </w:instrText>
      </w:r>
      <w:r>
        <w:fldChar w:fldCharType="separate"/>
      </w:r>
      <w:r>
        <w:rPr>
          <w:lang w:val="fr-FR"/>
        </w:rPr>
        <w:t>XXXX</w:t>
      </w:r>
      <w:r>
        <w:fldChar w:fldCharType="end"/>
      </w:r>
      <w:bookmarkEnd w:id="4"/>
      <w:r>
        <w:rPr>
          <w:rFonts w:hAnsi="黑体"/>
          <w:lang w:val="fr-FR"/>
        </w:rPr>
        <w:t>—</w:t>
      </w:r>
      <w:r>
        <w:fldChar w:fldCharType="begin">
          <w:ffData>
            <w:name w:val="NSTD_CODE_B"/>
            <w:enabled/>
            <w:calcOnExit w:val="0"/>
            <w:textInput>
              <w:default w:val="XXXX"/>
            </w:textInput>
          </w:ffData>
        </w:fldChar>
      </w:r>
      <w:bookmarkStart w:id="5" w:name="NSTD_CODE_B"/>
      <w:r>
        <w:rPr>
          <w:lang w:val="fr-FR"/>
        </w:rPr>
        <w:instrText xml:space="preserve"> FORMTEXT </w:instrText>
      </w:r>
      <w:r>
        <w:fldChar w:fldCharType="separate"/>
      </w:r>
      <w:r>
        <w:rPr>
          <w:lang w:val="fr-FR"/>
        </w:rPr>
        <w:t>XXXX</w:t>
      </w:r>
      <w:r>
        <w:fldChar w:fldCharType="end"/>
      </w:r>
      <w:bookmarkEnd w:id="5"/>
    </w:p>
    <w:p>
      <w:pPr>
        <w:pStyle w:val="199"/>
        <w:framePr/>
        <w:rPr>
          <w:rFonts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6"/>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eD&#10;SZbYAAAADAEAAA8AAAAAAAAAAQAgAAAAIgAAAGRycy9kb3ducmV2LnhtbFBLAQIUABQAAAAIAIdO&#10;4kDurh1R6gEAALoDAAAOAAAAAAAAAAEAIAAAACcBAABkcnMvZTJvRG9jLnhtbFBLBQYAAAAABgAG&#10;AFkBAACDBQAAAAA=&#10;">
                <v:fill on="f" focussize="0,0"/>
                <v:stroke color="#000000" joinstyle="round"/>
                <v:imagedata o:title=""/>
                <o:lock v:ext="edit" aspectratio="f"/>
              </v:line>
            </w:pict>
          </mc:Fallback>
        </mc:AlternateContent>
      </w:r>
    </w:p>
    <w:p>
      <w:pPr>
        <w:pStyle w:val="53"/>
        <w:framePr w:w="9639" w:h="6976" w:hRule="exact" w:hSpace="0" w:vSpace="0" w:wrap="around" w:hAnchor="page" w:y="6408"/>
        <w:jc w:val="center"/>
        <w:rPr>
          <w:rFonts w:ascii="黑体" w:hAnsi="黑体" w:eastAsia="黑体"/>
          <w:b w:val="0"/>
          <w:bCs w:val="0"/>
          <w:w w:val="100"/>
        </w:rPr>
      </w:pPr>
    </w:p>
    <w:p>
      <w:pPr>
        <w:pStyle w:val="200"/>
        <w:framePr w:h="6974" w:hRule="exact" w:wrap="around" w:x="1419" w:anchorLock="1"/>
      </w:pPr>
      <w:r>
        <w:rPr>
          <w:rFonts w:hint="eastAsia"/>
        </w:rPr>
        <w:t>污染源</w:t>
      </w:r>
      <w:r>
        <w:t>视频监控系统</w:t>
      </w:r>
      <w:r>
        <w:rPr>
          <w:rFonts w:hint="eastAsia"/>
        </w:rPr>
        <w:t>建设</w:t>
      </w:r>
      <w:r>
        <w:t>规范</w:t>
      </w:r>
    </w:p>
    <w:p>
      <w:pPr>
        <w:framePr w:w="9639" w:h="6974" w:hRule="exact" w:wrap="around" w:vAnchor="page" w:hAnchor="page" w:x="1419" w:y="6408" w:anchorLock="1"/>
        <w:ind w:left="-1418"/>
      </w:pPr>
    </w:p>
    <w:p>
      <w:pPr>
        <w:pStyle w:val="128"/>
        <w:framePr w:w="9639" w:h="6974" w:hRule="exact" w:wrap="around" w:vAnchor="page" w:hAnchor="page" w:x="1419" w:y="6408" w:anchorLock="1"/>
        <w:textAlignment w:val="bottom"/>
        <w:rPr>
          <w:rFonts w:eastAsia="黑体"/>
          <w:szCs w:val="28"/>
        </w:rPr>
      </w:pPr>
      <w:r>
        <w:rPr>
          <w:rFonts w:eastAsia="黑体"/>
          <w:szCs w:val="28"/>
        </w:rPr>
        <w:t>Specification for the Construction of Video Monitoring System for Pollution Sources</w:t>
      </w:r>
    </w:p>
    <w:p>
      <w:pPr>
        <w:framePr w:w="9639" w:h="6974" w:hRule="exact" w:wrap="around" w:vAnchor="page" w:hAnchor="page" w:x="1419" w:y="6408" w:anchorLock="1"/>
        <w:spacing w:line="760" w:lineRule="exact"/>
        <w:ind w:left="-1418"/>
      </w:pPr>
    </w:p>
    <w:p>
      <w:pPr>
        <w:pStyle w:val="128"/>
        <w:framePr w:w="9639" w:h="6974" w:hRule="exact" w:wrap="around" w:vAnchor="page" w:hAnchor="page" w:x="1419" w:y="6408" w:anchorLock="1"/>
        <w:textAlignment w:val="bottom"/>
        <w:rPr>
          <w:rFonts w:eastAsia="黑体"/>
          <w:szCs w:val="28"/>
        </w:rPr>
      </w:pPr>
    </w:p>
    <w:p>
      <w:pPr>
        <w:pStyle w:val="128"/>
        <w:framePr w:w="9639" w:h="6974" w:hRule="exact" w:wrap="around" w:vAnchor="page" w:hAnchor="page" w:x="1419" w:y="6408" w:anchorLock="1"/>
        <w:spacing w:before="440" w:after="160"/>
        <w:textAlignment w:val="bottom"/>
        <w:rPr>
          <w:sz w:val="24"/>
          <w:szCs w:val="28"/>
        </w:rPr>
      </w:pPr>
      <w:r>
        <w:rPr>
          <w:rFonts w:hint="eastAsia"/>
          <w:sz w:val="24"/>
          <w:szCs w:val="28"/>
        </w:rPr>
        <w:t>（</w:t>
      </w:r>
      <w:r>
        <w:rPr>
          <w:rFonts w:hint="eastAsia"/>
          <w:sz w:val="24"/>
          <w:szCs w:val="28"/>
          <w:lang w:val="en-US" w:eastAsia="zh-CN"/>
        </w:rPr>
        <w:t>报批稿</w:t>
      </w:r>
      <w:r>
        <w:rPr>
          <w:rFonts w:hint="eastAsia"/>
          <w:sz w:val="24"/>
          <w:szCs w:val="28"/>
        </w:rPr>
        <w:t>）</w:t>
      </w:r>
    </w:p>
    <w:p>
      <w:pPr>
        <w:pStyle w:val="12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7"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7"/>
    </w:p>
    <w:p>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8" w:name="下拉2"/>
      <w:r>
        <w:rPr>
          <w:b/>
          <w:sz w:val="21"/>
          <w:szCs w:val="28"/>
        </w:rPr>
        <w:instrText xml:space="preserve"> FORMDROPDOWN </w:instrText>
      </w:r>
      <w:r>
        <w:rPr>
          <w:b/>
          <w:sz w:val="21"/>
          <w:szCs w:val="28"/>
        </w:rPr>
        <w:fldChar w:fldCharType="separate"/>
      </w:r>
      <w:r>
        <w:rPr>
          <w:b/>
          <w:sz w:val="21"/>
          <w:szCs w:val="28"/>
        </w:rPr>
        <w:fldChar w:fldCharType="end"/>
      </w:r>
      <w:bookmarkEnd w:id="8"/>
    </w:p>
    <w:p>
      <w:pPr>
        <w:pStyle w:val="196"/>
        <w:framePr w:wrap="around" w:y="14176"/>
      </w:pPr>
      <w:r>
        <w:rPr>
          <w:rFonts w:ascii="黑体"/>
        </w:rPr>
        <w:t>2022-</w:t>
      </w:r>
      <w:r>
        <w:rPr>
          <w:rFonts w:ascii="黑体"/>
        </w:rPr>
        <w:fldChar w:fldCharType="begin">
          <w:ffData>
            <w:name w:val="PLSH_DATE_M"/>
            <w:enabled/>
            <w:calcOnExit w:val="0"/>
            <w:textInput>
              <w:default w:val="XX"/>
              <w:maxLength w:val="2"/>
            </w:textInput>
          </w:ffData>
        </w:fldChar>
      </w:r>
      <w:bookmarkStart w:id="9"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9"/>
      <w:r>
        <w:rPr>
          <w:rFonts w:ascii="黑体"/>
        </w:rPr>
        <w:t>-</w:t>
      </w:r>
      <w:r>
        <w:rPr>
          <w:rFonts w:ascii="黑体"/>
        </w:rPr>
        <w:fldChar w:fldCharType="begin">
          <w:ffData>
            <w:name w:val="PLSH_DATE_D"/>
            <w:enabled/>
            <w:calcOnExit w:val="0"/>
            <w:textInput>
              <w:default w:val="XX"/>
              <w:maxLength w:val="2"/>
            </w:textInput>
          </w:ffData>
        </w:fldChar>
      </w:r>
      <w:bookmarkStart w:id="10"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0"/>
      <w:r>
        <w:rPr>
          <w:rFonts w:hint="eastAsia"/>
        </w:rPr>
        <w:t>发布</w:t>
      </w:r>
    </w:p>
    <w:p>
      <w:pPr>
        <w:pStyle w:val="197"/>
        <w:framePr w:wrap="around" w:y="14176"/>
      </w:pPr>
      <w:r>
        <w:rPr>
          <w:rFonts w:ascii="黑体"/>
        </w:rPr>
        <w:t>2022-</w:t>
      </w:r>
      <w:r>
        <w:rPr>
          <w:rFonts w:ascii="黑体"/>
        </w:rPr>
        <w:fldChar w:fldCharType="begin">
          <w:ffData>
            <w:name w:val="CROT_DATE_M"/>
            <w:enabled/>
            <w:calcOnExit w:val="0"/>
            <w:textInput>
              <w:default w:val="XX"/>
              <w:maxLength w:val="2"/>
            </w:textInput>
          </w:ffData>
        </w:fldChar>
      </w:r>
      <w:bookmarkStart w:id="11"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rPr>
          <w:rFonts w:ascii="黑体"/>
        </w:rPr>
        <w:t>-</w:t>
      </w:r>
      <w:r>
        <w:rPr>
          <w:rFonts w:ascii="黑体"/>
        </w:rPr>
        <w:fldChar w:fldCharType="begin">
          <w:ffData>
            <w:name w:val="CROT_DATE_D"/>
            <w:enabled/>
            <w:calcOnExit w:val="0"/>
            <w:textInput>
              <w:default w:val="XX"/>
              <w:maxLength w:val="2"/>
            </w:textInput>
          </w:ffData>
        </w:fldChar>
      </w:r>
      <w:bookmarkStart w:id="12"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2"/>
      <w:r>
        <w:rPr>
          <w:rFonts w:hint="eastAsia"/>
        </w:rPr>
        <w:t>实施</w:t>
      </w:r>
    </w:p>
    <w:p>
      <w:pPr>
        <w:pStyle w:val="154"/>
        <w:framePr w:h="584" w:hRule="exact" w:hSpace="181" w:vSpace="181" w:wrap="around" w:y="15027"/>
        <w:rPr>
          <w:rFonts w:hAnsi="黑体"/>
        </w:rPr>
      </w:pPr>
      <w:bookmarkStart w:id="13" w:name="_Hlk89788198"/>
      <w:r>
        <w:rPr>
          <w:rFonts w:hint="eastAsia" w:hAnsi="黑体"/>
          <w:w w:val="100"/>
          <w:sz w:val="28"/>
        </w:rPr>
        <w:t>江苏省市场监督管理局</w:t>
      </w:r>
      <w:bookmarkEnd w:id="13"/>
      <w:r>
        <w:rPr>
          <w:rFonts w:hAnsi="黑体"/>
          <w:w w:val="100"/>
          <w:szCs w:val="36"/>
        </w:rPr>
        <w:t>  </w:t>
      </w:r>
      <w:r>
        <w:rPr>
          <w:rStyle w:val="232"/>
          <w:rFonts w:hint="eastAsia" w:hAnsi="黑体"/>
          <w:spacing w:val="0"/>
          <w:position w:val="0"/>
        </w:rPr>
        <w:t>发 布</w:t>
      </w:r>
    </w:p>
    <w:p>
      <w:pPr>
        <w:rPr>
          <w:rFonts w:ascii="宋体" w:hAnsi="宋体"/>
          <w:sz w:val="28"/>
          <w:szCs w:val="28"/>
        </w:rPr>
        <w:sectPr>
          <w:headerReference r:id="rId8" w:type="first"/>
          <w:footerReference r:id="rId10" w:type="first"/>
          <w:headerReference r:id="rId7" w:type="default"/>
          <w:footerReference r:id="rId9" w:type="even"/>
          <w:type w:val="continuous"/>
          <w:pgSz w:w="11906" w:h="16838"/>
          <w:pgMar w:top="-338" w:right="1134" w:bottom="1021" w:left="1134" w:header="0" w:footer="0" w:gutter="284"/>
          <w:cols w:space="425" w:num="1"/>
          <w:titlePg/>
          <w:docGrid w:linePitch="312" w:charSpace="0"/>
        </w:sectPr>
      </w:pPr>
      <w:r>
        <w:rPr>
          <w:rFonts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B3&#10;Ymi56AEAALgDAAAOAAAAAAAAAAEAIAAAACYBAABkcnMvZTJvRG9jLnhtbFBLBQYAAAAABgAGAFkB&#10;AACABQAAAAA=&#10;">
                <v:fill on="f" focussize="0,0"/>
                <v:stroke color="#000000" joinstyle="round"/>
                <v:imagedata o:title=""/>
                <o:lock v:ext="edit" aspectratio="f"/>
                <w10:anchorlock/>
              </v:line>
            </w:pict>
          </mc:Fallback>
        </mc:AlternateContent>
      </w:r>
    </w:p>
    <w:p>
      <w:pPr>
        <w:pStyle w:val="94"/>
        <w:spacing w:after="468"/>
      </w:pPr>
      <w:bookmarkStart w:id="14" w:name="BookMark1"/>
      <w:r>
        <w:rPr>
          <w:rFonts w:hint="eastAsia"/>
          <w:spacing w:val="320"/>
        </w:rPr>
        <w:t>目</w:t>
      </w:r>
      <w:r>
        <w:rPr>
          <w:rFonts w:hint="eastAsia"/>
        </w:rPr>
        <w:t>次</w:t>
      </w:r>
    </w:p>
    <w:p>
      <w:pPr>
        <w:pStyle w:val="20"/>
        <w:tabs>
          <w:tab w:val="right" w:leader="dot" w:pos="9344"/>
        </w:tabs>
        <w:rPr>
          <w:rFonts w:asciiTheme="minorHAnsi" w:hAnsiTheme="minorHAnsi" w:eastAsiaTheme="minorEastAsia" w:cstheme="minorBidi"/>
          <w:szCs w:val="22"/>
        </w:rPr>
      </w:pPr>
      <w:r>
        <w:fldChar w:fldCharType="begin"/>
      </w:r>
      <w:r>
        <w:instrText xml:space="preserve"> TOC \o "1-1" \h </w:instrText>
      </w:r>
      <w:r>
        <w:fldChar w:fldCharType="separate"/>
      </w:r>
      <w:r>
        <w:fldChar w:fldCharType="begin"/>
      </w:r>
      <w:r>
        <w:instrText xml:space="preserve"> HYPERLINK \l "_Toc80988875" </w:instrText>
      </w:r>
      <w:r>
        <w:fldChar w:fldCharType="separate"/>
      </w:r>
      <w:r>
        <w:rPr>
          <w:rStyle w:val="34"/>
          <w:spacing w:val="320"/>
        </w:rPr>
        <w:t>前</w:t>
      </w:r>
      <w:r>
        <w:rPr>
          <w:rStyle w:val="34"/>
        </w:rPr>
        <w:t>言</w:t>
      </w:r>
      <w:r>
        <w:tab/>
      </w:r>
      <w:r>
        <w:fldChar w:fldCharType="end"/>
      </w:r>
      <w:r>
        <w:rPr>
          <w:rFonts w:hint="eastAsia"/>
        </w:rPr>
        <w:t>1</w:t>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"_Toc80988876" </w:instrText>
      </w:r>
      <w:r>
        <w:fldChar w:fldCharType="separate"/>
      </w:r>
      <w:r>
        <w:rPr>
          <w:rStyle w:val="34"/>
        </w:rPr>
        <w:t>1 范围</w:t>
      </w:r>
      <w:r>
        <w:tab/>
      </w:r>
      <w:r>
        <w:t>2</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"_Toc80988877" </w:instrText>
      </w:r>
      <w:r>
        <w:fldChar w:fldCharType="separate"/>
      </w:r>
      <w:r>
        <w:rPr>
          <w:rStyle w:val="34"/>
        </w:rPr>
        <w:t>2 规范性引用文件</w:t>
      </w:r>
      <w:r>
        <w:tab/>
      </w:r>
      <w:r>
        <w:t>2</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"_Toc80988878" </w:instrText>
      </w:r>
      <w:r>
        <w:fldChar w:fldCharType="separate"/>
      </w:r>
      <w:r>
        <w:rPr>
          <w:rStyle w:val="34"/>
        </w:rPr>
        <w:t>3 术语和定义</w:t>
      </w:r>
      <w:r>
        <w:tab/>
      </w:r>
      <w:r>
        <w:t>2</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"_Toc80988879" </w:instrText>
      </w:r>
      <w:r>
        <w:fldChar w:fldCharType="separate"/>
      </w:r>
      <w:r>
        <w:rPr>
          <w:rStyle w:val="34"/>
        </w:rPr>
        <w:t>4 建设要求</w:t>
      </w:r>
      <w:r>
        <w:tab/>
      </w:r>
      <w:r>
        <w:t>3</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"_Toc80988880" </w:instrText>
      </w:r>
      <w:r>
        <w:fldChar w:fldCharType="separate"/>
      </w:r>
      <w:r>
        <w:rPr>
          <w:rStyle w:val="34"/>
        </w:rPr>
        <w:t>5 总体架构</w:t>
      </w:r>
      <w:r>
        <w:tab/>
      </w:r>
      <w:r>
        <w:t>4</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"_Toc80988881" </w:instrText>
      </w:r>
      <w:r>
        <w:fldChar w:fldCharType="separate"/>
      </w:r>
      <w:r>
        <w:rPr>
          <w:rStyle w:val="34"/>
        </w:rPr>
        <w:t>6 监控点位及摄像头</w:t>
      </w:r>
      <w:r>
        <w:rPr>
          <w:rStyle w:val="34"/>
          <w:rFonts w:hint="eastAsia"/>
        </w:rPr>
        <w:t>部署</w:t>
      </w:r>
      <w:r>
        <w:rPr>
          <w:rStyle w:val="34"/>
        </w:rPr>
        <w:t>要求</w:t>
      </w:r>
      <w:r>
        <w:tab/>
      </w:r>
      <w:r>
        <w:t>5</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"_Toc80988882" </w:instrText>
      </w:r>
      <w:r>
        <w:fldChar w:fldCharType="separate"/>
      </w:r>
      <w:r>
        <w:rPr>
          <w:rStyle w:val="34"/>
        </w:rPr>
        <w:t>7 设备要求</w:t>
      </w:r>
      <w:r>
        <w:tab/>
      </w:r>
      <w:r>
        <w:t>6</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"_Toc80988883" </w:instrText>
      </w:r>
      <w:r>
        <w:fldChar w:fldCharType="separate"/>
      </w:r>
      <w:r>
        <w:rPr>
          <w:rStyle w:val="34"/>
        </w:rPr>
        <w:t>8 安装、联网、验收和维护</w:t>
      </w:r>
      <w:r>
        <w:tab/>
      </w:r>
      <w:r>
        <w:t>7</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"_Toc80988884" </w:instrText>
      </w:r>
      <w:r>
        <w:fldChar w:fldCharType="separate"/>
      </w:r>
      <w:r>
        <w:rPr>
          <w:rStyle w:val="34"/>
        </w:rPr>
        <w:t>9 编址、命名和编码</w:t>
      </w:r>
      <w:r>
        <w:tab/>
      </w:r>
      <w:r>
        <w:t>8</w:t>
      </w:r>
      <w:r>
        <w:fldChar w:fldCharType="end"/>
      </w:r>
    </w:p>
    <w:p>
      <w:pPr>
        <w:pStyle w:val="94"/>
        <w:spacing w:after="468"/>
        <w:sectPr>
          <w:headerReference r:id="rId11" w:type="default"/>
          <w:footerReference r:id="rId13" w:type="default"/>
          <w:headerReference r:id="rId12" w:type="even"/>
          <w:pgSz w:w="11906" w:h="16838"/>
          <w:pgMar w:top="2410" w:right="1134" w:bottom="1134" w:left="1134" w:header="1418" w:footer="1134" w:gutter="284"/>
          <w:pgNumType w:fmt="upperRoman" w:start="1"/>
          <w:cols w:space="425" w:num="1"/>
          <w:formProt w:val="0"/>
          <w:docGrid w:type="lines" w:linePitch="312" w:charSpace="0"/>
        </w:sectPr>
      </w:pPr>
      <w:r>
        <w:fldChar w:fldCharType="end"/>
      </w:r>
      <w:bookmarkStart w:id="44" w:name="_GoBack"/>
      <w:bookmarkEnd w:id="44"/>
    </w:p>
    <w:bookmarkEnd w:id="14"/>
    <w:p>
      <w:pPr>
        <w:pStyle w:val="92"/>
        <w:spacing w:after="468"/>
      </w:pPr>
      <w:bookmarkStart w:id="15" w:name="_Toc80988875"/>
      <w:bookmarkStart w:id="16" w:name="BookMark2"/>
      <w:r>
        <w:rPr>
          <w:spacing w:val="320"/>
        </w:rPr>
        <w:t>前</w:t>
      </w:r>
      <w:r>
        <w:t>言</w:t>
      </w:r>
      <w:bookmarkEnd w:id="15"/>
    </w:p>
    <w:p>
      <w:pPr>
        <w:pStyle w:val="59"/>
        <w:ind w:firstLine="420"/>
        <w:rPr>
          <w:rFonts w:ascii="Times New Roman"/>
        </w:rPr>
      </w:pPr>
      <w:r>
        <w:rPr>
          <w:rFonts w:ascii="Times New Roman"/>
        </w:rPr>
        <w:t>本文件按照GB/T 1.1—2020《标准化工作导则  第1部分：标准化文件的结构和起草规则》的规定起草。</w:t>
      </w:r>
    </w:p>
    <w:p>
      <w:pPr>
        <w:pStyle w:val="59"/>
        <w:ind w:firstLine="420"/>
        <w:rPr>
          <w:rFonts w:ascii="Times New Roman"/>
        </w:rPr>
      </w:pPr>
      <w:r>
        <w:rPr>
          <w:rFonts w:ascii="Times New Roman"/>
        </w:rPr>
        <w:t>请注意本文件的某些内容可能涉及专利。本文件的发布机构不承担识别专利的责任。</w:t>
      </w:r>
    </w:p>
    <w:p>
      <w:pPr>
        <w:pStyle w:val="59"/>
        <w:ind w:firstLine="420"/>
        <w:rPr>
          <w:rFonts w:ascii="Times New Roman"/>
        </w:rPr>
      </w:pPr>
      <w:r>
        <w:rPr>
          <w:rFonts w:ascii="Times New Roman"/>
        </w:rPr>
        <w:t>本文件由江苏省生态环境厅提出</w:t>
      </w:r>
      <w:r>
        <w:rPr>
          <w:rFonts w:hint="eastAsia" w:ascii="Times New Roman"/>
        </w:rPr>
        <w:t>并归口</w:t>
      </w:r>
      <w:r>
        <w:rPr>
          <w:rFonts w:ascii="Times New Roman"/>
        </w:rPr>
        <w:t>。</w:t>
      </w:r>
    </w:p>
    <w:p>
      <w:pPr>
        <w:pStyle w:val="59"/>
        <w:ind w:firstLine="420"/>
        <w:rPr>
          <w:rFonts w:ascii="Times New Roman"/>
        </w:rPr>
      </w:pPr>
      <w:r>
        <w:rPr>
          <w:rFonts w:ascii="Times New Roman"/>
        </w:rPr>
        <w:t>本文件起草单位：南京工业大学</w:t>
      </w:r>
      <w:r>
        <w:rPr>
          <w:rFonts w:hint="eastAsia" w:ascii="Times New Roman"/>
        </w:rPr>
        <w:t>、江苏省生态环境监控中心</w:t>
      </w:r>
      <w:r>
        <w:rPr>
          <w:rFonts w:ascii="Times New Roman"/>
        </w:rPr>
        <w:t>。</w:t>
      </w:r>
    </w:p>
    <w:p>
      <w:pPr>
        <w:pStyle w:val="59"/>
        <w:ind w:firstLine="420"/>
        <w:rPr>
          <w:rFonts w:ascii="Times New Roman"/>
        </w:rPr>
      </w:pPr>
      <w:r>
        <w:rPr>
          <w:rFonts w:ascii="Times New Roman"/>
        </w:rPr>
        <w:t>本文件主要起草人：</w:t>
      </w:r>
      <w:r>
        <w:rPr>
          <w:rFonts w:hint="eastAsia" w:ascii="Times New Roman"/>
        </w:rPr>
        <w:t>俞辉、周进、喻果、黄书华、沈燕飞、薄翠梅、高世达、彭岳、 张贺、赵涛、常璐璐、周通、张梦怡、何文敏、郝培华、谈怡君、丁园、徐启，李为相、郇洪江、黎刚、吴昌子、李俊、张泉灵、张登峰。</w:t>
      </w:r>
    </w:p>
    <w:p>
      <w:pPr>
        <w:pStyle w:val="59"/>
        <w:ind w:firstLine="420"/>
        <w:rPr>
          <w:rFonts w:ascii="Times New Roman"/>
        </w:rPr>
      </w:pPr>
    </w:p>
    <w:p>
      <w:pPr>
        <w:pStyle w:val="59"/>
        <w:ind w:firstLine="420"/>
        <w:rPr>
          <w:rFonts w:ascii="Times New Roman"/>
        </w:rPr>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p>
    <w:bookmarkEnd w:id="16"/>
    <w:p>
      <w:pPr>
        <w:spacing w:line="20" w:lineRule="exact"/>
        <w:jc w:val="center"/>
        <w:rPr>
          <w:rFonts w:ascii="黑体" w:hAnsi="黑体" w:eastAsia="黑体"/>
          <w:sz w:val="32"/>
          <w:szCs w:val="32"/>
        </w:rPr>
      </w:pPr>
      <w:bookmarkStart w:id="17" w:name="BookMark4"/>
    </w:p>
    <w:p>
      <w:pPr>
        <w:spacing w:line="20" w:lineRule="exact"/>
        <w:jc w:val="center"/>
        <w:rPr>
          <w:rFonts w:ascii="黑体" w:hAnsi="黑体" w:eastAsia="黑体"/>
          <w:sz w:val="32"/>
          <w:szCs w:val="32"/>
        </w:rPr>
      </w:pPr>
    </w:p>
    <w:sdt>
      <w:sdtPr>
        <w:tag w:val="NEW_STAND_NAME"/>
        <w:id w:val="595910757"/>
        <w:lock w:val="sdtLocked"/>
        <w:placeholder>
          <w:docPart w:val="A5F0BFAA106046F6A44EA427BB31BF3D"/>
        </w:placeholder>
      </w:sdtPr>
      <w:sdtContent>
        <w:p>
          <w:pPr>
            <w:pStyle w:val="180"/>
            <w:spacing w:before="3" w:beforeLines="1" w:after="686" w:afterLines="220"/>
          </w:pPr>
          <w:bookmarkStart w:id="18" w:name="NEW_STAND_NAME"/>
          <w:r>
            <w:rPr>
              <w:rFonts w:hint="eastAsia"/>
            </w:rPr>
            <w:t>污染源视频监控系统建设规范</w:t>
          </w:r>
        </w:p>
      </w:sdtContent>
    </w:sdt>
    <w:bookmarkEnd w:id="18"/>
    <w:p>
      <w:pPr>
        <w:pStyle w:val="107"/>
        <w:spacing w:before="312" w:after="312"/>
      </w:pPr>
      <w:bookmarkStart w:id="19" w:name="_Toc17233325"/>
      <w:bookmarkStart w:id="20" w:name="_Toc24884218"/>
      <w:bookmarkStart w:id="21" w:name="_Toc26718930"/>
      <w:bookmarkStart w:id="22" w:name="_Toc26648465"/>
      <w:bookmarkStart w:id="23" w:name="_Toc26986771"/>
      <w:bookmarkStart w:id="24" w:name="_Toc24884211"/>
      <w:bookmarkStart w:id="25" w:name="_Toc17233333"/>
      <w:bookmarkStart w:id="26" w:name="_Toc80988876"/>
      <w:bookmarkStart w:id="27" w:name="_Toc26986530"/>
      <w:r>
        <w:rPr>
          <w:rFonts w:hint="eastAsia"/>
        </w:rPr>
        <w:t>范围</w:t>
      </w:r>
      <w:bookmarkEnd w:id="19"/>
      <w:bookmarkEnd w:id="20"/>
      <w:bookmarkEnd w:id="21"/>
      <w:bookmarkEnd w:id="22"/>
      <w:bookmarkEnd w:id="23"/>
      <w:bookmarkEnd w:id="24"/>
      <w:bookmarkEnd w:id="25"/>
      <w:bookmarkEnd w:id="26"/>
      <w:bookmarkEnd w:id="27"/>
    </w:p>
    <w:p>
      <w:pPr>
        <w:pStyle w:val="59"/>
        <w:ind w:firstLine="420"/>
      </w:pPr>
      <w:bookmarkStart w:id="28" w:name="_Toc24884212"/>
      <w:bookmarkStart w:id="29" w:name="_Toc17233326"/>
      <w:bookmarkStart w:id="30" w:name="_Toc17233334"/>
      <w:bookmarkStart w:id="31" w:name="_Toc24884219"/>
      <w:bookmarkStart w:id="32" w:name="_Toc26648466"/>
      <w:r>
        <w:rPr>
          <w:rFonts w:hint="eastAsia"/>
        </w:rPr>
        <w:t>本文件规定了污染源自动监控系统中视频监控系统的总体架构，对视频监控点位及摄像头安装、设备选型、安装等方做出要求。</w:t>
      </w:r>
    </w:p>
    <w:p>
      <w:pPr>
        <w:pStyle w:val="59"/>
        <w:ind w:firstLine="420"/>
      </w:pPr>
      <w:r>
        <w:rPr>
          <w:rFonts w:hint="eastAsia"/>
        </w:rPr>
        <w:t>本文件适用于各污染源排放企业</w:t>
      </w:r>
      <w:r>
        <w:rPr>
          <w:rFonts w:hint="eastAsia" w:hAnsi="宋体"/>
          <w:szCs w:val="24"/>
        </w:rPr>
        <w:t>污染源监测站房、废水排口、治理设施、大气无组织排放点及大气有组织排放点的视频</w:t>
      </w:r>
      <w:r>
        <w:rPr>
          <w:rFonts w:hint="eastAsia"/>
        </w:rPr>
        <w:t>监控系统的建设。</w:t>
      </w:r>
    </w:p>
    <w:p>
      <w:pPr>
        <w:pStyle w:val="107"/>
        <w:spacing w:before="312" w:after="312"/>
      </w:pPr>
      <w:bookmarkStart w:id="33" w:name="_Toc26986772"/>
      <w:bookmarkStart w:id="34" w:name="_Toc26986531"/>
      <w:bookmarkStart w:id="35" w:name="_Toc26718931"/>
      <w:bookmarkStart w:id="36" w:name="_Toc80988877"/>
      <w:r>
        <w:rPr>
          <w:rFonts w:hint="eastAsia"/>
        </w:rPr>
        <w:t>规范性引用文件</w:t>
      </w:r>
      <w:bookmarkEnd w:id="28"/>
      <w:bookmarkEnd w:id="29"/>
      <w:bookmarkEnd w:id="30"/>
      <w:bookmarkEnd w:id="31"/>
      <w:bookmarkEnd w:id="32"/>
      <w:bookmarkEnd w:id="33"/>
      <w:bookmarkEnd w:id="34"/>
      <w:bookmarkEnd w:id="35"/>
      <w:bookmarkEnd w:id="36"/>
    </w:p>
    <w:sdt>
      <w:sdtPr>
        <w:rPr>
          <w:rFonts w:hint="eastAsia"/>
        </w:rPr>
        <w:id w:val="715848253"/>
        <w:placeholder>
          <w:docPart w:val="FD0B3A645B0640D5BC51DCEA8574E93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9"/>
        <w:ind w:firstLine="420"/>
      </w:pPr>
      <w:r>
        <w:rPr>
          <w:rFonts w:hint="eastAsia"/>
        </w:rPr>
        <w:t>GB 50348</w:t>
      </w:r>
      <w:r>
        <w:t xml:space="preserve"> </w:t>
      </w:r>
      <w:r>
        <w:rPr>
          <w:rFonts w:hint="eastAsia"/>
        </w:rPr>
        <w:t>安全防范工程技术规范</w:t>
      </w:r>
    </w:p>
    <w:p>
      <w:pPr>
        <w:pStyle w:val="59"/>
        <w:ind w:firstLine="420"/>
      </w:pPr>
      <w:r>
        <w:rPr>
          <w:rFonts w:hint="eastAsia"/>
        </w:rPr>
        <w:t>GB 50395-2007 视频安防监控系统工程设计规范</w:t>
      </w:r>
    </w:p>
    <w:p>
      <w:pPr>
        <w:pStyle w:val="59"/>
        <w:ind w:firstLine="420"/>
      </w:pPr>
      <w:r>
        <w:rPr>
          <w:rFonts w:hint="eastAsia"/>
        </w:rPr>
        <w:t>GB/T 28181-2016 公共安全视频监控联网系统信息传输、交换、控制技术要求</w:t>
      </w:r>
    </w:p>
    <w:p>
      <w:pPr>
        <w:pStyle w:val="59"/>
        <w:ind w:firstLine="420"/>
      </w:pPr>
      <w:r>
        <w:rPr>
          <w:rFonts w:hint="eastAsia"/>
        </w:rPr>
        <w:t>GA/T 367 视频安防监控系统技术要求</w:t>
      </w:r>
    </w:p>
    <w:p>
      <w:pPr>
        <w:pStyle w:val="59"/>
        <w:ind w:firstLine="420"/>
      </w:pPr>
      <w:r>
        <w:rPr>
          <w:rFonts w:hint="eastAsia"/>
        </w:rPr>
        <w:t>GA/T 751-2008 视频图像文字标注规范</w:t>
      </w:r>
    </w:p>
    <w:p>
      <w:pPr>
        <w:pStyle w:val="59"/>
        <w:ind w:firstLine="420"/>
      </w:pPr>
      <w:r>
        <w:rPr>
          <w:rFonts w:hint="eastAsia"/>
        </w:rPr>
        <w:t>HJ 212-2017 污染物在线监控（监测）系统数据传输标准</w:t>
      </w:r>
    </w:p>
    <w:p>
      <w:pPr>
        <w:pStyle w:val="59"/>
        <w:ind w:firstLine="420"/>
      </w:pPr>
      <w:r>
        <w:rPr>
          <w:rFonts w:hint="eastAsia"/>
        </w:rPr>
        <w:t>HJ 355-2019 水污染源在线监测系统</w:t>
      </w:r>
      <w:commentRangeStart w:id="0"/>
      <w:r>
        <w:rPr>
          <w:rFonts w:hint="eastAsia"/>
        </w:rPr>
        <w:t>（</w:t>
      </w:r>
      <w:r>
        <w:t>COD</w:t>
      </w:r>
      <w:r>
        <w:rPr>
          <w:vertAlign w:val="subscript"/>
        </w:rPr>
        <w:t>C</w:t>
      </w:r>
      <w:r>
        <w:rPr>
          <w:rFonts w:hint="eastAsia"/>
          <w:vertAlign w:val="subscript"/>
        </w:rPr>
        <w:t>r</w:t>
      </w:r>
      <w:r>
        <w:rPr>
          <w:rFonts w:hint="eastAsia"/>
        </w:rPr>
        <w:t>、N</w:t>
      </w:r>
      <w:r>
        <w:t>H</w:t>
      </w:r>
      <w:r>
        <w:rPr>
          <w:vertAlign w:val="subscript"/>
        </w:rPr>
        <w:t>3</w:t>
      </w:r>
      <w:r>
        <w:t>-N</w:t>
      </w:r>
      <w:r>
        <w:rPr>
          <w:rFonts w:hint="eastAsia"/>
        </w:rPr>
        <w:t>等）</w:t>
      </w:r>
      <w:commentRangeEnd w:id="0"/>
      <w:r>
        <w:rPr>
          <w:rStyle w:val="35"/>
          <w:rFonts w:ascii="Calibri" w:hAnsi="Calibri"/>
          <w:kern w:val="2"/>
        </w:rPr>
        <w:commentReference w:id="0"/>
      </w:r>
      <w:r>
        <w:rPr>
          <w:rFonts w:hint="eastAsia"/>
        </w:rPr>
        <w:t>运行技术规范</w:t>
      </w:r>
    </w:p>
    <w:p>
      <w:pPr>
        <w:pStyle w:val="59"/>
        <w:ind w:firstLine="420"/>
      </w:pPr>
      <w:r>
        <w:rPr>
          <w:rFonts w:hint="eastAsia"/>
        </w:rPr>
        <w:t>HJ 608-2011 污染源编码规则（试行）</w:t>
      </w:r>
    </w:p>
    <w:p>
      <w:pPr>
        <w:pStyle w:val="59"/>
        <w:ind w:firstLine="420"/>
      </w:pPr>
      <w:r>
        <w:rPr>
          <w:rFonts w:hint="eastAsia"/>
        </w:rPr>
        <w:t>HJ/T 75-2007 固定污染源烟气排放连续监测技术规范</w:t>
      </w:r>
    </w:p>
    <w:p>
      <w:pPr>
        <w:pStyle w:val="59"/>
        <w:ind w:firstLine="420"/>
      </w:pPr>
      <w:r>
        <w:rPr>
          <w:rFonts w:hint="eastAsia"/>
        </w:rPr>
        <w:t>H.264/AVC 先进视频编码标准</w:t>
      </w:r>
    </w:p>
    <w:p>
      <w:pPr>
        <w:pStyle w:val="59"/>
        <w:ind w:firstLine="420"/>
      </w:pPr>
      <w:r>
        <w:rPr>
          <w:rFonts w:hint="eastAsia"/>
        </w:rPr>
        <w:t>H.265/HEVC 高效视频编码标准</w:t>
      </w:r>
    </w:p>
    <w:p>
      <w:pPr>
        <w:pStyle w:val="59"/>
        <w:ind w:firstLine="420"/>
      </w:pPr>
      <w:r>
        <w:t>DB 33/T</w:t>
      </w:r>
      <w:r>
        <w:rPr>
          <w:rFonts w:hint="eastAsia"/>
        </w:rPr>
        <w:t xml:space="preserve"> </w:t>
      </w:r>
      <w:r>
        <w:t>502-2004</w:t>
      </w:r>
      <w:r>
        <w:rPr>
          <w:rFonts w:hint="eastAsia"/>
        </w:rPr>
        <w:t xml:space="preserve"> 社会治安动态视频监控系统技术规范</w:t>
      </w:r>
    </w:p>
    <w:p>
      <w:pPr>
        <w:pStyle w:val="107"/>
        <w:spacing w:before="312" w:after="312"/>
      </w:pPr>
      <w:bookmarkStart w:id="37" w:name="_Toc80988878"/>
      <w:r>
        <w:rPr>
          <w:rFonts w:hint="eastAsia"/>
          <w:szCs w:val="21"/>
        </w:rPr>
        <w:t>术语和定义</w:t>
      </w:r>
      <w:bookmarkEnd w:id="37"/>
    </w:p>
    <w:sdt>
      <w:sdtPr>
        <w:id w:val="-1909835108"/>
        <w:placeholder>
          <w:docPart w:val="ABC2C713BCF44B32A8D43DE1EABD99D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pPr>
            <w:pStyle w:val="59"/>
            <w:ind w:firstLine="420"/>
          </w:pPr>
          <w:bookmarkStart w:id="38" w:name="_Toc26986532"/>
          <w:bookmarkEnd w:id="38"/>
          <w:r>
            <w:t>下列术语和定义适用于本文件</w:t>
          </w:r>
        </w:p>
      </w:sdtContent>
    </w:sdt>
    <w:p>
      <w:pPr>
        <w:pStyle w:val="165"/>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前端</w:t>
      </w:r>
      <w:r>
        <w:rPr>
          <w:rFonts w:ascii="Times New Roman" w:eastAsia="黑体"/>
        </w:rPr>
        <w:t>监控系统front end monitoring system</w:t>
      </w:r>
    </w:p>
    <w:p>
      <w:pPr>
        <w:pStyle w:val="59"/>
        <w:ind w:firstLine="420"/>
      </w:pPr>
      <w:r>
        <w:rPr>
          <w:rFonts w:hint="eastAsia"/>
        </w:rPr>
        <w:t>安装于重点排污单位现场端实时监视自动监控站房运行情况的系统，主要由监视点、网络硬盘录像机（NVR）和交换机等设备组成。</w:t>
      </w:r>
    </w:p>
    <w:p>
      <w:pPr>
        <w:pStyle w:val="165"/>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 xml:space="preserve">监控点 </w:t>
      </w:r>
      <w:r>
        <w:rPr>
          <w:rFonts w:ascii="Times New Roman" w:eastAsia="黑体"/>
        </w:rPr>
        <w:t>m</w:t>
      </w:r>
      <w:r>
        <w:rPr>
          <w:rFonts w:hint="eastAsia" w:ascii="Times New Roman" w:eastAsia="黑体"/>
        </w:rPr>
        <w:t>onitoring</w:t>
      </w:r>
      <w:r>
        <w:rPr>
          <w:rFonts w:ascii="Times New Roman" w:eastAsia="黑体"/>
        </w:rPr>
        <w:t xml:space="preserve"> </w:t>
      </w:r>
      <w:r>
        <w:rPr>
          <w:rFonts w:hint="eastAsia" w:ascii="Times New Roman" w:eastAsia="黑体"/>
        </w:rPr>
        <w:t>point</w:t>
      </w:r>
    </w:p>
    <w:p>
      <w:pPr>
        <w:pStyle w:val="59"/>
        <w:ind w:firstLine="420" w:firstLineChars="0"/>
      </w:pPr>
      <w:r>
        <w:rPr>
          <w:rFonts w:hint="eastAsia"/>
        </w:rPr>
        <w:t>现场视频监控信息的采集与控制模块的集成，主要包括摄像机及其配套设备（镜头、防护罩、云台、照明等）。</w:t>
      </w:r>
    </w:p>
    <w:p>
      <w:pPr>
        <w:pStyle w:val="165"/>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 xml:space="preserve">监控站 </w:t>
      </w:r>
      <w:r>
        <w:rPr>
          <w:rFonts w:ascii="Times New Roman" w:eastAsia="黑体"/>
        </w:rPr>
        <w:t>m</w:t>
      </w:r>
      <w:r>
        <w:rPr>
          <w:rFonts w:hint="eastAsia" w:ascii="Times New Roman" w:eastAsia="黑体"/>
        </w:rPr>
        <w:t>onitoring</w:t>
      </w:r>
      <w:r>
        <w:rPr>
          <w:rFonts w:ascii="Times New Roman" w:eastAsia="黑体"/>
        </w:rPr>
        <w:t xml:space="preserve"> </w:t>
      </w:r>
      <w:r>
        <w:rPr>
          <w:rFonts w:hint="eastAsia" w:ascii="Times New Roman" w:eastAsia="黑体"/>
        </w:rPr>
        <w:t>station</w:t>
      </w:r>
    </w:p>
    <w:p>
      <w:pPr>
        <w:pStyle w:val="59"/>
        <w:ind w:firstLine="420"/>
      </w:pPr>
      <w:r>
        <w:rPr>
          <w:rFonts w:hint="eastAsia"/>
        </w:rPr>
        <w:t>一个或多个监视点设备进行集中管理的站点，对监视的视频图像及其它数据信息进行编码、处理以及管理、储存和转发。对于具有数据上传功能的网络摄像机等一体化设备，逻辑上既是一个监控点，又一个监控站。</w:t>
      </w:r>
    </w:p>
    <w:p>
      <w:pPr>
        <w:pStyle w:val="165"/>
        <w:rPr>
          <w:rFonts w:ascii="黑体" w:hAnsi="黑体" w:eastAsia="黑体"/>
        </w:rPr>
      </w:pPr>
    </w:p>
    <w:p>
      <w:pPr>
        <w:pStyle w:val="59"/>
        <w:ind w:firstLine="420"/>
      </w:pPr>
      <w:r>
        <w:rPr>
          <w:rFonts w:hint="eastAsia" w:ascii="黑体" w:hAnsi="黑体" w:eastAsia="黑体"/>
        </w:rPr>
        <w:t xml:space="preserve">视频管理服务器 </w:t>
      </w:r>
      <w:r>
        <w:rPr>
          <w:rFonts w:ascii="Times New Roman" w:eastAsia="黑体"/>
        </w:rPr>
        <w:t>v</w:t>
      </w:r>
      <w:r>
        <w:rPr>
          <w:rFonts w:hint="eastAsia" w:ascii="Times New Roman" w:eastAsia="黑体"/>
        </w:rPr>
        <w:t xml:space="preserve">ideo </w:t>
      </w:r>
      <w:r>
        <w:rPr>
          <w:rFonts w:ascii="Times New Roman" w:eastAsia="黑体"/>
        </w:rPr>
        <w:t>m</w:t>
      </w:r>
      <w:r>
        <w:rPr>
          <w:rFonts w:hint="eastAsia" w:ascii="Times New Roman" w:eastAsia="黑体"/>
        </w:rPr>
        <w:t xml:space="preserve">anagement </w:t>
      </w:r>
      <w:r>
        <w:rPr>
          <w:rFonts w:ascii="Times New Roman" w:eastAsia="黑体"/>
        </w:rPr>
        <w:t>s</w:t>
      </w:r>
      <w:r>
        <w:rPr>
          <w:rFonts w:hint="eastAsia" w:ascii="Times New Roman" w:eastAsia="黑体"/>
        </w:rPr>
        <w:t>erver</w:t>
      </w:r>
    </w:p>
    <w:p>
      <w:pPr>
        <w:pStyle w:val="59"/>
        <w:ind w:firstLine="420"/>
      </w:pPr>
      <w:r>
        <w:rPr>
          <w:rFonts w:hint="eastAsia"/>
        </w:rPr>
        <w:t>主要负责对各个厂家不同的视频设备进行统一接入和管理。</w:t>
      </w:r>
    </w:p>
    <w:p>
      <w:pPr>
        <w:pStyle w:val="165"/>
        <w:rPr>
          <w:rFonts w:ascii="黑体" w:hAnsi="黑体" w:eastAsia="黑体"/>
        </w:rPr>
      </w:pPr>
    </w:p>
    <w:p>
      <w:pPr>
        <w:pStyle w:val="59"/>
        <w:ind w:firstLine="420"/>
        <w:rPr>
          <w:rFonts w:ascii="Times New Roman" w:eastAsia="黑体"/>
        </w:rPr>
      </w:pPr>
      <w:r>
        <w:rPr>
          <w:rFonts w:hint="eastAsia" w:ascii="黑体" w:hAnsi="黑体" w:eastAsia="黑体"/>
        </w:rPr>
        <w:t xml:space="preserve">污染源排放口 </w:t>
      </w:r>
      <w:r>
        <w:rPr>
          <w:rFonts w:ascii="Times New Roman" w:eastAsia="黑体"/>
        </w:rPr>
        <w:t>pollution sources emission outlet</w:t>
      </w:r>
    </w:p>
    <w:p>
      <w:pPr>
        <w:pStyle w:val="59"/>
        <w:ind w:firstLine="420"/>
      </w:pPr>
      <w:r>
        <w:rPr>
          <w:rFonts w:hint="eastAsia"/>
        </w:rPr>
        <w:t>固定污染源向外环境排放污染物的法定排放处。</w:t>
      </w:r>
    </w:p>
    <w:p>
      <w:pPr>
        <w:pStyle w:val="165"/>
      </w:pPr>
    </w:p>
    <w:p>
      <w:pPr>
        <w:pStyle w:val="59"/>
        <w:ind w:firstLine="420"/>
      </w:pPr>
      <w:r>
        <w:rPr>
          <w:rFonts w:hint="eastAsia" w:ascii="黑体" w:hAnsi="黑体" w:eastAsia="黑体"/>
        </w:rPr>
        <w:t xml:space="preserve">监测监控站房 </w:t>
      </w:r>
      <w:r>
        <w:rPr>
          <w:rFonts w:ascii="Times New Roman" w:eastAsia="黑体"/>
        </w:rPr>
        <w:t>o</w:t>
      </w:r>
      <w:r>
        <w:rPr>
          <w:rFonts w:hint="eastAsia" w:ascii="Times New Roman" w:eastAsia="黑体"/>
        </w:rPr>
        <w:t xml:space="preserve">nline </w:t>
      </w:r>
      <w:r>
        <w:rPr>
          <w:rFonts w:ascii="Times New Roman" w:eastAsia="黑体"/>
        </w:rPr>
        <w:t>m</w:t>
      </w:r>
      <w:r>
        <w:rPr>
          <w:rFonts w:hint="eastAsia" w:ascii="Times New Roman" w:eastAsia="黑体"/>
        </w:rPr>
        <w:t xml:space="preserve">onitoring </w:t>
      </w:r>
      <w:r>
        <w:rPr>
          <w:rFonts w:ascii="Times New Roman" w:eastAsia="黑体"/>
        </w:rPr>
        <w:t>r</w:t>
      </w:r>
      <w:r>
        <w:rPr>
          <w:rFonts w:hint="eastAsia" w:ascii="Times New Roman" w:eastAsia="黑体"/>
        </w:rPr>
        <w:t>oom</w:t>
      </w:r>
    </w:p>
    <w:p>
      <w:pPr>
        <w:pStyle w:val="59"/>
        <w:ind w:firstLine="420"/>
      </w:pPr>
      <w:r>
        <w:rPr>
          <w:rFonts w:hint="eastAsia"/>
        </w:rPr>
        <w:t>专门用于放置自动监测分析仪、数据采集仪、视频设备存储及其附属设施的房间。</w:t>
      </w:r>
    </w:p>
    <w:p>
      <w:pPr>
        <w:pStyle w:val="165"/>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 xml:space="preserve">治理设施 </w:t>
      </w:r>
      <w:r>
        <w:rPr>
          <w:rFonts w:ascii="Times New Roman" w:eastAsia="黑体"/>
        </w:rPr>
        <w:t>c</w:t>
      </w:r>
      <w:r>
        <w:rPr>
          <w:rFonts w:hint="eastAsia" w:ascii="Times New Roman" w:eastAsia="黑体"/>
        </w:rPr>
        <w:t>le</w:t>
      </w:r>
      <w:r>
        <w:rPr>
          <w:rFonts w:ascii="Times New Roman" w:eastAsia="黑体"/>
        </w:rPr>
        <w:t>aning facilities</w:t>
      </w:r>
    </w:p>
    <w:p>
      <w:pPr>
        <w:pStyle w:val="59"/>
        <w:ind w:firstLine="420"/>
      </w:pPr>
      <w:r>
        <w:rPr>
          <w:rFonts w:hint="eastAsia"/>
        </w:rPr>
        <w:t>采用物理、化学或生物的方法吸附、分解或转化各种气体和水污染物，降低其排放速率和排放浓度的设施。包括吸收装置、吸附装置、冷凝装置、膜分离装置、燃烧（焚烧、氧化）装置、曝气池、二沉池、自动监测采样区、巴歇尔槽排放段、物料堆场、物料装卸、物料传输、生物处理设施或其它有效的污染处理及存储等设施。</w:t>
      </w:r>
    </w:p>
    <w:p>
      <w:pPr>
        <w:pStyle w:val="165"/>
        <w:ind w:left="540" w:hanging="540"/>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 xml:space="preserve">无组织排放 </w:t>
      </w:r>
      <w:r>
        <w:rPr>
          <w:rFonts w:ascii="Times New Roman" w:eastAsia="黑体"/>
        </w:rPr>
        <w:t>f</w:t>
      </w:r>
      <w:r>
        <w:rPr>
          <w:rFonts w:hint="eastAsia" w:ascii="Times New Roman" w:eastAsia="黑体"/>
        </w:rPr>
        <w:t>u</w:t>
      </w:r>
      <w:r>
        <w:rPr>
          <w:rFonts w:ascii="Times New Roman" w:eastAsia="黑体"/>
        </w:rPr>
        <w:t>gitive emission</w:t>
      </w:r>
    </w:p>
    <w:p>
      <w:pPr>
        <w:pStyle w:val="59"/>
        <w:ind w:firstLine="420"/>
      </w:pPr>
      <w:r>
        <w:rPr>
          <w:rFonts w:hint="eastAsia"/>
        </w:rPr>
        <w:t>大气污染物不经过排气筒的无规则排放，例如开放式作业或通过缝隙、通风口、敞开门窗和类似开口（孔）排到环境中，大气污染物经过低于15米的排气筒排放也视为无组织排放。</w:t>
      </w:r>
    </w:p>
    <w:p>
      <w:pPr>
        <w:pStyle w:val="59"/>
        <w:ind w:firstLine="420"/>
      </w:pPr>
      <w:r>
        <w:rPr>
          <w:rFonts w:hint="eastAsia"/>
        </w:rPr>
        <w:t>[来源：</w:t>
      </w:r>
      <w:r>
        <w:rPr>
          <w:rFonts w:ascii="Times New Roman"/>
        </w:rPr>
        <w:t>GB16297-1996，3.</w:t>
      </w:r>
      <w:r>
        <w:rPr>
          <w:rFonts w:hint="eastAsia" w:ascii="Times New Roman"/>
        </w:rPr>
        <w:t>4</w:t>
      </w:r>
      <w:r>
        <w:rPr>
          <w:rFonts w:ascii="Times New Roman"/>
        </w:rPr>
        <w:t>]</w:t>
      </w:r>
    </w:p>
    <w:p>
      <w:pPr>
        <w:pStyle w:val="165"/>
        <w:rPr>
          <w:rFonts w:ascii="黑体" w:hAnsi="黑体" w:eastAsia="黑体"/>
        </w:rPr>
      </w:pPr>
    </w:p>
    <w:p>
      <w:pPr>
        <w:pStyle w:val="165"/>
        <w:numPr>
          <w:ilvl w:val="0"/>
          <w:numId w:val="0"/>
        </w:numPr>
        <w:ind w:firstLine="420" w:firstLineChars="200"/>
        <w:rPr>
          <w:rFonts w:ascii="黑体" w:hAnsi="黑体" w:eastAsia="黑体"/>
        </w:rPr>
      </w:pPr>
      <w:r>
        <w:rPr>
          <w:rFonts w:hint="eastAsia" w:ascii="黑体" w:hAnsi="黑体" w:eastAsia="黑体"/>
        </w:rPr>
        <w:t xml:space="preserve">有组织排放 </w:t>
      </w:r>
      <w:r>
        <w:rPr>
          <w:rFonts w:hint="eastAsia" w:ascii="Times New Roman" w:eastAsia="黑体"/>
        </w:rPr>
        <w:t>o</w:t>
      </w:r>
      <w:r>
        <w:rPr>
          <w:rFonts w:ascii="Times New Roman" w:eastAsia="黑体"/>
        </w:rPr>
        <w:t>rganized emission</w:t>
      </w:r>
    </w:p>
    <w:p>
      <w:pPr>
        <w:pStyle w:val="59"/>
        <w:ind w:firstLine="420"/>
      </w:pPr>
      <w:r>
        <w:rPr>
          <w:rFonts w:hint="eastAsia"/>
        </w:rPr>
        <w:t>大气污染物经过不低于15米的排气筒排放。</w:t>
      </w:r>
    </w:p>
    <w:p>
      <w:pPr>
        <w:pStyle w:val="59"/>
        <w:ind w:firstLine="420"/>
      </w:pPr>
      <w:r>
        <w:rPr>
          <w:rFonts w:hint="eastAsia"/>
        </w:rPr>
        <w:t>[来源：</w:t>
      </w:r>
      <w:r>
        <w:rPr>
          <w:rFonts w:ascii="Times New Roman"/>
        </w:rPr>
        <w:t>GB16297-1996，</w:t>
      </w:r>
      <w:r>
        <w:rPr>
          <w:rFonts w:hint="eastAsia" w:ascii="Times New Roman"/>
        </w:rPr>
        <w:t>7</w:t>
      </w:r>
      <w:r>
        <w:rPr>
          <w:rFonts w:ascii="Times New Roman"/>
        </w:rPr>
        <w:t>.</w:t>
      </w:r>
      <w:r>
        <w:rPr>
          <w:rFonts w:hint="eastAsia" w:ascii="Times New Roman"/>
        </w:rPr>
        <w:t>4</w:t>
      </w:r>
      <w:r>
        <w:rPr>
          <w:rFonts w:ascii="Times New Roman"/>
        </w:rPr>
        <w:t>]</w:t>
      </w:r>
    </w:p>
    <w:p>
      <w:pPr>
        <w:pStyle w:val="107"/>
        <w:spacing w:before="312" w:after="312"/>
      </w:pPr>
      <w:bookmarkStart w:id="39" w:name="_Toc80988879"/>
      <w:r>
        <w:rPr>
          <w:rFonts w:hint="eastAsia"/>
        </w:rPr>
        <w:t>总体要求</w:t>
      </w:r>
      <w:bookmarkEnd w:id="39"/>
    </w:p>
    <w:p>
      <w:pPr>
        <w:pStyle w:val="108"/>
        <w:spacing w:before="156" w:after="156"/>
      </w:pPr>
      <w:r>
        <w:rPr>
          <w:rFonts w:hint="eastAsia"/>
        </w:rPr>
        <w:t>互通性</w:t>
      </w:r>
    </w:p>
    <w:p>
      <w:pPr>
        <w:pStyle w:val="59"/>
        <w:ind w:firstLine="420"/>
      </w:pPr>
      <w:r>
        <w:rPr>
          <w:rFonts w:hint="eastAsia"/>
        </w:rPr>
        <w:t>现场各监视站、监视点的建设应遵循统一规划、互联互通、资源共享的原则。视频监控设备应支持通过互联网视频转发器与监管部门数据平台（以下简称数据平台）对接，实现统一管理。</w:t>
      </w:r>
    </w:p>
    <w:p>
      <w:pPr>
        <w:pStyle w:val="59"/>
        <w:ind w:firstLine="420"/>
      </w:pPr>
      <w:r>
        <w:rPr>
          <w:rFonts w:hint="eastAsia"/>
        </w:rPr>
        <w:t>新建视频设备应支持</w:t>
      </w:r>
      <w:r>
        <w:rPr>
          <w:rFonts w:hint="eastAsia" w:ascii="Times New Roman" w:eastAsia="黑体"/>
        </w:rPr>
        <w:t>GB/</w:t>
      </w:r>
      <w:r>
        <w:rPr>
          <w:rFonts w:ascii="Times New Roman" w:eastAsia="黑体"/>
        </w:rPr>
        <w:t>T</w:t>
      </w:r>
      <w:r>
        <w:rPr>
          <w:rFonts w:hint="eastAsia" w:ascii="Times New Roman" w:eastAsia="黑体"/>
        </w:rPr>
        <w:t xml:space="preserve"> 28181、DB33/T 502</w:t>
      </w:r>
      <w:r>
        <w:rPr>
          <w:rFonts w:hint="eastAsia"/>
        </w:rPr>
        <w:t>，已建视频设备应按照</w:t>
      </w:r>
      <w:r>
        <w:rPr>
          <w:rFonts w:hint="eastAsia" w:ascii="Times New Roman" w:eastAsia="黑体"/>
        </w:rPr>
        <w:t>GB</w:t>
      </w:r>
      <w:r>
        <w:rPr>
          <w:rFonts w:ascii="Times New Roman" w:eastAsia="黑体"/>
        </w:rPr>
        <w:t>/T</w:t>
      </w:r>
      <w:r>
        <w:rPr>
          <w:rFonts w:hint="eastAsia" w:ascii="Times New Roman" w:eastAsia="黑体"/>
        </w:rPr>
        <w:t xml:space="preserve"> 28181、DB33/T 502</w:t>
      </w:r>
      <w:r>
        <w:rPr>
          <w:rFonts w:hint="eastAsia"/>
        </w:rPr>
        <w:t>等标准协议进行升级改造，通过协议接入数据平台。</w:t>
      </w:r>
    </w:p>
    <w:p>
      <w:pPr>
        <w:pStyle w:val="108"/>
        <w:spacing w:before="156" w:after="156"/>
      </w:pPr>
      <w:r>
        <w:rPr>
          <w:rFonts w:hint="eastAsia"/>
        </w:rPr>
        <w:t>同步性</w:t>
      </w:r>
    </w:p>
    <w:p>
      <w:pPr>
        <w:pStyle w:val="59"/>
        <w:ind w:firstLine="420"/>
      </w:pPr>
      <w:r>
        <w:rPr>
          <w:rFonts w:hint="eastAsia"/>
        </w:rPr>
        <w:t>数据平台、监视站、监视点应具有时钟同步的功能。</w:t>
      </w:r>
    </w:p>
    <w:p>
      <w:pPr>
        <w:pStyle w:val="108"/>
        <w:spacing w:before="156" w:after="156"/>
      </w:pPr>
      <w:r>
        <w:rPr>
          <w:rFonts w:hint="eastAsia"/>
        </w:rPr>
        <w:t>安全性</w:t>
      </w:r>
    </w:p>
    <w:p>
      <w:pPr>
        <w:pStyle w:val="59"/>
        <w:ind w:firstLine="420"/>
      </w:pPr>
      <w:r>
        <w:rPr>
          <w:rFonts w:hint="eastAsia"/>
        </w:rPr>
        <w:t>数据平台、监视站、监视点应具有安全保护措施，防止非法接入、病毒感染、防雷击、过载、断电、电磁干扰，特殊环境下应具有防水防爆要求。</w:t>
      </w:r>
    </w:p>
    <w:p>
      <w:pPr>
        <w:pStyle w:val="108"/>
        <w:spacing w:before="156" w:after="156"/>
      </w:pPr>
      <w:r>
        <w:rPr>
          <w:rFonts w:hint="eastAsia"/>
          <w:szCs w:val="24"/>
        </w:rPr>
        <w:t xml:space="preserve">稳定性 </w:t>
      </w:r>
    </w:p>
    <w:p>
      <w:pPr>
        <w:pStyle w:val="59"/>
        <w:ind w:firstLine="420"/>
      </w:pPr>
      <w:r>
        <w:rPr>
          <w:rFonts w:hint="eastAsia"/>
        </w:rPr>
        <w:t>现场监视点设备对传输演示、丢包率、吞吐率、时延抖动、响应时间等稳定性要求应满足</w:t>
      </w:r>
      <w:r>
        <w:rPr>
          <w:rFonts w:hint="eastAsia" w:ascii="Times New Roman" w:eastAsia="黑体"/>
        </w:rPr>
        <w:t>DB33/T  502</w:t>
      </w:r>
      <w:r>
        <w:rPr>
          <w:rFonts w:hint="eastAsia"/>
        </w:rPr>
        <w:t>的要求。</w:t>
      </w:r>
    </w:p>
    <w:p>
      <w:pPr>
        <w:pStyle w:val="108"/>
        <w:spacing w:before="156" w:after="156"/>
      </w:pPr>
      <w:r>
        <w:rPr>
          <w:rFonts w:hint="eastAsia"/>
          <w:szCs w:val="24"/>
        </w:rPr>
        <w:t>智能性</w:t>
      </w:r>
    </w:p>
    <w:p>
      <w:pPr>
        <w:pStyle w:val="59"/>
        <w:ind w:firstLine="420"/>
      </w:pPr>
      <w:r>
        <w:rPr>
          <w:rFonts w:hint="eastAsia"/>
        </w:rPr>
        <w:t>现场监视点和监视站应支持区域入侵、越界、徘徊、视频遮挡、黑屏、过曝等异常侦测，对可疑情况进行记录和报警。</w:t>
      </w:r>
    </w:p>
    <w:p>
      <w:pPr>
        <w:pStyle w:val="108"/>
        <w:spacing w:before="156" w:after="156"/>
      </w:pPr>
      <w:r>
        <w:rPr>
          <w:rFonts w:hint="eastAsia"/>
          <w:szCs w:val="24"/>
        </w:rPr>
        <w:t>存储</w:t>
      </w:r>
    </w:p>
    <w:p>
      <w:pPr>
        <w:pStyle w:val="59"/>
        <w:ind w:firstLine="420"/>
      </w:pPr>
      <w:r>
        <w:rPr>
          <w:rFonts w:hint="eastAsia"/>
        </w:rPr>
        <w:t>前端监控系统应对实时视频信息或图片信息进行</w:t>
      </w:r>
      <w:r>
        <w:rPr>
          <w:rFonts w:hint="eastAsia" w:ascii="Times New Roman" w:eastAsia="黑体"/>
        </w:rPr>
        <w:t>24</w:t>
      </w:r>
      <w:r>
        <w:rPr>
          <w:rFonts w:hint="eastAsia"/>
        </w:rPr>
        <w:t>小时不间断存储，存储时间至少达</w:t>
      </w:r>
      <w:r>
        <w:rPr>
          <w:rFonts w:hint="eastAsia" w:ascii="Times New Roman" w:eastAsia="黑体"/>
        </w:rPr>
        <w:t>3</w:t>
      </w:r>
      <w:r>
        <w:rPr>
          <w:rFonts w:hint="eastAsia"/>
        </w:rPr>
        <w:t>个月</w:t>
      </w:r>
      <w:r>
        <w:rPr>
          <w:rStyle w:val="35"/>
          <w:rFonts w:ascii="Calibri" w:hAnsi="Calibri"/>
          <w:kern w:val="2"/>
        </w:rPr>
        <w:commentReference w:id="1"/>
      </w:r>
      <w:r>
        <w:rPr>
          <w:rFonts w:hint="eastAsia"/>
        </w:rPr>
        <w:t>。系统应支持智能后检索，配合</w:t>
      </w:r>
      <w:r>
        <w:rPr>
          <w:rFonts w:hint="eastAsia" w:ascii="Times New Roman" w:eastAsia="黑体"/>
        </w:rPr>
        <w:t>NVR</w:t>
      </w:r>
      <w:r>
        <w:rPr>
          <w:rFonts w:hint="eastAsia"/>
        </w:rPr>
        <w:t>支持事件的二次检索分析，具有历史图像调用回放功能。</w:t>
      </w:r>
    </w:p>
    <w:p>
      <w:pPr>
        <w:pStyle w:val="107"/>
        <w:spacing w:before="312" w:after="312"/>
      </w:pPr>
      <w:bookmarkStart w:id="40" w:name="_Toc80988880"/>
      <w:r>
        <w:rPr>
          <w:rFonts w:hint="eastAsia"/>
        </w:rPr>
        <w:t>总体架构</w:t>
      </w:r>
      <w:bookmarkEnd w:id="40"/>
    </w:p>
    <w:p>
      <w:pPr>
        <w:pStyle w:val="59"/>
        <w:ind w:firstLine="420"/>
      </w:pPr>
      <w:r>
        <w:rPr>
          <w:rFonts w:hint="eastAsia"/>
        </w:rPr>
        <w:t>数据平台总体架构如图1所示：</w:t>
      </w:r>
    </w:p>
    <w:p>
      <w:pPr>
        <w:pStyle w:val="59"/>
        <w:ind w:firstLine="420"/>
        <w:jc w:val="center"/>
      </w:pPr>
      <w:r>
        <w:object>
          <v:shape id="_x0000_i1025" o:spt="75" type="#_x0000_t75" style="height:272.4pt;width:403.8pt;" o:ole="t" filled="f" o:preferrelative="t" stroked="f" coordsize="21600,21600">
            <v:path/>
            <v:fill on="f" focussize="0,0"/>
            <v:stroke on="f" joinstyle="miter"/>
            <v:imagedata r:id="rId17" o:title=""/>
            <o:lock v:ext="edit" aspectratio="t"/>
            <w10:wrap type="none"/>
            <w10:anchorlock/>
          </v:shape>
          <o:OLEObject Type="Embed" ProgID="Visio.Drawing.15" ShapeID="_x0000_i1025" DrawAspect="Content" ObjectID="_1468075725" r:id="rId16">
            <o:LockedField>false</o:LockedField>
          </o:OLEObject>
        </w:object>
      </w:r>
    </w:p>
    <w:p>
      <w:pPr>
        <w:pStyle w:val="59"/>
        <w:ind w:firstLine="420"/>
        <w:jc w:val="center"/>
      </w:pPr>
      <w:r>
        <w:rPr>
          <w:rFonts w:hint="eastAsia"/>
        </w:rPr>
        <w:t>图1</w:t>
      </w:r>
      <w:r>
        <w:t xml:space="preserve"> </w:t>
      </w:r>
      <w:r>
        <w:rPr>
          <w:rFonts w:hint="eastAsia"/>
        </w:rPr>
        <w:t>平台总体架构图</w:t>
      </w:r>
    </w:p>
    <w:p>
      <w:pPr>
        <w:pStyle w:val="59"/>
        <w:ind w:firstLine="420"/>
      </w:pPr>
      <w:r>
        <w:rPr>
          <w:rFonts w:hint="eastAsia"/>
        </w:rPr>
        <w:t>污染源视频监控系统部署采用两级部署模式。前端监控系统负责实现各污染源排污口及采样区、监测监控站房、治理设施以及无组织排放点等区域视频综合采集、实时传输和本地存储。数据平台对前端排污单位监测区域的视频资源进行统一管理，同时具备监控视频业务联动功能，可实时预览及回放各监控点监控视频，对前端监控设备进行云台操作以查看站房环境，通过视频监控和污染源自动监测数据的业务融合，完成异常自动取证与动态报警，将污染源自动监测数据与视频监控的图像信息进行融合。</w:t>
      </w:r>
    </w:p>
    <w:p>
      <w:pPr>
        <w:pStyle w:val="107"/>
        <w:spacing w:before="312" w:after="312"/>
      </w:pPr>
      <w:bookmarkStart w:id="41" w:name="_Toc80988881"/>
      <w:r>
        <w:rPr>
          <w:rFonts w:hint="eastAsia"/>
        </w:rPr>
        <w:t>监控点位及摄像头部署要求</w:t>
      </w:r>
      <w:bookmarkEnd w:id="41"/>
    </w:p>
    <w:p>
      <w:pPr>
        <w:pStyle w:val="108"/>
        <w:spacing w:before="156" w:after="156"/>
      </w:pPr>
      <w:r>
        <w:rPr>
          <w:rFonts w:hint="eastAsia"/>
        </w:rPr>
        <w:t>监控点位</w:t>
      </w:r>
    </w:p>
    <w:p>
      <w:pPr>
        <w:pStyle w:val="59"/>
        <w:ind w:firstLine="420"/>
      </w:pPr>
      <w:r>
        <w:rPr>
          <w:rFonts w:hint="eastAsia"/>
        </w:rPr>
        <w:t xml:space="preserve">排放废水的固定污染源视频监视点位应包括但不限于：废水排放口、废水采样口、雨水排放口、清水排放口、监测监控站房、具备监控条件的污染治理或存储设施。 </w:t>
      </w:r>
    </w:p>
    <w:p>
      <w:pPr>
        <w:pStyle w:val="59"/>
        <w:ind w:firstLine="420"/>
      </w:pPr>
      <w:r>
        <w:rPr>
          <w:rFonts w:hint="eastAsia"/>
        </w:rPr>
        <w:t>排放废气的固定污染源视频监视点位</w:t>
      </w:r>
      <w:r>
        <w:rPr>
          <w:rStyle w:val="35"/>
          <w:rFonts w:ascii="Calibri" w:hAnsi="Calibri"/>
          <w:kern w:val="2"/>
        </w:rPr>
        <w:commentReference w:id="2"/>
      </w:r>
      <w:r>
        <w:rPr>
          <w:rFonts w:hint="eastAsia"/>
        </w:rPr>
        <w:t>应包括但不限于：监测监控站房、具备监控条件的无组织废气主要排放点。如废气排放口监控点位不满足平视或俯视排口要求的，可增加废气排放口监控点。</w:t>
      </w:r>
    </w:p>
    <w:p>
      <w:pPr>
        <w:pStyle w:val="108"/>
        <w:spacing w:before="156" w:after="156"/>
      </w:pPr>
      <w:r>
        <w:rPr>
          <w:rFonts w:hint="eastAsia"/>
        </w:rPr>
        <w:t>摄像头部署</w:t>
      </w:r>
    </w:p>
    <w:p>
      <w:pPr>
        <w:pStyle w:val="68"/>
        <w:spacing w:before="156" w:after="156"/>
      </w:pPr>
      <w:r>
        <w:rPr>
          <w:rFonts w:hint="eastAsia"/>
        </w:rPr>
        <w:t>监控监测站房</w:t>
      </w:r>
    </w:p>
    <w:p>
      <w:pPr>
        <w:pStyle w:val="177"/>
        <w:numPr>
          <w:ilvl w:val="0"/>
          <w:numId w:val="0"/>
        </w:numPr>
        <w:tabs>
          <w:tab w:val="left" w:pos="1134"/>
          <w:tab w:val="clear" w:pos="851"/>
        </w:tabs>
        <w:ind w:firstLine="426"/>
      </w:pPr>
      <w:r>
        <w:rPr>
          <w:rFonts w:hint="eastAsia"/>
        </w:rPr>
        <w:t>安装具有人像自动抓拍功能的半球摄像机，监测站房内相关设备运行和人员出入情况：</w:t>
      </w:r>
    </w:p>
    <w:p>
      <w:pPr>
        <w:pStyle w:val="177"/>
        <w:numPr>
          <w:ilvl w:val="0"/>
          <w:numId w:val="32"/>
        </w:numPr>
      </w:pPr>
      <w:r>
        <w:rPr>
          <w:rFonts w:hint="eastAsia"/>
        </w:rPr>
        <w:t>摄像机拍摄范围应包含站房门、自动监测设备、数采仪、视频检测箱等关键设施设备；</w:t>
      </w:r>
    </w:p>
    <w:p>
      <w:pPr>
        <w:pStyle w:val="177"/>
        <w:numPr>
          <w:ilvl w:val="0"/>
          <w:numId w:val="32"/>
        </w:numPr>
      </w:pPr>
      <w:r>
        <w:rPr>
          <w:rFonts w:hint="eastAsia"/>
        </w:rPr>
        <w:t>被拍摄区域应占整个站房面积的</w:t>
      </w:r>
      <w:r>
        <w:rPr>
          <w:rFonts w:hint="eastAsia" w:ascii="Times New Roman" w:eastAsia="黑体"/>
        </w:rPr>
        <w:t>75%</w:t>
      </w:r>
      <w:r>
        <w:rPr>
          <w:rFonts w:hint="eastAsia"/>
        </w:rPr>
        <w:t>以上；</w:t>
      </w:r>
    </w:p>
    <w:p>
      <w:pPr>
        <w:pStyle w:val="177"/>
        <w:numPr>
          <w:ilvl w:val="0"/>
          <w:numId w:val="32"/>
        </w:numPr>
      </w:pPr>
      <w:r>
        <w:rPr>
          <w:rFonts w:hint="eastAsia"/>
        </w:rPr>
        <w:t>摄像机拍摄范围内中应无遮挡物；</w:t>
      </w:r>
    </w:p>
    <w:p>
      <w:pPr>
        <w:pStyle w:val="177"/>
        <w:numPr>
          <w:ilvl w:val="0"/>
          <w:numId w:val="32"/>
        </w:numPr>
      </w:pPr>
      <w:r>
        <w:rPr>
          <w:rFonts w:hint="eastAsia"/>
        </w:rPr>
        <w:t>摄像机安装位置应避免电磁干扰。</w:t>
      </w:r>
    </w:p>
    <w:p>
      <w:pPr>
        <w:pStyle w:val="68"/>
        <w:spacing w:before="156" w:after="156"/>
      </w:pPr>
      <w:r>
        <w:rPr>
          <w:rFonts w:hint="eastAsia"/>
        </w:rPr>
        <w:t>废水、雨水及清水排放口和废水采样口</w:t>
      </w:r>
    </w:p>
    <w:p>
      <w:pPr>
        <w:pStyle w:val="68"/>
        <w:numPr>
          <w:ilvl w:val="0"/>
          <w:numId w:val="0"/>
        </w:numPr>
        <w:spacing w:before="156" w:after="156"/>
        <w:ind w:left="420" w:firstLine="4" w:firstLineChars="2"/>
        <w:rPr>
          <w:rFonts w:ascii="宋体" w:eastAsia="宋体"/>
        </w:rPr>
      </w:pPr>
      <w:r>
        <w:rPr>
          <w:rFonts w:hint="eastAsia" w:ascii="宋体" w:eastAsia="宋体"/>
        </w:rPr>
        <w:t>安装枪式摄像机，用于监控排放口废水排放、自动监测设备采样、雨水及清水排放等情况：</w:t>
      </w:r>
    </w:p>
    <w:p>
      <w:pPr>
        <w:pStyle w:val="177"/>
      </w:pPr>
      <w:r>
        <w:rPr>
          <w:rFonts w:hint="eastAsia"/>
        </w:rPr>
        <w:t>安装点位监视画面应覆盖自动监测采样区、巴歇尔槽排放段（不能使用覆盖物阻拦视线），否则，应增加</w:t>
      </w:r>
      <w:r>
        <w:rPr>
          <w:rFonts w:hint="eastAsia" w:ascii="Times New Roman" w:eastAsia="黑体"/>
        </w:rPr>
        <w:t xml:space="preserve">1 </w:t>
      </w:r>
      <w:r>
        <w:rPr>
          <w:rFonts w:hint="eastAsia"/>
        </w:rPr>
        <w:t>个监控点位，补充未监控区域；</w:t>
      </w:r>
    </w:p>
    <w:p>
      <w:pPr>
        <w:pStyle w:val="177"/>
      </w:pPr>
      <w:r>
        <w:rPr>
          <w:rFonts w:hint="eastAsia"/>
        </w:rPr>
        <w:t>摄像机应固定安装在废水排口正上方，镜头正对明渠和计量槽堰，至少占据监控画面三分之二以上，高度及俯视角度应避免镜头被阳光直射和水面反射，监控画面能清晰反映排放液体的颜色、浊度等物理特征；</w:t>
      </w:r>
    </w:p>
    <w:p>
      <w:pPr>
        <w:pStyle w:val="177"/>
      </w:pPr>
      <w:r>
        <w:rPr>
          <w:rFonts w:hint="eastAsia"/>
        </w:rPr>
        <w:t>下沉式排口或其它特殊排口，可根据现场实际情况调整摄像机位置，以确保视频图像效果；</w:t>
      </w:r>
    </w:p>
    <w:p>
      <w:pPr>
        <w:pStyle w:val="177"/>
      </w:pPr>
      <w:r>
        <w:rPr>
          <w:rFonts w:hint="eastAsia"/>
        </w:rPr>
        <w:t>夜间应采用补光设备，保障视频画面能清楚识别排放物、采样设备。如有需要，应增加热成像功能；</w:t>
      </w:r>
    </w:p>
    <w:p>
      <w:pPr>
        <w:pStyle w:val="177"/>
      </w:pPr>
      <w:r>
        <w:rPr>
          <w:rFonts w:hint="eastAsia"/>
        </w:rPr>
        <w:t>摄像机安装位置应避免电磁干扰。</w:t>
      </w:r>
    </w:p>
    <w:p>
      <w:pPr>
        <w:pStyle w:val="68"/>
        <w:spacing w:before="156" w:after="156"/>
      </w:pPr>
      <w:r>
        <w:rPr>
          <w:rFonts w:hint="eastAsia"/>
        </w:rPr>
        <w:t>大气无组织排放点</w:t>
      </w:r>
    </w:p>
    <w:p>
      <w:pPr>
        <w:pStyle w:val="59"/>
        <w:ind w:firstLine="420"/>
      </w:pPr>
      <w:r>
        <w:rPr>
          <w:rFonts w:hint="eastAsia"/>
        </w:rPr>
        <w:t>大气无组织排放区域安装球型摄像机，监控废气无组织排放情况：</w:t>
      </w:r>
    </w:p>
    <w:p>
      <w:pPr>
        <w:pStyle w:val="177"/>
        <w:numPr>
          <w:ilvl w:val="0"/>
          <w:numId w:val="33"/>
        </w:numPr>
      </w:pPr>
      <w:r>
        <w:rPr>
          <w:rFonts w:hint="eastAsia"/>
        </w:rPr>
        <w:t>摄像机安装固定杆体上或其他合适的位置，对物料堆场、 装卸、传输等点位废气无组织排放进行监控；</w:t>
      </w:r>
    </w:p>
    <w:p>
      <w:pPr>
        <w:pStyle w:val="177"/>
        <w:numPr>
          <w:ilvl w:val="0"/>
          <w:numId w:val="33"/>
        </w:numPr>
      </w:pPr>
      <w:r>
        <w:rPr>
          <w:rFonts w:hint="eastAsia"/>
        </w:rPr>
        <w:t>杆体及摄像机应安装在不易受外界损伤的位置，且不影响现场设备运行和人员正常活动。</w:t>
      </w:r>
    </w:p>
    <w:p>
      <w:pPr>
        <w:pStyle w:val="68"/>
        <w:spacing w:before="156" w:after="156"/>
      </w:pPr>
      <w:r>
        <w:rPr>
          <w:rFonts w:hint="eastAsia"/>
        </w:rPr>
        <w:t>大气有组织排放点</w:t>
      </w:r>
    </w:p>
    <w:p>
      <w:pPr>
        <w:pStyle w:val="59"/>
        <w:ind w:firstLine="420"/>
      </w:pPr>
      <w:r>
        <w:rPr>
          <w:rFonts w:hint="eastAsia"/>
        </w:rPr>
        <w:t>安装枪型摄像机，监控废气有组织排放情况：</w:t>
      </w:r>
    </w:p>
    <w:p>
      <w:pPr>
        <w:pStyle w:val="177"/>
        <w:numPr>
          <w:ilvl w:val="0"/>
          <w:numId w:val="34"/>
        </w:numPr>
      </w:pPr>
      <w:r>
        <w:rPr>
          <w:rFonts w:hint="eastAsia"/>
        </w:rPr>
        <w:t>摄像机安装固定杆体上或其他合适的位置，高度及俯视角度应避免镜头被阳光直射和水面反射，监控画面能清晰反映排放废气的颜色、黑度等物理特征；</w:t>
      </w:r>
    </w:p>
    <w:p>
      <w:pPr>
        <w:pStyle w:val="177"/>
        <w:numPr>
          <w:ilvl w:val="0"/>
          <w:numId w:val="33"/>
        </w:numPr>
      </w:pPr>
      <w:r>
        <w:rPr>
          <w:rFonts w:hint="eastAsia"/>
        </w:rPr>
        <w:t>杆体及摄像机应安装在不易受外界损伤的位置，且不影响现场设备运行和人员正常活动。</w:t>
      </w:r>
    </w:p>
    <w:p>
      <w:pPr>
        <w:pStyle w:val="68"/>
        <w:spacing w:before="156" w:after="156"/>
      </w:pPr>
      <w:r>
        <w:rPr>
          <w:rFonts w:hint="eastAsia"/>
        </w:rPr>
        <w:t>治理设施</w:t>
      </w:r>
    </w:p>
    <w:p>
      <w:pPr>
        <w:pStyle w:val="59"/>
        <w:ind w:firstLine="420"/>
      </w:pPr>
      <w:r>
        <w:rPr>
          <w:rFonts w:hint="eastAsia"/>
        </w:rPr>
        <w:t>安装球型摄像机监控污染治理设施运行情况：</w:t>
      </w:r>
    </w:p>
    <w:p>
      <w:pPr>
        <w:pStyle w:val="177"/>
        <w:numPr>
          <w:ilvl w:val="0"/>
          <w:numId w:val="35"/>
        </w:numPr>
      </w:pPr>
      <w:r>
        <w:rPr>
          <w:rFonts w:hint="eastAsia"/>
        </w:rPr>
        <w:t>摄像机安装固定杆体上或其他合适的位置，</w:t>
      </w:r>
      <w:r>
        <w:rPr>
          <w:rFonts w:hint="eastAsia" w:ascii="Times New Roman" w:eastAsia="黑体"/>
        </w:rPr>
        <w:t>360</w:t>
      </w:r>
      <w:r>
        <w:rPr>
          <w:rFonts w:hint="eastAsia"/>
        </w:rPr>
        <w:t>度监控范围内无遮挡物，可监控主要污染治理设施；</w:t>
      </w:r>
    </w:p>
    <w:p>
      <w:pPr>
        <w:pStyle w:val="177"/>
        <w:numPr>
          <w:ilvl w:val="0"/>
          <w:numId w:val="35"/>
        </w:numPr>
      </w:pPr>
      <w:r>
        <w:rPr>
          <w:rFonts w:hint="eastAsia"/>
        </w:rPr>
        <w:t>杆体及摄像机应安装在不易受外界损伤的位置，且不影响现场设备运行和人员正常活动。</w:t>
      </w:r>
    </w:p>
    <w:p>
      <w:pPr>
        <w:pStyle w:val="107"/>
        <w:spacing w:before="312" w:after="312"/>
      </w:pPr>
      <w:r>
        <w:rPr>
          <w:rFonts w:hint="eastAsia"/>
        </w:rPr>
        <w:t>设备要求</w:t>
      </w:r>
    </w:p>
    <w:p>
      <w:pPr>
        <w:pStyle w:val="108"/>
        <w:spacing w:before="156" w:after="156"/>
      </w:pPr>
      <w:r>
        <w:rPr>
          <w:rFonts w:hint="eastAsia"/>
        </w:rPr>
        <w:t>视频采集设备</w:t>
      </w:r>
    </w:p>
    <w:p>
      <w:pPr>
        <w:pStyle w:val="59"/>
        <w:ind w:firstLine="420"/>
      </w:pPr>
      <w:r>
        <w:rPr>
          <w:rFonts w:hint="eastAsia"/>
        </w:rPr>
        <w:t>安装枪式网络摄像机具体要求：</w:t>
      </w:r>
    </w:p>
    <w:p>
      <w:pPr>
        <w:pStyle w:val="177"/>
        <w:numPr>
          <w:ilvl w:val="0"/>
          <w:numId w:val="36"/>
        </w:numPr>
      </w:pPr>
      <w:r>
        <w:rPr>
          <w:rFonts w:hint="eastAsia"/>
        </w:rPr>
        <w:t>能全天候工作，白天和夜间都可以拍摄清晰的视频，枪式网络摄像机不低于</w:t>
      </w:r>
      <w:r>
        <w:rPr>
          <w:rFonts w:hint="eastAsia" w:ascii="Times New Roman" w:eastAsia="黑体"/>
        </w:rPr>
        <w:t>200</w:t>
      </w:r>
      <w:r>
        <w:rPr>
          <w:rFonts w:hint="eastAsia"/>
        </w:rPr>
        <w:t>万像素，球型网络摄像机不低于</w:t>
      </w:r>
      <w:r>
        <w:rPr>
          <w:rFonts w:hint="eastAsia" w:ascii="Times New Roman" w:eastAsia="黑体"/>
        </w:rPr>
        <w:t>400</w:t>
      </w:r>
      <w:r>
        <w:rPr>
          <w:rFonts w:hint="eastAsia"/>
        </w:rPr>
        <w:t>万像素并且可自动聚焦；</w:t>
      </w:r>
    </w:p>
    <w:p>
      <w:pPr>
        <w:pStyle w:val="177"/>
        <w:numPr>
          <w:ilvl w:val="0"/>
          <w:numId w:val="36"/>
        </w:numPr>
      </w:pPr>
      <w:r>
        <w:rPr>
          <w:rFonts w:hint="eastAsia"/>
        </w:rPr>
        <w:t>照度较低或补偿性光源较弱的区域应达到夜视效果的星光级超低照度，应满足最低照度彩色</w:t>
      </w:r>
      <w:r>
        <w:rPr>
          <w:rFonts w:hint="eastAsia" w:ascii="Times New Roman" w:eastAsia="黑体"/>
        </w:rPr>
        <w:t>0.002Lux</w:t>
      </w:r>
      <w:r>
        <w:rPr>
          <w:rFonts w:hint="eastAsia"/>
        </w:rPr>
        <w:t>，黑白</w:t>
      </w:r>
      <w:r>
        <w:rPr>
          <w:rFonts w:hint="eastAsia" w:ascii="Times New Roman" w:eastAsia="黑体"/>
        </w:rPr>
        <w:t>0.0002Lux，0Lux with IR</w:t>
      </w:r>
      <w:r>
        <w:rPr>
          <w:rFonts w:hint="eastAsia"/>
        </w:rPr>
        <w:t>；</w:t>
      </w:r>
    </w:p>
    <w:p>
      <w:pPr>
        <w:pStyle w:val="177"/>
        <w:numPr>
          <w:ilvl w:val="0"/>
          <w:numId w:val="36"/>
        </w:numPr>
      </w:pPr>
      <w:r>
        <w:rPr>
          <w:rFonts w:hint="eastAsia"/>
        </w:rPr>
        <w:t>视频编码格式支持</w:t>
      </w:r>
      <w:r>
        <w:rPr>
          <w:rFonts w:hint="eastAsia" w:ascii="Times New Roman" w:eastAsia="黑体"/>
        </w:rPr>
        <w:t>H.264</w:t>
      </w:r>
      <w:r>
        <w:rPr>
          <w:rFonts w:hint="eastAsia"/>
        </w:rPr>
        <w:t>或</w:t>
      </w:r>
      <w:r>
        <w:rPr>
          <w:rFonts w:hint="eastAsia" w:ascii="Times New Roman" w:eastAsia="黑体"/>
        </w:rPr>
        <w:t>H.265</w:t>
      </w:r>
      <w:r>
        <w:rPr>
          <w:rFonts w:hint="eastAsia"/>
        </w:rPr>
        <w:t>，视频传输符合</w:t>
      </w:r>
      <w:r>
        <w:rPr>
          <w:rFonts w:hint="eastAsia" w:ascii="Times New Roman" w:eastAsia="黑体"/>
        </w:rPr>
        <w:t>ONVIF</w:t>
      </w:r>
      <w:r>
        <w:rPr>
          <w:rFonts w:hint="eastAsia"/>
        </w:rPr>
        <w:t>和</w:t>
      </w:r>
      <w:r>
        <w:rPr>
          <w:rFonts w:hint="eastAsia" w:ascii="Times New Roman" w:eastAsia="黑体"/>
        </w:rPr>
        <w:t>GB/T28181</w:t>
      </w:r>
      <w:r>
        <w:rPr>
          <w:rFonts w:hint="eastAsia"/>
        </w:rPr>
        <w:t>；</w:t>
      </w:r>
    </w:p>
    <w:p>
      <w:pPr>
        <w:pStyle w:val="177"/>
        <w:numPr>
          <w:ilvl w:val="0"/>
          <w:numId w:val="36"/>
        </w:numPr>
      </w:pPr>
      <w:r>
        <w:rPr>
          <w:rFonts w:hint="eastAsia"/>
        </w:rPr>
        <w:t>支持</w:t>
      </w:r>
      <w:r>
        <w:rPr>
          <w:rFonts w:hint="eastAsia" w:ascii="Times New Roman" w:eastAsia="黑体"/>
        </w:rPr>
        <w:t>OSD</w:t>
      </w:r>
      <w:r>
        <w:rPr>
          <w:rFonts w:hint="eastAsia"/>
        </w:rPr>
        <w:t>信息叠加；</w:t>
      </w:r>
    </w:p>
    <w:p>
      <w:pPr>
        <w:pStyle w:val="177"/>
        <w:numPr>
          <w:ilvl w:val="0"/>
          <w:numId w:val="36"/>
        </w:numPr>
      </w:pPr>
      <w:r>
        <w:rPr>
          <w:rFonts w:hint="eastAsia"/>
        </w:rPr>
        <w:t>支持宽动态、强光抑制、背光补偿、电子防抖、3D数字降噪；</w:t>
      </w:r>
    </w:p>
    <w:p>
      <w:pPr>
        <w:pStyle w:val="177"/>
        <w:numPr>
          <w:ilvl w:val="0"/>
          <w:numId w:val="36"/>
        </w:numPr>
      </w:pPr>
      <w:r>
        <w:rPr>
          <w:rFonts w:hint="eastAsia"/>
        </w:rPr>
        <w:t>支持多种智能分析，如绊线入侵，区域入侵，场景变更等；</w:t>
      </w:r>
    </w:p>
    <w:p>
      <w:pPr>
        <w:pStyle w:val="177"/>
        <w:numPr>
          <w:ilvl w:val="0"/>
          <w:numId w:val="36"/>
        </w:numPr>
      </w:pPr>
      <w:r>
        <w:rPr>
          <w:rFonts w:hint="eastAsia"/>
        </w:rPr>
        <w:t>支持防浪涌，防静电，防雷设计，防护等级至少达到IP65。</w:t>
      </w:r>
    </w:p>
    <w:p>
      <w:pPr>
        <w:pStyle w:val="108"/>
        <w:spacing w:before="156" w:after="156"/>
      </w:pPr>
      <w:r>
        <w:rPr>
          <w:rFonts w:hint="eastAsia"/>
        </w:rPr>
        <w:t>网络硬盘录像机（</w:t>
      </w:r>
      <w:r>
        <w:rPr>
          <w:rFonts w:hint="eastAsia" w:ascii="Times New Roman"/>
        </w:rPr>
        <w:t>NVR</w:t>
      </w:r>
      <w:r>
        <w:rPr>
          <w:rFonts w:hint="eastAsia"/>
        </w:rPr>
        <w:t>）要求</w:t>
      </w:r>
    </w:p>
    <w:p>
      <w:pPr>
        <w:pStyle w:val="59"/>
        <w:ind w:firstLine="420"/>
      </w:pPr>
      <w:r>
        <w:rPr>
          <w:rFonts w:hint="eastAsia"/>
        </w:rPr>
        <w:t>网络硬盘录像机（</w:t>
      </w:r>
      <w:r>
        <w:rPr>
          <w:rFonts w:hint="eastAsia" w:ascii="Times New Roman"/>
        </w:rPr>
        <w:t>NVR</w:t>
      </w:r>
      <w:r>
        <w:rPr>
          <w:rFonts w:hint="eastAsia"/>
        </w:rPr>
        <w:t>）具体要求：</w:t>
      </w:r>
    </w:p>
    <w:p>
      <w:pPr>
        <w:pStyle w:val="177"/>
        <w:numPr>
          <w:ilvl w:val="0"/>
          <w:numId w:val="37"/>
        </w:numPr>
      </w:pPr>
      <w:r>
        <w:rPr>
          <w:rFonts w:hint="eastAsia"/>
        </w:rPr>
        <w:t>采用标准机架式，嵌入式软硬件设计；</w:t>
      </w:r>
    </w:p>
    <w:p>
      <w:pPr>
        <w:pStyle w:val="177"/>
        <w:numPr>
          <w:ilvl w:val="0"/>
          <w:numId w:val="37"/>
        </w:numPr>
      </w:pPr>
      <w:r>
        <w:rPr>
          <w:rFonts w:hint="eastAsia"/>
        </w:rPr>
        <w:t>支持网络视频接入不低于</w:t>
      </w:r>
      <w:r>
        <w:rPr>
          <w:rFonts w:hint="eastAsia" w:ascii="Times New Roman" w:eastAsia="黑体"/>
        </w:rPr>
        <w:t>16</w:t>
      </w:r>
      <w:r>
        <w:rPr>
          <w:rFonts w:hint="eastAsia"/>
        </w:rPr>
        <w:t>路；</w:t>
      </w:r>
    </w:p>
    <w:p>
      <w:pPr>
        <w:pStyle w:val="177"/>
        <w:numPr>
          <w:ilvl w:val="0"/>
          <w:numId w:val="37"/>
        </w:numPr>
      </w:pPr>
      <w:r>
        <w:rPr>
          <w:rFonts w:hint="eastAsia"/>
        </w:rPr>
        <w:t>支持本地存储至少</w:t>
      </w:r>
      <w:r>
        <w:rPr>
          <w:rFonts w:hint="eastAsia" w:ascii="Times New Roman" w:eastAsia="黑体"/>
        </w:rPr>
        <w:t>3</w:t>
      </w:r>
      <w:r>
        <w:rPr>
          <w:rFonts w:hint="eastAsia"/>
        </w:rPr>
        <w:t>个月；</w:t>
      </w:r>
    </w:p>
    <w:p>
      <w:pPr>
        <w:pStyle w:val="177"/>
        <w:numPr>
          <w:ilvl w:val="0"/>
          <w:numId w:val="37"/>
        </w:numPr>
      </w:pPr>
      <w:r>
        <w:rPr>
          <w:rFonts w:hint="eastAsia"/>
        </w:rPr>
        <w:t>支持音频输入输出接口；</w:t>
      </w:r>
    </w:p>
    <w:p>
      <w:pPr>
        <w:pStyle w:val="177"/>
        <w:numPr>
          <w:ilvl w:val="0"/>
          <w:numId w:val="37"/>
        </w:numPr>
      </w:pPr>
      <w:r>
        <w:rPr>
          <w:rFonts w:hint="eastAsia"/>
        </w:rPr>
        <w:t>支持不少于1个千兆光口；</w:t>
      </w:r>
    </w:p>
    <w:p>
      <w:pPr>
        <w:pStyle w:val="177"/>
        <w:numPr>
          <w:ilvl w:val="0"/>
          <w:numId w:val="37"/>
        </w:numPr>
      </w:pPr>
      <w:r>
        <w:rPr>
          <w:rFonts w:hint="eastAsia"/>
        </w:rPr>
        <w:t>支持</w:t>
      </w:r>
      <w:r>
        <w:rPr>
          <w:rFonts w:hint="eastAsia" w:ascii="Times New Roman" w:eastAsia="黑体"/>
        </w:rPr>
        <w:t>16</w:t>
      </w:r>
      <w:r>
        <w:rPr>
          <w:rFonts w:hint="eastAsia"/>
        </w:rPr>
        <w:t>路报警输入、</w:t>
      </w:r>
      <w:r>
        <w:rPr>
          <w:rFonts w:hint="eastAsia" w:ascii="Times New Roman" w:eastAsia="黑体"/>
        </w:rPr>
        <w:t>8</w:t>
      </w:r>
      <w:r>
        <w:rPr>
          <w:rFonts w:hint="eastAsia"/>
        </w:rPr>
        <w:t>路报警输出，支持开关量输入输出模式；</w:t>
      </w:r>
    </w:p>
    <w:p>
      <w:pPr>
        <w:pStyle w:val="177"/>
        <w:numPr>
          <w:ilvl w:val="0"/>
          <w:numId w:val="37"/>
        </w:numPr>
      </w:pPr>
      <w:r>
        <w:rPr>
          <w:rFonts w:hint="eastAsia"/>
        </w:rPr>
        <w:t>支持</w:t>
      </w:r>
      <w:r>
        <w:rPr>
          <w:rFonts w:hint="eastAsia" w:ascii="Times New Roman" w:eastAsia="黑体"/>
        </w:rPr>
        <w:t>ONVIF、PSIA、RTSP</w:t>
      </w:r>
      <w:r>
        <w:rPr>
          <w:rFonts w:hint="eastAsia"/>
        </w:rPr>
        <w:t>协议接入平台；</w:t>
      </w:r>
    </w:p>
    <w:p>
      <w:pPr>
        <w:pStyle w:val="177"/>
        <w:numPr>
          <w:ilvl w:val="0"/>
          <w:numId w:val="37"/>
        </w:numPr>
      </w:pPr>
      <w:r>
        <w:rPr>
          <w:rFonts w:hint="eastAsia"/>
        </w:rPr>
        <w:t>支持</w:t>
      </w:r>
      <w:r>
        <w:rPr>
          <w:rFonts w:hint="eastAsia" w:ascii="Times New Roman" w:eastAsia="黑体"/>
        </w:rPr>
        <w:t>H.265/H.264/MPEG4/MJPEG</w:t>
      </w:r>
      <w:r>
        <w:rPr>
          <w:rFonts w:hint="eastAsia"/>
        </w:rPr>
        <w:t>视频压缩标准；</w:t>
      </w:r>
    </w:p>
    <w:p>
      <w:pPr>
        <w:pStyle w:val="177"/>
        <w:numPr>
          <w:ilvl w:val="0"/>
          <w:numId w:val="37"/>
        </w:numPr>
      </w:pPr>
      <w:r>
        <w:rPr>
          <w:rFonts w:hint="eastAsia"/>
        </w:rPr>
        <w:t>具备实时视频预览、录像存储、点播回放、设备管理、图像输出等功能；</w:t>
      </w:r>
    </w:p>
    <w:p>
      <w:pPr>
        <w:pStyle w:val="177"/>
        <w:numPr>
          <w:ilvl w:val="0"/>
          <w:numId w:val="37"/>
        </w:numPr>
      </w:pPr>
      <w:r>
        <w:rPr>
          <w:rFonts w:hint="eastAsia"/>
        </w:rPr>
        <w:t>具备侦测和分析、与相关报警联动的功能。</w:t>
      </w:r>
    </w:p>
    <w:p>
      <w:pPr>
        <w:pStyle w:val="107"/>
        <w:spacing w:before="312" w:after="312"/>
      </w:pPr>
      <w:r>
        <w:rPr>
          <w:rFonts w:hint="eastAsia"/>
        </w:rPr>
        <w:t>安装、联网、验收和维护</w:t>
      </w:r>
    </w:p>
    <w:p>
      <w:pPr>
        <w:pStyle w:val="108"/>
        <w:spacing w:before="156" w:after="156"/>
      </w:pPr>
      <w:r>
        <w:rPr>
          <w:rFonts w:hint="eastAsia"/>
        </w:rPr>
        <w:t>安装要求</w:t>
      </w:r>
    </w:p>
    <w:p>
      <w:pPr>
        <w:pStyle w:val="68"/>
        <w:spacing w:before="156" w:after="156"/>
      </w:pPr>
      <w:r>
        <w:rPr>
          <w:rFonts w:hint="eastAsia"/>
        </w:rPr>
        <w:t>布线、供电、接地</w:t>
      </w:r>
    </w:p>
    <w:p>
      <w:pPr>
        <w:pStyle w:val="59"/>
        <w:ind w:firstLine="420"/>
      </w:pPr>
      <w:r>
        <w:rPr>
          <w:rFonts w:hint="eastAsia"/>
        </w:rPr>
        <w:t>布线、供电、接地具体要求：</w:t>
      </w:r>
    </w:p>
    <w:p>
      <w:pPr>
        <w:pStyle w:val="177"/>
        <w:numPr>
          <w:ilvl w:val="0"/>
          <w:numId w:val="38"/>
        </w:numPr>
      </w:pPr>
      <w:r>
        <w:rPr>
          <w:rFonts w:hint="eastAsia"/>
        </w:rPr>
        <w:t>监视站和监视点应独立供电，有条件的可采用双路供电；</w:t>
      </w:r>
    </w:p>
    <w:p>
      <w:pPr>
        <w:pStyle w:val="177"/>
        <w:numPr>
          <w:ilvl w:val="0"/>
          <w:numId w:val="38"/>
        </w:numPr>
      </w:pPr>
      <w:r>
        <w:rPr>
          <w:rFonts w:hint="eastAsia"/>
        </w:rPr>
        <w:t>监视站和监视点应具备不间断供电功能，</w:t>
      </w:r>
      <w:r>
        <w:rPr>
          <w:rFonts w:hint="eastAsia" w:ascii="Times New Roman" w:eastAsia="黑体"/>
        </w:rPr>
        <w:t>UPS</w:t>
      </w:r>
      <w:r>
        <w:rPr>
          <w:rFonts w:hint="eastAsia"/>
        </w:rPr>
        <w:t>系统设计后备时间不低于</w:t>
      </w:r>
      <w:r>
        <w:rPr>
          <w:rFonts w:hint="eastAsia" w:ascii="Times New Roman" w:eastAsia="黑体"/>
        </w:rPr>
        <w:t>8</w:t>
      </w:r>
      <w:r>
        <w:rPr>
          <w:rFonts w:hint="eastAsia"/>
        </w:rPr>
        <w:t>小时；</w:t>
      </w:r>
    </w:p>
    <w:p>
      <w:pPr>
        <w:pStyle w:val="177"/>
        <w:numPr>
          <w:ilvl w:val="0"/>
          <w:numId w:val="38"/>
        </w:numPr>
      </w:pPr>
      <w:r>
        <w:rPr>
          <w:rFonts w:hint="eastAsia"/>
        </w:rPr>
        <w:t>室内外布线按照国家电气化工程标准和有关规定进行；</w:t>
      </w:r>
    </w:p>
    <w:p>
      <w:pPr>
        <w:pStyle w:val="177"/>
        <w:numPr>
          <w:ilvl w:val="0"/>
          <w:numId w:val="38"/>
        </w:numPr>
      </w:pPr>
      <w:r>
        <w:rPr>
          <w:rFonts w:hint="eastAsia"/>
        </w:rPr>
        <w:t>布线、供电和接地应符合</w:t>
      </w:r>
      <w:r>
        <w:rPr>
          <w:rFonts w:ascii="Times New Roman" w:eastAsia="黑体"/>
        </w:rPr>
        <w:t xml:space="preserve">GB </w:t>
      </w:r>
      <w:r>
        <w:rPr>
          <w:rFonts w:hint="eastAsia" w:ascii="Times New Roman" w:eastAsia="黑体"/>
        </w:rPr>
        <w:t>50348和GA/T</w:t>
      </w:r>
      <w:r>
        <w:rPr>
          <w:rFonts w:ascii="Times New Roman" w:eastAsia="黑体"/>
        </w:rPr>
        <w:t xml:space="preserve"> 367</w:t>
      </w:r>
      <w:r>
        <w:rPr>
          <w:rFonts w:hint="eastAsia"/>
        </w:rPr>
        <w:t>的相关规定。</w:t>
      </w:r>
    </w:p>
    <w:p>
      <w:pPr>
        <w:pStyle w:val="68"/>
        <w:spacing w:before="156" w:after="156"/>
      </w:pPr>
      <w:r>
        <w:rPr>
          <w:rFonts w:hint="eastAsia"/>
        </w:rPr>
        <w:t>布杆与机箱</w:t>
      </w:r>
    </w:p>
    <w:p>
      <w:pPr>
        <w:pStyle w:val="59"/>
        <w:ind w:firstLine="420"/>
      </w:pPr>
      <w:r>
        <w:rPr>
          <w:rFonts w:hint="eastAsia"/>
        </w:rPr>
        <w:t>布杆与机箱具体要求：</w:t>
      </w:r>
    </w:p>
    <w:p>
      <w:pPr>
        <w:pStyle w:val="177"/>
        <w:numPr>
          <w:ilvl w:val="0"/>
          <w:numId w:val="39"/>
        </w:numPr>
      </w:pPr>
      <w:r>
        <w:rPr>
          <w:rFonts w:hint="eastAsia"/>
        </w:rPr>
        <w:t>根据现场条件选择安装方式，应采取防止摄像机在不利工况下抖动的措施，坚固稳定；</w:t>
      </w:r>
    </w:p>
    <w:p>
      <w:pPr>
        <w:pStyle w:val="177"/>
        <w:numPr>
          <w:ilvl w:val="0"/>
          <w:numId w:val="39"/>
        </w:numPr>
      </w:pPr>
      <w:r>
        <w:rPr>
          <w:rFonts w:hint="eastAsia"/>
        </w:rPr>
        <w:t>立杆焊接符合</w:t>
      </w:r>
      <w:r>
        <w:rPr>
          <w:rFonts w:hint="eastAsia" w:ascii="Times New Roman" w:eastAsia="黑体"/>
        </w:rPr>
        <w:t>GB 50205</w:t>
      </w:r>
      <w:r>
        <w:rPr>
          <w:rFonts w:hint="eastAsia"/>
        </w:rPr>
        <w:t>的要求，机械强度满足安装地最高风力等级，抗震、摆动幅度不超过</w:t>
      </w:r>
      <w:r>
        <w:rPr>
          <w:rFonts w:hint="eastAsia" w:ascii="Times New Roman" w:eastAsia="黑体"/>
        </w:rPr>
        <w:t>15mm</w:t>
      </w:r>
      <w:r>
        <w:rPr>
          <w:rFonts w:hint="eastAsia"/>
        </w:rPr>
        <w:t>，杆体进行热镀锌处理，表面喷涂户外耐候涂料；</w:t>
      </w:r>
    </w:p>
    <w:p>
      <w:pPr>
        <w:pStyle w:val="177"/>
        <w:numPr>
          <w:ilvl w:val="0"/>
          <w:numId w:val="39"/>
        </w:numPr>
      </w:pPr>
      <w:r>
        <w:rPr>
          <w:rFonts w:hint="eastAsia"/>
        </w:rPr>
        <w:t>机箱能放置电源、网络传输设备、编解码设备、配线架，机箱和立杆统一接地；</w:t>
      </w:r>
    </w:p>
    <w:p>
      <w:pPr>
        <w:pStyle w:val="177"/>
        <w:numPr>
          <w:ilvl w:val="0"/>
          <w:numId w:val="39"/>
        </w:numPr>
      </w:pPr>
      <w:r>
        <w:rPr>
          <w:rFonts w:hint="eastAsia"/>
        </w:rPr>
        <w:t>机箱的防护等级应不低于</w:t>
      </w:r>
      <w:r>
        <w:rPr>
          <w:rFonts w:hint="eastAsia" w:ascii="Times New Roman" w:eastAsia="黑体"/>
        </w:rPr>
        <w:t>IP65</w:t>
      </w:r>
      <w:r>
        <w:rPr>
          <w:rFonts w:hint="eastAsia"/>
        </w:rPr>
        <w:t>。</w:t>
      </w:r>
    </w:p>
    <w:p>
      <w:pPr>
        <w:pStyle w:val="108"/>
        <w:spacing w:before="156" w:after="156"/>
      </w:pPr>
      <w:r>
        <w:rPr>
          <w:rFonts w:hint="eastAsia"/>
        </w:rPr>
        <w:t>联网要求</w:t>
      </w:r>
    </w:p>
    <w:p>
      <w:pPr>
        <w:pStyle w:val="59"/>
        <w:ind w:firstLine="420"/>
      </w:pPr>
      <w:r>
        <w:rPr>
          <w:rFonts w:hint="eastAsia"/>
        </w:rPr>
        <w:t>联网具体要求：</w:t>
      </w:r>
    </w:p>
    <w:p>
      <w:pPr>
        <w:pStyle w:val="177"/>
        <w:numPr>
          <w:ilvl w:val="0"/>
          <w:numId w:val="40"/>
        </w:numPr>
      </w:pPr>
      <w:r>
        <w:rPr>
          <w:rFonts w:hint="eastAsia"/>
        </w:rPr>
        <w:t>监视点到监视站的视频图像传输采用双绞线或光纤传输的方式；</w:t>
      </w:r>
    </w:p>
    <w:p>
      <w:pPr>
        <w:pStyle w:val="177"/>
        <w:numPr>
          <w:ilvl w:val="0"/>
          <w:numId w:val="40"/>
        </w:numPr>
      </w:pPr>
      <w:r>
        <w:rPr>
          <w:rFonts w:hint="eastAsia"/>
        </w:rPr>
        <w:t>利用污染源自动监控现场端传输信道进行监控视频图像的传输，带宽应不低于4Mbps/路；</w:t>
      </w:r>
    </w:p>
    <w:p>
      <w:pPr>
        <w:pStyle w:val="177"/>
        <w:numPr>
          <w:ilvl w:val="0"/>
          <w:numId w:val="40"/>
        </w:numPr>
      </w:pPr>
      <w:r>
        <w:rPr>
          <w:rFonts w:hint="eastAsia"/>
        </w:rPr>
        <w:t>采用</w:t>
      </w:r>
      <w:r>
        <w:rPr>
          <w:rFonts w:hint="eastAsia" w:ascii="Times New Roman" w:eastAsia="黑体"/>
        </w:rPr>
        <w:t>TCP/IP</w:t>
      </w:r>
      <w:r>
        <w:rPr>
          <w:rFonts w:hint="eastAsia"/>
        </w:rPr>
        <w:t>方式，支持组播、网络流量平衡控制等功能，支持流媒体代理转发服务，实现与数据平台联网，并符合网络信息安全保护第一级有关要求；</w:t>
      </w:r>
    </w:p>
    <w:p>
      <w:pPr>
        <w:pStyle w:val="177"/>
        <w:numPr>
          <w:ilvl w:val="0"/>
          <w:numId w:val="40"/>
        </w:numPr>
      </w:pPr>
      <w:r>
        <w:rPr>
          <w:rFonts w:hint="eastAsia"/>
        </w:rPr>
        <w:t>视频数据可通过设备直接上传、专用设备转发、平台级联等方式接入数据</w:t>
      </w:r>
      <w:r>
        <w:rPr>
          <w:rFonts w:hint="eastAsia"/>
          <w:color w:val="FF0000"/>
        </w:rPr>
        <w:t>平台，</w:t>
      </w:r>
      <w:r>
        <w:rPr>
          <w:rFonts w:hint="eastAsia"/>
        </w:rPr>
        <w:t>可采用公网或专网传输；</w:t>
      </w:r>
    </w:p>
    <w:p>
      <w:pPr>
        <w:pStyle w:val="177"/>
        <w:numPr>
          <w:ilvl w:val="0"/>
          <w:numId w:val="40"/>
        </w:numPr>
      </w:pPr>
      <w:r>
        <w:rPr>
          <w:rFonts w:hint="eastAsia"/>
        </w:rPr>
        <w:t>前端设备与信号直接接入的江苏省生态环境大数据平台相应设备间端到端的信息延迟时间应不大于</w:t>
      </w:r>
      <w:r>
        <w:rPr>
          <w:rFonts w:hint="eastAsia" w:ascii="Times New Roman" w:eastAsia="黑体"/>
        </w:rPr>
        <w:t>2</w:t>
      </w:r>
      <w:commentRangeStart w:id="3"/>
      <w:r>
        <w:rPr>
          <w:rFonts w:hint="eastAsia" w:ascii="Times New Roman" w:eastAsia="黑体"/>
        </w:rPr>
        <w:t>秒</w:t>
      </w:r>
      <w:commentRangeEnd w:id="3"/>
      <w:r>
        <w:rPr>
          <w:rStyle w:val="35"/>
          <w:rFonts w:ascii="Calibri" w:hAnsi="Calibri"/>
          <w:kern w:val="2"/>
        </w:rPr>
        <w:commentReference w:id="3"/>
      </w:r>
      <w:r>
        <w:rPr>
          <w:rFonts w:hint="eastAsia"/>
        </w:rPr>
        <w:t>。</w:t>
      </w:r>
    </w:p>
    <w:p>
      <w:pPr>
        <w:pStyle w:val="108"/>
        <w:spacing w:before="156" w:after="156"/>
      </w:pPr>
      <w:r>
        <w:rPr>
          <w:rFonts w:hint="eastAsia"/>
        </w:rPr>
        <w:t>验收</w:t>
      </w:r>
    </w:p>
    <w:p>
      <w:pPr>
        <w:pStyle w:val="168"/>
      </w:pPr>
      <w:r>
        <w:rPr>
          <w:rFonts w:hint="eastAsia"/>
        </w:rPr>
        <w:t>验收的主体为视频监控设施的建设方。</w:t>
      </w:r>
    </w:p>
    <w:p>
      <w:pPr>
        <w:pStyle w:val="168"/>
      </w:pPr>
      <w:r>
        <w:rPr>
          <w:rFonts w:hint="eastAsia"/>
        </w:rPr>
        <w:t>经试运行，承建单位和建设单位确认达到设计报告和合同规定的要求，进行验收移交。</w:t>
      </w:r>
    </w:p>
    <w:p>
      <w:pPr>
        <w:pStyle w:val="168"/>
      </w:pPr>
      <w:r>
        <w:rPr>
          <w:rFonts w:hint="eastAsia"/>
        </w:rPr>
        <w:t>验收资料应包括：</w:t>
      </w:r>
    </w:p>
    <w:p>
      <w:pPr>
        <w:pStyle w:val="177"/>
        <w:numPr>
          <w:ilvl w:val="0"/>
          <w:numId w:val="41"/>
        </w:numPr>
      </w:pPr>
      <w:r>
        <w:rPr>
          <w:rFonts w:hint="eastAsia"/>
        </w:rPr>
        <w:t>合同书以及相关协调记录；</w:t>
      </w:r>
    </w:p>
    <w:p>
      <w:pPr>
        <w:pStyle w:val="177"/>
        <w:numPr>
          <w:ilvl w:val="0"/>
          <w:numId w:val="41"/>
        </w:numPr>
      </w:pPr>
      <w:r>
        <w:rPr>
          <w:rFonts w:hint="eastAsia"/>
        </w:rPr>
        <w:t>设计方案；</w:t>
      </w:r>
    </w:p>
    <w:p>
      <w:pPr>
        <w:pStyle w:val="177"/>
        <w:numPr>
          <w:ilvl w:val="0"/>
          <w:numId w:val="41"/>
        </w:numPr>
      </w:pPr>
      <w:r>
        <w:rPr>
          <w:rFonts w:hint="eastAsia"/>
        </w:rPr>
        <w:t>设备的技术说明、有关图纸；</w:t>
      </w:r>
    </w:p>
    <w:p>
      <w:pPr>
        <w:pStyle w:val="177"/>
        <w:numPr>
          <w:ilvl w:val="0"/>
          <w:numId w:val="41"/>
        </w:numPr>
      </w:pPr>
      <w:r>
        <w:rPr>
          <w:rFonts w:hint="eastAsia"/>
        </w:rPr>
        <w:t>用户手册；</w:t>
      </w:r>
    </w:p>
    <w:p>
      <w:pPr>
        <w:pStyle w:val="177"/>
        <w:numPr>
          <w:ilvl w:val="0"/>
          <w:numId w:val="41"/>
        </w:numPr>
      </w:pPr>
      <w:r>
        <w:rPr>
          <w:rFonts w:hint="eastAsia"/>
        </w:rPr>
        <w:t>施工报告；</w:t>
      </w:r>
    </w:p>
    <w:p>
      <w:pPr>
        <w:pStyle w:val="177"/>
        <w:numPr>
          <w:ilvl w:val="0"/>
          <w:numId w:val="41"/>
        </w:numPr>
      </w:pPr>
      <w:r>
        <w:rPr>
          <w:rFonts w:hint="eastAsia"/>
        </w:rPr>
        <w:t>试运行报告；</w:t>
      </w:r>
    </w:p>
    <w:p>
      <w:pPr>
        <w:pStyle w:val="177"/>
        <w:numPr>
          <w:ilvl w:val="0"/>
          <w:numId w:val="41"/>
        </w:numPr>
      </w:pPr>
      <w:r>
        <w:rPr>
          <w:rFonts w:hint="eastAsia"/>
        </w:rPr>
        <w:t>备案登记信息；</w:t>
      </w:r>
    </w:p>
    <w:p>
      <w:pPr>
        <w:pStyle w:val="177"/>
        <w:numPr>
          <w:ilvl w:val="0"/>
          <w:numId w:val="41"/>
        </w:numPr>
      </w:pPr>
      <w:r>
        <w:rPr>
          <w:rFonts w:hint="eastAsia"/>
        </w:rPr>
        <w:t>其他相关文档。</w:t>
      </w:r>
    </w:p>
    <w:p>
      <w:pPr>
        <w:pStyle w:val="177"/>
        <w:numPr>
          <w:ilvl w:val="0"/>
          <w:numId w:val="0"/>
        </w:numPr>
        <w:ind w:left="851" w:hanging="426"/>
      </w:pPr>
    </w:p>
    <w:p>
      <w:pPr>
        <w:pStyle w:val="177"/>
        <w:numPr>
          <w:ilvl w:val="0"/>
          <w:numId w:val="0"/>
        </w:numPr>
        <w:ind w:left="851" w:hanging="426"/>
      </w:pPr>
    </w:p>
    <w:p>
      <w:pPr>
        <w:pStyle w:val="108"/>
        <w:spacing w:before="156" w:after="156"/>
      </w:pPr>
      <w:r>
        <w:rPr>
          <w:rFonts w:hint="eastAsia"/>
        </w:rPr>
        <w:t>维护要求</w:t>
      </w:r>
    </w:p>
    <w:p>
      <w:pPr>
        <w:pStyle w:val="168"/>
      </w:pPr>
      <w:r>
        <w:rPr>
          <w:rFonts w:hint="eastAsia"/>
        </w:rPr>
        <w:t>制定运行维护的规章制度和操作规程。</w:t>
      </w:r>
    </w:p>
    <w:p>
      <w:pPr>
        <w:pStyle w:val="168"/>
      </w:pPr>
      <w:r>
        <w:rPr>
          <w:rFonts w:hint="eastAsia"/>
        </w:rPr>
        <w:t>日常巡检和维护，保障设备处于正常的运行状态，确保视频采集设备的在线率不低于95%。</w:t>
      </w:r>
    </w:p>
    <w:p>
      <w:pPr>
        <w:pStyle w:val="168"/>
      </w:pPr>
      <w:r>
        <w:rPr>
          <w:rFonts w:hint="eastAsia"/>
        </w:rPr>
        <w:t>发现故障，应尽快采取措施予以解决。</w:t>
      </w:r>
    </w:p>
    <w:p>
      <w:pPr>
        <w:pStyle w:val="107"/>
        <w:spacing w:before="312" w:after="312"/>
      </w:pPr>
      <w:bookmarkStart w:id="42" w:name="_Toc80988884"/>
      <w:r>
        <w:rPr>
          <w:rFonts w:hint="eastAsia"/>
        </w:rPr>
        <w:t>编址、命名和编码</w:t>
      </w:r>
      <w:bookmarkEnd w:id="42"/>
    </w:p>
    <w:p>
      <w:pPr>
        <w:pStyle w:val="108"/>
        <w:spacing w:before="156" w:after="156"/>
      </w:pPr>
      <w:r>
        <w:rPr>
          <w:rFonts w:hint="eastAsia"/>
        </w:rPr>
        <w:t>地址分配</w:t>
      </w:r>
    </w:p>
    <w:p>
      <w:pPr>
        <w:pStyle w:val="59"/>
        <w:ind w:firstLine="420"/>
      </w:pPr>
      <w:r>
        <w:rPr>
          <w:rFonts w:hint="eastAsia"/>
        </w:rPr>
        <w:t>符合数据平台和各网络运营商商定的污染源自动监控现场端IP规划要求。</w:t>
      </w:r>
    </w:p>
    <w:p>
      <w:pPr>
        <w:pStyle w:val="108"/>
        <w:spacing w:before="156" w:after="156"/>
      </w:pPr>
      <w:r>
        <w:rPr>
          <w:rFonts w:hint="eastAsia"/>
        </w:rPr>
        <w:t>监视点命名</w:t>
      </w:r>
    </w:p>
    <w:p>
      <w:pPr>
        <w:pStyle w:val="59"/>
        <w:ind w:firstLine="420"/>
      </w:pPr>
      <w:r>
        <w:rPr>
          <w:rFonts w:hint="eastAsia"/>
        </w:rPr>
        <w:t>一个监视点对应一个命名，按照辖区+监视单位（关键字）+前端监控系统代码+监视点编号+摄像机类型+编号的规则进行。</w:t>
      </w:r>
    </w:p>
    <w:p>
      <w:pPr>
        <w:pStyle w:val="59"/>
        <w:ind w:firstLine="360"/>
        <w:rPr>
          <w:sz w:val="18"/>
          <w:szCs w:val="18"/>
        </w:rPr>
      </w:pPr>
      <w:r>
        <w:rPr>
          <w:rFonts w:hint="eastAsia"/>
          <w:sz w:val="18"/>
          <w:szCs w:val="18"/>
        </w:rPr>
        <w:t xml:space="preserve">示例： </w:t>
      </w:r>
    </w:p>
    <w:p>
      <w:pPr>
        <w:pStyle w:val="59"/>
        <w:ind w:firstLine="360"/>
        <w:rPr>
          <w:sz w:val="18"/>
          <w:szCs w:val="18"/>
        </w:rPr>
      </w:pPr>
      <w:r>
        <w:rPr>
          <w:rFonts w:hint="eastAsia"/>
          <w:sz w:val="18"/>
          <w:szCs w:val="18"/>
        </w:rPr>
        <w:t>设备位置：无锡市/新吴区+无锡惠联热电有限公司</w:t>
      </w:r>
      <w:r>
        <w:rPr>
          <w:rFonts w:hint="eastAsia" w:ascii="Times New Roman" w:eastAsia="黑体"/>
          <w:sz w:val="18"/>
          <w:szCs w:val="18"/>
        </w:rPr>
        <w:t>+ CEMS</w:t>
      </w:r>
      <w:r>
        <w:rPr>
          <w:rFonts w:hint="eastAsia"/>
          <w:sz w:val="18"/>
          <w:szCs w:val="18"/>
        </w:rPr>
        <w:t>监控站房</w:t>
      </w:r>
      <w:r>
        <w:rPr>
          <w:rFonts w:hint="eastAsia" w:ascii="Times New Roman" w:eastAsia="黑体"/>
          <w:sz w:val="18"/>
          <w:szCs w:val="18"/>
        </w:rPr>
        <w:t>+1</w:t>
      </w:r>
      <w:r>
        <w:rPr>
          <w:rFonts w:hint="eastAsia"/>
          <w:sz w:val="18"/>
          <w:szCs w:val="18"/>
        </w:rPr>
        <w:t>号</w:t>
      </w:r>
      <w:r>
        <w:rPr>
          <w:rFonts w:hint="eastAsia" w:ascii="Times New Roman" w:eastAsia="黑体"/>
          <w:sz w:val="18"/>
          <w:szCs w:val="18"/>
        </w:rPr>
        <w:t>+</w:t>
      </w:r>
      <w:r>
        <w:rPr>
          <w:rFonts w:hint="eastAsia"/>
          <w:sz w:val="18"/>
          <w:szCs w:val="18"/>
        </w:rPr>
        <w:t>枪型网络摄像机</w:t>
      </w:r>
      <w:r>
        <w:rPr>
          <w:rFonts w:hint="eastAsia" w:ascii="Times New Roman" w:eastAsia="黑体"/>
          <w:sz w:val="18"/>
          <w:szCs w:val="18"/>
        </w:rPr>
        <w:t>+01</w:t>
      </w:r>
      <w:r>
        <w:rPr>
          <w:rFonts w:hint="eastAsia"/>
          <w:sz w:val="18"/>
          <w:szCs w:val="18"/>
        </w:rPr>
        <w:t>号，</w:t>
      </w:r>
    </w:p>
    <w:p>
      <w:pPr>
        <w:pStyle w:val="59"/>
        <w:ind w:firstLine="360"/>
        <w:rPr>
          <w:sz w:val="18"/>
          <w:szCs w:val="18"/>
        </w:rPr>
      </w:pPr>
      <w:r>
        <w:rPr>
          <w:rFonts w:hint="eastAsia"/>
          <w:sz w:val="18"/>
          <w:szCs w:val="18"/>
        </w:rPr>
        <w:t>命名应为：无锡新吴惠联热电废气站</w:t>
      </w:r>
      <w:r>
        <w:rPr>
          <w:rFonts w:hint="eastAsia" w:ascii="Times New Roman" w:eastAsia="黑体"/>
          <w:sz w:val="18"/>
          <w:szCs w:val="18"/>
        </w:rPr>
        <w:t>1</w:t>
      </w:r>
      <w:r>
        <w:rPr>
          <w:rFonts w:hint="eastAsia"/>
          <w:sz w:val="18"/>
          <w:szCs w:val="18"/>
        </w:rPr>
        <w:t>枪机</w:t>
      </w:r>
      <w:r>
        <w:rPr>
          <w:rFonts w:hint="eastAsia" w:ascii="Times New Roman" w:eastAsia="黑体"/>
          <w:sz w:val="18"/>
          <w:szCs w:val="18"/>
        </w:rPr>
        <w:t>01</w:t>
      </w:r>
      <w:r>
        <w:rPr>
          <w:rFonts w:hint="eastAsia"/>
          <w:sz w:val="18"/>
          <w:szCs w:val="18"/>
        </w:rPr>
        <w:t>。</w:t>
      </w:r>
    </w:p>
    <w:p>
      <w:pPr>
        <w:pStyle w:val="108"/>
        <w:spacing w:before="156" w:after="156"/>
      </w:pPr>
      <w:r>
        <w:rPr>
          <w:rFonts w:hint="eastAsia"/>
        </w:rPr>
        <w:t>监视点编码</w:t>
      </w:r>
    </w:p>
    <w:bookmarkEnd w:id="17"/>
    <w:p>
      <w:pPr>
        <w:pStyle w:val="59"/>
        <w:ind w:firstLine="420"/>
      </w:pPr>
      <w:r>
        <w:rPr>
          <w:rFonts w:hint="eastAsia"/>
        </w:rPr>
        <w:t>一个监视点对应一个编码，具体为由</w:t>
      </w:r>
      <w:r>
        <w:rPr>
          <w:rFonts w:hint="eastAsia" w:ascii="Times New Roman" w:eastAsia="黑体"/>
          <w:sz w:val="18"/>
          <w:szCs w:val="18"/>
        </w:rPr>
        <w:t>24</w:t>
      </w:r>
      <w:r>
        <w:rPr>
          <w:rFonts w:hint="eastAsia"/>
        </w:rPr>
        <w:t>位固定长度的字母数字混合格式组成，编码分为三层，见图。</w:t>
      </w:r>
    </w:p>
    <w:p>
      <w:pPr>
        <w:pStyle w:val="59"/>
        <w:ind w:firstLine="0" w:firstLineChars="0"/>
      </w:pPr>
    </w:p>
    <w:p>
      <w:pPr>
        <w:pStyle w:val="59"/>
        <w:ind w:firstLine="420"/>
        <w:jc w:val="center"/>
      </w:pPr>
      <w:r>
        <w:object>
          <v:shape id="_x0000_i1026" o:spt="75" type="#_x0000_t75" style="height:110.4pt;width:375.6pt;" o:ole="t" filled="f" o:preferrelative="t" stroked="f" coordsize="21600,21600">
            <v:path/>
            <v:fill on="f" focussize="0,0"/>
            <v:stroke on="f" joinstyle="miter"/>
            <v:imagedata r:id="rId19" o:title=""/>
            <o:lock v:ext="edit" aspectratio="t"/>
            <w10:wrap type="none"/>
            <w10:anchorlock/>
          </v:shape>
          <o:OLEObject Type="Embed" ProgID="Visio.Drawing.15" ShapeID="_x0000_i1026" DrawAspect="Content" ObjectID="_1468075726" r:id="rId18">
            <o:LockedField>false</o:LockedField>
          </o:OLEObject>
        </w:object>
      </w:r>
    </w:p>
    <w:p>
      <w:pPr>
        <w:pStyle w:val="117"/>
        <w:spacing w:before="156" w:after="156"/>
      </w:pPr>
      <w:r>
        <w:rPr>
          <w:rFonts w:hint="eastAsia"/>
        </w:rPr>
        <w:t>摄像机编码结构</w:t>
      </w:r>
    </w:p>
    <w:p>
      <w:pPr>
        <w:pStyle w:val="177"/>
        <w:numPr>
          <w:ilvl w:val="0"/>
          <w:numId w:val="42"/>
        </w:numPr>
      </w:pPr>
      <w:r>
        <w:rPr>
          <w:rFonts w:hint="eastAsia"/>
        </w:rPr>
        <w:t>第一层：排污单位统一社会信用代码，采用</w:t>
      </w:r>
      <w:r>
        <w:rPr>
          <w:rFonts w:hint="eastAsia" w:ascii="Times New Roman" w:eastAsia="黑体"/>
          <w:sz w:val="18"/>
          <w:szCs w:val="18"/>
        </w:rPr>
        <w:t>18</w:t>
      </w:r>
      <w:r>
        <w:rPr>
          <w:rFonts w:hint="eastAsia"/>
        </w:rPr>
        <w:t>位数字字母混合格式表示；</w:t>
      </w:r>
    </w:p>
    <w:p>
      <w:pPr>
        <w:pStyle w:val="177"/>
        <w:numPr>
          <w:ilvl w:val="0"/>
          <w:numId w:val="32"/>
        </w:numPr>
      </w:pPr>
      <w:r>
        <w:rPr>
          <w:rFonts w:hint="eastAsia"/>
        </w:rPr>
        <w:t>第二层：前端监控系统编码，前端监控系统一般部署于自动监控站房内，可按自动监控站房进行编码，采用</w:t>
      </w:r>
      <w:r>
        <w:rPr>
          <w:rFonts w:hint="eastAsia" w:ascii="Times New Roman" w:eastAsia="黑体"/>
          <w:sz w:val="18"/>
          <w:szCs w:val="18"/>
        </w:rPr>
        <w:t>2</w:t>
      </w:r>
      <w:r>
        <w:rPr>
          <w:rFonts w:hint="eastAsia"/>
        </w:rPr>
        <w:t>位阿拉伯数字表示，第一位代表监测站房类型，</w:t>
      </w:r>
      <w:r>
        <w:rPr>
          <w:rFonts w:hint="eastAsia" w:ascii="Times New Roman" w:eastAsia="黑体"/>
          <w:sz w:val="18"/>
          <w:szCs w:val="18"/>
        </w:rPr>
        <w:t>1</w:t>
      </w:r>
      <w:r>
        <w:rPr>
          <w:rFonts w:hint="eastAsia"/>
        </w:rPr>
        <w:t>为废水监测站房，</w:t>
      </w:r>
      <w:r>
        <w:rPr>
          <w:rFonts w:hint="eastAsia" w:ascii="Times New Roman" w:eastAsia="黑体"/>
          <w:sz w:val="18"/>
          <w:szCs w:val="18"/>
        </w:rPr>
        <w:t>2</w:t>
      </w:r>
      <w:r>
        <w:rPr>
          <w:rFonts w:hint="eastAsia"/>
        </w:rPr>
        <w:t>为废气监测站房；第二位代表站房编码，即</w:t>
      </w:r>
      <w:r>
        <w:rPr>
          <w:rFonts w:hint="eastAsia" w:ascii="Times New Roman" w:eastAsia="黑体"/>
          <w:sz w:val="18"/>
          <w:szCs w:val="18"/>
        </w:rPr>
        <w:t>1-9</w:t>
      </w:r>
      <w:r>
        <w:rPr>
          <w:rFonts w:hint="eastAsia"/>
        </w:rPr>
        <w:t>，默认为</w:t>
      </w:r>
      <w:r>
        <w:rPr>
          <w:rFonts w:hint="eastAsia" w:ascii="Times New Roman" w:eastAsia="黑体"/>
          <w:sz w:val="18"/>
          <w:szCs w:val="18"/>
        </w:rPr>
        <w:t>1</w:t>
      </w:r>
      <w:r>
        <w:rPr>
          <w:rFonts w:hint="eastAsia"/>
        </w:rPr>
        <w:t>，多个相同站房类型数字编码依次递增；</w:t>
      </w:r>
    </w:p>
    <w:p>
      <w:pPr>
        <w:pStyle w:val="177"/>
        <w:numPr>
          <w:ilvl w:val="0"/>
          <w:numId w:val="32"/>
        </w:numPr>
      </w:pPr>
      <w:r>
        <w:rPr>
          <w:rFonts w:hint="eastAsia"/>
        </w:rPr>
        <w:t>第三层：摄像机设备代码，采用</w:t>
      </w:r>
      <w:r>
        <w:rPr>
          <w:rFonts w:hint="eastAsia" w:ascii="Times New Roman" w:eastAsia="黑体"/>
          <w:sz w:val="18"/>
          <w:szCs w:val="18"/>
        </w:rPr>
        <w:t>4</w:t>
      </w:r>
      <w:r>
        <w:rPr>
          <w:rFonts w:hint="eastAsia"/>
        </w:rPr>
        <w:t>位阿拉伯数字表示，第</w:t>
      </w:r>
      <w:r>
        <w:rPr>
          <w:rFonts w:hint="eastAsia" w:ascii="Times New Roman" w:eastAsia="黑体"/>
          <w:sz w:val="18"/>
          <w:szCs w:val="18"/>
        </w:rPr>
        <w:t>1</w:t>
      </w:r>
      <w:r>
        <w:rPr>
          <w:rFonts w:hint="eastAsia"/>
        </w:rPr>
        <w:t>，</w:t>
      </w:r>
      <w:r>
        <w:rPr>
          <w:rFonts w:hint="eastAsia" w:ascii="Times New Roman" w:eastAsia="黑体"/>
          <w:sz w:val="18"/>
          <w:szCs w:val="18"/>
        </w:rPr>
        <w:t>2</w:t>
      </w:r>
      <w:r>
        <w:rPr>
          <w:rFonts w:hint="eastAsia"/>
        </w:rPr>
        <w:t>位代表设备类型，即</w:t>
      </w:r>
      <w:r>
        <w:rPr>
          <w:rFonts w:hint="eastAsia" w:ascii="Times New Roman" w:eastAsia="黑体"/>
          <w:sz w:val="18"/>
          <w:szCs w:val="18"/>
        </w:rPr>
        <w:t>01～11</w:t>
      </w:r>
      <w:r>
        <w:rPr>
          <w:rFonts w:hint="eastAsia"/>
        </w:rPr>
        <w:t>，取值见下表；第</w:t>
      </w:r>
      <w:r>
        <w:rPr>
          <w:rFonts w:hint="eastAsia" w:ascii="Times New Roman" w:eastAsia="黑体"/>
          <w:sz w:val="18"/>
          <w:szCs w:val="18"/>
        </w:rPr>
        <w:t>3</w:t>
      </w:r>
      <w:r>
        <w:rPr>
          <w:rFonts w:hint="eastAsia"/>
        </w:rPr>
        <w:t>，</w:t>
      </w:r>
      <w:r>
        <w:rPr>
          <w:rFonts w:hint="eastAsia" w:ascii="Times New Roman" w:eastAsia="黑体"/>
          <w:sz w:val="18"/>
          <w:szCs w:val="18"/>
        </w:rPr>
        <w:t>4</w:t>
      </w:r>
      <w:r>
        <w:rPr>
          <w:rFonts w:hint="eastAsia"/>
        </w:rPr>
        <w:t>位代表设备编码，即</w:t>
      </w:r>
      <w:r>
        <w:rPr>
          <w:rFonts w:hint="eastAsia" w:ascii="Times New Roman" w:eastAsia="黑体"/>
          <w:sz w:val="18"/>
          <w:szCs w:val="18"/>
        </w:rPr>
        <w:t>01～99</w:t>
      </w:r>
      <w:r>
        <w:rPr>
          <w:rFonts w:hint="eastAsia"/>
        </w:rPr>
        <w:t>，默认为</w:t>
      </w:r>
      <w:r>
        <w:rPr>
          <w:rFonts w:hint="eastAsia" w:ascii="Times New Roman" w:eastAsia="黑体"/>
          <w:sz w:val="18"/>
          <w:szCs w:val="18"/>
        </w:rPr>
        <w:t>01</w:t>
      </w:r>
      <w:r>
        <w:rPr>
          <w:rFonts w:hint="eastAsia"/>
        </w:rPr>
        <w:t>，多个相同设备类型设备数字编码依次递增。</w:t>
      </w:r>
    </w:p>
    <w:p>
      <w:pPr>
        <w:pStyle w:val="177"/>
        <w:numPr>
          <w:ilvl w:val="0"/>
          <w:numId w:val="0"/>
        </w:numPr>
        <w:ind w:left="425"/>
      </w:pPr>
      <w:r>
        <w:rPr>
          <w:rFonts w:hint="eastAsia"/>
        </w:rPr>
        <w:t>设备类型码见表1：</w:t>
      </w:r>
    </w:p>
    <w:p>
      <w:pPr>
        <w:pStyle w:val="177"/>
        <w:numPr>
          <w:ilvl w:val="0"/>
          <w:numId w:val="0"/>
        </w:numPr>
        <w:ind w:left="425"/>
      </w:pPr>
    </w:p>
    <w:p>
      <w:pPr>
        <w:pStyle w:val="177"/>
        <w:numPr>
          <w:ilvl w:val="0"/>
          <w:numId w:val="0"/>
        </w:numPr>
        <w:ind w:left="425"/>
      </w:pPr>
    </w:p>
    <w:p>
      <w:pPr>
        <w:pStyle w:val="177"/>
        <w:numPr>
          <w:ilvl w:val="0"/>
          <w:numId w:val="0"/>
        </w:numPr>
        <w:ind w:left="425"/>
      </w:pPr>
    </w:p>
    <w:p>
      <w:pPr>
        <w:pStyle w:val="115"/>
        <w:spacing w:before="156" w:after="156"/>
      </w:pPr>
      <w:r>
        <w:rPr>
          <w:rFonts w:hint="eastAsia"/>
        </w:rPr>
        <w:t>设备类型码</w:t>
      </w:r>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687"/>
        <w:gridCol w:w="340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tcBorders>
              <w:top w:val="single" w:color="auto" w:sz="12" w:space="0"/>
              <w:bottom w:val="single" w:color="auto" w:sz="12" w:space="0"/>
            </w:tcBorders>
            <w:vAlign w:val="center"/>
          </w:tcPr>
          <w:p>
            <w:pPr>
              <w:pStyle w:val="59"/>
              <w:ind w:firstLine="0" w:firstLineChars="0"/>
              <w:jc w:val="center"/>
              <w:rPr>
                <w:sz w:val="18"/>
                <w:szCs w:val="18"/>
              </w:rPr>
            </w:pPr>
            <w:bookmarkStart w:id="43" w:name="_Hlk90124888"/>
            <w:r>
              <w:rPr>
                <w:rFonts w:hint="eastAsia" w:hAnsi="宋体"/>
                <w:sz w:val="18"/>
                <w:szCs w:val="18"/>
              </w:rPr>
              <w:t>设备类型</w:t>
            </w:r>
          </w:p>
        </w:tc>
        <w:tc>
          <w:tcPr>
            <w:tcW w:w="3400" w:type="dxa"/>
            <w:tcBorders>
              <w:top w:val="single" w:color="auto" w:sz="12" w:space="0"/>
              <w:bottom w:val="single" w:color="auto" w:sz="12" w:space="0"/>
            </w:tcBorders>
            <w:vAlign w:val="center"/>
          </w:tcPr>
          <w:p>
            <w:pPr>
              <w:pStyle w:val="59"/>
              <w:ind w:firstLine="0" w:firstLineChars="0"/>
              <w:jc w:val="center"/>
              <w:rPr>
                <w:sz w:val="18"/>
                <w:szCs w:val="18"/>
              </w:rPr>
            </w:pPr>
            <w:r>
              <w:rPr>
                <w:rFonts w:hint="eastAsia" w:hAnsi="宋体"/>
                <w:sz w:val="18"/>
                <w:szCs w:val="18"/>
              </w:rPr>
              <w:t>代码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tcBorders>
              <w:top w:val="single" w:color="auto" w:sz="12" w:space="0"/>
            </w:tcBorders>
            <w:vAlign w:val="center"/>
          </w:tcPr>
          <w:p>
            <w:pPr>
              <w:pStyle w:val="59"/>
              <w:ind w:firstLine="0" w:firstLineChars="0"/>
              <w:jc w:val="center"/>
              <w:rPr>
                <w:sz w:val="18"/>
                <w:szCs w:val="18"/>
              </w:rPr>
            </w:pPr>
            <w:r>
              <w:rPr>
                <w:rFonts w:hint="eastAsia" w:hAnsi="宋体"/>
                <w:sz w:val="18"/>
                <w:szCs w:val="18"/>
              </w:rPr>
              <w:t>网络高速球机</w:t>
            </w:r>
          </w:p>
        </w:tc>
        <w:tc>
          <w:tcPr>
            <w:tcW w:w="3400" w:type="dxa"/>
            <w:tcBorders>
              <w:top w:val="single" w:color="auto" w:sz="12" w:space="0"/>
            </w:tcBorders>
            <w:vAlign w:val="center"/>
          </w:tcPr>
          <w:p>
            <w:pPr>
              <w:pStyle w:val="59"/>
              <w:ind w:firstLine="0" w:firstLineChars="0"/>
              <w:jc w:val="center"/>
              <w:rPr>
                <w:sz w:val="18"/>
                <w:szCs w:val="18"/>
              </w:rPr>
            </w:pPr>
            <w:r>
              <w:rPr>
                <w:rFonts w:hint="eastAsia" w:hAnsi="宋体"/>
                <w:sz w:val="18"/>
                <w:szCs w:val="18"/>
              </w:rPr>
              <w:t>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网络中速球机</w:t>
            </w:r>
          </w:p>
        </w:tc>
        <w:tc>
          <w:tcPr>
            <w:tcW w:w="3400" w:type="dxa"/>
            <w:vAlign w:val="center"/>
          </w:tcPr>
          <w:p>
            <w:pPr>
              <w:pStyle w:val="59"/>
              <w:ind w:firstLine="0" w:firstLineChars="0"/>
              <w:jc w:val="center"/>
              <w:rPr>
                <w:sz w:val="18"/>
                <w:szCs w:val="18"/>
              </w:rPr>
            </w:pPr>
            <w:r>
              <w:rPr>
                <w:rFonts w:hint="eastAsia" w:hAnsi="宋体"/>
                <w:sz w:val="18"/>
                <w:szCs w:val="18"/>
              </w:rPr>
              <w:t>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网络枪型摄像机</w:t>
            </w:r>
          </w:p>
        </w:tc>
        <w:tc>
          <w:tcPr>
            <w:tcW w:w="3400" w:type="dxa"/>
            <w:vAlign w:val="center"/>
          </w:tcPr>
          <w:p>
            <w:pPr>
              <w:pStyle w:val="59"/>
              <w:ind w:firstLine="0" w:firstLineChars="0"/>
              <w:jc w:val="center"/>
              <w:rPr>
                <w:sz w:val="18"/>
                <w:szCs w:val="18"/>
              </w:rPr>
            </w:pPr>
            <w:r>
              <w:rPr>
                <w:rFonts w:hint="eastAsia" w:hAnsi="宋体"/>
                <w:sz w:val="18"/>
                <w:szCs w:val="18"/>
              </w:rPr>
              <w:t>03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网络半球摄像机</w:t>
            </w:r>
          </w:p>
        </w:tc>
        <w:tc>
          <w:tcPr>
            <w:tcW w:w="3400" w:type="dxa"/>
            <w:vAlign w:val="center"/>
          </w:tcPr>
          <w:p>
            <w:pPr>
              <w:pStyle w:val="59"/>
              <w:ind w:firstLine="0" w:firstLineChars="0"/>
              <w:jc w:val="center"/>
              <w:rPr>
                <w:sz w:val="18"/>
                <w:szCs w:val="18"/>
              </w:rPr>
            </w:pPr>
            <w:r>
              <w:rPr>
                <w:rFonts w:hint="eastAsia" w:hAnsi="宋体"/>
                <w:sz w:val="18"/>
                <w:szCs w:val="18"/>
              </w:rPr>
              <w:t>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网络筒型摄像机</w:t>
            </w:r>
          </w:p>
        </w:tc>
        <w:tc>
          <w:tcPr>
            <w:tcW w:w="3400" w:type="dxa"/>
            <w:vAlign w:val="center"/>
          </w:tcPr>
          <w:p>
            <w:pPr>
              <w:pStyle w:val="59"/>
              <w:ind w:firstLine="0" w:firstLineChars="0"/>
              <w:jc w:val="center"/>
              <w:rPr>
                <w:sz w:val="18"/>
                <w:szCs w:val="18"/>
              </w:rPr>
            </w:pPr>
            <w:r>
              <w:rPr>
                <w:rFonts w:hint="eastAsia" w:hAnsi="宋体"/>
                <w:sz w:val="18"/>
                <w:szCs w:val="18"/>
              </w:rPr>
              <w:t>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高速球机</w:t>
            </w:r>
          </w:p>
        </w:tc>
        <w:tc>
          <w:tcPr>
            <w:tcW w:w="3400" w:type="dxa"/>
            <w:vAlign w:val="center"/>
          </w:tcPr>
          <w:p>
            <w:pPr>
              <w:pStyle w:val="59"/>
              <w:ind w:firstLine="0" w:firstLineChars="0"/>
              <w:jc w:val="center"/>
              <w:rPr>
                <w:sz w:val="18"/>
                <w:szCs w:val="18"/>
              </w:rPr>
            </w:pPr>
            <w:r>
              <w:rPr>
                <w:rFonts w:hint="eastAsia" w:hAnsi="宋体"/>
                <w:sz w:val="18"/>
                <w:szCs w:val="18"/>
              </w:rPr>
              <w:t>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中速球机</w:t>
            </w:r>
          </w:p>
        </w:tc>
        <w:tc>
          <w:tcPr>
            <w:tcW w:w="3400" w:type="dxa"/>
            <w:vAlign w:val="center"/>
          </w:tcPr>
          <w:p>
            <w:pPr>
              <w:pStyle w:val="59"/>
              <w:ind w:firstLine="0" w:firstLineChars="0"/>
              <w:jc w:val="center"/>
              <w:rPr>
                <w:sz w:val="18"/>
                <w:szCs w:val="18"/>
              </w:rPr>
            </w:pPr>
            <w:r>
              <w:rPr>
                <w:rFonts w:hint="eastAsia" w:hAnsi="宋体"/>
                <w:sz w:val="18"/>
                <w:szCs w:val="18"/>
              </w:rPr>
              <w:t>07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枪型摄像机</w:t>
            </w:r>
          </w:p>
        </w:tc>
        <w:tc>
          <w:tcPr>
            <w:tcW w:w="3400" w:type="dxa"/>
            <w:vAlign w:val="center"/>
          </w:tcPr>
          <w:p>
            <w:pPr>
              <w:pStyle w:val="59"/>
              <w:ind w:firstLine="0" w:firstLineChars="0"/>
              <w:jc w:val="center"/>
              <w:rPr>
                <w:sz w:val="18"/>
                <w:szCs w:val="18"/>
              </w:rPr>
            </w:pPr>
            <w:r>
              <w:rPr>
                <w:rFonts w:hint="eastAsia" w:hAnsi="宋体"/>
                <w:sz w:val="18"/>
                <w:szCs w:val="18"/>
              </w:rPr>
              <w:t>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半球摄像机</w:t>
            </w:r>
          </w:p>
        </w:tc>
        <w:tc>
          <w:tcPr>
            <w:tcW w:w="3400" w:type="dxa"/>
            <w:vAlign w:val="center"/>
          </w:tcPr>
          <w:p>
            <w:pPr>
              <w:pStyle w:val="59"/>
              <w:ind w:firstLine="0" w:firstLineChars="0"/>
              <w:jc w:val="center"/>
              <w:rPr>
                <w:sz w:val="18"/>
                <w:szCs w:val="18"/>
              </w:rPr>
            </w:pPr>
            <w:r>
              <w:rPr>
                <w:rFonts w:hint="eastAsia" w:hAnsi="宋体"/>
                <w:sz w:val="18"/>
                <w:szCs w:val="18"/>
              </w:rPr>
              <w:t>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筒型摄像机</w:t>
            </w:r>
          </w:p>
        </w:tc>
        <w:tc>
          <w:tcPr>
            <w:tcW w:w="3400" w:type="dxa"/>
            <w:vAlign w:val="center"/>
          </w:tcPr>
          <w:p>
            <w:pPr>
              <w:pStyle w:val="59"/>
              <w:ind w:firstLine="0" w:firstLineChars="0"/>
              <w:jc w:val="center"/>
              <w:rPr>
                <w:sz w:val="18"/>
                <w:szCs w:val="18"/>
              </w:rPr>
            </w:pPr>
            <w:r>
              <w:rPr>
                <w:rFonts w:hint="eastAsia" w:hAnsi="宋体"/>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87" w:type="dxa"/>
            <w:vAlign w:val="center"/>
          </w:tcPr>
          <w:p>
            <w:pPr>
              <w:pStyle w:val="59"/>
              <w:ind w:firstLine="0" w:firstLineChars="0"/>
              <w:jc w:val="center"/>
              <w:rPr>
                <w:sz w:val="18"/>
                <w:szCs w:val="18"/>
              </w:rPr>
            </w:pPr>
            <w:r>
              <w:rPr>
                <w:rFonts w:hint="eastAsia" w:hAnsi="宋体"/>
                <w:sz w:val="18"/>
                <w:szCs w:val="18"/>
              </w:rPr>
              <w:t>其他</w:t>
            </w:r>
          </w:p>
        </w:tc>
        <w:tc>
          <w:tcPr>
            <w:tcW w:w="3400" w:type="dxa"/>
            <w:vAlign w:val="center"/>
          </w:tcPr>
          <w:p>
            <w:pPr>
              <w:pStyle w:val="59"/>
              <w:ind w:firstLine="0" w:firstLineChars="0"/>
              <w:jc w:val="center"/>
              <w:rPr>
                <w:sz w:val="18"/>
                <w:szCs w:val="18"/>
              </w:rPr>
            </w:pPr>
            <w:r>
              <w:rPr>
                <w:rFonts w:hint="eastAsia" w:hAnsi="宋体"/>
                <w:sz w:val="18"/>
                <w:szCs w:val="18"/>
              </w:rPr>
              <w:t>11</w:t>
            </w:r>
          </w:p>
        </w:tc>
      </w:tr>
      <w:bookmarkEnd w:id="43"/>
    </w:tbl>
    <w:p>
      <w:pPr>
        <w:pStyle w:val="59"/>
        <w:spacing w:before="156" w:beforeLines="50"/>
        <w:ind w:firstLine="420"/>
      </w:pPr>
      <w:r>
        <w:rPr>
          <w:rFonts w:hint="eastAsia"/>
        </w:rPr>
        <w:t>示例：</w:t>
      </w:r>
    </w:p>
    <w:p>
      <w:pPr>
        <w:pStyle w:val="59"/>
        <w:ind w:firstLine="420"/>
      </w:pPr>
      <w:r>
        <w:rPr>
          <w:rFonts w:hint="eastAsia"/>
        </w:rPr>
        <w:t>设备位置:无锡市/新吴区+无锡惠联热电有限公司</w:t>
      </w:r>
      <w:r>
        <w:rPr>
          <w:rFonts w:hint="eastAsia" w:ascii="Times New Roman" w:eastAsia="黑体"/>
        </w:rPr>
        <w:t>+ CEMS</w:t>
      </w:r>
      <w:r>
        <w:rPr>
          <w:rFonts w:hint="eastAsia"/>
        </w:rPr>
        <w:t>监测站房</w:t>
      </w:r>
      <w:r>
        <w:rPr>
          <w:rFonts w:hint="eastAsia" w:ascii="Times New Roman" w:eastAsia="黑体"/>
        </w:rPr>
        <w:t>+1</w:t>
      </w:r>
      <w:r>
        <w:rPr>
          <w:rFonts w:hint="eastAsia"/>
        </w:rPr>
        <w:t>号</w:t>
      </w:r>
      <w:r>
        <w:rPr>
          <w:rFonts w:hint="eastAsia" w:ascii="Times New Roman" w:eastAsia="黑体"/>
        </w:rPr>
        <w:t>+</w:t>
      </w:r>
      <w:r>
        <w:rPr>
          <w:rFonts w:hint="eastAsia"/>
        </w:rPr>
        <w:t>网络枪型摄像机</w:t>
      </w:r>
      <w:r>
        <w:rPr>
          <w:rFonts w:hint="eastAsia" w:ascii="Times New Roman" w:eastAsia="黑体"/>
        </w:rPr>
        <w:t>+01</w:t>
      </w:r>
      <w:r>
        <w:rPr>
          <w:rFonts w:hint="eastAsia"/>
        </w:rPr>
        <w:t>号，</w:t>
      </w:r>
    </w:p>
    <w:p>
      <w:pPr>
        <w:pStyle w:val="59"/>
        <w:ind w:firstLine="420"/>
      </w:pPr>
      <w:r>
        <w:rPr>
          <w:rFonts w:hint="eastAsia"/>
        </w:rPr>
        <w:t>编码应为：</w:t>
      </w:r>
      <w:r>
        <w:rPr>
          <w:rFonts w:hint="eastAsia" w:ascii="Times New Roman" w:eastAsia="黑体"/>
        </w:rPr>
        <w:t>9132020075798665X1210301</w:t>
      </w:r>
      <w:r>
        <w:rPr>
          <w:rFonts w:hint="eastAsia"/>
        </w:rPr>
        <w:t>。</w:t>
      </w:r>
    </w:p>
    <w:p>
      <w:pPr>
        <w:pStyle w:val="59"/>
        <w:ind w:firstLine="420"/>
      </w:pPr>
    </w:p>
    <w:p>
      <w:pPr>
        <w:pStyle w:val="59"/>
        <w:ind w:firstLine="420"/>
      </w:pPr>
    </w:p>
    <w:p>
      <w:pPr>
        <w:pStyle w:val="59"/>
        <w:ind w:firstLine="420"/>
      </w:pPr>
    </w:p>
    <w:p>
      <w:pPr>
        <w:pStyle w:val="59"/>
        <w:ind w:firstLine="420"/>
      </w:pPr>
    </w:p>
    <w:p>
      <w:pPr>
        <w:pStyle w:val="59"/>
        <w:ind w:firstLine="420"/>
      </w:pPr>
    </w:p>
    <w:p>
      <w:pPr>
        <w:pStyle w:val="59"/>
        <w:ind w:firstLine="420"/>
      </w:pPr>
      <w:r>
        <w:pict>
          <v:rect id="_x0000_i1027" o:spt="1" style="height:1.5pt;width:116.95pt;" fillcolor="#000000" filled="t" stroked="f" coordsize="21600,21600" o:hr="t" o:hrstd="t" o:hrnoshade="t" o:hrpct="250" o:hralign="center">
            <v:path/>
            <v:fill on="t" focussize="0,0"/>
            <v:stroke on="f"/>
            <v:imagedata o:title=""/>
            <o:lock v:ext="edit"/>
            <w10:wrap type="none"/>
            <w10:anchorlock/>
          </v:rect>
        </w:pict>
      </w:r>
    </w:p>
    <w:p>
      <w:pPr>
        <w:pStyle w:val="59"/>
        <w:ind w:firstLine="420"/>
      </w:pPr>
    </w:p>
    <w:sectPr>
      <w:pgSz w:w="11906" w:h="16838"/>
      <w:pgMar w:top="2410" w:right="1134" w:bottom="1134" w:left="1134" w:header="1418" w:footer="1134" w:gutter="284"/>
      <w:pgNumType w:start="1"/>
      <w:cols w:space="425" w:num="1"/>
      <w:formProt w:val="0"/>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嘉豪 赵" w:date="2023-09-14T10:30:00Z" w:initials="嘉赵">
    <w:p w14:paraId="4E6C55AE">
      <w:pPr>
        <w:pStyle w:val="13"/>
      </w:pPr>
      <w:r>
        <w:rPr>
          <w:rFonts w:hint="eastAsia"/>
        </w:rPr>
        <w:t>增加括号内容，以及下标</w:t>
      </w:r>
    </w:p>
  </w:comment>
  <w:comment w:id="1" w:author="嘉豪 赵" w:date="2023-09-14T10:33:00Z" w:initials="嘉赵">
    <w:p w14:paraId="3FDF662F">
      <w:pPr>
        <w:pStyle w:val="13"/>
      </w:pPr>
      <w:r>
        <w:rPr>
          <w:rFonts w:hint="eastAsia"/>
        </w:rPr>
        <w:t>”至少“后面去掉“以上”？</w:t>
      </w:r>
    </w:p>
  </w:comment>
  <w:comment w:id="2" w:author="嘉豪 赵" w:date="2023-09-14T10:30:00Z" w:initials="嘉赵">
    <w:p w14:paraId="2F181B14">
      <w:pPr>
        <w:pStyle w:val="13"/>
      </w:pPr>
      <w:r>
        <w:rPr>
          <w:rFonts w:hint="eastAsia"/>
        </w:rPr>
        <w:t>重复，删除至少</w:t>
      </w:r>
    </w:p>
  </w:comment>
  <w:comment w:id="3" w:author="嘉豪 赵" w:date="2023-09-14T10:37:00Z" w:initials="嘉赵">
    <w:p w14:paraId="762926D6">
      <w:pPr>
        <w:pStyle w:val="13"/>
      </w:pPr>
      <w:r>
        <w:rPr>
          <w:rFonts w:hint="eastAsia"/>
        </w:rPr>
        <w:t>将“s”改为汉字“秒”?前后时间形式统一</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E6C55AE" w15:done="0"/>
  <w15:commentEx w15:paraId="3FDF662F" w15:done="0"/>
  <w15:commentEx w15:paraId="2F181B14" w15:done="0"/>
  <w15:commentEx w15:paraId="762926D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left"/>
    </w:pPr>
    <w:r>
      <w:fldChar w:fldCharType="begin"/>
    </w:r>
    <w:r>
      <w:instrText xml:space="preserve">PAGE   \* MERGEFORMAT</w:instrText>
    </w:r>
    <w:r>
      <w:fldChar w:fldCharType="separate"/>
    </w:r>
    <w:r>
      <w:rPr>
        <w:lang w:val="zh-CN"/>
      </w:rP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PAGE   \* MERGEFORMAT</w:instrText>
    </w:r>
    <w:r>
      <w:fldChar w:fldCharType="separate"/>
    </w:r>
    <w:r>
      <w:rPr>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DB32/TXXXX—XXXX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jc w:val="left"/>
    </w:pPr>
    <w:r>
      <w:fldChar w:fldCharType="begin"/>
    </w:r>
    <w:r>
      <w:instrText xml:space="preserve"> STYLEREF  标准文件_文件编号  \* MERGEFORMAT </w:instrText>
    </w:r>
    <w:r>
      <w:fldChar w:fldCharType="separate"/>
    </w:r>
    <w:r>
      <w:t>DB32/TXXXX—XXXX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嘉豪 赵">
    <w15:presenceInfo w15:providerId="Windows Live" w15:userId="1a5a48ad797714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8"/>
  <w:bordersDoNotSurroundHeader w:val="1"/>
  <w:bordersDoNotSurroundFooter w:val="1"/>
  <w:revisionView w:markup="0"/>
  <w:documentProtection w:edit="forms" w:enforcement="0"/>
  <w:defaultTabStop w:val="420"/>
  <w:evenAndOddHeaders w:val="1"/>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3MjEzZWYxZmE0Y2JmODdhY2E3ZWU1MTRkNmUyMDUifQ=="/>
  </w:docVars>
  <w:rsids>
    <w:rsidRoot w:val="0070208F"/>
    <w:rsid w:val="0000040A"/>
    <w:rsid w:val="00000A94"/>
    <w:rsid w:val="00001972"/>
    <w:rsid w:val="00001D9A"/>
    <w:rsid w:val="00007B3A"/>
    <w:rsid w:val="000107E0"/>
    <w:rsid w:val="00011FDE"/>
    <w:rsid w:val="00012D76"/>
    <w:rsid w:val="00012FFD"/>
    <w:rsid w:val="00014162"/>
    <w:rsid w:val="00014228"/>
    <w:rsid w:val="00014340"/>
    <w:rsid w:val="00014B39"/>
    <w:rsid w:val="000163D0"/>
    <w:rsid w:val="00016A9C"/>
    <w:rsid w:val="00022184"/>
    <w:rsid w:val="00022762"/>
    <w:rsid w:val="000238E0"/>
    <w:rsid w:val="000249DB"/>
    <w:rsid w:val="00024DB4"/>
    <w:rsid w:val="0002595E"/>
    <w:rsid w:val="000303C3"/>
    <w:rsid w:val="000331D3"/>
    <w:rsid w:val="000346A5"/>
    <w:rsid w:val="000359C3"/>
    <w:rsid w:val="00035A7D"/>
    <w:rsid w:val="000365ED"/>
    <w:rsid w:val="00041579"/>
    <w:rsid w:val="0004249A"/>
    <w:rsid w:val="00043282"/>
    <w:rsid w:val="00044286"/>
    <w:rsid w:val="000442F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5BB"/>
    <w:rsid w:val="00077B64"/>
    <w:rsid w:val="00080A1C"/>
    <w:rsid w:val="00082317"/>
    <w:rsid w:val="00083D2C"/>
    <w:rsid w:val="00086AA1"/>
    <w:rsid w:val="00087A77"/>
    <w:rsid w:val="000904A9"/>
    <w:rsid w:val="00090CA6"/>
    <w:rsid w:val="0009203D"/>
    <w:rsid w:val="00092B8A"/>
    <w:rsid w:val="00092FB0"/>
    <w:rsid w:val="000934C5"/>
    <w:rsid w:val="00093D25"/>
    <w:rsid w:val="00093DAB"/>
    <w:rsid w:val="00094D73"/>
    <w:rsid w:val="00096D63"/>
    <w:rsid w:val="000A0B60"/>
    <w:rsid w:val="000A0EB8"/>
    <w:rsid w:val="000A19FC"/>
    <w:rsid w:val="000A296B"/>
    <w:rsid w:val="000A5CFE"/>
    <w:rsid w:val="000A5D84"/>
    <w:rsid w:val="000A6775"/>
    <w:rsid w:val="000A7311"/>
    <w:rsid w:val="000B060F"/>
    <w:rsid w:val="000B1592"/>
    <w:rsid w:val="000B1FF2"/>
    <w:rsid w:val="000B3CDA"/>
    <w:rsid w:val="000B6A0B"/>
    <w:rsid w:val="000C0F6C"/>
    <w:rsid w:val="000C11DB"/>
    <w:rsid w:val="000C1492"/>
    <w:rsid w:val="000C2FBD"/>
    <w:rsid w:val="000C4B41"/>
    <w:rsid w:val="000C52B7"/>
    <w:rsid w:val="000C57D6"/>
    <w:rsid w:val="000C6362"/>
    <w:rsid w:val="000C7666"/>
    <w:rsid w:val="000D0A9C"/>
    <w:rsid w:val="000D1795"/>
    <w:rsid w:val="000D329A"/>
    <w:rsid w:val="000D4B9C"/>
    <w:rsid w:val="000D4EB6"/>
    <w:rsid w:val="000D567B"/>
    <w:rsid w:val="000D753B"/>
    <w:rsid w:val="000E4C9E"/>
    <w:rsid w:val="000E6FD7"/>
    <w:rsid w:val="000E78B0"/>
    <w:rsid w:val="000F06E1"/>
    <w:rsid w:val="000F0E3C"/>
    <w:rsid w:val="000F19D5"/>
    <w:rsid w:val="000F4AEA"/>
    <w:rsid w:val="000F633F"/>
    <w:rsid w:val="000F67E9"/>
    <w:rsid w:val="00102AE7"/>
    <w:rsid w:val="00104926"/>
    <w:rsid w:val="00106F7C"/>
    <w:rsid w:val="00113B1E"/>
    <w:rsid w:val="0011711C"/>
    <w:rsid w:val="00120143"/>
    <w:rsid w:val="0012059C"/>
    <w:rsid w:val="00124E4F"/>
    <w:rsid w:val="001260B7"/>
    <w:rsid w:val="001265CB"/>
    <w:rsid w:val="001317C4"/>
    <w:rsid w:val="001321C6"/>
    <w:rsid w:val="001325C4"/>
    <w:rsid w:val="00133010"/>
    <w:rsid w:val="001338EE"/>
    <w:rsid w:val="00133AAE"/>
    <w:rsid w:val="00135323"/>
    <w:rsid w:val="001356C4"/>
    <w:rsid w:val="00140CC3"/>
    <w:rsid w:val="00141114"/>
    <w:rsid w:val="00142969"/>
    <w:rsid w:val="001446C2"/>
    <w:rsid w:val="001457E7"/>
    <w:rsid w:val="00145D9D"/>
    <w:rsid w:val="00146388"/>
    <w:rsid w:val="00150713"/>
    <w:rsid w:val="001529E5"/>
    <w:rsid w:val="00152A76"/>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0C3"/>
    <w:rsid w:val="00170804"/>
    <w:rsid w:val="001708E9"/>
    <w:rsid w:val="0017340B"/>
    <w:rsid w:val="00173FB1"/>
    <w:rsid w:val="00176DFD"/>
    <w:rsid w:val="001852C9"/>
    <w:rsid w:val="00190087"/>
    <w:rsid w:val="001913C4"/>
    <w:rsid w:val="0019348F"/>
    <w:rsid w:val="00193A07"/>
    <w:rsid w:val="00194C95"/>
    <w:rsid w:val="00195C09"/>
    <w:rsid w:val="00195C34"/>
    <w:rsid w:val="00196EF5"/>
    <w:rsid w:val="001A1A53"/>
    <w:rsid w:val="001A234A"/>
    <w:rsid w:val="001A4CF3"/>
    <w:rsid w:val="001B06E8"/>
    <w:rsid w:val="001B58AE"/>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0356"/>
    <w:rsid w:val="001E1B6A"/>
    <w:rsid w:val="001E2484"/>
    <w:rsid w:val="001E3CC4"/>
    <w:rsid w:val="001E4882"/>
    <w:rsid w:val="001E73AB"/>
    <w:rsid w:val="001E7836"/>
    <w:rsid w:val="001F092D"/>
    <w:rsid w:val="001F143A"/>
    <w:rsid w:val="001F1605"/>
    <w:rsid w:val="001F2508"/>
    <w:rsid w:val="001F4816"/>
    <w:rsid w:val="001F4EE9"/>
    <w:rsid w:val="001F69B4"/>
    <w:rsid w:val="001F77C7"/>
    <w:rsid w:val="00200183"/>
    <w:rsid w:val="00200333"/>
    <w:rsid w:val="0020107D"/>
    <w:rsid w:val="00202AA4"/>
    <w:rsid w:val="002031F7"/>
    <w:rsid w:val="00203B9D"/>
    <w:rsid w:val="002040E6"/>
    <w:rsid w:val="0020527B"/>
    <w:rsid w:val="00205F2C"/>
    <w:rsid w:val="00210B15"/>
    <w:rsid w:val="00211D4E"/>
    <w:rsid w:val="002142EA"/>
    <w:rsid w:val="002204BB"/>
    <w:rsid w:val="0022062E"/>
    <w:rsid w:val="00220EC3"/>
    <w:rsid w:val="00221B79"/>
    <w:rsid w:val="00221C6B"/>
    <w:rsid w:val="00222EE6"/>
    <w:rsid w:val="00223709"/>
    <w:rsid w:val="002253A1"/>
    <w:rsid w:val="00225CF8"/>
    <w:rsid w:val="0022794E"/>
    <w:rsid w:val="002312ED"/>
    <w:rsid w:val="00233D64"/>
    <w:rsid w:val="0023482A"/>
    <w:rsid w:val="002359CB"/>
    <w:rsid w:val="00243540"/>
    <w:rsid w:val="0024497B"/>
    <w:rsid w:val="0024515B"/>
    <w:rsid w:val="0024570B"/>
    <w:rsid w:val="00246021"/>
    <w:rsid w:val="0024666E"/>
    <w:rsid w:val="00247F52"/>
    <w:rsid w:val="002509D8"/>
    <w:rsid w:val="00250B25"/>
    <w:rsid w:val="00250BBE"/>
    <w:rsid w:val="002515C2"/>
    <w:rsid w:val="0025194F"/>
    <w:rsid w:val="00256F4C"/>
    <w:rsid w:val="0026148A"/>
    <w:rsid w:val="00262696"/>
    <w:rsid w:val="00263D25"/>
    <w:rsid w:val="002643C3"/>
    <w:rsid w:val="00264A0C"/>
    <w:rsid w:val="00266147"/>
    <w:rsid w:val="00266EEB"/>
    <w:rsid w:val="002675DB"/>
    <w:rsid w:val="00267EF4"/>
    <w:rsid w:val="00270CB8"/>
    <w:rsid w:val="00272B08"/>
    <w:rsid w:val="00272B68"/>
    <w:rsid w:val="00273D60"/>
    <w:rsid w:val="00281BB8"/>
    <w:rsid w:val="00281E9E"/>
    <w:rsid w:val="00282405"/>
    <w:rsid w:val="002834BE"/>
    <w:rsid w:val="00285170"/>
    <w:rsid w:val="00285361"/>
    <w:rsid w:val="0028785C"/>
    <w:rsid w:val="00292B34"/>
    <w:rsid w:val="00292D60"/>
    <w:rsid w:val="00293B30"/>
    <w:rsid w:val="00294D34"/>
    <w:rsid w:val="00294E3B"/>
    <w:rsid w:val="00296193"/>
    <w:rsid w:val="00296C66"/>
    <w:rsid w:val="00296EBE"/>
    <w:rsid w:val="002974E3"/>
    <w:rsid w:val="002A084B"/>
    <w:rsid w:val="002A1260"/>
    <w:rsid w:val="002A1589"/>
    <w:rsid w:val="002A1608"/>
    <w:rsid w:val="002A23B0"/>
    <w:rsid w:val="002A25DC"/>
    <w:rsid w:val="002A2F70"/>
    <w:rsid w:val="002A3AAB"/>
    <w:rsid w:val="002A4CEA"/>
    <w:rsid w:val="002A5977"/>
    <w:rsid w:val="002A5A13"/>
    <w:rsid w:val="002A757F"/>
    <w:rsid w:val="002A7F44"/>
    <w:rsid w:val="002B0C40"/>
    <w:rsid w:val="002B1966"/>
    <w:rsid w:val="002B2DA8"/>
    <w:rsid w:val="002B4508"/>
    <w:rsid w:val="002B5779"/>
    <w:rsid w:val="002B6940"/>
    <w:rsid w:val="002B6C35"/>
    <w:rsid w:val="002B7332"/>
    <w:rsid w:val="002B7F51"/>
    <w:rsid w:val="002C09E7"/>
    <w:rsid w:val="002C1E06"/>
    <w:rsid w:val="002C1E1C"/>
    <w:rsid w:val="002C3F07"/>
    <w:rsid w:val="002C5278"/>
    <w:rsid w:val="002C7DCF"/>
    <w:rsid w:val="002C7EBB"/>
    <w:rsid w:val="002D06C1"/>
    <w:rsid w:val="002D2712"/>
    <w:rsid w:val="002D28E9"/>
    <w:rsid w:val="002D42B5"/>
    <w:rsid w:val="002D4F1A"/>
    <w:rsid w:val="002D6C37"/>
    <w:rsid w:val="002D6EC6"/>
    <w:rsid w:val="002D79AC"/>
    <w:rsid w:val="002E039D"/>
    <w:rsid w:val="002E4D5A"/>
    <w:rsid w:val="002E6326"/>
    <w:rsid w:val="002E65B1"/>
    <w:rsid w:val="002F30E0"/>
    <w:rsid w:val="002F35E4"/>
    <w:rsid w:val="002F3730"/>
    <w:rsid w:val="002F38E1"/>
    <w:rsid w:val="002F7AF6"/>
    <w:rsid w:val="00300E63"/>
    <w:rsid w:val="00302F5F"/>
    <w:rsid w:val="0030441D"/>
    <w:rsid w:val="00306063"/>
    <w:rsid w:val="003068F2"/>
    <w:rsid w:val="00313B85"/>
    <w:rsid w:val="00314466"/>
    <w:rsid w:val="00317988"/>
    <w:rsid w:val="003221B4"/>
    <w:rsid w:val="0032258D"/>
    <w:rsid w:val="00322E62"/>
    <w:rsid w:val="00324D13"/>
    <w:rsid w:val="00324D2A"/>
    <w:rsid w:val="00324EDD"/>
    <w:rsid w:val="00325710"/>
    <w:rsid w:val="00327510"/>
    <w:rsid w:val="003331E4"/>
    <w:rsid w:val="0033518D"/>
    <w:rsid w:val="00336C64"/>
    <w:rsid w:val="00337162"/>
    <w:rsid w:val="0034194F"/>
    <w:rsid w:val="00344605"/>
    <w:rsid w:val="003456D1"/>
    <w:rsid w:val="003460BE"/>
    <w:rsid w:val="003474AA"/>
    <w:rsid w:val="00350D1D"/>
    <w:rsid w:val="00352C83"/>
    <w:rsid w:val="00352DF9"/>
    <w:rsid w:val="003615D2"/>
    <w:rsid w:val="0036429C"/>
    <w:rsid w:val="00364A53"/>
    <w:rsid w:val="003654CB"/>
    <w:rsid w:val="00365AA9"/>
    <w:rsid w:val="00365F86"/>
    <w:rsid w:val="00365F87"/>
    <w:rsid w:val="00366D00"/>
    <w:rsid w:val="00366E89"/>
    <w:rsid w:val="003705F4"/>
    <w:rsid w:val="00370D58"/>
    <w:rsid w:val="00371316"/>
    <w:rsid w:val="00376713"/>
    <w:rsid w:val="00381815"/>
    <w:rsid w:val="003819AF"/>
    <w:rsid w:val="003820E9"/>
    <w:rsid w:val="00382597"/>
    <w:rsid w:val="00382DE7"/>
    <w:rsid w:val="00384FFC"/>
    <w:rsid w:val="003872FC"/>
    <w:rsid w:val="00387ADC"/>
    <w:rsid w:val="00387F6D"/>
    <w:rsid w:val="00390020"/>
    <w:rsid w:val="003903D6"/>
    <w:rsid w:val="00390EE6"/>
    <w:rsid w:val="0039118F"/>
    <w:rsid w:val="003925BA"/>
    <w:rsid w:val="003929F3"/>
    <w:rsid w:val="00392AD7"/>
    <w:rsid w:val="003938D9"/>
    <w:rsid w:val="00394376"/>
    <w:rsid w:val="003943FF"/>
    <w:rsid w:val="00395700"/>
    <w:rsid w:val="003974EB"/>
    <w:rsid w:val="00397CC5"/>
    <w:rsid w:val="003A0FC1"/>
    <w:rsid w:val="003A1582"/>
    <w:rsid w:val="003A4077"/>
    <w:rsid w:val="003A481E"/>
    <w:rsid w:val="003B09AD"/>
    <w:rsid w:val="003B1F18"/>
    <w:rsid w:val="003B5BF0"/>
    <w:rsid w:val="003B60BF"/>
    <w:rsid w:val="003B6BE3"/>
    <w:rsid w:val="003C010C"/>
    <w:rsid w:val="003C0A6C"/>
    <w:rsid w:val="003C14F8"/>
    <w:rsid w:val="003C214D"/>
    <w:rsid w:val="003C460E"/>
    <w:rsid w:val="003C5A43"/>
    <w:rsid w:val="003D0519"/>
    <w:rsid w:val="003D0E09"/>
    <w:rsid w:val="003D0FF6"/>
    <w:rsid w:val="003D262C"/>
    <w:rsid w:val="003D3B64"/>
    <w:rsid w:val="003D6D61"/>
    <w:rsid w:val="003E091D"/>
    <w:rsid w:val="003E1C53"/>
    <w:rsid w:val="003E2A69"/>
    <w:rsid w:val="003E2B28"/>
    <w:rsid w:val="003E2D49"/>
    <w:rsid w:val="003E2FD4"/>
    <w:rsid w:val="003E49F6"/>
    <w:rsid w:val="003E660F"/>
    <w:rsid w:val="003F0841"/>
    <w:rsid w:val="003F23D3"/>
    <w:rsid w:val="003F3F08"/>
    <w:rsid w:val="003F49F1"/>
    <w:rsid w:val="003F6272"/>
    <w:rsid w:val="004002A1"/>
    <w:rsid w:val="00400E72"/>
    <w:rsid w:val="00401400"/>
    <w:rsid w:val="00404869"/>
    <w:rsid w:val="00405884"/>
    <w:rsid w:val="004067F7"/>
    <w:rsid w:val="00407D39"/>
    <w:rsid w:val="0041477A"/>
    <w:rsid w:val="00415F12"/>
    <w:rsid w:val="004167A3"/>
    <w:rsid w:val="00421B70"/>
    <w:rsid w:val="00431CAB"/>
    <w:rsid w:val="00432DAA"/>
    <w:rsid w:val="00434305"/>
    <w:rsid w:val="00434F1F"/>
    <w:rsid w:val="00435DF7"/>
    <w:rsid w:val="00437F75"/>
    <w:rsid w:val="004404F5"/>
    <w:rsid w:val="0044083F"/>
    <w:rsid w:val="00441AE7"/>
    <w:rsid w:val="004433B8"/>
    <w:rsid w:val="00445422"/>
    <w:rsid w:val="00445574"/>
    <w:rsid w:val="004467FB"/>
    <w:rsid w:val="00452D6B"/>
    <w:rsid w:val="00454484"/>
    <w:rsid w:val="0045517B"/>
    <w:rsid w:val="00463B77"/>
    <w:rsid w:val="00463C7B"/>
    <w:rsid w:val="004644A6"/>
    <w:rsid w:val="004659BD"/>
    <w:rsid w:val="0046784E"/>
    <w:rsid w:val="00470775"/>
    <w:rsid w:val="004746B1"/>
    <w:rsid w:val="0047583F"/>
    <w:rsid w:val="00475CD1"/>
    <w:rsid w:val="00475DE8"/>
    <w:rsid w:val="00481C44"/>
    <w:rsid w:val="0048205B"/>
    <w:rsid w:val="00484936"/>
    <w:rsid w:val="00485C89"/>
    <w:rsid w:val="00486BE3"/>
    <w:rsid w:val="004905E4"/>
    <w:rsid w:val="00490A89"/>
    <w:rsid w:val="00490AB4"/>
    <w:rsid w:val="00491921"/>
    <w:rsid w:val="00492F02"/>
    <w:rsid w:val="00492FA8"/>
    <w:rsid w:val="004939AE"/>
    <w:rsid w:val="00497C03"/>
    <w:rsid w:val="004A12DF"/>
    <w:rsid w:val="004A17E6"/>
    <w:rsid w:val="004A1BA8"/>
    <w:rsid w:val="004A4B57"/>
    <w:rsid w:val="004A63FA"/>
    <w:rsid w:val="004B0272"/>
    <w:rsid w:val="004B2701"/>
    <w:rsid w:val="004B2E1B"/>
    <w:rsid w:val="004B3AA8"/>
    <w:rsid w:val="004B3E93"/>
    <w:rsid w:val="004C1FBC"/>
    <w:rsid w:val="004C3F1D"/>
    <w:rsid w:val="004C458D"/>
    <w:rsid w:val="004C635F"/>
    <w:rsid w:val="004C7556"/>
    <w:rsid w:val="004C7E8B"/>
    <w:rsid w:val="004C7E9D"/>
    <w:rsid w:val="004C7F67"/>
    <w:rsid w:val="004D076D"/>
    <w:rsid w:val="004D0AD6"/>
    <w:rsid w:val="004D0EF1"/>
    <w:rsid w:val="004D16C7"/>
    <w:rsid w:val="004D2253"/>
    <w:rsid w:val="004D4406"/>
    <w:rsid w:val="004D7C42"/>
    <w:rsid w:val="004E0465"/>
    <w:rsid w:val="004E127B"/>
    <w:rsid w:val="004E1C0A"/>
    <w:rsid w:val="004E2B06"/>
    <w:rsid w:val="004E30C5"/>
    <w:rsid w:val="004E4AA5"/>
    <w:rsid w:val="004E4AEE"/>
    <w:rsid w:val="004E59E3"/>
    <w:rsid w:val="004E67C0"/>
    <w:rsid w:val="004F1D3C"/>
    <w:rsid w:val="004F391A"/>
    <w:rsid w:val="004F3BAC"/>
    <w:rsid w:val="004F3CFB"/>
    <w:rsid w:val="004F6456"/>
    <w:rsid w:val="004F696E"/>
    <w:rsid w:val="004F6C71"/>
    <w:rsid w:val="00501139"/>
    <w:rsid w:val="0050363E"/>
    <w:rsid w:val="005039BC"/>
    <w:rsid w:val="005043BB"/>
    <w:rsid w:val="00504A3D"/>
    <w:rsid w:val="00505767"/>
    <w:rsid w:val="005073F0"/>
    <w:rsid w:val="005074DC"/>
    <w:rsid w:val="00510A7B"/>
    <w:rsid w:val="00512F6E"/>
    <w:rsid w:val="00513038"/>
    <w:rsid w:val="00514174"/>
    <w:rsid w:val="005155C9"/>
    <w:rsid w:val="00516088"/>
    <w:rsid w:val="00516B0B"/>
    <w:rsid w:val="005212D8"/>
    <w:rsid w:val="005220EC"/>
    <w:rsid w:val="00522DFC"/>
    <w:rsid w:val="00523038"/>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233E"/>
    <w:rsid w:val="00555044"/>
    <w:rsid w:val="00561475"/>
    <w:rsid w:val="005635CA"/>
    <w:rsid w:val="0056487B"/>
    <w:rsid w:val="00564FB9"/>
    <w:rsid w:val="00573D9E"/>
    <w:rsid w:val="005801E3"/>
    <w:rsid w:val="00581802"/>
    <w:rsid w:val="005836A8"/>
    <w:rsid w:val="0058409C"/>
    <w:rsid w:val="00584262"/>
    <w:rsid w:val="00586630"/>
    <w:rsid w:val="00587ADD"/>
    <w:rsid w:val="00591E27"/>
    <w:rsid w:val="00596160"/>
    <w:rsid w:val="005966E2"/>
    <w:rsid w:val="00596DE3"/>
    <w:rsid w:val="00597007"/>
    <w:rsid w:val="005A0966"/>
    <w:rsid w:val="005A11B7"/>
    <w:rsid w:val="005A260B"/>
    <w:rsid w:val="005A4A1B"/>
    <w:rsid w:val="005A7830"/>
    <w:rsid w:val="005A7FCE"/>
    <w:rsid w:val="005B0F3F"/>
    <w:rsid w:val="005B4903"/>
    <w:rsid w:val="005B4CF2"/>
    <w:rsid w:val="005B51CE"/>
    <w:rsid w:val="005B5885"/>
    <w:rsid w:val="005B5CD7"/>
    <w:rsid w:val="005B6CF6"/>
    <w:rsid w:val="005B7422"/>
    <w:rsid w:val="005C29B8"/>
    <w:rsid w:val="005C2D8A"/>
    <w:rsid w:val="005C562C"/>
    <w:rsid w:val="005C5F21"/>
    <w:rsid w:val="005C7156"/>
    <w:rsid w:val="005D0C75"/>
    <w:rsid w:val="005D3989"/>
    <w:rsid w:val="005D4171"/>
    <w:rsid w:val="005D4D56"/>
    <w:rsid w:val="005D5228"/>
    <w:rsid w:val="005D6363"/>
    <w:rsid w:val="005D6A95"/>
    <w:rsid w:val="005D6B2C"/>
    <w:rsid w:val="005D6D9C"/>
    <w:rsid w:val="005E2335"/>
    <w:rsid w:val="005E34CA"/>
    <w:rsid w:val="005E3C18"/>
    <w:rsid w:val="005E6812"/>
    <w:rsid w:val="005E7881"/>
    <w:rsid w:val="005E78E0"/>
    <w:rsid w:val="005F0D9C"/>
    <w:rsid w:val="005F284E"/>
    <w:rsid w:val="005F4024"/>
    <w:rsid w:val="005F4712"/>
    <w:rsid w:val="005F4A93"/>
    <w:rsid w:val="006015CE"/>
    <w:rsid w:val="00604784"/>
    <w:rsid w:val="00606419"/>
    <w:rsid w:val="00607D29"/>
    <w:rsid w:val="00612952"/>
    <w:rsid w:val="00614CC1"/>
    <w:rsid w:val="00615A9D"/>
    <w:rsid w:val="00617387"/>
    <w:rsid w:val="006205D6"/>
    <w:rsid w:val="006239C1"/>
    <w:rsid w:val="006252D8"/>
    <w:rsid w:val="006259BC"/>
    <w:rsid w:val="0062636B"/>
    <w:rsid w:val="00632182"/>
    <w:rsid w:val="00632AE0"/>
    <w:rsid w:val="00633C17"/>
    <w:rsid w:val="00634D9E"/>
    <w:rsid w:val="00636E3E"/>
    <w:rsid w:val="006379F7"/>
    <w:rsid w:val="00637E4D"/>
    <w:rsid w:val="00640620"/>
    <w:rsid w:val="006411DE"/>
    <w:rsid w:val="00641A1F"/>
    <w:rsid w:val="00645904"/>
    <w:rsid w:val="006462B9"/>
    <w:rsid w:val="00651ACB"/>
    <w:rsid w:val="00651C47"/>
    <w:rsid w:val="00652AB2"/>
    <w:rsid w:val="00653FED"/>
    <w:rsid w:val="00654EC0"/>
    <w:rsid w:val="0065525B"/>
    <w:rsid w:val="00655D4F"/>
    <w:rsid w:val="00656D29"/>
    <w:rsid w:val="00657CC7"/>
    <w:rsid w:val="006640E5"/>
    <w:rsid w:val="006646F1"/>
    <w:rsid w:val="00664929"/>
    <w:rsid w:val="00664F62"/>
    <w:rsid w:val="006655E1"/>
    <w:rsid w:val="00671C6A"/>
    <w:rsid w:val="00672060"/>
    <w:rsid w:val="00672BFD"/>
    <w:rsid w:val="006752AE"/>
    <w:rsid w:val="00676BA2"/>
    <w:rsid w:val="006770F4"/>
    <w:rsid w:val="00677A84"/>
    <w:rsid w:val="0068026D"/>
    <w:rsid w:val="00680A27"/>
    <w:rsid w:val="006816A4"/>
    <w:rsid w:val="006819B8"/>
    <w:rsid w:val="006840A6"/>
    <w:rsid w:val="006850CD"/>
    <w:rsid w:val="00685AAB"/>
    <w:rsid w:val="00695D22"/>
    <w:rsid w:val="00696D1E"/>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28EB"/>
    <w:rsid w:val="006D3607"/>
    <w:rsid w:val="006D3E96"/>
    <w:rsid w:val="006D42B6"/>
    <w:rsid w:val="006D4515"/>
    <w:rsid w:val="006D4BB1"/>
    <w:rsid w:val="006D6593"/>
    <w:rsid w:val="006E23EA"/>
    <w:rsid w:val="006F03A8"/>
    <w:rsid w:val="006F2ACA"/>
    <w:rsid w:val="006F2ADC"/>
    <w:rsid w:val="006F2BFE"/>
    <w:rsid w:val="006F31E9"/>
    <w:rsid w:val="006F6284"/>
    <w:rsid w:val="007002C5"/>
    <w:rsid w:val="00700659"/>
    <w:rsid w:val="0070208F"/>
    <w:rsid w:val="00704387"/>
    <w:rsid w:val="00707669"/>
    <w:rsid w:val="00711CBA"/>
    <w:rsid w:val="00711FB5"/>
    <w:rsid w:val="00712A01"/>
    <w:rsid w:val="00714F58"/>
    <w:rsid w:val="00716487"/>
    <w:rsid w:val="00717E88"/>
    <w:rsid w:val="00722FBF"/>
    <w:rsid w:val="00722FC2"/>
    <w:rsid w:val="00724879"/>
    <w:rsid w:val="00724E1B"/>
    <w:rsid w:val="00725949"/>
    <w:rsid w:val="00727FA2"/>
    <w:rsid w:val="00730D5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2BBC"/>
    <w:rsid w:val="00755402"/>
    <w:rsid w:val="00756B26"/>
    <w:rsid w:val="00756EDF"/>
    <w:rsid w:val="00757B6A"/>
    <w:rsid w:val="007600E3"/>
    <w:rsid w:val="00765C43"/>
    <w:rsid w:val="00765DA2"/>
    <w:rsid w:val="00765EFB"/>
    <w:rsid w:val="007671CA"/>
    <w:rsid w:val="00767C61"/>
    <w:rsid w:val="0077008A"/>
    <w:rsid w:val="00773C1F"/>
    <w:rsid w:val="00774DA4"/>
    <w:rsid w:val="00776599"/>
    <w:rsid w:val="00777E7E"/>
    <w:rsid w:val="0078114B"/>
    <w:rsid w:val="00781DD2"/>
    <w:rsid w:val="00783ECF"/>
    <w:rsid w:val="0078413A"/>
    <w:rsid w:val="007863C9"/>
    <w:rsid w:val="0079292E"/>
    <w:rsid w:val="007959E8"/>
    <w:rsid w:val="00795E9C"/>
    <w:rsid w:val="007A0521"/>
    <w:rsid w:val="007A2E12"/>
    <w:rsid w:val="007A3475"/>
    <w:rsid w:val="007A41C8"/>
    <w:rsid w:val="007A43A9"/>
    <w:rsid w:val="007A54CE"/>
    <w:rsid w:val="007A6FD9"/>
    <w:rsid w:val="007A7FFA"/>
    <w:rsid w:val="007B04EB"/>
    <w:rsid w:val="007B0D4F"/>
    <w:rsid w:val="007B1E43"/>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E7B04"/>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076"/>
    <w:rsid w:val="00821AE9"/>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469A7"/>
    <w:rsid w:val="0085173A"/>
    <w:rsid w:val="008535B0"/>
    <w:rsid w:val="00856316"/>
    <w:rsid w:val="008603CE"/>
    <w:rsid w:val="008620FC"/>
    <w:rsid w:val="008627A5"/>
    <w:rsid w:val="00863E05"/>
    <w:rsid w:val="00865ACA"/>
    <w:rsid w:val="00865D28"/>
    <w:rsid w:val="00865F85"/>
    <w:rsid w:val="00867C10"/>
    <w:rsid w:val="00870439"/>
    <w:rsid w:val="00870DA1"/>
    <w:rsid w:val="00877149"/>
    <w:rsid w:val="008772A3"/>
    <w:rsid w:val="00881580"/>
    <w:rsid w:val="00883D09"/>
    <w:rsid w:val="00883F93"/>
    <w:rsid w:val="00884DB3"/>
    <w:rsid w:val="00885A9D"/>
    <w:rsid w:val="008864F6"/>
    <w:rsid w:val="00886628"/>
    <w:rsid w:val="0089049D"/>
    <w:rsid w:val="008928C9"/>
    <w:rsid w:val="008930CB"/>
    <w:rsid w:val="00893483"/>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1D3C"/>
    <w:rsid w:val="008B3615"/>
    <w:rsid w:val="008B3DF6"/>
    <w:rsid w:val="008B4AC4"/>
    <w:rsid w:val="008B50C8"/>
    <w:rsid w:val="008B5281"/>
    <w:rsid w:val="008B7E05"/>
    <w:rsid w:val="008C1797"/>
    <w:rsid w:val="008C219C"/>
    <w:rsid w:val="008C475E"/>
    <w:rsid w:val="008C5DBE"/>
    <w:rsid w:val="008C619A"/>
    <w:rsid w:val="008D0CE8"/>
    <w:rsid w:val="008D2D1D"/>
    <w:rsid w:val="008D453D"/>
    <w:rsid w:val="008D53AD"/>
    <w:rsid w:val="008D562B"/>
    <w:rsid w:val="008D5733"/>
    <w:rsid w:val="008D622B"/>
    <w:rsid w:val="008D635C"/>
    <w:rsid w:val="008D666C"/>
    <w:rsid w:val="008D7B54"/>
    <w:rsid w:val="008E0C9D"/>
    <w:rsid w:val="008E0FD9"/>
    <w:rsid w:val="008E1648"/>
    <w:rsid w:val="008E1B3E"/>
    <w:rsid w:val="008E2319"/>
    <w:rsid w:val="008E39A4"/>
    <w:rsid w:val="008E4BB6"/>
    <w:rsid w:val="008E5518"/>
    <w:rsid w:val="008E6A84"/>
    <w:rsid w:val="008F0CDC"/>
    <w:rsid w:val="008F17A3"/>
    <w:rsid w:val="008F1ED3"/>
    <w:rsid w:val="008F23A5"/>
    <w:rsid w:val="008F4C29"/>
    <w:rsid w:val="008F70BD"/>
    <w:rsid w:val="008F788F"/>
    <w:rsid w:val="008F7EA2"/>
    <w:rsid w:val="009013D6"/>
    <w:rsid w:val="00902722"/>
    <w:rsid w:val="009027BC"/>
    <w:rsid w:val="009062E6"/>
    <w:rsid w:val="00906BE8"/>
    <w:rsid w:val="00911BE5"/>
    <w:rsid w:val="0091304D"/>
    <w:rsid w:val="00913CA9"/>
    <w:rsid w:val="009145AE"/>
    <w:rsid w:val="009146CE"/>
    <w:rsid w:val="00914CA7"/>
    <w:rsid w:val="00915C3E"/>
    <w:rsid w:val="0091611B"/>
    <w:rsid w:val="009161A8"/>
    <w:rsid w:val="009245F5"/>
    <w:rsid w:val="009249EC"/>
    <w:rsid w:val="00926AA7"/>
    <w:rsid w:val="009273B3"/>
    <w:rsid w:val="009305B5"/>
    <w:rsid w:val="0094206B"/>
    <w:rsid w:val="009429D5"/>
    <w:rsid w:val="00942BF1"/>
    <w:rsid w:val="00945180"/>
    <w:rsid w:val="00945428"/>
    <w:rsid w:val="0094607B"/>
    <w:rsid w:val="00953604"/>
    <w:rsid w:val="0095496B"/>
    <w:rsid w:val="009610DC"/>
    <w:rsid w:val="00961490"/>
    <w:rsid w:val="00963439"/>
    <w:rsid w:val="0096381A"/>
    <w:rsid w:val="00965E04"/>
    <w:rsid w:val="009674AD"/>
    <w:rsid w:val="00967919"/>
    <w:rsid w:val="00970CDC"/>
    <w:rsid w:val="00977010"/>
    <w:rsid w:val="00977D02"/>
    <w:rsid w:val="009809BB"/>
    <w:rsid w:val="00983301"/>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5A1B"/>
    <w:rsid w:val="009D6BCA"/>
    <w:rsid w:val="009D76DB"/>
    <w:rsid w:val="009E0F62"/>
    <w:rsid w:val="009E4A58"/>
    <w:rsid w:val="009E5A2D"/>
    <w:rsid w:val="009E5AB2"/>
    <w:rsid w:val="009E6219"/>
    <w:rsid w:val="009F03B3"/>
    <w:rsid w:val="00A0096C"/>
    <w:rsid w:val="00A01757"/>
    <w:rsid w:val="00A028C0"/>
    <w:rsid w:val="00A02BAE"/>
    <w:rsid w:val="00A04B84"/>
    <w:rsid w:val="00A06A6B"/>
    <w:rsid w:val="00A07E47"/>
    <w:rsid w:val="00A129D0"/>
    <w:rsid w:val="00A12C33"/>
    <w:rsid w:val="00A138BA"/>
    <w:rsid w:val="00A14457"/>
    <w:rsid w:val="00A14C8E"/>
    <w:rsid w:val="00A153D9"/>
    <w:rsid w:val="00A15841"/>
    <w:rsid w:val="00A15F09"/>
    <w:rsid w:val="00A169B6"/>
    <w:rsid w:val="00A2271D"/>
    <w:rsid w:val="00A237D5"/>
    <w:rsid w:val="00A24AFF"/>
    <w:rsid w:val="00A30EFC"/>
    <w:rsid w:val="00A31984"/>
    <w:rsid w:val="00A32D73"/>
    <w:rsid w:val="00A3367B"/>
    <w:rsid w:val="00A35902"/>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44DF"/>
    <w:rsid w:val="00A74A08"/>
    <w:rsid w:val="00A75E06"/>
    <w:rsid w:val="00A77CCB"/>
    <w:rsid w:val="00A82086"/>
    <w:rsid w:val="00A83D8D"/>
    <w:rsid w:val="00A83FDC"/>
    <w:rsid w:val="00A8446B"/>
    <w:rsid w:val="00A8473F"/>
    <w:rsid w:val="00A862D6"/>
    <w:rsid w:val="00A8715E"/>
    <w:rsid w:val="00A9295B"/>
    <w:rsid w:val="00A93B09"/>
    <w:rsid w:val="00A94247"/>
    <w:rsid w:val="00A952D7"/>
    <w:rsid w:val="00A963F7"/>
    <w:rsid w:val="00A96AD8"/>
    <w:rsid w:val="00AA052C"/>
    <w:rsid w:val="00AA058A"/>
    <w:rsid w:val="00AA1E45"/>
    <w:rsid w:val="00AA4286"/>
    <w:rsid w:val="00AA456B"/>
    <w:rsid w:val="00AA57F5"/>
    <w:rsid w:val="00AA672E"/>
    <w:rsid w:val="00AA6EC9"/>
    <w:rsid w:val="00AA7CCB"/>
    <w:rsid w:val="00AB41D5"/>
    <w:rsid w:val="00AB475C"/>
    <w:rsid w:val="00AB6309"/>
    <w:rsid w:val="00AB6C5F"/>
    <w:rsid w:val="00AB7129"/>
    <w:rsid w:val="00AC043A"/>
    <w:rsid w:val="00AC27A6"/>
    <w:rsid w:val="00AC30F7"/>
    <w:rsid w:val="00AC3A5A"/>
    <w:rsid w:val="00AC4D95"/>
    <w:rsid w:val="00AC5C49"/>
    <w:rsid w:val="00AC5DF4"/>
    <w:rsid w:val="00AD0AEF"/>
    <w:rsid w:val="00AD11B7"/>
    <w:rsid w:val="00AD1A94"/>
    <w:rsid w:val="00AD1C05"/>
    <w:rsid w:val="00AD4126"/>
    <w:rsid w:val="00AD421C"/>
    <w:rsid w:val="00AD4410"/>
    <w:rsid w:val="00AD44FA"/>
    <w:rsid w:val="00AD5C9F"/>
    <w:rsid w:val="00AE070A"/>
    <w:rsid w:val="00AE101C"/>
    <w:rsid w:val="00AE37E5"/>
    <w:rsid w:val="00AE3BFF"/>
    <w:rsid w:val="00AE56A8"/>
    <w:rsid w:val="00AE5EB4"/>
    <w:rsid w:val="00AF0C18"/>
    <w:rsid w:val="00AF47C5"/>
    <w:rsid w:val="00AF533C"/>
    <w:rsid w:val="00AF5398"/>
    <w:rsid w:val="00AF6A1A"/>
    <w:rsid w:val="00B049AF"/>
    <w:rsid w:val="00B05B09"/>
    <w:rsid w:val="00B06522"/>
    <w:rsid w:val="00B07242"/>
    <w:rsid w:val="00B10534"/>
    <w:rsid w:val="00B113DB"/>
    <w:rsid w:val="00B11D8A"/>
    <w:rsid w:val="00B11E9F"/>
    <w:rsid w:val="00B1293A"/>
    <w:rsid w:val="00B12981"/>
    <w:rsid w:val="00B13B55"/>
    <w:rsid w:val="00B147DD"/>
    <w:rsid w:val="00B156FD"/>
    <w:rsid w:val="00B169CF"/>
    <w:rsid w:val="00B21F61"/>
    <w:rsid w:val="00B261F1"/>
    <w:rsid w:val="00B265BC"/>
    <w:rsid w:val="00B315AA"/>
    <w:rsid w:val="00B31FB1"/>
    <w:rsid w:val="00B33952"/>
    <w:rsid w:val="00B33C5E"/>
    <w:rsid w:val="00B342F4"/>
    <w:rsid w:val="00B34369"/>
    <w:rsid w:val="00B34DC2"/>
    <w:rsid w:val="00B378E5"/>
    <w:rsid w:val="00B4346D"/>
    <w:rsid w:val="00B440F4"/>
    <w:rsid w:val="00B44378"/>
    <w:rsid w:val="00B447A5"/>
    <w:rsid w:val="00B4654C"/>
    <w:rsid w:val="00B47293"/>
    <w:rsid w:val="00B50E50"/>
    <w:rsid w:val="00B52120"/>
    <w:rsid w:val="00B54ABC"/>
    <w:rsid w:val="00B54DDE"/>
    <w:rsid w:val="00B56FBE"/>
    <w:rsid w:val="00B60ACF"/>
    <w:rsid w:val="00B6162E"/>
    <w:rsid w:val="00B61D95"/>
    <w:rsid w:val="00B62B58"/>
    <w:rsid w:val="00B65149"/>
    <w:rsid w:val="00B66567"/>
    <w:rsid w:val="00B66F52"/>
    <w:rsid w:val="00B66FE5"/>
    <w:rsid w:val="00B71310"/>
    <w:rsid w:val="00B72880"/>
    <w:rsid w:val="00B758BF"/>
    <w:rsid w:val="00B77EC8"/>
    <w:rsid w:val="00B827A6"/>
    <w:rsid w:val="00B831CE"/>
    <w:rsid w:val="00B8590F"/>
    <w:rsid w:val="00B8611A"/>
    <w:rsid w:val="00B86677"/>
    <w:rsid w:val="00B87131"/>
    <w:rsid w:val="00B939B1"/>
    <w:rsid w:val="00B943DD"/>
    <w:rsid w:val="00B96D40"/>
    <w:rsid w:val="00B97386"/>
    <w:rsid w:val="00BA263B"/>
    <w:rsid w:val="00BA42B2"/>
    <w:rsid w:val="00BA58D4"/>
    <w:rsid w:val="00BA5B9E"/>
    <w:rsid w:val="00BA7C9A"/>
    <w:rsid w:val="00BB5F8F"/>
    <w:rsid w:val="00BB657A"/>
    <w:rsid w:val="00BC1A4E"/>
    <w:rsid w:val="00BC4E28"/>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21E4"/>
    <w:rsid w:val="00C04904"/>
    <w:rsid w:val="00C056B3"/>
    <w:rsid w:val="00C103E5"/>
    <w:rsid w:val="00C13319"/>
    <w:rsid w:val="00C13EE9"/>
    <w:rsid w:val="00C20516"/>
    <w:rsid w:val="00C21540"/>
    <w:rsid w:val="00C21906"/>
    <w:rsid w:val="00C21BFA"/>
    <w:rsid w:val="00C22148"/>
    <w:rsid w:val="00C24C8D"/>
    <w:rsid w:val="00C25FE2"/>
    <w:rsid w:val="00C26B53"/>
    <w:rsid w:val="00C279B2"/>
    <w:rsid w:val="00C33033"/>
    <w:rsid w:val="00C33E50"/>
    <w:rsid w:val="00C34C20"/>
    <w:rsid w:val="00C35A3E"/>
    <w:rsid w:val="00C42130"/>
    <w:rsid w:val="00C423A4"/>
    <w:rsid w:val="00C44BF5"/>
    <w:rsid w:val="00C45088"/>
    <w:rsid w:val="00C521D6"/>
    <w:rsid w:val="00C533AD"/>
    <w:rsid w:val="00C55232"/>
    <w:rsid w:val="00C553A4"/>
    <w:rsid w:val="00C55A06"/>
    <w:rsid w:val="00C55D03"/>
    <w:rsid w:val="00C601BC"/>
    <w:rsid w:val="00C60575"/>
    <w:rsid w:val="00C6329F"/>
    <w:rsid w:val="00C63340"/>
    <w:rsid w:val="00C643F9"/>
    <w:rsid w:val="00C64E95"/>
    <w:rsid w:val="00C67F9B"/>
    <w:rsid w:val="00C71372"/>
    <w:rsid w:val="00C72410"/>
    <w:rsid w:val="00C7287F"/>
    <w:rsid w:val="00C73A61"/>
    <w:rsid w:val="00C80CB8"/>
    <w:rsid w:val="00C819F8"/>
    <w:rsid w:val="00C82471"/>
    <w:rsid w:val="00C8248C"/>
    <w:rsid w:val="00C84E33"/>
    <w:rsid w:val="00C86D6F"/>
    <w:rsid w:val="00C905FC"/>
    <w:rsid w:val="00C910EA"/>
    <w:rsid w:val="00C92D03"/>
    <w:rsid w:val="00C9319C"/>
    <w:rsid w:val="00C932F2"/>
    <w:rsid w:val="00C9435D"/>
    <w:rsid w:val="00C94DF2"/>
    <w:rsid w:val="00C96741"/>
    <w:rsid w:val="00CA2D1B"/>
    <w:rsid w:val="00CA375D"/>
    <w:rsid w:val="00CA3C0C"/>
    <w:rsid w:val="00CA4088"/>
    <w:rsid w:val="00CA5781"/>
    <w:rsid w:val="00CA662A"/>
    <w:rsid w:val="00CA7AFD"/>
    <w:rsid w:val="00CA7C3C"/>
    <w:rsid w:val="00CA7CFE"/>
    <w:rsid w:val="00CB0189"/>
    <w:rsid w:val="00CB0BA2"/>
    <w:rsid w:val="00CB1A42"/>
    <w:rsid w:val="00CB1B0C"/>
    <w:rsid w:val="00CB2001"/>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6830"/>
    <w:rsid w:val="00CD6E03"/>
    <w:rsid w:val="00CE0C4F"/>
    <w:rsid w:val="00CE30EA"/>
    <w:rsid w:val="00CE3565"/>
    <w:rsid w:val="00CF048A"/>
    <w:rsid w:val="00CF155A"/>
    <w:rsid w:val="00CF2947"/>
    <w:rsid w:val="00CF646E"/>
    <w:rsid w:val="00CF686F"/>
    <w:rsid w:val="00CF6E60"/>
    <w:rsid w:val="00CF7BCA"/>
    <w:rsid w:val="00D008FD"/>
    <w:rsid w:val="00D0321C"/>
    <w:rsid w:val="00D035EC"/>
    <w:rsid w:val="00D06AB1"/>
    <w:rsid w:val="00D072ED"/>
    <w:rsid w:val="00D07A16"/>
    <w:rsid w:val="00D1067E"/>
    <w:rsid w:val="00D107CA"/>
    <w:rsid w:val="00D10F50"/>
    <w:rsid w:val="00D11272"/>
    <w:rsid w:val="00D126F5"/>
    <w:rsid w:val="00D1489E"/>
    <w:rsid w:val="00D17D08"/>
    <w:rsid w:val="00D20737"/>
    <w:rsid w:val="00D21E81"/>
    <w:rsid w:val="00D223DE"/>
    <w:rsid w:val="00D25E37"/>
    <w:rsid w:val="00D2661A"/>
    <w:rsid w:val="00D27582"/>
    <w:rsid w:val="00D27EC4"/>
    <w:rsid w:val="00D32719"/>
    <w:rsid w:val="00D33333"/>
    <w:rsid w:val="00D33457"/>
    <w:rsid w:val="00D352A2"/>
    <w:rsid w:val="00D377C4"/>
    <w:rsid w:val="00D4162B"/>
    <w:rsid w:val="00D4514F"/>
    <w:rsid w:val="00D451E2"/>
    <w:rsid w:val="00D45E89"/>
    <w:rsid w:val="00D45E8D"/>
    <w:rsid w:val="00D466AE"/>
    <w:rsid w:val="00D4734F"/>
    <w:rsid w:val="00D51BF3"/>
    <w:rsid w:val="00D66846"/>
    <w:rsid w:val="00D675FB"/>
    <w:rsid w:val="00D71F25"/>
    <w:rsid w:val="00D72A9C"/>
    <w:rsid w:val="00D77031"/>
    <w:rsid w:val="00D77D6E"/>
    <w:rsid w:val="00D8048F"/>
    <w:rsid w:val="00D84941"/>
    <w:rsid w:val="00D84FA1"/>
    <w:rsid w:val="00D851F0"/>
    <w:rsid w:val="00D8631D"/>
    <w:rsid w:val="00D86D63"/>
    <w:rsid w:val="00D86DB7"/>
    <w:rsid w:val="00D87E13"/>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33FB"/>
    <w:rsid w:val="00DD4FE5"/>
    <w:rsid w:val="00DD54B0"/>
    <w:rsid w:val="00DD57EE"/>
    <w:rsid w:val="00DD6BCC"/>
    <w:rsid w:val="00DE0A4B"/>
    <w:rsid w:val="00DE2410"/>
    <w:rsid w:val="00DE2939"/>
    <w:rsid w:val="00DE59A0"/>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275C7"/>
    <w:rsid w:val="00E27B92"/>
    <w:rsid w:val="00E3137A"/>
    <w:rsid w:val="00E32CCF"/>
    <w:rsid w:val="00E34A98"/>
    <w:rsid w:val="00E35271"/>
    <w:rsid w:val="00E35D1E"/>
    <w:rsid w:val="00E364F9"/>
    <w:rsid w:val="00E365FA"/>
    <w:rsid w:val="00E36789"/>
    <w:rsid w:val="00E378AE"/>
    <w:rsid w:val="00E44A83"/>
    <w:rsid w:val="00E46D94"/>
    <w:rsid w:val="00E47206"/>
    <w:rsid w:val="00E502C1"/>
    <w:rsid w:val="00E502DD"/>
    <w:rsid w:val="00E50D3A"/>
    <w:rsid w:val="00E51387"/>
    <w:rsid w:val="00E51E68"/>
    <w:rsid w:val="00E52EFD"/>
    <w:rsid w:val="00E5408A"/>
    <w:rsid w:val="00E56800"/>
    <w:rsid w:val="00E56B61"/>
    <w:rsid w:val="00E60B72"/>
    <w:rsid w:val="00E60C63"/>
    <w:rsid w:val="00E62FF9"/>
    <w:rsid w:val="00E635D6"/>
    <w:rsid w:val="00E639BC"/>
    <w:rsid w:val="00E664CC"/>
    <w:rsid w:val="00E70388"/>
    <w:rsid w:val="00E7065D"/>
    <w:rsid w:val="00E70F92"/>
    <w:rsid w:val="00E71361"/>
    <w:rsid w:val="00E74C54"/>
    <w:rsid w:val="00E75132"/>
    <w:rsid w:val="00E77A03"/>
    <w:rsid w:val="00E822E8"/>
    <w:rsid w:val="00E82554"/>
    <w:rsid w:val="00E82606"/>
    <w:rsid w:val="00E83BB8"/>
    <w:rsid w:val="00E846C8"/>
    <w:rsid w:val="00E84957"/>
    <w:rsid w:val="00E84A1C"/>
    <w:rsid w:val="00E84A55"/>
    <w:rsid w:val="00E85BFF"/>
    <w:rsid w:val="00E90391"/>
    <w:rsid w:val="00E906C2"/>
    <w:rsid w:val="00E93012"/>
    <w:rsid w:val="00E9311F"/>
    <w:rsid w:val="00E934D1"/>
    <w:rsid w:val="00E94AF0"/>
    <w:rsid w:val="00E95D13"/>
    <w:rsid w:val="00E95DD3"/>
    <w:rsid w:val="00E969D5"/>
    <w:rsid w:val="00EA0DE1"/>
    <w:rsid w:val="00EA4471"/>
    <w:rsid w:val="00EA58D1"/>
    <w:rsid w:val="00EA61BC"/>
    <w:rsid w:val="00EA681A"/>
    <w:rsid w:val="00EA735B"/>
    <w:rsid w:val="00EB17DE"/>
    <w:rsid w:val="00EB1E69"/>
    <w:rsid w:val="00EB2086"/>
    <w:rsid w:val="00EB5EDF"/>
    <w:rsid w:val="00EB60FE"/>
    <w:rsid w:val="00EB74DB"/>
    <w:rsid w:val="00EC1DAE"/>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C14"/>
    <w:rsid w:val="00F06D37"/>
    <w:rsid w:val="00F07B9D"/>
    <w:rsid w:val="00F11586"/>
    <w:rsid w:val="00F1183B"/>
    <w:rsid w:val="00F11C9F"/>
    <w:rsid w:val="00F12263"/>
    <w:rsid w:val="00F1409D"/>
    <w:rsid w:val="00F14214"/>
    <w:rsid w:val="00F14AD6"/>
    <w:rsid w:val="00F157A9"/>
    <w:rsid w:val="00F16850"/>
    <w:rsid w:val="00F24FAD"/>
    <w:rsid w:val="00F25BB6"/>
    <w:rsid w:val="00F26B7E"/>
    <w:rsid w:val="00F27A3B"/>
    <w:rsid w:val="00F33817"/>
    <w:rsid w:val="00F4013D"/>
    <w:rsid w:val="00F420D5"/>
    <w:rsid w:val="00F451EA"/>
    <w:rsid w:val="00F45447"/>
    <w:rsid w:val="00F456C6"/>
    <w:rsid w:val="00F4577B"/>
    <w:rsid w:val="00F46496"/>
    <w:rsid w:val="00F474D0"/>
    <w:rsid w:val="00F50179"/>
    <w:rsid w:val="00F515EE"/>
    <w:rsid w:val="00F55038"/>
    <w:rsid w:val="00F56511"/>
    <w:rsid w:val="00F6194E"/>
    <w:rsid w:val="00F623AC"/>
    <w:rsid w:val="00F6412A"/>
    <w:rsid w:val="00F65893"/>
    <w:rsid w:val="00F66A4A"/>
    <w:rsid w:val="00F70BC1"/>
    <w:rsid w:val="00F71E22"/>
    <w:rsid w:val="00F72142"/>
    <w:rsid w:val="00F72AE7"/>
    <w:rsid w:val="00F81141"/>
    <w:rsid w:val="00F82C46"/>
    <w:rsid w:val="00F833BA"/>
    <w:rsid w:val="00F84FD0"/>
    <w:rsid w:val="00F859A8"/>
    <w:rsid w:val="00F86D87"/>
    <w:rsid w:val="00F9108B"/>
    <w:rsid w:val="00F91349"/>
    <w:rsid w:val="00F93A8A"/>
    <w:rsid w:val="00F95248"/>
    <w:rsid w:val="00F956A9"/>
    <w:rsid w:val="00F963ED"/>
    <w:rsid w:val="00F966CF"/>
    <w:rsid w:val="00F96CAE"/>
    <w:rsid w:val="00F97C99"/>
    <w:rsid w:val="00FA22E5"/>
    <w:rsid w:val="00FA4DAC"/>
    <w:rsid w:val="00FA662D"/>
    <w:rsid w:val="00FA73B1"/>
    <w:rsid w:val="00FB0CB9"/>
    <w:rsid w:val="00FB231D"/>
    <w:rsid w:val="00FB45F1"/>
    <w:rsid w:val="00FB4A72"/>
    <w:rsid w:val="00FB54E8"/>
    <w:rsid w:val="00FB7054"/>
    <w:rsid w:val="00FC17B7"/>
    <w:rsid w:val="00FC2CB7"/>
    <w:rsid w:val="00FC4090"/>
    <w:rsid w:val="00FC55B4"/>
    <w:rsid w:val="00FC579E"/>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3A90877"/>
    <w:rsid w:val="0AE60BFD"/>
    <w:rsid w:val="0FEC6098"/>
    <w:rsid w:val="19345D65"/>
    <w:rsid w:val="1D0A6527"/>
    <w:rsid w:val="228E2736"/>
    <w:rsid w:val="26D260A0"/>
    <w:rsid w:val="2D2B0672"/>
    <w:rsid w:val="362614A8"/>
    <w:rsid w:val="36314C24"/>
    <w:rsid w:val="4D5B0AE4"/>
    <w:rsid w:val="4EAC666F"/>
    <w:rsid w:val="52E74734"/>
    <w:rsid w:val="583F2492"/>
    <w:rsid w:val="658F296C"/>
    <w:rsid w:val="66045900"/>
    <w:rsid w:val="6B8A608B"/>
    <w:rsid w:val="6F9D478C"/>
    <w:rsid w:val="73277DE1"/>
    <w:rsid w:val="76A777B5"/>
    <w:rsid w:val="E9FAC28A"/>
    <w:rsid w:val="EAF673E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autoRedefine/>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autoRedefine/>
    <w:qFormat/>
    <w:uiPriority w:val="0"/>
    <w:pPr>
      <w:keepNext/>
      <w:keepLines/>
      <w:spacing w:before="260" w:after="260" w:line="416" w:lineRule="auto"/>
      <w:outlineLvl w:val="2"/>
    </w:pPr>
    <w:rPr>
      <w:b/>
      <w:bCs/>
      <w:sz w:val="32"/>
      <w:szCs w:val="32"/>
    </w:rPr>
  </w:style>
  <w:style w:type="paragraph" w:styleId="5">
    <w:name w:val="heading 4"/>
    <w:basedOn w:val="1"/>
    <w:next w:val="1"/>
    <w:link w:val="40"/>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autoRedefine/>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autoRedefine/>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autoRedefine/>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uiPriority w:val="1"/>
  </w:style>
  <w:style w:type="table" w:default="1" w:styleId="28">
    <w:name w:val="Normal Table"/>
    <w:autoRedefin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autoRedefine/>
    <w:qFormat/>
    <w:uiPriority w:val="0"/>
    <w:pPr>
      <w:ind w:firstLine="420"/>
    </w:pPr>
  </w:style>
  <w:style w:type="paragraph" w:styleId="13">
    <w:name w:val="annotation text"/>
    <w:basedOn w:val="1"/>
    <w:link w:val="233"/>
    <w:autoRedefine/>
    <w:unhideWhenUsed/>
    <w:qFormat/>
    <w:uiPriority w:val="99"/>
    <w:pPr>
      <w:jc w:val="left"/>
    </w:pPr>
  </w:style>
  <w:style w:type="paragraph" w:styleId="14">
    <w:name w:val="Body Text"/>
    <w:basedOn w:val="1"/>
    <w:link w:val="89"/>
    <w:autoRedefine/>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8"/>
    <w:autoRedefine/>
    <w:semiHidden/>
    <w:unhideWhenUsed/>
    <w:qFormat/>
    <w:uiPriority w:val="99"/>
    <w:rPr>
      <w:sz w:val="18"/>
      <w:szCs w:val="18"/>
    </w:rPr>
  </w:style>
  <w:style w:type="paragraph" w:styleId="18">
    <w:name w:val="footer"/>
    <w:basedOn w:val="1"/>
    <w:link w:val="47"/>
    <w:autoRedefine/>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autoRedefine/>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autoRedefine/>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autoRedefine/>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Title"/>
    <w:basedOn w:val="1"/>
    <w:link w:val="51"/>
    <w:autoRedefine/>
    <w:qFormat/>
    <w:uiPriority w:val="0"/>
    <w:pPr>
      <w:spacing w:before="240" w:after="60"/>
      <w:jc w:val="center"/>
      <w:outlineLvl w:val="0"/>
    </w:pPr>
    <w:rPr>
      <w:rFonts w:ascii="Arial" w:hAnsi="Arial" w:cs="Arial"/>
      <w:b/>
      <w:bCs/>
      <w:sz w:val="32"/>
      <w:szCs w:val="32"/>
    </w:rPr>
  </w:style>
  <w:style w:type="paragraph" w:styleId="27">
    <w:name w:val="annotation subject"/>
    <w:basedOn w:val="13"/>
    <w:next w:val="13"/>
    <w:link w:val="234"/>
    <w:autoRedefine/>
    <w:semiHidden/>
    <w:unhideWhenUsed/>
    <w:qFormat/>
    <w:uiPriority w:val="99"/>
    <w:rPr>
      <w:b/>
      <w:bCs/>
    </w:rPr>
  </w:style>
  <w:style w:type="table" w:styleId="29">
    <w:name w:val="Table Grid"/>
    <w:basedOn w:val="2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autoRedefine/>
    <w:qFormat/>
    <w:uiPriority w:val="22"/>
    <w:rPr>
      <w:b/>
      <w:bCs/>
    </w:rPr>
  </w:style>
  <w:style w:type="character" w:styleId="32">
    <w:name w:val="page number"/>
    <w:autoRedefine/>
    <w:qFormat/>
    <w:uiPriority w:val="0"/>
    <w:rPr>
      <w:rFonts w:ascii="宋体" w:hAnsi="Times New Roman" w:eastAsia="宋体"/>
      <w:sz w:val="18"/>
    </w:rPr>
  </w:style>
  <w:style w:type="character" w:styleId="33">
    <w:name w:val="Emphasis"/>
    <w:autoRedefine/>
    <w:qFormat/>
    <w:uiPriority w:val="20"/>
    <w:rPr>
      <w:i/>
      <w:iCs/>
    </w:rPr>
  </w:style>
  <w:style w:type="character" w:styleId="34">
    <w:name w:val="Hyperlink"/>
    <w:autoRedefine/>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autoRedefine/>
    <w:semiHidden/>
    <w:unhideWhenUsed/>
    <w:qFormat/>
    <w:uiPriority w:val="99"/>
    <w:rPr>
      <w:sz w:val="21"/>
      <w:szCs w:val="21"/>
    </w:rPr>
  </w:style>
  <w:style w:type="character" w:styleId="36">
    <w:name w:val="footnote reference"/>
    <w:autoRedefine/>
    <w:semiHidden/>
    <w:qFormat/>
    <w:uiPriority w:val="0"/>
    <w:rPr>
      <w:rFonts w:ascii="宋体" w:hAnsi="宋体" w:eastAsia="宋体" w:cs="Times New Roman"/>
      <w:spacing w:val="0"/>
      <w:sz w:val="18"/>
      <w:vertAlign w:val="superscript"/>
    </w:rPr>
  </w:style>
  <w:style w:type="character" w:customStyle="1" w:styleId="37">
    <w:name w:val="标题 1 字符"/>
    <w:link w:val="2"/>
    <w:autoRedefine/>
    <w:qFormat/>
    <w:uiPriority w:val="0"/>
    <w:rPr>
      <w:rFonts w:ascii="Times New Roman" w:hAnsi="Times New Roman" w:eastAsia="宋体" w:cs="Times New Roman"/>
      <w:b/>
      <w:bCs/>
      <w:kern w:val="44"/>
      <w:sz w:val="44"/>
      <w:szCs w:val="44"/>
    </w:rPr>
  </w:style>
  <w:style w:type="character" w:customStyle="1" w:styleId="38">
    <w:name w:val="标题 2 字符"/>
    <w:link w:val="3"/>
    <w:autoRedefine/>
    <w:qFormat/>
    <w:uiPriority w:val="0"/>
    <w:rPr>
      <w:rFonts w:ascii="Arial" w:hAnsi="Arial" w:eastAsia="黑体" w:cs="Times New Roman"/>
      <w:b/>
      <w:bCs/>
      <w:sz w:val="32"/>
      <w:szCs w:val="32"/>
    </w:rPr>
  </w:style>
  <w:style w:type="character" w:customStyle="1" w:styleId="39">
    <w:name w:val="标题 3 字符"/>
    <w:link w:val="4"/>
    <w:autoRedefine/>
    <w:qFormat/>
    <w:uiPriority w:val="0"/>
    <w:rPr>
      <w:rFonts w:ascii="Times New Roman" w:hAnsi="Times New Roman" w:eastAsia="宋体" w:cs="Times New Roman"/>
      <w:b/>
      <w:bCs/>
      <w:sz w:val="32"/>
      <w:szCs w:val="32"/>
    </w:rPr>
  </w:style>
  <w:style w:type="character" w:customStyle="1" w:styleId="40">
    <w:name w:val="标题 4 字符"/>
    <w:link w:val="5"/>
    <w:autoRedefine/>
    <w:qFormat/>
    <w:uiPriority w:val="0"/>
    <w:rPr>
      <w:rFonts w:ascii="Arial" w:hAnsi="Arial" w:eastAsia="黑体" w:cs="Times New Roman"/>
      <w:b/>
      <w:bCs/>
      <w:sz w:val="28"/>
      <w:szCs w:val="28"/>
    </w:rPr>
  </w:style>
  <w:style w:type="character" w:customStyle="1" w:styleId="41">
    <w:name w:val="标题 5 字符"/>
    <w:link w:val="6"/>
    <w:autoRedefine/>
    <w:qFormat/>
    <w:uiPriority w:val="0"/>
    <w:rPr>
      <w:rFonts w:ascii="Times New Roman" w:hAnsi="Times New Roman" w:eastAsia="宋体" w:cs="Times New Roman"/>
      <w:b/>
      <w:bCs/>
      <w:sz w:val="28"/>
      <w:szCs w:val="28"/>
    </w:rPr>
  </w:style>
  <w:style w:type="character" w:customStyle="1" w:styleId="42">
    <w:name w:val="标题 6 字符"/>
    <w:link w:val="7"/>
    <w:autoRedefine/>
    <w:qFormat/>
    <w:uiPriority w:val="0"/>
    <w:rPr>
      <w:rFonts w:ascii="Arial" w:hAnsi="Arial" w:eastAsia="黑体" w:cs="Times New Roman"/>
      <w:b/>
      <w:bCs/>
      <w:sz w:val="24"/>
      <w:szCs w:val="24"/>
    </w:rPr>
  </w:style>
  <w:style w:type="character" w:customStyle="1" w:styleId="43">
    <w:name w:val="标题 7 字符"/>
    <w:link w:val="8"/>
    <w:autoRedefine/>
    <w:qFormat/>
    <w:uiPriority w:val="0"/>
    <w:rPr>
      <w:rFonts w:ascii="Times New Roman" w:hAnsi="Times New Roman" w:eastAsia="宋体" w:cs="Times New Roman"/>
      <w:b/>
      <w:bCs/>
      <w:sz w:val="24"/>
      <w:szCs w:val="24"/>
    </w:rPr>
  </w:style>
  <w:style w:type="character" w:customStyle="1" w:styleId="44">
    <w:name w:val="标题 8 字符"/>
    <w:link w:val="9"/>
    <w:autoRedefine/>
    <w:qFormat/>
    <w:uiPriority w:val="0"/>
    <w:rPr>
      <w:rFonts w:ascii="Arial" w:hAnsi="Arial" w:eastAsia="黑体" w:cs="Times New Roman"/>
      <w:sz w:val="24"/>
      <w:szCs w:val="24"/>
    </w:rPr>
  </w:style>
  <w:style w:type="character" w:customStyle="1" w:styleId="45">
    <w:name w:val="标题 9 字符"/>
    <w:link w:val="10"/>
    <w:autoRedefine/>
    <w:qFormat/>
    <w:uiPriority w:val="0"/>
    <w:rPr>
      <w:rFonts w:ascii="Arial" w:hAnsi="Arial" w:eastAsia="黑体" w:cs="Times New Roman"/>
      <w:szCs w:val="21"/>
    </w:rPr>
  </w:style>
  <w:style w:type="character" w:customStyle="1" w:styleId="46">
    <w:name w:val="页眉 字符"/>
    <w:link w:val="19"/>
    <w:autoRedefine/>
    <w:qFormat/>
    <w:uiPriority w:val="99"/>
    <w:rPr>
      <w:rFonts w:ascii="Times New Roman" w:hAnsi="Times New Roman" w:eastAsia="宋体" w:cs="Times New Roman"/>
      <w:sz w:val="18"/>
      <w:szCs w:val="18"/>
    </w:rPr>
  </w:style>
  <w:style w:type="character" w:customStyle="1" w:styleId="47">
    <w:name w:val="页脚 字符"/>
    <w:link w:val="18"/>
    <w:autoRedefine/>
    <w:qFormat/>
    <w:uiPriority w:val="99"/>
    <w:rPr>
      <w:rFonts w:ascii="宋体" w:hAnsi="Times New Roman" w:eastAsia="宋体" w:cs="Times New Roman"/>
      <w:sz w:val="18"/>
      <w:szCs w:val="18"/>
    </w:rPr>
  </w:style>
  <w:style w:type="character" w:customStyle="1" w:styleId="48">
    <w:name w:val="批注框文本 字符"/>
    <w:link w:val="17"/>
    <w:autoRedefine/>
    <w:semiHidden/>
    <w:qFormat/>
    <w:uiPriority w:val="99"/>
    <w:rPr>
      <w:sz w:val="18"/>
      <w:szCs w:val="18"/>
    </w:rPr>
  </w:style>
  <w:style w:type="paragraph" w:styleId="49">
    <w:name w:val="Quote"/>
    <w:basedOn w:val="1"/>
    <w:next w:val="1"/>
    <w:link w:val="50"/>
    <w:autoRedefine/>
    <w:qFormat/>
    <w:uiPriority w:val="29"/>
    <w:rPr>
      <w:i/>
      <w:iCs/>
      <w:color w:val="000000"/>
    </w:rPr>
  </w:style>
  <w:style w:type="character" w:customStyle="1" w:styleId="50">
    <w:name w:val="引用 字符"/>
    <w:link w:val="49"/>
    <w:autoRedefine/>
    <w:qFormat/>
    <w:uiPriority w:val="29"/>
    <w:rPr>
      <w:i/>
      <w:iCs/>
      <w:color w:val="000000"/>
    </w:rPr>
  </w:style>
  <w:style w:type="character" w:customStyle="1" w:styleId="51">
    <w:name w:val="标题 字符"/>
    <w:link w:val="26"/>
    <w:autoRedefine/>
    <w:qFormat/>
    <w:uiPriority w:val="0"/>
    <w:rPr>
      <w:rFonts w:ascii="Arial" w:hAnsi="Arial" w:eastAsia="宋体" w:cs="Arial"/>
      <w:b/>
      <w:bCs/>
      <w:sz w:val="32"/>
      <w:szCs w:val="32"/>
    </w:rPr>
  </w:style>
  <w:style w:type="paragraph" w:customStyle="1" w:styleId="52">
    <w:name w:val="标准标志"/>
    <w:next w:val="1"/>
    <w:autoRedefine/>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autoRedefine/>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autoRedefine/>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autoRedefine/>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autoRedefine/>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autoRedefine/>
    <w:qFormat/>
    <w:uiPriority w:val="0"/>
    <w:pPr>
      <w:spacing w:line="0" w:lineRule="atLeast"/>
    </w:pPr>
    <w:rPr>
      <w:rFonts w:ascii="黑体" w:hAnsi="宋体" w:eastAsia="黑体"/>
    </w:rPr>
  </w:style>
  <w:style w:type="paragraph" w:customStyle="1" w:styleId="58">
    <w:name w:val="标准文件_标准正文"/>
    <w:basedOn w:val="1"/>
    <w:next w:val="59"/>
    <w:autoRedefine/>
    <w:qFormat/>
    <w:uiPriority w:val="0"/>
    <w:pPr>
      <w:snapToGrid w:val="0"/>
      <w:ind w:firstLine="200" w:firstLineChars="200"/>
    </w:pPr>
    <w:rPr>
      <w:kern w:val="0"/>
    </w:rPr>
  </w:style>
  <w:style w:type="paragraph" w:customStyle="1" w:styleId="59">
    <w:name w:val="标准文件_段"/>
    <w:link w:val="187"/>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0">
    <w:name w:val="标准文件_版本"/>
    <w:basedOn w:val="58"/>
    <w:autoRedefine/>
    <w:qFormat/>
    <w:uiPriority w:val="0"/>
    <w:pPr>
      <w:adjustRightInd/>
      <w:snapToGrid/>
      <w:ind w:firstLine="0" w:firstLineChars="0"/>
    </w:pPr>
    <w:rPr>
      <w:rFonts w:ascii="宋体" w:hAnsi="宋体"/>
      <w:kern w:val="2"/>
    </w:rPr>
  </w:style>
  <w:style w:type="paragraph" w:customStyle="1" w:styleId="61">
    <w:name w:val="标准文件_标准部门"/>
    <w:basedOn w:val="1"/>
    <w:autoRedefine/>
    <w:qFormat/>
    <w:uiPriority w:val="0"/>
    <w:pPr>
      <w:jc w:val="center"/>
    </w:pPr>
    <w:rPr>
      <w:rFonts w:ascii="黑体" w:eastAsia="黑体"/>
      <w:kern w:val="0"/>
      <w:sz w:val="44"/>
    </w:rPr>
  </w:style>
  <w:style w:type="paragraph" w:customStyle="1" w:styleId="62">
    <w:name w:val="标准文件_标准代替"/>
    <w:basedOn w:val="1"/>
    <w:next w:val="1"/>
    <w:autoRedefine/>
    <w:qFormat/>
    <w:uiPriority w:val="0"/>
    <w:pPr>
      <w:spacing w:line="310" w:lineRule="exact"/>
      <w:jc w:val="right"/>
    </w:pPr>
    <w:rPr>
      <w:rFonts w:ascii="宋体" w:hAnsi="宋体"/>
      <w:kern w:val="0"/>
    </w:rPr>
  </w:style>
  <w:style w:type="paragraph" w:customStyle="1" w:styleId="63">
    <w:name w:val="标准文件_标准名称标题"/>
    <w:basedOn w:val="1"/>
    <w:next w:val="1"/>
    <w:autoRedefine/>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autoRedefine/>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autoRedefine/>
    <w:qFormat/>
    <w:uiPriority w:val="0"/>
    <w:pPr>
      <w:jc w:val="left"/>
    </w:pPr>
  </w:style>
  <w:style w:type="paragraph" w:customStyle="1" w:styleId="66">
    <w:name w:val="标准文件_参考文献标题"/>
    <w:basedOn w:val="1"/>
    <w:next w:val="1"/>
    <w:autoRedefine/>
    <w:qFormat/>
    <w:uiPriority w:val="0"/>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67">
    <w:name w:val="标准文件_参考文献条目"/>
    <w:autoRedefine/>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autoRedefine/>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9">
    <w:name w:val="标准文件_发布"/>
    <w:autoRedefine/>
    <w:qFormat/>
    <w:uiPriority w:val="0"/>
    <w:rPr>
      <w:rFonts w:ascii="黑体" w:eastAsia="黑体"/>
      <w:spacing w:val="0"/>
      <w:w w:val="100"/>
      <w:position w:val="3"/>
      <w:sz w:val="28"/>
    </w:rPr>
  </w:style>
  <w:style w:type="paragraph" w:customStyle="1" w:styleId="70">
    <w:name w:val="标准文件_方框数字列项"/>
    <w:basedOn w:val="59"/>
    <w:autoRedefine/>
    <w:qFormat/>
    <w:uiPriority w:val="0"/>
    <w:pPr>
      <w:numPr>
        <w:ilvl w:val="0"/>
        <w:numId w:val="3"/>
      </w:numPr>
      <w:ind w:firstLine="0" w:firstLineChars="0"/>
    </w:pPr>
  </w:style>
  <w:style w:type="paragraph" w:customStyle="1" w:styleId="71">
    <w:name w:val="标准文件_封面标准编号"/>
    <w:basedOn w:val="1"/>
    <w:next w:val="62"/>
    <w:autoRedefine/>
    <w:qFormat/>
    <w:uiPriority w:val="0"/>
    <w:pPr>
      <w:spacing w:line="310" w:lineRule="exact"/>
      <w:jc w:val="right"/>
    </w:pPr>
    <w:rPr>
      <w:rFonts w:ascii="黑体" w:eastAsia="黑体"/>
      <w:kern w:val="0"/>
      <w:sz w:val="28"/>
    </w:rPr>
  </w:style>
  <w:style w:type="paragraph" w:customStyle="1" w:styleId="72">
    <w:name w:val="标准文件_封面标准分类号"/>
    <w:basedOn w:val="1"/>
    <w:autoRedefine/>
    <w:qFormat/>
    <w:uiPriority w:val="0"/>
    <w:rPr>
      <w:rFonts w:ascii="黑体" w:eastAsia="黑体"/>
      <w:b/>
      <w:kern w:val="0"/>
      <w:sz w:val="28"/>
    </w:rPr>
  </w:style>
  <w:style w:type="paragraph" w:customStyle="1" w:styleId="73">
    <w:name w:val="标准文件_封面标准名称"/>
    <w:basedOn w:val="1"/>
    <w:autoRedefine/>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autoRedefine/>
    <w:qFormat/>
    <w:uiPriority w:val="0"/>
    <w:pPr>
      <w:spacing w:line="310" w:lineRule="exact"/>
    </w:pPr>
    <w:rPr>
      <w:rFonts w:ascii="黑体" w:eastAsia="黑体"/>
      <w:kern w:val="0"/>
      <w:sz w:val="28"/>
    </w:rPr>
  </w:style>
  <w:style w:type="paragraph" w:customStyle="1" w:styleId="76">
    <w:name w:val="标准文件_封面密级"/>
    <w:basedOn w:val="1"/>
    <w:autoRedefine/>
    <w:qFormat/>
    <w:uiPriority w:val="0"/>
    <w:rPr>
      <w:rFonts w:eastAsia="黑体"/>
      <w:sz w:val="32"/>
    </w:rPr>
  </w:style>
  <w:style w:type="paragraph" w:customStyle="1" w:styleId="77">
    <w:name w:val="标准文件_封面实施日期"/>
    <w:basedOn w:val="1"/>
    <w:autoRedefine/>
    <w:qFormat/>
    <w:uiPriority w:val="0"/>
    <w:pPr>
      <w:spacing w:line="310" w:lineRule="exact"/>
      <w:jc w:val="right"/>
    </w:pPr>
    <w:rPr>
      <w:rFonts w:ascii="黑体" w:eastAsia="黑体"/>
      <w:sz w:val="28"/>
    </w:rPr>
  </w:style>
  <w:style w:type="paragraph" w:customStyle="1" w:styleId="78">
    <w:name w:val="标准文件_封面抬头"/>
    <w:basedOn w:val="59"/>
    <w:autoRedefine/>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autoRedefine/>
    <w:qFormat/>
    <w:uiPriority w:val="0"/>
    <w:pPr>
      <w:numPr>
        <w:ilvl w:val="0"/>
        <w:numId w:val="4"/>
      </w:numPr>
      <w:shd w:val="clear" w:color="FFFFFF" w:fill="FFFFFF"/>
      <w:tabs>
        <w:tab w:val="left" w:pos="6406"/>
      </w:tabs>
      <w:spacing w:beforeLines="25"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autoRedefine/>
    <w:qFormat/>
    <w:uiPriority w:val="0"/>
    <w:pPr>
      <w:numPr>
        <w:ilvl w:val="1"/>
        <w:numId w:val="5"/>
      </w:numPr>
      <w:adjustRightInd w:val="0"/>
      <w:snapToGrid w:val="0"/>
      <w:spacing w:beforeLines="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autoRedefine/>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autoRedefine/>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autoRedefine/>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autoRedefine/>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autoRedefine/>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autoRedefine/>
    <w:qFormat/>
    <w:uiPriority w:val="0"/>
    <w:pPr>
      <w:numPr>
        <w:ilvl w:val="1"/>
        <w:numId w:val="6"/>
      </w:numPr>
      <w:adjustRightInd w:val="0"/>
      <w:snapToGrid w:val="0"/>
      <w:spacing w:beforeLines="50" w:afterLines="50"/>
      <w:ind w:firstLine="420"/>
      <w:jc w:val="center"/>
    </w:pPr>
    <w:rPr>
      <w:rFonts w:ascii="黑体" w:hAnsi="Times New Roman" w:eastAsia="黑体" w:cs="Times New Roman"/>
      <w:sz w:val="21"/>
      <w:lang w:val="en-US" w:eastAsia="zh-CN" w:bidi="ar-SA"/>
    </w:rPr>
  </w:style>
  <w:style w:type="paragraph" w:customStyle="1" w:styleId="87">
    <w:name w:val="标准文件_附录五级条标题"/>
    <w:next w:val="59"/>
    <w:autoRedefine/>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autoRedefine/>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autoRedefine/>
    <w:qFormat/>
    <w:uiPriority w:val="0"/>
    <w:rPr>
      <w:rFonts w:ascii="Times New Roman" w:hAnsi="Times New Roman" w:eastAsia="宋体" w:cs="Times New Roman"/>
      <w:szCs w:val="20"/>
    </w:rPr>
  </w:style>
  <w:style w:type="paragraph" w:customStyle="1" w:styleId="90">
    <w:name w:val="标准文件_附录章标题"/>
    <w:next w:val="59"/>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autoRedefine/>
    <w:qFormat/>
    <w:uiPriority w:val="0"/>
    <w:pPr>
      <w:ind w:left="488" w:leftChars="200" w:hanging="289" w:hangingChars="290"/>
    </w:pPr>
  </w:style>
  <w:style w:type="paragraph" w:customStyle="1" w:styleId="92">
    <w:name w:val="标准文件_前言、引言标题"/>
    <w:next w:val="1"/>
    <w:autoRedefine/>
    <w:qFormat/>
    <w:uiPriority w:val="0"/>
    <w:pPr>
      <w:numPr>
        <w:ilvl w:val="0"/>
        <w:numId w:val="8"/>
      </w:numPr>
      <w:shd w:val="clear" w:color="FFFFFF" w:fill="FFFFFF"/>
      <w:spacing w:afterLines="150"/>
      <w:ind w:left="0" w:firstLine="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autoRedefine/>
    <w:qFormat/>
    <w:uiPriority w:val="0"/>
    <w:pPr>
      <w:spacing w:line="460" w:lineRule="exact"/>
    </w:pPr>
  </w:style>
  <w:style w:type="paragraph" w:customStyle="1" w:styleId="94">
    <w:name w:val="标准文件_目录标题"/>
    <w:basedOn w:val="1"/>
    <w:autoRedefine/>
    <w:qFormat/>
    <w:uiPriority w:val="0"/>
    <w:pPr>
      <w:spacing w:afterLines="150" w:line="240" w:lineRule="auto"/>
      <w:jc w:val="center"/>
    </w:pPr>
    <w:rPr>
      <w:rFonts w:ascii="黑体" w:eastAsia="黑体"/>
      <w:sz w:val="32"/>
    </w:rPr>
  </w:style>
  <w:style w:type="paragraph" w:customStyle="1" w:styleId="95">
    <w:name w:val="标准文件_破折号列项"/>
    <w:autoRedefine/>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autoRedefine/>
    <w:qFormat/>
    <w:uiPriority w:val="0"/>
    <w:pPr>
      <w:numPr>
        <w:numId w:val="10"/>
      </w:numPr>
      <w:ind w:left="0" w:firstLine="200"/>
    </w:pPr>
  </w:style>
  <w:style w:type="paragraph" w:customStyle="1" w:styleId="97">
    <w:name w:val="标准文件_三级条标题"/>
    <w:basedOn w:val="68"/>
    <w:next w:val="59"/>
    <w:autoRedefine/>
    <w:qFormat/>
    <w:uiPriority w:val="0"/>
    <w:pPr>
      <w:widowControl/>
      <w:numPr>
        <w:ilvl w:val="4"/>
      </w:numPr>
      <w:outlineLvl w:val="3"/>
    </w:pPr>
  </w:style>
  <w:style w:type="character" w:customStyle="1" w:styleId="98">
    <w:name w:val="不明显参考1"/>
    <w:autoRedefine/>
    <w:qFormat/>
    <w:uiPriority w:val="31"/>
    <w:rPr>
      <w:smallCaps/>
      <w:color w:val="C0504D"/>
      <w:u w:val="single"/>
    </w:rPr>
  </w:style>
  <w:style w:type="paragraph" w:customStyle="1" w:styleId="99">
    <w:name w:val="标准文件_示例后续"/>
    <w:basedOn w:val="1"/>
    <w:autoRedefine/>
    <w:qFormat/>
    <w:uiPriority w:val="0"/>
    <w:pPr>
      <w:adjustRightInd/>
      <w:spacing w:line="240" w:lineRule="auto"/>
      <w:ind w:firstLine="200" w:firstLineChars="200"/>
    </w:pPr>
    <w:rPr>
      <w:sz w:val="18"/>
      <w:szCs w:val="24"/>
    </w:rPr>
  </w:style>
  <w:style w:type="paragraph" w:customStyle="1" w:styleId="100">
    <w:name w:val="标准文件_数字编号列项"/>
    <w:autoRedefine/>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autoRedefine/>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autoRedefine/>
    <w:semiHidden/>
    <w:qFormat/>
    <w:uiPriority w:val="0"/>
    <w:rPr>
      <w:rFonts w:ascii="宋体" w:hAnsi="Times New Roman" w:eastAsia="宋体" w:cs="Times New Roman"/>
      <w:sz w:val="18"/>
      <w:szCs w:val="18"/>
    </w:rPr>
  </w:style>
  <w:style w:type="paragraph" w:customStyle="1" w:styleId="103">
    <w:name w:val="标准文件_条文脚注"/>
    <w:basedOn w:val="22"/>
    <w:autoRedefine/>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autoRedefine/>
    <w:qFormat/>
    <w:uiPriority w:val="0"/>
    <w:pPr>
      <w:numPr>
        <w:ilvl w:val="0"/>
        <w:numId w:val="12"/>
      </w:numPr>
      <w:spacing w:line="240" w:lineRule="auto"/>
      <w:jc w:val="left"/>
    </w:pPr>
    <w:rPr>
      <w:rFonts w:ascii="宋体" w:hAnsi="宋体"/>
      <w:sz w:val="18"/>
    </w:rPr>
  </w:style>
  <w:style w:type="character" w:customStyle="1" w:styleId="105">
    <w:name w:val="标准文件_图表脚注内容"/>
    <w:autoRedefine/>
    <w:qFormat/>
    <w:uiPriority w:val="0"/>
    <w:rPr>
      <w:rFonts w:ascii="宋体" w:hAnsi="宋体" w:eastAsia="宋体" w:cs="Times New Roman"/>
      <w:spacing w:val="0"/>
      <w:sz w:val="18"/>
      <w:vertAlign w:val="superscript"/>
    </w:rPr>
  </w:style>
  <w:style w:type="paragraph" w:customStyle="1" w:styleId="106">
    <w:name w:val="标准文件_五级条标题"/>
    <w:next w:val="59"/>
    <w:autoRedefine/>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autoRedefine/>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autoRedefine/>
    <w:qFormat/>
    <w:uiPriority w:val="0"/>
    <w:pPr>
      <w:numPr>
        <w:ilvl w:val="2"/>
      </w:numPr>
      <w:spacing w:beforeLines="50" w:afterLines="50"/>
      <w:outlineLvl w:val="1"/>
    </w:pPr>
  </w:style>
  <w:style w:type="paragraph" w:customStyle="1" w:styleId="109">
    <w:name w:val="标准文件_一致程度"/>
    <w:basedOn w:val="1"/>
    <w:autoRedefine/>
    <w:qFormat/>
    <w:uiPriority w:val="0"/>
    <w:pPr>
      <w:spacing w:line="440" w:lineRule="exact"/>
      <w:jc w:val="center"/>
    </w:pPr>
    <w:rPr>
      <w:sz w:val="28"/>
    </w:rPr>
  </w:style>
  <w:style w:type="paragraph" w:customStyle="1" w:styleId="110">
    <w:name w:val="标准文件_引言标题"/>
    <w:next w:val="1"/>
    <w:autoRedefine/>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autoRedefine/>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autoRedefine/>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3">
    <w:name w:val="标准文件_英文注："/>
    <w:basedOn w:val="1"/>
    <w:next w:val="59"/>
    <w:autoRedefine/>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autoRedefine/>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autoRedefine/>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autoRedefine/>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autoRedefine/>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autoRedefine/>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autoRedefine/>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autoRedefine/>
    <w:qFormat/>
    <w:uiPriority w:val="0"/>
    <w:pPr>
      <w:numPr>
        <w:ilvl w:val="2"/>
        <w:numId w:val="13"/>
      </w:numPr>
    </w:pPr>
    <w:rPr>
      <w:rFonts w:ascii="宋体" w:hAnsi="Times New Roman" w:eastAsia="宋体" w:cs="Times New Roman"/>
      <w:sz w:val="21"/>
      <w:lang w:val="en-US" w:eastAsia="zh-CN" w:bidi="ar-SA"/>
    </w:rPr>
  </w:style>
  <w:style w:type="paragraph" w:customStyle="1" w:styleId="121">
    <w:name w:val="二级无标题条"/>
    <w:basedOn w:val="1"/>
    <w:autoRedefine/>
    <w:qFormat/>
    <w:uiPriority w:val="0"/>
    <w:pPr>
      <w:numPr>
        <w:ilvl w:val="3"/>
        <w:numId w:val="20"/>
      </w:numPr>
      <w:adjustRightInd/>
      <w:spacing w:line="240" w:lineRule="auto"/>
    </w:pPr>
    <w:rPr>
      <w:rFonts w:ascii="宋体" w:hAnsi="宋体"/>
      <w:szCs w:val="24"/>
    </w:rPr>
  </w:style>
  <w:style w:type="paragraph" w:customStyle="1" w:styleId="122">
    <w:name w:val="发布部门"/>
    <w:next w:val="59"/>
    <w:autoRedefine/>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autoRedefine/>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autoRedefine/>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autoRedefine/>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autoRedefine/>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autoRedefine/>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autoRedefine/>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autoRedefine/>
    <w:qFormat/>
    <w:uiPriority w:val="0"/>
    <w:pPr>
      <w:outlineLvl w:val="4"/>
    </w:pPr>
  </w:style>
  <w:style w:type="paragraph" w:customStyle="1" w:styleId="133">
    <w:name w:val="附录四级无标题条"/>
    <w:basedOn w:val="132"/>
    <w:next w:val="59"/>
    <w:autoRedefine/>
    <w:qFormat/>
    <w:uiPriority w:val="0"/>
    <w:pPr>
      <w:outlineLvl w:val="5"/>
    </w:pPr>
  </w:style>
  <w:style w:type="paragraph" w:customStyle="1" w:styleId="134">
    <w:name w:val="附录图"/>
    <w:next w:val="59"/>
    <w:autoRedefine/>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autoRedefine/>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autoRedefine/>
    <w:qFormat/>
    <w:uiPriority w:val="0"/>
    <w:pPr>
      <w:outlineLvl w:val="6"/>
    </w:pPr>
  </w:style>
  <w:style w:type="paragraph" w:customStyle="1" w:styleId="137">
    <w:name w:val="附录性质"/>
    <w:basedOn w:val="1"/>
    <w:autoRedefine/>
    <w:qFormat/>
    <w:uiPriority w:val="0"/>
    <w:pPr>
      <w:widowControl/>
      <w:adjustRightInd/>
      <w:jc w:val="center"/>
    </w:pPr>
    <w:rPr>
      <w:rFonts w:ascii="黑体" w:eastAsia="黑体"/>
    </w:rPr>
  </w:style>
  <w:style w:type="paragraph" w:customStyle="1" w:styleId="138">
    <w:name w:val="附录一级无标题条"/>
    <w:basedOn w:val="90"/>
    <w:next w:val="59"/>
    <w:autoRedefine/>
    <w:qFormat/>
    <w:uiPriority w:val="0"/>
    <w:pPr>
      <w:autoSpaceDN w:val="0"/>
      <w:outlineLvl w:val="2"/>
    </w:pPr>
    <w:rPr>
      <w:rFonts w:ascii="宋体" w:hAnsi="宋体" w:eastAsia="宋体"/>
    </w:rPr>
  </w:style>
  <w:style w:type="character" w:customStyle="1" w:styleId="139">
    <w:name w:val="个人答复风格"/>
    <w:autoRedefine/>
    <w:qFormat/>
    <w:uiPriority w:val="0"/>
    <w:rPr>
      <w:rFonts w:ascii="Arial" w:hAnsi="Arial" w:eastAsia="宋体" w:cs="Arial"/>
      <w:color w:val="auto"/>
      <w:spacing w:val="0"/>
      <w:sz w:val="20"/>
    </w:rPr>
  </w:style>
  <w:style w:type="character" w:customStyle="1" w:styleId="140">
    <w:name w:val="个人撰写风格"/>
    <w:autoRedefine/>
    <w:qFormat/>
    <w:uiPriority w:val="0"/>
    <w:rPr>
      <w:rFonts w:ascii="Arial" w:hAnsi="Arial" w:eastAsia="宋体" w:cs="Arial"/>
      <w:color w:val="auto"/>
      <w:spacing w:val="0"/>
      <w:sz w:val="20"/>
    </w:rPr>
  </w:style>
  <w:style w:type="paragraph" w:customStyle="1" w:styleId="141">
    <w:name w:val="脚注后续"/>
    <w:autoRedefine/>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autoRedefine/>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autoRedefine/>
    <w:qFormat/>
    <w:uiPriority w:val="0"/>
    <w:pPr>
      <w:tabs>
        <w:tab w:val="left" w:pos="840"/>
      </w:tabs>
    </w:pPr>
  </w:style>
  <w:style w:type="paragraph" w:customStyle="1" w:styleId="144">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autoRedefine/>
    <w:semiHidden/>
    <w:qFormat/>
    <w:uiPriority w:val="0"/>
    <w:pPr>
      <w:adjustRightInd/>
      <w:spacing w:line="240" w:lineRule="auto"/>
      <w:jc w:val="left"/>
    </w:pPr>
    <w:rPr>
      <w:bCs/>
      <w:iCs/>
    </w:rPr>
  </w:style>
  <w:style w:type="paragraph" w:customStyle="1" w:styleId="146">
    <w:name w:val="目录 31"/>
    <w:basedOn w:val="1"/>
    <w:next w:val="1"/>
    <w:autoRedefine/>
    <w:semiHidden/>
    <w:qFormat/>
    <w:uiPriority w:val="0"/>
    <w:pPr>
      <w:spacing w:line="240" w:lineRule="auto"/>
    </w:pPr>
    <w:rPr>
      <w:rFonts w:ascii="宋体" w:hAnsi="宋体"/>
      <w:iCs/>
    </w:rPr>
  </w:style>
  <w:style w:type="paragraph" w:customStyle="1" w:styleId="147">
    <w:name w:val="目录 41"/>
    <w:basedOn w:val="1"/>
    <w:next w:val="1"/>
    <w:autoRedefine/>
    <w:semiHidden/>
    <w:qFormat/>
    <w:uiPriority w:val="0"/>
    <w:pPr>
      <w:adjustRightInd/>
      <w:spacing w:line="240" w:lineRule="auto"/>
      <w:jc w:val="left"/>
    </w:pPr>
  </w:style>
  <w:style w:type="paragraph" w:customStyle="1" w:styleId="148">
    <w:name w:val="目录 51"/>
    <w:basedOn w:val="1"/>
    <w:next w:val="1"/>
    <w:semiHidden/>
    <w:qFormat/>
    <w:uiPriority w:val="0"/>
    <w:pPr>
      <w:spacing w:line="240" w:lineRule="auto"/>
    </w:pPr>
    <w:rPr>
      <w:rFonts w:ascii="宋体" w:hAnsi="宋体"/>
    </w:rPr>
  </w:style>
  <w:style w:type="paragraph" w:customStyle="1" w:styleId="149">
    <w:name w:val="目录 61"/>
    <w:basedOn w:val="1"/>
    <w:next w:val="1"/>
    <w:autoRedefine/>
    <w:semiHidden/>
    <w:qFormat/>
    <w:uiPriority w:val="0"/>
    <w:pPr>
      <w:adjustRightInd/>
      <w:spacing w:line="240" w:lineRule="auto"/>
      <w:jc w:val="left"/>
    </w:pPr>
  </w:style>
  <w:style w:type="paragraph" w:customStyle="1" w:styleId="150">
    <w:name w:val="目录 71"/>
    <w:basedOn w:val="149"/>
    <w:semiHidden/>
    <w:qFormat/>
    <w:uiPriority w:val="0"/>
    <w:pPr>
      <w:ind w:left="1260"/>
    </w:pPr>
  </w:style>
  <w:style w:type="paragraph" w:customStyle="1" w:styleId="151">
    <w:name w:val="目录 81"/>
    <w:basedOn w:val="150"/>
    <w:autoRedefine/>
    <w:semiHidden/>
    <w:qFormat/>
    <w:uiPriority w:val="0"/>
    <w:pPr>
      <w:ind w:left="1470"/>
    </w:pPr>
  </w:style>
  <w:style w:type="paragraph" w:customStyle="1" w:styleId="152">
    <w:name w:val="目录 91"/>
    <w:basedOn w:val="151"/>
    <w:autoRedefine/>
    <w:semiHidden/>
    <w:qFormat/>
    <w:uiPriority w:val="0"/>
    <w:pPr>
      <w:ind w:left="1680"/>
    </w:pPr>
  </w:style>
  <w:style w:type="paragraph" w:customStyle="1" w:styleId="153">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autoRedefine/>
    <w:qFormat/>
    <w:uiPriority w:val="0"/>
    <w:pPr>
      <w:framePr w:wrap="around"/>
      <w:spacing w:line="0" w:lineRule="atLeast"/>
    </w:pPr>
    <w:rPr>
      <w:rFonts w:ascii="黑体" w:eastAsia="黑体"/>
      <w:b w:val="0"/>
    </w:rPr>
  </w:style>
  <w:style w:type="paragraph" w:customStyle="1" w:styleId="155">
    <w:name w:val="前言标题"/>
    <w:next w:val="1"/>
    <w:autoRedefine/>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autoRedefine/>
    <w:qFormat/>
    <w:uiPriority w:val="0"/>
    <w:pPr>
      <w:numPr>
        <w:ilvl w:val="4"/>
        <w:numId w:val="20"/>
      </w:numPr>
      <w:adjustRightInd/>
      <w:spacing w:line="240" w:lineRule="auto"/>
    </w:pPr>
    <w:rPr>
      <w:rFonts w:ascii="宋体" w:hAnsi="宋体"/>
      <w:szCs w:val="24"/>
    </w:rPr>
  </w:style>
  <w:style w:type="paragraph" w:customStyle="1" w:styleId="157">
    <w:name w:val="实施日期"/>
    <w:basedOn w:val="123"/>
    <w:autoRedefine/>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autoRedefine/>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autoRedefine/>
    <w:qFormat/>
    <w:uiPriority w:val="0"/>
    <w:pPr>
      <w:numPr>
        <w:ilvl w:val="6"/>
        <w:numId w:val="20"/>
      </w:numPr>
      <w:adjustRightInd/>
    </w:pPr>
    <w:rPr>
      <w:szCs w:val="24"/>
    </w:rPr>
  </w:style>
  <w:style w:type="paragraph" w:customStyle="1" w:styleId="162">
    <w:name w:val="一级无标题条"/>
    <w:basedOn w:val="1"/>
    <w:autoRedefine/>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autoRedefine/>
    <w:qFormat/>
    <w:uiPriority w:val="0"/>
    <w:pPr>
      <w:ind w:left="1406" w:leftChars="0" w:hanging="499" w:firstLineChars="0"/>
    </w:pPr>
  </w:style>
  <w:style w:type="paragraph" w:customStyle="1" w:styleId="165">
    <w:name w:val="标准文件_一级无标题"/>
    <w:basedOn w:val="108"/>
    <w:autoRedefine/>
    <w:qFormat/>
    <w:uiPriority w:val="0"/>
    <w:pPr>
      <w:spacing w:beforeLines="0" w:afterLines="0"/>
      <w:outlineLvl w:val="9"/>
    </w:pPr>
    <w:rPr>
      <w:rFonts w:ascii="宋体" w:eastAsia="宋体"/>
    </w:rPr>
  </w:style>
  <w:style w:type="paragraph" w:customStyle="1" w:styleId="166">
    <w:name w:val="标准文件_五级无标题"/>
    <w:basedOn w:val="106"/>
    <w:autoRedefine/>
    <w:qFormat/>
    <w:uiPriority w:val="0"/>
    <w:pPr>
      <w:spacing w:beforeLines="0" w:afterLines="0"/>
      <w:outlineLvl w:val="9"/>
    </w:pPr>
    <w:rPr>
      <w:rFonts w:ascii="宋体" w:eastAsia="宋体"/>
    </w:rPr>
  </w:style>
  <w:style w:type="paragraph" w:customStyle="1" w:styleId="167">
    <w:name w:val="标准文件_三级无标题"/>
    <w:basedOn w:val="97"/>
    <w:autoRedefine/>
    <w:qFormat/>
    <w:uiPriority w:val="0"/>
    <w:pPr>
      <w:spacing w:beforeLines="0" w:afterLines="0"/>
      <w:outlineLvl w:val="9"/>
    </w:pPr>
    <w:rPr>
      <w:rFonts w:ascii="宋体" w:eastAsia="宋体"/>
    </w:rPr>
  </w:style>
  <w:style w:type="paragraph" w:customStyle="1" w:styleId="168">
    <w:name w:val="标准文件_二级无标题"/>
    <w:basedOn w:val="68"/>
    <w:autoRedefine/>
    <w:qFormat/>
    <w:uiPriority w:val="0"/>
    <w:pPr>
      <w:spacing w:beforeLines="0" w:afterLines="0"/>
      <w:outlineLvl w:val="9"/>
    </w:pPr>
    <w:rPr>
      <w:rFonts w:ascii="宋体" w:eastAsia="宋体"/>
    </w:rPr>
  </w:style>
  <w:style w:type="paragraph" w:customStyle="1" w:styleId="169">
    <w:name w:val="标准_四级无标题"/>
    <w:basedOn w:val="101"/>
    <w:next w:val="59"/>
    <w:autoRedefine/>
    <w:qFormat/>
    <w:uiPriority w:val="0"/>
    <w:rPr>
      <w:rFonts w:eastAsia="宋体"/>
    </w:rPr>
  </w:style>
  <w:style w:type="paragraph" w:customStyle="1" w:styleId="170">
    <w:name w:val="标准文件_四级无标题"/>
    <w:basedOn w:val="101"/>
    <w:autoRedefine/>
    <w:qFormat/>
    <w:uiPriority w:val="0"/>
    <w:pPr>
      <w:spacing w:beforeLines="0" w:afterLines="0"/>
      <w:outlineLvl w:val="9"/>
    </w:pPr>
    <w:rPr>
      <w:rFonts w:ascii="宋体" w:hAnsi="黑体" w:eastAsia="宋体"/>
      <w:szCs w:val="52"/>
    </w:rPr>
  </w:style>
  <w:style w:type="paragraph" w:customStyle="1" w:styleId="171">
    <w:name w:val="标准文件_大写罗马数字编号列项"/>
    <w:basedOn w:val="59"/>
    <w:autoRedefine/>
    <w:qFormat/>
    <w:uiPriority w:val="0"/>
    <w:pPr>
      <w:numPr>
        <w:ilvl w:val="0"/>
        <w:numId w:val="23"/>
      </w:numPr>
      <w:ind w:firstLine="0" w:firstLineChars="0"/>
    </w:pPr>
    <w:rPr>
      <w:rFonts w:ascii="Times New Roman" w:cs="Arial"/>
      <w:szCs w:val="28"/>
    </w:rPr>
  </w:style>
  <w:style w:type="paragraph" w:customStyle="1" w:styleId="172">
    <w:name w:val="标准文件_小写罗马数字编号列项"/>
    <w:basedOn w:val="59"/>
    <w:autoRedefine/>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autoRedefine/>
    <w:qFormat/>
    <w:uiPriority w:val="0"/>
    <w:rPr>
      <w:rFonts w:ascii="宋体" w:hAnsi="Times New Roman" w:eastAsia="宋体" w:cs="Times New Roman"/>
      <w:sz w:val="21"/>
      <w:lang w:val="en-US" w:eastAsia="zh-CN" w:bidi="ar-SA"/>
    </w:rPr>
  </w:style>
  <w:style w:type="paragraph" w:customStyle="1" w:styleId="175">
    <w:name w:val="标准文件_三级项"/>
    <w:basedOn w:val="1"/>
    <w:autoRedefine/>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autoRedefine/>
    <w:qFormat/>
    <w:uiPriority w:val="0"/>
    <w:pPr>
      <w:numPr>
        <w:ilvl w:val="0"/>
        <w:numId w:val="25"/>
      </w:numPr>
      <w:adjustRightInd/>
      <w:spacing w:line="240" w:lineRule="auto"/>
      <w:ind w:left="783"/>
    </w:pPr>
    <w:rPr>
      <w:rFonts w:ascii="宋体" w:hAnsi="Times New Roman"/>
      <w:sz w:val="18"/>
      <w:szCs w:val="18"/>
    </w:rPr>
  </w:style>
  <w:style w:type="paragraph" w:customStyle="1" w:styleId="177">
    <w:name w:val="标准文件_字母编号列项（一级）"/>
    <w:autoRedefine/>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autoRedefine/>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autoRedefine/>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autoRedefine/>
    <w:qFormat/>
    <w:uiPriority w:val="0"/>
    <w:pPr>
      <w:spacing w:beforeLines="2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autoRedefine/>
    <w:qFormat/>
    <w:uiPriority w:val="0"/>
    <w:pPr>
      <w:ind w:firstLine="0" w:firstLineChars="0"/>
      <w:jc w:val="center"/>
    </w:pPr>
    <w:rPr>
      <w:sz w:val="18"/>
    </w:rPr>
  </w:style>
  <w:style w:type="paragraph" w:customStyle="1" w:styleId="182">
    <w:name w:val="标准文件_注："/>
    <w:next w:val="59"/>
    <w:autoRedefine/>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autoRedefine/>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autoRedefine/>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autoRedefine/>
    <w:qFormat/>
    <w:uiPriority w:val="0"/>
    <w:pPr>
      <w:ind w:firstLine="420"/>
    </w:pPr>
    <w:rPr>
      <w:sz w:val="18"/>
    </w:rPr>
  </w:style>
  <w:style w:type="paragraph" w:customStyle="1" w:styleId="186">
    <w:name w:val="标准文件_示例×："/>
    <w:basedOn w:val="1"/>
    <w:next w:val="185"/>
    <w:autoRedefine/>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autoRedefine/>
    <w:qFormat/>
    <w:uiPriority w:val="0"/>
    <w:rPr>
      <w:rFonts w:ascii="宋体" w:hAnsi="Times New Roman"/>
      <w:sz w:val="21"/>
    </w:rPr>
  </w:style>
  <w:style w:type="paragraph" w:customStyle="1" w:styleId="188">
    <w:name w:val="标准文件_表格续"/>
    <w:basedOn w:val="59"/>
    <w:next w:val="59"/>
    <w:autoRedefine/>
    <w:qFormat/>
    <w:uiPriority w:val="0"/>
    <w:pPr>
      <w:jc w:val="center"/>
    </w:pPr>
    <w:rPr>
      <w:rFonts w:ascii="黑体" w:hAnsi="黑体" w:eastAsia="黑体"/>
    </w:rPr>
  </w:style>
  <w:style w:type="character" w:styleId="189">
    <w:name w:val="Placeholder Text"/>
    <w:basedOn w:val="30"/>
    <w:autoRedefine/>
    <w:semiHidden/>
    <w:qFormat/>
    <w:uiPriority w:val="99"/>
    <w:rPr>
      <w:color w:val="808080"/>
    </w:rPr>
  </w:style>
  <w:style w:type="paragraph" w:customStyle="1" w:styleId="190">
    <w:name w:val="标准文件_二级项2"/>
    <w:basedOn w:val="59"/>
    <w:autoRedefine/>
    <w:qFormat/>
    <w:uiPriority w:val="0"/>
    <w:pPr>
      <w:numPr>
        <w:ilvl w:val="1"/>
        <w:numId w:val="21"/>
      </w:numPr>
      <w:ind w:left="1271" w:hanging="420" w:firstLineChars="0"/>
    </w:pPr>
  </w:style>
  <w:style w:type="paragraph" w:customStyle="1" w:styleId="191">
    <w:name w:val="标准文件_三级项2"/>
    <w:basedOn w:val="59"/>
    <w:autoRedefine/>
    <w:qFormat/>
    <w:uiPriority w:val="0"/>
    <w:pPr>
      <w:numPr>
        <w:ilvl w:val="0"/>
        <w:numId w:val="30"/>
      </w:numPr>
      <w:spacing w:line="300" w:lineRule="exact"/>
      <w:ind w:left="1276" w:hanging="425" w:firstLineChars="0"/>
    </w:pPr>
    <w:rPr>
      <w:rFonts w:ascii="Times New Roman"/>
    </w:rPr>
  </w:style>
  <w:style w:type="paragraph" w:customStyle="1" w:styleId="192">
    <w:name w:val="标准文件_一级项2"/>
    <w:basedOn w:val="59"/>
    <w:autoRedefine/>
    <w:qFormat/>
    <w:uiPriority w:val="0"/>
    <w:pPr>
      <w:numPr>
        <w:ilvl w:val="0"/>
        <w:numId w:val="31"/>
      </w:numPr>
      <w:spacing w:line="300" w:lineRule="exact"/>
      <w:ind w:left="1271" w:hanging="420" w:firstLineChars="0"/>
    </w:pPr>
    <w:rPr>
      <w:rFonts w:ascii="Times New Roman"/>
    </w:rPr>
  </w:style>
  <w:style w:type="paragraph" w:customStyle="1" w:styleId="193">
    <w:name w:val="标准文件_提示"/>
    <w:basedOn w:val="59"/>
    <w:next w:val="59"/>
    <w:autoRedefine/>
    <w:qFormat/>
    <w:uiPriority w:val="0"/>
    <w:pPr>
      <w:ind w:firstLine="420"/>
    </w:pPr>
    <w:rPr>
      <w:rFonts w:ascii="黑体" w:eastAsia="黑体"/>
    </w:rPr>
  </w:style>
  <w:style w:type="character" w:customStyle="1" w:styleId="194">
    <w:name w:val="标准文件_来源"/>
    <w:basedOn w:val="30"/>
    <w:autoRedefine/>
    <w:qFormat/>
    <w:uiPriority w:val="1"/>
    <w:rPr>
      <w:rFonts w:eastAsia="宋体"/>
      <w:sz w:val="21"/>
    </w:rPr>
  </w:style>
  <w:style w:type="paragraph" w:customStyle="1" w:styleId="195">
    <w:name w:val="标准文件_图表说明"/>
    <w:autoRedefine/>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autoRedefine/>
    <w:qFormat/>
    <w:uiPriority w:val="0"/>
    <w:pPr>
      <w:framePr w:w="3997" w:h="471" w:hRule="exact" w:hSpace="0" w:vSpace="181" w:wrap="around" w:vAnchor="page" w:hAnchor="page" w:x="1419" w:y="14097"/>
    </w:pPr>
  </w:style>
  <w:style w:type="paragraph" w:customStyle="1" w:styleId="197">
    <w:name w:val="其他实施日期"/>
    <w:basedOn w:val="157"/>
    <w:autoRedefine/>
    <w:qFormat/>
    <w:uiPriority w:val="0"/>
    <w:pPr>
      <w:framePr w:w="3997" w:h="471" w:hRule="exact" w:vSpace="181" w:wrap="around" w:vAnchor="page" w:hAnchor="page" w:x="7089" w:y="14097"/>
    </w:pPr>
  </w:style>
  <w:style w:type="paragraph" w:customStyle="1" w:styleId="198">
    <w:name w:val="标准文件_文件编号"/>
    <w:basedOn w:val="59"/>
    <w:autoRedefine/>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autoRedefine/>
    <w:qFormat/>
    <w:uiPriority w:val="0"/>
    <w:pPr>
      <w:framePr/>
      <w:spacing w:before="57"/>
    </w:pPr>
    <w:rPr>
      <w:sz w:val="21"/>
    </w:rPr>
  </w:style>
  <w:style w:type="paragraph" w:customStyle="1" w:styleId="200">
    <w:name w:val="标准文件_文件名称"/>
    <w:basedOn w:val="59"/>
    <w:next w:val="59"/>
    <w:autoRedefine/>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autoRedefine/>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autoRedefine/>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autoRedefine/>
    <w:qFormat/>
    <w:uiPriority w:val="0"/>
    <w:pPr>
      <w:numPr>
        <w:ilvl w:val="1"/>
        <w:numId w:val="8"/>
      </w:numPr>
      <w:spacing w:beforeLines="50" w:afterLines="50"/>
      <w:ind w:firstLineChars="0"/>
    </w:pPr>
    <w:rPr>
      <w:rFonts w:ascii="黑体" w:eastAsia="黑体"/>
    </w:rPr>
  </w:style>
  <w:style w:type="paragraph" w:customStyle="1" w:styleId="204">
    <w:name w:val="标准文件_引言二级条标题"/>
    <w:basedOn w:val="59"/>
    <w:next w:val="59"/>
    <w:autoRedefine/>
    <w:qFormat/>
    <w:uiPriority w:val="0"/>
    <w:pPr>
      <w:numPr>
        <w:ilvl w:val="2"/>
        <w:numId w:val="8"/>
      </w:numPr>
      <w:spacing w:beforeLines="50" w:afterLines="50"/>
      <w:ind w:firstLineChars="0"/>
    </w:pPr>
    <w:rPr>
      <w:rFonts w:ascii="黑体" w:eastAsia="黑体"/>
    </w:rPr>
  </w:style>
  <w:style w:type="paragraph" w:customStyle="1" w:styleId="205">
    <w:name w:val="标准文件_引言三级条标题"/>
    <w:basedOn w:val="59"/>
    <w:next w:val="59"/>
    <w:autoRedefine/>
    <w:qFormat/>
    <w:uiPriority w:val="0"/>
    <w:pPr>
      <w:numPr>
        <w:ilvl w:val="3"/>
        <w:numId w:val="8"/>
      </w:numPr>
      <w:spacing w:beforeLines="50" w:afterLines="50"/>
      <w:ind w:firstLineChars="0"/>
    </w:pPr>
    <w:rPr>
      <w:rFonts w:ascii="黑体" w:eastAsia="黑体"/>
    </w:rPr>
  </w:style>
  <w:style w:type="paragraph" w:customStyle="1" w:styleId="206">
    <w:name w:val="标准文件_引言四级条标题"/>
    <w:basedOn w:val="59"/>
    <w:next w:val="59"/>
    <w:autoRedefine/>
    <w:qFormat/>
    <w:uiPriority w:val="0"/>
    <w:pPr>
      <w:numPr>
        <w:ilvl w:val="4"/>
        <w:numId w:val="8"/>
      </w:numPr>
      <w:spacing w:beforeLines="50" w:afterLines="50"/>
      <w:ind w:firstLineChars="0"/>
    </w:pPr>
    <w:rPr>
      <w:rFonts w:ascii="黑体" w:eastAsia="黑体"/>
    </w:rPr>
  </w:style>
  <w:style w:type="paragraph" w:customStyle="1" w:styleId="207">
    <w:name w:val="标准文件_引言五级条标题"/>
    <w:basedOn w:val="59"/>
    <w:next w:val="59"/>
    <w:autoRedefine/>
    <w:qFormat/>
    <w:uiPriority w:val="0"/>
    <w:pPr>
      <w:numPr>
        <w:ilvl w:val="5"/>
        <w:numId w:val="8"/>
      </w:numPr>
      <w:spacing w:beforeLines="50" w:afterLines="50"/>
      <w:ind w:firstLineChars="0"/>
    </w:pPr>
    <w:rPr>
      <w:rFonts w:ascii="黑体" w:eastAsia="黑体"/>
    </w:rPr>
  </w:style>
  <w:style w:type="paragraph" w:customStyle="1" w:styleId="208">
    <w:name w:val="标准文件_注后"/>
    <w:basedOn w:val="59"/>
    <w:autoRedefine/>
    <w:qFormat/>
    <w:uiPriority w:val="0"/>
    <w:pPr>
      <w:ind w:left="811" w:firstLine="0" w:firstLineChars="0"/>
    </w:pPr>
    <w:rPr>
      <w:sz w:val="18"/>
    </w:rPr>
  </w:style>
  <w:style w:type="paragraph" w:customStyle="1" w:styleId="209">
    <w:name w:val="标准文件_注X后"/>
    <w:basedOn w:val="59"/>
    <w:autoRedefine/>
    <w:qFormat/>
    <w:uiPriority w:val="0"/>
    <w:pPr>
      <w:ind w:left="811" w:firstLine="0" w:firstLineChars="0"/>
    </w:pPr>
    <w:rPr>
      <w:sz w:val="18"/>
    </w:rPr>
  </w:style>
  <w:style w:type="paragraph" w:customStyle="1" w:styleId="210">
    <w:name w:val="标准文件_示例后"/>
    <w:basedOn w:val="59"/>
    <w:autoRedefine/>
    <w:qFormat/>
    <w:uiPriority w:val="0"/>
    <w:pPr>
      <w:ind w:left="964" w:firstLine="0" w:firstLineChars="0"/>
    </w:pPr>
    <w:rPr>
      <w:sz w:val="18"/>
    </w:rPr>
  </w:style>
  <w:style w:type="paragraph" w:customStyle="1" w:styleId="211">
    <w:name w:val="标准文件_示例X后"/>
    <w:basedOn w:val="59"/>
    <w:link w:val="212"/>
    <w:autoRedefine/>
    <w:qFormat/>
    <w:uiPriority w:val="0"/>
    <w:pPr>
      <w:ind w:left="1049" w:firstLine="0" w:firstLineChars="0"/>
    </w:pPr>
    <w:rPr>
      <w:sz w:val="18"/>
    </w:rPr>
  </w:style>
  <w:style w:type="character" w:customStyle="1" w:styleId="212">
    <w:name w:val="标准文件_示例X后 字符"/>
    <w:basedOn w:val="187"/>
    <w:link w:val="211"/>
    <w:autoRedefine/>
    <w:qFormat/>
    <w:uiPriority w:val="0"/>
    <w:rPr>
      <w:rFonts w:ascii="宋体" w:hAnsi="Times New Roman"/>
      <w:sz w:val="18"/>
    </w:rPr>
  </w:style>
  <w:style w:type="paragraph" w:customStyle="1" w:styleId="213">
    <w:name w:val="标准文件_索引项"/>
    <w:basedOn w:val="59"/>
    <w:next w:val="59"/>
    <w:autoRedefine/>
    <w:qFormat/>
    <w:uiPriority w:val="0"/>
    <w:pPr>
      <w:tabs>
        <w:tab w:val="right" w:leader="dot" w:pos="9356"/>
      </w:tabs>
      <w:ind w:left="210" w:hanging="210" w:firstLineChars="0"/>
      <w:jc w:val="left"/>
    </w:pPr>
  </w:style>
  <w:style w:type="paragraph" w:customStyle="1" w:styleId="214">
    <w:name w:val="标准文件_附录一级无标题"/>
    <w:basedOn w:val="81"/>
    <w:autoRedefine/>
    <w:qFormat/>
    <w:uiPriority w:val="0"/>
    <w:pPr>
      <w:spacing w:beforeLines="0" w:afterLines="0" w:line="276" w:lineRule="auto"/>
      <w:outlineLvl w:val="9"/>
    </w:pPr>
    <w:rPr>
      <w:rFonts w:ascii="宋体" w:eastAsia="宋体"/>
    </w:rPr>
  </w:style>
  <w:style w:type="paragraph" w:customStyle="1" w:styleId="215">
    <w:name w:val="标准文件_附录二级无标题"/>
    <w:basedOn w:val="82"/>
    <w:autoRedefine/>
    <w:qFormat/>
    <w:uiPriority w:val="0"/>
    <w:pPr>
      <w:spacing w:beforeLines="0" w:afterLines="0" w:line="276" w:lineRule="auto"/>
      <w:outlineLvl w:val="9"/>
    </w:pPr>
    <w:rPr>
      <w:rFonts w:ascii="宋体" w:eastAsia="宋体"/>
    </w:rPr>
  </w:style>
  <w:style w:type="paragraph" w:customStyle="1" w:styleId="216">
    <w:name w:val="标准文件_附录三级无标题"/>
    <w:basedOn w:val="84"/>
    <w:autoRedefine/>
    <w:qFormat/>
    <w:uiPriority w:val="0"/>
    <w:pPr>
      <w:spacing w:beforeLines="0" w:afterLines="0" w:line="276" w:lineRule="auto"/>
      <w:outlineLvl w:val="9"/>
    </w:pPr>
    <w:rPr>
      <w:rFonts w:ascii="宋体" w:eastAsia="宋体"/>
    </w:rPr>
  </w:style>
  <w:style w:type="paragraph" w:customStyle="1" w:styleId="217">
    <w:name w:val="标准文件_附录四级无标题"/>
    <w:basedOn w:val="85"/>
    <w:autoRedefine/>
    <w:qFormat/>
    <w:uiPriority w:val="0"/>
    <w:pPr>
      <w:spacing w:beforeLines="0" w:afterLines="0" w:line="276" w:lineRule="auto"/>
      <w:outlineLvl w:val="9"/>
    </w:pPr>
    <w:rPr>
      <w:rFonts w:ascii="宋体" w:eastAsia="宋体"/>
    </w:rPr>
  </w:style>
  <w:style w:type="paragraph" w:customStyle="1" w:styleId="218">
    <w:name w:val="标准文件_附录五级无标题"/>
    <w:basedOn w:val="87"/>
    <w:autoRedefine/>
    <w:qFormat/>
    <w:uiPriority w:val="0"/>
    <w:pPr>
      <w:spacing w:beforeLines="0" w:afterLines="0" w:line="276" w:lineRule="auto"/>
      <w:outlineLvl w:val="9"/>
    </w:pPr>
    <w:rPr>
      <w:rFonts w:ascii="宋体" w:eastAsia="宋体"/>
    </w:rPr>
  </w:style>
  <w:style w:type="paragraph" w:customStyle="1" w:styleId="219">
    <w:name w:val="标准文件_引言一级无标题"/>
    <w:basedOn w:val="203"/>
    <w:next w:val="59"/>
    <w:autoRedefine/>
    <w:qFormat/>
    <w:uiPriority w:val="0"/>
    <w:pPr>
      <w:spacing w:beforeLines="0" w:afterLines="0" w:line="276" w:lineRule="auto"/>
    </w:pPr>
    <w:rPr>
      <w:rFonts w:ascii="宋体" w:eastAsia="宋体"/>
    </w:rPr>
  </w:style>
  <w:style w:type="paragraph" w:customStyle="1" w:styleId="220">
    <w:name w:val="标准文件_引言二级无标题"/>
    <w:basedOn w:val="204"/>
    <w:next w:val="59"/>
    <w:autoRedefine/>
    <w:qFormat/>
    <w:uiPriority w:val="0"/>
    <w:pPr>
      <w:spacing w:beforeLines="0" w:afterLines="0" w:line="276" w:lineRule="auto"/>
    </w:pPr>
    <w:rPr>
      <w:rFonts w:ascii="宋体" w:eastAsia="宋体"/>
    </w:rPr>
  </w:style>
  <w:style w:type="paragraph" w:customStyle="1" w:styleId="221">
    <w:name w:val="标准文件_引言三级无标题"/>
    <w:basedOn w:val="205"/>
    <w:next w:val="59"/>
    <w:autoRedefine/>
    <w:qFormat/>
    <w:uiPriority w:val="0"/>
    <w:pPr>
      <w:spacing w:beforeLines="0" w:afterLines="0" w:line="276" w:lineRule="auto"/>
    </w:pPr>
    <w:rPr>
      <w:rFonts w:ascii="宋体" w:eastAsia="宋体"/>
    </w:rPr>
  </w:style>
  <w:style w:type="paragraph" w:customStyle="1" w:styleId="222">
    <w:name w:val="标准文件_引言四级无标题"/>
    <w:basedOn w:val="206"/>
    <w:next w:val="59"/>
    <w:autoRedefine/>
    <w:qFormat/>
    <w:uiPriority w:val="0"/>
    <w:pPr>
      <w:spacing w:beforeLines="0" w:afterLines="0" w:line="276" w:lineRule="auto"/>
    </w:pPr>
    <w:rPr>
      <w:rFonts w:ascii="宋体" w:eastAsia="宋体"/>
    </w:rPr>
  </w:style>
  <w:style w:type="paragraph" w:customStyle="1" w:styleId="223">
    <w:name w:val="标准文件_引言五级无标题"/>
    <w:basedOn w:val="207"/>
    <w:next w:val="59"/>
    <w:autoRedefine/>
    <w:qFormat/>
    <w:uiPriority w:val="0"/>
    <w:pPr>
      <w:spacing w:beforeLines="0" w:afterLines="0" w:line="276" w:lineRule="auto"/>
    </w:pPr>
    <w:rPr>
      <w:rFonts w:ascii="宋体" w:eastAsia="宋体"/>
    </w:rPr>
  </w:style>
  <w:style w:type="paragraph" w:customStyle="1" w:styleId="224">
    <w:name w:val="标准文件_索引标题"/>
    <w:basedOn w:val="66"/>
    <w:next w:val="59"/>
    <w:autoRedefine/>
    <w:qFormat/>
    <w:uiPriority w:val="0"/>
    <w:rPr>
      <w:rFonts w:hAnsi="黑体"/>
    </w:rPr>
  </w:style>
  <w:style w:type="paragraph" w:customStyle="1" w:styleId="225">
    <w:name w:val="标准文件_脚注内容"/>
    <w:basedOn w:val="59"/>
    <w:autoRedefine/>
    <w:qFormat/>
    <w:uiPriority w:val="0"/>
    <w:pPr>
      <w:ind w:left="400" w:leftChars="200" w:hanging="200" w:hangingChars="200"/>
    </w:pPr>
    <w:rPr>
      <w:sz w:val="15"/>
    </w:rPr>
  </w:style>
  <w:style w:type="paragraph" w:customStyle="1" w:styleId="226">
    <w:name w:val="标准文件_术语条一"/>
    <w:basedOn w:val="165"/>
    <w:next w:val="59"/>
    <w:autoRedefine/>
    <w:qFormat/>
    <w:uiPriority w:val="0"/>
  </w:style>
  <w:style w:type="paragraph" w:customStyle="1" w:styleId="227">
    <w:name w:val="标准文件_术语条二"/>
    <w:basedOn w:val="168"/>
    <w:next w:val="59"/>
    <w:autoRedefine/>
    <w:qFormat/>
    <w:uiPriority w:val="0"/>
  </w:style>
  <w:style w:type="paragraph" w:customStyle="1" w:styleId="228">
    <w:name w:val="标准文件_术语条三"/>
    <w:basedOn w:val="167"/>
    <w:next w:val="59"/>
    <w:autoRedefine/>
    <w:qFormat/>
    <w:uiPriority w:val="0"/>
  </w:style>
  <w:style w:type="paragraph" w:customStyle="1" w:styleId="229">
    <w:name w:val="标准文件_术语条四"/>
    <w:basedOn w:val="170"/>
    <w:next w:val="59"/>
    <w:autoRedefine/>
    <w:qFormat/>
    <w:uiPriority w:val="0"/>
  </w:style>
  <w:style w:type="paragraph" w:customStyle="1" w:styleId="230">
    <w:name w:val="标准文件_术语条五"/>
    <w:basedOn w:val="166"/>
    <w:next w:val="59"/>
    <w:autoRedefine/>
    <w:qFormat/>
    <w:uiPriority w:val="0"/>
  </w:style>
  <w:style w:type="paragraph" w:customStyle="1" w:styleId="231">
    <w:name w:val="Default"/>
    <w:autoRedefine/>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autoRedefine/>
    <w:qFormat/>
    <w:uiPriority w:val="0"/>
    <w:rPr>
      <w:rFonts w:ascii="黑体" w:eastAsia="黑体"/>
      <w:spacing w:val="85"/>
      <w:w w:val="100"/>
      <w:position w:val="3"/>
      <w:sz w:val="28"/>
      <w:szCs w:val="28"/>
    </w:rPr>
  </w:style>
  <w:style w:type="character" w:customStyle="1" w:styleId="233">
    <w:name w:val="批注文字 字符"/>
    <w:basedOn w:val="30"/>
    <w:link w:val="13"/>
    <w:autoRedefine/>
    <w:qFormat/>
    <w:uiPriority w:val="99"/>
    <w:rPr>
      <w:kern w:val="2"/>
      <w:sz w:val="21"/>
      <w:szCs w:val="21"/>
    </w:rPr>
  </w:style>
  <w:style w:type="character" w:customStyle="1" w:styleId="234">
    <w:name w:val="批注主题 字符"/>
    <w:basedOn w:val="233"/>
    <w:link w:val="27"/>
    <w:autoRedefine/>
    <w:semiHidden/>
    <w:qFormat/>
    <w:uiPriority w:val="99"/>
    <w:rPr>
      <w:b/>
      <w:bCs/>
      <w:kern w:val="2"/>
      <w:sz w:val="21"/>
      <w:szCs w:val="21"/>
    </w:rPr>
  </w:style>
  <w:style w:type="paragraph" w:customStyle="1" w:styleId="235">
    <w:name w:val="修订1"/>
    <w:autoRedefine/>
    <w:hidden/>
    <w:semiHidden/>
    <w:qFormat/>
    <w:uiPriority w:val="99"/>
    <w:rPr>
      <w:rFonts w:ascii="Calibri" w:hAnsi="Calibri" w:eastAsia="宋体" w:cs="Times New Roman"/>
      <w:kern w:val="2"/>
      <w:sz w:val="21"/>
      <w:szCs w:val="21"/>
      <w:lang w:val="en-US" w:eastAsia="zh-CN" w:bidi="ar-SA"/>
    </w:rPr>
  </w:style>
  <w:style w:type="paragraph" w:customStyle="1" w:styleId="236">
    <w:name w:val="修订2"/>
    <w:autoRedefine/>
    <w:hidden/>
    <w:semiHidden/>
    <w:qFormat/>
    <w:uiPriority w:val="99"/>
    <w:rPr>
      <w:rFonts w:ascii="Calibri" w:hAnsi="Calibri" w:eastAsia="宋体" w:cs="Times New Roman"/>
      <w:kern w:val="2"/>
      <w:sz w:val="21"/>
      <w:szCs w:val="21"/>
      <w:lang w:val="en-US" w:eastAsia="zh-CN" w:bidi="ar-SA"/>
    </w:rPr>
  </w:style>
  <w:style w:type="paragraph" w:customStyle="1" w:styleId="237">
    <w:name w:val="修订3"/>
    <w:autoRedefine/>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5" Type="http://schemas.openxmlformats.org/officeDocument/2006/relationships/glossaryDocument" Target="glossary/document.xml"/><Relationship Id="rId24" Type="http://schemas.microsoft.com/office/2011/relationships/people" Target="people.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3.emf"/><Relationship Id="rId18" Type="http://schemas.openxmlformats.org/officeDocument/2006/relationships/package" Target="embeddings/Microsoft_Visio___2.vsdx"/><Relationship Id="rId17" Type="http://schemas.openxmlformats.org/officeDocument/2006/relationships/image" Target="media/image2.emf"/><Relationship Id="rId16" Type="http://schemas.openxmlformats.org/officeDocument/2006/relationships/package" Target="embeddings/Microsoft_Visio___1.vsdx"/><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3.xml"/><Relationship Id="rId12" Type="http://schemas.openxmlformats.org/officeDocument/2006/relationships/header" Target="header4.xml"/><Relationship Id="rId11" Type="http://schemas.openxmlformats.org/officeDocument/2006/relationships/header" Target="header3.xml"/><Relationship Id="rId10" Type="http://schemas.openxmlformats.org/officeDocument/2006/relationships/footer" Target="footer2.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A5F0BFAA106046F6A44EA427BB31BF3D"/>
        <w:style w:val=""/>
        <w:category>
          <w:name w:val="常规"/>
          <w:gallery w:val="placeholder"/>
        </w:category>
        <w:types>
          <w:type w:val="bbPlcHdr"/>
        </w:types>
        <w:behaviors>
          <w:behavior w:val="content"/>
        </w:behaviors>
        <w:description w:val=""/>
        <w:guid w:val="{6ADE4A7C-6DD4-41B8-ABE7-B276905F8D05}"/>
      </w:docPartPr>
      <w:docPartBody>
        <w:p>
          <w:pPr>
            <w:pStyle w:val="5"/>
          </w:pPr>
          <w:r>
            <w:rPr>
              <w:rStyle w:val="4"/>
              <w:rFonts w:hint="eastAsia"/>
            </w:rPr>
            <w:t>单击或点击此处输入文字。</w:t>
          </w:r>
        </w:p>
      </w:docPartBody>
    </w:docPart>
    <w:docPart>
      <w:docPartPr>
        <w:name w:val="FD0B3A645B0640D5BC51DCEA8574E930"/>
        <w:style w:val=""/>
        <w:category>
          <w:name w:val="常规"/>
          <w:gallery w:val="placeholder"/>
        </w:category>
        <w:types>
          <w:type w:val="bbPlcHdr"/>
        </w:types>
        <w:behaviors>
          <w:behavior w:val="content"/>
        </w:behaviors>
        <w:description w:val=""/>
        <w:guid w:val="{904B08F4-3CA8-4435-B9D7-8928AA787E8A}"/>
      </w:docPartPr>
      <w:docPartBody>
        <w:p>
          <w:pPr>
            <w:pStyle w:val="6"/>
          </w:pPr>
          <w:r>
            <w:rPr>
              <w:rStyle w:val="4"/>
              <w:rFonts w:hint="eastAsia"/>
            </w:rPr>
            <w:t>选择一项。</w:t>
          </w:r>
        </w:p>
      </w:docPartBody>
    </w:docPart>
    <w:docPart>
      <w:docPartPr>
        <w:name w:val="ABC2C713BCF44B32A8D43DE1EABD99D2"/>
        <w:style w:val=""/>
        <w:category>
          <w:name w:val="常规"/>
          <w:gallery w:val="placeholder"/>
        </w:category>
        <w:types>
          <w:type w:val="bbPlcHdr"/>
        </w:types>
        <w:behaviors>
          <w:behavior w:val="content"/>
        </w:behaviors>
        <w:description w:val=""/>
        <w:guid w:val="{F505A078-6A41-4B89-B582-F0D1E561270E}"/>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A48"/>
    <w:rsid w:val="0009571A"/>
    <w:rsid w:val="000A2929"/>
    <w:rsid w:val="00100E2D"/>
    <w:rsid w:val="00114E24"/>
    <w:rsid w:val="001E0FD9"/>
    <w:rsid w:val="00245383"/>
    <w:rsid w:val="00294A63"/>
    <w:rsid w:val="002E4EDD"/>
    <w:rsid w:val="002F4F54"/>
    <w:rsid w:val="003050E1"/>
    <w:rsid w:val="00354F01"/>
    <w:rsid w:val="00356DCE"/>
    <w:rsid w:val="00357832"/>
    <w:rsid w:val="003833A7"/>
    <w:rsid w:val="003F356E"/>
    <w:rsid w:val="00401281"/>
    <w:rsid w:val="00405E8A"/>
    <w:rsid w:val="00464C87"/>
    <w:rsid w:val="005D0E82"/>
    <w:rsid w:val="005D3E43"/>
    <w:rsid w:val="006C1E73"/>
    <w:rsid w:val="007550D6"/>
    <w:rsid w:val="00792083"/>
    <w:rsid w:val="007E692B"/>
    <w:rsid w:val="00856945"/>
    <w:rsid w:val="00876A48"/>
    <w:rsid w:val="008A1C65"/>
    <w:rsid w:val="009415D8"/>
    <w:rsid w:val="00947ECE"/>
    <w:rsid w:val="00950AAE"/>
    <w:rsid w:val="00A468CA"/>
    <w:rsid w:val="00A76C57"/>
    <w:rsid w:val="00A90124"/>
    <w:rsid w:val="00AE128A"/>
    <w:rsid w:val="00B453CF"/>
    <w:rsid w:val="00B736F1"/>
    <w:rsid w:val="00B96B51"/>
    <w:rsid w:val="00BA1B34"/>
    <w:rsid w:val="00C23DDE"/>
    <w:rsid w:val="00C713CD"/>
    <w:rsid w:val="00DD425F"/>
    <w:rsid w:val="00F848F5"/>
    <w:rsid w:val="00FB2C5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A5F0BFAA106046F6A44EA427BB31BF3D"/>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FD0B3A645B0640D5BC51DCEA8574E930"/>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ABC2C713BCF44B32A8D43DE1EABD99D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CECBAE2-31E1-460F-B67B-8D6EB762A5AA}">
  <ds:schemaRefs/>
</ds:datastoreItem>
</file>

<file path=docProps/app.xml><?xml version="1.0" encoding="utf-8"?>
<Properties xmlns="http://schemas.openxmlformats.org/officeDocument/2006/extended-properties" xmlns:vt="http://schemas.openxmlformats.org/officeDocument/2006/docPropsVTypes">
  <Template>Normal.dotm</Template>
  <Company>PCMI</Company>
  <Pages>13</Pages>
  <Words>965</Words>
  <Characters>5505</Characters>
  <Lines>45</Lines>
  <Paragraphs>12</Paragraphs>
  <TotalTime>4</TotalTime>
  <ScaleCrop>false</ScaleCrop>
  <LinksUpToDate>false</LinksUpToDate>
  <CharactersWithSpaces>6458</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2023-11-22T05:43:00Z</dcterms:created>
  <dc:creator>admin</dc:creator>
  <cp:lastModifiedBy>mmme</cp:lastModifiedBy>
  <cp:lastPrinted>2020-08-30T18:00:00Z</cp:lastPrinted>
  <dcterms:modified xsi:type="dcterms:W3CDTF">2023-12-21T22:49:22Z</dcterms:modified>
  <dc:title>地方标准</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2052-12.1.0.16120</vt:lpwstr>
  </property>
  <property fmtid="{D5CDD505-2E9C-101B-9397-08002B2CF9AE}" pid="15" name="ICV">
    <vt:lpwstr>08E9A5EB9D3E4DA5ACE36E47FAB90B71_13</vt:lpwstr>
  </property>
</Properties>
</file>