
<file path=[Content_Types].xml><?xml version="1.0" encoding="utf-8"?>
<Types xmlns="http://schemas.openxmlformats.org/package/2006/content-types">
  <Default Extension="xml" ContentType="application/xml"/>
  <Default Extension="tiff" ContentType="image/tif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86"/>
        <w:bidi w:val="0"/>
        <w:rPr>
          <w:rFonts w:hint="eastAsia"/>
        </w:rPr>
      </w:pPr>
      <w:bookmarkStart w:id="0" w:name="标准封面"/>
      <w:bookmarkEnd w:id="0"/>
      <w:bookmarkStart w:id="441" w:name="_GoBack"/>
      <w:bookmarkEnd w:id="441"/>
      <w:r>
        <w:rPr>
          <w:sz w:val="32"/>
        </w:rPr>
        <mc:AlternateContent>
          <mc:Choice Requires="wps">
            <w:drawing>
              <wp:anchor distT="0" distB="0" distL="114300" distR="114300" simplePos="0" relativeHeight="251660288" behindDoc="0" locked="0" layoutInCell="1" allowOverlap="1">
                <wp:simplePos x="0" y="0"/>
                <wp:positionH relativeFrom="page">
                  <wp:posOffset>2737485</wp:posOffset>
                </wp:positionH>
                <wp:positionV relativeFrom="page">
                  <wp:posOffset>467995</wp:posOffset>
                </wp:positionV>
                <wp:extent cx="3960495" cy="914400"/>
                <wp:effectExtent l="0" t="0" r="1905" b="0"/>
                <wp:wrapNone/>
                <wp:docPr id="2" name="首页自画框图3"/>
                <wp:cNvGraphicFramePr/>
                <a:graphic xmlns:a="http://schemas.openxmlformats.org/drawingml/2006/main">
                  <a:graphicData uri="http://schemas.microsoft.com/office/word/2010/wordprocessingShape">
                    <wps:wsp>
                      <wps:cNvSpPr txBox="1"/>
                      <wps:spPr>
                        <a:xfrm>
                          <a:off x="0" y="0"/>
                          <a:ext cx="3960495" cy="91440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pStyle w:val="343"/>
                              <w:bidi w:val="0"/>
                              <w:jc w:val="right"/>
                              <w:rPr>
                                <w:rFonts w:hint="eastAsia"/>
                                <w:lang w:eastAsia="zh-CN"/>
                              </w:rPr>
                            </w:pPr>
                            <w:r>
                              <w:drawing>
                                <wp:inline distT="0" distB="0" distL="0" distR="0">
                                  <wp:extent cx="796290" cy="397510"/>
                                  <wp:effectExtent l="0" t="0" r="3810" b="254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rFonts w:hint="eastAsia"/>
                                <w:lang w:eastAsia="zh-CN"/>
                              </w:rPr>
                              <w:t>32</w:t>
                            </w:r>
                          </w:p>
                        </w:txbxContent>
                      </wps:txbx>
                      <wps:bodyPr rot="0" spcFirstLastPara="0" vertOverflow="overflow" horzOverflow="overflow" vert="horz" wrap="square" lIns="0" tIns="0" rIns="91440" bIns="0" numCol="1" spcCol="0" rtlCol="0" fromWordArt="0" anchor="t" anchorCtr="0" forceAA="0" compatLnSpc="1">
                        <a:noAutofit/>
                      </wps:bodyPr>
                    </wps:wsp>
                  </a:graphicData>
                </a:graphic>
              </wp:anchor>
            </w:drawing>
          </mc:Choice>
          <mc:Fallback>
            <w:pict>
              <v:shape id="首页自画框图3" o:spid="_x0000_s1026" o:spt="202" type="#_x0000_t202" style="position:absolute;left:0pt;margin-left:215.55pt;margin-top:36.85pt;height:72pt;width:311.85pt;mso-position-horizontal-relative:page;mso-position-vertical-relative:page;z-index:251660288;mso-width-relative:page;mso-height-relative:page;" fillcolor="#FFFFFF [3201]" filled="t" stroked="f" coordsize="21600,21600" o:gfxdata="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BNn3X22wAAAAsBAAAPAAAAAAAAAAEAIAAAACIAAABkcnMvZG93bnJldi54bWxQSwECFAAUAAAA&#10;CACHTuJAFmmnPV0CAACLBAAADgAAAAAAAAABACAAAAAqAQAAZHJzL2Uyb0RvYy54bWxQSwUGAAAA&#10;AAYABgBZAQAA+QUAAAAA&#10;">
                <v:fill on="t" focussize="0,0"/>
                <v:stroke on="f" weight="0.5pt"/>
                <v:imagedata o:title=""/>
                <o:lock v:ext="edit" aspectratio="f"/>
                <v:textbox inset="0mm,0mm,2.54mm,0mm">
                  <w:txbxContent>
                    <w:p>
                      <w:pPr>
                        <w:pStyle w:val="343"/>
                        <w:bidi w:val="0"/>
                        <w:jc w:val="right"/>
                        <w:rPr>
                          <w:rFonts w:hint="eastAsia"/>
                          <w:lang w:eastAsia="zh-CN"/>
                        </w:rPr>
                      </w:pPr>
                      <w:r>
                        <w:drawing>
                          <wp:inline distT="0" distB="0" distL="0" distR="0">
                            <wp:extent cx="796290" cy="397510"/>
                            <wp:effectExtent l="0" t="0" r="3810" b="254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rFonts w:hint="eastAsia"/>
                          <w:lang w:eastAsia="zh-CN"/>
                        </w:rPr>
                        <w:t>32</w:t>
                      </w:r>
                    </w:p>
                  </w:txbxContent>
                </v:textbox>
              </v:shape>
            </w:pict>
          </mc:Fallback>
        </mc:AlternateContent>
      </w:r>
      <w:r>
        <w:rPr>
          <w:sz w:val="32"/>
        </w:rPr>
        <mc:AlternateContent>
          <mc:Choice Requires="wps">
            <w:drawing>
              <wp:anchor distT="0" distB="0" distL="114300" distR="114300" simplePos="0" relativeHeight="251659264" behindDoc="0" locked="0" layoutInCell="1" allowOverlap="1">
                <wp:simplePos x="0" y="0"/>
                <wp:positionH relativeFrom="page">
                  <wp:posOffset>900430</wp:posOffset>
                </wp:positionH>
                <wp:positionV relativeFrom="page">
                  <wp:posOffset>360045</wp:posOffset>
                </wp:positionV>
                <wp:extent cx="1800225" cy="720090"/>
                <wp:effectExtent l="0" t="0" r="3175" b="3810"/>
                <wp:wrapNone/>
                <wp:docPr id="1" name="首页自画框图2"/>
                <wp:cNvGraphicFramePr/>
                <a:graphic xmlns:a="http://schemas.openxmlformats.org/drawingml/2006/main">
                  <a:graphicData uri="http://schemas.microsoft.com/office/word/2010/wordprocessingShape">
                    <wps:wsp>
                      <wps:cNvSpPr txBox="1"/>
                      <wps:spPr>
                        <a:xfrm>
                          <a:off x="0" y="0"/>
                          <a:ext cx="1800225" cy="72009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pStyle w:val="333"/>
                              <w:bidi w:val="0"/>
                              <w:rPr>
                                <w:rFonts w:hint="eastAsia"/>
                              </w:rPr>
                            </w:pPr>
                            <w:r>
                              <w:rPr>
                                <w:rFonts w:hint="eastAsia"/>
                                <w:lang w:eastAsia="zh-CN"/>
                              </w:rPr>
                              <w:t>ICS  </w:t>
                            </w:r>
                            <w:r>
                              <w:rPr>
                                <w:rFonts w:hint="eastAsia"/>
                              </w:rPr>
                              <w:t>27.180</w:t>
                            </w:r>
                          </w:p>
                          <w:p>
                            <w:pPr>
                              <w:pStyle w:val="333"/>
                              <w:bidi w:val="0"/>
                              <w:rPr>
                                <w:rFonts w:hint="eastAsia"/>
                                <w:lang w:eastAsia="zh-CN"/>
                              </w:rPr>
                            </w:pPr>
                            <w:r>
                              <w:rPr>
                                <w:rFonts w:hint="eastAsia"/>
                                <w:lang w:eastAsia="zh-CN"/>
                              </w:rPr>
                              <w:t>CCS F 19</w:t>
                            </w:r>
                          </w:p>
                          <w:p>
                            <w:pPr>
                              <w:pStyle w:val="333"/>
                              <w:bidi w:val="0"/>
                              <w:rPr>
                                <w:rFonts w:hint="eastAsia"/>
                                <w:lang w:eastAsia="zh-CN"/>
                              </w:rPr>
                            </w:pPr>
                          </w:p>
                        </w:txbxContent>
                      </wps:txbx>
                      <wps:bodyPr rot="0" spcFirstLastPara="0" vertOverflow="overflow" horzOverflow="overflow" vert="horz" wrap="square" lIns="0" tIns="0" rIns="91440" bIns="0" numCol="1" spcCol="0" rtlCol="0" fromWordArt="0" anchor="t" anchorCtr="0" forceAA="0" compatLnSpc="1">
                        <a:noAutofit/>
                      </wps:bodyPr>
                    </wps:wsp>
                  </a:graphicData>
                </a:graphic>
              </wp:anchor>
            </w:drawing>
          </mc:Choice>
          <mc:Fallback>
            <w:pict>
              <v:shape id="首页自画框图2" o:spid="_x0000_s1026" o:spt="202" type="#_x0000_t202" style="position:absolute;left:0pt;margin-left:70.9pt;margin-top:28.35pt;height:56.7pt;width:141.75pt;mso-position-horizontal-relative:page;mso-position-vertical-relative:page;z-index:251659264;mso-width-relative:page;mso-height-relative:page;" fillcolor="#FFFFFF [3201]" filled="t" stroked="f" coordsize="21600,21600" o:gfxdata="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BSu&#10;iCHZAAAACgEAAA8AAAAAAAAAAQAgAAAAIgAAAGRycy9kb3ducmV2LnhtbFBLAQIUABQAAAAIAIdO&#10;4kDH6/xBWwIAAIsEAAAOAAAAAAAAAAEAIAAAACgBAABkcnMvZTJvRG9jLnhtbFBLBQYAAAAABgAG&#10;AFkBAAD1BQAAAAA=&#10;">
                <v:fill on="t" focussize="0,0"/>
                <v:stroke on="f" weight="0.5pt"/>
                <v:imagedata o:title=""/>
                <o:lock v:ext="edit" aspectratio="f"/>
                <v:textbox inset="0mm,0mm,2.54mm,0mm">
                  <w:txbxContent>
                    <w:p>
                      <w:pPr>
                        <w:pStyle w:val="333"/>
                        <w:bidi w:val="0"/>
                        <w:rPr>
                          <w:rFonts w:hint="eastAsia"/>
                        </w:rPr>
                      </w:pPr>
                      <w:r>
                        <w:rPr>
                          <w:rFonts w:hint="eastAsia"/>
                          <w:lang w:eastAsia="zh-CN"/>
                        </w:rPr>
                        <w:t>ICS  </w:t>
                      </w:r>
                      <w:r>
                        <w:rPr>
                          <w:rFonts w:hint="eastAsia"/>
                        </w:rPr>
                        <w:t>27.180</w:t>
                      </w:r>
                    </w:p>
                    <w:p>
                      <w:pPr>
                        <w:pStyle w:val="333"/>
                        <w:bidi w:val="0"/>
                        <w:rPr>
                          <w:rFonts w:hint="eastAsia"/>
                          <w:lang w:eastAsia="zh-CN"/>
                        </w:rPr>
                      </w:pPr>
                      <w:r>
                        <w:rPr>
                          <w:rFonts w:hint="eastAsia"/>
                          <w:lang w:eastAsia="zh-CN"/>
                        </w:rPr>
                        <w:t>CCS F 19</w:t>
                      </w:r>
                    </w:p>
                    <w:p>
                      <w:pPr>
                        <w:pStyle w:val="333"/>
                        <w:bidi w:val="0"/>
                        <w:rPr>
                          <w:rFonts w:hint="eastAsia"/>
                          <w:lang w:eastAsia="zh-CN"/>
                        </w:rPr>
                      </w:pPr>
                    </w:p>
                  </w:txbxContent>
                </v:textbox>
              </v:shape>
            </w:pict>
          </mc:Fallback>
        </mc:AlternateContent>
      </w:r>
    </w:p>
    <w:p>
      <w:pPr>
        <w:pStyle w:val="258"/>
        <w:rPr>
          <w:rFonts w:hint="eastAsia"/>
        </w:rPr>
      </w:pPr>
      <w:r>
        <w:rPr>
          <w:sz w:val="21"/>
        </w:rPr>
        <mc:AlternateContent>
          <mc:Choice Requires="wps">
            <w:drawing>
              <wp:anchor distT="0" distB="0" distL="114300" distR="114300" simplePos="0" relativeHeight="251661312" behindDoc="0" locked="0" layoutInCell="1" allowOverlap="1">
                <wp:simplePos x="0" y="0"/>
                <wp:positionH relativeFrom="page">
                  <wp:posOffset>900430</wp:posOffset>
                </wp:positionH>
                <wp:positionV relativeFrom="page">
                  <wp:posOffset>1511935</wp:posOffset>
                </wp:positionV>
                <wp:extent cx="6120765" cy="648335"/>
                <wp:effectExtent l="0" t="0" r="635" b="12065"/>
                <wp:wrapNone/>
                <wp:docPr id="4" name="首页自画框图4"/>
                <wp:cNvGraphicFramePr/>
                <a:graphic xmlns:a="http://schemas.openxmlformats.org/drawingml/2006/main">
                  <a:graphicData uri="http://schemas.microsoft.com/office/word/2010/wordprocessingShape">
                    <wps:wsp>
                      <wps:cNvSpPr txBox="1"/>
                      <wps:spPr>
                        <a:xfrm>
                          <a:off x="0" y="0"/>
                          <a:ext cx="6120765" cy="64833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pStyle w:val="336"/>
                              <w:bidi w:val="0"/>
                              <w:rPr>
                                <w:rFonts w:hint="eastAsia"/>
                                <w:lang w:eastAsia="zh-CN"/>
                              </w:rPr>
                            </w:pPr>
                            <w:r>
                              <w:rPr>
                                <w:rFonts w:hint="eastAsia"/>
                                <w:lang w:eastAsia="zh-CN"/>
                              </w:rPr>
                              <w:t>江苏省地方标准</w:t>
                            </w:r>
                          </w:p>
                        </w:txbxContent>
                      </wps:txbx>
                      <wps:bodyPr rot="0" spcFirstLastPara="0" vertOverflow="overflow" horzOverflow="overflow" vert="horz" wrap="square" lIns="0" tIns="0" rIns="91440" bIns="0" numCol="1" spcCol="0" rtlCol="0" fromWordArt="0" anchor="t" anchorCtr="0" forceAA="0" compatLnSpc="1">
                        <a:noAutofit/>
                      </wps:bodyPr>
                    </wps:wsp>
                  </a:graphicData>
                </a:graphic>
              </wp:anchor>
            </w:drawing>
          </mc:Choice>
          <mc:Fallback>
            <w:pict>
              <v:shape id="首页自画框图4" o:spid="_x0000_s1026" o:spt="202" type="#_x0000_t202" style="position:absolute;left:0pt;margin-left:70.9pt;margin-top:119.05pt;height:51.05pt;width:481.95pt;mso-position-horizontal-relative:page;mso-position-vertical-relative:page;z-index:251661312;mso-width-relative:page;mso-height-relative:page;" fillcolor="#FFFFFF [3201]" filled="t" stroked="f" coordsize="21600,21600" o:gfxdata="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ALad/U2wAAAAwBAAAPAAAAAAAAAAEAIAAAACIAAABkcnMvZG93bnJldi54bWxQSwECFAAUAAAA&#10;CACHTuJAaTXVXV0CAACLBAAADgAAAAAAAAABACAAAAAqAQAAZHJzL2Uyb0RvYy54bWxQSwUGAAAA&#10;AAYABgBZAQAA+QUAAAAA&#10;">
                <v:fill on="t" focussize="0,0"/>
                <v:stroke on="f" weight="0.5pt"/>
                <v:imagedata o:title=""/>
                <o:lock v:ext="edit" aspectratio="f"/>
                <v:textbox inset="0mm,0mm,2.54mm,0mm">
                  <w:txbxContent>
                    <w:p>
                      <w:pPr>
                        <w:pStyle w:val="336"/>
                        <w:bidi w:val="0"/>
                        <w:rPr>
                          <w:rFonts w:hint="eastAsia"/>
                          <w:lang w:eastAsia="zh-CN"/>
                        </w:rPr>
                      </w:pPr>
                      <w:r>
                        <w:rPr>
                          <w:rFonts w:hint="eastAsia"/>
                          <w:lang w:eastAsia="zh-CN"/>
                        </w:rPr>
                        <w:t>江苏省地方标准</w:t>
                      </w:r>
                    </w:p>
                  </w:txbxContent>
                </v:textbox>
              </v:shape>
            </w:pict>
          </mc:Fallback>
        </mc:AlternateContent>
      </w:r>
    </w:p>
    <w:p>
      <w:pPr>
        <w:pStyle w:val="258"/>
        <w:rPr>
          <w:rFonts w:hint="eastAsia"/>
        </w:rPr>
      </w:pPr>
    </w:p>
    <w:p>
      <w:pPr>
        <w:pStyle w:val="258"/>
        <w:rPr>
          <w:rFonts w:hint="eastAsia"/>
        </w:rPr>
        <w:sectPr>
          <w:headerReference r:id="rId3" w:type="default"/>
          <w:footerReference r:id="rId5" w:type="default"/>
          <w:headerReference r:id="rId4" w:type="even"/>
          <w:footerReference r:id="rId6" w:type="even"/>
          <w:pgSz w:w="11907" w:h="16839"/>
          <w:pgMar w:top="284" w:right="851" w:bottom="1134" w:left="1418" w:header="284" w:footer="1134" w:gutter="0"/>
          <w:pgBorders>
            <w:top w:val="none" w:sz="0" w:space="0"/>
            <w:left w:val="none" w:sz="0" w:space="0"/>
            <w:bottom w:val="none" w:sz="0" w:space="0"/>
            <w:right w:val="none" w:sz="0" w:space="0"/>
          </w:pgBorders>
          <w:lnNumType w:countBy="0" w:restart="continuous"/>
          <w:pgNumType w:fmt="upperRoman" w:start="1"/>
          <w:cols w:space="425" w:num="1"/>
          <w:titlePg/>
          <w:rtlGutter w:val="0"/>
          <w:docGrid w:linePitch="312" w:charSpace="0"/>
        </w:sectPr>
      </w:pPr>
      <w:r>
        <mc:AlternateContent>
          <mc:Choice Requires="wps">
            <w:drawing>
              <wp:anchor distT="0" distB="0" distL="114300" distR="114300" simplePos="0" relativeHeight="251668480" behindDoc="0" locked="0" layoutInCell="1" allowOverlap="1">
                <wp:simplePos x="0" y="0"/>
                <wp:positionH relativeFrom="page">
                  <wp:posOffset>2811145</wp:posOffset>
                </wp:positionH>
                <wp:positionV relativeFrom="page">
                  <wp:posOffset>9738360</wp:posOffset>
                </wp:positionV>
                <wp:extent cx="2301240" cy="234950"/>
                <wp:effectExtent l="0" t="0" r="3810" b="12700"/>
                <wp:wrapNone/>
                <wp:docPr id="11" name="首页自画框图11"/>
                <wp:cNvGraphicFramePr/>
                <a:graphic xmlns:a="http://schemas.openxmlformats.org/drawingml/2006/main">
                  <a:graphicData uri="http://schemas.microsoft.com/office/word/2010/wordprocessingShape">
                    <wps:wsp>
                      <wps:cNvSpPr txBox="1"/>
                      <wps:spPr>
                        <a:xfrm>
                          <a:off x="0" y="0"/>
                          <a:ext cx="2301240" cy="23495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pStyle w:val="341"/>
                              <w:rPr>
                                <w:rFonts w:hint="default" w:ascii="黑体" w:hAnsi="黑体" w:eastAsia="黑体"/>
                                <w:sz w:val="28"/>
                                <w:szCs w:val="28"/>
                              </w:rPr>
                            </w:pPr>
                            <w:r>
                              <w:rPr>
                                <w:rFonts w:ascii="黑体" w:hAnsi="黑体" w:eastAsia="黑体"/>
                                <w:sz w:val="28"/>
                                <w:szCs w:val="28"/>
                              </w:rPr>
                              <w:t>江苏省市场监督管理局</w:t>
                            </w:r>
                          </w:p>
                        </w:txbxContent>
                      </wps:txbx>
                      <wps:bodyPr rot="0" spcFirstLastPara="0" vertOverflow="overflow" horzOverflow="overflow" vert="horz" wrap="none" lIns="0" tIns="0" rIns="0" bIns="0" numCol="1" spcCol="0" rtlCol="0" fromWordArt="0" anchor="t" anchorCtr="0" forceAA="0" compatLnSpc="1">
                        <a:noAutofit/>
                      </wps:bodyPr>
                    </wps:wsp>
                  </a:graphicData>
                </a:graphic>
              </wp:anchor>
            </w:drawing>
          </mc:Choice>
          <mc:Fallback>
            <w:pict>
              <v:shape id="首页自画框图11" o:spid="_x0000_s1026" o:spt="202" type="#_x0000_t202" style="position:absolute;left:0pt;margin-left:221.35pt;margin-top:766.8pt;height:18.5pt;width:181.2pt;mso-position-horizontal-relative:page;mso-position-vertical-relative:page;mso-wrap-style:none;z-index:251668480;mso-width-relative:page;mso-height-relative:page;" fillcolor="#FFFFFF [3201]" filled="t" stroked="f" coordsize="21600,21600" o:gfxdata="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">
                <v:fill on="t" focussize="0,0"/>
                <v:stroke on="f" weight="0.5pt"/>
                <v:imagedata o:title=""/>
                <o:lock v:ext="edit" aspectratio="f"/>
                <v:textbox inset="0mm,0mm,0mm,0mm">
                  <w:txbxContent>
                    <w:p>
                      <w:pPr>
                        <w:pStyle w:val="341"/>
                        <w:rPr>
                          <w:rFonts w:hint="default" w:ascii="黑体" w:hAnsi="黑体" w:eastAsia="黑体"/>
                          <w:sz w:val="28"/>
                          <w:szCs w:val="28"/>
                        </w:rPr>
                      </w:pPr>
                      <w:r>
                        <w:rPr>
                          <w:rFonts w:ascii="黑体" w:hAnsi="黑体" w:eastAsia="黑体"/>
                          <w:sz w:val="28"/>
                          <w:szCs w:val="28"/>
                        </w:rPr>
                        <w:t>江苏省市场监督管理局</w:t>
                      </w:r>
                    </w:p>
                  </w:txbxContent>
                </v:textbox>
              </v:shape>
            </w:pict>
          </mc:Fallback>
        </mc:AlternateContent>
      </w:r>
      <w:r>
        <mc:AlternateContent>
          <mc:Choice Requires="wps">
            <w:drawing>
              <wp:anchor distT="0" distB="0" distL="114300" distR="114300" simplePos="0" relativeHeight="251669504" behindDoc="0" locked="0" layoutInCell="1" allowOverlap="1">
                <wp:simplePos x="0" y="0"/>
                <wp:positionH relativeFrom="page">
                  <wp:posOffset>4615815</wp:posOffset>
                </wp:positionH>
                <wp:positionV relativeFrom="page">
                  <wp:posOffset>9763760</wp:posOffset>
                </wp:positionV>
                <wp:extent cx="810895" cy="184150"/>
                <wp:effectExtent l="0" t="0" r="8255" b="6350"/>
                <wp:wrapNone/>
                <wp:docPr id="12" name="首页自画框图12"/>
                <wp:cNvGraphicFramePr/>
                <a:graphic xmlns:a="http://schemas.openxmlformats.org/drawingml/2006/main">
                  <a:graphicData uri="http://schemas.microsoft.com/office/word/2010/wordprocessingShape">
                    <wps:wsp>
                      <wps:cNvSpPr txBox="1"/>
                      <wps:spPr>
                        <a:xfrm>
                          <a:off x="0" y="0"/>
                          <a:ext cx="810895" cy="18415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pStyle w:val="499"/>
                            </w:pPr>
                            <w:r>
                              <w:rPr>
                                <w:rFonts w:hint="eastAsia"/>
                              </w:rPr>
                              <w:t>发 布</w:t>
                            </w:r>
                          </w:p>
                        </w:txbxContent>
                      </wps:txbx>
                      <wps:bodyPr rot="0" spcFirstLastPara="0" vertOverflow="overflow" horzOverflow="overflow" vert="horz" wrap="none" lIns="0" tIns="0" rIns="0" bIns="0" numCol="1" spcCol="0" rtlCol="0" fromWordArt="0" anchor="t" anchorCtr="0" forceAA="0" compatLnSpc="1">
                        <a:noAutofit/>
                      </wps:bodyPr>
                    </wps:wsp>
                  </a:graphicData>
                </a:graphic>
              </wp:anchor>
            </w:drawing>
          </mc:Choice>
          <mc:Fallback>
            <w:pict>
              <v:shape id="首页自画框图12" o:spid="_x0000_s1026" o:spt="202" type="#_x0000_t202" style="position:absolute;left:0pt;margin-left:363.45pt;margin-top:768.8pt;height:14.5pt;width:63.85pt;mso-position-horizontal-relative:page;mso-position-vertical-relative:page;mso-wrap-style:none;z-index:251669504;mso-width-relative:page;mso-height-relative:page;" fillcolor="#FFFFFF [3201]" filled="t" stroked="f" coordsize="21600,21600" o:gfxdata="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">
                <v:fill on="t" focussize="0,0"/>
                <v:stroke on="f" weight="0.5pt"/>
                <v:imagedata o:title=""/>
                <o:lock v:ext="edit" aspectratio="f"/>
                <v:textbox inset="0mm,0mm,0mm,0mm">
                  <w:txbxContent>
                    <w:p>
                      <w:pPr>
                        <w:pStyle w:val="499"/>
                      </w:pPr>
                      <w:r>
                        <w:rPr>
                          <w:rFonts w:hint="eastAsia"/>
                        </w:rPr>
                        <w:t>发 布</w:t>
                      </w:r>
                    </w:p>
                  </w:txbxContent>
                </v:textbox>
              </v:shape>
            </w:pict>
          </mc:Fallback>
        </mc:AlternateContent>
      </w:r>
      <w:r>
        <w:rPr>
          <w:sz w:val="21"/>
        </w:rPr>
        <mc:AlternateContent>
          <mc:Choice Requires="wps">
            <w:drawing>
              <wp:anchor distT="0" distB="0" distL="114300" distR="114300" simplePos="0" relativeHeight="251667456" behindDoc="0" locked="0" layoutInCell="1" allowOverlap="1">
                <wp:simplePos x="0" y="0"/>
                <wp:positionH relativeFrom="column">
                  <wp:posOffset>-11430</wp:posOffset>
                </wp:positionH>
                <wp:positionV relativeFrom="paragraph">
                  <wp:posOffset>7512050</wp:posOffset>
                </wp:positionV>
                <wp:extent cx="6121400" cy="0"/>
                <wp:effectExtent l="0" t="0" r="0" b="0"/>
                <wp:wrapNone/>
                <wp:docPr id="10" name="首页自画框图10"/>
                <wp:cNvGraphicFramePr/>
                <a:graphic xmlns:a="http://schemas.openxmlformats.org/drawingml/2006/main">
                  <a:graphicData uri="http://schemas.microsoft.com/office/word/2010/wordprocessingShape">
                    <wps:wsp>
                      <wps:cNvCnPr/>
                      <wps:spPr>
                        <a:xfrm>
                          <a:off x="0" y="0"/>
                          <a:ext cx="6121400" cy="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首页自画框图10" o:spid="_x0000_s1026" o:spt="20" style="position:absolute;left:0pt;margin-left:-0.9pt;margin-top:591.5pt;height:0pt;width:482pt;z-index:251667456;mso-width-relative:page;mso-height-relative:page;" filled="f" stroked="t" coordsize="21600,21600" o:gfxdata="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NM0a&#10;bNcAAAAMAQAADwAAAAAAAAABACAAAAAiAAAAZHJzL2Rvd25yZXYueG1sUEsBAhQAFAAAAAgAh07i&#10;QIBbXBjqAQAAtQMAAA4AAAAAAAAAAQAgAAAAJgEAAGRycy9lMm9Eb2MueG1sUEsFBgAAAAAGAAYA&#10;WQEAAIIFAAAAAA==&#10;">
                <v:fill on="f" focussize="0,0"/>
                <v:stroke weight="0.5pt" color="#000000 [3204]" miterlimit="8" joinstyle="miter"/>
                <v:imagedata o:title=""/>
                <o:lock v:ext="edit" aspectratio="f"/>
              </v:line>
            </w:pict>
          </mc:Fallback>
        </mc:AlternateContent>
      </w:r>
      <w:r>
        <w:rPr>
          <w:sz w:val="21"/>
        </w:rPr>
        <mc:AlternateContent>
          <mc:Choice Requires="wps">
            <w:drawing>
              <wp:anchor distT="0" distB="0" distL="114300" distR="114300" simplePos="0" relativeHeight="251666432" behindDoc="0" locked="0" layoutInCell="1" allowOverlap="1">
                <wp:simplePos x="0" y="0"/>
                <wp:positionH relativeFrom="page">
                  <wp:posOffset>4140200</wp:posOffset>
                </wp:positionH>
                <wp:positionV relativeFrom="page">
                  <wp:posOffset>8893175</wp:posOffset>
                </wp:positionV>
                <wp:extent cx="2880360" cy="360045"/>
                <wp:effectExtent l="0" t="0" r="2540" b="8255"/>
                <wp:wrapNone/>
                <wp:docPr id="9" name="首页自画框图9"/>
                <wp:cNvGraphicFramePr/>
                <a:graphic xmlns:a="http://schemas.openxmlformats.org/drawingml/2006/main">
                  <a:graphicData uri="http://schemas.microsoft.com/office/word/2010/wordprocessingShape">
                    <wps:wsp>
                      <wps:cNvSpPr txBox="1"/>
                      <wps:spPr>
                        <a:xfrm>
                          <a:off x="0" y="0"/>
                          <a:ext cx="2880360" cy="36004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pStyle w:val="291"/>
                              <w:bidi w:val="0"/>
                              <w:jc w:val="right"/>
                              <w:rPr>
                                <w:rFonts w:hint="eastAsia"/>
                                <w:lang w:eastAsia="zh-CN"/>
                              </w:rPr>
                            </w:pPr>
                            <w:r>
                              <w:rPr>
                                <w:rFonts w:hint="eastAsia"/>
                                <w:lang w:eastAsia="zh-CN"/>
                              </w:rPr>
                              <w:t>20XX-XX-XX实施</w:t>
                            </w:r>
                          </w:p>
                        </w:txbxContent>
                      </wps:txbx>
                      <wps:bodyPr rot="0" spcFirstLastPara="0" vertOverflow="overflow" horzOverflow="overflow" vert="horz" wrap="square" lIns="0" tIns="0" rIns="91440" bIns="0" numCol="1" spcCol="0" rtlCol="0" fromWordArt="0" anchor="t" anchorCtr="0" forceAA="0" compatLnSpc="1">
                        <a:noAutofit/>
                      </wps:bodyPr>
                    </wps:wsp>
                  </a:graphicData>
                </a:graphic>
              </wp:anchor>
            </w:drawing>
          </mc:Choice>
          <mc:Fallback>
            <w:pict>
              <v:shape id="首页自画框图9" o:spid="_x0000_s1026" o:spt="202" type="#_x0000_t202" style="position:absolute;left:0pt;margin-left:326pt;margin-top:700.25pt;height:28.35pt;width:226.8pt;mso-position-horizontal-relative:page;mso-position-vertical-relative:page;z-index:251666432;mso-width-relative:page;mso-height-relative:page;" fillcolor="#FFFFFF [3201]" filled="t" stroked="f" coordsize="21600,21600" o:gfxdata="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CliSna3AAAAA4BAAAPAAAAAAAAAAEAIAAAACIAAABkcnMvZG93bnJldi54bWxQSwECFAAUAAAA&#10;CACHTuJAc3T4C1wCAACLBAAADgAAAAAAAAABACAAAAArAQAAZHJzL2Uyb0RvYy54bWxQSwUGAAAA&#10;AAYABgBZAQAA+QUAAAAA&#10;">
                <v:fill on="t" focussize="0,0"/>
                <v:stroke on="f" weight="0.5pt"/>
                <v:imagedata o:title=""/>
                <o:lock v:ext="edit" aspectratio="f"/>
                <v:textbox inset="0mm,0mm,2.54mm,0mm">
                  <w:txbxContent>
                    <w:p>
                      <w:pPr>
                        <w:pStyle w:val="291"/>
                        <w:bidi w:val="0"/>
                        <w:jc w:val="right"/>
                        <w:rPr>
                          <w:rFonts w:hint="eastAsia"/>
                          <w:lang w:eastAsia="zh-CN"/>
                        </w:rPr>
                      </w:pPr>
                      <w:r>
                        <w:rPr>
                          <w:rFonts w:hint="eastAsia"/>
                          <w:lang w:eastAsia="zh-CN"/>
                        </w:rPr>
                        <w:t>20XX-XX-XX实施</w:t>
                      </w:r>
                    </w:p>
                  </w:txbxContent>
                </v:textbox>
              </v:shape>
            </w:pict>
          </mc:Fallback>
        </mc:AlternateContent>
      </w:r>
      <w:r>
        <w:rPr>
          <w:sz w:val="21"/>
        </w:rPr>
        <mc:AlternateContent>
          <mc:Choice Requires="wps">
            <w:drawing>
              <wp:anchor distT="0" distB="0" distL="114300" distR="114300" simplePos="0" relativeHeight="251665408" behindDoc="0" locked="0" layoutInCell="1" allowOverlap="1">
                <wp:simplePos x="0" y="0"/>
                <wp:positionH relativeFrom="page">
                  <wp:posOffset>900430</wp:posOffset>
                </wp:positionH>
                <wp:positionV relativeFrom="page">
                  <wp:posOffset>8893175</wp:posOffset>
                </wp:positionV>
                <wp:extent cx="2880360" cy="360045"/>
                <wp:effectExtent l="0" t="0" r="2540" b="8255"/>
                <wp:wrapNone/>
                <wp:docPr id="8" name="首页自画框图8"/>
                <wp:cNvGraphicFramePr/>
                <a:graphic xmlns:a="http://schemas.openxmlformats.org/drawingml/2006/main">
                  <a:graphicData uri="http://schemas.microsoft.com/office/word/2010/wordprocessingShape">
                    <wps:wsp>
                      <wps:cNvSpPr txBox="1"/>
                      <wps:spPr>
                        <a:xfrm>
                          <a:off x="0" y="0"/>
                          <a:ext cx="2880360" cy="36004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pStyle w:val="264"/>
                              <w:bidi w:val="0"/>
                              <w:rPr>
                                <w:rFonts w:hint="eastAsia"/>
                                <w:lang w:eastAsia="zh-CN"/>
                              </w:rPr>
                            </w:pPr>
                            <w:r>
                              <w:rPr>
                                <w:rFonts w:hint="eastAsia"/>
                                <w:lang w:eastAsia="zh-CN"/>
                              </w:rPr>
                              <w:t>20</w:t>
                            </w:r>
                            <w:r>
                              <w:rPr>
                                <w:rFonts w:hint="eastAsia"/>
                                <w:lang w:val="en-US" w:eastAsia="zh-CN"/>
                              </w:rPr>
                              <w:t>23</w:t>
                            </w:r>
                            <w:r>
                              <w:rPr>
                                <w:rFonts w:hint="eastAsia"/>
                                <w:lang w:eastAsia="zh-CN"/>
                              </w:rPr>
                              <w:t>-XX-XX发布</w:t>
                            </w:r>
                          </w:p>
                        </w:txbxContent>
                      </wps:txbx>
                      <wps:bodyPr rot="0" spcFirstLastPara="0" vertOverflow="overflow" horzOverflow="overflow" vert="horz" wrap="square" lIns="0" tIns="0" rIns="91440" bIns="0" numCol="1" spcCol="0" rtlCol="0" fromWordArt="0" anchor="t" anchorCtr="0" forceAA="0" compatLnSpc="1">
                        <a:noAutofit/>
                      </wps:bodyPr>
                    </wps:wsp>
                  </a:graphicData>
                </a:graphic>
              </wp:anchor>
            </w:drawing>
          </mc:Choice>
          <mc:Fallback>
            <w:pict>
              <v:shape id="首页自画框图8" o:spid="_x0000_s1026" o:spt="202" type="#_x0000_t202" style="position:absolute;left:0pt;margin-left:70.9pt;margin-top:700.25pt;height:28.35pt;width:226.8pt;mso-position-horizontal-relative:page;mso-position-vertical-relative:page;z-index:251665408;mso-width-relative:page;mso-height-relative:page;" fillcolor="#FFFFFF [3201]" filled="t" stroked="f" coordsize="21600,21600" o:gfxdata="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gHfjNNsAAAANAQAADwAAAAAAAAABACAAAAAiAAAAZHJzL2Rvd25yZXYueG1sUEsBAhQAFAAAAAgA&#10;h07iQPiYv2xbAgAAiwQAAA4AAAAAAAAAAQAgAAAAKgEAAGRycy9lMm9Eb2MueG1sUEsFBgAAAAAG&#10;AAYAWQEAAPcFAAAAAA==&#10;">
                <v:fill on="t" focussize="0,0"/>
                <v:stroke on="f" weight="0.5pt"/>
                <v:imagedata o:title=""/>
                <o:lock v:ext="edit" aspectratio="f"/>
                <v:textbox inset="0mm,0mm,2.54mm,0mm">
                  <w:txbxContent>
                    <w:p>
                      <w:pPr>
                        <w:pStyle w:val="264"/>
                        <w:bidi w:val="0"/>
                        <w:rPr>
                          <w:rFonts w:hint="eastAsia"/>
                          <w:lang w:eastAsia="zh-CN"/>
                        </w:rPr>
                      </w:pPr>
                      <w:r>
                        <w:rPr>
                          <w:rFonts w:hint="eastAsia"/>
                          <w:lang w:eastAsia="zh-CN"/>
                        </w:rPr>
                        <w:t>20</w:t>
                      </w:r>
                      <w:r>
                        <w:rPr>
                          <w:rFonts w:hint="eastAsia"/>
                          <w:lang w:val="en-US" w:eastAsia="zh-CN"/>
                        </w:rPr>
                        <w:t>23</w:t>
                      </w:r>
                      <w:r>
                        <w:rPr>
                          <w:rFonts w:hint="eastAsia"/>
                          <w:lang w:eastAsia="zh-CN"/>
                        </w:rPr>
                        <w:t>-XX-XX发布</w:t>
                      </w:r>
                    </w:p>
                  </w:txbxContent>
                </v:textbox>
              </v:shape>
            </w:pict>
          </mc:Fallback>
        </mc:AlternateContent>
      </w:r>
      <w:r>
        <w:rPr>
          <w:sz w:val="21"/>
        </w:rPr>
        <mc:AlternateContent>
          <mc:Choice Requires="wps">
            <w:drawing>
              <wp:anchor distT="0" distB="0" distL="114300" distR="114300" simplePos="0" relativeHeight="251664384" behindDoc="0" locked="0" layoutInCell="1" allowOverlap="1">
                <wp:simplePos x="0" y="0"/>
                <wp:positionH relativeFrom="page">
                  <wp:posOffset>900430</wp:posOffset>
                </wp:positionH>
                <wp:positionV relativeFrom="page">
                  <wp:posOffset>4140200</wp:posOffset>
                </wp:positionV>
                <wp:extent cx="6120765" cy="4320540"/>
                <wp:effectExtent l="0" t="0" r="635" b="10160"/>
                <wp:wrapNone/>
                <wp:docPr id="7" name="首页自画框图7"/>
                <wp:cNvGraphicFramePr/>
                <a:graphic xmlns:a="http://schemas.openxmlformats.org/drawingml/2006/main">
                  <a:graphicData uri="http://schemas.microsoft.com/office/word/2010/wordprocessingShape">
                    <wps:wsp>
                      <wps:cNvSpPr txBox="1"/>
                      <wps:spPr>
                        <a:xfrm>
                          <a:off x="0" y="0"/>
                          <a:ext cx="6120765" cy="432054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pStyle w:val="268"/>
                              <w:bidi w:val="0"/>
                              <w:rPr>
                                <w:rFonts w:hint="default"/>
                                <w:lang w:val="en-US" w:eastAsia="zh-CN"/>
                              </w:rPr>
                            </w:pPr>
                            <w:r>
                              <w:rPr>
                                <w:rFonts w:hint="eastAsia"/>
                                <w:lang w:eastAsia="zh-CN"/>
                              </w:rPr>
                              <w:t>预制舱式磷酸铁锂电池储能电站</w:t>
                            </w:r>
                            <w:r>
                              <w:rPr>
                                <w:rFonts w:hint="eastAsia"/>
                                <w:lang w:val="en-US" w:eastAsia="zh-CN"/>
                              </w:rPr>
                              <w:t>消防技术规范</w:t>
                            </w:r>
                          </w:p>
                          <w:p>
                            <w:pPr>
                              <w:pStyle w:val="271"/>
                              <w:bidi w:val="0"/>
                              <w:rPr>
                                <w:rFonts w:hint="eastAsia"/>
                                <w:lang w:eastAsia="zh-CN"/>
                              </w:rPr>
                            </w:pPr>
                            <w:r>
                              <w:rPr>
                                <w:rFonts w:hint="eastAsia"/>
                                <w:lang w:eastAsia="zh-CN"/>
                              </w:rPr>
                              <w:t>Technical specification for fire protection of lithium iron phosphate battery energy storage power station based on prefabricated cabin</w:t>
                            </w:r>
                          </w:p>
                          <w:p>
                            <w:pPr>
                              <w:pStyle w:val="272"/>
                              <w:bidi w:val="0"/>
                              <w:rPr>
                                <w:rFonts w:hint="eastAsia"/>
                                <w:lang w:eastAsia="zh-CN"/>
                              </w:rPr>
                            </w:pPr>
                          </w:p>
                          <w:p>
                            <w:pPr>
                              <w:pStyle w:val="272"/>
                              <w:bidi w:val="0"/>
                              <w:rPr>
                                <w:rFonts w:hint="eastAsia"/>
                                <w:lang w:eastAsia="zh-CN"/>
                              </w:rPr>
                            </w:pPr>
                            <w:r>
                              <w:rPr>
                                <w:rFonts w:hint="eastAsia"/>
                                <w:lang w:eastAsia="zh-CN"/>
                              </w:rPr>
                              <w:t>（</w:t>
                            </w:r>
                            <w:r>
                              <w:rPr>
                                <w:rFonts w:hint="eastAsia"/>
                                <w:lang w:val="en-US" w:eastAsia="zh-CN"/>
                              </w:rPr>
                              <w:t>报批</w:t>
                            </w:r>
                            <w:r>
                              <w:rPr>
                                <w:rFonts w:hint="eastAsia"/>
                                <w:lang w:eastAsia="zh-CN"/>
                              </w:rPr>
                              <w:t>稿）</w:t>
                            </w:r>
                          </w:p>
                        </w:txbxContent>
                      </wps:txbx>
                      <wps:bodyPr rot="0" spcFirstLastPara="0" vertOverflow="overflow" horzOverflow="overflow" vert="horz" wrap="square" lIns="0" tIns="0" rIns="91440" bIns="0" numCol="1" spcCol="0" rtlCol="0" fromWordArt="0" anchor="t" anchorCtr="0" forceAA="0" compatLnSpc="1">
                        <a:noAutofit/>
                      </wps:bodyPr>
                    </wps:wsp>
                  </a:graphicData>
                </a:graphic>
              </wp:anchor>
            </w:drawing>
          </mc:Choice>
          <mc:Fallback>
            <w:pict>
              <v:shape id="首页自画框图7" o:spid="_x0000_s1026" o:spt="202" type="#_x0000_t202" style="position:absolute;left:0pt;margin-left:70.9pt;margin-top:326pt;height:340.2pt;width:481.95pt;mso-position-horizontal-relative:page;mso-position-vertical-relative:page;z-index:251664384;mso-width-relative:page;mso-height-relative:page;" fillcolor="#FFFFFF [3201]" filled="t" stroked="f" coordsize="21600,21600" o:gfxdata="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CxO9dDcAAAADQEAAA8AAAAAAAAAAQAgAAAAIgAAAGRycy9kb3ducmV2LnhtbFBLAQIU&#10;ABQAAAAIAIdO4kAbQnB+YQIAAIwEAAAOAAAAAAAAAAEAIAAAACsBAABkcnMvZTJvRG9jLnhtbFBL&#10;BQYAAAAABgAGAFkBAAD+BQAAAAA=&#10;">
                <v:fill on="t" focussize="0,0"/>
                <v:stroke on="f" weight="0.5pt"/>
                <v:imagedata o:title=""/>
                <o:lock v:ext="edit" aspectratio="f"/>
                <v:textbox inset="0mm,0mm,2.54mm,0mm">
                  <w:txbxContent>
                    <w:p>
                      <w:pPr>
                        <w:pStyle w:val="268"/>
                        <w:bidi w:val="0"/>
                        <w:rPr>
                          <w:rFonts w:hint="default"/>
                          <w:lang w:val="en-US" w:eastAsia="zh-CN"/>
                        </w:rPr>
                      </w:pPr>
                      <w:r>
                        <w:rPr>
                          <w:rFonts w:hint="eastAsia"/>
                          <w:lang w:eastAsia="zh-CN"/>
                        </w:rPr>
                        <w:t>预制舱式磷酸铁锂电池储能电站</w:t>
                      </w:r>
                      <w:r>
                        <w:rPr>
                          <w:rFonts w:hint="eastAsia"/>
                          <w:lang w:val="en-US" w:eastAsia="zh-CN"/>
                        </w:rPr>
                        <w:t>消防技术规范</w:t>
                      </w:r>
                    </w:p>
                    <w:p>
                      <w:pPr>
                        <w:pStyle w:val="271"/>
                        <w:bidi w:val="0"/>
                        <w:rPr>
                          <w:rFonts w:hint="eastAsia"/>
                          <w:lang w:eastAsia="zh-CN"/>
                        </w:rPr>
                      </w:pPr>
                      <w:r>
                        <w:rPr>
                          <w:rFonts w:hint="eastAsia"/>
                          <w:lang w:eastAsia="zh-CN"/>
                        </w:rPr>
                        <w:t>Technical specification for fire protection of lithium iron phosphate battery energy storage power station based on prefabricated cabin</w:t>
                      </w:r>
                    </w:p>
                    <w:p>
                      <w:pPr>
                        <w:pStyle w:val="272"/>
                        <w:bidi w:val="0"/>
                        <w:rPr>
                          <w:rFonts w:hint="eastAsia"/>
                          <w:lang w:eastAsia="zh-CN"/>
                        </w:rPr>
                      </w:pPr>
                    </w:p>
                    <w:p>
                      <w:pPr>
                        <w:pStyle w:val="272"/>
                        <w:bidi w:val="0"/>
                        <w:rPr>
                          <w:rFonts w:hint="eastAsia"/>
                          <w:lang w:eastAsia="zh-CN"/>
                        </w:rPr>
                      </w:pPr>
                      <w:r>
                        <w:rPr>
                          <w:rFonts w:hint="eastAsia"/>
                          <w:lang w:eastAsia="zh-CN"/>
                        </w:rPr>
                        <w:t>（</w:t>
                      </w:r>
                      <w:r>
                        <w:rPr>
                          <w:rFonts w:hint="eastAsia"/>
                          <w:lang w:val="en-US" w:eastAsia="zh-CN"/>
                        </w:rPr>
                        <w:t>报批</w:t>
                      </w:r>
                      <w:r>
                        <w:rPr>
                          <w:rFonts w:hint="eastAsia"/>
                          <w:lang w:eastAsia="zh-CN"/>
                        </w:rPr>
                        <w:t>稿）</w:t>
                      </w:r>
                    </w:p>
                  </w:txbxContent>
                </v:textbox>
              </v:shape>
            </w:pict>
          </mc:Fallback>
        </mc:AlternateContent>
      </w:r>
      <w:r>
        <w:rPr>
          <w:sz w:val="21"/>
        </w:rPr>
        <mc:AlternateContent>
          <mc:Choice Requires="wps">
            <w:drawing>
              <wp:anchor distT="0" distB="0" distL="114300" distR="114300" simplePos="0" relativeHeight="251663360" behindDoc="0" locked="0" layoutInCell="1" allowOverlap="1">
                <wp:simplePos x="0" y="0"/>
                <wp:positionH relativeFrom="column">
                  <wp:posOffset>-11430</wp:posOffset>
                </wp:positionH>
                <wp:positionV relativeFrom="paragraph">
                  <wp:posOffset>958850</wp:posOffset>
                </wp:positionV>
                <wp:extent cx="6121400" cy="0"/>
                <wp:effectExtent l="0" t="0" r="0" b="0"/>
                <wp:wrapNone/>
                <wp:docPr id="6" name="首页自画框图6"/>
                <wp:cNvGraphicFramePr/>
                <a:graphic xmlns:a="http://schemas.openxmlformats.org/drawingml/2006/main">
                  <a:graphicData uri="http://schemas.microsoft.com/office/word/2010/wordprocessingShape">
                    <wps:wsp>
                      <wps:cNvCnPr/>
                      <wps:spPr>
                        <a:xfrm>
                          <a:off x="0" y="0"/>
                          <a:ext cx="6121400" cy="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首页自画框图6" o:spid="_x0000_s1026" o:spt="20" style="position:absolute;left:0pt;margin-left:-0.9pt;margin-top:75.5pt;height:0pt;width:482pt;z-index:251663360;mso-width-relative:page;mso-height-relative:page;" filled="f" stroked="t" coordsize="21600,21600" o:gfxdata="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CyvY4Z&#10;1gAAAAoBAAAPAAAAAAAAAAEAIAAAACIAAABkcnMvZG93bnJldi54bWxQSwECFAAUAAAACACHTuJA&#10;LhX9KuoBAACzAwAADgAAAAAAAAABACAAAAAlAQAAZHJzL2Uyb0RvYy54bWxQSwUGAAAAAAYABgBZ&#10;AQAAgQUAAAAA&#10;">
                <v:fill on="f" focussize="0,0"/>
                <v:stroke weight="0.5pt" color="#000000 [3204]" miterlimit="8" joinstyle="miter"/>
                <v:imagedata o:title=""/>
                <o:lock v:ext="edit" aspectratio="f"/>
              </v:line>
            </w:pict>
          </mc:Fallback>
        </mc:AlternateContent>
      </w:r>
      <w:r>
        <w:rPr>
          <w:sz w:val="21"/>
        </w:rPr>
        <mc:AlternateContent>
          <mc:Choice Requires="wps">
            <w:drawing>
              <wp:anchor distT="0" distB="0" distL="114300" distR="114300" simplePos="0" relativeHeight="251662336" behindDoc="0" locked="0" layoutInCell="1" allowOverlap="1">
                <wp:simplePos x="0" y="0"/>
                <wp:positionH relativeFrom="page">
                  <wp:posOffset>2520315</wp:posOffset>
                </wp:positionH>
                <wp:positionV relativeFrom="page">
                  <wp:posOffset>2124075</wp:posOffset>
                </wp:positionV>
                <wp:extent cx="4320540" cy="720090"/>
                <wp:effectExtent l="0" t="0" r="10160" b="3810"/>
                <wp:wrapNone/>
                <wp:docPr id="5" name="首页自画框图5"/>
                <wp:cNvGraphicFramePr/>
                <a:graphic xmlns:a="http://schemas.openxmlformats.org/drawingml/2006/main">
                  <a:graphicData uri="http://schemas.microsoft.com/office/word/2010/wordprocessingShape">
                    <wps:wsp>
                      <wps:cNvSpPr txBox="1"/>
                      <wps:spPr>
                        <a:xfrm>
                          <a:off x="0" y="0"/>
                          <a:ext cx="4320540" cy="72009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pStyle w:val="265"/>
                              <w:bidi w:val="0"/>
                              <w:rPr>
                                <w:rFonts w:hint="default"/>
                                <w:lang w:val="en-US" w:eastAsia="zh-CN"/>
                              </w:rPr>
                            </w:pPr>
                            <w:r>
                              <w:rPr>
                                <w:rFonts w:hint="eastAsia"/>
                                <w:lang w:eastAsia="zh-CN"/>
                              </w:rPr>
                              <w:t>DB 32/T XXX-20</w:t>
                            </w:r>
                            <w:r>
                              <w:rPr>
                                <w:rFonts w:hint="eastAsia"/>
                                <w:lang w:val="en-US" w:eastAsia="zh-CN"/>
                              </w:rPr>
                              <w:t>XX</w:t>
                            </w:r>
                          </w:p>
                          <w:p>
                            <w:pPr>
                              <w:pStyle w:val="267"/>
                              <w:bidi w:val="0"/>
                              <w:rPr>
                                <w:rFonts w:hint="eastAsia"/>
                                <w:lang w:eastAsia="zh-CN"/>
                              </w:rPr>
                            </w:pPr>
                          </w:p>
                        </w:txbxContent>
                      </wps:txbx>
                      <wps:bodyPr rot="0" spcFirstLastPara="0" vertOverflow="overflow" horzOverflow="overflow" vert="horz" wrap="square" lIns="0" tIns="0" rIns="91440" bIns="0" numCol="1" spcCol="0" rtlCol="0" fromWordArt="0" anchor="t" anchorCtr="0" forceAA="0" compatLnSpc="1">
                        <a:noAutofit/>
                      </wps:bodyPr>
                    </wps:wsp>
                  </a:graphicData>
                </a:graphic>
              </wp:anchor>
            </w:drawing>
          </mc:Choice>
          <mc:Fallback>
            <w:pict>
              <v:shape id="首页自画框图5" o:spid="_x0000_s1026" o:spt="202" type="#_x0000_t202" style="position:absolute;left:0pt;margin-left:198.45pt;margin-top:167.25pt;height:56.7pt;width:340.2pt;mso-position-horizontal-relative:page;mso-position-vertical-relative:page;z-index:251662336;mso-width-relative:page;mso-height-relative:page;" fillcolor="#FFFFFF [3201]" filled="t" stroked="f" coordsize="21600,21600" o:gfxdata="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">
                <v:fill on="t" focussize="0,0"/>
                <v:stroke on="f" weight="0.5pt"/>
                <v:imagedata o:title=""/>
                <o:lock v:ext="edit" aspectratio="f"/>
                <v:textbox inset="0mm,0mm,2.54mm,0mm">
                  <w:txbxContent>
                    <w:p>
                      <w:pPr>
                        <w:pStyle w:val="265"/>
                        <w:bidi w:val="0"/>
                        <w:rPr>
                          <w:rFonts w:hint="default"/>
                          <w:lang w:val="en-US" w:eastAsia="zh-CN"/>
                        </w:rPr>
                      </w:pPr>
                      <w:r>
                        <w:rPr>
                          <w:rFonts w:hint="eastAsia"/>
                          <w:lang w:eastAsia="zh-CN"/>
                        </w:rPr>
                        <w:t>DB 32/T XXX-20</w:t>
                      </w:r>
                      <w:r>
                        <w:rPr>
                          <w:rFonts w:hint="eastAsia"/>
                          <w:lang w:val="en-US" w:eastAsia="zh-CN"/>
                        </w:rPr>
                        <w:t>XX</w:t>
                      </w:r>
                    </w:p>
                    <w:p>
                      <w:pPr>
                        <w:pStyle w:val="267"/>
                        <w:bidi w:val="0"/>
                        <w:rPr>
                          <w:rFonts w:hint="eastAsia"/>
                          <w:lang w:eastAsia="zh-CN"/>
                        </w:rPr>
                      </w:pPr>
                    </w:p>
                  </w:txbxContent>
                </v:textbox>
              </v:shape>
            </w:pict>
          </mc:Fallback>
        </mc:AlternateContent>
      </w:r>
    </w:p>
    <w:p>
      <w:pPr>
        <w:pStyle w:val="286"/>
      </w:pPr>
      <w:bookmarkStart w:id="1" w:name="标准目次"/>
      <w:bookmarkEnd w:id="1"/>
      <w:bookmarkStart w:id="2" w:name="标准目次内容"/>
      <w:r>
        <w:rPr>
          <w:rFonts w:hint="eastAsia"/>
        </w:rPr>
        <w:t>目    次</w:t>
      </w:r>
    </w:p>
    <w:p>
      <w:pPr>
        <w:pStyle w:val="62"/>
        <w:tabs>
          <w:tab w:val="right" w:leader="dot" w:pos="9355"/>
        </w:tabs>
      </w:pPr>
      <w:r>
        <w:rPr>
          <w:rFonts w:hint="eastAsia" w:ascii="宋体" w:hAnsi="宋体" w:eastAsia="宋体" w:cs="宋体"/>
          <w:b w:val="0"/>
          <w:sz w:val="21"/>
          <w:lang w:eastAsia="zh-CN"/>
        </w:rPr>
        <w:fldChar w:fldCharType="begin"/>
      </w:r>
      <w:r>
        <w:rPr>
          <w:rFonts w:hint="eastAsia" w:ascii="宋体" w:hAnsi="宋体" w:eastAsia="宋体" w:cs="宋体"/>
          <w:b w:val="0"/>
          <w:sz w:val="21"/>
          <w:lang w:eastAsia="zh-CN"/>
        </w:rPr>
        <w:instrText xml:space="preserve">TOC \o "1-7" \h \u </w:instrText>
      </w:r>
      <w:r>
        <w:rPr>
          <w:rFonts w:hint="eastAsia" w:ascii="宋体" w:hAnsi="宋体" w:eastAsia="宋体" w:cs="宋体"/>
          <w:b w:val="0"/>
          <w:sz w:val="21"/>
          <w:lang w:eastAsia="zh-CN"/>
        </w:rPr>
        <w:fldChar w:fldCharType="separate"/>
      </w:r>
      <w:r>
        <w:rPr>
          <w:rFonts w:hint="eastAsia" w:ascii="宋体" w:hAnsi="宋体" w:eastAsia="宋体" w:cs="宋体"/>
          <w:lang w:eastAsia="zh-CN"/>
        </w:rPr>
        <w:fldChar w:fldCharType="begin"/>
      </w:r>
      <w:r>
        <w:rPr>
          <w:rFonts w:hint="eastAsia" w:ascii="宋体" w:hAnsi="宋体" w:eastAsia="宋体" w:cs="宋体"/>
          <w:lang w:eastAsia="zh-CN"/>
        </w:rPr>
        <w:instrText xml:space="preserve"> HYPERLINK \l _Toc31006 </w:instrText>
      </w:r>
      <w:r>
        <w:rPr>
          <w:rFonts w:hint="eastAsia" w:ascii="宋体" w:hAnsi="宋体" w:eastAsia="宋体" w:cs="宋体"/>
          <w:lang w:eastAsia="zh-CN"/>
        </w:rPr>
        <w:fldChar w:fldCharType="separate"/>
      </w:r>
      <w:r>
        <w:rPr>
          <w:rFonts w:hint="eastAsia"/>
          <w:lang w:eastAsia="zh-CN"/>
        </w:rPr>
        <w:t>前    言</w:t>
      </w:r>
      <w:r>
        <w:tab/>
      </w:r>
      <w:r>
        <w:fldChar w:fldCharType="begin"/>
      </w:r>
      <w:r>
        <w:instrText xml:space="preserve"> PAGEREF _Toc31006 \h </w:instrText>
      </w:r>
      <w:r>
        <w:fldChar w:fldCharType="separate"/>
      </w:r>
      <w:r>
        <w:t>II</w:t>
      </w:r>
      <w:r>
        <w:fldChar w:fldCharType="end"/>
      </w:r>
      <w:r>
        <w:rPr>
          <w:rFonts w:hint="eastAsia" w:ascii="宋体" w:hAnsi="宋体" w:eastAsia="宋体" w:cs="宋体"/>
          <w:lang w:eastAsia="zh-CN"/>
        </w:rPr>
        <w:fldChar w:fldCharType="end"/>
      </w:r>
    </w:p>
    <w:p>
      <w:pPr>
        <w:pStyle w:val="3"/>
        <w:tabs>
          <w:tab w:val="right" w:leader="dot" w:pos="9355"/>
        </w:tabs>
      </w:pPr>
      <w:r>
        <w:rPr>
          <w:rFonts w:hint="eastAsia" w:ascii="宋体" w:hAnsi="宋体" w:eastAsia="宋体" w:cs="宋体"/>
          <w:lang w:eastAsia="zh-CN"/>
        </w:rPr>
        <w:fldChar w:fldCharType="begin"/>
      </w:r>
      <w:r>
        <w:rPr>
          <w:rFonts w:hint="eastAsia" w:ascii="宋体" w:hAnsi="宋体" w:eastAsia="宋体" w:cs="宋体"/>
          <w:lang w:eastAsia="zh-CN"/>
        </w:rPr>
        <w:instrText xml:space="preserve"> HYPERLINK \l _Toc8389 </w:instrText>
      </w:r>
      <w:r>
        <w:rPr>
          <w:rFonts w:hint="eastAsia" w:ascii="宋体" w:hAnsi="宋体" w:eastAsia="宋体" w:cs="宋体"/>
          <w:lang w:eastAsia="zh-CN"/>
        </w:rPr>
        <w:fldChar w:fldCharType="separate"/>
      </w:r>
      <w:r>
        <w:rPr>
          <w:rFonts w:hint="eastAsia" w:ascii="黑体" w:hAnsi="Times New Roman" w:eastAsia="黑体"/>
          <w:i w:val="0"/>
          <w:szCs w:val="21"/>
        </w:rPr>
        <w:t xml:space="preserve">1 </w:t>
      </w:r>
      <w:r>
        <w:rPr>
          <w:rFonts w:hint="eastAsia"/>
        </w:rPr>
        <w:t>范围</w:t>
      </w:r>
      <w:r>
        <w:tab/>
      </w:r>
      <w:r>
        <w:fldChar w:fldCharType="begin"/>
      </w:r>
      <w:r>
        <w:instrText xml:space="preserve"> PAGEREF _Toc8389 \h </w:instrText>
      </w:r>
      <w:r>
        <w:fldChar w:fldCharType="separate"/>
      </w:r>
      <w:r>
        <w:t>1</w:t>
      </w:r>
      <w:r>
        <w:fldChar w:fldCharType="end"/>
      </w:r>
      <w:r>
        <w:rPr>
          <w:rFonts w:hint="eastAsia" w:ascii="宋体" w:hAnsi="宋体" w:eastAsia="宋体" w:cs="宋体"/>
          <w:lang w:eastAsia="zh-CN"/>
        </w:rPr>
        <w:fldChar w:fldCharType="end"/>
      </w:r>
    </w:p>
    <w:p>
      <w:pPr>
        <w:pStyle w:val="3"/>
        <w:tabs>
          <w:tab w:val="right" w:leader="dot" w:pos="9355"/>
        </w:tabs>
      </w:pPr>
      <w:r>
        <w:rPr>
          <w:rFonts w:hint="eastAsia" w:ascii="宋体" w:hAnsi="宋体" w:eastAsia="宋体" w:cs="宋体"/>
          <w:lang w:eastAsia="zh-CN"/>
        </w:rPr>
        <w:fldChar w:fldCharType="begin"/>
      </w:r>
      <w:r>
        <w:rPr>
          <w:rFonts w:hint="eastAsia" w:ascii="宋体" w:hAnsi="宋体" w:eastAsia="宋体" w:cs="宋体"/>
          <w:lang w:eastAsia="zh-CN"/>
        </w:rPr>
        <w:instrText xml:space="preserve"> HYPERLINK \l _Toc9492 </w:instrText>
      </w:r>
      <w:r>
        <w:rPr>
          <w:rFonts w:hint="eastAsia" w:ascii="宋体" w:hAnsi="宋体" w:eastAsia="宋体" w:cs="宋体"/>
          <w:lang w:eastAsia="zh-CN"/>
        </w:rPr>
        <w:fldChar w:fldCharType="separate"/>
      </w:r>
      <w:r>
        <w:rPr>
          <w:rFonts w:hint="eastAsia" w:ascii="黑体" w:hAnsi="Times New Roman" w:eastAsia="黑体"/>
          <w:i w:val="0"/>
          <w:szCs w:val="21"/>
        </w:rPr>
        <w:t xml:space="preserve">2 </w:t>
      </w:r>
      <w:r>
        <w:rPr>
          <w:rFonts w:hint="eastAsia"/>
        </w:rPr>
        <w:t>规范性引用文件</w:t>
      </w:r>
      <w:r>
        <w:tab/>
      </w:r>
      <w:r>
        <w:fldChar w:fldCharType="begin"/>
      </w:r>
      <w:r>
        <w:instrText xml:space="preserve"> PAGEREF _Toc9492 \h </w:instrText>
      </w:r>
      <w:r>
        <w:fldChar w:fldCharType="separate"/>
      </w:r>
      <w:r>
        <w:t>1</w:t>
      </w:r>
      <w:r>
        <w:fldChar w:fldCharType="end"/>
      </w:r>
      <w:r>
        <w:rPr>
          <w:rFonts w:hint="eastAsia" w:ascii="宋体" w:hAnsi="宋体" w:eastAsia="宋体" w:cs="宋体"/>
          <w:lang w:eastAsia="zh-CN"/>
        </w:rPr>
        <w:fldChar w:fldCharType="end"/>
      </w:r>
    </w:p>
    <w:p>
      <w:pPr>
        <w:pStyle w:val="3"/>
        <w:tabs>
          <w:tab w:val="right" w:leader="dot" w:pos="9355"/>
        </w:tabs>
      </w:pPr>
      <w:r>
        <w:rPr>
          <w:rFonts w:hint="eastAsia" w:ascii="宋体" w:hAnsi="宋体" w:eastAsia="宋体" w:cs="宋体"/>
          <w:lang w:eastAsia="zh-CN"/>
        </w:rPr>
        <w:fldChar w:fldCharType="begin"/>
      </w:r>
      <w:r>
        <w:rPr>
          <w:rFonts w:hint="eastAsia" w:ascii="宋体" w:hAnsi="宋体" w:eastAsia="宋体" w:cs="宋体"/>
          <w:lang w:eastAsia="zh-CN"/>
        </w:rPr>
        <w:instrText xml:space="preserve"> HYPERLINK \l _Toc23947 </w:instrText>
      </w:r>
      <w:r>
        <w:rPr>
          <w:rFonts w:hint="eastAsia" w:ascii="宋体" w:hAnsi="宋体" w:eastAsia="宋体" w:cs="宋体"/>
          <w:lang w:eastAsia="zh-CN"/>
        </w:rPr>
        <w:fldChar w:fldCharType="separate"/>
      </w:r>
      <w:r>
        <w:rPr>
          <w:rFonts w:hint="eastAsia" w:ascii="黑体" w:hAnsi="Times New Roman" w:eastAsia="黑体"/>
          <w:i w:val="0"/>
          <w:szCs w:val="21"/>
        </w:rPr>
        <w:t xml:space="preserve">3 </w:t>
      </w:r>
      <w:r>
        <w:rPr>
          <w:rFonts w:hint="eastAsia"/>
        </w:rPr>
        <w:t>术语和定义</w:t>
      </w:r>
      <w:r>
        <w:tab/>
      </w:r>
      <w:r>
        <w:fldChar w:fldCharType="begin"/>
      </w:r>
      <w:r>
        <w:instrText xml:space="preserve"> PAGEREF _Toc23947 \h </w:instrText>
      </w:r>
      <w:r>
        <w:fldChar w:fldCharType="separate"/>
      </w:r>
      <w:r>
        <w:t>2</w:t>
      </w:r>
      <w:r>
        <w:fldChar w:fldCharType="end"/>
      </w:r>
      <w:r>
        <w:rPr>
          <w:rFonts w:hint="eastAsia" w:ascii="宋体" w:hAnsi="宋体" w:eastAsia="宋体" w:cs="宋体"/>
          <w:lang w:eastAsia="zh-CN"/>
        </w:rPr>
        <w:fldChar w:fldCharType="end"/>
      </w:r>
    </w:p>
    <w:p>
      <w:pPr>
        <w:pStyle w:val="3"/>
        <w:tabs>
          <w:tab w:val="right" w:leader="dot" w:pos="9355"/>
        </w:tabs>
      </w:pPr>
      <w:r>
        <w:rPr>
          <w:rFonts w:hint="eastAsia" w:ascii="宋体" w:hAnsi="宋体" w:eastAsia="宋体" w:cs="宋体"/>
          <w:lang w:eastAsia="zh-CN"/>
        </w:rPr>
        <w:fldChar w:fldCharType="begin"/>
      </w:r>
      <w:r>
        <w:rPr>
          <w:rFonts w:hint="eastAsia" w:ascii="宋体" w:hAnsi="宋体" w:eastAsia="宋体" w:cs="宋体"/>
          <w:lang w:eastAsia="zh-CN"/>
        </w:rPr>
        <w:instrText xml:space="preserve"> HYPERLINK \l _Toc32363 </w:instrText>
      </w:r>
      <w:r>
        <w:rPr>
          <w:rFonts w:hint="eastAsia" w:ascii="宋体" w:hAnsi="宋体" w:eastAsia="宋体" w:cs="宋体"/>
          <w:lang w:eastAsia="zh-CN"/>
        </w:rPr>
        <w:fldChar w:fldCharType="separate"/>
      </w:r>
      <w:r>
        <w:rPr>
          <w:rFonts w:hint="eastAsia" w:ascii="黑体" w:hAnsi="Times New Roman" w:eastAsia="黑体"/>
          <w:i w:val="0"/>
          <w:szCs w:val="21"/>
        </w:rPr>
        <w:t xml:space="preserve">4 </w:t>
      </w:r>
      <w:r>
        <w:rPr>
          <w:rFonts w:hint="eastAsia"/>
          <w:lang w:val="en-US" w:eastAsia="zh-CN"/>
        </w:rPr>
        <w:t>总体要求</w:t>
      </w:r>
      <w:r>
        <w:tab/>
      </w:r>
      <w:r>
        <w:fldChar w:fldCharType="begin"/>
      </w:r>
      <w:r>
        <w:instrText xml:space="preserve"> PAGEREF _Toc32363 \h </w:instrText>
      </w:r>
      <w:r>
        <w:fldChar w:fldCharType="separate"/>
      </w:r>
      <w:r>
        <w:t>2</w:t>
      </w:r>
      <w:r>
        <w:fldChar w:fldCharType="end"/>
      </w:r>
      <w:r>
        <w:rPr>
          <w:rFonts w:hint="eastAsia" w:ascii="宋体" w:hAnsi="宋体" w:eastAsia="宋体" w:cs="宋体"/>
          <w:lang w:eastAsia="zh-CN"/>
        </w:rPr>
        <w:fldChar w:fldCharType="end"/>
      </w:r>
    </w:p>
    <w:p>
      <w:pPr>
        <w:pStyle w:val="3"/>
        <w:tabs>
          <w:tab w:val="right" w:leader="dot" w:pos="9355"/>
        </w:tabs>
      </w:pPr>
      <w:r>
        <w:rPr>
          <w:rFonts w:hint="eastAsia" w:ascii="宋体" w:hAnsi="宋体" w:eastAsia="宋体" w:cs="宋体"/>
          <w:lang w:eastAsia="zh-CN"/>
        </w:rPr>
        <w:fldChar w:fldCharType="begin"/>
      </w:r>
      <w:r>
        <w:rPr>
          <w:rFonts w:hint="eastAsia" w:ascii="宋体" w:hAnsi="宋体" w:eastAsia="宋体" w:cs="宋体"/>
          <w:lang w:eastAsia="zh-CN"/>
        </w:rPr>
        <w:instrText xml:space="preserve"> HYPERLINK \l _Toc23258 </w:instrText>
      </w:r>
      <w:r>
        <w:rPr>
          <w:rFonts w:hint="eastAsia" w:ascii="宋体" w:hAnsi="宋体" w:eastAsia="宋体" w:cs="宋体"/>
          <w:lang w:eastAsia="zh-CN"/>
        </w:rPr>
        <w:fldChar w:fldCharType="separate"/>
      </w:r>
      <w:r>
        <w:rPr>
          <w:rFonts w:hint="eastAsia" w:ascii="黑体" w:hAnsi="Times New Roman" w:eastAsia="黑体"/>
          <w:i w:val="0"/>
          <w:szCs w:val="21"/>
        </w:rPr>
        <w:t xml:space="preserve">5 </w:t>
      </w:r>
      <w:r>
        <w:rPr>
          <w:rFonts w:hint="eastAsia"/>
          <w:lang w:val="en-US" w:eastAsia="zh-CN"/>
        </w:rPr>
        <w:t>储能设备</w:t>
      </w:r>
      <w:r>
        <w:tab/>
      </w:r>
      <w:r>
        <w:fldChar w:fldCharType="begin"/>
      </w:r>
      <w:r>
        <w:instrText xml:space="preserve"> PAGEREF _Toc23258 \h </w:instrText>
      </w:r>
      <w:r>
        <w:fldChar w:fldCharType="separate"/>
      </w:r>
      <w:r>
        <w:t>3</w:t>
      </w:r>
      <w:r>
        <w:fldChar w:fldCharType="end"/>
      </w:r>
      <w:r>
        <w:rPr>
          <w:rFonts w:hint="eastAsia" w:ascii="宋体" w:hAnsi="宋体" w:eastAsia="宋体" w:cs="宋体"/>
          <w:lang w:eastAsia="zh-CN"/>
        </w:rPr>
        <w:fldChar w:fldCharType="end"/>
      </w:r>
    </w:p>
    <w:p>
      <w:pPr>
        <w:pStyle w:val="19"/>
        <w:tabs>
          <w:tab w:val="right" w:leader="dot" w:pos="9355"/>
        </w:tabs>
      </w:pPr>
      <w:r>
        <w:rPr>
          <w:rFonts w:hint="eastAsia" w:ascii="宋体" w:hAnsi="宋体" w:eastAsia="宋体" w:cs="宋体"/>
          <w:lang w:eastAsia="zh-CN"/>
        </w:rPr>
        <w:fldChar w:fldCharType="begin"/>
      </w:r>
      <w:r>
        <w:rPr>
          <w:rFonts w:hint="eastAsia" w:ascii="宋体" w:hAnsi="宋体" w:eastAsia="宋体" w:cs="宋体"/>
          <w:lang w:eastAsia="zh-CN"/>
        </w:rPr>
        <w:instrText xml:space="preserve"> HYPERLINK \l _Toc23335 </w:instrText>
      </w:r>
      <w:r>
        <w:rPr>
          <w:rFonts w:hint="eastAsia" w:ascii="宋体" w:hAnsi="宋体" w:eastAsia="宋体" w:cs="宋体"/>
          <w:lang w:eastAsia="zh-CN"/>
        </w:rPr>
        <w:fldChar w:fldCharType="separate"/>
      </w:r>
      <w:r>
        <w:rPr>
          <w:rFonts w:hint="eastAsia" w:ascii="黑体" w:hAnsi="Times New Roman" w:eastAsia="黑体" w:cs="Times New Roman"/>
          <w:bCs w:val="0"/>
          <w:i w:val="0"/>
          <w:iCs w:val="0"/>
          <w:caps w:val="0"/>
          <w:strike w:val="0"/>
          <w:dstrike w:val="0"/>
          <w:outline w:val="0"/>
          <w:shadow w:val="0"/>
          <w:emboss w:val="0"/>
          <w:imprint w:val="0"/>
          <w:vanish w:val="0"/>
          <w:spacing w:val="0"/>
          <w:kern w:val="0"/>
          <w:position w:val="0"/>
          <w:szCs w:val="21"/>
          <w:vertAlign w:val="baseline"/>
        </w:rPr>
        <w:t xml:space="preserve">5.1 </w:t>
      </w:r>
      <w:r>
        <w:rPr>
          <w:highlight w:val="none"/>
        </w:rPr>
        <w:t>磷酸铁锂电池</w:t>
      </w:r>
      <w:r>
        <w:tab/>
      </w:r>
      <w:r>
        <w:fldChar w:fldCharType="begin"/>
      </w:r>
      <w:r>
        <w:instrText xml:space="preserve"> PAGEREF _Toc23335 \h </w:instrText>
      </w:r>
      <w:r>
        <w:fldChar w:fldCharType="separate"/>
      </w:r>
      <w:r>
        <w:t>3</w:t>
      </w:r>
      <w:r>
        <w:fldChar w:fldCharType="end"/>
      </w:r>
      <w:r>
        <w:rPr>
          <w:rFonts w:hint="eastAsia" w:ascii="宋体" w:hAnsi="宋体" w:eastAsia="宋体" w:cs="宋体"/>
          <w:lang w:eastAsia="zh-CN"/>
        </w:rPr>
        <w:fldChar w:fldCharType="end"/>
      </w:r>
    </w:p>
    <w:p>
      <w:pPr>
        <w:pStyle w:val="19"/>
        <w:tabs>
          <w:tab w:val="right" w:leader="dot" w:pos="9355"/>
        </w:tabs>
      </w:pPr>
      <w:r>
        <w:rPr>
          <w:rFonts w:hint="eastAsia" w:ascii="宋体" w:hAnsi="宋体" w:eastAsia="宋体" w:cs="宋体"/>
          <w:lang w:eastAsia="zh-CN"/>
        </w:rPr>
        <w:fldChar w:fldCharType="begin"/>
      </w:r>
      <w:r>
        <w:rPr>
          <w:rFonts w:hint="eastAsia" w:ascii="宋体" w:hAnsi="宋体" w:eastAsia="宋体" w:cs="宋体"/>
          <w:lang w:eastAsia="zh-CN"/>
        </w:rPr>
        <w:instrText xml:space="preserve"> HYPERLINK \l _Toc16724 </w:instrText>
      </w:r>
      <w:r>
        <w:rPr>
          <w:rFonts w:hint="eastAsia" w:ascii="宋体" w:hAnsi="宋体" w:eastAsia="宋体" w:cs="宋体"/>
          <w:lang w:eastAsia="zh-CN"/>
        </w:rPr>
        <w:fldChar w:fldCharType="separate"/>
      </w:r>
      <w:r>
        <w:rPr>
          <w:rFonts w:hint="eastAsia" w:ascii="黑体" w:hAnsi="Times New Roman" w:eastAsia="黑体" w:cs="Times New Roman"/>
          <w:bCs w:val="0"/>
          <w:i w:val="0"/>
          <w:iCs w:val="0"/>
          <w:caps w:val="0"/>
          <w:strike w:val="0"/>
          <w:dstrike w:val="0"/>
          <w:outline w:val="0"/>
          <w:shadow w:val="0"/>
          <w:emboss w:val="0"/>
          <w:imprint w:val="0"/>
          <w:vanish w:val="0"/>
          <w:spacing w:val="0"/>
          <w:kern w:val="0"/>
          <w:position w:val="0"/>
          <w:szCs w:val="21"/>
          <w:vertAlign w:val="baseline"/>
        </w:rPr>
        <w:t xml:space="preserve">5.2 </w:t>
      </w:r>
      <w:r>
        <w:t>电池管理系统</w:t>
      </w:r>
      <w:r>
        <w:tab/>
      </w:r>
      <w:r>
        <w:fldChar w:fldCharType="begin"/>
      </w:r>
      <w:r>
        <w:instrText xml:space="preserve"> PAGEREF _Toc16724 \h </w:instrText>
      </w:r>
      <w:r>
        <w:fldChar w:fldCharType="separate"/>
      </w:r>
      <w:r>
        <w:t>3</w:t>
      </w:r>
      <w:r>
        <w:fldChar w:fldCharType="end"/>
      </w:r>
      <w:r>
        <w:rPr>
          <w:rFonts w:hint="eastAsia" w:ascii="宋体" w:hAnsi="宋体" w:eastAsia="宋体" w:cs="宋体"/>
          <w:lang w:eastAsia="zh-CN"/>
        </w:rPr>
        <w:fldChar w:fldCharType="end"/>
      </w:r>
    </w:p>
    <w:p>
      <w:pPr>
        <w:pStyle w:val="19"/>
        <w:tabs>
          <w:tab w:val="right" w:leader="dot" w:pos="9355"/>
        </w:tabs>
      </w:pPr>
      <w:r>
        <w:rPr>
          <w:rFonts w:hint="eastAsia" w:ascii="宋体" w:hAnsi="宋体" w:eastAsia="宋体" w:cs="宋体"/>
          <w:lang w:eastAsia="zh-CN"/>
        </w:rPr>
        <w:fldChar w:fldCharType="begin"/>
      </w:r>
      <w:r>
        <w:rPr>
          <w:rFonts w:hint="eastAsia" w:ascii="宋体" w:hAnsi="宋体" w:eastAsia="宋体" w:cs="宋体"/>
          <w:lang w:eastAsia="zh-CN"/>
        </w:rPr>
        <w:instrText xml:space="preserve"> HYPERLINK \l _Toc26689 </w:instrText>
      </w:r>
      <w:r>
        <w:rPr>
          <w:rFonts w:hint="eastAsia" w:ascii="宋体" w:hAnsi="宋体" w:eastAsia="宋体" w:cs="宋体"/>
          <w:lang w:eastAsia="zh-CN"/>
        </w:rPr>
        <w:fldChar w:fldCharType="separate"/>
      </w:r>
      <w:r>
        <w:rPr>
          <w:rFonts w:hint="eastAsia" w:ascii="黑体" w:hAnsi="Times New Roman" w:eastAsia="黑体" w:cs="Times New Roman"/>
          <w:bCs w:val="0"/>
          <w:i w:val="0"/>
          <w:iCs w:val="0"/>
          <w:caps w:val="0"/>
          <w:strike w:val="0"/>
          <w:dstrike w:val="0"/>
          <w:outline w:val="0"/>
          <w:shadow w:val="0"/>
          <w:emboss w:val="0"/>
          <w:imprint w:val="0"/>
          <w:vanish w:val="0"/>
          <w:spacing w:val="0"/>
          <w:kern w:val="0"/>
          <w:position w:val="0"/>
          <w:szCs w:val="21"/>
          <w:vertAlign w:val="baseline"/>
        </w:rPr>
        <w:t xml:space="preserve">5.3 </w:t>
      </w:r>
      <w:r>
        <w:t>电池预制舱</w:t>
      </w:r>
      <w:r>
        <w:tab/>
      </w:r>
      <w:r>
        <w:fldChar w:fldCharType="begin"/>
      </w:r>
      <w:r>
        <w:instrText xml:space="preserve"> PAGEREF _Toc26689 \h </w:instrText>
      </w:r>
      <w:r>
        <w:fldChar w:fldCharType="separate"/>
      </w:r>
      <w:r>
        <w:t>4</w:t>
      </w:r>
      <w:r>
        <w:fldChar w:fldCharType="end"/>
      </w:r>
      <w:r>
        <w:rPr>
          <w:rFonts w:hint="eastAsia" w:ascii="宋体" w:hAnsi="宋体" w:eastAsia="宋体" w:cs="宋体"/>
          <w:lang w:eastAsia="zh-CN"/>
        </w:rPr>
        <w:fldChar w:fldCharType="end"/>
      </w:r>
    </w:p>
    <w:p>
      <w:pPr>
        <w:pStyle w:val="3"/>
        <w:tabs>
          <w:tab w:val="right" w:leader="dot" w:pos="9355"/>
        </w:tabs>
      </w:pPr>
      <w:r>
        <w:rPr>
          <w:rFonts w:hint="eastAsia" w:ascii="宋体" w:hAnsi="宋体" w:eastAsia="宋体" w:cs="宋体"/>
          <w:lang w:eastAsia="zh-CN"/>
        </w:rPr>
        <w:fldChar w:fldCharType="begin"/>
      </w:r>
      <w:r>
        <w:rPr>
          <w:rFonts w:hint="eastAsia" w:ascii="宋体" w:hAnsi="宋体" w:eastAsia="宋体" w:cs="宋体"/>
          <w:lang w:eastAsia="zh-CN"/>
        </w:rPr>
        <w:instrText xml:space="preserve"> HYPERLINK \l _Toc31501 </w:instrText>
      </w:r>
      <w:r>
        <w:rPr>
          <w:rFonts w:hint="eastAsia" w:ascii="宋体" w:hAnsi="宋体" w:eastAsia="宋体" w:cs="宋体"/>
          <w:lang w:eastAsia="zh-CN"/>
        </w:rPr>
        <w:fldChar w:fldCharType="separate"/>
      </w:r>
      <w:r>
        <w:rPr>
          <w:rFonts w:hint="eastAsia" w:ascii="黑体" w:hAnsi="Times New Roman" w:eastAsia="黑体"/>
          <w:i w:val="0"/>
          <w:szCs w:val="21"/>
        </w:rPr>
        <w:t xml:space="preserve">6 </w:t>
      </w:r>
      <w:r>
        <w:rPr>
          <w:rFonts w:hint="eastAsia"/>
        </w:rPr>
        <w:t>站址选择</w:t>
      </w:r>
      <w:r>
        <w:rPr>
          <w:rFonts w:hint="eastAsia"/>
          <w:lang w:val="en-US" w:eastAsia="zh-CN"/>
        </w:rPr>
        <w:t>与平面布置</w:t>
      </w:r>
      <w:r>
        <w:tab/>
      </w:r>
      <w:r>
        <w:fldChar w:fldCharType="begin"/>
      </w:r>
      <w:r>
        <w:instrText xml:space="preserve"> PAGEREF _Toc31501 \h </w:instrText>
      </w:r>
      <w:r>
        <w:fldChar w:fldCharType="separate"/>
      </w:r>
      <w:r>
        <w:t>4</w:t>
      </w:r>
      <w:r>
        <w:fldChar w:fldCharType="end"/>
      </w:r>
      <w:r>
        <w:rPr>
          <w:rFonts w:hint="eastAsia" w:ascii="宋体" w:hAnsi="宋体" w:eastAsia="宋体" w:cs="宋体"/>
          <w:lang w:eastAsia="zh-CN"/>
        </w:rPr>
        <w:fldChar w:fldCharType="end"/>
      </w:r>
    </w:p>
    <w:p>
      <w:pPr>
        <w:pStyle w:val="19"/>
        <w:tabs>
          <w:tab w:val="right" w:leader="dot" w:pos="9355"/>
        </w:tabs>
      </w:pPr>
      <w:r>
        <w:rPr>
          <w:rFonts w:hint="eastAsia" w:ascii="宋体" w:hAnsi="宋体" w:eastAsia="宋体" w:cs="宋体"/>
          <w:lang w:eastAsia="zh-CN"/>
        </w:rPr>
        <w:fldChar w:fldCharType="begin"/>
      </w:r>
      <w:r>
        <w:rPr>
          <w:rFonts w:hint="eastAsia" w:ascii="宋体" w:hAnsi="宋体" w:eastAsia="宋体" w:cs="宋体"/>
          <w:lang w:eastAsia="zh-CN"/>
        </w:rPr>
        <w:instrText xml:space="preserve"> HYPERLINK \l _Toc12321 </w:instrText>
      </w:r>
      <w:r>
        <w:rPr>
          <w:rFonts w:hint="eastAsia" w:ascii="宋体" w:hAnsi="宋体" w:eastAsia="宋体" w:cs="宋体"/>
          <w:lang w:eastAsia="zh-CN"/>
        </w:rPr>
        <w:fldChar w:fldCharType="separate"/>
      </w:r>
      <w:r>
        <w:rPr>
          <w:rFonts w:hint="eastAsia" w:ascii="黑体" w:hAnsi="Times New Roman" w:eastAsia="黑体" w:cs="Times New Roman"/>
          <w:bCs w:val="0"/>
          <w:i w:val="0"/>
          <w:iCs w:val="0"/>
          <w:caps w:val="0"/>
          <w:strike w:val="0"/>
          <w:dstrike w:val="0"/>
          <w:outline w:val="0"/>
          <w:shadow w:val="0"/>
          <w:emboss w:val="0"/>
          <w:imprint w:val="0"/>
          <w:vanish w:val="0"/>
          <w:spacing w:val="0"/>
          <w:kern w:val="0"/>
          <w:position w:val="0"/>
          <w:szCs w:val="21"/>
          <w:vertAlign w:val="baseline"/>
        </w:rPr>
        <w:t xml:space="preserve">6.1 </w:t>
      </w:r>
      <w:r>
        <w:rPr>
          <w:rFonts w:hint="eastAsia"/>
          <w:lang w:val="en-US" w:eastAsia="zh-CN"/>
        </w:rPr>
        <w:t>站址选择</w:t>
      </w:r>
      <w:r>
        <w:tab/>
      </w:r>
      <w:r>
        <w:fldChar w:fldCharType="begin"/>
      </w:r>
      <w:r>
        <w:instrText xml:space="preserve"> PAGEREF _Toc12321 \h </w:instrText>
      </w:r>
      <w:r>
        <w:fldChar w:fldCharType="separate"/>
      </w:r>
      <w:r>
        <w:t>4</w:t>
      </w:r>
      <w:r>
        <w:fldChar w:fldCharType="end"/>
      </w:r>
      <w:r>
        <w:rPr>
          <w:rFonts w:hint="eastAsia" w:ascii="宋体" w:hAnsi="宋体" w:eastAsia="宋体" w:cs="宋体"/>
          <w:lang w:eastAsia="zh-CN"/>
        </w:rPr>
        <w:fldChar w:fldCharType="end"/>
      </w:r>
    </w:p>
    <w:p>
      <w:pPr>
        <w:pStyle w:val="19"/>
        <w:tabs>
          <w:tab w:val="right" w:leader="dot" w:pos="9355"/>
        </w:tabs>
      </w:pPr>
      <w:r>
        <w:rPr>
          <w:rFonts w:hint="eastAsia" w:ascii="宋体" w:hAnsi="宋体" w:eastAsia="宋体" w:cs="宋体"/>
          <w:lang w:eastAsia="zh-CN"/>
        </w:rPr>
        <w:fldChar w:fldCharType="begin"/>
      </w:r>
      <w:r>
        <w:rPr>
          <w:rFonts w:hint="eastAsia" w:ascii="宋体" w:hAnsi="宋体" w:eastAsia="宋体" w:cs="宋体"/>
          <w:lang w:eastAsia="zh-CN"/>
        </w:rPr>
        <w:instrText xml:space="preserve"> HYPERLINK \l _Toc31730 </w:instrText>
      </w:r>
      <w:r>
        <w:rPr>
          <w:rFonts w:hint="eastAsia" w:ascii="宋体" w:hAnsi="宋体" w:eastAsia="宋体" w:cs="宋体"/>
          <w:lang w:eastAsia="zh-CN"/>
        </w:rPr>
        <w:fldChar w:fldCharType="separate"/>
      </w:r>
      <w:r>
        <w:rPr>
          <w:rFonts w:hint="eastAsia" w:ascii="黑体" w:hAnsi="Times New Roman" w:eastAsia="黑体" w:cs="Times New Roman"/>
          <w:bCs w:val="0"/>
          <w:i w:val="0"/>
          <w:iCs w:val="0"/>
          <w:caps w:val="0"/>
          <w:strike w:val="0"/>
          <w:dstrike w:val="0"/>
          <w:outline w:val="0"/>
          <w:shadow w:val="0"/>
          <w:emboss w:val="0"/>
          <w:imprint w:val="0"/>
          <w:vanish w:val="0"/>
          <w:spacing w:val="0"/>
          <w:kern w:val="0"/>
          <w:position w:val="0"/>
          <w:szCs w:val="21"/>
          <w:vertAlign w:val="baseline"/>
        </w:rPr>
        <w:t xml:space="preserve">6.2 </w:t>
      </w:r>
      <w:r>
        <w:rPr>
          <w:rFonts w:hint="eastAsia"/>
        </w:rPr>
        <w:t>平面布置</w:t>
      </w:r>
      <w:r>
        <w:tab/>
      </w:r>
      <w:r>
        <w:fldChar w:fldCharType="begin"/>
      </w:r>
      <w:r>
        <w:instrText xml:space="preserve"> PAGEREF _Toc31730 \h </w:instrText>
      </w:r>
      <w:r>
        <w:fldChar w:fldCharType="separate"/>
      </w:r>
      <w:r>
        <w:t>4</w:t>
      </w:r>
      <w:r>
        <w:fldChar w:fldCharType="end"/>
      </w:r>
      <w:r>
        <w:rPr>
          <w:rFonts w:hint="eastAsia" w:ascii="宋体" w:hAnsi="宋体" w:eastAsia="宋体" w:cs="宋体"/>
          <w:lang w:eastAsia="zh-CN"/>
        </w:rPr>
        <w:fldChar w:fldCharType="end"/>
      </w:r>
    </w:p>
    <w:p>
      <w:pPr>
        <w:pStyle w:val="3"/>
        <w:tabs>
          <w:tab w:val="right" w:leader="dot" w:pos="9355"/>
        </w:tabs>
      </w:pPr>
      <w:r>
        <w:rPr>
          <w:rFonts w:hint="eastAsia" w:ascii="宋体" w:hAnsi="宋体" w:eastAsia="宋体" w:cs="宋体"/>
          <w:lang w:eastAsia="zh-CN"/>
        </w:rPr>
        <w:fldChar w:fldCharType="begin"/>
      </w:r>
      <w:r>
        <w:rPr>
          <w:rFonts w:hint="eastAsia" w:ascii="宋体" w:hAnsi="宋体" w:eastAsia="宋体" w:cs="宋体"/>
          <w:lang w:eastAsia="zh-CN"/>
        </w:rPr>
        <w:instrText xml:space="preserve"> HYPERLINK \l _Toc32005 </w:instrText>
      </w:r>
      <w:r>
        <w:rPr>
          <w:rFonts w:hint="eastAsia" w:ascii="宋体" w:hAnsi="宋体" w:eastAsia="宋体" w:cs="宋体"/>
          <w:lang w:eastAsia="zh-CN"/>
        </w:rPr>
        <w:fldChar w:fldCharType="separate"/>
      </w:r>
      <w:r>
        <w:rPr>
          <w:rFonts w:hint="eastAsia" w:ascii="黑体" w:hAnsi="Times New Roman" w:eastAsia="黑体"/>
          <w:i w:val="0"/>
          <w:szCs w:val="21"/>
        </w:rPr>
        <w:t xml:space="preserve">7 </w:t>
      </w:r>
      <w:r>
        <w:rPr>
          <w:rFonts w:hint="eastAsia"/>
          <w:lang w:val="en-US" w:eastAsia="zh-CN"/>
        </w:rPr>
        <w:t>消防设施</w:t>
      </w:r>
      <w:r>
        <w:tab/>
      </w:r>
      <w:r>
        <w:fldChar w:fldCharType="begin"/>
      </w:r>
      <w:r>
        <w:instrText xml:space="preserve"> PAGEREF _Toc32005 \h </w:instrText>
      </w:r>
      <w:r>
        <w:fldChar w:fldCharType="separate"/>
      </w:r>
      <w:r>
        <w:t>5</w:t>
      </w:r>
      <w:r>
        <w:fldChar w:fldCharType="end"/>
      </w:r>
      <w:r>
        <w:rPr>
          <w:rFonts w:hint="eastAsia" w:ascii="宋体" w:hAnsi="宋体" w:eastAsia="宋体" w:cs="宋体"/>
          <w:lang w:eastAsia="zh-CN"/>
        </w:rPr>
        <w:fldChar w:fldCharType="end"/>
      </w:r>
    </w:p>
    <w:p>
      <w:pPr>
        <w:pStyle w:val="19"/>
        <w:tabs>
          <w:tab w:val="right" w:leader="dot" w:pos="9355"/>
        </w:tabs>
      </w:pPr>
      <w:r>
        <w:rPr>
          <w:rFonts w:hint="eastAsia" w:ascii="宋体" w:hAnsi="宋体" w:eastAsia="宋体" w:cs="宋体"/>
          <w:lang w:eastAsia="zh-CN"/>
        </w:rPr>
        <w:fldChar w:fldCharType="begin"/>
      </w:r>
      <w:r>
        <w:rPr>
          <w:rFonts w:hint="eastAsia" w:ascii="宋体" w:hAnsi="宋体" w:eastAsia="宋体" w:cs="宋体"/>
          <w:lang w:eastAsia="zh-CN"/>
        </w:rPr>
        <w:instrText xml:space="preserve"> HYPERLINK \l _Toc6950 </w:instrText>
      </w:r>
      <w:r>
        <w:rPr>
          <w:rFonts w:hint="eastAsia" w:ascii="宋体" w:hAnsi="宋体" w:eastAsia="宋体" w:cs="宋体"/>
          <w:lang w:eastAsia="zh-CN"/>
        </w:rPr>
        <w:fldChar w:fldCharType="separate"/>
      </w:r>
      <w:r>
        <w:rPr>
          <w:rFonts w:hint="eastAsia" w:ascii="黑体" w:hAnsi="Times New Roman" w:eastAsia="黑体" w:cs="Times New Roman"/>
          <w:bCs w:val="0"/>
          <w:i w:val="0"/>
          <w:iCs w:val="0"/>
          <w:caps w:val="0"/>
          <w:strike w:val="0"/>
          <w:dstrike w:val="0"/>
          <w:outline w:val="0"/>
          <w:shadow w:val="0"/>
          <w:emboss w:val="0"/>
          <w:imprint w:val="0"/>
          <w:vanish w:val="0"/>
          <w:spacing w:val="0"/>
          <w:kern w:val="0"/>
          <w:position w:val="0"/>
          <w:szCs w:val="21"/>
          <w:vertAlign w:val="baseline"/>
        </w:rPr>
        <w:t xml:space="preserve">7.1 </w:t>
      </w:r>
      <w:r>
        <w:t>消防给水</w:t>
      </w:r>
      <w:r>
        <w:rPr>
          <w:rFonts w:hint="eastAsia"/>
          <w:lang w:val="en-US" w:eastAsia="zh-CN"/>
        </w:rPr>
        <w:t>和消火栓系统</w:t>
      </w:r>
      <w:r>
        <w:tab/>
      </w:r>
      <w:r>
        <w:fldChar w:fldCharType="begin"/>
      </w:r>
      <w:r>
        <w:instrText xml:space="preserve"> PAGEREF _Toc6950 \h </w:instrText>
      </w:r>
      <w:r>
        <w:fldChar w:fldCharType="separate"/>
      </w:r>
      <w:r>
        <w:t>5</w:t>
      </w:r>
      <w:r>
        <w:fldChar w:fldCharType="end"/>
      </w:r>
      <w:r>
        <w:rPr>
          <w:rFonts w:hint="eastAsia" w:ascii="宋体" w:hAnsi="宋体" w:eastAsia="宋体" w:cs="宋体"/>
          <w:lang w:eastAsia="zh-CN"/>
        </w:rPr>
        <w:fldChar w:fldCharType="end"/>
      </w:r>
    </w:p>
    <w:p>
      <w:pPr>
        <w:pStyle w:val="19"/>
        <w:tabs>
          <w:tab w:val="right" w:leader="dot" w:pos="9355"/>
        </w:tabs>
      </w:pPr>
      <w:r>
        <w:rPr>
          <w:rFonts w:hint="eastAsia" w:ascii="宋体" w:hAnsi="宋体" w:eastAsia="宋体" w:cs="宋体"/>
          <w:lang w:eastAsia="zh-CN"/>
        </w:rPr>
        <w:fldChar w:fldCharType="begin"/>
      </w:r>
      <w:r>
        <w:rPr>
          <w:rFonts w:hint="eastAsia" w:ascii="宋体" w:hAnsi="宋体" w:eastAsia="宋体" w:cs="宋体"/>
          <w:lang w:eastAsia="zh-CN"/>
        </w:rPr>
        <w:instrText xml:space="preserve"> HYPERLINK \l _Toc12260 </w:instrText>
      </w:r>
      <w:r>
        <w:rPr>
          <w:rFonts w:hint="eastAsia" w:ascii="宋体" w:hAnsi="宋体" w:eastAsia="宋体" w:cs="宋体"/>
          <w:lang w:eastAsia="zh-CN"/>
        </w:rPr>
        <w:fldChar w:fldCharType="separate"/>
      </w:r>
      <w:r>
        <w:rPr>
          <w:rFonts w:hint="eastAsia" w:ascii="黑体" w:hAnsi="Times New Roman" w:eastAsia="黑体" w:cs="Times New Roman"/>
          <w:bCs w:val="0"/>
          <w:i w:val="0"/>
          <w:iCs w:val="0"/>
          <w:caps w:val="0"/>
          <w:strike w:val="0"/>
          <w:dstrike w:val="0"/>
          <w:outline w:val="0"/>
          <w:shadow w:val="0"/>
          <w:emboss w:val="0"/>
          <w:imprint w:val="0"/>
          <w:vanish w:val="0"/>
          <w:spacing w:val="0"/>
          <w:kern w:val="0"/>
          <w:position w:val="0"/>
          <w:szCs w:val="21"/>
          <w:vertAlign w:val="baseline"/>
        </w:rPr>
        <w:t xml:space="preserve">7.2 </w:t>
      </w:r>
      <w:r>
        <w:rPr>
          <w:rFonts w:hint="eastAsia"/>
          <w:lang w:val="en-US" w:eastAsia="zh-CN"/>
        </w:rPr>
        <w:t>固定</w:t>
      </w:r>
      <w:r>
        <w:rPr>
          <w:rFonts w:hint="eastAsia"/>
        </w:rPr>
        <w:t>自动</w:t>
      </w:r>
      <w:r>
        <w:t>灭火</w:t>
      </w:r>
      <w:r>
        <w:rPr>
          <w:rFonts w:hint="eastAsia"/>
        </w:rPr>
        <w:t>系统</w:t>
      </w:r>
      <w:r>
        <w:tab/>
      </w:r>
      <w:r>
        <w:fldChar w:fldCharType="begin"/>
      </w:r>
      <w:r>
        <w:instrText xml:space="preserve"> PAGEREF _Toc12260 \h </w:instrText>
      </w:r>
      <w:r>
        <w:fldChar w:fldCharType="separate"/>
      </w:r>
      <w:r>
        <w:t>6</w:t>
      </w:r>
      <w:r>
        <w:fldChar w:fldCharType="end"/>
      </w:r>
      <w:r>
        <w:rPr>
          <w:rFonts w:hint="eastAsia" w:ascii="宋体" w:hAnsi="宋体" w:eastAsia="宋体" w:cs="宋体"/>
          <w:lang w:eastAsia="zh-CN"/>
        </w:rPr>
        <w:fldChar w:fldCharType="end"/>
      </w:r>
    </w:p>
    <w:p>
      <w:pPr>
        <w:pStyle w:val="19"/>
        <w:tabs>
          <w:tab w:val="right" w:leader="dot" w:pos="9355"/>
        </w:tabs>
      </w:pPr>
      <w:r>
        <w:rPr>
          <w:rFonts w:hint="eastAsia" w:ascii="宋体" w:hAnsi="宋体" w:eastAsia="宋体" w:cs="宋体"/>
          <w:lang w:eastAsia="zh-CN"/>
        </w:rPr>
        <w:fldChar w:fldCharType="begin"/>
      </w:r>
      <w:r>
        <w:rPr>
          <w:rFonts w:hint="eastAsia" w:ascii="宋体" w:hAnsi="宋体" w:eastAsia="宋体" w:cs="宋体"/>
          <w:lang w:eastAsia="zh-CN"/>
        </w:rPr>
        <w:instrText xml:space="preserve"> HYPERLINK \l _Toc27324 </w:instrText>
      </w:r>
      <w:r>
        <w:rPr>
          <w:rFonts w:hint="eastAsia" w:ascii="宋体" w:hAnsi="宋体" w:eastAsia="宋体" w:cs="宋体"/>
          <w:lang w:eastAsia="zh-CN"/>
        </w:rPr>
        <w:fldChar w:fldCharType="separate"/>
      </w:r>
      <w:r>
        <w:rPr>
          <w:rFonts w:hint="eastAsia" w:ascii="黑体" w:hAnsi="Times New Roman" w:eastAsia="黑体" w:cs="Times New Roman"/>
          <w:bCs w:val="0"/>
          <w:i w:val="0"/>
          <w:iCs w:val="0"/>
          <w:caps w:val="0"/>
          <w:strike w:val="0"/>
          <w:dstrike w:val="0"/>
          <w:outline w:val="0"/>
          <w:shadow w:val="0"/>
          <w:emboss w:val="0"/>
          <w:imprint w:val="0"/>
          <w:vanish w:val="0"/>
          <w:spacing w:val="0"/>
          <w:kern w:val="0"/>
          <w:position w:val="0"/>
          <w:szCs w:val="21"/>
          <w:vertAlign w:val="baseline"/>
        </w:rPr>
        <w:t xml:space="preserve">7.3 </w:t>
      </w:r>
      <w:r>
        <w:rPr>
          <w:rFonts w:hint="eastAsia"/>
          <w:lang w:val="en-US" w:eastAsia="zh-CN"/>
        </w:rPr>
        <w:t>防爆措施</w:t>
      </w:r>
      <w:r>
        <w:tab/>
      </w:r>
      <w:r>
        <w:fldChar w:fldCharType="begin"/>
      </w:r>
      <w:r>
        <w:instrText xml:space="preserve"> PAGEREF _Toc27324 \h </w:instrText>
      </w:r>
      <w:r>
        <w:fldChar w:fldCharType="separate"/>
      </w:r>
      <w:r>
        <w:t>6</w:t>
      </w:r>
      <w:r>
        <w:fldChar w:fldCharType="end"/>
      </w:r>
      <w:r>
        <w:rPr>
          <w:rFonts w:hint="eastAsia" w:ascii="宋体" w:hAnsi="宋体" w:eastAsia="宋体" w:cs="宋体"/>
          <w:lang w:eastAsia="zh-CN"/>
        </w:rPr>
        <w:fldChar w:fldCharType="end"/>
      </w:r>
    </w:p>
    <w:p>
      <w:pPr>
        <w:pStyle w:val="19"/>
        <w:tabs>
          <w:tab w:val="right" w:leader="dot" w:pos="9355"/>
        </w:tabs>
      </w:pPr>
      <w:r>
        <w:rPr>
          <w:rFonts w:hint="eastAsia" w:ascii="宋体" w:hAnsi="宋体" w:eastAsia="宋体" w:cs="宋体"/>
          <w:lang w:eastAsia="zh-CN"/>
        </w:rPr>
        <w:fldChar w:fldCharType="begin"/>
      </w:r>
      <w:r>
        <w:rPr>
          <w:rFonts w:hint="eastAsia" w:ascii="宋体" w:hAnsi="宋体" w:eastAsia="宋体" w:cs="宋体"/>
          <w:lang w:eastAsia="zh-CN"/>
        </w:rPr>
        <w:instrText xml:space="preserve"> HYPERLINK \l _Toc15274 </w:instrText>
      </w:r>
      <w:r>
        <w:rPr>
          <w:rFonts w:hint="eastAsia" w:ascii="宋体" w:hAnsi="宋体" w:eastAsia="宋体" w:cs="宋体"/>
          <w:lang w:eastAsia="zh-CN"/>
        </w:rPr>
        <w:fldChar w:fldCharType="separate"/>
      </w:r>
      <w:r>
        <w:rPr>
          <w:rFonts w:hint="eastAsia" w:ascii="黑体" w:hAnsi="Times New Roman" w:eastAsia="黑体" w:cs="Times New Roman"/>
          <w:bCs w:val="0"/>
          <w:i w:val="0"/>
          <w:iCs w:val="0"/>
          <w:caps w:val="0"/>
          <w:strike w:val="0"/>
          <w:dstrike w:val="0"/>
          <w:outline w:val="0"/>
          <w:shadow w:val="0"/>
          <w:emboss w:val="0"/>
          <w:imprint w:val="0"/>
          <w:vanish w:val="0"/>
          <w:spacing w:val="0"/>
          <w:kern w:val="0"/>
          <w:position w:val="0"/>
          <w:szCs w:val="21"/>
          <w:vertAlign w:val="baseline"/>
        </w:rPr>
        <w:t xml:space="preserve">7.4 </w:t>
      </w:r>
      <w:r>
        <w:t>火灾自动报警及其联动控制系统</w:t>
      </w:r>
      <w:r>
        <w:tab/>
      </w:r>
      <w:r>
        <w:fldChar w:fldCharType="begin"/>
      </w:r>
      <w:r>
        <w:instrText xml:space="preserve"> PAGEREF _Toc15274 \h </w:instrText>
      </w:r>
      <w:r>
        <w:fldChar w:fldCharType="separate"/>
      </w:r>
      <w:r>
        <w:t>7</w:t>
      </w:r>
      <w:r>
        <w:fldChar w:fldCharType="end"/>
      </w:r>
      <w:r>
        <w:rPr>
          <w:rFonts w:hint="eastAsia" w:ascii="宋体" w:hAnsi="宋体" w:eastAsia="宋体" w:cs="宋体"/>
          <w:lang w:eastAsia="zh-CN"/>
        </w:rPr>
        <w:fldChar w:fldCharType="end"/>
      </w:r>
    </w:p>
    <w:p>
      <w:pPr>
        <w:pStyle w:val="19"/>
        <w:tabs>
          <w:tab w:val="right" w:leader="dot" w:pos="9355"/>
        </w:tabs>
      </w:pPr>
      <w:r>
        <w:rPr>
          <w:rFonts w:hint="eastAsia" w:ascii="宋体" w:hAnsi="宋体" w:eastAsia="宋体" w:cs="宋体"/>
          <w:lang w:eastAsia="zh-CN"/>
        </w:rPr>
        <w:fldChar w:fldCharType="begin"/>
      </w:r>
      <w:r>
        <w:rPr>
          <w:rFonts w:hint="eastAsia" w:ascii="宋体" w:hAnsi="宋体" w:eastAsia="宋体" w:cs="宋体"/>
          <w:lang w:eastAsia="zh-CN"/>
        </w:rPr>
        <w:instrText xml:space="preserve"> HYPERLINK \l _Toc15984 </w:instrText>
      </w:r>
      <w:r>
        <w:rPr>
          <w:rFonts w:hint="eastAsia" w:ascii="宋体" w:hAnsi="宋体" w:eastAsia="宋体" w:cs="宋体"/>
          <w:lang w:eastAsia="zh-CN"/>
        </w:rPr>
        <w:fldChar w:fldCharType="separate"/>
      </w:r>
      <w:r>
        <w:rPr>
          <w:rFonts w:hint="eastAsia" w:ascii="黑体" w:hAnsi="Times New Roman" w:eastAsia="黑体" w:cs="Times New Roman"/>
          <w:bCs w:val="0"/>
          <w:i w:val="0"/>
          <w:iCs w:val="0"/>
          <w:caps w:val="0"/>
          <w:strike w:val="0"/>
          <w:dstrike w:val="0"/>
          <w:outline w:val="0"/>
          <w:shadow w:val="0"/>
          <w:emboss w:val="0"/>
          <w:imprint w:val="0"/>
          <w:vanish w:val="0"/>
          <w:spacing w:val="0"/>
          <w:kern w:val="0"/>
          <w:position w:val="0"/>
          <w:szCs w:val="21"/>
          <w:vertAlign w:val="baseline"/>
        </w:rPr>
        <w:t xml:space="preserve">7.5 </w:t>
      </w:r>
      <w:r>
        <w:t>消防</w:t>
      </w:r>
      <w:r>
        <w:rPr>
          <w:rFonts w:hint="eastAsia"/>
          <w:lang w:val="en-US" w:eastAsia="zh-CN"/>
        </w:rPr>
        <w:t>用</w:t>
      </w:r>
      <w:r>
        <w:t>电与防雷接地</w:t>
      </w:r>
      <w:r>
        <w:tab/>
      </w:r>
      <w:r>
        <w:fldChar w:fldCharType="begin"/>
      </w:r>
      <w:r>
        <w:instrText xml:space="preserve"> PAGEREF _Toc15984 \h </w:instrText>
      </w:r>
      <w:r>
        <w:fldChar w:fldCharType="separate"/>
      </w:r>
      <w:r>
        <w:t>7</w:t>
      </w:r>
      <w:r>
        <w:fldChar w:fldCharType="end"/>
      </w:r>
      <w:r>
        <w:rPr>
          <w:rFonts w:hint="eastAsia" w:ascii="宋体" w:hAnsi="宋体" w:eastAsia="宋体" w:cs="宋体"/>
          <w:lang w:eastAsia="zh-CN"/>
        </w:rPr>
        <w:fldChar w:fldCharType="end"/>
      </w:r>
    </w:p>
    <w:p>
      <w:pPr>
        <w:pStyle w:val="19"/>
        <w:tabs>
          <w:tab w:val="right" w:leader="dot" w:pos="9355"/>
        </w:tabs>
      </w:pPr>
      <w:r>
        <w:rPr>
          <w:rFonts w:hint="eastAsia" w:ascii="宋体" w:hAnsi="宋体" w:eastAsia="宋体" w:cs="宋体"/>
          <w:lang w:eastAsia="zh-CN"/>
        </w:rPr>
        <w:fldChar w:fldCharType="begin"/>
      </w:r>
      <w:r>
        <w:rPr>
          <w:rFonts w:hint="eastAsia" w:ascii="宋体" w:hAnsi="宋体" w:eastAsia="宋体" w:cs="宋体"/>
          <w:lang w:eastAsia="zh-CN"/>
        </w:rPr>
        <w:instrText xml:space="preserve"> HYPERLINK \l _Toc10145 </w:instrText>
      </w:r>
      <w:r>
        <w:rPr>
          <w:rFonts w:hint="eastAsia" w:ascii="宋体" w:hAnsi="宋体" w:eastAsia="宋体" w:cs="宋体"/>
          <w:lang w:eastAsia="zh-CN"/>
        </w:rPr>
        <w:fldChar w:fldCharType="separate"/>
      </w:r>
      <w:r>
        <w:rPr>
          <w:rFonts w:hint="eastAsia" w:ascii="黑体" w:hAnsi="Times New Roman" w:eastAsia="黑体" w:cs="Times New Roman"/>
          <w:bCs w:val="0"/>
          <w:i w:val="0"/>
          <w:iCs w:val="0"/>
          <w:caps w:val="0"/>
          <w:strike w:val="0"/>
          <w:dstrike w:val="0"/>
          <w:outline w:val="0"/>
          <w:shadow w:val="0"/>
          <w:emboss w:val="0"/>
          <w:imprint w:val="0"/>
          <w:vanish w:val="0"/>
          <w:spacing w:val="0"/>
          <w:kern w:val="0"/>
          <w:position w:val="0"/>
          <w:szCs w:val="21"/>
          <w:vertAlign w:val="baseline"/>
        </w:rPr>
        <w:t xml:space="preserve">7.6 </w:t>
      </w:r>
      <w:r>
        <w:t>消防器材</w:t>
      </w:r>
      <w:r>
        <w:rPr>
          <w:rFonts w:hint="eastAsia"/>
          <w:lang w:val="en-US" w:eastAsia="zh-CN"/>
        </w:rPr>
        <w:t>与其他</w:t>
      </w:r>
      <w:r>
        <w:tab/>
      </w:r>
      <w:r>
        <w:fldChar w:fldCharType="begin"/>
      </w:r>
      <w:r>
        <w:instrText xml:space="preserve"> PAGEREF _Toc10145 \h </w:instrText>
      </w:r>
      <w:r>
        <w:fldChar w:fldCharType="separate"/>
      </w:r>
      <w:r>
        <w:t>8</w:t>
      </w:r>
      <w:r>
        <w:fldChar w:fldCharType="end"/>
      </w:r>
      <w:r>
        <w:rPr>
          <w:rFonts w:hint="eastAsia" w:ascii="宋体" w:hAnsi="宋体" w:eastAsia="宋体" w:cs="宋体"/>
          <w:lang w:eastAsia="zh-CN"/>
        </w:rPr>
        <w:fldChar w:fldCharType="end"/>
      </w:r>
    </w:p>
    <w:p>
      <w:pPr>
        <w:pStyle w:val="3"/>
        <w:tabs>
          <w:tab w:val="right" w:leader="dot" w:pos="9355"/>
        </w:tabs>
      </w:pPr>
      <w:r>
        <w:rPr>
          <w:rFonts w:hint="eastAsia" w:ascii="宋体" w:hAnsi="宋体" w:eastAsia="宋体" w:cs="宋体"/>
          <w:lang w:eastAsia="zh-CN"/>
        </w:rPr>
        <w:fldChar w:fldCharType="begin"/>
      </w:r>
      <w:r>
        <w:rPr>
          <w:rFonts w:hint="eastAsia" w:ascii="宋体" w:hAnsi="宋体" w:eastAsia="宋体" w:cs="宋体"/>
          <w:lang w:eastAsia="zh-CN"/>
        </w:rPr>
        <w:instrText xml:space="preserve"> HYPERLINK \l _Toc24817 </w:instrText>
      </w:r>
      <w:r>
        <w:rPr>
          <w:rFonts w:hint="eastAsia" w:ascii="宋体" w:hAnsi="宋体" w:eastAsia="宋体" w:cs="宋体"/>
          <w:lang w:eastAsia="zh-CN"/>
        </w:rPr>
        <w:fldChar w:fldCharType="separate"/>
      </w:r>
      <w:r>
        <w:rPr>
          <w:rFonts w:hint="eastAsia" w:ascii="黑体" w:hAnsi="Times New Roman" w:eastAsia="黑体"/>
          <w:i w:val="0"/>
          <w:szCs w:val="21"/>
        </w:rPr>
        <w:t xml:space="preserve">8 </w:t>
      </w:r>
      <w:r>
        <w:rPr>
          <w:rFonts w:hint="eastAsia"/>
        </w:rPr>
        <w:t>施工</w:t>
      </w:r>
      <w:r>
        <w:rPr>
          <w:rFonts w:hint="eastAsia"/>
          <w:lang w:val="en-US" w:eastAsia="zh-CN"/>
        </w:rPr>
        <w:t>安装</w:t>
      </w:r>
      <w:r>
        <w:tab/>
      </w:r>
      <w:r>
        <w:fldChar w:fldCharType="begin"/>
      </w:r>
      <w:r>
        <w:instrText xml:space="preserve"> PAGEREF _Toc24817 \h </w:instrText>
      </w:r>
      <w:r>
        <w:fldChar w:fldCharType="separate"/>
      </w:r>
      <w:r>
        <w:t>8</w:t>
      </w:r>
      <w:r>
        <w:fldChar w:fldCharType="end"/>
      </w:r>
      <w:r>
        <w:rPr>
          <w:rFonts w:hint="eastAsia" w:ascii="宋体" w:hAnsi="宋体" w:eastAsia="宋体" w:cs="宋体"/>
          <w:lang w:eastAsia="zh-CN"/>
        </w:rPr>
        <w:fldChar w:fldCharType="end"/>
      </w:r>
    </w:p>
    <w:p>
      <w:pPr>
        <w:pStyle w:val="19"/>
        <w:tabs>
          <w:tab w:val="right" w:leader="dot" w:pos="9355"/>
        </w:tabs>
      </w:pPr>
      <w:r>
        <w:rPr>
          <w:rFonts w:hint="eastAsia" w:ascii="宋体" w:hAnsi="宋体" w:eastAsia="宋体" w:cs="宋体"/>
          <w:lang w:eastAsia="zh-CN"/>
        </w:rPr>
        <w:fldChar w:fldCharType="begin"/>
      </w:r>
      <w:r>
        <w:rPr>
          <w:rFonts w:hint="eastAsia" w:ascii="宋体" w:hAnsi="宋体" w:eastAsia="宋体" w:cs="宋体"/>
          <w:lang w:eastAsia="zh-CN"/>
        </w:rPr>
        <w:instrText xml:space="preserve"> HYPERLINK \l _Toc14850 </w:instrText>
      </w:r>
      <w:r>
        <w:rPr>
          <w:rFonts w:hint="eastAsia" w:ascii="宋体" w:hAnsi="宋体" w:eastAsia="宋体" w:cs="宋体"/>
          <w:lang w:eastAsia="zh-CN"/>
        </w:rPr>
        <w:fldChar w:fldCharType="separate"/>
      </w:r>
      <w:r>
        <w:rPr>
          <w:rFonts w:hint="eastAsia" w:ascii="黑体" w:hAnsi="Times New Roman" w:eastAsia="黑体" w:cs="Times New Roman"/>
          <w:bCs w:val="0"/>
          <w:i w:val="0"/>
          <w:iCs w:val="0"/>
          <w:caps w:val="0"/>
          <w:strike w:val="0"/>
          <w:dstrike w:val="0"/>
          <w:outline w:val="0"/>
          <w:shadow w:val="0"/>
          <w:emboss w:val="0"/>
          <w:imprint w:val="0"/>
          <w:vanish w:val="0"/>
          <w:spacing w:val="0"/>
          <w:kern w:val="0"/>
          <w:position w:val="0"/>
          <w:szCs w:val="21"/>
          <w:vertAlign w:val="baseline"/>
        </w:rPr>
        <w:t xml:space="preserve">8.1 </w:t>
      </w:r>
      <w:r>
        <w:t>电池运输、存储与安装安全</w:t>
      </w:r>
      <w:r>
        <w:tab/>
      </w:r>
      <w:r>
        <w:fldChar w:fldCharType="begin"/>
      </w:r>
      <w:r>
        <w:instrText xml:space="preserve"> PAGEREF _Toc14850 \h </w:instrText>
      </w:r>
      <w:r>
        <w:fldChar w:fldCharType="separate"/>
      </w:r>
      <w:r>
        <w:t>8</w:t>
      </w:r>
      <w:r>
        <w:fldChar w:fldCharType="end"/>
      </w:r>
      <w:r>
        <w:rPr>
          <w:rFonts w:hint="eastAsia" w:ascii="宋体" w:hAnsi="宋体" w:eastAsia="宋体" w:cs="宋体"/>
          <w:lang w:eastAsia="zh-CN"/>
        </w:rPr>
        <w:fldChar w:fldCharType="end"/>
      </w:r>
    </w:p>
    <w:p>
      <w:pPr>
        <w:pStyle w:val="19"/>
        <w:tabs>
          <w:tab w:val="right" w:leader="dot" w:pos="9355"/>
        </w:tabs>
      </w:pPr>
      <w:r>
        <w:rPr>
          <w:rFonts w:hint="eastAsia" w:ascii="宋体" w:hAnsi="宋体" w:eastAsia="宋体" w:cs="宋体"/>
          <w:lang w:eastAsia="zh-CN"/>
        </w:rPr>
        <w:fldChar w:fldCharType="begin"/>
      </w:r>
      <w:r>
        <w:rPr>
          <w:rFonts w:hint="eastAsia" w:ascii="宋体" w:hAnsi="宋体" w:eastAsia="宋体" w:cs="宋体"/>
          <w:lang w:eastAsia="zh-CN"/>
        </w:rPr>
        <w:instrText xml:space="preserve"> HYPERLINK \l _Toc13503 </w:instrText>
      </w:r>
      <w:r>
        <w:rPr>
          <w:rFonts w:hint="eastAsia" w:ascii="宋体" w:hAnsi="宋体" w:eastAsia="宋体" w:cs="宋体"/>
          <w:lang w:eastAsia="zh-CN"/>
        </w:rPr>
        <w:fldChar w:fldCharType="separate"/>
      </w:r>
      <w:r>
        <w:rPr>
          <w:rFonts w:hint="eastAsia" w:ascii="黑体" w:hAnsi="Times New Roman" w:eastAsia="黑体" w:cs="Times New Roman"/>
          <w:bCs w:val="0"/>
          <w:i w:val="0"/>
          <w:iCs w:val="0"/>
          <w:caps w:val="0"/>
          <w:strike w:val="0"/>
          <w:dstrike w:val="0"/>
          <w:outline w:val="0"/>
          <w:shadow w:val="0"/>
          <w:emboss w:val="0"/>
          <w:imprint w:val="0"/>
          <w:vanish w:val="0"/>
          <w:spacing w:val="0"/>
          <w:kern w:val="0"/>
          <w:position w:val="0"/>
          <w:szCs w:val="21"/>
          <w:vertAlign w:val="baseline"/>
        </w:rPr>
        <w:t xml:space="preserve">8.2 </w:t>
      </w:r>
      <w:r>
        <w:t>施工</w:t>
      </w:r>
      <w:r>
        <w:rPr>
          <w:rFonts w:hint="eastAsia"/>
          <w:lang w:val="en-US" w:eastAsia="zh-CN"/>
        </w:rPr>
        <w:t>与应急</w:t>
      </w:r>
      <w:r>
        <w:tab/>
      </w:r>
      <w:r>
        <w:fldChar w:fldCharType="begin"/>
      </w:r>
      <w:r>
        <w:instrText xml:space="preserve"> PAGEREF _Toc13503 \h </w:instrText>
      </w:r>
      <w:r>
        <w:fldChar w:fldCharType="separate"/>
      </w:r>
      <w:r>
        <w:t>9</w:t>
      </w:r>
      <w:r>
        <w:fldChar w:fldCharType="end"/>
      </w:r>
      <w:r>
        <w:rPr>
          <w:rFonts w:hint="eastAsia" w:ascii="宋体" w:hAnsi="宋体" w:eastAsia="宋体" w:cs="宋体"/>
          <w:lang w:eastAsia="zh-CN"/>
        </w:rPr>
        <w:fldChar w:fldCharType="end"/>
      </w:r>
    </w:p>
    <w:p>
      <w:pPr>
        <w:pStyle w:val="3"/>
        <w:tabs>
          <w:tab w:val="right" w:leader="dot" w:pos="9355"/>
        </w:tabs>
      </w:pPr>
      <w:r>
        <w:rPr>
          <w:rFonts w:hint="eastAsia" w:ascii="宋体" w:hAnsi="宋体" w:eastAsia="宋体" w:cs="宋体"/>
          <w:lang w:eastAsia="zh-CN"/>
        </w:rPr>
        <w:fldChar w:fldCharType="begin"/>
      </w:r>
      <w:r>
        <w:rPr>
          <w:rFonts w:hint="eastAsia" w:ascii="宋体" w:hAnsi="宋体" w:eastAsia="宋体" w:cs="宋体"/>
          <w:lang w:eastAsia="zh-CN"/>
        </w:rPr>
        <w:instrText xml:space="preserve"> HYPERLINK \l _Toc13294 </w:instrText>
      </w:r>
      <w:r>
        <w:rPr>
          <w:rFonts w:hint="eastAsia" w:ascii="宋体" w:hAnsi="宋体" w:eastAsia="宋体" w:cs="宋体"/>
          <w:lang w:eastAsia="zh-CN"/>
        </w:rPr>
        <w:fldChar w:fldCharType="separate"/>
      </w:r>
      <w:r>
        <w:rPr>
          <w:rFonts w:hint="eastAsia" w:ascii="黑体" w:hAnsi="Times New Roman" w:eastAsia="黑体"/>
          <w:i w:val="0"/>
          <w:szCs w:val="21"/>
        </w:rPr>
        <w:t xml:space="preserve">9 </w:t>
      </w:r>
      <w:r>
        <w:t>运行维护</w:t>
      </w:r>
      <w:r>
        <w:tab/>
      </w:r>
      <w:r>
        <w:fldChar w:fldCharType="begin"/>
      </w:r>
      <w:r>
        <w:instrText xml:space="preserve"> PAGEREF _Toc13294 \h </w:instrText>
      </w:r>
      <w:r>
        <w:fldChar w:fldCharType="separate"/>
      </w:r>
      <w:r>
        <w:t>9</w:t>
      </w:r>
      <w:r>
        <w:fldChar w:fldCharType="end"/>
      </w:r>
      <w:r>
        <w:rPr>
          <w:rFonts w:hint="eastAsia" w:ascii="宋体" w:hAnsi="宋体" w:eastAsia="宋体" w:cs="宋体"/>
          <w:lang w:eastAsia="zh-CN"/>
        </w:rPr>
        <w:fldChar w:fldCharType="end"/>
      </w:r>
    </w:p>
    <w:p>
      <w:pPr>
        <w:pStyle w:val="19"/>
        <w:tabs>
          <w:tab w:val="right" w:leader="dot" w:pos="9355"/>
        </w:tabs>
      </w:pPr>
      <w:r>
        <w:rPr>
          <w:rFonts w:hint="eastAsia" w:ascii="宋体" w:hAnsi="宋体" w:eastAsia="宋体" w:cs="宋体"/>
          <w:lang w:eastAsia="zh-CN"/>
        </w:rPr>
        <w:fldChar w:fldCharType="begin"/>
      </w:r>
      <w:r>
        <w:rPr>
          <w:rFonts w:hint="eastAsia" w:ascii="宋体" w:hAnsi="宋体" w:eastAsia="宋体" w:cs="宋体"/>
          <w:lang w:eastAsia="zh-CN"/>
        </w:rPr>
        <w:instrText xml:space="preserve"> HYPERLINK \l _Toc9379 </w:instrText>
      </w:r>
      <w:r>
        <w:rPr>
          <w:rFonts w:hint="eastAsia" w:ascii="宋体" w:hAnsi="宋体" w:eastAsia="宋体" w:cs="宋体"/>
          <w:lang w:eastAsia="zh-CN"/>
        </w:rPr>
        <w:fldChar w:fldCharType="separate"/>
      </w:r>
      <w:r>
        <w:rPr>
          <w:rFonts w:hint="eastAsia" w:ascii="黑体" w:hAnsi="Times New Roman" w:eastAsia="黑体" w:cs="Times New Roman"/>
          <w:bCs w:val="0"/>
          <w:i w:val="0"/>
          <w:iCs w:val="0"/>
          <w:caps w:val="0"/>
          <w:strike w:val="0"/>
          <w:dstrike w:val="0"/>
          <w:outline w:val="0"/>
          <w:shadow w:val="0"/>
          <w:emboss w:val="0"/>
          <w:imprint w:val="0"/>
          <w:vanish w:val="0"/>
          <w:spacing w:val="0"/>
          <w:kern w:val="0"/>
          <w:position w:val="0"/>
          <w:szCs w:val="21"/>
          <w:vertAlign w:val="baseline"/>
        </w:rPr>
        <w:t xml:space="preserve">9.1 </w:t>
      </w:r>
      <w:r>
        <w:rPr>
          <w:rFonts w:hint="eastAsia"/>
          <w:lang w:val="en-US" w:eastAsia="zh-CN"/>
        </w:rPr>
        <w:t>一般要求</w:t>
      </w:r>
      <w:r>
        <w:tab/>
      </w:r>
      <w:r>
        <w:fldChar w:fldCharType="begin"/>
      </w:r>
      <w:r>
        <w:instrText xml:space="preserve"> PAGEREF _Toc9379 \h </w:instrText>
      </w:r>
      <w:r>
        <w:fldChar w:fldCharType="separate"/>
      </w:r>
      <w:r>
        <w:t>9</w:t>
      </w:r>
      <w:r>
        <w:fldChar w:fldCharType="end"/>
      </w:r>
      <w:r>
        <w:rPr>
          <w:rFonts w:hint="eastAsia" w:ascii="宋体" w:hAnsi="宋体" w:eastAsia="宋体" w:cs="宋体"/>
          <w:lang w:eastAsia="zh-CN"/>
        </w:rPr>
        <w:fldChar w:fldCharType="end"/>
      </w:r>
    </w:p>
    <w:p>
      <w:pPr>
        <w:pStyle w:val="19"/>
        <w:tabs>
          <w:tab w:val="right" w:leader="dot" w:pos="9355"/>
        </w:tabs>
      </w:pPr>
      <w:r>
        <w:rPr>
          <w:rFonts w:hint="eastAsia" w:ascii="宋体" w:hAnsi="宋体" w:eastAsia="宋体" w:cs="宋体"/>
          <w:lang w:eastAsia="zh-CN"/>
        </w:rPr>
        <w:fldChar w:fldCharType="begin"/>
      </w:r>
      <w:r>
        <w:rPr>
          <w:rFonts w:hint="eastAsia" w:ascii="宋体" w:hAnsi="宋体" w:eastAsia="宋体" w:cs="宋体"/>
          <w:lang w:eastAsia="zh-CN"/>
        </w:rPr>
        <w:instrText xml:space="preserve"> HYPERLINK \l _Toc4713 </w:instrText>
      </w:r>
      <w:r>
        <w:rPr>
          <w:rFonts w:hint="eastAsia" w:ascii="宋体" w:hAnsi="宋体" w:eastAsia="宋体" w:cs="宋体"/>
          <w:lang w:eastAsia="zh-CN"/>
        </w:rPr>
        <w:fldChar w:fldCharType="separate"/>
      </w:r>
      <w:r>
        <w:rPr>
          <w:rFonts w:hint="eastAsia" w:ascii="黑体" w:hAnsi="Times New Roman" w:eastAsia="黑体" w:cs="Times New Roman"/>
          <w:bCs w:val="0"/>
          <w:i w:val="0"/>
          <w:iCs w:val="0"/>
          <w:caps w:val="0"/>
          <w:strike w:val="0"/>
          <w:dstrike w:val="0"/>
          <w:outline w:val="0"/>
          <w:shadow w:val="0"/>
          <w:emboss w:val="0"/>
          <w:imprint w:val="0"/>
          <w:vanish w:val="0"/>
          <w:spacing w:val="0"/>
          <w:kern w:val="0"/>
          <w:position w:val="0"/>
          <w:szCs w:val="21"/>
          <w:vertAlign w:val="baseline"/>
        </w:rPr>
        <w:t xml:space="preserve">9.2 </w:t>
      </w:r>
      <w:r>
        <w:t>消防安全管理</w:t>
      </w:r>
      <w:r>
        <w:tab/>
      </w:r>
      <w:r>
        <w:fldChar w:fldCharType="begin"/>
      </w:r>
      <w:r>
        <w:instrText xml:space="preserve"> PAGEREF _Toc4713 \h </w:instrText>
      </w:r>
      <w:r>
        <w:fldChar w:fldCharType="separate"/>
      </w:r>
      <w:r>
        <w:t>9</w:t>
      </w:r>
      <w:r>
        <w:fldChar w:fldCharType="end"/>
      </w:r>
      <w:r>
        <w:rPr>
          <w:rFonts w:hint="eastAsia" w:ascii="宋体" w:hAnsi="宋体" w:eastAsia="宋体" w:cs="宋体"/>
          <w:lang w:eastAsia="zh-CN"/>
        </w:rPr>
        <w:fldChar w:fldCharType="end"/>
      </w:r>
    </w:p>
    <w:p>
      <w:pPr>
        <w:pStyle w:val="19"/>
        <w:tabs>
          <w:tab w:val="right" w:leader="dot" w:pos="9355"/>
        </w:tabs>
      </w:pPr>
      <w:r>
        <w:rPr>
          <w:rFonts w:hint="eastAsia" w:ascii="宋体" w:hAnsi="宋体" w:eastAsia="宋体" w:cs="宋体"/>
          <w:lang w:eastAsia="zh-CN"/>
        </w:rPr>
        <w:fldChar w:fldCharType="begin"/>
      </w:r>
      <w:r>
        <w:rPr>
          <w:rFonts w:hint="eastAsia" w:ascii="宋体" w:hAnsi="宋体" w:eastAsia="宋体" w:cs="宋体"/>
          <w:lang w:eastAsia="zh-CN"/>
        </w:rPr>
        <w:instrText xml:space="preserve"> HYPERLINK \l _Toc10579 </w:instrText>
      </w:r>
      <w:r>
        <w:rPr>
          <w:rFonts w:hint="eastAsia" w:ascii="宋体" w:hAnsi="宋体" w:eastAsia="宋体" w:cs="宋体"/>
          <w:lang w:eastAsia="zh-CN"/>
        </w:rPr>
        <w:fldChar w:fldCharType="separate"/>
      </w:r>
      <w:r>
        <w:rPr>
          <w:rFonts w:hint="eastAsia" w:ascii="黑体" w:hAnsi="Times New Roman" w:eastAsia="黑体" w:cs="Times New Roman"/>
          <w:bCs w:val="0"/>
          <w:i w:val="0"/>
          <w:iCs w:val="0"/>
          <w:caps w:val="0"/>
          <w:strike w:val="0"/>
          <w:dstrike w:val="0"/>
          <w:outline w:val="0"/>
          <w:shadow w:val="0"/>
          <w:emboss w:val="0"/>
          <w:imprint w:val="0"/>
          <w:vanish w:val="0"/>
          <w:spacing w:val="0"/>
          <w:kern w:val="0"/>
          <w:position w:val="0"/>
          <w:szCs w:val="21"/>
          <w:vertAlign w:val="baseline"/>
        </w:rPr>
        <w:t xml:space="preserve">9.3 </w:t>
      </w:r>
      <w:r>
        <w:t>消防设施运维</w:t>
      </w:r>
      <w:r>
        <w:tab/>
      </w:r>
      <w:r>
        <w:fldChar w:fldCharType="begin"/>
      </w:r>
      <w:r>
        <w:instrText xml:space="preserve"> PAGEREF _Toc10579 \h </w:instrText>
      </w:r>
      <w:r>
        <w:fldChar w:fldCharType="separate"/>
      </w:r>
      <w:r>
        <w:t>10</w:t>
      </w:r>
      <w:r>
        <w:fldChar w:fldCharType="end"/>
      </w:r>
      <w:r>
        <w:rPr>
          <w:rFonts w:hint="eastAsia" w:ascii="宋体" w:hAnsi="宋体" w:eastAsia="宋体" w:cs="宋体"/>
          <w:lang w:eastAsia="zh-CN"/>
        </w:rPr>
        <w:fldChar w:fldCharType="end"/>
      </w:r>
    </w:p>
    <w:p>
      <w:pPr>
        <w:pStyle w:val="19"/>
        <w:tabs>
          <w:tab w:val="right" w:leader="dot" w:pos="9355"/>
        </w:tabs>
      </w:pPr>
      <w:r>
        <w:rPr>
          <w:rFonts w:hint="eastAsia" w:ascii="宋体" w:hAnsi="宋体" w:eastAsia="宋体" w:cs="宋体"/>
          <w:lang w:eastAsia="zh-CN"/>
        </w:rPr>
        <w:fldChar w:fldCharType="begin"/>
      </w:r>
      <w:r>
        <w:rPr>
          <w:rFonts w:hint="eastAsia" w:ascii="宋体" w:hAnsi="宋体" w:eastAsia="宋体" w:cs="宋体"/>
          <w:lang w:eastAsia="zh-CN"/>
        </w:rPr>
        <w:instrText xml:space="preserve"> HYPERLINK \l _Toc9237 </w:instrText>
      </w:r>
      <w:r>
        <w:rPr>
          <w:rFonts w:hint="eastAsia" w:ascii="宋体" w:hAnsi="宋体" w:eastAsia="宋体" w:cs="宋体"/>
          <w:lang w:eastAsia="zh-CN"/>
        </w:rPr>
        <w:fldChar w:fldCharType="separate"/>
      </w:r>
      <w:r>
        <w:rPr>
          <w:rFonts w:hint="eastAsia" w:ascii="黑体" w:hAnsi="Times New Roman" w:eastAsia="黑体" w:cs="Times New Roman"/>
          <w:bCs w:val="0"/>
          <w:i w:val="0"/>
          <w:iCs w:val="0"/>
          <w:caps w:val="0"/>
          <w:strike w:val="0"/>
          <w:dstrike w:val="0"/>
          <w:outline w:val="0"/>
          <w:shadow w:val="0"/>
          <w:emboss w:val="0"/>
          <w:imprint w:val="0"/>
          <w:vanish w:val="0"/>
          <w:spacing w:val="0"/>
          <w:kern w:val="0"/>
          <w:position w:val="0"/>
          <w:szCs w:val="21"/>
          <w:vertAlign w:val="baseline"/>
        </w:rPr>
        <w:t xml:space="preserve">9.4 </w:t>
      </w:r>
      <w:r>
        <w:t>电池热失控与火灾应急处置</w:t>
      </w:r>
      <w:r>
        <w:tab/>
      </w:r>
      <w:r>
        <w:fldChar w:fldCharType="begin"/>
      </w:r>
      <w:r>
        <w:instrText xml:space="preserve"> PAGEREF _Toc9237 \h </w:instrText>
      </w:r>
      <w:r>
        <w:fldChar w:fldCharType="separate"/>
      </w:r>
      <w:r>
        <w:t>10</w:t>
      </w:r>
      <w:r>
        <w:fldChar w:fldCharType="end"/>
      </w:r>
      <w:r>
        <w:rPr>
          <w:rFonts w:hint="eastAsia" w:ascii="宋体" w:hAnsi="宋体" w:eastAsia="宋体" w:cs="宋体"/>
          <w:lang w:eastAsia="zh-CN"/>
        </w:rPr>
        <w:fldChar w:fldCharType="end"/>
      </w:r>
    </w:p>
    <w:p>
      <w:pPr>
        <w:pStyle w:val="19"/>
        <w:tabs>
          <w:tab w:val="right" w:leader="dot" w:pos="9355"/>
        </w:tabs>
      </w:pPr>
      <w:r>
        <w:rPr>
          <w:rFonts w:hint="eastAsia" w:ascii="宋体" w:hAnsi="宋体" w:eastAsia="宋体" w:cs="宋体"/>
          <w:lang w:eastAsia="zh-CN"/>
        </w:rPr>
        <w:fldChar w:fldCharType="begin"/>
      </w:r>
      <w:r>
        <w:rPr>
          <w:rFonts w:hint="eastAsia" w:ascii="宋体" w:hAnsi="宋体" w:eastAsia="宋体" w:cs="宋体"/>
          <w:lang w:eastAsia="zh-CN"/>
        </w:rPr>
        <w:instrText xml:space="preserve"> HYPERLINK \l _Toc5308 </w:instrText>
      </w:r>
      <w:r>
        <w:rPr>
          <w:rFonts w:hint="eastAsia" w:ascii="宋体" w:hAnsi="宋体" w:eastAsia="宋体" w:cs="宋体"/>
          <w:lang w:eastAsia="zh-CN"/>
        </w:rPr>
        <w:fldChar w:fldCharType="separate"/>
      </w:r>
      <w:r>
        <w:rPr>
          <w:rFonts w:hint="eastAsia" w:ascii="黑体" w:hAnsi="Times New Roman" w:eastAsia="黑体" w:cs="Times New Roman"/>
          <w:bCs w:val="0"/>
          <w:i w:val="0"/>
          <w:iCs w:val="0"/>
          <w:caps w:val="0"/>
          <w:strike w:val="0"/>
          <w:dstrike w:val="0"/>
          <w:outline w:val="0"/>
          <w:shadow w:val="0"/>
          <w:emboss w:val="0"/>
          <w:imprint w:val="0"/>
          <w:vanish w:val="0"/>
          <w:spacing w:val="0"/>
          <w:kern w:val="0"/>
          <w:position w:val="0"/>
          <w:szCs w:val="21"/>
          <w:vertAlign w:val="baseline"/>
        </w:rPr>
        <w:t xml:space="preserve">9.5 </w:t>
      </w:r>
      <w:r>
        <w:rPr>
          <w:rFonts w:hint="eastAsia"/>
          <w:lang w:val="en-US" w:eastAsia="zh-CN"/>
        </w:rPr>
        <w:t>火灾</w:t>
      </w:r>
      <w:r>
        <w:t>应急预案、演练与</w:t>
      </w:r>
      <w:r>
        <w:rPr>
          <w:rFonts w:hint="eastAsia"/>
        </w:rPr>
        <w:t>培训</w:t>
      </w:r>
      <w:r>
        <w:tab/>
      </w:r>
      <w:r>
        <w:fldChar w:fldCharType="begin"/>
      </w:r>
      <w:r>
        <w:instrText xml:space="preserve"> PAGEREF _Toc5308 \h </w:instrText>
      </w:r>
      <w:r>
        <w:fldChar w:fldCharType="separate"/>
      </w:r>
      <w:r>
        <w:t>11</w:t>
      </w:r>
      <w:r>
        <w:fldChar w:fldCharType="end"/>
      </w:r>
      <w:r>
        <w:rPr>
          <w:rFonts w:hint="eastAsia" w:ascii="宋体" w:hAnsi="宋体" w:eastAsia="宋体" w:cs="宋体"/>
          <w:lang w:eastAsia="zh-CN"/>
        </w:rPr>
        <w:fldChar w:fldCharType="end"/>
      </w:r>
    </w:p>
    <w:p>
      <w:pPr>
        <w:pStyle w:val="62"/>
        <w:tabs>
          <w:tab w:val="right" w:leader="dot" w:pos="9355"/>
        </w:tabs>
      </w:pPr>
      <w:r>
        <w:rPr>
          <w:rFonts w:hint="eastAsia" w:ascii="宋体" w:hAnsi="宋体" w:eastAsia="宋体" w:cs="宋体"/>
          <w:lang w:eastAsia="zh-CN"/>
        </w:rPr>
        <w:fldChar w:fldCharType="begin"/>
      </w:r>
      <w:r>
        <w:rPr>
          <w:rFonts w:hint="eastAsia" w:ascii="宋体" w:hAnsi="宋体" w:eastAsia="宋体" w:cs="宋体"/>
          <w:lang w:eastAsia="zh-CN"/>
        </w:rPr>
        <w:instrText xml:space="preserve"> HYPERLINK \l _Toc435 </w:instrText>
      </w:r>
      <w:r>
        <w:rPr>
          <w:rFonts w:hint="eastAsia" w:ascii="宋体" w:hAnsi="宋体" w:eastAsia="宋体" w:cs="宋体"/>
          <w:lang w:eastAsia="zh-CN"/>
        </w:rPr>
        <w:fldChar w:fldCharType="separate"/>
      </w:r>
      <w:r>
        <w:rPr>
          <w:rFonts w:hint="eastAsia" w:ascii="黑体" w:hAnsi="Times New Roman" w:eastAsia="黑体"/>
          <w:i w:val="0"/>
          <w:spacing w:val="0"/>
          <w:w w:val="100"/>
          <w:lang w:eastAsia="zh-CN"/>
        </w:rPr>
        <w:t xml:space="preserve">附　录　A </w:t>
      </w:r>
      <w:r>
        <w:rPr>
          <w:rFonts w:hint="eastAsia"/>
          <w:lang w:eastAsia="zh-CN"/>
        </w:rPr>
        <w:t xml:space="preserve"> （规范性） 电力储能用模块级磷酸铁锂电池实体火灾模拟试验</w:t>
      </w:r>
      <w:r>
        <w:rPr>
          <w:rFonts w:hint="eastAsia"/>
          <w:lang w:val="en-US" w:eastAsia="zh-CN"/>
        </w:rPr>
        <w:t>方法</w:t>
      </w:r>
      <w:r>
        <w:tab/>
      </w:r>
      <w:r>
        <w:fldChar w:fldCharType="begin"/>
      </w:r>
      <w:r>
        <w:instrText xml:space="preserve"> PAGEREF _Toc435 \h </w:instrText>
      </w:r>
      <w:r>
        <w:fldChar w:fldCharType="separate"/>
      </w:r>
      <w:r>
        <w:t>12</w:t>
      </w:r>
      <w:r>
        <w:fldChar w:fldCharType="end"/>
      </w:r>
      <w:r>
        <w:rPr>
          <w:rFonts w:hint="eastAsia" w:ascii="宋体" w:hAnsi="宋体" w:eastAsia="宋体" w:cs="宋体"/>
          <w:lang w:eastAsia="zh-CN"/>
        </w:rPr>
        <w:fldChar w:fldCharType="end"/>
      </w:r>
    </w:p>
    <w:p>
      <w:pPr>
        <w:pStyle w:val="62"/>
        <w:tabs>
          <w:tab w:val="right" w:leader="dot" w:pos="9355"/>
        </w:tabs>
      </w:pPr>
      <w:r>
        <w:rPr>
          <w:rFonts w:hint="eastAsia" w:ascii="宋体" w:hAnsi="宋体" w:eastAsia="宋体" w:cs="宋体"/>
          <w:lang w:eastAsia="zh-CN"/>
        </w:rPr>
        <w:fldChar w:fldCharType="begin"/>
      </w:r>
      <w:r>
        <w:rPr>
          <w:rFonts w:hint="eastAsia" w:ascii="宋体" w:hAnsi="宋体" w:eastAsia="宋体" w:cs="宋体"/>
          <w:lang w:eastAsia="zh-CN"/>
        </w:rPr>
        <w:instrText xml:space="preserve"> HYPERLINK \l _Toc4636 </w:instrText>
      </w:r>
      <w:r>
        <w:rPr>
          <w:rFonts w:hint="eastAsia" w:ascii="宋体" w:hAnsi="宋体" w:eastAsia="宋体" w:cs="宋体"/>
          <w:lang w:eastAsia="zh-CN"/>
        </w:rPr>
        <w:fldChar w:fldCharType="separate"/>
      </w:r>
      <w:r>
        <w:rPr>
          <w:rFonts w:hint="eastAsia" w:ascii="黑体" w:hAnsi="Times New Roman" w:eastAsia="黑体"/>
          <w:i w:val="0"/>
          <w:spacing w:val="0"/>
          <w:w w:val="100"/>
          <w:lang w:eastAsia="zh-CN"/>
        </w:rPr>
        <w:t xml:space="preserve">附　录　B </w:t>
      </w:r>
      <w:r>
        <w:rPr>
          <w:rFonts w:hint="eastAsia"/>
          <w:lang w:eastAsia="zh-CN"/>
        </w:rPr>
        <w:t xml:space="preserve"> （资料性） 典型预制舱式磷酸铁锂电池储能电站消防器材配置</w:t>
      </w:r>
      <w:r>
        <w:tab/>
      </w:r>
      <w:r>
        <w:fldChar w:fldCharType="begin"/>
      </w:r>
      <w:r>
        <w:instrText xml:space="preserve"> PAGEREF _Toc4636 \h </w:instrText>
      </w:r>
      <w:r>
        <w:fldChar w:fldCharType="separate"/>
      </w:r>
      <w:r>
        <w:t>15</w:t>
      </w:r>
      <w:r>
        <w:fldChar w:fldCharType="end"/>
      </w:r>
      <w:r>
        <w:rPr>
          <w:rFonts w:hint="eastAsia" w:ascii="宋体" w:hAnsi="宋体" w:eastAsia="宋体" w:cs="宋体"/>
          <w:lang w:eastAsia="zh-CN"/>
        </w:rPr>
        <w:fldChar w:fldCharType="end"/>
      </w:r>
    </w:p>
    <w:p>
      <w:pPr>
        <w:pStyle w:val="258"/>
        <w:spacing w:line="312" w:lineRule="auto"/>
        <w:rPr>
          <w:rFonts w:hint="eastAsia" w:ascii="宋体" w:hAnsi="宋体" w:eastAsia="宋体" w:cs="宋体"/>
          <w:b w:val="0"/>
          <w:sz w:val="21"/>
          <w:lang w:eastAsia="zh-CN"/>
        </w:rPr>
      </w:pPr>
      <w:r>
        <w:rPr>
          <w:rFonts w:hint="eastAsia" w:ascii="宋体" w:hAnsi="宋体" w:eastAsia="宋体" w:cs="宋体"/>
          <w:b w:val="0"/>
          <w:sz w:val="21"/>
          <w:lang w:eastAsia="zh-CN"/>
        </w:rPr>
        <w:fldChar w:fldCharType="end"/>
      </w:r>
    </w:p>
    <w:bookmarkEnd w:id="2"/>
    <w:p>
      <w:pPr>
        <w:pStyle w:val="258"/>
        <w:spacing w:line="312" w:lineRule="auto"/>
        <w:rPr>
          <w:rFonts w:hint="eastAsia"/>
          <w:lang w:eastAsia="zh-CN"/>
        </w:rPr>
        <w:sectPr>
          <w:headerReference r:id="rId8" w:type="first"/>
          <w:footerReference r:id="rId10" w:type="first"/>
          <w:headerReference r:id="rId7" w:type="default"/>
          <w:footerReference r:id="rId9" w:type="default"/>
          <w:pgSz w:w="11907" w:h="16839"/>
          <w:pgMar w:top="1418" w:right="1134" w:bottom="1134" w:left="1418" w:header="1418" w:footer="1134" w:gutter="0"/>
          <w:pgBorders>
            <w:top w:val="none" w:sz="0" w:space="0"/>
            <w:left w:val="none" w:sz="0" w:space="0"/>
            <w:bottom w:val="none" w:sz="0" w:space="0"/>
            <w:right w:val="none" w:sz="0" w:space="0"/>
          </w:pgBorders>
          <w:lnNumType w:countBy="0" w:restart="continuous"/>
          <w:pgNumType w:fmt="upperRoman" w:start="1"/>
          <w:cols w:space="425" w:num="1"/>
          <w:rtlGutter w:val="0"/>
          <w:docGrid w:linePitch="312" w:charSpace="0"/>
        </w:sectPr>
      </w:pPr>
    </w:p>
    <w:p>
      <w:pPr>
        <w:pStyle w:val="256"/>
        <w:bidi w:val="0"/>
        <w:rPr>
          <w:rFonts w:hint="eastAsia"/>
          <w:lang w:eastAsia="zh-CN"/>
        </w:rPr>
      </w:pPr>
      <w:bookmarkStart w:id="3" w:name="标准前言"/>
      <w:bookmarkEnd w:id="3"/>
      <w:bookmarkStart w:id="4" w:name="_Toc22067"/>
      <w:bookmarkStart w:id="5" w:name="_Toc8521"/>
      <w:bookmarkStart w:id="6" w:name="_Toc31006"/>
      <w:bookmarkStart w:id="7" w:name="_Toc8566"/>
      <w:bookmarkStart w:id="8" w:name="_Toc25577"/>
      <w:r>
        <w:rPr>
          <w:rFonts w:hint="eastAsia"/>
          <w:lang w:eastAsia="zh-CN"/>
        </w:rPr>
        <w:t>前    言</w:t>
      </w:r>
      <w:bookmarkEnd w:id="4"/>
      <w:bookmarkEnd w:id="5"/>
      <w:bookmarkEnd w:id="6"/>
      <w:bookmarkEnd w:id="7"/>
      <w:bookmarkEnd w:id="8"/>
    </w:p>
    <w:p>
      <w:pPr>
        <w:pStyle w:val="258"/>
        <w:bidi w:val="0"/>
        <w:spacing w:line="288" w:lineRule="auto"/>
        <w:rPr>
          <w:rFonts w:hint="eastAsia"/>
          <w:lang w:eastAsia="zh-CN"/>
        </w:rPr>
      </w:pPr>
      <w:r>
        <w:rPr>
          <w:rFonts w:hint="eastAsia"/>
          <w:lang w:eastAsia="zh-CN"/>
        </w:rPr>
        <w:t>本文件按照GB/T 1.1—2020《标准化工作导则  第1部分：标准化文件的结构和起草规则》的规定起草。</w:t>
      </w:r>
    </w:p>
    <w:p>
      <w:pPr>
        <w:pStyle w:val="258"/>
        <w:bidi w:val="0"/>
        <w:spacing w:line="288" w:lineRule="auto"/>
        <w:rPr>
          <w:rFonts w:hint="eastAsia"/>
          <w:lang w:eastAsia="zh-CN"/>
        </w:rPr>
      </w:pPr>
      <w:r>
        <w:rPr>
          <w:rFonts w:hint="eastAsia"/>
          <w:lang w:eastAsia="zh-CN"/>
        </w:rPr>
        <w:t>请注意本文件的某些内容可能涉及专利。本文件的发布机构不承担识别这些专利的责任。</w:t>
      </w:r>
    </w:p>
    <w:p>
      <w:pPr>
        <w:pStyle w:val="258"/>
        <w:bidi w:val="0"/>
        <w:spacing w:line="288" w:lineRule="auto"/>
        <w:rPr>
          <w:rFonts w:hint="eastAsia"/>
          <w:lang w:eastAsia="zh-CN"/>
        </w:rPr>
      </w:pPr>
      <w:r>
        <w:rPr>
          <w:rFonts w:hint="eastAsia"/>
          <w:lang w:eastAsia="zh-CN"/>
        </w:rPr>
        <w:t>本</w:t>
      </w:r>
      <w:r>
        <w:rPr>
          <w:rFonts w:hint="eastAsia"/>
          <w:lang w:val="en-US" w:eastAsia="zh-CN"/>
        </w:rPr>
        <w:t>文件</w:t>
      </w:r>
      <w:r>
        <w:rPr>
          <w:rFonts w:hint="eastAsia"/>
          <w:lang w:eastAsia="zh-CN"/>
        </w:rPr>
        <w:t>由江苏省电力标准化技术委员会提出并归口。</w:t>
      </w:r>
    </w:p>
    <w:p>
      <w:pPr>
        <w:pStyle w:val="258"/>
        <w:bidi w:val="0"/>
        <w:spacing w:line="288" w:lineRule="auto"/>
        <w:rPr>
          <w:rFonts w:hint="default"/>
          <w:lang w:val="en-US" w:eastAsia="zh-CN"/>
        </w:rPr>
      </w:pPr>
      <w:r>
        <w:rPr>
          <w:rFonts w:hint="eastAsia"/>
          <w:lang w:eastAsia="zh-CN"/>
        </w:rPr>
        <w:t>本文件起草单位：</w:t>
      </w:r>
      <w:r>
        <w:rPr>
          <w:rFonts w:hint="eastAsia"/>
          <w:lang w:val="en-US" w:eastAsia="zh-CN"/>
        </w:rPr>
        <w:t>国网江苏省电力有限公司、应急管理部天津消防研究所、江苏省消防救援总队、国网江苏省电力有限公司经济技术研究院、南京消防器材股份有限公司、国网江苏综合能源服务有限公司、中国能源建设集团江苏省电力设计院有限公司、齐丰科技股份有限公司、阳光电源股份有限公司、杭州高特电子设备股份有限公司。</w:t>
      </w:r>
    </w:p>
    <w:p>
      <w:pPr>
        <w:pStyle w:val="258"/>
        <w:bidi w:val="0"/>
        <w:spacing w:line="288" w:lineRule="auto"/>
        <w:rPr>
          <w:rFonts w:hint="default"/>
          <w:lang w:val="en-US" w:eastAsia="zh-CN"/>
        </w:rPr>
        <w:sectPr>
          <w:footerReference r:id="rId11" w:type="first"/>
          <w:pgSz w:w="11907" w:h="16839"/>
          <w:pgMar w:top="1418" w:right="1134" w:bottom="1134" w:left="1418" w:header="1418" w:footer="1134" w:gutter="0"/>
          <w:pgBorders>
            <w:top w:val="none" w:sz="0" w:space="0"/>
            <w:left w:val="none" w:sz="0" w:space="0"/>
            <w:bottom w:val="none" w:sz="0" w:space="0"/>
            <w:right w:val="none" w:sz="0" w:space="0"/>
          </w:pgBorders>
          <w:lnNumType w:countBy="0" w:restart="continuous"/>
          <w:pgNumType w:fmt="upperRoman"/>
          <w:cols w:space="425" w:num="1"/>
          <w:rtlGutter w:val="0"/>
          <w:docGrid w:linePitch="312" w:charSpace="0"/>
        </w:sectPr>
      </w:pPr>
      <w:r>
        <w:rPr>
          <w:rFonts w:hint="eastAsia"/>
          <w:lang w:eastAsia="zh-CN"/>
        </w:rPr>
        <w:t>本文件主要起草人：</w:t>
      </w:r>
      <w:r>
        <w:rPr>
          <w:rFonts w:hint="eastAsia"/>
          <w:lang w:val="en-US" w:eastAsia="zh-CN"/>
        </w:rPr>
        <w:t>郭鹏宇、吴静云、卓萍、胡亚山、周广连、王庭华、黄峥、姚丽娟、何大瑞、侍成、李妍、许栋栋、朱建宝、孙磊、郭东亮、张淼、刘沪平、翟学锋、俞鑫春、王智睿、马青山、姚效刚、骆明宏、杜荣华、蒋科、袁志超、徐剑虹、蔡兴初、户波、薛伟强。</w:t>
      </w:r>
    </w:p>
    <w:p>
      <w:pPr>
        <w:pStyle w:val="315"/>
        <w:bidi w:val="0"/>
        <w:rPr>
          <w:rFonts w:hint="default"/>
          <w:lang w:val="en-US" w:eastAsia="zh-CN"/>
        </w:rPr>
      </w:pPr>
      <w:bookmarkStart w:id="9" w:name="标准内容"/>
      <w:bookmarkEnd w:id="9"/>
      <w:r>
        <w:rPr>
          <w:rFonts w:hint="eastAsia"/>
          <w:lang w:eastAsia="zh-CN"/>
        </w:rPr>
        <w:t>预制舱式磷酸铁锂电池储能电站</w:t>
      </w:r>
      <w:r>
        <w:rPr>
          <w:rFonts w:hint="eastAsia"/>
          <w:lang w:val="en-US" w:eastAsia="zh-CN"/>
        </w:rPr>
        <w:t>消防技术规范</w:t>
      </w:r>
    </w:p>
    <w:p>
      <w:pPr>
        <w:pStyle w:val="259"/>
        <w:spacing w:line="312" w:lineRule="auto"/>
      </w:pPr>
      <w:bookmarkStart w:id="10" w:name="_Toc26667"/>
      <w:bookmarkStart w:id="11" w:name="_Toc6270"/>
      <w:bookmarkStart w:id="12" w:name="_Toc29720"/>
      <w:bookmarkStart w:id="13" w:name="_Toc29532"/>
      <w:bookmarkStart w:id="14" w:name="_Toc26278"/>
      <w:bookmarkStart w:id="15" w:name="_Toc8389"/>
      <w:r>
        <w:rPr>
          <w:rFonts w:hint="eastAsia"/>
        </w:rPr>
        <w:t>范围</w:t>
      </w:r>
      <w:bookmarkEnd w:id="10"/>
      <w:bookmarkEnd w:id="11"/>
      <w:bookmarkEnd w:id="12"/>
      <w:bookmarkEnd w:id="13"/>
      <w:bookmarkEnd w:id="14"/>
      <w:bookmarkEnd w:id="15"/>
    </w:p>
    <w:p>
      <w:pPr>
        <w:tabs>
          <w:tab w:val="left" w:pos="560"/>
        </w:tabs>
        <w:spacing w:line="312" w:lineRule="auto"/>
        <w:ind w:firstLine="420" w:firstLineChars="200"/>
        <w:rPr>
          <w:rFonts w:ascii="Times New Roman" w:hAnsi="Times New Roman"/>
          <w:kern w:val="0"/>
          <w:szCs w:val="20"/>
        </w:rPr>
      </w:pPr>
      <w:r>
        <w:rPr>
          <w:rFonts w:hint="default" w:ascii="Times New Roman" w:hAnsi="Times New Roman"/>
          <w:kern w:val="0"/>
          <w:szCs w:val="20"/>
        </w:rPr>
        <w:t>本</w:t>
      </w:r>
      <w:r>
        <w:rPr>
          <w:rFonts w:hint="default" w:ascii="Times New Roman" w:hAnsi="Times New Roman"/>
          <w:kern w:val="0"/>
          <w:szCs w:val="20"/>
          <w:lang w:val="en-US" w:eastAsia="zh-CN"/>
        </w:rPr>
        <w:t>文件</w:t>
      </w:r>
      <w:r>
        <w:rPr>
          <w:rFonts w:ascii="Times New Roman" w:hAnsi="Times New Roman"/>
          <w:kern w:val="0"/>
          <w:szCs w:val="20"/>
        </w:rPr>
        <w:t>规定了预制舱式磷酸铁锂电池储能电站</w:t>
      </w:r>
      <w:r>
        <w:rPr>
          <w:rFonts w:hint="eastAsia"/>
          <w:kern w:val="0"/>
          <w:szCs w:val="20"/>
          <w:lang w:eastAsia="zh-CN"/>
        </w:rPr>
        <w:t>（</w:t>
      </w:r>
      <w:r>
        <w:rPr>
          <w:rFonts w:hint="eastAsia"/>
          <w:kern w:val="0"/>
          <w:szCs w:val="20"/>
          <w:lang w:val="en-US" w:eastAsia="zh-CN"/>
        </w:rPr>
        <w:t>以下简称“储能电站”</w:t>
      </w:r>
      <w:r>
        <w:rPr>
          <w:rFonts w:hint="eastAsia"/>
          <w:kern w:val="0"/>
          <w:szCs w:val="20"/>
          <w:lang w:eastAsia="zh-CN"/>
        </w:rPr>
        <w:t>）</w:t>
      </w:r>
      <w:r>
        <w:rPr>
          <w:rFonts w:hint="eastAsia"/>
          <w:kern w:val="0"/>
          <w:szCs w:val="20"/>
          <w:lang w:val="en-US" w:eastAsia="zh-CN"/>
        </w:rPr>
        <w:t>储能设备、站址选择与平面布置、消防设施、施工安装和</w:t>
      </w:r>
      <w:r>
        <w:rPr>
          <w:rFonts w:ascii="Times New Roman" w:hAnsi="Times New Roman"/>
          <w:kern w:val="0"/>
          <w:szCs w:val="20"/>
        </w:rPr>
        <w:t>运行维护的</w:t>
      </w:r>
      <w:r>
        <w:rPr>
          <w:rFonts w:hint="eastAsia"/>
          <w:kern w:val="0"/>
          <w:szCs w:val="20"/>
          <w:lang w:val="en-US" w:eastAsia="zh-CN"/>
        </w:rPr>
        <w:t>消防技术</w:t>
      </w:r>
      <w:r>
        <w:rPr>
          <w:rFonts w:ascii="Times New Roman" w:hAnsi="Times New Roman"/>
          <w:kern w:val="0"/>
          <w:szCs w:val="20"/>
        </w:rPr>
        <w:t>要求。</w:t>
      </w:r>
    </w:p>
    <w:p>
      <w:pPr>
        <w:tabs>
          <w:tab w:val="left" w:pos="560"/>
        </w:tabs>
        <w:spacing w:line="312" w:lineRule="auto"/>
        <w:ind w:firstLine="420" w:firstLineChars="200"/>
        <w:rPr>
          <w:rFonts w:hint="default" w:ascii="Times New Roman" w:hAnsi="Times New Roman"/>
          <w:kern w:val="0"/>
          <w:szCs w:val="20"/>
        </w:rPr>
      </w:pPr>
      <w:r>
        <w:rPr>
          <w:rFonts w:hint="default" w:ascii="Times New Roman" w:hAnsi="Times New Roman"/>
          <w:kern w:val="0"/>
          <w:szCs w:val="20"/>
        </w:rPr>
        <w:t>本</w:t>
      </w:r>
      <w:r>
        <w:rPr>
          <w:rFonts w:hint="default" w:ascii="Times New Roman" w:hAnsi="Times New Roman"/>
          <w:kern w:val="0"/>
          <w:szCs w:val="20"/>
          <w:lang w:val="en-US" w:eastAsia="zh-CN"/>
        </w:rPr>
        <w:t>文件</w:t>
      </w:r>
      <w:r>
        <w:rPr>
          <w:rFonts w:ascii="Times New Roman" w:hAnsi="Times New Roman"/>
          <w:kern w:val="0"/>
          <w:szCs w:val="20"/>
        </w:rPr>
        <w:t>适用于</w:t>
      </w:r>
      <w:r>
        <w:rPr>
          <w:rFonts w:hint="default" w:ascii="Times New Roman" w:hAnsi="Times New Roman"/>
          <w:kern w:val="0"/>
          <w:szCs w:val="20"/>
          <w:lang w:val="en-US" w:eastAsia="zh-CN"/>
        </w:rPr>
        <w:t>发电侧和电网侧</w:t>
      </w:r>
      <w:r>
        <w:rPr>
          <w:rFonts w:ascii="Times New Roman" w:hAnsi="Times New Roman"/>
          <w:kern w:val="0"/>
          <w:szCs w:val="20"/>
        </w:rPr>
        <w:t>新建、扩建、改建的</w:t>
      </w:r>
      <w:r>
        <w:rPr>
          <w:rFonts w:hint="default" w:ascii="Times New Roman" w:hAnsi="Times New Roman"/>
          <w:kern w:val="0"/>
          <w:szCs w:val="20"/>
        </w:rPr>
        <w:t>额定功率</w:t>
      </w:r>
      <w:r>
        <w:rPr>
          <w:rFonts w:hint="eastAsia"/>
          <w:kern w:val="0"/>
          <w:szCs w:val="20"/>
          <w:lang w:val="en-US" w:eastAsia="zh-CN"/>
        </w:rPr>
        <w:t>为</w:t>
      </w:r>
      <w:r>
        <w:rPr>
          <w:rFonts w:hint="default" w:ascii="Times New Roman" w:hAnsi="Times New Roman"/>
          <w:kern w:val="0"/>
          <w:szCs w:val="20"/>
          <w:lang w:val="en-US" w:eastAsia="zh-CN"/>
        </w:rPr>
        <w:t>5</w:t>
      </w:r>
      <w:r>
        <w:rPr>
          <w:rFonts w:hint="default" w:ascii="Times New Roman" w:hAnsi="Times New Roman"/>
          <w:kern w:val="0"/>
          <w:szCs w:val="20"/>
        </w:rPr>
        <w:t>00kW且额定</w:t>
      </w:r>
      <w:r>
        <w:rPr>
          <w:rFonts w:hint="eastAsia"/>
          <w:kern w:val="0"/>
          <w:szCs w:val="20"/>
          <w:lang w:val="en-US" w:eastAsia="zh-CN"/>
        </w:rPr>
        <w:t>能</w:t>
      </w:r>
      <w:r>
        <w:rPr>
          <w:rFonts w:hint="default" w:ascii="Times New Roman" w:hAnsi="Times New Roman"/>
          <w:kern w:val="0"/>
          <w:szCs w:val="20"/>
        </w:rPr>
        <w:t>量</w:t>
      </w:r>
      <w:r>
        <w:rPr>
          <w:rFonts w:hint="eastAsia"/>
          <w:kern w:val="0"/>
          <w:szCs w:val="20"/>
          <w:lang w:val="en-US" w:eastAsia="zh-CN"/>
        </w:rPr>
        <w:t>为</w:t>
      </w:r>
      <w:r>
        <w:rPr>
          <w:rFonts w:hint="default" w:ascii="Times New Roman" w:hAnsi="Times New Roman"/>
          <w:kern w:val="0"/>
          <w:szCs w:val="20"/>
          <w:lang w:val="en-US" w:eastAsia="zh-CN"/>
        </w:rPr>
        <w:t>5</w:t>
      </w:r>
      <w:r>
        <w:rPr>
          <w:rFonts w:hint="default" w:ascii="Times New Roman" w:hAnsi="Times New Roman"/>
          <w:kern w:val="0"/>
          <w:szCs w:val="20"/>
        </w:rPr>
        <w:t>00</w:t>
      </w:r>
      <w:r>
        <w:rPr>
          <w:rFonts w:hint="default" w:ascii="Times New Roman" w:hAnsi="Times New Roman"/>
          <w:kern w:val="0"/>
          <w:szCs w:val="20"/>
          <w:lang w:eastAsia="zh-CN"/>
        </w:rPr>
        <w:t>kW·h</w:t>
      </w:r>
      <w:r>
        <w:rPr>
          <w:rFonts w:hint="default" w:ascii="Times New Roman" w:hAnsi="Times New Roman"/>
          <w:kern w:val="0"/>
          <w:szCs w:val="20"/>
        </w:rPr>
        <w:t>及以上</w:t>
      </w:r>
      <w:r>
        <w:rPr>
          <w:rFonts w:ascii="Times New Roman" w:hAnsi="Times New Roman"/>
          <w:kern w:val="0"/>
          <w:szCs w:val="20"/>
        </w:rPr>
        <w:t>储能电站的</w:t>
      </w:r>
      <w:r>
        <w:rPr>
          <w:rFonts w:hint="eastAsia"/>
          <w:kern w:val="0"/>
          <w:szCs w:val="20"/>
          <w:lang w:val="en-US" w:eastAsia="zh-CN"/>
        </w:rPr>
        <w:t>建设和运维</w:t>
      </w:r>
      <w:r>
        <w:rPr>
          <w:rFonts w:hint="default" w:ascii="Times New Roman" w:hAnsi="Times New Roman"/>
          <w:kern w:val="0"/>
          <w:szCs w:val="20"/>
          <w:lang w:eastAsia="zh-CN"/>
        </w:rPr>
        <w:t>，</w:t>
      </w:r>
      <w:r>
        <w:rPr>
          <w:rFonts w:hint="default" w:ascii="Times New Roman" w:hAnsi="Times New Roman"/>
          <w:kern w:val="0"/>
          <w:szCs w:val="20"/>
          <w:lang w:val="en-US" w:eastAsia="zh-CN"/>
        </w:rPr>
        <w:t>其他规模</w:t>
      </w:r>
      <w:r>
        <w:rPr>
          <w:rFonts w:hint="eastAsia" w:ascii="Times New Roman" w:hAnsi="Times New Roman"/>
          <w:kern w:val="0"/>
          <w:szCs w:val="20"/>
          <w:lang w:val="en-US" w:eastAsia="zh-CN"/>
        </w:rPr>
        <w:t>和用户侧</w:t>
      </w:r>
      <w:r>
        <w:rPr>
          <w:rFonts w:ascii="Times New Roman" w:hAnsi="Times New Roman"/>
          <w:kern w:val="0"/>
          <w:szCs w:val="20"/>
        </w:rPr>
        <w:t>的储能电站</w:t>
      </w:r>
      <w:r>
        <w:rPr>
          <w:rFonts w:hint="default" w:ascii="Times New Roman" w:hAnsi="Times New Roman"/>
          <w:kern w:val="0"/>
          <w:szCs w:val="20"/>
        </w:rPr>
        <w:t>可参照执行。</w:t>
      </w:r>
    </w:p>
    <w:p>
      <w:pPr>
        <w:tabs>
          <w:tab w:val="left" w:pos="560"/>
        </w:tabs>
        <w:spacing w:line="312" w:lineRule="auto"/>
        <w:ind w:firstLine="420" w:firstLineChars="200"/>
        <w:rPr>
          <w:rFonts w:hint="default" w:ascii="Times New Roman" w:hAnsi="Times New Roman"/>
          <w:kern w:val="0"/>
          <w:szCs w:val="20"/>
        </w:rPr>
      </w:pPr>
      <w:r>
        <w:rPr>
          <w:rFonts w:hint="default" w:ascii="Times New Roman" w:hAnsi="Times New Roman"/>
          <w:kern w:val="0"/>
          <w:szCs w:val="20"/>
        </w:rPr>
        <w:t>本文件不适用于移动式储能系统。</w:t>
      </w:r>
    </w:p>
    <w:p>
      <w:pPr>
        <w:pStyle w:val="259"/>
        <w:spacing w:line="312" w:lineRule="auto"/>
      </w:pPr>
      <w:bookmarkStart w:id="16" w:name="_Toc25835"/>
      <w:bookmarkStart w:id="17" w:name="_Toc9492"/>
      <w:bookmarkStart w:id="18" w:name="_Toc30002"/>
      <w:bookmarkStart w:id="19" w:name="_Toc26986531"/>
      <w:bookmarkStart w:id="20" w:name="_Toc26986772"/>
      <w:bookmarkStart w:id="21" w:name="_Toc7873"/>
      <w:bookmarkStart w:id="22" w:name="_Toc16489"/>
      <w:bookmarkStart w:id="23" w:name="_Toc15273"/>
      <w:bookmarkStart w:id="24" w:name="_Toc26718931"/>
      <w:r>
        <w:rPr>
          <w:rFonts w:hint="eastAsia"/>
        </w:rPr>
        <w:t>规范性引用文件</w:t>
      </w:r>
      <w:bookmarkEnd w:id="16"/>
      <w:bookmarkEnd w:id="17"/>
      <w:bookmarkEnd w:id="18"/>
      <w:bookmarkEnd w:id="19"/>
      <w:bookmarkEnd w:id="20"/>
      <w:bookmarkEnd w:id="21"/>
      <w:bookmarkEnd w:id="22"/>
      <w:bookmarkEnd w:id="23"/>
      <w:bookmarkEnd w:id="24"/>
    </w:p>
    <w:p>
      <w:pPr>
        <w:pStyle w:val="258"/>
        <w:spacing w:line="312" w:lineRule="auto"/>
        <w:ind w:firstLine="420"/>
      </w:pPr>
      <w:sdt>
        <w:sdtPr>
          <w:rPr>
            <w:rFonts w:hint="eastAsia"/>
          </w:rPr>
          <w:alias w:val="规范性引用文件文字描述选择"/>
          <w:tag w:val="规范性引用文件文字描述选择"/>
          <w:id w:val="715848253"/>
          <w:placeholder>
            <w:docPart w:val="C0A706F68E7D447CBE6EB340C1DAFF40"/>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sdtContent>
      </w:sdt>
      <w:r>
        <w:tab/>
      </w:r>
    </w:p>
    <w:p>
      <w:pPr>
        <w:tabs>
          <w:tab w:val="left" w:pos="560"/>
        </w:tabs>
        <w:spacing w:line="312" w:lineRule="auto"/>
        <w:ind w:firstLine="420" w:firstLineChars="200"/>
        <w:rPr>
          <w:rFonts w:hint="eastAsia" w:ascii="Times New Roman" w:hAnsi="Times New Roman" w:eastAsia="宋体"/>
        </w:rPr>
      </w:pPr>
      <w:r>
        <w:rPr>
          <w:rFonts w:hint="eastAsia" w:ascii="Times New Roman" w:hAnsi="Times New Roman" w:eastAsia="宋体"/>
        </w:rPr>
        <w:t>GB/T 1413 系列1集装箱 分类、尺寸和额定质量</w:t>
      </w:r>
    </w:p>
    <w:p>
      <w:pPr>
        <w:pStyle w:val="2"/>
        <w:ind w:firstLine="420" w:firstLineChars="200"/>
        <w:rPr>
          <w:rFonts w:hint="default"/>
          <w:lang w:val="en-US"/>
        </w:rPr>
      </w:pPr>
      <w:r>
        <w:rPr>
          <w:rFonts w:hint="eastAsia"/>
          <w:lang w:val="en-US" w:eastAsia="zh-CN"/>
        </w:rPr>
        <w:t>GB/T 4208</w:t>
      </w:r>
      <w:r>
        <w:rPr>
          <w:rFonts w:hint="eastAsia" w:ascii="宋体" w:hAnsi="宋体" w:eastAsia="宋体" w:cs="宋体"/>
          <w:kern w:val="0"/>
          <w:szCs w:val="21"/>
          <w:highlight w:val="none"/>
        </w:rPr>
        <w:t>—</w:t>
      </w:r>
      <w:r>
        <w:rPr>
          <w:rFonts w:hint="eastAsia"/>
          <w:lang w:val="en-US" w:eastAsia="zh-CN"/>
        </w:rPr>
        <w:t>2017 外壳防护等级</w:t>
      </w:r>
    </w:p>
    <w:p>
      <w:pPr>
        <w:tabs>
          <w:tab w:val="left" w:pos="560"/>
        </w:tabs>
        <w:spacing w:line="312" w:lineRule="auto"/>
        <w:ind w:firstLine="420" w:firstLineChars="200"/>
        <w:rPr>
          <w:rFonts w:ascii="Times New Roman" w:hAnsi="Times New Roman"/>
          <w:kern w:val="0"/>
          <w:szCs w:val="20"/>
        </w:rPr>
      </w:pPr>
      <w:r>
        <w:rPr>
          <w:rFonts w:ascii="Times New Roman" w:hAnsi="Times New Roman"/>
          <w:kern w:val="0"/>
          <w:szCs w:val="20"/>
        </w:rPr>
        <w:t>GB 8624</w:t>
      </w:r>
      <w:r>
        <w:rPr>
          <w:rFonts w:hint="default" w:ascii="Times New Roman" w:hAnsi="Times New Roman" w:eastAsia="宋体" w:cs="Times New Roman"/>
          <w:kern w:val="0"/>
          <w:szCs w:val="21"/>
          <w:highlight w:val="none"/>
        </w:rPr>
        <w:t>—</w:t>
      </w:r>
      <w:r>
        <w:rPr>
          <w:rFonts w:hint="default" w:ascii="Times New Roman" w:hAnsi="Times New Roman" w:eastAsia="宋体" w:cs="Times New Roman"/>
          <w:kern w:val="0"/>
          <w:szCs w:val="21"/>
          <w:highlight w:val="none"/>
          <w:lang w:val="en-US" w:eastAsia="zh-CN"/>
        </w:rPr>
        <w:t>2018</w:t>
      </w:r>
      <w:r>
        <w:rPr>
          <w:rFonts w:ascii="Times New Roman" w:hAnsi="Times New Roman"/>
          <w:kern w:val="0"/>
          <w:szCs w:val="20"/>
        </w:rPr>
        <w:t xml:space="preserve"> 建筑材料及制品燃烧性能分级</w:t>
      </w:r>
    </w:p>
    <w:p>
      <w:pPr>
        <w:tabs>
          <w:tab w:val="left" w:pos="560"/>
        </w:tabs>
        <w:spacing w:line="312" w:lineRule="auto"/>
        <w:ind w:firstLine="420" w:firstLineChars="200"/>
        <w:rPr>
          <w:rFonts w:hint="default" w:ascii="Times New Roman" w:hAnsi="Times New Roman" w:eastAsia="宋体"/>
          <w:kern w:val="0"/>
          <w:szCs w:val="20"/>
          <w:lang w:val="en-US" w:eastAsia="zh-CN"/>
        </w:rPr>
      </w:pPr>
      <w:r>
        <w:rPr>
          <w:rFonts w:ascii="Times New Roman" w:hAnsi="Times New Roman"/>
          <w:kern w:val="0"/>
          <w:szCs w:val="20"/>
        </w:rPr>
        <w:t>GB 15322</w:t>
      </w:r>
      <w:r>
        <w:rPr>
          <w:rFonts w:hint="eastAsia"/>
          <w:kern w:val="0"/>
          <w:szCs w:val="20"/>
          <w:lang w:val="en-US" w:eastAsia="zh-CN"/>
        </w:rPr>
        <w:t>.1</w:t>
      </w:r>
      <w:r>
        <w:rPr>
          <w:rFonts w:ascii="Times New Roman" w:hAnsi="Times New Roman"/>
          <w:kern w:val="0"/>
          <w:szCs w:val="20"/>
        </w:rPr>
        <w:t>可燃气体探测器</w:t>
      </w:r>
      <w:r>
        <w:rPr>
          <w:rFonts w:hint="eastAsia"/>
          <w:kern w:val="0"/>
          <w:szCs w:val="20"/>
          <w:lang w:val="en-US" w:eastAsia="zh-CN"/>
        </w:rPr>
        <w:t xml:space="preserve"> 第1部分：工业及商业用途点型可燃气体探测器</w:t>
      </w:r>
    </w:p>
    <w:p>
      <w:pPr>
        <w:tabs>
          <w:tab w:val="left" w:pos="560"/>
        </w:tabs>
        <w:spacing w:line="312" w:lineRule="auto"/>
        <w:ind w:firstLine="420" w:firstLineChars="200"/>
        <w:rPr>
          <w:rFonts w:ascii="Times New Roman" w:hAnsi="Times New Roman"/>
          <w:kern w:val="0"/>
          <w:szCs w:val="20"/>
        </w:rPr>
      </w:pPr>
      <w:r>
        <w:rPr>
          <w:rFonts w:ascii="Times New Roman" w:hAnsi="Times New Roman"/>
          <w:kern w:val="0"/>
          <w:szCs w:val="20"/>
        </w:rPr>
        <w:t>GB 23864 防火封堵材料</w:t>
      </w:r>
    </w:p>
    <w:p>
      <w:pPr>
        <w:tabs>
          <w:tab w:val="left" w:pos="560"/>
        </w:tabs>
        <w:spacing w:line="312" w:lineRule="auto"/>
        <w:ind w:firstLine="420" w:firstLineChars="200"/>
        <w:rPr>
          <w:rFonts w:ascii="Times New Roman" w:hAnsi="Times New Roman"/>
          <w:kern w:val="0"/>
          <w:szCs w:val="20"/>
        </w:rPr>
      </w:pPr>
      <w:r>
        <w:rPr>
          <w:rFonts w:ascii="Times New Roman" w:hAnsi="Times New Roman"/>
          <w:kern w:val="0"/>
          <w:szCs w:val="20"/>
        </w:rPr>
        <w:t>GB 25201 建筑消防设施的维护管理</w:t>
      </w:r>
    </w:p>
    <w:p>
      <w:pPr>
        <w:tabs>
          <w:tab w:val="left" w:pos="560"/>
        </w:tabs>
        <w:spacing w:line="312" w:lineRule="auto"/>
        <w:ind w:firstLine="420" w:firstLineChars="200"/>
        <w:rPr>
          <w:rFonts w:ascii="Times New Roman" w:hAnsi="Times New Roman"/>
          <w:kern w:val="0"/>
          <w:szCs w:val="20"/>
        </w:rPr>
      </w:pPr>
      <w:r>
        <w:rPr>
          <w:rFonts w:ascii="Times New Roman" w:hAnsi="Times New Roman"/>
          <w:kern w:val="0"/>
          <w:szCs w:val="20"/>
        </w:rPr>
        <w:t>GB 26860  电业安全工作规程（发电厂和变电站电气部分）</w:t>
      </w:r>
    </w:p>
    <w:p>
      <w:pPr>
        <w:tabs>
          <w:tab w:val="left" w:pos="560"/>
        </w:tabs>
        <w:spacing w:line="312" w:lineRule="auto"/>
        <w:ind w:firstLine="420" w:firstLineChars="200"/>
        <w:rPr>
          <w:rFonts w:ascii="Times New Roman" w:hAnsi="Times New Roman"/>
          <w:kern w:val="0"/>
          <w:szCs w:val="20"/>
        </w:rPr>
      </w:pPr>
      <w:r>
        <w:rPr>
          <w:rFonts w:ascii="Times New Roman" w:hAnsi="Times New Roman"/>
        </w:rPr>
        <w:t>GB 30051推闩式逃生门锁通用技术要求</w:t>
      </w:r>
    </w:p>
    <w:p>
      <w:pPr>
        <w:tabs>
          <w:tab w:val="left" w:pos="560"/>
        </w:tabs>
        <w:spacing w:line="312" w:lineRule="auto"/>
        <w:ind w:firstLine="420" w:firstLineChars="200"/>
        <w:rPr>
          <w:rFonts w:ascii="Times New Roman" w:hAnsi="Times New Roman" w:eastAsia="宋体" w:cs="Times New Roman"/>
          <w:kern w:val="0"/>
          <w:szCs w:val="20"/>
        </w:rPr>
      </w:pPr>
      <w:r>
        <w:rPr>
          <w:rFonts w:ascii="Times New Roman" w:hAnsi="Times New Roman" w:eastAsia="宋体" w:cs="Times New Roman"/>
          <w:kern w:val="0"/>
          <w:szCs w:val="20"/>
        </w:rPr>
        <w:t xml:space="preserve">GB/T 34131 </w:t>
      </w:r>
      <w:r>
        <w:rPr>
          <w:rFonts w:hint="eastAsia" w:ascii="Times New Roman" w:hAnsi="Times New Roman" w:eastAsia="宋体" w:cs="Times New Roman"/>
          <w:kern w:val="0"/>
          <w:szCs w:val="20"/>
        </w:rPr>
        <w:t>电力储能用电池管理系统</w:t>
      </w:r>
    </w:p>
    <w:p>
      <w:pPr>
        <w:tabs>
          <w:tab w:val="left" w:pos="560"/>
        </w:tabs>
        <w:spacing w:line="312" w:lineRule="auto"/>
        <w:ind w:firstLine="420" w:firstLineChars="200"/>
        <w:rPr>
          <w:rFonts w:ascii="Times New Roman" w:hAnsi="Times New Roman" w:eastAsia="宋体" w:cs="Times New Roman"/>
          <w:kern w:val="0"/>
          <w:szCs w:val="20"/>
        </w:rPr>
      </w:pPr>
      <w:r>
        <w:rPr>
          <w:rFonts w:ascii="Times New Roman" w:hAnsi="Times New Roman" w:eastAsia="宋体" w:cs="Times New Roman"/>
          <w:kern w:val="0"/>
          <w:szCs w:val="20"/>
        </w:rPr>
        <w:t>GB/T 36276 电力储能用锂离子电池</w:t>
      </w:r>
    </w:p>
    <w:p>
      <w:pPr>
        <w:tabs>
          <w:tab w:val="left" w:pos="560"/>
        </w:tabs>
        <w:spacing w:line="312" w:lineRule="auto"/>
        <w:ind w:firstLine="420" w:firstLineChars="200"/>
        <w:rPr>
          <w:rFonts w:hint="default" w:ascii="Times New Roman" w:hAnsi="Times New Roman" w:eastAsia="宋体" w:cs="Times New Roman"/>
          <w:kern w:val="0"/>
          <w:szCs w:val="20"/>
        </w:rPr>
      </w:pPr>
      <w:r>
        <w:rPr>
          <w:rFonts w:hint="default" w:ascii="Times New Roman" w:hAnsi="Times New Roman" w:eastAsia="宋体" w:cs="Times New Roman"/>
          <w:kern w:val="0"/>
          <w:szCs w:val="20"/>
        </w:rPr>
        <w:t>GB/T 36549</w:t>
      </w:r>
      <w:r>
        <w:rPr>
          <w:rFonts w:hint="default" w:ascii="Times New Roman" w:hAnsi="Times New Roman" w:eastAsia="宋体" w:cs="Times New Roman"/>
          <w:kern w:val="0"/>
          <w:szCs w:val="20"/>
          <w:lang w:val="en-US" w:eastAsia="zh-CN"/>
        </w:rPr>
        <w:t xml:space="preserve"> </w:t>
      </w:r>
      <w:r>
        <w:rPr>
          <w:rFonts w:hint="default" w:ascii="Times New Roman" w:hAnsi="Times New Roman" w:eastAsia="宋体" w:cs="Times New Roman"/>
          <w:kern w:val="0"/>
          <w:szCs w:val="20"/>
        </w:rPr>
        <w:t>电化学储能电站运行指标及评价</w:t>
      </w:r>
    </w:p>
    <w:p>
      <w:pPr>
        <w:tabs>
          <w:tab w:val="left" w:pos="560"/>
        </w:tabs>
        <w:spacing w:line="312" w:lineRule="auto"/>
        <w:ind w:firstLine="420" w:firstLineChars="200"/>
        <w:rPr>
          <w:rFonts w:hint="default" w:ascii="Times New Roman" w:hAnsi="Times New Roman" w:eastAsia="宋体" w:cs="Times New Roman"/>
          <w:kern w:val="0"/>
          <w:szCs w:val="20"/>
        </w:rPr>
      </w:pPr>
      <w:r>
        <w:rPr>
          <w:rFonts w:hint="default" w:ascii="Times New Roman" w:hAnsi="Times New Roman" w:eastAsia="宋体" w:cs="Times New Roman"/>
          <w:kern w:val="0"/>
          <w:szCs w:val="20"/>
        </w:rPr>
        <w:t>GB/T 40090</w:t>
      </w:r>
      <w:r>
        <w:rPr>
          <w:rFonts w:hint="default" w:ascii="Times New Roman" w:hAnsi="Times New Roman" w:eastAsia="宋体" w:cs="Times New Roman"/>
          <w:kern w:val="0"/>
          <w:szCs w:val="20"/>
          <w:lang w:val="en-US" w:eastAsia="zh-CN"/>
        </w:rPr>
        <w:t xml:space="preserve"> </w:t>
      </w:r>
      <w:r>
        <w:rPr>
          <w:rFonts w:hint="default" w:ascii="Times New Roman" w:hAnsi="Times New Roman" w:eastAsia="宋体" w:cs="Times New Roman"/>
          <w:kern w:val="0"/>
          <w:szCs w:val="20"/>
        </w:rPr>
        <w:t>储能电站运行维护规程</w:t>
      </w:r>
    </w:p>
    <w:p>
      <w:pPr>
        <w:tabs>
          <w:tab w:val="left" w:pos="560"/>
        </w:tabs>
        <w:spacing w:line="312" w:lineRule="auto"/>
        <w:ind w:firstLine="420" w:firstLineChars="200"/>
        <w:rPr>
          <w:rFonts w:hint="eastAsia" w:cs="Times New Roman"/>
          <w:kern w:val="0"/>
          <w:szCs w:val="20"/>
          <w:lang w:val="en-US" w:eastAsia="zh-CN"/>
        </w:rPr>
      </w:pPr>
      <w:r>
        <w:rPr>
          <w:rFonts w:hint="default" w:ascii="Times New Roman" w:hAnsi="Times New Roman" w:eastAsia="宋体" w:cs="Times New Roman"/>
          <w:kern w:val="0"/>
          <w:szCs w:val="20"/>
        </w:rPr>
        <w:t>GB/T 4</w:t>
      </w:r>
      <w:r>
        <w:rPr>
          <w:rFonts w:hint="eastAsia" w:cs="Times New Roman"/>
          <w:kern w:val="0"/>
          <w:szCs w:val="20"/>
          <w:lang w:val="en-US" w:eastAsia="zh-CN"/>
        </w:rPr>
        <w:t>2288</w:t>
      </w:r>
      <w:r>
        <w:rPr>
          <w:rFonts w:hint="default" w:ascii="Times New Roman" w:hAnsi="Times New Roman" w:eastAsia="宋体" w:cs="Times New Roman"/>
          <w:kern w:val="0"/>
          <w:szCs w:val="20"/>
          <w:lang w:val="en-US" w:eastAsia="zh-CN"/>
        </w:rPr>
        <w:t xml:space="preserve"> </w:t>
      </w:r>
      <w:r>
        <w:rPr>
          <w:rFonts w:hint="eastAsia" w:cs="Times New Roman"/>
          <w:kern w:val="0"/>
          <w:szCs w:val="20"/>
          <w:lang w:val="en-US" w:eastAsia="zh-CN"/>
        </w:rPr>
        <w:t>电化学</w:t>
      </w:r>
      <w:r>
        <w:rPr>
          <w:rFonts w:hint="default" w:ascii="Times New Roman" w:hAnsi="Times New Roman" w:eastAsia="宋体" w:cs="Times New Roman"/>
          <w:kern w:val="0"/>
          <w:szCs w:val="20"/>
        </w:rPr>
        <w:t>储能电</w:t>
      </w:r>
      <w:r>
        <w:rPr>
          <w:rFonts w:hint="eastAsia" w:cs="Times New Roman"/>
          <w:kern w:val="0"/>
          <w:szCs w:val="20"/>
          <w:lang w:val="en-US" w:eastAsia="zh-CN"/>
        </w:rPr>
        <w:t>站安全规程</w:t>
      </w:r>
    </w:p>
    <w:p>
      <w:pPr>
        <w:tabs>
          <w:tab w:val="left" w:pos="560"/>
        </w:tabs>
        <w:spacing w:line="312" w:lineRule="auto"/>
        <w:ind w:firstLine="420" w:firstLineChars="200"/>
        <w:rPr>
          <w:rFonts w:hint="eastAsia"/>
          <w:lang w:val="en-US" w:eastAsia="zh-CN"/>
        </w:rPr>
      </w:pPr>
      <w:r>
        <w:rPr>
          <w:rFonts w:hint="default" w:ascii="Times New Roman" w:hAnsi="Times New Roman" w:eastAsia="宋体" w:cs="Times New Roman"/>
          <w:kern w:val="0"/>
          <w:szCs w:val="20"/>
        </w:rPr>
        <w:t>GB/T 4</w:t>
      </w:r>
      <w:r>
        <w:rPr>
          <w:rFonts w:hint="eastAsia" w:cs="Times New Roman"/>
          <w:kern w:val="0"/>
          <w:szCs w:val="20"/>
          <w:lang w:val="en-US" w:eastAsia="zh-CN"/>
        </w:rPr>
        <w:t>2312</w:t>
      </w:r>
      <w:r>
        <w:rPr>
          <w:rFonts w:hint="default" w:ascii="Times New Roman" w:hAnsi="Times New Roman" w:eastAsia="宋体" w:cs="Times New Roman"/>
          <w:kern w:val="0"/>
          <w:szCs w:val="20"/>
          <w:lang w:val="en-US" w:eastAsia="zh-CN"/>
        </w:rPr>
        <w:t xml:space="preserve"> </w:t>
      </w:r>
      <w:r>
        <w:rPr>
          <w:rFonts w:hint="eastAsia" w:cs="Times New Roman"/>
          <w:kern w:val="0"/>
          <w:szCs w:val="20"/>
          <w:lang w:val="en-US" w:eastAsia="zh-CN"/>
        </w:rPr>
        <w:t>电化学储能电站生产安全应急预案编制</w:t>
      </w:r>
    </w:p>
    <w:p>
      <w:pPr>
        <w:tabs>
          <w:tab w:val="left" w:pos="560"/>
        </w:tabs>
        <w:spacing w:line="312" w:lineRule="auto"/>
        <w:ind w:firstLine="420" w:firstLineChars="200"/>
        <w:rPr>
          <w:rFonts w:hint="eastAsia" w:cs="Times New Roman"/>
          <w:kern w:val="0"/>
          <w:szCs w:val="20"/>
          <w:lang w:val="en-US" w:eastAsia="zh-CN"/>
        </w:rPr>
      </w:pPr>
      <w:r>
        <w:rPr>
          <w:rFonts w:hint="default" w:ascii="Times New Roman" w:hAnsi="Times New Roman" w:eastAsia="宋体" w:cs="Times New Roman"/>
          <w:kern w:val="0"/>
          <w:szCs w:val="20"/>
        </w:rPr>
        <w:t>GB/T 4</w:t>
      </w:r>
      <w:r>
        <w:rPr>
          <w:rFonts w:hint="eastAsia" w:cs="Times New Roman"/>
          <w:kern w:val="0"/>
          <w:szCs w:val="20"/>
          <w:lang w:val="en-US" w:eastAsia="zh-CN"/>
        </w:rPr>
        <w:t>2313</w:t>
      </w:r>
      <w:r>
        <w:rPr>
          <w:rFonts w:hint="default" w:ascii="Times New Roman" w:hAnsi="Times New Roman" w:eastAsia="宋体" w:cs="Times New Roman"/>
          <w:kern w:val="0"/>
          <w:szCs w:val="20"/>
          <w:lang w:val="en-US" w:eastAsia="zh-CN"/>
        </w:rPr>
        <w:t xml:space="preserve"> </w:t>
      </w:r>
      <w:r>
        <w:rPr>
          <w:rFonts w:hint="eastAsia" w:cs="Times New Roman"/>
          <w:kern w:val="0"/>
          <w:szCs w:val="20"/>
          <w:lang w:val="en-US" w:eastAsia="zh-CN"/>
        </w:rPr>
        <w:t>电力储能系统术语</w:t>
      </w:r>
    </w:p>
    <w:p>
      <w:pPr>
        <w:pStyle w:val="2"/>
        <w:ind w:firstLine="420" w:firstLineChars="200"/>
        <w:rPr>
          <w:rFonts w:hint="default"/>
          <w:lang w:val="en-US" w:eastAsia="zh-CN"/>
        </w:rPr>
      </w:pPr>
      <w:r>
        <w:rPr>
          <w:rFonts w:hint="eastAsia"/>
          <w:lang w:val="en-US" w:eastAsia="zh-CN"/>
        </w:rPr>
        <w:t>GB/T 42315 电化学储能电站检修规程</w:t>
      </w:r>
    </w:p>
    <w:p>
      <w:pPr>
        <w:tabs>
          <w:tab w:val="left" w:pos="560"/>
        </w:tabs>
        <w:spacing w:line="312" w:lineRule="auto"/>
        <w:ind w:firstLine="420" w:firstLineChars="200"/>
        <w:rPr>
          <w:rFonts w:hint="default" w:ascii="Times New Roman" w:hAnsi="Times New Roman" w:eastAsia="宋体" w:cs="Times New Roman"/>
          <w:kern w:val="0"/>
          <w:szCs w:val="20"/>
        </w:rPr>
      </w:pPr>
      <w:r>
        <w:rPr>
          <w:rFonts w:ascii="Times New Roman" w:hAnsi="Times New Roman" w:eastAsia="宋体" w:cs="Times New Roman"/>
          <w:kern w:val="0"/>
          <w:szCs w:val="20"/>
        </w:rPr>
        <w:t>GB 50016</w:t>
      </w:r>
      <w:r>
        <w:rPr>
          <w:rFonts w:hint="default" w:ascii="Times New Roman" w:hAnsi="Times New Roman" w:eastAsia="宋体" w:cs="Times New Roman"/>
          <w:kern w:val="0"/>
          <w:szCs w:val="20"/>
          <w:lang w:val="en-US" w:eastAsia="zh-CN"/>
        </w:rPr>
        <w:t xml:space="preserve"> </w:t>
      </w:r>
      <w:r>
        <w:rPr>
          <w:rFonts w:ascii="Times New Roman" w:hAnsi="Times New Roman" w:eastAsia="宋体" w:cs="Times New Roman"/>
          <w:kern w:val="0"/>
          <w:szCs w:val="20"/>
        </w:rPr>
        <w:t>建筑设计防火规范</w:t>
      </w:r>
    </w:p>
    <w:p>
      <w:pPr>
        <w:tabs>
          <w:tab w:val="left" w:pos="560"/>
        </w:tabs>
        <w:spacing w:line="312" w:lineRule="auto"/>
        <w:ind w:firstLine="420" w:firstLineChars="200"/>
        <w:rPr>
          <w:rFonts w:ascii="Times New Roman" w:hAnsi="Times New Roman" w:eastAsia="宋体" w:cs="Times New Roman"/>
          <w:kern w:val="0"/>
          <w:szCs w:val="20"/>
        </w:rPr>
      </w:pPr>
      <w:r>
        <w:rPr>
          <w:rFonts w:hint="default" w:ascii="Times New Roman" w:hAnsi="Times New Roman" w:eastAsia="宋体" w:cs="Times New Roman"/>
          <w:kern w:val="0"/>
          <w:szCs w:val="20"/>
        </w:rPr>
        <w:t>GB 50052</w:t>
      </w:r>
      <w:r>
        <w:rPr>
          <w:rFonts w:hint="default" w:ascii="Times New Roman" w:hAnsi="Times New Roman" w:eastAsia="宋体" w:cs="Times New Roman"/>
          <w:kern w:val="0"/>
          <w:szCs w:val="20"/>
          <w:lang w:val="en-US" w:eastAsia="zh-CN"/>
        </w:rPr>
        <w:t xml:space="preserve"> </w:t>
      </w:r>
      <w:r>
        <w:rPr>
          <w:rFonts w:hint="default" w:ascii="Times New Roman" w:hAnsi="Times New Roman" w:eastAsia="宋体" w:cs="Times New Roman"/>
          <w:kern w:val="0"/>
          <w:szCs w:val="20"/>
        </w:rPr>
        <w:t>供配电系统设计规范</w:t>
      </w:r>
    </w:p>
    <w:p>
      <w:pPr>
        <w:tabs>
          <w:tab w:val="left" w:pos="560"/>
        </w:tabs>
        <w:spacing w:line="312" w:lineRule="auto"/>
        <w:ind w:firstLine="420" w:firstLineChars="200"/>
        <w:rPr>
          <w:rFonts w:ascii="Times New Roman" w:hAnsi="Times New Roman" w:eastAsia="宋体" w:cs="Times New Roman"/>
          <w:kern w:val="0"/>
          <w:szCs w:val="20"/>
        </w:rPr>
      </w:pPr>
      <w:r>
        <w:rPr>
          <w:rFonts w:ascii="Times New Roman" w:hAnsi="Times New Roman" w:eastAsia="宋体" w:cs="Times New Roman"/>
          <w:kern w:val="0"/>
          <w:szCs w:val="20"/>
        </w:rPr>
        <w:t>GB 50057 建筑物防雷设计规范</w:t>
      </w:r>
    </w:p>
    <w:p>
      <w:pPr>
        <w:tabs>
          <w:tab w:val="left" w:pos="560"/>
        </w:tabs>
        <w:spacing w:line="312" w:lineRule="auto"/>
        <w:ind w:firstLine="420" w:firstLineChars="200"/>
        <w:rPr>
          <w:rFonts w:ascii="Times New Roman" w:hAnsi="Times New Roman"/>
          <w:kern w:val="0"/>
          <w:szCs w:val="20"/>
        </w:rPr>
      </w:pPr>
      <w:r>
        <w:rPr>
          <w:rFonts w:ascii="Times New Roman" w:hAnsi="Times New Roman"/>
          <w:kern w:val="0"/>
          <w:szCs w:val="20"/>
        </w:rPr>
        <w:t>GB/T 50065</w:t>
      </w:r>
      <w:r>
        <w:rPr>
          <w:rFonts w:hint="eastAsia" w:ascii="Times New Roman" w:hAnsi="Times New Roman"/>
          <w:kern w:val="0"/>
          <w:szCs w:val="20"/>
        </w:rPr>
        <w:t xml:space="preserve"> </w:t>
      </w:r>
      <w:r>
        <w:rPr>
          <w:rFonts w:ascii="Times New Roman" w:hAnsi="Times New Roman"/>
          <w:kern w:val="0"/>
          <w:szCs w:val="20"/>
        </w:rPr>
        <w:t>交流电气装置的接地设计规范</w:t>
      </w:r>
    </w:p>
    <w:p>
      <w:pPr>
        <w:tabs>
          <w:tab w:val="left" w:pos="560"/>
        </w:tabs>
        <w:spacing w:line="312" w:lineRule="auto"/>
        <w:ind w:firstLine="420" w:firstLineChars="200"/>
        <w:rPr>
          <w:rFonts w:ascii="Times New Roman" w:hAnsi="Times New Roman"/>
          <w:kern w:val="0"/>
          <w:szCs w:val="20"/>
        </w:rPr>
      </w:pPr>
      <w:r>
        <w:rPr>
          <w:rFonts w:ascii="Times New Roman" w:hAnsi="Times New Roman"/>
          <w:kern w:val="0"/>
          <w:szCs w:val="20"/>
        </w:rPr>
        <w:t>GB 50116</w:t>
      </w:r>
      <w:r>
        <w:rPr>
          <w:rFonts w:hint="eastAsia" w:ascii="Times New Roman" w:hAnsi="Times New Roman"/>
          <w:kern w:val="0"/>
          <w:szCs w:val="20"/>
        </w:rPr>
        <w:t xml:space="preserve"> </w:t>
      </w:r>
      <w:r>
        <w:rPr>
          <w:rFonts w:ascii="Times New Roman" w:hAnsi="Times New Roman"/>
          <w:kern w:val="0"/>
          <w:szCs w:val="20"/>
        </w:rPr>
        <w:t>火灾自动报警系统设计规范</w:t>
      </w:r>
    </w:p>
    <w:p>
      <w:pPr>
        <w:tabs>
          <w:tab w:val="left" w:pos="560"/>
        </w:tabs>
        <w:spacing w:line="312" w:lineRule="auto"/>
        <w:ind w:firstLine="420" w:firstLineChars="200"/>
        <w:rPr>
          <w:rFonts w:ascii="Times New Roman" w:hAnsi="Times New Roman"/>
          <w:kern w:val="0"/>
          <w:szCs w:val="20"/>
        </w:rPr>
      </w:pPr>
      <w:r>
        <w:rPr>
          <w:rFonts w:ascii="Times New Roman" w:hAnsi="Times New Roman"/>
          <w:kern w:val="0"/>
          <w:szCs w:val="20"/>
        </w:rPr>
        <w:t>GB 50140 建筑灭火器配置设计规范</w:t>
      </w:r>
    </w:p>
    <w:p>
      <w:pPr>
        <w:tabs>
          <w:tab w:val="left" w:pos="560"/>
        </w:tabs>
        <w:spacing w:line="312" w:lineRule="auto"/>
        <w:ind w:firstLine="420" w:firstLineChars="200"/>
        <w:rPr>
          <w:rFonts w:ascii="Times New Roman" w:hAnsi="Times New Roman"/>
        </w:rPr>
      </w:pPr>
      <w:r>
        <w:rPr>
          <w:rFonts w:ascii="Times New Roman" w:hAnsi="Times New Roman"/>
        </w:rPr>
        <w:t>GB 50229 火力发电厂与变电站设计防火标准</w:t>
      </w:r>
    </w:p>
    <w:p>
      <w:pPr>
        <w:tabs>
          <w:tab w:val="left" w:pos="560"/>
        </w:tabs>
        <w:spacing w:line="312" w:lineRule="auto"/>
        <w:ind w:firstLine="420" w:firstLineChars="200"/>
        <w:rPr>
          <w:rFonts w:ascii="Times New Roman" w:hAnsi="Times New Roman"/>
        </w:rPr>
      </w:pPr>
      <w:r>
        <w:rPr>
          <w:rFonts w:ascii="Times New Roman" w:hAnsi="Times New Roman"/>
        </w:rPr>
        <w:t>GB 50898 细水雾灭火系统技术规范</w:t>
      </w:r>
    </w:p>
    <w:p>
      <w:pPr>
        <w:tabs>
          <w:tab w:val="left" w:pos="560"/>
        </w:tabs>
        <w:spacing w:line="312" w:lineRule="auto"/>
        <w:ind w:firstLine="420" w:firstLineChars="200"/>
        <w:rPr>
          <w:rFonts w:ascii="Times New Roman" w:hAnsi="Times New Roman"/>
          <w:kern w:val="0"/>
          <w:szCs w:val="20"/>
        </w:rPr>
      </w:pPr>
      <w:r>
        <w:rPr>
          <w:rFonts w:ascii="Times New Roman" w:hAnsi="Times New Roman"/>
          <w:kern w:val="0"/>
          <w:szCs w:val="20"/>
        </w:rPr>
        <w:t>GB 50974 消防给水及消火栓系统技术规范</w:t>
      </w:r>
    </w:p>
    <w:p>
      <w:pPr>
        <w:tabs>
          <w:tab w:val="left" w:pos="560"/>
        </w:tabs>
        <w:spacing w:line="312" w:lineRule="auto"/>
        <w:ind w:firstLine="420" w:firstLineChars="200"/>
        <w:rPr>
          <w:rFonts w:hint="eastAsia"/>
          <w:highlight w:val="none"/>
          <w:lang w:val="en-US" w:eastAsia="zh-CN"/>
        </w:rPr>
      </w:pPr>
      <w:r>
        <w:rPr>
          <w:rFonts w:hint="eastAsia" w:ascii="Times New Roman" w:hAnsi="Times New Roman"/>
          <w:highlight w:val="none"/>
        </w:rPr>
        <w:t>GB 51048</w:t>
      </w:r>
      <w:r>
        <w:rPr>
          <w:rFonts w:ascii="Times New Roman" w:hAnsi="Times New Roman"/>
          <w:highlight w:val="none"/>
        </w:rPr>
        <w:t xml:space="preserve"> 电化学储能电站设计</w:t>
      </w:r>
      <w:r>
        <w:rPr>
          <w:rFonts w:hint="eastAsia"/>
          <w:highlight w:val="none"/>
          <w:lang w:val="en-US" w:eastAsia="zh-CN"/>
        </w:rPr>
        <w:t>规范</w:t>
      </w:r>
    </w:p>
    <w:p>
      <w:pPr>
        <w:tabs>
          <w:tab w:val="left" w:pos="560"/>
        </w:tabs>
        <w:spacing w:line="312" w:lineRule="auto"/>
        <w:ind w:firstLine="420" w:firstLineChars="200"/>
        <w:rPr>
          <w:rFonts w:hint="eastAsia"/>
          <w:highlight w:val="none"/>
          <w:lang w:val="en-US" w:eastAsia="zh-CN"/>
        </w:rPr>
      </w:pPr>
      <w:r>
        <w:rPr>
          <w:rFonts w:hint="eastAsia" w:ascii="Times New Roman" w:hAnsi="Times New Roman"/>
          <w:highlight w:val="none"/>
        </w:rPr>
        <w:t>GB 51</w:t>
      </w:r>
      <w:r>
        <w:rPr>
          <w:rFonts w:hint="eastAsia"/>
          <w:highlight w:val="none"/>
          <w:lang w:val="en-US" w:eastAsia="zh-CN"/>
        </w:rPr>
        <w:t>309</w:t>
      </w:r>
      <w:r>
        <w:rPr>
          <w:rFonts w:ascii="Times New Roman" w:hAnsi="Times New Roman"/>
          <w:highlight w:val="none"/>
        </w:rPr>
        <w:t xml:space="preserve"> </w:t>
      </w:r>
      <w:r>
        <w:rPr>
          <w:rFonts w:hint="eastAsia"/>
          <w:highlight w:val="none"/>
          <w:lang w:val="en-US" w:eastAsia="zh-CN"/>
        </w:rPr>
        <w:t>消防应急照明和疏散指示系统技术标准</w:t>
      </w:r>
    </w:p>
    <w:p>
      <w:pPr>
        <w:tabs>
          <w:tab w:val="left" w:pos="560"/>
        </w:tabs>
        <w:spacing w:line="312" w:lineRule="auto"/>
        <w:ind w:firstLine="420" w:firstLineChars="200"/>
        <w:rPr>
          <w:rFonts w:hint="eastAsia"/>
          <w:highlight w:val="none"/>
          <w:lang w:val="en-US" w:eastAsia="zh-CN"/>
        </w:rPr>
      </w:pPr>
      <w:r>
        <w:rPr>
          <w:rFonts w:hint="eastAsia"/>
          <w:highlight w:val="none"/>
          <w:lang w:val="en-US"/>
        </w:rPr>
        <w:t>GB</w:t>
      </w:r>
      <w:r>
        <w:rPr>
          <w:rFonts w:ascii="Times New Roman" w:hAnsi="Times New Roman"/>
        </w:rPr>
        <w:t xml:space="preserve"> </w:t>
      </w:r>
      <w:r>
        <w:rPr>
          <w:rFonts w:hint="eastAsia"/>
          <w:highlight w:val="none"/>
          <w:lang w:val="en-US"/>
        </w:rPr>
        <w:t>55036</w:t>
      </w:r>
      <w:r>
        <w:rPr>
          <w:rFonts w:hint="eastAsia"/>
          <w:highlight w:val="none"/>
          <w:lang w:val="en-US" w:eastAsia="zh-CN"/>
        </w:rPr>
        <w:t xml:space="preserve"> 消防设施通用规范</w:t>
      </w:r>
    </w:p>
    <w:p>
      <w:pPr>
        <w:tabs>
          <w:tab w:val="left" w:pos="560"/>
        </w:tabs>
        <w:spacing w:line="312" w:lineRule="auto"/>
        <w:ind w:firstLine="420" w:firstLineChars="200"/>
        <w:rPr>
          <w:rFonts w:hint="eastAsia" w:cs="Times New Roman"/>
          <w:kern w:val="0"/>
          <w:szCs w:val="20"/>
          <w:lang w:val="en-US" w:eastAsia="zh-CN"/>
        </w:rPr>
      </w:pPr>
      <w:r>
        <w:rPr>
          <w:rFonts w:ascii="Times New Roman" w:hAnsi="Times New Roman" w:eastAsia="宋体" w:cs="Times New Roman"/>
          <w:kern w:val="0"/>
          <w:szCs w:val="20"/>
        </w:rPr>
        <w:t>GB 5</w:t>
      </w:r>
      <w:r>
        <w:rPr>
          <w:rFonts w:hint="eastAsia" w:cs="Times New Roman"/>
          <w:kern w:val="0"/>
          <w:szCs w:val="20"/>
          <w:lang w:val="en-US" w:eastAsia="zh-CN"/>
        </w:rPr>
        <w:t>5037</w:t>
      </w:r>
      <w:r>
        <w:rPr>
          <w:rFonts w:hint="default" w:ascii="Times New Roman" w:hAnsi="Times New Roman" w:eastAsia="宋体" w:cs="Times New Roman"/>
          <w:kern w:val="0"/>
          <w:szCs w:val="20"/>
          <w:lang w:val="en-US" w:eastAsia="zh-CN"/>
        </w:rPr>
        <w:t xml:space="preserve"> </w:t>
      </w:r>
      <w:r>
        <w:rPr>
          <w:rFonts w:ascii="Times New Roman" w:hAnsi="Times New Roman" w:eastAsia="宋体" w:cs="Times New Roman"/>
          <w:kern w:val="0"/>
          <w:szCs w:val="20"/>
        </w:rPr>
        <w:t>建筑</w:t>
      </w:r>
      <w:r>
        <w:rPr>
          <w:rFonts w:hint="eastAsia" w:cs="Times New Roman"/>
          <w:kern w:val="0"/>
          <w:szCs w:val="20"/>
          <w:lang w:val="en-US" w:eastAsia="zh-CN"/>
        </w:rPr>
        <w:t>防火通用规范</w:t>
      </w:r>
    </w:p>
    <w:p>
      <w:pPr>
        <w:tabs>
          <w:tab w:val="left" w:pos="560"/>
        </w:tabs>
        <w:spacing w:line="312" w:lineRule="auto"/>
        <w:ind w:firstLine="420" w:firstLineChars="200"/>
        <w:rPr>
          <w:rFonts w:ascii="Times New Roman" w:hAnsi="Times New Roman" w:eastAsia="宋体" w:cs="Times New Roman"/>
          <w:kern w:val="0"/>
          <w:szCs w:val="20"/>
        </w:rPr>
      </w:pPr>
      <w:r>
        <w:rPr>
          <w:rFonts w:hint="default" w:ascii="Times New Roman" w:hAnsi="Times New Roman" w:eastAsia="宋体" w:cs="Times New Roman"/>
          <w:kern w:val="0"/>
          <w:szCs w:val="20"/>
        </w:rPr>
        <w:t>DL/T 2528</w:t>
      </w:r>
      <w:r>
        <w:rPr>
          <w:rFonts w:hint="eastAsia" w:ascii="Times New Roman" w:hAnsi="Times New Roman" w:eastAsia="宋体" w:cs="Times New Roman"/>
          <w:kern w:val="0"/>
          <w:szCs w:val="20"/>
          <w:lang w:eastAsia="zh-CN"/>
        </w:rPr>
        <w:t xml:space="preserve"> </w:t>
      </w:r>
      <w:r>
        <w:rPr>
          <w:rFonts w:hint="default" w:ascii="Times New Roman" w:hAnsi="Times New Roman" w:eastAsia="宋体" w:cs="Times New Roman"/>
          <w:kern w:val="0"/>
          <w:szCs w:val="20"/>
        </w:rPr>
        <w:t>电力储能基本术语</w:t>
      </w:r>
    </w:p>
    <w:p>
      <w:pPr>
        <w:tabs>
          <w:tab w:val="left" w:pos="560"/>
        </w:tabs>
        <w:spacing w:line="312" w:lineRule="auto"/>
        <w:ind w:firstLine="420" w:firstLineChars="200"/>
        <w:rPr>
          <w:rFonts w:ascii="Times New Roman" w:hAnsi="Times New Roman"/>
          <w:kern w:val="0"/>
          <w:szCs w:val="20"/>
        </w:rPr>
      </w:pPr>
      <w:r>
        <w:rPr>
          <w:rFonts w:ascii="Times New Roman" w:hAnsi="Times New Roman"/>
          <w:kern w:val="0"/>
          <w:szCs w:val="20"/>
        </w:rPr>
        <w:t xml:space="preserve">DL 5027 </w:t>
      </w:r>
      <w:r>
        <w:rPr>
          <w:rFonts w:hint="eastAsia" w:ascii="Times New Roman" w:hAnsi="Times New Roman"/>
          <w:kern w:val="0"/>
          <w:szCs w:val="20"/>
        </w:rPr>
        <w:t xml:space="preserve"> </w:t>
      </w:r>
      <w:r>
        <w:rPr>
          <w:rFonts w:ascii="Times New Roman" w:hAnsi="Times New Roman"/>
          <w:kern w:val="0"/>
          <w:szCs w:val="20"/>
        </w:rPr>
        <w:t>电力设备典型消防规程</w:t>
      </w:r>
    </w:p>
    <w:p>
      <w:pPr>
        <w:tabs>
          <w:tab w:val="left" w:pos="560"/>
        </w:tabs>
        <w:spacing w:line="312" w:lineRule="auto"/>
        <w:ind w:firstLine="420" w:firstLineChars="200"/>
        <w:rPr>
          <w:rFonts w:ascii="Times New Roman" w:hAnsi="Times New Roman"/>
          <w:kern w:val="0"/>
          <w:szCs w:val="20"/>
        </w:rPr>
      </w:pPr>
      <w:r>
        <w:rPr>
          <w:rFonts w:ascii="Times New Roman" w:hAnsi="Times New Roman"/>
          <w:kern w:val="0"/>
          <w:szCs w:val="20"/>
        </w:rPr>
        <w:t>DL/T 5707 电力工程电缆防火封堵施工工艺导则</w:t>
      </w:r>
    </w:p>
    <w:p>
      <w:pPr>
        <w:tabs>
          <w:tab w:val="left" w:pos="560"/>
        </w:tabs>
        <w:spacing w:line="312" w:lineRule="auto"/>
        <w:ind w:firstLine="420" w:firstLineChars="200"/>
        <w:rPr>
          <w:kern w:val="0"/>
          <w:szCs w:val="20"/>
        </w:rPr>
      </w:pPr>
      <w:r>
        <w:rPr>
          <w:rFonts w:hint="eastAsia"/>
          <w:kern w:val="0"/>
          <w:szCs w:val="20"/>
        </w:rPr>
        <w:t>XF</w:t>
      </w:r>
      <w:r>
        <w:rPr>
          <w:kern w:val="0"/>
          <w:szCs w:val="20"/>
        </w:rPr>
        <w:t xml:space="preserve"> 1149 细水雾灭火装置</w:t>
      </w:r>
    </w:p>
    <w:p>
      <w:pPr>
        <w:pStyle w:val="2"/>
      </w:pPr>
    </w:p>
    <w:p>
      <w:pPr>
        <w:pStyle w:val="259"/>
        <w:spacing w:before="240" w:after="240" w:line="312" w:lineRule="auto"/>
      </w:pPr>
      <w:bookmarkStart w:id="25" w:name="_Toc5635"/>
      <w:bookmarkStart w:id="26" w:name="_Toc15755"/>
      <w:bookmarkStart w:id="27" w:name="_Toc8160"/>
      <w:bookmarkStart w:id="28" w:name="_Toc19624"/>
      <w:bookmarkStart w:id="29" w:name="_Toc23947"/>
      <w:bookmarkStart w:id="30" w:name="_Toc13417"/>
      <w:r>
        <w:rPr>
          <w:rFonts w:hint="eastAsia"/>
        </w:rPr>
        <w:t>术语和定义</w:t>
      </w:r>
      <w:bookmarkEnd w:id="25"/>
      <w:bookmarkEnd w:id="26"/>
      <w:bookmarkEnd w:id="27"/>
      <w:bookmarkEnd w:id="28"/>
      <w:bookmarkEnd w:id="29"/>
      <w:bookmarkEnd w:id="30"/>
    </w:p>
    <w:sdt>
      <w:sdtPr>
        <w:alias w:val="术语和定义文字描述选择"/>
        <w:tag w:val="术语和定义文字描述选择"/>
        <w:id w:val="-1909835108"/>
        <w:placeholder>
          <w:docPart w:val="C0A706F68E7D447CBE6EB340C1DAFF40"/>
        </w:placeholder>
        <w:comboBox>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258"/>
            <w:spacing w:line="312" w:lineRule="auto"/>
            <w:ind w:firstLine="420"/>
          </w:pPr>
          <w:bookmarkStart w:id="31" w:name="_Toc26986532"/>
          <w:bookmarkEnd w:id="31"/>
          <w:r>
            <w:rPr>
              <w:rFonts w:hint="eastAsia"/>
            </w:rPr>
            <w:t xml:space="preserve">GB 51048、GB/T 36276、GB/T 42313 </w:t>
          </w:r>
          <w:r>
            <w:rPr>
              <w:rFonts w:hint="eastAsia"/>
              <w:lang w:eastAsia="zh-CN"/>
            </w:rPr>
            <w:t>、</w:t>
          </w:r>
          <w:r>
            <w:rPr>
              <w:rFonts w:hint="eastAsia"/>
            </w:rPr>
            <w:t>DL/T 2528 界定的以及</w:t>
          </w:r>
          <w:r>
            <w:t>下列术语和定义适用于本文件。</w:t>
          </w:r>
        </w:p>
      </w:sdtContent>
    </w:sdt>
    <w:p>
      <w:pPr>
        <w:pStyle w:val="323"/>
        <w:bidi w:val="0"/>
        <w:spacing w:line="312" w:lineRule="auto"/>
      </w:pPr>
      <w:bookmarkStart w:id="32" w:name="_Toc6265"/>
      <w:bookmarkStart w:id="33" w:name="_Toc9620"/>
      <w:bookmarkStart w:id="34" w:name="_Toc20458"/>
      <w:bookmarkStart w:id="35" w:name="_Toc15985"/>
      <w:bookmarkStart w:id="36" w:name="_Toc18336"/>
      <w:bookmarkStart w:id="37" w:name="_Toc10290"/>
      <w:bookmarkStart w:id="38" w:name="_Toc949"/>
      <w:bookmarkStart w:id="39" w:name="_Toc26037"/>
      <w:bookmarkStart w:id="40" w:name="_Toc8557"/>
      <w:r>
        <w:rPr>
          <w:rFonts w:hint="eastAsia"/>
          <w:lang w:eastAsia="zh-CN"/>
        </w:rPr>
        <w:br w:type="textWrapping"/>
      </w:r>
      <w:r>
        <w:rPr>
          <w:rFonts w:hint="eastAsia"/>
          <w:lang w:eastAsia="zh-CN"/>
        </w:rPr>
        <w:t xml:space="preserve">    </w:t>
      </w:r>
      <w:r>
        <w:t>电池预制舱  prefabricated cabin</w:t>
      </w:r>
      <w:bookmarkEnd w:id="32"/>
      <w:bookmarkEnd w:id="33"/>
      <w:bookmarkEnd w:id="34"/>
      <w:bookmarkEnd w:id="35"/>
      <w:bookmarkEnd w:id="36"/>
      <w:bookmarkEnd w:id="37"/>
      <w:bookmarkEnd w:id="38"/>
      <w:bookmarkEnd w:id="39"/>
      <w:r>
        <w:rPr>
          <w:rFonts w:hint="eastAsia"/>
        </w:rPr>
        <w:t xml:space="preserve"> for </w:t>
      </w:r>
      <w:r>
        <w:t>battery</w:t>
      </w:r>
      <w:bookmarkEnd w:id="40"/>
    </w:p>
    <w:p>
      <w:pPr>
        <w:pStyle w:val="258"/>
        <w:bidi w:val="0"/>
        <w:spacing w:line="312" w:lineRule="auto"/>
      </w:pPr>
      <w:r>
        <w:t>用于安装储能电池</w:t>
      </w:r>
      <w:r>
        <w:rPr>
          <w:rFonts w:hint="eastAsia"/>
          <w:lang w:val="en-US" w:eastAsia="zh-CN"/>
        </w:rPr>
        <w:t>系统</w:t>
      </w:r>
      <w:r>
        <w:rPr>
          <w:rFonts w:hint="eastAsia"/>
          <w:lang w:eastAsia="zh-CN"/>
        </w:rPr>
        <w:t>，</w:t>
      </w:r>
      <w:r>
        <w:rPr>
          <w:rFonts w:hint="eastAsia"/>
          <w:lang w:val="en-US" w:eastAsia="zh-CN"/>
        </w:rPr>
        <w:t>便于</w:t>
      </w:r>
      <w:r>
        <w:t>在工厂</w:t>
      </w:r>
      <w:r>
        <w:rPr>
          <w:rFonts w:hint="eastAsia"/>
          <w:lang w:val="en-US" w:eastAsia="zh-CN"/>
        </w:rPr>
        <w:t>进行组装、运输和现场进行快速</w:t>
      </w:r>
      <w:r>
        <w:t>安装</w:t>
      </w:r>
      <w:r>
        <w:rPr>
          <w:rFonts w:hint="eastAsia"/>
          <w:lang w:eastAsia="zh-CN"/>
        </w:rPr>
        <w:t>的</w:t>
      </w:r>
      <w:r>
        <w:t>舱</w:t>
      </w:r>
      <w:r>
        <w:rPr>
          <w:rFonts w:hint="eastAsia"/>
          <w:lang w:eastAsia="zh-CN"/>
        </w:rPr>
        <w:t>（柜）</w:t>
      </w:r>
      <w:r>
        <w:t>体，由箱体、支架、</w:t>
      </w:r>
      <w:r>
        <w:rPr>
          <w:rFonts w:hint="eastAsia"/>
          <w:lang w:val="en-US" w:eastAsia="zh-CN"/>
        </w:rPr>
        <w:t>温度控制</w:t>
      </w:r>
      <w:r>
        <w:t>和通风等辅助设施组成</w:t>
      </w:r>
      <w:r>
        <w:rPr>
          <w:rFonts w:hint="eastAsia"/>
          <w:lang w:eastAsia="zh-CN"/>
        </w:rPr>
        <w:t>。</w:t>
      </w:r>
    </w:p>
    <w:p>
      <w:pPr>
        <w:pStyle w:val="323"/>
        <w:bidi w:val="0"/>
        <w:spacing w:line="312" w:lineRule="auto"/>
      </w:pPr>
      <w:bookmarkStart w:id="41" w:name="_Toc21417"/>
      <w:bookmarkEnd w:id="41"/>
      <w:bookmarkStart w:id="42" w:name="_Toc24229"/>
      <w:bookmarkEnd w:id="42"/>
      <w:bookmarkStart w:id="43" w:name="_Toc14185"/>
      <w:bookmarkEnd w:id="43"/>
      <w:bookmarkStart w:id="44" w:name="_Toc21100"/>
      <w:bookmarkEnd w:id="44"/>
      <w:bookmarkStart w:id="45" w:name="_Toc31660"/>
      <w:bookmarkEnd w:id="45"/>
      <w:bookmarkStart w:id="46" w:name="_Toc30175"/>
      <w:bookmarkEnd w:id="46"/>
      <w:bookmarkStart w:id="47" w:name="_Toc13081"/>
      <w:bookmarkEnd w:id="47"/>
      <w:bookmarkStart w:id="48" w:name="_Toc27327"/>
      <w:bookmarkEnd w:id="48"/>
      <w:bookmarkStart w:id="49" w:name="_Toc22486"/>
      <w:bookmarkEnd w:id="49"/>
      <w:bookmarkStart w:id="50" w:name="_Toc30903"/>
      <w:bookmarkStart w:id="51" w:name="_Toc27640"/>
      <w:bookmarkStart w:id="52" w:name="_Toc2696"/>
      <w:bookmarkStart w:id="53" w:name="_Toc14904"/>
      <w:bookmarkStart w:id="54" w:name="_Toc29446"/>
      <w:bookmarkStart w:id="55" w:name="_Toc31422"/>
      <w:bookmarkStart w:id="56" w:name="_Toc11385"/>
      <w:bookmarkStart w:id="57" w:name="_Toc15092"/>
      <w:bookmarkStart w:id="58" w:name="_Toc20363"/>
      <w:r>
        <w:rPr>
          <w:rFonts w:hint="eastAsia"/>
          <w:lang w:eastAsia="zh-CN"/>
        </w:rPr>
        <w:br w:type="textWrapping"/>
      </w:r>
      <w:r>
        <w:rPr>
          <w:rFonts w:hint="eastAsia"/>
          <w:lang w:eastAsia="zh-CN"/>
        </w:rPr>
        <w:t xml:space="preserve">    </w:t>
      </w:r>
      <w:r>
        <w:t>预制舱式磷酸铁锂电池储能电站</w:t>
      </w:r>
      <w:r>
        <w:rPr>
          <w:rFonts w:hint="eastAsia"/>
        </w:rPr>
        <w:t xml:space="preserve"> lithium iron phosphate battery energy storage power station based on prefabricated cabin</w:t>
      </w:r>
      <w:bookmarkEnd w:id="50"/>
      <w:bookmarkEnd w:id="51"/>
      <w:bookmarkEnd w:id="52"/>
      <w:bookmarkEnd w:id="53"/>
      <w:bookmarkEnd w:id="54"/>
      <w:bookmarkEnd w:id="55"/>
      <w:bookmarkEnd w:id="56"/>
      <w:bookmarkEnd w:id="57"/>
      <w:bookmarkEnd w:id="58"/>
    </w:p>
    <w:p>
      <w:pPr>
        <w:pStyle w:val="258"/>
        <w:bidi w:val="0"/>
        <w:spacing w:line="312" w:lineRule="auto"/>
        <w:rPr>
          <w:rFonts w:hint="eastAsia"/>
          <w:lang w:eastAsia="zh-CN"/>
        </w:rPr>
      </w:pPr>
      <w:r>
        <w:rPr>
          <w:lang w:val="en-US" w:eastAsia="zh-CN"/>
        </w:rPr>
        <w:t>以电池预制舱、磷酸铁锂电池、电池管理系统及其相连的</w:t>
      </w:r>
      <w:r>
        <w:rPr>
          <w:rFonts w:hint="eastAsia"/>
          <w:lang w:val="en-US" w:eastAsia="zh-CN"/>
        </w:rPr>
        <w:t>储能变流器</w:t>
      </w:r>
      <w:r>
        <w:rPr>
          <w:lang w:val="en-US" w:eastAsia="zh-CN"/>
        </w:rPr>
        <w:t>作为基本储能单元的电化学储能</w:t>
      </w:r>
      <w:r>
        <w:rPr>
          <w:rFonts w:hint="eastAsia"/>
          <w:lang w:val="en-US" w:eastAsia="zh-CN"/>
        </w:rPr>
        <w:t>系统</w:t>
      </w:r>
      <w:r>
        <w:rPr>
          <w:lang w:val="en-US" w:eastAsia="zh-CN"/>
        </w:rPr>
        <w:t>。</w:t>
      </w:r>
    </w:p>
    <w:p>
      <w:pPr>
        <w:pStyle w:val="323"/>
        <w:bidi w:val="0"/>
        <w:spacing w:line="312" w:lineRule="auto"/>
      </w:pPr>
      <w:r>
        <w:rPr>
          <w:rFonts w:hint="eastAsia" w:ascii="黑体" w:hAnsi="Times New Roman" w:eastAsia="黑体" w:cs="Times New Roman"/>
          <w:sz w:val="21"/>
          <w:szCs w:val="21"/>
          <w:lang w:val="en-US" w:eastAsia="zh-CN" w:bidi="ar-SA"/>
        </w:rPr>
        <w:t xml:space="preserve"> </w:t>
      </w:r>
      <w:r>
        <w:rPr>
          <w:rFonts w:hint="eastAsia"/>
          <w:lang w:eastAsia="zh-CN"/>
        </w:rPr>
        <w:br w:type="textWrapping"/>
      </w:r>
      <w:r>
        <w:rPr>
          <w:rFonts w:hint="eastAsia"/>
          <w:lang w:eastAsia="zh-CN"/>
        </w:rPr>
        <w:t xml:space="preserve">    </w:t>
      </w:r>
      <w:r>
        <w:rPr>
          <w:rFonts w:hint="eastAsia" w:ascii="黑体" w:hAnsi="Times New Roman" w:eastAsia="黑体" w:cs="Times New Roman"/>
          <w:sz w:val="21"/>
          <w:szCs w:val="21"/>
          <w:lang w:val="en-US" w:eastAsia="zh-CN" w:bidi="ar-SA"/>
        </w:rPr>
        <w:t>梯次利用动力电池</w:t>
      </w:r>
      <w:r>
        <w:t xml:space="preserve">  </w:t>
      </w:r>
      <w:r>
        <w:rPr>
          <w:rFonts w:hint="eastAsia"/>
          <w:lang w:val="en-US" w:eastAsia="zh-CN"/>
        </w:rPr>
        <w:t>echelon utilization power battery</w:t>
      </w:r>
    </w:p>
    <w:p>
      <w:pPr>
        <w:pStyle w:val="258"/>
        <w:bidi w:val="0"/>
        <w:spacing w:line="312" w:lineRule="auto"/>
        <w:rPr>
          <w:rFonts w:hint="eastAsia"/>
          <w:lang w:val="en-US" w:eastAsia="zh-CN"/>
        </w:rPr>
      </w:pPr>
      <w:r>
        <w:rPr>
          <w:rFonts w:hint="eastAsia"/>
          <w:lang w:val="en-US" w:eastAsia="zh-CN"/>
        </w:rPr>
        <w:t>车用动力磷酸铁锂电池退役后，整体或经拆解、分类、检测、重组与装配工艺，以电池模块的形式再次应用到储能等领域的电池。</w:t>
      </w:r>
    </w:p>
    <w:p>
      <w:pPr>
        <w:pStyle w:val="323"/>
        <w:bidi w:val="0"/>
        <w:spacing w:line="312" w:lineRule="auto"/>
      </w:pPr>
      <w:r>
        <w:rPr>
          <w:rFonts w:hint="eastAsia" w:ascii="黑体" w:hAnsi="Times New Roman" w:eastAsia="黑体" w:cs="Times New Roman"/>
          <w:sz w:val="21"/>
          <w:szCs w:val="21"/>
          <w:lang w:val="en-US" w:eastAsia="zh-CN" w:bidi="ar-SA"/>
        </w:rPr>
        <w:t xml:space="preserve"> </w:t>
      </w:r>
      <w:r>
        <w:rPr>
          <w:rFonts w:hint="eastAsia"/>
          <w:lang w:eastAsia="zh-CN"/>
        </w:rPr>
        <w:br w:type="textWrapping"/>
      </w:r>
      <w:r>
        <w:rPr>
          <w:rFonts w:hint="eastAsia"/>
          <w:lang w:eastAsia="zh-CN"/>
        </w:rPr>
        <w:t xml:space="preserve">    </w:t>
      </w:r>
      <w:r>
        <w:rPr>
          <w:rFonts w:hint="eastAsia"/>
          <w:lang w:val="en-US" w:eastAsia="zh-CN"/>
        </w:rPr>
        <w:t>防火单元</w:t>
      </w:r>
      <w:r>
        <w:t xml:space="preserve">  </w:t>
      </w:r>
      <w:r>
        <w:rPr>
          <w:rFonts w:hint="eastAsia"/>
          <w:lang w:val="en-US" w:eastAsia="zh-CN"/>
        </w:rPr>
        <w:t>f</w:t>
      </w:r>
      <w:r>
        <w:rPr>
          <w:rFonts w:hint="eastAsia"/>
        </w:rPr>
        <w:t>ire protection unit</w:t>
      </w:r>
    </w:p>
    <w:p>
      <w:pPr>
        <w:pStyle w:val="258"/>
        <w:bidi w:val="0"/>
        <w:spacing w:line="312" w:lineRule="auto"/>
        <w:rPr>
          <w:rFonts w:hint="eastAsia"/>
          <w:lang w:val="en-US" w:eastAsia="zh-CN"/>
        </w:rPr>
      </w:pPr>
      <w:r>
        <w:rPr>
          <w:rFonts w:hint="eastAsia"/>
          <w:lang w:val="en-US" w:eastAsia="zh-CN"/>
        </w:rPr>
        <w:t>通过防火间距、防火隔墙、水幕及其他防火分隔措施进行分隔，能在一定时间内延缓火灾向相邻区域蔓延的局部空间。</w:t>
      </w:r>
    </w:p>
    <w:p>
      <w:pPr>
        <w:pStyle w:val="259"/>
        <w:bidi w:val="0"/>
        <w:spacing w:line="312" w:lineRule="auto"/>
      </w:pPr>
      <w:bookmarkStart w:id="59" w:name="_Toc6311"/>
      <w:bookmarkStart w:id="60" w:name="_Toc32363"/>
      <w:bookmarkStart w:id="61" w:name="_Toc32485"/>
      <w:bookmarkStart w:id="62" w:name="_Toc14810"/>
      <w:bookmarkStart w:id="63" w:name="_Toc26896"/>
      <w:bookmarkStart w:id="64" w:name="_Toc8370"/>
      <w:bookmarkStart w:id="65" w:name="_Toc27153"/>
      <w:bookmarkStart w:id="66" w:name="_Toc4566"/>
      <w:bookmarkStart w:id="67" w:name="_Toc25700"/>
      <w:bookmarkStart w:id="68" w:name="_Toc14699"/>
      <w:bookmarkStart w:id="69" w:name="_Toc3686"/>
      <w:bookmarkStart w:id="70" w:name="_Toc30679"/>
      <w:bookmarkStart w:id="71" w:name="_Toc27333"/>
      <w:bookmarkStart w:id="72" w:name="_Toc10649"/>
      <w:bookmarkStart w:id="73" w:name="_Toc7014"/>
      <w:bookmarkStart w:id="74" w:name="_Toc520903454"/>
      <w:bookmarkStart w:id="75" w:name="_Toc10538"/>
      <w:bookmarkStart w:id="76" w:name="_Toc4267"/>
      <w:bookmarkStart w:id="77" w:name="_Toc31930"/>
      <w:bookmarkStart w:id="78" w:name="_Toc25202"/>
      <w:bookmarkStart w:id="79" w:name="_Toc899"/>
      <w:bookmarkStart w:id="80" w:name="_Toc26449"/>
      <w:bookmarkStart w:id="81" w:name="_Toc23505"/>
      <w:bookmarkStart w:id="82" w:name="_Toc19154"/>
      <w:r>
        <w:rPr>
          <w:rFonts w:hint="eastAsia"/>
          <w:lang w:val="en-US" w:eastAsia="zh-CN"/>
        </w:rPr>
        <w:t>总体要求</w:t>
      </w:r>
    </w:p>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Pr>
        <w:pStyle w:val="260"/>
        <w:bidi w:val="0"/>
        <w:spacing w:line="312" w:lineRule="auto"/>
        <w:rPr>
          <w:rFonts w:hint="eastAsia" w:asciiTheme="minorEastAsia" w:hAnsiTheme="minorEastAsia" w:eastAsiaTheme="minorEastAsia" w:cstheme="minorEastAsia"/>
        </w:rPr>
      </w:pPr>
      <w:bookmarkStart w:id="83" w:name="_Toc25747"/>
      <w:bookmarkStart w:id="84" w:name="_Toc7765"/>
      <w:bookmarkStart w:id="85" w:name="_Toc32343"/>
      <w:bookmarkStart w:id="86" w:name="_Toc11696"/>
      <w:r>
        <w:rPr>
          <w:rFonts w:hint="eastAsia" w:asciiTheme="minorEastAsia" w:hAnsiTheme="minorEastAsia" w:eastAsiaTheme="minorEastAsia" w:cstheme="minorEastAsia"/>
        </w:rPr>
        <w:t>储能电站防火设计应遵循</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预防为主、防消结合</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的方针，针对</w:t>
      </w:r>
      <w:r>
        <w:rPr>
          <w:rFonts w:hint="eastAsia" w:asciiTheme="minorEastAsia" w:hAnsiTheme="minorEastAsia" w:eastAsiaTheme="minorEastAsia" w:cstheme="minorEastAsia"/>
          <w:lang w:val="en-US" w:eastAsia="zh-CN"/>
        </w:rPr>
        <w:t>储能</w:t>
      </w:r>
      <w:r>
        <w:rPr>
          <w:rFonts w:hint="eastAsia" w:asciiTheme="minorEastAsia" w:hAnsiTheme="minorEastAsia" w:eastAsiaTheme="minorEastAsia" w:cstheme="minorEastAsia"/>
        </w:rPr>
        <w:t>电站火灾特点，从全局出发，统筹兼顾，做到</w:t>
      </w:r>
      <w:r>
        <w:rPr>
          <w:rFonts w:hint="eastAsia" w:asciiTheme="minorEastAsia" w:hAnsiTheme="minorEastAsia" w:eastAsiaTheme="minorEastAsia" w:cstheme="minorEastAsia"/>
          <w:lang w:val="en-US" w:eastAsia="zh-CN"/>
        </w:rPr>
        <w:t>合规有效</w:t>
      </w:r>
      <w:r>
        <w:rPr>
          <w:rFonts w:hint="eastAsia" w:asciiTheme="minorEastAsia" w:hAnsiTheme="minorEastAsia" w:eastAsiaTheme="minorEastAsia" w:cstheme="minorEastAsia"/>
        </w:rPr>
        <w:t>、技术先进、经济合理。</w:t>
      </w:r>
      <w:bookmarkEnd w:id="83"/>
      <w:bookmarkEnd w:id="84"/>
    </w:p>
    <w:p>
      <w:pPr>
        <w:pStyle w:val="260"/>
        <w:bidi w:val="0"/>
        <w:spacing w:line="312"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储能电站</w:t>
      </w:r>
      <w:r>
        <w:rPr>
          <w:rFonts w:hint="eastAsia" w:asciiTheme="minorEastAsia" w:hAnsiTheme="minorEastAsia" w:eastAsiaTheme="minorEastAsia" w:cstheme="minorEastAsia"/>
          <w:lang w:val="en-US" w:eastAsia="zh-CN"/>
        </w:rPr>
        <w:t>消防</w:t>
      </w:r>
      <w:r>
        <w:rPr>
          <w:rFonts w:hint="eastAsia" w:asciiTheme="minorEastAsia" w:hAnsiTheme="minorEastAsia" w:eastAsiaTheme="minorEastAsia" w:cstheme="minorEastAsia"/>
        </w:rPr>
        <w:t>设施应能满足事故处置需求，</w:t>
      </w:r>
      <w:r>
        <w:rPr>
          <w:rFonts w:hint="eastAsia" w:asciiTheme="minorEastAsia" w:hAnsiTheme="minorEastAsia" w:eastAsiaTheme="minorEastAsia" w:cstheme="minorEastAsia"/>
          <w:lang w:val="en-US" w:eastAsia="zh-CN"/>
        </w:rPr>
        <w:t>应</w:t>
      </w:r>
      <w:r>
        <w:rPr>
          <w:rFonts w:hint="eastAsia" w:asciiTheme="minorEastAsia" w:hAnsiTheme="minorEastAsia" w:eastAsiaTheme="minorEastAsia" w:cstheme="minorEastAsia"/>
        </w:rPr>
        <w:t>根据</w:t>
      </w:r>
      <w:r>
        <w:rPr>
          <w:rFonts w:hint="eastAsia" w:asciiTheme="minorEastAsia" w:hAnsiTheme="minorEastAsia" w:eastAsiaTheme="minorEastAsia" w:cstheme="minorEastAsia"/>
          <w:lang w:val="en-US" w:eastAsia="zh-CN"/>
        </w:rPr>
        <w:t>电站规模</w:t>
      </w:r>
      <w:r>
        <w:rPr>
          <w:rFonts w:hint="eastAsia" w:asciiTheme="minorEastAsia" w:hAnsiTheme="minorEastAsia" w:eastAsiaTheme="minorEastAsia" w:cstheme="minorEastAsia"/>
        </w:rPr>
        <w:t>等因素，合理评估设置灭火冷却系统、事故通风排烟和自动报警、可燃气体探测报警等系统，保证持续控火、降温、排烟，防止电池复燃和易燃易爆气体聚集发生爆炸事故。</w:t>
      </w:r>
    </w:p>
    <w:bookmarkEnd w:id="85"/>
    <w:bookmarkEnd w:id="86"/>
    <w:p>
      <w:pPr>
        <w:pStyle w:val="260"/>
        <w:bidi w:val="0"/>
        <w:spacing w:line="312" w:lineRule="auto"/>
        <w:rPr>
          <w:rFonts w:hint="eastAsia" w:asciiTheme="minorEastAsia" w:hAnsiTheme="minorEastAsia" w:eastAsiaTheme="minorEastAsia" w:cstheme="minorEastAsia"/>
        </w:rPr>
      </w:pPr>
      <w:bookmarkStart w:id="87" w:name="_Toc18049"/>
      <w:bookmarkStart w:id="88" w:name="_Toc22569"/>
      <w:bookmarkStart w:id="89" w:name="_Toc24183"/>
      <w:bookmarkStart w:id="90" w:name="_Toc22305"/>
      <w:r>
        <w:rPr>
          <w:rFonts w:hint="eastAsia" w:asciiTheme="minorEastAsia" w:hAnsiTheme="minorEastAsia" w:eastAsiaTheme="minorEastAsia" w:cstheme="minorEastAsia"/>
        </w:rPr>
        <w:t>储能电站按照</w:t>
      </w:r>
      <w:r>
        <w:rPr>
          <w:rFonts w:hint="eastAsia" w:asciiTheme="minorEastAsia" w:hAnsiTheme="minorEastAsia" w:eastAsiaTheme="minorEastAsia" w:cstheme="minorEastAsia"/>
          <w:lang w:val="en-US" w:eastAsia="zh-CN"/>
        </w:rPr>
        <w:t>功率、容量的不同</w:t>
      </w:r>
      <w:r>
        <w:rPr>
          <w:rFonts w:hint="eastAsia" w:asciiTheme="minorEastAsia" w:hAnsiTheme="minorEastAsia" w:eastAsiaTheme="minorEastAsia" w:cstheme="minorEastAsia"/>
        </w:rPr>
        <w:t>可分为大型、中型和小型</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划分标准</w:t>
      </w:r>
      <w:r>
        <w:rPr>
          <w:rFonts w:hint="eastAsia" w:asciiTheme="minorEastAsia" w:hAnsiTheme="minorEastAsia" w:eastAsiaTheme="minorEastAsia" w:cstheme="minorEastAsia"/>
          <w:lang w:eastAsia="zh-CN"/>
        </w:rPr>
        <w:t>应</w:t>
      </w:r>
      <w:r>
        <w:rPr>
          <w:rFonts w:hint="eastAsia" w:asciiTheme="minorEastAsia" w:hAnsiTheme="minorEastAsia" w:eastAsiaTheme="minorEastAsia" w:cstheme="minorEastAsia"/>
          <w:lang w:val="en-US" w:eastAsia="zh-CN"/>
        </w:rPr>
        <w:t>符合GB 51048的规定。</w:t>
      </w:r>
      <w:bookmarkEnd w:id="87"/>
      <w:bookmarkEnd w:id="88"/>
      <w:bookmarkEnd w:id="89"/>
      <w:bookmarkEnd w:id="90"/>
    </w:p>
    <w:p>
      <w:pPr>
        <w:pStyle w:val="260"/>
        <w:bidi w:val="0"/>
        <w:spacing w:line="312" w:lineRule="auto"/>
        <w:rPr>
          <w:rFonts w:hint="eastAsia" w:asciiTheme="minorEastAsia" w:hAnsiTheme="minorEastAsia" w:eastAsiaTheme="minorEastAsia" w:cstheme="minorEastAsia"/>
        </w:rPr>
      </w:pPr>
      <w:bookmarkStart w:id="91" w:name="_Toc12528"/>
      <w:bookmarkStart w:id="92" w:name="_Toc16789"/>
      <w:bookmarkStart w:id="93" w:name="_Toc31925"/>
      <w:bookmarkStart w:id="94" w:name="_Toc9751"/>
      <w:r>
        <w:rPr>
          <w:rFonts w:hint="eastAsia" w:asciiTheme="minorEastAsia" w:hAnsiTheme="minorEastAsia" w:eastAsiaTheme="minorEastAsia" w:cstheme="minorEastAsia"/>
        </w:rPr>
        <w:t>除电气安全风险外，储能</w:t>
      </w:r>
      <w:r>
        <w:rPr>
          <w:rFonts w:hint="eastAsia" w:asciiTheme="minorEastAsia" w:hAnsiTheme="minorEastAsia" w:eastAsiaTheme="minorEastAsia" w:cstheme="minorEastAsia"/>
          <w:lang w:val="en-US" w:eastAsia="zh-CN"/>
        </w:rPr>
        <w:t>电站</w:t>
      </w:r>
      <w:r>
        <w:rPr>
          <w:rFonts w:hint="eastAsia" w:asciiTheme="minorEastAsia" w:hAnsiTheme="minorEastAsia" w:eastAsiaTheme="minorEastAsia" w:cstheme="minorEastAsia"/>
        </w:rPr>
        <w:t>应充分考虑</w:t>
      </w:r>
      <w:r>
        <w:rPr>
          <w:rFonts w:hint="eastAsia" w:asciiTheme="minorEastAsia" w:hAnsiTheme="minorEastAsia" w:eastAsiaTheme="minorEastAsia" w:cstheme="minorEastAsia"/>
          <w:lang w:val="en-US" w:eastAsia="zh-CN"/>
        </w:rPr>
        <w:t>以下</w:t>
      </w:r>
      <w:r>
        <w:rPr>
          <w:rFonts w:hint="eastAsia" w:asciiTheme="minorEastAsia" w:hAnsiTheme="minorEastAsia" w:eastAsiaTheme="minorEastAsia" w:cstheme="minorEastAsia"/>
        </w:rPr>
        <w:t>安全风险</w:t>
      </w:r>
      <w:r>
        <w:rPr>
          <w:rFonts w:hint="eastAsia" w:asciiTheme="minorEastAsia" w:hAnsiTheme="minorEastAsia" w:eastAsiaTheme="minorEastAsia" w:cstheme="minorEastAsia"/>
          <w:lang w:eastAsia="zh-CN"/>
        </w:rPr>
        <w:t>：</w:t>
      </w:r>
      <w:bookmarkEnd w:id="91"/>
      <w:bookmarkEnd w:id="92"/>
      <w:bookmarkEnd w:id="93"/>
      <w:bookmarkEnd w:id="94"/>
    </w:p>
    <w:p>
      <w:pPr>
        <w:pStyle w:val="305"/>
        <w:bidi w:val="0"/>
        <w:spacing w:line="312" w:lineRule="auto"/>
        <w:ind w:left="839" w:leftChars="0" w:hanging="419" w:firstLineChars="0"/>
        <w:rPr>
          <w:rFonts w:hint="default"/>
          <w:highlight w:val="none"/>
          <w:lang w:val="en-US" w:eastAsia="zh-CN"/>
        </w:rPr>
      </w:pPr>
      <w:r>
        <w:rPr>
          <w:rFonts w:hint="default"/>
          <w:highlight w:val="none"/>
          <w:lang w:val="en-US" w:eastAsia="zh-CN"/>
        </w:rPr>
        <w:t>电解液可燃、有毒，具有挥发性</w:t>
      </w:r>
      <w:r>
        <w:rPr>
          <w:rFonts w:hint="eastAsia"/>
          <w:highlight w:val="none"/>
          <w:lang w:val="en-US" w:eastAsia="zh-CN"/>
        </w:rPr>
        <w:t>；</w:t>
      </w:r>
    </w:p>
    <w:p>
      <w:pPr>
        <w:pStyle w:val="305"/>
        <w:bidi w:val="0"/>
        <w:spacing w:line="312" w:lineRule="auto"/>
        <w:ind w:left="839" w:leftChars="0" w:hanging="419" w:firstLineChars="0"/>
        <w:rPr>
          <w:rFonts w:hint="default"/>
          <w:highlight w:val="none"/>
          <w:lang w:val="en-US" w:eastAsia="zh-CN"/>
        </w:rPr>
      </w:pPr>
      <w:r>
        <w:rPr>
          <w:rFonts w:hint="default"/>
          <w:highlight w:val="none"/>
          <w:lang w:val="en-US" w:eastAsia="zh-CN"/>
        </w:rPr>
        <w:t>电池热失控会产生H</w:t>
      </w:r>
      <w:r>
        <w:rPr>
          <w:rFonts w:hint="default"/>
          <w:highlight w:val="none"/>
          <w:vertAlign w:val="subscript"/>
          <w:lang w:val="en-US" w:eastAsia="zh-CN"/>
        </w:rPr>
        <w:t>2</w:t>
      </w:r>
      <w:r>
        <w:rPr>
          <w:rFonts w:hint="default"/>
          <w:highlight w:val="none"/>
          <w:lang w:val="en-US" w:eastAsia="zh-CN"/>
        </w:rPr>
        <w:t>、CO、</w:t>
      </w:r>
      <w:r>
        <w:rPr>
          <w:rFonts w:hint="eastAsia"/>
          <w:highlight w:val="none"/>
          <w:lang w:val="en-US" w:eastAsia="zh-CN"/>
        </w:rPr>
        <w:t>CH</w:t>
      </w:r>
      <w:r>
        <w:rPr>
          <w:rFonts w:hint="eastAsia"/>
          <w:highlight w:val="none"/>
          <w:vertAlign w:val="subscript"/>
          <w:lang w:val="en-US" w:eastAsia="zh-CN"/>
        </w:rPr>
        <w:t>4</w:t>
      </w:r>
      <w:r>
        <w:rPr>
          <w:rFonts w:hint="eastAsia"/>
          <w:highlight w:val="none"/>
          <w:lang w:val="en-US" w:eastAsia="zh-CN"/>
        </w:rPr>
        <w:t>、</w:t>
      </w:r>
      <w:r>
        <w:rPr>
          <w:rFonts w:hint="default"/>
          <w:highlight w:val="none"/>
          <w:lang w:val="en-US" w:eastAsia="zh-CN"/>
        </w:rPr>
        <w:t>HF等可燃</w:t>
      </w:r>
      <w:r>
        <w:rPr>
          <w:rFonts w:hint="eastAsia"/>
          <w:highlight w:val="none"/>
          <w:lang w:val="en-US" w:eastAsia="zh-CN"/>
        </w:rPr>
        <w:t>、</w:t>
      </w:r>
      <w:r>
        <w:rPr>
          <w:rFonts w:hint="default"/>
          <w:highlight w:val="none"/>
          <w:lang w:val="en-US" w:eastAsia="zh-CN"/>
        </w:rPr>
        <w:t>有害气体</w:t>
      </w:r>
      <w:r>
        <w:rPr>
          <w:rFonts w:hint="eastAsia"/>
          <w:highlight w:val="none"/>
          <w:lang w:val="en-US" w:eastAsia="zh-CN"/>
        </w:rPr>
        <w:t>；</w:t>
      </w:r>
    </w:p>
    <w:p>
      <w:pPr>
        <w:pStyle w:val="305"/>
        <w:bidi w:val="0"/>
        <w:spacing w:line="312" w:lineRule="auto"/>
        <w:ind w:left="839" w:leftChars="0" w:hanging="419" w:firstLineChars="0"/>
        <w:rPr>
          <w:rFonts w:hint="eastAsia"/>
          <w:highlight w:val="none"/>
          <w:lang w:val="en-US" w:eastAsia="zh-CN"/>
        </w:rPr>
      </w:pPr>
      <w:r>
        <w:rPr>
          <w:rFonts w:hint="default"/>
          <w:highlight w:val="none"/>
          <w:lang w:val="en-US" w:eastAsia="zh-CN"/>
        </w:rPr>
        <w:t>电池热失控产生的可燃</w:t>
      </w:r>
      <w:r>
        <w:rPr>
          <w:rFonts w:hint="eastAsia"/>
          <w:highlight w:val="none"/>
          <w:lang w:val="en-US" w:eastAsia="zh-CN"/>
        </w:rPr>
        <w:t>、有害</w:t>
      </w:r>
      <w:r>
        <w:rPr>
          <w:rFonts w:hint="default"/>
          <w:highlight w:val="none"/>
          <w:lang w:val="en-US" w:eastAsia="zh-CN"/>
        </w:rPr>
        <w:t>气体积聚</w:t>
      </w:r>
      <w:r>
        <w:rPr>
          <w:rFonts w:hint="eastAsia"/>
          <w:highlight w:val="none"/>
          <w:lang w:val="en-US" w:eastAsia="zh-CN"/>
        </w:rPr>
        <w:t>，</w:t>
      </w:r>
      <w:r>
        <w:rPr>
          <w:rFonts w:hint="default"/>
          <w:highlight w:val="none"/>
          <w:lang w:val="en-US" w:eastAsia="zh-CN"/>
        </w:rPr>
        <w:t>存在</w:t>
      </w:r>
      <w:r>
        <w:rPr>
          <w:rFonts w:hint="eastAsia"/>
          <w:highlight w:val="none"/>
          <w:lang w:val="en-US" w:eastAsia="zh-CN"/>
        </w:rPr>
        <w:t>中毒、</w:t>
      </w:r>
      <w:r>
        <w:rPr>
          <w:rFonts w:hint="default"/>
          <w:highlight w:val="none"/>
          <w:lang w:val="en-US" w:eastAsia="zh-CN"/>
        </w:rPr>
        <w:t>火灾</w:t>
      </w:r>
      <w:r>
        <w:rPr>
          <w:rFonts w:hint="eastAsia"/>
          <w:highlight w:val="none"/>
          <w:lang w:val="en-US" w:eastAsia="zh-CN"/>
        </w:rPr>
        <w:t>甚至</w:t>
      </w:r>
      <w:r>
        <w:rPr>
          <w:rFonts w:hint="default"/>
          <w:highlight w:val="none"/>
          <w:lang w:val="en-US" w:eastAsia="zh-CN"/>
        </w:rPr>
        <w:t>爆炸风险</w:t>
      </w:r>
      <w:r>
        <w:rPr>
          <w:rFonts w:hint="eastAsia"/>
          <w:highlight w:val="none"/>
          <w:lang w:val="en-US" w:eastAsia="zh-CN"/>
        </w:rPr>
        <w:t>；</w:t>
      </w:r>
    </w:p>
    <w:p>
      <w:pPr>
        <w:pStyle w:val="305"/>
        <w:bidi w:val="0"/>
        <w:spacing w:line="312" w:lineRule="auto"/>
        <w:ind w:left="839" w:leftChars="0" w:hanging="419" w:firstLineChars="0"/>
        <w:rPr>
          <w:rFonts w:hint="eastAsia"/>
          <w:highlight w:val="none"/>
          <w:lang w:val="en-US" w:eastAsia="zh-CN"/>
        </w:rPr>
      </w:pPr>
      <w:r>
        <w:rPr>
          <w:rFonts w:hint="eastAsia"/>
          <w:highlight w:val="none"/>
          <w:lang w:val="en-US" w:eastAsia="zh-CN"/>
        </w:rPr>
        <w:t>电池明火扑灭后有复燃风险</w:t>
      </w:r>
      <w:r>
        <w:rPr>
          <w:rFonts w:hint="default"/>
          <w:highlight w:val="none"/>
          <w:lang w:val="en-US" w:eastAsia="zh-CN"/>
        </w:rPr>
        <w:t>。</w:t>
      </w:r>
    </w:p>
    <w:p>
      <w:pPr>
        <w:pStyle w:val="260"/>
        <w:bidi w:val="0"/>
        <w:spacing w:line="312" w:lineRule="auto"/>
        <w:rPr>
          <w:rFonts w:hint="eastAsia" w:asciiTheme="minorEastAsia" w:hAnsiTheme="minorEastAsia" w:eastAsiaTheme="minorEastAsia" w:cstheme="minorEastAsia"/>
        </w:rPr>
      </w:pPr>
      <w:bookmarkStart w:id="95" w:name="_Toc29859"/>
      <w:bookmarkStart w:id="96" w:name="_Toc27410"/>
      <w:bookmarkStart w:id="97" w:name="_Toc29167"/>
      <w:bookmarkStart w:id="98" w:name="_Toc12723"/>
      <w:r>
        <w:rPr>
          <w:rFonts w:hint="eastAsia" w:asciiTheme="minorEastAsia" w:hAnsiTheme="minorEastAsia" w:eastAsiaTheme="minorEastAsia" w:cstheme="minorEastAsia"/>
        </w:rPr>
        <w:t>储能电站同一时间内的火灾起数宜按1起确定。</w:t>
      </w:r>
      <w:bookmarkEnd w:id="95"/>
      <w:bookmarkEnd w:id="96"/>
      <w:bookmarkEnd w:id="97"/>
      <w:bookmarkEnd w:id="98"/>
    </w:p>
    <w:p>
      <w:pPr>
        <w:pStyle w:val="260"/>
        <w:bidi w:val="0"/>
        <w:spacing w:line="312" w:lineRule="auto"/>
        <w:rPr>
          <w:rFonts w:hint="eastAsia" w:asciiTheme="minorEastAsia" w:hAnsiTheme="minorEastAsia" w:eastAsiaTheme="minorEastAsia" w:cstheme="minorEastAsia"/>
        </w:rPr>
      </w:pPr>
      <w:bookmarkStart w:id="99" w:name="_Toc22107"/>
      <w:bookmarkStart w:id="100" w:name="_Toc12650"/>
      <w:bookmarkStart w:id="101" w:name="_Toc18892"/>
      <w:bookmarkStart w:id="102" w:name="_Toc1875"/>
      <w:r>
        <w:rPr>
          <w:rFonts w:hint="eastAsia" w:asciiTheme="minorEastAsia" w:hAnsiTheme="minorEastAsia" w:eastAsiaTheme="minorEastAsia" w:cstheme="minorEastAsia"/>
        </w:rPr>
        <w:t>储能电站</w:t>
      </w:r>
      <w:r>
        <w:rPr>
          <w:rFonts w:hint="eastAsia" w:asciiTheme="minorEastAsia" w:hAnsiTheme="minorEastAsia" w:eastAsiaTheme="minorEastAsia" w:cstheme="minorEastAsia"/>
          <w:lang w:val="en-US" w:eastAsia="zh-CN"/>
        </w:rPr>
        <w:t>建设和运维</w:t>
      </w:r>
      <w:r>
        <w:rPr>
          <w:rFonts w:hint="eastAsia" w:asciiTheme="minorEastAsia" w:hAnsiTheme="minorEastAsia" w:eastAsiaTheme="minorEastAsia" w:cstheme="minorEastAsia"/>
        </w:rPr>
        <w:t>除应符合本文件的规定外，还应符合国家和行业现行有关标准的规定。</w:t>
      </w:r>
      <w:bookmarkEnd w:id="99"/>
      <w:bookmarkEnd w:id="100"/>
      <w:bookmarkEnd w:id="101"/>
      <w:bookmarkEnd w:id="102"/>
    </w:p>
    <w:p>
      <w:pPr>
        <w:pStyle w:val="259"/>
        <w:bidi w:val="0"/>
        <w:spacing w:line="312" w:lineRule="auto"/>
        <w:outlineLvl w:val="2"/>
        <w:rPr>
          <w:rFonts w:hint="eastAsia"/>
          <w:highlight w:val="none"/>
        </w:rPr>
      </w:pPr>
      <w:bookmarkStart w:id="103" w:name="_Toc18323"/>
      <w:bookmarkStart w:id="104" w:name="_Toc456"/>
      <w:bookmarkStart w:id="105" w:name="_Toc13938"/>
      <w:bookmarkStart w:id="106" w:name="_Toc12096"/>
      <w:bookmarkStart w:id="107" w:name="_Toc7161"/>
      <w:bookmarkStart w:id="108" w:name="_Toc17043"/>
      <w:bookmarkStart w:id="109" w:name="_Toc25961"/>
      <w:bookmarkStart w:id="110" w:name="_Toc24462"/>
      <w:bookmarkStart w:id="111" w:name="_Toc7466"/>
      <w:bookmarkStart w:id="112" w:name="_Toc10766"/>
      <w:r>
        <w:rPr>
          <w:rFonts w:hint="eastAsia"/>
          <w:lang w:val="en-US" w:eastAsia="zh-CN"/>
        </w:rPr>
        <w:t>储能设备</w:t>
      </w:r>
    </w:p>
    <w:p>
      <w:pPr>
        <w:pStyle w:val="260"/>
        <w:bidi w:val="0"/>
        <w:spacing w:line="312" w:lineRule="auto"/>
        <w:outlineLvl w:val="2"/>
        <w:rPr>
          <w:highlight w:val="none"/>
        </w:rPr>
      </w:pPr>
      <w:bookmarkStart w:id="113" w:name="_Toc23335"/>
      <w:bookmarkStart w:id="114" w:name="_Toc27029"/>
      <w:bookmarkStart w:id="115" w:name="_Toc6721"/>
      <w:bookmarkStart w:id="116" w:name="_Toc9174"/>
      <w:r>
        <w:rPr>
          <w:highlight w:val="none"/>
        </w:rPr>
        <w:t>磷酸铁锂电池</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pPr>
        <w:pStyle w:val="326"/>
        <w:bidi w:val="0"/>
        <w:spacing w:line="312" w:lineRule="auto"/>
        <w:rPr>
          <w:rFonts w:hint="eastAsia"/>
        </w:rPr>
      </w:pPr>
      <w:r>
        <w:t>磷酸铁锂电池单体、模块、簇的安全性能应符合GB/T 36276的规定</w:t>
      </w:r>
      <w:r>
        <w:rPr>
          <w:rFonts w:hint="eastAsia"/>
          <w:lang w:eastAsia="zh-CN"/>
        </w:rPr>
        <w:t>，</w:t>
      </w:r>
      <w:r>
        <w:rPr>
          <w:rFonts w:hint="eastAsia"/>
          <w:lang w:val="en-US" w:eastAsia="zh-CN"/>
        </w:rPr>
        <w:t>并</w:t>
      </w:r>
      <w:r>
        <w:t>应通过</w:t>
      </w:r>
      <w:r>
        <w:rPr>
          <w:rFonts w:hint="eastAsia"/>
        </w:rPr>
        <w:t>具有法定资质的</w:t>
      </w:r>
      <w:r>
        <w:t>检测机构检验合格</w:t>
      </w:r>
      <w:r>
        <w:rPr>
          <w:rFonts w:hint="eastAsia"/>
        </w:rPr>
        <w:t>，</w:t>
      </w:r>
      <w:r>
        <w:t>取得型式检验报告。</w:t>
      </w:r>
    </w:p>
    <w:p>
      <w:pPr>
        <w:pStyle w:val="326"/>
        <w:bidi w:val="0"/>
        <w:spacing w:line="312" w:lineRule="auto"/>
        <w:rPr>
          <w:rFonts w:hint="default"/>
        </w:rPr>
      </w:pPr>
      <w:r>
        <w:rPr>
          <w:rFonts w:hint="default"/>
        </w:rPr>
        <w:t>中大型储能电站应选用技术成熟</w:t>
      </w:r>
      <w:r>
        <w:rPr>
          <w:rFonts w:hint="eastAsia"/>
          <w:lang w:eastAsia="zh-CN"/>
        </w:rPr>
        <w:t>、</w:t>
      </w:r>
      <w:r>
        <w:rPr>
          <w:rFonts w:hint="default"/>
        </w:rPr>
        <w:t>安全性能高的电池，审慎选用梯次利用动力电池。当选用梯次利用动力电池时，应遵循全生命周期理念，进行一致性筛选并结合溯源数据进行安全评估，</w:t>
      </w:r>
      <w:r>
        <w:rPr>
          <w:rFonts w:hint="eastAsia"/>
          <w:lang w:val="en-US" w:eastAsia="zh-CN"/>
        </w:rPr>
        <w:t>满足</w:t>
      </w:r>
      <w:r>
        <w:rPr>
          <w:rFonts w:hint="default"/>
        </w:rPr>
        <w:t>GB/T 36276中关于安全性能的要求；运行中，应实时监测电池性能参数，及时进行一致性管控。</w:t>
      </w:r>
    </w:p>
    <w:p>
      <w:pPr>
        <w:pStyle w:val="326"/>
        <w:bidi w:val="0"/>
        <w:spacing w:line="312" w:lineRule="auto"/>
        <w:rPr>
          <w:highlight w:val="none"/>
        </w:rPr>
      </w:pPr>
      <w:r>
        <w:rPr>
          <w:highlight w:val="none"/>
        </w:rPr>
        <w:t>电池模块结构设计要求：</w:t>
      </w:r>
    </w:p>
    <w:p>
      <w:pPr>
        <w:pStyle w:val="305"/>
        <w:numPr>
          <w:ilvl w:val="0"/>
          <w:numId w:val="30"/>
        </w:numPr>
        <w:bidi w:val="0"/>
        <w:spacing w:line="312" w:lineRule="auto"/>
        <w:ind w:left="839" w:leftChars="0" w:hanging="419" w:firstLineChars="0"/>
        <w:rPr>
          <w:highlight w:val="none"/>
        </w:rPr>
      </w:pPr>
      <w:r>
        <w:rPr>
          <w:highlight w:val="none"/>
        </w:rPr>
        <w:t>电池成组前，应对电池单体进行筛选，确认电压、内阻、自放电、容量等重要参数一致；</w:t>
      </w:r>
    </w:p>
    <w:p>
      <w:pPr>
        <w:pStyle w:val="305"/>
        <w:numPr>
          <w:ilvl w:val="0"/>
          <w:numId w:val="30"/>
        </w:numPr>
        <w:bidi w:val="0"/>
        <w:spacing w:line="312" w:lineRule="auto"/>
        <w:ind w:left="839" w:leftChars="0" w:hanging="419" w:firstLineChars="0"/>
        <w:rPr>
          <w:highlight w:val="none"/>
        </w:rPr>
      </w:pPr>
      <w:r>
        <w:rPr>
          <w:highlight w:val="none"/>
        </w:rPr>
        <w:t>模块中电池单体的连接应减少并联</w:t>
      </w:r>
      <w:r>
        <w:rPr>
          <w:rFonts w:hint="default"/>
          <w:highlight w:val="none"/>
          <w:lang w:eastAsia="zh-CN"/>
        </w:rPr>
        <w:t>，</w:t>
      </w:r>
      <w:r>
        <w:rPr>
          <w:rFonts w:hint="default"/>
          <w:highlight w:val="none"/>
          <w:lang w:val="en-US" w:eastAsia="zh-CN"/>
        </w:rPr>
        <w:t>电池安全阀宜朝上布置</w:t>
      </w:r>
      <w:r>
        <w:rPr>
          <w:rFonts w:hint="default"/>
          <w:highlight w:val="none"/>
        </w:rPr>
        <w:t>；</w:t>
      </w:r>
    </w:p>
    <w:p>
      <w:pPr>
        <w:pStyle w:val="305"/>
        <w:numPr>
          <w:ilvl w:val="0"/>
          <w:numId w:val="30"/>
        </w:numPr>
        <w:bidi w:val="0"/>
        <w:spacing w:line="312" w:lineRule="auto"/>
        <w:ind w:left="839" w:leftChars="0" w:hanging="419" w:firstLineChars="0"/>
        <w:rPr>
          <w:highlight w:val="none"/>
        </w:rPr>
      </w:pPr>
      <w:r>
        <w:rPr>
          <w:rFonts w:hint="eastAsia"/>
          <w:highlight w:val="none"/>
        </w:rPr>
        <w:t>模块端子极性标识应正确、清晰，正负极标志应为“正、负”字样、“＋、－”符号或不同颜色（例如红色和黑色）表示，具备结构性防反接</w:t>
      </w:r>
      <w:r>
        <w:rPr>
          <w:rFonts w:hint="eastAsia"/>
          <w:highlight w:val="none"/>
          <w:lang w:val="en-US" w:eastAsia="zh-CN"/>
        </w:rPr>
        <w:t>和防触电</w:t>
      </w:r>
      <w:r>
        <w:rPr>
          <w:rFonts w:hint="eastAsia"/>
          <w:highlight w:val="none"/>
        </w:rPr>
        <w:t>功能；</w:t>
      </w:r>
    </w:p>
    <w:p>
      <w:pPr>
        <w:pStyle w:val="305"/>
        <w:numPr>
          <w:ilvl w:val="0"/>
          <w:numId w:val="30"/>
        </w:numPr>
        <w:bidi w:val="0"/>
        <w:spacing w:line="312" w:lineRule="auto"/>
        <w:ind w:left="839" w:leftChars="0" w:hanging="419" w:firstLineChars="0"/>
        <w:rPr>
          <w:highlight w:val="none"/>
        </w:rPr>
      </w:pPr>
      <w:r>
        <w:rPr>
          <w:rFonts w:hint="eastAsia"/>
          <w:highlight w:val="none"/>
        </w:rPr>
        <w:t>电池模块外壳</w:t>
      </w:r>
      <w:r>
        <w:rPr>
          <w:rFonts w:hint="eastAsia"/>
          <w:highlight w:val="none"/>
          <w:lang w:val="en-US" w:eastAsia="zh-CN"/>
        </w:rPr>
        <w:t>应设置</w:t>
      </w:r>
      <w:r>
        <w:rPr>
          <w:rFonts w:hint="eastAsia"/>
          <w:highlight w:val="none"/>
        </w:rPr>
        <w:t>排气装置</w:t>
      </w:r>
      <w:r>
        <w:rPr>
          <w:highlight w:val="none"/>
        </w:rPr>
        <w:t>。</w:t>
      </w:r>
    </w:p>
    <w:p>
      <w:pPr>
        <w:pStyle w:val="326"/>
        <w:bidi w:val="0"/>
        <w:spacing w:line="312" w:lineRule="auto"/>
      </w:pPr>
      <w:r>
        <w:rPr>
          <w:rFonts w:hint="eastAsia"/>
        </w:rPr>
        <w:t>储能单元直流回路、电池簇回路应配置直流开断设备</w:t>
      </w:r>
      <w:r>
        <w:t>。</w:t>
      </w:r>
    </w:p>
    <w:p>
      <w:pPr>
        <w:pStyle w:val="326"/>
        <w:bidi w:val="0"/>
        <w:spacing w:line="312" w:lineRule="auto"/>
        <w:rPr>
          <w:highlight w:val="none"/>
        </w:rPr>
      </w:pPr>
      <w:r>
        <w:t>电池单体、电池模块使用塑料作为壳体材料、分隔材料时，</w:t>
      </w:r>
      <w:r>
        <w:rPr>
          <w:rFonts w:hint="eastAsia"/>
        </w:rPr>
        <w:t>燃烧性能等级</w:t>
      </w:r>
      <w:r>
        <w:t>不应低于GB 8624</w:t>
      </w:r>
      <w:r>
        <w:rPr>
          <w:rFonts w:hint="eastAsia" w:ascii="宋体" w:hAnsi="宋体" w:eastAsia="宋体" w:cs="宋体"/>
          <w:kern w:val="0"/>
          <w:szCs w:val="21"/>
          <w:highlight w:val="none"/>
        </w:rPr>
        <w:t>—</w:t>
      </w:r>
      <w:r>
        <w:rPr>
          <w:rFonts w:hint="eastAsia"/>
          <w:lang w:val="en-US" w:eastAsia="zh-CN"/>
        </w:rPr>
        <w:t>2018</w:t>
      </w:r>
      <w:r>
        <w:t>规定的</w:t>
      </w:r>
      <w:r>
        <w:rPr>
          <w:highlight w:val="none"/>
        </w:rPr>
        <w:t>B</w:t>
      </w:r>
      <w:r>
        <w:rPr>
          <w:highlight w:val="none"/>
          <w:vertAlign w:val="subscript"/>
        </w:rPr>
        <w:t>1</w:t>
      </w:r>
      <w:r>
        <w:rPr>
          <w:highlight w:val="none"/>
        </w:rPr>
        <w:t>级</w:t>
      </w:r>
      <w:r>
        <w:rPr>
          <w:rFonts w:hint="eastAsia"/>
          <w:highlight w:val="none"/>
          <w:lang w:val="en-US" w:eastAsia="zh-CN"/>
        </w:rPr>
        <w:t>要求</w:t>
      </w:r>
      <w:r>
        <w:rPr>
          <w:highlight w:val="none"/>
        </w:rPr>
        <w:t>。</w:t>
      </w:r>
      <w:r>
        <w:rPr>
          <w:rFonts w:hint="eastAsia"/>
          <w:highlight w:val="none"/>
          <w:lang w:val="en-US" w:eastAsia="zh-CN"/>
        </w:rPr>
        <w:t>采集、控制线束和动力电缆等部件应采用阻燃材料，电气接口应采用防呆设计，裸露带电部位应采取绝缘遮挡措施。</w:t>
      </w:r>
    </w:p>
    <w:p>
      <w:pPr>
        <w:pStyle w:val="326"/>
        <w:bidi w:val="0"/>
        <w:spacing w:line="312" w:lineRule="auto"/>
        <w:rPr>
          <w:highlight w:val="none"/>
        </w:rPr>
      </w:pPr>
      <w:r>
        <w:rPr>
          <w:rFonts w:hint="eastAsia"/>
          <w:highlight w:val="none"/>
          <w:lang w:val="en-US" w:eastAsia="zh-CN"/>
        </w:rPr>
        <w:t>调频用储能电站电池最大充放电倍率不宜低于1C，热管理系统应便于快速控温、温度一致性偏差不宜超过5℃。</w:t>
      </w:r>
    </w:p>
    <w:p>
      <w:pPr>
        <w:pStyle w:val="326"/>
        <w:bidi w:val="0"/>
        <w:spacing w:line="312" w:lineRule="auto"/>
        <w:rPr>
          <w:highlight w:val="none"/>
        </w:rPr>
      </w:pPr>
      <w:r>
        <w:rPr>
          <w:rFonts w:hint="eastAsia"/>
          <w:highlight w:val="none"/>
          <w:lang w:val="en-US" w:eastAsia="zh-CN"/>
        </w:rPr>
        <w:t>储能电池热管理系统应具备防凝露措施。</w:t>
      </w:r>
    </w:p>
    <w:p>
      <w:pPr>
        <w:pStyle w:val="326"/>
        <w:bidi w:val="0"/>
        <w:spacing w:line="312" w:lineRule="auto"/>
        <w:rPr>
          <w:highlight w:val="none"/>
        </w:rPr>
      </w:pPr>
      <w:r>
        <w:rPr>
          <w:rFonts w:hint="eastAsia"/>
          <w:highlight w:val="none"/>
          <w:lang w:val="en-US" w:eastAsia="zh-CN"/>
        </w:rPr>
        <w:t>储能单元内部的连接电缆（母线）长期允许载流量的计算应符合GB 51048的相关规定。</w:t>
      </w:r>
    </w:p>
    <w:p>
      <w:pPr>
        <w:pStyle w:val="326"/>
        <w:bidi w:val="0"/>
        <w:spacing w:line="312" w:lineRule="auto"/>
        <w:rPr>
          <w:highlight w:val="none"/>
        </w:rPr>
      </w:pPr>
      <w:r>
        <w:rPr>
          <w:rFonts w:hint="eastAsia"/>
          <w:highlight w:val="none"/>
          <w:lang w:val="en-US" w:eastAsia="zh-CN"/>
        </w:rPr>
        <w:t>电池支架机械强度应满足承重要求。</w:t>
      </w:r>
    </w:p>
    <w:p>
      <w:pPr>
        <w:pStyle w:val="260"/>
        <w:bidi w:val="0"/>
        <w:spacing w:line="312" w:lineRule="auto"/>
        <w:outlineLvl w:val="2"/>
      </w:pPr>
      <w:bookmarkStart w:id="117" w:name="_Toc6851"/>
      <w:bookmarkStart w:id="118" w:name="_Toc24752"/>
      <w:bookmarkStart w:id="119" w:name="_Toc20088"/>
      <w:bookmarkStart w:id="120" w:name="_Toc10753"/>
      <w:bookmarkStart w:id="121" w:name="_Toc16963"/>
      <w:bookmarkStart w:id="122" w:name="_Toc27563"/>
      <w:bookmarkStart w:id="123" w:name="_Toc16724"/>
      <w:bookmarkStart w:id="124" w:name="_Toc16835"/>
      <w:bookmarkStart w:id="125" w:name="_Toc2922"/>
      <w:bookmarkStart w:id="126" w:name="_Toc28150"/>
      <w:bookmarkStart w:id="127" w:name="_Toc20078"/>
      <w:bookmarkStart w:id="128" w:name="_Toc4922"/>
      <w:bookmarkStart w:id="129" w:name="_Toc16921"/>
      <w:bookmarkStart w:id="130" w:name="_Toc28795"/>
      <w:r>
        <w:t>电池管理系统</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pPr>
        <w:pStyle w:val="326"/>
        <w:bidi w:val="0"/>
        <w:spacing w:line="312" w:lineRule="auto"/>
      </w:pPr>
      <w:r>
        <w:t>电池管理系统</w:t>
      </w:r>
      <w:r>
        <w:rPr>
          <w:rFonts w:hint="eastAsia"/>
          <w:lang w:val="en-US" w:eastAsia="zh-CN"/>
        </w:rPr>
        <w:t>除</w:t>
      </w:r>
      <w:r>
        <w:t>应</w:t>
      </w:r>
      <w:r>
        <w:rPr>
          <w:rFonts w:hint="eastAsia"/>
        </w:rPr>
        <w:t>符合GB/T 34131的规定</w:t>
      </w:r>
      <w:r>
        <w:rPr>
          <w:rFonts w:hint="default"/>
          <w:lang w:eastAsia="zh-CN"/>
        </w:rPr>
        <w:t>，</w:t>
      </w:r>
      <w:r>
        <w:rPr>
          <w:rFonts w:hint="default"/>
          <w:lang w:val="en-US" w:eastAsia="zh-CN"/>
        </w:rPr>
        <w:t>还应</w:t>
      </w:r>
      <w:r>
        <w:t>符合下列要求：</w:t>
      </w:r>
    </w:p>
    <w:p>
      <w:pPr>
        <w:pStyle w:val="305"/>
        <w:numPr>
          <w:ilvl w:val="0"/>
          <w:numId w:val="31"/>
        </w:numPr>
        <w:bidi w:val="0"/>
        <w:spacing w:line="312" w:lineRule="auto"/>
        <w:ind w:left="839" w:leftChars="0" w:hanging="419" w:firstLineChars="0"/>
        <w:rPr>
          <w:highlight w:val="none"/>
        </w:rPr>
      </w:pPr>
      <w:r>
        <w:rPr>
          <w:highlight w:val="none"/>
        </w:rPr>
        <w:t>具备电池过压、欠压</w:t>
      </w:r>
      <w:r>
        <w:rPr>
          <w:rFonts w:hint="eastAsia"/>
          <w:highlight w:val="none"/>
          <w:lang w:eastAsia="zh-CN"/>
        </w:rPr>
        <w:t>、</w:t>
      </w:r>
      <w:r>
        <w:rPr>
          <w:rFonts w:hint="eastAsia"/>
          <w:highlight w:val="none"/>
          <w:lang w:val="en-US" w:eastAsia="zh-CN"/>
        </w:rPr>
        <w:t>压差</w:t>
      </w:r>
      <w:r>
        <w:rPr>
          <w:highlight w:val="none"/>
        </w:rPr>
        <w:t>、过流、短路等电量保护功能，具备</w:t>
      </w:r>
      <w:r>
        <w:rPr>
          <w:rFonts w:hint="eastAsia"/>
          <w:highlight w:val="none"/>
          <w:lang w:val="en-US" w:eastAsia="zh-CN"/>
        </w:rPr>
        <w:t>温度（</w:t>
      </w:r>
      <w:r>
        <w:rPr>
          <w:highlight w:val="none"/>
        </w:rPr>
        <w:t>过温、</w:t>
      </w:r>
      <w:r>
        <w:rPr>
          <w:rFonts w:hint="eastAsia"/>
          <w:highlight w:val="none"/>
          <w:lang w:val="en-US" w:eastAsia="zh-CN"/>
        </w:rPr>
        <w:t>低温、温差或温升速率）、</w:t>
      </w:r>
      <w:r>
        <w:rPr>
          <w:highlight w:val="none"/>
        </w:rPr>
        <w:t>气</w:t>
      </w:r>
      <w:r>
        <w:rPr>
          <w:szCs w:val="22"/>
          <w:highlight w:val="none"/>
        </w:rPr>
        <w:t>体</w:t>
      </w:r>
      <w:r>
        <w:rPr>
          <w:highlight w:val="none"/>
        </w:rPr>
        <w:t>等非电量保护功能，发出分级告警信号或跳闸指令；</w:t>
      </w:r>
    </w:p>
    <w:p>
      <w:pPr>
        <w:pStyle w:val="305"/>
        <w:numPr>
          <w:ilvl w:val="0"/>
          <w:numId w:val="31"/>
        </w:numPr>
        <w:bidi w:val="0"/>
        <w:spacing w:line="312" w:lineRule="auto"/>
        <w:ind w:left="839" w:leftChars="0" w:hanging="419" w:firstLineChars="0"/>
      </w:pPr>
      <w:r>
        <w:t>具有与气体监测、火灾自动报警系统的联动接口，接收</w:t>
      </w:r>
      <w:r>
        <w:rPr>
          <w:rFonts w:hint="eastAsia"/>
          <w:lang w:val="en-US" w:eastAsia="zh-CN"/>
        </w:rPr>
        <w:t>气体</w:t>
      </w:r>
      <w:r>
        <w:t>预警及火灾</w:t>
      </w:r>
      <w:r>
        <w:rPr>
          <w:rFonts w:hint="eastAsia"/>
          <w:lang w:val="en-US" w:eastAsia="zh-CN"/>
        </w:rPr>
        <w:t>报警</w:t>
      </w:r>
      <w:r>
        <w:t>信号，发出相</w:t>
      </w:r>
      <w:r>
        <w:rPr>
          <w:rFonts w:hint="eastAsia"/>
          <w:lang w:val="en-US" w:eastAsia="zh-CN"/>
        </w:rPr>
        <w:t>应</w:t>
      </w:r>
      <w:r>
        <w:t>联动控制指令；</w:t>
      </w:r>
    </w:p>
    <w:p>
      <w:pPr>
        <w:pStyle w:val="305"/>
        <w:numPr>
          <w:ilvl w:val="0"/>
          <w:numId w:val="31"/>
        </w:numPr>
        <w:bidi w:val="0"/>
        <w:spacing w:line="312" w:lineRule="auto"/>
        <w:ind w:left="839" w:leftChars="0" w:hanging="419" w:firstLineChars="0"/>
        <w:rPr>
          <w:szCs w:val="22"/>
        </w:rPr>
      </w:pPr>
      <w:r>
        <w:rPr>
          <w:szCs w:val="22"/>
        </w:rPr>
        <w:t>电池簇并</w:t>
      </w:r>
      <w:r>
        <w:rPr>
          <w:rFonts w:hint="eastAsia"/>
          <w:szCs w:val="22"/>
          <w:lang w:val="en-US" w:eastAsia="zh-CN"/>
        </w:rPr>
        <w:t>联</w:t>
      </w:r>
      <w:r>
        <w:rPr>
          <w:szCs w:val="22"/>
        </w:rPr>
        <w:t>时，应具有</w:t>
      </w:r>
      <w:r>
        <w:rPr>
          <w:rFonts w:hint="eastAsia"/>
          <w:szCs w:val="22"/>
        </w:rPr>
        <w:t>环流越限报警</w:t>
      </w:r>
      <w:r>
        <w:rPr>
          <w:szCs w:val="22"/>
        </w:rPr>
        <w:t>等保护措施</w:t>
      </w:r>
      <w:r>
        <w:rPr>
          <w:rFonts w:hint="eastAsia"/>
          <w:szCs w:val="22"/>
        </w:rPr>
        <w:t>；</w:t>
      </w:r>
    </w:p>
    <w:p>
      <w:pPr>
        <w:pStyle w:val="305"/>
        <w:numPr>
          <w:ilvl w:val="0"/>
          <w:numId w:val="31"/>
        </w:numPr>
        <w:bidi w:val="0"/>
        <w:spacing w:line="312" w:lineRule="auto"/>
        <w:ind w:left="839" w:leftChars="0" w:hanging="419" w:firstLineChars="0"/>
      </w:pPr>
      <w:r>
        <w:rPr>
          <w:rFonts w:hint="eastAsia"/>
          <w:lang w:val="en-US" w:eastAsia="zh-CN"/>
        </w:rPr>
        <w:t>当灭火系统以电池簇为防护区时，具备</w:t>
      </w:r>
      <w:r>
        <w:rPr>
          <w:rFonts w:hint="eastAsia"/>
        </w:rPr>
        <w:t>将电池簇</w:t>
      </w:r>
      <w:r>
        <w:rPr>
          <w:rFonts w:hint="eastAsia"/>
          <w:lang w:val="en-US" w:eastAsia="zh-CN"/>
        </w:rPr>
        <w:t>故障识别</w:t>
      </w:r>
      <w:r>
        <w:rPr>
          <w:rFonts w:hint="eastAsia"/>
        </w:rPr>
        <w:t>信号传输到火灾自动报警系统的功能</w:t>
      </w:r>
      <w:r>
        <w:t>。</w:t>
      </w:r>
    </w:p>
    <w:p>
      <w:pPr>
        <w:pStyle w:val="326"/>
        <w:bidi w:val="0"/>
        <w:spacing w:line="312" w:lineRule="auto"/>
      </w:pPr>
      <w:r>
        <w:t>电池管理系统</w:t>
      </w:r>
      <w:r>
        <w:rPr>
          <w:rFonts w:hint="eastAsia"/>
          <w:lang w:val="en-US" w:eastAsia="zh-CN"/>
        </w:rPr>
        <w:t>应具备电池一致性管理功能和电池</w:t>
      </w:r>
      <w:r>
        <w:rPr>
          <w:rFonts w:hint="eastAsia"/>
        </w:rPr>
        <w:t>簇</w:t>
      </w:r>
      <w:r>
        <w:rPr>
          <w:rFonts w:hint="eastAsia"/>
          <w:lang w:val="en-US" w:eastAsia="zh-CN"/>
        </w:rPr>
        <w:t>故障</w:t>
      </w:r>
      <w:r>
        <w:rPr>
          <w:rFonts w:hint="eastAsia"/>
        </w:rPr>
        <w:t>隔离控制功能</w:t>
      </w:r>
      <w:r>
        <w:rPr>
          <w:rFonts w:hint="eastAsia"/>
          <w:lang w:eastAsia="zh-CN"/>
        </w:rPr>
        <w:t>。</w:t>
      </w:r>
    </w:p>
    <w:p>
      <w:pPr>
        <w:pStyle w:val="326"/>
        <w:bidi w:val="0"/>
        <w:spacing w:line="312" w:lineRule="auto"/>
        <w:rPr>
          <w:highlight w:val="none"/>
        </w:rPr>
      </w:pPr>
      <w:r>
        <w:rPr>
          <w:rFonts w:hint="default"/>
          <w:highlight w:val="none"/>
          <w:lang w:val="en-US"/>
        </w:rPr>
        <w:t>每个电池模块的温度采集点数</w:t>
      </w:r>
      <w:r>
        <w:rPr>
          <w:rFonts w:hint="default"/>
          <w:highlight w:val="none"/>
          <w:lang w:val="en-US" w:eastAsia="zh-CN"/>
        </w:rPr>
        <w:t>不</w:t>
      </w:r>
      <w:r>
        <w:rPr>
          <w:rFonts w:hint="eastAsia"/>
          <w:highlight w:val="none"/>
          <w:lang w:val="en-US" w:eastAsia="zh-CN"/>
        </w:rPr>
        <w:t>应</w:t>
      </w:r>
      <w:r>
        <w:rPr>
          <w:rFonts w:hint="default"/>
          <w:highlight w:val="none"/>
          <w:lang w:val="en-US" w:eastAsia="zh-CN"/>
        </w:rPr>
        <w:t>少于模块内电池单体数</w:t>
      </w:r>
      <w:r>
        <w:rPr>
          <w:rFonts w:hint="eastAsia"/>
          <w:highlight w:val="none"/>
          <w:lang w:val="en-US" w:eastAsia="zh-CN"/>
        </w:rPr>
        <w:t>量</w:t>
      </w:r>
      <w:r>
        <w:rPr>
          <w:rFonts w:hint="default"/>
          <w:highlight w:val="none"/>
          <w:lang w:val="en-US" w:eastAsia="zh-CN"/>
        </w:rPr>
        <w:t>的</w:t>
      </w:r>
      <w:r>
        <w:rPr>
          <w:rFonts w:hint="eastAsia"/>
          <w:highlight w:val="none"/>
          <w:lang w:val="en-US" w:eastAsia="zh-CN"/>
        </w:rPr>
        <w:t>25</w:t>
      </w:r>
      <w:r>
        <w:rPr>
          <w:rFonts w:hint="default"/>
          <w:highlight w:val="none"/>
          <w:lang w:val="en-US" w:eastAsia="zh-CN"/>
        </w:rPr>
        <w:t>%</w:t>
      </w:r>
      <w:r>
        <w:rPr>
          <w:rFonts w:hint="eastAsia"/>
          <w:highlight w:val="none"/>
          <w:lang w:val="en-US" w:eastAsia="zh-CN"/>
        </w:rPr>
        <w:t>且不少于4个</w:t>
      </w:r>
      <w:r>
        <w:rPr>
          <w:rFonts w:hint="default"/>
          <w:highlight w:val="none"/>
          <w:lang w:val="en-US"/>
        </w:rPr>
        <w:t>，在模块正负极</w:t>
      </w:r>
      <w:r>
        <w:rPr>
          <w:rFonts w:hint="default"/>
          <w:highlight w:val="none"/>
          <w:lang w:val="en-US" w:eastAsia="zh-CN"/>
        </w:rPr>
        <w:t>附近应设</w:t>
      </w:r>
      <w:r>
        <w:rPr>
          <w:rFonts w:hint="default"/>
          <w:highlight w:val="none"/>
          <w:lang w:val="en-US"/>
        </w:rPr>
        <w:t>有温度采集点</w:t>
      </w:r>
      <w:r>
        <w:rPr>
          <w:highlight w:val="none"/>
        </w:rPr>
        <w:t>。</w:t>
      </w:r>
    </w:p>
    <w:p>
      <w:pPr>
        <w:pStyle w:val="260"/>
        <w:bidi w:val="0"/>
        <w:spacing w:line="312" w:lineRule="auto"/>
        <w:outlineLvl w:val="2"/>
      </w:pPr>
      <w:bookmarkStart w:id="131" w:name="_Toc16041"/>
      <w:bookmarkStart w:id="132" w:name="_Toc6209"/>
      <w:bookmarkStart w:id="133" w:name="_Toc27982"/>
      <w:bookmarkStart w:id="134" w:name="_Toc13784"/>
      <w:bookmarkStart w:id="135" w:name="_Toc29335"/>
      <w:bookmarkStart w:id="136" w:name="_Toc6771"/>
      <w:bookmarkStart w:id="137" w:name="_Toc25102"/>
      <w:bookmarkStart w:id="138" w:name="_Toc7668"/>
      <w:bookmarkStart w:id="139" w:name="_Toc4286"/>
      <w:bookmarkStart w:id="140" w:name="_Toc26689"/>
      <w:bookmarkStart w:id="141" w:name="_Toc15734"/>
      <w:bookmarkStart w:id="142" w:name="_Toc13319"/>
      <w:bookmarkStart w:id="143" w:name="_Toc19125"/>
      <w:bookmarkStart w:id="144" w:name="_Toc17676"/>
      <w:r>
        <w:t>电池预制舱</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pPr>
        <w:pStyle w:val="326"/>
        <w:bidi w:val="0"/>
        <w:spacing w:line="312" w:lineRule="auto"/>
      </w:pPr>
      <w:r>
        <w:t>电池预制舱</w:t>
      </w:r>
      <w:r>
        <w:rPr>
          <w:rFonts w:hint="eastAsia"/>
          <w:lang w:val="en-US" w:eastAsia="zh-CN"/>
        </w:rPr>
        <w:t>舱体</w:t>
      </w:r>
      <w:r>
        <w:t>应符合下列要求：</w:t>
      </w:r>
    </w:p>
    <w:p>
      <w:pPr>
        <w:pStyle w:val="305"/>
        <w:numPr>
          <w:ilvl w:val="0"/>
          <w:numId w:val="32"/>
        </w:numPr>
        <w:bidi w:val="0"/>
        <w:spacing w:line="312" w:lineRule="auto"/>
        <w:ind w:left="839" w:leftChars="0" w:hanging="419" w:firstLineChars="0"/>
      </w:pPr>
      <w:r>
        <w:rPr>
          <w:rFonts w:hint="eastAsia"/>
        </w:rPr>
        <w:t>应满足防水、防潮、防腐蚀</w:t>
      </w:r>
      <w:r>
        <w:rPr>
          <w:rFonts w:hint="eastAsia"/>
          <w:lang w:eastAsia="zh-CN"/>
        </w:rPr>
        <w:t>、</w:t>
      </w:r>
      <w:r>
        <w:rPr>
          <w:rFonts w:hint="eastAsia"/>
          <w:lang w:val="en-US" w:eastAsia="zh-CN"/>
        </w:rPr>
        <w:t>防风沙</w:t>
      </w:r>
      <w:r>
        <w:rPr>
          <w:rFonts w:hint="eastAsia"/>
        </w:rPr>
        <w:t>等要求，</w:t>
      </w:r>
      <w:r>
        <w:rPr>
          <w:rFonts w:hint="eastAsia"/>
          <w:lang w:val="en-US" w:eastAsia="zh-CN"/>
        </w:rPr>
        <w:t>防护等级不应低于GB/T 4208</w:t>
      </w:r>
      <w:r>
        <w:rPr>
          <w:rFonts w:hint="eastAsia" w:ascii="宋体" w:hAnsi="宋体" w:eastAsia="宋体" w:cs="宋体"/>
          <w:kern w:val="0"/>
          <w:szCs w:val="21"/>
          <w:highlight w:val="none"/>
        </w:rPr>
        <w:t>—</w:t>
      </w:r>
      <w:r>
        <w:rPr>
          <w:rFonts w:hint="eastAsia"/>
          <w:lang w:val="en-US" w:eastAsia="zh-CN"/>
        </w:rPr>
        <w:t>2017中IP54的规定，</w:t>
      </w:r>
      <w:r>
        <w:rPr>
          <w:rFonts w:hint="eastAsia"/>
        </w:rPr>
        <w:t>设计使用年限</w:t>
      </w:r>
      <w:r>
        <w:rPr>
          <w:rFonts w:hint="eastAsia"/>
          <w:lang w:val="en-US" w:eastAsia="zh-CN"/>
        </w:rPr>
        <w:t>应</w:t>
      </w:r>
      <w:r>
        <w:rPr>
          <w:rFonts w:hint="eastAsia"/>
        </w:rPr>
        <w:t>不低于20年</w:t>
      </w:r>
      <w:r>
        <w:t>；</w:t>
      </w:r>
    </w:p>
    <w:p>
      <w:pPr>
        <w:pStyle w:val="305"/>
        <w:numPr>
          <w:ilvl w:val="0"/>
          <w:numId w:val="32"/>
        </w:numPr>
        <w:bidi w:val="0"/>
        <w:spacing w:line="312" w:lineRule="auto"/>
        <w:ind w:left="839" w:leftChars="0" w:hanging="419" w:firstLineChars="0"/>
      </w:pPr>
      <w:r>
        <w:t>舱内采用保温</w:t>
      </w:r>
      <w:r>
        <w:rPr>
          <w:rFonts w:hint="eastAsia"/>
          <w:lang w:val="en-US" w:eastAsia="zh-CN"/>
        </w:rPr>
        <w:t>隔热材料</w:t>
      </w:r>
      <w:r>
        <w:t>时，其燃烧性能应符合GB 8624</w:t>
      </w:r>
      <w:r>
        <w:rPr>
          <w:rFonts w:hint="eastAsia" w:ascii="宋体" w:hAnsi="宋体" w:eastAsia="宋体" w:cs="宋体"/>
          <w:kern w:val="0"/>
          <w:szCs w:val="21"/>
          <w:highlight w:val="none"/>
        </w:rPr>
        <w:t>—</w:t>
      </w:r>
      <w:r>
        <w:rPr>
          <w:rFonts w:hint="eastAsia"/>
          <w:lang w:val="en-US" w:eastAsia="zh-CN"/>
        </w:rPr>
        <w:t>2018</w:t>
      </w:r>
      <w:r>
        <w:t>规定的A级；</w:t>
      </w:r>
    </w:p>
    <w:p>
      <w:pPr>
        <w:pStyle w:val="305"/>
        <w:numPr>
          <w:ilvl w:val="0"/>
          <w:numId w:val="32"/>
        </w:numPr>
        <w:bidi w:val="0"/>
        <w:spacing w:line="312" w:lineRule="auto"/>
        <w:ind w:left="839" w:leftChars="0" w:hanging="419" w:firstLineChars="0"/>
      </w:pPr>
      <w:r>
        <w:rPr>
          <w:rFonts w:hint="eastAsia"/>
          <w:highlight w:val="none"/>
        </w:rPr>
        <w:t>舱体有管线穿越时，管线周围空隙应采用防火封堵材料封堵，</w:t>
      </w:r>
      <w:r>
        <w:rPr>
          <w:highlight w:val="none"/>
        </w:rPr>
        <w:t xml:space="preserve">防火封堵材料应满足GB </w:t>
      </w:r>
      <w:r>
        <w:t>23864的规定。</w:t>
      </w:r>
    </w:p>
    <w:p>
      <w:pPr>
        <w:pStyle w:val="326"/>
        <w:bidi w:val="0"/>
        <w:spacing w:line="312" w:lineRule="auto"/>
        <w:rPr>
          <w:rFonts w:ascii="Times New Roman" w:hAnsi="Times New Roman"/>
          <w:highlight w:val="none"/>
        </w:rPr>
      </w:pPr>
      <w:r>
        <w:rPr>
          <w:rFonts w:hint="eastAsia"/>
          <w:highlight w:val="none"/>
          <w:lang w:val="en-US" w:eastAsia="zh-CN"/>
        </w:rPr>
        <w:t>步入式电池预制舱长度超过7m时，应在预制舱两端设置两个直通舱外的出口，外开门净宽度不小于0.8m，门锁应符合GB 30051的规定；设置门禁系统的，当发生火警时，疏散通道和出入口处的门禁应能集中联动解锁并能从内外两侧手动解锁。</w:t>
      </w:r>
    </w:p>
    <w:p>
      <w:pPr>
        <w:pStyle w:val="326"/>
        <w:bidi w:val="0"/>
        <w:spacing w:line="312" w:lineRule="auto"/>
        <w:rPr>
          <w:rFonts w:ascii="Times New Roman" w:hAnsi="Times New Roman"/>
          <w:highlight w:val="none"/>
        </w:rPr>
      </w:pPr>
      <w:r>
        <w:rPr>
          <w:rFonts w:hint="eastAsia"/>
          <w:highlight w:val="none"/>
        </w:rPr>
        <w:t>空调系统、通风系统中的风管、风口</w:t>
      </w:r>
      <w:r>
        <w:rPr>
          <w:rFonts w:hint="eastAsia"/>
          <w:highlight w:val="none"/>
          <w:lang w:eastAsia="zh-CN"/>
        </w:rPr>
        <w:t>、</w:t>
      </w:r>
      <w:r>
        <w:rPr>
          <w:rFonts w:hint="eastAsia"/>
          <w:highlight w:val="none"/>
        </w:rPr>
        <w:t>阀门及保温</w:t>
      </w:r>
      <w:r>
        <w:rPr>
          <w:rFonts w:hint="eastAsia"/>
          <w:highlight w:val="none"/>
          <w:lang w:val="en-US" w:eastAsia="zh-CN"/>
        </w:rPr>
        <w:t>等部件</w:t>
      </w:r>
      <w:r>
        <w:rPr>
          <w:rFonts w:hint="eastAsia"/>
          <w:highlight w:val="none"/>
        </w:rPr>
        <w:t>材料</w:t>
      </w:r>
      <w:r>
        <w:t>燃烧性能应符合GB 8624</w:t>
      </w:r>
      <w:r>
        <w:rPr>
          <w:rFonts w:hint="eastAsia" w:ascii="宋体" w:hAnsi="宋体" w:eastAsia="宋体" w:cs="宋体"/>
          <w:kern w:val="0"/>
          <w:szCs w:val="21"/>
          <w:highlight w:val="none"/>
        </w:rPr>
        <w:t>—</w:t>
      </w:r>
      <w:r>
        <w:rPr>
          <w:rFonts w:hint="eastAsia"/>
          <w:lang w:val="en-US" w:eastAsia="zh-CN"/>
        </w:rPr>
        <w:t>2018</w:t>
      </w:r>
      <w:r>
        <w:t>规定的A级</w:t>
      </w:r>
      <w:r>
        <w:rPr>
          <w:highlight w:val="none"/>
        </w:rPr>
        <w:t>。</w:t>
      </w:r>
    </w:p>
    <w:p>
      <w:pPr>
        <w:pStyle w:val="326"/>
        <w:bidi w:val="0"/>
        <w:spacing w:line="312" w:lineRule="auto"/>
      </w:pPr>
      <w:r>
        <w:rPr>
          <w:rFonts w:hint="eastAsia"/>
          <w:lang w:val="en-US" w:eastAsia="zh-CN"/>
        </w:rPr>
        <w:t>集装箱式预制舱的分类、尺寸等技术要求宜执行</w:t>
      </w:r>
      <w:r>
        <w:rPr>
          <w:rFonts w:hint="eastAsia"/>
        </w:rPr>
        <w:t>GB/T 1413</w:t>
      </w:r>
      <w:r>
        <w:rPr>
          <w:rFonts w:hint="eastAsia"/>
          <w:lang w:eastAsia="zh-CN"/>
        </w:rPr>
        <w:t>的</w:t>
      </w:r>
      <w:r>
        <w:rPr>
          <w:rFonts w:hint="eastAsia"/>
          <w:lang w:val="en-US" w:eastAsia="zh-CN"/>
        </w:rPr>
        <w:t>相关规定。</w:t>
      </w:r>
      <w:r>
        <w:t xml:space="preserve"> </w:t>
      </w:r>
    </w:p>
    <w:p>
      <w:pPr>
        <w:pStyle w:val="259"/>
        <w:bidi w:val="0"/>
        <w:spacing w:line="312" w:lineRule="auto"/>
        <w:outlineLvl w:val="2"/>
        <w:rPr>
          <w:rFonts w:hint="eastAsia"/>
        </w:rPr>
      </w:pPr>
      <w:bookmarkStart w:id="145" w:name="_Toc16073"/>
      <w:bookmarkStart w:id="146" w:name="_Toc17400"/>
      <w:bookmarkStart w:id="147" w:name="_Toc1127"/>
      <w:bookmarkStart w:id="148" w:name="_Toc8464"/>
      <w:bookmarkStart w:id="149" w:name="_Toc12662"/>
      <w:bookmarkStart w:id="150" w:name="_Toc17802"/>
      <w:bookmarkStart w:id="151" w:name="_Toc26925"/>
      <w:bookmarkStart w:id="152" w:name="_Toc13268"/>
      <w:bookmarkStart w:id="153" w:name="_Toc15313"/>
      <w:bookmarkStart w:id="154" w:name="_Toc14864"/>
      <w:bookmarkStart w:id="155" w:name="_Toc14400"/>
      <w:bookmarkStart w:id="156" w:name="_Toc10755"/>
      <w:bookmarkStart w:id="157" w:name="_Toc13473"/>
      <w:bookmarkStart w:id="158" w:name="_Toc31501"/>
      <w:r>
        <w:rPr>
          <w:rFonts w:hint="eastAsia"/>
        </w:rPr>
        <w:t>站址选择</w:t>
      </w:r>
      <w:bookmarkEnd w:id="145"/>
      <w:bookmarkEnd w:id="146"/>
      <w:bookmarkEnd w:id="147"/>
      <w:bookmarkEnd w:id="148"/>
      <w:bookmarkEnd w:id="149"/>
      <w:bookmarkEnd w:id="150"/>
      <w:bookmarkEnd w:id="151"/>
      <w:bookmarkEnd w:id="152"/>
      <w:bookmarkEnd w:id="153"/>
      <w:bookmarkEnd w:id="154"/>
      <w:r>
        <w:rPr>
          <w:rFonts w:hint="eastAsia"/>
          <w:lang w:val="en-US" w:eastAsia="zh-CN"/>
        </w:rPr>
        <w:t>与平面布置</w:t>
      </w:r>
      <w:bookmarkEnd w:id="155"/>
      <w:bookmarkEnd w:id="156"/>
      <w:bookmarkEnd w:id="157"/>
      <w:bookmarkEnd w:id="158"/>
    </w:p>
    <w:p>
      <w:pPr>
        <w:pStyle w:val="260"/>
        <w:bidi w:val="0"/>
        <w:spacing w:line="312" w:lineRule="auto"/>
        <w:outlineLvl w:val="2"/>
        <w:rPr>
          <w:rFonts w:hint="eastAsia"/>
        </w:rPr>
      </w:pPr>
      <w:bookmarkStart w:id="159" w:name="_Toc12321"/>
      <w:bookmarkStart w:id="160" w:name="_Toc25533"/>
      <w:bookmarkStart w:id="161" w:name="_Toc21967"/>
      <w:bookmarkStart w:id="162" w:name="_Toc2055"/>
      <w:r>
        <w:rPr>
          <w:rFonts w:hint="eastAsia"/>
          <w:lang w:val="en-US" w:eastAsia="zh-CN"/>
        </w:rPr>
        <w:t>站址选择</w:t>
      </w:r>
      <w:bookmarkEnd w:id="159"/>
      <w:bookmarkEnd w:id="160"/>
      <w:bookmarkEnd w:id="161"/>
      <w:bookmarkEnd w:id="162"/>
    </w:p>
    <w:p>
      <w:pPr>
        <w:pStyle w:val="326"/>
        <w:bidi w:val="0"/>
        <w:spacing w:line="312" w:lineRule="auto"/>
        <w:rPr>
          <w:rFonts w:hint="eastAsia"/>
        </w:rPr>
      </w:pPr>
      <w:r>
        <w:rPr>
          <w:rFonts w:hint="eastAsia"/>
        </w:rPr>
        <w:t>储能电站站址选择</w:t>
      </w:r>
      <w:r>
        <w:rPr>
          <w:rFonts w:hint="eastAsia"/>
          <w:lang w:val="en-US" w:eastAsia="zh-CN"/>
        </w:rPr>
        <w:t>除</w:t>
      </w:r>
      <w:r>
        <w:rPr>
          <w:rFonts w:hint="eastAsia"/>
        </w:rPr>
        <w:t>应符合GB 51048的规定</w:t>
      </w:r>
      <w:r>
        <w:rPr>
          <w:rFonts w:hint="eastAsia"/>
          <w:lang w:eastAsia="zh-CN"/>
        </w:rPr>
        <w:t>，</w:t>
      </w:r>
      <w:r>
        <w:rPr>
          <w:rFonts w:hint="eastAsia"/>
          <w:lang w:val="en-US" w:eastAsia="zh-CN"/>
        </w:rPr>
        <w:t>还应符合以下规定：</w:t>
      </w:r>
    </w:p>
    <w:p>
      <w:pPr>
        <w:pStyle w:val="305"/>
        <w:numPr>
          <w:ilvl w:val="0"/>
          <w:numId w:val="33"/>
        </w:numPr>
        <w:bidi w:val="0"/>
        <w:spacing w:line="312" w:lineRule="auto"/>
        <w:ind w:left="839" w:hanging="419"/>
      </w:pPr>
      <w:r>
        <w:rPr>
          <w:rFonts w:hint="eastAsia"/>
        </w:rPr>
        <w:t>不应贴邻或设置在生产、储存、经营易燃易爆危险品的场所</w:t>
      </w:r>
      <w:r>
        <w:rPr>
          <w:rFonts w:hint="eastAsia"/>
          <w:lang w:eastAsia="zh-CN"/>
        </w:rPr>
        <w:t>；</w:t>
      </w:r>
    </w:p>
    <w:p>
      <w:pPr>
        <w:pStyle w:val="305"/>
        <w:numPr>
          <w:ilvl w:val="0"/>
          <w:numId w:val="33"/>
        </w:numPr>
        <w:bidi w:val="0"/>
        <w:spacing w:line="312" w:lineRule="auto"/>
        <w:ind w:left="839" w:hanging="419"/>
      </w:pPr>
      <w:r>
        <w:rPr>
          <w:rFonts w:hint="eastAsia"/>
        </w:rPr>
        <w:t>不应设置在具有</w:t>
      </w:r>
      <w:r>
        <w:rPr>
          <w:rFonts w:hint="eastAsia"/>
          <w:lang w:val="en-US" w:eastAsia="zh-CN"/>
        </w:rPr>
        <w:t>可燃性</w:t>
      </w:r>
      <w:r>
        <w:rPr>
          <w:rFonts w:hint="eastAsia"/>
        </w:rPr>
        <w:t>粉尘、腐蚀性气体的场所</w:t>
      </w:r>
      <w:r>
        <w:rPr>
          <w:rFonts w:hint="eastAsia"/>
          <w:lang w:eastAsia="zh-CN"/>
        </w:rPr>
        <w:t>；</w:t>
      </w:r>
    </w:p>
    <w:p>
      <w:pPr>
        <w:pStyle w:val="305"/>
        <w:numPr>
          <w:ilvl w:val="0"/>
          <w:numId w:val="33"/>
        </w:numPr>
        <w:bidi w:val="0"/>
        <w:spacing w:line="312" w:lineRule="auto"/>
        <w:ind w:left="839" w:hanging="419"/>
      </w:pPr>
      <w:r>
        <w:rPr>
          <w:rFonts w:hint="eastAsia"/>
        </w:rPr>
        <w:t>不应设置在重要架空电力线路保护区内</w:t>
      </w:r>
      <w:r>
        <w:rPr>
          <w:rFonts w:hint="eastAsia"/>
          <w:lang w:eastAsia="zh-CN"/>
        </w:rPr>
        <w:t>。</w:t>
      </w:r>
    </w:p>
    <w:p>
      <w:pPr>
        <w:pStyle w:val="326"/>
        <w:bidi w:val="0"/>
        <w:spacing w:line="312" w:lineRule="auto"/>
      </w:pPr>
      <w:r>
        <w:rPr>
          <w:rFonts w:hint="eastAsia"/>
        </w:rPr>
        <w:t>电池</w:t>
      </w:r>
      <w:r>
        <w:rPr>
          <w:rFonts w:hint="eastAsia"/>
          <w:lang w:val="en-US" w:eastAsia="zh-CN"/>
        </w:rPr>
        <w:t>预</w:t>
      </w:r>
      <w:r>
        <w:rPr>
          <w:rFonts w:hint="eastAsia"/>
          <w:highlight w:val="none"/>
          <w:lang w:val="en-US" w:eastAsia="zh-CN"/>
        </w:rPr>
        <w:t>制舱</w:t>
      </w:r>
      <w:r>
        <w:rPr>
          <w:rFonts w:hint="eastAsia"/>
          <w:highlight w:val="none"/>
        </w:rPr>
        <w:t>不</w:t>
      </w:r>
      <w:r>
        <w:rPr>
          <w:rFonts w:hint="eastAsia"/>
          <w:highlight w:val="none"/>
          <w:lang w:val="en-US" w:eastAsia="zh-CN"/>
        </w:rPr>
        <w:t>应</w:t>
      </w:r>
      <w:r>
        <w:rPr>
          <w:rFonts w:hint="eastAsia"/>
          <w:highlight w:val="none"/>
        </w:rPr>
        <w:t>设置在人员密集场所，不</w:t>
      </w:r>
      <w:r>
        <w:rPr>
          <w:rFonts w:hint="eastAsia"/>
          <w:highlight w:val="none"/>
          <w:lang w:val="en-US" w:eastAsia="zh-CN"/>
        </w:rPr>
        <w:t>应</w:t>
      </w:r>
      <w:r>
        <w:rPr>
          <w:rFonts w:hint="eastAsia"/>
          <w:highlight w:val="none"/>
        </w:rPr>
        <w:t>设置在地下</w:t>
      </w:r>
      <w:r>
        <w:rPr>
          <w:rFonts w:hint="eastAsia"/>
          <w:highlight w:val="none"/>
          <w:lang w:val="en-US" w:eastAsia="zh-CN"/>
        </w:rPr>
        <w:t>或半</w:t>
      </w:r>
      <w:r>
        <w:rPr>
          <w:rFonts w:hint="eastAsia"/>
          <w:lang w:val="en-US" w:eastAsia="zh-CN"/>
        </w:rPr>
        <w:t>地下</w:t>
      </w:r>
      <w:r>
        <w:rPr>
          <w:rFonts w:hint="eastAsia"/>
        </w:rPr>
        <w:t>空间。</w:t>
      </w:r>
    </w:p>
    <w:p>
      <w:pPr>
        <w:pStyle w:val="260"/>
        <w:bidi w:val="0"/>
        <w:spacing w:line="312" w:lineRule="auto"/>
        <w:outlineLvl w:val="2"/>
        <w:rPr>
          <w:rFonts w:hint="eastAsia"/>
        </w:rPr>
      </w:pPr>
      <w:bookmarkStart w:id="163" w:name="_Toc10524"/>
      <w:bookmarkStart w:id="164" w:name="_Toc25525"/>
      <w:bookmarkStart w:id="165" w:name="_Toc18901"/>
      <w:bookmarkStart w:id="166" w:name="_Toc16352"/>
      <w:bookmarkStart w:id="167" w:name="_Toc25018"/>
      <w:bookmarkStart w:id="168" w:name="_Toc23854"/>
      <w:bookmarkStart w:id="169" w:name="_Toc10498"/>
      <w:bookmarkStart w:id="170" w:name="_Toc14644"/>
      <w:bookmarkStart w:id="171" w:name="_Toc20063"/>
      <w:bookmarkStart w:id="172" w:name="_Toc31814"/>
      <w:bookmarkStart w:id="173" w:name="_Toc31657"/>
      <w:bookmarkStart w:id="174" w:name="_Toc6380"/>
      <w:bookmarkStart w:id="175" w:name="_Toc26759"/>
      <w:bookmarkStart w:id="176" w:name="_Toc31730"/>
      <w:r>
        <w:rPr>
          <w:rFonts w:hint="eastAsia"/>
        </w:rPr>
        <w:t>平面布置</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pPr>
        <w:pStyle w:val="326"/>
        <w:bidi w:val="0"/>
        <w:spacing w:line="312" w:lineRule="auto"/>
      </w:pPr>
      <w:r>
        <w:t>储能电站</w:t>
      </w:r>
      <w:r>
        <w:rPr>
          <w:rFonts w:hint="eastAsia"/>
          <w:lang w:val="en-US" w:eastAsia="zh-CN"/>
        </w:rPr>
        <w:t>内</w:t>
      </w:r>
      <w:r>
        <w:t>建（构）筑物的耐火等级不应低于二级。</w:t>
      </w:r>
    </w:p>
    <w:p>
      <w:pPr>
        <w:pStyle w:val="326"/>
        <w:bidi w:val="0"/>
        <w:spacing w:line="312" w:lineRule="auto"/>
      </w:pPr>
      <w:r>
        <w:t>储能电站内，电池预制舱应</w:t>
      </w:r>
      <w:r>
        <w:rPr>
          <w:rFonts w:hint="eastAsia"/>
          <w:highlight w:val="none"/>
          <w:lang w:val="en-US" w:eastAsia="zh-CN"/>
        </w:rPr>
        <w:t>室外</w:t>
      </w:r>
      <w:r>
        <w:rPr>
          <w:highlight w:val="none"/>
        </w:rPr>
        <w:t>集</w:t>
      </w:r>
      <w:r>
        <w:t>中布置，与其他功能区域分开，与站内其他建（构）筑物、设备的防火间距不应小于表</w:t>
      </w:r>
      <w:r>
        <w:rPr>
          <w:rFonts w:hint="eastAsia"/>
          <w:lang w:val="en-US" w:eastAsia="zh-CN"/>
        </w:rPr>
        <w:t>1</w:t>
      </w:r>
      <w:r>
        <w:t>的</w:t>
      </w:r>
      <w:r>
        <w:rPr>
          <w:highlight w:val="none"/>
        </w:rPr>
        <w:t>规定</w:t>
      </w:r>
      <w:r>
        <w:rPr>
          <w:rFonts w:hint="eastAsia"/>
          <w:highlight w:val="none"/>
        </w:rPr>
        <w:t>，与站外其他建（构）筑物的防火间距应</w:t>
      </w:r>
      <w:r>
        <w:rPr>
          <w:rFonts w:hint="eastAsia"/>
          <w:highlight w:val="none"/>
          <w:lang w:val="en-US" w:eastAsia="zh-CN"/>
        </w:rPr>
        <w:t>符合GB 51048的规定</w:t>
      </w:r>
      <w:r>
        <w:rPr>
          <w:rFonts w:hint="eastAsia"/>
          <w:highlight w:val="none"/>
        </w:rPr>
        <w:t>。</w:t>
      </w:r>
    </w:p>
    <w:p>
      <w:pPr>
        <w:pStyle w:val="326"/>
        <w:numPr>
          <w:ilvl w:val="-1"/>
          <w:numId w:val="0"/>
        </w:numPr>
        <w:bidi w:val="0"/>
        <w:spacing w:line="312" w:lineRule="auto"/>
      </w:pPr>
    </w:p>
    <w:p>
      <w:pPr>
        <w:pStyle w:val="301"/>
        <w:bidi w:val="0"/>
        <w:rPr>
          <w:rFonts w:ascii="Times New Roman" w:hAnsi="Times New Roman" w:eastAsia="黑体"/>
          <w:color w:val="0000FF"/>
        </w:rPr>
      </w:pPr>
      <w:r>
        <w:t>电池预制舱与站内其他建（构）筑物、设备的防火间距</w:t>
      </w:r>
    </w:p>
    <w:p>
      <w:pPr>
        <w:pStyle w:val="301"/>
        <w:numPr>
          <w:ilvl w:val="-1"/>
          <w:numId w:val="0"/>
        </w:numPr>
        <w:bidi w:val="0"/>
        <w:spacing w:after="0" w:afterLines="0" w:line="120" w:lineRule="atLeast"/>
        <w:jc w:val="right"/>
        <w:rPr>
          <w:rFonts w:ascii="Times New Roman" w:hAnsi="Times New Roman" w:eastAsia="黑体"/>
          <w:color w:val="0000FF"/>
        </w:rPr>
      </w:pPr>
      <w:r>
        <w:rPr>
          <w:rFonts w:hint="default" w:ascii="Times New Roman" w:eastAsia="宋体"/>
          <w:kern w:val="2"/>
          <w:sz w:val="18"/>
          <w:szCs w:val="18"/>
          <w:lang w:val="en-US" w:eastAsia="zh-CN"/>
        </w:rPr>
        <w:t>单位为米</w:t>
      </w:r>
    </w:p>
    <w:tbl>
      <w:tblPr>
        <w:tblStyle w:val="88"/>
        <w:tblW w:w="9270" w:type="dxa"/>
        <w:jc w:val="center"/>
        <w:tblBorders>
          <w:top w:val="single" w:color="auto" w:sz="8" w:space="0"/>
          <w:left w:val="single" w:color="auto" w:sz="8" w:space="0"/>
          <w:bottom w:val="single" w:color="auto" w:sz="8" w:space="0"/>
          <w:right w:val="single" w:color="auto" w:sz="8" w:space="0"/>
          <w:insideH w:val="none" w:color="auto" w:sz="0" w:space="0"/>
          <w:insideV w:val="single" w:color="auto" w:sz="4" w:space="0"/>
        </w:tblBorders>
        <w:tblLayout w:type="fixed"/>
        <w:tblCellMar>
          <w:top w:w="0" w:type="dxa"/>
          <w:left w:w="108" w:type="dxa"/>
          <w:bottom w:w="0" w:type="dxa"/>
          <w:right w:w="108" w:type="dxa"/>
        </w:tblCellMar>
      </w:tblPr>
      <w:tblGrid>
        <w:gridCol w:w="2385"/>
        <w:gridCol w:w="2423"/>
        <w:gridCol w:w="4462"/>
      </w:tblGrid>
      <w:tr>
        <w:tblPrEx>
          <w:tblBorders>
            <w:top w:val="single" w:color="auto" w:sz="8" w:space="0"/>
            <w:left w:val="single" w:color="auto" w:sz="8" w:space="0"/>
            <w:bottom w:val="single" w:color="auto" w:sz="8" w:space="0"/>
            <w:right w:val="single" w:color="auto" w:sz="8" w:space="0"/>
            <w:insideH w:val="none" w:color="auto" w:sz="0" w:space="0"/>
            <w:insideV w:val="single" w:color="auto" w:sz="4" w:space="0"/>
          </w:tblBorders>
          <w:tblCellMar>
            <w:top w:w="0" w:type="dxa"/>
            <w:left w:w="108" w:type="dxa"/>
            <w:bottom w:w="0" w:type="dxa"/>
            <w:right w:w="108" w:type="dxa"/>
          </w:tblCellMar>
        </w:tblPrEx>
        <w:trPr>
          <w:trHeight w:val="448" w:hRule="atLeast"/>
          <w:jc w:val="center"/>
        </w:trPr>
        <w:tc>
          <w:tcPr>
            <w:tcW w:w="4808" w:type="dxa"/>
            <w:gridSpan w:val="2"/>
            <w:tcBorders>
              <w:bottom w:val="single" w:color="auto" w:sz="8" w:space="0"/>
            </w:tcBorders>
            <w:vAlign w:val="center"/>
          </w:tcPr>
          <w:p>
            <w:pPr>
              <w:jc w:val="center"/>
              <w:rPr>
                <w:rFonts w:ascii="Times New Roman" w:hAnsi="Times New Roman"/>
                <w:b/>
                <w:bCs/>
                <w:sz w:val="18"/>
                <w:szCs w:val="18"/>
              </w:rPr>
            </w:pPr>
            <w:r>
              <w:rPr>
                <w:rFonts w:ascii="Times New Roman" w:hAnsi="Times New Roman"/>
                <w:b/>
                <w:bCs/>
                <w:sz w:val="18"/>
                <w:szCs w:val="18"/>
              </w:rPr>
              <w:t>建（构）筑物名称</w:t>
            </w:r>
          </w:p>
        </w:tc>
        <w:tc>
          <w:tcPr>
            <w:tcW w:w="4462" w:type="dxa"/>
            <w:tcBorders>
              <w:bottom w:val="single" w:color="auto" w:sz="8" w:space="0"/>
            </w:tcBorders>
            <w:vAlign w:val="center"/>
          </w:tcPr>
          <w:p>
            <w:pPr>
              <w:jc w:val="center"/>
              <w:rPr>
                <w:rFonts w:ascii="Times New Roman" w:hAnsi="Times New Roman"/>
                <w:b/>
                <w:bCs/>
                <w:sz w:val="18"/>
                <w:szCs w:val="18"/>
              </w:rPr>
            </w:pPr>
            <w:r>
              <w:rPr>
                <w:rFonts w:ascii="Times New Roman" w:hAnsi="Times New Roman"/>
                <w:b/>
                <w:bCs/>
                <w:sz w:val="18"/>
                <w:szCs w:val="18"/>
              </w:rPr>
              <w:t>电池预制舱</w:t>
            </w:r>
          </w:p>
        </w:tc>
      </w:tr>
      <w:tr>
        <w:tblPrEx>
          <w:tblBorders>
            <w:top w:val="single" w:color="auto" w:sz="8" w:space="0"/>
            <w:left w:val="single" w:color="auto" w:sz="8" w:space="0"/>
            <w:bottom w:val="single" w:color="auto" w:sz="8" w:space="0"/>
            <w:right w:val="single" w:color="auto" w:sz="8" w:space="0"/>
            <w:insideH w:val="none" w:color="auto" w:sz="0" w:space="0"/>
            <w:insideV w:val="single" w:color="auto" w:sz="4" w:space="0"/>
          </w:tblBorders>
          <w:tblCellMar>
            <w:top w:w="0" w:type="dxa"/>
            <w:left w:w="108" w:type="dxa"/>
            <w:bottom w:w="0" w:type="dxa"/>
            <w:right w:w="108" w:type="dxa"/>
          </w:tblCellMar>
        </w:tblPrEx>
        <w:trPr>
          <w:jc w:val="center"/>
        </w:trPr>
        <w:tc>
          <w:tcPr>
            <w:tcW w:w="4808" w:type="dxa"/>
            <w:gridSpan w:val="2"/>
            <w:tcBorders>
              <w:top w:val="single" w:color="auto" w:sz="8" w:space="0"/>
              <w:bottom w:val="single" w:color="auto" w:sz="4" w:space="0"/>
            </w:tcBorders>
            <w:vAlign w:val="top"/>
          </w:tcPr>
          <w:p>
            <w:pPr>
              <w:jc w:val="center"/>
              <w:rPr>
                <w:rFonts w:ascii="Times New Roman" w:hAnsi="Times New Roman"/>
                <w:sz w:val="18"/>
                <w:szCs w:val="18"/>
              </w:rPr>
            </w:pPr>
            <w:r>
              <w:rPr>
                <w:rFonts w:ascii="Times New Roman" w:hAnsi="Times New Roman"/>
                <w:sz w:val="18"/>
                <w:szCs w:val="18"/>
              </w:rPr>
              <w:t>丙、丁、戊类生产建筑</w:t>
            </w:r>
            <w:r>
              <w:rPr>
                <w:rFonts w:hint="eastAsia"/>
                <w:sz w:val="18"/>
                <w:szCs w:val="18"/>
                <w:vertAlign w:val="superscript"/>
                <w:lang w:val="en-US" w:eastAsia="zh-CN"/>
              </w:rPr>
              <w:t>a</w:t>
            </w:r>
          </w:p>
        </w:tc>
        <w:tc>
          <w:tcPr>
            <w:tcW w:w="4462" w:type="dxa"/>
            <w:tcBorders>
              <w:top w:val="single" w:color="auto" w:sz="8" w:space="0"/>
              <w:bottom w:val="single" w:color="auto" w:sz="4" w:space="0"/>
            </w:tcBorders>
            <w:vAlign w:val="top"/>
          </w:tcPr>
          <w:p>
            <w:pPr>
              <w:jc w:val="center"/>
              <w:rPr>
                <w:rFonts w:ascii="Times New Roman" w:hAnsi="Times New Roman"/>
                <w:sz w:val="18"/>
                <w:szCs w:val="18"/>
              </w:rPr>
            </w:pPr>
            <w:r>
              <w:rPr>
                <w:rFonts w:ascii="Times New Roman" w:hAnsi="Times New Roman"/>
                <w:sz w:val="18"/>
                <w:szCs w:val="18"/>
              </w:rPr>
              <w:t>10</w:t>
            </w:r>
          </w:p>
        </w:tc>
      </w:tr>
      <w:tr>
        <w:tblPrEx>
          <w:tblBorders>
            <w:top w:val="single" w:color="auto" w:sz="8" w:space="0"/>
            <w:left w:val="single" w:color="auto" w:sz="8" w:space="0"/>
            <w:bottom w:val="single" w:color="auto" w:sz="8" w:space="0"/>
            <w:right w:val="single" w:color="auto" w:sz="8" w:space="0"/>
            <w:insideH w:val="none" w:color="auto" w:sz="0" w:space="0"/>
            <w:insideV w:val="single" w:color="auto" w:sz="4" w:space="0"/>
          </w:tblBorders>
          <w:tblCellMar>
            <w:top w:w="0" w:type="dxa"/>
            <w:left w:w="108" w:type="dxa"/>
            <w:bottom w:w="0" w:type="dxa"/>
            <w:right w:w="108" w:type="dxa"/>
          </w:tblCellMar>
        </w:tblPrEx>
        <w:trPr>
          <w:jc w:val="center"/>
        </w:trPr>
        <w:tc>
          <w:tcPr>
            <w:tcW w:w="2385" w:type="dxa"/>
            <w:vMerge w:val="restart"/>
            <w:tcBorders>
              <w:top w:val="single" w:color="auto" w:sz="4" w:space="0"/>
              <w:bottom w:val="single" w:color="auto" w:sz="4" w:space="0"/>
            </w:tcBorders>
            <w:vAlign w:val="center"/>
          </w:tcPr>
          <w:p>
            <w:pPr>
              <w:jc w:val="center"/>
              <w:rPr>
                <w:rFonts w:ascii="Times New Roman" w:hAnsi="Times New Roman"/>
                <w:sz w:val="18"/>
                <w:szCs w:val="18"/>
              </w:rPr>
            </w:pPr>
            <w:r>
              <w:rPr>
                <w:rFonts w:ascii="Times New Roman" w:hAnsi="Times New Roman"/>
                <w:sz w:val="18"/>
                <w:szCs w:val="18"/>
              </w:rPr>
              <w:t>屋外配电装置</w:t>
            </w:r>
          </w:p>
        </w:tc>
        <w:tc>
          <w:tcPr>
            <w:tcW w:w="2423" w:type="dxa"/>
            <w:tcBorders>
              <w:top w:val="single" w:color="auto" w:sz="4" w:space="0"/>
              <w:bottom w:val="single" w:color="auto" w:sz="4" w:space="0"/>
            </w:tcBorders>
            <w:vAlign w:val="top"/>
          </w:tcPr>
          <w:p>
            <w:pPr>
              <w:jc w:val="left"/>
              <w:rPr>
                <w:rFonts w:ascii="Times New Roman" w:hAnsi="Times New Roman"/>
                <w:sz w:val="18"/>
                <w:szCs w:val="18"/>
              </w:rPr>
            </w:pPr>
            <w:r>
              <w:rPr>
                <w:rFonts w:ascii="Times New Roman" w:hAnsi="Times New Roman"/>
                <w:sz w:val="18"/>
                <w:szCs w:val="18"/>
              </w:rPr>
              <w:t>无含油电气设备</w:t>
            </w:r>
            <w:r>
              <w:rPr>
                <w:rFonts w:hint="eastAsia"/>
                <w:sz w:val="18"/>
                <w:szCs w:val="18"/>
                <w:vertAlign w:val="superscript"/>
                <w:lang w:val="en-US" w:eastAsia="zh-CN"/>
              </w:rPr>
              <w:t>b</w:t>
            </w:r>
          </w:p>
        </w:tc>
        <w:tc>
          <w:tcPr>
            <w:tcW w:w="4462" w:type="dxa"/>
            <w:tcBorders>
              <w:top w:val="single" w:color="auto" w:sz="4" w:space="0"/>
              <w:bottom w:val="single" w:color="auto" w:sz="4" w:space="0"/>
            </w:tcBorders>
            <w:vAlign w:val="top"/>
          </w:tcPr>
          <w:p>
            <w:pPr>
              <w:jc w:val="center"/>
              <w:rPr>
                <w:rFonts w:hint="default" w:ascii="Times New Roman" w:hAnsi="Times New Roman" w:eastAsia="宋体"/>
                <w:sz w:val="18"/>
                <w:szCs w:val="18"/>
                <w:lang w:val="en-US" w:eastAsia="zh-CN"/>
              </w:rPr>
            </w:pPr>
            <w:r>
              <w:rPr>
                <w:rFonts w:ascii="Times New Roman" w:hAnsi="Times New Roman"/>
                <w:sz w:val="18"/>
                <w:szCs w:val="18"/>
              </w:rPr>
              <w:t>—</w:t>
            </w:r>
          </w:p>
        </w:tc>
      </w:tr>
      <w:tr>
        <w:tblPrEx>
          <w:tblBorders>
            <w:top w:val="single" w:color="auto" w:sz="8" w:space="0"/>
            <w:left w:val="single" w:color="auto" w:sz="8" w:space="0"/>
            <w:bottom w:val="single" w:color="auto" w:sz="8" w:space="0"/>
            <w:right w:val="single" w:color="auto" w:sz="8" w:space="0"/>
            <w:insideH w:val="none" w:color="auto" w:sz="0" w:space="0"/>
            <w:insideV w:val="single" w:color="auto" w:sz="4" w:space="0"/>
          </w:tblBorders>
          <w:tblCellMar>
            <w:top w:w="0" w:type="dxa"/>
            <w:left w:w="108" w:type="dxa"/>
            <w:bottom w:w="0" w:type="dxa"/>
            <w:right w:w="108" w:type="dxa"/>
          </w:tblCellMar>
        </w:tblPrEx>
        <w:trPr>
          <w:jc w:val="center"/>
        </w:trPr>
        <w:tc>
          <w:tcPr>
            <w:tcW w:w="2385" w:type="dxa"/>
            <w:vMerge w:val="continue"/>
            <w:tcBorders>
              <w:top w:val="single" w:color="auto" w:sz="4" w:space="0"/>
              <w:bottom w:val="single" w:color="auto" w:sz="4" w:space="0"/>
            </w:tcBorders>
            <w:vAlign w:val="center"/>
          </w:tcPr>
          <w:p>
            <w:pPr>
              <w:jc w:val="center"/>
              <w:rPr>
                <w:rFonts w:ascii="Times New Roman" w:hAnsi="Times New Roman"/>
                <w:sz w:val="18"/>
                <w:szCs w:val="18"/>
              </w:rPr>
            </w:pPr>
          </w:p>
        </w:tc>
        <w:tc>
          <w:tcPr>
            <w:tcW w:w="2423" w:type="dxa"/>
            <w:tcBorders>
              <w:top w:val="single" w:color="auto" w:sz="4" w:space="0"/>
              <w:bottom w:val="single" w:color="auto" w:sz="4" w:space="0"/>
            </w:tcBorders>
            <w:vAlign w:val="top"/>
          </w:tcPr>
          <w:p>
            <w:pPr>
              <w:jc w:val="left"/>
              <w:rPr>
                <w:rFonts w:ascii="Times New Roman" w:hAnsi="Times New Roman"/>
                <w:sz w:val="18"/>
                <w:szCs w:val="18"/>
              </w:rPr>
            </w:pPr>
            <w:r>
              <w:rPr>
                <w:rFonts w:ascii="Times New Roman" w:hAnsi="Times New Roman"/>
                <w:sz w:val="18"/>
                <w:szCs w:val="18"/>
              </w:rPr>
              <w:t>每组断路器油量＜1t</w:t>
            </w:r>
          </w:p>
        </w:tc>
        <w:tc>
          <w:tcPr>
            <w:tcW w:w="4462" w:type="dxa"/>
            <w:tcBorders>
              <w:top w:val="single" w:color="auto" w:sz="4" w:space="0"/>
              <w:bottom w:val="single" w:color="auto" w:sz="4" w:space="0"/>
            </w:tcBorders>
            <w:vAlign w:val="top"/>
          </w:tcPr>
          <w:p>
            <w:pPr>
              <w:jc w:val="center"/>
              <w:rPr>
                <w:rFonts w:ascii="Times New Roman" w:hAnsi="Times New Roman"/>
                <w:sz w:val="18"/>
                <w:szCs w:val="18"/>
              </w:rPr>
            </w:pPr>
            <w:r>
              <w:rPr>
                <w:rFonts w:ascii="Times New Roman" w:hAnsi="Times New Roman"/>
                <w:sz w:val="18"/>
                <w:szCs w:val="18"/>
              </w:rPr>
              <w:t>5</w:t>
            </w:r>
          </w:p>
        </w:tc>
      </w:tr>
      <w:tr>
        <w:tblPrEx>
          <w:tblBorders>
            <w:top w:val="single" w:color="auto" w:sz="8" w:space="0"/>
            <w:left w:val="single" w:color="auto" w:sz="8" w:space="0"/>
            <w:bottom w:val="single" w:color="auto" w:sz="8" w:space="0"/>
            <w:right w:val="single" w:color="auto" w:sz="8" w:space="0"/>
            <w:insideH w:val="none" w:color="auto" w:sz="0" w:space="0"/>
            <w:insideV w:val="single" w:color="auto" w:sz="4" w:space="0"/>
          </w:tblBorders>
          <w:tblCellMar>
            <w:top w:w="0" w:type="dxa"/>
            <w:left w:w="108" w:type="dxa"/>
            <w:bottom w:w="0" w:type="dxa"/>
            <w:right w:w="108" w:type="dxa"/>
          </w:tblCellMar>
        </w:tblPrEx>
        <w:trPr>
          <w:jc w:val="center"/>
        </w:trPr>
        <w:tc>
          <w:tcPr>
            <w:tcW w:w="2385" w:type="dxa"/>
            <w:vMerge w:val="continue"/>
            <w:tcBorders>
              <w:top w:val="single" w:color="auto" w:sz="4" w:space="0"/>
              <w:bottom w:val="single" w:color="auto" w:sz="4" w:space="0"/>
            </w:tcBorders>
            <w:vAlign w:val="top"/>
          </w:tcPr>
          <w:p>
            <w:pPr>
              <w:jc w:val="left"/>
              <w:rPr>
                <w:rFonts w:ascii="Times New Roman" w:hAnsi="Times New Roman"/>
                <w:sz w:val="18"/>
                <w:szCs w:val="18"/>
              </w:rPr>
            </w:pPr>
          </w:p>
        </w:tc>
        <w:tc>
          <w:tcPr>
            <w:tcW w:w="2423" w:type="dxa"/>
            <w:tcBorders>
              <w:top w:val="single" w:color="auto" w:sz="4" w:space="0"/>
              <w:bottom w:val="single" w:color="auto" w:sz="4" w:space="0"/>
            </w:tcBorders>
            <w:vAlign w:val="top"/>
          </w:tcPr>
          <w:p>
            <w:pPr>
              <w:jc w:val="left"/>
              <w:rPr>
                <w:rFonts w:ascii="Times New Roman" w:hAnsi="Times New Roman"/>
                <w:sz w:val="18"/>
                <w:szCs w:val="18"/>
              </w:rPr>
            </w:pPr>
            <w:r>
              <w:rPr>
                <w:rFonts w:ascii="Times New Roman" w:hAnsi="Times New Roman"/>
                <w:sz w:val="18"/>
                <w:szCs w:val="18"/>
              </w:rPr>
              <w:t>每组断路器油量≥1t</w:t>
            </w:r>
          </w:p>
        </w:tc>
        <w:tc>
          <w:tcPr>
            <w:tcW w:w="4462" w:type="dxa"/>
            <w:tcBorders>
              <w:top w:val="single" w:color="auto" w:sz="4" w:space="0"/>
              <w:bottom w:val="single" w:color="auto" w:sz="4" w:space="0"/>
            </w:tcBorders>
            <w:vAlign w:val="top"/>
          </w:tcPr>
          <w:p>
            <w:pPr>
              <w:jc w:val="center"/>
              <w:rPr>
                <w:rFonts w:ascii="Times New Roman" w:hAnsi="Times New Roman"/>
                <w:sz w:val="18"/>
                <w:szCs w:val="18"/>
              </w:rPr>
            </w:pPr>
            <w:r>
              <w:rPr>
                <w:rFonts w:ascii="Times New Roman" w:hAnsi="Times New Roman"/>
                <w:sz w:val="18"/>
                <w:szCs w:val="18"/>
              </w:rPr>
              <w:t>10</w:t>
            </w:r>
          </w:p>
        </w:tc>
      </w:tr>
      <w:tr>
        <w:tblPrEx>
          <w:tblBorders>
            <w:top w:val="single" w:color="auto" w:sz="8" w:space="0"/>
            <w:left w:val="single" w:color="auto" w:sz="8" w:space="0"/>
            <w:bottom w:val="single" w:color="auto" w:sz="8" w:space="0"/>
            <w:right w:val="single" w:color="auto" w:sz="8" w:space="0"/>
            <w:insideH w:val="none" w:color="auto" w:sz="0" w:space="0"/>
            <w:insideV w:val="single" w:color="auto" w:sz="4" w:space="0"/>
          </w:tblBorders>
          <w:tblCellMar>
            <w:top w:w="0" w:type="dxa"/>
            <w:left w:w="108" w:type="dxa"/>
            <w:bottom w:w="0" w:type="dxa"/>
            <w:right w:w="108" w:type="dxa"/>
          </w:tblCellMar>
        </w:tblPrEx>
        <w:trPr>
          <w:jc w:val="center"/>
        </w:trPr>
        <w:tc>
          <w:tcPr>
            <w:tcW w:w="2385" w:type="dxa"/>
            <w:tcBorders>
              <w:top w:val="single" w:color="auto" w:sz="4" w:space="0"/>
              <w:bottom w:val="single" w:color="auto" w:sz="4" w:space="0"/>
            </w:tcBorders>
            <w:vAlign w:val="center"/>
          </w:tcPr>
          <w:p>
            <w:pPr>
              <w:jc w:val="center"/>
              <w:rPr>
                <w:rFonts w:hint="default" w:ascii="Times New Roman" w:hAnsi="Times New Roman" w:eastAsia="宋体"/>
                <w:sz w:val="18"/>
                <w:szCs w:val="18"/>
                <w:lang w:val="en-US" w:eastAsia="zh-CN"/>
              </w:rPr>
            </w:pPr>
            <w:r>
              <w:rPr>
                <w:rFonts w:ascii="Times New Roman" w:hAnsi="Times New Roman"/>
                <w:sz w:val="18"/>
                <w:szCs w:val="18"/>
              </w:rPr>
              <w:t>油浸变压器</w:t>
            </w:r>
            <w:r>
              <w:rPr>
                <w:rFonts w:hint="eastAsia"/>
                <w:sz w:val="18"/>
                <w:szCs w:val="18"/>
                <w:lang w:eastAsia="zh-CN"/>
              </w:rPr>
              <w:t>，</w:t>
            </w:r>
            <w:r>
              <w:rPr>
                <w:rFonts w:hint="eastAsia"/>
                <w:sz w:val="18"/>
                <w:szCs w:val="18"/>
                <w:lang w:val="en-US" w:eastAsia="zh-CN"/>
              </w:rPr>
              <w:t>油浸电抗器</w:t>
            </w:r>
          </w:p>
        </w:tc>
        <w:tc>
          <w:tcPr>
            <w:tcW w:w="2423" w:type="dxa"/>
            <w:tcBorders>
              <w:top w:val="single" w:color="auto" w:sz="4" w:space="0"/>
              <w:bottom w:val="single" w:color="auto" w:sz="4" w:space="0"/>
            </w:tcBorders>
            <w:vAlign w:val="center"/>
          </w:tcPr>
          <w:p>
            <w:pPr>
              <w:jc w:val="left"/>
              <w:rPr>
                <w:rFonts w:hint="default" w:ascii="Times New Roman" w:hAnsi="Times New Roman" w:eastAsia="宋体"/>
                <w:sz w:val="18"/>
                <w:szCs w:val="18"/>
                <w:lang w:val="en-US" w:eastAsia="zh-CN"/>
              </w:rPr>
            </w:pPr>
            <w:r>
              <w:rPr>
                <w:rFonts w:hint="eastAsia"/>
                <w:sz w:val="18"/>
                <w:szCs w:val="18"/>
                <w:lang w:val="en-US" w:eastAsia="zh-CN"/>
              </w:rPr>
              <w:t>单台设备油量</w:t>
            </w:r>
            <w:r>
              <w:rPr>
                <w:rFonts w:ascii="Times New Roman" w:hAnsi="Times New Roman"/>
                <w:sz w:val="18"/>
                <w:szCs w:val="18"/>
              </w:rPr>
              <w:t>≥</w:t>
            </w:r>
            <w:r>
              <w:rPr>
                <w:rFonts w:hint="eastAsia"/>
                <w:sz w:val="18"/>
                <w:szCs w:val="18"/>
                <w:lang w:val="en-US" w:eastAsia="zh-CN"/>
              </w:rPr>
              <w:t>5</w:t>
            </w:r>
            <w:r>
              <w:rPr>
                <w:rFonts w:ascii="Times New Roman" w:hAnsi="Times New Roman"/>
                <w:sz w:val="18"/>
                <w:szCs w:val="18"/>
              </w:rPr>
              <w:t>t</w:t>
            </w:r>
          </w:p>
        </w:tc>
        <w:tc>
          <w:tcPr>
            <w:tcW w:w="4462" w:type="dxa"/>
            <w:tcBorders>
              <w:top w:val="single" w:color="auto" w:sz="4" w:space="0"/>
              <w:bottom w:val="single" w:color="auto" w:sz="4" w:space="0"/>
            </w:tcBorders>
            <w:vAlign w:val="top"/>
          </w:tcPr>
          <w:p>
            <w:pPr>
              <w:jc w:val="center"/>
              <w:rPr>
                <w:rFonts w:ascii="Times New Roman" w:hAnsi="Times New Roman"/>
                <w:sz w:val="18"/>
                <w:szCs w:val="18"/>
              </w:rPr>
            </w:pPr>
            <w:r>
              <w:rPr>
                <w:rFonts w:ascii="Times New Roman" w:hAnsi="Times New Roman"/>
                <w:sz w:val="18"/>
                <w:szCs w:val="18"/>
              </w:rPr>
              <w:t>10</w:t>
            </w:r>
          </w:p>
        </w:tc>
      </w:tr>
      <w:tr>
        <w:tblPrEx>
          <w:tblBorders>
            <w:top w:val="single" w:color="auto" w:sz="8" w:space="0"/>
            <w:left w:val="single" w:color="auto" w:sz="8" w:space="0"/>
            <w:bottom w:val="single" w:color="auto" w:sz="8" w:space="0"/>
            <w:right w:val="single" w:color="auto" w:sz="8" w:space="0"/>
            <w:insideH w:val="none" w:color="auto" w:sz="0" w:space="0"/>
            <w:insideV w:val="single" w:color="auto" w:sz="4" w:space="0"/>
          </w:tblBorders>
          <w:tblCellMar>
            <w:top w:w="0" w:type="dxa"/>
            <w:left w:w="108" w:type="dxa"/>
            <w:bottom w:w="0" w:type="dxa"/>
            <w:right w:w="108" w:type="dxa"/>
          </w:tblCellMar>
        </w:tblPrEx>
        <w:trPr>
          <w:jc w:val="center"/>
        </w:trPr>
        <w:tc>
          <w:tcPr>
            <w:tcW w:w="4808" w:type="dxa"/>
            <w:gridSpan w:val="2"/>
            <w:tcBorders>
              <w:top w:val="single" w:color="auto" w:sz="4" w:space="0"/>
              <w:bottom w:val="single" w:color="auto" w:sz="4" w:space="0"/>
            </w:tcBorders>
            <w:vAlign w:val="center"/>
          </w:tcPr>
          <w:p>
            <w:pPr>
              <w:jc w:val="center"/>
              <w:rPr>
                <w:rFonts w:ascii="Times New Roman" w:hAnsi="Times New Roman"/>
                <w:sz w:val="18"/>
                <w:szCs w:val="18"/>
              </w:rPr>
            </w:pPr>
            <w:r>
              <w:rPr>
                <w:rFonts w:ascii="Times New Roman" w:hAnsi="Times New Roman"/>
                <w:sz w:val="18"/>
                <w:szCs w:val="18"/>
              </w:rPr>
              <w:t>事故油池</w:t>
            </w:r>
          </w:p>
        </w:tc>
        <w:tc>
          <w:tcPr>
            <w:tcW w:w="4462" w:type="dxa"/>
            <w:tcBorders>
              <w:top w:val="single" w:color="auto" w:sz="4" w:space="0"/>
              <w:bottom w:val="single" w:color="auto" w:sz="4" w:space="0"/>
            </w:tcBorders>
            <w:vAlign w:val="top"/>
          </w:tcPr>
          <w:p>
            <w:pPr>
              <w:jc w:val="center"/>
              <w:rPr>
                <w:rFonts w:ascii="Times New Roman" w:hAnsi="Times New Roman"/>
                <w:sz w:val="18"/>
                <w:szCs w:val="18"/>
              </w:rPr>
            </w:pPr>
            <w:r>
              <w:rPr>
                <w:rFonts w:ascii="Times New Roman" w:hAnsi="Times New Roman"/>
                <w:sz w:val="18"/>
                <w:szCs w:val="18"/>
              </w:rPr>
              <w:t>5</w:t>
            </w:r>
          </w:p>
        </w:tc>
      </w:tr>
      <w:tr>
        <w:tblPrEx>
          <w:tblBorders>
            <w:top w:val="single" w:color="auto" w:sz="8" w:space="0"/>
            <w:left w:val="single" w:color="auto" w:sz="8" w:space="0"/>
            <w:bottom w:val="single" w:color="auto" w:sz="8" w:space="0"/>
            <w:right w:val="single" w:color="auto" w:sz="8" w:space="0"/>
            <w:insideH w:val="none" w:color="auto" w:sz="0" w:space="0"/>
            <w:insideV w:val="single" w:color="auto" w:sz="4" w:space="0"/>
          </w:tblBorders>
          <w:tblCellMar>
            <w:top w:w="0" w:type="dxa"/>
            <w:left w:w="108" w:type="dxa"/>
            <w:bottom w:w="0" w:type="dxa"/>
            <w:right w:w="108" w:type="dxa"/>
          </w:tblCellMar>
        </w:tblPrEx>
        <w:trPr>
          <w:jc w:val="center"/>
        </w:trPr>
        <w:tc>
          <w:tcPr>
            <w:tcW w:w="9270" w:type="dxa"/>
            <w:gridSpan w:val="3"/>
            <w:tcBorders>
              <w:top w:val="single" w:color="auto" w:sz="4" w:space="0"/>
            </w:tcBorders>
            <w:vAlign w:val="center"/>
          </w:tcPr>
          <w:p>
            <w:pPr>
              <w:ind w:firstLine="0"/>
              <w:jc w:val="left"/>
              <w:rPr>
                <w:rFonts w:hint="eastAsia" w:ascii="宋体" w:hAnsi="宋体" w:eastAsia="宋体" w:cs="宋体"/>
                <w:sz w:val="18"/>
                <w:szCs w:val="18"/>
                <w:highlight w:val="none"/>
                <w:lang w:eastAsia="zh-CN"/>
              </w:rPr>
            </w:pPr>
            <w:r>
              <w:rPr>
                <w:rFonts w:hint="eastAsia" w:ascii="黑体" w:hAnsi="黑体" w:eastAsia="黑体" w:cs="黑体"/>
                <w:sz w:val="18"/>
                <w:szCs w:val="18"/>
                <w:highlight w:val="none"/>
                <w:vertAlign w:val="superscript"/>
                <w:lang w:val="en-US" w:eastAsia="zh-CN"/>
              </w:rPr>
              <w:t xml:space="preserve">a  </w:t>
            </w:r>
            <w:r>
              <w:rPr>
                <w:rFonts w:hint="eastAsia" w:ascii="宋体" w:hAnsi="宋体" w:eastAsia="宋体" w:cs="宋体"/>
                <w:sz w:val="18"/>
                <w:szCs w:val="18"/>
                <w:highlight w:val="none"/>
              </w:rPr>
              <w:t>当丙、丁、戊类生产建筑与电池舱相邻</w:t>
            </w:r>
            <w:r>
              <w:rPr>
                <w:rFonts w:hint="eastAsia" w:ascii="宋体" w:hAnsi="宋体" w:cs="宋体"/>
                <w:sz w:val="18"/>
                <w:szCs w:val="18"/>
                <w:highlight w:val="none"/>
                <w:lang w:val="en-US" w:eastAsia="zh-CN"/>
              </w:rPr>
              <w:t>一面</w:t>
            </w:r>
            <w:r>
              <w:rPr>
                <w:rFonts w:hint="eastAsia" w:ascii="宋体" w:hAnsi="宋体" w:eastAsia="宋体" w:cs="宋体"/>
                <w:sz w:val="18"/>
                <w:szCs w:val="18"/>
                <w:highlight w:val="none"/>
              </w:rPr>
              <w:t>外墙为防火墙，且防火墙长度、高度均超出预制舱外廓各1m时，</w:t>
            </w:r>
            <w:r>
              <w:rPr>
                <w:rFonts w:hint="eastAsia" w:ascii="宋体" w:hAnsi="宋体" w:cs="宋体"/>
                <w:sz w:val="18"/>
                <w:szCs w:val="18"/>
                <w:highlight w:val="none"/>
                <w:lang w:val="en-US" w:eastAsia="zh-CN"/>
              </w:rPr>
              <w:t>其</w:t>
            </w:r>
            <w:r>
              <w:rPr>
                <w:rFonts w:hint="eastAsia" w:ascii="宋体" w:hAnsi="宋体" w:eastAsia="宋体" w:cs="宋体"/>
                <w:sz w:val="18"/>
                <w:szCs w:val="18"/>
                <w:highlight w:val="none"/>
              </w:rPr>
              <w:t>防火间距不限</w:t>
            </w:r>
            <w:r>
              <w:rPr>
                <w:rFonts w:hint="eastAsia" w:ascii="宋体" w:hAnsi="宋体" w:cs="宋体"/>
                <w:sz w:val="18"/>
                <w:szCs w:val="18"/>
                <w:highlight w:val="none"/>
                <w:lang w:eastAsia="zh-CN"/>
              </w:rPr>
              <w:t>。</w:t>
            </w:r>
          </w:p>
          <w:p>
            <w:pPr>
              <w:rPr>
                <w:rFonts w:ascii="Times New Roman" w:hAnsi="Times New Roman"/>
                <w:sz w:val="18"/>
                <w:szCs w:val="18"/>
              </w:rPr>
            </w:pPr>
            <w:r>
              <w:rPr>
                <w:rFonts w:hint="eastAsia" w:ascii="黑体" w:hAnsi="黑体" w:eastAsia="黑体" w:cs="黑体"/>
                <w:sz w:val="18"/>
                <w:szCs w:val="18"/>
                <w:highlight w:val="none"/>
                <w:vertAlign w:val="superscript"/>
                <w:lang w:eastAsia="zh-CN"/>
              </w:rPr>
              <w:t>b</w:t>
            </w:r>
            <w:r>
              <w:rPr>
                <w:rFonts w:hint="eastAsia" w:ascii="黑体" w:hAnsi="黑体" w:eastAsia="黑体" w:cs="黑体"/>
                <w:sz w:val="18"/>
                <w:szCs w:val="18"/>
                <w:highlight w:val="none"/>
                <w:vertAlign w:val="superscript"/>
                <w:lang w:val="en-US" w:eastAsia="zh-CN"/>
              </w:rPr>
              <w:t xml:space="preserve">  </w:t>
            </w:r>
            <w:r>
              <w:rPr>
                <w:rFonts w:hint="eastAsia" w:ascii="宋体" w:hAnsi="宋体" w:eastAsia="宋体" w:cs="宋体"/>
                <w:sz w:val="18"/>
                <w:szCs w:val="18"/>
              </w:rPr>
              <w:t>表中“—”表示不限制，该间距可根据工艺布置需要确定。</w:t>
            </w:r>
          </w:p>
        </w:tc>
      </w:tr>
    </w:tbl>
    <w:p>
      <w:pPr>
        <w:pStyle w:val="326"/>
        <w:bidi w:val="0"/>
        <w:spacing w:line="312" w:lineRule="auto"/>
        <w:rPr>
          <w:highlight w:val="none"/>
        </w:rPr>
      </w:pPr>
      <w:r>
        <w:rPr>
          <w:highlight w:val="none"/>
        </w:rPr>
        <w:t>电池预制舱</w:t>
      </w:r>
      <w:r>
        <w:rPr>
          <w:rFonts w:hint="eastAsia"/>
          <w:highlight w:val="none"/>
        </w:rPr>
        <w:t>应</w:t>
      </w:r>
      <w:r>
        <w:rPr>
          <w:highlight w:val="none"/>
        </w:rPr>
        <w:t>单层布置。</w:t>
      </w:r>
      <w:r>
        <w:rPr>
          <w:rFonts w:hint="eastAsia"/>
          <w:highlight w:val="none"/>
        </w:rPr>
        <w:t>单个防火单元</w:t>
      </w:r>
      <w:r>
        <w:rPr>
          <w:rFonts w:hint="eastAsia"/>
          <w:highlight w:val="none"/>
          <w:lang w:val="en-US" w:eastAsia="zh-CN"/>
        </w:rPr>
        <w:t>内所有</w:t>
      </w:r>
      <w:r>
        <w:rPr>
          <w:rFonts w:hint="eastAsia"/>
          <w:highlight w:val="none"/>
        </w:rPr>
        <w:t>电池舱</w:t>
      </w:r>
      <w:r>
        <w:rPr>
          <w:rFonts w:hint="eastAsia"/>
          <w:highlight w:val="none"/>
          <w:lang w:val="en-US" w:eastAsia="zh-CN"/>
        </w:rPr>
        <w:t>的电池额定能量之和不宜大于</w:t>
      </w:r>
      <w:r>
        <w:rPr>
          <w:rFonts w:hint="eastAsia"/>
          <w:lang w:val="en-US" w:eastAsia="zh-CN"/>
        </w:rPr>
        <w:t>10 M</w:t>
      </w:r>
      <w:r>
        <w:rPr>
          <w:kern w:val="0"/>
          <w:szCs w:val="20"/>
        </w:rPr>
        <w:t>W·h</w:t>
      </w:r>
      <w:r>
        <w:rPr>
          <w:rFonts w:hint="eastAsia"/>
          <w:highlight w:val="none"/>
          <w:lang w:val="en-US" w:eastAsia="zh-CN"/>
        </w:rPr>
        <w:t>。相邻防火单元</w:t>
      </w:r>
      <w:r>
        <w:rPr>
          <w:highlight w:val="none"/>
        </w:rPr>
        <w:t>的</w:t>
      </w:r>
      <w:r>
        <w:rPr>
          <w:rFonts w:hint="eastAsia"/>
          <w:highlight w:val="none"/>
          <w:lang w:val="en-US" w:eastAsia="zh-CN"/>
        </w:rPr>
        <w:t>电池舱防火间距</w:t>
      </w:r>
      <w:r>
        <w:rPr>
          <w:highlight w:val="none"/>
        </w:rPr>
        <w:t>不应小于3m</w:t>
      </w:r>
      <w:r>
        <w:rPr>
          <w:rFonts w:hint="eastAsia"/>
          <w:highlight w:val="none"/>
        </w:rPr>
        <w:t>，</w:t>
      </w:r>
      <w:r>
        <w:rPr>
          <w:rFonts w:hint="default"/>
          <w:highlight w:val="none"/>
          <w:lang w:val="en-US" w:eastAsia="zh-CN"/>
        </w:rPr>
        <w:t>且电池舱开门侧防火间距还应满足检修和灭火救援的要求</w:t>
      </w:r>
      <w:r>
        <w:rPr>
          <w:highlight w:val="none"/>
        </w:rPr>
        <w:t>；当采用防火墙时，防火间距不限。</w:t>
      </w:r>
      <w:r>
        <w:rPr>
          <w:rFonts w:hint="eastAsia"/>
          <w:highlight w:val="none"/>
          <w:lang w:val="en-US" w:eastAsia="zh-CN"/>
        </w:rPr>
        <w:t>防火墙的耐火极限应不小于3h，</w:t>
      </w:r>
      <w:r>
        <w:rPr>
          <w:highlight w:val="none"/>
        </w:rPr>
        <w:t>防火墙长度、高度</w:t>
      </w:r>
      <w:r>
        <w:rPr>
          <w:rFonts w:hint="eastAsia"/>
          <w:highlight w:val="none"/>
          <w:lang w:val="en-US" w:eastAsia="zh-CN"/>
        </w:rPr>
        <w:t>均</w:t>
      </w:r>
      <w:r>
        <w:rPr>
          <w:highlight w:val="none"/>
        </w:rPr>
        <w:t>应超出预制舱外廓各1m。</w:t>
      </w:r>
    </w:p>
    <w:p>
      <w:pPr>
        <w:pStyle w:val="326"/>
        <w:bidi w:val="0"/>
        <w:spacing w:line="312" w:lineRule="auto"/>
        <w:rPr>
          <w:highlight w:val="none"/>
        </w:rPr>
      </w:pPr>
      <w:r>
        <w:rPr>
          <w:highlight w:val="none"/>
        </w:rPr>
        <w:t>储能电站</w:t>
      </w:r>
      <w:r>
        <w:rPr>
          <w:rFonts w:hint="eastAsia"/>
          <w:highlight w:val="none"/>
          <w:lang w:val="en-US" w:eastAsia="zh-CN"/>
        </w:rPr>
        <w:t>应</w:t>
      </w:r>
      <w:r>
        <w:rPr>
          <w:highlight w:val="none"/>
        </w:rPr>
        <w:t>设置</w:t>
      </w:r>
      <w:r>
        <w:rPr>
          <w:rFonts w:hint="eastAsia"/>
          <w:highlight w:val="none"/>
          <w:lang w:val="en-US" w:eastAsia="zh-CN"/>
        </w:rPr>
        <w:t>围栏或</w:t>
      </w:r>
      <w:r>
        <w:rPr>
          <w:highlight w:val="none"/>
        </w:rPr>
        <w:t>围墙。电池预制舱</w:t>
      </w:r>
      <w:r>
        <w:rPr>
          <w:rFonts w:hint="eastAsia"/>
          <w:highlight w:val="none"/>
          <w:lang w:val="en-US" w:eastAsia="zh-CN"/>
        </w:rPr>
        <w:t>与围墙或围栏</w:t>
      </w:r>
      <w:r>
        <w:rPr>
          <w:highlight w:val="none"/>
        </w:rPr>
        <w:t>的间距不宜小于5m；当小于5m时，</w:t>
      </w:r>
      <w:r>
        <w:rPr>
          <w:rFonts w:hint="eastAsia"/>
          <w:highlight w:val="none"/>
          <w:lang w:val="en-US" w:eastAsia="zh-CN"/>
        </w:rPr>
        <w:t>可</w:t>
      </w:r>
      <w:r>
        <w:rPr>
          <w:highlight w:val="none"/>
        </w:rPr>
        <w:t>采用实体围墙，高度不低于电池预制舱外廓。</w:t>
      </w:r>
    </w:p>
    <w:p>
      <w:pPr>
        <w:pStyle w:val="326"/>
        <w:bidi w:val="0"/>
        <w:spacing w:line="312" w:lineRule="auto"/>
        <w:rPr>
          <w:highlight w:val="none"/>
        </w:rPr>
      </w:pPr>
      <w:r>
        <w:t>储能电站站区</w:t>
      </w:r>
      <w:r>
        <w:rPr>
          <w:rFonts w:hint="eastAsia"/>
          <w:lang w:val="en-US" w:eastAsia="zh-CN"/>
        </w:rPr>
        <w:t>应至少</w:t>
      </w:r>
      <w:r>
        <w:t>设</w:t>
      </w:r>
      <w:r>
        <w:rPr>
          <w:rFonts w:hint="eastAsia"/>
          <w:lang w:val="en-US" w:eastAsia="zh-CN"/>
        </w:rPr>
        <w:t>置</w:t>
      </w:r>
      <w:r>
        <w:t>一个供消防车辆进出的出</w:t>
      </w:r>
      <w:r>
        <w:rPr>
          <w:rFonts w:hint="eastAsia"/>
          <w:lang w:val="en-US" w:eastAsia="zh-CN"/>
        </w:rPr>
        <w:t>入</w:t>
      </w:r>
      <w:r>
        <w:t>口</w:t>
      </w:r>
      <w:r>
        <w:rPr>
          <w:rFonts w:hint="eastAsia"/>
          <w:lang w:eastAsia="zh-CN"/>
        </w:rPr>
        <w:t>，</w:t>
      </w:r>
      <w:r>
        <w:rPr>
          <w:rFonts w:hint="eastAsia"/>
        </w:rPr>
        <w:t>出入口净宽、净高不小于5m</w:t>
      </w:r>
      <w:r>
        <w:t>。站区内宜设置环形消防车道，如确有困难时应设置回车场。消防车道</w:t>
      </w:r>
      <w:r>
        <w:rPr>
          <w:rFonts w:hint="eastAsia"/>
        </w:rPr>
        <w:t>其他要求还</w:t>
      </w:r>
      <w:r>
        <w:t>应符合GB 50016</w:t>
      </w:r>
      <w:r>
        <w:rPr>
          <w:rFonts w:hint="eastAsia"/>
          <w:lang w:eastAsia="zh-CN"/>
        </w:rPr>
        <w:t>、</w:t>
      </w:r>
      <w:r>
        <w:t>GB 5</w:t>
      </w:r>
      <w:r>
        <w:rPr>
          <w:rFonts w:hint="eastAsia"/>
          <w:lang w:val="en-US" w:eastAsia="zh-CN"/>
        </w:rPr>
        <w:t>5037</w:t>
      </w:r>
      <w:r>
        <w:t>的</w:t>
      </w:r>
      <w:r>
        <w:rPr>
          <w:rFonts w:hint="eastAsia"/>
        </w:rPr>
        <w:t>相关规定</w:t>
      </w:r>
      <w:r>
        <w:t>。</w:t>
      </w:r>
    </w:p>
    <w:p>
      <w:pPr>
        <w:pStyle w:val="259"/>
        <w:bidi w:val="0"/>
        <w:spacing w:line="312" w:lineRule="auto"/>
        <w:outlineLvl w:val="2"/>
        <w:rPr>
          <w:rFonts w:hint="eastAsia"/>
        </w:rPr>
      </w:pPr>
      <w:bookmarkStart w:id="177" w:name="_Toc16677"/>
      <w:bookmarkStart w:id="178" w:name="_Toc29327"/>
      <w:bookmarkStart w:id="179" w:name="_Toc31443"/>
      <w:bookmarkStart w:id="180" w:name="_Toc173"/>
      <w:bookmarkStart w:id="181" w:name="_Toc32005"/>
      <w:bookmarkStart w:id="182" w:name="_Toc2477"/>
      <w:r>
        <w:rPr>
          <w:rFonts w:hint="eastAsia"/>
          <w:lang w:val="en-US" w:eastAsia="zh-CN"/>
        </w:rPr>
        <w:t>消防设施</w:t>
      </w:r>
      <w:bookmarkEnd w:id="177"/>
      <w:bookmarkEnd w:id="178"/>
      <w:bookmarkEnd w:id="179"/>
      <w:bookmarkEnd w:id="180"/>
      <w:bookmarkEnd w:id="181"/>
      <w:bookmarkEnd w:id="182"/>
    </w:p>
    <w:p>
      <w:pPr>
        <w:pStyle w:val="260"/>
        <w:bidi w:val="0"/>
        <w:spacing w:line="312" w:lineRule="auto"/>
        <w:outlineLvl w:val="2"/>
      </w:pPr>
      <w:bookmarkStart w:id="183" w:name="_Toc6036"/>
      <w:bookmarkStart w:id="184" w:name="_Toc18357"/>
      <w:bookmarkStart w:id="185" w:name="_Toc2595"/>
      <w:bookmarkStart w:id="186" w:name="_Toc17390"/>
      <w:bookmarkStart w:id="187" w:name="_Toc9208"/>
      <w:bookmarkStart w:id="188" w:name="_Toc23603"/>
      <w:bookmarkStart w:id="189" w:name="_Toc16251"/>
      <w:bookmarkStart w:id="190" w:name="_Toc21984"/>
      <w:bookmarkStart w:id="191" w:name="_Toc23124"/>
      <w:bookmarkStart w:id="192" w:name="_Toc6950"/>
      <w:bookmarkStart w:id="193" w:name="_Toc691"/>
      <w:bookmarkStart w:id="194" w:name="_Toc20194"/>
      <w:bookmarkStart w:id="195" w:name="_Toc20840"/>
      <w:bookmarkStart w:id="196" w:name="_Toc19052"/>
      <w:r>
        <w:t>消防给水</w:t>
      </w:r>
      <w:bookmarkEnd w:id="183"/>
      <w:bookmarkEnd w:id="184"/>
      <w:bookmarkEnd w:id="185"/>
      <w:bookmarkEnd w:id="186"/>
      <w:bookmarkEnd w:id="187"/>
      <w:bookmarkEnd w:id="188"/>
      <w:bookmarkEnd w:id="189"/>
      <w:bookmarkEnd w:id="190"/>
      <w:r>
        <w:rPr>
          <w:rFonts w:hint="eastAsia"/>
          <w:lang w:val="en-US" w:eastAsia="zh-CN"/>
        </w:rPr>
        <w:t>和消火栓系统</w:t>
      </w:r>
      <w:bookmarkEnd w:id="191"/>
      <w:bookmarkEnd w:id="192"/>
      <w:bookmarkEnd w:id="193"/>
      <w:bookmarkEnd w:id="194"/>
      <w:bookmarkEnd w:id="195"/>
      <w:bookmarkEnd w:id="196"/>
    </w:p>
    <w:p>
      <w:pPr>
        <w:pStyle w:val="326"/>
        <w:bidi w:val="0"/>
        <w:spacing w:line="312" w:lineRule="auto"/>
      </w:pPr>
      <w:r>
        <w:rPr>
          <w:rFonts w:hint="eastAsia"/>
        </w:rPr>
        <w:t>设置在市政消火栓或贴邻发电厂（变电站）的消火栓保护半径范围内的小型预制舱式储能电站，当消火栓流量大于20L/s时，可不设消防给水。</w:t>
      </w:r>
      <w:r>
        <w:rPr>
          <w:rFonts w:hint="eastAsia"/>
          <w:lang w:val="en-US" w:eastAsia="zh-CN"/>
        </w:rPr>
        <w:t>其他</w:t>
      </w:r>
      <w:r>
        <w:t>储能电站应设置消防给水系统</w:t>
      </w:r>
      <w:r>
        <w:rPr>
          <w:rFonts w:hint="eastAsia"/>
          <w:lang w:eastAsia="zh-CN"/>
        </w:rPr>
        <w:t>。</w:t>
      </w:r>
    </w:p>
    <w:p>
      <w:pPr>
        <w:pStyle w:val="326"/>
        <w:bidi w:val="0"/>
        <w:spacing w:line="312" w:lineRule="auto"/>
      </w:pPr>
      <w:r>
        <w:rPr>
          <w:rFonts w:hint="eastAsia"/>
        </w:rPr>
        <w:t>消防水源应有可靠的保证，优先选用</w:t>
      </w:r>
      <w:r>
        <w:t>市政给水，也可采用消防水池或天然水源供给。</w:t>
      </w:r>
      <w:r>
        <w:rPr>
          <w:rFonts w:hint="eastAsia"/>
        </w:rPr>
        <w:t>采用</w:t>
      </w:r>
      <w:r>
        <w:t>天然水源时，</w:t>
      </w:r>
      <w:r>
        <w:rPr>
          <w:rFonts w:hint="eastAsia"/>
          <w:lang w:eastAsia="zh-CN"/>
        </w:rPr>
        <w:t>枯水期应仍能保证有效水量，取水口应有保证可靠取水的防污、防杂物措施</w:t>
      </w:r>
      <w:r>
        <w:t>。</w:t>
      </w:r>
    </w:p>
    <w:p>
      <w:pPr>
        <w:pStyle w:val="326"/>
        <w:bidi w:val="0"/>
        <w:spacing w:line="312" w:lineRule="auto"/>
      </w:pPr>
      <w:r>
        <w:t>消防给水设计流量应按需要同时作用的水灭火系统最大设计流量之和确定。消防用水量应按</w:t>
      </w:r>
      <w:r>
        <w:rPr>
          <w:rFonts w:hint="eastAsia"/>
        </w:rPr>
        <w:t>同一时间内的火灾起数和</w:t>
      </w:r>
      <w:r>
        <w:rPr>
          <w:rFonts w:hint="eastAsia"/>
          <w:lang w:val="en-US" w:eastAsia="zh-CN"/>
        </w:rPr>
        <w:t>1</w:t>
      </w:r>
      <w:r>
        <w:t>起火灾灭火</w:t>
      </w:r>
      <w:r>
        <w:rPr>
          <w:rFonts w:hint="eastAsia"/>
        </w:rPr>
        <w:t>所需</w:t>
      </w:r>
      <w:r>
        <w:t>最大用水量计算。</w:t>
      </w:r>
      <w:r>
        <w:rPr>
          <w:rFonts w:hint="eastAsia"/>
          <w:lang w:val="en-US" w:eastAsia="zh-CN"/>
        </w:rPr>
        <w:t>1</w:t>
      </w:r>
      <w:r>
        <w:t>起火灾灭火</w:t>
      </w:r>
      <w:r>
        <w:rPr>
          <w:rFonts w:hint="eastAsia"/>
        </w:rPr>
        <w:t>所需最大</w:t>
      </w:r>
      <w:r>
        <w:t xml:space="preserve">用水量计算应符合下列规定： </w:t>
      </w:r>
    </w:p>
    <w:p>
      <w:pPr>
        <w:pStyle w:val="305"/>
        <w:numPr>
          <w:ilvl w:val="0"/>
          <w:numId w:val="34"/>
        </w:numPr>
        <w:bidi w:val="0"/>
        <w:spacing w:line="312" w:lineRule="auto"/>
        <w:ind w:left="839" w:leftChars="0" w:hanging="419" w:firstLineChars="0"/>
        <w:rPr>
          <w:highlight w:val="none"/>
        </w:rPr>
      </w:pPr>
      <w:r>
        <w:rPr>
          <w:rFonts w:hint="eastAsia"/>
          <w:lang w:val="en-US" w:eastAsia="zh-CN"/>
        </w:rPr>
        <w:t>室外</w:t>
      </w:r>
      <w:r>
        <w:t>消火栓灭火系统的火灾延续时间不</w:t>
      </w:r>
      <w:r>
        <w:rPr>
          <w:highlight w:val="none"/>
        </w:rPr>
        <w:t>应小于3h</w:t>
      </w:r>
      <w:r>
        <w:rPr>
          <w:rFonts w:hint="eastAsia"/>
          <w:highlight w:val="none"/>
          <w:lang w:val="en-US" w:eastAsia="zh-CN"/>
        </w:rPr>
        <w:t>；</w:t>
      </w:r>
    </w:p>
    <w:p>
      <w:pPr>
        <w:pStyle w:val="305"/>
        <w:numPr>
          <w:ilvl w:val="0"/>
          <w:numId w:val="34"/>
        </w:numPr>
        <w:bidi w:val="0"/>
        <w:spacing w:line="312" w:lineRule="auto"/>
        <w:ind w:left="839" w:leftChars="0" w:hanging="419" w:firstLineChars="0"/>
      </w:pPr>
      <w:r>
        <w:rPr>
          <w:rFonts w:hint="eastAsia"/>
          <w:highlight w:val="none"/>
          <w:lang w:val="en-US" w:eastAsia="zh-CN"/>
        </w:rPr>
        <w:t>水喷雾（淋）灭火系统、细水雾灭火系统等需要同时作用的各种水灭火系统</w:t>
      </w:r>
      <w:r>
        <w:rPr>
          <w:highlight w:val="none"/>
        </w:rPr>
        <w:t>的</w:t>
      </w:r>
      <w:r>
        <w:rPr>
          <w:rFonts w:hint="eastAsia"/>
          <w:highlight w:val="none"/>
          <w:lang w:val="en-US" w:eastAsia="zh-CN"/>
        </w:rPr>
        <w:t>设计用水量应根</w:t>
      </w:r>
      <w:r>
        <w:rPr>
          <w:rFonts w:hint="eastAsia"/>
          <w:lang w:val="en-US" w:eastAsia="zh-CN"/>
        </w:rPr>
        <w:t>据相应技术标准确定；</w:t>
      </w:r>
    </w:p>
    <w:p>
      <w:pPr>
        <w:pStyle w:val="305"/>
        <w:numPr>
          <w:ilvl w:val="0"/>
          <w:numId w:val="34"/>
        </w:numPr>
        <w:bidi w:val="0"/>
        <w:spacing w:line="312" w:lineRule="auto"/>
        <w:ind w:left="839" w:leftChars="0" w:hanging="419" w:firstLineChars="0"/>
      </w:pPr>
      <w:r>
        <w:t>其他功能区域的消防用水量应符合GB 50974的规定。</w:t>
      </w:r>
    </w:p>
    <w:p>
      <w:pPr>
        <w:pStyle w:val="326"/>
        <w:bidi w:val="0"/>
        <w:spacing w:line="312" w:lineRule="auto"/>
      </w:pPr>
      <w:r>
        <w:t>储能电站室外消火栓系统符合下列要求：</w:t>
      </w:r>
    </w:p>
    <w:p>
      <w:pPr>
        <w:pStyle w:val="305"/>
        <w:numPr>
          <w:ilvl w:val="0"/>
          <w:numId w:val="35"/>
        </w:numPr>
        <w:bidi w:val="0"/>
        <w:spacing w:line="312" w:lineRule="auto"/>
        <w:ind w:left="839" w:leftChars="0" w:hanging="419" w:firstLineChars="0"/>
      </w:pPr>
      <w:r>
        <w:t>消火栓</w:t>
      </w:r>
      <w:r>
        <w:rPr>
          <w:highlight w:val="none"/>
        </w:rPr>
        <w:t>宜</w:t>
      </w:r>
      <w:r>
        <w:t>在场地内路边均匀布置，间距不应大于60m，检修阀之间的消火栓数量不应大于5个；</w:t>
      </w:r>
    </w:p>
    <w:p>
      <w:pPr>
        <w:pStyle w:val="305"/>
        <w:numPr>
          <w:ilvl w:val="0"/>
          <w:numId w:val="35"/>
        </w:numPr>
        <w:bidi w:val="0"/>
        <w:spacing w:line="312" w:lineRule="auto"/>
        <w:ind w:left="839" w:leftChars="0" w:hanging="419" w:firstLineChars="0"/>
      </w:pPr>
      <w:r>
        <w:t>消火栓设置数量应符合灭火救援要求，同时使用消防水枪数量不应少于4支，消火栓</w:t>
      </w:r>
      <w:r>
        <w:rPr>
          <w:rFonts w:hint="eastAsia"/>
          <w:lang w:val="en-US" w:eastAsia="zh-CN"/>
        </w:rPr>
        <w:t>出</w:t>
      </w:r>
      <w:r>
        <w:t>水量不应小于</w:t>
      </w:r>
      <w:r>
        <w:rPr>
          <w:rFonts w:hint="eastAsia"/>
          <w:highlight w:val="none"/>
          <w:lang w:val="en-US" w:eastAsia="zh-CN"/>
        </w:rPr>
        <w:t xml:space="preserve">20 </w:t>
      </w:r>
      <w:r>
        <w:rPr>
          <w:highlight w:val="none"/>
        </w:rPr>
        <w:t>L/s；</w:t>
      </w:r>
    </w:p>
    <w:p>
      <w:pPr>
        <w:pStyle w:val="305"/>
        <w:numPr>
          <w:ilvl w:val="0"/>
          <w:numId w:val="35"/>
        </w:numPr>
        <w:bidi w:val="0"/>
        <w:spacing w:line="312" w:lineRule="auto"/>
        <w:ind w:left="839" w:leftChars="0" w:hanging="419" w:firstLineChars="0"/>
      </w:pPr>
      <w:r>
        <w:t>地上式消火栓应有1个DN150或DN100和2个DN65 的栓口，地下式消火栓应有DN100和DN65的栓口各1个；</w:t>
      </w:r>
    </w:p>
    <w:p>
      <w:pPr>
        <w:pStyle w:val="305"/>
        <w:numPr>
          <w:ilvl w:val="0"/>
          <w:numId w:val="35"/>
        </w:numPr>
        <w:bidi w:val="0"/>
        <w:spacing w:line="312" w:lineRule="auto"/>
        <w:ind w:left="839" w:leftChars="0" w:hanging="419" w:firstLineChars="0"/>
      </w:pPr>
      <w:r>
        <w:t>寒冷地区室外消火栓应采取防冻措施；</w:t>
      </w:r>
    </w:p>
    <w:p>
      <w:pPr>
        <w:pStyle w:val="305"/>
        <w:numPr>
          <w:ilvl w:val="0"/>
          <w:numId w:val="35"/>
        </w:numPr>
        <w:bidi w:val="0"/>
        <w:spacing w:line="312" w:lineRule="auto"/>
        <w:ind w:left="839" w:leftChars="0" w:hanging="419" w:firstLineChars="0"/>
      </w:pPr>
      <w:r>
        <w:rPr>
          <w:rFonts w:hint="eastAsia"/>
          <w:lang w:val="en-US" w:eastAsia="zh-CN"/>
        </w:rPr>
        <w:t>电站内</w:t>
      </w:r>
      <w:r>
        <w:rPr>
          <w:rFonts w:hint="eastAsia"/>
        </w:rPr>
        <w:t>应设置消防箱，内部配置多功能消防水枪、DN65有衬里消防水带、消防扳手，并设置永久性固定标识</w:t>
      </w:r>
      <w:r>
        <w:t>。</w:t>
      </w:r>
    </w:p>
    <w:p>
      <w:pPr>
        <w:pStyle w:val="260"/>
        <w:bidi w:val="0"/>
        <w:spacing w:line="312" w:lineRule="auto"/>
        <w:outlineLvl w:val="2"/>
      </w:pPr>
      <w:bookmarkStart w:id="197" w:name="_Toc22356"/>
      <w:bookmarkStart w:id="198" w:name="_Toc7837"/>
      <w:bookmarkStart w:id="199" w:name="_Toc27076"/>
      <w:bookmarkStart w:id="200" w:name="_Toc27196"/>
      <w:bookmarkStart w:id="201" w:name="_Toc12260"/>
      <w:bookmarkStart w:id="202" w:name="_Toc19356"/>
      <w:bookmarkStart w:id="203" w:name="_Toc5779"/>
      <w:bookmarkStart w:id="204" w:name="_Toc6029"/>
      <w:bookmarkStart w:id="205" w:name="_Toc907"/>
      <w:bookmarkStart w:id="206" w:name="_Toc15463"/>
      <w:bookmarkStart w:id="207" w:name="_Toc15851"/>
      <w:bookmarkStart w:id="208" w:name="_Toc8200"/>
      <w:bookmarkStart w:id="209" w:name="_Toc24394"/>
      <w:bookmarkStart w:id="210" w:name="_Toc26620"/>
      <w:r>
        <w:rPr>
          <w:rFonts w:hint="eastAsia"/>
          <w:lang w:val="en-US" w:eastAsia="zh-CN"/>
        </w:rPr>
        <w:t>固定</w:t>
      </w:r>
      <w:r>
        <w:rPr>
          <w:rFonts w:hint="eastAsia"/>
        </w:rPr>
        <w:t>自动</w:t>
      </w:r>
      <w:r>
        <w:t>灭火</w:t>
      </w:r>
      <w:r>
        <w:rPr>
          <w:rFonts w:hint="eastAsia"/>
        </w:rPr>
        <w:t>系统</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pPr>
        <w:pStyle w:val="326"/>
        <w:bidi w:val="0"/>
        <w:spacing w:line="312" w:lineRule="auto"/>
      </w:pPr>
      <w:r>
        <w:rPr>
          <w:rFonts w:hint="eastAsia"/>
          <w:lang w:val="en-US" w:eastAsia="zh-CN"/>
        </w:rPr>
        <w:t>中大型储能电站的电池预制舱内应设置固定自动灭火系统；灭火系统应满足扑灭模块级电池明火且不复燃的要求，系统类型、流量、压力等技术参数应经具有相应资质的机构根据附录A</w:t>
      </w:r>
      <w:r>
        <w:t>电力储能用模块级磷酸铁锂电池实体火灾模拟试验验证。在工程应用中采用实体模拟试验结果时，应符合下列规定：</w:t>
      </w:r>
    </w:p>
    <w:p>
      <w:pPr>
        <w:pStyle w:val="305"/>
        <w:numPr>
          <w:ilvl w:val="0"/>
          <w:numId w:val="36"/>
        </w:numPr>
        <w:bidi w:val="0"/>
        <w:spacing w:line="312" w:lineRule="auto"/>
        <w:ind w:left="839" w:leftChars="0" w:hanging="419" w:firstLineChars="0"/>
      </w:pPr>
      <w:r>
        <w:rPr>
          <w:rFonts w:hint="eastAsia"/>
        </w:rPr>
        <w:t>系统设计流量、压力、浓度、灭火剂喷放时间等技术参数应不小于试验结果；</w:t>
      </w:r>
    </w:p>
    <w:p>
      <w:pPr>
        <w:pStyle w:val="305"/>
        <w:numPr>
          <w:ilvl w:val="0"/>
          <w:numId w:val="36"/>
        </w:numPr>
        <w:bidi w:val="0"/>
        <w:spacing w:line="312" w:lineRule="auto"/>
        <w:ind w:left="839" w:leftChars="0" w:hanging="419" w:firstLineChars="0"/>
      </w:pPr>
      <w:r>
        <w:rPr>
          <w:rFonts w:hint="eastAsia"/>
        </w:rPr>
        <w:t>喷头</w:t>
      </w:r>
      <w:r>
        <w:rPr>
          <w:rFonts w:hint="eastAsia"/>
          <w:lang w:val="en-US" w:eastAsia="zh-CN"/>
        </w:rPr>
        <w:t>规格型号、</w:t>
      </w:r>
      <w:r>
        <w:rPr>
          <w:rFonts w:hint="eastAsia"/>
        </w:rPr>
        <w:t>布置方式应与试验</w:t>
      </w:r>
      <w:r>
        <w:rPr>
          <w:rFonts w:hint="eastAsia"/>
          <w:lang w:val="en-US" w:eastAsia="zh-CN"/>
        </w:rPr>
        <w:t>方案</w:t>
      </w:r>
      <w:r>
        <w:rPr>
          <w:rFonts w:hint="eastAsia"/>
        </w:rPr>
        <w:t>相同；</w:t>
      </w:r>
    </w:p>
    <w:p>
      <w:pPr>
        <w:pStyle w:val="305"/>
        <w:numPr>
          <w:ilvl w:val="0"/>
          <w:numId w:val="36"/>
        </w:numPr>
        <w:bidi w:val="0"/>
        <w:spacing w:line="312" w:lineRule="auto"/>
        <w:ind w:left="839" w:leftChars="0" w:hanging="419" w:firstLineChars="0"/>
      </w:pPr>
      <w:r>
        <w:rPr>
          <w:rFonts w:hint="eastAsia"/>
        </w:rPr>
        <w:t>灭火控制策略</w:t>
      </w:r>
      <w:r>
        <w:rPr>
          <w:rFonts w:hint="eastAsia"/>
          <w:lang w:val="en-US" w:eastAsia="zh-CN"/>
        </w:rPr>
        <w:t>应</w:t>
      </w:r>
      <w:r>
        <w:rPr>
          <w:rFonts w:hint="eastAsia"/>
        </w:rPr>
        <w:t>与试验</w:t>
      </w:r>
      <w:r>
        <w:rPr>
          <w:rFonts w:hint="eastAsia"/>
          <w:lang w:val="en-US" w:eastAsia="zh-CN"/>
        </w:rPr>
        <w:t>方案</w:t>
      </w:r>
      <w:r>
        <w:rPr>
          <w:rFonts w:hint="eastAsia"/>
        </w:rPr>
        <w:t>相同。</w:t>
      </w:r>
    </w:p>
    <w:p>
      <w:pPr>
        <w:pStyle w:val="326"/>
        <w:bidi w:val="0"/>
        <w:spacing w:line="312" w:lineRule="auto"/>
      </w:pPr>
      <w:r>
        <w:t>当电池预制舱内采用细水雾灭火系统时，</w:t>
      </w:r>
      <w:r>
        <w:rPr>
          <w:rFonts w:hint="eastAsia"/>
          <w:lang w:val="en-US" w:eastAsia="zh-CN"/>
        </w:rPr>
        <w:t>除</w:t>
      </w:r>
      <w:r>
        <w:t>应符合</w:t>
      </w:r>
      <w:r>
        <w:rPr>
          <w:rFonts w:hint="eastAsia"/>
          <w:lang w:val="en-US" w:eastAsia="zh-CN"/>
        </w:rPr>
        <w:t>本文件7.2.1和</w:t>
      </w:r>
      <w:r>
        <w:t>GB 50898的规定</w:t>
      </w:r>
      <w:r>
        <w:rPr>
          <w:rFonts w:hint="eastAsia"/>
          <w:lang w:val="en-US" w:eastAsia="zh-CN"/>
        </w:rPr>
        <w:t>外</w:t>
      </w:r>
      <w:r>
        <w:t>，同时</w:t>
      </w:r>
      <w:r>
        <w:rPr>
          <w:rFonts w:hint="eastAsia"/>
        </w:rPr>
        <w:t>还</w:t>
      </w:r>
      <w:r>
        <w:t>应符合下列要求：</w:t>
      </w:r>
    </w:p>
    <w:p>
      <w:pPr>
        <w:pStyle w:val="305"/>
        <w:numPr>
          <w:ilvl w:val="0"/>
          <w:numId w:val="37"/>
        </w:numPr>
        <w:bidi w:val="0"/>
        <w:spacing w:line="312" w:lineRule="auto"/>
        <w:ind w:left="839" w:leftChars="0" w:hanging="419" w:firstLineChars="0"/>
      </w:pPr>
      <w:r>
        <w:t>应采用</w:t>
      </w:r>
      <w:r>
        <w:rPr>
          <w:rFonts w:hint="eastAsia"/>
          <w:lang w:val="en-US" w:eastAsia="zh-CN"/>
        </w:rPr>
        <w:t>电池模块级</w:t>
      </w:r>
      <w:r>
        <w:t>局部应用的开式系统</w:t>
      </w:r>
      <w:r>
        <w:rPr>
          <w:rFonts w:hint="eastAsia"/>
          <w:lang w:eastAsia="zh-CN"/>
        </w:rPr>
        <w:t>，持续喷射时间不应小于1h</w:t>
      </w:r>
      <w:r>
        <w:t>；</w:t>
      </w:r>
    </w:p>
    <w:p>
      <w:pPr>
        <w:pStyle w:val="305"/>
        <w:numPr>
          <w:ilvl w:val="0"/>
          <w:numId w:val="37"/>
        </w:numPr>
        <w:bidi w:val="0"/>
        <w:spacing w:line="312" w:lineRule="auto"/>
        <w:ind w:left="839" w:leftChars="0" w:hanging="419" w:firstLineChars="0"/>
      </w:pPr>
      <w:r>
        <w:rPr>
          <w:rFonts w:hint="eastAsia"/>
          <w:lang w:val="en-US" w:eastAsia="zh-CN"/>
        </w:rPr>
        <w:t>水</w:t>
      </w:r>
      <w:r>
        <w:t>雾应全覆盖模块内部</w:t>
      </w:r>
      <w:r>
        <w:rPr>
          <w:rFonts w:hint="eastAsia"/>
          <w:lang w:eastAsia="zh-CN"/>
        </w:rPr>
        <w:t>，</w:t>
      </w:r>
      <w:r>
        <w:rPr>
          <w:rFonts w:hint="eastAsia"/>
          <w:lang w:val="en-US" w:eastAsia="zh-CN"/>
        </w:rPr>
        <w:t>同时还应快速充满模块外部和舱内其他空间</w:t>
      </w:r>
      <w:r>
        <w:t>；</w:t>
      </w:r>
    </w:p>
    <w:p>
      <w:pPr>
        <w:pStyle w:val="305"/>
        <w:numPr>
          <w:ilvl w:val="0"/>
          <w:numId w:val="37"/>
        </w:numPr>
        <w:bidi w:val="0"/>
        <w:spacing w:line="312" w:lineRule="auto"/>
        <w:ind w:left="839" w:leftChars="0" w:hanging="419" w:firstLineChars="0"/>
      </w:pPr>
      <w:r>
        <w:t>灭火系统应具有自动、手动、现场机械启动方式</w:t>
      </w:r>
      <w:r>
        <w:rPr>
          <w:rFonts w:hint="eastAsia"/>
          <w:lang w:eastAsia="zh-CN"/>
        </w:rPr>
        <w:t>；</w:t>
      </w:r>
      <w:r>
        <w:rPr>
          <w:rFonts w:hint="eastAsia"/>
          <w:lang w:val="en-US" w:eastAsia="zh-CN"/>
        </w:rPr>
        <w:t>当电站无人值守时，还应具备</w:t>
      </w:r>
      <w:r>
        <w:t>远程应急启动方式；</w:t>
      </w:r>
    </w:p>
    <w:p>
      <w:pPr>
        <w:pStyle w:val="305"/>
        <w:numPr>
          <w:ilvl w:val="0"/>
          <w:numId w:val="37"/>
        </w:numPr>
        <w:bidi w:val="0"/>
        <w:spacing w:line="312" w:lineRule="auto"/>
        <w:ind w:left="839" w:leftChars="0" w:hanging="419" w:firstLineChars="0"/>
      </w:pPr>
      <w:r>
        <w:t>灭火系统设计时，应考虑施工吊装、可燃气体爆燃（炸）等造成舱体变形导致灭火系统管路受损因素，增加防变形技术措施；</w:t>
      </w:r>
    </w:p>
    <w:p>
      <w:pPr>
        <w:pStyle w:val="305"/>
        <w:numPr>
          <w:ilvl w:val="0"/>
          <w:numId w:val="37"/>
        </w:numPr>
        <w:bidi w:val="0"/>
        <w:spacing w:line="312" w:lineRule="auto"/>
        <w:ind w:left="839" w:leftChars="0" w:hanging="419" w:firstLineChars="0"/>
        <w:rPr>
          <w:highlight w:val="none"/>
        </w:rPr>
      </w:pPr>
      <w:r>
        <w:rPr>
          <w:rFonts w:hint="eastAsia"/>
          <w:highlight w:val="none"/>
          <w:lang w:val="en-US" w:eastAsia="zh-CN"/>
        </w:rPr>
        <w:t>灭火系统的分区控制阀箱，不应设置在被保护的电池舱体上；</w:t>
      </w:r>
    </w:p>
    <w:p>
      <w:pPr>
        <w:pStyle w:val="305"/>
        <w:numPr>
          <w:ilvl w:val="0"/>
          <w:numId w:val="37"/>
        </w:numPr>
        <w:bidi w:val="0"/>
        <w:spacing w:line="312" w:lineRule="auto"/>
        <w:ind w:left="839" w:leftChars="0" w:hanging="419" w:firstLineChars="0"/>
      </w:pPr>
      <w:r>
        <w:rPr>
          <w:rFonts w:hint="eastAsia"/>
        </w:rPr>
        <w:t>除灭火性能外，</w:t>
      </w:r>
      <w:r>
        <w:t>灭火系统组件</w:t>
      </w:r>
      <w:r>
        <w:rPr>
          <w:highlight w:val="none"/>
        </w:rPr>
        <w:t>应符合</w:t>
      </w:r>
      <w:r>
        <w:rPr>
          <w:rFonts w:hint="eastAsia"/>
          <w:highlight w:val="none"/>
          <w:lang w:val="en-US" w:eastAsia="zh-CN"/>
        </w:rPr>
        <w:t>XF</w:t>
      </w:r>
      <w:r>
        <w:rPr>
          <w:highlight w:val="none"/>
        </w:rPr>
        <w:t xml:space="preserve"> 114</w:t>
      </w:r>
      <w:r>
        <w:t>9的规定。</w:t>
      </w:r>
    </w:p>
    <w:p>
      <w:pPr>
        <w:pStyle w:val="326"/>
        <w:bidi w:val="0"/>
        <w:spacing w:line="312" w:lineRule="auto"/>
      </w:pPr>
      <w:r>
        <w:t>固定自动灭火系统的启动应</w:t>
      </w:r>
      <w:r>
        <w:rPr>
          <w:rFonts w:hint="eastAsia"/>
        </w:rPr>
        <w:t>根据</w:t>
      </w:r>
      <w:r>
        <w:rPr>
          <w:rFonts w:hint="eastAsia"/>
          <w:lang w:eastAsia="zh-CN"/>
        </w:rPr>
        <w:t>“</w:t>
      </w:r>
      <w:r>
        <w:t>先断电、后灭火</w:t>
      </w:r>
      <w:r>
        <w:rPr>
          <w:rFonts w:hint="eastAsia"/>
          <w:lang w:eastAsia="zh-CN"/>
        </w:rPr>
        <w:t>”</w:t>
      </w:r>
      <w:r>
        <w:t>的</w:t>
      </w:r>
      <w:r>
        <w:rPr>
          <w:rFonts w:hint="eastAsia"/>
        </w:rPr>
        <w:t>原则，先行断开舱级和簇级</w:t>
      </w:r>
      <w:r>
        <w:rPr>
          <w:rFonts w:hint="eastAsia"/>
          <w:lang w:val="en-US" w:eastAsia="zh-CN"/>
        </w:rPr>
        <w:t>直流开断设备</w:t>
      </w:r>
      <w:r>
        <w:rPr>
          <w:rFonts w:hint="eastAsia"/>
        </w:rPr>
        <w:t>后，方可启动灭火系统进行灭火</w:t>
      </w:r>
      <w:r>
        <w:t>。</w:t>
      </w:r>
    </w:p>
    <w:p>
      <w:pPr>
        <w:pStyle w:val="326"/>
        <w:bidi w:val="0"/>
        <w:spacing w:line="312" w:lineRule="auto"/>
      </w:pPr>
      <w:r>
        <w:rPr>
          <w:rFonts w:hint="default"/>
          <w:lang w:val="en-US" w:eastAsia="zh-CN"/>
        </w:rPr>
        <w:t>小型储能电站的电池预制舱内宜</w:t>
      </w:r>
      <w:r>
        <w:rPr>
          <w:rFonts w:hint="eastAsia"/>
        </w:rPr>
        <w:t>设置</w:t>
      </w:r>
      <w:r>
        <w:rPr>
          <w:rFonts w:hint="default"/>
          <w:lang w:val="en-US" w:eastAsia="zh-CN"/>
        </w:rPr>
        <w:t>由</w:t>
      </w:r>
      <w:r>
        <w:rPr>
          <w:rFonts w:hint="default"/>
        </w:rPr>
        <w:t>喷头</w:t>
      </w:r>
      <w:r>
        <w:rPr>
          <w:rFonts w:hint="default"/>
          <w:lang w:val="en-US" w:eastAsia="zh-CN"/>
        </w:rPr>
        <w:t>、</w:t>
      </w:r>
      <w:r>
        <w:rPr>
          <w:rFonts w:hint="default"/>
        </w:rPr>
        <w:t>管路</w:t>
      </w:r>
      <w:r>
        <w:rPr>
          <w:rFonts w:hint="default"/>
          <w:lang w:eastAsia="zh-CN"/>
        </w:rPr>
        <w:t>、</w:t>
      </w:r>
      <w:r>
        <w:rPr>
          <w:rFonts w:hint="default"/>
          <w:lang w:val="en-US" w:eastAsia="zh-CN"/>
        </w:rPr>
        <w:t>阀门和消防</w:t>
      </w:r>
      <w:r>
        <w:rPr>
          <w:rFonts w:hint="default"/>
        </w:rPr>
        <w:t>水泵接合器等</w:t>
      </w:r>
      <w:r>
        <w:rPr>
          <w:rFonts w:hint="default"/>
          <w:lang w:val="en-US" w:eastAsia="zh-CN"/>
        </w:rPr>
        <w:t>给水装置组成的开式水雾</w:t>
      </w:r>
      <w:r>
        <w:rPr>
          <w:rFonts w:hint="eastAsia"/>
          <w:lang w:val="en-US" w:eastAsia="zh-CN"/>
        </w:rPr>
        <w:t>（淹）</w:t>
      </w:r>
      <w:r>
        <w:rPr>
          <w:rFonts w:hint="default"/>
          <w:lang w:val="en-US" w:eastAsia="zh-CN"/>
        </w:rPr>
        <w:t>控火系统</w:t>
      </w:r>
      <w:r>
        <w:rPr>
          <w:rFonts w:hint="default"/>
          <w:lang w:eastAsia="zh-CN"/>
        </w:rPr>
        <w:t>。</w:t>
      </w:r>
      <w:r>
        <w:rPr>
          <w:rFonts w:hint="default"/>
          <w:lang w:val="en-US" w:eastAsia="zh-CN"/>
        </w:rPr>
        <w:t>系统</w:t>
      </w:r>
      <w:r>
        <w:rPr>
          <w:rFonts w:hint="default"/>
          <w:lang w:eastAsia="zh-CN"/>
        </w:rPr>
        <w:t>给水装置进水口手动阀门与被保护的电池预制舱</w:t>
      </w:r>
      <w:r>
        <w:rPr>
          <w:rFonts w:hint="default"/>
          <w:lang w:val="en-US" w:eastAsia="zh-CN"/>
        </w:rPr>
        <w:t>保持足够安全距离</w:t>
      </w:r>
      <w:r>
        <w:rPr>
          <w:rFonts w:hint="default"/>
          <w:lang w:eastAsia="zh-CN"/>
        </w:rPr>
        <w:t>，喷头、管路、阀门应采用铜质或钢质材料。</w:t>
      </w:r>
    </w:p>
    <w:p>
      <w:pPr>
        <w:pStyle w:val="260"/>
        <w:bidi w:val="0"/>
        <w:spacing w:line="312" w:lineRule="auto"/>
        <w:outlineLvl w:val="2"/>
        <w:rPr>
          <w:rFonts w:hint="eastAsia"/>
        </w:rPr>
      </w:pPr>
      <w:bookmarkStart w:id="211" w:name="_Toc27324"/>
      <w:r>
        <w:rPr>
          <w:rFonts w:hint="eastAsia"/>
          <w:lang w:val="en-US" w:eastAsia="zh-CN"/>
        </w:rPr>
        <w:t>防爆措施</w:t>
      </w:r>
      <w:bookmarkEnd w:id="211"/>
    </w:p>
    <w:p>
      <w:pPr>
        <w:pStyle w:val="326"/>
        <w:bidi w:val="0"/>
        <w:spacing w:line="312" w:lineRule="auto"/>
      </w:pPr>
      <w:r>
        <w:rPr>
          <w:rFonts w:hint="default"/>
          <w:lang w:val="en-US" w:eastAsia="zh-CN"/>
        </w:rPr>
        <w:t>电池</w:t>
      </w:r>
      <w:r>
        <w:rPr>
          <w:rFonts w:hint="eastAsia"/>
          <w:lang w:val="en-US" w:eastAsia="zh-CN"/>
        </w:rPr>
        <w:t>预制舱</w:t>
      </w:r>
      <w:r>
        <w:rPr>
          <w:rFonts w:hint="default"/>
          <w:lang w:val="en-US" w:eastAsia="zh-CN"/>
        </w:rPr>
        <w:t>内应设置可燃气体探测装置，</w:t>
      </w:r>
      <w:r>
        <w:rPr>
          <w:rFonts w:hint="default"/>
          <w:highlight w:val="none"/>
          <w:lang w:val="en-US" w:eastAsia="zh-CN"/>
        </w:rPr>
        <w:t>当H</w:t>
      </w:r>
      <w:r>
        <w:rPr>
          <w:rFonts w:hint="default"/>
          <w:highlight w:val="none"/>
          <w:vertAlign w:val="subscript"/>
          <w:lang w:val="en-US" w:eastAsia="zh-CN"/>
        </w:rPr>
        <w:t>2</w:t>
      </w:r>
      <w:r>
        <w:rPr>
          <w:rFonts w:hint="default"/>
          <w:highlight w:val="none"/>
          <w:lang w:val="en-US" w:eastAsia="zh-CN"/>
        </w:rPr>
        <w:t>或</w:t>
      </w:r>
      <w:r>
        <w:rPr>
          <w:rFonts w:hint="default"/>
          <w:lang w:val="en-US" w:eastAsia="zh-CN"/>
        </w:rPr>
        <w:t>CO浓度大于50×10</w:t>
      </w:r>
      <w:r>
        <w:rPr>
          <w:rFonts w:hint="default"/>
          <w:vertAlign w:val="superscript"/>
          <w:lang w:val="en-US" w:eastAsia="zh-CN"/>
        </w:rPr>
        <w:t>－6</w:t>
      </w:r>
      <w:r>
        <w:rPr>
          <w:rFonts w:hint="default"/>
          <w:lang w:val="en-US" w:eastAsia="zh-CN"/>
        </w:rPr>
        <w:t>（体积比</w:t>
      </w:r>
      <w:r>
        <w:rPr>
          <w:rFonts w:hint="eastAsia"/>
          <w:lang w:eastAsia="zh-CN"/>
        </w:rPr>
        <w:t>，</w:t>
      </w:r>
      <w:r>
        <w:rPr>
          <w:rFonts w:hint="eastAsia"/>
          <w:lang w:val="en-US" w:eastAsia="zh-CN"/>
        </w:rPr>
        <w:t>下同</w:t>
      </w:r>
      <w:r>
        <w:rPr>
          <w:rFonts w:hint="default"/>
          <w:lang w:val="en-US" w:eastAsia="zh-CN"/>
        </w:rPr>
        <w:t>）时，应联动断开舱级和簇级直流开断设备，联动启动通风系统和报警装置。</w:t>
      </w:r>
      <w:r>
        <w:rPr>
          <w:rFonts w:hint="eastAsia"/>
          <w:lang w:val="en-US" w:eastAsia="zh-CN"/>
        </w:rPr>
        <w:t>报警装置应设置在电池舱外壁和有人值班的场所。</w:t>
      </w:r>
    </w:p>
    <w:p>
      <w:pPr>
        <w:pStyle w:val="326"/>
        <w:bidi w:val="0"/>
        <w:spacing w:line="312" w:lineRule="auto"/>
      </w:pPr>
      <w:r>
        <w:rPr>
          <w:rFonts w:hint="default"/>
          <w:lang w:val="en-US" w:eastAsia="zh-CN"/>
        </w:rPr>
        <w:t>通风系统应采用防爆型，</w:t>
      </w:r>
      <w:r>
        <w:rPr>
          <w:rFonts w:hint="default"/>
        </w:rPr>
        <w:t>具备联动启动和现场手动启动功能</w:t>
      </w:r>
      <w:r>
        <w:rPr>
          <w:rFonts w:hint="default"/>
          <w:lang w:eastAsia="zh-CN"/>
        </w:rPr>
        <w:t>。</w:t>
      </w:r>
      <w:r>
        <w:rPr>
          <w:rFonts w:hint="default"/>
          <w:lang w:val="en-US" w:eastAsia="zh-CN"/>
        </w:rPr>
        <w:t>启动时每分钟排风量不小于</w:t>
      </w:r>
      <w:r>
        <w:rPr>
          <w:rFonts w:hint="eastAsia"/>
          <w:lang w:val="en-US" w:eastAsia="zh-CN"/>
        </w:rPr>
        <w:t>电池舱</w:t>
      </w:r>
      <w:r>
        <w:rPr>
          <w:rFonts w:hint="default"/>
          <w:lang w:val="en-US" w:eastAsia="zh-CN"/>
        </w:rPr>
        <w:t>容积（可按照扣除电池等设备体积后的净空间计算），合理设置进风口、排风口位置，保证上下层不同密度可燃气体及时排出</w:t>
      </w:r>
      <w:r>
        <w:rPr>
          <w:rFonts w:hint="eastAsia"/>
          <w:lang w:val="en-US" w:eastAsia="zh-CN"/>
        </w:rPr>
        <w:t>舱</w:t>
      </w:r>
      <w:r>
        <w:rPr>
          <w:rFonts w:hint="default"/>
          <w:lang w:val="en-US" w:eastAsia="zh-CN"/>
        </w:rPr>
        <w:t>外</w:t>
      </w:r>
      <w:r>
        <w:rPr>
          <w:rFonts w:hint="eastAsia"/>
          <w:lang w:val="en-US" w:eastAsia="zh-CN"/>
        </w:rPr>
        <w:t>且不应</w:t>
      </w:r>
      <w:r>
        <w:rPr>
          <w:rFonts w:hint="default"/>
          <w:lang w:val="en-US" w:eastAsia="zh-CN"/>
        </w:rPr>
        <w:t>产生气流短路</w:t>
      </w:r>
      <w:r>
        <w:rPr>
          <w:rFonts w:hint="eastAsia"/>
          <w:lang w:val="en-US" w:eastAsia="zh-CN"/>
        </w:rPr>
        <w:t>，排风口的设置不应影响人员疏散和消防救援</w:t>
      </w:r>
      <w:r>
        <w:rPr>
          <w:rFonts w:hint="default"/>
          <w:lang w:val="en-US" w:eastAsia="zh-CN"/>
        </w:rPr>
        <w:t>。正常运行时，通风系统应处于自动运行状态。</w:t>
      </w:r>
    </w:p>
    <w:p>
      <w:pPr>
        <w:pStyle w:val="326"/>
        <w:bidi w:val="0"/>
        <w:spacing w:line="312" w:lineRule="auto"/>
      </w:pPr>
      <w:r>
        <w:t>可燃气体探测器</w:t>
      </w:r>
      <w:r>
        <w:rPr>
          <w:rFonts w:hint="eastAsia"/>
          <w:lang w:val="en-US" w:eastAsia="zh-CN"/>
        </w:rPr>
        <w:t>应符合GB 15322.1的</w:t>
      </w:r>
      <w:r>
        <w:rPr>
          <w:rFonts w:hint="eastAsia"/>
          <w:highlight w:val="none"/>
          <w:lang w:val="en-US" w:eastAsia="zh-CN"/>
        </w:rPr>
        <w:t>相关规定，还</w:t>
      </w:r>
      <w:r>
        <w:rPr>
          <w:highlight w:val="none"/>
        </w:rPr>
        <w:t>应符合</w:t>
      </w:r>
      <w:r>
        <w:rPr>
          <w:rFonts w:hint="eastAsia"/>
          <w:highlight w:val="none"/>
          <w:lang w:val="en-US" w:eastAsia="zh-CN"/>
        </w:rPr>
        <w:t>下</w:t>
      </w:r>
      <w:r>
        <w:rPr>
          <w:rFonts w:hint="eastAsia"/>
          <w:lang w:val="en-US" w:eastAsia="zh-CN"/>
        </w:rPr>
        <w:t>列要求</w:t>
      </w:r>
      <w:r>
        <w:t>：</w:t>
      </w:r>
    </w:p>
    <w:p>
      <w:pPr>
        <w:pStyle w:val="305"/>
        <w:numPr>
          <w:ilvl w:val="0"/>
          <w:numId w:val="38"/>
        </w:numPr>
        <w:bidi w:val="0"/>
        <w:spacing w:line="312" w:lineRule="auto"/>
        <w:ind w:left="839" w:leftChars="0" w:hanging="419" w:firstLineChars="0"/>
        <w:rPr>
          <w:rFonts w:hint="eastAsia"/>
        </w:rPr>
      </w:pPr>
      <w:r>
        <w:t>应能</w:t>
      </w:r>
      <w:r>
        <w:rPr>
          <w:rFonts w:hint="eastAsia"/>
          <w:highlight w:val="none"/>
        </w:rPr>
        <w:t>探测H</w:t>
      </w:r>
      <w:r>
        <w:rPr>
          <w:rFonts w:hint="eastAsia"/>
          <w:highlight w:val="none"/>
          <w:vertAlign w:val="subscript"/>
        </w:rPr>
        <w:t>2</w:t>
      </w:r>
      <w:r>
        <w:rPr>
          <w:rFonts w:hint="eastAsia"/>
          <w:highlight w:val="none"/>
        </w:rPr>
        <w:t>和</w:t>
      </w:r>
      <w:r>
        <w:rPr>
          <w:rFonts w:hint="default"/>
          <w:highlight w:val="none"/>
          <w:lang w:eastAsia="zh-CN"/>
        </w:rPr>
        <w:t>（</w:t>
      </w:r>
      <w:r>
        <w:rPr>
          <w:rFonts w:hint="default"/>
          <w:highlight w:val="none"/>
          <w:lang w:val="en-US" w:eastAsia="zh-CN"/>
        </w:rPr>
        <w:t>或</w:t>
      </w:r>
      <w:r>
        <w:rPr>
          <w:rFonts w:hint="default"/>
          <w:highlight w:val="none"/>
          <w:lang w:eastAsia="zh-CN"/>
        </w:rPr>
        <w:t>）</w:t>
      </w:r>
      <w:r>
        <w:rPr>
          <w:rFonts w:hint="eastAsia"/>
          <w:highlight w:val="none"/>
        </w:rPr>
        <w:t>C</w:t>
      </w:r>
      <w:r>
        <w:rPr>
          <w:rFonts w:hint="eastAsia"/>
        </w:rPr>
        <w:t>O可燃气体浓度，</w:t>
      </w:r>
      <w:r>
        <w:rPr>
          <w:rFonts w:hint="default"/>
          <w:lang w:val="en-US" w:eastAsia="zh-CN"/>
        </w:rPr>
        <w:t>具</w:t>
      </w:r>
      <w:r>
        <w:rPr>
          <w:rFonts w:hint="default"/>
        </w:rPr>
        <w:t>有输出控制功能</w:t>
      </w:r>
      <w:r>
        <w:rPr>
          <w:rFonts w:hint="default"/>
          <w:lang w:eastAsia="zh-CN"/>
        </w:rPr>
        <w:t>，</w:t>
      </w:r>
      <w:r>
        <w:rPr>
          <w:rFonts w:hint="default"/>
          <w:lang w:val="en-US" w:eastAsia="zh-CN"/>
        </w:rPr>
        <w:t>应</w:t>
      </w:r>
      <w:r>
        <w:rPr>
          <w:rFonts w:hint="eastAsia"/>
        </w:rPr>
        <w:t>能设定可燃气体浓度动作阈值</w:t>
      </w:r>
      <w:r>
        <w:rPr>
          <w:rFonts w:hint="eastAsia"/>
          <w:lang w:eastAsia="zh-CN"/>
        </w:rPr>
        <w:t>；</w:t>
      </w:r>
    </w:p>
    <w:p>
      <w:pPr>
        <w:pStyle w:val="305"/>
        <w:numPr>
          <w:ilvl w:val="0"/>
          <w:numId w:val="38"/>
        </w:numPr>
        <w:bidi w:val="0"/>
        <w:spacing w:line="312" w:lineRule="auto"/>
        <w:ind w:left="839" w:leftChars="0" w:hanging="419" w:firstLineChars="0"/>
        <w:rPr>
          <w:highlight w:val="none"/>
        </w:rPr>
      </w:pPr>
      <w:r>
        <w:rPr>
          <w:rFonts w:hint="eastAsia"/>
          <w:highlight w:val="none"/>
          <w:lang w:val="en-US" w:eastAsia="zh-CN"/>
        </w:rPr>
        <w:t>探测量程应不大于</w:t>
      </w:r>
      <w:r>
        <w:rPr>
          <w:highlight w:val="none"/>
        </w:rPr>
        <w:t>1</w:t>
      </w:r>
      <w:r>
        <w:rPr>
          <w:rFonts w:hint="eastAsia"/>
          <w:highlight w:val="none"/>
          <w:lang w:val="en-US" w:eastAsia="zh-CN"/>
        </w:rPr>
        <w:t xml:space="preserve"> </w:t>
      </w:r>
      <w:r>
        <w:rPr>
          <w:highlight w:val="none"/>
        </w:rPr>
        <w:t>000×10</w:t>
      </w:r>
      <w:r>
        <w:rPr>
          <w:highlight w:val="none"/>
          <w:vertAlign w:val="superscript"/>
        </w:rPr>
        <w:t>-6</w:t>
      </w:r>
      <w:r>
        <w:rPr>
          <w:highlight w:val="none"/>
        </w:rPr>
        <w:t>，显示值与基准值之差的绝对值应</w:t>
      </w:r>
      <w:r>
        <w:rPr>
          <w:rFonts w:hint="eastAsia"/>
          <w:highlight w:val="none"/>
          <w:lang w:val="en-US" w:eastAsia="zh-CN"/>
        </w:rPr>
        <w:t>不</w:t>
      </w:r>
      <w:r>
        <w:rPr>
          <w:highlight w:val="none"/>
        </w:rPr>
        <w:t>大于</w:t>
      </w:r>
      <w:r>
        <w:rPr>
          <w:rFonts w:hint="default"/>
          <w:highlight w:val="none"/>
          <w:lang w:eastAsia="zh-CN"/>
        </w:rPr>
        <w:t>2</w:t>
      </w:r>
      <w:r>
        <w:rPr>
          <w:highlight w:val="none"/>
        </w:rPr>
        <w:t>0×10</w:t>
      </w:r>
      <w:r>
        <w:rPr>
          <w:highlight w:val="none"/>
          <w:vertAlign w:val="superscript"/>
        </w:rPr>
        <w:t>-6</w:t>
      </w:r>
      <w:r>
        <w:rPr>
          <w:rFonts w:hint="eastAsia"/>
          <w:highlight w:val="none"/>
          <w:lang w:eastAsia="zh-CN"/>
        </w:rPr>
        <w:t>；</w:t>
      </w:r>
    </w:p>
    <w:p>
      <w:pPr>
        <w:pStyle w:val="305"/>
        <w:numPr>
          <w:ilvl w:val="0"/>
          <w:numId w:val="38"/>
        </w:numPr>
        <w:bidi w:val="0"/>
        <w:spacing w:line="312" w:lineRule="auto"/>
        <w:ind w:left="839" w:leftChars="0" w:hanging="419" w:firstLineChars="0"/>
        <w:rPr>
          <w:rFonts w:hint="default"/>
          <w:highlight w:val="none"/>
        </w:rPr>
      </w:pPr>
      <w:r>
        <w:rPr>
          <w:rFonts w:hint="default"/>
        </w:rPr>
        <w:t>响应输出</w:t>
      </w:r>
      <w:r>
        <w:rPr>
          <w:rFonts w:hint="default"/>
          <w:highlight w:val="none"/>
        </w:rPr>
        <w:t>信号</w:t>
      </w:r>
      <w:r>
        <w:rPr>
          <w:rFonts w:hint="eastAsia"/>
          <w:highlight w:val="none"/>
          <w:lang w:val="en-US" w:eastAsia="zh-CN"/>
        </w:rPr>
        <w:t>应能</w:t>
      </w:r>
      <w:r>
        <w:rPr>
          <w:rFonts w:hint="default"/>
          <w:highlight w:val="none"/>
        </w:rPr>
        <w:t>同时接入</w:t>
      </w:r>
      <w:r>
        <w:rPr>
          <w:rFonts w:hint="default"/>
          <w:highlight w:val="none"/>
          <w:lang w:val="en-US" w:eastAsia="zh-CN"/>
        </w:rPr>
        <w:t>通风系统、</w:t>
      </w:r>
      <w:r>
        <w:rPr>
          <w:rFonts w:hint="default"/>
          <w:highlight w:val="none"/>
        </w:rPr>
        <w:t>电池管理系统</w:t>
      </w:r>
      <w:r>
        <w:rPr>
          <w:rFonts w:hint="eastAsia"/>
          <w:highlight w:val="none"/>
          <w:lang w:val="en-US" w:eastAsia="zh-CN"/>
        </w:rPr>
        <w:t>和</w:t>
      </w:r>
      <w:r>
        <w:rPr>
          <w:rFonts w:hint="default"/>
          <w:highlight w:val="none"/>
        </w:rPr>
        <w:t>火灾自动报警系统</w:t>
      </w:r>
      <w:r>
        <w:rPr>
          <w:rFonts w:hint="eastAsia"/>
          <w:highlight w:val="none"/>
          <w:lang w:eastAsia="zh-CN"/>
        </w:rPr>
        <w:t>；</w:t>
      </w:r>
    </w:p>
    <w:p>
      <w:pPr>
        <w:pStyle w:val="305"/>
        <w:numPr>
          <w:ilvl w:val="0"/>
          <w:numId w:val="38"/>
        </w:numPr>
        <w:bidi w:val="0"/>
        <w:spacing w:line="312" w:lineRule="auto"/>
        <w:ind w:left="839" w:leftChars="0" w:hanging="419" w:firstLineChars="0"/>
        <w:rPr>
          <w:rFonts w:hint="default"/>
        </w:rPr>
      </w:pPr>
      <w:r>
        <w:rPr>
          <w:rFonts w:hint="default"/>
        </w:rPr>
        <w:t>探测器在</w:t>
      </w:r>
      <w:r>
        <w:rPr>
          <w:rFonts w:hint="default" w:ascii="宋体" w:hAnsi="Times New Roman" w:eastAsia="宋体"/>
          <w:szCs w:val="20"/>
        </w:rPr>
        <w:t>出现故障</w:t>
      </w:r>
      <w:r>
        <w:rPr>
          <w:rFonts w:hint="default"/>
        </w:rPr>
        <w:t>时应发出与报警信号有明显区别的故障信号</w:t>
      </w:r>
      <w:r>
        <w:rPr>
          <w:rFonts w:hint="eastAsia"/>
          <w:lang w:eastAsia="zh-CN"/>
        </w:rPr>
        <w:t>；</w:t>
      </w:r>
      <w:r>
        <w:rPr>
          <w:rFonts w:hint="default"/>
        </w:rPr>
        <w:t xml:space="preserve"> </w:t>
      </w:r>
    </w:p>
    <w:p>
      <w:pPr>
        <w:pStyle w:val="305"/>
        <w:numPr>
          <w:ilvl w:val="0"/>
          <w:numId w:val="38"/>
        </w:numPr>
        <w:bidi w:val="0"/>
        <w:spacing w:line="312" w:lineRule="auto"/>
        <w:ind w:left="839" w:leftChars="0" w:hanging="419" w:firstLineChars="0"/>
        <w:rPr>
          <w:rFonts w:hint="default"/>
          <w:szCs w:val="22"/>
        </w:rPr>
      </w:pPr>
      <w:r>
        <w:rPr>
          <w:rFonts w:hint="default"/>
          <w:szCs w:val="22"/>
        </w:rPr>
        <w:t>探测器</w:t>
      </w:r>
      <w:r>
        <w:rPr>
          <w:rFonts w:hint="eastAsia"/>
          <w:szCs w:val="22"/>
          <w:lang w:val="en-US" w:eastAsia="zh-CN"/>
        </w:rPr>
        <w:t>应选用</w:t>
      </w:r>
      <w:r>
        <w:rPr>
          <w:rFonts w:hint="default"/>
          <w:szCs w:val="22"/>
        </w:rPr>
        <w:t>防爆</w:t>
      </w:r>
      <w:r>
        <w:rPr>
          <w:rFonts w:hint="eastAsia"/>
          <w:szCs w:val="22"/>
          <w:lang w:val="en-US" w:eastAsia="zh-CN"/>
        </w:rPr>
        <w:t>型</w:t>
      </w:r>
      <w:r>
        <w:rPr>
          <w:rFonts w:hint="default"/>
          <w:szCs w:val="22"/>
          <w:lang w:eastAsia="zh-CN"/>
        </w:rPr>
        <w:t>。</w:t>
      </w:r>
    </w:p>
    <w:p>
      <w:pPr>
        <w:pStyle w:val="326"/>
        <w:bidi w:val="0"/>
        <w:spacing w:line="312" w:lineRule="auto"/>
        <w:rPr>
          <w:highlight w:val="none"/>
        </w:rPr>
      </w:pPr>
      <w:r>
        <w:rPr>
          <w:highlight w:val="none"/>
        </w:rPr>
        <w:t>可燃气体探测器</w:t>
      </w:r>
      <w:r>
        <w:rPr>
          <w:rFonts w:hint="eastAsia"/>
          <w:highlight w:val="none"/>
          <w:lang w:val="en-US" w:eastAsia="zh-CN"/>
        </w:rPr>
        <w:t>报警信息和故障信息应上传到储能电站监控系统。</w:t>
      </w:r>
    </w:p>
    <w:p>
      <w:pPr>
        <w:pStyle w:val="326"/>
        <w:bidi w:val="0"/>
        <w:spacing w:line="312" w:lineRule="auto"/>
        <w:rPr>
          <w:highlight w:val="none"/>
        </w:rPr>
      </w:pPr>
      <w:r>
        <w:rPr>
          <w:rFonts w:hint="default"/>
          <w:highlight w:val="none"/>
          <w:lang w:val="en-US" w:eastAsia="zh-CN"/>
        </w:rPr>
        <w:t>电力设备间（</w:t>
      </w:r>
      <w:r>
        <w:rPr>
          <w:highlight w:val="none"/>
        </w:rPr>
        <w:t>预制舱</w:t>
      </w:r>
      <w:r>
        <w:rPr>
          <w:rFonts w:hint="default"/>
          <w:highlight w:val="none"/>
          <w:lang w:val="en-US" w:eastAsia="zh-CN"/>
        </w:rPr>
        <w:t>）</w:t>
      </w:r>
      <w:r>
        <w:rPr>
          <w:highlight w:val="none"/>
        </w:rPr>
        <w:t>、电池架、隔板等线缆开孔部位应采用防火堵料封堵密</w:t>
      </w:r>
      <w:r>
        <w:rPr>
          <w:rFonts w:hint="default"/>
          <w:highlight w:val="none"/>
          <w:lang w:val="en-US" w:eastAsia="zh-CN"/>
        </w:rPr>
        <w:t>实</w:t>
      </w:r>
      <w:r>
        <w:rPr>
          <w:rFonts w:hint="default"/>
          <w:highlight w:val="none"/>
        </w:rPr>
        <w:t>。</w:t>
      </w:r>
      <w:r>
        <w:rPr>
          <w:highlight w:val="none"/>
        </w:rPr>
        <w:t>电缆防火封堵应符合DL/T 5707的规定。</w:t>
      </w:r>
    </w:p>
    <w:p>
      <w:pPr>
        <w:pStyle w:val="260"/>
        <w:bidi w:val="0"/>
        <w:spacing w:line="312" w:lineRule="auto"/>
        <w:outlineLvl w:val="2"/>
      </w:pPr>
      <w:bookmarkStart w:id="212" w:name="_Toc12752"/>
      <w:bookmarkStart w:id="213" w:name="_Toc13128"/>
      <w:bookmarkStart w:id="214" w:name="_Toc22112"/>
      <w:bookmarkStart w:id="215" w:name="_Toc18927"/>
      <w:bookmarkStart w:id="216" w:name="_Toc6770"/>
      <w:bookmarkStart w:id="217" w:name="_Toc1765"/>
      <w:bookmarkStart w:id="218" w:name="_Toc9272"/>
      <w:bookmarkStart w:id="219" w:name="_Toc7557"/>
      <w:bookmarkStart w:id="220" w:name="_Toc29734"/>
      <w:bookmarkStart w:id="221" w:name="_Toc15274"/>
      <w:bookmarkStart w:id="222" w:name="_Toc11155"/>
      <w:r>
        <w:t>火灾自动报警及其联动控制系统</w:t>
      </w:r>
      <w:bookmarkEnd w:id="212"/>
      <w:bookmarkEnd w:id="213"/>
      <w:bookmarkEnd w:id="214"/>
      <w:bookmarkEnd w:id="215"/>
      <w:bookmarkEnd w:id="216"/>
      <w:bookmarkEnd w:id="217"/>
      <w:bookmarkEnd w:id="218"/>
      <w:bookmarkEnd w:id="219"/>
      <w:bookmarkEnd w:id="220"/>
      <w:bookmarkEnd w:id="221"/>
      <w:bookmarkEnd w:id="222"/>
    </w:p>
    <w:p>
      <w:pPr>
        <w:pStyle w:val="326"/>
        <w:bidi w:val="0"/>
        <w:spacing w:line="312" w:lineRule="auto"/>
        <w:rPr>
          <w:highlight w:val="none"/>
        </w:rPr>
      </w:pPr>
      <w:r>
        <w:rPr>
          <w:rFonts w:hint="default"/>
        </w:rPr>
        <w:t>储能电站应设置火灾自动报警系统。</w:t>
      </w:r>
      <w:r>
        <w:t>电池预制舱与其他功能区域的火灾报警及其联动</w:t>
      </w:r>
      <w:r>
        <w:rPr>
          <w:highlight w:val="none"/>
        </w:rPr>
        <w:t>控制</w:t>
      </w:r>
      <w:r>
        <w:rPr>
          <w:rFonts w:hint="eastAsia"/>
          <w:highlight w:val="none"/>
          <w:lang w:val="en-US" w:eastAsia="zh-CN"/>
        </w:rPr>
        <w:t>系统宜</w:t>
      </w:r>
      <w:r>
        <w:t>分开设置。</w:t>
      </w:r>
      <w:r>
        <w:rPr>
          <w:rFonts w:hint="eastAsia"/>
        </w:rPr>
        <w:t>火灾自动报警系统应符合GB 50116、GB 50229和GB 55036的规定。</w:t>
      </w:r>
    </w:p>
    <w:p>
      <w:pPr>
        <w:pStyle w:val="326"/>
        <w:bidi w:val="0"/>
        <w:spacing w:line="312" w:lineRule="auto"/>
      </w:pPr>
      <w:r>
        <w:rPr>
          <w:highlight w:val="none"/>
        </w:rPr>
        <w:t>火灾报警及其联动控制</w:t>
      </w:r>
      <w:r>
        <w:rPr>
          <w:rFonts w:hint="eastAsia"/>
          <w:highlight w:val="none"/>
          <w:lang w:val="en-US" w:eastAsia="zh-CN"/>
        </w:rPr>
        <w:t>装置</w:t>
      </w:r>
      <w:r>
        <w:t>宜设置在消防</w:t>
      </w:r>
      <w:r>
        <w:rPr>
          <w:rFonts w:hint="eastAsia"/>
        </w:rPr>
        <w:t>设备舱（</w:t>
      </w:r>
      <w:r>
        <w:t>室</w:t>
      </w:r>
      <w:r>
        <w:rPr>
          <w:rFonts w:hint="eastAsia"/>
        </w:rPr>
        <w:t>）</w:t>
      </w:r>
      <w:r>
        <w:t>或二次设备舱</w:t>
      </w:r>
      <w:r>
        <w:rPr>
          <w:rFonts w:hint="eastAsia"/>
        </w:rPr>
        <w:t>（室）</w:t>
      </w:r>
      <w:r>
        <w:rPr>
          <w:rFonts w:hint="eastAsia"/>
          <w:lang w:val="en-US" w:eastAsia="zh-CN"/>
        </w:rPr>
        <w:t>内</w:t>
      </w:r>
      <w:r>
        <w:t>。当设置在二次设备舱</w:t>
      </w:r>
      <w:r>
        <w:rPr>
          <w:rFonts w:hint="eastAsia"/>
        </w:rPr>
        <w:t>（</w:t>
      </w:r>
      <w:r>
        <w:t>室</w:t>
      </w:r>
      <w:r>
        <w:rPr>
          <w:rFonts w:hint="eastAsia"/>
        </w:rPr>
        <w:t>）</w:t>
      </w:r>
      <w:r>
        <w:t>时，消防控制设备区域宜与其他设备区域分开</w:t>
      </w:r>
      <w:r>
        <w:rPr>
          <w:rFonts w:hint="eastAsia"/>
        </w:rPr>
        <w:t>布置</w:t>
      </w:r>
      <w:r>
        <w:t>。</w:t>
      </w:r>
    </w:p>
    <w:p>
      <w:pPr>
        <w:pStyle w:val="326"/>
        <w:bidi w:val="0"/>
        <w:spacing w:line="312" w:lineRule="auto"/>
      </w:pPr>
      <w:r>
        <w:t>电池预制舱外应设置手动火灾报警按钮，舱内应设置可燃气体探测器、感温探测器和感烟探测器</w:t>
      </w:r>
      <w:r>
        <w:rPr>
          <w:rFonts w:hint="eastAsia"/>
          <w:lang w:eastAsia="zh-CN"/>
        </w:rPr>
        <w:t>；</w:t>
      </w:r>
      <w:r>
        <w:rPr>
          <w:rFonts w:hint="eastAsia"/>
          <w:lang w:val="en-US" w:eastAsia="zh-CN"/>
        </w:rPr>
        <w:t>步入式电池预制舱内</w:t>
      </w:r>
      <w:r>
        <w:t>探测器</w:t>
      </w:r>
      <w:r>
        <w:rPr>
          <w:rFonts w:hint="eastAsia"/>
          <w:lang w:val="en-US" w:eastAsia="zh-CN"/>
        </w:rPr>
        <w:t>宜</w:t>
      </w:r>
      <w:r>
        <w:t>安装在中间走道顶部</w:t>
      </w:r>
      <w:r>
        <w:rPr>
          <w:rFonts w:hint="eastAsia"/>
          <w:lang w:eastAsia="zh-CN"/>
        </w:rPr>
        <w:t>。</w:t>
      </w:r>
      <w:r>
        <w:rPr>
          <w:rFonts w:hint="eastAsia"/>
          <w:lang w:val="en-US" w:eastAsia="zh-CN"/>
        </w:rPr>
        <w:t>探测器安装</w:t>
      </w:r>
      <w:r>
        <w:t>间距</w:t>
      </w:r>
      <w:r>
        <w:rPr>
          <w:rFonts w:hint="eastAsia"/>
          <w:lang w:val="en-US" w:eastAsia="zh-CN"/>
        </w:rPr>
        <w:t>应符合GB 50116的相关规定</w:t>
      </w:r>
      <w:r>
        <w:t>。</w:t>
      </w:r>
    </w:p>
    <w:p>
      <w:pPr>
        <w:pStyle w:val="326"/>
        <w:bidi w:val="0"/>
        <w:spacing w:line="312" w:lineRule="auto"/>
      </w:pPr>
      <w:r>
        <w:t>当电池预制舱内采用细水雾灭火系统时，</w:t>
      </w:r>
      <w:r>
        <w:rPr>
          <w:rFonts w:hint="eastAsia"/>
        </w:rPr>
        <w:t>火灾自动报警及其联动控制</w:t>
      </w:r>
      <w:r>
        <w:t>系统在接收到可燃气体告警信号和火灾报警信号后，应根据既定</w:t>
      </w:r>
      <w:r>
        <w:rPr>
          <w:rFonts w:hint="eastAsia"/>
        </w:rPr>
        <w:t>防火和</w:t>
      </w:r>
      <w:r>
        <w:t>灭火策略，自动启动灭火系统。</w:t>
      </w:r>
      <w:r>
        <w:rPr>
          <w:rFonts w:hint="eastAsia"/>
        </w:rPr>
        <w:t>防火和灭火</w:t>
      </w:r>
      <w:r>
        <w:t>控制</w:t>
      </w:r>
      <w:r>
        <w:rPr>
          <w:rFonts w:hint="eastAsia"/>
        </w:rPr>
        <w:t>策略</w:t>
      </w:r>
      <w:r>
        <w:rPr>
          <w:rFonts w:hint="eastAsia"/>
          <w:lang w:val="en-US" w:eastAsia="zh-CN"/>
        </w:rPr>
        <w:t>应</w:t>
      </w:r>
      <w:r>
        <w:rPr>
          <w:rFonts w:hint="eastAsia"/>
        </w:rPr>
        <w:t>符合下列要求：</w:t>
      </w:r>
    </w:p>
    <w:p>
      <w:pPr>
        <w:pStyle w:val="305"/>
        <w:numPr>
          <w:ilvl w:val="0"/>
          <w:numId w:val="39"/>
        </w:numPr>
        <w:bidi w:val="0"/>
        <w:spacing w:line="312" w:lineRule="auto"/>
        <w:ind w:left="839" w:leftChars="0" w:hanging="419" w:firstLineChars="0"/>
      </w:pPr>
      <w:r>
        <w:t>当一个可燃气体探测</w:t>
      </w:r>
      <w:r>
        <w:rPr>
          <w:highlight w:val="none"/>
        </w:rPr>
        <w:t>器告警</w:t>
      </w:r>
      <w:r>
        <w:t>时，由电池管理系统关闭空调、启动风机</w:t>
      </w:r>
      <w:r>
        <w:rPr>
          <w:rFonts w:hint="eastAsia"/>
        </w:rPr>
        <w:t>、</w:t>
      </w:r>
      <w:r>
        <w:t>跳开舱级</w:t>
      </w:r>
      <w:r>
        <w:rPr>
          <w:rFonts w:hint="eastAsia"/>
          <w:lang w:val="en-US" w:eastAsia="zh-CN"/>
        </w:rPr>
        <w:t>和簇级直流开断设备</w:t>
      </w:r>
      <w:r>
        <w:rPr>
          <w:rFonts w:hint="eastAsia"/>
        </w:rPr>
        <w:t>，并解锁门禁系统</w:t>
      </w:r>
      <w:r>
        <w:t>；</w:t>
      </w:r>
    </w:p>
    <w:p>
      <w:pPr>
        <w:pStyle w:val="305"/>
        <w:numPr>
          <w:ilvl w:val="0"/>
          <w:numId w:val="39"/>
        </w:numPr>
        <w:bidi w:val="0"/>
        <w:spacing w:line="312" w:lineRule="auto"/>
        <w:ind w:left="839" w:leftChars="0" w:hanging="419" w:firstLineChars="0"/>
      </w:pPr>
      <w:r>
        <w:t>当火灾报警控制器接收到相关信号并满足下列一项条件时，应联动启动灭火系统：</w:t>
      </w:r>
    </w:p>
    <w:p>
      <w:pPr>
        <w:pStyle w:val="305"/>
        <w:numPr>
          <w:ilvl w:val="0"/>
          <w:numId w:val="0"/>
        </w:numPr>
        <w:bidi w:val="0"/>
        <w:spacing w:line="312" w:lineRule="auto"/>
        <w:ind w:left="840" w:leftChars="400" w:firstLine="0" w:firstLineChars="0"/>
      </w:pPr>
      <w:r>
        <w:t>1）当一个可燃气体探测器</w:t>
      </w:r>
      <w:r>
        <w:rPr>
          <w:rFonts w:hint="eastAsia"/>
          <w:lang w:val="en-US" w:eastAsia="zh-CN"/>
        </w:rPr>
        <w:t>和</w:t>
      </w:r>
      <w:r>
        <w:t>一个感温探测器</w:t>
      </w:r>
      <w:r>
        <w:rPr>
          <w:rFonts w:hint="eastAsia"/>
          <w:lang w:val="en-US" w:eastAsia="zh-CN"/>
        </w:rPr>
        <w:t>同时</w:t>
      </w:r>
      <w:r>
        <w:t>动作且舱级</w:t>
      </w:r>
      <w:r>
        <w:rPr>
          <w:rFonts w:hint="eastAsia"/>
          <w:lang w:val="en-US" w:eastAsia="zh-CN"/>
        </w:rPr>
        <w:t>直流开断设备</w:t>
      </w:r>
      <w:r>
        <w:t>跳闸；</w:t>
      </w:r>
    </w:p>
    <w:p>
      <w:pPr>
        <w:pStyle w:val="305"/>
        <w:numPr>
          <w:ilvl w:val="0"/>
          <w:numId w:val="0"/>
        </w:numPr>
        <w:bidi w:val="0"/>
        <w:spacing w:line="312" w:lineRule="auto"/>
        <w:ind w:left="420" w:leftChars="0" w:firstLine="420" w:firstLineChars="200"/>
      </w:pPr>
      <w:r>
        <w:t>2）当一个感温探测器和一个感烟探测器同时动作且舱级</w:t>
      </w:r>
      <w:r>
        <w:rPr>
          <w:rFonts w:hint="eastAsia"/>
          <w:lang w:val="en-US" w:eastAsia="zh-CN"/>
        </w:rPr>
        <w:t>直流开断设备</w:t>
      </w:r>
      <w:r>
        <w:t>跳闸；</w:t>
      </w:r>
    </w:p>
    <w:p>
      <w:pPr>
        <w:pStyle w:val="305"/>
        <w:numPr>
          <w:ilvl w:val="0"/>
          <w:numId w:val="39"/>
        </w:numPr>
        <w:bidi w:val="0"/>
        <w:spacing w:line="312" w:lineRule="auto"/>
        <w:ind w:left="839" w:leftChars="0" w:hanging="419" w:firstLineChars="0"/>
      </w:pPr>
      <w:r>
        <w:t>当舱级</w:t>
      </w:r>
      <w:r>
        <w:rPr>
          <w:rFonts w:hint="eastAsia"/>
          <w:lang w:val="en-US" w:eastAsia="zh-CN"/>
        </w:rPr>
        <w:t>直流开断设备</w:t>
      </w:r>
      <w:r>
        <w:t>拒跳时，由消防远程集中监控中心或电力调度控制中心（以下简称“集控中心”）人工远程视频判断火灾，通过消防监控后台远程应急启动灭火系统</w:t>
      </w:r>
      <w:r>
        <w:rPr>
          <w:rFonts w:hint="eastAsia"/>
        </w:rPr>
        <w:t>；</w:t>
      </w:r>
    </w:p>
    <w:p>
      <w:pPr>
        <w:pStyle w:val="305"/>
        <w:numPr>
          <w:ilvl w:val="0"/>
          <w:numId w:val="39"/>
        </w:numPr>
        <w:bidi w:val="0"/>
        <w:spacing w:line="312" w:lineRule="auto"/>
        <w:ind w:left="839" w:leftChars="0" w:hanging="419" w:firstLineChars="0"/>
      </w:pPr>
      <w:r>
        <w:t>当</w:t>
      </w:r>
      <w:r>
        <w:rPr>
          <w:rFonts w:hint="eastAsia"/>
          <w:lang w:eastAsia="zh-CN"/>
        </w:rPr>
        <w:t>固定自动灭火系统</w:t>
      </w:r>
      <w:r>
        <w:t>启动时，应联动关闭</w:t>
      </w:r>
      <w:r>
        <w:rPr>
          <w:rFonts w:hint="eastAsia"/>
          <w:lang w:val="en-US" w:eastAsia="zh-CN"/>
        </w:rPr>
        <w:t>通风系统</w:t>
      </w:r>
      <w:r>
        <w:t>。</w:t>
      </w:r>
    </w:p>
    <w:p>
      <w:pPr>
        <w:pStyle w:val="326"/>
        <w:bidi w:val="0"/>
        <w:spacing w:line="312" w:lineRule="auto"/>
      </w:pPr>
      <w:r>
        <w:t>火灾报警及其联动控制系统</w:t>
      </w:r>
      <w:r>
        <w:rPr>
          <w:rFonts w:hint="eastAsia"/>
        </w:rPr>
        <w:t>等消防设施</w:t>
      </w:r>
      <w:r>
        <w:t>的监控管理，应符合下列要求：</w:t>
      </w:r>
    </w:p>
    <w:p>
      <w:pPr>
        <w:pStyle w:val="305"/>
        <w:numPr>
          <w:ilvl w:val="0"/>
          <w:numId w:val="40"/>
        </w:numPr>
        <w:bidi w:val="0"/>
        <w:spacing w:line="312" w:lineRule="auto"/>
        <w:ind w:left="839" w:leftChars="0" w:hanging="419" w:firstLineChars="0"/>
      </w:pPr>
      <w:r>
        <w:t>火灾自动报警及其联动控制系统，应具备对本站所有消防设备实行监控管理、故障报警、信息显示、查询打印及信息上传等功能</w:t>
      </w:r>
      <w:r>
        <w:rPr>
          <w:rFonts w:hint="eastAsia"/>
        </w:rPr>
        <w:t>；</w:t>
      </w:r>
    </w:p>
    <w:p>
      <w:pPr>
        <w:pStyle w:val="305"/>
        <w:numPr>
          <w:ilvl w:val="0"/>
          <w:numId w:val="40"/>
        </w:numPr>
        <w:bidi w:val="0"/>
        <w:spacing w:line="312" w:lineRule="auto"/>
        <w:ind w:left="839" w:leftChars="0" w:hanging="419" w:firstLineChars="0"/>
      </w:pPr>
      <w:r>
        <w:t>火灾报警信号、故障报警信号和固定自动灭火系统运行状态信息应上传到集控中心</w:t>
      </w:r>
      <w:r>
        <w:rPr>
          <w:rFonts w:hint="eastAsia"/>
        </w:rPr>
        <w:t>；</w:t>
      </w:r>
    </w:p>
    <w:p>
      <w:pPr>
        <w:pStyle w:val="305"/>
        <w:numPr>
          <w:ilvl w:val="0"/>
          <w:numId w:val="40"/>
        </w:numPr>
        <w:bidi w:val="0"/>
        <w:spacing w:line="312" w:lineRule="auto"/>
        <w:ind w:left="839" w:leftChars="0" w:hanging="419" w:firstLineChars="0"/>
      </w:pPr>
      <w:r>
        <w:t>集控中心应设置消防远程集中监控系统，对本地区储能电站全部火灾报警系统和消防设备实施集中图形显示，实现实时监视、火警处置、故障报警、远程应急操作、设备状态信息显示和查询打印等功能。</w:t>
      </w:r>
    </w:p>
    <w:p>
      <w:pPr>
        <w:pStyle w:val="260"/>
        <w:bidi w:val="0"/>
        <w:spacing w:line="312" w:lineRule="auto"/>
        <w:outlineLvl w:val="2"/>
      </w:pPr>
      <w:bookmarkStart w:id="223" w:name="_Toc2773"/>
      <w:bookmarkStart w:id="224" w:name="_Toc15604"/>
      <w:bookmarkStart w:id="225" w:name="_Toc13923"/>
      <w:bookmarkStart w:id="226" w:name="_Toc29497"/>
      <w:bookmarkStart w:id="227" w:name="_Toc796"/>
      <w:bookmarkStart w:id="228" w:name="_Toc2331"/>
      <w:bookmarkStart w:id="229" w:name="_Toc15984"/>
      <w:bookmarkStart w:id="230" w:name="_Toc23093"/>
      <w:bookmarkStart w:id="231" w:name="_Toc5484"/>
      <w:bookmarkStart w:id="232" w:name="_Toc24632"/>
      <w:bookmarkStart w:id="233" w:name="_Toc2959"/>
      <w:bookmarkStart w:id="234" w:name="_Toc10807"/>
      <w:bookmarkStart w:id="235" w:name="_Toc28524"/>
      <w:bookmarkStart w:id="236" w:name="_Toc27281"/>
      <w:r>
        <w:t>消防</w:t>
      </w:r>
      <w:r>
        <w:rPr>
          <w:rFonts w:hint="eastAsia"/>
          <w:lang w:val="en-US" w:eastAsia="zh-CN"/>
        </w:rPr>
        <w:t>用</w:t>
      </w:r>
      <w:r>
        <w:t>电与防雷接地</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pPr>
        <w:pStyle w:val="326"/>
        <w:bidi w:val="0"/>
        <w:spacing w:line="312" w:lineRule="auto"/>
        <w:rPr>
          <w:rFonts w:hint="eastAsia"/>
          <w:highlight w:val="none"/>
        </w:rPr>
      </w:pPr>
      <w:r>
        <w:rPr>
          <w:rFonts w:hint="eastAsia"/>
          <w:highlight w:val="none"/>
        </w:rPr>
        <w:t>储能电站消防用电应按一级负荷供电，供电电源应符合GB 50052的规定。</w:t>
      </w:r>
    </w:p>
    <w:p>
      <w:pPr>
        <w:pStyle w:val="326"/>
        <w:bidi w:val="0"/>
        <w:spacing w:line="312" w:lineRule="auto"/>
        <w:rPr>
          <w:highlight w:val="none"/>
        </w:rPr>
      </w:pPr>
      <w:r>
        <w:rPr>
          <w:rFonts w:hint="eastAsia"/>
          <w:highlight w:val="none"/>
        </w:rPr>
        <w:t>消防配电线路应满足火灾时连续供电的需要，其电线电缆的敷设应符合GB 50016的规定。</w:t>
      </w:r>
    </w:p>
    <w:p>
      <w:pPr>
        <w:pStyle w:val="326"/>
        <w:bidi w:val="0"/>
        <w:spacing w:line="312" w:lineRule="auto"/>
        <w:rPr>
          <w:highlight w:val="none"/>
        </w:rPr>
      </w:pPr>
      <w:r>
        <w:rPr>
          <w:rFonts w:hint="eastAsia"/>
          <w:highlight w:val="none"/>
        </w:rPr>
        <w:t>电池预制舱内灭火系统管路</w:t>
      </w:r>
      <w:r>
        <w:rPr>
          <w:rFonts w:hint="eastAsia"/>
          <w:highlight w:val="none"/>
          <w:lang w:eastAsia="zh-CN"/>
        </w:rPr>
        <w:t>、</w:t>
      </w:r>
      <w:r>
        <w:rPr>
          <w:rFonts w:hint="eastAsia"/>
          <w:highlight w:val="none"/>
          <w:lang w:val="en-US" w:eastAsia="zh-CN"/>
        </w:rPr>
        <w:t>通风系统</w:t>
      </w:r>
      <w:r>
        <w:rPr>
          <w:rFonts w:hint="eastAsia"/>
          <w:highlight w:val="none"/>
        </w:rPr>
        <w:t>应可靠接地</w:t>
      </w:r>
      <w:r>
        <w:rPr>
          <w:highlight w:val="none"/>
        </w:rPr>
        <w:t>。</w:t>
      </w:r>
    </w:p>
    <w:p>
      <w:pPr>
        <w:pStyle w:val="326"/>
        <w:bidi w:val="0"/>
        <w:spacing w:line="312" w:lineRule="auto"/>
      </w:pPr>
      <w:r>
        <w:t>电力设备</w:t>
      </w:r>
      <w:r>
        <w:rPr>
          <w:rFonts w:hint="eastAsia"/>
          <w:lang w:val="en-US" w:eastAsia="zh-CN"/>
        </w:rPr>
        <w:t>及预制舱</w:t>
      </w:r>
      <w:r>
        <w:t>接地设计应符合GB/T 50065的规定。</w:t>
      </w:r>
    </w:p>
    <w:p>
      <w:pPr>
        <w:pStyle w:val="326"/>
        <w:bidi w:val="0"/>
        <w:spacing w:line="312" w:lineRule="auto"/>
      </w:pPr>
      <w:r>
        <w:t>建（构）筑物防雷设计应符合GB 50057的规定。</w:t>
      </w:r>
    </w:p>
    <w:p>
      <w:pPr>
        <w:pStyle w:val="326"/>
        <w:bidi w:val="0"/>
        <w:spacing w:line="312" w:lineRule="auto"/>
        <w:rPr>
          <w:highlight w:val="none"/>
        </w:rPr>
      </w:pPr>
      <w:r>
        <w:rPr>
          <w:rFonts w:hint="eastAsia"/>
          <w:highlight w:val="none"/>
        </w:rPr>
        <w:t>消防应急照明设计应符合GB</w:t>
      </w:r>
      <w:r>
        <w:rPr>
          <w:rFonts w:hint="eastAsia"/>
          <w:highlight w:val="none"/>
          <w:lang w:val="en-US" w:eastAsia="zh-CN"/>
        </w:rPr>
        <w:t xml:space="preserve"> </w:t>
      </w:r>
      <w:r>
        <w:rPr>
          <w:rFonts w:hint="eastAsia"/>
          <w:highlight w:val="none"/>
        </w:rPr>
        <w:t>51309的规定。</w:t>
      </w:r>
    </w:p>
    <w:p>
      <w:pPr>
        <w:pStyle w:val="260"/>
        <w:bidi w:val="0"/>
        <w:spacing w:line="312" w:lineRule="auto"/>
        <w:outlineLvl w:val="2"/>
      </w:pPr>
      <w:bookmarkStart w:id="237" w:name="_Toc28607"/>
      <w:bookmarkStart w:id="238" w:name="_Toc1686"/>
      <w:bookmarkStart w:id="239" w:name="_Toc29381"/>
      <w:bookmarkStart w:id="240" w:name="_Toc23083"/>
      <w:bookmarkStart w:id="241" w:name="_Toc17770"/>
      <w:bookmarkStart w:id="242" w:name="_Toc10488"/>
      <w:bookmarkStart w:id="243" w:name="_Toc27625"/>
      <w:bookmarkStart w:id="244" w:name="_Toc29158"/>
      <w:bookmarkStart w:id="245" w:name="_Toc30007"/>
      <w:bookmarkStart w:id="246" w:name="_Toc28395"/>
      <w:bookmarkStart w:id="247" w:name="_Toc29191"/>
      <w:bookmarkStart w:id="248" w:name="_Toc3836"/>
      <w:bookmarkStart w:id="249" w:name="_Toc10145"/>
      <w:bookmarkStart w:id="250" w:name="_Toc17740"/>
      <w:r>
        <w:t>消防器材</w:t>
      </w:r>
      <w:bookmarkEnd w:id="237"/>
      <w:bookmarkEnd w:id="238"/>
      <w:bookmarkEnd w:id="239"/>
      <w:bookmarkEnd w:id="240"/>
      <w:bookmarkEnd w:id="241"/>
      <w:bookmarkEnd w:id="242"/>
      <w:bookmarkEnd w:id="243"/>
      <w:bookmarkEnd w:id="244"/>
      <w:bookmarkEnd w:id="245"/>
      <w:bookmarkEnd w:id="246"/>
      <w:bookmarkEnd w:id="247"/>
      <w:bookmarkEnd w:id="248"/>
      <w:r>
        <w:rPr>
          <w:rFonts w:hint="eastAsia"/>
          <w:lang w:val="en-US" w:eastAsia="zh-CN"/>
        </w:rPr>
        <w:t>与其他</w:t>
      </w:r>
      <w:bookmarkEnd w:id="249"/>
      <w:bookmarkEnd w:id="250"/>
    </w:p>
    <w:p>
      <w:pPr>
        <w:pStyle w:val="326"/>
        <w:bidi w:val="0"/>
        <w:spacing w:line="312" w:lineRule="auto"/>
      </w:pPr>
      <w:r>
        <w:t>灭火器配置应符合GB 50140的规定，宜设置在舱外设备区。典型</w:t>
      </w:r>
      <w:r>
        <w:rPr>
          <w:rFonts w:hint="eastAsia"/>
        </w:rPr>
        <w:t>预制舱式</w:t>
      </w:r>
      <w:r>
        <w:t>储能电站相关场所消防器材可参照附录B配置。</w:t>
      </w:r>
    </w:p>
    <w:p>
      <w:pPr>
        <w:pStyle w:val="326"/>
        <w:bidi w:val="0"/>
        <w:spacing w:line="312" w:lineRule="auto"/>
      </w:pPr>
      <w:r>
        <w:t>储能电站运维单位应在</w:t>
      </w:r>
      <w:r>
        <w:rPr>
          <w:rFonts w:hint="eastAsia"/>
          <w:lang w:val="en-US" w:eastAsia="zh-CN"/>
        </w:rPr>
        <w:t>运维班驻地或</w:t>
      </w:r>
      <w:r>
        <w:t>电站内配置</w:t>
      </w:r>
      <w:r>
        <w:rPr>
          <w:rFonts w:hint="eastAsia"/>
          <w:lang w:val="en-US" w:eastAsia="zh-CN"/>
        </w:rPr>
        <w:t>便携式</w:t>
      </w:r>
      <w:r>
        <w:rPr>
          <w:rFonts w:hint="eastAsia"/>
        </w:rPr>
        <w:t>有毒气体浓度</w:t>
      </w:r>
      <w:r>
        <w:rPr>
          <w:rFonts w:hint="eastAsia"/>
          <w:lang w:val="en-US" w:eastAsia="zh-CN"/>
        </w:rPr>
        <w:t>检测仪和</w:t>
      </w:r>
      <w:r>
        <w:t>正压式空气呼吸器，</w:t>
      </w:r>
      <w:r>
        <w:rPr>
          <w:rFonts w:hint="eastAsia"/>
          <w:lang w:val="en-US" w:eastAsia="zh-CN"/>
        </w:rPr>
        <w:t>且各</w:t>
      </w:r>
      <w:r>
        <w:t>不应少于2</w:t>
      </w:r>
      <w:r>
        <w:rPr>
          <w:rFonts w:hint="eastAsia"/>
          <w:lang w:val="en-US" w:eastAsia="zh-CN"/>
        </w:rPr>
        <w:t>台</w:t>
      </w:r>
      <w:r>
        <w:t>，放置在专用设备柜内，定期检查，</w:t>
      </w:r>
      <w:r>
        <w:rPr>
          <w:rFonts w:hint="eastAsia"/>
        </w:rPr>
        <w:t>确保</w:t>
      </w:r>
      <w:r>
        <w:t>完好可用。</w:t>
      </w:r>
    </w:p>
    <w:p>
      <w:pPr>
        <w:pStyle w:val="326"/>
        <w:bidi w:val="0"/>
        <w:spacing w:line="312" w:lineRule="auto"/>
      </w:pPr>
      <w:r>
        <w:rPr>
          <w:rFonts w:hint="eastAsia"/>
          <w:highlight w:val="none"/>
          <w:lang w:val="en-US" w:eastAsia="zh-CN"/>
        </w:rPr>
        <w:t>电力</w:t>
      </w:r>
      <w:r>
        <w:rPr>
          <w:rFonts w:hint="eastAsia"/>
          <w:highlight w:val="none"/>
        </w:rPr>
        <w:t>设备间（</w:t>
      </w:r>
      <w:r>
        <w:rPr>
          <w:rFonts w:hint="eastAsia"/>
          <w:highlight w:val="none"/>
          <w:lang w:val="en-US" w:eastAsia="zh-CN"/>
        </w:rPr>
        <w:t>预制</w:t>
      </w:r>
      <w:r>
        <w:rPr>
          <w:rFonts w:hint="eastAsia"/>
          <w:highlight w:val="none"/>
        </w:rPr>
        <w:t>舱）的通风口、孔洞、门、电缆沟等与室外相通部位，应设置防止雨雪、风沙、小动物进入的设施。</w:t>
      </w:r>
    </w:p>
    <w:p>
      <w:pPr>
        <w:pStyle w:val="259"/>
        <w:bidi w:val="0"/>
        <w:spacing w:line="312" w:lineRule="auto"/>
        <w:rPr>
          <w:rFonts w:hint="eastAsia"/>
        </w:rPr>
      </w:pPr>
      <w:bookmarkStart w:id="251" w:name="_Toc2780"/>
      <w:bookmarkStart w:id="252" w:name="_Toc22914_WPSOffice_Level1"/>
      <w:bookmarkStart w:id="253" w:name="_Toc15921"/>
      <w:bookmarkStart w:id="254" w:name="_Toc13736"/>
      <w:bookmarkStart w:id="255" w:name="_Toc10140"/>
      <w:bookmarkStart w:id="256" w:name="_Toc25645"/>
      <w:bookmarkStart w:id="257" w:name="_Toc20060"/>
      <w:bookmarkStart w:id="258" w:name="_Toc22942"/>
      <w:bookmarkStart w:id="259" w:name="_Toc7399"/>
      <w:bookmarkStart w:id="260" w:name="_Toc29180"/>
      <w:bookmarkStart w:id="261" w:name="_Toc24309"/>
      <w:bookmarkStart w:id="262" w:name="_Toc31232"/>
      <w:bookmarkStart w:id="263" w:name="_Toc24817"/>
      <w:bookmarkStart w:id="264" w:name="_Toc20469"/>
      <w:bookmarkStart w:id="265" w:name="_Toc8924"/>
      <w:bookmarkStart w:id="266" w:name="_Toc32613"/>
      <w:bookmarkStart w:id="267" w:name="_Toc6393"/>
      <w:bookmarkStart w:id="268" w:name="_Toc28573"/>
      <w:bookmarkStart w:id="269" w:name="_Toc878"/>
      <w:bookmarkStart w:id="270" w:name="_Toc22838"/>
      <w:bookmarkStart w:id="271" w:name="_Toc26750"/>
      <w:bookmarkStart w:id="272" w:name="_Toc28236"/>
      <w:bookmarkStart w:id="273" w:name="_Toc24001"/>
      <w:bookmarkStart w:id="274" w:name="_Toc10427"/>
      <w:bookmarkStart w:id="275" w:name="_Toc27935"/>
      <w:r>
        <w:rPr>
          <w:rFonts w:hint="eastAsia"/>
        </w:rPr>
        <w:t>施工</w:t>
      </w:r>
      <w:r>
        <w:rPr>
          <w:rFonts w:hint="eastAsia"/>
          <w:lang w:val="en-US" w:eastAsia="zh-CN"/>
        </w:rPr>
        <w:t>安装</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pPr>
        <w:pStyle w:val="260"/>
        <w:bidi w:val="0"/>
        <w:spacing w:line="312" w:lineRule="auto"/>
        <w:outlineLvl w:val="2"/>
      </w:pPr>
      <w:bookmarkStart w:id="276" w:name="_Toc8466"/>
      <w:bookmarkStart w:id="277" w:name="_Toc4455"/>
      <w:bookmarkStart w:id="278" w:name="_Toc21134"/>
      <w:bookmarkStart w:id="279" w:name="_Toc6272"/>
      <w:bookmarkStart w:id="280" w:name="_Toc17024"/>
      <w:bookmarkStart w:id="281" w:name="_Toc5990"/>
      <w:bookmarkStart w:id="282" w:name="_Toc17873"/>
      <w:bookmarkStart w:id="283" w:name="_Toc3495"/>
      <w:bookmarkStart w:id="284" w:name="_Toc17843"/>
      <w:bookmarkStart w:id="285" w:name="_Toc18392"/>
      <w:bookmarkStart w:id="286" w:name="_Toc12829"/>
      <w:bookmarkStart w:id="287" w:name="_Toc19243"/>
      <w:bookmarkStart w:id="288" w:name="_Toc8518"/>
      <w:bookmarkStart w:id="289" w:name="_Toc14850"/>
      <w:r>
        <w:t>电池运输、存储与安装安全</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pPr>
        <w:pStyle w:val="326"/>
        <w:bidi w:val="0"/>
        <w:spacing w:line="312" w:lineRule="auto"/>
      </w:pPr>
      <w:r>
        <w:t>电池</w:t>
      </w:r>
      <w:r>
        <w:rPr>
          <w:rFonts w:hint="eastAsia"/>
          <w:lang w:val="en-US" w:eastAsia="zh-CN"/>
        </w:rPr>
        <w:t>模块</w:t>
      </w:r>
      <w:r>
        <w:t>装卸、运输、搬运应符合下列要求：</w:t>
      </w:r>
    </w:p>
    <w:p>
      <w:pPr>
        <w:pStyle w:val="305"/>
        <w:numPr>
          <w:ilvl w:val="0"/>
          <w:numId w:val="41"/>
        </w:numPr>
        <w:bidi w:val="0"/>
        <w:spacing w:line="312" w:lineRule="auto"/>
        <w:ind w:left="839" w:leftChars="0" w:hanging="419" w:firstLineChars="0"/>
      </w:pPr>
      <w:r>
        <w:t>搬运及放置电池模块包装箱应采用叉车等专业工具，根据包装箱上的安全标识操作，轻拿轻放</w:t>
      </w:r>
      <w:r>
        <w:rPr>
          <w:rFonts w:hint="eastAsia"/>
        </w:rPr>
        <w:t>；</w:t>
      </w:r>
    </w:p>
    <w:p>
      <w:pPr>
        <w:pStyle w:val="305"/>
        <w:numPr>
          <w:ilvl w:val="0"/>
          <w:numId w:val="41"/>
        </w:numPr>
        <w:bidi w:val="0"/>
        <w:spacing w:line="312" w:lineRule="auto"/>
        <w:ind w:left="839" w:leftChars="0" w:hanging="419" w:firstLineChars="0"/>
      </w:pPr>
      <w:r>
        <w:t>运输过程中应避免因急刹车、急转弯，避免挤压或碰撞对电池造成损伤</w:t>
      </w:r>
      <w:r>
        <w:rPr>
          <w:rFonts w:hint="eastAsia"/>
        </w:rPr>
        <w:t>；</w:t>
      </w:r>
    </w:p>
    <w:p>
      <w:pPr>
        <w:pStyle w:val="305"/>
        <w:numPr>
          <w:ilvl w:val="0"/>
          <w:numId w:val="41"/>
        </w:numPr>
        <w:bidi w:val="0"/>
        <w:spacing w:line="312" w:lineRule="auto"/>
        <w:ind w:left="839" w:leftChars="0" w:hanging="419" w:firstLineChars="0"/>
        <w:rPr>
          <w:szCs w:val="22"/>
        </w:rPr>
      </w:pPr>
      <w:r>
        <w:t>搬运过程中避免出现电池模块跌落、碰撞、挤</w:t>
      </w:r>
      <w:r>
        <w:rPr>
          <w:szCs w:val="22"/>
        </w:rPr>
        <w:t>压等</w:t>
      </w:r>
      <w:r>
        <w:rPr>
          <w:rFonts w:hint="default"/>
          <w:szCs w:val="22"/>
        </w:rPr>
        <w:t>，</w:t>
      </w:r>
      <w:r>
        <w:rPr>
          <w:rFonts w:hint="default"/>
          <w:szCs w:val="22"/>
          <w:lang w:val="en-US" w:eastAsia="zh-CN"/>
        </w:rPr>
        <w:t>不</w:t>
      </w:r>
      <w:r>
        <w:rPr>
          <w:rFonts w:hint="default"/>
          <w:szCs w:val="22"/>
          <w:highlight w:val="none"/>
          <w:lang w:val="en-US" w:eastAsia="zh-CN"/>
        </w:rPr>
        <w:t>应</w:t>
      </w:r>
      <w:r>
        <w:rPr>
          <w:szCs w:val="22"/>
        </w:rPr>
        <w:t>使用</w:t>
      </w:r>
      <w:r>
        <w:rPr>
          <w:rFonts w:hint="default"/>
          <w:szCs w:val="22"/>
          <w:highlight w:val="none"/>
          <w:lang w:val="en-US" w:eastAsia="zh-CN"/>
        </w:rPr>
        <w:t>损伤的</w:t>
      </w:r>
      <w:r>
        <w:rPr>
          <w:szCs w:val="22"/>
        </w:rPr>
        <w:t>模块</w:t>
      </w:r>
      <w:r>
        <w:rPr>
          <w:rFonts w:hint="default"/>
          <w:szCs w:val="22"/>
        </w:rPr>
        <w:t>；</w:t>
      </w:r>
    </w:p>
    <w:p>
      <w:pPr>
        <w:pStyle w:val="305"/>
        <w:numPr>
          <w:ilvl w:val="0"/>
          <w:numId w:val="41"/>
        </w:numPr>
        <w:bidi w:val="0"/>
        <w:spacing w:line="312" w:lineRule="auto"/>
        <w:ind w:left="839" w:leftChars="0" w:hanging="419" w:firstLineChars="0"/>
      </w:pPr>
      <w:r>
        <w:rPr>
          <w:rFonts w:hint="eastAsia"/>
        </w:rPr>
        <w:t>保持</w:t>
      </w:r>
      <w:r>
        <w:t>电池模块平放、不被淋水。</w:t>
      </w:r>
    </w:p>
    <w:p>
      <w:pPr>
        <w:pStyle w:val="326"/>
        <w:bidi w:val="0"/>
        <w:spacing w:line="312" w:lineRule="auto"/>
      </w:pPr>
      <w:r>
        <w:t>电池模块储存应符合下列要求：</w:t>
      </w:r>
    </w:p>
    <w:p>
      <w:pPr>
        <w:pStyle w:val="305"/>
        <w:numPr>
          <w:ilvl w:val="0"/>
          <w:numId w:val="42"/>
        </w:numPr>
        <w:bidi w:val="0"/>
        <w:spacing w:line="312" w:lineRule="auto"/>
        <w:ind w:left="839" w:leftChars="0" w:hanging="419" w:firstLineChars="0"/>
      </w:pPr>
      <w:r>
        <w:t>储存场所应保持清洁，屋顶和墙壁应防水，墙壁和地面应干燥；</w:t>
      </w:r>
    </w:p>
    <w:p>
      <w:pPr>
        <w:pStyle w:val="305"/>
        <w:numPr>
          <w:ilvl w:val="0"/>
          <w:numId w:val="42"/>
        </w:numPr>
        <w:bidi w:val="0"/>
        <w:spacing w:line="312" w:lineRule="auto"/>
        <w:ind w:left="839" w:leftChars="0" w:hanging="419" w:firstLineChars="0"/>
      </w:pPr>
      <w:r>
        <w:t>储存场所温度宜控制在5℃～45℃，湿度控制在5%～75%，不应有腐蚀性气体；</w:t>
      </w:r>
    </w:p>
    <w:p>
      <w:pPr>
        <w:pStyle w:val="305"/>
        <w:numPr>
          <w:ilvl w:val="0"/>
          <w:numId w:val="42"/>
        </w:numPr>
        <w:bidi w:val="0"/>
        <w:spacing w:line="312" w:lineRule="auto"/>
        <w:ind w:left="839" w:leftChars="0" w:hanging="419" w:firstLineChars="0"/>
        <w:rPr>
          <w:highlight w:val="none"/>
        </w:rPr>
      </w:pPr>
      <w:r>
        <w:t>电池模块使用前应储存在原包装</w:t>
      </w:r>
      <w:r>
        <w:rPr>
          <w:highlight w:val="none"/>
        </w:rPr>
        <w:t>箱中，平稳放置，不可倾斜或翻转放置；</w:t>
      </w:r>
    </w:p>
    <w:p>
      <w:pPr>
        <w:pStyle w:val="305"/>
        <w:numPr>
          <w:ilvl w:val="0"/>
          <w:numId w:val="42"/>
        </w:numPr>
        <w:bidi w:val="0"/>
        <w:spacing w:line="312" w:lineRule="auto"/>
        <w:ind w:left="839" w:leftChars="0" w:hanging="419" w:firstLineChars="0"/>
        <w:rPr>
          <w:highlight w:val="none"/>
        </w:rPr>
      </w:pPr>
      <w:r>
        <w:rPr>
          <w:highlight w:val="none"/>
        </w:rPr>
        <w:t>储存过程中应保持包装箱完好，不</w:t>
      </w:r>
      <w:r>
        <w:rPr>
          <w:rFonts w:hint="eastAsia"/>
          <w:highlight w:val="none"/>
          <w:lang w:val="en-US" w:eastAsia="zh-CN"/>
        </w:rPr>
        <w:t>应</w:t>
      </w:r>
      <w:r>
        <w:rPr>
          <w:highlight w:val="none"/>
        </w:rPr>
        <w:t>打开、撞击包装箱，应保持电池模块标签完好。</w:t>
      </w:r>
    </w:p>
    <w:p>
      <w:pPr>
        <w:pStyle w:val="326"/>
        <w:bidi w:val="0"/>
        <w:spacing w:line="312" w:lineRule="auto"/>
        <w:rPr>
          <w:highlight w:val="none"/>
        </w:rPr>
      </w:pPr>
      <w:r>
        <w:rPr>
          <w:highlight w:val="none"/>
        </w:rPr>
        <w:t>电池模块开箱检查应包括下列内容：</w:t>
      </w:r>
    </w:p>
    <w:p>
      <w:pPr>
        <w:pStyle w:val="305"/>
        <w:numPr>
          <w:ilvl w:val="0"/>
          <w:numId w:val="43"/>
        </w:numPr>
        <w:bidi w:val="0"/>
        <w:spacing w:line="312" w:lineRule="auto"/>
        <w:ind w:left="839" w:leftChars="0" w:hanging="419" w:firstLineChars="0"/>
      </w:pPr>
      <w:r>
        <w:t>电池模块外壳无穿透性损伤；</w:t>
      </w:r>
    </w:p>
    <w:p>
      <w:pPr>
        <w:pStyle w:val="305"/>
        <w:numPr>
          <w:ilvl w:val="0"/>
          <w:numId w:val="43"/>
        </w:numPr>
        <w:bidi w:val="0"/>
        <w:spacing w:line="312" w:lineRule="auto"/>
        <w:ind w:left="839" w:leftChars="0" w:hanging="419" w:firstLineChars="0"/>
      </w:pPr>
      <w:r>
        <w:t>固定螺钉及预埋螺母处塑胶件无破损和裂纹；</w:t>
      </w:r>
    </w:p>
    <w:p>
      <w:pPr>
        <w:pStyle w:val="305"/>
        <w:numPr>
          <w:ilvl w:val="0"/>
          <w:numId w:val="43"/>
        </w:numPr>
        <w:bidi w:val="0"/>
        <w:spacing w:line="312" w:lineRule="auto"/>
        <w:ind w:left="839" w:leftChars="0" w:hanging="419" w:firstLineChars="0"/>
      </w:pPr>
      <w:r>
        <w:t>电池正负极引出极耳处无短路烧伤，正负极引出预埋螺母无松动、脱落、短路烧伤；</w:t>
      </w:r>
    </w:p>
    <w:p>
      <w:pPr>
        <w:pStyle w:val="305"/>
        <w:numPr>
          <w:ilvl w:val="0"/>
          <w:numId w:val="43"/>
        </w:numPr>
        <w:bidi w:val="0"/>
        <w:spacing w:line="312" w:lineRule="auto"/>
        <w:ind w:left="839" w:leftChars="0" w:hanging="419" w:firstLineChars="0"/>
      </w:pPr>
      <w:r>
        <w:t>电池模块开路电压是否正常，是否存在漏液等现象。</w:t>
      </w:r>
    </w:p>
    <w:p>
      <w:pPr>
        <w:pStyle w:val="326"/>
        <w:bidi w:val="0"/>
        <w:spacing w:line="312" w:lineRule="auto"/>
      </w:pPr>
      <w:r>
        <w:t>电池模块安装应符合下列要求：</w:t>
      </w:r>
    </w:p>
    <w:p>
      <w:pPr>
        <w:pStyle w:val="305"/>
        <w:numPr>
          <w:ilvl w:val="0"/>
          <w:numId w:val="44"/>
        </w:numPr>
        <w:bidi w:val="0"/>
        <w:spacing w:line="312" w:lineRule="auto"/>
        <w:ind w:left="839" w:leftChars="0" w:hanging="419" w:firstLineChars="0"/>
      </w:pPr>
      <w:r>
        <w:t>安装环境应干净，无污染、滴水、有机溶剂或腐蚀性气（液）体，无放射性、</w:t>
      </w:r>
      <w:r>
        <w:rPr>
          <w:highlight w:val="none"/>
        </w:rPr>
        <w:t>红外线辐射</w:t>
      </w:r>
      <w:r>
        <w:t>，避免阳光直射，温度为5℃～45℃、湿度为5%～75%；</w:t>
      </w:r>
    </w:p>
    <w:p>
      <w:pPr>
        <w:pStyle w:val="305"/>
        <w:numPr>
          <w:ilvl w:val="0"/>
          <w:numId w:val="44"/>
        </w:numPr>
        <w:bidi w:val="0"/>
        <w:spacing w:line="312" w:lineRule="auto"/>
        <w:ind w:left="839" w:leftChars="0" w:hanging="419" w:firstLineChars="0"/>
      </w:pPr>
      <w:r>
        <w:t>安装人员应经过专业培训合</w:t>
      </w:r>
      <w:r>
        <w:rPr>
          <w:highlight w:val="none"/>
        </w:rPr>
        <w:t>格</w:t>
      </w:r>
      <w:r>
        <w:rPr>
          <w:rFonts w:hint="eastAsia"/>
          <w:highlight w:val="none"/>
          <w:lang w:eastAsia="zh-CN"/>
        </w:rPr>
        <w:t>，具备电工</w:t>
      </w:r>
      <w:r>
        <w:rPr>
          <w:rFonts w:hint="eastAsia"/>
          <w:highlight w:val="none"/>
          <w:lang w:val="en-US" w:eastAsia="zh-CN"/>
        </w:rPr>
        <w:t>特种作业</w:t>
      </w:r>
      <w:r>
        <w:rPr>
          <w:rFonts w:hint="eastAsia"/>
          <w:highlight w:val="none"/>
          <w:lang w:eastAsia="zh-CN"/>
        </w:rPr>
        <w:t>证</w:t>
      </w:r>
      <w:r>
        <w:rPr>
          <w:highlight w:val="none"/>
        </w:rPr>
        <w:t>。安</w:t>
      </w:r>
      <w:r>
        <w:t>装时，应做好安全防护，佩戴绝缘手套，穿</w:t>
      </w:r>
      <w:r>
        <w:rPr>
          <w:rFonts w:hint="eastAsia"/>
          <w:lang w:val="en-US" w:eastAsia="zh-CN"/>
        </w:rPr>
        <w:t>绝缘</w:t>
      </w:r>
      <w:r>
        <w:t>鞋，摘下手表、手链、手镯、戒指等金属佩戴物</w:t>
      </w:r>
      <w:r>
        <w:rPr>
          <w:rFonts w:hint="eastAsia"/>
        </w:rPr>
        <w:t>；</w:t>
      </w:r>
      <w:r>
        <w:t>使用金属安装工具时，应做好绝缘防护；</w:t>
      </w:r>
    </w:p>
    <w:p>
      <w:pPr>
        <w:pStyle w:val="305"/>
        <w:numPr>
          <w:ilvl w:val="0"/>
          <w:numId w:val="44"/>
        </w:numPr>
        <w:bidi w:val="0"/>
        <w:spacing w:line="312" w:lineRule="auto"/>
        <w:ind w:left="839" w:leftChars="0" w:hanging="419" w:firstLineChars="0"/>
      </w:pPr>
      <w:r>
        <w:t>安装前，应检查电池模块开路电压</w:t>
      </w:r>
      <w:r>
        <w:rPr>
          <w:rFonts w:hint="eastAsia"/>
          <w:lang w:eastAsia="zh-CN"/>
        </w:rPr>
        <w:t>、</w:t>
      </w:r>
      <w:r>
        <w:rPr>
          <w:rFonts w:hint="eastAsia"/>
          <w:lang w:val="en-US" w:eastAsia="zh-CN"/>
        </w:rPr>
        <w:t>绝缘电阻</w:t>
      </w:r>
      <w:r>
        <w:t>是否正常，是否存在漏液等现象；</w:t>
      </w:r>
    </w:p>
    <w:p>
      <w:pPr>
        <w:pStyle w:val="305"/>
        <w:numPr>
          <w:ilvl w:val="0"/>
          <w:numId w:val="44"/>
        </w:numPr>
        <w:bidi w:val="0"/>
        <w:spacing w:line="312" w:lineRule="auto"/>
        <w:ind w:left="839" w:leftChars="0" w:hanging="419" w:firstLineChars="0"/>
      </w:pPr>
      <w:r>
        <w:t>安装时，应符合下列要求：</w:t>
      </w:r>
    </w:p>
    <w:p>
      <w:pPr>
        <w:pStyle w:val="305"/>
        <w:numPr>
          <w:ilvl w:val="0"/>
          <w:numId w:val="0"/>
        </w:numPr>
        <w:bidi w:val="0"/>
        <w:spacing w:line="312" w:lineRule="auto"/>
        <w:ind w:left="840" w:leftChars="0" w:firstLine="0" w:firstLineChars="0"/>
      </w:pPr>
      <w:r>
        <w:t>1）采用专业吊装设备，如空间限制无法采用专业设备，30kg以上的模块应两人搬抬，安装高度不宜超过1.5m；</w:t>
      </w:r>
    </w:p>
    <w:p>
      <w:pPr>
        <w:pStyle w:val="305"/>
        <w:numPr>
          <w:ilvl w:val="0"/>
          <w:numId w:val="0"/>
        </w:numPr>
        <w:bidi w:val="0"/>
        <w:spacing w:line="312" w:lineRule="auto"/>
        <w:ind w:left="420" w:leftChars="0" w:firstLine="420" w:firstLineChars="200"/>
      </w:pPr>
      <w:r>
        <w:t>2）注意电池模块极性，保证电池模块的极性安装正确；</w:t>
      </w:r>
    </w:p>
    <w:p>
      <w:pPr>
        <w:pStyle w:val="305"/>
        <w:numPr>
          <w:ilvl w:val="0"/>
          <w:numId w:val="0"/>
        </w:numPr>
        <w:bidi w:val="0"/>
        <w:spacing w:line="312" w:lineRule="auto"/>
        <w:ind w:firstLine="840" w:firstLineChars="400"/>
      </w:pPr>
      <w:r>
        <w:t>3）电池模块联接线</w:t>
      </w:r>
      <w:r>
        <w:rPr>
          <w:rFonts w:hint="eastAsia"/>
        </w:rPr>
        <w:t>裕度</w:t>
      </w:r>
      <w:r>
        <w:rPr>
          <w:rFonts w:hint="eastAsia"/>
          <w:lang w:val="en-US" w:eastAsia="zh-CN"/>
        </w:rPr>
        <w:t>适宜</w:t>
      </w:r>
      <w:r>
        <w:t>，不</w:t>
      </w:r>
      <w:r>
        <w:rPr>
          <w:rFonts w:hint="eastAsia"/>
          <w:lang w:val="en-US" w:eastAsia="zh-CN"/>
        </w:rPr>
        <w:t>应</w:t>
      </w:r>
      <w:r>
        <w:t>强行拉扯、挤压、扭转线束；</w:t>
      </w:r>
    </w:p>
    <w:p>
      <w:pPr>
        <w:pStyle w:val="305"/>
        <w:numPr>
          <w:ilvl w:val="0"/>
          <w:numId w:val="0"/>
        </w:numPr>
        <w:bidi w:val="0"/>
        <w:spacing w:line="312" w:lineRule="auto"/>
        <w:ind w:firstLine="840" w:firstLineChars="400"/>
      </w:pPr>
      <w:r>
        <w:t>4）</w:t>
      </w:r>
      <w:r>
        <w:rPr>
          <w:rFonts w:hint="eastAsia"/>
          <w:lang w:val="en-US" w:eastAsia="zh-CN"/>
        </w:rPr>
        <w:t>不应</w:t>
      </w:r>
      <w:r>
        <w:t>使用金属工具对接插件处</w:t>
      </w:r>
      <w:r>
        <w:rPr>
          <w:rFonts w:hint="eastAsia"/>
          <w:lang w:val="en-US" w:eastAsia="zh-CN"/>
        </w:rPr>
        <w:t>进行</w:t>
      </w:r>
      <w:r>
        <w:t>操作；</w:t>
      </w:r>
    </w:p>
    <w:p>
      <w:pPr>
        <w:pStyle w:val="305"/>
        <w:numPr>
          <w:ilvl w:val="0"/>
          <w:numId w:val="0"/>
        </w:numPr>
        <w:bidi w:val="0"/>
        <w:spacing w:line="312" w:lineRule="auto"/>
        <w:ind w:left="420" w:leftChars="0" w:firstLine="420" w:firstLineChars="200"/>
      </w:pPr>
      <w:r>
        <w:t>5）不</w:t>
      </w:r>
      <w:r>
        <w:rPr>
          <w:rFonts w:hint="eastAsia"/>
          <w:lang w:val="en-US" w:eastAsia="zh-CN"/>
        </w:rPr>
        <w:t>应将</w:t>
      </w:r>
      <w:r>
        <w:t>不同容量、不同性能的电池模块联接在一起使用；</w:t>
      </w:r>
    </w:p>
    <w:p>
      <w:pPr>
        <w:pStyle w:val="305"/>
        <w:numPr>
          <w:ilvl w:val="0"/>
          <w:numId w:val="44"/>
        </w:numPr>
        <w:bidi w:val="0"/>
        <w:spacing w:line="312" w:lineRule="auto"/>
        <w:ind w:left="839" w:leftChars="0" w:hanging="419" w:firstLineChars="0"/>
      </w:pPr>
      <w:r>
        <w:rPr>
          <w:rFonts w:hint="eastAsia"/>
          <w:highlight w:val="none"/>
        </w:rPr>
        <w:t>电池</w:t>
      </w:r>
      <w:r>
        <w:rPr>
          <w:rFonts w:hint="eastAsia"/>
          <w:highlight w:val="none"/>
          <w:lang w:val="en-US" w:eastAsia="zh-CN"/>
        </w:rPr>
        <w:t>模块</w:t>
      </w:r>
      <w:r>
        <w:rPr>
          <w:rFonts w:hint="eastAsia"/>
          <w:highlight w:val="none"/>
        </w:rPr>
        <w:t>并联前应先</w:t>
      </w:r>
      <w:r>
        <w:rPr>
          <w:rFonts w:hint="eastAsia"/>
          <w:highlight w:val="none"/>
          <w:lang w:val="en-US" w:eastAsia="zh-CN"/>
        </w:rPr>
        <w:t>依据GB 36276规定</w:t>
      </w:r>
      <w:r>
        <w:rPr>
          <w:rFonts w:hint="eastAsia"/>
          <w:highlight w:val="none"/>
        </w:rPr>
        <w:t>测试每个模块电压，压差在</w:t>
      </w:r>
      <w:r>
        <w:rPr>
          <w:rFonts w:hint="eastAsia"/>
          <w:highlight w:val="none"/>
          <w:lang w:val="en-US" w:eastAsia="zh-CN"/>
        </w:rPr>
        <w:t>电池模块标称电压5%</w:t>
      </w:r>
      <w:r>
        <w:rPr>
          <w:rFonts w:hint="eastAsia"/>
          <w:highlight w:val="none"/>
        </w:rPr>
        <w:t>内方可并联</w:t>
      </w:r>
      <w:r>
        <w:rPr>
          <w:highlight w:val="none"/>
        </w:rPr>
        <w:t>；多电池</w:t>
      </w:r>
      <w:r>
        <w:rPr>
          <w:rFonts w:hint="eastAsia"/>
          <w:highlight w:val="none"/>
        </w:rPr>
        <w:t>模块</w:t>
      </w:r>
      <w:r>
        <w:rPr>
          <w:highlight w:val="none"/>
        </w:rPr>
        <w:t>并联时，</w:t>
      </w:r>
      <w:r>
        <w:rPr>
          <w:rFonts w:hint="eastAsia"/>
          <w:highlight w:val="none"/>
          <w:lang w:val="en-US" w:eastAsia="zh-CN"/>
        </w:rPr>
        <w:t>采用</w:t>
      </w:r>
      <w:r>
        <w:rPr>
          <w:highlight w:val="none"/>
        </w:rPr>
        <w:t>先串联后并联的连接方式</w:t>
      </w:r>
      <w:r>
        <w:t>；</w:t>
      </w:r>
    </w:p>
    <w:p>
      <w:pPr>
        <w:pStyle w:val="305"/>
        <w:numPr>
          <w:ilvl w:val="0"/>
          <w:numId w:val="44"/>
        </w:numPr>
        <w:bidi w:val="0"/>
        <w:spacing w:line="312" w:lineRule="auto"/>
        <w:ind w:left="839" w:leftChars="0" w:hanging="419" w:firstLineChars="0"/>
      </w:pPr>
      <w:r>
        <w:rPr>
          <w:rFonts w:hint="eastAsia"/>
        </w:rPr>
        <w:t>投运</w:t>
      </w:r>
      <w:r>
        <w:t>前，应检查电池</w:t>
      </w:r>
      <w:r>
        <w:rPr>
          <w:rFonts w:hint="eastAsia"/>
        </w:rPr>
        <w:t>簇</w:t>
      </w:r>
      <w:r>
        <w:t>的总电压及正负极，</w:t>
      </w:r>
      <w:r>
        <w:rPr>
          <w:rFonts w:hint="eastAsia"/>
          <w:lang w:val="en-US" w:eastAsia="zh-CN"/>
        </w:rPr>
        <w:t>确认</w:t>
      </w:r>
      <w:r>
        <w:t>安装</w:t>
      </w:r>
      <w:r>
        <w:rPr>
          <w:rFonts w:hint="eastAsia"/>
          <w:lang w:val="en-US" w:eastAsia="zh-CN"/>
        </w:rPr>
        <w:t>是否</w:t>
      </w:r>
      <w:r>
        <w:t>正确。</w:t>
      </w:r>
    </w:p>
    <w:p>
      <w:pPr>
        <w:pStyle w:val="260"/>
        <w:bidi w:val="0"/>
        <w:spacing w:line="312" w:lineRule="auto"/>
        <w:outlineLvl w:val="2"/>
      </w:pPr>
      <w:bookmarkStart w:id="290" w:name="_Toc16411"/>
      <w:bookmarkStart w:id="291" w:name="_Toc22636"/>
      <w:bookmarkStart w:id="292" w:name="_Toc20167"/>
      <w:bookmarkStart w:id="293" w:name="_Toc25693"/>
      <w:bookmarkStart w:id="294" w:name="_Toc9223"/>
      <w:bookmarkStart w:id="295" w:name="_Toc5188"/>
      <w:bookmarkStart w:id="296" w:name="_Toc17258"/>
      <w:bookmarkStart w:id="297" w:name="_Toc13503"/>
      <w:bookmarkStart w:id="298" w:name="_Toc8397"/>
      <w:bookmarkStart w:id="299" w:name="_Toc1504"/>
      <w:bookmarkStart w:id="300" w:name="_Toc604"/>
      <w:bookmarkStart w:id="301" w:name="_Toc7692"/>
      <w:bookmarkStart w:id="302" w:name="_Toc1493"/>
      <w:bookmarkStart w:id="303" w:name="_Toc27246"/>
      <w:r>
        <w:t>施工</w:t>
      </w:r>
      <w:r>
        <w:rPr>
          <w:rFonts w:hint="eastAsia"/>
          <w:lang w:val="en-US" w:eastAsia="zh-CN"/>
        </w:rPr>
        <w:t>与应急</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pPr>
        <w:pStyle w:val="326"/>
        <w:bidi w:val="0"/>
        <w:spacing w:line="312" w:lineRule="auto"/>
      </w:pPr>
      <w:r>
        <w:t>火灾</w:t>
      </w:r>
      <w:r>
        <w:rPr>
          <w:rFonts w:hint="eastAsia"/>
        </w:rPr>
        <w:t>自动</w:t>
      </w:r>
      <w:r>
        <w:t>报警及其联动控制系统、细水雾灭火系统、消防给水及消火栓系统</w:t>
      </w:r>
      <w:r>
        <w:rPr>
          <w:rFonts w:hint="eastAsia"/>
          <w:lang w:val="en-US" w:eastAsia="zh-CN"/>
        </w:rPr>
        <w:t>等消防设施</w:t>
      </w:r>
      <w:r>
        <w:t>的施工与验收应执行国家现行有关标准</w:t>
      </w:r>
      <w:r>
        <w:rPr>
          <w:rFonts w:hint="eastAsia"/>
          <w:lang w:eastAsia="zh-CN"/>
        </w:rPr>
        <w:t>，</w:t>
      </w:r>
      <w:r>
        <w:rPr>
          <w:rFonts w:hint="eastAsia"/>
          <w:lang w:val="en-US" w:eastAsia="zh-CN"/>
        </w:rPr>
        <w:t>设计文件、施工记录、调试报告等竣工资料完备</w:t>
      </w:r>
      <w:r>
        <w:t>。</w:t>
      </w:r>
    </w:p>
    <w:p>
      <w:pPr>
        <w:pStyle w:val="326"/>
        <w:spacing w:before="156" w:after="156" w:line="312" w:lineRule="auto"/>
        <w:rPr>
          <w:highlight w:val="none"/>
        </w:rPr>
      </w:pPr>
      <w:bookmarkStart w:id="304" w:name="_Toc6938"/>
      <w:bookmarkStart w:id="305" w:name="_Toc6499"/>
      <w:bookmarkStart w:id="306" w:name="_Toc12024"/>
      <w:r>
        <w:rPr>
          <w:rFonts w:hint="eastAsia" w:hAnsi="Times New Roman" w:asciiTheme="majorEastAsia" w:eastAsiaTheme="majorEastAsia"/>
          <w:highlight w:val="none"/>
        </w:rPr>
        <w:t>预制舱安装电池模块前，宜提前将消防水系统、固定自动灭火系统安装调试合格。</w:t>
      </w:r>
      <w:r>
        <w:rPr>
          <w:rFonts w:hint="default" w:asciiTheme="majorEastAsia" w:eastAsiaTheme="majorEastAsia"/>
          <w:highlight w:val="none"/>
          <w:lang w:val="en-US" w:eastAsia="zh-CN"/>
        </w:rPr>
        <w:t>安装、</w:t>
      </w:r>
      <w:r>
        <w:rPr>
          <w:rFonts w:hint="eastAsia" w:hAnsi="Times New Roman" w:asciiTheme="majorEastAsia" w:eastAsiaTheme="majorEastAsia"/>
          <w:highlight w:val="none"/>
        </w:rPr>
        <w:t>施工</w:t>
      </w:r>
      <w:r>
        <w:rPr>
          <w:rFonts w:hint="eastAsia"/>
          <w:highlight w:val="none"/>
          <w:lang w:val="en-US" w:eastAsia="zh-CN"/>
        </w:rPr>
        <w:t>或</w:t>
      </w:r>
      <w:r>
        <w:rPr>
          <w:rFonts w:hint="eastAsia" w:hAnsi="Times New Roman" w:asciiTheme="majorEastAsia" w:eastAsiaTheme="majorEastAsia"/>
          <w:highlight w:val="none"/>
        </w:rPr>
        <w:t>调试过程中发生预制舱电池火灾时，可立即启动灭火系统进行灭火。</w:t>
      </w:r>
      <w:bookmarkEnd w:id="304"/>
      <w:bookmarkEnd w:id="305"/>
      <w:bookmarkEnd w:id="306"/>
    </w:p>
    <w:p>
      <w:pPr>
        <w:pStyle w:val="259"/>
        <w:bidi w:val="0"/>
        <w:spacing w:line="312" w:lineRule="auto"/>
      </w:pPr>
      <w:bookmarkStart w:id="307" w:name="_Toc1491"/>
      <w:bookmarkStart w:id="308" w:name="_Toc28829"/>
      <w:bookmarkStart w:id="309" w:name="_Toc332"/>
      <w:bookmarkStart w:id="310" w:name="_Toc1843"/>
      <w:bookmarkStart w:id="311" w:name="_Toc17927"/>
      <w:bookmarkStart w:id="312" w:name="_Toc13294"/>
      <w:bookmarkStart w:id="313" w:name="_Toc22776"/>
      <w:bookmarkStart w:id="314" w:name="_Toc2510"/>
      <w:bookmarkStart w:id="315" w:name="_Toc22654"/>
      <w:bookmarkStart w:id="316" w:name="_Toc11087"/>
      <w:bookmarkStart w:id="317" w:name="_Toc29170"/>
      <w:bookmarkStart w:id="318" w:name="_Toc4882"/>
      <w:bookmarkStart w:id="319" w:name="_Toc21911"/>
      <w:bookmarkStart w:id="320" w:name="_Toc25952"/>
      <w:bookmarkStart w:id="321" w:name="_Toc17960"/>
      <w:bookmarkStart w:id="322" w:name="_Toc30315"/>
      <w:bookmarkStart w:id="323" w:name="_Toc25628"/>
      <w:bookmarkStart w:id="324" w:name="_Toc21015_WPSOffice_Level1"/>
      <w:bookmarkStart w:id="325" w:name="_Toc60"/>
      <w:bookmarkStart w:id="326" w:name="_Toc5589"/>
      <w:bookmarkStart w:id="327" w:name="_Toc28554"/>
      <w:bookmarkStart w:id="328" w:name="_Toc29855"/>
      <w:bookmarkStart w:id="329" w:name="_Toc12443"/>
      <w:bookmarkStart w:id="330" w:name="_Toc25285"/>
      <w:r>
        <w:t>运行维护</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p>
    <w:p>
      <w:pPr>
        <w:pStyle w:val="260"/>
        <w:bidi w:val="0"/>
        <w:spacing w:line="312" w:lineRule="auto"/>
        <w:outlineLvl w:val="2"/>
      </w:pPr>
      <w:bookmarkStart w:id="331" w:name="_Toc6077"/>
      <w:bookmarkStart w:id="332" w:name="_Toc11001"/>
      <w:bookmarkStart w:id="333" w:name="_Toc20120"/>
      <w:bookmarkStart w:id="334" w:name="_Toc28672"/>
      <w:bookmarkStart w:id="335" w:name="_Toc9379"/>
      <w:bookmarkStart w:id="336" w:name="_Toc21710"/>
      <w:r>
        <w:rPr>
          <w:rFonts w:hint="eastAsia"/>
          <w:lang w:val="en-US" w:eastAsia="zh-CN"/>
        </w:rPr>
        <w:t>一般</w:t>
      </w:r>
      <w:bookmarkEnd w:id="331"/>
      <w:bookmarkEnd w:id="332"/>
      <w:r>
        <w:rPr>
          <w:rFonts w:hint="eastAsia"/>
          <w:lang w:val="en-US" w:eastAsia="zh-CN"/>
        </w:rPr>
        <w:t>要求</w:t>
      </w:r>
      <w:bookmarkEnd w:id="333"/>
      <w:bookmarkEnd w:id="334"/>
      <w:bookmarkEnd w:id="335"/>
      <w:bookmarkEnd w:id="336"/>
    </w:p>
    <w:p>
      <w:pPr>
        <w:pStyle w:val="326"/>
        <w:bidi w:val="0"/>
        <w:spacing w:line="312" w:lineRule="auto"/>
        <w:rPr>
          <w:rFonts w:hint="eastAsia"/>
        </w:rPr>
      </w:pPr>
      <w:r>
        <w:rPr>
          <w:rFonts w:hint="eastAsia"/>
        </w:rPr>
        <w:t>储能电站运维人员应</w:t>
      </w:r>
      <w:r>
        <w:rPr>
          <w:rFonts w:hint="eastAsia"/>
          <w:lang w:val="en-US" w:eastAsia="zh-CN"/>
        </w:rPr>
        <w:t>依据GB/T 40090、GB/T 42288、GB/T 42315等相关技术标准，编制运行维护检修规程，</w:t>
      </w:r>
      <w:r>
        <w:rPr>
          <w:rFonts w:hint="eastAsia"/>
        </w:rPr>
        <w:t>实时监</w:t>
      </w:r>
      <w:r>
        <w:rPr>
          <w:rFonts w:hint="eastAsia"/>
          <w:lang w:val="en-US" w:eastAsia="zh-CN"/>
        </w:rPr>
        <w:t>测</w:t>
      </w:r>
      <w:r>
        <w:rPr>
          <w:rFonts w:hint="eastAsia"/>
        </w:rPr>
        <w:t>电站运行工况，</w:t>
      </w:r>
      <w:r>
        <w:rPr>
          <w:rFonts w:hint="eastAsia"/>
          <w:lang w:val="en-US" w:eastAsia="zh-CN"/>
        </w:rPr>
        <w:t>定期进行运行维护，发现缺陷及时修理</w:t>
      </w:r>
      <w:r>
        <w:rPr>
          <w:rFonts w:hint="eastAsia"/>
        </w:rPr>
        <w:t>。</w:t>
      </w:r>
    </w:p>
    <w:p>
      <w:pPr>
        <w:pStyle w:val="326"/>
        <w:bidi w:val="0"/>
        <w:spacing w:line="312" w:lineRule="auto"/>
        <w:rPr>
          <w:rFonts w:hint="eastAsia"/>
        </w:rPr>
      </w:pPr>
      <w:r>
        <w:rPr>
          <w:rFonts w:hint="eastAsia"/>
          <w:lang w:val="en-US" w:eastAsia="zh-CN"/>
        </w:rPr>
        <w:t>储能电站运维人员应依据</w:t>
      </w:r>
      <w:r>
        <w:rPr>
          <w:rFonts w:hint="eastAsia"/>
        </w:rPr>
        <w:t>GB/T 36549</w:t>
      </w:r>
      <w:r>
        <w:rPr>
          <w:rFonts w:hint="eastAsia"/>
          <w:lang w:eastAsia="zh-CN"/>
        </w:rPr>
        <w:t>的</w:t>
      </w:r>
      <w:r>
        <w:rPr>
          <w:rFonts w:hint="eastAsia"/>
          <w:lang w:val="en-US" w:eastAsia="zh-CN"/>
        </w:rPr>
        <w:t>规定，</w:t>
      </w:r>
      <w:r>
        <w:rPr>
          <w:rFonts w:hint="eastAsia"/>
        </w:rPr>
        <w:t>每年至少开展一次储能电站运行指标评价，提出运行安全管控措施并督促落实。</w:t>
      </w:r>
    </w:p>
    <w:p>
      <w:pPr>
        <w:pStyle w:val="326"/>
        <w:bidi w:val="0"/>
        <w:spacing w:line="312" w:lineRule="auto"/>
        <w:rPr>
          <w:rFonts w:hint="eastAsia"/>
        </w:rPr>
      </w:pPr>
      <w:r>
        <w:rPr>
          <w:rFonts w:hint="eastAsia"/>
          <w:lang w:val="en-US" w:eastAsia="zh-CN"/>
        </w:rPr>
        <w:t>储能电站运维单位应根据电池健康状态和性能衰减趋势制定调峰、调频或紧急功率支撑运行控制策略，并根据电池运行工况及时调整。</w:t>
      </w:r>
    </w:p>
    <w:p>
      <w:pPr>
        <w:pStyle w:val="326"/>
        <w:bidi w:val="0"/>
        <w:spacing w:line="312" w:lineRule="auto"/>
        <w:rPr>
          <w:rFonts w:hint="eastAsia"/>
        </w:rPr>
      </w:pPr>
      <w:r>
        <w:rPr>
          <w:rFonts w:hint="eastAsia"/>
          <w:lang w:val="en-US" w:eastAsia="zh-CN"/>
        </w:rPr>
        <w:t>储能电站调频应用时，电池SOE宜运行控制在50%±30%且应定期校准，最高充放电倍率不得高于额定倍率，每天宜保持2次以上且每次不小于30min的静置时间；加强电池在线监测，发现异常立即维护修理。</w:t>
      </w:r>
    </w:p>
    <w:p>
      <w:pPr>
        <w:pStyle w:val="326"/>
        <w:bidi w:val="0"/>
        <w:spacing w:line="312" w:lineRule="auto"/>
        <w:rPr>
          <w:rFonts w:hint="eastAsia"/>
        </w:rPr>
      </w:pPr>
      <w:r>
        <w:rPr>
          <w:rFonts w:hint="eastAsia"/>
          <w:lang w:val="en-US" w:eastAsia="zh-CN"/>
        </w:rPr>
        <w:t>电池检修过程中，应采取防止电池正负极短路、反接和人员触电的措施。</w:t>
      </w:r>
    </w:p>
    <w:p>
      <w:pPr>
        <w:pStyle w:val="326"/>
        <w:bidi w:val="0"/>
        <w:spacing w:line="312" w:lineRule="auto"/>
        <w:rPr>
          <w:rFonts w:hint="eastAsia"/>
        </w:rPr>
      </w:pPr>
      <w:r>
        <w:rPr>
          <w:rFonts w:hint="eastAsia"/>
          <w:lang w:val="en-US" w:eastAsia="zh-CN"/>
        </w:rPr>
        <w:t>储能电站设备检修后，应核对电池管理系统保护定值、可燃气体探测器阈值等设备参数。</w:t>
      </w:r>
    </w:p>
    <w:p>
      <w:pPr>
        <w:pStyle w:val="260"/>
        <w:bidi w:val="0"/>
        <w:spacing w:line="312" w:lineRule="auto"/>
        <w:outlineLvl w:val="2"/>
      </w:pPr>
      <w:bookmarkStart w:id="337" w:name="_Toc29788"/>
      <w:bookmarkStart w:id="338" w:name="_Toc11617"/>
      <w:bookmarkStart w:id="339" w:name="_Toc15902"/>
      <w:bookmarkStart w:id="340" w:name="_Toc24538"/>
      <w:bookmarkStart w:id="341" w:name="_Toc20145"/>
      <w:bookmarkStart w:id="342" w:name="_Toc4713"/>
      <w:r>
        <w:t>消防安全管理</w:t>
      </w:r>
      <w:bookmarkEnd w:id="337"/>
      <w:bookmarkEnd w:id="338"/>
      <w:bookmarkEnd w:id="339"/>
      <w:bookmarkEnd w:id="340"/>
      <w:bookmarkEnd w:id="341"/>
      <w:bookmarkEnd w:id="342"/>
    </w:p>
    <w:p>
      <w:pPr>
        <w:pStyle w:val="326"/>
        <w:bidi w:val="0"/>
        <w:spacing w:line="312" w:lineRule="auto"/>
        <w:rPr>
          <w:highlight w:val="none"/>
        </w:rPr>
      </w:pPr>
      <w:r>
        <w:t>储能电站运维单位应</w:t>
      </w:r>
      <w:r>
        <w:rPr>
          <w:rFonts w:hint="eastAsia"/>
        </w:rPr>
        <w:t>确定单位</w:t>
      </w:r>
      <w:r>
        <w:t>消防安全责任人、消防安全管理人和每座储能电站的防火责任人</w:t>
      </w:r>
      <w:r>
        <w:rPr>
          <w:rFonts w:hint="eastAsia"/>
        </w:rPr>
        <w:t>，逐级明确消防安全职责</w:t>
      </w:r>
      <w:r>
        <w:rPr>
          <w:rFonts w:hint="eastAsia"/>
          <w:highlight w:val="none"/>
        </w:rPr>
        <w:t>。储能电站运维人员和集控中心运行值班人员应熟悉储能电站的各类消防灭火系统，并经消防培训合格后方可上岗。</w:t>
      </w:r>
    </w:p>
    <w:p>
      <w:pPr>
        <w:pStyle w:val="326"/>
        <w:bidi w:val="0"/>
        <w:spacing w:line="312" w:lineRule="auto"/>
      </w:pPr>
      <w:r>
        <w:t>储能电站运行维护人员应结合电力设备日常巡视周期定期进行防火</w:t>
      </w:r>
      <w:r>
        <w:rPr>
          <w:rFonts w:hint="eastAsia"/>
        </w:rPr>
        <w:t>巡</w:t>
      </w:r>
      <w:r>
        <w:t>查，防火</w:t>
      </w:r>
      <w:r>
        <w:rPr>
          <w:rFonts w:hint="eastAsia"/>
        </w:rPr>
        <w:t>巡</w:t>
      </w:r>
      <w:r>
        <w:t>查应包括但不限于下列内容：</w:t>
      </w:r>
    </w:p>
    <w:p>
      <w:pPr>
        <w:pStyle w:val="305"/>
        <w:numPr>
          <w:ilvl w:val="0"/>
          <w:numId w:val="45"/>
        </w:numPr>
        <w:bidi w:val="0"/>
        <w:spacing w:line="312" w:lineRule="auto"/>
        <w:ind w:left="839" w:leftChars="0" w:hanging="419" w:firstLineChars="0"/>
      </w:pPr>
      <w:r>
        <w:rPr>
          <w:rFonts w:hint="eastAsia"/>
          <w:lang w:val="en-US" w:eastAsia="zh-CN"/>
        </w:rPr>
        <w:t>电池舱内可燃气体情况；</w:t>
      </w:r>
    </w:p>
    <w:p>
      <w:pPr>
        <w:pStyle w:val="305"/>
        <w:numPr>
          <w:ilvl w:val="0"/>
          <w:numId w:val="45"/>
        </w:numPr>
        <w:bidi w:val="0"/>
        <w:spacing w:line="312" w:lineRule="auto"/>
        <w:ind w:left="839" w:leftChars="0" w:hanging="419" w:firstLineChars="0"/>
      </w:pPr>
      <w:r>
        <w:t>消防设施是否处于正常运行状态；</w:t>
      </w:r>
    </w:p>
    <w:p>
      <w:pPr>
        <w:pStyle w:val="305"/>
        <w:numPr>
          <w:ilvl w:val="0"/>
          <w:numId w:val="45"/>
        </w:numPr>
        <w:bidi w:val="0"/>
        <w:spacing w:line="312" w:lineRule="auto"/>
        <w:ind w:left="839" w:leftChars="0" w:hanging="419" w:firstLineChars="0"/>
      </w:pPr>
      <w:r>
        <w:t>消防器材是否完好可用；</w:t>
      </w:r>
    </w:p>
    <w:p>
      <w:pPr>
        <w:pStyle w:val="305"/>
        <w:numPr>
          <w:ilvl w:val="0"/>
          <w:numId w:val="45"/>
        </w:numPr>
        <w:bidi w:val="0"/>
        <w:spacing w:line="312" w:lineRule="auto"/>
        <w:ind w:left="839" w:leftChars="0" w:hanging="419" w:firstLineChars="0"/>
      </w:pPr>
      <w:r>
        <w:t>消防安全标识是否在位、完整；</w:t>
      </w:r>
    </w:p>
    <w:p>
      <w:pPr>
        <w:pStyle w:val="305"/>
        <w:numPr>
          <w:ilvl w:val="0"/>
          <w:numId w:val="45"/>
        </w:numPr>
        <w:bidi w:val="0"/>
        <w:spacing w:line="312" w:lineRule="auto"/>
        <w:ind w:left="839" w:leftChars="0" w:hanging="419" w:firstLineChars="0"/>
      </w:pPr>
      <w:r>
        <w:t>动火作业情况；</w:t>
      </w:r>
    </w:p>
    <w:p>
      <w:pPr>
        <w:pStyle w:val="305"/>
        <w:numPr>
          <w:ilvl w:val="0"/>
          <w:numId w:val="45"/>
        </w:numPr>
        <w:bidi w:val="0"/>
        <w:spacing w:line="312" w:lineRule="auto"/>
        <w:ind w:left="839" w:leftChars="0" w:hanging="419" w:firstLineChars="0"/>
      </w:pPr>
      <w:r>
        <w:t>防火封堵情况；</w:t>
      </w:r>
    </w:p>
    <w:p>
      <w:pPr>
        <w:pStyle w:val="305"/>
        <w:numPr>
          <w:ilvl w:val="0"/>
          <w:numId w:val="45"/>
        </w:numPr>
        <w:bidi w:val="0"/>
        <w:spacing w:line="312" w:lineRule="auto"/>
        <w:ind w:left="839" w:leftChars="0" w:hanging="419" w:firstLineChars="0"/>
      </w:pPr>
      <w:r>
        <w:t>消防通道、疏散通道是否被占用；</w:t>
      </w:r>
    </w:p>
    <w:p>
      <w:pPr>
        <w:pStyle w:val="305"/>
        <w:numPr>
          <w:ilvl w:val="0"/>
          <w:numId w:val="45"/>
        </w:numPr>
        <w:bidi w:val="0"/>
        <w:spacing w:line="312" w:lineRule="auto"/>
        <w:ind w:left="839" w:leftChars="0" w:hanging="419" w:firstLineChars="0"/>
      </w:pPr>
      <w:r>
        <w:t>其他火灾隐患等。</w:t>
      </w:r>
    </w:p>
    <w:p>
      <w:pPr>
        <w:pStyle w:val="326"/>
        <w:bidi w:val="0"/>
        <w:spacing w:line="312" w:lineRule="auto"/>
      </w:pPr>
      <w:r>
        <w:rPr>
          <w:rFonts w:hint="eastAsia"/>
        </w:rPr>
        <w:t>防火巡查人员应及时纠正违章行为，妥善处置火灾隐患，无法当场处置的，应当立即报告。</w:t>
      </w:r>
      <w:r>
        <w:t>防火</w:t>
      </w:r>
      <w:r>
        <w:rPr>
          <w:rFonts w:hint="eastAsia"/>
        </w:rPr>
        <w:t>巡</w:t>
      </w:r>
      <w:r>
        <w:t>查应填写相关记录。</w:t>
      </w:r>
    </w:p>
    <w:p>
      <w:pPr>
        <w:pStyle w:val="326"/>
        <w:bidi w:val="0"/>
        <w:spacing w:line="312" w:lineRule="auto"/>
      </w:pPr>
      <w:r>
        <w:rPr>
          <w:rFonts w:hint="eastAsia"/>
        </w:rPr>
        <w:t>储能电站运维单位</w:t>
      </w:r>
      <w:r>
        <w:rPr>
          <w:rFonts w:hint="eastAsia"/>
          <w:lang w:val="en-US" w:eastAsia="zh-CN"/>
        </w:rPr>
        <w:t>消防管理人员</w:t>
      </w:r>
      <w:r>
        <w:rPr>
          <w:rFonts w:hint="eastAsia"/>
        </w:rPr>
        <w:t>应定期进行防火检查，每月不少于1次。防火检查内容应包括但不限于下列内容：</w:t>
      </w:r>
    </w:p>
    <w:p>
      <w:pPr>
        <w:pStyle w:val="305"/>
        <w:numPr>
          <w:ilvl w:val="0"/>
          <w:numId w:val="46"/>
        </w:numPr>
        <w:bidi w:val="0"/>
        <w:spacing w:line="312" w:lineRule="auto"/>
        <w:ind w:left="839" w:leftChars="0" w:hanging="419" w:firstLineChars="0"/>
      </w:pPr>
      <w:r>
        <w:rPr>
          <w:rFonts w:hint="eastAsia"/>
        </w:rPr>
        <w:t>防火巡查落实情况；</w:t>
      </w:r>
    </w:p>
    <w:p>
      <w:pPr>
        <w:pStyle w:val="305"/>
        <w:numPr>
          <w:ilvl w:val="0"/>
          <w:numId w:val="46"/>
        </w:numPr>
        <w:bidi w:val="0"/>
        <w:spacing w:line="312" w:lineRule="auto"/>
        <w:ind w:left="839" w:leftChars="0" w:hanging="419" w:firstLineChars="0"/>
      </w:pPr>
      <w:r>
        <w:t>消防设施是否处于正常运行状态；</w:t>
      </w:r>
    </w:p>
    <w:p>
      <w:pPr>
        <w:pStyle w:val="305"/>
        <w:numPr>
          <w:ilvl w:val="0"/>
          <w:numId w:val="46"/>
        </w:numPr>
        <w:bidi w:val="0"/>
        <w:spacing w:line="312" w:lineRule="auto"/>
        <w:ind w:left="839" w:leftChars="0" w:hanging="419" w:firstLineChars="0"/>
      </w:pPr>
      <w:r>
        <w:rPr>
          <w:rFonts w:hint="eastAsia"/>
        </w:rPr>
        <w:t>电池预制舱</w:t>
      </w:r>
      <w:r>
        <w:rPr>
          <w:rFonts w:hint="eastAsia"/>
          <w:lang w:val="en-US" w:eastAsia="zh-CN"/>
        </w:rPr>
        <w:t>通</w:t>
      </w:r>
      <w:r>
        <w:rPr>
          <w:rFonts w:hint="eastAsia"/>
        </w:rPr>
        <w:t>风系统是否处于正常运行状态；</w:t>
      </w:r>
    </w:p>
    <w:p>
      <w:pPr>
        <w:pStyle w:val="305"/>
        <w:numPr>
          <w:ilvl w:val="0"/>
          <w:numId w:val="46"/>
        </w:numPr>
        <w:bidi w:val="0"/>
        <w:spacing w:line="312" w:lineRule="auto"/>
        <w:ind w:left="839" w:leftChars="0" w:hanging="419" w:firstLineChars="0"/>
      </w:pPr>
      <w:r>
        <w:rPr>
          <w:rFonts w:hint="eastAsia"/>
        </w:rPr>
        <w:t>消防设施维护保养检测工作实施情况；</w:t>
      </w:r>
    </w:p>
    <w:p>
      <w:pPr>
        <w:pStyle w:val="305"/>
        <w:numPr>
          <w:ilvl w:val="0"/>
          <w:numId w:val="46"/>
        </w:numPr>
        <w:bidi w:val="0"/>
        <w:spacing w:line="312" w:lineRule="auto"/>
        <w:ind w:left="839" w:leftChars="0" w:hanging="419" w:firstLineChars="0"/>
      </w:pPr>
      <w:r>
        <w:rPr>
          <w:rFonts w:hint="eastAsia"/>
        </w:rPr>
        <w:t>火灾隐患整改情况</w:t>
      </w:r>
      <w:r>
        <w:t>；</w:t>
      </w:r>
    </w:p>
    <w:p>
      <w:pPr>
        <w:pStyle w:val="305"/>
        <w:numPr>
          <w:ilvl w:val="0"/>
          <w:numId w:val="46"/>
        </w:numPr>
        <w:bidi w:val="0"/>
        <w:spacing w:line="312" w:lineRule="auto"/>
        <w:ind w:left="839" w:leftChars="0" w:hanging="419" w:firstLineChars="0"/>
      </w:pPr>
      <w:r>
        <w:t>消防车通道、消防水源情况；</w:t>
      </w:r>
    </w:p>
    <w:p>
      <w:pPr>
        <w:pStyle w:val="305"/>
        <w:numPr>
          <w:ilvl w:val="0"/>
          <w:numId w:val="46"/>
        </w:numPr>
        <w:bidi w:val="0"/>
        <w:spacing w:line="312" w:lineRule="auto"/>
        <w:ind w:left="839" w:leftChars="0" w:hanging="419" w:firstLineChars="0"/>
      </w:pPr>
      <w:r>
        <w:t>用火、用电有无违章情况；</w:t>
      </w:r>
    </w:p>
    <w:p>
      <w:pPr>
        <w:pStyle w:val="305"/>
        <w:numPr>
          <w:ilvl w:val="0"/>
          <w:numId w:val="46"/>
        </w:numPr>
        <w:bidi w:val="0"/>
        <w:spacing w:line="312" w:lineRule="auto"/>
        <w:ind w:left="839" w:leftChars="0" w:hanging="419" w:firstLineChars="0"/>
      </w:pPr>
      <w:r>
        <w:t>消防集控中心值班情况；</w:t>
      </w:r>
    </w:p>
    <w:p>
      <w:pPr>
        <w:pStyle w:val="305"/>
        <w:numPr>
          <w:ilvl w:val="0"/>
          <w:numId w:val="46"/>
        </w:numPr>
        <w:bidi w:val="0"/>
        <w:spacing w:line="312" w:lineRule="auto"/>
        <w:ind w:left="839" w:leftChars="0" w:hanging="419" w:firstLineChars="0"/>
      </w:pPr>
      <w:r>
        <w:rPr>
          <w:rFonts w:hint="eastAsia"/>
        </w:rPr>
        <w:t>火灾应急预案、演练及人员培训情况；</w:t>
      </w:r>
    </w:p>
    <w:p>
      <w:pPr>
        <w:pStyle w:val="305"/>
        <w:numPr>
          <w:ilvl w:val="0"/>
          <w:numId w:val="46"/>
        </w:numPr>
        <w:bidi w:val="0"/>
        <w:spacing w:line="312" w:lineRule="auto"/>
        <w:ind w:left="839" w:leftChars="0" w:hanging="419" w:firstLineChars="0"/>
      </w:pPr>
      <w:r>
        <w:t>其他需要检查的内容。</w:t>
      </w:r>
    </w:p>
    <w:p>
      <w:pPr>
        <w:pStyle w:val="326"/>
        <w:bidi w:val="0"/>
        <w:spacing w:line="312" w:lineRule="auto"/>
      </w:pPr>
      <w:r>
        <w:t>储能电站电力设备区应为一级动火区，动火作业应执行DL 5027的</w:t>
      </w:r>
      <w:r>
        <w:rPr>
          <w:rFonts w:hint="eastAsia"/>
        </w:rPr>
        <w:t>相关</w:t>
      </w:r>
      <w:r>
        <w:t>规定，填写并执行一级动火工作票。</w:t>
      </w:r>
    </w:p>
    <w:p>
      <w:pPr>
        <w:pStyle w:val="326"/>
        <w:bidi w:val="0"/>
        <w:spacing w:line="312" w:lineRule="auto"/>
      </w:pPr>
      <w:r>
        <w:t>运行中电池温度不</w:t>
      </w:r>
      <w:r>
        <w:rPr>
          <w:rFonts w:hint="eastAsia"/>
          <w:lang w:val="en-US" w:eastAsia="zh-CN"/>
        </w:rPr>
        <w:t>应</w:t>
      </w:r>
      <w:r>
        <w:t>超过55℃，严格控制电池充</w:t>
      </w:r>
      <w:r>
        <w:rPr>
          <w:rFonts w:hint="eastAsia"/>
        </w:rPr>
        <w:t>、</w:t>
      </w:r>
      <w:r>
        <w:t>放电截止电压，避免过充、过放电。</w:t>
      </w:r>
    </w:p>
    <w:p>
      <w:pPr>
        <w:pStyle w:val="260"/>
        <w:bidi w:val="0"/>
        <w:spacing w:line="312" w:lineRule="auto"/>
        <w:outlineLvl w:val="2"/>
      </w:pPr>
      <w:bookmarkStart w:id="343" w:name="_Toc31969"/>
      <w:bookmarkStart w:id="344" w:name="_Toc14320"/>
      <w:bookmarkStart w:id="345" w:name="_Toc25107"/>
      <w:bookmarkStart w:id="346" w:name="_Toc6371"/>
      <w:bookmarkStart w:id="347" w:name="_Toc6927"/>
      <w:bookmarkStart w:id="348" w:name="_Toc29374"/>
      <w:bookmarkStart w:id="349" w:name="_Toc11941"/>
      <w:bookmarkStart w:id="350" w:name="_Toc32560"/>
      <w:bookmarkStart w:id="351" w:name="_Toc18303"/>
      <w:bookmarkStart w:id="352" w:name="_Toc772"/>
      <w:bookmarkStart w:id="353" w:name="_Toc440"/>
      <w:bookmarkStart w:id="354" w:name="_Toc25994"/>
      <w:bookmarkStart w:id="355" w:name="_Toc6349"/>
      <w:bookmarkStart w:id="356" w:name="_Toc10579"/>
      <w:r>
        <w:t>消防设施运维</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p>
    <w:p>
      <w:pPr>
        <w:pStyle w:val="326"/>
        <w:bidi w:val="0"/>
        <w:spacing w:line="312" w:lineRule="auto"/>
      </w:pPr>
      <w:r>
        <w:t>消防设施投入使用后，应设定为自动运行方式，阀门、组件应处于正常工作状态。</w:t>
      </w:r>
    </w:p>
    <w:p>
      <w:pPr>
        <w:pStyle w:val="326"/>
        <w:bidi w:val="0"/>
        <w:spacing w:line="312" w:lineRule="auto"/>
      </w:pPr>
      <w:r>
        <w:t>不应擅自关停消防设施。值班、巡查、保养、检测时发现故障，应及时组织修复。因故障维修等原因需要暂时停用消防</w:t>
      </w:r>
      <w:r>
        <w:rPr>
          <w:rFonts w:hint="eastAsia"/>
        </w:rPr>
        <w:t>设施</w:t>
      </w:r>
      <w:r>
        <w:t>的，应有确保消防安全的有效措施，并经运维单位消防安全责任人批准。</w:t>
      </w:r>
    </w:p>
    <w:p>
      <w:pPr>
        <w:pStyle w:val="326"/>
        <w:bidi w:val="0"/>
        <w:spacing w:line="312" w:lineRule="auto"/>
      </w:pPr>
      <w:r>
        <w:t>消防设施维护保养</w:t>
      </w:r>
      <w:r>
        <w:rPr>
          <w:rFonts w:hint="eastAsia"/>
        </w:rPr>
        <w:t>检测工作</w:t>
      </w:r>
      <w:r>
        <w:t>应符合GB 25201等相关技术标准，定期进行</w:t>
      </w:r>
      <w:r>
        <w:rPr>
          <w:rFonts w:hint="eastAsia"/>
        </w:rPr>
        <w:t>外观检查、保养和功能测试</w:t>
      </w:r>
      <w:r>
        <w:t>，出具维护保养记录；每年至少进行一次全面检测，出具年度检测报告。</w:t>
      </w:r>
    </w:p>
    <w:p>
      <w:pPr>
        <w:pStyle w:val="326"/>
        <w:bidi w:val="0"/>
        <w:spacing w:line="312" w:lineRule="auto"/>
      </w:pPr>
      <w:r>
        <w:t>消防设施维护保养检测</w:t>
      </w:r>
      <w:r>
        <w:rPr>
          <w:rFonts w:hint="eastAsia"/>
        </w:rPr>
        <w:t>工作人</w:t>
      </w:r>
      <w:r>
        <w:rPr>
          <w:rFonts w:hint="eastAsia"/>
          <w:lang w:val="en-US" w:eastAsia="zh-CN"/>
        </w:rPr>
        <w:t>员</w:t>
      </w:r>
      <w:r>
        <w:t>应具有四级</w:t>
      </w:r>
      <w:r>
        <w:rPr>
          <w:rFonts w:hint="eastAsia"/>
        </w:rPr>
        <w:t>/中级</w:t>
      </w:r>
      <w:r>
        <w:t>及以上消防设施操作员（检测维护保养方向）职业资格，熟悉磷酸铁锂电池</w:t>
      </w:r>
      <w:r>
        <w:rPr>
          <w:rFonts w:hint="eastAsia"/>
          <w:lang w:val="en-US" w:eastAsia="zh-CN"/>
        </w:rPr>
        <w:t>热失控特性、</w:t>
      </w:r>
      <w:r>
        <w:t>燃烧特性</w:t>
      </w:r>
      <w:r>
        <w:rPr>
          <w:rFonts w:hint="eastAsia"/>
          <w:lang w:val="en-US" w:eastAsia="zh-CN"/>
        </w:rPr>
        <w:t>和</w:t>
      </w:r>
      <w:r>
        <w:t>电池预制舱固定自动灭火系统及其联动控制策略</w:t>
      </w:r>
      <w:r>
        <w:rPr>
          <w:rFonts w:hint="eastAsia"/>
        </w:rPr>
        <w:t>等</w:t>
      </w:r>
      <w:r>
        <w:rPr>
          <w:rFonts w:hint="eastAsia"/>
          <w:lang w:val="en-US" w:eastAsia="zh-CN"/>
        </w:rPr>
        <w:t>相关</w:t>
      </w:r>
      <w:r>
        <w:rPr>
          <w:rFonts w:hint="eastAsia"/>
        </w:rPr>
        <w:t>知识</w:t>
      </w:r>
      <w:r>
        <w:rPr>
          <w:rFonts w:hint="eastAsia"/>
          <w:lang w:eastAsia="zh-CN"/>
        </w:rPr>
        <w:t>，</w:t>
      </w:r>
      <w:r>
        <w:t>并经GB 26860相关内容培训考试合格。</w:t>
      </w:r>
    </w:p>
    <w:p>
      <w:pPr>
        <w:pStyle w:val="326"/>
        <w:bidi w:val="0"/>
        <w:spacing w:line="312" w:lineRule="auto"/>
      </w:pPr>
      <w:r>
        <w:t>储能电站运维单位应编写火灾自动报警系统、固定自动灭火系统等消防设施运行操作规程。</w:t>
      </w:r>
    </w:p>
    <w:p>
      <w:pPr>
        <w:pStyle w:val="326"/>
        <w:bidi w:val="0"/>
        <w:spacing w:line="312" w:lineRule="auto"/>
      </w:pPr>
      <w:r>
        <w:t>储能电站内严禁存放易燃</w:t>
      </w:r>
      <w:r>
        <w:rPr>
          <w:rFonts w:hint="eastAsia"/>
        </w:rPr>
        <w:t>、</w:t>
      </w:r>
      <w:r>
        <w:t>易爆及有毒物品。因施工需要的易燃、易爆物品，应按规定要求使用和存放，施工后立即运走。</w:t>
      </w:r>
    </w:p>
    <w:p>
      <w:pPr>
        <w:pStyle w:val="326"/>
        <w:bidi w:val="0"/>
        <w:spacing w:line="312" w:lineRule="auto"/>
      </w:pPr>
      <w:r>
        <w:rPr>
          <w:rFonts w:hint="eastAsia"/>
        </w:rPr>
        <w:t>现场消防设施（器材）不得随意移动或挪作他用，周边不得堆放物品以免影响正常使用</w:t>
      </w:r>
      <w:r>
        <w:t>。</w:t>
      </w:r>
    </w:p>
    <w:p>
      <w:pPr>
        <w:pStyle w:val="326"/>
        <w:bidi w:val="0"/>
        <w:spacing w:line="312" w:lineRule="auto"/>
      </w:pPr>
      <w:r>
        <w:rPr>
          <w:rFonts w:hint="eastAsia"/>
        </w:rPr>
        <w:t>储能</w:t>
      </w:r>
      <w:r>
        <w:rPr>
          <w:rFonts w:hint="eastAsia"/>
          <w:lang w:val="en-US" w:eastAsia="zh-CN"/>
        </w:rPr>
        <w:t>电站检修、</w:t>
      </w:r>
      <w:r>
        <w:rPr>
          <w:rFonts w:hint="eastAsia"/>
        </w:rPr>
        <w:t>停运期间</w:t>
      </w:r>
      <w:r>
        <w:rPr>
          <w:rFonts w:hint="eastAsia"/>
          <w:lang w:eastAsia="zh-CN"/>
        </w:rPr>
        <w:t>（</w:t>
      </w:r>
      <w:r>
        <w:rPr>
          <w:rFonts w:hint="eastAsia"/>
          <w:lang w:val="en-US" w:eastAsia="zh-CN"/>
        </w:rPr>
        <w:t>包括已办理退役手续未拆除前</w:t>
      </w:r>
      <w:r>
        <w:rPr>
          <w:rFonts w:hint="eastAsia"/>
          <w:lang w:eastAsia="zh-CN"/>
        </w:rPr>
        <w:t>）</w:t>
      </w:r>
      <w:r>
        <w:rPr>
          <w:rFonts w:hint="eastAsia"/>
        </w:rPr>
        <w:t>，应</w:t>
      </w:r>
      <w:r>
        <w:rPr>
          <w:rFonts w:hint="eastAsia"/>
          <w:lang w:val="en-US" w:eastAsia="zh-CN"/>
        </w:rPr>
        <w:t>持续做好消防设施维护保养检测，</w:t>
      </w:r>
      <w:r>
        <w:rPr>
          <w:rFonts w:hint="eastAsia"/>
        </w:rPr>
        <w:t>确保消防设施处于正常运行状态。</w:t>
      </w:r>
    </w:p>
    <w:p>
      <w:pPr>
        <w:pStyle w:val="260"/>
        <w:bidi w:val="0"/>
        <w:spacing w:line="312" w:lineRule="auto"/>
        <w:outlineLvl w:val="2"/>
      </w:pPr>
      <w:bookmarkStart w:id="357" w:name="_Toc16803"/>
      <w:bookmarkStart w:id="358" w:name="_Toc12516"/>
      <w:bookmarkStart w:id="359" w:name="_Toc26942"/>
      <w:bookmarkStart w:id="360" w:name="_Toc7300"/>
      <w:bookmarkStart w:id="361" w:name="_Toc14222"/>
      <w:bookmarkStart w:id="362" w:name="_Toc9237"/>
      <w:bookmarkStart w:id="363" w:name="_Toc12637"/>
      <w:bookmarkStart w:id="364" w:name="_Toc28465"/>
      <w:bookmarkStart w:id="365" w:name="_Toc2961"/>
      <w:bookmarkStart w:id="366" w:name="_Toc3971"/>
      <w:bookmarkStart w:id="367" w:name="_Toc10117"/>
      <w:bookmarkStart w:id="368" w:name="_Toc1103"/>
      <w:bookmarkStart w:id="369" w:name="_Toc12837"/>
      <w:bookmarkStart w:id="370" w:name="_Toc22347"/>
      <w:r>
        <w:t>电池热失控与火灾应急处置</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p>
      <w:pPr>
        <w:pStyle w:val="326"/>
        <w:bidi w:val="0"/>
        <w:spacing w:line="312" w:lineRule="auto"/>
      </w:pPr>
      <w:r>
        <w:t>电池预制舱内电池发生热失控时，</w:t>
      </w:r>
      <w:r>
        <w:rPr>
          <w:rFonts w:hint="eastAsia"/>
        </w:rPr>
        <w:t>一般按照以下程序进行处置：</w:t>
      </w:r>
    </w:p>
    <w:p>
      <w:pPr>
        <w:pStyle w:val="305"/>
        <w:numPr>
          <w:ilvl w:val="0"/>
          <w:numId w:val="47"/>
        </w:numPr>
        <w:bidi w:val="0"/>
        <w:spacing w:line="312" w:lineRule="auto"/>
        <w:ind w:left="839" w:leftChars="0" w:hanging="420" w:firstLineChars="0"/>
      </w:pPr>
      <w:r>
        <w:t>电池预制舱退出运行</w:t>
      </w:r>
      <w:r>
        <w:rPr>
          <w:rFonts w:hint="eastAsia"/>
        </w:rPr>
        <w:t>，断开</w:t>
      </w:r>
      <w:r>
        <w:t>舱级</w:t>
      </w:r>
      <w:r>
        <w:rPr>
          <w:rFonts w:hint="eastAsia"/>
        </w:rPr>
        <w:t>和</w:t>
      </w:r>
      <w:r>
        <w:t>簇级</w:t>
      </w:r>
      <w:r>
        <w:rPr>
          <w:rFonts w:hint="eastAsia"/>
          <w:lang w:val="en-US" w:eastAsia="zh-CN"/>
        </w:rPr>
        <w:t>直流开断设备</w:t>
      </w:r>
      <w:r>
        <w:rPr>
          <w:rFonts w:hint="eastAsia"/>
        </w:rPr>
        <w:t>；</w:t>
      </w:r>
    </w:p>
    <w:p>
      <w:pPr>
        <w:pStyle w:val="305"/>
        <w:numPr>
          <w:ilvl w:val="0"/>
          <w:numId w:val="47"/>
        </w:numPr>
        <w:bidi w:val="0"/>
        <w:spacing w:line="312" w:lineRule="auto"/>
        <w:ind w:left="839" w:leftChars="0" w:hanging="420" w:firstLineChars="0"/>
      </w:pPr>
      <w:r>
        <w:rPr>
          <w:rFonts w:hint="eastAsia"/>
        </w:rPr>
        <w:t>启动通风系统进行通风；</w:t>
      </w:r>
    </w:p>
    <w:p>
      <w:pPr>
        <w:pStyle w:val="305"/>
        <w:numPr>
          <w:ilvl w:val="0"/>
          <w:numId w:val="47"/>
        </w:numPr>
        <w:bidi w:val="0"/>
        <w:spacing w:line="312" w:lineRule="auto"/>
        <w:ind w:left="839" w:leftChars="0" w:hanging="420" w:firstLineChars="0"/>
      </w:pPr>
      <w:r>
        <w:rPr>
          <w:rFonts w:hint="eastAsia"/>
        </w:rPr>
        <w:t>解锁门禁系统；</w:t>
      </w:r>
    </w:p>
    <w:p>
      <w:pPr>
        <w:pStyle w:val="305"/>
        <w:numPr>
          <w:ilvl w:val="0"/>
          <w:numId w:val="47"/>
        </w:numPr>
        <w:bidi w:val="0"/>
        <w:spacing w:line="312" w:lineRule="auto"/>
        <w:ind w:left="839" w:leftChars="0" w:hanging="420" w:firstLineChars="0"/>
      </w:pPr>
      <w:r>
        <w:rPr>
          <w:rFonts w:hint="eastAsia"/>
        </w:rPr>
        <w:t>确认电池管理系统是否按照既定防火策略执行（a</w:t>
      </w:r>
      <w:r>
        <w:t>～</w:t>
      </w:r>
      <w:r>
        <w:rPr>
          <w:rFonts w:hint="eastAsia"/>
        </w:rPr>
        <w:t>c步骤）；</w:t>
      </w:r>
    </w:p>
    <w:p>
      <w:pPr>
        <w:pStyle w:val="305"/>
        <w:numPr>
          <w:ilvl w:val="0"/>
          <w:numId w:val="47"/>
        </w:numPr>
        <w:bidi w:val="0"/>
        <w:spacing w:line="312" w:lineRule="auto"/>
        <w:ind w:left="839" w:leftChars="0" w:hanging="420" w:firstLineChars="0"/>
      </w:pPr>
      <w:r>
        <w:rPr>
          <w:rFonts w:hint="eastAsia"/>
        </w:rPr>
        <w:t>通过电池管理系统确认发生</w:t>
      </w:r>
      <w:r>
        <w:rPr>
          <w:rFonts w:hint="eastAsia"/>
          <w:lang w:val="en-US" w:eastAsia="zh-CN"/>
        </w:rPr>
        <w:t>故障</w:t>
      </w:r>
      <w:r>
        <w:rPr>
          <w:rFonts w:hint="eastAsia"/>
        </w:rPr>
        <w:t>的电池模块位置；</w:t>
      </w:r>
    </w:p>
    <w:p>
      <w:pPr>
        <w:pStyle w:val="305"/>
        <w:numPr>
          <w:ilvl w:val="0"/>
          <w:numId w:val="47"/>
        </w:numPr>
        <w:bidi w:val="0"/>
        <w:spacing w:line="312" w:lineRule="auto"/>
        <w:ind w:left="839" w:leftChars="0" w:hanging="420" w:firstLineChars="0"/>
      </w:pPr>
      <w:r>
        <w:rPr>
          <w:rFonts w:hint="eastAsia"/>
          <w:lang w:val="en-US" w:eastAsia="zh-CN"/>
        </w:rPr>
        <w:t>通过电站监控</w:t>
      </w:r>
      <w:r>
        <w:rPr>
          <w:rFonts w:hint="eastAsia"/>
        </w:rPr>
        <w:t>系</w:t>
      </w:r>
      <w:r>
        <w:rPr>
          <w:rFonts w:hint="eastAsia"/>
          <w:lang w:val="en-US" w:eastAsia="zh-CN"/>
        </w:rPr>
        <w:t>统对</w:t>
      </w:r>
      <w:r>
        <w:rPr>
          <w:rFonts w:hint="eastAsia"/>
        </w:rPr>
        <w:t>故障舱视频、温度、可燃气体浓度等进行监视；</w:t>
      </w:r>
    </w:p>
    <w:p>
      <w:pPr>
        <w:pStyle w:val="305"/>
        <w:numPr>
          <w:ilvl w:val="0"/>
          <w:numId w:val="47"/>
        </w:numPr>
        <w:bidi w:val="0"/>
        <w:spacing w:line="312" w:lineRule="auto"/>
        <w:ind w:left="839" w:leftChars="0" w:hanging="420" w:firstLineChars="0"/>
        <w:rPr>
          <w:highlight w:val="none"/>
        </w:rPr>
      </w:pPr>
      <w:r>
        <w:rPr>
          <w:rFonts w:hint="eastAsia"/>
          <w:highlight w:val="none"/>
        </w:rPr>
        <w:t>报告电力调度及相关单位负责人；</w:t>
      </w:r>
    </w:p>
    <w:p>
      <w:pPr>
        <w:pStyle w:val="305"/>
        <w:numPr>
          <w:ilvl w:val="0"/>
          <w:numId w:val="47"/>
        </w:numPr>
        <w:bidi w:val="0"/>
        <w:spacing w:line="312" w:lineRule="auto"/>
        <w:ind w:left="839" w:leftChars="0" w:hanging="420" w:firstLineChars="0"/>
        <w:rPr>
          <w:highlight w:val="none"/>
        </w:rPr>
      </w:pPr>
      <w:r>
        <w:rPr>
          <w:rFonts w:hint="eastAsia"/>
          <w:highlight w:val="none"/>
        </w:rPr>
        <w:t>现场应急人员负责疏散相关人员远离故障舱，做好安全隔离</w:t>
      </w:r>
      <w:r>
        <w:rPr>
          <w:rFonts w:hint="eastAsia"/>
          <w:highlight w:val="none"/>
          <w:lang w:eastAsia="zh-CN"/>
        </w:rPr>
        <w:t>、</w:t>
      </w:r>
      <w:r>
        <w:rPr>
          <w:rFonts w:hint="eastAsia"/>
          <w:highlight w:val="none"/>
          <w:lang w:val="en-US" w:eastAsia="zh-CN"/>
        </w:rPr>
        <w:t>警示和应急准备</w:t>
      </w:r>
      <w:r>
        <w:rPr>
          <w:rFonts w:hint="eastAsia"/>
          <w:highlight w:val="none"/>
        </w:rPr>
        <w:t>措施；</w:t>
      </w:r>
    </w:p>
    <w:p>
      <w:pPr>
        <w:pStyle w:val="305"/>
        <w:numPr>
          <w:ilvl w:val="0"/>
          <w:numId w:val="47"/>
        </w:numPr>
        <w:bidi w:val="0"/>
        <w:spacing w:line="312" w:lineRule="auto"/>
        <w:ind w:left="839" w:leftChars="0" w:hanging="420" w:firstLineChars="0"/>
      </w:pPr>
      <w:r>
        <w:rPr>
          <w:rFonts w:hint="eastAsia"/>
          <w:lang w:val="en-US" w:eastAsia="zh-CN"/>
        </w:rPr>
        <w:t>待</w:t>
      </w:r>
      <w:r>
        <w:rPr>
          <w:rFonts w:hint="eastAsia"/>
        </w:rPr>
        <w:t>热失控现象消失，</w:t>
      </w:r>
      <w:r>
        <w:rPr>
          <w:rFonts w:hint="eastAsia"/>
          <w:lang w:val="en-US" w:eastAsia="zh-CN"/>
        </w:rPr>
        <w:t>继续</w:t>
      </w:r>
      <w:r>
        <w:rPr>
          <w:rFonts w:hint="eastAsia"/>
        </w:rPr>
        <w:t>通风排出有毒气体，运维检修人员</w:t>
      </w:r>
      <w:r>
        <w:rPr>
          <w:rFonts w:hint="eastAsia"/>
          <w:lang w:val="en-US" w:eastAsia="zh-CN"/>
        </w:rPr>
        <w:t>经</w:t>
      </w:r>
      <w:r>
        <w:rPr>
          <w:rFonts w:hint="eastAsia"/>
        </w:rPr>
        <w:t>测量有毒气体浓度、舱内温度达到安全值后，</w:t>
      </w:r>
      <w:r>
        <w:rPr>
          <w:rFonts w:hint="eastAsia"/>
          <w:lang w:val="en-US" w:eastAsia="zh-CN"/>
        </w:rPr>
        <w:t>方可</w:t>
      </w:r>
      <w:r>
        <w:rPr>
          <w:rFonts w:hint="eastAsia"/>
        </w:rPr>
        <w:t>佩戴防护器具进行故障后处置；</w:t>
      </w:r>
    </w:p>
    <w:p>
      <w:pPr>
        <w:pStyle w:val="305"/>
        <w:numPr>
          <w:ilvl w:val="0"/>
          <w:numId w:val="47"/>
        </w:numPr>
        <w:bidi w:val="0"/>
        <w:spacing w:line="312" w:lineRule="auto"/>
        <w:ind w:left="839" w:leftChars="0" w:hanging="420" w:firstLineChars="0"/>
      </w:pPr>
      <w:r>
        <w:rPr>
          <w:rFonts w:hint="eastAsia"/>
        </w:rPr>
        <w:t>如果热失控进一步加剧引发火灾事故，则执行本文件</w:t>
      </w:r>
      <w:r>
        <w:rPr>
          <w:rFonts w:hint="eastAsia"/>
          <w:lang w:val="en-US" w:eastAsia="zh-CN"/>
        </w:rPr>
        <w:t>9</w:t>
      </w:r>
      <w:r>
        <w:rPr>
          <w:rFonts w:hint="eastAsia"/>
        </w:rPr>
        <w:t>.</w:t>
      </w:r>
      <w:r>
        <w:rPr>
          <w:rFonts w:hint="eastAsia"/>
          <w:lang w:val="en-US" w:eastAsia="zh-CN"/>
        </w:rPr>
        <w:t>4</w:t>
      </w:r>
      <w:r>
        <w:rPr>
          <w:rFonts w:hint="eastAsia"/>
        </w:rPr>
        <w:t>.2。</w:t>
      </w:r>
    </w:p>
    <w:p>
      <w:pPr>
        <w:pStyle w:val="326"/>
        <w:bidi w:val="0"/>
        <w:spacing w:line="312" w:lineRule="auto"/>
      </w:pPr>
      <w:r>
        <w:t>电池预制舱</w:t>
      </w:r>
      <w:r>
        <w:rPr>
          <w:rFonts w:hint="eastAsia"/>
        </w:rPr>
        <w:t>内的电池等电力设备</w:t>
      </w:r>
      <w:r>
        <w:t>发生火灾时，一般按照以下程序进行处置：</w:t>
      </w:r>
    </w:p>
    <w:p>
      <w:pPr>
        <w:pStyle w:val="305"/>
        <w:numPr>
          <w:ilvl w:val="0"/>
          <w:numId w:val="48"/>
        </w:numPr>
        <w:bidi w:val="0"/>
        <w:spacing w:line="312" w:lineRule="auto"/>
        <w:ind w:left="839" w:leftChars="0" w:hanging="419" w:firstLineChars="0"/>
        <w:rPr>
          <w:highlight w:val="none"/>
        </w:rPr>
      </w:pPr>
      <w:r>
        <w:rPr>
          <w:rFonts w:hint="eastAsia"/>
          <w:lang w:val="en-US" w:eastAsia="zh-CN"/>
        </w:rPr>
        <w:t>运维</w:t>
      </w:r>
      <w:r>
        <w:rPr>
          <w:highlight w:val="none"/>
        </w:rPr>
        <w:t>值班人员发现火情，拨打“119”电话报警，并报告</w:t>
      </w:r>
      <w:r>
        <w:rPr>
          <w:rFonts w:hint="eastAsia"/>
          <w:highlight w:val="none"/>
        </w:rPr>
        <w:t>电力</w:t>
      </w:r>
      <w:r>
        <w:rPr>
          <w:highlight w:val="none"/>
        </w:rPr>
        <w:t>调度和</w:t>
      </w:r>
      <w:r>
        <w:rPr>
          <w:rFonts w:hint="eastAsia"/>
          <w:highlight w:val="none"/>
          <w:lang w:val="en-US" w:eastAsia="zh-CN"/>
        </w:rPr>
        <w:t>相关</w:t>
      </w:r>
      <w:r>
        <w:rPr>
          <w:highlight w:val="none"/>
        </w:rPr>
        <w:t>单位负责人</w:t>
      </w:r>
      <w:r>
        <w:rPr>
          <w:rFonts w:hint="eastAsia"/>
          <w:highlight w:val="none"/>
        </w:rPr>
        <w:t>；</w:t>
      </w:r>
    </w:p>
    <w:p>
      <w:pPr>
        <w:pStyle w:val="305"/>
        <w:numPr>
          <w:ilvl w:val="0"/>
          <w:numId w:val="48"/>
        </w:numPr>
        <w:bidi w:val="0"/>
        <w:spacing w:line="312" w:lineRule="auto"/>
        <w:ind w:left="839" w:leftChars="0" w:hanging="419" w:firstLineChars="0"/>
      </w:pPr>
      <w:r>
        <w:rPr>
          <w:rFonts w:hint="eastAsia"/>
        </w:rPr>
        <w:t>启动</w:t>
      </w:r>
      <w:r>
        <w:t>固定自动灭火系统进行灭火</w:t>
      </w:r>
      <w:r>
        <w:rPr>
          <w:rFonts w:hint="eastAsia"/>
        </w:rPr>
        <w:t>；</w:t>
      </w:r>
    </w:p>
    <w:p>
      <w:pPr>
        <w:pStyle w:val="305"/>
        <w:numPr>
          <w:ilvl w:val="0"/>
          <w:numId w:val="48"/>
        </w:numPr>
        <w:bidi w:val="0"/>
        <w:spacing w:line="312" w:lineRule="auto"/>
        <w:ind w:left="839" w:leftChars="0" w:hanging="419" w:firstLineChars="0"/>
        <w:rPr>
          <w:highlight w:val="none"/>
        </w:rPr>
      </w:pPr>
      <w:r>
        <w:rPr>
          <w:highlight w:val="none"/>
        </w:rPr>
        <w:t>如果固定自动灭火系统未能</w:t>
      </w:r>
      <w:r>
        <w:rPr>
          <w:rFonts w:hint="eastAsia"/>
          <w:highlight w:val="none"/>
        </w:rPr>
        <w:t>自动</w:t>
      </w:r>
      <w:r>
        <w:rPr>
          <w:highlight w:val="none"/>
        </w:rPr>
        <w:t>启动，则应</w:t>
      </w:r>
      <w:r>
        <w:rPr>
          <w:rFonts w:hint="eastAsia"/>
          <w:highlight w:val="none"/>
        </w:rPr>
        <w:t>人工</w:t>
      </w:r>
      <w:r>
        <w:rPr>
          <w:highlight w:val="none"/>
        </w:rPr>
        <w:t>确认</w:t>
      </w:r>
      <w:r>
        <w:rPr>
          <w:rFonts w:hint="eastAsia"/>
          <w:highlight w:val="none"/>
        </w:rPr>
        <w:t>电池</w:t>
      </w:r>
      <w:r>
        <w:rPr>
          <w:highlight w:val="none"/>
        </w:rPr>
        <w:t>预制舱断电后，远程</w:t>
      </w:r>
      <w:r>
        <w:rPr>
          <w:rFonts w:hint="eastAsia"/>
          <w:highlight w:val="none"/>
          <w:lang w:val="en-US" w:eastAsia="zh-CN"/>
        </w:rPr>
        <w:t>或现场手动</w:t>
      </w:r>
      <w:r>
        <w:rPr>
          <w:highlight w:val="none"/>
        </w:rPr>
        <w:t>启动灭火系统</w:t>
      </w:r>
      <w:r>
        <w:rPr>
          <w:rFonts w:hint="eastAsia"/>
          <w:highlight w:val="none"/>
        </w:rPr>
        <w:t>；</w:t>
      </w:r>
    </w:p>
    <w:p>
      <w:pPr>
        <w:pStyle w:val="305"/>
        <w:numPr>
          <w:ilvl w:val="0"/>
          <w:numId w:val="48"/>
        </w:numPr>
        <w:bidi w:val="0"/>
        <w:spacing w:line="312" w:lineRule="auto"/>
        <w:ind w:left="839" w:leftChars="0" w:hanging="419" w:firstLineChars="0"/>
        <w:rPr>
          <w:highlight w:val="none"/>
        </w:rPr>
      </w:pPr>
      <w:r>
        <w:rPr>
          <w:rFonts w:hint="eastAsia"/>
          <w:highlight w:val="none"/>
          <w:lang w:val="en-US" w:eastAsia="zh-CN"/>
        </w:rPr>
        <w:t>现场运维人员</w:t>
      </w:r>
      <w:r>
        <w:rPr>
          <w:rFonts w:hint="eastAsia"/>
          <w:highlight w:val="none"/>
        </w:rPr>
        <w:t>疏散相关人员远离故障舱，</w:t>
      </w:r>
      <w:r>
        <w:rPr>
          <w:highlight w:val="none"/>
        </w:rPr>
        <w:t>做好安全隔离措施，向</w:t>
      </w:r>
      <w:r>
        <w:rPr>
          <w:rFonts w:hint="eastAsia"/>
          <w:highlight w:val="none"/>
          <w:lang w:val="en-US" w:eastAsia="zh-CN"/>
        </w:rPr>
        <w:t>社会</w:t>
      </w:r>
      <w:r>
        <w:rPr>
          <w:highlight w:val="none"/>
        </w:rPr>
        <w:t>消防救援队</w:t>
      </w:r>
      <w:r>
        <w:rPr>
          <w:rFonts w:hint="eastAsia"/>
          <w:highlight w:val="none"/>
          <w:lang w:val="en-US" w:eastAsia="zh-CN"/>
        </w:rPr>
        <w:t>伍</w:t>
      </w:r>
      <w:r>
        <w:rPr>
          <w:highlight w:val="none"/>
        </w:rPr>
        <w:t>指挥员</w:t>
      </w:r>
      <w:r>
        <w:rPr>
          <w:rFonts w:hint="eastAsia"/>
          <w:highlight w:val="none"/>
        </w:rPr>
        <w:t>报告火场情况和</w:t>
      </w:r>
      <w:r>
        <w:rPr>
          <w:highlight w:val="none"/>
        </w:rPr>
        <w:t>安全注意事项</w:t>
      </w:r>
      <w:r>
        <w:rPr>
          <w:rFonts w:hint="eastAsia"/>
          <w:highlight w:val="none"/>
        </w:rPr>
        <w:t>；</w:t>
      </w:r>
    </w:p>
    <w:p>
      <w:pPr>
        <w:pStyle w:val="305"/>
        <w:numPr>
          <w:ilvl w:val="0"/>
          <w:numId w:val="48"/>
        </w:numPr>
        <w:bidi w:val="0"/>
        <w:spacing w:line="312" w:lineRule="auto"/>
        <w:ind w:left="839" w:leftChars="0" w:hanging="419" w:firstLineChars="0"/>
        <w:rPr>
          <w:highlight w:val="none"/>
        </w:rPr>
      </w:pPr>
      <w:r>
        <w:rPr>
          <w:rFonts w:hint="eastAsia"/>
          <w:highlight w:val="none"/>
          <w:lang w:val="en-US" w:eastAsia="zh-CN"/>
        </w:rPr>
        <w:t>社会</w:t>
      </w:r>
      <w:r>
        <w:rPr>
          <w:highlight w:val="none"/>
        </w:rPr>
        <w:t>消防救援队</w:t>
      </w:r>
      <w:r>
        <w:rPr>
          <w:rFonts w:hint="eastAsia"/>
          <w:highlight w:val="none"/>
          <w:lang w:val="en-US" w:eastAsia="zh-CN"/>
        </w:rPr>
        <w:t>伍</w:t>
      </w:r>
      <w:r>
        <w:rPr>
          <w:highlight w:val="none"/>
        </w:rPr>
        <w:t>组织灭火</w:t>
      </w:r>
      <w:r>
        <w:rPr>
          <w:rFonts w:hint="eastAsia"/>
          <w:highlight w:val="none"/>
          <w:lang w:val="en-US" w:eastAsia="zh-CN"/>
        </w:rPr>
        <w:t>救援</w:t>
      </w:r>
      <w:r>
        <w:rPr>
          <w:rFonts w:hint="eastAsia"/>
          <w:highlight w:val="none"/>
        </w:rPr>
        <w:t>；</w:t>
      </w:r>
    </w:p>
    <w:p>
      <w:pPr>
        <w:pStyle w:val="305"/>
        <w:numPr>
          <w:ilvl w:val="0"/>
          <w:numId w:val="48"/>
        </w:numPr>
        <w:bidi w:val="0"/>
        <w:spacing w:line="312" w:lineRule="auto"/>
        <w:ind w:left="839" w:leftChars="0" w:hanging="419" w:firstLineChars="0"/>
        <w:rPr>
          <w:highlight w:val="none"/>
        </w:rPr>
      </w:pPr>
      <w:r>
        <w:rPr>
          <w:highlight w:val="none"/>
        </w:rPr>
        <w:t>明火熄灭后，应喷</w:t>
      </w:r>
      <w:r>
        <w:rPr>
          <w:rFonts w:hint="eastAsia"/>
          <w:highlight w:val="none"/>
          <w:lang w:val="en-US" w:eastAsia="zh-CN"/>
        </w:rPr>
        <w:t>洒</w:t>
      </w:r>
      <w:r>
        <w:rPr>
          <w:highlight w:val="none"/>
        </w:rPr>
        <w:t>水</w:t>
      </w:r>
      <w:r>
        <w:rPr>
          <w:rFonts w:hint="eastAsia"/>
          <w:highlight w:val="none"/>
          <w:lang w:val="en-US" w:eastAsia="zh-CN"/>
        </w:rPr>
        <w:t>雾</w:t>
      </w:r>
      <w:r>
        <w:rPr>
          <w:highlight w:val="none"/>
        </w:rPr>
        <w:t>降温，防止复燃</w:t>
      </w:r>
      <w:r>
        <w:rPr>
          <w:rFonts w:hint="eastAsia"/>
          <w:highlight w:val="none"/>
        </w:rPr>
        <w:t>；</w:t>
      </w:r>
    </w:p>
    <w:p>
      <w:pPr>
        <w:pStyle w:val="305"/>
        <w:numPr>
          <w:ilvl w:val="0"/>
          <w:numId w:val="48"/>
        </w:numPr>
        <w:bidi w:val="0"/>
        <w:spacing w:line="312" w:lineRule="auto"/>
        <w:ind w:left="839" w:leftChars="0" w:hanging="419" w:firstLineChars="0"/>
        <w:rPr>
          <w:highlight w:val="none"/>
        </w:rPr>
      </w:pPr>
      <w:r>
        <w:rPr>
          <w:highlight w:val="none"/>
        </w:rPr>
        <w:t>灭火完成</w:t>
      </w:r>
      <w:r>
        <w:rPr>
          <w:rFonts w:hint="eastAsia"/>
          <w:highlight w:val="none"/>
          <w:lang w:val="en-US" w:eastAsia="zh-CN"/>
        </w:rPr>
        <w:t>24</w:t>
      </w:r>
      <w:r>
        <w:rPr>
          <w:highlight w:val="none"/>
        </w:rPr>
        <w:t>h后</w:t>
      </w:r>
      <w:r>
        <w:rPr>
          <w:rFonts w:hint="eastAsia"/>
          <w:highlight w:val="none"/>
          <w:lang w:eastAsia="zh-CN"/>
        </w:rPr>
        <w:t>，</w:t>
      </w:r>
      <w:r>
        <w:rPr>
          <w:highlight w:val="none"/>
        </w:rPr>
        <w:t>由穿戴必要防护装备人员先行打开舱门</w:t>
      </w:r>
      <w:r>
        <w:rPr>
          <w:rFonts w:hint="eastAsia"/>
          <w:highlight w:val="none"/>
        </w:rPr>
        <w:t>、通风排出</w:t>
      </w:r>
      <w:r>
        <w:rPr>
          <w:highlight w:val="none"/>
        </w:rPr>
        <w:t>有毒气体，检测有毒气体浓度、舱内温度达到安全值后，人员方可</w:t>
      </w:r>
      <w:r>
        <w:rPr>
          <w:rFonts w:hint="eastAsia"/>
          <w:highlight w:val="none"/>
        </w:rPr>
        <w:t>佩戴防护器具</w:t>
      </w:r>
      <w:r>
        <w:rPr>
          <w:highlight w:val="none"/>
        </w:rPr>
        <w:t>进入舱内进行后续操作分析。</w:t>
      </w:r>
    </w:p>
    <w:p>
      <w:pPr>
        <w:pStyle w:val="326"/>
        <w:bidi w:val="0"/>
        <w:spacing w:line="312" w:lineRule="auto"/>
      </w:pPr>
      <w:r>
        <w:rPr>
          <w:highlight w:val="none"/>
        </w:rPr>
        <w:t>扑救人员在参加灭火的过程中应防止发生烧伤、中毒、窒息以及触电和爆炸等次生灾害。在空气流通不畅或可能产生有毒</w:t>
      </w:r>
      <w:r>
        <w:t>气体的场所灭火时，扑救人员应正确使用正压式消防空气呼吸器。</w:t>
      </w:r>
    </w:p>
    <w:p>
      <w:pPr>
        <w:pStyle w:val="260"/>
        <w:bidi w:val="0"/>
        <w:spacing w:line="312" w:lineRule="auto"/>
        <w:outlineLvl w:val="2"/>
      </w:pPr>
      <w:bookmarkStart w:id="371" w:name="_Toc14246"/>
      <w:bookmarkStart w:id="372" w:name="_Toc4071"/>
      <w:bookmarkStart w:id="373" w:name="_Toc1088"/>
      <w:bookmarkStart w:id="374" w:name="_Toc21504"/>
      <w:bookmarkStart w:id="375" w:name="_Toc19986"/>
      <w:bookmarkStart w:id="376" w:name="_Toc24965"/>
      <w:bookmarkStart w:id="377" w:name="_Toc24148"/>
      <w:bookmarkStart w:id="378" w:name="_Toc13174"/>
      <w:bookmarkStart w:id="379" w:name="_Toc5308"/>
      <w:bookmarkStart w:id="380" w:name="_Toc23683"/>
      <w:bookmarkStart w:id="381" w:name="_Toc18150"/>
      <w:bookmarkStart w:id="382" w:name="_Toc31045"/>
      <w:bookmarkStart w:id="383" w:name="_Toc16485"/>
      <w:bookmarkStart w:id="384" w:name="_Toc18096"/>
      <w:r>
        <w:rPr>
          <w:rFonts w:hint="eastAsia"/>
          <w:lang w:val="en-US" w:eastAsia="zh-CN"/>
        </w:rPr>
        <w:t>火灾</w:t>
      </w:r>
      <w:r>
        <w:t>应急预案、演练与</w:t>
      </w:r>
      <w:bookmarkEnd w:id="371"/>
      <w:bookmarkEnd w:id="372"/>
      <w:bookmarkEnd w:id="373"/>
      <w:bookmarkEnd w:id="374"/>
      <w:bookmarkEnd w:id="375"/>
      <w:r>
        <w:rPr>
          <w:rFonts w:hint="eastAsia"/>
        </w:rPr>
        <w:t>培训</w:t>
      </w:r>
      <w:bookmarkEnd w:id="376"/>
      <w:bookmarkEnd w:id="377"/>
      <w:bookmarkEnd w:id="378"/>
      <w:bookmarkEnd w:id="379"/>
      <w:bookmarkEnd w:id="380"/>
      <w:bookmarkEnd w:id="381"/>
      <w:bookmarkEnd w:id="382"/>
      <w:bookmarkEnd w:id="383"/>
      <w:bookmarkEnd w:id="384"/>
    </w:p>
    <w:p>
      <w:pPr>
        <w:pStyle w:val="326"/>
        <w:bidi w:val="0"/>
        <w:spacing w:line="312" w:lineRule="auto"/>
      </w:pPr>
      <w:r>
        <w:t>储能电站运维单位应针对电池预制舱等电力设备的紧急情况制定火灾应急预案，预案应符合现场实际和</w:t>
      </w:r>
      <w:r>
        <w:rPr>
          <w:rFonts w:hint="eastAsia"/>
          <w:lang w:val="en-US" w:eastAsia="zh-CN"/>
        </w:rPr>
        <w:t>GB/T 42312等</w:t>
      </w:r>
      <w:r>
        <w:rPr>
          <w:rFonts w:hint="eastAsia"/>
        </w:rPr>
        <w:t>技术</w:t>
      </w:r>
      <w:r>
        <w:rPr>
          <w:rFonts w:hint="eastAsia"/>
          <w:lang w:val="en-US" w:eastAsia="zh-CN"/>
        </w:rPr>
        <w:t>标准</w:t>
      </w:r>
      <w:r>
        <w:t>要求，应包括下列内容：</w:t>
      </w:r>
    </w:p>
    <w:p>
      <w:pPr>
        <w:pStyle w:val="305"/>
        <w:numPr>
          <w:ilvl w:val="0"/>
          <w:numId w:val="49"/>
        </w:numPr>
        <w:bidi w:val="0"/>
        <w:spacing w:line="312" w:lineRule="auto"/>
        <w:ind w:left="839" w:leftChars="0" w:hanging="419" w:firstLineChars="0"/>
      </w:pPr>
      <w:r>
        <w:t>组织机构及职责；</w:t>
      </w:r>
    </w:p>
    <w:p>
      <w:pPr>
        <w:pStyle w:val="305"/>
        <w:numPr>
          <w:ilvl w:val="0"/>
          <w:numId w:val="49"/>
        </w:numPr>
        <w:bidi w:val="0"/>
        <w:spacing w:line="312" w:lineRule="auto"/>
        <w:ind w:left="839" w:leftChars="0" w:hanging="419" w:firstLineChars="0"/>
      </w:pPr>
      <w:r>
        <w:t>报警和接警处置程序；</w:t>
      </w:r>
    </w:p>
    <w:p>
      <w:pPr>
        <w:pStyle w:val="305"/>
        <w:numPr>
          <w:ilvl w:val="0"/>
          <w:numId w:val="49"/>
        </w:numPr>
        <w:bidi w:val="0"/>
        <w:spacing w:line="312" w:lineRule="auto"/>
        <w:ind w:left="839" w:leftChars="0" w:hanging="419" w:firstLineChars="0"/>
      </w:pPr>
      <w:r>
        <w:t>应急疏散的组织程序和措施；</w:t>
      </w:r>
    </w:p>
    <w:p>
      <w:pPr>
        <w:pStyle w:val="305"/>
        <w:numPr>
          <w:ilvl w:val="0"/>
          <w:numId w:val="49"/>
        </w:numPr>
        <w:bidi w:val="0"/>
        <w:spacing w:line="312" w:lineRule="auto"/>
        <w:ind w:left="839" w:leftChars="0" w:hanging="419" w:firstLineChars="0"/>
      </w:pPr>
      <w:r>
        <w:t>扑救初起火灾的程序和措施；</w:t>
      </w:r>
    </w:p>
    <w:p>
      <w:pPr>
        <w:pStyle w:val="305"/>
        <w:numPr>
          <w:ilvl w:val="0"/>
          <w:numId w:val="49"/>
        </w:numPr>
        <w:bidi w:val="0"/>
        <w:spacing w:line="312" w:lineRule="auto"/>
        <w:ind w:left="839" w:leftChars="0" w:hanging="419" w:firstLineChars="0"/>
      </w:pPr>
      <w:r>
        <w:rPr>
          <w:rFonts w:hint="eastAsia"/>
        </w:rPr>
        <w:t>附近后备水源及取水设施；</w:t>
      </w:r>
    </w:p>
    <w:p>
      <w:pPr>
        <w:pStyle w:val="305"/>
        <w:numPr>
          <w:ilvl w:val="0"/>
          <w:numId w:val="49"/>
        </w:numPr>
        <w:bidi w:val="0"/>
        <w:spacing w:line="312" w:lineRule="auto"/>
        <w:ind w:left="839" w:leftChars="0" w:hanging="419" w:firstLineChars="0"/>
      </w:pPr>
      <w:r>
        <w:t>通讯联络、安全防护救护的程序和措施等。</w:t>
      </w:r>
    </w:p>
    <w:p>
      <w:pPr>
        <w:pStyle w:val="326"/>
        <w:bidi w:val="0"/>
        <w:spacing w:line="312" w:lineRule="auto"/>
      </w:pPr>
      <w:r>
        <w:t>储能电站运维单位应开展消防宣传和培训工作。运维</w:t>
      </w:r>
      <w:r>
        <w:rPr>
          <w:rFonts w:hint="eastAsia"/>
        </w:rPr>
        <w:t>检修</w:t>
      </w:r>
      <w:r>
        <w:t>人员应当经消防安全培训合格后方可上岗，熟</w:t>
      </w:r>
      <w:r>
        <w:rPr>
          <w:rFonts w:hint="eastAsia"/>
        </w:rPr>
        <w:t>知防火检查</w:t>
      </w:r>
      <w:r>
        <w:t>方法和安全注意事项，熟知火警电话、报警方法和初起火灾扑救方法，熟知磷酸铁锂电池</w:t>
      </w:r>
      <w:r>
        <w:rPr>
          <w:rFonts w:hint="eastAsia"/>
          <w:lang w:val="en-US" w:eastAsia="zh-CN"/>
        </w:rPr>
        <w:t>热失控特性、</w:t>
      </w:r>
      <w:r>
        <w:t>燃烧特性，</w:t>
      </w:r>
      <w:r>
        <w:rPr>
          <w:rFonts w:hint="eastAsia"/>
        </w:rPr>
        <w:t>掌握</w:t>
      </w:r>
      <w:r>
        <w:t>消防设施</w:t>
      </w:r>
      <w:r>
        <w:rPr>
          <w:rFonts w:hint="eastAsia"/>
        </w:rPr>
        <w:t>（</w:t>
      </w:r>
      <w:r>
        <w:t>器材</w:t>
      </w:r>
      <w:r>
        <w:rPr>
          <w:rFonts w:hint="eastAsia"/>
        </w:rPr>
        <w:t>）</w:t>
      </w:r>
      <w:r>
        <w:t>操作使用方法，掌握自救逃生知识和技能。</w:t>
      </w:r>
    </w:p>
    <w:p>
      <w:pPr>
        <w:pStyle w:val="326"/>
        <w:bidi w:val="0"/>
        <w:spacing w:line="312" w:lineRule="auto"/>
        <w:rPr>
          <w:rFonts w:hint="eastAsia" w:eastAsia="宋体"/>
          <w:lang w:eastAsia="zh-CN"/>
        </w:rPr>
        <w:sectPr>
          <w:headerReference r:id="rId12" w:type="first"/>
          <w:footerReference r:id="rId13" w:type="first"/>
          <w:pgSz w:w="11907" w:h="16839"/>
          <w:pgMar w:top="1418" w:right="1134" w:bottom="1134" w:left="1418" w:header="1418" w:footer="1134" w:gutter="0"/>
          <w:pgBorders>
            <w:top w:val="none" w:sz="0" w:space="0"/>
            <w:left w:val="none" w:sz="0" w:space="0"/>
            <w:bottom w:val="none" w:sz="0" w:space="0"/>
            <w:right w:val="none" w:sz="0" w:space="0"/>
          </w:pgBorders>
          <w:lnNumType w:countBy="0" w:restart="continuous"/>
          <w:pgNumType w:fmt="decimal" w:start="1"/>
          <w:cols w:space="425" w:num="1"/>
          <w:rtlGutter w:val="0"/>
          <w:docGrid w:linePitch="312" w:charSpace="0"/>
        </w:sectPr>
      </w:pPr>
      <w:r>
        <w:t>储能电站运维单位应按照火灾应急预案，每半年至少进行一次演练，及时总结经验，不断完善预案，提高处置火灾事故能力，减少火灾危害。</w:t>
      </w:r>
    </w:p>
    <w:p>
      <w:pPr>
        <w:pStyle w:val="347"/>
        <w:bidi w:val="0"/>
        <w:rPr>
          <w:rFonts w:hint="eastAsia"/>
          <w:lang w:eastAsia="zh-CN"/>
        </w:rPr>
      </w:pPr>
      <w:bookmarkStart w:id="385" w:name="标准附录"/>
      <w:bookmarkEnd w:id="385"/>
    </w:p>
    <w:p>
      <w:pPr>
        <w:pStyle w:val="348"/>
        <w:bidi w:val="0"/>
        <w:rPr>
          <w:rFonts w:hint="eastAsia"/>
          <w:lang w:eastAsia="zh-CN"/>
        </w:rPr>
      </w:pPr>
    </w:p>
    <w:p>
      <w:pPr>
        <w:pStyle w:val="274"/>
        <w:bidi w:val="0"/>
        <w:jc w:val="center"/>
        <w:rPr>
          <w:rFonts w:hint="eastAsia"/>
          <w:lang w:eastAsia="zh-CN"/>
        </w:rPr>
      </w:pPr>
      <w:bookmarkStart w:id="386" w:name="_Toc20245"/>
      <w:bookmarkStart w:id="387" w:name="_Toc6729"/>
      <w:bookmarkStart w:id="388" w:name="_Toc1038"/>
      <w:bookmarkStart w:id="389" w:name="_Toc26637"/>
      <w:bookmarkStart w:id="390" w:name="_Toc435"/>
      <w:bookmarkStart w:id="391" w:name="_Toc22432"/>
      <w:r>
        <w:rPr>
          <w:rFonts w:hint="eastAsia"/>
          <w:lang w:eastAsia="zh-CN"/>
        </w:rPr>
        <w:br w:type="textWrapping"/>
      </w:r>
      <w:r>
        <w:rPr>
          <w:rFonts w:hint="eastAsia"/>
          <w:lang w:eastAsia="zh-CN"/>
        </w:rPr>
        <w:t>（规范性）</w:t>
      </w:r>
      <w:r>
        <w:rPr>
          <w:rFonts w:hint="eastAsia"/>
          <w:lang w:eastAsia="zh-CN"/>
        </w:rPr>
        <w:br w:type="textWrapping"/>
      </w:r>
      <w:r>
        <w:rPr>
          <w:rFonts w:hint="eastAsia"/>
          <w:lang w:eastAsia="zh-CN"/>
        </w:rPr>
        <w:t>电力储能用模块级磷酸铁锂电池实体火灾模拟试验</w:t>
      </w:r>
      <w:bookmarkEnd w:id="386"/>
      <w:bookmarkEnd w:id="387"/>
      <w:r>
        <w:rPr>
          <w:rFonts w:hint="eastAsia"/>
          <w:lang w:val="en-US" w:eastAsia="zh-CN"/>
        </w:rPr>
        <w:t>方法</w:t>
      </w:r>
      <w:bookmarkEnd w:id="388"/>
      <w:bookmarkEnd w:id="389"/>
      <w:bookmarkEnd w:id="390"/>
      <w:bookmarkEnd w:id="391"/>
    </w:p>
    <w:p>
      <w:pPr>
        <w:pStyle w:val="258"/>
        <w:bidi w:val="0"/>
        <w:spacing w:line="312" w:lineRule="auto"/>
        <w:rPr>
          <w:rFonts w:hint="eastAsia" w:ascii="黑体" w:hAnsi="黑体" w:eastAsia="黑体" w:cs="黑体"/>
        </w:rPr>
      </w:pPr>
      <w:r>
        <w:rPr>
          <w:rFonts w:hint="eastAsia" w:ascii="黑体" w:hAnsi="黑体" w:eastAsia="黑体" w:cs="黑体"/>
        </w:rPr>
        <w:t>安全警示：组织和参加本项试验的所有人员应注意可能存在的危险。在试验过程中可能出现储能电池模块燃烧或爆炸，有可能产生有毒和/或有害的烟尘和烟气，在试件安装、试验过程和试验后残余物的清理过程中也可能出现操作危险。因此，应准备相应的灭火措施，对所有潜在的危险及对健康的危害进行评估，并做出安全预告。应对试验相关人员进行必要的培训，以确保工作人员按照规定的安全规程进行操作。</w:t>
      </w:r>
    </w:p>
    <w:p>
      <w:pPr>
        <w:pStyle w:val="276"/>
        <w:bidi w:val="0"/>
        <w:spacing w:line="312" w:lineRule="auto"/>
        <w:outlineLvl w:val="2"/>
      </w:pPr>
      <w:bookmarkStart w:id="392" w:name="_Toc3439"/>
      <w:bookmarkStart w:id="393" w:name="_Toc18716"/>
      <w:bookmarkStart w:id="394" w:name="_Toc27005"/>
      <w:bookmarkStart w:id="395" w:name="_Toc10313"/>
      <w:bookmarkStart w:id="396" w:name="_Toc27706"/>
      <w:bookmarkStart w:id="397" w:name="_Toc6400"/>
      <w:r>
        <w:t>一般规定</w:t>
      </w:r>
      <w:bookmarkEnd w:id="392"/>
      <w:bookmarkEnd w:id="393"/>
      <w:bookmarkEnd w:id="394"/>
      <w:bookmarkEnd w:id="395"/>
      <w:bookmarkEnd w:id="396"/>
      <w:bookmarkEnd w:id="397"/>
    </w:p>
    <w:p>
      <w:pPr>
        <w:pStyle w:val="492"/>
        <w:bidi w:val="0"/>
        <w:spacing w:line="312" w:lineRule="auto"/>
      </w:pPr>
      <w:r>
        <w:rPr>
          <w:rFonts w:hint="eastAsia"/>
        </w:rPr>
        <w:t>电力储能用</w:t>
      </w:r>
      <w:r>
        <w:t>模块级磷酸铁锂电池实体火灾模拟试验目的在于验证灭火系统能否有效扑灭电池模块火灾且不发生复燃，获取灭火系统压力、流量、浓度等设计参数。</w:t>
      </w:r>
    </w:p>
    <w:p>
      <w:pPr>
        <w:pStyle w:val="492"/>
        <w:bidi w:val="0"/>
        <w:spacing w:line="312" w:lineRule="auto"/>
      </w:pPr>
      <w:r>
        <w:t>储能系统实体火灾模拟试验模型应保证火灾模型与实际工程应用的相似性，并应根据下列因素确定：</w:t>
      </w:r>
    </w:p>
    <w:p>
      <w:pPr>
        <w:pStyle w:val="305"/>
        <w:numPr>
          <w:ilvl w:val="0"/>
          <w:numId w:val="50"/>
        </w:numPr>
        <w:bidi w:val="0"/>
        <w:spacing w:line="312" w:lineRule="auto"/>
        <w:ind w:left="839" w:leftChars="0" w:hanging="419" w:firstLineChars="0"/>
      </w:pPr>
      <w:r>
        <w:t>储能系统引燃方式和预燃时间应能代表实际预制舱式储能电站火灾的典型场景；</w:t>
      </w:r>
    </w:p>
    <w:p>
      <w:pPr>
        <w:pStyle w:val="305"/>
        <w:numPr>
          <w:ilvl w:val="0"/>
          <w:numId w:val="50"/>
        </w:numPr>
        <w:bidi w:val="0"/>
        <w:spacing w:line="312" w:lineRule="auto"/>
        <w:ind w:left="839" w:leftChars="0" w:hanging="419" w:firstLineChars="0"/>
      </w:pPr>
      <w:r>
        <w:t>试验空间应与实际防护区的空间几何特征相似；</w:t>
      </w:r>
    </w:p>
    <w:p>
      <w:pPr>
        <w:pStyle w:val="305"/>
        <w:numPr>
          <w:ilvl w:val="0"/>
          <w:numId w:val="50"/>
        </w:numPr>
        <w:bidi w:val="0"/>
        <w:spacing w:line="312" w:lineRule="auto"/>
        <w:ind w:left="839" w:leftChars="0" w:hanging="419" w:firstLineChars="0"/>
      </w:pPr>
      <w:r>
        <w:t>试验空间的通风等环境条件应与实际工程的应用条件相似；</w:t>
      </w:r>
    </w:p>
    <w:p>
      <w:pPr>
        <w:pStyle w:val="305"/>
        <w:numPr>
          <w:ilvl w:val="0"/>
          <w:numId w:val="50"/>
        </w:numPr>
        <w:bidi w:val="0"/>
        <w:spacing w:line="312" w:lineRule="auto"/>
        <w:ind w:left="839" w:leftChars="0" w:hanging="419" w:firstLineChars="0"/>
      </w:pPr>
      <w:r>
        <w:t xml:space="preserve">灭火系统的模拟试验应用方式应与系统设计应用方式相同。 </w:t>
      </w:r>
    </w:p>
    <w:p>
      <w:pPr>
        <w:pStyle w:val="276"/>
        <w:bidi w:val="0"/>
        <w:spacing w:line="312" w:lineRule="auto"/>
        <w:outlineLvl w:val="2"/>
      </w:pPr>
      <w:bookmarkStart w:id="398" w:name="_Toc2388"/>
      <w:bookmarkStart w:id="399" w:name="_Toc30398"/>
      <w:bookmarkStart w:id="400" w:name="_Toc10286"/>
      <w:bookmarkStart w:id="401" w:name="_Toc10162"/>
      <w:bookmarkStart w:id="402" w:name="_Toc15815"/>
      <w:bookmarkStart w:id="403" w:name="_Toc17841"/>
      <w:r>
        <w:t>试验环境</w:t>
      </w:r>
      <w:bookmarkEnd w:id="398"/>
      <w:bookmarkEnd w:id="399"/>
      <w:bookmarkEnd w:id="400"/>
      <w:bookmarkEnd w:id="401"/>
      <w:bookmarkEnd w:id="402"/>
      <w:bookmarkEnd w:id="403"/>
    </w:p>
    <w:p>
      <w:pPr>
        <w:pStyle w:val="492"/>
        <w:bidi w:val="0"/>
        <w:spacing w:line="312" w:lineRule="auto"/>
      </w:pPr>
      <w:r>
        <w:t>试验应在相对湿度≤90%、温度为5℃～35℃、大气压力为86 kPa～106 kPa的环境中进行。</w:t>
      </w:r>
    </w:p>
    <w:p>
      <w:pPr>
        <w:pStyle w:val="492"/>
        <w:bidi w:val="0"/>
        <w:spacing w:line="312" w:lineRule="auto"/>
      </w:pPr>
      <w:r>
        <w:t xml:space="preserve">试验场地宜符合下列功能要求： </w:t>
      </w:r>
    </w:p>
    <w:p>
      <w:pPr>
        <w:pStyle w:val="305"/>
        <w:numPr>
          <w:ilvl w:val="0"/>
          <w:numId w:val="51"/>
        </w:numPr>
        <w:bidi w:val="0"/>
        <w:spacing w:line="312" w:lineRule="auto"/>
        <w:ind w:left="839" w:leftChars="0" w:hanging="419" w:firstLineChars="0"/>
      </w:pPr>
      <w:r>
        <w:t>具有</w:t>
      </w:r>
      <w:r>
        <w:rPr>
          <w:rFonts w:hint="eastAsia"/>
          <w:lang w:val="en-US" w:eastAsia="zh-CN"/>
        </w:rPr>
        <w:t>通风</w:t>
      </w:r>
      <w:r>
        <w:t>功能，可对试验过程中排放的有毒有害气体进行有效处理，避免对周边环境和人员产生影响；</w:t>
      </w:r>
    </w:p>
    <w:p>
      <w:pPr>
        <w:pStyle w:val="305"/>
        <w:numPr>
          <w:ilvl w:val="0"/>
          <w:numId w:val="51"/>
        </w:numPr>
        <w:bidi w:val="0"/>
        <w:spacing w:line="312" w:lineRule="auto"/>
        <w:ind w:left="839" w:leftChars="0" w:hanging="419" w:firstLineChars="0"/>
      </w:pPr>
      <w:r>
        <w:t>具有废液收集处理设施，当采用水系等灭火剂时，可收集废液并经处理满足要求后排放；</w:t>
      </w:r>
    </w:p>
    <w:p>
      <w:pPr>
        <w:pStyle w:val="305"/>
        <w:numPr>
          <w:ilvl w:val="0"/>
          <w:numId w:val="51"/>
        </w:numPr>
        <w:bidi w:val="0"/>
        <w:spacing w:line="312" w:lineRule="auto"/>
        <w:ind w:left="839" w:leftChars="0" w:hanging="419" w:firstLineChars="0"/>
      </w:pPr>
      <w:r>
        <w:t>配备消火栓、消防水枪等灭火设备，辅助试验过程中人工干预灭火。</w:t>
      </w:r>
    </w:p>
    <w:p>
      <w:pPr>
        <w:pStyle w:val="276"/>
        <w:bidi w:val="0"/>
        <w:spacing w:line="312" w:lineRule="auto"/>
        <w:outlineLvl w:val="2"/>
      </w:pPr>
      <w:bookmarkStart w:id="404" w:name="_Toc14403"/>
      <w:bookmarkStart w:id="405" w:name="_Toc6891"/>
      <w:bookmarkStart w:id="406" w:name="_Toc28734"/>
      <w:bookmarkStart w:id="407" w:name="_Toc19815"/>
      <w:bookmarkStart w:id="408" w:name="_Toc21609"/>
      <w:bookmarkStart w:id="409" w:name="_Toc5327"/>
      <w:r>
        <w:t>试验平台</w:t>
      </w:r>
      <w:bookmarkEnd w:id="404"/>
      <w:bookmarkEnd w:id="405"/>
      <w:bookmarkEnd w:id="406"/>
      <w:bookmarkEnd w:id="407"/>
      <w:bookmarkEnd w:id="408"/>
      <w:bookmarkEnd w:id="409"/>
    </w:p>
    <w:p>
      <w:pPr>
        <w:pStyle w:val="492"/>
        <w:numPr>
          <w:ilvl w:val="0"/>
          <w:numId w:val="0"/>
        </w:numPr>
        <w:spacing w:line="312" w:lineRule="auto"/>
      </w:pPr>
      <w:r>
        <w:t>试验平台应代表储能系统火灾模型与实际工程应用的相似性。</w:t>
      </w:r>
    </w:p>
    <w:p>
      <w:pPr>
        <w:pStyle w:val="305"/>
        <w:numPr>
          <w:ilvl w:val="0"/>
          <w:numId w:val="52"/>
        </w:numPr>
        <w:bidi w:val="0"/>
        <w:spacing w:line="312" w:lineRule="auto"/>
        <w:ind w:left="839" w:leftChars="0" w:hanging="419" w:firstLineChars="0"/>
      </w:pPr>
      <w:r>
        <w:t>根据储能电站所采用的预制舱类型，选择与之结构、尺寸、材质完全一致的预制舱作为模拟试验舱</w:t>
      </w:r>
      <w:r>
        <w:rPr>
          <w:rFonts w:hint="eastAsia"/>
        </w:rPr>
        <w:t>，</w:t>
      </w:r>
      <w:r>
        <w:t>模拟试验舱的门窗洞口及排烟口尺寸应与实际应用完全一致</w:t>
      </w:r>
      <w:r>
        <w:rPr>
          <w:rFonts w:hint="eastAsia"/>
        </w:rPr>
        <w:t>，</w:t>
      </w:r>
      <w:r>
        <w:t>舱顶采用防爆灯具照明</w:t>
      </w:r>
      <w:r>
        <w:rPr>
          <w:rFonts w:hint="eastAsia"/>
        </w:rPr>
        <w:t>；</w:t>
      </w:r>
    </w:p>
    <w:p>
      <w:pPr>
        <w:pStyle w:val="305"/>
        <w:numPr>
          <w:ilvl w:val="0"/>
          <w:numId w:val="52"/>
        </w:numPr>
        <w:bidi w:val="0"/>
        <w:spacing w:line="312" w:lineRule="auto"/>
        <w:ind w:left="839" w:leftChars="0" w:hanging="419" w:firstLineChars="0"/>
      </w:pPr>
      <w:r>
        <w:t>模拟试验舱靠近观察室（观察区）一侧中部位置设置观察窗</w:t>
      </w:r>
      <w:r>
        <w:rPr>
          <w:rFonts w:hint="eastAsia"/>
        </w:rPr>
        <w:t>，</w:t>
      </w:r>
      <w:r>
        <w:t>窗口尺寸宜</w:t>
      </w:r>
      <w:r>
        <w:rPr>
          <w:rFonts w:hint="eastAsia"/>
          <w:lang w:val="en-US" w:eastAsia="zh-CN"/>
        </w:rPr>
        <w:t>宽</w:t>
      </w:r>
      <w:r>
        <w:t>度不小于0.8m，</w:t>
      </w:r>
      <w:r>
        <w:rPr>
          <w:rFonts w:hint="eastAsia"/>
          <w:lang w:val="en-US" w:eastAsia="zh-CN"/>
        </w:rPr>
        <w:t>高</w:t>
      </w:r>
      <w:r>
        <w:t>度不小于0.6m，窗口玻璃</w:t>
      </w:r>
      <w:r>
        <w:rPr>
          <w:rFonts w:hint="eastAsia"/>
        </w:rPr>
        <w:t>应</w:t>
      </w:r>
      <w:r>
        <w:t>采用耐温不</w:t>
      </w:r>
      <w:r>
        <w:rPr>
          <w:rFonts w:hint="eastAsia"/>
        </w:rPr>
        <w:t>低</w:t>
      </w:r>
      <w:r>
        <w:t>于800℃的耐热玻璃</w:t>
      </w:r>
      <w:r>
        <w:rPr>
          <w:rFonts w:hint="eastAsia"/>
        </w:rPr>
        <w:t>；</w:t>
      </w:r>
    </w:p>
    <w:p>
      <w:pPr>
        <w:pStyle w:val="305"/>
        <w:numPr>
          <w:ilvl w:val="0"/>
          <w:numId w:val="52"/>
        </w:numPr>
        <w:bidi w:val="0"/>
        <w:spacing w:line="312" w:lineRule="auto"/>
        <w:ind w:left="839" w:leftChars="0" w:hanging="419" w:firstLineChars="0"/>
      </w:pPr>
      <w:r>
        <w:t>模拟试验舱内观察窗对面放置至少一组电池架，电池架结构、尺寸、材质均与实际应用一致</w:t>
      </w:r>
      <w:r>
        <w:rPr>
          <w:rFonts w:hint="eastAsia"/>
        </w:rPr>
        <w:t>；</w:t>
      </w:r>
    </w:p>
    <w:p>
      <w:pPr>
        <w:pStyle w:val="305"/>
        <w:numPr>
          <w:ilvl w:val="0"/>
          <w:numId w:val="52"/>
        </w:numPr>
        <w:bidi w:val="0"/>
        <w:spacing w:line="312" w:lineRule="auto"/>
        <w:ind w:left="839" w:leftChars="0" w:hanging="419" w:firstLineChars="0"/>
      </w:pPr>
      <w:r>
        <w:t>观察室（观察区）应与模拟试验舱分开布置，通过墙体、窗户（防爆玻璃）进行密闭隔离，安全距离应不小于20m。</w:t>
      </w:r>
    </w:p>
    <w:p>
      <w:pPr>
        <w:pStyle w:val="276"/>
        <w:bidi w:val="0"/>
        <w:spacing w:line="312" w:lineRule="auto"/>
        <w:outlineLvl w:val="2"/>
      </w:pPr>
      <w:bookmarkStart w:id="410" w:name="_Toc28588"/>
      <w:bookmarkStart w:id="411" w:name="_Toc31456"/>
      <w:bookmarkStart w:id="412" w:name="_Toc12151"/>
      <w:bookmarkStart w:id="413" w:name="_Toc8546"/>
      <w:bookmarkStart w:id="414" w:name="_Toc31666"/>
      <w:bookmarkStart w:id="415" w:name="_Toc2669"/>
      <w:r>
        <w:t>试样</w:t>
      </w:r>
      <w:bookmarkEnd w:id="410"/>
      <w:bookmarkEnd w:id="411"/>
      <w:bookmarkEnd w:id="412"/>
      <w:bookmarkEnd w:id="413"/>
      <w:bookmarkEnd w:id="414"/>
      <w:bookmarkEnd w:id="415"/>
    </w:p>
    <w:p>
      <w:pPr>
        <w:pStyle w:val="492"/>
        <w:bidi w:val="0"/>
        <w:spacing w:line="312" w:lineRule="auto"/>
      </w:pPr>
      <w:r>
        <w:t xml:space="preserve">储能电池模块试样应与储能电站实际应用相同。 </w:t>
      </w:r>
    </w:p>
    <w:p>
      <w:pPr>
        <w:pStyle w:val="492"/>
        <w:bidi w:val="0"/>
        <w:spacing w:line="312" w:lineRule="auto"/>
      </w:pPr>
      <w:r>
        <w:t>储能电池模块试样，应通过国家认可的电力储能电池检</w:t>
      </w:r>
      <w:r>
        <w:rPr>
          <w:rFonts w:hint="eastAsia"/>
        </w:rPr>
        <w:t>测</w:t>
      </w:r>
      <w:r>
        <w:t>机构</w:t>
      </w:r>
      <w:r>
        <w:rPr>
          <w:rFonts w:hint="eastAsia"/>
        </w:rPr>
        <w:t>依</w:t>
      </w:r>
      <w:r>
        <w:t>据GB/T 36276</w:t>
      </w:r>
      <w:r>
        <w:rPr>
          <w:rFonts w:hint="eastAsia"/>
        </w:rPr>
        <w:t>检测合格</w:t>
      </w:r>
      <w:r>
        <w:t>出具的检验报告，安全性不应低于GB/T 36276的规定。</w:t>
      </w:r>
    </w:p>
    <w:p>
      <w:pPr>
        <w:pStyle w:val="492"/>
        <w:bidi w:val="0"/>
        <w:spacing w:line="312" w:lineRule="auto"/>
      </w:pPr>
      <w:r>
        <w:t>储能电池模块试样在试验前，应根据GB/T 36276</w:t>
      </w:r>
      <w:r>
        <w:rPr>
          <w:rFonts w:hint="eastAsia"/>
        </w:rPr>
        <w:t>的相关规定</w:t>
      </w:r>
      <w:r>
        <w:t>完成试验准备。</w:t>
      </w:r>
    </w:p>
    <w:p>
      <w:pPr>
        <w:pStyle w:val="492"/>
        <w:bidi w:val="0"/>
        <w:spacing w:line="312" w:lineRule="auto"/>
      </w:pPr>
      <w:r>
        <w:t>灭火系统试样应与储能电站实际应用灭火系统的主要技术参数相同。</w:t>
      </w:r>
    </w:p>
    <w:p>
      <w:pPr>
        <w:pStyle w:val="276"/>
        <w:bidi w:val="0"/>
        <w:spacing w:line="312" w:lineRule="auto"/>
        <w:outlineLvl w:val="2"/>
      </w:pPr>
      <w:bookmarkStart w:id="416" w:name="_Toc18641"/>
      <w:bookmarkStart w:id="417" w:name="_Toc22495"/>
      <w:bookmarkStart w:id="418" w:name="_Toc3432"/>
      <w:bookmarkStart w:id="419" w:name="_Toc29580"/>
      <w:bookmarkStart w:id="420" w:name="_Toc7511"/>
      <w:bookmarkStart w:id="421" w:name="_Toc11702"/>
      <w:r>
        <w:t>引燃方式</w:t>
      </w:r>
      <w:bookmarkEnd w:id="416"/>
      <w:bookmarkEnd w:id="417"/>
      <w:bookmarkEnd w:id="418"/>
      <w:bookmarkEnd w:id="419"/>
      <w:bookmarkEnd w:id="420"/>
      <w:bookmarkEnd w:id="421"/>
    </w:p>
    <w:p>
      <w:pPr>
        <w:pStyle w:val="492"/>
        <w:bidi w:val="0"/>
        <w:spacing w:line="312" w:lineRule="auto"/>
        <w:rPr>
          <w:highlight w:val="none"/>
        </w:rPr>
      </w:pPr>
      <w:r>
        <w:rPr>
          <w:highlight w:val="none"/>
        </w:rPr>
        <w:t>过充</w:t>
      </w:r>
      <w:r>
        <w:rPr>
          <w:rFonts w:hint="eastAsia"/>
          <w:highlight w:val="none"/>
          <w:lang w:val="en-US" w:eastAsia="zh-CN"/>
        </w:rPr>
        <w:t>方式</w:t>
      </w:r>
    </w:p>
    <w:p>
      <w:pPr>
        <w:pStyle w:val="258"/>
        <w:bidi w:val="0"/>
        <w:spacing w:line="312" w:lineRule="auto"/>
        <w:rPr>
          <w:highlight w:val="none"/>
        </w:rPr>
      </w:pPr>
      <w:r>
        <w:rPr>
          <w:highlight w:val="none"/>
        </w:rPr>
        <w:t>过充采用的充放电装置应根据储能模块参数满足输出电压和输出电流的最低要求。电压、电流、功率的准确度0.1%FS。试验时，选取电池模块的充电倍率为0.5C或1C，不高于电池实际设计参数。</w:t>
      </w:r>
    </w:p>
    <w:p>
      <w:pPr>
        <w:pStyle w:val="258"/>
        <w:bidi w:val="0"/>
        <w:spacing w:line="312" w:lineRule="auto"/>
        <w:rPr>
          <w:highlight w:val="none"/>
        </w:rPr>
      </w:pPr>
      <w:r>
        <w:rPr>
          <w:rFonts w:hint="eastAsia"/>
          <w:highlight w:val="none"/>
        </w:rPr>
        <w:t>过充设备采用电池模块充放电柜，输出电压最低为模块充电截止电压的1.67倍。</w:t>
      </w:r>
      <w:r>
        <w:rPr>
          <w:highlight w:val="none"/>
        </w:rPr>
        <w:t>充放电柜放置于试验舱体外部，距离试验舱外壁距离不小于2m。充放电柜的控制端通过网线连接到监控系统电脑终端，实现人机分离，可进行远程启停、设置充电工步和显示保存实时电压、电流、温度等数据。</w:t>
      </w:r>
    </w:p>
    <w:p>
      <w:pPr>
        <w:pStyle w:val="492"/>
        <w:bidi w:val="0"/>
        <w:spacing w:line="312" w:lineRule="auto"/>
        <w:rPr>
          <w:highlight w:val="none"/>
        </w:rPr>
      </w:pPr>
      <w:r>
        <w:rPr>
          <w:highlight w:val="none"/>
        </w:rPr>
        <w:t>加热</w:t>
      </w:r>
      <w:r>
        <w:rPr>
          <w:rFonts w:hint="eastAsia"/>
          <w:highlight w:val="none"/>
          <w:lang w:val="en-US" w:eastAsia="zh-CN"/>
        </w:rPr>
        <w:t>方式</w:t>
      </w:r>
    </w:p>
    <w:p>
      <w:pPr>
        <w:pStyle w:val="258"/>
        <w:bidi w:val="0"/>
        <w:spacing w:line="312" w:lineRule="auto"/>
        <w:rPr>
          <w:highlight w:val="none"/>
        </w:rPr>
      </w:pPr>
      <w:r>
        <w:rPr>
          <w:highlight w:val="none"/>
        </w:rPr>
        <w:t>使用平面状或棒式加热装置，其表面应覆盖陶瓷、金属或绝缘</w:t>
      </w:r>
      <w:r>
        <w:rPr>
          <w:szCs w:val="22"/>
          <w:highlight w:val="none"/>
        </w:rPr>
        <w:t>层，</w:t>
      </w:r>
      <w:r>
        <w:rPr>
          <w:rFonts w:hint="default"/>
          <w:szCs w:val="22"/>
          <w:highlight w:val="none"/>
        </w:rPr>
        <w:t>加热面位于电池模块底部，加热面应</w:t>
      </w:r>
      <w:r>
        <w:rPr>
          <w:rFonts w:hint="eastAsia"/>
          <w:szCs w:val="22"/>
          <w:highlight w:val="none"/>
          <w:lang w:val="en-US" w:eastAsia="zh-CN"/>
        </w:rPr>
        <w:t>覆盖模块内所有</w:t>
      </w:r>
      <w:r>
        <w:rPr>
          <w:rFonts w:hint="eastAsia"/>
          <w:highlight w:val="none"/>
        </w:rPr>
        <w:t>单体电池</w:t>
      </w:r>
      <w:r>
        <w:rPr>
          <w:highlight w:val="none"/>
        </w:rPr>
        <w:t>，加热装置功率应不小于2000W。试验时，以加热装置的最大功率进行加热。</w:t>
      </w:r>
    </w:p>
    <w:p>
      <w:pPr>
        <w:pStyle w:val="276"/>
        <w:bidi w:val="0"/>
        <w:spacing w:line="312" w:lineRule="auto"/>
        <w:outlineLvl w:val="2"/>
        <w:rPr>
          <w:highlight w:val="none"/>
        </w:rPr>
      </w:pPr>
      <w:bookmarkStart w:id="422" w:name="_Toc7594"/>
      <w:bookmarkStart w:id="423" w:name="_Toc21658"/>
      <w:bookmarkStart w:id="424" w:name="_Toc31002"/>
      <w:bookmarkStart w:id="425" w:name="_Toc31357"/>
      <w:bookmarkStart w:id="426" w:name="_Toc31306"/>
      <w:bookmarkStart w:id="427" w:name="_Toc27488"/>
      <w:r>
        <w:rPr>
          <w:highlight w:val="none"/>
        </w:rPr>
        <w:t>试验过程与试验结果判断</w:t>
      </w:r>
      <w:bookmarkEnd w:id="422"/>
      <w:bookmarkEnd w:id="423"/>
      <w:bookmarkEnd w:id="424"/>
      <w:bookmarkEnd w:id="425"/>
      <w:bookmarkEnd w:id="426"/>
      <w:bookmarkEnd w:id="427"/>
    </w:p>
    <w:p>
      <w:pPr>
        <w:pStyle w:val="492"/>
        <w:bidi w:val="0"/>
        <w:spacing w:line="312" w:lineRule="auto"/>
        <w:rPr>
          <w:highlight w:val="none"/>
        </w:rPr>
      </w:pPr>
      <w:r>
        <w:rPr>
          <w:highlight w:val="none"/>
        </w:rPr>
        <w:t>试验按照下列步骤进行：</w:t>
      </w:r>
    </w:p>
    <w:p>
      <w:pPr>
        <w:pStyle w:val="305"/>
        <w:numPr>
          <w:ilvl w:val="0"/>
          <w:numId w:val="53"/>
        </w:numPr>
        <w:bidi w:val="0"/>
        <w:spacing w:line="312" w:lineRule="auto"/>
        <w:ind w:left="839" w:leftChars="0" w:hanging="419" w:firstLineChars="0"/>
        <w:rPr>
          <w:highlight w:val="none"/>
        </w:rPr>
      </w:pPr>
      <w:r>
        <w:rPr>
          <w:highlight w:val="none"/>
        </w:rPr>
        <w:t>对试样电池模块进行充电，达到100%，静置30min；</w:t>
      </w:r>
    </w:p>
    <w:p>
      <w:pPr>
        <w:pStyle w:val="305"/>
        <w:numPr>
          <w:ilvl w:val="0"/>
          <w:numId w:val="53"/>
        </w:numPr>
        <w:bidi w:val="0"/>
        <w:spacing w:line="312" w:lineRule="auto"/>
        <w:ind w:left="839" w:leftChars="0" w:hanging="419" w:firstLineChars="0"/>
        <w:rPr>
          <w:highlight w:val="none"/>
        </w:rPr>
      </w:pPr>
      <w:r>
        <w:rPr>
          <w:highlight w:val="none"/>
        </w:rPr>
        <w:t>通过过充或加热方式引燃，起火后预燃3min；</w:t>
      </w:r>
    </w:p>
    <w:p>
      <w:pPr>
        <w:pStyle w:val="305"/>
        <w:numPr>
          <w:ilvl w:val="0"/>
          <w:numId w:val="53"/>
        </w:numPr>
        <w:bidi w:val="0"/>
        <w:spacing w:line="312" w:lineRule="auto"/>
        <w:ind w:left="839" w:leftChars="0" w:hanging="419" w:firstLineChars="0"/>
        <w:rPr>
          <w:highlight w:val="none"/>
        </w:rPr>
      </w:pPr>
      <w:r>
        <w:rPr>
          <w:highlight w:val="none"/>
        </w:rPr>
        <w:t>启动灭火系统；</w:t>
      </w:r>
    </w:p>
    <w:p>
      <w:pPr>
        <w:pStyle w:val="305"/>
        <w:numPr>
          <w:ilvl w:val="0"/>
          <w:numId w:val="53"/>
        </w:numPr>
        <w:bidi w:val="0"/>
        <w:spacing w:line="312" w:lineRule="auto"/>
        <w:ind w:left="839" w:leftChars="0" w:hanging="419" w:firstLineChars="0"/>
        <w:rPr>
          <w:highlight w:val="none"/>
        </w:rPr>
      </w:pPr>
      <w:r>
        <w:rPr>
          <w:highlight w:val="none"/>
        </w:rPr>
        <w:t>记录扑灭明火时间、流量、压力、浓度等数据；</w:t>
      </w:r>
    </w:p>
    <w:p>
      <w:pPr>
        <w:pStyle w:val="305"/>
        <w:numPr>
          <w:ilvl w:val="0"/>
          <w:numId w:val="53"/>
        </w:numPr>
        <w:bidi w:val="0"/>
        <w:spacing w:line="312" w:lineRule="auto"/>
        <w:ind w:left="839" w:leftChars="0" w:hanging="419" w:firstLineChars="0"/>
        <w:rPr>
          <w:highlight w:val="none"/>
        </w:rPr>
      </w:pPr>
      <w:r>
        <w:rPr>
          <w:highlight w:val="none"/>
        </w:rPr>
        <w:t>停止灭火系统，记录</w:t>
      </w:r>
      <w:r>
        <w:rPr>
          <w:rFonts w:hint="eastAsia"/>
          <w:highlight w:val="none"/>
          <w:lang w:val="en-US" w:eastAsia="zh-CN"/>
        </w:rPr>
        <w:t>灭火剂喷放时间等相关数据</w:t>
      </w:r>
      <w:r>
        <w:rPr>
          <w:highlight w:val="none"/>
        </w:rPr>
        <w:t>；</w:t>
      </w:r>
    </w:p>
    <w:p>
      <w:pPr>
        <w:pStyle w:val="305"/>
        <w:numPr>
          <w:ilvl w:val="0"/>
          <w:numId w:val="53"/>
        </w:numPr>
        <w:bidi w:val="0"/>
        <w:spacing w:line="312" w:lineRule="auto"/>
        <w:ind w:left="839" w:leftChars="0" w:hanging="419" w:firstLineChars="0"/>
        <w:rPr>
          <w:highlight w:val="none"/>
        </w:rPr>
      </w:pPr>
      <w:r>
        <w:rPr>
          <w:highlight w:val="none"/>
        </w:rPr>
        <w:t>静置</w:t>
      </w:r>
      <w:r>
        <w:rPr>
          <w:rFonts w:hint="eastAsia"/>
          <w:highlight w:val="none"/>
          <w:lang w:val="en-US" w:eastAsia="zh-CN"/>
        </w:rPr>
        <w:t>24</w:t>
      </w:r>
      <w:r>
        <w:rPr>
          <w:highlight w:val="none"/>
        </w:rPr>
        <w:t>h，观察是否发生复燃。</w:t>
      </w:r>
    </w:p>
    <w:p>
      <w:pPr>
        <w:pStyle w:val="492"/>
        <w:bidi w:val="0"/>
        <w:spacing w:line="312" w:lineRule="auto"/>
        <w:rPr>
          <w:highlight w:val="none"/>
        </w:rPr>
      </w:pPr>
      <w:r>
        <w:rPr>
          <w:highlight w:val="none"/>
        </w:rPr>
        <w:t>当灭火系统同时满足以下两项要求时，可认定灭火系统对于扑灭储能电池模块火灾有效：</w:t>
      </w:r>
    </w:p>
    <w:p>
      <w:pPr>
        <w:pStyle w:val="305"/>
        <w:numPr>
          <w:ilvl w:val="0"/>
          <w:numId w:val="54"/>
        </w:numPr>
        <w:bidi w:val="0"/>
        <w:spacing w:line="312" w:lineRule="auto"/>
        <w:ind w:left="839" w:leftChars="0" w:hanging="419" w:firstLineChars="0"/>
        <w:rPr>
          <w:highlight w:val="none"/>
        </w:rPr>
      </w:pPr>
      <w:r>
        <w:rPr>
          <w:highlight w:val="none"/>
        </w:rPr>
        <w:t>明火扑灭时间不大于10min；</w:t>
      </w:r>
    </w:p>
    <w:p>
      <w:pPr>
        <w:pStyle w:val="305"/>
        <w:numPr>
          <w:ilvl w:val="0"/>
          <w:numId w:val="54"/>
        </w:numPr>
        <w:bidi w:val="0"/>
        <w:spacing w:line="312" w:lineRule="auto"/>
        <w:ind w:left="839" w:leftChars="0" w:hanging="419" w:firstLineChars="0"/>
        <w:rPr>
          <w:highlight w:val="none"/>
        </w:rPr>
      </w:pPr>
      <w:r>
        <w:rPr>
          <w:highlight w:val="none"/>
        </w:rPr>
        <w:t>停止灭火系统后，静置试样电池模块</w:t>
      </w:r>
      <w:r>
        <w:rPr>
          <w:rFonts w:hint="eastAsia"/>
          <w:highlight w:val="none"/>
          <w:lang w:val="en-US" w:eastAsia="zh-CN"/>
        </w:rPr>
        <w:t>24</w:t>
      </w:r>
      <w:r>
        <w:rPr>
          <w:highlight w:val="none"/>
        </w:rPr>
        <w:t>h内无复燃。</w:t>
      </w:r>
    </w:p>
    <w:p>
      <w:pPr>
        <w:pStyle w:val="276"/>
        <w:bidi w:val="0"/>
        <w:spacing w:line="312" w:lineRule="auto"/>
        <w:outlineLvl w:val="2"/>
        <w:rPr>
          <w:highlight w:val="none"/>
        </w:rPr>
      </w:pPr>
      <w:bookmarkStart w:id="428" w:name="_Toc23695"/>
      <w:bookmarkStart w:id="429" w:name="_Toc10670"/>
      <w:bookmarkStart w:id="430" w:name="_Toc12100"/>
      <w:bookmarkStart w:id="431" w:name="_Toc8911"/>
      <w:bookmarkStart w:id="432" w:name="_Toc22542"/>
      <w:bookmarkStart w:id="433" w:name="_Toc11830"/>
      <w:r>
        <w:rPr>
          <w:rFonts w:hint="eastAsia"/>
          <w:highlight w:val="none"/>
        </w:rPr>
        <w:t>安全措施与应急准备</w:t>
      </w:r>
      <w:bookmarkEnd w:id="428"/>
      <w:bookmarkEnd w:id="429"/>
      <w:bookmarkEnd w:id="430"/>
      <w:bookmarkEnd w:id="431"/>
      <w:bookmarkEnd w:id="432"/>
      <w:bookmarkEnd w:id="433"/>
    </w:p>
    <w:p>
      <w:pPr>
        <w:pStyle w:val="492"/>
        <w:bidi w:val="0"/>
        <w:spacing w:line="312" w:lineRule="auto"/>
        <w:rPr>
          <w:highlight w:val="none"/>
        </w:rPr>
      </w:pPr>
      <w:r>
        <w:rPr>
          <w:rFonts w:hint="eastAsia"/>
          <w:highlight w:val="none"/>
        </w:rPr>
        <w:t>试验前，应</w:t>
      </w:r>
      <w:r>
        <w:rPr>
          <w:highlight w:val="none"/>
        </w:rPr>
        <w:t>制定</w:t>
      </w:r>
      <w:r>
        <w:rPr>
          <w:rFonts w:hint="eastAsia"/>
          <w:highlight w:val="none"/>
        </w:rPr>
        <w:t>安全防护方案和</w:t>
      </w:r>
      <w:r>
        <w:rPr>
          <w:highlight w:val="none"/>
        </w:rPr>
        <w:t>应急预案</w:t>
      </w:r>
      <w:r>
        <w:rPr>
          <w:rFonts w:hint="eastAsia"/>
          <w:highlight w:val="none"/>
        </w:rPr>
        <w:t>，</w:t>
      </w:r>
      <w:r>
        <w:rPr>
          <w:highlight w:val="none"/>
        </w:rPr>
        <w:t>并做好</w:t>
      </w:r>
      <w:r>
        <w:rPr>
          <w:rFonts w:hint="eastAsia"/>
          <w:highlight w:val="none"/>
        </w:rPr>
        <w:t>相关</w:t>
      </w:r>
      <w:r>
        <w:rPr>
          <w:highlight w:val="none"/>
        </w:rPr>
        <w:t>准备。</w:t>
      </w:r>
    </w:p>
    <w:p>
      <w:pPr>
        <w:pStyle w:val="492"/>
        <w:bidi w:val="0"/>
        <w:spacing w:line="312" w:lineRule="auto"/>
        <w:rPr>
          <w:highlight w:val="none"/>
        </w:rPr>
      </w:pPr>
      <w:r>
        <w:rPr>
          <w:highlight w:val="none"/>
        </w:rPr>
        <w:t>试验</w:t>
      </w:r>
      <w:r>
        <w:rPr>
          <w:rFonts w:hint="eastAsia"/>
          <w:highlight w:val="none"/>
        </w:rPr>
        <w:t>中，应采取安全措施确保安全。安全措施应包括但不限于下列内容</w:t>
      </w:r>
      <w:r>
        <w:rPr>
          <w:highlight w:val="none"/>
        </w:rPr>
        <w:t>：</w:t>
      </w:r>
    </w:p>
    <w:p>
      <w:pPr>
        <w:pStyle w:val="305"/>
        <w:numPr>
          <w:ilvl w:val="0"/>
          <w:numId w:val="55"/>
        </w:numPr>
        <w:bidi w:val="0"/>
        <w:spacing w:line="312" w:lineRule="auto"/>
        <w:ind w:left="839" w:leftChars="0" w:hanging="419" w:firstLineChars="0"/>
        <w:rPr>
          <w:highlight w:val="none"/>
        </w:rPr>
      </w:pPr>
      <w:r>
        <w:rPr>
          <w:highlight w:val="none"/>
        </w:rPr>
        <w:t>模拟试验舱门口不得正对观察室（观察区）；</w:t>
      </w:r>
    </w:p>
    <w:p>
      <w:pPr>
        <w:pStyle w:val="305"/>
        <w:numPr>
          <w:ilvl w:val="0"/>
          <w:numId w:val="55"/>
        </w:numPr>
        <w:bidi w:val="0"/>
        <w:spacing w:line="312" w:lineRule="auto"/>
        <w:ind w:left="839" w:leftChars="0" w:hanging="419" w:firstLineChars="0"/>
      </w:pPr>
      <w:r>
        <w:t>试验人员应佩戴防毒面具；</w:t>
      </w:r>
    </w:p>
    <w:p>
      <w:pPr>
        <w:pStyle w:val="305"/>
        <w:numPr>
          <w:ilvl w:val="0"/>
          <w:numId w:val="55"/>
        </w:numPr>
        <w:bidi w:val="0"/>
        <w:spacing w:line="312" w:lineRule="auto"/>
        <w:ind w:left="839" w:leftChars="0" w:hanging="419" w:firstLineChars="0"/>
      </w:pPr>
      <w:r>
        <w:t>试验人员通过视频设备进行监视，不得靠近或进入模拟试验舱；</w:t>
      </w:r>
    </w:p>
    <w:p>
      <w:pPr>
        <w:pStyle w:val="305"/>
        <w:numPr>
          <w:ilvl w:val="0"/>
          <w:numId w:val="55"/>
        </w:numPr>
        <w:bidi w:val="0"/>
        <w:spacing w:line="312" w:lineRule="auto"/>
        <w:ind w:left="839" w:leftChars="0" w:hanging="419" w:firstLineChars="0"/>
      </w:pPr>
      <w:r>
        <w:t>试验区设置安全围栏、警示标志，设专人监护；</w:t>
      </w:r>
    </w:p>
    <w:p>
      <w:pPr>
        <w:pStyle w:val="305"/>
        <w:numPr>
          <w:ilvl w:val="0"/>
          <w:numId w:val="55"/>
        </w:numPr>
        <w:bidi w:val="0"/>
        <w:spacing w:line="312" w:lineRule="auto"/>
        <w:ind w:left="839" w:leftChars="0" w:hanging="419" w:firstLineChars="0"/>
      </w:pPr>
      <w:r>
        <w:t>灭火系统的启动装置应设置在观察室（观察区）；</w:t>
      </w:r>
    </w:p>
    <w:p>
      <w:pPr>
        <w:pStyle w:val="305"/>
        <w:numPr>
          <w:ilvl w:val="0"/>
          <w:numId w:val="55"/>
        </w:numPr>
        <w:bidi w:val="0"/>
        <w:spacing w:line="312" w:lineRule="auto"/>
        <w:ind w:left="839" w:leftChars="0" w:hanging="419" w:firstLineChars="0"/>
      </w:pPr>
      <w:r>
        <w:t>模拟试验舱应设置在室外场地；</w:t>
      </w:r>
    </w:p>
    <w:p>
      <w:pPr>
        <w:pStyle w:val="305"/>
        <w:numPr>
          <w:ilvl w:val="0"/>
          <w:numId w:val="55"/>
        </w:numPr>
        <w:bidi w:val="0"/>
        <w:spacing w:line="312" w:lineRule="auto"/>
        <w:ind w:left="839" w:leftChars="0" w:hanging="419" w:firstLineChars="0"/>
        <w:rPr>
          <w:highlight w:val="none"/>
        </w:rPr>
      </w:pPr>
      <w:r>
        <w:rPr>
          <w:highlight w:val="none"/>
        </w:rPr>
        <w:t>不得采用人为点燃可燃气体方式引燃电池</w:t>
      </w:r>
      <w:r>
        <w:rPr>
          <w:rFonts w:hint="eastAsia"/>
          <w:highlight w:val="none"/>
        </w:rPr>
        <w:t>；</w:t>
      </w:r>
    </w:p>
    <w:p>
      <w:pPr>
        <w:pStyle w:val="305"/>
        <w:numPr>
          <w:ilvl w:val="0"/>
          <w:numId w:val="55"/>
        </w:numPr>
        <w:bidi w:val="0"/>
        <w:spacing w:line="312" w:lineRule="auto"/>
        <w:ind w:left="839" w:leftChars="0" w:hanging="419" w:firstLineChars="0"/>
        <w:rPr>
          <w:highlight w:val="none"/>
        </w:rPr>
      </w:pPr>
      <w:r>
        <w:rPr>
          <w:highlight w:val="none"/>
        </w:rPr>
        <w:t>试样电池模块静置</w:t>
      </w:r>
      <w:r>
        <w:rPr>
          <w:rFonts w:hint="eastAsia"/>
          <w:highlight w:val="none"/>
          <w:lang w:val="en-US" w:eastAsia="zh-CN"/>
        </w:rPr>
        <w:t>24</w:t>
      </w:r>
      <w:r>
        <w:rPr>
          <w:highlight w:val="none"/>
        </w:rPr>
        <w:t>h期间，人员不得靠近或进入模拟试验舱。</w:t>
      </w:r>
    </w:p>
    <w:p>
      <w:pPr>
        <w:pStyle w:val="492"/>
        <w:bidi w:val="0"/>
        <w:spacing w:line="312" w:lineRule="auto"/>
      </w:pPr>
      <w:r>
        <w:rPr>
          <w:rFonts w:hint="eastAsia"/>
          <w:highlight w:val="none"/>
        </w:rPr>
        <w:t>试验后，进入模拟试验舱前，应先行通风1h以上，检测有毒气体浓度、舱内温度达到安全值后，</w:t>
      </w:r>
      <w:r>
        <w:rPr>
          <w:rFonts w:hint="eastAsia"/>
        </w:rPr>
        <w:t>人员方可进入舱内进行后续工作。</w:t>
      </w:r>
    </w:p>
    <w:p>
      <w:pPr>
        <w:pStyle w:val="258"/>
        <w:bidi w:val="0"/>
        <w:spacing w:line="312" w:lineRule="auto"/>
        <w:rPr>
          <w:rFonts w:hint="eastAsia"/>
          <w:lang w:eastAsia="zh-CN"/>
        </w:rPr>
        <w:sectPr>
          <w:pgSz w:w="11907" w:h="16839"/>
          <w:pgMar w:top="1418" w:right="1134" w:bottom="1134" w:left="1418" w:header="1418" w:footer="1134" w:gutter="0"/>
          <w:pgBorders>
            <w:top w:val="none" w:sz="0" w:space="0"/>
            <w:left w:val="none" w:sz="0" w:space="0"/>
            <w:bottom w:val="none" w:sz="0" w:space="0"/>
            <w:right w:val="none" w:sz="0" w:space="0"/>
          </w:pgBorders>
          <w:lnNumType w:countBy="0" w:restart="continuous"/>
          <w:pgNumType w:fmt="decimal"/>
          <w:cols w:space="425" w:num="1"/>
          <w:rtlGutter w:val="0"/>
          <w:docGrid w:linePitch="312" w:charSpace="0"/>
        </w:sectPr>
      </w:pPr>
    </w:p>
    <w:p>
      <w:pPr>
        <w:pStyle w:val="347"/>
        <w:bidi w:val="0"/>
        <w:rPr>
          <w:rFonts w:hint="eastAsia"/>
          <w:lang w:eastAsia="zh-CN"/>
        </w:rPr>
      </w:pPr>
    </w:p>
    <w:p>
      <w:pPr>
        <w:pStyle w:val="348"/>
        <w:bidi w:val="0"/>
        <w:rPr>
          <w:rFonts w:hint="eastAsia"/>
          <w:lang w:eastAsia="zh-CN"/>
        </w:rPr>
      </w:pPr>
    </w:p>
    <w:p>
      <w:pPr>
        <w:pStyle w:val="274"/>
        <w:bidi w:val="0"/>
        <w:jc w:val="center"/>
        <w:rPr>
          <w:rFonts w:hint="eastAsia"/>
          <w:lang w:eastAsia="zh-CN"/>
        </w:rPr>
      </w:pPr>
      <w:bookmarkStart w:id="434" w:name="_Toc29811"/>
      <w:bookmarkStart w:id="435" w:name="_Toc4636"/>
      <w:bookmarkStart w:id="436" w:name="_Toc30228"/>
      <w:bookmarkStart w:id="437" w:name="_Toc13990"/>
      <w:bookmarkStart w:id="438" w:name="_Toc26740"/>
      <w:bookmarkStart w:id="439" w:name="_Toc2343"/>
      <w:r>
        <w:rPr>
          <w:rFonts w:hint="eastAsia"/>
          <w:lang w:eastAsia="zh-CN"/>
        </w:rPr>
        <w:br w:type="textWrapping"/>
      </w:r>
      <w:r>
        <w:rPr>
          <w:rFonts w:hint="eastAsia"/>
          <w:lang w:eastAsia="zh-CN"/>
        </w:rPr>
        <w:t>（资料性）</w:t>
      </w:r>
      <w:r>
        <w:rPr>
          <w:rFonts w:hint="eastAsia"/>
          <w:lang w:eastAsia="zh-CN"/>
        </w:rPr>
        <w:br w:type="textWrapping"/>
      </w:r>
      <w:r>
        <w:rPr>
          <w:rFonts w:hint="eastAsia"/>
          <w:lang w:eastAsia="zh-CN"/>
        </w:rPr>
        <w:t>典型预制舱式磷酸铁锂电池储能电站消防器材配置</w:t>
      </w:r>
      <w:bookmarkEnd w:id="434"/>
      <w:bookmarkEnd w:id="435"/>
      <w:bookmarkEnd w:id="436"/>
      <w:bookmarkEnd w:id="437"/>
      <w:bookmarkEnd w:id="438"/>
      <w:bookmarkEnd w:id="439"/>
    </w:p>
    <w:p>
      <w:pPr>
        <w:pStyle w:val="258"/>
        <w:bidi w:val="0"/>
        <w:rPr>
          <w:rFonts w:hint="eastAsia" w:eastAsia="宋体"/>
          <w:lang w:val="en-US" w:eastAsia="zh-CN"/>
        </w:rPr>
      </w:pPr>
      <w:r>
        <w:rPr>
          <w:rFonts w:hint="default"/>
          <w:b/>
          <w:bCs/>
        </w:rPr>
        <w:t>B.1</w:t>
      </w:r>
      <w:r>
        <w:rPr>
          <w:rFonts w:hint="eastAsia"/>
          <w:b/>
          <w:bCs/>
        </w:rPr>
        <w:t xml:space="preserve"> </w:t>
      </w:r>
      <w:r>
        <w:rPr>
          <w:rFonts w:hint="eastAsia"/>
          <w:lang w:val="en-US" w:eastAsia="zh-CN"/>
        </w:rPr>
        <w:t xml:space="preserve"> </w:t>
      </w:r>
      <w:r>
        <w:rPr>
          <w:rFonts w:hint="default"/>
        </w:rPr>
        <w:t>表B.1</w:t>
      </w:r>
      <w:r>
        <w:rPr>
          <w:rFonts w:hint="eastAsia"/>
        </w:rPr>
        <w:t xml:space="preserve"> 给出了</w:t>
      </w:r>
      <w:r>
        <w:t>典型</w:t>
      </w:r>
      <w:r>
        <w:rPr>
          <w:rFonts w:hint="eastAsia"/>
        </w:rPr>
        <w:t>预制舱式</w:t>
      </w:r>
      <w:r>
        <w:t>磷酸铁锂电池储能电站消防器材配置</w:t>
      </w:r>
      <w:r>
        <w:rPr>
          <w:rFonts w:hint="eastAsia"/>
          <w:lang w:eastAsia="zh-CN"/>
        </w:rPr>
        <w:t>。</w:t>
      </w:r>
    </w:p>
    <w:p>
      <w:pPr>
        <w:pStyle w:val="275"/>
        <w:bidi w:val="0"/>
      </w:pPr>
      <w:r>
        <w:t>典型</w:t>
      </w:r>
      <w:r>
        <w:rPr>
          <w:rFonts w:hint="eastAsia"/>
        </w:rPr>
        <w:t>预制舱式</w:t>
      </w:r>
      <w:r>
        <w:t>磷酸铁锂电池储能电站消防器材配置</w:t>
      </w:r>
    </w:p>
    <w:tbl>
      <w:tblPr>
        <w:tblStyle w:val="89"/>
        <w:tblW w:w="87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7"/>
        <w:gridCol w:w="585"/>
        <w:gridCol w:w="705"/>
        <w:gridCol w:w="750"/>
        <w:gridCol w:w="772"/>
        <w:gridCol w:w="818"/>
        <w:gridCol w:w="750"/>
        <w:gridCol w:w="765"/>
        <w:gridCol w:w="675"/>
        <w:gridCol w:w="13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7" w:type="dxa"/>
            <w:vMerge w:val="restart"/>
            <w:tcBorders>
              <w:tl2br w:val="nil"/>
              <w:tr2bl w:val="nil"/>
            </w:tcBorders>
            <w:vAlign w:val="center"/>
          </w:tcPr>
          <w:p>
            <w:pPr>
              <w:jc w:val="center"/>
              <w:rPr>
                <w:rFonts w:ascii="Times New Roman" w:hAnsi="Times New Roman" w:eastAsia="宋体" w:cs="宋体"/>
                <w:sz w:val="18"/>
                <w:szCs w:val="18"/>
              </w:rPr>
            </w:pPr>
            <w:r>
              <w:rPr>
                <w:rFonts w:ascii="Times New Roman" w:hAnsi="Times New Roman" w:eastAsia="宋体" w:cs="宋体"/>
                <w:sz w:val="18"/>
                <w:szCs w:val="18"/>
              </w:rPr>
              <w:t>配置部位</w:t>
            </w:r>
          </w:p>
        </w:tc>
        <w:tc>
          <w:tcPr>
            <w:tcW w:w="1290" w:type="dxa"/>
            <w:gridSpan w:val="2"/>
            <w:tcBorders>
              <w:tl2br w:val="nil"/>
              <w:tr2bl w:val="nil"/>
            </w:tcBorders>
            <w:vAlign w:val="center"/>
          </w:tcPr>
          <w:p>
            <w:pPr>
              <w:jc w:val="center"/>
              <w:rPr>
                <w:rFonts w:ascii="Times New Roman" w:hAnsi="Times New Roman" w:eastAsia="宋体" w:cs="宋体"/>
                <w:sz w:val="18"/>
                <w:szCs w:val="18"/>
              </w:rPr>
            </w:pPr>
            <w:r>
              <w:rPr>
                <w:rFonts w:ascii="Times New Roman" w:hAnsi="Times New Roman" w:eastAsia="宋体" w:cs="宋体"/>
                <w:sz w:val="18"/>
                <w:szCs w:val="18"/>
              </w:rPr>
              <w:t>磷酸铵盐干粉灭火器</w:t>
            </w:r>
          </w:p>
        </w:tc>
        <w:tc>
          <w:tcPr>
            <w:tcW w:w="750" w:type="dxa"/>
            <w:vMerge w:val="restart"/>
            <w:tcBorders>
              <w:tl2br w:val="nil"/>
              <w:tr2bl w:val="nil"/>
            </w:tcBorders>
            <w:vAlign w:val="center"/>
          </w:tcPr>
          <w:p>
            <w:pPr>
              <w:jc w:val="center"/>
              <w:rPr>
                <w:sz w:val="18"/>
                <w:szCs w:val="18"/>
              </w:rPr>
            </w:pPr>
            <w:r>
              <w:rPr>
                <w:sz w:val="18"/>
                <w:szCs w:val="18"/>
              </w:rPr>
              <w:t>喷雾水枪</w:t>
            </w:r>
          </w:p>
          <w:p>
            <w:pPr>
              <w:pStyle w:val="2"/>
              <w:rPr>
                <w:sz w:val="18"/>
                <w:szCs w:val="18"/>
              </w:rPr>
            </w:pPr>
            <w:r>
              <w:rPr>
                <w:rFonts w:ascii="Times New Roman" w:hAnsi="Times New Roman" w:eastAsia="宋体" w:cs="宋体"/>
                <w:sz w:val="18"/>
                <w:szCs w:val="18"/>
              </w:rPr>
              <w:t>（</w:t>
            </w:r>
            <w:r>
              <w:rPr>
                <w:rFonts w:hint="eastAsia" w:cs="宋体"/>
                <w:sz w:val="18"/>
                <w:szCs w:val="18"/>
                <w:lang w:val="en-US" w:eastAsia="zh-CN"/>
              </w:rPr>
              <w:t>个</w:t>
            </w:r>
            <w:r>
              <w:rPr>
                <w:rFonts w:ascii="Times New Roman" w:hAnsi="Times New Roman" w:eastAsia="宋体" w:cs="宋体"/>
                <w:sz w:val="18"/>
                <w:szCs w:val="18"/>
              </w:rPr>
              <w:t>）</w:t>
            </w:r>
          </w:p>
        </w:tc>
        <w:tc>
          <w:tcPr>
            <w:tcW w:w="772" w:type="dxa"/>
            <w:vMerge w:val="restart"/>
            <w:tcBorders>
              <w:tl2br w:val="nil"/>
              <w:tr2bl w:val="nil"/>
            </w:tcBorders>
            <w:vAlign w:val="center"/>
          </w:tcPr>
          <w:p>
            <w:pPr>
              <w:jc w:val="center"/>
              <w:rPr>
                <w:sz w:val="18"/>
                <w:szCs w:val="18"/>
              </w:rPr>
            </w:pPr>
            <w:r>
              <w:rPr>
                <w:sz w:val="18"/>
                <w:szCs w:val="18"/>
              </w:rPr>
              <w:t>直流水枪</w:t>
            </w:r>
          </w:p>
          <w:p>
            <w:pPr>
              <w:pStyle w:val="2"/>
              <w:rPr>
                <w:sz w:val="18"/>
                <w:szCs w:val="18"/>
              </w:rPr>
            </w:pPr>
            <w:r>
              <w:rPr>
                <w:rFonts w:ascii="Times New Roman" w:hAnsi="Times New Roman" w:eastAsia="宋体" w:cs="宋体"/>
                <w:sz w:val="18"/>
                <w:szCs w:val="18"/>
              </w:rPr>
              <w:t>（</w:t>
            </w:r>
            <w:r>
              <w:rPr>
                <w:rFonts w:hint="eastAsia" w:cs="宋体"/>
                <w:sz w:val="18"/>
                <w:szCs w:val="18"/>
                <w:lang w:val="en-US" w:eastAsia="zh-CN"/>
              </w:rPr>
              <w:t>个</w:t>
            </w:r>
            <w:r>
              <w:rPr>
                <w:rFonts w:ascii="Times New Roman" w:hAnsi="Times New Roman" w:eastAsia="宋体" w:cs="宋体"/>
                <w:sz w:val="18"/>
                <w:szCs w:val="18"/>
              </w:rPr>
              <w:t>）</w:t>
            </w:r>
          </w:p>
        </w:tc>
        <w:tc>
          <w:tcPr>
            <w:tcW w:w="818" w:type="dxa"/>
            <w:vMerge w:val="restart"/>
            <w:tcBorders>
              <w:tl2br w:val="nil"/>
              <w:tr2bl w:val="nil"/>
            </w:tcBorders>
            <w:vAlign w:val="center"/>
          </w:tcPr>
          <w:p>
            <w:pPr>
              <w:jc w:val="center"/>
              <w:rPr>
                <w:rFonts w:ascii="Times New Roman" w:hAnsi="Times New Roman" w:eastAsia="宋体" w:cs="宋体"/>
                <w:sz w:val="18"/>
                <w:szCs w:val="18"/>
              </w:rPr>
            </w:pPr>
            <w:r>
              <w:rPr>
                <w:rFonts w:hint="eastAsia" w:cs="宋体"/>
                <w:sz w:val="18"/>
                <w:szCs w:val="18"/>
                <w:lang w:val="en-US" w:eastAsia="zh-CN"/>
              </w:rPr>
              <w:t>水幕</w:t>
            </w:r>
            <w:r>
              <w:rPr>
                <w:rFonts w:ascii="Times New Roman" w:hAnsi="Times New Roman" w:eastAsia="宋体" w:cs="宋体"/>
                <w:sz w:val="18"/>
                <w:szCs w:val="18"/>
              </w:rPr>
              <w:t>水枪（</w:t>
            </w:r>
            <w:r>
              <w:rPr>
                <w:rFonts w:hint="eastAsia" w:cs="宋体"/>
                <w:sz w:val="18"/>
                <w:szCs w:val="18"/>
                <w:lang w:val="en-US" w:eastAsia="zh-CN"/>
              </w:rPr>
              <w:t>个</w:t>
            </w:r>
            <w:r>
              <w:rPr>
                <w:rFonts w:ascii="Times New Roman" w:hAnsi="Times New Roman" w:eastAsia="宋体" w:cs="宋体"/>
                <w:sz w:val="18"/>
                <w:szCs w:val="18"/>
              </w:rPr>
              <w:t>）</w:t>
            </w:r>
          </w:p>
        </w:tc>
        <w:tc>
          <w:tcPr>
            <w:tcW w:w="750" w:type="dxa"/>
            <w:vMerge w:val="restart"/>
            <w:tcBorders>
              <w:tl2br w:val="nil"/>
              <w:tr2bl w:val="nil"/>
            </w:tcBorders>
            <w:vAlign w:val="center"/>
          </w:tcPr>
          <w:p>
            <w:pPr>
              <w:jc w:val="center"/>
              <w:rPr>
                <w:rFonts w:ascii="Times New Roman" w:hAnsi="Times New Roman" w:eastAsia="宋体" w:cs="宋体"/>
                <w:sz w:val="18"/>
                <w:szCs w:val="18"/>
              </w:rPr>
            </w:pPr>
            <w:r>
              <w:rPr>
                <w:rFonts w:ascii="Times New Roman" w:hAnsi="Times New Roman" w:eastAsia="宋体" w:cs="宋体"/>
                <w:sz w:val="18"/>
                <w:szCs w:val="18"/>
              </w:rPr>
              <w:t>消防水带（</w:t>
            </w:r>
            <w:r>
              <w:rPr>
                <w:rFonts w:hint="eastAsia" w:cs="宋体"/>
                <w:sz w:val="18"/>
                <w:szCs w:val="18"/>
                <w:lang w:val="en-US" w:eastAsia="zh-CN"/>
              </w:rPr>
              <w:t>个</w:t>
            </w:r>
            <w:r>
              <w:rPr>
                <w:rFonts w:ascii="Times New Roman" w:hAnsi="Times New Roman" w:eastAsia="宋体" w:cs="宋体"/>
                <w:sz w:val="18"/>
                <w:szCs w:val="18"/>
              </w:rPr>
              <w:t>）</w:t>
            </w:r>
          </w:p>
        </w:tc>
        <w:tc>
          <w:tcPr>
            <w:tcW w:w="765" w:type="dxa"/>
            <w:vMerge w:val="restart"/>
            <w:tcBorders>
              <w:tl2br w:val="nil"/>
              <w:tr2bl w:val="nil"/>
            </w:tcBorders>
            <w:vAlign w:val="center"/>
          </w:tcPr>
          <w:p>
            <w:pPr>
              <w:jc w:val="center"/>
              <w:rPr>
                <w:rFonts w:ascii="Times New Roman" w:hAnsi="Times New Roman" w:eastAsia="宋体" w:cs="宋体"/>
                <w:sz w:val="18"/>
                <w:szCs w:val="18"/>
              </w:rPr>
            </w:pPr>
            <w:r>
              <w:rPr>
                <w:rFonts w:ascii="Times New Roman" w:hAnsi="Times New Roman" w:eastAsia="宋体" w:cs="宋体"/>
                <w:sz w:val="18"/>
                <w:szCs w:val="18"/>
              </w:rPr>
              <w:t>火灾类别</w:t>
            </w:r>
          </w:p>
        </w:tc>
        <w:tc>
          <w:tcPr>
            <w:tcW w:w="675" w:type="dxa"/>
            <w:vMerge w:val="restart"/>
            <w:tcBorders>
              <w:tl2br w:val="nil"/>
              <w:tr2bl w:val="nil"/>
            </w:tcBorders>
            <w:vAlign w:val="center"/>
          </w:tcPr>
          <w:p>
            <w:pPr>
              <w:jc w:val="center"/>
              <w:rPr>
                <w:rFonts w:ascii="Times New Roman" w:hAnsi="Times New Roman" w:eastAsia="宋体" w:cs="宋体"/>
                <w:sz w:val="18"/>
                <w:szCs w:val="18"/>
              </w:rPr>
            </w:pPr>
            <w:r>
              <w:rPr>
                <w:rFonts w:ascii="Times New Roman" w:hAnsi="Times New Roman" w:eastAsia="宋体" w:cs="宋体"/>
                <w:sz w:val="18"/>
                <w:szCs w:val="18"/>
              </w:rPr>
              <w:t>危险等级</w:t>
            </w:r>
          </w:p>
        </w:tc>
        <w:tc>
          <w:tcPr>
            <w:tcW w:w="1399" w:type="dxa"/>
            <w:vMerge w:val="restart"/>
            <w:tcBorders>
              <w:tl2br w:val="nil"/>
              <w:tr2bl w:val="nil"/>
            </w:tcBorders>
            <w:vAlign w:val="center"/>
          </w:tcPr>
          <w:p>
            <w:pPr>
              <w:jc w:val="center"/>
              <w:rPr>
                <w:rFonts w:ascii="Times New Roman" w:hAnsi="Times New Roman" w:eastAsia="宋体" w:cs="宋体"/>
                <w:sz w:val="18"/>
                <w:szCs w:val="18"/>
              </w:rPr>
            </w:pPr>
            <w:r>
              <w:rPr>
                <w:rFonts w:ascii="Times New Roman" w:hAnsi="Times New Roman" w:eastAsia="宋体" w:cs="宋体"/>
                <w:sz w:val="18"/>
                <w:szCs w:val="18"/>
              </w:rPr>
              <w:t>保护面积（m</w:t>
            </w:r>
            <w:r>
              <w:rPr>
                <w:rFonts w:ascii="Times New Roman" w:hAnsi="Times New Roman" w:eastAsia="宋体" w:cs="宋体"/>
                <w:sz w:val="18"/>
                <w:szCs w:val="18"/>
                <w:vertAlign w:val="superscript"/>
              </w:rPr>
              <w:t>2</w:t>
            </w:r>
            <w:r>
              <w:rPr>
                <w:rFonts w:ascii="Times New Roman" w:hAnsi="Times New Roman" w:eastAsia="宋体" w:cs="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7" w:type="dxa"/>
            <w:vMerge w:val="continue"/>
            <w:tcBorders>
              <w:tl2br w:val="nil"/>
              <w:tr2bl w:val="nil"/>
            </w:tcBorders>
            <w:vAlign w:val="center"/>
          </w:tcPr>
          <w:p>
            <w:pPr>
              <w:jc w:val="center"/>
              <w:rPr>
                <w:rFonts w:ascii="Times New Roman" w:hAnsi="Times New Roman" w:eastAsia="宋体" w:cs="宋体"/>
                <w:sz w:val="18"/>
                <w:szCs w:val="18"/>
              </w:rPr>
            </w:pPr>
          </w:p>
        </w:tc>
        <w:tc>
          <w:tcPr>
            <w:tcW w:w="585" w:type="dxa"/>
            <w:tcBorders>
              <w:tl2br w:val="nil"/>
              <w:tr2bl w:val="nil"/>
            </w:tcBorders>
            <w:vAlign w:val="center"/>
          </w:tcPr>
          <w:p>
            <w:pPr>
              <w:jc w:val="center"/>
              <w:rPr>
                <w:rFonts w:ascii="Times New Roman" w:hAnsi="Times New Roman" w:eastAsia="宋体" w:cs="宋体"/>
                <w:sz w:val="18"/>
                <w:szCs w:val="18"/>
              </w:rPr>
            </w:pPr>
            <w:r>
              <w:rPr>
                <w:rFonts w:ascii="Times New Roman" w:hAnsi="Times New Roman" w:eastAsia="宋体" w:cs="宋体"/>
                <w:sz w:val="18"/>
                <w:szCs w:val="18"/>
              </w:rPr>
              <w:t>5kg</w:t>
            </w:r>
          </w:p>
        </w:tc>
        <w:tc>
          <w:tcPr>
            <w:tcW w:w="705" w:type="dxa"/>
            <w:tcBorders>
              <w:tl2br w:val="nil"/>
              <w:tr2bl w:val="nil"/>
            </w:tcBorders>
            <w:vAlign w:val="center"/>
          </w:tcPr>
          <w:p>
            <w:pPr>
              <w:jc w:val="center"/>
              <w:rPr>
                <w:rFonts w:ascii="Times New Roman" w:hAnsi="Times New Roman" w:eastAsia="宋体" w:cs="宋体"/>
                <w:sz w:val="18"/>
                <w:szCs w:val="18"/>
              </w:rPr>
            </w:pPr>
            <w:r>
              <w:rPr>
                <w:rFonts w:ascii="Times New Roman" w:hAnsi="Times New Roman" w:eastAsia="宋体" w:cs="宋体"/>
                <w:sz w:val="18"/>
                <w:szCs w:val="18"/>
              </w:rPr>
              <w:t>35kg</w:t>
            </w:r>
          </w:p>
        </w:tc>
        <w:tc>
          <w:tcPr>
            <w:tcW w:w="750" w:type="dxa"/>
            <w:vMerge w:val="continue"/>
            <w:tcBorders>
              <w:tl2br w:val="nil"/>
              <w:tr2bl w:val="nil"/>
            </w:tcBorders>
            <w:vAlign w:val="center"/>
          </w:tcPr>
          <w:p>
            <w:pPr>
              <w:jc w:val="center"/>
              <w:rPr>
                <w:rFonts w:ascii="Times New Roman" w:hAnsi="Times New Roman" w:eastAsia="宋体" w:cs="宋体"/>
                <w:sz w:val="18"/>
                <w:szCs w:val="18"/>
              </w:rPr>
            </w:pPr>
          </w:p>
        </w:tc>
        <w:tc>
          <w:tcPr>
            <w:tcW w:w="772" w:type="dxa"/>
            <w:vMerge w:val="continue"/>
            <w:tcBorders>
              <w:tl2br w:val="nil"/>
              <w:tr2bl w:val="nil"/>
            </w:tcBorders>
            <w:vAlign w:val="center"/>
          </w:tcPr>
          <w:p>
            <w:pPr>
              <w:jc w:val="center"/>
              <w:rPr>
                <w:rFonts w:ascii="Times New Roman" w:hAnsi="Times New Roman" w:eastAsia="宋体" w:cs="宋体"/>
                <w:sz w:val="18"/>
                <w:szCs w:val="18"/>
              </w:rPr>
            </w:pPr>
          </w:p>
        </w:tc>
        <w:tc>
          <w:tcPr>
            <w:tcW w:w="818" w:type="dxa"/>
            <w:vMerge w:val="continue"/>
            <w:tcBorders>
              <w:tl2br w:val="nil"/>
              <w:tr2bl w:val="nil"/>
            </w:tcBorders>
            <w:vAlign w:val="center"/>
          </w:tcPr>
          <w:p>
            <w:pPr>
              <w:jc w:val="center"/>
              <w:rPr>
                <w:rFonts w:ascii="Times New Roman" w:hAnsi="Times New Roman" w:eastAsia="宋体" w:cs="宋体"/>
                <w:sz w:val="18"/>
                <w:szCs w:val="18"/>
              </w:rPr>
            </w:pPr>
          </w:p>
        </w:tc>
        <w:tc>
          <w:tcPr>
            <w:tcW w:w="750" w:type="dxa"/>
            <w:vMerge w:val="continue"/>
            <w:tcBorders>
              <w:tl2br w:val="nil"/>
              <w:tr2bl w:val="nil"/>
            </w:tcBorders>
            <w:vAlign w:val="center"/>
          </w:tcPr>
          <w:p>
            <w:pPr>
              <w:jc w:val="center"/>
              <w:rPr>
                <w:rFonts w:ascii="Times New Roman" w:hAnsi="Times New Roman" w:eastAsia="宋体" w:cs="宋体"/>
                <w:sz w:val="18"/>
                <w:szCs w:val="18"/>
              </w:rPr>
            </w:pPr>
          </w:p>
        </w:tc>
        <w:tc>
          <w:tcPr>
            <w:tcW w:w="765" w:type="dxa"/>
            <w:vMerge w:val="continue"/>
            <w:tcBorders>
              <w:tl2br w:val="nil"/>
              <w:tr2bl w:val="nil"/>
            </w:tcBorders>
            <w:vAlign w:val="center"/>
          </w:tcPr>
          <w:p>
            <w:pPr>
              <w:jc w:val="center"/>
              <w:rPr>
                <w:rFonts w:ascii="Times New Roman" w:hAnsi="Times New Roman" w:eastAsia="宋体" w:cs="宋体"/>
                <w:sz w:val="18"/>
                <w:szCs w:val="18"/>
              </w:rPr>
            </w:pPr>
          </w:p>
        </w:tc>
        <w:tc>
          <w:tcPr>
            <w:tcW w:w="675" w:type="dxa"/>
            <w:vMerge w:val="continue"/>
            <w:tcBorders>
              <w:tl2br w:val="nil"/>
              <w:tr2bl w:val="nil"/>
            </w:tcBorders>
            <w:vAlign w:val="center"/>
          </w:tcPr>
          <w:p>
            <w:pPr>
              <w:jc w:val="center"/>
              <w:rPr>
                <w:rFonts w:ascii="Times New Roman" w:hAnsi="Times New Roman" w:eastAsia="宋体" w:cs="宋体"/>
                <w:sz w:val="18"/>
                <w:szCs w:val="18"/>
              </w:rPr>
            </w:pPr>
          </w:p>
        </w:tc>
        <w:tc>
          <w:tcPr>
            <w:tcW w:w="1399" w:type="dxa"/>
            <w:vMerge w:val="continue"/>
            <w:tcBorders>
              <w:tl2br w:val="nil"/>
              <w:tr2bl w:val="nil"/>
            </w:tcBorders>
            <w:vAlign w:val="center"/>
          </w:tcPr>
          <w:p>
            <w:pPr>
              <w:jc w:val="center"/>
              <w:rPr>
                <w:rFonts w:ascii="Times New Roman" w:hAnsi="Times New Roman"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1557" w:type="dxa"/>
            <w:vAlign w:val="center"/>
          </w:tcPr>
          <w:p>
            <w:pPr>
              <w:jc w:val="center"/>
              <w:rPr>
                <w:rFonts w:hint="eastAsia" w:ascii="Times New Roman" w:hAnsi="Times New Roman" w:eastAsia="宋体" w:cs="宋体"/>
                <w:sz w:val="18"/>
                <w:szCs w:val="18"/>
                <w:lang w:val="en-US" w:eastAsia="zh-CN"/>
              </w:rPr>
            </w:pPr>
            <w:r>
              <w:rPr>
                <w:rFonts w:ascii="Times New Roman" w:hAnsi="Times New Roman" w:eastAsia="宋体" w:cs="宋体"/>
                <w:sz w:val="18"/>
                <w:szCs w:val="18"/>
              </w:rPr>
              <w:t>配电装置室</w:t>
            </w:r>
            <w:r>
              <w:rPr>
                <w:rFonts w:hint="eastAsia" w:cs="宋体"/>
                <w:sz w:val="18"/>
                <w:szCs w:val="18"/>
                <w:vertAlign w:val="superscript"/>
                <w:lang w:val="en-US" w:eastAsia="zh-CN"/>
              </w:rPr>
              <w:t>a</w:t>
            </w:r>
          </w:p>
        </w:tc>
        <w:tc>
          <w:tcPr>
            <w:tcW w:w="585" w:type="dxa"/>
            <w:vAlign w:val="center"/>
          </w:tcPr>
          <w:p>
            <w:pPr>
              <w:jc w:val="center"/>
              <w:rPr>
                <w:rFonts w:ascii="Times New Roman" w:hAnsi="Times New Roman" w:eastAsia="宋体" w:cs="宋体"/>
                <w:sz w:val="18"/>
                <w:szCs w:val="18"/>
              </w:rPr>
            </w:pPr>
            <w:r>
              <w:rPr>
                <w:rFonts w:ascii="Times New Roman" w:hAnsi="Times New Roman" w:eastAsia="宋体" w:cs="宋体"/>
                <w:sz w:val="18"/>
                <w:szCs w:val="18"/>
              </w:rPr>
              <w:t>4</w:t>
            </w:r>
          </w:p>
        </w:tc>
        <w:tc>
          <w:tcPr>
            <w:tcW w:w="705" w:type="dxa"/>
            <w:vAlign w:val="center"/>
          </w:tcPr>
          <w:p>
            <w:pPr>
              <w:jc w:val="center"/>
              <w:rPr>
                <w:rFonts w:hint="eastAsia" w:ascii="Times New Roman" w:hAnsi="Times New Roman" w:eastAsia="宋体" w:cs="宋体"/>
                <w:sz w:val="18"/>
                <w:szCs w:val="18"/>
                <w:lang w:val="en-US" w:eastAsia="zh-CN"/>
              </w:rPr>
            </w:pPr>
            <w:r>
              <w:rPr>
                <w:rFonts w:hint="eastAsia" w:cs="宋体"/>
                <w:sz w:val="18"/>
                <w:szCs w:val="18"/>
                <w:lang w:val="en-US" w:eastAsia="zh-CN"/>
              </w:rPr>
              <w:t>—</w:t>
            </w:r>
          </w:p>
        </w:tc>
        <w:tc>
          <w:tcPr>
            <w:tcW w:w="750" w:type="dxa"/>
            <w:vAlign w:val="center"/>
          </w:tcPr>
          <w:p>
            <w:pPr>
              <w:jc w:val="center"/>
              <w:rPr>
                <w:rFonts w:ascii="Times New Roman" w:hAnsi="Times New Roman" w:eastAsia="宋体" w:cs="宋体"/>
                <w:sz w:val="18"/>
                <w:szCs w:val="18"/>
              </w:rPr>
            </w:pPr>
            <w:r>
              <w:rPr>
                <w:rFonts w:hint="eastAsia" w:cs="宋体"/>
                <w:sz w:val="18"/>
                <w:szCs w:val="18"/>
                <w:lang w:val="en-US" w:eastAsia="zh-CN"/>
              </w:rPr>
              <w:t>—</w:t>
            </w:r>
          </w:p>
        </w:tc>
        <w:tc>
          <w:tcPr>
            <w:tcW w:w="772" w:type="dxa"/>
            <w:vAlign w:val="center"/>
          </w:tcPr>
          <w:p>
            <w:pPr>
              <w:jc w:val="center"/>
              <w:rPr>
                <w:rFonts w:ascii="Times New Roman" w:hAnsi="Times New Roman" w:eastAsia="宋体" w:cs="宋体"/>
                <w:sz w:val="18"/>
                <w:szCs w:val="18"/>
              </w:rPr>
            </w:pPr>
            <w:r>
              <w:rPr>
                <w:rFonts w:hint="eastAsia" w:cs="宋体"/>
                <w:sz w:val="18"/>
                <w:szCs w:val="18"/>
                <w:lang w:val="en-US" w:eastAsia="zh-CN"/>
              </w:rPr>
              <w:t>—</w:t>
            </w:r>
          </w:p>
        </w:tc>
        <w:tc>
          <w:tcPr>
            <w:tcW w:w="818" w:type="dxa"/>
            <w:vAlign w:val="center"/>
          </w:tcPr>
          <w:p>
            <w:pPr>
              <w:jc w:val="center"/>
              <w:rPr>
                <w:rFonts w:ascii="Times New Roman" w:hAnsi="Times New Roman" w:eastAsia="宋体" w:cs="宋体"/>
                <w:sz w:val="18"/>
                <w:szCs w:val="18"/>
              </w:rPr>
            </w:pPr>
            <w:r>
              <w:rPr>
                <w:rFonts w:hint="eastAsia" w:cs="宋体"/>
                <w:sz w:val="18"/>
                <w:szCs w:val="18"/>
                <w:lang w:val="en-US" w:eastAsia="zh-CN"/>
              </w:rPr>
              <w:t>—</w:t>
            </w:r>
          </w:p>
        </w:tc>
        <w:tc>
          <w:tcPr>
            <w:tcW w:w="750" w:type="dxa"/>
            <w:vAlign w:val="center"/>
          </w:tcPr>
          <w:p>
            <w:pPr>
              <w:jc w:val="center"/>
              <w:rPr>
                <w:rFonts w:ascii="Times New Roman" w:hAnsi="Times New Roman" w:eastAsia="宋体" w:cs="宋体"/>
                <w:sz w:val="18"/>
                <w:szCs w:val="18"/>
              </w:rPr>
            </w:pPr>
            <w:r>
              <w:rPr>
                <w:rFonts w:hint="eastAsia" w:cs="宋体"/>
                <w:sz w:val="18"/>
                <w:szCs w:val="18"/>
                <w:lang w:val="en-US" w:eastAsia="zh-CN"/>
              </w:rPr>
              <w:t>—</w:t>
            </w:r>
          </w:p>
        </w:tc>
        <w:tc>
          <w:tcPr>
            <w:tcW w:w="765" w:type="dxa"/>
            <w:vAlign w:val="center"/>
          </w:tcPr>
          <w:p>
            <w:pPr>
              <w:jc w:val="center"/>
              <w:rPr>
                <w:rFonts w:ascii="Times New Roman" w:hAnsi="Times New Roman" w:eastAsia="宋体" w:cs="宋体"/>
                <w:sz w:val="18"/>
                <w:szCs w:val="18"/>
              </w:rPr>
            </w:pPr>
            <w:r>
              <w:rPr>
                <w:rFonts w:ascii="Times New Roman" w:hAnsi="Times New Roman" w:eastAsia="宋体" w:cs="宋体"/>
                <w:sz w:val="18"/>
                <w:szCs w:val="18"/>
              </w:rPr>
              <w:t>E（A）</w:t>
            </w:r>
          </w:p>
        </w:tc>
        <w:tc>
          <w:tcPr>
            <w:tcW w:w="675" w:type="dxa"/>
            <w:vAlign w:val="center"/>
          </w:tcPr>
          <w:p>
            <w:pPr>
              <w:jc w:val="center"/>
              <w:rPr>
                <w:rFonts w:ascii="Times New Roman" w:hAnsi="Times New Roman" w:eastAsia="宋体" w:cs="宋体"/>
                <w:sz w:val="18"/>
                <w:szCs w:val="18"/>
              </w:rPr>
            </w:pPr>
            <w:r>
              <w:rPr>
                <w:rFonts w:ascii="Times New Roman" w:hAnsi="Times New Roman" w:eastAsia="宋体" w:cs="宋体"/>
                <w:sz w:val="18"/>
                <w:szCs w:val="18"/>
              </w:rPr>
              <w:t>中</w:t>
            </w:r>
          </w:p>
        </w:tc>
        <w:tc>
          <w:tcPr>
            <w:tcW w:w="1399" w:type="dxa"/>
            <w:vAlign w:val="center"/>
          </w:tcPr>
          <w:p>
            <w:pPr>
              <w:jc w:val="center"/>
              <w:rPr>
                <w:rFonts w:ascii="Times New Roman" w:hAnsi="Times New Roman" w:eastAsia="宋体" w:cs="宋体"/>
                <w:sz w:val="18"/>
                <w:szCs w:val="18"/>
              </w:rPr>
            </w:pPr>
            <w:r>
              <w:rPr>
                <w:rFonts w:ascii="Times New Roman" w:hAnsi="Times New Roman" w:eastAsia="宋体" w:cs="宋体"/>
                <w:sz w:val="18"/>
                <w:szCs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7" w:type="dxa"/>
            <w:vAlign w:val="center"/>
          </w:tcPr>
          <w:p>
            <w:pPr>
              <w:jc w:val="center"/>
              <w:rPr>
                <w:rFonts w:ascii="Times New Roman" w:hAnsi="Times New Roman" w:eastAsia="宋体" w:cs="宋体"/>
                <w:sz w:val="18"/>
                <w:szCs w:val="18"/>
              </w:rPr>
            </w:pPr>
            <w:r>
              <w:rPr>
                <w:rFonts w:hint="eastAsia" w:ascii="Times New Roman" w:hAnsi="Times New Roman" w:eastAsia="宋体" w:cs="宋体"/>
                <w:sz w:val="18"/>
                <w:szCs w:val="18"/>
              </w:rPr>
              <w:t>储能变流器</w:t>
            </w:r>
            <w:r>
              <w:rPr>
                <w:rFonts w:ascii="Times New Roman" w:hAnsi="Times New Roman" w:eastAsia="宋体" w:cs="宋体"/>
                <w:sz w:val="18"/>
                <w:szCs w:val="18"/>
              </w:rPr>
              <w:t>室</w:t>
            </w:r>
          </w:p>
        </w:tc>
        <w:tc>
          <w:tcPr>
            <w:tcW w:w="585" w:type="dxa"/>
            <w:vAlign w:val="center"/>
          </w:tcPr>
          <w:p>
            <w:pPr>
              <w:jc w:val="center"/>
              <w:rPr>
                <w:rFonts w:ascii="Times New Roman" w:hAnsi="Times New Roman" w:eastAsia="宋体" w:cs="宋体"/>
                <w:sz w:val="18"/>
                <w:szCs w:val="18"/>
              </w:rPr>
            </w:pPr>
            <w:r>
              <w:rPr>
                <w:rFonts w:ascii="Times New Roman" w:hAnsi="Times New Roman" w:eastAsia="宋体" w:cs="宋体"/>
                <w:sz w:val="18"/>
                <w:szCs w:val="18"/>
              </w:rPr>
              <w:t>4</w:t>
            </w:r>
          </w:p>
        </w:tc>
        <w:tc>
          <w:tcPr>
            <w:tcW w:w="705" w:type="dxa"/>
            <w:vAlign w:val="center"/>
          </w:tcPr>
          <w:p>
            <w:pPr>
              <w:jc w:val="center"/>
              <w:rPr>
                <w:rFonts w:hint="default" w:ascii="Times New Roman" w:hAnsi="Times New Roman" w:eastAsia="宋体" w:cs="宋体"/>
                <w:kern w:val="2"/>
                <w:sz w:val="18"/>
                <w:szCs w:val="18"/>
                <w:lang w:val="en-US" w:eastAsia="zh-CN" w:bidi="ar-SA"/>
              </w:rPr>
            </w:pPr>
            <w:r>
              <w:rPr>
                <w:rFonts w:hint="eastAsia" w:cs="宋体"/>
                <w:sz w:val="18"/>
                <w:szCs w:val="18"/>
                <w:lang w:val="en-US" w:eastAsia="zh-CN"/>
              </w:rPr>
              <w:t>—</w:t>
            </w:r>
          </w:p>
        </w:tc>
        <w:tc>
          <w:tcPr>
            <w:tcW w:w="750" w:type="dxa"/>
            <w:vAlign w:val="center"/>
          </w:tcPr>
          <w:p>
            <w:pPr>
              <w:jc w:val="center"/>
              <w:rPr>
                <w:rFonts w:ascii="Times New Roman" w:hAnsi="Times New Roman" w:eastAsia="宋体" w:cs="宋体"/>
                <w:sz w:val="18"/>
                <w:szCs w:val="18"/>
              </w:rPr>
            </w:pPr>
            <w:r>
              <w:rPr>
                <w:rFonts w:hint="eastAsia" w:cs="宋体"/>
                <w:sz w:val="18"/>
                <w:szCs w:val="18"/>
                <w:lang w:val="en-US" w:eastAsia="zh-CN"/>
              </w:rPr>
              <w:t>—</w:t>
            </w:r>
          </w:p>
        </w:tc>
        <w:tc>
          <w:tcPr>
            <w:tcW w:w="772" w:type="dxa"/>
            <w:vAlign w:val="center"/>
          </w:tcPr>
          <w:p>
            <w:pPr>
              <w:jc w:val="center"/>
              <w:rPr>
                <w:rFonts w:ascii="Times New Roman" w:hAnsi="Times New Roman" w:eastAsia="宋体" w:cs="宋体"/>
                <w:sz w:val="18"/>
                <w:szCs w:val="18"/>
              </w:rPr>
            </w:pPr>
            <w:r>
              <w:rPr>
                <w:rFonts w:hint="eastAsia" w:cs="宋体"/>
                <w:sz w:val="18"/>
                <w:szCs w:val="18"/>
                <w:lang w:val="en-US" w:eastAsia="zh-CN"/>
              </w:rPr>
              <w:t>—</w:t>
            </w:r>
          </w:p>
        </w:tc>
        <w:tc>
          <w:tcPr>
            <w:tcW w:w="818" w:type="dxa"/>
            <w:vAlign w:val="center"/>
          </w:tcPr>
          <w:p>
            <w:pPr>
              <w:jc w:val="center"/>
              <w:rPr>
                <w:rFonts w:ascii="Times New Roman" w:hAnsi="Times New Roman" w:eastAsia="宋体" w:cs="宋体"/>
                <w:sz w:val="18"/>
                <w:szCs w:val="18"/>
              </w:rPr>
            </w:pPr>
            <w:r>
              <w:rPr>
                <w:rFonts w:hint="eastAsia" w:cs="宋体"/>
                <w:sz w:val="18"/>
                <w:szCs w:val="18"/>
                <w:lang w:val="en-US" w:eastAsia="zh-CN"/>
              </w:rPr>
              <w:t>—</w:t>
            </w:r>
          </w:p>
        </w:tc>
        <w:tc>
          <w:tcPr>
            <w:tcW w:w="750" w:type="dxa"/>
            <w:vAlign w:val="center"/>
          </w:tcPr>
          <w:p>
            <w:pPr>
              <w:jc w:val="center"/>
              <w:rPr>
                <w:rFonts w:ascii="Times New Roman" w:hAnsi="Times New Roman" w:eastAsia="宋体" w:cs="宋体"/>
                <w:sz w:val="18"/>
                <w:szCs w:val="18"/>
              </w:rPr>
            </w:pPr>
            <w:r>
              <w:rPr>
                <w:rFonts w:hint="eastAsia" w:cs="宋体"/>
                <w:sz w:val="18"/>
                <w:szCs w:val="18"/>
                <w:lang w:val="en-US" w:eastAsia="zh-CN"/>
              </w:rPr>
              <w:t>—</w:t>
            </w:r>
          </w:p>
        </w:tc>
        <w:tc>
          <w:tcPr>
            <w:tcW w:w="765" w:type="dxa"/>
            <w:vAlign w:val="center"/>
          </w:tcPr>
          <w:p>
            <w:pPr>
              <w:jc w:val="center"/>
              <w:rPr>
                <w:rFonts w:ascii="Times New Roman" w:hAnsi="Times New Roman" w:eastAsia="宋体" w:cs="宋体"/>
                <w:sz w:val="18"/>
                <w:szCs w:val="18"/>
              </w:rPr>
            </w:pPr>
            <w:r>
              <w:rPr>
                <w:rFonts w:ascii="Times New Roman" w:hAnsi="Times New Roman" w:eastAsia="宋体" w:cs="宋体"/>
                <w:sz w:val="18"/>
                <w:szCs w:val="18"/>
              </w:rPr>
              <w:t>E（A）</w:t>
            </w:r>
          </w:p>
        </w:tc>
        <w:tc>
          <w:tcPr>
            <w:tcW w:w="675" w:type="dxa"/>
            <w:vAlign w:val="center"/>
          </w:tcPr>
          <w:p>
            <w:pPr>
              <w:jc w:val="center"/>
              <w:rPr>
                <w:rFonts w:ascii="Times New Roman" w:hAnsi="Times New Roman" w:eastAsia="宋体" w:cs="宋体"/>
                <w:sz w:val="18"/>
                <w:szCs w:val="18"/>
              </w:rPr>
            </w:pPr>
            <w:r>
              <w:rPr>
                <w:rFonts w:ascii="Times New Roman" w:hAnsi="Times New Roman" w:eastAsia="宋体" w:cs="宋体"/>
                <w:sz w:val="18"/>
                <w:szCs w:val="18"/>
              </w:rPr>
              <w:t>中</w:t>
            </w:r>
          </w:p>
        </w:tc>
        <w:tc>
          <w:tcPr>
            <w:tcW w:w="1399" w:type="dxa"/>
            <w:vAlign w:val="center"/>
          </w:tcPr>
          <w:p>
            <w:pPr>
              <w:jc w:val="center"/>
              <w:rPr>
                <w:rFonts w:ascii="Times New Roman" w:hAnsi="Times New Roman" w:eastAsia="宋体" w:cs="宋体"/>
                <w:sz w:val="18"/>
                <w:szCs w:val="18"/>
              </w:rPr>
            </w:pPr>
            <w:r>
              <w:rPr>
                <w:rFonts w:ascii="Times New Roman" w:hAnsi="Times New Roman" w:eastAsia="宋体" w:cs="宋体"/>
                <w:sz w:val="18"/>
                <w:szCs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7" w:type="dxa"/>
            <w:vAlign w:val="center"/>
          </w:tcPr>
          <w:p>
            <w:pPr>
              <w:jc w:val="center"/>
              <w:rPr>
                <w:rFonts w:ascii="Times New Roman" w:hAnsi="Times New Roman" w:eastAsia="宋体" w:cs="宋体"/>
                <w:sz w:val="18"/>
                <w:szCs w:val="18"/>
              </w:rPr>
            </w:pPr>
            <w:r>
              <w:rPr>
                <w:rFonts w:ascii="Times New Roman" w:hAnsi="Times New Roman" w:eastAsia="宋体" w:cs="宋体"/>
                <w:sz w:val="18"/>
                <w:szCs w:val="18"/>
              </w:rPr>
              <w:t>变压器室</w:t>
            </w:r>
          </w:p>
        </w:tc>
        <w:tc>
          <w:tcPr>
            <w:tcW w:w="585" w:type="dxa"/>
            <w:vAlign w:val="center"/>
          </w:tcPr>
          <w:p>
            <w:pPr>
              <w:jc w:val="center"/>
              <w:rPr>
                <w:rFonts w:ascii="Times New Roman" w:hAnsi="Times New Roman" w:eastAsia="宋体" w:cs="宋体"/>
                <w:sz w:val="18"/>
                <w:szCs w:val="18"/>
              </w:rPr>
            </w:pPr>
            <w:r>
              <w:rPr>
                <w:rFonts w:ascii="Times New Roman" w:hAnsi="Times New Roman" w:eastAsia="宋体" w:cs="宋体"/>
                <w:sz w:val="18"/>
                <w:szCs w:val="18"/>
              </w:rPr>
              <w:t>4</w:t>
            </w:r>
          </w:p>
        </w:tc>
        <w:tc>
          <w:tcPr>
            <w:tcW w:w="705" w:type="dxa"/>
            <w:vAlign w:val="center"/>
          </w:tcPr>
          <w:p>
            <w:pPr>
              <w:jc w:val="center"/>
              <w:rPr>
                <w:rFonts w:ascii="Times New Roman" w:hAnsi="Times New Roman" w:eastAsia="宋体" w:cs="宋体"/>
                <w:sz w:val="18"/>
                <w:szCs w:val="18"/>
              </w:rPr>
            </w:pPr>
            <w:r>
              <w:rPr>
                <w:rFonts w:ascii="Times New Roman" w:hAnsi="Times New Roman" w:eastAsia="宋体" w:cs="宋体"/>
                <w:sz w:val="18"/>
                <w:szCs w:val="18"/>
              </w:rPr>
              <w:t>2</w:t>
            </w:r>
          </w:p>
        </w:tc>
        <w:tc>
          <w:tcPr>
            <w:tcW w:w="750" w:type="dxa"/>
            <w:vAlign w:val="center"/>
          </w:tcPr>
          <w:p>
            <w:pPr>
              <w:jc w:val="center"/>
              <w:rPr>
                <w:rFonts w:ascii="Times New Roman" w:hAnsi="Times New Roman" w:eastAsia="宋体" w:cs="宋体"/>
                <w:sz w:val="18"/>
                <w:szCs w:val="18"/>
              </w:rPr>
            </w:pPr>
            <w:r>
              <w:rPr>
                <w:rFonts w:hint="eastAsia" w:cs="宋体"/>
                <w:sz w:val="18"/>
                <w:szCs w:val="18"/>
                <w:lang w:val="en-US" w:eastAsia="zh-CN"/>
              </w:rPr>
              <w:t>—</w:t>
            </w:r>
          </w:p>
        </w:tc>
        <w:tc>
          <w:tcPr>
            <w:tcW w:w="772" w:type="dxa"/>
            <w:vAlign w:val="center"/>
          </w:tcPr>
          <w:p>
            <w:pPr>
              <w:jc w:val="center"/>
              <w:rPr>
                <w:rFonts w:ascii="Times New Roman" w:hAnsi="Times New Roman" w:eastAsia="宋体" w:cs="宋体"/>
                <w:sz w:val="18"/>
                <w:szCs w:val="18"/>
              </w:rPr>
            </w:pPr>
            <w:r>
              <w:rPr>
                <w:rFonts w:hint="eastAsia" w:cs="宋体"/>
                <w:sz w:val="18"/>
                <w:szCs w:val="18"/>
                <w:lang w:val="en-US" w:eastAsia="zh-CN"/>
              </w:rPr>
              <w:t>—</w:t>
            </w:r>
          </w:p>
        </w:tc>
        <w:tc>
          <w:tcPr>
            <w:tcW w:w="818" w:type="dxa"/>
            <w:vAlign w:val="center"/>
          </w:tcPr>
          <w:p>
            <w:pPr>
              <w:jc w:val="center"/>
              <w:rPr>
                <w:rFonts w:ascii="Times New Roman" w:hAnsi="Times New Roman" w:eastAsia="宋体" w:cs="宋体"/>
                <w:sz w:val="18"/>
                <w:szCs w:val="18"/>
              </w:rPr>
            </w:pPr>
            <w:r>
              <w:rPr>
                <w:rFonts w:hint="eastAsia" w:cs="宋体"/>
                <w:sz w:val="18"/>
                <w:szCs w:val="18"/>
                <w:lang w:val="en-US" w:eastAsia="zh-CN"/>
              </w:rPr>
              <w:t>—</w:t>
            </w:r>
          </w:p>
        </w:tc>
        <w:tc>
          <w:tcPr>
            <w:tcW w:w="750" w:type="dxa"/>
            <w:vAlign w:val="center"/>
          </w:tcPr>
          <w:p>
            <w:pPr>
              <w:jc w:val="center"/>
              <w:rPr>
                <w:rFonts w:ascii="Times New Roman" w:hAnsi="Times New Roman" w:eastAsia="宋体" w:cs="宋体"/>
                <w:sz w:val="18"/>
                <w:szCs w:val="18"/>
              </w:rPr>
            </w:pPr>
            <w:r>
              <w:rPr>
                <w:rFonts w:hint="eastAsia" w:cs="宋体"/>
                <w:sz w:val="18"/>
                <w:szCs w:val="18"/>
                <w:lang w:val="en-US" w:eastAsia="zh-CN"/>
              </w:rPr>
              <w:t>—</w:t>
            </w:r>
          </w:p>
        </w:tc>
        <w:tc>
          <w:tcPr>
            <w:tcW w:w="765" w:type="dxa"/>
            <w:vAlign w:val="center"/>
          </w:tcPr>
          <w:p>
            <w:pPr>
              <w:jc w:val="center"/>
              <w:rPr>
                <w:rFonts w:ascii="Times New Roman" w:hAnsi="Times New Roman" w:eastAsia="宋体" w:cs="宋体"/>
                <w:sz w:val="18"/>
                <w:szCs w:val="18"/>
              </w:rPr>
            </w:pPr>
            <w:r>
              <w:rPr>
                <w:rFonts w:ascii="Times New Roman" w:hAnsi="Times New Roman" w:eastAsia="宋体" w:cs="宋体"/>
                <w:sz w:val="18"/>
                <w:szCs w:val="18"/>
              </w:rPr>
              <w:t>B（E）</w:t>
            </w:r>
          </w:p>
        </w:tc>
        <w:tc>
          <w:tcPr>
            <w:tcW w:w="675" w:type="dxa"/>
            <w:vAlign w:val="center"/>
          </w:tcPr>
          <w:p>
            <w:pPr>
              <w:jc w:val="center"/>
              <w:rPr>
                <w:rFonts w:ascii="Times New Roman" w:hAnsi="Times New Roman" w:eastAsia="宋体" w:cs="宋体"/>
                <w:sz w:val="18"/>
                <w:szCs w:val="18"/>
              </w:rPr>
            </w:pPr>
            <w:r>
              <w:rPr>
                <w:rFonts w:ascii="Times New Roman" w:hAnsi="Times New Roman" w:eastAsia="宋体" w:cs="宋体"/>
                <w:sz w:val="18"/>
                <w:szCs w:val="18"/>
              </w:rPr>
              <w:t>中</w:t>
            </w:r>
          </w:p>
        </w:tc>
        <w:tc>
          <w:tcPr>
            <w:tcW w:w="1399" w:type="dxa"/>
            <w:vAlign w:val="center"/>
          </w:tcPr>
          <w:p>
            <w:pPr>
              <w:jc w:val="center"/>
              <w:rPr>
                <w:rFonts w:ascii="Times New Roman" w:hAnsi="Times New Roman" w:eastAsia="宋体" w:cs="宋体"/>
                <w:sz w:val="18"/>
                <w:szCs w:val="18"/>
              </w:rPr>
            </w:pPr>
            <w:r>
              <w:rPr>
                <w:rFonts w:ascii="Times New Roman" w:hAnsi="Times New Roman" w:eastAsia="宋体" w:cs="宋体"/>
                <w:sz w:val="18"/>
                <w:szCs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7" w:type="dxa"/>
            <w:vAlign w:val="center"/>
          </w:tcPr>
          <w:p>
            <w:pPr>
              <w:jc w:val="center"/>
              <w:rPr>
                <w:rFonts w:hint="eastAsia" w:ascii="Times New Roman" w:hAnsi="Times New Roman" w:eastAsia="宋体" w:cs="宋体"/>
                <w:sz w:val="18"/>
                <w:szCs w:val="18"/>
                <w:lang w:val="en-US" w:eastAsia="zh-CN"/>
              </w:rPr>
            </w:pPr>
            <w:r>
              <w:rPr>
                <w:rFonts w:ascii="Times New Roman" w:hAnsi="Times New Roman" w:eastAsia="宋体" w:cs="宋体"/>
                <w:sz w:val="18"/>
                <w:szCs w:val="18"/>
              </w:rPr>
              <w:t>二次设备室</w:t>
            </w:r>
            <w:r>
              <w:rPr>
                <w:rFonts w:hint="eastAsia" w:cs="宋体"/>
                <w:sz w:val="18"/>
                <w:szCs w:val="18"/>
                <w:vertAlign w:val="superscript"/>
                <w:lang w:val="en-US" w:eastAsia="zh-CN"/>
              </w:rPr>
              <w:t>b</w:t>
            </w:r>
          </w:p>
        </w:tc>
        <w:tc>
          <w:tcPr>
            <w:tcW w:w="585" w:type="dxa"/>
            <w:vAlign w:val="center"/>
          </w:tcPr>
          <w:p>
            <w:pPr>
              <w:jc w:val="center"/>
              <w:rPr>
                <w:rFonts w:ascii="Times New Roman" w:hAnsi="Times New Roman" w:eastAsia="宋体" w:cs="宋体"/>
                <w:sz w:val="18"/>
                <w:szCs w:val="18"/>
              </w:rPr>
            </w:pPr>
            <w:r>
              <w:rPr>
                <w:rFonts w:ascii="Times New Roman" w:hAnsi="Times New Roman" w:eastAsia="宋体" w:cs="宋体"/>
                <w:sz w:val="18"/>
                <w:szCs w:val="18"/>
              </w:rPr>
              <w:t>4</w:t>
            </w:r>
          </w:p>
        </w:tc>
        <w:tc>
          <w:tcPr>
            <w:tcW w:w="705" w:type="dxa"/>
            <w:vAlign w:val="center"/>
          </w:tcPr>
          <w:p>
            <w:pPr>
              <w:jc w:val="center"/>
              <w:rPr>
                <w:rFonts w:hint="eastAsia" w:ascii="Times New Roman" w:hAnsi="Times New Roman" w:eastAsia="宋体" w:cs="宋体"/>
                <w:sz w:val="18"/>
                <w:szCs w:val="18"/>
                <w:lang w:val="en-US" w:eastAsia="zh-CN"/>
              </w:rPr>
            </w:pPr>
            <w:r>
              <w:rPr>
                <w:rFonts w:hint="eastAsia" w:cs="宋体"/>
                <w:sz w:val="18"/>
                <w:szCs w:val="18"/>
                <w:lang w:val="en-US" w:eastAsia="zh-CN"/>
              </w:rPr>
              <w:t>—</w:t>
            </w:r>
          </w:p>
        </w:tc>
        <w:tc>
          <w:tcPr>
            <w:tcW w:w="750" w:type="dxa"/>
            <w:vAlign w:val="center"/>
          </w:tcPr>
          <w:p>
            <w:pPr>
              <w:jc w:val="center"/>
              <w:rPr>
                <w:rFonts w:ascii="Times New Roman" w:hAnsi="Times New Roman" w:eastAsia="宋体" w:cs="宋体"/>
                <w:sz w:val="18"/>
                <w:szCs w:val="18"/>
              </w:rPr>
            </w:pPr>
            <w:r>
              <w:rPr>
                <w:rFonts w:hint="eastAsia" w:cs="宋体"/>
                <w:sz w:val="18"/>
                <w:szCs w:val="18"/>
                <w:lang w:val="en-US" w:eastAsia="zh-CN"/>
              </w:rPr>
              <w:t>—</w:t>
            </w:r>
          </w:p>
        </w:tc>
        <w:tc>
          <w:tcPr>
            <w:tcW w:w="772" w:type="dxa"/>
            <w:vAlign w:val="center"/>
          </w:tcPr>
          <w:p>
            <w:pPr>
              <w:jc w:val="center"/>
              <w:rPr>
                <w:rFonts w:ascii="Times New Roman" w:hAnsi="Times New Roman" w:eastAsia="宋体" w:cs="宋体"/>
                <w:sz w:val="18"/>
                <w:szCs w:val="18"/>
              </w:rPr>
            </w:pPr>
            <w:r>
              <w:rPr>
                <w:rFonts w:hint="eastAsia" w:cs="宋体"/>
                <w:sz w:val="18"/>
                <w:szCs w:val="18"/>
                <w:lang w:val="en-US" w:eastAsia="zh-CN"/>
              </w:rPr>
              <w:t>—</w:t>
            </w:r>
          </w:p>
        </w:tc>
        <w:tc>
          <w:tcPr>
            <w:tcW w:w="818" w:type="dxa"/>
            <w:vAlign w:val="center"/>
          </w:tcPr>
          <w:p>
            <w:pPr>
              <w:jc w:val="center"/>
              <w:rPr>
                <w:rFonts w:ascii="Times New Roman" w:hAnsi="Times New Roman" w:eastAsia="宋体" w:cs="宋体"/>
                <w:sz w:val="18"/>
                <w:szCs w:val="18"/>
              </w:rPr>
            </w:pPr>
            <w:r>
              <w:rPr>
                <w:rFonts w:hint="eastAsia" w:cs="宋体"/>
                <w:sz w:val="18"/>
                <w:szCs w:val="18"/>
                <w:lang w:val="en-US" w:eastAsia="zh-CN"/>
              </w:rPr>
              <w:t>—</w:t>
            </w:r>
          </w:p>
        </w:tc>
        <w:tc>
          <w:tcPr>
            <w:tcW w:w="750" w:type="dxa"/>
            <w:vAlign w:val="center"/>
          </w:tcPr>
          <w:p>
            <w:pPr>
              <w:jc w:val="center"/>
              <w:rPr>
                <w:rFonts w:ascii="Times New Roman" w:hAnsi="Times New Roman" w:eastAsia="宋体" w:cs="宋体"/>
                <w:sz w:val="18"/>
                <w:szCs w:val="18"/>
              </w:rPr>
            </w:pPr>
            <w:r>
              <w:rPr>
                <w:rFonts w:hint="eastAsia" w:cs="宋体"/>
                <w:sz w:val="18"/>
                <w:szCs w:val="18"/>
                <w:lang w:val="en-US" w:eastAsia="zh-CN"/>
              </w:rPr>
              <w:t>—</w:t>
            </w:r>
          </w:p>
        </w:tc>
        <w:tc>
          <w:tcPr>
            <w:tcW w:w="765" w:type="dxa"/>
            <w:vAlign w:val="center"/>
          </w:tcPr>
          <w:p>
            <w:pPr>
              <w:jc w:val="center"/>
              <w:rPr>
                <w:rFonts w:ascii="Times New Roman" w:hAnsi="Times New Roman" w:eastAsia="宋体" w:cs="宋体"/>
                <w:sz w:val="18"/>
                <w:szCs w:val="18"/>
              </w:rPr>
            </w:pPr>
            <w:r>
              <w:rPr>
                <w:rFonts w:ascii="Times New Roman" w:hAnsi="Times New Roman" w:eastAsia="宋体" w:cs="宋体"/>
                <w:sz w:val="18"/>
                <w:szCs w:val="18"/>
              </w:rPr>
              <w:t>E（A）</w:t>
            </w:r>
          </w:p>
        </w:tc>
        <w:tc>
          <w:tcPr>
            <w:tcW w:w="675" w:type="dxa"/>
            <w:vAlign w:val="center"/>
          </w:tcPr>
          <w:p>
            <w:pPr>
              <w:jc w:val="center"/>
              <w:rPr>
                <w:rFonts w:ascii="Times New Roman" w:hAnsi="Times New Roman" w:eastAsia="宋体" w:cs="宋体"/>
                <w:sz w:val="18"/>
                <w:szCs w:val="18"/>
              </w:rPr>
            </w:pPr>
            <w:r>
              <w:rPr>
                <w:rFonts w:ascii="Times New Roman" w:hAnsi="Times New Roman" w:eastAsia="宋体" w:cs="宋体"/>
                <w:sz w:val="18"/>
                <w:szCs w:val="18"/>
              </w:rPr>
              <w:t>中</w:t>
            </w:r>
          </w:p>
        </w:tc>
        <w:tc>
          <w:tcPr>
            <w:tcW w:w="1399" w:type="dxa"/>
            <w:vAlign w:val="center"/>
          </w:tcPr>
          <w:p>
            <w:pPr>
              <w:jc w:val="center"/>
              <w:rPr>
                <w:rFonts w:ascii="Times New Roman" w:hAnsi="Times New Roman" w:eastAsia="宋体" w:cs="宋体"/>
                <w:sz w:val="18"/>
                <w:szCs w:val="18"/>
              </w:rPr>
            </w:pPr>
            <w:r>
              <w:rPr>
                <w:rFonts w:ascii="Times New Roman" w:hAnsi="Times New Roman" w:eastAsia="宋体" w:cs="宋体"/>
                <w:sz w:val="18"/>
                <w:szCs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7" w:type="dxa"/>
            <w:vAlign w:val="center"/>
          </w:tcPr>
          <w:p>
            <w:pPr>
              <w:jc w:val="center"/>
              <w:rPr>
                <w:rFonts w:ascii="Times New Roman" w:hAnsi="Times New Roman" w:eastAsia="宋体" w:cs="宋体"/>
                <w:sz w:val="18"/>
                <w:szCs w:val="18"/>
              </w:rPr>
            </w:pPr>
            <w:r>
              <w:rPr>
                <w:rFonts w:hint="eastAsia" w:ascii="Times New Roman" w:hAnsi="Times New Roman" w:eastAsia="宋体" w:cs="宋体"/>
                <w:sz w:val="18"/>
                <w:szCs w:val="18"/>
              </w:rPr>
              <w:t>消防设备室</w:t>
            </w:r>
          </w:p>
        </w:tc>
        <w:tc>
          <w:tcPr>
            <w:tcW w:w="585" w:type="dxa"/>
            <w:vAlign w:val="center"/>
          </w:tcPr>
          <w:p>
            <w:pPr>
              <w:jc w:val="center"/>
              <w:rPr>
                <w:rFonts w:ascii="Times New Roman" w:hAnsi="Times New Roman" w:eastAsia="宋体" w:cs="宋体"/>
                <w:sz w:val="18"/>
                <w:szCs w:val="18"/>
              </w:rPr>
            </w:pPr>
            <w:r>
              <w:rPr>
                <w:rFonts w:hint="eastAsia" w:ascii="Times New Roman" w:hAnsi="Times New Roman" w:eastAsia="宋体" w:cs="宋体"/>
                <w:sz w:val="18"/>
                <w:szCs w:val="18"/>
              </w:rPr>
              <w:t>2</w:t>
            </w:r>
          </w:p>
        </w:tc>
        <w:tc>
          <w:tcPr>
            <w:tcW w:w="705" w:type="dxa"/>
            <w:vAlign w:val="center"/>
          </w:tcPr>
          <w:p>
            <w:pPr>
              <w:jc w:val="center"/>
              <w:rPr>
                <w:rFonts w:hint="eastAsia" w:ascii="Times New Roman" w:hAnsi="Times New Roman" w:eastAsia="宋体" w:cs="宋体"/>
                <w:sz w:val="18"/>
                <w:szCs w:val="18"/>
                <w:lang w:val="en-US" w:eastAsia="zh-CN"/>
              </w:rPr>
            </w:pPr>
            <w:r>
              <w:rPr>
                <w:rFonts w:hint="eastAsia" w:cs="宋体"/>
                <w:sz w:val="18"/>
                <w:szCs w:val="18"/>
                <w:lang w:val="en-US" w:eastAsia="zh-CN"/>
              </w:rPr>
              <w:t>—</w:t>
            </w:r>
          </w:p>
        </w:tc>
        <w:tc>
          <w:tcPr>
            <w:tcW w:w="750" w:type="dxa"/>
            <w:vAlign w:val="center"/>
          </w:tcPr>
          <w:p>
            <w:pPr>
              <w:jc w:val="center"/>
              <w:rPr>
                <w:rFonts w:ascii="Times New Roman" w:hAnsi="Times New Roman" w:eastAsia="宋体" w:cs="宋体"/>
                <w:sz w:val="18"/>
                <w:szCs w:val="18"/>
              </w:rPr>
            </w:pPr>
            <w:r>
              <w:rPr>
                <w:rFonts w:hint="eastAsia" w:cs="宋体"/>
                <w:sz w:val="18"/>
                <w:szCs w:val="18"/>
                <w:lang w:val="en-US" w:eastAsia="zh-CN"/>
              </w:rPr>
              <w:t>—</w:t>
            </w:r>
          </w:p>
        </w:tc>
        <w:tc>
          <w:tcPr>
            <w:tcW w:w="772" w:type="dxa"/>
            <w:vAlign w:val="center"/>
          </w:tcPr>
          <w:p>
            <w:pPr>
              <w:jc w:val="center"/>
              <w:rPr>
                <w:rFonts w:ascii="Times New Roman" w:hAnsi="Times New Roman" w:eastAsia="宋体" w:cs="宋体"/>
                <w:sz w:val="18"/>
                <w:szCs w:val="18"/>
              </w:rPr>
            </w:pPr>
            <w:r>
              <w:rPr>
                <w:rFonts w:hint="eastAsia" w:cs="宋体"/>
                <w:sz w:val="18"/>
                <w:szCs w:val="18"/>
                <w:lang w:val="en-US" w:eastAsia="zh-CN"/>
              </w:rPr>
              <w:t>—</w:t>
            </w:r>
          </w:p>
        </w:tc>
        <w:tc>
          <w:tcPr>
            <w:tcW w:w="818" w:type="dxa"/>
            <w:vAlign w:val="center"/>
          </w:tcPr>
          <w:p>
            <w:pPr>
              <w:jc w:val="center"/>
              <w:rPr>
                <w:rFonts w:ascii="Times New Roman" w:hAnsi="Times New Roman" w:eastAsia="宋体" w:cs="宋体"/>
                <w:sz w:val="18"/>
                <w:szCs w:val="18"/>
              </w:rPr>
            </w:pPr>
            <w:r>
              <w:rPr>
                <w:rFonts w:hint="eastAsia" w:cs="宋体"/>
                <w:sz w:val="18"/>
                <w:szCs w:val="18"/>
                <w:lang w:val="en-US" w:eastAsia="zh-CN"/>
              </w:rPr>
              <w:t>—</w:t>
            </w:r>
          </w:p>
        </w:tc>
        <w:tc>
          <w:tcPr>
            <w:tcW w:w="750" w:type="dxa"/>
            <w:vAlign w:val="center"/>
          </w:tcPr>
          <w:p>
            <w:pPr>
              <w:jc w:val="center"/>
              <w:rPr>
                <w:rFonts w:ascii="Times New Roman" w:hAnsi="Times New Roman" w:eastAsia="宋体" w:cs="宋体"/>
                <w:sz w:val="18"/>
                <w:szCs w:val="18"/>
              </w:rPr>
            </w:pPr>
            <w:r>
              <w:rPr>
                <w:rFonts w:hint="eastAsia" w:cs="宋体"/>
                <w:sz w:val="18"/>
                <w:szCs w:val="18"/>
                <w:lang w:val="en-US" w:eastAsia="zh-CN"/>
              </w:rPr>
              <w:t>—</w:t>
            </w:r>
          </w:p>
        </w:tc>
        <w:tc>
          <w:tcPr>
            <w:tcW w:w="765" w:type="dxa"/>
            <w:vAlign w:val="center"/>
          </w:tcPr>
          <w:p>
            <w:pPr>
              <w:jc w:val="center"/>
              <w:rPr>
                <w:rFonts w:ascii="Times New Roman" w:hAnsi="Times New Roman" w:eastAsia="宋体" w:cs="宋体"/>
                <w:sz w:val="18"/>
                <w:szCs w:val="18"/>
              </w:rPr>
            </w:pPr>
            <w:r>
              <w:rPr>
                <w:rFonts w:ascii="Times New Roman" w:hAnsi="Times New Roman" w:eastAsia="宋体" w:cs="宋体"/>
                <w:sz w:val="18"/>
                <w:szCs w:val="18"/>
              </w:rPr>
              <w:t>E（A）</w:t>
            </w:r>
          </w:p>
        </w:tc>
        <w:tc>
          <w:tcPr>
            <w:tcW w:w="675" w:type="dxa"/>
            <w:vAlign w:val="center"/>
          </w:tcPr>
          <w:p>
            <w:pPr>
              <w:jc w:val="center"/>
              <w:rPr>
                <w:rFonts w:ascii="Times New Roman" w:hAnsi="Times New Roman" w:eastAsia="宋体" w:cs="宋体"/>
                <w:sz w:val="18"/>
                <w:szCs w:val="18"/>
              </w:rPr>
            </w:pPr>
            <w:r>
              <w:rPr>
                <w:rFonts w:ascii="Times New Roman" w:hAnsi="Times New Roman" w:eastAsia="宋体" w:cs="宋体"/>
                <w:sz w:val="18"/>
                <w:szCs w:val="18"/>
              </w:rPr>
              <w:t>中</w:t>
            </w:r>
          </w:p>
        </w:tc>
        <w:tc>
          <w:tcPr>
            <w:tcW w:w="1399" w:type="dxa"/>
            <w:vAlign w:val="center"/>
          </w:tcPr>
          <w:p>
            <w:pPr>
              <w:jc w:val="center"/>
              <w:rPr>
                <w:rFonts w:ascii="Times New Roman" w:hAnsi="Times New Roman" w:eastAsia="宋体" w:cs="宋体"/>
                <w:sz w:val="18"/>
                <w:szCs w:val="18"/>
              </w:rPr>
            </w:pPr>
            <w:r>
              <w:rPr>
                <w:rFonts w:hint="eastAsia" w:ascii="Times New Roman" w:hAnsi="Times New Roman" w:eastAsia="宋体" w:cs="宋体"/>
                <w:sz w:val="18"/>
                <w:szCs w:val="18"/>
              </w:rPr>
              <w:t>5</w:t>
            </w:r>
            <w:r>
              <w:rPr>
                <w:rFonts w:ascii="Times New Roman" w:hAnsi="Times New Roman" w:eastAsia="宋体" w:cs="宋体"/>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7" w:type="dxa"/>
            <w:vAlign w:val="center"/>
          </w:tcPr>
          <w:p>
            <w:pPr>
              <w:jc w:val="center"/>
              <w:rPr>
                <w:rFonts w:ascii="Times New Roman" w:hAnsi="Times New Roman" w:eastAsia="宋体" w:cs="宋体"/>
                <w:sz w:val="18"/>
                <w:szCs w:val="18"/>
              </w:rPr>
            </w:pPr>
            <w:r>
              <w:rPr>
                <w:rFonts w:ascii="Times New Roman" w:hAnsi="Times New Roman" w:eastAsia="宋体" w:cs="宋体"/>
                <w:sz w:val="18"/>
                <w:szCs w:val="18"/>
              </w:rPr>
              <w:t>消防泵房</w:t>
            </w:r>
          </w:p>
        </w:tc>
        <w:tc>
          <w:tcPr>
            <w:tcW w:w="585" w:type="dxa"/>
            <w:vAlign w:val="center"/>
          </w:tcPr>
          <w:p>
            <w:pPr>
              <w:jc w:val="center"/>
              <w:rPr>
                <w:rFonts w:ascii="Times New Roman" w:hAnsi="Times New Roman" w:eastAsia="宋体" w:cs="宋体"/>
                <w:sz w:val="18"/>
                <w:szCs w:val="18"/>
              </w:rPr>
            </w:pPr>
            <w:r>
              <w:rPr>
                <w:rFonts w:ascii="Times New Roman" w:hAnsi="Times New Roman" w:eastAsia="宋体" w:cs="宋体"/>
                <w:sz w:val="18"/>
                <w:szCs w:val="18"/>
              </w:rPr>
              <w:t>2</w:t>
            </w:r>
          </w:p>
        </w:tc>
        <w:tc>
          <w:tcPr>
            <w:tcW w:w="705" w:type="dxa"/>
            <w:vAlign w:val="center"/>
          </w:tcPr>
          <w:p>
            <w:pPr>
              <w:jc w:val="center"/>
              <w:rPr>
                <w:rFonts w:ascii="Times New Roman" w:hAnsi="Times New Roman" w:eastAsia="宋体" w:cs="宋体"/>
                <w:sz w:val="18"/>
                <w:szCs w:val="18"/>
              </w:rPr>
            </w:pPr>
            <w:r>
              <w:rPr>
                <w:rFonts w:hint="eastAsia" w:cs="宋体"/>
                <w:sz w:val="18"/>
                <w:szCs w:val="18"/>
                <w:lang w:val="en-US" w:eastAsia="zh-CN"/>
              </w:rPr>
              <w:t>—</w:t>
            </w:r>
          </w:p>
        </w:tc>
        <w:tc>
          <w:tcPr>
            <w:tcW w:w="750" w:type="dxa"/>
            <w:vAlign w:val="center"/>
          </w:tcPr>
          <w:p>
            <w:pPr>
              <w:jc w:val="center"/>
              <w:rPr>
                <w:rFonts w:ascii="Times New Roman" w:hAnsi="Times New Roman" w:eastAsia="宋体" w:cs="宋体"/>
                <w:sz w:val="18"/>
                <w:szCs w:val="18"/>
              </w:rPr>
            </w:pPr>
            <w:r>
              <w:rPr>
                <w:rFonts w:hint="eastAsia" w:cs="宋体"/>
                <w:sz w:val="18"/>
                <w:szCs w:val="18"/>
                <w:lang w:val="en-US" w:eastAsia="zh-CN"/>
              </w:rPr>
              <w:t>—</w:t>
            </w:r>
          </w:p>
        </w:tc>
        <w:tc>
          <w:tcPr>
            <w:tcW w:w="772" w:type="dxa"/>
            <w:vAlign w:val="center"/>
          </w:tcPr>
          <w:p>
            <w:pPr>
              <w:jc w:val="center"/>
              <w:rPr>
                <w:rFonts w:ascii="Times New Roman" w:hAnsi="Times New Roman" w:eastAsia="宋体" w:cs="宋体"/>
                <w:sz w:val="18"/>
                <w:szCs w:val="18"/>
              </w:rPr>
            </w:pPr>
            <w:r>
              <w:rPr>
                <w:rFonts w:hint="eastAsia" w:cs="宋体"/>
                <w:sz w:val="18"/>
                <w:szCs w:val="18"/>
                <w:lang w:val="en-US" w:eastAsia="zh-CN"/>
              </w:rPr>
              <w:t>—</w:t>
            </w:r>
          </w:p>
        </w:tc>
        <w:tc>
          <w:tcPr>
            <w:tcW w:w="818" w:type="dxa"/>
            <w:vAlign w:val="center"/>
          </w:tcPr>
          <w:p>
            <w:pPr>
              <w:jc w:val="center"/>
              <w:rPr>
                <w:rFonts w:ascii="Times New Roman" w:hAnsi="Times New Roman" w:eastAsia="宋体" w:cs="宋体"/>
                <w:sz w:val="18"/>
                <w:szCs w:val="18"/>
              </w:rPr>
            </w:pPr>
            <w:r>
              <w:rPr>
                <w:rFonts w:hint="eastAsia" w:cs="宋体"/>
                <w:sz w:val="18"/>
                <w:szCs w:val="18"/>
                <w:lang w:val="en-US" w:eastAsia="zh-CN"/>
              </w:rPr>
              <w:t>—</w:t>
            </w:r>
          </w:p>
        </w:tc>
        <w:tc>
          <w:tcPr>
            <w:tcW w:w="750" w:type="dxa"/>
            <w:vAlign w:val="center"/>
          </w:tcPr>
          <w:p>
            <w:pPr>
              <w:jc w:val="center"/>
              <w:rPr>
                <w:rFonts w:ascii="Times New Roman" w:hAnsi="Times New Roman" w:eastAsia="宋体" w:cs="宋体"/>
                <w:sz w:val="18"/>
                <w:szCs w:val="18"/>
              </w:rPr>
            </w:pPr>
            <w:r>
              <w:rPr>
                <w:rFonts w:hint="eastAsia" w:cs="宋体"/>
                <w:sz w:val="18"/>
                <w:szCs w:val="18"/>
                <w:lang w:val="en-US" w:eastAsia="zh-CN"/>
              </w:rPr>
              <w:t>—</w:t>
            </w:r>
          </w:p>
        </w:tc>
        <w:tc>
          <w:tcPr>
            <w:tcW w:w="765" w:type="dxa"/>
            <w:vAlign w:val="center"/>
          </w:tcPr>
          <w:p>
            <w:pPr>
              <w:jc w:val="center"/>
              <w:rPr>
                <w:rFonts w:ascii="Times New Roman" w:hAnsi="Times New Roman" w:eastAsia="宋体" w:cs="宋体"/>
                <w:sz w:val="18"/>
                <w:szCs w:val="18"/>
              </w:rPr>
            </w:pPr>
            <w:r>
              <w:rPr>
                <w:rFonts w:ascii="Times New Roman" w:hAnsi="Times New Roman" w:eastAsia="宋体" w:cs="宋体"/>
                <w:sz w:val="18"/>
                <w:szCs w:val="18"/>
              </w:rPr>
              <w:t>E（A）</w:t>
            </w:r>
          </w:p>
        </w:tc>
        <w:tc>
          <w:tcPr>
            <w:tcW w:w="675" w:type="dxa"/>
            <w:vAlign w:val="center"/>
          </w:tcPr>
          <w:p>
            <w:pPr>
              <w:jc w:val="center"/>
              <w:rPr>
                <w:rFonts w:ascii="Times New Roman" w:hAnsi="Times New Roman" w:eastAsia="宋体" w:cs="宋体"/>
                <w:sz w:val="18"/>
                <w:szCs w:val="18"/>
              </w:rPr>
            </w:pPr>
            <w:r>
              <w:rPr>
                <w:rFonts w:ascii="Times New Roman" w:hAnsi="Times New Roman" w:eastAsia="宋体" w:cs="宋体"/>
                <w:sz w:val="18"/>
                <w:szCs w:val="18"/>
              </w:rPr>
              <w:t>轻</w:t>
            </w:r>
          </w:p>
        </w:tc>
        <w:tc>
          <w:tcPr>
            <w:tcW w:w="1399" w:type="dxa"/>
            <w:vAlign w:val="center"/>
          </w:tcPr>
          <w:p>
            <w:pPr>
              <w:jc w:val="center"/>
              <w:rPr>
                <w:rFonts w:ascii="Times New Roman" w:hAnsi="Times New Roman" w:eastAsia="宋体" w:cs="宋体"/>
                <w:sz w:val="18"/>
                <w:szCs w:val="18"/>
              </w:rPr>
            </w:pPr>
            <w:r>
              <w:rPr>
                <w:rFonts w:ascii="Times New Roman" w:hAnsi="Times New Roman" w:eastAsia="宋体" w:cs="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7" w:type="dxa"/>
            <w:vAlign w:val="center"/>
          </w:tcPr>
          <w:p>
            <w:pPr>
              <w:jc w:val="center"/>
              <w:rPr>
                <w:rFonts w:ascii="Times New Roman" w:hAnsi="Times New Roman" w:eastAsia="宋体" w:cs="宋体"/>
                <w:sz w:val="18"/>
                <w:szCs w:val="18"/>
              </w:rPr>
            </w:pPr>
            <w:r>
              <w:rPr>
                <w:rFonts w:ascii="Times New Roman" w:hAnsi="Times New Roman" w:eastAsia="宋体" w:cs="宋体"/>
                <w:sz w:val="18"/>
                <w:szCs w:val="18"/>
              </w:rPr>
              <w:t>站内公用设施</w:t>
            </w:r>
          </w:p>
        </w:tc>
        <w:tc>
          <w:tcPr>
            <w:tcW w:w="585" w:type="dxa"/>
            <w:vAlign w:val="center"/>
          </w:tcPr>
          <w:p>
            <w:pPr>
              <w:jc w:val="center"/>
              <w:rPr>
                <w:rFonts w:hint="eastAsia" w:ascii="Times New Roman" w:hAnsi="Times New Roman" w:eastAsia="宋体" w:cs="宋体"/>
                <w:sz w:val="18"/>
                <w:szCs w:val="18"/>
                <w:lang w:val="en-US" w:eastAsia="zh-CN"/>
              </w:rPr>
            </w:pPr>
            <w:r>
              <w:rPr>
                <w:rFonts w:hint="eastAsia" w:cs="宋体"/>
                <w:sz w:val="18"/>
                <w:szCs w:val="18"/>
                <w:lang w:val="en-US" w:eastAsia="zh-CN"/>
              </w:rPr>
              <w:t>4</w:t>
            </w:r>
          </w:p>
        </w:tc>
        <w:tc>
          <w:tcPr>
            <w:tcW w:w="705" w:type="dxa"/>
            <w:vAlign w:val="center"/>
          </w:tcPr>
          <w:p>
            <w:pPr>
              <w:jc w:val="center"/>
              <w:rPr>
                <w:rFonts w:ascii="Times New Roman" w:hAnsi="Times New Roman" w:eastAsia="宋体" w:cs="宋体"/>
                <w:sz w:val="18"/>
                <w:szCs w:val="18"/>
              </w:rPr>
            </w:pPr>
            <w:r>
              <w:rPr>
                <w:rFonts w:ascii="Times New Roman" w:hAnsi="Times New Roman" w:eastAsia="宋体" w:cs="宋体"/>
                <w:sz w:val="18"/>
                <w:szCs w:val="18"/>
              </w:rPr>
              <w:t>4</w:t>
            </w:r>
          </w:p>
        </w:tc>
        <w:tc>
          <w:tcPr>
            <w:tcW w:w="750" w:type="dxa"/>
            <w:vAlign w:val="center"/>
          </w:tcPr>
          <w:p>
            <w:pPr>
              <w:jc w:val="center"/>
              <w:rPr>
                <w:rFonts w:hint="eastAsia" w:ascii="Times New Roman" w:hAnsi="Times New Roman" w:eastAsia="宋体" w:cs="宋体"/>
                <w:sz w:val="18"/>
                <w:szCs w:val="18"/>
              </w:rPr>
            </w:pPr>
            <w:r>
              <w:rPr>
                <w:rFonts w:hint="eastAsia" w:cs="宋体"/>
                <w:sz w:val="18"/>
                <w:szCs w:val="18"/>
                <w:lang w:eastAsia="zh-CN"/>
              </w:rPr>
              <w:t>4</w:t>
            </w:r>
          </w:p>
        </w:tc>
        <w:tc>
          <w:tcPr>
            <w:tcW w:w="772" w:type="dxa"/>
            <w:vAlign w:val="center"/>
          </w:tcPr>
          <w:p>
            <w:pPr>
              <w:jc w:val="center"/>
              <w:rPr>
                <w:rFonts w:hint="eastAsia" w:ascii="Times New Roman" w:hAnsi="Times New Roman" w:eastAsia="宋体" w:cs="宋体"/>
                <w:sz w:val="18"/>
                <w:szCs w:val="18"/>
                <w:lang w:eastAsia="zh-CN"/>
              </w:rPr>
            </w:pPr>
            <w:r>
              <w:rPr>
                <w:rFonts w:hint="default" w:ascii="Times New Roman" w:hAnsi="Times New Roman" w:eastAsia="宋体" w:cs="宋体"/>
                <w:sz w:val="18"/>
                <w:szCs w:val="18"/>
                <w:lang w:val="en-US"/>
              </w:rPr>
              <w:t>4</w:t>
            </w:r>
          </w:p>
        </w:tc>
        <w:tc>
          <w:tcPr>
            <w:tcW w:w="818" w:type="dxa"/>
            <w:vAlign w:val="center"/>
          </w:tcPr>
          <w:p>
            <w:pPr>
              <w:jc w:val="center"/>
              <w:rPr>
                <w:rFonts w:hint="eastAsia" w:ascii="Times New Roman" w:hAnsi="Times New Roman" w:eastAsia="宋体" w:cs="宋体"/>
                <w:sz w:val="18"/>
                <w:szCs w:val="18"/>
                <w:lang w:val="en-US" w:eastAsia="zh-CN"/>
              </w:rPr>
            </w:pPr>
            <w:r>
              <w:rPr>
                <w:rFonts w:hint="eastAsia" w:cs="宋体"/>
                <w:sz w:val="18"/>
                <w:szCs w:val="18"/>
                <w:lang w:val="en-US" w:eastAsia="zh-CN"/>
              </w:rPr>
              <w:t>4</w:t>
            </w:r>
          </w:p>
        </w:tc>
        <w:tc>
          <w:tcPr>
            <w:tcW w:w="750" w:type="dxa"/>
            <w:vAlign w:val="center"/>
          </w:tcPr>
          <w:p>
            <w:pPr>
              <w:jc w:val="center"/>
              <w:rPr>
                <w:rFonts w:hint="eastAsia" w:ascii="Times New Roman" w:hAnsi="Times New Roman" w:eastAsia="宋体" w:cs="宋体"/>
                <w:sz w:val="18"/>
                <w:szCs w:val="18"/>
                <w:lang w:eastAsia="zh-CN"/>
              </w:rPr>
            </w:pPr>
            <w:r>
              <w:rPr>
                <w:rFonts w:hint="eastAsia" w:cs="宋体"/>
                <w:sz w:val="18"/>
                <w:szCs w:val="18"/>
                <w:lang w:val="en-US" w:eastAsia="zh-CN"/>
              </w:rPr>
              <w:t>6</w:t>
            </w:r>
          </w:p>
        </w:tc>
        <w:tc>
          <w:tcPr>
            <w:tcW w:w="765" w:type="dxa"/>
            <w:vAlign w:val="center"/>
          </w:tcPr>
          <w:p>
            <w:pPr>
              <w:jc w:val="center"/>
              <w:rPr>
                <w:rFonts w:ascii="Times New Roman" w:hAnsi="Times New Roman" w:eastAsia="宋体" w:cs="宋体"/>
                <w:sz w:val="18"/>
                <w:szCs w:val="18"/>
              </w:rPr>
            </w:pPr>
            <w:r>
              <w:rPr>
                <w:rFonts w:ascii="Times New Roman" w:hAnsi="Times New Roman" w:eastAsia="宋体" w:cs="宋体"/>
                <w:sz w:val="18"/>
                <w:szCs w:val="18"/>
              </w:rPr>
              <w:t>混合</w:t>
            </w:r>
          </w:p>
        </w:tc>
        <w:tc>
          <w:tcPr>
            <w:tcW w:w="675" w:type="dxa"/>
            <w:vAlign w:val="center"/>
          </w:tcPr>
          <w:p>
            <w:pPr>
              <w:jc w:val="center"/>
              <w:rPr>
                <w:rFonts w:hint="eastAsia" w:ascii="Times New Roman" w:hAnsi="Times New Roman" w:eastAsia="宋体" w:cs="宋体"/>
                <w:kern w:val="2"/>
                <w:sz w:val="18"/>
                <w:szCs w:val="18"/>
                <w:lang w:val="en-US" w:eastAsia="zh-CN" w:bidi="ar-SA"/>
              </w:rPr>
            </w:pPr>
            <w:r>
              <w:rPr>
                <w:rFonts w:hint="eastAsia" w:cs="宋体"/>
                <w:sz w:val="18"/>
                <w:szCs w:val="18"/>
                <w:lang w:val="en-US" w:eastAsia="zh-CN"/>
              </w:rPr>
              <w:t>—</w:t>
            </w:r>
          </w:p>
        </w:tc>
        <w:tc>
          <w:tcPr>
            <w:tcW w:w="1399" w:type="dxa"/>
            <w:vAlign w:val="center"/>
          </w:tcPr>
          <w:p>
            <w:pPr>
              <w:jc w:val="center"/>
              <w:rPr>
                <w:rFonts w:hint="eastAsia" w:ascii="Times New Roman" w:hAnsi="Times New Roman" w:eastAsia="宋体" w:cs="宋体"/>
                <w:kern w:val="2"/>
                <w:sz w:val="18"/>
                <w:szCs w:val="18"/>
                <w:lang w:val="en-US" w:eastAsia="zh-CN" w:bidi="ar-SA"/>
              </w:rPr>
            </w:pPr>
            <w:r>
              <w:rPr>
                <w:rFonts w:hint="eastAsia" w:cs="宋体"/>
                <w:sz w:val="18"/>
                <w:szCs w:val="18"/>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76" w:type="dxa"/>
            <w:gridSpan w:val="10"/>
            <w:vAlign w:val="center"/>
          </w:tcPr>
          <w:p>
            <w:pPr>
              <w:ind w:firstLine="0"/>
              <w:jc w:val="left"/>
              <w:rPr>
                <w:rFonts w:hint="eastAsia" w:ascii="宋体" w:hAnsi="宋体" w:eastAsia="宋体" w:cs="宋体"/>
                <w:sz w:val="18"/>
                <w:szCs w:val="18"/>
                <w:highlight w:val="none"/>
                <w:vertAlign w:val="baseline"/>
                <w:lang w:val="en-US" w:eastAsia="zh-CN"/>
              </w:rPr>
            </w:pPr>
            <w:r>
              <w:rPr>
                <w:rFonts w:hint="default" w:ascii="Times New Roman" w:hAnsi="Times New Roman" w:eastAsia="黑体" w:cs="Times New Roman"/>
                <w:sz w:val="18"/>
                <w:szCs w:val="18"/>
                <w:highlight w:val="none"/>
                <w:vertAlign w:val="superscript"/>
                <w:lang w:val="en-US" w:eastAsia="zh-CN"/>
              </w:rPr>
              <w:t>a</w:t>
            </w:r>
            <w:r>
              <w:rPr>
                <w:rFonts w:hint="eastAsia" w:ascii="黑体" w:hAnsi="黑体" w:eastAsia="黑体" w:cs="黑体"/>
                <w:sz w:val="18"/>
                <w:szCs w:val="18"/>
                <w:highlight w:val="none"/>
                <w:vertAlign w:val="superscript"/>
                <w:lang w:val="en-US" w:eastAsia="zh-CN"/>
              </w:rPr>
              <w:t xml:space="preserve">  </w:t>
            </w:r>
            <w:r>
              <w:rPr>
                <w:rFonts w:hint="eastAsia" w:ascii="宋体" w:hAnsi="宋体" w:eastAsia="宋体" w:cs="宋体"/>
                <w:sz w:val="18"/>
                <w:szCs w:val="18"/>
                <w:highlight w:val="none"/>
                <w:vertAlign w:val="baseline"/>
                <w:lang w:val="en-US" w:eastAsia="zh-CN"/>
              </w:rPr>
              <w:t>如果配电装置室较长，则可按3个间隔配置一具灭火器计算，或根据GB 50140计算但灭火器总数不小于4具。</w:t>
            </w:r>
          </w:p>
          <w:p>
            <w:pPr>
              <w:jc w:val="left"/>
              <w:rPr>
                <w:rFonts w:hint="eastAsia" w:cs="宋体"/>
                <w:sz w:val="18"/>
                <w:szCs w:val="18"/>
                <w:lang w:val="en-US" w:eastAsia="zh-CN"/>
              </w:rPr>
            </w:pPr>
            <w:r>
              <w:rPr>
                <w:rFonts w:hint="default" w:ascii="Times New Roman" w:hAnsi="Times New Roman" w:eastAsia="黑体" w:cs="Times New Roman"/>
                <w:sz w:val="18"/>
                <w:szCs w:val="18"/>
                <w:highlight w:val="none"/>
                <w:vertAlign w:val="superscript"/>
                <w:lang w:eastAsia="zh-CN"/>
              </w:rPr>
              <w:t>b</w:t>
            </w:r>
            <w:r>
              <w:rPr>
                <w:rFonts w:hint="eastAsia" w:ascii="黑体" w:hAnsi="黑体" w:eastAsia="黑体" w:cs="黑体"/>
                <w:sz w:val="18"/>
                <w:szCs w:val="18"/>
                <w:highlight w:val="none"/>
                <w:vertAlign w:val="superscript"/>
                <w:lang w:val="en-US" w:eastAsia="zh-CN"/>
              </w:rPr>
              <w:t xml:space="preserve"> </w:t>
            </w:r>
            <w:r>
              <w:rPr>
                <w:rFonts w:hint="eastAsia" w:ascii="宋体" w:hAnsi="宋体" w:eastAsia="宋体" w:cs="宋体"/>
                <w:sz w:val="18"/>
                <w:szCs w:val="18"/>
                <w:highlight w:val="none"/>
                <w:vertAlign w:val="baseline"/>
                <w:lang w:val="en-US" w:eastAsia="zh-CN"/>
              </w:rPr>
              <w:t xml:space="preserve"> 如果二次设备室室屏柜较多、面积较大，则根据GB 50140计算但灭火器总数不小于4具，或超过100平方米后每80平方米增配1具。</w:t>
            </w:r>
          </w:p>
        </w:tc>
      </w:tr>
    </w:tbl>
    <w:p>
      <w:pPr>
        <w:pStyle w:val="258"/>
        <w:bidi w:val="0"/>
        <w:ind w:firstLine="0" w:firstLineChars="0"/>
        <w:rPr>
          <w:rFonts w:hint="eastAsia"/>
          <w:lang w:eastAsia="zh-CN"/>
        </w:rPr>
      </w:pPr>
    </w:p>
    <w:p>
      <w:pPr>
        <w:pStyle w:val="258"/>
        <w:bidi w:val="0"/>
        <w:ind w:firstLine="0" w:firstLineChars="0"/>
        <w:jc w:val="center"/>
        <w:rPr>
          <w:rFonts w:hint="eastAsia" w:ascii="宋体" w:hAnsi="宋体" w:eastAsia="宋体" w:cs="宋体"/>
          <w:b w:val="0"/>
          <w:sz w:val="21"/>
          <w:lang w:eastAsia="zh-CN"/>
        </w:rPr>
      </w:pPr>
      <w:bookmarkStart w:id="440" w:name="终结线"/>
      <w:bookmarkEnd w:id="440"/>
      <w:r>
        <w:rPr>
          <w:rFonts w:hint="eastAsia" w:ascii="黑体" w:hAnsi="黑体" w:eastAsia="黑体" w:cs="黑体"/>
          <w:b/>
          <w:sz w:val="21"/>
          <w:lang w:eastAsia="zh-CN"/>
        </w:rPr>
        <w:t>━━━━━━━━━━━</w:t>
      </w:r>
    </w:p>
    <w:p/>
    <w:p/>
    <w:p/>
    <w:sectPr>
      <w:pgSz w:w="11907" w:h="16839"/>
      <w:pgMar w:top="1418" w:right="1134" w:bottom="1134" w:left="1418" w:header="1418" w:footer="1134" w:gutter="0"/>
      <w:pgBorders>
        <w:top w:val="none" w:sz="0" w:space="0"/>
        <w:left w:val="none" w:sz="0" w:space="0"/>
        <w:bottom w:val="none" w:sz="0" w:space="0"/>
        <w:right w:val="none" w:sz="0" w:space="0"/>
      </w:pgBorders>
      <w:lnNumType w:countBy="0" w:restart="continuous"/>
      <w:pgNumType w:fmt="decimal"/>
      <w:cols w:space="425"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Britannic Bold">
    <w:altName w:val="Yu Gothic UI Semibold"/>
    <w:panose1 w:val="020B0903060703020204"/>
    <w:charset w:val="00"/>
    <w:family w:val="swiss"/>
    <w:pitch w:val="default"/>
    <w:sig w:usb0="00000000" w:usb1="00000000" w:usb2="00000000" w:usb3="00000000" w:csb0="20000001" w:csb1="00000000"/>
  </w:font>
  <w:font w:name="华文细黑">
    <w:altName w:val="微软雅黑"/>
    <w:panose1 w:val="02010600040101010101"/>
    <w:charset w:val="86"/>
    <w:family w:val="auto"/>
    <w:pitch w:val="default"/>
    <w:sig w:usb0="00000000" w:usb1="00000000" w:usb2="00000000" w:usb3="00000000" w:csb0="0004009F" w:csb1="DFD70000"/>
  </w:font>
  <w:font w:name="Arial Black">
    <w:panose1 w:val="020B0A04020102020204"/>
    <w:charset w:val="00"/>
    <w:family w:val="swiss"/>
    <w:pitch w:val="default"/>
    <w:sig w:usb0="A00002AF" w:usb1="400078FB" w:usb2="00000000" w:usb3="00000000" w:csb0="6000009F" w:csb1="DFD70000"/>
  </w:font>
  <w:font w:name="Arial Unicode MS">
    <w:altName w:val="宋体"/>
    <w:panose1 w:val="020B0604020202020204"/>
    <w:charset w:val="86"/>
    <w:family w:val="swiss"/>
    <w:pitch w:val="default"/>
    <w:sig w:usb0="00000000" w:usb1="00000000" w:usb2="0000003F" w:usb3="00000000" w:csb0="603F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2"/>
      <w:framePr w:wrap="around" w:vAnchor="text" w:hAnchor="margin" w:xAlign="outside" w:y="1"/>
      <w:pBdr>
        <w:top w:val="none" w:color="auto" w:sz="0" w:space="0"/>
        <w:left w:val="none" w:color="auto" w:sz="0" w:space="0"/>
        <w:bottom w:val="none" w:color="auto" w:sz="0" w:space="0"/>
        <w:right w:val="none" w:color="auto" w:sz="0" w:space="0"/>
        <w:between w:val="none" w:color="auto" w:sz="0" w:space="0"/>
      </w:pBdr>
      <w:spacing w:after="0" w:afterLines="0"/>
      <w:rPr>
        <w:rStyle w:val="234"/>
      </w:rPr>
    </w:pPr>
    <w:r>
      <w:rPr>
        <w:rStyle w:val="234"/>
      </w:rPr>
      <w:fldChar w:fldCharType="begin"/>
    </w:r>
    <w:r>
      <w:rPr>
        <w:rStyle w:val="234"/>
      </w:rPr>
      <w:instrText xml:space="preserve"> PAGE  </w:instrText>
    </w:r>
    <w:r>
      <w:rPr>
        <w:rStyle w:val="234"/>
      </w:rPr>
      <w:fldChar w:fldCharType="separate"/>
    </w:r>
    <w:r>
      <w:rPr>
        <w:rStyle w:val="234"/>
      </w:rPr>
      <w:t>1</w:t>
    </w:r>
    <w:r>
      <w:rPr>
        <w:rStyle w:val="234"/>
      </w:rPr>
      <w:fldChar w:fldCharType="end"/>
    </w:r>
  </w:p>
  <w:p>
    <w:pPr>
      <w:pStyle w:val="252"/>
      <w:ind w:right="360" w:firstLine="360" w:firstLineChars="0"/>
      <w:rPr>
        <w:rStyle w:val="23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1"/>
      <w:framePr w:wrap="around" w:vAnchor="text" w:hAnchor="margin" w:xAlign="outside" w:y="1"/>
      <w:pBdr>
        <w:top w:val="none" w:color="auto" w:sz="0" w:space="0"/>
        <w:left w:val="none" w:color="auto" w:sz="0" w:space="0"/>
        <w:bottom w:val="none" w:color="auto" w:sz="0" w:space="0"/>
        <w:right w:val="none" w:color="auto" w:sz="0" w:space="0"/>
        <w:between w:val="none" w:color="auto" w:sz="0" w:space="0"/>
      </w:pBdr>
      <w:spacing w:after="0" w:afterLines="0"/>
      <w:rPr>
        <w:rStyle w:val="234"/>
      </w:rPr>
    </w:pPr>
    <w:r>
      <w:rPr>
        <w:rStyle w:val="234"/>
      </w:rPr>
      <w:fldChar w:fldCharType="begin"/>
    </w:r>
    <w:r>
      <w:rPr>
        <w:rStyle w:val="234"/>
      </w:rPr>
      <w:instrText xml:space="preserve"> PAGE  </w:instrText>
    </w:r>
    <w:r>
      <w:rPr>
        <w:rStyle w:val="234"/>
      </w:rPr>
      <w:fldChar w:fldCharType="separate"/>
    </w:r>
    <w:r>
      <w:rPr>
        <w:rStyle w:val="234"/>
      </w:rPr>
      <w:t>1</w:t>
    </w:r>
    <w:r>
      <w:rPr>
        <w:rStyle w:val="234"/>
      </w:rPr>
      <w:fldChar w:fldCharType="end"/>
    </w:r>
  </w:p>
  <w:p>
    <w:pPr>
      <w:pStyle w:val="251"/>
      <w:ind w:right="360" w:firstLine="360" w:firstLineChars="0"/>
      <w:rPr>
        <w:rStyle w:val="23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2"/>
      <w:framePr w:wrap="around" w:vAnchor="text" w:hAnchor="margin" w:xAlign="outside" w:y="1"/>
      <w:pBdr>
        <w:top w:val="none" w:color="auto" w:sz="0" w:space="0"/>
        <w:left w:val="none" w:color="auto" w:sz="0" w:space="0"/>
        <w:bottom w:val="none" w:color="auto" w:sz="0" w:space="0"/>
        <w:right w:val="none" w:color="auto" w:sz="0" w:space="0"/>
        <w:between w:val="none" w:color="auto" w:sz="0" w:space="0"/>
      </w:pBdr>
      <w:spacing w:after="0" w:afterLines="0"/>
      <w:rPr>
        <w:rStyle w:val="234"/>
      </w:rPr>
    </w:pPr>
    <w:r>
      <w:rPr>
        <w:rStyle w:val="234"/>
      </w:rPr>
      <w:fldChar w:fldCharType="begin"/>
    </w:r>
    <w:r>
      <w:rPr>
        <w:rStyle w:val="234"/>
      </w:rPr>
      <w:instrText xml:space="preserve"> PAGE  </w:instrText>
    </w:r>
    <w:r>
      <w:rPr>
        <w:rStyle w:val="234"/>
      </w:rPr>
      <w:fldChar w:fldCharType="separate"/>
    </w:r>
    <w:r>
      <w:rPr>
        <w:rStyle w:val="234"/>
      </w:rPr>
      <w:t>1</w:t>
    </w:r>
    <w:r>
      <w:rPr>
        <w:rStyle w:val="234"/>
      </w:rPr>
      <w:fldChar w:fldCharType="end"/>
    </w:r>
  </w:p>
  <w:p>
    <w:pPr>
      <w:pStyle w:val="252"/>
      <w:ind w:right="360" w:firstLine="360" w:firstLineChars="0"/>
      <w:rPr>
        <w:rStyle w:val="234"/>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8"/>
      <w:framePr w:wrap="around" w:vAnchor="text" w:hAnchor="margin" w:xAlign="outside" w:y="1"/>
      <w:pBdr>
        <w:top w:val="none" w:color="auto" w:sz="0" w:space="0"/>
        <w:left w:val="none" w:color="auto" w:sz="0" w:space="0"/>
        <w:bottom w:val="none" w:color="auto" w:sz="0" w:space="0"/>
        <w:right w:val="none" w:color="auto" w:sz="0" w:space="0"/>
        <w:between w:val="none" w:color="auto" w:sz="0" w:space="0"/>
      </w:pBdr>
      <w:spacing w:after="0" w:afterLines="0"/>
    </w:pPr>
    <w:r>
      <w:rPr>
        <w:rStyle w:val="234"/>
      </w:rPr>
      <w:fldChar w:fldCharType="begin"/>
    </w:r>
    <w:r>
      <w:rPr>
        <w:rStyle w:val="234"/>
      </w:rPr>
      <w:instrText xml:space="preserve"> PAGE  </w:instrText>
    </w:r>
    <w:r>
      <w:rPr>
        <w:rStyle w:val="234"/>
      </w:rPr>
      <w:fldChar w:fldCharType="separate"/>
    </w:r>
    <w:r>
      <w:rPr>
        <w:rStyle w:val="234"/>
      </w:rPr>
      <w:t>I</w:t>
    </w:r>
    <w:r>
      <w:rPr>
        <w:rStyle w:val="234"/>
      </w:rPr>
      <w:fldChar w:fldCharType="end"/>
    </w:r>
  </w:p>
  <w:p>
    <w:pPr>
      <w:pStyle w:val="58"/>
      <w:ind w:firstLine="360" w:firstLineChars="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8"/>
      <w:framePr w:wrap="around" w:vAnchor="text" w:hAnchor="margin" w:xAlign="outside" w:y="1"/>
      <w:pBdr>
        <w:top w:val="none" w:color="auto" w:sz="0" w:space="0"/>
        <w:left w:val="none" w:color="auto" w:sz="0" w:space="0"/>
        <w:bottom w:val="none" w:color="auto" w:sz="0" w:space="0"/>
        <w:right w:val="none" w:color="auto" w:sz="0" w:space="0"/>
        <w:between w:val="none" w:color="auto" w:sz="0" w:space="0"/>
      </w:pBdr>
      <w:spacing w:after="0" w:afterLines="0"/>
    </w:pPr>
    <w:r>
      <w:rPr>
        <w:rStyle w:val="234"/>
      </w:rPr>
      <w:fldChar w:fldCharType="begin"/>
    </w:r>
    <w:r>
      <w:rPr>
        <w:rStyle w:val="234"/>
      </w:rPr>
      <w:instrText xml:space="preserve"> PAGE  </w:instrText>
    </w:r>
    <w:r>
      <w:rPr>
        <w:rStyle w:val="234"/>
      </w:rPr>
      <w:fldChar w:fldCharType="separate"/>
    </w:r>
    <w:r>
      <w:rPr>
        <w:rStyle w:val="234"/>
      </w:rPr>
      <w:t>I</w:t>
    </w:r>
    <w:r>
      <w:rPr>
        <w:rStyle w:val="234"/>
      </w:rPr>
      <w:fldChar w:fldCharType="end"/>
    </w:r>
  </w:p>
  <w:p>
    <w:pPr>
      <w:pStyle w:val="58"/>
      <w:ind w:firstLine="360" w:firstLineChars="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8"/>
      <w:framePr w:wrap="around" w:vAnchor="text" w:hAnchor="margin" w:xAlign="outside" w:y="1"/>
      <w:pBdr>
        <w:top w:val="none" w:color="auto" w:sz="0" w:space="0"/>
        <w:left w:val="none" w:color="auto" w:sz="0" w:space="0"/>
        <w:bottom w:val="none" w:color="auto" w:sz="0" w:space="0"/>
        <w:right w:val="none" w:color="auto" w:sz="0" w:space="0"/>
        <w:between w:val="none" w:color="auto" w:sz="0" w:space="0"/>
      </w:pBdr>
      <w:spacing w:after="0" w:afterLines="0"/>
    </w:pPr>
    <w:r>
      <w:rPr>
        <w:rStyle w:val="234"/>
      </w:rPr>
      <w:fldChar w:fldCharType="begin"/>
    </w:r>
    <w:r>
      <w:rPr>
        <w:rStyle w:val="234"/>
      </w:rPr>
      <w:instrText xml:space="preserve"> PAGE  </w:instrText>
    </w:r>
    <w:r>
      <w:rPr>
        <w:rStyle w:val="234"/>
      </w:rPr>
      <w:fldChar w:fldCharType="separate"/>
    </w:r>
    <w:r>
      <w:rPr>
        <w:rStyle w:val="234"/>
      </w:rPr>
      <w:t>I</w:t>
    </w:r>
    <w:r>
      <w:rPr>
        <w:rStyle w:val="234"/>
      </w:rPr>
      <w:fldChar w:fldCharType="end"/>
    </w:r>
  </w:p>
  <w:p>
    <w:pPr>
      <w:pStyle w:val="58"/>
      <w:ind w:firstLine="360" w:firstLineChars="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3"/>
      <w:bidi w:val="0"/>
      <w:rPr>
        <w:rFonts w:hint="eastAsia"/>
        <w:lang w:eastAsia="zh-CN"/>
      </w:rPr>
    </w:pPr>
    <w:r>
      <w:rPr>
        <w:rFonts w:hint="eastAsia"/>
        <w:lang w:eastAsia="zh-CN"/>
      </w:rPr>
      <w:t>DB 32/T XXX-2022</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4"/>
      <w:bidi w:val="0"/>
      <w:rPr>
        <w:rFonts w:hint="eastAsia"/>
        <w:lang w:eastAsia="zh-CN"/>
      </w:rPr>
    </w:pPr>
    <w:r>
      <w:rPr>
        <w:rFonts w:hint="eastAsia"/>
        <w:lang w:eastAsia="zh-CN"/>
      </w:rPr>
      <w:t>DB 32/T XXX-2022</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3"/>
      <w:bidi w:val="0"/>
      <w:rPr>
        <w:rFonts w:hint="default"/>
        <w:lang w:val="en-US" w:eastAsia="zh-CN"/>
      </w:rPr>
    </w:pPr>
    <w:r>
      <w:rPr>
        <w:rFonts w:hint="eastAsia"/>
        <w:lang w:eastAsia="zh-CN"/>
      </w:rPr>
      <w:t>DB 32/T XXX-20</w:t>
    </w:r>
    <w:r>
      <w:rPr>
        <w:rFonts w:hint="eastAsia"/>
        <w:lang w:val="en-US" w:eastAsia="zh-CN"/>
      </w:rPr>
      <w:t>XX</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ind w:firstLine="36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3B6F83"/>
    <w:multiLevelType w:val="multilevel"/>
    <w:tmpl w:val="873B6F83"/>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
    <w:nsid w:val="960CDF9D"/>
    <w:multiLevelType w:val="multilevel"/>
    <w:tmpl w:val="960CDF9D"/>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2">
    <w:nsid w:val="989C8321"/>
    <w:multiLevelType w:val="multilevel"/>
    <w:tmpl w:val="989C8321"/>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3">
    <w:nsid w:val="9DFCA56C"/>
    <w:multiLevelType w:val="multilevel"/>
    <w:tmpl w:val="9DFCA56C"/>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4">
    <w:nsid w:val="A58CB517"/>
    <w:multiLevelType w:val="multilevel"/>
    <w:tmpl w:val="A58CB517"/>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5">
    <w:nsid w:val="B985736D"/>
    <w:multiLevelType w:val="multilevel"/>
    <w:tmpl w:val="B985736D"/>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6">
    <w:nsid w:val="BE390028"/>
    <w:multiLevelType w:val="multilevel"/>
    <w:tmpl w:val="BE390028"/>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7">
    <w:nsid w:val="C2E200D9"/>
    <w:multiLevelType w:val="multilevel"/>
    <w:tmpl w:val="C2E200D9"/>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8">
    <w:nsid w:val="C4CE0ADC"/>
    <w:multiLevelType w:val="multilevel"/>
    <w:tmpl w:val="C4CE0ADC"/>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9">
    <w:nsid w:val="ECCD0D6C"/>
    <w:multiLevelType w:val="multilevel"/>
    <w:tmpl w:val="ECCD0D6C"/>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0">
    <w:nsid w:val="F20B892F"/>
    <w:multiLevelType w:val="multilevel"/>
    <w:tmpl w:val="F20B892F"/>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1">
    <w:nsid w:val="F5B78865"/>
    <w:multiLevelType w:val="multilevel"/>
    <w:tmpl w:val="F5B78865"/>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2">
    <w:nsid w:val="FF1A9BDC"/>
    <w:multiLevelType w:val="multilevel"/>
    <w:tmpl w:val="FF1A9BDC"/>
    <w:lvl w:ilvl="0" w:tentative="0">
      <w:start w:val="1"/>
      <w:numFmt w:val="decimal"/>
      <w:pStyle w:val="304"/>
      <w:suff w:val="nothing"/>
      <w:lvlText w:val="注%1："/>
      <w:lvlJc w:val="left"/>
      <w:pPr>
        <w:tabs>
          <w:tab w:val="left" w:pos="0"/>
        </w:tabs>
        <w:ind w:left="811" w:hanging="448"/>
      </w:pPr>
      <w:rPr>
        <w:rFonts w:hint="default" w:ascii="黑体" w:hAnsi="黑体" w:eastAsia="黑体" w:cs="黑体"/>
        <w:b w:val="0"/>
        <w:bCs w:val="0"/>
        <w:i w:val="0"/>
        <w:iCs w:val="0"/>
        <w:caps w:val="0"/>
        <w:smallCaps w:val="0"/>
        <w:strike w:val="0"/>
        <w:dstrike w:val="0"/>
        <w:outline w:val="0"/>
        <w:shadow w:val="0"/>
        <w:emboss w:val="0"/>
        <w:imprint w:val="0"/>
        <w:vanish w:val="0"/>
        <w:spacing w:val="0"/>
        <w:position w:val="0"/>
        <w:sz w:val="18"/>
        <w:szCs w:val="18"/>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3">
    <w:nsid w:val="FFFFFF7C"/>
    <w:multiLevelType w:val="singleLevel"/>
    <w:tmpl w:val="FFFFFF7C"/>
    <w:lvl w:ilvl="0" w:tentative="0">
      <w:start w:val="1"/>
      <w:numFmt w:val="decimal"/>
      <w:pStyle w:val="67"/>
      <w:lvlText w:val="%1."/>
      <w:lvlJc w:val="left"/>
      <w:pPr>
        <w:tabs>
          <w:tab w:val="left" w:pos="2040"/>
        </w:tabs>
        <w:ind w:left="2040" w:leftChars="800" w:hanging="360" w:hangingChars="200"/>
      </w:pPr>
    </w:lvl>
  </w:abstractNum>
  <w:abstractNum w:abstractNumId="14">
    <w:nsid w:val="FFFFFF7D"/>
    <w:multiLevelType w:val="singleLevel"/>
    <w:tmpl w:val="FFFFFF7D"/>
    <w:lvl w:ilvl="0" w:tentative="0">
      <w:start w:val="1"/>
      <w:numFmt w:val="decimal"/>
      <w:pStyle w:val="50"/>
      <w:lvlText w:val="%1."/>
      <w:lvlJc w:val="left"/>
      <w:pPr>
        <w:tabs>
          <w:tab w:val="left" w:pos="1620"/>
        </w:tabs>
        <w:ind w:left="1620" w:leftChars="600" w:hanging="360" w:hangingChars="200"/>
      </w:pPr>
    </w:lvl>
  </w:abstractNum>
  <w:abstractNum w:abstractNumId="15">
    <w:nsid w:val="FFFFFF7E"/>
    <w:multiLevelType w:val="singleLevel"/>
    <w:tmpl w:val="FFFFFF7E"/>
    <w:lvl w:ilvl="0" w:tentative="0">
      <w:start w:val="1"/>
      <w:numFmt w:val="decimal"/>
      <w:pStyle w:val="41"/>
      <w:lvlText w:val="%1."/>
      <w:lvlJc w:val="left"/>
      <w:pPr>
        <w:tabs>
          <w:tab w:val="left" w:pos="1200"/>
        </w:tabs>
        <w:ind w:left="1200" w:leftChars="400" w:hanging="360" w:hangingChars="200"/>
      </w:pPr>
    </w:lvl>
  </w:abstractNum>
  <w:abstractNum w:abstractNumId="16">
    <w:nsid w:val="FFFFFF7F"/>
    <w:multiLevelType w:val="singleLevel"/>
    <w:tmpl w:val="FFFFFF7F"/>
    <w:lvl w:ilvl="0" w:tentative="0">
      <w:start w:val="1"/>
      <w:numFmt w:val="decimal"/>
      <w:pStyle w:val="20"/>
      <w:lvlText w:val="%1."/>
      <w:lvlJc w:val="left"/>
      <w:pPr>
        <w:tabs>
          <w:tab w:val="left" w:pos="780"/>
        </w:tabs>
        <w:ind w:left="780" w:leftChars="200" w:hanging="360" w:hangingChars="200"/>
      </w:pPr>
    </w:lvl>
  </w:abstractNum>
  <w:abstractNum w:abstractNumId="17">
    <w:nsid w:val="FFFFFF80"/>
    <w:multiLevelType w:val="singleLevel"/>
    <w:tmpl w:val="FFFFFF80"/>
    <w:lvl w:ilvl="0" w:tentative="0">
      <w:start w:val="1"/>
      <w:numFmt w:val="bullet"/>
      <w:pStyle w:val="49"/>
      <w:lvlText w:val=""/>
      <w:lvlJc w:val="left"/>
      <w:pPr>
        <w:tabs>
          <w:tab w:val="left" w:pos="2040"/>
        </w:tabs>
        <w:ind w:left="2040" w:leftChars="800" w:hanging="360" w:hangingChars="200"/>
      </w:pPr>
      <w:rPr>
        <w:rFonts w:hint="default" w:ascii="Wingdings" w:hAnsi="Wingdings"/>
      </w:rPr>
    </w:lvl>
  </w:abstractNum>
  <w:abstractNum w:abstractNumId="18">
    <w:nsid w:val="FFFFFF81"/>
    <w:multiLevelType w:val="singleLevel"/>
    <w:tmpl w:val="FFFFFF81"/>
    <w:lvl w:ilvl="0" w:tentative="0">
      <w:start w:val="1"/>
      <w:numFmt w:val="bullet"/>
      <w:pStyle w:val="23"/>
      <w:lvlText w:val=""/>
      <w:lvlJc w:val="left"/>
      <w:pPr>
        <w:tabs>
          <w:tab w:val="left" w:pos="1620"/>
        </w:tabs>
        <w:ind w:left="1620" w:leftChars="600" w:hanging="360" w:hangingChars="200"/>
      </w:pPr>
      <w:rPr>
        <w:rFonts w:hint="default" w:ascii="Wingdings" w:hAnsi="Wingdings"/>
      </w:rPr>
    </w:lvl>
  </w:abstractNum>
  <w:abstractNum w:abstractNumId="19">
    <w:nsid w:val="FFFFFF82"/>
    <w:multiLevelType w:val="singleLevel"/>
    <w:tmpl w:val="FFFFFF82"/>
    <w:lvl w:ilvl="0" w:tentative="0">
      <w:start w:val="1"/>
      <w:numFmt w:val="bullet"/>
      <w:pStyle w:val="39"/>
      <w:lvlText w:val=""/>
      <w:lvlJc w:val="left"/>
      <w:pPr>
        <w:tabs>
          <w:tab w:val="left" w:pos="1200"/>
        </w:tabs>
        <w:ind w:left="1200" w:leftChars="400" w:hanging="360" w:hangingChars="200"/>
      </w:pPr>
      <w:rPr>
        <w:rFonts w:hint="default" w:ascii="Wingdings" w:hAnsi="Wingdings"/>
      </w:rPr>
    </w:lvl>
  </w:abstractNum>
  <w:abstractNum w:abstractNumId="20">
    <w:nsid w:val="FFFFFF83"/>
    <w:multiLevelType w:val="singleLevel"/>
    <w:tmpl w:val="FFFFFF83"/>
    <w:lvl w:ilvl="0" w:tentative="0">
      <w:start w:val="1"/>
      <w:numFmt w:val="bullet"/>
      <w:pStyle w:val="45"/>
      <w:lvlText w:val=""/>
      <w:lvlJc w:val="left"/>
      <w:pPr>
        <w:tabs>
          <w:tab w:val="left" w:pos="780"/>
        </w:tabs>
        <w:ind w:left="780" w:leftChars="200" w:hanging="360" w:hangingChars="200"/>
      </w:pPr>
      <w:rPr>
        <w:rFonts w:hint="default" w:ascii="Wingdings" w:hAnsi="Wingdings"/>
      </w:rPr>
    </w:lvl>
  </w:abstractNum>
  <w:abstractNum w:abstractNumId="21">
    <w:nsid w:val="FFFFFF88"/>
    <w:multiLevelType w:val="singleLevel"/>
    <w:tmpl w:val="FFFFFF88"/>
    <w:lvl w:ilvl="0" w:tentative="0">
      <w:start w:val="1"/>
      <w:numFmt w:val="decimal"/>
      <w:pStyle w:val="26"/>
      <w:lvlText w:val="%1."/>
      <w:lvlJc w:val="left"/>
      <w:pPr>
        <w:tabs>
          <w:tab w:val="left" w:pos="360"/>
        </w:tabs>
        <w:ind w:left="360" w:hanging="360" w:hangingChars="200"/>
      </w:pPr>
    </w:lvl>
  </w:abstractNum>
  <w:abstractNum w:abstractNumId="22">
    <w:nsid w:val="FFFFFF89"/>
    <w:multiLevelType w:val="singleLevel"/>
    <w:tmpl w:val="FFFFFF89"/>
    <w:lvl w:ilvl="0" w:tentative="0">
      <w:start w:val="1"/>
      <w:numFmt w:val="bullet"/>
      <w:pStyle w:val="30"/>
      <w:lvlText w:val=""/>
      <w:lvlJc w:val="left"/>
      <w:pPr>
        <w:tabs>
          <w:tab w:val="left" w:pos="360"/>
        </w:tabs>
        <w:ind w:left="360" w:hanging="360" w:hangingChars="200"/>
      </w:pPr>
      <w:rPr>
        <w:rFonts w:hint="default" w:ascii="Wingdings" w:hAnsi="Wingdings"/>
      </w:rPr>
    </w:lvl>
  </w:abstractNum>
  <w:abstractNum w:abstractNumId="23">
    <w:nsid w:val="0018047D"/>
    <w:multiLevelType w:val="multilevel"/>
    <w:tmpl w:val="0018047D"/>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24">
    <w:nsid w:val="0544D979"/>
    <w:multiLevelType w:val="multilevel"/>
    <w:tmpl w:val="0544D979"/>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25">
    <w:nsid w:val="07410568"/>
    <w:multiLevelType w:val="multilevel"/>
    <w:tmpl w:val="07410568"/>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26">
    <w:nsid w:val="07ED3FEA"/>
    <w:multiLevelType w:val="multilevel"/>
    <w:tmpl w:val="07ED3FEA"/>
    <w:lvl w:ilvl="0" w:tentative="0">
      <w:start w:val="1"/>
      <w:numFmt w:val="none"/>
      <w:lvlText w:val="%1"/>
      <w:lvlJc w:val="left"/>
      <w:pPr>
        <w:ind w:left="425" w:hanging="425"/>
      </w:pPr>
      <w:rPr>
        <w:rFonts w:hint="eastAsia"/>
      </w:rPr>
    </w:lvl>
    <w:lvl w:ilvl="1" w:tentative="0">
      <w:start w:val="1"/>
      <w:numFmt w:val="decimal"/>
      <w:pStyle w:val="519"/>
      <w:suff w:val="nothing"/>
      <w:lvlText w:val="%10.%2 "/>
      <w:lvlJc w:val="left"/>
      <w:pPr>
        <w:ind w:left="0" w:firstLine="0"/>
      </w:pPr>
      <w:rPr>
        <w:rFonts w:hint="eastAsia" w:ascii="黑体" w:eastAsia="黑体" w:hAnsiTheme="minorHAnsi"/>
        <w:b w:val="0"/>
        <w:i w:val="0"/>
        <w:sz w:val="21"/>
      </w:rPr>
    </w:lvl>
    <w:lvl w:ilvl="2" w:tentative="0">
      <w:start w:val="1"/>
      <w:numFmt w:val="decimal"/>
      <w:pStyle w:val="511"/>
      <w:suff w:val="nothing"/>
      <w:lvlText w:val="%10.%2.%3 "/>
      <w:lvlJc w:val="left"/>
      <w:pPr>
        <w:ind w:left="0" w:firstLine="0"/>
      </w:pPr>
      <w:rPr>
        <w:rFonts w:hint="eastAsia" w:ascii="黑体" w:eastAsia="黑体" w:hAnsiTheme="minorHAnsi"/>
        <w:b w:val="0"/>
        <w:i w:val="0"/>
        <w:sz w:val="21"/>
      </w:rPr>
    </w:lvl>
    <w:lvl w:ilvl="3" w:tentative="0">
      <w:start w:val="1"/>
      <w:numFmt w:val="decimal"/>
      <w:pStyle w:val="513"/>
      <w:suff w:val="nothing"/>
      <w:lvlText w:val="%10.%2.%3.%4 "/>
      <w:lvlJc w:val="left"/>
      <w:pPr>
        <w:ind w:left="0" w:firstLine="0"/>
      </w:pPr>
      <w:rPr>
        <w:rFonts w:hint="eastAsia" w:ascii="黑体" w:eastAsia="黑体" w:hAnsiTheme="minorHAnsi"/>
        <w:b w:val="0"/>
        <w:i w:val="0"/>
        <w:sz w:val="21"/>
      </w:rPr>
    </w:lvl>
    <w:lvl w:ilvl="4" w:tentative="0">
      <w:start w:val="1"/>
      <w:numFmt w:val="decimal"/>
      <w:pStyle w:val="515"/>
      <w:suff w:val="nothing"/>
      <w:lvlText w:val="%10.%2.%3.%4.%5 "/>
      <w:lvlJc w:val="left"/>
      <w:pPr>
        <w:ind w:left="0" w:firstLine="0"/>
      </w:pPr>
      <w:rPr>
        <w:rFonts w:hint="eastAsia" w:ascii="黑体" w:eastAsia="黑体" w:hAnsiTheme="minorHAnsi"/>
        <w:b w:val="0"/>
        <w:i w:val="0"/>
        <w:sz w:val="21"/>
      </w:rPr>
    </w:lvl>
    <w:lvl w:ilvl="5" w:tentative="0">
      <w:start w:val="1"/>
      <w:numFmt w:val="decimal"/>
      <w:pStyle w:val="517"/>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7">
    <w:nsid w:val="09227E31"/>
    <w:multiLevelType w:val="multilevel"/>
    <w:tmpl w:val="09227E31"/>
    <w:lvl w:ilvl="0" w:tentative="0">
      <w:start w:val="1"/>
      <w:numFmt w:val="none"/>
      <w:suff w:val="nothing"/>
      <w:lvlText w:val=""/>
      <w:lvlJc w:val="left"/>
      <w:pPr>
        <w:ind w:left="0" w:firstLine="0"/>
      </w:pPr>
      <w:rPr>
        <w:rFonts w:hint="eastAsia" w:ascii="黑体" w:hAnsi="Times New Roman" w:eastAsia="黑体"/>
        <w:b/>
        <w:i w:val="0"/>
        <w:sz w:val="21"/>
      </w:rPr>
    </w:lvl>
    <w:lvl w:ilvl="1" w:tentative="0">
      <w:start w:val="1"/>
      <w:numFmt w:val="decimal"/>
      <w:pStyle w:val="301"/>
      <w:suff w:val="nothing"/>
      <w:lvlText w:val="表%2　"/>
      <w:lvlJc w:val="left"/>
      <w:pPr>
        <w:ind w:left="0" w:firstLine="0"/>
      </w:pPr>
      <w:rPr>
        <w:rFonts w:hint="default" w:ascii="黑体" w:hAnsi="Times New Roman" w:eastAsia="黑体"/>
        <w:b w:val="0"/>
        <w:i w:val="0"/>
        <w:caps w:val="0"/>
        <w:strike w:val="0"/>
        <w:dstrike w:val="0"/>
        <w:snapToGrid w:val="0"/>
        <w:vanish w:val="0"/>
        <w:color w:val="auto"/>
        <w:kern w:val="0"/>
        <w:sz w:val="21"/>
        <w:szCs w:val="21"/>
        <w:u w:val="none"/>
        <w:vertAlign w:val="baseline"/>
      </w:rPr>
    </w:lvl>
    <w:lvl w:ilvl="2" w:tentative="0">
      <w:start w:val="1"/>
      <w:numFmt w:val="none"/>
      <w:pStyle w:val="316"/>
      <w:suff w:val="nothing"/>
      <w:lvlText w:val="%1表%2　"/>
      <w:lvlJc w:val="left"/>
      <w:pPr>
        <w:ind w:left="0" w:firstLine="0"/>
      </w:pPr>
      <w:rPr>
        <w:rFonts w:hint="eastAsia" w:ascii="黑体" w:hAnsi="黑体" w:eastAsia="黑体" w:cs="Times New Roman"/>
        <w:b w:val="0"/>
        <w:bCs w:val="0"/>
        <w:i w:val="0"/>
        <w:iCs w:val="0"/>
        <w:caps w:val="0"/>
        <w:smallCaps w:val="0"/>
        <w:strike w:val="0"/>
        <w:dstrike w:val="0"/>
        <w:outline w:val="0"/>
        <w:shadow w:val="0"/>
        <w:emboss w:val="0"/>
        <w:imprint w:val="0"/>
        <w:snapToGrid w:val="0"/>
        <w:vanish w:val="0"/>
        <w:spacing w:val="0"/>
        <w:w w:val="10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3969"/>
        </w:tabs>
        <w:ind w:left="3969" w:hanging="1418"/>
      </w:pPr>
      <w:rPr>
        <w:rFonts w:hint="eastAsia"/>
      </w:rPr>
    </w:lvl>
    <w:lvl w:ilvl="8" w:tentative="0">
      <w:start w:val="1"/>
      <w:numFmt w:val="decimal"/>
      <w:lvlText w:val="%1.%2.%3.%4.%5.%6.%7.%8.%9"/>
      <w:lvlJc w:val="left"/>
      <w:pPr>
        <w:tabs>
          <w:tab w:val="left" w:pos="4677"/>
        </w:tabs>
        <w:ind w:left="4677" w:hanging="1700"/>
      </w:pPr>
      <w:rPr>
        <w:rFonts w:hint="eastAsia"/>
      </w:rPr>
    </w:lvl>
  </w:abstractNum>
  <w:abstractNum w:abstractNumId="28">
    <w:nsid w:val="0AE367E9"/>
    <w:multiLevelType w:val="multilevel"/>
    <w:tmpl w:val="0AE367E9"/>
    <w:lvl w:ilvl="0" w:tentative="0">
      <w:start w:val="1"/>
      <w:numFmt w:val="none"/>
      <w:pStyle w:val="292"/>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29">
    <w:nsid w:val="0C2324F3"/>
    <w:multiLevelType w:val="multilevel"/>
    <w:tmpl w:val="0C2324F3"/>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30">
    <w:nsid w:val="0D46713A"/>
    <w:multiLevelType w:val="multilevel"/>
    <w:tmpl w:val="0D46713A"/>
    <w:lvl w:ilvl="0" w:tentative="0">
      <w:start w:val="1"/>
      <w:numFmt w:val="bullet"/>
      <w:pStyle w:val="325"/>
      <w:lvlText w:val=""/>
      <w:lvlJc w:val="left"/>
      <w:pPr>
        <w:ind w:left="836" w:hanging="420"/>
      </w:pPr>
      <w:rPr>
        <w:rFonts w:hint="default" w:ascii="Wingdings" w:hAnsi="Wingdings"/>
      </w:rPr>
    </w:lvl>
    <w:lvl w:ilvl="1" w:tentative="0">
      <w:start w:val="1"/>
      <w:numFmt w:val="bullet"/>
      <w:lvlText w:val=""/>
      <w:lvlJc w:val="left"/>
      <w:pPr>
        <w:ind w:left="1256" w:hanging="420"/>
      </w:pPr>
      <w:rPr>
        <w:rFonts w:hint="default" w:ascii="Wingdings" w:hAnsi="Wingdings"/>
      </w:rPr>
    </w:lvl>
    <w:lvl w:ilvl="2" w:tentative="0">
      <w:start w:val="1"/>
      <w:numFmt w:val="bullet"/>
      <w:lvlText w:val=""/>
      <w:lvlJc w:val="left"/>
      <w:pPr>
        <w:ind w:left="1676" w:hanging="420"/>
      </w:pPr>
      <w:rPr>
        <w:rFonts w:hint="default" w:ascii="Wingdings" w:hAnsi="Wingdings"/>
      </w:rPr>
    </w:lvl>
    <w:lvl w:ilvl="3" w:tentative="0">
      <w:start w:val="1"/>
      <w:numFmt w:val="bullet"/>
      <w:lvlText w:val=""/>
      <w:lvlJc w:val="left"/>
      <w:pPr>
        <w:ind w:left="2096" w:hanging="420"/>
      </w:pPr>
      <w:rPr>
        <w:rFonts w:hint="default" w:ascii="Wingdings" w:hAnsi="Wingdings"/>
      </w:rPr>
    </w:lvl>
    <w:lvl w:ilvl="4" w:tentative="0">
      <w:start w:val="1"/>
      <w:numFmt w:val="bullet"/>
      <w:lvlText w:val=""/>
      <w:lvlJc w:val="left"/>
      <w:pPr>
        <w:ind w:left="2516" w:hanging="420"/>
      </w:pPr>
      <w:rPr>
        <w:rFonts w:hint="default" w:ascii="Wingdings" w:hAnsi="Wingdings"/>
      </w:rPr>
    </w:lvl>
    <w:lvl w:ilvl="5" w:tentative="0">
      <w:start w:val="1"/>
      <w:numFmt w:val="bullet"/>
      <w:lvlText w:val=""/>
      <w:lvlJc w:val="left"/>
      <w:pPr>
        <w:ind w:left="2936" w:hanging="420"/>
      </w:pPr>
      <w:rPr>
        <w:rFonts w:hint="default" w:ascii="Wingdings" w:hAnsi="Wingdings"/>
      </w:rPr>
    </w:lvl>
    <w:lvl w:ilvl="6" w:tentative="0">
      <w:start w:val="1"/>
      <w:numFmt w:val="bullet"/>
      <w:lvlText w:val=""/>
      <w:lvlJc w:val="left"/>
      <w:pPr>
        <w:ind w:left="3356" w:hanging="420"/>
      </w:pPr>
      <w:rPr>
        <w:rFonts w:hint="default" w:ascii="Wingdings" w:hAnsi="Wingdings"/>
      </w:rPr>
    </w:lvl>
    <w:lvl w:ilvl="7" w:tentative="0">
      <w:start w:val="1"/>
      <w:numFmt w:val="bullet"/>
      <w:lvlText w:val=""/>
      <w:lvlJc w:val="left"/>
      <w:pPr>
        <w:ind w:left="3776" w:hanging="420"/>
      </w:pPr>
      <w:rPr>
        <w:rFonts w:hint="default" w:ascii="Wingdings" w:hAnsi="Wingdings"/>
      </w:rPr>
    </w:lvl>
    <w:lvl w:ilvl="8" w:tentative="0">
      <w:start w:val="1"/>
      <w:numFmt w:val="bullet"/>
      <w:lvlText w:val=""/>
      <w:lvlJc w:val="left"/>
      <w:pPr>
        <w:ind w:left="4196" w:hanging="420"/>
      </w:pPr>
      <w:rPr>
        <w:rFonts w:hint="default" w:ascii="Wingdings" w:hAnsi="Wingdings"/>
      </w:rPr>
    </w:lvl>
  </w:abstractNum>
  <w:abstractNum w:abstractNumId="31">
    <w:nsid w:val="1B75994A"/>
    <w:multiLevelType w:val="multilevel"/>
    <w:tmpl w:val="1B75994A"/>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32">
    <w:nsid w:val="1FC91163"/>
    <w:multiLevelType w:val="multilevel"/>
    <w:tmpl w:val="1FC91163"/>
    <w:lvl w:ilvl="0" w:tentative="0">
      <w:start w:val="1"/>
      <w:numFmt w:val="decimal"/>
      <w:pStyle w:val="259"/>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60"/>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261"/>
      <w:suff w:val="nothing"/>
      <w:lvlText w:val="%1.%2.%3　"/>
      <w:lvlJc w:val="left"/>
      <w:pPr>
        <w:ind w:left="0" w:firstLine="0"/>
      </w:pPr>
      <w:rPr>
        <w:rFonts w:hint="eastAsia" w:ascii="黑体" w:hAnsi="Times New Roman" w:eastAsia="黑体"/>
        <w:b w:val="0"/>
        <w:i w:val="0"/>
        <w:sz w:val="21"/>
      </w:rPr>
    </w:lvl>
    <w:lvl w:ilvl="3" w:tentative="0">
      <w:start w:val="1"/>
      <w:numFmt w:val="decimal"/>
      <w:pStyle w:val="290"/>
      <w:suff w:val="nothing"/>
      <w:lvlText w:val="%1.%2.%3.%4　"/>
      <w:lvlJc w:val="left"/>
      <w:pPr>
        <w:ind w:left="0" w:firstLine="0"/>
      </w:pPr>
      <w:rPr>
        <w:rFonts w:hint="eastAsia" w:ascii="黑体" w:hAnsi="Times New Roman" w:eastAsia="黑体"/>
        <w:b w:val="0"/>
        <w:i w:val="0"/>
        <w:sz w:val="21"/>
      </w:rPr>
    </w:lvl>
    <w:lvl w:ilvl="4" w:tentative="0">
      <w:start w:val="1"/>
      <w:numFmt w:val="decimal"/>
      <w:pStyle w:val="295"/>
      <w:suff w:val="nothing"/>
      <w:lvlText w:val="%1.%2.%3.%4.%5　"/>
      <w:lvlJc w:val="left"/>
      <w:pPr>
        <w:ind w:left="0" w:firstLine="0"/>
      </w:pPr>
      <w:rPr>
        <w:rFonts w:hint="eastAsia" w:ascii="黑体" w:hAnsi="Times New Roman" w:eastAsia="黑体"/>
        <w:b w:val="0"/>
        <w:i w:val="0"/>
        <w:sz w:val="21"/>
      </w:rPr>
    </w:lvl>
    <w:lvl w:ilvl="5" w:tentative="0">
      <w:start w:val="1"/>
      <w:numFmt w:val="decimal"/>
      <w:pStyle w:val="300"/>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3">
    <w:nsid w:val="2A8F7113"/>
    <w:multiLevelType w:val="multilevel"/>
    <w:tmpl w:val="2A8F7113"/>
    <w:lvl w:ilvl="0" w:tentative="0">
      <w:start w:val="1"/>
      <w:numFmt w:val="upperLetter"/>
      <w:pStyle w:val="348"/>
      <w:suff w:val="space"/>
      <w:lvlText w:val="%1"/>
      <w:lvlJc w:val="left"/>
      <w:pPr>
        <w:ind w:left="0" w:firstLine="0"/>
      </w:pPr>
      <w:rPr>
        <w:rFonts w:hint="eastAsia"/>
      </w:rPr>
    </w:lvl>
    <w:lvl w:ilvl="1" w:tentative="0">
      <w:start w:val="1"/>
      <w:numFmt w:val="decimal"/>
      <w:pStyle w:val="281"/>
      <w:suff w:val="nothing"/>
      <w:lvlText w:val="图%1.%2　"/>
      <w:lvlJc w:val="left"/>
      <w:pPr>
        <w:ind w:left="0" w:firstLine="0"/>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34">
    <w:nsid w:val="2DF781E2"/>
    <w:multiLevelType w:val="multilevel"/>
    <w:tmpl w:val="2DF781E2"/>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35">
    <w:nsid w:val="2E65B156"/>
    <w:multiLevelType w:val="multilevel"/>
    <w:tmpl w:val="2E65B156"/>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36">
    <w:nsid w:val="32F04FB2"/>
    <w:multiLevelType w:val="multilevel"/>
    <w:tmpl w:val="32F04FB2"/>
    <w:lvl w:ilvl="0" w:tentative="0">
      <w:start w:val="1"/>
      <w:numFmt w:val="lowerLetter"/>
      <w:pStyle w:val="526"/>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37">
    <w:nsid w:val="34431F99"/>
    <w:multiLevelType w:val="multilevel"/>
    <w:tmpl w:val="34431F99"/>
    <w:lvl w:ilvl="0" w:tentative="0">
      <w:start w:val="1"/>
      <w:numFmt w:val="upperLetter"/>
      <w:pStyle w:val="509"/>
      <w:lvlText w:val="%1"/>
      <w:lvlJc w:val="left"/>
      <w:pPr>
        <w:ind w:left="0" w:firstLine="0"/>
      </w:pPr>
      <w:rPr>
        <w:rFonts w:hint="eastAsia"/>
        <w:color w:val="FFFFFF" w:themeColor="background1"/>
        <w:sz w:val="2"/>
        <w14:textFill>
          <w14:solidFill>
            <w14:schemeClr w14:val="bg1"/>
          </w14:solidFill>
        </w14:textFill>
      </w:rPr>
    </w:lvl>
    <w:lvl w:ilvl="1" w:tentative="0">
      <w:start w:val="1"/>
      <w:numFmt w:val="decimal"/>
      <w:pStyle w:val="510"/>
      <w:lvlText w:val="(%1.%2)"/>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38">
    <w:nsid w:val="3C405E5A"/>
    <w:multiLevelType w:val="multilevel"/>
    <w:tmpl w:val="3C405E5A"/>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39">
    <w:nsid w:val="4B733A5F"/>
    <w:multiLevelType w:val="multilevel"/>
    <w:tmpl w:val="4B733A5F"/>
    <w:lvl w:ilvl="0" w:tentative="0">
      <w:start w:val="1"/>
      <w:numFmt w:val="decimal"/>
      <w:pStyle w:val="306"/>
      <w:suff w:val="nothing"/>
      <w:lvlText w:val="示例%1："/>
      <w:lvlJc w:val="left"/>
      <w:pPr>
        <w:ind w:left="0" w:firstLine="363"/>
      </w:pPr>
      <w:rPr>
        <w:rFonts w:hint="eastAsia" w:ascii="黑体" w:hAnsi="Times New Roman" w:eastAsia="黑体"/>
        <w:b w:val="0"/>
        <w:i w:val="0"/>
        <w:sz w:val="18"/>
        <w:szCs w:val="18"/>
        <w:vertAlign w:val="baseline"/>
      </w:rPr>
    </w:lvl>
    <w:lvl w:ilvl="1" w:tentative="0">
      <w:start w:val="1"/>
      <w:numFmt w:val="none"/>
      <w:suff w:val="space"/>
      <w:lvlText w:val=""/>
      <w:lvlJc w:val="left"/>
      <w:pPr>
        <w:ind w:left="0" w:firstLine="0"/>
      </w:pPr>
      <w:rPr>
        <w:rFonts w:hint="eastAsia"/>
        <w:vertAlign w:val="baseline"/>
      </w:rPr>
    </w:lvl>
    <w:lvl w:ilvl="2" w:tentative="0">
      <w:start w:val="1"/>
      <w:numFmt w:val="decimal"/>
      <w:suff w:val="space"/>
      <w:lvlText w:val="2.2.%3"/>
      <w:lvlJc w:val="left"/>
      <w:pPr>
        <w:ind w:left="0" w:firstLine="0"/>
      </w:pPr>
      <w:rPr>
        <w:rFonts w:hint="eastAsia"/>
        <w:vertAlign w:val="baseline"/>
      </w:rPr>
    </w:lvl>
    <w:lvl w:ilvl="3" w:tentative="0">
      <w:start w:val="1"/>
      <w:numFmt w:val="decimal"/>
      <w:lvlText w:val="%4."/>
      <w:lvlJc w:val="left"/>
      <w:pPr>
        <w:tabs>
          <w:tab w:val="left" w:pos="0"/>
        </w:tabs>
        <w:ind w:left="992" w:hanging="629"/>
      </w:pPr>
      <w:rPr>
        <w:rFonts w:hint="eastAsia"/>
        <w:vertAlign w:val="baseline"/>
      </w:rPr>
    </w:lvl>
    <w:lvl w:ilvl="4" w:tentative="0">
      <w:start w:val="1"/>
      <w:numFmt w:val="lowerLetter"/>
      <w:lvlText w:val="%5)"/>
      <w:lvlJc w:val="left"/>
      <w:pPr>
        <w:tabs>
          <w:tab w:val="left" w:pos="0"/>
        </w:tabs>
        <w:ind w:left="992" w:hanging="629"/>
      </w:pPr>
      <w:rPr>
        <w:rFonts w:hint="eastAsia"/>
        <w:vertAlign w:val="baseline"/>
      </w:rPr>
    </w:lvl>
    <w:lvl w:ilvl="5" w:tentative="0">
      <w:start w:val="1"/>
      <w:numFmt w:val="lowerRoman"/>
      <w:lvlText w:val="%6."/>
      <w:lvlJc w:val="right"/>
      <w:pPr>
        <w:tabs>
          <w:tab w:val="left" w:pos="0"/>
        </w:tabs>
        <w:ind w:left="992" w:hanging="629"/>
      </w:pPr>
      <w:rPr>
        <w:rFonts w:hint="eastAsia"/>
        <w:vertAlign w:val="baseline"/>
      </w:rPr>
    </w:lvl>
    <w:lvl w:ilvl="6" w:tentative="0">
      <w:start w:val="1"/>
      <w:numFmt w:val="decimal"/>
      <w:lvlText w:val="%7."/>
      <w:lvlJc w:val="left"/>
      <w:pPr>
        <w:tabs>
          <w:tab w:val="left" w:pos="0"/>
        </w:tabs>
        <w:ind w:left="992" w:hanging="629"/>
      </w:pPr>
      <w:rPr>
        <w:rFonts w:hint="eastAsia"/>
        <w:vertAlign w:val="baseline"/>
      </w:rPr>
    </w:lvl>
    <w:lvl w:ilvl="7" w:tentative="0">
      <w:start w:val="1"/>
      <w:numFmt w:val="lowerLetter"/>
      <w:lvlText w:val="%8)"/>
      <w:lvlJc w:val="left"/>
      <w:pPr>
        <w:tabs>
          <w:tab w:val="left" w:pos="0"/>
        </w:tabs>
        <w:ind w:left="992" w:hanging="629"/>
      </w:pPr>
      <w:rPr>
        <w:rFonts w:hint="eastAsia"/>
        <w:vertAlign w:val="baseline"/>
      </w:rPr>
    </w:lvl>
    <w:lvl w:ilvl="8" w:tentative="0">
      <w:start w:val="1"/>
      <w:numFmt w:val="lowerRoman"/>
      <w:lvlText w:val="%9."/>
      <w:lvlJc w:val="right"/>
      <w:pPr>
        <w:tabs>
          <w:tab w:val="left" w:pos="0"/>
        </w:tabs>
        <w:ind w:left="992" w:hanging="629"/>
      </w:pPr>
      <w:rPr>
        <w:rFonts w:hint="eastAsia"/>
        <w:vertAlign w:val="baseline"/>
      </w:rPr>
    </w:lvl>
  </w:abstractNum>
  <w:abstractNum w:abstractNumId="40">
    <w:nsid w:val="4C77D891"/>
    <w:multiLevelType w:val="multilevel"/>
    <w:tmpl w:val="4C77D891"/>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41">
    <w:nsid w:val="55E02EF4"/>
    <w:multiLevelType w:val="multilevel"/>
    <w:tmpl w:val="55E02EF4"/>
    <w:lvl w:ilvl="0" w:tentative="0">
      <w:start w:val="1"/>
      <w:numFmt w:val="decimal"/>
      <w:pStyle w:val="302"/>
      <w:lvlText w:val="图%1"/>
      <w:lvlJc w:val="left"/>
      <w:pPr>
        <w:tabs>
          <w:tab w:val="left" w:pos="510"/>
        </w:tabs>
        <w:ind w:left="0" w:firstLine="0"/>
      </w:pPr>
      <w:rPr>
        <w:rFonts w:hint="eastAsia" w:ascii="黑体" w:eastAsia="黑体"/>
        <w:b w:val="0"/>
        <w:i w:val="0"/>
        <w:sz w:val="21"/>
        <w:szCs w:val="21"/>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2">
    <w:nsid w:val="5696DBE3"/>
    <w:multiLevelType w:val="multilevel"/>
    <w:tmpl w:val="5696DBE3"/>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43">
    <w:nsid w:val="5924E0C2"/>
    <w:multiLevelType w:val="multilevel"/>
    <w:tmpl w:val="5924E0C2"/>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44">
    <w:nsid w:val="59641F7A"/>
    <w:multiLevelType w:val="multilevel"/>
    <w:tmpl w:val="59641F7A"/>
    <w:lvl w:ilvl="0" w:tentative="0">
      <w:start w:val="1"/>
      <w:numFmt w:val="decimal"/>
      <w:pStyle w:val="523"/>
      <w:suff w:val="nothing"/>
      <w:lvlText w:val="[%1] "/>
      <w:lvlJc w:val="left"/>
      <w:pPr>
        <w:ind w:left="0" w:firstLine="0"/>
      </w:pPr>
      <w:rPr>
        <w:rFonts w:hint="eastAsia" w:ascii="宋体" w:eastAsia="宋体"/>
        <w:sz w:val="21"/>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5">
    <w:nsid w:val="5B7E3733"/>
    <w:multiLevelType w:val="multilevel"/>
    <w:tmpl w:val="5B7E3733"/>
    <w:lvl w:ilvl="0" w:tentative="0">
      <w:start w:val="1"/>
      <w:numFmt w:val="decimal"/>
      <w:pStyle w:val="296"/>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abstractNum w:abstractNumId="46">
    <w:nsid w:val="5D75F970"/>
    <w:multiLevelType w:val="multilevel"/>
    <w:tmpl w:val="5D75F970"/>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47">
    <w:nsid w:val="5F3A3C3D"/>
    <w:multiLevelType w:val="multilevel"/>
    <w:tmpl w:val="5F3A3C3D"/>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48">
    <w:nsid w:val="60B55DC2"/>
    <w:multiLevelType w:val="multilevel"/>
    <w:tmpl w:val="60B55DC2"/>
    <w:lvl w:ilvl="0" w:tentative="0">
      <w:start w:val="1"/>
      <w:numFmt w:val="upperLetter"/>
      <w:pStyle w:val="347"/>
      <w:lvlText w:val="%1"/>
      <w:lvlJc w:val="left"/>
      <w:pPr>
        <w:tabs>
          <w:tab w:val="left" w:pos="0"/>
        </w:tabs>
        <w:ind w:left="0" w:firstLine="0"/>
      </w:pPr>
      <w:rPr>
        <w:rFonts w:hint="eastAsia"/>
      </w:rPr>
    </w:lvl>
    <w:lvl w:ilvl="1" w:tentative="0">
      <w:start w:val="1"/>
      <w:numFmt w:val="decimal"/>
      <w:pStyle w:val="275"/>
      <w:suff w:val="nothing"/>
      <w:lvlText w:val="表%1.%2　"/>
      <w:lvlJc w:val="left"/>
      <w:pPr>
        <w:ind w:left="0" w:firstLine="0"/>
      </w:pPr>
      <w:rPr>
        <w:rFonts w:hint="eastAsia" w:ascii="黑体" w:hAnsi="黑体" w:eastAsia="黑体"/>
        <w:b w:val="0"/>
        <w:i w:val="0"/>
        <w:caps w:val="0"/>
        <w:strike w:val="0"/>
        <w:dstrike w:val="0"/>
        <w:snapToGrid w:val="0"/>
        <w:vanish w:val="0"/>
        <w:kern w:val="0"/>
        <w:sz w:val="21"/>
        <w:vertAlign w:val="baseline"/>
      </w:rPr>
    </w:lvl>
    <w:lvl w:ilvl="2" w:tentative="0">
      <w:start w:val="1"/>
      <w:numFmt w:val="none"/>
      <w:pStyle w:val="317"/>
      <w:suff w:val="nothing"/>
      <w:lvlText w:val="表%1.%2　"/>
      <w:lvlJc w:val="left"/>
      <w:pPr>
        <w:ind w:left="0" w:firstLine="0"/>
      </w:pPr>
      <w:rPr>
        <w:rFonts w:hint="eastAsia" w:ascii="黑体" w:hAnsi="黑体" w:eastAsia="黑体"/>
        <w:b w:val="0"/>
        <w:i w:val="0"/>
        <w:sz w:val="21"/>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49">
    <w:nsid w:val="657D3FBC"/>
    <w:multiLevelType w:val="multilevel"/>
    <w:tmpl w:val="657D3FBC"/>
    <w:lvl w:ilvl="0" w:tentative="0">
      <w:start w:val="1"/>
      <w:numFmt w:val="upperLetter"/>
      <w:pStyle w:val="274"/>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276"/>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277"/>
      <w:suff w:val="nothing"/>
      <w:lvlText w:val="%1.%2.%3　"/>
      <w:lvlJc w:val="left"/>
      <w:pPr>
        <w:ind w:left="0" w:firstLine="0"/>
      </w:pPr>
      <w:rPr>
        <w:rFonts w:hint="eastAsia" w:ascii="黑体" w:hAnsi="Times New Roman" w:eastAsia="黑体"/>
        <w:b w:val="0"/>
        <w:i w:val="0"/>
        <w:sz w:val="21"/>
      </w:rPr>
    </w:lvl>
    <w:lvl w:ilvl="3" w:tentative="0">
      <w:start w:val="1"/>
      <w:numFmt w:val="decimal"/>
      <w:pStyle w:val="278"/>
      <w:suff w:val="nothing"/>
      <w:lvlText w:val="%1.%2.%3.%4　"/>
      <w:lvlJc w:val="left"/>
      <w:pPr>
        <w:ind w:left="0" w:firstLine="0"/>
      </w:pPr>
      <w:rPr>
        <w:rFonts w:hint="eastAsia" w:ascii="黑体" w:hAnsi="Times New Roman" w:eastAsia="黑体"/>
        <w:b w:val="0"/>
        <w:i w:val="0"/>
        <w:sz w:val="21"/>
      </w:rPr>
    </w:lvl>
    <w:lvl w:ilvl="4" w:tentative="0">
      <w:start w:val="1"/>
      <w:numFmt w:val="decimal"/>
      <w:pStyle w:val="279"/>
      <w:suff w:val="nothing"/>
      <w:lvlText w:val="%1.%2.%3.%4.%5　"/>
      <w:lvlJc w:val="left"/>
      <w:pPr>
        <w:ind w:left="0" w:firstLine="0"/>
      </w:pPr>
      <w:rPr>
        <w:rFonts w:hint="eastAsia" w:ascii="黑体" w:hAnsi="Times New Roman" w:eastAsia="黑体"/>
        <w:b w:val="0"/>
        <w:i w:val="0"/>
        <w:sz w:val="21"/>
      </w:rPr>
    </w:lvl>
    <w:lvl w:ilvl="5" w:tentative="0">
      <w:start w:val="1"/>
      <w:numFmt w:val="decimal"/>
      <w:pStyle w:val="280"/>
      <w:suff w:val="nothing"/>
      <w:lvlText w:val="%1.%2.%3.%4.%5.%6　"/>
      <w:lvlJc w:val="left"/>
      <w:pPr>
        <w:ind w:left="0" w:firstLine="0"/>
      </w:pPr>
      <w:rPr>
        <w:rFonts w:ascii="黑体" w:hAnsi="黑体" w:eastAsia="黑体" w:cs="Times New Roman"/>
        <w:b w:val="0"/>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6" w:tentative="0">
      <w:start w:val="1"/>
      <w:numFmt w:val="decimal"/>
      <w:pStyle w:val="282"/>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50">
    <w:nsid w:val="6DBF04F4"/>
    <w:multiLevelType w:val="multilevel"/>
    <w:tmpl w:val="6DBF04F4"/>
    <w:lvl w:ilvl="0" w:tentative="0">
      <w:start w:val="1"/>
      <w:numFmt w:val="none"/>
      <w:pStyle w:val="303"/>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51">
    <w:nsid w:val="763A6836"/>
    <w:multiLevelType w:val="multilevel"/>
    <w:tmpl w:val="763A6836"/>
    <w:lvl w:ilvl="0" w:tentative="0">
      <w:start w:val="1"/>
      <w:numFmt w:val="none"/>
      <w:suff w:val="nothing"/>
      <w:lvlText w:val=""/>
      <w:lvlJc w:val="left"/>
      <w:pPr>
        <w:ind w:left="0" w:firstLine="0"/>
      </w:pPr>
      <w:rPr>
        <w:rFonts w:hint="eastAsia" w:ascii="黑体" w:hAnsi="Times New Roman" w:eastAsia="黑体"/>
        <w:b/>
        <w:i w:val="0"/>
        <w:sz w:val="28"/>
      </w:rPr>
    </w:lvl>
    <w:lvl w:ilvl="1" w:tentative="0">
      <w:start w:val="1"/>
      <w:numFmt w:val="decimal"/>
      <w:pStyle w:val="307"/>
      <w:suff w:val="nothing"/>
      <w:lvlText w:val="%1%2 "/>
      <w:lvlJc w:val="left"/>
      <w:pPr>
        <w:ind w:left="0" w:firstLine="0"/>
      </w:pPr>
      <w:rPr>
        <w:rFonts w:hint="eastAsia" w:ascii="黑体" w:hAnsi="Times New Roman" w:eastAsia="黑体"/>
        <w:b/>
        <w:i w:val="0"/>
        <w:sz w:val="28"/>
      </w:rPr>
    </w:lvl>
    <w:lvl w:ilvl="2" w:tentative="0">
      <w:start w:val="1"/>
      <w:numFmt w:val="decimal"/>
      <w:pStyle w:val="308"/>
      <w:suff w:val="nothing"/>
      <w:lvlText w:val="%1%2.%3　"/>
      <w:lvlJc w:val="left"/>
      <w:pPr>
        <w:ind w:left="0" w:firstLine="0"/>
      </w:pPr>
      <w:rPr>
        <w:rFonts w:hint="eastAsia" w:ascii="黑体" w:hAnsi="Times New Roman" w:eastAsia="黑体"/>
        <w:b/>
        <w:i w:val="0"/>
        <w:sz w:val="21"/>
      </w:rPr>
    </w:lvl>
    <w:lvl w:ilvl="3" w:tentative="0">
      <w:start w:val="1"/>
      <w:numFmt w:val="decimal"/>
      <w:pStyle w:val="309"/>
      <w:suff w:val="nothing"/>
      <w:lvlText w:val="%1%2.%3.%4　"/>
      <w:lvlJc w:val="left"/>
      <w:pPr>
        <w:ind w:left="0" w:firstLine="0"/>
      </w:pPr>
      <w:rPr>
        <w:rFonts w:hint="eastAsia" w:ascii="黑体" w:hAnsi="Times New Roman" w:eastAsia="黑体"/>
        <w:b/>
        <w:i w:val="0"/>
        <w:sz w:val="21"/>
      </w:rPr>
    </w:lvl>
    <w:lvl w:ilvl="4" w:tentative="0">
      <w:start w:val="1"/>
      <w:numFmt w:val="decimal"/>
      <w:pStyle w:val="310"/>
      <w:suff w:val="nothing"/>
      <w:lvlText w:val="表%1%2.%3.%4-%5 "/>
      <w:lvlJc w:val="left"/>
      <w:pPr>
        <w:ind w:left="0" w:firstLine="0"/>
      </w:pPr>
      <w:rPr>
        <w:rFonts w:hint="eastAsia" w:ascii="黑体" w:hAnsi="Times New Roman" w:eastAsia="黑体"/>
        <w:b/>
        <w:i w:val="0"/>
        <w:sz w:val="21"/>
      </w:rPr>
    </w:lvl>
    <w:lvl w:ilvl="5" w:tentative="0">
      <w:start w:val="1"/>
      <w:numFmt w:val="decimal"/>
      <w:lvlRestart w:val="4"/>
      <w:pStyle w:val="311"/>
      <w:suff w:val="nothing"/>
      <w:lvlText w:val="%1图%2.%3.%4-%6 "/>
      <w:lvlJc w:val="left"/>
      <w:pPr>
        <w:ind w:left="0" w:firstLine="0"/>
      </w:pPr>
      <w:rPr>
        <w:rFonts w:hint="eastAsia" w:ascii="黑体" w:hAnsi="Times New Roman" w:eastAsia="黑体"/>
        <w:b/>
        <w:i w:val="0"/>
        <w:sz w:val="21"/>
      </w:rPr>
    </w:lvl>
    <w:lvl w:ilvl="6" w:tentative="0">
      <w:start w:val="1"/>
      <w:numFmt w:val="decimal"/>
      <w:lvlRestart w:val="4"/>
      <w:pStyle w:val="312"/>
      <w:suff w:val="nothing"/>
      <w:lvlText w:val="(%2.%3.%4-%7)"/>
      <w:lvlJc w:val="center"/>
      <w:pPr>
        <w:ind w:left="288" w:firstLine="288"/>
      </w:pPr>
      <w:rPr>
        <w:rFonts w:hint="eastAsia" w:ascii="黑体" w:hAnsi="Times New Roman" w:eastAsia="黑体"/>
        <w:b/>
        <w:i w:val="0"/>
        <w:sz w:val="21"/>
      </w:rPr>
    </w:lvl>
    <w:lvl w:ilvl="7" w:tentative="0">
      <w:start w:val="1"/>
      <w:numFmt w:val="decimal"/>
      <w:lvlRestart w:val="2"/>
      <w:pStyle w:val="314"/>
      <w:lvlText w:val="    %1%8"/>
      <w:lvlJc w:val="left"/>
      <w:pPr>
        <w:tabs>
          <w:tab w:val="left" w:pos="720"/>
        </w:tabs>
        <w:ind w:left="0" w:firstLine="0"/>
      </w:pPr>
      <w:rPr>
        <w:rFonts w:hint="eastAsia" w:ascii="黑体" w:eastAsia="黑体"/>
        <w:b/>
        <w:i w:val="0"/>
        <w:sz w:val="21"/>
      </w:rPr>
    </w:lvl>
    <w:lvl w:ilvl="8" w:tentative="0">
      <w:start w:val="1"/>
      <w:numFmt w:val="decimal"/>
      <w:lvlRestart w:val="2"/>
      <w:pStyle w:val="313"/>
      <w:lvlText w:val="%2.0.%9"/>
      <w:lvlJc w:val="left"/>
      <w:pPr>
        <w:tabs>
          <w:tab w:val="left" w:pos="720"/>
        </w:tabs>
        <w:ind w:left="0" w:firstLine="0"/>
      </w:pPr>
      <w:rPr>
        <w:rFonts w:hint="eastAsia" w:ascii="黑体" w:hAnsi="华文细黑" w:eastAsia="黑体"/>
        <w:b/>
        <w:i w:val="0"/>
        <w:sz w:val="21"/>
      </w:rPr>
    </w:lvl>
  </w:abstractNum>
  <w:abstractNum w:abstractNumId="52">
    <w:nsid w:val="76933334"/>
    <w:multiLevelType w:val="multilevel"/>
    <w:tmpl w:val="76933334"/>
    <w:lvl w:ilvl="0" w:tentative="0">
      <w:start w:val="1"/>
      <w:numFmt w:val="none"/>
      <w:pStyle w:val="285"/>
      <w:lvlText w:val="%1——"/>
      <w:lvlJc w:val="left"/>
      <w:pPr>
        <w:tabs>
          <w:tab w:val="left" w:pos="1140"/>
        </w:tabs>
        <w:ind w:left="840" w:hanging="420"/>
      </w:pPr>
      <w:rPr>
        <w:rFonts w:hint="eastAsia" w:ascii="黑体" w:hAnsi="黑体" w:eastAsia="黑体"/>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3">
    <w:nsid w:val="7BC12B49"/>
    <w:multiLevelType w:val="multilevel"/>
    <w:tmpl w:val="7BC12B49"/>
    <w:lvl w:ilvl="0" w:tentative="0">
      <w:start w:val="1"/>
      <w:numFmt w:val="lowerLetter"/>
      <w:pStyle w:val="305"/>
      <w:lvlText w:val="%1)"/>
      <w:lvlJc w:val="left"/>
      <w:pPr>
        <w:tabs>
          <w:tab w:val="left" w:pos="840"/>
        </w:tabs>
        <w:ind w:left="839" w:hanging="419"/>
      </w:pPr>
      <w:rPr>
        <w:rFonts w:hint="eastAsia" w:ascii="宋体" w:eastAsia="宋体"/>
        <w:b w:val="0"/>
        <w:i w:val="0"/>
        <w:sz w:val="21"/>
        <w:szCs w:val="21"/>
      </w:rPr>
    </w:lvl>
    <w:lvl w:ilvl="1" w:tentative="0">
      <w:start w:val="1"/>
      <w:numFmt w:val="decimal"/>
      <w:pStyle w:val="294"/>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num w:numId="1">
    <w:abstractNumId w:val="16"/>
  </w:num>
  <w:num w:numId="2">
    <w:abstractNumId w:val="18"/>
  </w:num>
  <w:num w:numId="3">
    <w:abstractNumId w:val="21"/>
  </w:num>
  <w:num w:numId="4">
    <w:abstractNumId w:val="22"/>
  </w:num>
  <w:num w:numId="5">
    <w:abstractNumId w:val="19"/>
  </w:num>
  <w:num w:numId="6">
    <w:abstractNumId w:val="15"/>
  </w:num>
  <w:num w:numId="7">
    <w:abstractNumId w:val="20"/>
  </w:num>
  <w:num w:numId="8">
    <w:abstractNumId w:val="17"/>
  </w:num>
  <w:num w:numId="9">
    <w:abstractNumId w:val="14"/>
  </w:num>
  <w:num w:numId="10">
    <w:abstractNumId w:val="13"/>
  </w:num>
  <w:num w:numId="11">
    <w:abstractNumId w:val="32"/>
  </w:num>
  <w:num w:numId="12">
    <w:abstractNumId w:val="49"/>
  </w:num>
  <w:num w:numId="13">
    <w:abstractNumId w:val="48"/>
  </w:num>
  <w:num w:numId="14">
    <w:abstractNumId w:val="33"/>
  </w:num>
  <w:num w:numId="15">
    <w:abstractNumId w:val="52"/>
  </w:num>
  <w:num w:numId="16">
    <w:abstractNumId w:val="28"/>
  </w:num>
  <w:num w:numId="17">
    <w:abstractNumId w:val="53"/>
  </w:num>
  <w:num w:numId="18">
    <w:abstractNumId w:val="45"/>
  </w:num>
  <w:num w:numId="19">
    <w:abstractNumId w:val="27"/>
  </w:num>
  <w:num w:numId="20">
    <w:abstractNumId w:val="41"/>
  </w:num>
  <w:num w:numId="21">
    <w:abstractNumId w:val="50"/>
  </w:num>
  <w:num w:numId="22">
    <w:abstractNumId w:val="12"/>
  </w:num>
  <w:num w:numId="23">
    <w:abstractNumId w:val="39"/>
  </w:num>
  <w:num w:numId="24">
    <w:abstractNumId w:val="51"/>
  </w:num>
  <w:num w:numId="25">
    <w:abstractNumId w:val="30"/>
  </w:num>
  <w:num w:numId="26">
    <w:abstractNumId w:val="37"/>
  </w:num>
  <w:num w:numId="27">
    <w:abstractNumId w:val="26"/>
  </w:num>
  <w:num w:numId="28">
    <w:abstractNumId w:val="44"/>
  </w:num>
  <w:num w:numId="29">
    <w:abstractNumId w:val="36"/>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num>
  <w:num w:numId="3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mirrorMargins w:val="1"/>
  <w:bordersDoNotSurroundHeader w:val="1"/>
  <w:bordersDoNotSurroundFooter w:val="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attachedTemplate r:id="rId1"/>
  <w:documentProtection w:formatting="1" w:enforcement="0"/>
  <w:defaultTabStop w:val="210"/>
  <w:evenAndOddHeaders w:val="1"/>
  <w:drawingGridHorizontalSpacing w:val="210"/>
  <w:drawingGridVerticalSpacing w:val="156"/>
  <w:displayHorizontalDrawingGridEvery w:val="1"/>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FjYWI2N2YyNDFlNDA1ZThhMmUxOGFmN2I2MmRlZGYifQ=="/>
  </w:docVars>
  <w:rsids>
    <w:rsidRoot w:val="0E433648"/>
    <w:rsid w:val="00006548"/>
    <w:rsid w:val="00027BD3"/>
    <w:rsid w:val="00031EEE"/>
    <w:rsid w:val="00036B39"/>
    <w:rsid w:val="000372EA"/>
    <w:rsid w:val="00040BBF"/>
    <w:rsid w:val="00043421"/>
    <w:rsid w:val="00050E91"/>
    <w:rsid w:val="00053FB5"/>
    <w:rsid w:val="00075DD9"/>
    <w:rsid w:val="00076F59"/>
    <w:rsid w:val="0009271F"/>
    <w:rsid w:val="0009648F"/>
    <w:rsid w:val="000A568D"/>
    <w:rsid w:val="000A6E5F"/>
    <w:rsid w:val="000B6ECB"/>
    <w:rsid w:val="000C21DC"/>
    <w:rsid w:val="000C2EFF"/>
    <w:rsid w:val="000D2D03"/>
    <w:rsid w:val="000E2B29"/>
    <w:rsid w:val="000E7B1D"/>
    <w:rsid w:val="000F1341"/>
    <w:rsid w:val="00123BF9"/>
    <w:rsid w:val="00127602"/>
    <w:rsid w:val="00144633"/>
    <w:rsid w:val="001517CF"/>
    <w:rsid w:val="00164C6D"/>
    <w:rsid w:val="00170B1F"/>
    <w:rsid w:val="00172236"/>
    <w:rsid w:val="001748CC"/>
    <w:rsid w:val="0017737E"/>
    <w:rsid w:val="001830DE"/>
    <w:rsid w:val="001A2EED"/>
    <w:rsid w:val="001A5BF9"/>
    <w:rsid w:val="001C2054"/>
    <w:rsid w:val="001C69E3"/>
    <w:rsid w:val="001D5AA4"/>
    <w:rsid w:val="001D71BA"/>
    <w:rsid w:val="001F0E09"/>
    <w:rsid w:val="001F724D"/>
    <w:rsid w:val="00216264"/>
    <w:rsid w:val="00227E52"/>
    <w:rsid w:val="002310FD"/>
    <w:rsid w:val="00235CB0"/>
    <w:rsid w:val="00247E6D"/>
    <w:rsid w:val="00267674"/>
    <w:rsid w:val="00277D91"/>
    <w:rsid w:val="00282FBE"/>
    <w:rsid w:val="00287FD8"/>
    <w:rsid w:val="002917C0"/>
    <w:rsid w:val="00293778"/>
    <w:rsid w:val="002A3BE2"/>
    <w:rsid w:val="002A4DD0"/>
    <w:rsid w:val="002A6B18"/>
    <w:rsid w:val="002B778D"/>
    <w:rsid w:val="002C6C4A"/>
    <w:rsid w:val="002E08C1"/>
    <w:rsid w:val="002E5F3F"/>
    <w:rsid w:val="002F1862"/>
    <w:rsid w:val="00303CA5"/>
    <w:rsid w:val="00316CBA"/>
    <w:rsid w:val="00324802"/>
    <w:rsid w:val="00337CA1"/>
    <w:rsid w:val="0035531D"/>
    <w:rsid w:val="00366B99"/>
    <w:rsid w:val="00397925"/>
    <w:rsid w:val="003A4F7B"/>
    <w:rsid w:val="003B65E2"/>
    <w:rsid w:val="003C5C82"/>
    <w:rsid w:val="003D636C"/>
    <w:rsid w:val="003E7CE2"/>
    <w:rsid w:val="003F2DA8"/>
    <w:rsid w:val="003F603C"/>
    <w:rsid w:val="003F764E"/>
    <w:rsid w:val="00405B77"/>
    <w:rsid w:val="00406CC1"/>
    <w:rsid w:val="0041207A"/>
    <w:rsid w:val="00436ECC"/>
    <w:rsid w:val="004414E6"/>
    <w:rsid w:val="00447DDB"/>
    <w:rsid w:val="004548A9"/>
    <w:rsid w:val="0046160C"/>
    <w:rsid w:val="004619AC"/>
    <w:rsid w:val="00463A10"/>
    <w:rsid w:val="00465B7B"/>
    <w:rsid w:val="00466FF2"/>
    <w:rsid w:val="00467339"/>
    <w:rsid w:val="004826C9"/>
    <w:rsid w:val="0048668C"/>
    <w:rsid w:val="00490088"/>
    <w:rsid w:val="004A3243"/>
    <w:rsid w:val="004D0182"/>
    <w:rsid w:val="0050545B"/>
    <w:rsid w:val="005134E3"/>
    <w:rsid w:val="00515AC9"/>
    <w:rsid w:val="005175BF"/>
    <w:rsid w:val="00517D40"/>
    <w:rsid w:val="00520DEA"/>
    <w:rsid w:val="00521E61"/>
    <w:rsid w:val="005272AE"/>
    <w:rsid w:val="005322CC"/>
    <w:rsid w:val="00532D32"/>
    <w:rsid w:val="0053303D"/>
    <w:rsid w:val="00534928"/>
    <w:rsid w:val="00562526"/>
    <w:rsid w:val="00573966"/>
    <w:rsid w:val="00573CAA"/>
    <w:rsid w:val="00596BBE"/>
    <w:rsid w:val="005A35D5"/>
    <w:rsid w:val="005A406C"/>
    <w:rsid w:val="005B03CE"/>
    <w:rsid w:val="005D203A"/>
    <w:rsid w:val="005D5966"/>
    <w:rsid w:val="00601445"/>
    <w:rsid w:val="00611BD0"/>
    <w:rsid w:val="0061695B"/>
    <w:rsid w:val="00630366"/>
    <w:rsid w:val="00630EC5"/>
    <w:rsid w:val="0065094C"/>
    <w:rsid w:val="00674639"/>
    <w:rsid w:val="00677E34"/>
    <w:rsid w:val="00681844"/>
    <w:rsid w:val="006A01D7"/>
    <w:rsid w:val="006B643E"/>
    <w:rsid w:val="006D12A2"/>
    <w:rsid w:val="006D6D2B"/>
    <w:rsid w:val="006E740A"/>
    <w:rsid w:val="006E7E4F"/>
    <w:rsid w:val="006F1FF9"/>
    <w:rsid w:val="007064A5"/>
    <w:rsid w:val="007141B1"/>
    <w:rsid w:val="00715BD0"/>
    <w:rsid w:val="00727842"/>
    <w:rsid w:val="0073641E"/>
    <w:rsid w:val="00743CC7"/>
    <w:rsid w:val="0074732A"/>
    <w:rsid w:val="00767B2F"/>
    <w:rsid w:val="00773A5E"/>
    <w:rsid w:val="00776408"/>
    <w:rsid w:val="0078233D"/>
    <w:rsid w:val="00792DBE"/>
    <w:rsid w:val="00795E45"/>
    <w:rsid w:val="007A678E"/>
    <w:rsid w:val="007D2FAA"/>
    <w:rsid w:val="007E0206"/>
    <w:rsid w:val="007E3F4F"/>
    <w:rsid w:val="007F69B9"/>
    <w:rsid w:val="00811C33"/>
    <w:rsid w:val="00812A2C"/>
    <w:rsid w:val="008152EB"/>
    <w:rsid w:val="00846D16"/>
    <w:rsid w:val="00852FD6"/>
    <w:rsid w:val="00862997"/>
    <w:rsid w:val="00863677"/>
    <w:rsid w:val="0086798F"/>
    <w:rsid w:val="00867C2D"/>
    <w:rsid w:val="008708FD"/>
    <w:rsid w:val="008871CE"/>
    <w:rsid w:val="008C0296"/>
    <w:rsid w:val="008C5347"/>
    <w:rsid w:val="008D2560"/>
    <w:rsid w:val="008D383F"/>
    <w:rsid w:val="008E1AE0"/>
    <w:rsid w:val="008E351F"/>
    <w:rsid w:val="00901DA3"/>
    <w:rsid w:val="0091784D"/>
    <w:rsid w:val="00942502"/>
    <w:rsid w:val="009535DF"/>
    <w:rsid w:val="0095659D"/>
    <w:rsid w:val="009676B1"/>
    <w:rsid w:val="009708B6"/>
    <w:rsid w:val="009721AF"/>
    <w:rsid w:val="00995610"/>
    <w:rsid w:val="009A2C2B"/>
    <w:rsid w:val="009C0704"/>
    <w:rsid w:val="009C682F"/>
    <w:rsid w:val="009D19E4"/>
    <w:rsid w:val="009E0625"/>
    <w:rsid w:val="009E723F"/>
    <w:rsid w:val="009F7CDF"/>
    <w:rsid w:val="00A329C9"/>
    <w:rsid w:val="00A342E2"/>
    <w:rsid w:val="00A35C5B"/>
    <w:rsid w:val="00A40CF5"/>
    <w:rsid w:val="00A470A7"/>
    <w:rsid w:val="00A473CC"/>
    <w:rsid w:val="00A832D8"/>
    <w:rsid w:val="00A87239"/>
    <w:rsid w:val="00A94542"/>
    <w:rsid w:val="00AA4903"/>
    <w:rsid w:val="00AA4BDA"/>
    <w:rsid w:val="00AB12B4"/>
    <w:rsid w:val="00AC06BB"/>
    <w:rsid w:val="00AC3ACC"/>
    <w:rsid w:val="00AD7ECC"/>
    <w:rsid w:val="00AE108D"/>
    <w:rsid w:val="00AE3FF9"/>
    <w:rsid w:val="00AE547B"/>
    <w:rsid w:val="00AF2B0D"/>
    <w:rsid w:val="00AF2DD6"/>
    <w:rsid w:val="00B01D8B"/>
    <w:rsid w:val="00B0338D"/>
    <w:rsid w:val="00B0682B"/>
    <w:rsid w:val="00B06B22"/>
    <w:rsid w:val="00B06F9F"/>
    <w:rsid w:val="00B13E76"/>
    <w:rsid w:val="00B226E1"/>
    <w:rsid w:val="00B23075"/>
    <w:rsid w:val="00B37C0E"/>
    <w:rsid w:val="00B454CA"/>
    <w:rsid w:val="00B55871"/>
    <w:rsid w:val="00B565EB"/>
    <w:rsid w:val="00B614B1"/>
    <w:rsid w:val="00B74D02"/>
    <w:rsid w:val="00B807AF"/>
    <w:rsid w:val="00B90349"/>
    <w:rsid w:val="00BC6C4C"/>
    <w:rsid w:val="00BE027D"/>
    <w:rsid w:val="00BF3DB8"/>
    <w:rsid w:val="00BF533F"/>
    <w:rsid w:val="00C12F1C"/>
    <w:rsid w:val="00C1643F"/>
    <w:rsid w:val="00C22264"/>
    <w:rsid w:val="00C231D9"/>
    <w:rsid w:val="00C26FF1"/>
    <w:rsid w:val="00C7294C"/>
    <w:rsid w:val="00C7721B"/>
    <w:rsid w:val="00C80B64"/>
    <w:rsid w:val="00C825D9"/>
    <w:rsid w:val="00CA1496"/>
    <w:rsid w:val="00CA612B"/>
    <w:rsid w:val="00CA6A4E"/>
    <w:rsid w:val="00CB5BB7"/>
    <w:rsid w:val="00CC19EC"/>
    <w:rsid w:val="00CE0378"/>
    <w:rsid w:val="00CF740D"/>
    <w:rsid w:val="00D10F52"/>
    <w:rsid w:val="00D20260"/>
    <w:rsid w:val="00D32102"/>
    <w:rsid w:val="00D679FB"/>
    <w:rsid w:val="00D77681"/>
    <w:rsid w:val="00DB4638"/>
    <w:rsid w:val="00DB79A4"/>
    <w:rsid w:val="00DC300E"/>
    <w:rsid w:val="00DC5920"/>
    <w:rsid w:val="00DE6C5C"/>
    <w:rsid w:val="00DE79D1"/>
    <w:rsid w:val="00DF3719"/>
    <w:rsid w:val="00E05C6A"/>
    <w:rsid w:val="00E05E73"/>
    <w:rsid w:val="00E12E32"/>
    <w:rsid w:val="00E245C7"/>
    <w:rsid w:val="00E307EE"/>
    <w:rsid w:val="00E30917"/>
    <w:rsid w:val="00E33A22"/>
    <w:rsid w:val="00E376DF"/>
    <w:rsid w:val="00E41DF6"/>
    <w:rsid w:val="00E558DE"/>
    <w:rsid w:val="00E638E4"/>
    <w:rsid w:val="00E73319"/>
    <w:rsid w:val="00E83142"/>
    <w:rsid w:val="00E87A23"/>
    <w:rsid w:val="00E96430"/>
    <w:rsid w:val="00E96E93"/>
    <w:rsid w:val="00EB08B3"/>
    <w:rsid w:val="00ED1474"/>
    <w:rsid w:val="00ED7098"/>
    <w:rsid w:val="00EE4858"/>
    <w:rsid w:val="00EE4A1A"/>
    <w:rsid w:val="00F172FB"/>
    <w:rsid w:val="00F17B6A"/>
    <w:rsid w:val="00F252F0"/>
    <w:rsid w:val="00F25CA4"/>
    <w:rsid w:val="00F3590F"/>
    <w:rsid w:val="00F44738"/>
    <w:rsid w:val="00F66499"/>
    <w:rsid w:val="00F73EF2"/>
    <w:rsid w:val="00F8041E"/>
    <w:rsid w:val="00F863B5"/>
    <w:rsid w:val="00FA2C2F"/>
    <w:rsid w:val="00FD74B3"/>
    <w:rsid w:val="00FE15CE"/>
    <w:rsid w:val="01583CB5"/>
    <w:rsid w:val="01B075E3"/>
    <w:rsid w:val="02F8526B"/>
    <w:rsid w:val="03D80DDD"/>
    <w:rsid w:val="050A5D18"/>
    <w:rsid w:val="066D7C0B"/>
    <w:rsid w:val="069B6F07"/>
    <w:rsid w:val="069D26C6"/>
    <w:rsid w:val="07D45B51"/>
    <w:rsid w:val="07DF49F4"/>
    <w:rsid w:val="07F46E96"/>
    <w:rsid w:val="095615D9"/>
    <w:rsid w:val="0A8F57AB"/>
    <w:rsid w:val="0A9E5405"/>
    <w:rsid w:val="0D456679"/>
    <w:rsid w:val="0D5458F7"/>
    <w:rsid w:val="0DA43ADF"/>
    <w:rsid w:val="0DB63EF9"/>
    <w:rsid w:val="0E433648"/>
    <w:rsid w:val="0E504BFA"/>
    <w:rsid w:val="0ECE6C20"/>
    <w:rsid w:val="0F922C8C"/>
    <w:rsid w:val="10447E2C"/>
    <w:rsid w:val="105461D5"/>
    <w:rsid w:val="112C5061"/>
    <w:rsid w:val="12B44556"/>
    <w:rsid w:val="12BA61C8"/>
    <w:rsid w:val="136001E0"/>
    <w:rsid w:val="137568FB"/>
    <w:rsid w:val="147A78A7"/>
    <w:rsid w:val="14F605A9"/>
    <w:rsid w:val="14F62DAD"/>
    <w:rsid w:val="15FB5DF5"/>
    <w:rsid w:val="16133F0A"/>
    <w:rsid w:val="167E3B87"/>
    <w:rsid w:val="16894D75"/>
    <w:rsid w:val="17C55C14"/>
    <w:rsid w:val="181F4655"/>
    <w:rsid w:val="18570813"/>
    <w:rsid w:val="18856C48"/>
    <w:rsid w:val="18BE7D6A"/>
    <w:rsid w:val="18EA4AB9"/>
    <w:rsid w:val="19F61D2D"/>
    <w:rsid w:val="1A9B05AB"/>
    <w:rsid w:val="1B512FE3"/>
    <w:rsid w:val="1C6A3CB8"/>
    <w:rsid w:val="1C775335"/>
    <w:rsid w:val="1CC43DD6"/>
    <w:rsid w:val="1DF14E11"/>
    <w:rsid w:val="1E180F57"/>
    <w:rsid w:val="1EB30B2D"/>
    <w:rsid w:val="1FA71505"/>
    <w:rsid w:val="215D7967"/>
    <w:rsid w:val="22262173"/>
    <w:rsid w:val="22427D78"/>
    <w:rsid w:val="22C617E9"/>
    <w:rsid w:val="232E7395"/>
    <w:rsid w:val="242C49AE"/>
    <w:rsid w:val="25E32D75"/>
    <w:rsid w:val="265E1FC0"/>
    <w:rsid w:val="268F43C1"/>
    <w:rsid w:val="27894F00"/>
    <w:rsid w:val="281B320B"/>
    <w:rsid w:val="28651F05"/>
    <w:rsid w:val="288E2F16"/>
    <w:rsid w:val="29867BEF"/>
    <w:rsid w:val="2AA00845"/>
    <w:rsid w:val="2AAD1B5F"/>
    <w:rsid w:val="2B5E1F98"/>
    <w:rsid w:val="2B994C23"/>
    <w:rsid w:val="2BD754E0"/>
    <w:rsid w:val="2CE11D79"/>
    <w:rsid w:val="2E4C4B4C"/>
    <w:rsid w:val="2EAF10AF"/>
    <w:rsid w:val="2F7D6EAF"/>
    <w:rsid w:val="2F8E1B12"/>
    <w:rsid w:val="2FED643A"/>
    <w:rsid w:val="31AE7F96"/>
    <w:rsid w:val="31F37CB2"/>
    <w:rsid w:val="32F50547"/>
    <w:rsid w:val="32FB0FC4"/>
    <w:rsid w:val="333779CC"/>
    <w:rsid w:val="334661E0"/>
    <w:rsid w:val="33914B69"/>
    <w:rsid w:val="344764A3"/>
    <w:rsid w:val="34F8030B"/>
    <w:rsid w:val="36582AB5"/>
    <w:rsid w:val="37240444"/>
    <w:rsid w:val="37C4056E"/>
    <w:rsid w:val="38563F83"/>
    <w:rsid w:val="39646937"/>
    <w:rsid w:val="3A902A7B"/>
    <w:rsid w:val="3AA331F3"/>
    <w:rsid w:val="3B861237"/>
    <w:rsid w:val="3BEA44A7"/>
    <w:rsid w:val="3CD15681"/>
    <w:rsid w:val="3D1611E5"/>
    <w:rsid w:val="3D523C6F"/>
    <w:rsid w:val="3E85189D"/>
    <w:rsid w:val="3F4C545D"/>
    <w:rsid w:val="40730798"/>
    <w:rsid w:val="426A7235"/>
    <w:rsid w:val="428F6756"/>
    <w:rsid w:val="42A5462D"/>
    <w:rsid w:val="44126937"/>
    <w:rsid w:val="454B20A8"/>
    <w:rsid w:val="4588581A"/>
    <w:rsid w:val="47B303B1"/>
    <w:rsid w:val="48F66FAD"/>
    <w:rsid w:val="49295994"/>
    <w:rsid w:val="49CF260F"/>
    <w:rsid w:val="49E16CEB"/>
    <w:rsid w:val="4A6A3FCF"/>
    <w:rsid w:val="4AC91785"/>
    <w:rsid w:val="4ACA678D"/>
    <w:rsid w:val="4AD23A9F"/>
    <w:rsid w:val="4B9B3F80"/>
    <w:rsid w:val="4BD15F17"/>
    <w:rsid w:val="4C536A31"/>
    <w:rsid w:val="4C8677AC"/>
    <w:rsid w:val="4D3C2BDA"/>
    <w:rsid w:val="4DAD667E"/>
    <w:rsid w:val="4DD053B8"/>
    <w:rsid w:val="4EB90136"/>
    <w:rsid w:val="4FD54E01"/>
    <w:rsid w:val="50365B27"/>
    <w:rsid w:val="5104744C"/>
    <w:rsid w:val="51462DCE"/>
    <w:rsid w:val="516748F1"/>
    <w:rsid w:val="52296DE2"/>
    <w:rsid w:val="526C6B49"/>
    <w:rsid w:val="5290573F"/>
    <w:rsid w:val="52AF1CCA"/>
    <w:rsid w:val="535A1B4B"/>
    <w:rsid w:val="537D4CA2"/>
    <w:rsid w:val="53F612D6"/>
    <w:rsid w:val="55403327"/>
    <w:rsid w:val="55DF4587"/>
    <w:rsid w:val="565463B1"/>
    <w:rsid w:val="56930F0D"/>
    <w:rsid w:val="57B93214"/>
    <w:rsid w:val="587031FC"/>
    <w:rsid w:val="59011310"/>
    <w:rsid w:val="5ABE6BED"/>
    <w:rsid w:val="5BB3691C"/>
    <w:rsid w:val="5CB4727D"/>
    <w:rsid w:val="5D191063"/>
    <w:rsid w:val="5DC7137D"/>
    <w:rsid w:val="5E0D6C7A"/>
    <w:rsid w:val="5EB6677A"/>
    <w:rsid w:val="5F07297A"/>
    <w:rsid w:val="5F8070CD"/>
    <w:rsid w:val="5F81598E"/>
    <w:rsid w:val="5F824661"/>
    <w:rsid w:val="60BC4B20"/>
    <w:rsid w:val="62B86491"/>
    <w:rsid w:val="62E12629"/>
    <w:rsid w:val="649F482B"/>
    <w:rsid w:val="65805430"/>
    <w:rsid w:val="66E7136E"/>
    <w:rsid w:val="67420254"/>
    <w:rsid w:val="67E85F24"/>
    <w:rsid w:val="69020CEC"/>
    <w:rsid w:val="69851C07"/>
    <w:rsid w:val="6A166B97"/>
    <w:rsid w:val="6A4E2DAA"/>
    <w:rsid w:val="6A567DA8"/>
    <w:rsid w:val="6ACA5261"/>
    <w:rsid w:val="6C8738E5"/>
    <w:rsid w:val="6CFC315C"/>
    <w:rsid w:val="6F5A33DD"/>
    <w:rsid w:val="6FBF4A68"/>
    <w:rsid w:val="71637051"/>
    <w:rsid w:val="72B44005"/>
    <w:rsid w:val="72BF30F2"/>
    <w:rsid w:val="72DC3AFD"/>
    <w:rsid w:val="730F42F0"/>
    <w:rsid w:val="749B3D7F"/>
    <w:rsid w:val="756862ED"/>
    <w:rsid w:val="762E2EBC"/>
    <w:rsid w:val="76604D56"/>
    <w:rsid w:val="76885F46"/>
    <w:rsid w:val="76A72979"/>
    <w:rsid w:val="78187C5D"/>
    <w:rsid w:val="786D7AB0"/>
    <w:rsid w:val="787E1014"/>
    <w:rsid w:val="7A3057AD"/>
    <w:rsid w:val="7B3348E8"/>
    <w:rsid w:val="7B8A6D10"/>
    <w:rsid w:val="7D4D21A3"/>
    <w:rsid w:val="7ECA2ADA"/>
    <w:rsid w:val="7EFF70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iPriority="99" w:name="index 1"/>
    <w:lsdException w:qFormat="1" w:uiPriority="99" w:name="index 2"/>
    <w:lsdException w:qFormat="1" w:uiPriority="99" w:name="index 3"/>
    <w:lsdException w:qFormat="1" w:uiPriority="99" w:name="index 4"/>
    <w:lsdException w:qFormat="1" w:uiPriority="99" w:name="index 5"/>
    <w:lsdException w:qFormat="1" w:uiPriority="99" w:name="index 6"/>
    <w:lsdException w:qFormat="1" w:uiPriority="99" w:name="index 7"/>
    <w:lsdException w:qFormat="1" w:uiPriority="99" w:name="index 8"/>
    <w:lsdException w:qFormat="1" w:uiPriority="99" w:name="index 9"/>
    <w:lsdException w:qFormat="1" w:unhideWhenUsed="0" w:uiPriority="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99" w:name="Normal Indent"/>
    <w:lsdException w:qFormat="1" w:unhideWhenUsed="0" w:uiPriority="0" w:name="footnote text"/>
    <w:lsdException w:qFormat="1" w:uiPriority="99" w:name="annotation text"/>
    <w:lsdException w:qFormat="1" w:unhideWhenUsed="0" w:uiPriority="0" w:name="header"/>
    <w:lsdException w:qFormat="1" w:unhideWhenUsed="0" w:uiPriority="0" w:name="footer"/>
    <w:lsdException w:qFormat="1" w:uiPriority="99" w:name="index heading"/>
    <w:lsdException w:qFormat="1" w:unhideWhenUsed="0" w:uiPriority="0" w:semiHidden="0" w:name="caption"/>
    <w:lsdException w:qFormat="1" w:unhideWhenUsed="0" w:uiPriority="0" w:name="table of figures"/>
    <w:lsdException w:qFormat="1" w:uiPriority="99" w:name="envelope address"/>
    <w:lsdException w:qFormat="1" w:uiPriority="99" w:name="envelope return"/>
    <w:lsdException w:qFormat="1" w:unhideWhenUsed="0" w:uiPriority="0" w:name="footnote reference"/>
    <w:lsdException w:qFormat="1" w:uiPriority="99" w:name="annotation reference"/>
    <w:lsdException w:qFormat="1" w:uiPriority="99" w:name="line number"/>
    <w:lsdException w:qFormat="1" w:unhideWhenUsed="0" w:uiPriority="0" w:name="page number"/>
    <w:lsdException w:qFormat="1" w:uiPriority="99" w:name="endnote reference"/>
    <w:lsdException w:qFormat="1" w:uiPriority="99" w:name="endnote text"/>
    <w:lsdException w:qFormat="1" w:uiPriority="99" w:name="table of authorities"/>
    <w:lsdException w:qFormat="1" w:uiPriority="99" w:name="macro"/>
    <w:lsdException w:qFormat="1" w:uiPriority="99" w:name="toa heading"/>
    <w:lsdException w:qFormat="1" w:uiPriority="99" w:name="List"/>
    <w:lsdException w:qFormat="1" w:uiPriority="99" w:name="List Bullet"/>
    <w:lsdException w:qFormat="1" w:uiPriority="99" w:name="List Number"/>
    <w:lsdException w:qFormat="1" w:uiPriority="99" w:name="List 2"/>
    <w:lsdException w:qFormat="1" w:uiPriority="99" w:name="List 3"/>
    <w:lsdException w:qFormat="1" w:uiPriority="99" w:name="List 4"/>
    <w:lsdException w:qFormat="1" w:uiPriority="99" w:name="List 5"/>
    <w:lsdException w:qFormat="1" w:uiPriority="99" w:name="List Bullet 2"/>
    <w:lsdException w:qFormat="1" w:uiPriority="99" w:name="List Bullet 3"/>
    <w:lsdException w:qFormat="1" w:uiPriority="99" w:name="List Bullet 4"/>
    <w:lsdException w:qFormat="1" w:uiPriority="99" w:name="List Bullet 5"/>
    <w:lsdException w:qFormat="1" w:uiPriority="99" w:name="List Number 2"/>
    <w:lsdException w:qFormat="1" w:uiPriority="99" w:name="List Number 3"/>
    <w:lsdException w:qFormat="1" w:uiPriority="99" w:name="List Number 4"/>
    <w:lsdException w:qFormat="1" w:uiPriority="99" w:name="List Number 5"/>
    <w:lsdException w:qFormat="1" w:unhideWhenUsed="0" w:uiPriority="0" w:semiHidden="0" w:name="Title"/>
    <w:lsdException w:qFormat="1" w:uiPriority="99" w:name="Closing"/>
    <w:lsdException w:qFormat="1" w:uiPriority="99" w:name="Signature"/>
    <w:lsdException w:qFormat="1" w:uiPriority="1" w:name="Default Paragraph Font"/>
    <w:lsdException w:qFormat="1" w:uiPriority="99" w:name="Body Text"/>
    <w:lsdException w:qFormat="1" w:uiPriority="99" w:name="Body Text Indent"/>
    <w:lsdException w:qFormat="1" w:uiPriority="99" w:name="List Continue"/>
    <w:lsdException w:qFormat="1" w:uiPriority="99" w:name="List Continue 2"/>
    <w:lsdException w:qFormat="1" w:uiPriority="99" w:name="List Continue 3"/>
    <w:lsdException w:qFormat="1" w:uiPriority="99" w:name="List Continue 4"/>
    <w:lsdException w:qFormat="1" w:uiPriority="99" w:name="List Continue 5"/>
    <w:lsdException w:qFormat="1" w:uiPriority="99" w:name="Message Header"/>
    <w:lsdException w:qFormat="1" w:unhideWhenUsed="0" w:uiPriority="11" w:semiHidden="0" w:name="Subtitle"/>
    <w:lsdException w:qFormat="1" w:uiPriority="99" w:name="Salutation"/>
    <w:lsdException w:qFormat="1" w:uiPriority="99" w:name="Date"/>
    <w:lsdException w:qFormat="1" w:uiPriority="99" w:name="Body Text First Indent"/>
    <w:lsdException w:qFormat="1" w:uiPriority="99" w:name="Body Text First Indent 2"/>
    <w:lsdException w:qFormat="1" w:uiPriority="99" w:name="Note Heading"/>
    <w:lsdException w:qFormat="1" w:uiPriority="99" w:name="Body Text 2"/>
    <w:lsdException w:qFormat="1" w:uiPriority="99" w:name="Body Text 3"/>
    <w:lsdException w:qFormat="1" w:uiPriority="99" w:name="Body Text Indent 2"/>
    <w:lsdException w:qFormat="1" w:uiPriority="99" w:name="Body Text Indent 3"/>
    <w:lsdException w:qFormat="1"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iPriority="99" w:name="Document Map"/>
    <w:lsdException w:qFormat="1" w:uiPriority="99" w:name="Plain Text"/>
    <w:lsdException w:qFormat="1" w:uiPriority="99" w:name="E-mail Signature"/>
    <w:lsdException w:qFormat="1" w:uiPriority="99" w:name="Normal (Web)"/>
    <w:lsdException w:qFormat="1" w:unhideWhenUsed="0" w:uiPriority="0" w:name="HTML Acronym"/>
    <w:lsdException w:qFormat="1" w:unhideWhenUsed="0" w:uiPriority="0" w:name="HTML Address"/>
    <w:lsdException w:qFormat="1" w:unhideWhenUsed="0" w:uiPriority="0" w:name="HTML Cite"/>
    <w:lsdException w:qFormat="1" w:unhideWhenUsed="0" w:uiPriority="0" w:name="HTML Code"/>
    <w:lsdException w:qFormat="1" w:unhideWhenUsed="0" w:uiPriority="0" w:name="HTML Definition"/>
    <w:lsdException w:qFormat="1" w:unhideWhenUsed="0" w:uiPriority="0" w:name="HTML Keyboard"/>
    <w:lsdException w:qFormat="1" w:unhideWhenUsed="0" w:uiPriority="0" w:name="HTML Preformatted"/>
    <w:lsdException w:qFormat="1" w:unhideWhenUsed="0" w:uiPriority="0" w:name="HTML Sample"/>
    <w:lsdException w:qFormat="1" w:unhideWhenUsed="0" w:uiPriority="0" w:name="HTML Typewriter"/>
    <w:lsdException w:qFormat="1" w:unhideWhenUsed="0" w:uiPriority="0" w:name="HTML Variable"/>
    <w:lsdException w:qFormat="1" w:uiPriority="99" w:name="Normal Table"/>
    <w:lsdException w:qFormat="1" w:uiPriority="99" w:name="annotation subject"/>
    <w:lsdException w:qFormat="1" w:uiPriority="99" w:name="Table Simple 1"/>
    <w:lsdException w:qFormat="1" w:uiPriority="99" w:name="Table Simple 2"/>
    <w:lsdException w:qFormat="1" w:uiPriority="99" w:name="Table Simple 3"/>
    <w:lsdException w:qFormat="1" w:uiPriority="99" w:name="Table Classic 1"/>
    <w:lsdException w:qFormat="1" w:uiPriority="99" w:name="Table Classic 2"/>
    <w:lsdException w:qFormat="1" w:uiPriority="99" w:name="Table Classic 3"/>
    <w:lsdException w:qFormat="1" w:uiPriority="99" w:name="Table Classic 4"/>
    <w:lsdException w:qFormat="1" w:uiPriority="99" w:name="Table Colorful 1"/>
    <w:lsdException w:qFormat="1" w:uiPriority="99" w:name="Table Colorful 2"/>
    <w:lsdException w:qFormat="1" w:uiPriority="99" w:name="Table Colorful 3"/>
    <w:lsdException w:qFormat="1" w:uiPriority="99" w:name="Table Columns 1"/>
    <w:lsdException w:qFormat="1" w:uiPriority="99" w:name="Table Columns 2"/>
    <w:lsdException w:qFormat="1" w:uiPriority="99" w:name="Table Columns 3"/>
    <w:lsdException w:qFormat="1" w:uiPriority="99" w:name="Table Columns 4"/>
    <w:lsdException w:qFormat="1" w:uiPriority="99" w:name="Table Columns 5"/>
    <w:lsdException w:qFormat="1" w:uiPriority="99" w:name="Table Grid 1"/>
    <w:lsdException w:qFormat="1" w:uiPriority="99" w:name="Table Grid 2"/>
    <w:lsdException w:qFormat="1" w:uiPriority="99" w:name="Table Grid 3"/>
    <w:lsdException w:qFormat="1" w:uiPriority="99" w:name="Table Grid 4"/>
    <w:lsdException w:qFormat="1" w:uiPriority="99" w:name="Table Grid 5"/>
    <w:lsdException w:qFormat="1" w:uiPriority="99" w:name="Table Grid 6"/>
    <w:lsdException w:qFormat="1" w:uiPriority="99" w:name="Table Grid 7"/>
    <w:lsdException w:qFormat="1" w:uiPriority="99" w:name="Table Grid 8"/>
    <w:lsdException w:qFormat="1" w:uiPriority="99" w:name="Table List 1"/>
    <w:lsdException w:qFormat="1" w:uiPriority="99" w:name="Table List 2"/>
    <w:lsdException w:qFormat="1" w:uiPriority="99" w:name="Table List 3"/>
    <w:lsdException w:qFormat="1" w:uiPriority="99" w:name="Table List 4"/>
    <w:lsdException w:qFormat="1" w:uiPriority="99" w:name="Table List 5"/>
    <w:lsdException w:qFormat="1" w:uiPriority="99" w:name="Table List 6"/>
    <w:lsdException w:qFormat="1" w:uiPriority="99" w:name="Table List 7"/>
    <w:lsdException w:qFormat="1" w:uiPriority="99" w:name="Table List 8"/>
    <w:lsdException w:qFormat="1" w:uiPriority="99" w:name="Table 3D effects 1"/>
    <w:lsdException w:qFormat="1" w:uiPriority="99" w:name="Table 3D effects 2"/>
    <w:lsdException w:qFormat="1" w:uiPriority="99" w:name="Table 3D effects 3"/>
    <w:lsdException w:qFormat="1" w:uiPriority="99" w:name="Table Contemporary"/>
    <w:lsdException w:qFormat="1" w:uiPriority="99" w:name="Table Elegant"/>
    <w:lsdException w:qFormat="1" w:uiPriority="99" w:name="Table Professional"/>
    <w:lsdException w:qFormat="1" w:uiPriority="99" w:name="Table Subtle 1"/>
    <w:lsdException w:qFormat="1" w:uiPriority="99" w:name="Table Subtle 2"/>
    <w:lsdException w:qFormat="1" w:uiPriority="99" w:name="Table Web 1"/>
    <w:lsdException w:qFormat="1" w:uiPriority="99" w:name="Table Web 2"/>
    <w:lsdException w:qFormat="1" w:uiPriority="99" w:name="Table Web 3"/>
    <w:lsdException w:qFormat="1" w:uiPriority="99" w:name="Balloon Text"/>
    <w:lsdException w:qFormat="1" w:unhideWhenUsed="0" w:uiPriority="59" w:semiHidden="0" w:name="Table Grid"/>
    <w:lsdException w:qFormat="1" w:uiPriority="99" w:name="Table Theme"/>
    <w:lsdException w:qFormat="1" w:unhideWhenUsed="0" w:uiPriority="99" w:name="Placeholder Text"/>
    <w:lsdException w:qFormat="1" w:unhideWhenUsed="0" w:uiPriority="1" w:semiHidden="0" w:name="No Spacing"/>
    <w:lsdException w:qFormat="1" w:uiPriority="60" w:name="Light Shading"/>
    <w:lsdException w:qFormat="1" w:uiPriority="61" w:name="Light List"/>
    <w:lsdException w:qFormat="1" w:uiPriority="62" w:name="Light Grid"/>
    <w:lsdException w:qFormat="1" w:uiPriority="63" w:name="Medium Shading 1"/>
    <w:lsdException w:qFormat="1" w:uiPriority="64" w:name="Medium Shading 2"/>
    <w:lsdException w:qFormat="1" w:uiPriority="65" w:name="Medium List 1"/>
    <w:lsdException w:qFormat="1" w:uiPriority="66" w:name="Medium List 2"/>
    <w:lsdException w:qFormat="1" w:uiPriority="67" w:name="Medium Grid 1"/>
    <w:lsdException w:qFormat="1" w:uiPriority="68" w:name="Medium Grid 2"/>
    <w:lsdException w:qFormat="1" w:uiPriority="69" w:name="Medium Grid 3"/>
    <w:lsdException w:qFormat="1" w:uiPriority="70" w:name="Dark List"/>
    <w:lsdException w:qFormat="1" w:uiPriority="71" w:name="Colorful Shading"/>
    <w:lsdException w:qFormat="1" w:uiPriority="72" w:name="Colorful List"/>
    <w:lsdException w:qFormat="1" w:uiPriority="73" w:name="Colorful Grid"/>
    <w:lsdException w:qFormat="1" w:uiPriority="60" w:name="Light Shading Accent 1"/>
    <w:lsdException w:qFormat="1" w:uiPriority="61" w:name="Light List Accent 1"/>
    <w:lsdException w:qFormat="1" w:uiPriority="62" w:name="Light Grid Accent 1"/>
    <w:lsdException w:qFormat="1" w:uiPriority="63" w:name="Medium Shading 1 Accent 1"/>
    <w:lsdException w:qFormat="1" w:uiPriority="64" w:name="Medium Shading 2 Accent 1"/>
    <w:lsdException w:qFormat="1" w:uiPriority="65"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qFormat="1" w:uiPriority="66" w:name="Medium List 2 Accent 1"/>
    <w:lsdException w:qFormat="1" w:uiPriority="67" w:name="Medium Grid 1 Accent 1"/>
    <w:lsdException w:qFormat="1" w:uiPriority="68" w:name="Medium Grid 2 Accent 1"/>
    <w:lsdException w:qFormat="1" w:uiPriority="69" w:name="Medium Grid 3 Accent 1"/>
    <w:lsdException w:qFormat="1" w:uiPriority="70" w:name="Dark List Accent 1"/>
    <w:lsdException w:qFormat="1" w:uiPriority="71" w:name="Colorful Shading Accent 1"/>
    <w:lsdException w:qFormat="1" w:uiPriority="72" w:name="Colorful List Accent 1"/>
    <w:lsdException w:qFormat="1" w:uiPriority="73" w:name="Colorful Grid Accent 1"/>
    <w:lsdException w:qFormat="1" w:uiPriority="60" w:name="Light Shading Accent 2"/>
    <w:lsdException w:qFormat="1" w:uiPriority="61" w:name="Light List Accent 2"/>
    <w:lsdException w:qFormat="1" w:uiPriority="62" w:name="Light Grid Accent 2"/>
    <w:lsdException w:qFormat="1" w:uiPriority="63" w:name="Medium Shading 1 Accent 2"/>
    <w:lsdException w:qFormat="1" w:uiPriority="64" w:name="Medium Shading 2 Accent 2"/>
    <w:lsdException w:qFormat="1" w:uiPriority="65" w:name="Medium List 1 Accent 2"/>
    <w:lsdException w:qFormat="1" w:uiPriority="66" w:name="Medium List 2 Accent 2"/>
    <w:lsdException w:qFormat="1" w:uiPriority="67" w:name="Medium Grid 1 Accent 2"/>
    <w:lsdException w:qFormat="1" w:uiPriority="68" w:name="Medium Grid 2 Accent 2"/>
    <w:lsdException w:qFormat="1" w:uiPriority="69" w:name="Medium Grid 3 Accent 2"/>
    <w:lsdException w:qFormat="1" w:uiPriority="70" w:name="Dark List Accent 2"/>
    <w:lsdException w:qFormat="1" w:uiPriority="71" w:name="Colorful Shading Accent 2"/>
    <w:lsdException w:qFormat="1" w:uiPriority="72" w:name="Colorful List Accent 2"/>
    <w:lsdException w:qFormat="1" w:uiPriority="73" w:name="Colorful Grid Accent 2"/>
    <w:lsdException w:qFormat="1" w:uiPriority="60" w:name="Light Shading Accent 3"/>
    <w:lsdException w:qFormat="1" w:uiPriority="61" w:name="Light List Accent 3"/>
    <w:lsdException w:qFormat="1" w:uiPriority="62" w:name="Light Grid Accent 3"/>
    <w:lsdException w:qFormat="1" w:uiPriority="63" w:name="Medium Shading 1 Accent 3"/>
    <w:lsdException w:qFormat="1" w:uiPriority="64" w:name="Medium Shading 2 Accent 3"/>
    <w:lsdException w:qFormat="1" w:uiPriority="65" w:name="Medium List 1 Accent 3"/>
    <w:lsdException w:qFormat="1" w:uiPriority="66" w:name="Medium List 2 Accent 3"/>
    <w:lsdException w:qFormat="1" w:uiPriority="67" w:name="Medium Grid 1 Accent 3"/>
    <w:lsdException w:qFormat="1" w:uiPriority="68" w:name="Medium Grid 2 Accent 3"/>
    <w:lsdException w:qFormat="1" w:uiPriority="69" w:name="Medium Grid 3 Accent 3"/>
    <w:lsdException w:qFormat="1" w:uiPriority="70" w:name="Dark List Accent 3"/>
    <w:lsdException w:qFormat="1" w:uiPriority="71" w:name="Colorful Shading Accent 3"/>
    <w:lsdException w:qFormat="1" w:uiPriority="72" w:name="Colorful List Accent 3"/>
    <w:lsdException w:qFormat="1" w:uiPriority="73" w:name="Colorful Grid Accent 3"/>
    <w:lsdException w:qFormat="1" w:uiPriority="60" w:name="Light Shading Accent 4"/>
    <w:lsdException w:qFormat="1" w:uiPriority="61" w:name="Light List Accent 4"/>
    <w:lsdException w:qFormat="1" w:uiPriority="62" w:name="Light Grid Accent 4"/>
    <w:lsdException w:qFormat="1" w:uiPriority="63" w:name="Medium Shading 1 Accent 4"/>
    <w:lsdException w:qFormat="1" w:uiPriority="64" w:name="Medium Shading 2 Accent 4"/>
    <w:lsdException w:qFormat="1" w:uiPriority="65" w:name="Medium List 1 Accent 4"/>
    <w:lsdException w:qFormat="1" w:uiPriority="66" w:name="Medium List 2 Accent 4"/>
    <w:lsdException w:qFormat="1" w:uiPriority="67" w:name="Medium Grid 1 Accent 4"/>
    <w:lsdException w:qFormat="1" w:uiPriority="68" w:name="Medium Grid 2 Accent 4"/>
    <w:lsdException w:qFormat="1" w:uiPriority="69" w:name="Medium Grid 3 Accent 4"/>
    <w:lsdException w:qFormat="1" w:uiPriority="70" w:name="Dark List Accent 4"/>
    <w:lsdException w:qFormat="1" w:uiPriority="71" w:name="Colorful Shading Accent 4"/>
    <w:lsdException w:qFormat="1" w:uiPriority="72" w:name="Colorful List Accent 4"/>
    <w:lsdException w:qFormat="1" w:uiPriority="73" w:name="Colorful Grid Accent 4"/>
    <w:lsdException w:qFormat="1" w:uiPriority="60" w:name="Light Shading Accent 5"/>
    <w:lsdException w:qFormat="1" w:uiPriority="61" w:name="Light List Accent 5"/>
    <w:lsdException w:qFormat="1" w:uiPriority="62" w:name="Light Grid Accent 5"/>
    <w:lsdException w:qFormat="1" w:uiPriority="63" w:name="Medium Shading 1 Accent 5"/>
    <w:lsdException w:qFormat="1" w:uiPriority="64" w:name="Medium Shading 2 Accent 5"/>
    <w:lsdException w:qFormat="1" w:uiPriority="65" w:name="Medium List 1 Accent 5"/>
    <w:lsdException w:qFormat="1" w:uiPriority="66" w:name="Medium List 2 Accent 5"/>
    <w:lsdException w:qFormat="1" w:uiPriority="67" w:name="Medium Grid 1 Accent 5"/>
    <w:lsdException w:qFormat="1" w:uiPriority="68" w:name="Medium Grid 2 Accent 5"/>
    <w:lsdException w:qFormat="1" w:uiPriority="69" w:name="Medium Grid 3 Accent 5"/>
    <w:lsdException w:qFormat="1" w:uiPriority="70" w:name="Dark List Accent 5"/>
    <w:lsdException w:qFormat="1" w:uiPriority="71" w:name="Colorful Shading Accent 5"/>
    <w:lsdException w:qFormat="1" w:uiPriority="72" w:name="Colorful List Accent 5"/>
    <w:lsdException w:qFormat="1" w:uiPriority="73" w:name="Colorful Grid Accent 5"/>
    <w:lsdException w:qFormat="1" w:uiPriority="60" w:name="Light Shading Accent 6"/>
    <w:lsdException w:qFormat="1" w:uiPriority="61" w:name="Light List Accent 6"/>
    <w:lsdException w:qFormat="1" w:uiPriority="62" w:name="Light Grid Accent 6"/>
    <w:lsdException w:qFormat="1" w:uiPriority="63" w:name="Medium Shading 1 Accent 6"/>
    <w:lsdException w:qFormat="1" w:uiPriority="64" w:name="Medium Shading 2 Accent 6"/>
    <w:lsdException w:qFormat="1" w:uiPriority="65" w:name="Medium List 1 Accent 6"/>
    <w:lsdException w:qFormat="1" w:uiPriority="66" w:name="Medium List 2 Accent 6"/>
    <w:lsdException w:qFormat="1" w:uiPriority="67" w:name="Medium Grid 1 Accent 6"/>
    <w:lsdException w:qFormat="1" w:uiPriority="68" w:name="Medium Grid 2 Accent 6"/>
    <w:lsdException w:qFormat="1" w:uiPriority="69" w:name="Medium Grid 3 Accent 6"/>
    <w:lsdException w:qFormat="1" w:uiPriority="70" w:name="Dark List Accent 6"/>
    <w:lsdException w:qFormat="1" w:uiPriority="71" w:name="Colorful Shading Accent 6"/>
    <w:lsdException w:qFormat="1" w:uiPriority="72" w:name="Colorful List Accent 6"/>
    <w:lsdException w:qFormat="1" w:uiPriority="73"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5">
    <w:name w:val="heading 1"/>
    <w:basedOn w:val="1"/>
    <w:next w:val="1"/>
    <w:qFormat/>
    <w:uiPriority w:val="0"/>
    <w:pPr>
      <w:keepNext/>
      <w:keepLines/>
      <w:spacing w:before="340" w:after="330" w:line="578" w:lineRule="auto"/>
      <w:outlineLvl w:val="0"/>
    </w:pPr>
    <w:rPr>
      <w:b/>
      <w:bCs/>
      <w:kern w:val="44"/>
      <w:sz w:val="44"/>
      <w:szCs w:val="44"/>
    </w:rPr>
  </w:style>
  <w:style w:type="paragraph" w:styleId="6">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7">
    <w:name w:val="heading 3"/>
    <w:basedOn w:val="1"/>
    <w:next w:val="1"/>
    <w:qFormat/>
    <w:uiPriority w:val="0"/>
    <w:pPr>
      <w:keepNext/>
      <w:keepLines/>
      <w:spacing w:before="260" w:after="260" w:line="416" w:lineRule="auto"/>
      <w:outlineLvl w:val="2"/>
    </w:pPr>
    <w:rPr>
      <w:b/>
      <w:bCs/>
      <w:sz w:val="32"/>
      <w:szCs w:val="32"/>
    </w:rPr>
  </w:style>
  <w:style w:type="paragraph" w:styleId="8">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paragraph" w:styleId="9">
    <w:name w:val="heading 5"/>
    <w:basedOn w:val="1"/>
    <w:next w:val="1"/>
    <w:qFormat/>
    <w:uiPriority w:val="0"/>
    <w:pPr>
      <w:keepNext/>
      <w:keepLines/>
      <w:spacing w:before="280" w:after="290" w:line="376" w:lineRule="auto"/>
      <w:outlineLvl w:val="4"/>
    </w:pPr>
    <w:rPr>
      <w:b/>
      <w:bCs/>
      <w:sz w:val="28"/>
      <w:szCs w:val="28"/>
    </w:rPr>
  </w:style>
  <w:style w:type="paragraph" w:styleId="10">
    <w:name w:val="heading 6"/>
    <w:basedOn w:val="1"/>
    <w:next w:val="1"/>
    <w:qFormat/>
    <w:uiPriority w:val="0"/>
    <w:pPr>
      <w:keepNext/>
      <w:keepLines/>
      <w:spacing w:before="240" w:after="64" w:line="320" w:lineRule="auto"/>
      <w:outlineLvl w:val="5"/>
    </w:pPr>
    <w:rPr>
      <w:rFonts w:ascii="Arial" w:hAnsi="Arial" w:eastAsia="黑体"/>
      <w:b/>
      <w:bCs/>
      <w:sz w:val="24"/>
    </w:rPr>
  </w:style>
  <w:style w:type="paragraph" w:styleId="11">
    <w:name w:val="heading 7"/>
    <w:basedOn w:val="1"/>
    <w:next w:val="1"/>
    <w:qFormat/>
    <w:uiPriority w:val="0"/>
    <w:pPr>
      <w:keepNext/>
      <w:keepLines/>
      <w:spacing w:before="240" w:after="64" w:line="320" w:lineRule="auto"/>
      <w:outlineLvl w:val="6"/>
    </w:pPr>
    <w:rPr>
      <w:b/>
      <w:bCs/>
      <w:sz w:val="24"/>
    </w:rPr>
  </w:style>
  <w:style w:type="paragraph" w:styleId="12">
    <w:name w:val="heading 8"/>
    <w:basedOn w:val="1"/>
    <w:next w:val="1"/>
    <w:qFormat/>
    <w:uiPriority w:val="0"/>
    <w:pPr>
      <w:keepNext/>
      <w:keepLines/>
      <w:spacing w:before="240" w:after="64" w:line="320" w:lineRule="auto"/>
      <w:outlineLvl w:val="7"/>
    </w:pPr>
    <w:rPr>
      <w:rFonts w:ascii="Arial" w:hAnsi="Arial" w:eastAsia="黑体"/>
      <w:sz w:val="24"/>
    </w:rPr>
  </w:style>
  <w:style w:type="paragraph" w:styleId="13">
    <w:name w:val="heading 9"/>
    <w:basedOn w:val="1"/>
    <w:next w:val="1"/>
    <w:qFormat/>
    <w:uiPriority w:val="0"/>
    <w:pPr>
      <w:keepNext/>
      <w:keepLines/>
      <w:spacing w:before="240" w:after="64" w:line="320" w:lineRule="auto"/>
      <w:outlineLvl w:val="8"/>
    </w:pPr>
    <w:rPr>
      <w:rFonts w:ascii="Arial" w:hAnsi="Arial" w:eastAsia="黑体"/>
      <w:szCs w:val="21"/>
    </w:rPr>
  </w:style>
  <w:style w:type="character" w:default="1" w:styleId="231">
    <w:name w:val="Default Paragraph Font"/>
    <w:semiHidden/>
    <w:unhideWhenUsed/>
    <w:qFormat/>
    <w:uiPriority w:val="1"/>
  </w:style>
  <w:style w:type="table" w:default="1" w:styleId="88">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link w:val="332"/>
    <w:semiHidden/>
    <w:unhideWhenUsed/>
    <w:qFormat/>
    <w:uiPriority w:val="99"/>
    <w:pPr>
      <w:spacing w:after="120"/>
    </w:pPr>
  </w:style>
  <w:style w:type="paragraph" w:styleId="3">
    <w:name w:val="toc 2"/>
    <w:basedOn w:val="1"/>
    <w:next w:val="1"/>
    <w:qFormat/>
    <w:uiPriority w:val="39"/>
  </w:style>
  <w:style w:type="paragraph" w:styleId="4">
    <w:name w:val="macro"/>
    <w:link w:val="358"/>
    <w:semiHidden/>
    <w:unhideWhenUsed/>
    <w:qFormat/>
    <w:uiPriority w:val="9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eastAsia="宋体" w:cs="Courier New"/>
      <w:kern w:val="2"/>
      <w:sz w:val="24"/>
      <w:szCs w:val="24"/>
      <w:lang w:val="en-US" w:eastAsia="zh-CN" w:bidi="ar-SA"/>
    </w:rPr>
  </w:style>
  <w:style w:type="paragraph" w:styleId="14">
    <w:name w:val="List 3"/>
    <w:basedOn w:val="1"/>
    <w:semiHidden/>
    <w:unhideWhenUsed/>
    <w:qFormat/>
    <w:uiPriority w:val="99"/>
    <w:pPr>
      <w:ind w:left="100" w:leftChars="400" w:hanging="200" w:hangingChars="200"/>
      <w:contextualSpacing/>
    </w:pPr>
  </w:style>
  <w:style w:type="paragraph" w:styleId="15">
    <w:name w:val="toc 7"/>
    <w:basedOn w:val="16"/>
    <w:next w:val="1"/>
    <w:semiHidden/>
    <w:qFormat/>
    <w:uiPriority w:val="0"/>
    <w:pPr>
      <w:ind w:left="500" w:leftChars="500"/>
    </w:pPr>
  </w:style>
  <w:style w:type="paragraph" w:styleId="16">
    <w:name w:val="toc 6"/>
    <w:basedOn w:val="17"/>
    <w:next w:val="1"/>
    <w:semiHidden/>
    <w:qFormat/>
    <w:uiPriority w:val="0"/>
    <w:pPr>
      <w:ind w:left="400" w:leftChars="400"/>
    </w:pPr>
  </w:style>
  <w:style w:type="paragraph" w:styleId="17">
    <w:name w:val="toc 5"/>
    <w:basedOn w:val="18"/>
    <w:next w:val="1"/>
    <w:semiHidden/>
    <w:qFormat/>
    <w:uiPriority w:val="0"/>
    <w:pPr>
      <w:ind w:left="300" w:leftChars="300"/>
    </w:pPr>
  </w:style>
  <w:style w:type="paragraph" w:styleId="18">
    <w:name w:val="toc 4"/>
    <w:basedOn w:val="19"/>
    <w:next w:val="1"/>
    <w:semiHidden/>
    <w:qFormat/>
    <w:uiPriority w:val="0"/>
    <w:pPr>
      <w:ind w:left="200" w:leftChars="200"/>
    </w:pPr>
  </w:style>
  <w:style w:type="paragraph" w:styleId="19">
    <w:name w:val="toc 3"/>
    <w:basedOn w:val="3"/>
    <w:next w:val="1"/>
    <w:semiHidden/>
    <w:qFormat/>
    <w:uiPriority w:val="0"/>
    <w:pPr>
      <w:ind w:left="100" w:leftChars="100"/>
    </w:pPr>
  </w:style>
  <w:style w:type="paragraph" w:styleId="20">
    <w:name w:val="List Number 2"/>
    <w:basedOn w:val="1"/>
    <w:semiHidden/>
    <w:unhideWhenUsed/>
    <w:qFormat/>
    <w:uiPriority w:val="99"/>
    <w:pPr>
      <w:numPr>
        <w:ilvl w:val="0"/>
        <w:numId w:val="1"/>
      </w:numPr>
      <w:contextualSpacing/>
    </w:pPr>
  </w:style>
  <w:style w:type="paragraph" w:styleId="21">
    <w:name w:val="table of authorities"/>
    <w:basedOn w:val="1"/>
    <w:next w:val="1"/>
    <w:semiHidden/>
    <w:unhideWhenUsed/>
    <w:qFormat/>
    <w:uiPriority w:val="99"/>
    <w:pPr>
      <w:ind w:left="420" w:leftChars="200"/>
    </w:pPr>
  </w:style>
  <w:style w:type="paragraph" w:styleId="22">
    <w:name w:val="Note Heading"/>
    <w:basedOn w:val="1"/>
    <w:next w:val="1"/>
    <w:link w:val="490"/>
    <w:semiHidden/>
    <w:unhideWhenUsed/>
    <w:qFormat/>
    <w:uiPriority w:val="99"/>
    <w:pPr>
      <w:jc w:val="center"/>
    </w:pPr>
  </w:style>
  <w:style w:type="paragraph" w:styleId="23">
    <w:name w:val="List Bullet 4"/>
    <w:basedOn w:val="1"/>
    <w:semiHidden/>
    <w:unhideWhenUsed/>
    <w:qFormat/>
    <w:uiPriority w:val="99"/>
    <w:pPr>
      <w:numPr>
        <w:ilvl w:val="0"/>
        <w:numId w:val="2"/>
      </w:numPr>
      <w:contextualSpacing/>
    </w:pPr>
  </w:style>
  <w:style w:type="paragraph" w:styleId="24">
    <w:name w:val="index 8"/>
    <w:basedOn w:val="1"/>
    <w:next w:val="1"/>
    <w:semiHidden/>
    <w:unhideWhenUsed/>
    <w:qFormat/>
    <w:uiPriority w:val="99"/>
    <w:pPr>
      <w:ind w:left="1400" w:leftChars="1400"/>
    </w:pPr>
  </w:style>
  <w:style w:type="paragraph" w:styleId="25">
    <w:name w:val="E-mail Signature"/>
    <w:basedOn w:val="1"/>
    <w:link w:val="356"/>
    <w:semiHidden/>
    <w:unhideWhenUsed/>
    <w:qFormat/>
    <w:uiPriority w:val="99"/>
  </w:style>
  <w:style w:type="paragraph" w:styleId="26">
    <w:name w:val="List Number"/>
    <w:basedOn w:val="1"/>
    <w:semiHidden/>
    <w:unhideWhenUsed/>
    <w:qFormat/>
    <w:uiPriority w:val="99"/>
    <w:pPr>
      <w:numPr>
        <w:ilvl w:val="0"/>
        <w:numId w:val="3"/>
      </w:numPr>
      <w:contextualSpacing/>
    </w:pPr>
  </w:style>
  <w:style w:type="paragraph" w:styleId="27">
    <w:name w:val="Normal Indent"/>
    <w:basedOn w:val="1"/>
    <w:semiHidden/>
    <w:unhideWhenUsed/>
    <w:qFormat/>
    <w:uiPriority w:val="99"/>
    <w:pPr>
      <w:ind w:firstLine="420" w:firstLineChars="200"/>
    </w:pPr>
  </w:style>
  <w:style w:type="paragraph" w:styleId="28">
    <w:name w:val="caption"/>
    <w:basedOn w:val="1"/>
    <w:next w:val="1"/>
    <w:qFormat/>
    <w:uiPriority w:val="0"/>
    <w:rPr>
      <w:rFonts w:ascii="宋体" w:hAnsi="Arial" w:cs="Arial"/>
      <w:szCs w:val="20"/>
    </w:rPr>
  </w:style>
  <w:style w:type="paragraph" w:styleId="29">
    <w:name w:val="index 5"/>
    <w:basedOn w:val="1"/>
    <w:next w:val="1"/>
    <w:semiHidden/>
    <w:unhideWhenUsed/>
    <w:qFormat/>
    <w:uiPriority w:val="99"/>
    <w:pPr>
      <w:ind w:left="800" w:leftChars="800"/>
    </w:pPr>
  </w:style>
  <w:style w:type="paragraph" w:styleId="30">
    <w:name w:val="List Bullet"/>
    <w:basedOn w:val="1"/>
    <w:semiHidden/>
    <w:unhideWhenUsed/>
    <w:qFormat/>
    <w:uiPriority w:val="99"/>
    <w:pPr>
      <w:numPr>
        <w:ilvl w:val="0"/>
        <w:numId w:val="4"/>
      </w:numPr>
      <w:contextualSpacing/>
    </w:pPr>
  </w:style>
  <w:style w:type="paragraph" w:styleId="31">
    <w:name w:val="envelope address"/>
    <w:basedOn w:val="1"/>
    <w:semiHidden/>
    <w:unhideWhenUsed/>
    <w:qFormat/>
    <w:uiPriority w:val="99"/>
    <w:pPr>
      <w:framePr w:w="7920" w:h="1980" w:hRule="exact" w:hSpace="180" w:wrap="around" w:vAnchor="margin" w:hAnchor="page" w:xAlign="center" w:yAlign="bottom"/>
      <w:snapToGrid w:val="0"/>
      <w:ind w:left="100" w:leftChars="1400"/>
    </w:pPr>
    <w:rPr>
      <w:rFonts w:asciiTheme="majorHAnsi" w:hAnsiTheme="majorHAnsi" w:eastAsiaTheme="majorEastAsia" w:cstheme="majorBidi"/>
      <w:sz w:val="24"/>
    </w:rPr>
  </w:style>
  <w:style w:type="paragraph" w:styleId="32">
    <w:name w:val="Document Map"/>
    <w:basedOn w:val="1"/>
    <w:link w:val="472"/>
    <w:semiHidden/>
    <w:unhideWhenUsed/>
    <w:qFormat/>
    <w:uiPriority w:val="99"/>
    <w:rPr>
      <w:rFonts w:ascii="Microsoft YaHei UI" w:eastAsia="Microsoft YaHei UI"/>
      <w:sz w:val="18"/>
      <w:szCs w:val="18"/>
    </w:rPr>
  </w:style>
  <w:style w:type="paragraph" w:styleId="33">
    <w:name w:val="toa heading"/>
    <w:basedOn w:val="1"/>
    <w:next w:val="1"/>
    <w:semiHidden/>
    <w:unhideWhenUsed/>
    <w:qFormat/>
    <w:uiPriority w:val="99"/>
    <w:pPr>
      <w:spacing w:before="120"/>
    </w:pPr>
    <w:rPr>
      <w:rFonts w:asciiTheme="majorHAnsi" w:hAnsiTheme="majorHAnsi" w:cstheme="majorBidi"/>
      <w:sz w:val="24"/>
    </w:rPr>
  </w:style>
  <w:style w:type="paragraph" w:styleId="34">
    <w:name w:val="annotation text"/>
    <w:basedOn w:val="1"/>
    <w:link w:val="366"/>
    <w:semiHidden/>
    <w:unhideWhenUsed/>
    <w:qFormat/>
    <w:uiPriority w:val="99"/>
    <w:pPr>
      <w:jc w:val="left"/>
    </w:pPr>
  </w:style>
  <w:style w:type="paragraph" w:styleId="35">
    <w:name w:val="index 6"/>
    <w:basedOn w:val="1"/>
    <w:next w:val="1"/>
    <w:semiHidden/>
    <w:unhideWhenUsed/>
    <w:qFormat/>
    <w:uiPriority w:val="99"/>
    <w:pPr>
      <w:ind w:left="1000" w:leftChars="1000"/>
    </w:pPr>
  </w:style>
  <w:style w:type="paragraph" w:styleId="36">
    <w:name w:val="Salutation"/>
    <w:basedOn w:val="1"/>
    <w:next w:val="1"/>
    <w:link w:val="354"/>
    <w:semiHidden/>
    <w:unhideWhenUsed/>
    <w:qFormat/>
    <w:uiPriority w:val="99"/>
  </w:style>
  <w:style w:type="paragraph" w:styleId="37">
    <w:name w:val="Body Text 3"/>
    <w:basedOn w:val="1"/>
    <w:link w:val="487"/>
    <w:semiHidden/>
    <w:unhideWhenUsed/>
    <w:qFormat/>
    <w:uiPriority w:val="99"/>
    <w:pPr>
      <w:spacing w:after="120"/>
    </w:pPr>
    <w:rPr>
      <w:sz w:val="16"/>
      <w:szCs w:val="16"/>
    </w:rPr>
  </w:style>
  <w:style w:type="paragraph" w:styleId="38">
    <w:name w:val="Closing"/>
    <w:basedOn w:val="1"/>
    <w:link w:val="359"/>
    <w:semiHidden/>
    <w:unhideWhenUsed/>
    <w:qFormat/>
    <w:uiPriority w:val="99"/>
    <w:pPr>
      <w:ind w:left="100" w:leftChars="2100"/>
    </w:pPr>
  </w:style>
  <w:style w:type="paragraph" w:styleId="39">
    <w:name w:val="List Bullet 3"/>
    <w:basedOn w:val="1"/>
    <w:semiHidden/>
    <w:unhideWhenUsed/>
    <w:qFormat/>
    <w:uiPriority w:val="99"/>
    <w:pPr>
      <w:numPr>
        <w:ilvl w:val="0"/>
        <w:numId w:val="5"/>
      </w:numPr>
      <w:contextualSpacing/>
    </w:pPr>
  </w:style>
  <w:style w:type="paragraph" w:styleId="40">
    <w:name w:val="Body Text Indent"/>
    <w:basedOn w:val="1"/>
    <w:link w:val="484"/>
    <w:semiHidden/>
    <w:unhideWhenUsed/>
    <w:qFormat/>
    <w:uiPriority w:val="99"/>
    <w:pPr>
      <w:spacing w:after="120"/>
      <w:ind w:left="420" w:leftChars="200"/>
    </w:pPr>
  </w:style>
  <w:style w:type="paragraph" w:styleId="41">
    <w:name w:val="List Number 3"/>
    <w:basedOn w:val="1"/>
    <w:semiHidden/>
    <w:unhideWhenUsed/>
    <w:qFormat/>
    <w:uiPriority w:val="99"/>
    <w:pPr>
      <w:numPr>
        <w:ilvl w:val="0"/>
        <w:numId w:val="6"/>
      </w:numPr>
      <w:contextualSpacing/>
    </w:pPr>
  </w:style>
  <w:style w:type="paragraph" w:styleId="42">
    <w:name w:val="List 2"/>
    <w:basedOn w:val="1"/>
    <w:semiHidden/>
    <w:unhideWhenUsed/>
    <w:qFormat/>
    <w:uiPriority w:val="99"/>
    <w:pPr>
      <w:ind w:left="100" w:leftChars="200" w:hanging="200" w:hangingChars="200"/>
      <w:contextualSpacing/>
    </w:pPr>
  </w:style>
  <w:style w:type="paragraph" w:styleId="43">
    <w:name w:val="List Continue"/>
    <w:basedOn w:val="1"/>
    <w:semiHidden/>
    <w:unhideWhenUsed/>
    <w:qFormat/>
    <w:uiPriority w:val="99"/>
    <w:pPr>
      <w:spacing w:after="120"/>
      <w:ind w:left="420" w:leftChars="200"/>
      <w:contextualSpacing/>
    </w:pPr>
  </w:style>
  <w:style w:type="paragraph" w:styleId="44">
    <w:name w:val="Block Text"/>
    <w:basedOn w:val="1"/>
    <w:semiHidden/>
    <w:unhideWhenUsed/>
    <w:qFormat/>
    <w:uiPriority w:val="99"/>
    <w:pPr>
      <w:spacing w:after="120"/>
      <w:ind w:left="1440" w:leftChars="700" w:right="1440" w:rightChars="700"/>
    </w:pPr>
  </w:style>
  <w:style w:type="paragraph" w:styleId="45">
    <w:name w:val="List Bullet 2"/>
    <w:basedOn w:val="1"/>
    <w:semiHidden/>
    <w:unhideWhenUsed/>
    <w:qFormat/>
    <w:uiPriority w:val="99"/>
    <w:pPr>
      <w:numPr>
        <w:ilvl w:val="0"/>
        <w:numId w:val="7"/>
      </w:numPr>
      <w:contextualSpacing/>
    </w:pPr>
  </w:style>
  <w:style w:type="paragraph" w:styleId="46">
    <w:name w:val="HTML Address"/>
    <w:basedOn w:val="1"/>
    <w:semiHidden/>
    <w:qFormat/>
    <w:uiPriority w:val="0"/>
    <w:rPr>
      <w:i/>
      <w:iCs/>
    </w:rPr>
  </w:style>
  <w:style w:type="paragraph" w:styleId="47">
    <w:name w:val="index 4"/>
    <w:basedOn w:val="1"/>
    <w:next w:val="1"/>
    <w:semiHidden/>
    <w:unhideWhenUsed/>
    <w:qFormat/>
    <w:uiPriority w:val="99"/>
    <w:pPr>
      <w:ind w:left="600" w:leftChars="600"/>
    </w:pPr>
  </w:style>
  <w:style w:type="paragraph" w:styleId="48">
    <w:name w:val="Plain Text"/>
    <w:basedOn w:val="1"/>
    <w:link w:val="355"/>
    <w:semiHidden/>
    <w:unhideWhenUsed/>
    <w:qFormat/>
    <w:uiPriority w:val="99"/>
    <w:rPr>
      <w:rFonts w:ascii="宋体" w:hAnsi="Courier New" w:cs="Courier New"/>
      <w:szCs w:val="21"/>
    </w:rPr>
  </w:style>
  <w:style w:type="paragraph" w:styleId="49">
    <w:name w:val="List Bullet 5"/>
    <w:basedOn w:val="1"/>
    <w:semiHidden/>
    <w:unhideWhenUsed/>
    <w:qFormat/>
    <w:uiPriority w:val="99"/>
    <w:pPr>
      <w:numPr>
        <w:ilvl w:val="0"/>
        <w:numId w:val="8"/>
      </w:numPr>
      <w:contextualSpacing/>
    </w:pPr>
  </w:style>
  <w:style w:type="paragraph" w:styleId="50">
    <w:name w:val="List Number 4"/>
    <w:basedOn w:val="1"/>
    <w:semiHidden/>
    <w:unhideWhenUsed/>
    <w:qFormat/>
    <w:uiPriority w:val="99"/>
    <w:pPr>
      <w:numPr>
        <w:ilvl w:val="0"/>
        <w:numId w:val="9"/>
      </w:numPr>
      <w:contextualSpacing/>
    </w:pPr>
  </w:style>
  <w:style w:type="paragraph" w:styleId="51">
    <w:name w:val="toc 8"/>
    <w:basedOn w:val="15"/>
    <w:next w:val="1"/>
    <w:semiHidden/>
    <w:qFormat/>
    <w:uiPriority w:val="0"/>
  </w:style>
  <w:style w:type="paragraph" w:styleId="52">
    <w:name w:val="index 3"/>
    <w:basedOn w:val="1"/>
    <w:next w:val="1"/>
    <w:semiHidden/>
    <w:unhideWhenUsed/>
    <w:qFormat/>
    <w:uiPriority w:val="99"/>
    <w:pPr>
      <w:ind w:left="400" w:leftChars="400"/>
    </w:pPr>
  </w:style>
  <w:style w:type="paragraph" w:styleId="53">
    <w:name w:val="Date"/>
    <w:basedOn w:val="1"/>
    <w:next w:val="1"/>
    <w:link w:val="418"/>
    <w:semiHidden/>
    <w:unhideWhenUsed/>
    <w:qFormat/>
    <w:uiPriority w:val="99"/>
    <w:pPr>
      <w:ind w:left="100" w:leftChars="2500"/>
    </w:pPr>
  </w:style>
  <w:style w:type="paragraph" w:styleId="54">
    <w:name w:val="Body Text Indent 2"/>
    <w:basedOn w:val="1"/>
    <w:link w:val="488"/>
    <w:semiHidden/>
    <w:unhideWhenUsed/>
    <w:qFormat/>
    <w:uiPriority w:val="99"/>
    <w:pPr>
      <w:spacing w:after="120" w:line="480" w:lineRule="auto"/>
      <w:ind w:left="420" w:leftChars="200"/>
    </w:pPr>
  </w:style>
  <w:style w:type="paragraph" w:styleId="55">
    <w:name w:val="endnote text"/>
    <w:basedOn w:val="1"/>
    <w:link w:val="471"/>
    <w:semiHidden/>
    <w:unhideWhenUsed/>
    <w:qFormat/>
    <w:uiPriority w:val="99"/>
    <w:pPr>
      <w:snapToGrid w:val="0"/>
      <w:jc w:val="left"/>
    </w:pPr>
  </w:style>
  <w:style w:type="paragraph" w:styleId="56">
    <w:name w:val="List Continue 5"/>
    <w:basedOn w:val="1"/>
    <w:semiHidden/>
    <w:unhideWhenUsed/>
    <w:qFormat/>
    <w:uiPriority w:val="99"/>
    <w:pPr>
      <w:spacing w:after="120"/>
      <w:ind w:left="2100" w:leftChars="1000"/>
      <w:contextualSpacing/>
    </w:pPr>
  </w:style>
  <w:style w:type="paragraph" w:styleId="57">
    <w:name w:val="Balloon Text"/>
    <w:basedOn w:val="1"/>
    <w:link w:val="365"/>
    <w:semiHidden/>
    <w:unhideWhenUsed/>
    <w:qFormat/>
    <w:uiPriority w:val="99"/>
    <w:rPr>
      <w:sz w:val="18"/>
      <w:szCs w:val="18"/>
    </w:rPr>
  </w:style>
  <w:style w:type="paragraph" w:styleId="58">
    <w:name w:val="footer"/>
    <w:basedOn w:val="1"/>
    <w:semiHidden/>
    <w:qFormat/>
    <w:uiPriority w:val="0"/>
    <w:pPr>
      <w:tabs>
        <w:tab w:val="center" w:pos="4153"/>
        <w:tab w:val="right" w:pos="8306"/>
      </w:tabs>
      <w:snapToGrid w:val="0"/>
      <w:ind w:right="210" w:rightChars="100"/>
      <w:jc w:val="right"/>
    </w:pPr>
    <w:rPr>
      <w:sz w:val="18"/>
      <w:szCs w:val="18"/>
    </w:rPr>
  </w:style>
  <w:style w:type="paragraph" w:styleId="59">
    <w:name w:val="envelope return"/>
    <w:basedOn w:val="1"/>
    <w:semiHidden/>
    <w:unhideWhenUsed/>
    <w:qFormat/>
    <w:uiPriority w:val="99"/>
    <w:pPr>
      <w:snapToGrid w:val="0"/>
    </w:pPr>
    <w:rPr>
      <w:rFonts w:asciiTheme="majorHAnsi" w:hAnsiTheme="majorHAnsi" w:eastAsiaTheme="majorEastAsia" w:cstheme="majorBidi"/>
    </w:rPr>
  </w:style>
  <w:style w:type="paragraph" w:styleId="60">
    <w:name w:val="header"/>
    <w:basedOn w:val="1"/>
    <w:semiHidden/>
    <w:qFormat/>
    <w:uiPriority w:val="0"/>
    <w:pPr>
      <w:pBdr>
        <w:bottom w:val="single" w:color="auto" w:sz="6" w:space="1"/>
      </w:pBdr>
      <w:tabs>
        <w:tab w:val="center" w:pos="4153"/>
        <w:tab w:val="right" w:pos="8306"/>
      </w:tabs>
      <w:snapToGrid w:val="0"/>
      <w:jc w:val="center"/>
    </w:pPr>
    <w:rPr>
      <w:sz w:val="18"/>
      <w:szCs w:val="18"/>
    </w:rPr>
  </w:style>
  <w:style w:type="paragraph" w:styleId="61">
    <w:name w:val="Signature"/>
    <w:basedOn w:val="1"/>
    <w:link w:val="368"/>
    <w:semiHidden/>
    <w:unhideWhenUsed/>
    <w:qFormat/>
    <w:uiPriority w:val="99"/>
    <w:pPr>
      <w:ind w:left="100" w:leftChars="2100"/>
    </w:pPr>
  </w:style>
  <w:style w:type="paragraph" w:styleId="62">
    <w:name w:val="toc 1"/>
    <w:next w:val="1"/>
    <w:semiHidden/>
    <w:qFormat/>
    <w:uiPriority w:val="0"/>
    <w:pPr>
      <w:spacing w:before="25" w:beforeLines="25" w:after="25" w:afterLines="25"/>
      <w:jc w:val="both"/>
    </w:pPr>
    <w:rPr>
      <w:rFonts w:ascii="宋体" w:hAnsi="Times New Roman" w:eastAsia="宋体" w:cs="Times New Roman"/>
      <w:sz w:val="21"/>
      <w:lang w:val="en-US" w:eastAsia="zh-CN" w:bidi="ar-SA"/>
    </w:rPr>
  </w:style>
  <w:style w:type="paragraph" w:styleId="63">
    <w:name w:val="List Continue 4"/>
    <w:basedOn w:val="1"/>
    <w:semiHidden/>
    <w:unhideWhenUsed/>
    <w:qFormat/>
    <w:uiPriority w:val="99"/>
    <w:pPr>
      <w:spacing w:after="120"/>
      <w:ind w:left="1680" w:leftChars="800"/>
      <w:contextualSpacing/>
    </w:pPr>
  </w:style>
  <w:style w:type="paragraph" w:styleId="64">
    <w:name w:val="index heading"/>
    <w:basedOn w:val="1"/>
    <w:next w:val="65"/>
    <w:semiHidden/>
    <w:unhideWhenUsed/>
    <w:qFormat/>
    <w:uiPriority w:val="99"/>
    <w:pPr>
      <w:spacing w:before="100" w:beforeLines="100" w:after="100" w:afterLines="100"/>
      <w:jc w:val="center"/>
    </w:pPr>
    <w:rPr>
      <w:rFonts w:eastAsia="黑体" w:asciiTheme="majorHAnsi" w:hAnsiTheme="majorHAnsi" w:cstheme="majorBidi"/>
      <w:bCs/>
    </w:rPr>
  </w:style>
  <w:style w:type="paragraph" w:styleId="65">
    <w:name w:val="index 1"/>
    <w:basedOn w:val="1"/>
    <w:next w:val="1"/>
    <w:semiHidden/>
    <w:unhideWhenUsed/>
    <w:qFormat/>
    <w:uiPriority w:val="99"/>
    <w:rPr>
      <w:rFonts w:ascii="宋体" w:hAnsi="宋体"/>
    </w:rPr>
  </w:style>
  <w:style w:type="paragraph" w:styleId="66">
    <w:name w:val="Subtitle"/>
    <w:basedOn w:val="1"/>
    <w:next w:val="1"/>
    <w:link w:val="357"/>
    <w:qFormat/>
    <w:uiPriority w:val="11"/>
    <w:pPr>
      <w:spacing w:before="240" w:after="60" w:line="312" w:lineRule="auto"/>
      <w:jc w:val="center"/>
      <w:outlineLvl w:val="1"/>
    </w:pPr>
    <w:rPr>
      <w:rFonts w:asciiTheme="majorHAnsi" w:hAnsiTheme="majorHAnsi" w:cstheme="majorBidi"/>
      <w:b/>
      <w:bCs/>
      <w:kern w:val="28"/>
      <w:sz w:val="32"/>
      <w:szCs w:val="32"/>
    </w:rPr>
  </w:style>
  <w:style w:type="paragraph" w:styleId="67">
    <w:name w:val="List Number 5"/>
    <w:basedOn w:val="1"/>
    <w:semiHidden/>
    <w:unhideWhenUsed/>
    <w:qFormat/>
    <w:uiPriority w:val="99"/>
    <w:pPr>
      <w:numPr>
        <w:ilvl w:val="0"/>
        <w:numId w:val="10"/>
      </w:numPr>
      <w:contextualSpacing/>
    </w:pPr>
  </w:style>
  <w:style w:type="paragraph" w:styleId="68">
    <w:name w:val="List"/>
    <w:basedOn w:val="1"/>
    <w:semiHidden/>
    <w:unhideWhenUsed/>
    <w:qFormat/>
    <w:uiPriority w:val="99"/>
    <w:pPr>
      <w:ind w:left="200" w:hanging="200" w:hangingChars="200"/>
      <w:contextualSpacing/>
    </w:pPr>
  </w:style>
  <w:style w:type="paragraph" w:styleId="69">
    <w:name w:val="footnote text"/>
    <w:basedOn w:val="1"/>
    <w:semiHidden/>
    <w:qFormat/>
    <w:uiPriority w:val="0"/>
    <w:pPr>
      <w:snapToGrid w:val="0"/>
      <w:ind w:left="400" w:leftChars="200" w:hanging="200" w:hangingChars="200"/>
      <w:jc w:val="left"/>
    </w:pPr>
    <w:rPr>
      <w:sz w:val="18"/>
      <w:szCs w:val="18"/>
    </w:rPr>
  </w:style>
  <w:style w:type="paragraph" w:styleId="70">
    <w:name w:val="List 5"/>
    <w:basedOn w:val="1"/>
    <w:semiHidden/>
    <w:unhideWhenUsed/>
    <w:qFormat/>
    <w:uiPriority w:val="99"/>
    <w:pPr>
      <w:ind w:left="100" w:leftChars="800" w:hanging="200" w:hangingChars="200"/>
      <w:contextualSpacing/>
    </w:pPr>
  </w:style>
  <w:style w:type="paragraph" w:styleId="71">
    <w:name w:val="Body Text Indent 3"/>
    <w:basedOn w:val="1"/>
    <w:link w:val="489"/>
    <w:semiHidden/>
    <w:unhideWhenUsed/>
    <w:qFormat/>
    <w:uiPriority w:val="99"/>
    <w:pPr>
      <w:spacing w:after="120"/>
      <w:ind w:left="420" w:leftChars="200"/>
    </w:pPr>
    <w:rPr>
      <w:sz w:val="16"/>
      <w:szCs w:val="16"/>
    </w:rPr>
  </w:style>
  <w:style w:type="paragraph" w:styleId="72">
    <w:name w:val="index 7"/>
    <w:basedOn w:val="1"/>
    <w:next w:val="1"/>
    <w:semiHidden/>
    <w:unhideWhenUsed/>
    <w:qFormat/>
    <w:uiPriority w:val="99"/>
    <w:pPr>
      <w:ind w:left="1200" w:leftChars="1200"/>
    </w:pPr>
  </w:style>
  <w:style w:type="paragraph" w:styleId="73">
    <w:name w:val="index 9"/>
    <w:basedOn w:val="1"/>
    <w:next w:val="1"/>
    <w:semiHidden/>
    <w:unhideWhenUsed/>
    <w:qFormat/>
    <w:uiPriority w:val="99"/>
    <w:pPr>
      <w:ind w:left="1600" w:leftChars="1600"/>
    </w:pPr>
  </w:style>
  <w:style w:type="paragraph" w:styleId="74">
    <w:name w:val="table of figures"/>
    <w:basedOn w:val="1"/>
    <w:next w:val="1"/>
    <w:semiHidden/>
    <w:qFormat/>
    <w:uiPriority w:val="0"/>
  </w:style>
  <w:style w:type="paragraph" w:styleId="75">
    <w:name w:val="toc 9"/>
    <w:basedOn w:val="51"/>
    <w:next w:val="1"/>
    <w:semiHidden/>
    <w:qFormat/>
    <w:uiPriority w:val="0"/>
  </w:style>
  <w:style w:type="paragraph" w:styleId="76">
    <w:name w:val="Body Text 2"/>
    <w:basedOn w:val="1"/>
    <w:link w:val="486"/>
    <w:semiHidden/>
    <w:unhideWhenUsed/>
    <w:qFormat/>
    <w:uiPriority w:val="99"/>
    <w:pPr>
      <w:spacing w:after="120" w:line="480" w:lineRule="auto"/>
    </w:pPr>
  </w:style>
  <w:style w:type="paragraph" w:styleId="77">
    <w:name w:val="List 4"/>
    <w:basedOn w:val="1"/>
    <w:semiHidden/>
    <w:unhideWhenUsed/>
    <w:qFormat/>
    <w:uiPriority w:val="99"/>
    <w:pPr>
      <w:ind w:left="100" w:leftChars="600" w:hanging="200" w:hangingChars="200"/>
      <w:contextualSpacing/>
    </w:pPr>
  </w:style>
  <w:style w:type="paragraph" w:styleId="78">
    <w:name w:val="List Continue 2"/>
    <w:basedOn w:val="1"/>
    <w:semiHidden/>
    <w:unhideWhenUsed/>
    <w:qFormat/>
    <w:uiPriority w:val="99"/>
    <w:pPr>
      <w:spacing w:after="120"/>
      <w:ind w:left="840" w:leftChars="400"/>
      <w:contextualSpacing/>
    </w:pPr>
  </w:style>
  <w:style w:type="paragraph" w:styleId="79">
    <w:name w:val="Message Header"/>
    <w:basedOn w:val="1"/>
    <w:link w:val="479"/>
    <w:semiHidden/>
    <w:unhideWhenUsed/>
    <w:qFormat/>
    <w:uiPriority w:val="99"/>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Theme="majorHAnsi" w:hAnsiTheme="majorHAnsi" w:eastAsiaTheme="majorEastAsia" w:cstheme="majorBidi"/>
      <w:sz w:val="24"/>
    </w:rPr>
  </w:style>
  <w:style w:type="paragraph" w:styleId="80">
    <w:name w:val="HTML Preformatted"/>
    <w:basedOn w:val="1"/>
    <w:semiHidden/>
    <w:qFormat/>
    <w:uiPriority w:val="0"/>
    <w:rPr>
      <w:rFonts w:ascii="Courier New" w:hAnsi="Courier New" w:cs="Courier New"/>
      <w:sz w:val="20"/>
      <w:szCs w:val="20"/>
    </w:rPr>
  </w:style>
  <w:style w:type="paragraph" w:styleId="81">
    <w:name w:val="Normal (Web)"/>
    <w:basedOn w:val="1"/>
    <w:semiHidden/>
    <w:unhideWhenUsed/>
    <w:qFormat/>
    <w:uiPriority w:val="99"/>
    <w:rPr>
      <w:sz w:val="24"/>
    </w:rPr>
  </w:style>
  <w:style w:type="paragraph" w:styleId="82">
    <w:name w:val="List Continue 3"/>
    <w:basedOn w:val="1"/>
    <w:semiHidden/>
    <w:unhideWhenUsed/>
    <w:qFormat/>
    <w:uiPriority w:val="99"/>
    <w:pPr>
      <w:spacing w:after="120"/>
      <w:ind w:left="1260" w:leftChars="600"/>
      <w:contextualSpacing/>
    </w:pPr>
  </w:style>
  <w:style w:type="paragraph" w:styleId="83">
    <w:name w:val="index 2"/>
    <w:basedOn w:val="1"/>
    <w:next w:val="1"/>
    <w:semiHidden/>
    <w:unhideWhenUsed/>
    <w:qFormat/>
    <w:uiPriority w:val="99"/>
    <w:pPr>
      <w:ind w:left="200" w:leftChars="200"/>
    </w:pPr>
  </w:style>
  <w:style w:type="paragraph" w:styleId="84">
    <w:name w:val="Title"/>
    <w:basedOn w:val="1"/>
    <w:qFormat/>
    <w:uiPriority w:val="0"/>
    <w:pPr>
      <w:spacing w:before="240" w:after="60"/>
      <w:jc w:val="center"/>
      <w:outlineLvl w:val="0"/>
    </w:pPr>
    <w:rPr>
      <w:rFonts w:ascii="Arial" w:hAnsi="Arial" w:cs="Arial"/>
      <w:b/>
      <w:bCs/>
      <w:sz w:val="32"/>
      <w:szCs w:val="32"/>
    </w:rPr>
  </w:style>
  <w:style w:type="paragraph" w:styleId="85">
    <w:name w:val="annotation subject"/>
    <w:basedOn w:val="34"/>
    <w:next w:val="34"/>
    <w:link w:val="367"/>
    <w:semiHidden/>
    <w:unhideWhenUsed/>
    <w:qFormat/>
    <w:uiPriority w:val="99"/>
    <w:rPr>
      <w:b/>
      <w:bCs/>
    </w:rPr>
  </w:style>
  <w:style w:type="paragraph" w:styleId="86">
    <w:name w:val="Body Text First Indent"/>
    <w:basedOn w:val="2"/>
    <w:link w:val="483"/>
    <w:semiHidden/>
    <w:unhideWhenUsed/>
    <w:qFormat/>
    <w:uiPriority w:val="99"/>
    <w:pPr>
      <w:ind w:firstLine="420" w:firstLineChars="100"/>
    </w:pPr>
  </w:style>
  <w:style w:type="paragraph" w:styleId="87">
    <w:name w:val="Body Text First Indent 2"/>
    <w:basedOn w:val="40"/>
    <w:link w:val="485"/>
    <w:semiHidden/>
    <w:unhideWhenUsed/>
    <w:qFormat/>
    <w:uiPriority w:val="99"/>
    <w:pPr>
      <w:ind w:firstLine="420" w:firstLineChars="200"/>
    </w:pPr>
  </w:style>
  <w:style w:type="table" w:styleId="89">
    <w:name w:val="Table Grid"/>
    <w:basedOn w:val="8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0">
    <w:name w:val="Table Theme"/>
    <w:basedOn w:val="88"/>
    <w:semiHidden/>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1">
    <w:name w:val="Table Colorful 1"/>
    <w:basedOn w:val="88"/>
    <w:semiHidden/>
    <w:unhideWhenUsed/>
    <w:qFormat/>
    <w:uiPriority w:val="99"/>
    <w:pPr>
      <w:widowControl w:val="0"/>
      <w:jc w:val="both"/>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il"/>
          <w:tr2bl w:val="nil"/>
        </w:tcBorders>
        <w:shd w:val="solid" w:color="000000" w:fill="FFFFFF"/>
      </w:tcPr>
    </w:tblStylePr>
    <w:tblStylePr w:type="firstCol">
      <w:rPr>
        <w:b/>
        <w:bCs/>
        <w:i/>
        <w:iCs/>
      </w:rPr>
      <w:tblPr/>
      <w:tcPr>
        <w:tcBorders>
          <w:tl2br w:val="nil"/>
          <w:tr2bl w:val="nil"/>
        </w:tcBorders>
        <w:shd w:val="solid" w:color="000080" w:fill="FFFFFF"/>
      </w:tcPr>
    </w:tblStylePr>
    <w:tblStylePr w:type="nwCell">
      <w:tblPr/>
      <w:tcPr>
        <w:tcBorders>
          <w:tl2br w:val="nil"/>
          <w:tr2bl w:val="nil"/>
        </w:tcBorders>
        <w:shd w:val="solid" w:color="000000" w:fill="FFFFFF"/>
      </w:tcPr>
    </w:tblStylePr>
    <w:tblStylePr w:type="swCell">
      <w:rPr>
        <w:b/>
        <w:bCs/>
        <w:i w:val="0"/>
        <w:iCs w:val="0"/>
      </w:rPr>
      <w:tblPr/>
      <w:tcPr>
        <w:tcBorders>
          <w:tl2br w:val="nil"/>
          <w:tr2bl w:val="nil"/>
        </w:tcBorders>
      </w:tcPr>
    </w:tblStylePr>
  </w:style>
  <w:style w:type="table" w:styleId="92">
    <w:name w:val="Table Colorful 2"/>
    <w:basedOn w:val="88"/>
    <w:semiHidden/>
    <w:unhideWhenUsed/>
    <w:qFormat/>
    <w:uiPriority w:val="99"/>
    <w:pPr>
      <w:widowControl w:val="0"/>
      <w:jc w:val="both"/>
    </w:p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styleId="93">
    <w:name w:val="Table Colorful 3"/>
    <w:basedOn w:val="88"/>
    <w:semiHidden/>
    <w:unhideWhenUsed/>
    <w:qFormat/>
    <w:uiPriority w:val="99"/>
    <w:pPr>
      <w:widowControl w:val="0"/>
      <w:jc w:val="both"/>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il"/>
          <w:tr2bl w:val="nil"/>
        </w:tcBorders>
        <w:shd w:val="solid" w:color="008080" w:fill="FFFFFF"/>
      </w:tcPr>
    </w:tblStylePr>
    <w:tblStylePr w:type="firstCol">
      <w:tblPr/>
      <w:tcPr>
        <w:tcBorders>
          <w:left w:val="single" w:color="000000" w:sz="36" w:space="0"/>
          <w:right w:val="single" w:color="000000" w:sz="6" w:space="0"/>
          <w:tl2br w:val="nil"/>
          <w:tr2bl w:val="nil"/>
        </w:tcBorders>
        <w:shd w:val="solid" w:color="008080" w:fill="FFFFFF"/>
      </w:tcPr>
    </w:tblStylePr>
    <w:tblStylePr w:type="nwCell">
      <w:rPr>
        <w:b/>
        <w:bCs/>
        <w:color w:val="FFFFFF"/>
      </w:rPr>
      <w:tblPr/>
      <w:tcPr>
        <w:tcBorders>
          <w:tl2br w:val="nil"/>
          <w:tr2bl w:val="nil"/>
        </w:tcBorders>
        <w:shd w:val="solid" w:color="000000" w:fill="FFFFFF"/>
      </w:tcPr>
    </w:tblStylePr>
  </w:style>
  <w:style w:type="table" w:styleId="94">
    <w:name w:val="Table Elegant"/>
    <w:basedOn w:val="88"/>
    <w:semiHidden/>
    <w:unhideWhenUsed/>
    <w:qFormat/>
    <w:uiPriority w:val="99"/>
    <w:pPr>
      <w:widowControl w:val="0"/>
      <w:jc w:val="both"/>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95">
    <w:name w:val="Table Classic 1"/>
    <w:basedOn w:val="88"/>
    <w:semiHidden/>
    <w:unhideWhenUsed/>
    <w:qFormat/>
    <w:uiPriority w:val="99"/>
    <w:pPr>
      <w:widowControl w:val="0"/>
      <w:jc w:val="both"/>
    </w:p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96">
    <w:name w:val="Table Classic 2"/>
    <w:basedOn w:val="88"/>
    <w:semiHidden/>
    <w:unhideWhenUsed/>
    <w:qFormat/>
    <w:uiPriority w:val="99"/>
    <w:pPr>
      <w:widowControl w:val="0"/>
      <w:jc w:val="both"/>
    </w:p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97">
    <w:name w:val="Table Classic 3"/>
    <w:basedOn w:val="88"/>
    <w:semiHidden/>
    <w:unhideWhenUsed/>
    <w:qFormat/>
    <w:uiPriority w:val="99"/>
    <w:pPr>
      <w:widowControl w:val="0"/>
      <w:jc w:val="both"/>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il"/>
          <w:tr2bl w:val="nil"/>
        </w:tcBorders>
        <w:shd w:val="solid" w:color="000080" w:fill="FFFFFF"/>
      </w:tcPr>
    </w:tblStylePr>
    <w:tblStylePr w:type="lastRow">
      <w:rPr>
        <w:color w:val="00008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98">
    <w:name w:val="Table Classic 4"/>
    <w:basedOn w:val="88"/>
    <w:semiHidden/>
    <w:unhideWhenUsed/>
    <w:qFormat/>
    <w:uiPriority w:val="99"/>
    <w:pPr>
      <w:widowControl w:val="0"/>
      <w:jc w:val="both"/>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il"/>
          <w:tr2bl w:val="nil"/>
        </w:tcBorders>
        <w:shd w:val="pct50" w:color="000080" w:fill="FFFFFF"/>
      </w:tcPr>
    </w:tblStylePr>
    <w:tblStylePr w:type="lastRow">
      <w:rPr>
        <w:color w:val="000080"/>
      </w:rPr>
      <w:tblPr/>
      <w:tcPr>
        <w:tcBorders>
          <w:bottom w:val="single" w:color="000000" w:sz="6" w:space="0"/>
          <w:tl2br w:val="nil"/>
          <w:tr2bl w:val="nil"/>
        </w:tcBorders>
        <w:shd w:val="pct50" w:color="000000" w:fill="FFFFFF"/>
      </w:tcPr>
    </w:tblStylePr>
    <w:tblStylePr w:type="firstCol">
      <w:rPr>
        <w:b/>
        <w:bCs/>
      </w:rPr>
      <w:tblPr/>
      <w:tcPr>
        <w:tcBorders>
          <w:tl2br w:val="nil"/>
          <w:tr2bl w:val="nil"/>
        </w:tcBorders>
      </w:tcPr>
    </w:tblStylePr>
    <w:tblStylePr w:type="nwCell">
      <w:rPr>
        <w:b/>
        <w:bCs/>
      </w:rPr>
      <w:tblPr/>
      <w:tcPr>
        <w:tcBorders>
          <w:tl2br w:val="nil"/>
          <w:tr2bl w:val="nil"/>
        </w:tcBorders>
      </w:tcPr>
    </w:tblStylePr>
    <w:tblStylePr w:type="swCell">
      <w:rPr>
        <w:color w:val="000080"/>
      </w:rPr>
      <w:tblPr/>
      <w:tcPr>
        <w:tcBorders>
          <w:tl2br w:val="nil"/>
          <w:tr2bl w:val="nil"/>
        </w:tcBorders>
      </w:tcPr>
    </w:tblStylePr>
  </w:style>
  <w:style w:type="table" w:styleId="99">
    <w:name w:val="Table Simple 1"/>
    <w:basedOn w:val="88"/>
    <w:semiHidden/>
    <w:unhideWhenUsed/>
    <w:qFormat/>
    <w:uiPriority w:val="99"/>
    <w:pPr>
      <w:widowControl w:val="0"/>
      <w:jc w:val="both"/>
    </w:p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il"/>
          <w:tr2bl w:val="nil"/>
        </w:tcBorders>
      </w:tcPr>
    </w:tblStylePr>
    <w:tblStylePr w:type="lastRow">
      <w:tblPr/>
      <w:tcPr>
        <w:tcBorders>
          <w:top w:val="single" w:color="008000" w:sz="6" w:space="0"/>
          <w:tl2br w:val="nil"/>
          <w:tr2bl w:val="nil"/>
        </w:tcBorders>
      </w:tcPr>
    </w:tblStylePr>
  </w:style>
  <w:style w:type="table" w:styleId="100">
    <w:name w:val="Table Simple 2"/>
    <w:basedOn w:val="88"/>
    <w:semiHidden/>
    <w:unhideWhenUsed/>
    <w:qFormat/>
    <w:uiPriority w:val="99"/>
    <w:pPr>
      <w:widowControl w:val="0"/>
      <w:jc w:val="both"/>
    </w:p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101">
    <w:name w:val="Table Simple 3"/>
    <w:basedOn w:val="88"/>
    <w:semiHidden/>
    <w:unhideWhenUsed/>
    <w:qFormat/>
    <w:uiPriority w:val="99"/>
    <w:pPr>
      <w:widowControl w:val="0"/>
      <w:jc w:val="both"/>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il"/>
          <w:tr2bl w:val="nil"/>
        </w:tcBorders>
        <w:shd w:val="solid" w:color="000000" w:fill="FFFFFF"/>
      </w:tcPr>
    </w:tblStylePr>
  </w:style>
  <w:style w:type="table" w:styleId="102">
    <w:name w:val="Table Subtle 1"/>
    <w:basedOn w:val="88"/>
    <w:semiHidden/>
    <w:unhideWhenUsed/>
    <w:qFormat/>
    <w:uiPriority w:val="99"/>
    <w:pPr>
      <w:widowControl w:val="0"/>
      <w:jc w:val="both"/>
    </w:pPr>
    <w:tblPr>
      <w:tblStyleRowBandSize w:val="1"/>
    </w:tblPr>
    <w:tblStylePr w:type="firstRow">
      <w:tblPr/>
      <w:tcPr>
        <w:tcBorders>
          <w:top w:val="single" w:color="000000" w:sz="6" w:space="0"/>
          <w:bottom w:val="single" w:color="000000" w:sz="12" w:space="0"/>
          <w:tl2br w:val="nil"/>
          <w:tr2bl w:val="nil"/>
        </w:tcBorders>
      </w:tcPr>
    </w:tblStylePr>
    <w:tblStylePr w:type="lastRow">
      <w:tblPr/>
      <w:tcPr>
        <w:tcBorders>
          <w:top w:val="single" w:color="000000" w:sz="12" w:space="0"/>
          <w:tl2br w:val="nil"/>
          <w:tr2bl w:val="nil"/>
        </w:tcBorders>
        <w:shd w:val="pct25" w:color="800080" w:fill="FFFFFF"/>
      </w:tcPr>
    </w:tblStylePr>
    <w:tblStylePr w:type="firstCol">
      <w:tblPr/>
      <w:tcPr>
        <w:tcBorders>
          <w:right w:val="single" w:color="000000" w:sz="12" w:space="0"/>
          <w:tl2br w:val="nil"/>
          <w:tr2bl w:val="nil"/>
        </w:tcBorders>
      </w:tcPr>
    </w:tblStylePr>
    <w:tblStylePr w:type="lastCol">
      <w:tblPr/>
      <w:tcPr>
        <w:tcBorders>
          <w:left w:val="single" w:color="000000" w:sz="12" w:space="0"/>
          <w:tl2br w:val="nil"/>
          <w:tr2bl w:val="nil"/>
        </w:tcBorders>
      </w:tcPr>
    </w:tblStylePr>
    <w:tblStylePr w:type="band1Horz">
      <w:tblPr/>
      <w:tcPr>
        <w:tcBorders>
          <w:bottom w:val="single" w:color="000000" w:sz="6"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03">
    <w:name w:val="Table Subtle 2"/>
    <w:basedOn w:val="88"/>
    <w:semiHidden/>
    <w:unhideWhenUsed/>
    <w:qFormat/>
    <w:uiPriority w:val="99"/>
    <w:pPr>
      <w:widowControl w:val="0"/>
      <w:jc w:val="both"/>
    </w:p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04">
    <w:name w:val="Table 3D effects 1"/>
    <w:basedOn w:val="88"/>
    <w:semiHidden/>
    <w:unhideWhenUsed/>
    <w:qFormat/>
    <w:uiPriority w:val="99"/>
    <w:pPr>
      <w:widowControl w:val="0"/>
      <w:jc w:val="both"/>
    </w:pPr>
    <w:tblPr/>
    <w:tcPr>
      <w:shd w:val="solid" w:color="C0C0C0" w:fill="FFFFFF"/>
    </w:tcPr>
    <w:tblStylePr w:type="firstRow">
      <w:rPr>
        <w:b/>
        <w:bCs/>
        <w:color w:val="800080"/>
      </w:rPr>
      <w:tblPr/>
      <w:tcPr>
        <w:tcBorders>
          <w:bottom w:val="single" w:color="808080" w:sz="6" w:space="0"/>
          <w:tl2br w:val="nil"/>
          <w:tr2bl w:val="nil"/>
        </w:tcBorders>
      </w:tcPr>
    </w:tblStylePr>
    <w:tblStylePr w:type="lastRow">
      <w:tblPr/>
      <w:tcPr>
        <w:tcBorders>
          <w:top w:val="single" w:color="FFFFFF" w:sz="6" w:space="0"/>
          <w:tl2br w:val="nil"/>
          <w:tr2bl w:val="nil"/>
        </w:tcBorders>
      </w:tcPr>
    </w:tblStylePr>
    <w:tblStylePr w:type="firstCol">
      <w:rPr>
        <w:b/>
        <w:bCs/>
      </w:rPr>
      <w:tblPr/>
      <w:tcPr>
        <w:tcBorders>
          <w:right w:val="single" w:color="808080" w:sz="6" w:space="0"/>
          <w:tl2br w:val="nil"/>
          <w:tr2bl w:val="nil"/>
        </w:tcBorders>
      </w:tcPr>
    </w:tblStylePr>
    <w:tblStylePr w:type="lastCol">
      <w:tblPr/>
      <w:tcPr>
        <w:tcBorders>
          <w:left w:val="single" w:color="FFFFFF" w:sz="6" w:space="0"/>
          <w:tl2br w:val="nil"/>
          <w:tr2bl w:val="nil"/>
        </w:tcBorders>
      </w:tcPr>
    </w:tblStylePr>
    <w:tblStylePr w:type="neCell">
      <w:tblPr/>
      <w:tcPr>
        <w:tcBorders>
          <w:left w:val="nil"/>
          <w:bottom w:val="nil"/>
          <w:tl2br w:val="nil"/>
          <w:tr2bl w:val="nil"/>
        </w:tcBorders>
      </w:tcPr>
    </w:tblStylePr>
    <w:tblStylePr w:type="nwCell">
      <w:tblPr/>
      <w:tcPr>
        <w:tcBorders>
          <w:bottom w:val="nil"/>
          <w:right w:val="nil"/>
          <w:tl2br w:val="nil"/>
          <w:tr2bl w:val="nil"/>
        </w:tcBorders>
      </w:tcPr>
    </w:tblStylePr>
    <w:tblStylePr w:type="seCell">
      <w:tblPr/>
      <w:tcPr>
        <w:tcBorders>
          <w:top w:val="nil"/>
          <w:left w:val="nil"/>
          <w:tl2br w:val="nil"/>
          <w:tr2bl w:val="nil"/>
        </w:tcBorders>
      </w:tcPr>
    </w:tblStylePr>
    <w:tblStylePr w:type="swCell">
      <w:rPr>
        <w:color w:val="000080"/>
      </w:rPr>
      <w:tblPr/>
      <w:tcPr>
        <w:tcBorders>
          <w:top w:val="nil"/>
          <w:right w:val="nil"/>
          <w:tl2br w:val="nil"/>
          <w:tr2bl w:val="nil"/>
        </w:tcBorders>
      </w:tcPr>
    </w:tblStylePr>
  </w:style>
  <w:style w:type="table" w:styleId="105">
    <w:name w:val="Table 3D effects 2"/>
    <w:basedOn w:val="88"/>
    <w:semiHidden/>
    <w:unhideWhenUsed/>
    <w:qFormat/>
    <w:uiPriority w:val="99"/>
    <w:pPr>
      <w:widowControl w:val="0"/>
      <w:jc w:val="both"/>
    </w:pPr>
    <w:tblPr>
      <w:tblStyleRowBandSize w:val="1"/>
    </w:tblPr>
    <w:tcPr>
      <w:shd w:val="solid" w:color="C0C0C0" w:fill="FFFFFF"/>
    </w:tcPr>
    <w:tblStylePr w:type="firstRow">
      <w:rPr>
        <w:b/>
        <w:bCs/>
      </w:rPr>
      <w:tblPr/>
      <w:tcPr>
        <w:tcBorders>
          <w:tl2br w:val="nil"/>
          <w:tr2bl w:val="nil"/>
        </w:tcBorders>
      </w:tcPr>
    </w:tblStylePr>
    <w:tblStylePr w:type="firstCol">
      <w:tblPr/>
      <w:tcPr>
        <w:tcBorders>
          <w:top w:val="nil"/>
          <w:bottom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Horz">
      <w:tblPr/>
      <w:tcPr>
        <w:tcBorders>
          <w:top w:val="single" w:color="808080" w:sz="6" w:space="0"/>
          <w:bottom w:val="single" w:color="FFFFFF" w:sz="6" w:space="0"/>
          <w:tl2br w:val="nil"/>
          <w:tr2bl w:val="nil"/>
        </w:tcBorders>
      </w:tcPr>
    </w:tblStylePr>
    <w:tblStylePr w:type="swCell">
      <w:rPr>
        <w:b/>
        <w:bCs/>
      </w:rPr>
      <w:tblPr/>
      <w:tcPr>
        <w:tcBorders>
          <w:tl2br w:val="nil"/>
          <w:tr2bl w:val="nil"/>
        </w:tcBorders>
      </w:tcPr>
    </w:tblStylePr>
  </w:style>
  <w:style w:type="table" w:styleId="106">
    <w:name w:val="Table 3D effects 3"/>
    <w:basedOn w:val="88"/>
    <w:semiHidden/>
    <w:unhideWhenUsed/>
    <w:qFormat/>
    <w:uiPriority w:val="99"/>
    <w:pPr>
      <w:widowControl w:val="0"/>
      <w:jc w:val="both"/>
    </w:pPr>
    <w:tblPr>
      <w:tblStyleRowBandSize w:val="1"/>
      <w:tblStyleColBandSize w:val="1"/>
    </w:tblPr>
    <w:tblStylePr w:type="firstRow">
      <w:rPr>
        <w:b/>
        <w:bCs/>
      </w:rPr>
      <w:tblPr/>
      <w:tcPr>
        <w:tcBorders>
          <w:tl2br w:val="nil"/>
          <w:tr2bl w:val="nil"/>
        </w:tcBorders>
      </w:tcPr>
    </w:tblStylePr>
    <w:tblStylePr w:type="firstCol">
      <w:tblPr/>
      <w:tcPr>
        <w:tcBorders>
          <w:top w:val="nil"/>
          <w:bottom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il"/>
          <w:tr2bl w:val="nil"/>
        </w:tcBorders>
      </w:tcPr>
    </w:tblStylePr>
    <w:tblStylePr w:type="swCell">
      <w:rPr>
        <w:b/>
        <w:bCs/>
      </w:rPr>
      <w:tblPr/>
      <w:tcPr>
        <w:tcBorders>
          <w:tl2br w:val="nil"/>
          <w:tr2bl w:val="nil"/>
        </w:tcBorders>
      </w:tcPr>
    </w:tblStylePr>
  </w:style>
  <w:style w:type="table" w:styleId="107">
    <w:name w:val="Table List 1"/>
    <w:basedOn w:val="88"/>
    <w:semiHidden/>
    <w:unhideWhenUsed/>
    <w:qFormat/>
    <w:uiPriority w:val="99"/>
    <w:pPr>
      <w:widowControl w:val="0"/>
      <w:jc w:val="both"/>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il"/>
          <w:tr2bl w:val="nil"/>
        </w:tcBorders>
        <w:shd w:val="solid" w:color="C0C0C0" w:fill="FFFFFF"/>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108">
    <w:name w:val="Table List 2"/>
    <w:basedOn w:val="88"/>
    <w:semiHidden/>
    <w:unhideWhenUsed/>
    <w:qFormat/>
    <w:uiPriority w:val="99"/>
    <w:pPr>
      <w:widowControl w:val="0"/>
      <w:jc w:val="both"/>
    </w:pPr>
    <w:tblPr>
      <w:tblBorders>
        <w:bottom w:val="single" w:color="808080" w:sz="12" w:space="0"/>
      </w:tblBorders>
    </w:tblPr>
    <w:tblStylePr w:type="firstRow">
      <w:rPr>
        <w:b/>
        <w:bCs/>
        <w:color w:val="FFFFFF"/>
      </w:rPr>
      <w:tblPr/>
      <w:tcPr>
        <w:tcBorders>
          <w:bottom w:val="single" w:color="000000" w:sz="6" w:space="0"/>
          <w:tl2br w:val="nil"/>
          <w:tr2bl w:val="nil"/>
        </w:tcBorders>
        <w:shd w:val="pct75" w:color="008080" w:fill="008000"/>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pct20" w:color="00FF0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109">
    <w:name w:val="Table List 3"/>
    <w:basedOn w:val="88"/>
    <w:semiHidden/>
    <w:unhideWhenUsed/>
    <w:qFormat/>
    <w:uiPriority w:val="99"/>
    <w:pPr>
      <w:widowControl w:val="0"/>
      <w:jc w:val="both"/>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swCell">
      <w:rPr>
        <w:i/>
        <w:iCs/>
        <w:color w:val="000080"/>
      </w:rPr>
      <w:tblPr/>
      <w:tcPr>
        <w:tcBorders>
          <w:tl2br w:val="nil"/>
          <w:tr2bl w:val="nil"/>
        </w:tcBorders>
      </w:tcPr>
    </w:tblStylePr>
  </w:style>
  <w:style w:type="table" w:styleId="110">
    <w:name w:val="Table List 4"/>
    <w:basedOn w:val="88"/>
    <w:semiHidden/>
    <w:unhideWhenUsed/>
    <w:qFormat/>
    <w:uiPriority w:val="99"/>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il"/>
          <w:tr2bl w:val="nil"/>
        </w:tcBorders>
        <w:shd w:val="solid" w:color="808080" w:fill="FFFFFF"/>
      </w:tcPr>
    </w:tblStylePr>
  </w:style>
  <w:style w:type="table" w:styleId="111">
    <w:name w:val="Table List 5"/>
    <w:basedOn w:val="88"/>
    <w:semiHidden/>
    <w:unhideWhenUsed/>
    <w:qFormat/>
    <w:uiPriority w:val="99"/>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il"/>
          <w:tr2bl w:val="nil"/>
        </w:tcBorders>
      </w:tcPr>
    </w:tblStylePr>
    <w:tblStylePr w:type="firstCol">
      <w:rPr>
        <w:b/>
        <w:bCs/>
      </w:rPr>
      <w:tblPr/>
      <w:tcPr>
        <w:tcBorders>
          <w:tl2br w:val="nil"/>
          <w:tr2bl w:val="nil"/>
        </w:tcBorders>
      </w:tcPr>
    </w:tblStylePr>
  </w:style>
  <w:style w:type="table" w:styleId="112">
    <w:name w:val="Table List 6"/>
    <w:basedOn w:val="88"/>
    <w:semiHidden/>
    <w:unhideWhenUsed/>
    <w:qFormat/>
    <w:uiPriority w:val="99"/>
    <w:pPr>
      <w:widowControl w:val="0"/>
      <w:jc w:val="both"/>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il"/>
          <w:tr2bl w:val="nil"/>
        </w:tcBorders>
      </w:tcPr>
    </w:tblStylePr>
    <w:tblStylePr w:type="firstCol">
      <w:rPr>
        <w:b/>
        <w:bCs/>
      </w:rPr>
      <w:tblPr/>
      <w:tcPr>
        <w:tcBorders>
          <w:right w:val="single" w:color="000000" w:sz="12" w:space="0"/>
          <w:tl2br w:val="nil"/>
          <w:tr2bl w:val="nil"/>
        </w:tcBorders>
      </w:tcPr>
    </w:tblStylePr>
    <w:tblStylePr w:type="band1Horz">
      <w:tblPr/>
      <w:tcPr>
        <w:tcBorders>
          <w:tl2br w:val="nil"/>
          <w:tr2bl w:val="nil"/>
        </w:tcBorders>
        <w:shd w:val="pct25" w:color="000000" w:fill="FFFFFF"/>
      </w:tcPr>
    </w:tblStylePr>
    <w:tblStylePr w:type="nwCell">
      <w:tblPr/>
      <w:tcPr>
        <w:tcBorders>
          <w:tl2br w:val="single" w:color="000000" w:sz="6" w:space="0"/>
          <w:tr2bl w:val="nil"/>
        </w:tcBorders>
      </w:tcPr>
    </w:tblStylePr>
  </w:style>
  <w:style w:type="table" w:styleId="113">
    <w:name w:val="Table List 7"/>
    <w:basedOn w:val="88"/>
    <w:semiHidden/>
    <w:unhideWhenUsed/>
    <w:qFormat/>
    <w:uiPriority w:val="99"/>
    <w:pPr>
      <w:widowControl w:val="0"/>
      <w:jc w:val="both"/>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il"/>
          <w:tr2bl w:val="nil"/>
        </w:tcBorders>
        <w:shd w:val="solid" w:color="C0C0C0" w:fill="FFFFFF"/>
      </w:tcPr>
    </w:tblStylePr>
    <w:tblStylePr w:type="lastRow">
      <w:rPr>
        <w:b/>
        <w:bCs/>
      </w:rPr>
      <w:tblPr/>
      <w:tcPr>
        <w:tcBorders>
          <w:top w:val="single" w:color="008000" w:sz="12"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styleId="114">
    <w:name w:val="Table List 8"/>
    <w:basedOn w:val="88"/>
    <w:semiHidden/>
    <w:unhideWhenUsed/>
    <w:qFormat/>
    <w:uiPriority w:val="99"/>
    <w:pPr>
      <w:widowControl w:val="0"/>
      <w:jc w:val="both"/>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il"/>
          <w:tr2bl w:val="nil"/>
        </w:tcBorders>
        <w:shd w:val="solid" w:color="FFFF00" w:fill="FFFFFF"/>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5" w:color="FFFF00" w:fill="FFFFFF"/>
      </w:tcPr>
    </w:tblStylePr>
    <w:tblStylePr w:type="band2Horz">
      <w:tblPr/>
      <w:tcPr>
        <w:tcBorders>
          <w:tl2br w:val="nil"/>
          <w:tr2bl w:val="nil"/>
        </w:tcBorders>
        <w:shd w:val="pct50" w:color="FF0000" w:fill="FFFFFF"/>
      </w:tcPr>
    </w:tblStylePr>
    <w:tblStylePr w:type="nwCell">
      <w:tblPr/>
      <w:tcPr>
        <w:tcBorders>
          <w:tl2br w:val="single" w:color="auto" w:sz="6" w:space="0"/>
          <w:tr2bl w:val="nil"/>
        </w:tcBorders>
      </w:tcPr>
    </w:tblStylePr>
  </w:style>
  <w:style w:type="table" w:styleId="115">
    <w:name w:val="Table Contemporary"/>
    <w:basedOn w:val="88"/>
    <w:semiHidden/>
    <w:unhideWhenUsed/>
    <w:qFormat/>
    <w:uiPriority w:val="99"/>
    <w:pPr>
      <w:widowControl w:val="0"/>
      <w:jc w:val="both"/>
    </w:pPr>
    <w:tblPr>
      <w:tblBorders>
        <w:insideH w:val="single" w:color="FFFFFF" w:sz="18" w:space="0"/>
        <w:insideV w:val="single" w:color="FFFFFF" w:sz="18" w:space="0"/>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table" w:styleId="116">
    <w:name w:val="Table Columns 1"/>
    <w:basedOn w:val="88"/>
    <w:semiHidden/>
    <w:unhideWhenUsed/>
    <w:qFormat/>
    <w:uiPriority w:val="99"/>
    <w:pPr>
      <w:widowControl w:val="0"/>
      <w:jc w:val="both"/>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bottom w:val="double" w:color="000000" w:sz="6" w:space="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17">
    <w:name w:val="Table Columns 2"/>
    <w:basedOn w:val="88"/>
    <w:semiHidden/>
    <w:unhideWhenUsed/>
    <w:qFormat/>
    <w:uiPriority w:val="99"/>
    <w:pPr>
      <w:widowControl w:val="0"/>
      <w:jc w:val="both"/>
    </w:pPr>
    <w:rPr>
      <w:b/>
      <w:bCs/>
    </w:rPr>
    <w:tblPr>
      <w:tblStyleColBandSize w:val="1"/>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18">
    <w:name w:val="Table Columns 3"/>
    <w:basedOn w:val="88"/>
    <w:semiHidden/>
    <w:unhideWhenUsed/>
    <w:qFormat/>
    <w:uiPriority w:val="99"/>
    <w:pPr>
      <w:widowControl w:val="0"/>
      <w:jc w:val="both"/>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color="000080" w:sz="6" w:space="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119">
    <w:name w:val="Table Columns 4"/>
    <w:basedOn w:val="88"/>
    <w:semiHidden/>
    <w:unhideWhenUsed/>
    <w:qFormat/>
    <w:uiPriority w:val="99"/>
    <w:pPr>
      <w:widowControl w:val="0"/>
      <w:jc w:val="both"/>
    </w:pPr>
    <w:tblPr>
      <w:tblStyleColBandSize w:val="1"/>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20">
    <w:name w:val="Table Columns 5"/>
    <w:basedOn w:val="88"/>
    <w:semiHidden/>
    <w:unhideWhenUsed/>
    <w:qFormat/>
    <w:uiPriority w:val="99"/>
    <w:pPr>
      <w:widowControl w:val="0"/>
      <w:jc w:val="both"/>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il"/>
          <w:tr2bl w:val="nil"/>
        </w:tcBorders>
      </w:tcPr>
    </w:tblStylePr>
    <w:tblStylePr w:type="lastRow">
      <w:rPr>
        <w:b/>
        <w:bCs/>
      </w:rPr>
      <w:tblPr/>
      <w:tcPr>
        <w:tcBorders>
          <w:top w:val="single" w:color="80808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21">
    <w:name w:val="Table Grid 1"/>
    <w:basedOn w:val="88"/>
    <w:semiHidden/>
    <w:unhideWhenUsed/>
    <w:qFormat/>
    <w:uiPriority w:val="99"/>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122">
    <w:name w:val="Table Grid 2"/>
    <w:basedOn w:val="88"/>
    <w:semiHidden/>
    <w:unhideWhenUsed/>
    <w:qFormat/>
    <w:uiPriority w:val="99"/>
    <w:pPr>
      <w:widowControl w:val="0"/>
      <w:jc w:val="both"/>
    </w:p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123">
    <w:name w:val="Table Grid 3"/>
    <w:basedOn w:val="88"/>
    <w:semiHidden/>
    <w:unhideWhenUsed/>
    <w:qFormat/>
    <w:uiPriority w:val="99"/>
    <w:pPr>
      <w:widowControl w:val="0"/>
      <w:jc w:val="both"/>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124">
    <w:name w:val="Table Grid 4"/>
    <w:basedOn w:val="88"/>
    <w:semiHidden/>
    <w:unhideWhenUsed/>
    <w:qFormat/>
    <w:uiPriority w:val="99"/>
    <w:pPr>
      <w:widowControl w:val="0"/>
      <w:jc w:val="both"/>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125">
    <w:name w:val="Table Grid 5"/>
    <w:basedOn w:val="88"/>
    <w:semiHidden/>
    <w:unhideWhenUsed/>
    <w:qFormat/>
    <w:uiPriority w:val="99"/>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126">
    <w:name w:val="Table Grid 6"/>
    <w:basedOn w:val="88"/>
    <w:semiHidden/>
    <w:unhideWhenUsed/>
    <w:qFormat/>
    <w:uiPriority w:val="99"/>
    <w:pPr>
      <w:widowControl w:val="0"/>
      <w:jc w:val="both"/>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rPr>
        <w:b/>
        <w:bCs/>
      </w:rPr>
      <w:tblPr/>
      <w:tcPr>
        <w:tcBorders>
          <w:tl2br w:val="nil"/>
          <w:tr2bl w:val="nil"/>
        </w:tcBorders>
      </w:tcPr>
    </w:tblStylePr>
    <w:tblStylePr w:type="nwCell">
      <w:tblPr/>
      <w:tcPr>
        <w:tcBorders>
          <w:tl2br w:val="single" w:color="000000" w:sz="6" w:space="0"/>
          <w:tr2bl w:val="nil"/>
        </w:tcBorders>
      </w:tcPr>
    </w:tblStylePr>
  </w:style>
  <w:style w:type="table" w:styleId="127">
    <w:name w:val="Table Grid 7"/>
    <w:basedOn w:val="88"/>
    <w:semiHidden/>
    <w:unhideWhenUsed/>
    <w:qFormat/>
    <w:uiPriority w:val="99"/>
    <w:pPr>
      <w:widowControl w:val="0"/>
      <w:jc w:val="both"/>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bottom w:val="single" w:color="000000" w:sz="12" w:space="0"/>
          <w:tl2br w:val="nil"/>
          <w:tr2bl w:val="nil"/>
        </w:tcBorders>
      </w:tcPr>
    </w:tblStylePr>
    <w:tblStylePr w:type="lastRow">
      <w:rPr>
        <w:b w:val="0"/>
        <w:bCs w:val="0"/>
      </w:rPr>
      <w:tblPr/>
      <w:tcPr>
        <w:tcBorders>
          <w:top w:val="single" w:color="000000" w:sz="6" w:space="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nwCell">
      <w:tblPr/>
      <w:tcPr>
        <w:tcBorders>
          <w:tl2br w:val="single" w:color="000000" w:sz="6" w:space="0"/>
          <w:tr2bl w:val="nil"/>
        </w:tcBorders>
      </w:tcPr>
    </w:tblStylePr>
  </w:style>
  <w:style w:type="table" w:styleId="128">
    <w:name w:val="Table Grid 8"/>
    <w:basedOn w:val="88"/>
    <w:semiHidden/>
    <w:unhideWhenUsed/>
    <w:qFormat/>
    <w:uiPriority w:val="99"/>
    <w:pPr>
      <w:widowControl w:val="0"/>
      <w:jc w:val="both"/>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29">
    <w:name w:val="Table Web 1"/>
    <w:basedOn w:val="88"/>
    <w:semiHidden/>
    <w:unhideWhenUsed/>
    <w:qFormat/>
    <w:uiPriority w:val="99"/>
    <w:pPr>
      <w:widowControl w:val="0"/>
      <w:jc w:val="both"/>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130">
    <w:name w:val="Table Web 2"/>
    <w:basedOn w:val="88"/>
    <w:semiHidden/>
    <w:unhideWhenUsed/>
    <w:qFormat/>
    <w:uiPriority w:val="99"/>
    <w:pPr>
      <w:widowControl w:val="0"/>
      <w:jc w:val="both"/>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131">
    <w:name w:val="Table Web 3"/>
    <w:basedOn w:val="88"/>
    <w:semiHidden/>
    <w:unhideWhenUsed/>
    <w:qFormat/>
    <w:uiPriority w:val="99"/>
    <w:pPr>
      <w:widowControl w:val="0"/>
      <w:jc w:val="both"/>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132">
    <w:name w:val="Table Professional"/>
    <w:basedOn w:val="88"/>
    <w:semiHidden/>
    <w:unhideWhenUsed/>
    <w:qFormat/>
    <w:uiPriority w:val="99"/>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il"/>
          <w:tr2bl w:val="nil"/>
        </w:tcBorders>
        <w:shd w:val="solid" w:color="000000" w:fill="FFFFFF"/>
      </w:tcPr>
    </w:tblStylePr>
  </w:style>
  <w:style w:type="table" w:styleId="133">
    <w:name w:val="Light Shading"/>
    <w:basedOn w:val="88"/>
    <w:semiHidden/>
    <w:unhideWhenUsed/>
    <w:qFormat/>
    <w:uiPriority w:val="60"/>
    <w:rPr>
      <w:color w:val="000000" w:themeColor="text1" w:themeShade="BF"/>
    </w:rPr>
    <w:tblPr>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134">
    <w:name w:val="Light Shading Accent 1"/>
    <w:basedOn w:val="88"/>
    <w:semiHidden/>
    <w:unhideWhenUsed/>
    <w:qFormat/>
    <w:uiPriority w:val="60"/>
    <w:rPr>
      <w:color w:val="2E75B6" w:themeColor="accent1" w:themeShade="BF"/>
    </w:rPr>
    <w:tblPr>
      <w:tblBorders>
        <w:top w:val="single" w:color="5B9BD5" w:themeColor="accent1" w:sz="8" w:space="0"/>
        <w:bottom w:val="single" w:color="5B9BD5" w:themeColor="accent1" w:sz="8" w:space="0"/>
      </w:tblBorders>
    </w:tblPr>
    <w:tblStylePr w:type="firstRow">
      <w:pPr>
        <w:spacing w:before="0" w:after="0" w:line="240" w:lineRule="auto"/>
      </w:pPr>
      <w:rPr>
        <w:b/>
        <w:bCs/>
      </w:rPr>
      <w:tblPr/>
      <w:tcPr>
        <w:tcBorders>
          <w:top w:val="single" w:color="5B9BD5" w:themeColor="accent1" w:sz="8" w:space="0"/>
          <w:left w:val="nil"/>
          <w:bottom w:val="single" w:color="5B9BD5" w:themeColor="accent1" w:sz="8" w:space="0"/>
          <w:right w:val="nil"/>
          <w:insideH w:val="nil"/>
          <w:insideV w:val="nil"/>
        </w:tcBorders>
      </w:tcPr>
    </w:tblStylePr>
    <w:tblStylePr w:type="lastRow">
      <w:pPr>
        <w:spacing w:before="0" w:after="0" w:line="240" w:lineRule="auto"/>
      </w:pPr>
      <w:rPr>
        <w:b/>
        <w:bCs/>
      </w:rPr>
      <w:tblPr/>
      <w:tcPr>
        <w:tcBorders>
          <w:top w:val="single" w:color="5B9BD5" w:themeColor="accent1" w:sz="8" w:space="0"/>
          <w:left w:val="nil"/>
          <w:bottom w:val="single" w:color="5B9BD5"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135">
    <w:name w:val="Light Shading Accent 2"/>
    <w:basedOn w:val="88"/>
    <w:semiHidden/>
    <w:unhideWhenUsed/>
    <w:qFormat/>
    <w:uiPriority w:val="60"/>
    <w:rPr>
      <w:color w:val="C55A11" w:themeColor="accent2" w:themeShade="BF"/>
    </w:rPr>
    <w:tblPr>
      <w:tblBorders>
        <w:top w:val="single" w:color="ED7D31" w:themeColor="accent2" w:sz="8" w:space="0"/>
        <w:bottom w:val="single" w:color="ED7D31" w:themeColor="accent2" w:sz="8" w:space="0"/>
      </w:tblBorders>
    </w:tblPr>
    <w:tblStylePr w:type="fir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la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C" w:themeFill="accent2" w:themeFillTint="3F"/>
      </w:tcPr>
    </w:tblStylePr>
    <w:tblStylePr w:type="band1Horz">
      <w:tblPr/>
      <w:tcPr>
        <w:tcBorders>
          <w:left w:val="nil"/>
          <w:right w:val="nil"/>
          <w:insideH w:val="nil"/>
          <w:insideV w:val="nil"/>
        </w:tcBorders>
        <w:shd w:val="clear" w:color="auto" w:fill="FADECC" w:themeFill="accent2" w:themeFillTint="3F"/>
      </w:tcPr>
    </w:tblStylePr>
  </w:style>
  <w:style w:type="table" w:styleId="136">
    <w:name w:val="Light Shading Accent 3"/>
    <w:basedOn w:val="88"/>
    <w:semiHidden/>
    <w:unhideWhenUsed/>
    <w:qFormat/>
    <w:uiPriority w:val="60"/>
    <w:rPr>
      <w:color w:val="7C7C7C" w:themeColor="accent3" w:themeShade="BF"/>
    </w:rPr>
    <w:tblPr>
      <w:tblBorders>
        <w:top w:val="single" w:color="A5A5A5" w:themeColor="accent3" w:sz="8" w:space="0"/>
        <w:bottom w:val="single" w:color="A5A5A5" w:themeColor="accent3" w:sz="8" w:space="0"/>
      </w:tblBorders>
    </w:tblPr>
    <w:tblStylePr w:type="firstRow">
      <w:pPr>
        <w:spacing w:before="0" w:after="0" w:line="240" w:lineRule="auto"/>
      </w:pPr>
      <w:rPr>
        <w:b/>
        <w:bCs/>
      </w:rPr>
      <w:tblPr/>
      <w:tcPr>
        <w:tcBorders>
          <w:top w:val="single" w:color="A5A5A5" w:themeColor="accent3" w:sz="8" w:space="0"/>
          <w:left w:val="nil"/>
          <w:bottom w:val="single" w:color="A5A5A5" w:themeColor="accent3" w:sz="8" w:space="0"/>
          <w:right w:val="nil"/>
          <w:insideH w:val="nil"/>
          <w:insideV w:val="nil"/>
        </w:tcBorders>
      </w:tcPr>
    </w:tblStylePr>
    <w:tblStylePr w:type="lastRow">
      <w:pPr>
        <w:spacing w:before="0" w:after="0" w:line="240" w:lineRule="auto"/>
      </w:pPr>
      <w:rPr>
        <w:b/>
        <w:bCs/>
      </w:rPr>
      <w:tblPr/>
      <w:tcPr>
        <w:tcBorders>
          <w:top w:val="single" w:color="A5A5A5" w:themeColor="accent3" w:sz="8" w:space="0"/>
          <w:left w:val="nil"/>
          <w:bottom w:val="single" w:color="A5A5A5"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137">
    <w:name w:val="Light Shading Accent 4"/>
    <w:basedOn w:val="88"/>
    <w:semiHidden/>
    <w:unhideWhenUsed/>
    <w:qFormat/>
    <w:uiPriority w:val="60"/>
    <w:rPr>
      <w:color w:val="BF9000" w:themeColor="accent4" w:themeShade="BF"/>
    </w:rPr>
    <w:tblPr>
      <w:tblBorders>
        <w:top w:val="single" w:color="FFC000" w:themeColor="accent4" w:sz="8" w:space="0"/>
        <w:bottom w:val="single" w:color="FFC000" w:themeColor="accent4" w:sz="8" w:space="0"/>
      </w:tblBorders>
    </w:tblPr>
    <w:tblStylePr w:type="firstRow">
      <w:pPr>
        <w:spacing w:before="0" w:after="0" w:line="240" w:lineRule="auto"/>
      </w:pPr>
      <w:rPr>
        <w:b/>
        <w:bCs/>
      </w:rPr>
      <w:tblPr/>
      <w:tcPr>
        <w:tcBorders>
          <w:top w:val="single" w:color="FFC000" w:themeColor="accent4" w:sz="8" w:space="0"/>
          <w:left w:val="nil"/>
          <w:bottom w:val="single" w:color="FFC000" w:themeColor="accent4" w:sz="8" w:space="0"/>
          <w:right w:val="nil"/>
          <w:insideH w:val="nil"/>
          <w:insideV w:val="nil"/>
        </w:tcBorders>
      </w:tcPr>
    </w:tblStylePr>
    <w:tblStylePr w:type="lastRow">
      <w:pPr>
        <w:spacing w:before="0" w:after="0" w:line="240" w:lineRule="auto"/>
      </w:pPr>
      <w:rPr>
        <w:b/>
        <w:bCs/>
      </w:rPr>
      <w:tblPr/>
      <w:tcPr>
        <w:tcBorders>
          <w:top w:val="single" w:color="FFC000" w:themeColor="accent4" w:sz="8" w:space="0"/>
          <w:left w:val="nil"/>
          <w:bottom w:val="single" w:color="FFC000"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BF" w:themeFill="accent4" w:themeFillTint="3F"/>
      </w:tcPr>
    </w:tblStylePr>
    <w:tblStylePr w:type="band1Horz">
      <w:tblPr/>
      <w:tcPr>
        <w:tcBorders>
          <w:left w:val="nil"/>
          <w:right w:val="nil"/>
          <w:insideH w:val="nil"/>
          <w:insideV w:val="nil"/>
        </w:tcBorders>
        <w:shd w:val="clear" w:color="auto" w:fill="FFEFBF" w:themeFill="accent4" w:themeFillTint="3F"/>
      </w:tcPr>
    </w:tblStylePr>
  </w:style>
  <w:style w:type="table" w:styleId="138">
    <w:name w:val="Light Shading Accent 5"/>
    <w:basedOn w:val="88"/>
    <w:semiHidden/>
    <w:unhideWhenUsed/>
    <w:qFormat/>
    <w:uiPriority w:val="60"/>
    <w:rPr>
      <w:color w:val="2F5597" w:themeColor="accent5" w:themeShade="BF"/>
    </w:rPr>
    <w:tblPr>
      <w:tblBorders>
        <w:top w:val="single" w:color="4472C4" w:themeColor="accent5" w:sz="8" w:space="0"/>
        <w:bottom w:val="single" w:color="4472C4" w:themeColor="accent5" w:sz="8" w:space="0"/>
      </w:tblBorders>
    </w:tblPr>
    <w:tblStylePr w:type="firstRow">
      <w:pPr>
        <w:spacing w:before="0" w:after="0" w:line="240" w:lineRule="auto"/>
      </w:pPr>
      <w:rPr>
        <w:b/>
        <w:bCs/>
      </w:rPr>
      <w:tblPr/>
      <w:tcPr>
        <w:tcBorders>
          <w:top w:val="single" w:color="4472C4" w:themeColor="accent5" w:sz="8" w:space="0"/>
          <w:left w:val="nil"/>
          <w:bottom w:val="single" w:color="4472C4" w:themeColor="accent5" w:sz="8" w:space="0"/>
          <w:right w:val="nil"/>
          <w:insideH w:val="nil"/>
          <w:insideV w:val="nil"/>
        </w:tcBorders>
      </w:tcPr>
    </w:tblStylePr>
    <w:tblStylePr w:type="lastRow">
      <w:pPr>
        <w:spacing w:before="0" w:after="0" w:line="240" w:lineRule="auto"/>
      </w:pPr>
      <w:rPr>
        <w:b/>
        <w:bCs/>
      </w:rPr>
      <w:tblPr/>
      <w:tcPr>
        <w:tcBorders>
          <w:top w:val="single" w:color="4472C4" w:themeColor="accent5" w:sz="8" w:space="0"/>
          <w:left w:val="nil"/>
          <w:bottom w:val="single" w:color="4472C4"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CF0" w:themeFill="accent5" w:themeFillTint="3F"/>
      </w:tcPr>
    </w:tblStylePr>
    <w:tblStylePr w:type="band1Horz">
      <w:tblPr/>
      <w:tcPr>
        <w:tcBorders>
          <w:left w:val="nil"/>
          <w:right w:val="nil"/>
          <w:insideH w:val="nil"/>
          <w:insideV w:val="nil"/>
        </w:tcBorders>
        <w:shd w:val="clear" w:color="auto" w:fill="D0DCF0" w:themeFill="accent5" w:themeFillTint="3F"/>
      </w:tcPr>
    </w:tblStylePr>
  </w:style>
  <w:style w:type="table" w:styleId="139">
    <w:name w:val="Light Shading Accent 6"/>
    <w:basedOn w:val="88"/>
    <w:semiHidden/>
    <w:unhideWhenUsed/>
    <w:qFormat/>
    <w:uiPriority w:val="60"/>
    <w:rPr>
      <w:color w:val="548235" w:themeColor="accent6" w:themeShade="BF"/>
    </w:rPr>
    <w:tblPr>
      <w:tblBorders>
        <w:top w:val="single" w:color="70AD47" w:themeColor="accent6" w:sz="8" w:space="0"/>
        <w:bottom w:val="single" w:color="70AD47" w:themeColor="accent6" w:sz="8" w:space="0"/>
      </w:tblBorders>
    </w:tblPr>
    <w:tblStylePr w:type="firstRow">
      <w:pPr>
        <w:spacing w:before="0" w:after="0" w:line="240" w:lineRule="auto"/>
      </w:pPr>
      <w:rPr>
        <w:b/>
        <w:bCs/>
      </w:rPr>
      <w:tblPr/>
      <w:tcPr>
        <w:tcBorders>
          <w:top w:val="single" w:color="70AD47" w:themeColor="accent6" w:sz="8" w:space="0"/>
          <w:left w:val="nil"/>
          <w:bottom w:val="single" w:color="70AD47" w:themeColor="accent6" w:sz="8" w:space="0"/>
          <w:right w:val="nil"/>
          <w:insideH w:val="nil"/>
          <w:insideV w:val="nil"/>
        </w:tcBorders>
      </w:tcPr>
    </w:tblStylePr>
    <w:tblStylePr w:type="lastRow">
      <w:pPr>
        <w:spacing w:before="0" w:after="0" w:line="240" w:lineRule="auto"/>
      </w:pPr>
      <w:rPr>
        <w:b/>
        <w:bCs/>
      </w:rPr>
      <w:tblPr/>
      <w:tcPr>
        <w:tcBorders>
          <w:top w:val="single" w:color="70AD47" w:themeColor="accent6" w:sz="8" w:space="0"/>
          <w:left w:val="nil"/>
          <w:bottom w:val="single" w:color="70AD47"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140">
    <w:name w:val="Light List"/>
    <w:basedOn w:val="88"/>
    <w:semiHidden/>
    <w:unhideWhenUsed/>
    <w:qFormat/>
    <w:uiPriority w:val="61"/>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141">
    <w:name w:val="Light List Accent 1"/>
    <w:basedOn w:val="88"/>
    <w:semiHidden/>
    <w:unhideWhenUsed/>
    <w:qFormat/>
    <w:uiPriority w:val="61"/>
    <w:tblPr>
      <w:tblBorders>
        <w:top w:val="single" w:color="5B9BD5" w:themeColor="accent1" w:sz="8" w:space="0"/>
        <w:left w:val="single" w:color="5B9BD5" w:themeColor="accent1" w:sz="8" w:space="0"/>
        <w:bottom w:val="single" w:color="5B9BD5" w:themeColor="accent1" w:sz="8" w:space="0"/>
        <w:right w:val="single" w:color="5B9BD5" w:themeColor="accen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5B9BD5" w:themeFill="accent1"/>
      </w:tcPr>
    </w:tblStylePr>
    <w:tblStylePr w:type="lastRow">
      <w:pPr>
        <w:spacing w:before="0" w:after="0" w:line="240" w:lineRule="auto"/>
      </w:pPr>
      <w:rPr>
        <w:b/>
        <w:bCs/>
      </w:rPr>
      <w:tblPr/>
      <w:tcPr>
        <w:tcBorders>
          <w:top w:val="double" w:color="5B9BD5" w:themeColor="accent1" w:sz="6" w:space="0"/>
          <w:left w:val="single" w:color="5B9BD5" w:themeColor="accent1" w:sz="8" w:space="0"/>
          <w:bottom w:val="single" w:color="5B9BD5" w:themeColor="accent1" w:sz="8" w:space="0"/>
          <w:right w:val="single" w:color="5B9BD5" w:themeColor="accent1" w:sz="8" w:space="0"/>
        </w:tcBorders>
      </w:tcPr>
    </w:tblStylePr>
    <w:tblStylePr w:type="firstCol">
      <w:rPr>
        <w:b/>
        <w:bCs/>
      </w:rPr>
    </w:tblStylePr>
    <w:tblStylePr w:type="lastCol">
      <w:rPr>
        <w:b/>
        <w:bCs/>
      </w:rPr>
    </w:tblStylePr>
    <w:tblStylePr w:type="band1Vert">
      <w:tblPr/>
      <w:tcPr>
        <w:tcBorders>
          <w:top w:val="single" w:color="5B9BD5" w:themeColor="accent1" w:sz="8" w:space="0"/>
          <w:left w:val="single" w:color="5B9BD5" w:themeColor="accent1" w:sz="8" w:space="0"/>
          <w:bottom w:val="single" w:color="5B9BD5" w:themeColor="accent1" w:sz="8" w:space="0"/>
          <w:right w:val="single" w:color="5B9BD5" w:themeColor="accent1" w:sz="8" w:space="0"/>
        </w:tcBorders>
      </w:tcPr>
    </w:tblStylePr>
    <w:tblStylePr w:type="band1Horz">
      <w:tblPr/>
      <w:tcPr>
        <w:tcBorders>
          <w:top w:val="single" w:color="5B9BD5" w:themeColor="accent1" w:sz="8" w:space="0"/>
          <w:left w:val="single" w:color="5B9BD5" w:themeColor="accent1" w:sz="8" w:space="0"/>
          <w:bottom w:val="single" w:color="5B9BD5" w:themeColor="accent1" w:sz="8" w:space="0"/>
          <w:right w:val="single" w:color="5B9BD5" w:themeColor="accent1" w:sz="8" w:space="0"/>
        </w:tcBorders>
      </w:tcPr>
    </w:tblStylePr>
  </w:style>
  <w:style w:type="table" w:styleId="142">
    <w:name w:val="Light List Accent 2"/>
    <w:basedOn w:val="88"/>
    <w:semiHidden/>
    <w:unhideWhenUsed/>
    <w:qFormat/>
    <w:uiPriority w:val="61"/>
    <w:tblPr>
      <w:tblBorders>
        <w:top w:val="single" w:color="ED7D31" w:themeColor="accent2" w:sz="8" w:space="0"/>
        <w:left w:val="single" w:color="ED7D31" w:themeColor="accent2" w:sz="8" w:space="0"/>
        <w:bottom w:val="single" w:color="ED7D31" w:themeColor="accent2" w:sz="8" w:space="0"/>
        <w:right w:val="single" w:color="ED7D31" w:themeColor="accent2"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ED7D31" w:themeFill="accent2"/>
      </w:tcPr>
    </w:tblStylePr>
    <w:tblStylePr w:type="lastRow">
      <w:pPr>
        <w:spacing w:before="0" w:after="0" w:line="240" w:lineRule="auto"/>
      </w:pPr>
      <w:rPr>
        <w:b/>
        <w:bCs/>
      </w:rPr>
      <w:tblPr/>
      <w:tcPr>
        <w:tcBorders>
          <w:top w:val="double" w:color="ED7D31" w:themeColor="accent2" w:sz="6" w:space="0"/>
          <w:left w:val="single" w:color="ED7D31" w:themeColor="accent2" w:sz="8" w:space="0"/>
          <w:bottom w:val="single" w:color="ED7D31" w:themeColor="accent2" w:sz="8" w:space="0"/>
          <w:right w:val="single" w:color="ED7D31" w:themeColor="accent2" w:sz="8" w:space="0"/>
        </w:tcBorders>
      </w:tcPr>
    </w:tblStylePr>
    <w:tblStylePr w:type="firstCol">
      <w:rPr>
        <w:b/>
        <w:bCs/>
      </w:rPr>
    </w:tblStylePr>
    <w:tblStylePr w:type="lastCol">
      <w:rPr>
        <w:b/>
        <w:bCs/>
      </w:rPr>
    </w:tblStylePr>
    <w:tblStylePr w:type="band1Vert">
      <w:tblPr/>
      <w:tcPr>
        <w:tcBorders>
          <w:top w:val="single" w:color="ED7D31" w:themeColor="accent2" w:sz="8" w:space="0"/>
          <w:left w:val="single" w:color="ED7D31" w:themeColor="accent2" w:sz="8" w:space="0"/>
          <w:bottom w:val="single" w:color="ED7D31" w:themeColor="accent2" w:sz="8" w:space="0"/>
          <w:right w:val="single" w:color="ED7D31" w:themeColor="accent2" w:sz="8" w:space="0"/>
        </w:tcBorders>
      </w:tcPr>
    </w:tblStylePr>
    <w:tblStylePr w:type="band1Horz">
      <w:tblPr/>
      <w:tcPr>
        <w:tcBorders>
          <w:top w:val="single" w:color="ED7D31" w:themeColor="accent2" w:sz="8" w:space="0"/>
          <w:left w:val="single" w:color="ED7D31" w:themeColor="accent2" w:sz="8" w:space="0"/>
          <w:bottom w:val="single" w:color="ED7D31" w:themeColor="accent2" w:sz="8" w:space="0"/>
          <w:right w:val="single" w:color="ED7D31" w:themeColor="accent2" w:sz="8" w:space="0"/>
        </w:tcBorders>
      </w:tcPr>
    </w:tblStylePr>
  </w:style>
  <w:style w:type="table" w:styleId="143">
    <w:name w:val="Light List Accent 3"/>
    <w:basedOn w:val="88"/>
    <w:semiHidden/>
    <w:unhideWhenUsed/>
    <w:qFormat/>
    <w:uiPriority w:val="61"/>
    <w:tblPr>
      <w:tblBorders>
        <w:top w:val="single" w:color="A5A5A5" w:themeColor="accent3" w:sz="8" w:space="0"/>
        <w:left w:val="single" w:color="A5A5A5" w:themeColor="accent3" w:sz="8" w:space="0"/>
        <w:bottom w:val="single" w:color="A5A5A5" w:themeColor="accent3" w:sz="8" w:space="0"/>
        <w:right w:val="single" w:color="A5A5A5" w:themeColor="accent3"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A5A5A5" w:themeFill="accent3"/>
      </w:tcPr>
    </w:tblStylePr>
    <w:tblStylePr w:type="lastRow">
      <w:pPr>
        <w:spacing w:before="0" w:after="0" w:line="240" w:lineRule="auto"/>
      </w:pPr>
      <w:rPr>
        <w:b/>
        <w:bCs/>
      </w:rPr>
      <w:tblPr/>
      <w:tcPr>
        <w:tcBorders>
          <w:top w:val="double" w:color="A5A5A5" w:themeColor="accent3" w:sz="6" w:space="0"/>
          <w:left w:val="single" w:color="A5A5A5" w:themeColor="accent3" w:sz="8" w:space="0"/>
          <w:bottom w:val="single" w:color="A5A5A5" w:themeColor="accent3" w:sz="8" w:space="0"/>
          <w:right w:val="single" w:color="A5A5A5" w:themeColor="accent3" w:sz="8" w:space="0"/>
        </w:tcBorders>
      </w:tcPr>
    </w:tblStylePr>
    <w:tblStylePr w:type="firstCol">
      <w:rPr>
        <w:b/>
        <w:bCs/>
      </w:rPr>
    </w:tblStylePr>
    <w:tblStylePr w:type="lastCol">
      <w:rPr>
        <w:b/>
        <w:bCs/>
      </w:rPr>
    </w:tblStylePr>
    <w:tblStylePr w:type="band1Vert">
      <w:tblPr/>
      <w:tcPr>
        <w:tcBorders>
          <w:top w:val="single" w:color="A5A5A5" w:themeColor="accent3" w:sz="8" w:space="0"/>
          <w:left w:val="single" w:color="A5A5A5" w:themeColor="accent3" w:sz="8" w:space="0"/>
          <w:bottom w:val="single" w:color="A5A5A5" w:themeColor="accent3" w:sz="8" w:space="0"/>
          <w:right w:val="single" w:color="A5A5A5" w:themeColor="accent3" w:sz="8" w:space="0"/>
        </w:tcBorders>
      </w:tcPr>
    </w:tblStylePr>
    <w:tblStylePr w:type="band1Horz">
      <w:tblPr/>
      <w:tcPr>
        <w:tcBorders>
          <w:top w:val="single" w:color="A5A5A5" w:themeColor="accent3" w:sz="8" w:space="0"/>
          <w:left w:val="single" w:color="A5A5A5" w:themeColor="accent3" w:sz="8" w:space="0"/>
          <w:bottom w:val="single" w:color="A5A5A5" w:themeColor="accent3" w:sz="8" w:space="0"/>
          <w:right w:val="single" w:color="A5A5A5" w:themeColor="accent3" w:sz="8" w:space="0"/>
        </w:tcBorders>
      </w:tcPr>
    </w:tblStylePr>
  </w:style>
  <w:style w:type="table" w:styleId="144">
    <w:name w:val="Light List Accent 4"/>
    <w:basedOn w:val="88"/>
    <w:semiHidden/>
    <w:unhideWhenUsed/>
    <w:qFormat/>
    <w:uiPriority w:val="61"/>
    <w:tblPr>
      <w:tblBorders>
        <w:top w:val="single" w:color="FFC000" w:themeColor="accent4" w:sz="8" w:space="0"/>
        <w:left w:val="single" w:color="FFC000" w:themeColor="accent4" w:sz="8" w:space="0"/>
        <w:bottom w:val="single" w:color="FFC000" w:themeColor="accent4" w:sz="8" w:space="0"/>
        <w:right w:val="single" w:color="FFC000" w:themeColor="accent4"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FFC000" w:themeFill="accent4"/>
      </w:tcPr>
    </w:tblStylePr>
    <w:tblStylePr w:type="lastRow">
      <w:pPr>
        <w:spacing w:before="0" w:after="0" w:line="240" w:lineRule="auto"/>
      </w:pPr>
      <w:rPr>
        <w:b/>
        <w:bCs/>
      </w:rPr>
      <w:tblPr/>
      <w:tcPr>
        <w:tcBorders>
          <w:top w:val="double" w:color="FFC000" w:themeColor="accent4" w:sz="6" w:space="0"/>
          <w:left w:val="single" w:color="FFC000" w:themeColor="accent4" w:sz="8" w:space="0"/>
          <w:bottom w:val="single" w:color="FFC000" w:themeColor="accent4" w:sz="8" w:space="0"/>
          <w:right w:val="single" w:color="FFC000" w:themeColor="accent4" w:sz="8" w:space="0"/>
        </w:tcBorders>
      </w:tcPr>
    </w:tblStylePr>
    <w:tblStylePr w:type="firstCol">
      <w:rPr>
        <w:b/>
        <w:bCs/>
      </w:rPr>
    </w:tblStylePr>
    <w:tblStylePr w:type="lastCol">
      <w:rPr>
        <w:b/>
        <w:bCs/>
      </w:rPr>
    </w:tblStylePr>
    <w:tblStylePr w:type="band1Vert">
      <w:tblPr/>
      <w:tcPr>
        <w:tcBorders>
          <w:top w:val="single" w:color="FFC000" w:themeColor="accent4" w:sz="8" w:space="0"/>
          <w:left w:val="single" w:color="FFC000" w:themeColor="accent4" w:sz="8" w:space="0"/>
          <w:bottom w:val="single" w:color="FFC000" w:themeColor="accent4" w:sz="8" w:space="0"/>
          <w:right w:val="single" w:color="FFC000" w:themeColor="accent4" w:sz="8" w:space="0"/>
        </w:tcBorders>
      </w:tcPr>
    </w:tblStylePr>
    <w:tblStylePr w:type="band1Horz">
      <w:tblPr/>
      <w:tcPr>
        <w:tcBorders>
          <w:top w:val="single" w:color="FFC000" w:themeColor="accent4" w:sz="8" w:space="0"/>
          <w:left w:val="single" w:color="FFC000" w:themeColor="accent4" w:sz="8" w:space="0"/>
          <w:bottom w:val="single" w:color="FFC000" w:themeColor="accent4" w:sz="8" w:space="0"/>
          <w:right w:val="single" w:color="FFC000" w:themeColor="accent4" w:sz="8" w:space="0"/>
        </w:tcBorders>
      </w:tcPr>
    </w:tblStylePr>
  </w:style>
  <w:style w:type="table" w:styleId="145">
    <w:name w:val="Light List Accent 5"/>
    <w:basedOn w:val="88"/>
    <w:semiHidden/>
    <w:unhideWhenUsed/>
    <w:qFormat/>
    <w:uiPriority w:val="61"/>
    <w:tblPr>
      <w:tblBorders>
        <w:top w:val="single" w:color="4472C4" w:themeColor="accent5" w:sz="8" w:space="0"/>
        <w:left w:val="single" w:color="4472C4" w:themeColor="accent5" w:sz="8" w:space="0"/>
        <w:bottom w:val="single" w:color="4472C4" w:themeColor="accent5" w:sz="8" w:space="0"/>
        <w:right w:val="single" w:color="4472C4" w:themeColor="accent5"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4472C4" w:themeFill="accent5"/>
      </w:tcPr>
    </w:tblStylePr>
    <w:tblStylePr w:type="lastRow">
      <w:pPr>
        <w:spacing w:before="0" w:after="0" w:line="240" w:lineRule="auto"/>
      </w:pPr>
      <w:rPr>
        <w:b/>
        <w:bCs/>
      </w:rPr>
      <w:tblPr/>
      <w:tcPr>
        <w:tcBorders>
          <w:top w:val="double" w:color="4472C4" w:themeColor="accent5" w:sz="6" w:space="0"/>
          <w:left w:val="single" w:color="4472C4" w:themeColor="accent5" w:sz="8" w:space="0"/>
          <w:bottom w:val="single" w:color="4472C4" w:themeColor="accent5" w:sz="8" w:space="0"/>
          <w:right w:val="single" w:color="4472C4" w:themeColor="accent5" w:sz="8" w:space="0"/>
        </w:tcBorders>
      </w:tcPr>
    </w:tblStylePr>
    <w:tblStylePr w:type="firstCol">
      <w:rPr>
        <w:b/>
        <w:bCs/>
      </w:rPr>
    </w:tblStylePr>
    <w:tblStylePr w:type="lastCol">
      <w:rPr>
        <w:b/>
        <w:bCs/>
      </w:rPr>
    </w:tblStylePr>
    <w:tblStylePr w:type="band1Vert">
      <w:tblPr/>
      <w:tcPr>
        <w:tcBorders>
          <w:top w:val="single" w:color="4472C4" w:themeColor="accent5" w:sz="8" w:space="0"/>
          <w:left w:val="single" w:color="4472C4" w:themeColor="accent5" w:sz="8" w:space="0"/>
          <w:bottom w:val="single" w:color="4472C4" w:themeColor="accent5" w:sz="8" w:space="0"/>
          <w:right w:val="single" w:color="4472C4" w:themeColor="accent5" w:sz="8" w:space="0"/>
        </w:tcBorders>
      </w:tcPr>
    </w:tblStylePr>
    <w:tblStylePr w:type="band1Horz">
      <w:tblPr/>
      <w:tcPr>
        <w:tcBorders>
          <w:top w:val="single" w:color="4472C4" w:themeColor="accent5" w:sz="8" w:space="0"/>
          <w:left w:val="single" w:color="4472C4" w:themeColor="accent5" w:sz="8" w:space="0"/>
          <w:bottom w:val="single" w:color="4472C4" w:themeColor="accent5" w:sz="8" w:space="0"/>
          <w:right w:val="single" w:color="4472C4" w:themeColor="accent5" w:sz="8" w:space="0"/>
        </w:tcBorders>
      </w:tcPr>
    </w:tblStylePr>
  </w:style>
  <w:style w:type="table" w:styleId="146">
    <w:name w:val="Light List Accent 6"/>
    <w:basedOn w:val="88"/>
    <w:semiHidden/>
    <w:unhideWhenUsed/>
    <w:qFormat/>
    <w:uiPriority w:val="61"/>
    <w:tblPr>
      <w:tblBorders>
        <w:top w:val="single" w:color="70AD47" w:themeColor="accent6" w:sz="8" w:space="0"/>
        <w:left w:val="single" w:color="70AD47" w:themeColor="accent6" w:sz="8" w:space="0"/>
        <w:bottom w:val="single" w:color="70AD47" w:themeColor="accent6" w:sz="8" w:space="0"/>
        <w:right w:val="single" w:color="70AD47" w:themeColor="accent6"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70AD47" w:themeFill="accent6"/>
      </w:tcPr>
    </w:tblStylePr>
    <w:tblStylePr w:type="lastRow">
      <w:pPr>
        <w:spacing w:before="0" w:after="0" w:line="240" w:lineRule="auto"/>
      </w:pPr>
      <w:rPr>
        <w:b/>
        <w:bCs/>
      </w:rPr>
      <w:tblPr/>
      <w:tcPr>
        <w:tcBorders>
          <w:top w:val="double" w:color="70AD47" w:themeColor="accent6" w:sz="6" w:space="0"/>
          <w:left w:val="single" w:color="70AD47" w:themeColor="accent6" w:sz="8" w:space="0"/>
          <w:bottom w:val="single" w:color="70AD47" w:themeColor="accent6" w:sz="8" w:space="0"/>
          <w:right w:val="single" w:color="70AD47" w:themeColor="accent6" w:sz="8" w:space="0"/>
        </w:tcBorders>
      </w:tcPr>
    </w:tblStylePr>
    <w:tblStylePr w:type="firstCol">
      <w:rPr>
        <w:b/>
        <w:bCs/>
      </w:rPr>
    </w:tblStylePr>
    <w:tblStylePr w:type="lastCol">
      <w:rPr>
        <w:b/>
        <w:bCs/>
      </w:rPr>
    </w:tblStylePr>
    <w:tblStylePr w:type="band1Vert">
      <w:tblPr/>
      <w:tcPr>
        <w:tcBorders>
          <w:top w:val="single" w:color="70AD47" w:themeColor="accent6" w:sz="8" w:space="0"/>
          <w:left w:val="single" w:color="70AD47" w:themeColor="accent6" w:sz="8" w:space="0"/>
          <w:bottom w:val="single" w:color="70AD47" w:themeColor="accent6" w:sz="8" w:space="0"/>
          <w:right w:val="single" w:color="70AD47" w:themeColor="accent6" w:sz="8" w:space="0"/>
        </w:tcBorders>
      </w:tcPr>
    </w:tblStylePr>
    <w:tblStylePr w:type="band1Horz">
      <w:tblPr/>
      <w:tcPr>
        <w:tcBorders>
          <w:top w:val="single" w:color="70AD47" w:themeColor="accent6" w:sz="8" w:space="0"/>
          <w:left w:val="single" w:color="70AD47" w:themeColor="accent6" w:sz="8" w:space="0"/>
          <w:bottom w:val="single" w:color="70AD47" w:themeColor="accent6" w:sz="8" w:space="0"/>
          <w:right w:val="single" w:color="70AD47" w:themeColor="accent6" w:sz="8" w:space="0"/>
        </w:tcBorders>
      </w:tcPr>
    </w:tblStylePr>
  </w:style>
  <w:style w:type="table" w:styleId="147">
    <w:name w:val="Light Grid"/>
    <w:basedOn w:val="88"/>
    <w:semiHidden/>
    <w:unhideWhenUsed/>
    <w:qFormat/>
    <w:uiPriority w:val="62"/>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148">
    <w:name w:val="Light Grid Accent 1"/>
    <w:basedOn w:val="88"/>
    <w:semiHidden/>
    <w:unhideWhenUsed/>
    <w:qFormat/>
    <w:uiPriority w:val="62"/>
    <w:tblPr>
      <w:tblBorders>
        <w:top w:val="single" w:color="5B9BD5" w:themeColor="accent1" w:sz="8" w:space="0"/>
        <w:left w:val="single" w:color="5B9BD5" w:themeColor="accent1" w:sz="8" w:space="0"/>
        <w:bottom w:val="single" w:color="5B9BD5" w:themeColor="accent1" w:sz="8" w:space="0"/>
        <w:right w:val="single" w:color="5B9BD5" w:themeColor="accent1" w:sz="8" w:space="0"/>
        <w:insideH w:val="single" w:color="5B9BD5" w:themeColor="accent1" w:sz="8" w:space="0"/>
        <w:insideV w:val="single" w:color="5B9BD5"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5B9BD5" w:themeColor="accent1" w:sz="8" w:space="0"/>
          <w:left w:val="single" w:color="5B9BD5" w:themeColor="accent1" w:sz="8" w:space="0"/>
          <w:bottom w:val="single" w:color="5B9BD5" w:themeColor="accent1" w:sz="18" w:space="0"/>
          <w:right w:val="single" w:color="5B9BD5"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5B9BD5" w:themeColor="accent1" w:sz="6" w:space="0"/>
          <w:left w:val="single" w:color="5B9BD5" w:themeColor="accent1" w:sz="8" w:space="0"/>
          <w:bottom w:val="single" w:color="5B9BD5" w:themeColor="accent1" w:sz="8" w:space="0"/>
          <w:right w:val="single" w:color="5B9BD5"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5B9BD5" w:themeColor="accent1" w:sz="8" w:space="0"/>
          <w:left w:val="single" w:color="5B9BD5" w:themeColor="accent1" w:sz="8" w:space="0"/>
          <w:bottom w:val="single" w:color="5B9BD5" w:themeColor="accent1" w:sz="8" w:space="0"/>
          <w:right w:val="single" w:color="5B9BD5" w:themeColor="accent1" w:sz="8" w:space="0"/>
        </w:tcBorders>
      </w:tcPr>
    </w:tblStylePr>
    <w:tblStylePr w:type="band1Vert">
      <w:tblPr/>
      <w:tcPr>
        <w:tcBorders>
          <w:top w:val="single" w:color="5B9BD5" w:themeColor="accent1" w:sz="8" w:space="0"/>
          <w:left w:val="single" w:color="5B9BD5" w:themeColor="accent1" w:sz="8" w:space="0"/>
          <w:bottom w:val="single" w:color="5B9BD5" w:themeColor="accent1" w:sz="8" w:space="0"/>
          <w:right w:val="single" w:color="5B9BD5" w:themeColor="accent1" w:sz="8" w:space="0"/>
        </w:tcBorders>
        <w:shd w:val="clear" w:color="auto" w:fill="D6E6F4" w:themeFill="accent1" w:themeFillTint="3F"/>
      </w:tcPr>
    </w:tblStylePr>
    <w:tblStylePr w:type="band1Horz">
      <w:tblPr/>
      <w:tcPr>
        <w:tcBorders>
          <w:top w:val="single" w:color="5B9BD5" w:themeColor="accent1" w:sz="8" w:space="0"/>
          <w:left w:val="single" w:color="5B9BD5" w:themeColor="accent1" w:sz="8" w:space="0"/>
          <w:bottom w:val="single" w:color="5B9BD5" w:themeColor="accent1" w:sz="8" w:space="0"/>
          <w:right w:val="single" w:color="5B9BD5" w:themeColor="accent1" w:sz="8" w:space="0"/>
          <w:insideV w:val="single" w:sz="8" w:space="0"/>
        </w:tcBorders>
        <w:shd w:val="clear" w:color="auto" w:fill="D6E6F4" w:themeFill="accent1" w:themeFillTint="3F"/>
      </w:tcPr>
    </w:tblStylePr>
    <w:tblStylePr w:type="band2Horz">
      <w:tblPr/>
      <w:tcPr>
        <w:tcBorders>
          <w:top w:val="single" w:color="5B9BD5" w:themeColor="accent1" w:sz="8" w:space="0"/>
          <w:left w:val="single" w:color="5B9BD5" w:themeColor="accent1" w:sz="8" w:space="0"/>
          <w:bottom w:val="single" w:color="5B9BD5" w:themeColor="accent1" w:sz="8" w:space="0"/>
          <w:right w:val="single" w:color="5B9BD5" w:themeColor="accent1" w:sz="8" w:space="0"/>
          <w:insideV w:val="single" w:sz="8" w:space="0"/>
        </w:tcBorders>
      </w:tcPr>
    </w:tblStylePr>
  </w:style>
  <w:style w:type="table" w:styleId="149">
    <w:name w:val="Light Grid Accent 2"/>
    <w:basedOn w:val="88"/>
    <w:semiHidden/>
    <w:unhideWhenUsed/>
    <w:qFormat/>
    <w:uiPriority w:val="62"/>
    <w:tblPr>
      <w:tblBorders>
        <w:top w:val="single" w:color="ED7D31" w:themeColor="accent2" w:sz="8" w:space="0"/>
        <w:left w:val="single" w:color="ED7D31" w:themeColor="accent2" w:sz="8" w:space="0"/>
        <w:bottom w:val="single" w:color="ED7D31" w:themeColor="accent2" w:sz="8" w:space="0"/>
        <w:right w:val="single" w:color="ED7D31" w:themeColor="accent2" w:sz="8" w:space="0"/>
        <w:insideH w:val="single" w:color="ED7D31" w:themeColor="accent2" w:sz="8" w:space="0"/>
        <w:insideV w:val="single" w:color="ED7D31"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ED7D31" w:themeColor="accent2" w:sz="8" w:space="0"/>
          <w:left w:val="single" w:color="ED7D31" w:themeColor="accent2" w:sz="8" w:space="0"/>
          <w:bottom w:val="single" w:color="ED7D31" w:themeColor="accent2" w:sz="18" w:space="0"/>
          <w:right w:val="single" w:color="ED7D31"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ED7D31" w:themeColor="accent2" w:sz="6" w:space="0"/>
          <w:left w:val="single" w:color="ED7D31" w:themeColor="accent2" w:sz="8" w:space="0"/>
          <w:bottom w:val="single" w:color="ED7D31" w:themeColor="accent2" w:sz="8" w:space="0"/>
          <w:right w:val="single" w:color="ED7D31"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ED7D31" w:themeColor="accent2" w:sz="8" w:space="0"/>
          <w:left w:val="single" w:color="ED7D31" w:themeColor="accent2" w:sz="8" w:space="0"/>
          <w:bottom w:val="single" w:color="ED7D31" w:themeColor="accent2" w:sz="8" w:space="0"/>
          <w:right w:val="single" w:color="ED7D31" w:themeColor="accent2" w:sz="8" w:space="0"/>
        </w:tcBorders>
      </w:tcPr>
    </w:tblStylePr>
    <w:tblStylePr w:type="band1Vert">
      <w:tblPr/>
      <w:tcPr>
        <w:tcBorders>
          <w:top w:val="single" w:color="ED7D31" w:themeColor="accent2" w:sz="8" w:space="0"/>
          <w:left w:val="single" w:color="ED7D31" w:themeColor="accent2" w:sz="8" w:space="0"/>
          <w:bottom w:val="single" w:color="ED7D31" w:themeColor="accent2" w:sz="8" w:space="0"/>
          <w:right w:val="single" w:color="ED7D31" w:themeColor="accent2" w:sz="8" w:space="0"/>
        </w:tcBorders>
        <w:shd w:val="clear" w:color="auto" w:fill="FADECC" w:themeFill="accent2" w:themeFillTint="3F"/>
      </w:tcPr>
    </w:tblStylePr>
    <w:tblStylePr w:type="band1Horz">
      <w:tblPr/>
      <w:tcPr>
        <w:tcBorders>
          <w:top w:val="single" w:color="ED7D31" w:themeColor="accent2" w:sz="8" w:space="0"/>
          <w:left w:val="single" w:color="ED7D31" w:themeColor="accent2" w:sz="8" w:space="0"/>
          <w:bottom w:val="single" w:color="ED7D31" w:themeColor="accent2" w:sz="8" w:space="0"/>
          <w:right w:val="single" w:color="ED7D31" w:themeColor="accent2" w:sz="8" w:space="0"/>
          <w:insideV w:val="single" w:sz="8" w:space="0"/>
        </w:tcBorders>
        <w:shd w:val="clear" w:color="auto" w:fill="FADECC" w:themeFill="accent2" w:themeFillTint="3F"/>
      </w:tcPr>
    </w:tblStylePr>
    <w:tblStylePr w:type="band2Horz">
      <w:tblPr/>
      <w:tcPr>
        <w:tcBorders>
          <w:top w:val="single" w:color="ED7D31" w:themeColor="accent2" w:sz="8" w:space="0"/>
          <w:left w:val="single" w:color="ED7D31" w:themeColor="accent2" w:sz="8" w:space="0"/>
          <w:bottom w:val="single" w:color="ED7D31" w:themeColor="accent2" w:sz="8" w:space="0"/>
          <w:right w:val="single" w:color="ED7D31" w:themeColor="accent2" w:sz="8" w:space="0"/>
          <w:insideV w:val="single" w:sz="8" w:space="0"/>
        </w:tcBorders>
      </w:tcPr>
    </w:tblStylePr>
  </w:style>
  <w:style w:type="table" w:styleId="150">
    <w:name w:val="Light Grid Accent 3"/>
    <w:basedOn w:val="88"/>
    <w:semiHidden/>
    <w:unhideWhenUsed/>
    <w:qFormat/>
    <w:uiPriority w:val="62"/>
    <w:tblPr>
      <w:tblBorders>
        <w:top w:val="single" w:color="A5A5A5" w:themeColor="accent3" w:sz="8" w:space="0"/>
        <w:left w:val="single" w:color="A5A5A5" w:themeColor="accent3" w:sz="8" w:space="0"/>
        <w:bottom w:val="single" w:color="A5A5A5" w:themeColor="accent3" w:sz="8" w:space="0"/>
        <w:right w:val="single" w:color="A5A5A5" w:themeColor="accent3" w:sz="8" w:space="0"/>
        <w:insideH w:val="single" w:color="A5A5A5" w:themeColor="accent3" w:sz="8" w:space="0"/>
        <w:insideV w:val="single" w:color="A5A5A5"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A5A5A5" w:themeColor="accent3" w:sz="8" w:space="0"/>
          <w:left w:val="single" w:color="A5A5A5" w:themeColor="accent3" w:sz="8" w:space="0"/>
          <w:bottom w:val="single" w:color="A5A5A5" w:themeColor="accent3" w:sz="18" w:space="0"/>
          <w:right w:val="single" w:color="A5A5A5"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A5A5A5" w:themeColor="accent3" w:sz="6" w:space="0"/>
          <w:left w:val="single" w:color="A5A5A5" w:themeColor="accent3" w:sz="8" w:space="0"/>
          <w:bottom w:val="single" w:color="A5A5A5" w:themeColor="accent3" w:sz="8" w:space="0"/>
          <w:right w:val="single" w:color="A5A5A5"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A5A5A5" w:themeColor="accent3" w:sz="8" w:space="0"/>
          <w:left w:val="single" w:color="A5A5A5" w:themeColor="accent3" w:sz="8" w:space="0"/>
          <w:bottom w:val="single" w:color="A5A5A5" w:themeColor="accent3" w:sz="8" w:space="0"/>
          <w:right w:val="single" w:color="A5A5A5" w:themeColor="accent3" w:sz="8" w:space="0"/>
        </w:tcBorders>
      </w:tcPr>
    </w:tblStylePr>
    <w:tblStylePr w:type="band1Vert">
      <w:tblPr/>
      <w:tcPr>
        <w:tcBorders>
          <w:top w:val="single" w:color="A5A5A5" w:themeColor="accent3" w:sz="8" w:space="0"/>
          <w:left w:val="single" w:color="A5A5A5" w:themeColor="accent3" w:sz="8" w:space="0"/>
          <w:bottom w:val="single" w:color="A5A5A5" w:themeColor="accent3" w:sz="8" w:space="0"/>
          <w:right w:val="single" w:color="A5A5A5" w:themeColor="accent3" w:sz="8" w:space="0"/>
        </w:tcBorders>
        <w:shd w:val="clear" w:color="auto" w:fill="E8E8E8" w:themeFill="accent3" w:themeFillTint="3F"/>
      </w:tcPr>
    </w:tblStylePr>
    <w:tblStylePr w:type="band1Horz">
      <w:tblPr/>
      <w:tcPr>
        <w:tcBorders>
          <w:top w:val="single" w:color="A5A5A5" w:themeColor="accent3" w:sz="8" w:space="0"/>
          <w:left w:val="single" w:color="A5A5A5" w:themeColor="accent3" w:sz="8" w:space="0"/>
          <w:bottom w:val="single" w:color="A5A5A5" w:themeColor="accent3" w:sz="8" w:space="0"/>
          <w:right w:val="single" w:color="A5A5A5" w:themeColor="accent3" w:sz="8" w:space="0"/>
          <w:insideV w:val="single" w:sz="8" w:space="0"/>
        </w:tcBorders>
        <w:shd w:val="clear" w:color="auto" w:fill="E8E8E8" w:themeFill="accent3" w:themeFillTint="3F"/>
      </w:tcPr>
    </w:tblStylePr>
    <w:tblStylePr w:type="band2Horz">
      <w:tblPr/>
      <w:tcPr>
        <w:tcBorders>
          <w:top w:val="single" w:color="A5A5A5" w:themeColor="accent3" w:sz="8" w:space="0"/>
          <w:left w:val="single" w:color="A5A5A5" w:themeColor="accent3" w:sz="8" w:space="0"/>
          <w:bottom w:val="single" w:color="A5A5A5" w:themeColor="accent3" w:sz="8" w:space="0"/>
          <w:right w:val="single" w:color="A5A5A5" w:themeColor="accent3" w:sz="8" w:space="0"/>
          <w:insideV w:val="single" w:sz="8" w:space="0"/>
        </w:tcBorders>
      </w:tcPr>
    </w:tblStylePr>
  </w:style>
  <w:style w:type="table" w:styleId="151">
    <w:name w:val="Light Grid Accent 4"/>
    <w:basedOn w:val="88"/>
    <w:semiHidden/>
    <w:unhideWhenUsed/>
    <w:qFormat/>
    <w:uiPriority w:val="62"/>
    <w:tblPr>
      <w:tblBorders>
        <w:top w:val="single" w:color="FFC000" w:themeColor="accent4" w:sz="8" w:space="0"/>
        <w:left w:val="single" w:color="FFC000" w:themeColor="accent4" w:sz="8" w:space="0"/>
        <w:bottom w:val="single" w:color="FFC000" w:themeColor="accent4" w:sz="8" w:space="0"/>
        <w:right w:val="single" w:color="FFC000" w:themeColor="accent4" w:sz="8" w:space="0"/>
        <w:insideH w:val="single" w:color="FFC000" w:themeColor="accent4" w:sz="8" w:space="0"/>
        <w:insideV w:val="single" w:color="FFC000"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FC000" w:themeColor="accent4" w:sz="8" w:space="0"/>
          <w:left w:val="single" w:color="FFC000" w:themeColor="accent4" w:sz="8" w:space="0"/>
          <w:bottom w:val="single" w:color="FFC000" w:themeColor="accent4" w:sz="18" w:space="0"/>
          <w:right w:val="single" w:color="FFC000"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FC000" w:themeColor="accent4" w:sz="6" w:space="0"/>
          <w:left w:val="single" w:color="FFC000" w:themeColor="accent4" w:sz="8" w:space="0"/>
          <w:bottom w:val="single" w:color="FFC000" w:themeColor="accent4" w:sz="8" w:space="0"/>
          <w:right w:val="single" w:color="FFC000"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FC000" w:themeColor="accent4" w:sz="8" w:space="0"/>
          <w:left w:val="single" w:color="FFC000" w:themeColor="accent4" w:sz="8" w:space="0"/>
          <w:bottom w:val="single" w:color="FFC000" w:themeColor="accent4" w:sz="8" w:space="0"/>
          <w:right w:val="single" w:color="FFC000" w:themeColor="accent4" w:sz="8" w:space="0"/>
        </w:tcBorders>
      </w:tcPr>
    </w:tblStylePr>
    <w:tblStylePr w:type="band1Vert">
      <w:tblPr/>
      <w:tcPr>
        <w:tcBorders>
          <w:top w:val="single" w:color="FFC000" w:themeColor="accent4" w:sz="8" w:space="0"/>
          <w:left w:val="single" w:color="FFC000" w:themeColor="accent4" w:sz="8" w:space="0"/>
          <w:bottom w:val="single" w:color="FFC000" w:themeColor="accent4" w:sz="8" w:space="0"/>
          <w:right w:val="single" w:color="FFC000" w:themeColor="accent4" w:sz="8" w:space="0"/>
        </w:tcBorders>
        <w:shd w:val="clear" w:color="auto" w:fill="FFEFBF" w:themeFill="accent4" w:themeFillTint="3F"/>
      </w:tcPr>
    </w:tblStylePr>
    <w:tblStylePr w:type="band1Horz">
      <w:tblPr/>
      <w:tcPr>
        <w:tcBorders>
          <w:top w:val="single" w:color="FFC000" w:themeColor="accent4" w:sz="8" w:space="0"/>
          <w:left w:val="single" w:color="FFC000" w:themeColor="accent4" w:sz="8" w:space="0"/>
          <w:bottom w:val="single" w:color="FFC000" w:themeColor="accent4" w:sz="8" w:space="0"/>
          <w:right w:val="single" w:color="FFC000" w:themeColor="accent4" w:sz="8" w:space="0"/>
          <w:insideV w:val="single" w:sz="8" w:space="0"/>
        </w:tcBorders>
        <w:shd w:val="clear" w:color="auto" w:fill="FFEFBF" w:themeFill="accent4" w:themeFillTint="3F"/>
      </w:tcPr>
    </w:tblStylePr>
    <w:tblStylePr w:type="band2Horz">
      <w:tblPr/>
      <w:tcPr>
        <w:tcBorders>
          <w:top w:val="single" w:color="FFC000" w:themeColor="accent4" w:sz="8" w:space="0"/>
          <w:left w:val="single" w:color="FFC000" w:themeColor="accent4" w:sz="8" w:space="0"/>
          <w:bottom w:val="single" w:color="FFC000" w:themeColor="accent4" w:sz="8" w:space="0"/>
          <w:right w:val="single" w:color="FFC000" w:themeColor="accent4" w:sz="8" w:space="0"/>
          <w:insideV w:val="single" w:sz="8" w:space="0"/>
        </w:tcBorders>
      </w:tcPr>
    </w:tblStylePr>
  </w:style>
  <w:style w:type="table" w:styleId="152">
    <w:name w:val="Light Grid Accent 5"/>
    <w:basedOn w:val="88"/>
    <w:semiHidden/>
    <w:unhideWhenUsed/>
    <w:qFormat/>
    <w:uiPriority w:val="62"/>
    <w:tblPr>
      <w:tblBorders>
        <w:top w:val="single" w:color="4472C4" w:themeColor="accent5" w:sz="8" w:space="0"/>
        <w:left w:val="single" w:color="4472C4" w:themeColor="accent5" w:sz="8" w:space="0"/>
        <w:bottom w:val="single" w:color="4472C4" w:themeColor="accent5" w:sz="8" w:space="0"/>
        <w:right w:val="single" w:color="4472C4" w:themeColor="accent5" w:sz="8" w:space="0"/>
        <w:insideH w:val="single" w:color="4472C4" w:themeColor="accent5" w:sz="8" w:space="0"/>
        <w:insideV w:val="single" w:color="4472C4"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472C4" w:themeColor="accent5" w:sz="8" w:space="0"/>
          <w:left w:val="single" w:color="4472C4" w:themeColor="accent5" w:sz="8" w:space="0"/>
          <w:bottom w:val="single" w:color="4472C4" w:themeColor="accent5" w:sz="18" w:space="0"/>
          <w:right w:val="single" w:color="4472C4"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472C4" w:themeColor="accent5" w:sz="6" w:space="0"/>
          <w:left w:val="single" w:color="4472C4" w:themeColor="accent5" w:sz="8" w:space="0"/>
          <w:bottom w:val="single" w:color="4472C4" w:themeColor="accent5" w:sz="8" w:space="0"/>
          <w:right w:val="single" w:color="4472C4"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472C4" w:themeColor="accent5" w:sz="8" w:space="0"/>
          <w:left w:val="single" w:color="4472C4" w:themeColor="accent5" w:sz="8" w:space="0"/>
          <w:bottom w:val="single" w:color="4472C4" w:themeColor="accent5" w:sz="8" w:space="0"/>
          <w:right w:val="single" w:color="4472C4" w:themeColor="accent5" w:sz="8" w:space="0"/>
        </w:tcBorders>
      </w:tcPr>
    </w:tblStylePr>
    <w:tblStylePr w:type="band1Vert">
      <w:tblPr/>
      <w:tcPr>
        <w:tcBorders>
          <w:top w:val="single" w:color="4472C4" w:themeColor="accent5" w:sz="8" w:space="0"/>
          <w:left w:val="single" w:color="4472C4" w:themeColor="accent5" w:sz="8" w:space="0"/>
          <w:bottom w:val="single" w:color="4472C4" w:themeColor="accent5" w:sz="8" w:space="0"/>
          <w:right w:val="single" w:color="4472C4" w:themeColor="accent5" w:sz="8" w:space="0"/>
        </w:tcBorders>
        <w:shd w:val="clear" w:color="auto" w:fill="D0DCF0" w:themeFill="accent5" w:themeFillTint="3F"/>
      </w:tcPr>
    </w:tblStylePr>
    <w:tblStylePr w:type="band1Horz">
      <w:tblPr/>
      <w:tcPr>
        <w:tcBorders>
          <w:top w:val="single" w:color="4472C4" w:themeColor="accent5" w:sz="8" w:space="0"/>
          <w:left w:val="single" w:color="4472C4" w:themeColor="accent5" w:sz="8" w:space="0"/>
          <w:bottom w:val="single" w:color="4472C4" w:themeColor="accent5" w:sz="8" w:space="0"/>
          <w:right w:val="single" w:color="4472C4" w:themeColor="accent5" w:sz="8" w:space="0"/>
          <w:insideV w:val="single" w:sz="8" w:space="0"/>
        </w:tcBorders>
        <w:shd w:val="clear" w:color="auto" w:fill="D0DCF0" w:themeFill="accent5" w:themeFillTint="3F"/>
      </w:tcPr>
    </w:tblStylePr>
    <w:tblStylePr w:type="band2Horz">
      <w:tblPr/>
      <w:tcPr>
        <w:tcBorders>
          <w:top w:val="single" w:color="4472C4" w:themeColor="accent5" w:sz="8" w:space="0"/>
          <w:left w:val="single" w:color="4472C4" w:themeColor="accent5" w:sz="8" w:space="0"/>
          <w:bottom w:val="single" w:color="4472C4" w:themeColor="accent5" w:sz="8" w:space="0"/>
          <w:right w:val="single" w:color="4472C4" w:themeColor="accent5" w:sz="8" w:space="0"/>
          <w:insideV w:val="single" w:sz="8" w:space="0"/>
        </w:tcBorders>
      </w:tcPr>
    </w:tblStylePr>
  </w:style>
  <w:style w:type="table" w:styleId="153">
    <w:name w:val="Light Grid Accent 6"/>
    <w:basedOn w:val="88"/>
    <w:semiHidden/>
    <w:unhideWhenUsed/>
    <w:qFormat/>
    <w:uiPriority w:val="62"/>
    <w:tblPr>
      <w:tblBorders>
        <w:top w:val="single" w:color="70AD47" w:themeColor="accent6" w:sz="8" w:space="0"/>
        <w:left w:val="single" w:color="70AD47" w:themeColor="accent6" w:sz="8" w:space="0"/>
        <w:bottom w:val="single" w:color="70AD47" w:themeColor="accent6" w:sz="8" w:space="0"/>
        <w:right w:val="single" w:color="70AD47" w:themeColor="accent6" w:sz="8" w:space="0"/>
        <w:insideH w:val="single" w:color="70AD47" w:themeColor="accent6" w:sz="8" w:space="0"/>
        <w:insideV w:val="single" w:color="70AD47"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70AD47" w:themeColor="accent6" w:sz="8" w:space="0"/>
          <w:left w:val="single" w:color="70AD47" w:themeColor="accent6" w:sz="8" w:space="0"/>
          <w:bottom w:val="single" w:color="70AD47" w:themeColor="accent6" w:sz="18" w:space="0"/>
          <w:right w:val="single" w:color="70AD47"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70AD47" w:themeColor="accent6" w:sz="6" w:space="0"/>
          <w:left w:val="single" w:color="70AD47" w:themeColor="accent6" w:sz="8" w:space="0"/>
          <w:bottom w:val="single" w:color="70AD47" w:themeColor="accent6" w:sz="8" w:space="0"/>
          <w:right w:val="single" w:color="70AD47"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70AD47" w:themeColor="accent6" w:sz="8" w:space="0"/>
          <w:left w:val="single" w:color="70AD47" w:themeColor="accent6" w:sz="8" w:space="0"/>
          <w:bottom w:val="single" w:color="70AD47" w:themeColor="accent6" w:sz="8" w:space="0"/>
          <w:right w:val="single" w:color="70AD47" w:themeColor="accent6" w:sz="8" w:space="0"/>
        </w:tcBorders>
      </w:tcPr>
    </w:tblStylePr>
    <w:tblStylePr w:type="band1Vert">
      <w:tblPr/>
      <w:tcPr>
        <w:tcBorders>
          <w:top w:val="single" w:color="70AD47" w:themeColor="accent6" w:sz="8" w:space="0"/>
          <w:left w:val="single" w:color="70AD47" w:themeColor="accent6" w:sz="8" w:space="0"/>
          <w:bottom w:val="single" w:color="70AD47" w:themeColor="accent6" w:sz="8" w:space="0"/>
          <w:right w:val="single" w:color="70AD47" w:themeColor="accent6" w:sz="8" w:space="0"/>
        </w:tcBorders>
        <w:shd w:val="clear" w:color="auto" w:fill="DBEBD0" w:themeFill="accent6" w:themeFillTint="3F"/>
      </w:tcPr>
    </w:tblStylePr>
    <w:tblStylePr w:type="band1Horz">
      <w:tblPr/>
      <w:tcPr>
        <w:tcBorders>
          <w:top w:val="single" w:color="70AD47" w:themeColor="accent6" w:sz="8" w:space="0"/>
          <w:left w:val="single" w:color="70AD47" w:themeColor="accent6" w:sz="8" w:space="0"/>
          <w:bottom w:val="single" w:color="70AD47" w:themeColor="accent6" w:sz="8" w:space="0"/>
          <w:right w:val="single" w:color="70AD47" w:themeColor="accent6" w:sz="8" w:space="0"/>
          <w:insideV w:val="single" w:sz="8" w:space="0"/>
        </w:tcBorders>
        <w:shd w:val="clear" w:color="auto" w:fill="DBEBD0" w:themeFill="accent6" w:themeFillTint="3F"/>
      </w:tcPr>
    </w:tblStylePr>
    <w:tblStylePr w:type="band2Horz">
      <w:tblPr/>
      <w:tcPr>
        <w:tcBorders>
          <w:top w:val="single" w:color="70AD47" w:themeColor="accent6" w:sz="8" w:space="0"/>
          <w:left w:val="single" w:color="70AD47" w:themeColor="accent6" w:sz="8" w:space="0"/>
          <w:bottom w:val="single" w:color="70AD47" w:themeColor="accent6" w:sz="8" w:space="0"/>
          <w:right w:val="single" w:color="70AD47" w:themeColor="accent6" w:sz="8" w:space="0"/>
          <w:insideV w:val="single" w:sz="8" w:space="0"/>
        </w:tcBorders>
      </w:tcPr>
    </w:tblStylePr>
  </w:style>
  <w:style w:type="table" w:styleId="154">
    <w:name w:val="Medium Shading 1"/>
    <w:basedOn w:val="88"/>
    <w:semiHidden/>
    <w:unhideWhenUsed/>
    <w:qFormat/>
    <w:uiPriority w:val="63"/>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155">
    <w:name w:val="Medium Shading 1 Accent 1"/>
    <w:basedOn w:val="88"/>
    <w:semiHidden/>
    <w:unhideWhenUsed/>
    <w:qFormat/>
    <w:uiPriority w:val="63"/>
    <w:tblPr>
      <w:tblBorders>
        <w:top w:val="single" w:color="84B4DF" w:themeColor="accent1" w:themeTint="BF" w:sz="8" w:space="0"/>
        <w:left w:val="single" w:color="84B4DF" w:themeColor="accent1" w:themeTint="BF" w:sz="8" w:space="0"/>
        <w:bottom w:val="single" w:color="84B4DF" w:themeColor="accent1" w:themeTint="BF" w:sz="8" w:space="0"/>
        <w:right w:val="single" w:color="84B4DF" w:themeColor="accent1" w:themeTint="BF" w:sz="8" w:space="0"/>
        <w:insideH w:val="single" w:color="84B4DF" w:themeColor="accent1"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84B4DF" w:themeColor="accent1" w:themeTint="BF" w:sz="8" w:space="0"/>
          <w:left w:val="single" w:color="84B4DF" w:themeColor="accent1" w:themeTint="BF" w:sz="8" w:space="0"/>
          <w:bottom w:val="single" w:color="84B4DF" w:themeColor="accent1" w:themeTint="BF" w:sz="8" w:space="0"/>
          <w:right w:val="single" w:color="84B4DF" w:themeColor="accent1" w:themeTint="BF" w:sz="8" w:space="0"/>
          <w:insideH w:val="nil"/>
          <w:insideV w:val="nil"/>
        </w:tcBorders>
        <w:shd w:val="clear" w:color="auto" w:fill="5B9BD5" w:themeFill="accent1"/>
      </w:tcPr>
    </w:tblStylePr>
    <w:tblStylePr w:type="lastRow">
      <w:pPr>
        <w:spacing w:before="0" w:after="0" w:line="240" w:lineRule="auto"/>
      </w:pPr>
      <w:rPr>
        <w:b/>
        <w:bCs/>
      </w:rPr>
      <w:tblPr/>
      <w:tcPr>
        <w:tcBorders>
          <w:top w:val="double" w:color="84B4DF" w:themeColor="accent1" w:themeTint="BF" w:sz="6" w:space="0"/>
          <w:left w:val="single" w:color="84B4DF" w:themeColor="accent1" w:themeTint="BF" w:sz="8" w:space="0"/>
          <w:bottom w:val="single" w:color="84B4DF" w:themeColor="accent1" w:themeTint="BF" w:sz="8" w:space="0"/>
          <w:right w:val="single" w:color="84B4DF"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styleId="156">
    <w:name w:val="Medium Shading 1 Accent 2"/>
    <w:basedOn w:val="88"/>
    <w:semiHidden/>
    <w:unhideWhenUsed/>
    <w:qFormat/>
    <w:uiPriority w:val="63"/>
    <w:tblPr>
      <w:tblBorders>
        <w:top w:val="single" w:color="F19D64" w:themeColor="accent2" w:themeTint="BF" w:sz="8" w:space="0"/>
        <w:left w:val="single" w:color="F19D64" w:themeColor="accent2" w:themeTint="BF" w:sz="8" w:space="0"/>
        <w:bottom w:val="single" w:color="F19D64" w:themeColor="accent2" w:themeTint="BF" w:sz="8" w:space="0"/>
        <w:right w:val="single" w:color="F19D64" w:themeColor="accent2" w:themeTint="BF" w:sz="8" w:space="0"/>
        <w:insideH w:val="single" w:color="F19D64" w:themeColor="accent2"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F19D64" w:themeColor="accent2" w:themeTint="BF" w:sz="8" w:space="0"/>
          <w:left w:val="single" w:color="F19D64" w:themeColor="accent2" w:themeTint="BF" w:sz="8" w:space="0"/>
          <w:bottom w:val="single" w:color="F19D64" w:themeColor="accent2" w:themeTint="BF" w:sz="8" w:space="0"/>
          <w:right w:val="single" w:color="F19D64" w:themeColor="accent2" w:themeTint="BF" w:sz="8" w:space="0"/>
          <w:insideH w:val="nil"/>
          <w:insideV w:val="nil"/>
        </w:tcBorders>
        <w:shd w:val="clear" w:color="auto" w:fill="ED7D31" w:themeFill="accent2"/>
      </w:tcPr>
    </w:tblStylePr>
    <w:tblStylePr w:type="lastRow">
      <w:pPr>
        <w:spacing w:before="0" w:after="0" w:line="240" w:lineRule="auto"/>
      </w:pPr>
      <w:rPr>
        <w:b/>
        <w:bCs/>
      </w:rPr>
      <w:tblPr/>
      <w:tcPr>
        <w:tcBorders>
          <w:top w:val="double" w:color="F19D64" w:themeColor="accent2" w:themeTint="BF" w:sz="6" w:space="0"/>
          <w:left w:val="single" w:color="F19D64" w:themeColor="accent2" w:themeTint="BF" w:sz="8" w:space="0"/>
          <w:bottom w:val="single" w:color="F19D64" w:themeColor="accent2" w:themeTint="BF" w:sz="8" w:space="0"/>
          <w:right w:val="single" w:color="F19D64"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FADECC" w:themeFill="accent2" w:themeFillTint="3F"/>
      </w:tcPr>
    </w:tblStylePr>
    <w:tblStylePr w:type="band1Horz">
      <w:tblPr/>
      <w:tcPr>
        <w:tcBorders>
          <w:insideH w:val="nil"/>
          <w:insideV w:val="nil"/>
        </w:tcBorders>
        <w:shd w:val="clear" w:color="auto" w:fill="FADECC" w:themeFill="accent2" w:themeFillTint="3F"/>
      </w:tcPr>
    </w:tblStylePr>
    <w:tblStylePr w:type="band2Horz">
      <w:tblPr/>
      <w:tcPr>
        <w:tcBorders>
          <w:insideH w:val="nil"/>
          <w:insideV w:val="nil"/>
        </w:tcBorders>
      </w:tcPr>
    </w:tblStylePr>
  </w:style>
  <w:style w:type="table" w:styleId="157">
    <w:name w:val="Medium Shading 1 Accent 3"/>
    <w:basedOn w:val="88"/>
    <w:semiHidden/>
    <w:unhideWhenUsed/>
    <w:qFormat/>
    <w:uiPriority w:val="63"/>
    <w:tblPr>
      <w:tblBorders>
        <w:top w:val="single" w:color="BBBBBB" w:themeColor="accent3" w:themeTint="BF" w:sz="8" w:space="0"/>
        <w:left w:val="single" w:color="BBBBBB" w:themeColor="accent3" w:themeTint="BF" w:sz="8" w:space="0"/>
        <w:bottom w:val="single" w:color="BBBBBB" w:themeColor="accent3" w:themeTint="BF" w:sz="8" w:space="0"/>
        <w:right w:val="single" w:color="BBBBBB" w:themeColor="accent3" w:themeTint="BF" w:sz="8" w:space="0"/>
        <w:insideH w:val="single" w:color="BBBBBB" w:themeColor="accent3"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BBBBBB" w:themeColor="accent3" w:themeTint="BF" w:sz="8" w:space="0"/>
          <w:left w:val="single" w:color="BBBBBB" w:themeColor="accent3" w:themeTint="BF" w:sz="8" w:space="0"/>
          <w:bottom w:val="single" w:color="BBBBBB" w:themeColor="accent3" w:themeTint="BF" w:sz="8" w:space="0"/>
          <w:right w:val="single" w:color="BBBBBB" w:themeColor="accent3" w:themeTint="BF" w:sz="8" w:space="0"/>
          <w:insideH w:val="nil"/>
          <w:insideV w:val="nil"/>
        </w:tcBorders>
        <w:shd w:val="clear" w:color="auto" w:fill="A5A5A5" w:themeFill="accent3"/>
      </w:tcPr>
    </w:tblStylePr>
    <w:tblStylePr w:type="lastRow">
      <w:pPr>
        <w:spacing w:before="0" w:after="0" w:line="240" w:lineRule="auto"/>
      </w:pPr>
      <w:rPr>
        <w:b/>
        <w:bCs/>
      </w:rPr>
      <w:tblPr/>
      <w:tcPr>
        <w:tcBorders>
          <w:top w:val="double" w:color="BBBBBB" w:themeColor="accent3" w:themeTint="BF" w:sz="6" w:space="0"/>
          <w:left w:val="single" w:color="BBBBBB" w:themeColor="accent3" w:themeTint="BF" w:sz="8" w:space="0"/>
          <w:bottom w:val="single" w:color="BBBBBB" w:themeColor="accent3" w:themeTint="BF" w:sz="8" w:space="0"/>
          <w:right w:val="single" w:color="BBBBBB"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158">
    <w:name w:val="Medium Shading 1 Accent 4"/>
    <w:basedOn w:val="88"/>
    <w:semiHidden/>
    <w:unhideWhenUsed/>
    <w:qFormat/>
    <w:uiPriority w:val="63"/>
    <w:tblPr>
      <w:tblBorders>
        <w:top w:val="single" w:color="FFCF3F" w:themeColor="accent4" w:themeTint="BF" w:sz="8" w:space="0"/>
        <w:left w:val="single" w:color="FFCF3F" w:themeColor="accent4" w:themeTint="BF" w:sz="8" w:space="0"/>
        <w:bottom w:val="single" w:color="FFCF3F" w:themeColor="accent4" w:themeTint="BF" w:sz="8" w:space="0"/>
        <w:right w:val="single" w:color="FFCF3F" w:themeColor="accent4" w:themeTint="BF" w:sz="8" w:space="0"/>
        <w:insideH w:val="single" w:color="FFCF3F" w:themeColor="accent4"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FFCF3F" w:themeColor="accent4" w:themeTint="BF" w:sz="8" w:space="0"/>
          <w:left w:val="single" w:color="FFCF3F" w:themeColor="accent4" w:themeTint="BF" w:sz="8" w:space="0"/>
          <w:bottom w:val="single" w:color="FFCF3F" w:themeColor="accent4" w:themeTint="BF" w:sz="8" w:space="0"/>
          <w:right w:val="single" w:color="FFCF3F" w:themeColor="accent4" w:themeTint="BF" w:sz="8" w:space="0"/>
          <w:insideH w:val="nil"/>
          <w:insideV w:val="nil"/>
        </w:tcBorders>
        <w:shd w:val="clear" w:color="auto" w:fill="FFC000" w:themeFill="accent4"/>
      </w:tcPr>
    </w:tblStylePr>
    <w:tblStylePr w:type="lastRow">
      <w:pPr>
        <w:spacing w:before="0" w:after="0" w:line="240" w:lineRule="auto"/>
      </w:pPr>
      <w:rPr>
        <w:b/>
        <w:bCs/>
      </w:rPr>
      <w:tblPr/>
      <w:tcPr>
        <w:tcBorders>
          <w:top w:val="double" w:color="FFCF3F" w:themeColor="accent4" w:themeTint="BF" w:sz="6" w:space="0"/>
          <w:left w:val="single" w:color="FFCF3F" w:themeColor="accent4" w:themeTint="BF" w:sz="8" w:space="0"/>
          <w:bottom w:val="single" w:color="FFCF3F" w:themeColor="accent4" w:themeTint="BF" w:sz="8" w:space="0"/>
          <w:right w:val="single" w:color="FFCF3F"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FFEFBF" w:themeFill="accent4" w:themeFillTint="3F"/>
      </w:tcPr>
    </w:tblStylePr>
    <w:tblStylePr w:type="band1Horz">
      <w:tblPr/>
      <w:tcPr>
        <w:tcBorders>
          <w:insideH w:val="nil"/>
          <w:insideV w:val="nil"/>
        </w:tcBorders>
        <w:shd w:val="clear" w:color="auto" w:fill="FFEFBF" w:themeFill="accent4" w:themeFillTint="3F"/>
      </w:tcPr>
    </w:tblStylePr>
    <w:tblStylePr w:type="band2Horz">
      <w:tblPr/>
      <w:tcPr>
        <w:tcBorders>
          <w:insideH w:val="nil"/>
          <w:insideV w:val="nil"/>
        </w:tcBorders>
      </w:tcPr>
    </w:tblStylePr>
  </w:style>
  <w:style w:type="table" w:styleId="159">
    <w:name w:val="Medium Shading 1 Accent 5"/>
    <w:basedOn w:val="88"/>
    <w:semiHidden/>
    <w:unhideWhenUsed/>
    <w:qFormat/>
    <w:uiPriority w:val="63"/>
    <w:tblPr>
      <w:tblBorders>
        <w:top w:val="single" w:color="7295D2" w:themeColor="accent5" w:themeTint="BF" w:sz="8" w:space="0"/>
        <w:left w:val="single" w:color="7295D2" w:themeColor="accent5" w:themeTint="BF" w:sz="8" w:space="0"/>
        <w:bottom w:val="single" w:color="7295D2" w:themeColor="accent5" w:themeTint="BF" w:sz="8" w:space="0"/>
        <w:right w:val="single" w:color="7295D2" w:themeColor="accent5" w:themeTint="BF" w:sz="8" w:space="0"/>
        <w:insideH w:val="single" w:color="7295D2" w:themeColor="accent5"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7295D2" w:themeColor="accent5" w:themeTint="BF" w:sz="8" w:space="0"/>
          <w:left w:val="single" w:color="7295D2" w:themeColor="accent5" w:themeTint="BF" w:sz="8" w:space="0"/>
          <w:bottom w:val="single" w:color="7295D2" w:themeColor="accent5" w:themeTint="BF" w:sz="8" w:space="0"/>
          <w:right w:val="single" w:color="7295D2" w:themeColor="accent5" w:themeTint="BF" w:sz="8" w:space="0"/>
          <w:insideH w:val="nil"/>
          <w:insideV w:val="nil"/>
        </w:tcBorders>
        <w:shd w:val="clear" w:color="auto" w:fill="4472C4" w:themeFill="accent5"/>
      </w:tcPr>
    </w:tblStylePr>
    <w:tblStylePr w:type="lastRow">
      <w:pPr>
        <w:spacing w:before="0" w:after="0" w:line="240" w:lineRule="auto"/>
      </w:pPr>
      <w:rPr>
        <w:b/>
        <w:bCs/>
      </w:rPr>
      <w:tblPr/>
      <w:tcPr>
        <w:tcBorders>
          <w:top w:val="double" w:color="7295D2" w:themeColor="accent5" w:themeTint="BF" w:sz="6" w:space="0"/>
          <w:left w:val="single" w:color="7295D2" w:themeColor="accent5" w:themeTint="BF" w:sz="8" w:space="0"/>
          <w:bottom w:val="single" w:color="7295D2" w:themeColor="accent5" w:themeTint="BF" w:sz="8" w:space="0"/>
          <w:right w:val="single" w:color="7295D2"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0DCF0" w:themeFill="accent5" w:themeFillTint="3F"/>
      </w:tcPr>
    </w:tblStylePr>
    <w:tblStylePr w:type="band1Horz">
      <w:tblPr/>
      <w:tcPr>
        <w:tcBorders>
          <w:insideH w:val="nil"/>
          <w:insideV w:val="nil"/>
        </w:tcBorders>
        <w:shd w:val="clear" w:color="auto" w:fill="D0DCF0" w:themeFill="accent5" w:themeFillTint="3F"/>
      </w:tcPr>
    </w:tblStylePr>
    <w:tblStylePr w:type="band2Horz">
      <w:tblPr/>
      <w:tcPr>
        <w:tcBorders>
          <w:insideH w:val="nil"/>
          <w:insideV w:val="nil"/>
        </w:tcBorders>
      </w:tcPr>
    </w:tblStylePr>
  </w:style>
  <w:style w:type="table" w:styleId="160">
    <w:name w:val="Medium Shading 1 Accent 6"/>
    <w:basedOn w:val="88"/>
    <w:semiHidden/>
    <w:unhideWhenUsed/>
    <w:qFormat/>
    <w:uiPriority w:val="63"/>
    <w:tblPr>
      <w:tblBorders>
        <w:top w:val="single" w:color="93C571" w:themeColor="accent6" w:themeTint="BF" w:sz="8" w:space="0"/>
        <w:left w:val="single" w:color="93C571" w:themeColor="accent6" w:themeTint="BF" w:sz="8" w:space="0"/>
        <w:bottom w:val="single" w:color="93C571" w:themeColor="accent6" w:themeTint="BF" w:sz="8" w:space="0"/>
        <w:right w:val="single" w:color="93C571" w:themeColor="accent6" w:themeTint="BF" w:sz="8" w:space="0"/>
        <w:insideH w:val="single" w:color="93C571" w:themeColor="accent6"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93C571" w:themeColor="accent6" w:themeTint="BF" w:sz="8" w:space="0"/>
          <w:left w:val="single" w:color="93C571" w:themeColor="accent6" w:themeTint="BF" w:sz="8" w:space="0"/>
          <w:bottom w:val="single" w:color="93C571" w:themeColor="accent6" w:themeTint="BF" w:sz="8" w:space="0"/>
          <w:right w:val="single" w:color="93C571" w:themeColor="accent6" w:themeTint="BF" w:sz="8" w:space="0"/>
          <w:insideH w:val="nil"/>
          <w:insideV w:val="nil"/>
        </w:tcBorders>
        <w:shd w:val="clear" w:color="auto" w:fill="70AD47" w:themeFill="accent6"/>
      </w:tcPr>
    </w:tblStylePr>
    <w:tblStylePr w:type="lastRow">
      <w:pPr>
        <w:spacing w:before="0" w:after="0" w:line="240" w:lineRule="auto"/>
      </w:pPr>
      <w:rPr>
        <w:b/>
        <w:bCs/>
      </w:rPr>
      <w:tblPr/>
      <w:tcPr>
        <w:tcBorders>
          <w:top w:val="double" w:color="93C571" w:themeColor="accent6" w:themeTint="BF" w:sz="6" w:space="0"/>
          <w:left w:val="single" w:color="93C571" w:themeColor="accent6" w:themeTint="BF" w:sz="8" w:space="0"/>
          <w:bottom w:val="single" w:color="93C571" w:themeColor="accent6" w:themeTint="BF" w:sz="8" w:space="0"/>
          <w:right w:val="single" w:color="93C571"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161">
    <w:name w:val="Medium Shading 2"/>
    <w:basedOn w:val="88"/>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62">
    <w:name w:val="Medium Shading 2 Accent 1"/>
    <w:basedOn w:val="88"/>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5B9BD5"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63">
    <w:name w:val="Medium Shading 2 Accent 2"/>
    <w:basedOn w:val="88"/>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ED7D31"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64">
    <w:name w:val="Medium Shading 2 Accent 3"/>
    <w:basedOn w:val="88"/>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A5A5A5"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65">
    <w:name w:val="Medium Shading 2 Accent 4"/>
    <w:basedOn w:val="88"/>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FC000"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66">
    <w:name w:val="Medium Shading 2 Accent 5"/>
    <w:basedOn w:val="88"/>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472C4"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67">
    <w:name w:val="Medium Shading 2 Accent 6"/>
    <w:basedOn w:val="88"/>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70AD47"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68">
    <w:name w:val="Medium List 1"/>
    <w:basedOn w:val="88"/>
    <w:semiHidden/>
    <w:unhideWhenUsed/>
    <w:qFormat/>
    <w:uiPriority w:val="65"/>
    <w:rPr>
      <w:color w:val="000000" w:themeColor="text1"/>
      <w14:textFill>
        <w14:solidFill>
          <w14:schemeClr w14:val="tx1"/>
        </w14:solidFill>
      </w14:textFill>
    </w:rPr>
    <w:tblPr>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44546A"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169">
    <w:name w:val="Medium List 1 Accent 1"/>
    <w:basedOn w:val="88"/>
    <w:semiHidden/>
    <w:unhideWhenUsed/>
    <w:qFormat/>
    <w:uiPriority w:val="65"/>
    <w:rPr>
      <w:color w:val="000000" w:themeColor="text1"/>
      <w14:textFill>
        <w14:solidFill>
          <w14:schemeClr w14:val="tx1"/>
        </w14:solidFill>
      </w14:textFill>
    </w:rPr>
    <w:tblPr>
      <w:tblBorders>
        <w:top w:val="single" w:color="5B9BD5" w:themeColor="accent1" w:sz="8" w:space="0"/>
        <w:bottom w:val="single" w:color="5B9BD5" w:themeColor="accent1" w:sz="8" w:space="0"/>
      </w:tblBorders>
    </w:tblPr>
    <w:tblStylePr w:type="firstRow">
      <w:rPr>
        <w:rFonts w:asciiTheme="majorHAnsi" w:hAnsiTheme="majorHAnsi" w:eastAsiaTheme="majorEastAsia" w:cstheme="majorBidi"/>
      </w:rPr>
      <w:tblPr/>
      <w:tcPr>
        <w:tcBorders>
          <w:top w:val="nil"/>
          <w:bottom w:val="single" w:color="5B9BD5" w:themeColor="accent1" w:sz="8" w:space="0"/>
        </w:tcBorders>
      </w:tcPr>
    </w:tblStylePr>
    <w:tblStylePr w:type="lastRow">
      <w:rPr>
        <w:b/>
        <w:bCs/>
        <w:color w:val="44546A" w:themeColor="text2"/>
        <w14:textFill>
          <w14:solidFill>
            <w14:schemeClr w14:val="tx2"/>
          </w14:solidFill>
        </w14:textFill>
      </w:rPr>
      <w:tblPr/>
      <w:tcPr>
        <w:tcBorders>
          <w:top w:val="single" w:color="5B9BD5" w:themeColor="accent1" w:sz="8" w:space="0"/>
          <w:bottom w:val="single" w:color="5B9BD5" w:themeColor="accent1" w:sz="8" w:space="0"/>
        </w:tcBorders>
      </w:tcPr>
    </w:tblStylePr>
    <w:tblStylePr w:type="firstCol">
      <w:rPr>
        <w:b/>
        <w:bCs/>
      </w:rPr>
    </w:tblStylePr>
    <w:tblStylePr w:type="lastCol">
      <w:rPr>
        <w:b/>
        <w:bCs/>
      </w:rPr>
      <w:tblPr/>
      <w:tcPr>
        <w:tcBorders>
          <w:top w:val="single" w:color="5B9BD5" w:themeColor="accent1" w:sz="8" w:space="0"/>
          <w:bottom w:val="single" w:color="5B9BD5" w:themeColor="accent1" w:sz="8" w:space="0"/>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table" w:styleId="170">
    <w:name w:val="Medium List 1 Accent 2"/>
    <w:basedOn w:val="88"/>
    <w:semiHidden/>
    <w:unhideWhenUsed/>
    <w:qFormat/>
    <w:uiPriority w:val="65"/>
    <w:rPr>
      <w:color w:val="000000" w:themeColor="text1"/>
      <w14:textFill>
        <w14:solidFill>
          <w14:schemeClr w14:val="tx1"/>
        </w14:solidFill>
      </w14:textFill>
    </w:rPr>
    <w:tblPr>
      <w:tblBorders>
        <w:top w:val="single" w:color="ED7D31" w:themeColor="accent2" w:sz="8" w:space="0"/>
        <w:bottom w:val="single" w:color="ED7D31" w:themeColor="accent2" w:sz="8" w:space="0"/>
      </w:tblBorders>
    </w:tblPr>
    <w:tblStylePr w:type="firstRow">
      <w:rPr>
        <w:rFonts w:asciiTheme="majorHAnsi" w:hAnsiTheme="majorHAnsi" w:eastAsiaTheme="majorEastAsia" w:cstheme="majorBidi"/>
      </w:rPr>
      <w:tblPr/>
      <w:tcPr>
        <w:tcBorders>
          <w:top w:val="nil"/>
          <w:bottom w:val="single" w:color="ED7D31" w:themeColor="accent2" w:sz="8" w:space="0"/>
        </w:tcBorders>
      </w:tcPr>
    </w:tblStylePr>
    <w:tblStylePr w:type="lastRow">
      <w:rPr>
        <w:b/>
        <w:bCs/>
        <w:color w:val="44546A" w:themeColor="text2"/>
        <w14:textFill>
          <w14:solidFill>
            <w14:schemeClr w14:val="tx2"/>
          </w14:solidFill>
        </w14:textFill>
      </w:rPr>
      <w:tblPr/>
      <w:tcPr>
        <w:tcBorders>
          <w:top w:val="single" w:color="ED7D31" w:themeColor="accent2" w:sz="8" w:space="0"/>
          <w:bottom w:val="single" w:color="ED7D31" w:themeColor="accent2" w:sz="8" w:space="0"/>
        </w:tcBorders>
      </w:tcPr>
    </w:tblStylePr>
    <w:tblStylePr w:type="firstCol">
      <w:rPr>
        <w:b/>
        <w:bCs/>
      </w:rPr>
    </w:tblStylePr>
    <w:tblStylePr w:type="lastCol">
      <w:rPr>
        <w:b/>
        <w:bCs/>
      </w:rPr>
      <w:tblPr/>
      <w:tcPr>
        <w:tcBorders>
          <w:top w:val="single" w:color="ED7D31" w:themeColor="accent2" w:sz="8" w:space="0"/>
          <w:bottom w:val="single" w:color="ED7D31" w:themeColor="accent2" w:sz="8" w:space="0"/>
        </w:tcBorders>
      </w:tcPr>
    </w:tblStylePr>
    <w:tblStylePr w:type="band1Vert">
      <w:tblPr/>
      <w:tcPr>
        <w:shd w:val="clear" w:color="auto" w:fill="FADECC" w:themeFill="accent2" w:themeFillTint="3F"/>
      </w:tcPr>
    </w:tblStylePr>
    <w:tblStylePr w:type="band1Horz">
      <w:tblPr/>
      <w:tcPr>
        <w:shd w:val="clear" w:color="auto" w:fill="FADECC" w:themeFill="accent2" w:themeFillTint="3F"/>
      </w:tcPr>
    </w:tblStylePr>
  </w:style>
  <w:style w:type="table" w:styleId="171">
    <w:name w:val="Medium List 1 Accent 3"/>
    <w:basedOn w:val="88"/>
    <w:semiHidden/>
    <w:unhideWhenUsed/>
    <w:qFormat/>
    <w:uiPriority w:val="65"/>
    <w:rPr>
      <w:color w:val="000000" w:themeColor="text1"/>
      <w14:textFill>
        <w14:solidFill>
          <w14:schemeClr w14:val="tx1"/>
        </w14:solidFill>
      </w14:textFill>
    </w:rPr>
    <w:tblPr>
      <w:tblBorders>
        <w:top w:val="single" w:color="A5A5A5" w:themeColor="accent3" w:sz="8" w:space="0"/>
        <w:bottom w:val="single" w:color="A5A5A5" w:themeColor="accent3" w:sz="8" w:space="0"/>
      </w:tblBorders>
    </w:tblPr>
    <w:tblStylePr w:type="firstRow">
      <w:rPr>
        <w:rFonts w:asciiTheme="majorHAnsi" w:hAnsiTheme="majorHAnsi" w:eastAsiaTheme="majorEastAsia" w:cstheme="majorBidi"/>
      </w:rPr>
      <w:tblPr/>
      <w:tcPr>
        <w:tcBorders>
          <w:top w:val="nil"/>
          <w:bottom w:val="single" w:color="A5A5A5" w:themeColor="accent3" w:sz="8" w:space="0"/>
        </w:tcBorders>
      </w:tcPr>
    </w:tblStylePr>
    <w:tblStylePr w:type="lastRow">
      <w:rPr>
        <w:b/>
        <w:bCs/>
        <w:color w:val="44546A" w:themeColor="text2"/>
        <w14:textFill>
          <w14:solidFill>
            <w14:schemeClr w14:val="tx2"/>
          </w14:solidFill>
        </w14:textFill>
      </w:rPr>
      <w:tblPr/>
      <w:tcPr>
        <w:tcBorders>
          <w:top w:val="single" w:color="A5A5A5" w:themeColor="accent3" w:sz="8" w:space="0"/>
          <w:bottom w:val="single" w:color="A5A5A5" w:themeColor="accent3" w:sz="8" w:space="0"/>
        </w:tcBorders>
      </w:tcPr>
    </w:tblStylePr>
    <w:tblStylePr w:type="firstCol">
      <w:rPr>
        <w:b/>
        <w:bCs/>
      </w:rPr>
    </w:tblStylePr>
    <w:tblStylePr w:type="lastCol">
      <w:rPr>
        <w:b/>
        <w:bCs/>
      </w:rPr>
      <w:tblPr/>
      <w:tcPr>
        <w:tcBorders>
          <w:top w:val="single" w:color="A5A5A5" w:themeColor="accent3" w:sz="8" w:space="0"/>
          <w:bottom w:val="single" w:color="A5A5A5" w:themeColor="accent3" w:sz="8" w:space="0"/>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172">
    <w:name w:val="Medium List 1 Accent 4"/>
    <w:basedOn w:val="88"/>
    <w:semiHidden/>
    <w:unhideWhenUsed/>
    <w:qFormat/>
    <w:uiPriority w:val="65"/>
    <w:rPr>
      <w:color w:val="000000" w:themeColor="text1"/>
      <w14:textFill>
        <w14:solidFill>
          <w14:schemeClr w14:val="tx1"/>
        </w14:solidFill>
      </w14:textFill>
    </w:rPr>
    <w:tblPr>
      <w:tblBorders>
        <w:top w:val="single" w:color="FFC000" w:themeColor="accent4" w:sz="8" w:space="0"/>
        <w:bottom w:val="single" w:color="FFC000" w:themeColor="accent4" w:sz="8" w:space="0"/>
      </w:tblBorders>
    </w:tblPr>
    <w:tblStylePr w:type="firstRow">
      <w:rPr>
        <w:rFonts w:asciiTheme="majorHAnsi" w:hAnsiTheme="majorHAnsi" w:eastAsiaTheme="majorEastAsia" w:cstheme="majorBidi"/>
      </w:rPr>
      <w:tblPr/>
      <w:tcPr>
        <w:tcBorders>
          <w:top w:val="nil"/>
          <w:bottom w:val="single" w:color="FFC000" w:themeColor="accent4" w:sz="8" w:space="0"/>
        </w:tcBorders>
      </w:tcPr>
    </w:tblStylePr>
    <w:tblStylePr w:type="lastRow">
      <w:rPr>
        <w:b/>
        <w:bCs/>
        <w:color w:val="44546A" w:themeColor="text2"/>
        <w14:textFill>
          <w14:solidFill>
            <w14:schemeClr w14:val="tx2"/>
          </w14:solidFill>
        </w14:textFill>
      </w:rPr>
      <w:tblPr/>
      <w:tcPr>
        <w:tcBorders>
          <w:top w:val="single" w:color="FFC000" w:themeColor="accent4" w:sz="8" w:space="0"/>
          <w:bottom w:val="single" w:color="FFC000" w:themeColor="accent4" w:sz="8" w:space="0"/>
        </w:tcBorders>
      </w:tcPr>
    </w:tblStylePr>
    <w:tblStylePr w:type="firstCol">
      <w:rPr>
        <w:b/>
        <w:bCs/>
      </w:rPr>
    </w:tblStylePr>
    <w:tblStylePr w:type="lastCol">
      <w:rPr>
        <w:b/>
        <w:bCs/>
      </w:rPr>
      <w:tblPr/>
      <w:tcPr>
        <w:tcBorders>
          <w:top w:val="single" w:color="FFC000" w:themeColor="accent4" w:sz="8" w:space="0"/>
          <w:bottom w:val="single" w:color="FFC000" w:themeColor="accent4" w:sz="8" w:space="0"/>
        </w:tcBorders>
      </w:tcPr>
    </w:tblStylePr>
    <w:tblStylePr w:type="band1Vert">
      <w:tblPr/>
      <w:tcPr>
        <w:shd w:val="clear" w:color="auto" w:fill="FFEFBF" w:themeFill="accent4" w:themeFillTint="3F"/>
      </w:tcPr>
    </w:tblStylePr>
    <w:tblStylePr w:type="band1Horz">
      <w:tblPr/>
      <w:tcPr>
        <w:shd w:val="clear" w:color="auto" w:fill="FFEFBF" w:themeFill="accent4" w:themeFillTint="3F"/>
      </w:tcPr>
    </w:tblStylePr>
  </w:style>
  <w:style w:type="table" w:styleId="173">
    <w:name w:val="Medium List 1 Accent 5"/>
    <w:basedOn w:val="88"/>
    <w:semiHidden/>
    <w:unhideWhenUsed/>
    <w:qFormat/>
    <w:uiPriority w:val="65"/>
    <w:rPr>
      <w:color w:val="000000" w:themeColor="text1"/>
      <w14:textFill>
        <w14:solidFill>
          <w14:schemeClr w14:val="tx1"/>
        </w14:solidFill>
      </w14:textFill>
    </w:rPr>
    <w:tblPr>
      <w:tblBorders>
        <w:top w:val="single" w:color="4472C4" w:themeColor="accent5" w:sz="8" w:space="0"/>
        <w:bottom w:val="single" w:color="4472C4" w:themeColor="accent5" w:sz="8" w:space="0"/>
      </w:tblBorders>
    </w:tblPr>
    <w:tblStylePr w:type="firstRow">
      <w:rPr>
        <w:rFonts w:asciiTheme="majorHAnsi" w:hAnsiTheme="majorHAnsi" w:eastAsiaTheme="majorEastAsia" w:cstheme="majorBidi"/>
      </w:rPr>
      <w:tblPr/>
      <w:tcPr>
        <w:tcBorders>
          <w:top w:val="nil"/>
          <w:bottom w:val="single" w:color="4472C4" w:themeColor="accent5" w:sz="8" w:space="0"/>
        </w:tcBorders>
      </w:tcPr>
    </w:tblStylePr>
    <w:tblStylePr w:type="lastRow">
      <w:rPr>
        <w:b/>
        <w:bCs/>
        <w:color w:val="44546A" w:themeColor="text2"/>
        <w14:textFill>
          <w14:solidFill>
            <w14:schemeClr w14:val="tx2"/>
          </w14:solidFill>
        </w14:textFill>
      </w:rPr>
      <w:tblPr/>
      <w:tcPr>
        <w:tcBorders>
          <w:top w:val="single" w:color="4472C4" w:themeColor="accent5" w:sz="8" w:space="0"/>
          <w:bottom w:val="single" w:color="4472C4" w:themeColor="accent5" w:sz="8" w:space="0"/>
        </w:tcBorders>
      </w:tcPr>
    </w:tblStylePr>
    <w:tblStylePr w:type="firstCol">
      <w:rPr>
        <w:b/>
        <w:bCs/>
      </w:rPr>
    </w:tblStylePr>
    <w:tblStylePr w:type="lastCol">
      <w:rPr>
        <w:b/>
        <w:bCs/>
      </w:rPr>
      <w:tblPr/>
      <w:tcPr>
        <w:tcBorders>
          <w:top w:val="single" w:color="4472C4" w:themeColor="accent5" w:sz="8" w:space="0"/>
          <w:bottom w:val="single" w:color="4472C4" w:themeColor="accent5" w:sz="8" w:space="0"/>
        </w:tcBorders>
      </w:tcPr>
    </w:tblStylePr>
    <w:tblStylePr w:type="band1Vert">
      <w:tblPr/>
      <w:tcPr>
        <w:shd w:val="clear" w:color="auto" w:fill="D0DCF0" w:themeFill="accent5" w:themeFillTint="3F"/>
      </w:tcPr>
    </w:tblStylePr>
    <w:tblStylePr w:type="band1Horz">
      <w:tblPr/>
      <w:tcPr>
        <w:shd w:val="clear" w:color="auto" w:fill="D0DCF0" w:themeFill="accent5" w:themeFillTint="3F"/>
      </w:tcPr>
    </w:tblStylePr>
  </w:style>
  <w:style w:type="table" w:styleId="174">
    <w:name w:val="Medium List 1 Accent 6"/>
    <w:basedOn w:val="88"/>
    <w:semiHidden/>
    <w:unhideWhenUsed/>
    <w:qFormat/>
    <w:uiPriority w:val="65"/>
    <w:rPr>
      <w:color w:val="000000" w:themeColor="text1"/>
      <w14:textFill>
        <w14:solidFill>
          <w14:schemeClr w14:val="tx1"/>
        </w14:solidFill>
      </w14:textFill>
    </w:rPr>
    <w:tblPr>
      <w:tblBorders>
        <w:top w:val="single" w:color="70AD47" w:themeColor="accent6" w:sz="8" w:space="0"/>
        <w:bottom w:val="single" w:color="70AD47" w:themeColor="accent6" w:sz="8" w:space="0"/>
      </w:tblBorders>
    </w:tblPr>
    <w:tblStylePr w:type="firstRow">
      <w:rPr>
        <w:rFonts w:asciiTheme="majorHAnsi" w:hAnsiTheme="majorHAnsi" w:eastAsiaTheme="majorEastAsia" w:cstheme="majorBidi"/>
      </w:rPr>
      <w:tblPr/>
      <w:tcPr>
        <w:tcBorders>
          <w:top w:val="nil"/>
          <w:bottom w:val="single" w:color="70AD47" w:themeColor="accent6" w:sz="8" w:space="0"/>
        </w:tcBorders>
      </w:tcPr>
    </w:tblStylePr>
    <w:tblStylePr w:type="lastRow">
      <w:rPr>
        <w:b/>
        <w:bCs/>
        <w:color w:val="44546A" w:themeColor="text2"/>
        <w14:textFill>
          <w14:solidFill>
            <w14:schemeClr w14:val="tx2"/>
          </w14:solidFill>
        </w14:textFill>
      </w:rPr>
      <w:tblPr/>
      <w:tcPr>
        <w:tcBorders>
          <w:top w:val="single" w:color="70AD47" w:themeColor="accent6" w:sz="8" w:space="0"/>
          <w:bottom w:val="single" w:color="70AD47" w:themeColor="accent6" w:sz="8" w:space="0"/>
        </w:tcBorders>
      </w:tcPr>
    </w:tblStylePr>
    <w:tblStylePr w:type="firstCol">
      <w:rPr>
        <w:b/>
        <w:bCs/>
      </w:rPr>
    </w:tblStylePr>
    <w:tblStylePr w:type="lastCol">
      <w:rPr>
        <w:b/>
        <w:bCs/>
      </w:rPr>
      <w:tblPr/>
      <w:tcPr>
        <w:tcBorders>
          <w:top w:val="single" w:color="70AD47" w:themeColor="accent6" w:sz="8" w:space="0"/>
          <w:bottom w:val="single" w:color="70AD47" w:themeColor="accent6" w:sz="8" w:space="0"/>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175">
    <w:name w:val="Medium List 2"/>
    <w:basedOn w:val="88"/>
    <w:semiHidden/>
    <w:unhideWhenUsed/>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176">
    <w:name w:val="Medium List 2 Accent 1"/>
    <w:basedOn w:val="88"/>
    <w:semiHidden/>
    <w:unhideWhenUsed/>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5B9BD5" w:themeColor="accent1" w:sz="8" w:space="0"/>
        <w:left w:val="single" w:color="5B9BD5" w:themeColor="accent1" w:sz="8" w:space="0"/>
        <w:bottom w:val="single" w:color="5B9BD5" w:themeColor="accent1" w:sz="8" w:space="0"/>
        <w:right w:val="single" w:color="5B9BD5" w:themeColor="accent1" w:sz="8" w:space="0"/>
      </w:tblBorders>
    </w:tblPr>
    <w:tblStylePr w:type="firstRow">
      <w:rPr>
        <w:sz w:val="24"/>
        <w:szCs w:val="24"/>
      </w:rPr>
      <w:tblPr/>
      <w:tcPr>
        <w:tcBorders>
          <w:top w:val="nil"/>
          <w:left w:val="nil"/>
          <w:bottom w:val="single" w:color="5B9BD5" w:themeColor="accent1" w:sz="24" w:space="0"/>
          <w:right w:val="nil"/>
          <w:insideH w:val="nil"/>
          <w:insideV w:val="nil"/>
        </w:tcBorders>
        <w:shd w:val="clear" w:color="auto" w:fill="FFFFFF" w:themeFill="background1"/>
      </w:tcPr>
    </w:tblStylePr>
    <w:tblStylePr w:type="lastRow">
      <w:tblPr/>
      <w:tcPr>
        <w:tcBorders>
          <w:top w:val="single" w:color="5B9BD5"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5B9BD5" w:themeColor="accent1" w:sz="8" w:space="0"/>
          <w:insideH w:val="nil"/>
          <w:insideV w:val="nil"/>
        </w:tcBorders>
        <w:shd w:val="clear" w:color="auto" w:fill="FFFFFF" w:themeFill="background1"/>
      </w:tcPr>
    </w:tblStylePr>
    <w:tblStylePr w:type="lastCol">
      <w:tblPr/>
      <w:tcPr>
        <w:tcBorders>
          <w:top w:val="nil"/>
          <w:left w:val="single" w:color="5B9BD5"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177">
    <w:name w:val="Medium List 2 Accent 2"/>
    <w:basedOn w:val="88"/>
    <w:semiHidden/>
    <w:unhideWhenUsed/>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ED7D31" w:themeColor="accent2" w:sz="8" w:space="0"/>
        <w:left w:val="single" w:color="ED7D31" w:themeColor="accent2" w:sz="8" w:space="0"/>
        <w:bottom w:val="single" w:color="ED7D31" w:themeColor="accent2" w:sz="8" w:space="0"/>
        <w:right w:val="single" w:color="ED7D31" w:themeColor="accent2" w:sz="8" w:space="0"/>
      </w:tblBorders>
    </w:tblPr>
    <w:tblStylePr w:type="firstRow">
      <w:rPr>
        <w:sz w:val="24"/>
        <w:szCs w:val="24"/>
      </w:rPr>
      <w:tblPr/>
      <w:tcPr>
        <w:tcBorders>
          <w:top w:val="nil"/>
          <w:left w:val="nil"/>
          <w:bottom w:val="single" w:color="ED7D31" w:themeColor="accent2" w:sz="24" w:space="0"/>
          <w:right w:val="nil"/>
          <w:insideH w:val="nil"/>
          <w:insideV w:val="nil"/>
        </w:tcBorders>
        <w:shd w:val="clear" w:color="auto" w:fill="FFFFFF" w:themeFill="background1"/>
      </w:tcPr>
    </w:tblStylePr>
    <w:tblStylePr w:type="lastRow">
      <w:tblPr/>
      <w:tcPr>
        <w:tcBorders>
          <w:top w:val="single" w:color="ED7D31"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ED7D31" w:themeColor="accent2" w:sz="8" w:space="0"/>
          <w:insideH w:val="nil"/>
          <w:insideV w:val="nil"/>
        </w:tcBorders>
        <w:shd w:val="clear" w:color="auto" w:fill="FFFFFF" w:themeFill="background1"/>
      </w:tcPr>
    </w:tblStylePr>
    <w:tblStylePr w:type="lastCol">
      <w:tblPr/>
      <w:tcPr>
        <w:tcBorders>
          <w:top w:val="nil"/>
          <w:left w:val="single" w:color="ED7D31"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C" w:themeFill="accent2" w:themeFillTint="3F"/>
      </w:tcPr>
    </w:tblStylePr>
    <w:tblStylePr w:type="band1Horz">
      <w:tblPr/>
      <w:tcPr>
        <w:tcBorders>
          <w:top w:val="nil"/>
          <w:bottom w:val="nil"/>
          <w:insideH w:val="nil"/>
          <w:insideV w:val="nil"/>
        </w:tcBorders>
        <w:shd w:val="clear" w:color="auto" w:fill="FADECC"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178">
    <w:name w:val="Medium List 2 Accent 3"/>
    <w:basedOn w:val="88"/>
    <w:semiHidden/>
    <w:unhideWhenUsed/>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A5A5A5" w:themeColor="accent3" w:sz="8" w:space="0"/>
        <w:left w:val="single" w:color="A5A5A5" w:themeColor="accent3" w:sz="8" w:space="0"/>
        <w:bottom w:val="single" w:color="A5A5A5" w:themeColor="accent3" w:sz="8" w:space="0"/>
        <w:right w:val="single" w:color="A5A5A5" w:themeColor="accent3" w:sz="8" w:space="0"/>
      </w:tblBorders>
    </w:tblPr>
    <w:tblStylePr w:type="firstRow">
      <w:rPr>
        <w:sz w:val="24"/>
        <w:szCs w:val="24"/>
      </w:rPr>
      <w:tblPr/>
      <w:tcPr>
        <w:tcBorders>
          <w:top w:val="nil"/>
          <w:left w:val="nil"/>
          <w:bottom w:val="single" w:color="A5A5A5" w:themeColor="accent3" w:sz="24" w:space="0"/>
          <w:right w:val="nil"/>
          <w:insideH w:val="nil"/>
          <w:insideV w:val="nil"/>
        </w:tcBorders>
        <w:shd w:val="clear" w:color="auto" w:fill="FFFFFF" w:themeFill="background1"/>
      </w:tcPr>
    </w:tblStylePr>
    <w:tblStylePr w:type="lastRow">
      <w:tblPr/>
      <w:tcPr>
        <w:tcBorders>
          <w:top w:val="single" w:color="A5A5A5"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A5A5A5" w:themeColor="accent3" w:sz="8" w:space="0"/>
          <w:insideH w:val="nil"/>
          <w:insideV w:val="nil"/>
        </w:tcBorders>
        <w:shd w:val="clear" w:color="auto" w:fill="FFFFFF" w:themeFill="background1"/>
      </w:tcPr>
    </w:tblStylePr>
    <w:tblStylePr w:type="lastCol">
      <w:tblPr/>
      <w:tcPr>
        <w:tcBorders>
          <w:top w:val="nil"/>
          <w:left w:val="single" w:color="A5A5A5"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179">
    <w:name w:val="Medium List 2 Accent 4"/>
    <w:basedOn w:val="88"/>
    <w:semiHidden/>
    <w:unhideWhenUsed/>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FFC000" w:themeColor="accent4" w:sz="8" w:space="0"/>
        <w:left w:val="single" w:color="FFC000" w:themeColor="accent4" w:sz="8" w:space="0"/>
        <w:bottom w:val="single" w:color="FFC000" w:themeColor="accent4" w:sz="8" w:space="0"/>
        <w:right w:val="single" w:color="FFC000" w:themeColor="accent4" w:sz="8" w:space="0"/>
      </w:tblBorders>
    </w:tblPr>
    <w:tblStylePr w:type="firstRow">
      <w:rPr>
        <w:sz w:val="24"/>
        <w:szCs w:val="24"/>
      </w:rPr>
      <w:tblPr/>
      <w:tcPr>
        <w:tcBorders>
          <w:top w:val="nil"/>
          <w:left w:val="nil"/>
          <w:bottom w:val="single" w:color="FFC000" w:themeColor="accent4" w:sz="24" w:space="0"/>
          <w:right w:val="nil"/>
          <w:insideH w:val="nil"/>
          <w:insideV w:val="nil"/>
        </w:tcBorders>
        <w:shd w:val="clear" w:color="auto" w:fill="FFFFFF" w:themeFill="background1"/>
      </w:tcPr>
    </w:tblStylePr>
    <w:tblStylePr w:type="lastRow">
      <w:tblPr/>
      <w:tcPr>
        <w:tcBorders>
          <w:top w:val="single" w:color="FFC000"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FC000" w:themeColor="accent4" w:sz="8" w:space="0"/>
          <w:insideH w:val="nil"/>
          <w:insideV w:val="nil"/>
        </w:tcBorders>
        <w:shd w:val="clear" w:color="auto" w:fill="FFFFFF" w:themeFill="background1"/>
      </w:tcPr>
    </w:tblStylePr>
    <w:tblStylePr w:type="lastCol">
      <w:tblPr/>
      <w:tcPr>
        <w:tcBorders>
          <w:top w:val="nil"/>
          <w:left w:val="single" w:color="FFC000"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BF" w:themeFill="accent4" w:themeFillTint="3F"/>
      </w:tcPr>
    </w:tblStylePr>
    <w:tblStylePr w:type="band1Horz">
      <w:tblPr/>
      <w:tcPr>
        <w:tcBorders>
          <w:top w:val="nil"/>
          <w:bottom w:val="nil"/>
          <w:insideH w:val="nil"/>
          <w:insideV w:val="nil"/>
        </w:tcBorders>
        <w:shd w:val="clear" w:color="auto" w:fill="FFEFBF"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180">
    <w:name w:val="Medium List 2 Accent 5"/>
    <w:basedOn w:val="88"/>
    <w:semiHidden/>
    <w:unhideWhenUsed/>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4472C4" w:themeColor="accent5" w:sz="8" w:space="0"/>
        <w:left w:val="single" w:color="4472C4" w:themeColor="accent5" w:sz="8" w:space="0"/>
        <w:bottom w:val="single" w:color="4472C4" w:themeColor="accent5" w:sz="8" w:space="0"/>
        <w:right w:val="single" w:color="4472C4" w:themeColor="accent5" w:sz="8" w:space="0"/>
      </w:tblBorders>
    </w:tblPr>
    <w:tblStylePr w:type="firstRow">
      <w:rPr>
        <w:sz w:val="24"/>
        <w:szCs w:val="24"/>
      </w:rPr>
      <w:tblPr/>
      <w:tcPr>
        <w:tcBorders>
          <w:top w:val="nil"/>
          <w:left w:val="nil"/>
          <w:bottom w:val="single" w:color="4472C4" w:themeColor="accent5" w:sz="24" w:space="0"/>
          <w:right w:val="nil"/>
          <w:insideH w:val="nil"/>
          <w:insideV w:val="nil"/>
        </w:tcBorders>
        <w:shd w:val="clear" w:color="auto" w:fill="FFFFFF" w:themeFill="background1"/>
      </w:tcPr>
    </w:tblStylePr>
    <w:tblStylePr w:type="lastRow">
      <w:tblPr/>
      <w:tcPr>
        <w:tcBorders>
          <w:top w:val="single" w:color="4472C4"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472C4" w:themeColor="accent5" w:sz="8" w:space="0"/>
          <w:insideH w:val="nil"/>
          <w:insideV w:val="nil"/>
        </w:tcBorders>
        <w:shd w:val="clear" w:color="auto" w:fill="FFFFFF" w:themeFill="background1"/>
      </w:tcPr>
    </w:tblStylePr>
    <w:tblStylePr w:type="lastCol">
      <w:tblPr/>
      <w:tcPr>
        <w:tcBorders>
          <w:top w:val="nil"/>
          <w:left w:val="single" w:color="4472C4"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CF0" w:themeFill="accent5" w:themeFillTint="3F"/>
      </w:tcPr>
    </w:tblStylePr>
    <w:tblStylePr w:type="band1Horz">
      <w:tblPr/>
      <w:tcPr>
        <w:tcBorders>
          <w:top w:val="nil"/>
          <w:bottom w:val="nil"/>
          <w:insideH w:val="nil"/>
          <w:insideV w:val="nil"/>
        </w:tcBorders>
        <w:shd w:val="clear" w:color="auto" w:fill="D0DC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181">
    <w:name w:val="Medium List 2 Accent 6"/>
    <w:basedOn w:val="88"/>
    <w:semiHidden/>
    <w:unhideWhenUsed/>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70AD47" w:themeColor="accent6" w:sz="8" w:space="0"/>
        <w:left w:val="single" w:color="70AD47" w:themeColor="accent6" w:sz="8" w:space="0"/>
        <w:bottom w:val="single" w:color="70AD47" w:themeColor="accent6" w:sz="8" w:space="0"/>
        <w:right w:val="single" w:color="70AD47" w:themeColor="accent6" w:sz="8" w:space="0"/>
      </w:tblBorders>
    </w:tblPr>
    <w:tblStylePr w:type="firstRow">
      <w:rPr>
        <w:sz w:val="24"/>
        <w:szCs w:val="24"/>
      </w:rPr>
      <w:tblPr/>
      <w:tcPr>
        <w:tcBorders>
          <w:top w:val="nil"/>
          <w:left w:val="nil"/>
          <w:bottom w:val="single" w:color="70AD47" w:themeColor="accent6" w:sz="24" w:space="0"/>
          <w:right w:val="nil"/>
          <w:insideH w:val="nil"/>
          <w:insideV w:val="nil"/>
        </w:tcBorders>
        <w:shd w:val="clear" w:color="auto" w:fill="FFFFFF" w:themeFill="background1"/>
      </w:tcPr>
    </w:tblStylePr>
    <w:tblStylePr w:type="lastRow">
      <w:tblPr/>
      <w:tcPr>
        <w:tcBorders>
          <w:top w:val="single" w:color="70AD47"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70AD47" w:themeColor="accent6" w:sz="8" w:space="0"/>
          <w:insideH w:val="nil"/>
          <w:insideV w:val="nil"/>
        </w:tcBorders>
        <w:shd w:val="clear" w:color="auto" w:fill="FFFFFF" w:themeFill="background1"/>
      </w:tcPr>
    </w:tblStylePr>
    <w:tblStylePr w:type="lastCol">
      <w:tblPr/>
      <w:tcPr>
        <w:tcBorders>
          <w:top w:val="nil"/>
          <w:left w:val="single" w:color="70AD47"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82">
    <w:name w:val="Medium Grid 1"/>
    <w:basedOn w:val="88"/>
    <w:semiHidden/>
    <w:unhideWhenUsed/>
    <w:qFormat/>
    <w:uiPriority w:val="67"/>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83">
    <w:name w:val="Medium Grid 1 Accent 1"/>
    <w:basedOn w:val="88"/>
    <w:semiHidden/>
    <w:unhideWhenUsed/>
    <w:qFormat/>
    <w:uiPriority w:val="67"/>
    <w:tblPr>
      <w:tblBorders>
        <w:top w:val="single" w:color="84B4DF" w:themeColor="accent1" w:themeTint="BF" w:sz="8" w:space="0"/>
        <w:left w:val="single" w:color="84B4DF" w:themeColor="accent1" w:themeTint="BF" w:sz="8" w:space="0"/>
        <w:bottom w:val="single" w:color="84B4DF" w:themeColor="accent1" w:themeTint="BF" w:sz="8" w:space="0"/>
        <w:right w:val="single" w:color="84B4DF" w:themeColor="accent1" w:themeTint="BF" w:sz="8" w:space="0"/>
        <w:insideH w:val="single" w:color="84B4DF" w:themeColor="accent1" w:themeTint="BF" w:sz="8" w:space="0"/>
        <w:insideV w:val="single" w:color="84B4DF" w:themeColor="accent1" w:themeTint="BF" w:sz="8" w:space="0"/>
      </w:tblBorders>
    </w:tblPr>
    <w:tcPr>
      <w:shd w:val="clear" w:color="auto" w:fill="D6E6F4" w:themeFill="accent1" w:themeFillTint="3F"/>
    </w:tcPr>
    <w:tblStylePr w:type="firstRow">
      <w:rPr>
        <w:b/>
        <w:bCs/>
      </w:rPr>
    </w:tblStylePr>
    <w:tblStylePr w:type="lastRow">
      <w:rPr>
        <w:b/>
        <w:bCs/>
      </w:rPr>
      <w:tblPr/>
      <w:tcPr>
        <w:tcBorders>
          <w:top w:val="single" w:color="84B4DF" w:themeColor="accent1" w:themeTint="BF" w:sz="18" w:space="0"/>
        </w:tcBorders>
      </w:tcPr>
    </w:tblStylePr>
    <w:tblStylePr w:type="firstCol">
      <w:rPr>
        <w:b/>
        <w:bCs/>
      </w:rPr>
    </w:tblStylePr>
    <w:tblStylePr w:type="lastCol">
      <w:rPr>
        <w:b/>
        <w:bCs/>
      </w:rPr>
    </w:tblStylePr>
    <w:tblStylePr w:type="band1Vert">
      <w:tblPr/>
      <w:tcPr>
        <w:shd w:val="clear" w:color="auto" w:fill="ADCDEA" w:themeFill="accent1" w:themeFillTint="7F"/>
      </w:tcPr>
    </w:tblStylePr>
    <w:tblStylePr w:type="band1Horz">
      <w:tblPr/>
      <w:tcPr>
        <w:shd w:val="clear" w:color="auto" w:fill="ADCDEA" w:themeFill="accent1" w:themeFillTint="7F"/>
      </w:tcPr>
    </w:tblStylePr>
  </w:style>
  <w:style w:type="table" w:styleId="184">
    <w:name w:val="Medium Grid 1 Accent 2"/>
    <w:basedOn w:val="88"/>
    <w:semiHidden/>
    <w:unhideWhenUsed/>
    <w:qFormat/>
    <w:uiPriority w:val="67"/>
    <w:tblPr>
      <w:tblBorders>
        <w:top w:val="single" w:color="F19D64" w:themeColor="accent2" w:themeTint="BF" w:sz="8" w:space="0"/>
        <w:left w:val="single" w:color="F19D64" w:themeColor="accent2" w:themeTint="BF" w:sz="8" w:space="0"/>
        <w:bottom w:val="single" w:color="F19D64" w:themeColor="accent2" w:themeTint="BF" w:sz="8" w:space="0"/>
        <w:right w:val="single" w:color="F19D64" w:themeColor="accent2" w:themeTint="BF" w:sz="8" w:space="0"/>
        <w:insideH w:val="single" w:color="F19D64" w:themeColor="accent2" w:themeTint="BF" w:sz="8" w:space="0"/>
        <w:insideV w:val="single" w:color="F19D64" w:themeColor="accent2" w:themeTint="BF" w:sz="8" w:space="0"/>
      </w:tblBorders>
    </w:tblPr>
    <w:tcPr>
      <w:shd w:val="clear" w:color="auto" w:fill="FADECC" w:themeFill="accent2" w:themeFillTint="3F"/>
    </w:tcPr>
    <w:tblStylePr w:type="firstRow">
      <w:rPr>
        <w:b/>
        <w:bCs/>
      </w:rPr>
    </w:tblStylePr>
    <w:tblStylePr w:type="lastRow">
      <w:rPr>
        <w:b/>
        <w:bCs/>
      </w:rPr>
      <w:tblPr/>
      <w:tcPr>
        <w:tcBorders>
          <w:top w:val="single" w:color="F19D64" w:themeColor="accent2" w:themeTint="BF" w:sz="18" w:space="0"/>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185">
    <w:name w:val="Medium Grid 1 Accent 3"/>
    <w:basedOn w:val="88"/>
    <w:semiHidden/>
    <w:unhideWhenUsed/>
    <w:qFormat/>
    <w:uiPriority w:val="67"/>
    <w:tblPr>
      <w:tblBorders>
        <w:top w:val="single" w:color="BBBBBB" w:themeColor="accent3" w:themeTint="BF" w:sz="8" w:space="0"/>
        <w:left w:val="single" w:color="BBBBBB" w:themeColor="accent3" w:themeTint="BF" w:sz="8" w:space="0"/>
        <w:bottom w:val="single" w:color="BBBBBB" w:themeColor="accent3" w:themeTint="BF" w:sz="8" w:space="0"/>
        <w:right w:val="single" w:color="BBBBBB" w:themeColor="accent3" w:themeTint="BF" w:sz="8" w:space="0"/>
        <w:insideH w:val="single" w:color="BBBBBB" w:themeColor="accent3" w:themeTint="BF" w:sz="8" w:space="0"/>
        <w:insideV w:val="single" w:color="BBBBBB" w:themeColor="accent3" w:themeTint="BF" w:sz="8" w:space="0"/>
      </w:tblBorders>
    </w:tblPr>
    <w:tcPr>
      <w:shd w:val="clear" w:color="auto" w:fill="E8E8E8" w:themeFill="accent3" w:themeFillTint="3F"/>
    </w:tcPr>
    <w:tblStylePr w:type="firstRow">
      <w:rPr>
        <w:b/>
        <w:bCs/>
      </w:rPr>
    </w:tblStylePr>
    <w:tblStylePr w:type="lastRow">
      <w:rPr>
        <w:b/>
        <w:bCs/>
      </w:rPr>
      <w:tblPr/>
      <w:tcPr>
        <w:tcBorders>
          <w:top w:val="single" w:color="BBBBBB" w:themeColor="accent3" w:themeTint="BF" w:sz="18" w:space="0"/>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186">
    <w:name w:val="Medium Grid 1 Accent 4"/>
    <w:basedOn w:val="88"/>
    <w:semiHidden/>
    <w:unhideWhenUsed/>
    <w:qFormat/>
    <w:uiPriority w:val="67"/>
    <w:tblPr>
      <w:tblBorders>
        <w:top w:val="single" w:color="FFCF3F" w:themeColor="accent4" w:themeTint="BF" w:sz="8" w:space="0"/>
        <w:left w:val="single" w:color="FFCF3F" w:themeColor="accent4" w:themeTint="BF" w:sz="8" w:space="0"/>
        <w:bottom w:val="single" w:color="FFCF3F" w:themeColor="accent4" w:themeTint="BF" w:sz="8" w:space="0"/>
        <w:right w:val="single" w:color="FFCF3F" w:themeColor="accent4" w:themeTint="BF" w:sz="8" w:space="0"/>
        <w:insideH w:val="single" w:color="FFCF3F" w:themeColor="accent4" w:themeTint="BF" w:sz="8" w:space="0"/>
        <w:insideV w:val="single" w:color="FFCF3F" w:themeColor="accent4" w:themeTint="BF" w:sz="8" w:space="0"/>
      </w:tblBorders>
    </w:tblPr>
    <w:tcPr>
      <w:shd w:val="clear" w:color="auto" w:fill="FFEFBF" w:themeFill="accent4" w:themeFillTint="3F"/>
    </w:tcPr>
    <w:tblStylePr w:type="firstRow">
      <w:rPr>
        <w:b/>
        <w:bCs/>
      </w:rPr>
    </w:tblStylePr>
    <w:tblStylePr w:type="lastRow">
      <w:rPr>
        <w:b/>
        <w:bCs/>
      </w:rPr>
      <w:tblPr/>
      <w:tcPr>
        <w:tcBorders>
          <w:top w:val="single" w:color="FFCF3F" w:themeColor="accent4" w:themeTint="BF" w:sz="18" w:space="0"/>
        </w:tcBorders>
      </w:tcPr>
    </w:tblStylePr>
    <w:tblStylePr w:type="firstCol">
      <w:rPr>
        <w:b/>
        <w:bCs/>
      </w:rPr>
    </w:tblStylePr>
    <w:tblStylePr w:type="lastCol">
      <w:rPr>
        <w:b/>
        <w:bCs/>
      </w:rPr>
    </w:tblStylePr>
    <w:tblStylePr w:type="band1Vert">
      <w:tblPr/>
      <w:tcPr>
        <w:shd w:val="clear" w:color="auto" w:fill="FFDF7F" w:themeFill="accent4" w:themeFillTint="7F"/>
      </w:tcPr>
    </w:tblStylePr>
    <w:tblStylePr w:type="band1Horz">
      <w:tblPr/>
      <w:tcPr>
        <w:shd w:val="clear" w:color="auto" w:fill="FFDF7F" w:themeFill="accent4" w:themeFillTint="7F"/>
      </w:tcPr>
    </w:tblStylePr>
  </w:style>
  <w:style w:type="table" w:styleId="187">
    <w:name w:val="Medium Grid 1 Accent 5"/>
    <w:basedOn w:val="88"/>
    <w:semiHidden/>
    <w:unhideWhenUsed/>
    <w:qFormat/>
    <w:uiPriority w:val="67"/>
    <w:tblPr>
      <w:tblBorders>
        <w:top w:val="single" w:color="7295D2" w:themeColor="accent5" w:themeTint="BF" w:sz="8" w:space="0"/>
        <w:left w:val="single" w:color="7295D2" w:themeColor="accent5" w:themeTint="BF" w:sz="8" w:space="0"/>
        <w:bottom w:val="single" w:color="7295D2" w:themeColor="accent5" w:themeTint="BF" w:sz="8" w:space="0"/>
        <w:right w:val="single" w:color="7295D2" w:themeColor="accent5" w:themeTint="BF" w:sz="8" w:space="0"/>
        <w:insideH w:val="single" w:color="7295D2" w:themeColor="accent5" w:themeTint="BF" w:sz="8" w:space="0"/>
        <w:insideV w:val="single" w:color="7295D2" w:themeColor="accent5" w:themeTint="BF" w:sz="8" w:space="0"/>
      </w:tblBorders>
    </w:tblPr>
    <w:tcPr>
      <w:shd w:val="clear" w:color="auto" w:fill="D0DCF0" w:themeFill="accent5" w:themeFillTint="3F"/>
    </w:tcPr>
    <w:tblStylePr w:type="firstRow">
      <w:rPr>
        <w:b/>
        <w:bCs/>
      </w:rPr>
    </w:tblStylePr>
    <w:tblStylePr w:type="lastRow">
      <w:rPr>
        <w:b/>
        <w:bCs/>
      </w:rPr>
      <w:tblPr/>
      <w:tcPr>
        <w:tcBorders>
          <w:top w:val="single" w:color="7295D2" w:themeColor="accent5" w:themeTint="BF" w:sz="18" w:space="0"/>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188">
    <w:name w:val="Medium Grid 1 Accent 6"/>
    <w:basedOn w:val="88"/>
    <w:semiHidden/>
    <w:unhideWhenUsed/>
    <w:qFormat/>
    <w:uiPriority w:val="67"/>
    <w:tblPr>
      <w:tblBorders>
        <w:top w:val="single" w:color="93C571" w:themeColor="accent6" w:themeTint="BF" w:sz="8" w:space="0"/>
        <w:left w:val="single" w:color="93C571" w:themeColor="accent6" w:themeTint="BF" w:sz="8" w:space="0"/>
        <w:bottom w:val="single" w:color="93C571" w:themeColor="accent6" w:themeTint="BF" w:sz="8" w:space="0"/>
        <w:right w:val="single" w:color="93C571" w:themeColor="accent6" w:themeTint="BF" w:sz="8" w:space="0"/>
        <w:insideH w:val="single" w:color="93C571" w:themeColor="accent6" w:themeTint="BF" w:sz="8" w:space="0"/>
        <w:insideV w:val="single" w:color="93C571" w:themeColor="accent6" w:themeTint="BF" w:sz="8" w:space="0"/>
      </w:tblBorders>
    </w:tblPr>
    <w:tcPr>
      <w:shd w:val="clear" w:color="auto" w:fill="DBEBD0" w:themeFill="accent6" w:themeFillTint="3F"/>
    </w:tcPr>
    <w:tblStylePr w:type="firstRow">
      <w:rPr>
        <w:b/>
        <w:bCs/>
      </w:rPr>
    </w:tblStylePr>
    <w:tblStylePr w:type="lastRow">
      <w:rPr>
        <w:b/>
        <w:bCs/>
      </w:rPr>
      <w:tblPr/>
      <w:tcPr>
        <w:tcBorders>
          <w:top w:val="single" w:color="93C571" w:themeColor="accent6" w:themeTint="BF" w:sz="18" w:space="0"/>
        </w:tcBorders>
      </w:tcPr>
    </w:tblStylePr>
    <w:tblStylePr w:type="firstCol">
      <w:rPr>
        <w:b/>
        <w:bCs/>
      </w:rPr>
    </w:tblStylePr>
    <w:tblStylePr w:type="lastCol">
      <w:rPr>
        <w:b/>
        <w:bCs/>
      </w:rPr>
    </w:tblStylePr>
    <w:tblStylePr w:type="band1Vert">
      <w:tblPr/>
      <w:tcPr>
        <w:shd w:val="clear" w:color="auto" w:fill="B7D8A1" w:themeFill="accent6" w:themeFillTint="7F"/>
      </w:tcPr>
    </w:tblStylePr>
    <w:tblStylePr w:type="band1Horz">
      <w:tblPr/>
      <w:tcPr>
        <w:shd w:val="clear" w:color="auto" w:fill="B7D8A1" w:themeFill="accent6" w:themeFillTint="7F"/>
      </w:tcPr>
    </w:tblStylePr>
  </w:style>
  <w:style w:type="table" w:styleId="189">
    <w:name w:val="Medium Grid 2"/>
    <w:basedOn w:val="88"/>
    <w:semiHidden/>
    <w:unhideWhenUsed/>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190">
    <w:name w:val="Medium Grid 2 Accent 1"/>
    <w:basedOn w:val="88"/>
    <w:semiHidden/>
    <w:unhideWhenUsed/>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5B9BD5" w:themeColor="accent1" w:sz="8" w:space="0"/>
        <w:left w:val="single" w:color="5B9BD5" w:themeColor="accent1" w:sz="8" w:space="0"/>
        <w:bottom w:val="single" w:color="5B9BD5" w:themeColor="accent1" w:sz="8" w:space="0"/>
        <w:right w:val="single" w:color="5B9BD5" w:themeColor="accent1" w:sz="8" w:space="0"/>
        <w:insideH w:val="single" w:color="5B9BD5" w:themeColor="accent1" w:sz="8" w:space="0"/>
        <w:insideV w:val="single" w:color="5B9BD5" w:themeColor="accent1" w:sz="8" w:space="0"/>
      </w:tblBorders>
    </w:tblPr>
    <w:tcPr>
      <w:shd w:val="clear" w:color="auto" w:fill="D6E6F4" w:themeFill="accent1" w:themeFillTint="3F"/>
    </w:tcPr>
    <w:tblStylePr w:type="firstRow">
      <w:rPr>
        <w:b/>
        <w:bCs/>
        <w:color w:val="000000" w:themeColor="text1"/>
        <w14:textFill>
          <w14:solidFill>
            <w14:schemeClr w14:val="tx1"/>
          </w14:solidFill>
        </w14:textFill>
      </w:rPr>
      <w:tblPr/>
      <w:tcPr>
        <w:shd w:val="clear" w:color="auto" w:fill="EEF5FA"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EEAF6" w:themeFill="accent1" w:themeFillTint="33"/>
      </w:tcPr>
    </w:tblStylePr>
    <w:tblStylePr w:type="band1Vert">
      <w:tblPr/>
      <w:tcPr>
        <w:shd w:val="clear" w:color="auto" w:fill="ADCDEA" w:themeFill="accent1" w:themeFillTint="7F"/>
      </w:tcPr>
    </w:tblStylePr>
    <w:tblStylePr w:type="band1Horz">
      <w:tblPr/>
      <w:tcPr>
        <w:tcBorders>
          <w:insideH w:val="single" w:sz="6" w:space="0"/>
          <w:insideV w:val="single" w:sz="6" w:space="0"/>
        </w:tcBorders>
        <w:shd w:val="clear" w:color="auto" w:fill="ADCDEA" w:themeFill="accent1" w:themeFillTint="7F"/>
      </w:tcPr>
    </w:tblStylePr>
    <w:tblStylePr w:type="nwCell">
      <w:tblPr/>
      <w:tcPr>
        <w:shd w:val="clear" w:color="auto" w:fill="FFFFFF" w:themeFill="background1"/>
      </w:tcPr>
    </w:tblStylePr>
  </w:style>
  <w:style w:type="table" w:styleId="191">
    <w:name w:val="Medium Grid 2 Accent 2"/>
    <w:basedOn w:val="88"/>
    <w:semiHidden/>
    <w:unhideWhenUsed/>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ED7D31" w:themeColor="accent2" w:sz="8" w:space="0"/>
        <w:left w:val="single" w:color="ED7D31" w:themeColor="accent2" w:sz="8" w:space="0"/>
        <w:bottom w:val="single" w:color="ED7D31" w:themeColor="accent2" w:sz="8" w:space="0"/>
        <w:right w:val="single" w:color="ED7D31" w:themeColor="accent2" w:sz="8" w:space="0"/>
        <w:insideH w:val="single" w:color="ED7D31" w:themeColor="accent2" w:sz="8" w:space="0"/>
        <w:insideV w:val="single" w:color="ED7D31" w:themeColor="accent2" w:sz="8" w:space="0"/>
      </w:tblBorders>
    </w:tblPr>
    <w:tcPr>
      <w:shd w:val="clear" w:color="auto" w:fill="FADECC" w:themeFill="accent2" w:themeFillTint="3F"/>
    </w:tcPr>
    <w:tblStylePr w:type="firstRow">
      <w:rPr>
        <w:b/>
        <w:bCs/>
        <w:color w:val="000000" w:themeColor="text1"/>
        <w14:textFill>
          <w14:solidFill>
            <w14:schemeClr w14:val="tx1"/>
          </w14:solidFill>
        </w14:textFill>
      </w:rPr>
      <w:tblPr/>
      <w:tcPr>
        <w:shd w:val="clear" w:color="auto" w:fill="FDF2EA"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insideV w:val="single" w:sz="6" w:space="0"/>
        </w:tcBorders>
        <w:shd w:val="clear" w:color="auto" w:fill="F6BE98" w:themeFill="accent2" w:themeFillTint="7F"/>
      </w:tcPr>
    </w:tblStylePr>
    <w:tblStylePr w:type="nwCell">
      <w:tblPr/>
      <w:tcPr>
        <w:shd w:val="clear" w:color="auto" w:fill="FFFFFF" w:themeFill="background1"/>
      </w:tcPr>
    </w:tblStylePr>
  </w:style>
  <w:style w:type="table" w:styleId="192">
    <w:name w:val="Medium Grid 2 Accent 3"/>
    <w:basedOn w:val="88"/>
    <w:semiHidden/>
    <w:unhideWhenUsed/>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A5A5A5" w:themeColor="accent3" w:sz="8" w:space="0"/>
        <w:left w:val="single" w:color="A5A5A5" w:themeColor="accent3" w:sz="8" w:space="0"/>
        <w:bottom w:val="single" w:color="A5A5A5" w:themeColor="accent3" w:sz="8" w:space="0"/>
        <w:right w:val="single" w:color="A5A5A5" w:themeColor="accent3" w:sz="8" w:space="0"/>
        <w:insideH w:val="single" w:color="A5A5A5" w:themeColor="accent3" w:sz="8" w:space="0"/>
        <w:insideV w:val="single" w:color="A5A5A5" w:themeColor="accent3" w:sz="8" w:space="0"/>
      </w:tblBorders>
    </w:tblPr>
    <w:tcPr>
      <w:shd w:val="clear" w:color="auto" w:fill="E8E8E8" w:themeFill="accent3" w:themeFillTint="3F"/>
    </w:tcPr>
    <w:tblStylePr w:type="firstRow">
      <w:rPr>
        <w:b/>
        <w:bCs/>
        <w:color w:val="000000" w:themeColor="text1"/>
        <w14:textFill>
          <w14:solidFill>
            <w14:schemeClr w14:val="tx1"/>
          </w14:solidFill>
        </w14:textFill>
      </w:rPr>
      <w:tblPr/>
      <w:tcPr>
        <w:shd w:val="clear" w:color="auto" w:fill="F6F6F6"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CECEC" w:themeFill="accent3" w:themeFillTint="33"/>
      </w:tcPr>
    </w:tblStylePr>
    <w:tblStylePr w:type="band1Vert">
      <w:tblPr/>
      <w:tcPr>
        <w:shd w:val="clear" w:color="auto" w:fill="D2D2D2" w:themeFill="accent3" w:themeFillTint="7F"/>
      </w:tcPr>
    </w:tblStylePr>
    <w:tblStylePr w:type="band1Horz">
      <w:tblPr/>
      <w:tcPr>
        <w:tcBorders>
          <w:insideH w:val="single" w:sz="6" w:space="0"/>
          <w:insideV w:val="single" w:sz="6" w:space="0"/>
        </w:tcBorders>
        <w:shd w:val="clear" w:color="auto" w:fill="D2D2D2" w:themeFill="accent3" w:themeFillTint="7F"/>
      </w:tcPr>
    </w:tblStylePr>
    <w:tblStylePr w:type="nwCell">
      <w:tblPr/>
      <w:tcPr>
        <w:shd w:val="clear" w:color="auto" w:fill="FFFFFF" w:themeFill="background1"/>
      </w:tcPr>
    </w:tblStylePr>
  </w:style>
  <w:style w:type="table" w:styleId="193">
    <w:name w:val="Medium Grid 2 Accent 4"/>
    <w:basedOn w:val="88"/>
    <w:semiHidden/>
    <w:unhideWhenUsed/>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FFC000" w:themeColor="accent4" w:sz="8" w:space="0"/>
        <w:left w:val="single" w:color="FFC000" w:themeColor="accent4" w:sz="8" w:space="0"/>
        <w:bottom w:val="single" w:color="FFC000" w:themeColor="accent4" w:sz="8" w:space="0"/>
        <w:right w:val="single" w:color="FFC000" w:themeColor="accent4" w:sz="8" w:space="0"/>
        <w:insideH w:val="single" w:color="FFC000" w:themeColor="accent4" w:sz="8" w:space="0"/>
        <w:insideV w:val="single" w:color="FFC000" w:themeColor="accent4" w:sz="8" w:space="0"/>
      </w:tblBorders>
    </w:tblPr>
    <w:tcPr>
      <w:shd w:val="clear" w:color="auto" w:fill="FFEFBF" w:themeFill="accent4" w:themeFillTint="3F"/>
    </w:tcPr>
    <w:tblStylePr w:type="firstRow">
      <w:rPr>
        <w:b/>
        <w:bCs/>
        <w:color w:val="000000" w:themeColor="text1"/>
        <w14:textFill>
          <w14:solidFill>
            <w14:schemeClr w14:val="tx1"/>
          </w14:solidFill>
        </w14:textFill>
      </w:rPr>
      <w:tblPr/>
      <w:tcPr>
        <w:shd w:val="clear" w:color="auto" w:fill="FFF8E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EF2CC" w:themeFill="accent4" w:themeFillTint="33"/>
      </w:tcPr>
    </w:tblStylePr>
    <w:tblStylePr w:type="band1Vert">
      <w:tblPr/>
      <w:tcPr>
        <w:shd w:val="clear" w:color="auto" w:fill="FFDF7F" w:themeFill="accent4" w:themeFillTint="7F"/>
      </w:tcPr>
    </w:tblStylePr>
    <w:tblStylePr w:type="band1Horz">
      <w:tblPr/>
      <w:tcPr>
        <w:tcBorders>
          <w:insideH w:val="single" w:sz="6" w:space="0"/>
          <w:insideV w:val="single" w:sz="6" w:space="0"/>
        </w:tcBorders>
        <w:shd w:val="clear" w:color="auto" w:fill="FFDF7F" w:themeFill="accent4" w:themeFillTint="7F"/>
      </w:tcPr>
    </w:tblStylePr>
    <w:tblStylePr w:type="nwCell">
      <w:tblPr/>
      <w:tcPr>
        <w:shd w:val="clear" w:color="auto" w:fill="FFFFFF" w:themeFill="background1"/>
      </w:tcPr>
    </w:tblStylePr>
  </w:style>
  <w:style w:type="table" w:styleId="194">
    <w:name w:val="Medium Grid 2 Accent 5"/>
    <w:basedOn w:val="88"/>
    <w:semiHidden/>
    <w:unhideWhenUsed/>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4472C4" w:themeColor="accent5" w:sz="8" w:space="0"/>
        <w:left w:val="single" w:color="4472C4" w:themeColor="accent5" w:sz="8" w:space="0"/>
        <w:bottom w:val="single" w:color="4472C4" w:themeColor="accent5" w:sz="8" w:space="0"/>
        <w:right w:val="single" w:color="4472C4" w:themeColor="accent5" w:sz="8" w:space="0"/>
        <w:insideH w:val="single" w:color="4472C4" w:themeColor="accent5" w:sz="8" w:space="0"/>
        <w:insideV w:val="single" w:color="4472C4" w:themeColor="accent5" w:sz="8" w:space="0"/>
      </w:tblBorders>
    </w:tblPr>
    <w:tcPr>
      <w:shd w:val="clear" w:color="auto" w:fill="D0DCF0" w:themeFill="accent5" w:themeFillTint="3F"/>
    </w:tcPr>
    <w:tblStylePr w:type="firstRow">
      <w:rPr>
        <w:b/>
        <w:bCs/>
        <w:color w:val="000000" w:themeColor="text1"/>
        <w14:textFill>
          <w14:solidFill>
            <w14:schemeClr w14:val="tx1"/>
          </w14:solidFill>
        </w14:textFill>
      </w:rPr>
      <w:tblPr/>
      <w:tcPr>
        <w:shd w:val="clear" w:color="auto" w:fill="ECF1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9E2F3" w:themeFill="accent5" w:themeFillTint="33"/>
      </w:tcPr>
    </w:tblStylePr>
    <w:tblStylePr w:type="band1Vert">
      <w:tblPr/>
      <w:tcPr>
        <w:shd w:val="clear" w:color="auto" w:fill="A1B8E1" w:themeFill="accent5" w:themeFillTint="7F"/>
      </w:tcPr>
    </w:tblStylePr>
    <w:tblStylePr w:type="band1Horz">
      <w:tblPr/>
      <w:tcPr>
        <w:tcBorders>
          <w:insideH w:val="single" w:sz="6" w:space="0"/>
          <w:insideV w:val="single" w:sz="6" w:space="0"/>
        </w:tcBorders>
        <w:shd w:val="clear" w:color="auto" w:fill="A1B8E1" w:themeFill="accent5" w:themeFillTint="7F"/>
      </w:tcPr>
    </w:tblStylePr>
    <w:tblStylePr w:type="nwCell">
      <w:tblPr/>
      <w:tcPr>
        <w:shd w:val="clear" w:color="auto" w:fill="FFFFFF" w:themeFill="background1"/>
      </w:tcPr>
    </w:tblStylePr>
  </w:style>
  <w:style w:type="table" w:styleId="195">
    <w:name w:val="Medium Grid 2 Accent 6"/>
    <w:basedOn w:val="88"/>
    <w:semiHidden/>
    <w:unhideWhenUsed/>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70AD47" w:themeColor="accent6" w:sz="8" w:space="0"/>
        <w:left w:val="single" w:color="70AD47" w:themeColor="accent6" w:sz="8" w:space="0"/>
        <w:bottom w:val="single" w:color="70AD47" w:themeColor="accent6" w:sz="8" w:space="0"/>
        <w:right w:val="single" w:color="70AD47" w:themeColor="accent6" w:sz="8" w:space="0"/>
        <w:insideH w:val="single" w:color="70AD47" w:themeColor="accent6" w:sz="8" w:space="0"/>
        <w:insideV w:val="single" w:color="70AD47" w:themeColor="accent6" w:sz="8" w:space="0"/>
      </w:tblBorders>
    </w:tblPr>
    <w:tcPr>
      <w:shd w:val="clear" w:color="auto" w:fill="DBEBD0" w:themeFill="accent6" w:themeFillTint="3F"/>
    </w:tcPr>
    <w:tblStylePr w:type="firstRow">
      <w:rPr>
        <w:b/>
        <w:bCs/>
        <w:color w:val="000000" w:themeColor="text1"/>
        <w14:textFill>
          <w14:solidFill>
            <w14:schemeClr w14:val="tx1"/>
          </w14:solidFill>
        </w14:textFill>
      </w:rPr>
      <w:tblPr/>
      <w:tcPr>
        <w:shd w:val="clear" w:color="auto" w:fill="F0F7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1" w:themeFill="accent6" w:themeFillTint="7F"/>
      </w:tcPr>
    </w:tblStylePr>
    <w:tblStylePr w:type="band1Horz">
      <w:tblPr/>
      <w:tcPr>
        <w:tcBorders>
          <w:insideH w:val="single" w:sz="6" w:space="0"/>
          <w:insideV w:val="single" w:sz="6" w:space="0"/>
        </w:tcBorders>
        <w:shd w:val="clear" w:color="auto" w:fill="B7D8A1" w:themeFill="accent6" w:themeFillTint="7F"/>
      </w:tcPr>
    </w:tblStylePr>
    <w:tblStylePr w:type="nwCell">
      <w:tblPr/>
      <w:tcPr>
        <w:shd w:val="clear" w:color="auto" w:fill="FFFFFF" w:themeFill="background1"/>
      </w:tcPr>
    </w:tblStylePr>
  </w:style>
  <w:style w:type="table" w:styleId="196">
    <w:name w:val="Medium Grid 3"/>
    <w:basedOn w:val="88"/>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197">
    <w:name w:val="Medium Grid 3 Accent 1"/>
    <w:basedOn w:val="88"/>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6E6F4"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5B9BD5"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5B9BD5"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5B9BD5"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5B9BD5"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DCDEA"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DCDEA" w:themeFill="accent1" w:themeFillTint="7F"/>
      </w:tcPr>
    </w:tblStylePr>
  </w:style>
  <w:style w:type="table" w:styleId="198">
    <w:name w:val="Medium Grid 3 Accent 2"/>
    <w:basedOn w:val="88"/>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ADECC"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ED7D31"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ED7D31"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ED7D31"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ED7D31"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6BE98"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6BE98" w:themeFill="accent2" w:themeFillTint="7F"/>
      </w:tcPr>
    </w:tblStylePr>
  </w:style>
  <w:style w:type="table" w:styleId="199">
    <w:name w:val="Medium Grid 3 Accent 3"/>
    <w:basedOn w:val="88"/>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8E8E8"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A5A5A5"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A5A5A5"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A5A5A5"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A5A5A5"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2D2D2"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2D2D2" w:themeFill="accent3" w:themeFillTint="7F"/>
      </w:tcPr>
    </w:tblStylePr>
  </w:style>
  <w:style w:type="table" w:styleId="200">
    <w:name w:val="Medium Grid 3 Accent 4"/>
    <w:basedOn w:val="88"/>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FEFBF"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FC000"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FC000"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FC000"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FC000"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FDF7F"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FDF7F" w:themeFill="accent4" w:themeFillTint="7F"/>
      </w:tcPr>
    </w:tblStylePr>
  </w:style>
  <w:style w:type="table" w:styleId="201">
    <w:name w:val="Medium Grid 3 Accent 5"/>
    <w:basedOn w:val="88"/>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0DC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472C4"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472C4"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472C4"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472C4"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1B8E1"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1B8E1" w:themeFill="accent5" w:themeFillTint="7F"/>
      </w:tcPr>
    </w:tblStylePr>
  </w:style>
  <w:style w:type="table" w:styleId="202">
    <w:name w:val="Medium Grid 3 Accent 6"/>
    <w:basedOn w:val="88"/>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BEBD0"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70AD47"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70AD47"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70AD47"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70AD47"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7D8A1"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7D8A1" w:themeFill="accent6" w:themeFillTint="7F"/>
      </w:tcPr>
    </w:tblStylePr>
  </w:style>
  <w:style w:type="table" w:styleId="203">
    <w:name w:val="Dark List"/>
    <w:basedOn w:val="88"/>
    <w:semiHidden/>
    <w:unhideWhenUsed/>
    <w:qFormat/>
    <w:uiPriority w:val="70"/>
    <w:rPr>
      <w:color w:val="FFFFFF" w:themeColor="background1"/>
      <w14:textFill>
        <w14:solidFill>
          <w14:schemeClr w14:val="bg1"/>
        </w14:solidFill>
      </w14:textFill>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204">
    <w:name w:val="Dark List Accent 1"/>
    <w:basedOn w:val="88"/>
    <w:semiHidden/>
    <w:unhideWhenUsed/>
    <w:qFormat/>
    <w:uiPriority w:val="70"/>
    <w:rPr>
      <w:color w:val="FFFFFF" w:themeColor="background1"/>
      <w14:textFill>
        <w14:solidFill>
          <w14:schemeClr w14:val="bg1"/>
        </w14:solidFill>
      </w14:textFill>
    </w:rPr>
    <w:tblPr>
      <w:tblStyleRowBandSize w:val="1"/>
      <w:tblStyleColBandSize w:val="1"/>
    </w:tblPr>
    <w:tcPr>
      <w:shd w:val="clear" w:color="auto" w:fill="5B9BD5"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1E4D78"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2E75B5"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2E75B5" w:themeFill="accent1" w:themeFillShade="BF"/>
      </w:tcPr>
    </w:tblStylePr>
    <w:tblStylePr w:type="band1Vert">
      <w:tblPr/>
      <w:tcPr>
        <w:tcBorders>
          <w:top w:val="nil"/>
          <w:left w:val="nil"/>
          <w:bottom w:val="nil"/>
          <w:right w:val="nil"/>
          <w:insideH w:val="nil"/>
          <w:insideV w:val="nil"/>
        </w:tcBorders>
        <w:shd w:val="clear" w:color="auto" w:fill="2E75B5" w:themeFill="accent1" w:themeFillShade="BF"/>
      </w:tcPr>
    </w:tblStylePr>
    <w:tblStylePr w:type="band1Horz">
      <w:tblPr/>
      <w:tcPr>
        <w:tcBorders>
          <w:top w:val="nil"/>
          <w:left w:val="nil"/>
          <w:bottom w:val="nil"/>
          <w:right w:val="nil"/>
          <w:insideH w:val="nil"/>
          <w:insideV w:val="nil"/>
        </w:tcBorders>
        <w:shd w:val="clear" w:color="auto" w:fill="2E75B5" w:themeFill="accent1" w:themeFillShade="BF"/>
      </w:tcPr>
    </w:tblStylePr>
  </w:style>
  <w:style w:type="table" w:styleId="205">
    <w:name w:val="Dark List Accent 2"/>
    <w:basedOn w:val="88"/>
    <w:semiHidden/>
    <w:unhideWhenUsed/>
    <w:qFormat/>
    <w:uiPriority w:val="70"/>
    <w:rPr>
      <w:color w:val="FFFFFF" w:themeColor="background1"/>
      <w14:textFill>
        <w14:solidFill>
          <w14:schemeClr w14:val="bg1"/>
        </w14:solidFill>
      </w14:textFill>
    </w:rPr>
    <w:tblPr>
      <w:tblStyleRowBandSize w:val="1"/>
      <w:tblStyleColBandSize w:val="1"/>
    </w:tblPr>
    <w:tcPr>
      <w:shd w:val="clear" w:color="auto" w:fill="ED7D31"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C55911"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C55911" w:themeFill="accent2" w:themeFillShade="BF"/>
      </w:tcPr>
    </w:tblStylePr>
    <w:tblStylePr w:type="band1Vert">
      <w:tblPr/>
      <w:tcPr>
        <w:tcBorders>
          <w:top w:val="nil"/>
          <w:left w:val="nil"/>
          <w:bottom w:val="nil"/>
          <w:right w:val="nil"/>
          <w:insideH w:val="nil"/>
          <w:insideV w:val="nil"/>
        </w:tcBorders>
        <w:shd w:val="clear" w:color="auto" w:fill="C55911" w:themeFill="accent2" w:themeFillShade="BF"/>
      </w:tcPr>
    </w:tblStylePr>
    <w:tblStylePr w:type="band1Horz">
      <w:tblPr/>
      <w:tcPr>
        <w:tcBorders>
          <w:top w:val="nil"/>
          <w:left w:val="nil"/>
          <w:bottom w:val="nil"/>
          <w:right w:val="nil"/>
          <w:insideH w:val="nil"/>
          <w:insideV w:val="nil"/>
        </w:tcBorders>
        <w:shd w:val="clear" w:color="auto" w:fill="C55911" w:themeFill="accent2" w:themeFillShade="BF"/>
      </w:tcPr>
    </w:tblStylePr>
  </w:style>
  <w:style w:type="table" w:styleId="206">
    <w:name w:val="Dark List Accent 3"/>
    <w:basedOn w:val="88"/>
    <w:semiHidden/>
    <w:unhideWhenUsed/>
    <w:qFormat/>
    <w:uiPriority w:val="70"/>
    <w:rPr>
      <w:color w:val="FFFFFF" w:themeColor="background1"/>
      <w14:textFill>
        <w14:solidFill>
          <w14:schemeClr w14:val="bg1"/>
        </w14:solidFill>
      </w14:textFill>
    </w:rPr>
    <w:tblPr>
      <w:tblStyleRowBandSize w:val="1"/>
      <w:tblStyleColBandSize w:val="1"/>
    </w:tblPr>
    <w:tcPr>
      <w:shd w:val="clear" w:color="auto" w:fill="A5A5A5"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B7B7B"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207">
    <w:name w:val="Dark List Accent 4"/>
    <w:basedOn w:val="88"/>
    <w:semiHidden/>
    <w:unhideWhenUsed/>
    <w:qFormat/>
    <w:uiPriority w:val="70"/>
    <w:rPr>
      <w:color w:val="FFFFFF" w:themeColor="background1"/>
      <w14:textFill>
        <w14:solidFill>
          <w14:schemeClr w14:val="bg1"/>
        </w14:solidFill>
      </w14:textFill>
    </w:rPr>
    <w:tblPr>
      <w:tblStyleRowBandSize w:val="1"/>
      <w:tblStyleColBandSize w:val="1"/>
    </w:tblPr>
    <w:tcPr>
      <w:shd w:val="clear" w:color="auto" w:fill="FFC000"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7E5F00"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BE8F00"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BE8F00" w:themeFill="accent4" w:themeFillShade="BF"/>
      </w:tcPr>
    </w:tblStylePr>
    <w:tblStylePr w:type="band1Vert">
      <w:tblPr/>
      <w:tcPr>
        <w:tcBorders>
          <w:top w:val="nil"/>
          <w:left w:val="nil"/>
          <w:bottom w:val="nil"/>
          <w:right w:val="nil"/>
          <w:insideH w:val="nil"/>
          <w:insideV w:val="nil"/>
        </w:tcBorders>
        <w:shd w:val="clear" w:color="auto" w:fill="BE8F00" w:themeFill="accent4" w:themeFillShade="BF"/>
      </w:tcPr>
    </w:tblStylePr>
    <w:tblStylePr w:type="band1Horz">
      <w:tblPr/>
      <w:tcPr>
        <w:tcBorders>
          <w:top w:val="nil"/>
          <w:left w:val="nil"/>
          <w:bottom w:val="nil"/>
          <w:right w:val="nil"/>
          <w:insideH w:val="nil"/>
          <w:insideV w:val="nil"/>
        </w:tcBorders>
        <w:shd w:val="clear" w:color="auto" w:fill="BE8F00" w:themeFill="accent4" w:themeFillShade="BF"/>
      </w:tcPr>
    </w:tblStylePr>
  </w:style>
  <w:style w:type="table" w:styleId="208">
    <w:name w:val="Dark List Accent 5"/>
    <w:basedOn w:val="88"/>
    <w:semiHidden/>
    <w:unhideWhenUsed/>
    <w:qFormat/>
    <w:uiPriority w:val="70"/>
    <w:rPr>
      <w:color w:val="FFFFFF" w:themeColor="background1"/>
      <w14:textFill>
        <w14:solidFill>
          <w14:schemeClr w14:val="bg1"/>
        </w14:solidFill>
      </w14:textFill>
    </w:rPr>
    <w:tblPr>
      <w:tblStyleRowBandSize w:val="1"/>
      <w:tblStyleColBandSize w:val="1"/>
    </w:tblPr>
    <w:tcPr>
      <w:shd w:val="clear" w:color="auto" w:fill="4472C4"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1F3863"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2F5496"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2F5496" w:themeFill="accent5" w:themeFillShade="BF"/>
      </w:tcPr>
    </w:tblStylePr>
    <w:tblStylePr w:type="band1Vert">
      <w:tblPr/>
      <w:tcPr>
        <w:tcBorders>
          <w:top w:val="nil"/>
          <w:left w:val="nil"/>
          <w:bottom w:val="nil"/>
          <w:right w:val="nil"/>
          <w:insideH w:val="nil"/>
          <w:insideV w:val="nil"/>
        </w:tcBorders>
        <w:shd w:val="clear" w:color="auto" w:fill="2F5496" w:themeFill="accent5" w:themeFillShade="BF"/>
      </w:tcPr>
    </w:tblStylePr>
    <w:tblStylePr w:type="band1Horz">
      <w:tblPr/>
      <w:tcPr>
        <w:tcBorders>
          <w:top w:val="nil"/>
          <w:left w:val="nil"/>
          <w:bottom w:val="nil"/>
          <w:right w:val="nil"/>
          <w:insideH w:val="nil"/>
          <w:insideV w:val="nil"/>
        </w:tcBorders>
        <w:shd w:val="clear" w:color="auto" w:fill="2F5496" w:themeFill="accent5" w:themeFillShade="BF"/>
      </w:tcPr>
    </w:tblStylePr>
  </w:style>
  <w:style w:type="table" w:styleId="209">
    <w:name w:val="Dark List Accent 6"/>
    <w:basedOn w:val="88"/>
    <w:semiHidden/>
    <w:unhideWhenUsed/>
    <w:qFormat/>
    <w:uiPriority w:val="70"/>
    <w:rPr>
      <w:color w:val="FFFFFF" w:themeColor="background1"/>
      <w14:textFill>
        <w14:solidFill>
          <w14:schemeClr w14:val="bg1"/>
        </w14:solidFill>
      </w14:textFill>
    </w:rPr>
    <w:tblPr>
      <w:tblStyleRowBandSize w:val="1"/>
      <w:tblStyleColBandSize w:val="1"/>
    </w:tblPr>
    <w:tcPr>
      <w:shd w:val="clear" w:color="auto" w:fill="70AD47"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538135"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210">
    <w:name w:val="Colorful Shading"/>
    <w:basedOn w:val="88"/>
    <w:semiHidden/>
    <w:unhideWhenUsed/>
    <w:qFormat/>
    <w:uiPriority w:val="71"/>
    <w:rPr>
      <w:color w:val="000000" w:themeColor="text1"/>
      <w14:textFill>
        <w14:solidFill>
          <w14:schemeClr w14:val="tx1"/>
        </w14:solidFill>
      </w14:textFill>
    </w:rPr>
    <w:tblPr>
      <w:tblBorders>
        <w:top w:val="single" w:color="ED7D31"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5E5E5" w:themeFill="text1" w:themeFillTint="19"/>
    </w:tcPr>
    <w:tblStylePr w:type="firstRow">
      <w:rPr>
        <w:b/>
        <w:bCs/>
      </w:rPr>
      <w:tblPr/>
      <w:tcPr>
        <w:tcBorders>
          <w:top w:val="nil"/>
          <w:left w:val="nil"/>
          <w:bottom w:val="single" w:color="ED7D31"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211">
    <w:name w:val="Colorful Shading Accent 1"/>
    <w:basedOn w:val="88"/>
    <w:semiHidden/>
    <w:unhideWhenUsed/>
    <w:qFormat/>
    <w:uiPriority w:val="71"/>
    <w:rPr>
      <w:color w:val="000000" w:themeColor="text1"/>
      <w14:textFill>
        <w14:solidFill>
          <w14:schemeClr w14:val="tx1"/>
        </w14:solidFill>
      </w14:textFill>
    </w:rPr>
    <w:tblPr>
      <w:tblBorders>
        <w:top w:val="single" w:color="ED7D31" w:themeColor="accent2" w:sz="24" w:space="0"/>
        <w:left w:val="single" w:color="5B9BD5" w:themeColor="accent1" w:sz="4" w:space="0"/>
        <w:bottom w:val="single" w:color="5B9BD5" w:themeColor="accent1" w:sz="4" w:space="0"/>
        <w:right w:val="single" w:color="5B9BD5" w:themeColor="accent1" w:sz="4" w:space="0"/>
        <w:insideH w:val="single" w:color="FFFFFF" w:themeColor="background1" w:sz="4" w:space="0"/>
        <w:insideV w:val="single" w:color="FFFFFF" w:themeColor="background1" w:sz="4" w:space="0"/>
      </w:tblBorders>
    </w:tblPr>
    <w:tcPr>
      <w:shd w:val="clear" w:color="auto" w:fill="EEF5FA" w:themeFill="accent1" w:themeFillTint="19"/>
    </w:tcPr>
    <w:tblStylePr w:type="firstRow">
      <w:rPr>
        <w:b/>
        <w:bCs/>
      </w:rPr>
      <w:tblPr/>
      <w:tcPr>
        <w:tcBorders>
          <w:top w:val="nil"/>
          <w:left w:val="nil"/>
          <w:bottom w:val="single" w:color="ED7D31"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55D91"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55D91"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DEA"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212">
    <w:name w:val="Colorful Shading Accent 2"/>
    <w:basedOn w:val="88"/>
    <w:semiHidden/>
    <w:unhideWhenUsed/>
    <w:qFormat/>
    <w:uiPriority w:val="71"/>
    <w:rPr>
      <w:color w:val="000000" w:themeColor="text1"/>
      <w14:textFill>
        <w14:solidFill>
          <w14:schemeClr w14:val="tx1"/>
        </w14:solidFill>
      </w14:textFill>
    </w:rPr>
    <w:tblPr>
      <w:tblBorders>
        <w:top w:val="single" w:color="ED7D31" w:themeColor="accent2" w:sz="24" w:space="0"/>
        <w:left w:val="single" w:color="ED7D31" w:themeColor="accent2" w:sz="4" w:space="0"/>
        <w:bottom w:val="single" w:color="ED7D31" w:themeColor="accent2" w:sz="4" w:space="0"/>
        <w:right w:val="single" w:color="ED7D31" w:themeColor="accent2" w:sz="4" w:space="0"/>
        <w:insideH w:val="single" w:color="FFFFFF" w:themeColor="background1" w:sz="4" w:space="0"/>
        <w:insideV w:val="single" w:color="FFFFFF" w:themeColor="background1" w:sz="4" w:space="0"/>
      </w:tblBorders>
    </w:tblPr>
    <w:tcPr>
      <w:shd w:val="clear" w:color="auto" w:fill="FDF2EA" w:themeFill="accent2" w:themeFillTint="19"/>
    </w:tcPr>
    <w:tblStylePr w:type="firstRow">
      <w:rPr>
        <w:b/>
        <w:bCs/>
      </w:rPr>
      <w:tblPr/>
      <w:tcPr>
        <w:tcBorders>
          <w:top w:val="nil"/>
          <w:left w:val="nil"/>
          <w:bottom w:val="single" w:color="ED7D31"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9D480D"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9D480D"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9D48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213">
    <w:name w:val="Colorful Shading Accent 3"/>
    <w:basedOn w:val="88"/>
    <w:semiHidden/>
    <w:unhideWhenUsed/>
    <w:qFormat/>
    <w:uiPriority w:val="71"/>
    <w:rPr>
      <w:color w:val="000000" w:themeColor="text1"/>
      <w14:textFill>
        <w14:solidFill>
          <w14:schemeClr w14:val="tx1"/>
        </w14:solidFill>
      </w14:textFill>
    </w:rPr>
    <w:tblPr>
      <w:tblBorders>
        <w:top w:val="single" w:color="FFC000" w:themeColor="accent4" w:sz="24" w:space="0"/>
        <w:left w:val="single" w:color="A5A5A5" w:themeColor="accent3" w:sz="4" w:space="0"/>
        <w:bottom w:val="single" w:color="A5A5A5" w:themeColor="accent3" w:sz="4" w:space="0"/>
        <w:right w:val="single" w:color="A5A5A5" w:themeColor="accent3" w:sz="4" w:space="0"/>
        <w:insideH w:val="single" w:color="FFFFFF" w:themeColor="background1" w:sz="4" w:space="0"/>
        <w:insideV w:val="single" w:color="FFFFFF" w:themeColor="background1" w:sz="4" w:space="0"/>
      </w:tblBorders>
    </w:tblPr>
    <w:tcPr>
      <w:shd w:val="clear" w:color="auto" w:fill="F6F6F6" w:themeFill="accent3" w:themeFillTint="19"/>
    </w:tcPr>
    <w:tblStylePr w:type="firstRow">
      <w:rPr>
        <w:b/>
        <w:bCs/>
      </w:rPr>
      <w:tblPr/>
      <w:tcPr>
        <w:tcBorders>
          <w:top w:val="nil"/>
          <w:left w:val="nil"/>
          <w:bottom w:val="single" w:color="FFC000"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626262"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626262"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626262" w:themeFill="accent3" w:themeFillShade="99"/>
      </w:tcPr>
    </w:tblStylePr>
    <w:tblStylePr w:type="band1Vert">
      <w:tblPr/>
      <w:tcPr>
        <w:shd w:val="clear" w:color="auto" w:fill="DADADA" w:themeFill="accent3" w:themeFillTint="66"/>
      </w:tcPr>
    </w:tblStylePr>
    <w:tblStylePr w:type="band1Horz">
      <w:tblPr/>
      <w:tcPr>
        <w:shd w:val="clear" w:color="auto" w:fill="D2D2D2" w:themeFill="accent3" w:themeFillTint="7F"/>
      </w:tcPr>
    </w:tblStylePr>
  </w:style>
  <w:style w:type="table" w:styleId="214">
    <w:name w:val="Colorful Shading Accent 4"/>
    <w:basedOn w:val="88"/>
    <w:semiHidden/>
    <w:unhideWhenUsed/>
    <w:qFormat/>
    <w:uiPriority w:val="71"/>
    <w:rPr>
      <w:color w:val="000000" w:themeColor="text1"/>
      <w14:textFill>
        <w14:solidFill>
          <w14:schemeClr w14:val="tx1"/>
        </w14:solidFill>
      </w14:textFill>
    </w:rPr>
    <w:tblPr>
      <w:tblBorders>
        <w:top w:val="single" w:color="A5A5A5" w:themeColor="accent3" w:sz="24" w:space="0"/>
        <w:left w:val="single" w:color="FFC000" w:themeColor="accent4" w:sz="4" w:space="0"/>
        <w:bottom w:val="single" w:color="FFC000" w:themeColor="accent4" w:sz="4" w:space="0"/>
        <w:right w:val="single" w:color="FFC000" w:themeColor="accent4" w:sz="4" w:space="0"/>
        <w:insideH w:val="single" w:color="FFFFFF" w:themeColor="background1" w:sz="4" w:space="0"/>
        <w:insideV w:val="single" w:color="FFFFFF" w:themeColor="background1" w:sz="4" w:space="0"/>
      </w:tblBorders>
    </w:tblPr>
    <w:tcPr>
      <w:shd w:val="clear" w:color="auto" w:fill="FFF8E5" w:themeFill="accent4" w:themeFillTint="19"/>
    </w:tcPr>
    <w:tblStylePr w:type="firstRow">
      <w:rPr>
        <w:b/>
        <w:bCs/>
      </w:rPr>
      <w:tblPr/>
      <w:tcPr>
        <w:tcBorders>
          <w:top w:val="nil"/>
          <w:left w:val="nil"/>
          <w:bottom w:val="single" w:color="A5A5A5"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997300"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997300"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7F"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215">
    <w:name w:val="Colorful Shading Accent 5"/>
    <w:basedOn w:val="88"/>
    <w:semiHidden/>
    <w:unhideWhenUsed/>
    <w:qFormat/>
    <w:uiPriority w:val="71"/>
    <w:rPr>
      <w:color w:val="000000" w:themeColor="text1"/>
      <w14:textFill>
        <w14:solidFill>
          <w14:schemeClr w14:val="tx1"/>
        </w14:solidFill>
      </w14:textFill>
    </w:rPr>
    <w:tblPr>
      <w:tblBorders>
        <w:top w:val="single" w:color="70AD47" w:themeColor="accent6" w:sz="24" w:space="0"/>
        <w:left w:val="single" w:color="4472C4" w:themeColor="accent5" w:sz="4" w:space="0"/>
        <w:bottom w:val="single" w:color="4472C4" w:themeColor="accent5" w:sz="4" w:space="0"/>
        <w:right w:val="single" w:color="4472C4" w:themeColor="accent5" w:sz="4" w:space="0"/>
        <w:insideH w:val="single" w:color="FFFFFF" w:themeColor="background1" w:sz="4" w:space="0"/>
        <w:insideV w:val="single" w:color="FFFFFF" w:themeColor="background1" w:sz="4" w:space="0"/>
      </w:tblBorders>
    </w:tblPr>
    <w:tcPr>
      <w:shd w:val="clear" w:color="auto" w:fill="ECF1F9" w:themeFill="accent5" w:themeFillTint="19"/>
    </w:tcPr>
    <w:tblStylePr w:type="firstRow">
      <w:rPr>
        <w:b/>
        <w:bCs/>
      </w:rPr>
      <w:tblPr/>
      <w:tcPr>
        <w:tcBorders>
          <w:top w:val="nil"/>
          <w:left w:val="nil"/>
          <w:bottom w:val="single" w:color="70AD47"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54378"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54378"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54378" w:themeFill="accent5" w:themeFillShade="99"/>
      </w:tcPr>
    </w:tblStylePr>
    <w:tblStylePr w:type="band1Vert">
      <w:tblPr/>
      <w:tcPr>
        <w:shd w:val="clear" w:color="auto" w:fill="B4C6E7" w:themeFill="accent5" w:themeFillTint="66"/>
      </w:tcPr>
    </w:tblStylePr>
    <w:tblStylePr w:type="band1Horz">
      <w:tblPr/>
      <w:tcPr>
        <w:shd w:val="clear" w:color="auto" w:fill="A1B8E1"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216">
    <w:name w:val="Colorful Shading Accent 6"/>
    <w:basedOn w:val="88"/>
    <w:semiHidden/>
    <w:unhideWhenUsed/>
    <w:qFormat/>
    <w:uiPriority w:val="71"/>
    <w:rPr>
      <w:color w:val="000000" w:themeColor="text1"/>
      <w14:textFill>
        <w14:solidFill>
          <w14:schemeClr w14:val="tx1"/>
        </w14:solidFill>
      </w14:textFill>
    </w:rPr>
    <w:tblPr>
      <w:tblBorders>
        <w:top w:val="single" w:color="4472C4" w:themeColor="accent5" w:sz="24" w:space="0"/>
        <w:left w:val="single" w:color="70AD47" w:themeColor="accent6" w:sz="4" w:space="0"/>
        <w:bottom w:val="single" w:color="70AD47" w:themeColor="accent6" w:sz="4" w:space="0"/>
        <w:right w:val="single" w:color="70AD47" w:themeColor="accent6" w:sz="4" w:space="0"/>
        <w:insideH w:val="single" w:color="FFFFFF" w:themeColor="background1" w:sz="4" w:space="0"/>
        <w:insideV w:val="single" w:color="FFFFFF" w:themeColor="background1" w:sz="4" w:space="0"/>
      </w:tblBorders>
    </w:tblPr>
    <w:tcPr>
      <w:shd w:val="clear" w:color="auto" w:fill="F0F7EC" w:themeFill="accent6" w:themeFillTint="19"/>
    </w:tcPr>
    <w:tblStylePr w:type="firstRow">
      <w:rPr>
        <w:b/>
        <w:bCs/>
      </w:rPr>
      <w:tblPr/>
      <w:tcPr>
        <w:tcBorders>
          <w:top w:val="nil"/>
          <w:left w:val="nil"/>
          <w:bottom w:val="single" w:color="4472C4"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3672A"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3672A"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1"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217">
    <w:name w:val="Colorful List"/>
    <w:basedOn w:val="88"/>
    <w:semiHidden/>
    <w:unhideWhenUsed/>
    <w:qFormat/>
    <w:uiPriority w:val="72"/>
    <w:rPr>
      <w:color w:val="000000" w:themeColor="text1"/>
      <w14:textFill>
        <w14:solidFill>
          <w14:schemeClr w14:val="tx1"/>
        </w14:solidFill>
      </w14:textFill>
    </w:rPr>
    <w:tblPr>
      <w:tblStyleRowBandSize w:val="1"/>
      <w:tblStyleColBandSize w:val="1"/>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D26012" w:themeFill="accent2" w:themeFillShade="CC"/>
      </w:tcPr>
    </w:tblStylePr>
    <w:tblStylePr w:type="lastRow">
      <w:rPr>
        <w:b/>
        <w:bCs/>
        <w:color w:val="D26012"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218">
    <w:name w:val="Colorful List Accent 1"/>
    <w:basedOn w:val="88"/>
    <w:semiHidden/>
    <w:unhideWhenUsed/>
    <w:qFormat/>
    <w:uiPriority w:val="72"/>
    <w:rPr>
      <w:color w:val="000000" w:themeColor="text1"/>
      <w14:textFill>
        <w14:solidFill>
          <w14:schemeClr w14:val="tx1"/>
        </w14:solidFill>
      </w14:textFill>
    </w:rPr>
    <w:tblPr>
      <w:tblStyleRowBandSize w:val="1"/>
      <w:tblStyleColBandSize w:val="1"/>
    </w:tblPr>
    <w:tcPr>
      <w:shd w:val="clear" w:color="auto" w:fill="EEF5FA"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D26012" w:themeFill="accent2" w:themeFillShade="CC"/>
      </w:tcPr>
    </w:tblStylePr>
    <w:tblStylePr w:type="lastRow">
      <w:rPr>
        <w:b/>
        <w:bCs/>
        <w:color w:val="D26012"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table" w:styleId="219">
    <w:name w:val="Colorful List Accent 2"/>
    <w:basedOn w:val="88"/>
    <w:semiHidden/>
    <w:unhideWhenUsed/>
    <w:qFormat/>
    <w:uiPriority w:val="72"/>
    <w:rPr>
      <w:color w:val="000000" w:themeColor="text1"/>
      <w14:textFill>
        <w14:solidFill>
          <w14:schemeClr w14:val="tx1"/>
        </w14:solidFill>
      </w14:textFill>
    </w:rPr>
    <w:tblPr>
      <w:tblStyleRowBandSize w:val="1"/>
      <w:tblStyleColBandSize w:val="1"/>
    </w:tblPr>
    <w:tcPr>
      <w:shd w:val="clear" w:color="auto" w:fill="FDF2EA"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D26012" w:themeFill="accent2" w:themeFillShade="CC"/>
      </w:tcPr>
    </w:tblStylePr>
    <w:tblStylePr w:type="lastRow">
      <w:rPr>
        <w:b/>
        <w:bCs/>
        <w:color w:val="D26012"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C" w:themeFill="accent2" w:themeFillTint="3F"/>
      </w:tcPr>
    </w:tblStylePr>
    <w:tblStylePr w:type="band1Horz">
      <w:tblPr/>
      <w:tcPr>
        <w:shd w:val="clear" w:color="auto" w:fill="FBE4D5" w:themeFill="accent2" w:themeFillTint="33"/>
      </w:tcPr>
    </w:tblStylePr>
  </w:style>
  <w:style w:type="table" w:styleId="220">
    <w:name w:val="Colorful List Accent 3"/>
    <w:basedOn w:val="88"/>
    <w:semiHidden/>
    <w:unhideWhenUsed/>
    <w:qFormat/>
    <w:uiPriority w:val="72"/>
    <w:rPr>
      <w:color w:val="000000" w:themeColor="text1"/>
      <w14:textFill>
        <w14:solidFill>
          <w14:schemeClr w14:val="tx1"/>
        </w14:solidFill>
      </w14:textFill>
    </w:rPr>
    <w:tblPr>
      <w:tblStyleRowBandSize w:val="1"/>
      <w:tblStyleColBandSize w:val="1"/>
    </w:tblPr>
    <w:tcPr>
      <w:shd w:val="clear" w:color="auto" w:fill="F6F6F6"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CC9900" w:themeFill="accent4" w:themeFillShade="CC"/>
      </w:tcPr>
    </w:tblStylePr>
    <w:tblStylePr w:type="lastRow">
      <w:rPr>
        <w:b/>
        <w:bCs/>
        <w:color w:val="CC9A00"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CECEC" w:themeFill="accent3" w:themeFillTint="33"/>
      </w:tcPr>
    </w:tblStylePr>
  </w:style>
  <w:style w:type="table" w:styleId="221">
    <w:name w:val="Colorful List Accent 4"/>
    <w:basedOn w:val="88"/>
    <w:semiHidden/>
    <w:unhideWhenUsed/>
    <w:qFormat/>
    <w:uiPriority w:val="72"/>
    <w:rPr>
      <w:color w:val="000000" w:themeColor="text1"/>
      <w14:textFill>
        <w14:solidFill>
          <w14:schemeClr w14:val="tx1"/>
        </w14:solidFill>
      </w14:textFill>
    </w:rPr>
    <w:tblPr>
      <w:tblStyleRowBandSize w:val="1"/>
      <w:tblStyleColBandSize w:val="1"/>
    </w:tblPr>
    <w:tcPr>
      <w:shd w:val="clear" w:color="auto" w:fill="FFF8E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838383" w:themeFill="accent3" w:themeFillShade="CC"/>
      </w:tcPr>
    </w:tblStylePr>
    <w:tblStylePr w:type="lastRow">
      <w:rPr>
        <w:b/>
        <w:bCs/>
        <w:color w:val="848484"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BF" w:themeFill="accent4" w:themeFillTint="3F"/>
      </w:tcPr>
    </w:tblStylePr>
    <w:tblStylePr w:type="band1Horz">
      <w:tblPr/>
      <w:tcPr>
        <w:shd w:val="clear" w:color="auto" w:fill="FEF2CC" w:themeFill="accent4" w:themeFillTint="33"/>
      </w:tcPr>
    </w:tblStylePr>
  </w:style>
  <w:style w:type="table" w:styleId="222">
    <w:name w:val="Colorful List Accent 5"/>
    <w:basedOn w:val="88"/>
    <w:semiHidden/>
    <w:unhideWhenUsed/>
    <w:qFormat/>
    <w:uiPriority w:val="72"/>
    <w:rPr>
      <w:color w:val="000000" w:themeColor="text1"/>
      <w14:textFill>
        <w14:solidFill>
          <w14:schemeClr w14:val="tx1"/>
        </w14:solidFill>
      </w14:textFill>
    </w:rPr>
    <w:tblPr>
      <w:tblStyleRowBandSize w:val="1"/>
      <w:tblStyleColBandSize w:val="1"/>
    </w:tblPr>
    <w:tcPr>
      <w:shd w:val="clear" w:color="auto" w:fill="ECF1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598A38" w:themeFill="accent6" w:themeFillShade="CC"/>
      </w:tcPr>
    </w:tblStylePr>
    <w:tblStylePr w:type="lastRow">
      <w:rPr>
        <w:b/>
        <w:bCs/>
        <w:color w:val="5A8A39"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CF0" w:themeFill="accent5" w:themeFillTint="3F"/>
      </w:tcPr>
    </w:tblStylePr>
    <w:tblStylePr w:type="band1Horz">
      <w:tblPr/>
      <w:tcPr>
        <w:shd w:val="clear" w:color="auto" w:fill="D9E2F3" w:themeFill="accent5" w:themeFillTint="33"/>
      </w:tcPr>
    </w:tblStylePr>
  </w:style>
  <w:style w:type="table" w:styleId="223">
    <w:name w:val="Colorful List Accent 6"/>
    <w:basedOn w:val="88"/>
    <w:semiHidden/>
    <w:unhideWhenUsed/>
    <w:qFormat/>
    <w:uiPriority w:val="72"/>
    <w:rPr>
      <w:color w:val="000000" w:themeColor="text1"/>
      <w14:textFill>
        <w14:solidFill>
          <w14:schemeClr w14:val="tx1"/>
        </w14:solidFill>
      </w14:textFill>
    </w:rPr>
    <w:tblPr>
      <w:tblStyleRowBandSize w:val="1"/>
      <w:tblStyleColBandSize w:val="1"/>
    </w:tblPr>
    <w:tcPr>
      <w:shd w:val="clear" w:color="auto" w:fill="F0F7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25AA0" w:themeFill="accent5" w:themeFillShade="CC"/>
      </w:tcPr>
    </w:tblStylePr>
    <w:tblStylePr w:type="lastRow">
      <w:rPr>
        <w:b/>
        <w:bCs/>
        <w:color w:val="335AA1"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224">
    <w:name w:val="Colorful Grid"/>
    <w:basedOn w:val="88"/>
    <w:semiHidden/>
    <w:unhideWhenUsed/>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225">
    <w:name w:val="Colorful Grid Accent 1"/>
    <w:basedOn w:val="88"/>
    <w:semiHidden/>
    <w:unhideWhenUsed/>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DEEAF6" w:themeFill="accent1" w:themeFillTint="33"/>
    </w:tcPr>
    <w:tblStylePr w:type="firstRow">
      <w:rPr>
        <w:b/>
        <w:bCs/>
      </w:rPr>
      <w:tblPr/>
      <w:tcPr>
        <w:shd w:val="clear" w:color="auto" w:fill="BDD6EE" w:themeFill="accent1" w:themeFillTint="66"/>
      </w:tcPr>
    </w:tblStylePr>
    <w:tblStylePr w:type="lastRow">
      <w:rPr>
        <w:b/>
        <w:bCs/>
        <w:color w:val="000000" w:themeColor="text1"/>
        <w14:textFill>
          <w14:solidFill>
            <w14:schemeClr w14:val="tx1"/>
          </w14:solidFill>
        </w14:textFill>
      </w:rPr>
      <w:tblPr/>
      <w:tcPr>
        <w:shd w:val="clear" w:color="auto" w:fill="BDD6EE" w:themeFill="accent1" w:themeFillTint="66"/>
      </w:tcPr>
    </w:tblStylePr>
    <w:tblStylePr w:type="firstCol">
      <w:rPr>
        <w:color w:val="FFFFFF" w:themeColor="background1"/>
        <w14:textFill>
          <w14:solidFill>
            <w14:schemeClr w14:val="bg1"/>
          </w14:solidFill>
        </w14:textFill>
      </w:rPr>
      <w:tblPr/>
      <w:tcPr>
        <w:shd w:val="clear" w:color="auto" w:fill="2E75B5" w:themeFill="accent1" w:themeFillShade="BF"/>
      </w:tcPr>
    </w:tblStylePr>
    <w:tblStylePr w:type="lastCol">
      <w:rPr>
        <w:color w:val="FFFFFF" w:themeColor="background1"/>
        <w14:textFill>
          <w14:solidFill>
            <w14:schemeClr w14:val="bg1"/>
          </w14:solidFill>
        </w14:textFill>
      </w:rPr>
      <w:tblPr/>
      <w:tcPr>
        <w:shd w:val="clear" w:color="auto" w:fill="2E75B5" w:themeFill="accent1" w:themeFillShade="BF"/>
      </w:tcPr>
    </w:tblStylePr>
    <w:tblStylePr w:type="band1Vert">
      <w:tblPr/>
      <w:tcPr>
        <w:shd w:val="clear" w:color="auto" w:fill="ADCDEA" w:themeFill="accent1" w:themeFillTint="7F"/>
      </w:tcPr>
    </w:tblStylePr>
    <w:tblStylePr w:type="band1Horz">
      <w:tblPr/>
      <w:tcPr>
        <w:shd w:val="clear" w:color="auto" w:fill="ADCDEA" w:themeFill="accent1" w:themeFillTint="7F"/>
      </w:tcPr>
    </w:tblStylePr>
  </w:style>
  <w:style w:type="table" w:styleId="226">
    <w:name w:val="Colorful Grid Accent 2"/>
    <w:basedOn w:val="88"/>
    <w:semiHidden/>
    <w:unhideWhenUsed/>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14:textFill>
          <w14:solidFill>
            <w14:schemeClr w14:val="tx1"/>
          </w14:solidFill>
        </w14:textFill>
      </w:rPr>
      <w:tblPr/>
      <w:tcPr>
        <w:shd w:val="clear" w:color="auto" w:fill="F7CAAC" w:themeFill="accent2" w:themeFillTint="66"/>
      </w:tcPr>
    </w:tblStylePr>
    <w:tblStylePr w:type="firstCol">
      <w:rPr>
        <w:color w:val="FFFFFF" w:themeColor="background1"/>
        <w14:textFill>
          <w14:solidFill>
            <w14:schemeClr w14:val="bg1"/>
          </w14:solidFill>
        </w14:textFill>
      </w:rPr>
      <w:tblPr/>
      <w:tcPr>
        <w:shd w:val="clear" w:color="auto" w:fill="C55911" w:themeFill="accent2" w:themeFillShade="BF"/>
      </w:tcPr>
    </w:tblStylePr>
    <w:tblStylePr w:type="lastCol">
      <w:rPr>
        <w:color w:val="FFFFFF" w:themeColor="background1"/>
        <w14:textFill>
          <w14:solidFill>
            <w14:schemeClr w14:val="bg1"/>
          </w14:solidFill>
        </w14:textFill>
      </w:rPr>
      <w:tblPr/>
      <w:tcPr>
        <w:shd w:val="clear" w:color="auto" w:fill="C5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227">
    <w:name w:val="Colorful Grid Accent 3"/>
    <w:basedOn w:val="88"/>
    <w:semiHidden/>
    <w:unhideWhenUsed/>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ECECEC" w:themeFill="accent3" w:themeFillTint="33"/>
    </w:tcPr>
    <w:tblStylePr w:type="firstRow">
      <w:rPr>
        <w:b/>
        <w:bCs/>
      </w:rPr>
      <w:tblPr/>
      <w:tcPr>
        <w:shd w:val="clear" w:color="auto" w:fill="DADADA" w:themeFill="accent3" w:themeFillTint="66"/>
      </w:tcPr>
    </w:tblStylePr>
    <w:tblStylePr w:type="lastRow">
      <w:rPr>
        <w:b/>
        <w:bCs/>
        <w:color w:val="000000" w:themeColor="text1"/>
        <w14:textFill>
          <w14:solidFill>
            <w14:schemeClr w14:val="tx1"/>
          </w14:solidFill>
        </w14:textFill>
      </w:rPr>
      <w:tblPr/>
      <w:tcPr>
        <w:shd w:val="clear" w:color="auto" w:fill="DADADA" w:themeFill="accent3" w:themeFillTint="66"/>
      </w:tcPr>
    </w:tblStylePr>
    <w:tblStylePr w:type="firstCol">
      <w:rPr>
        <w:color w:val="FFFFFF" w:themeColor="background1"/>
        <w14:textFill>
          <w14:solidFill>
            <w14:schemeClr w14:val="bg1"/>
          </w14:solidFill>
        </w14:textFill>
      </w:rPr>
      <w:tblPr/>
      <w:tcPr>
        <w:shd w:val="clear" w:color="auto" w:fill="7B7B7B" w:themeFill="accent3" w:themeFillShade="BF"/>
      </w:tcPr>
    </w:tblStylePr>
    <w:tblStylePr w:type="lastCol">
      <w:rPr>
        <w:color w:val="FFFFFF" w:themeColor="background1"/>
        <w14:textFill>
          <w14:solidFill>
            <w14:schemeClr w14:val="bg1"/>
          </w14:solidFill>
        </w14:textFill>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228">
    <w:name w:val="Colorful Grid Accent 4"/>
    <w:basedOn w:val="88"/>
    <w:semiHidden/>
    <w:unhideWhenUsed/>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FEF2CC" w:themeFill="accent4" w:themeFillTint="33"/>
    </w:tcPr>
    <w:tblStylePr w:type="firstRow">
      <w:rPr>
        <w:b/>
        <w:bCs/>
      </w:rPr>
      <w:tblPr/>
      <w:tcPr>
        <w:shd w:val="clear" w:color="auto" w:fill="FFE599" w:themeFill="accent4" w:themeFillTint="66"/>
      </w:tcPr>
    </w:tblStylePr>
    <w:tblStylePr w:type="lastRow">
      <w:rPr>
        <w:b/>
        <w:bCs/>
        <w:color w:val="000000" w:themeColor="text1"/>
        <w14:textFill>
          <w14:solidFill>
            <w14:schemeClr w14:val="tx1"/>
          </w14:solidFill>
        </w14:textFill>
      </w:rPr>
      <w:tblPr/>
      <w:tcPr>
        <w:shd w:val="clear" w:color="auto" w:fill="FFE599" w:themeFill="accent4" w:themeFillTint="66"/>
      </w:tcPr>
    </w:tblStylePr>
    <w:tblStylePr w:type="firstCol">
      <w:rPr>
        <w:color w:val="FFFFFF" w:themeColor="background1"/>
        <w14:textFill>
          <w14:solidFill>
            <w14:schemeClr w14:val="bg1"/>
          </w14:solidFill>
        </w14:textFill>
      </w:rPr>
      <w:tblPr/>
      <w:tcPr>
        <w:shd w:val="clear" w:color="auto" w:fill="BE8F00" w:themeFill="accent4" w:themeFillShade="BF"/>
      </w:tcPr>
    </w:tblStylePr>
    <w:tblStylePr w:type="lastCol">
      <w:rPr>
        <w:color w:val="FFFFFF" w:themeColor="background1"/>
        <w14:textFill>
          <w14:solidFill>
            <w14:schemeClr w14:val="bg1"/>
          </w14:solidFill>
        </w14:textFill>
      </w:rPr>
      <w:tblPr/>
      <w:tcPr>
        <w:shd w:val="clear" w:color="auto" w:fill="BE8F00" w:themeFill="accent4" w:themeFillShade="BF"/>
      </w:tcPr>
    </w:tblStylePr>
    <w:tblStylePr w:type="band1Vert">
      <w:tblPr/>
      <w:tcPr>
        <w:shd w:val="clear" w:color="auto" w:fill="FFDF7F" w:themeFill="accent4" w:themeFillTint="7F"/>
      </w:tcPr>
    </w:tblStylePr>
    <w:tblStylePr w:type="band1Horz">
      <w:tblPr/>
      <w:tcPr>
        <w:shd w:val="clear" w:color="auto" w:fill="FFDF7F" w:themeFill="accent4" w:themeFillTint="7F"/>
      </w:tcPr>
    </w:tblStylePr>
  </w:style>
  <w:style w:type="table" w:styleId="229">
    <w:name w:val="Colorful Grid Accent 5"/>
    <w:basedOn w:val="88"/>
    <w:semiHidden/>
    <w:unhideWhenUsed/>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D9E2F3" w:themeFill="accent5" w:themeFillTint="33"/>
    </w:tcPr>
    <w:tblStylePr w:type="firstRow">
      <w:rPr>
        <w:b/>
        <w:bCs/>
      </w:rPr>
      <w:tblPr/>
      <w:tcPr>
        <w:shd w:val="clear" w:color="auto" w:fill="B4C6E7" w:themeFill="accent5" w:themeFillTint="66"/>
      </w:tcPr>
    </w:tblStylePr>
    <w:tblStylePr w:type="lastRow">
      <w:rPr>
        <w:b/>
        <w:bCs/>
        <w:color w:val="000000" w:themeColor="text1"/>
        <w14:textFill>
          <w14:solidFill>
            <w14:schemeClr w14:val="tx1"/>
          </w14:solidFill>
        </w14:textFill>
      </w:rPr>
      <w:tblPr/>
      <w:tcPr>
        <w:shd w:val="clear" w:color="auto" w:fill="B4C6E7" w:themeFill="accent5" w:themeFillTint="66"/>
      </w:tcPr>
    </w:tblStylePr>
    <w:tblStylePr w:type="firstCol">
      <w:rPr>
        <w:color w:val="FFFFFF" w:themeColor="background1"/>
        <w14:textFill>
          <w14:solidFill>
            <w14:schemeClr w14:val="bg1"/>
          </w14:solidFill>
        </w14:textFill>
      </w:rPr>
      <w:tblPr/>
      <w:tcPr>
        <w:shd w:val="clear" w:color="auto" w:fill="2F5496" w:themeFill="accent5" w:themeFillShade="BF"/>
      </w:tcPr>
    </w:tblStylePr>
    <w:tblStylePr w:type="lastCol">
      <w:rPr>
        <w:color w:val="FFFFFF" w:themeColor="background1"/>
        <w14:textFill>
          <w14:solidFill>
            <w14:schemeClr w14:val="bg1"/>
          </w14:solidFill>
        </w14:textFill>
      </w:rPr>
      <w:tblPr/>
      <w:tcPr>
        <w:shd w:val="clear" w:color="auto" w:fill="2F5496" w:themeFill="accent5" w:themeFillShade="BF"/>
      </w:tc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230">
    <w:name w:val="Colorful Grid Accent 6"/>
    <w:basedOn w:val="88"/>
    <w:semiHidden/>
    <w:unhideWhenUsed/>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14:textFill>
          <w14:solidFill>
            <w14:schemeClr w14:val="tx1"/>
          </w14:solidFill>
        </w14:textFill>
      </w:rPr>
      <w:tblPr/>
      <w:tcPr>
        <w:shd w:val="clear" w:color="auto" w:fill="C5E0B3" w:themeFill="accent6" w:themeFillTint="66"/>
      </w:tcPr>
    </w:tblStylePr>
    <w:tblStylePr w:type="firstCol">
      <w:rPr>
        <w:color w:val="FFFFFF" w:themeColor="background1"/>
        <w14:textFill>
          <w14:solidFill>
            <w14:schemeClr w14:val="bg1"/>
          </w14:solidFill>
        </w14:textFill>
      </w:rPr>
      <w:tblPr/>
      <w:tcPr>
        <w:shd w:val="clear" w:color="auto" w:fill="538135" w:themeFill="accent6" w:themeFillShade="BF"/>
      </w:tcPr>
    </w:tblStylePr>
    <w:tblStylePr w:type="lastCol">
      <w:rPr>
        <w:color w:val="FFFFFF" w:themeColor="background1"/>
        <w14:textFill>
          <w14:solidFill>
            <w14:schemeClr w14:val="bg1"/>
          </w14:solidFill>
        </w14:textFill>
      </w:rPr>
      <w:tblPr/>
      <w:tcPr>
        <w:shd w:val="clear" w:color="auto" w:fill="538135" w:themeFill="accent6" w:themeFillShade="BF"/>
      </w:tcPr>
    </w:tblStylePr>
    <w:tblStylePr w:type="band1Vert">
      <w:tblPr/>
      <w:tcPr>
        <w:shd w:val="clear" w:color="auto" w:fill="B7D8A1" w:themeFill="accent6" w:themeFillTint="7F"/>
      </w:tcPr>
    </w:tblStylePr>
    <w:tblStylePr w:type="band1Horz">
      <w:tblPr/>
      <w:tcPr>
        <w:shd w:val="clear" w:color="auto" w:fill="B7D8A1" w:themeFill="accent6" w:themeFillTint="7F"/>
      </w:tcPr>
    </w:tblStylePr>
  </w:style>
  <w:style w:type="character" w:styleId="232">
    <w:name w:val="Strong"/>
    <w:basedOn w:val="231"/>
    <w:qFormat/>
    <w:uiPriority w:val="22"/>
    <w:rPr>
      <w:b/>
      <w:bCs/>
    </w:rPr>
  </w:style>
  <w:style w:type="character" w:styleId="233">
    <w:name w:val="endnote reference"/>
    <w:basedOn w:val="231"/>
    <w:semiHidden/>
    <w:unhideWhenUsed/>
    <w:qFormat/>
    <w:uiPriority w:val="99"/>
    <w:rPr>
      <w:vertAlign w:val="superscript"/>
    </w:rPr>
  </w:style>
  <w:style w:type="character" w:styleId="234">
    <w:name w:val="page number"/>
    <w:basedOn w:val="231"/>
    <w:semiHidden/>
    <w:qFormat/>
    <w:uiPriority w:val="0"/>
    <w:rPr>
      <w:rFonts w:ascii="Times New Roman" w:hAnsi="Times New Roman" w:eastAsia="宋体"/>
      <w:sz w:val="18"/>
    </w:rPr>
  </w:style>
  <w:style w:type="character" w:styleId="235">
    <w:name w:val="FollowedHyperlink"/>
    <w:basedOn w:val="231"/>
    <w:semiHidden/>
    <w:unhideWhenUsed/>
    <w:qFormat/>
    <w:uiPriority w:val="99"/>
    <w:rPr>
      <w:color w:val="954F72" w:themeColor="followedHyperlink"/>
      <w:u w:val="single"/>
      <w14:textFill>
        <w14:solidFill>
          <w14:schemeClr w14:val="folHlink"/>
        </w14:solidFill>
      </w14:textFill>
    </w:rPr>
  </w:style>
  <w:style w:type="character" w:styleId="236">
    <w:name w:val="Emphasis"/>
    <w:basedOn w:val="231"/>
    <w:qFormat/>
    <w:uiPriority w:val="20"/>
    <w:rPr>
      <w:i/>
      <w:iCs/>
    </w:rPr>
  </w:style>
  <w:style w:type="character" w:styleId="237">
    <w:name w:val="line number"/>
    <w:basedOn w:val="231"/>
    <w:semiHidden/>
    <w:unhideWhenUsed/>
    <w:qFormat/>
    <w:uiPriority w:val="99"/>
  </w:style>
  <w:style w:type="character" w:styleId="238">
    <w:name w:val="HTML Definition"/>
    <w:basedOn w:val="231"/>
    <w:semiHidden/>
    <w:qFormat/>
    <w:uiPriority w:val="0"/>
    <w:rPr>
      <w:i/>
      <w:iCs/>
    </w:rPr>
  </w:style>
  <w:style w:type="character" w:styleId="239">
    <w:name w:val="HTML Typewriter"/>
    <w:basedOn w:val="231"/>
    <w:semiHidden/>
    <w:qFormat/>
    <w:uiPriority w:val="0"/>
    <w:rPr>
      <w:rFonts w:ascii="Courier New" w:hAnsi="Courier New"/>
      <w:sz w:val="20"/>
      <w:szCs w:val="20"/>
    </w:rPr>
  </w:style>
  <w:style w:type="character" w:styleId="240">
    <w:name w:val="HTML Acronym"/>
    <w:basedOn w:val="231"/>
    <w:semiHidden/>
    <w:qFormat/>
    <w:uiPriority w:val="0"/>
  </w:style>
  <w:style w:type="character" w:styleId="241">
    <w:name w:val="HTML Variable"/>
    <w:basedOn w:val="231"/>
    <w:semiHidden/>
    <w:qFormat/>
    <w:uiPriority w:val="0"/>
    <w:rPr>
      <w:i/>
      <w:iCs/>
    </w:rPr>
  </w:style>
  <w:style w:type="character" w:styleId="242">
    <w:name w:val="Hyperlink"/>
    <w:qFormat/>
    <w:uiPriority w:val="99"/>
    <w:rPr>
      <w:rFonts w:ascii="Times New Roman" w:hAnsi="Times New Roman" w:eastAsia="宋体"/>
      <w:color w:val="auto"/>
      <w:spacing w:val="0"/>
      <w:w w:val="100"/>
      <w:position w:val="0"/>
      <w:sz w:val="21"/>
      <w:u w:val="none"/>
      <w:vertAlign w:val="baseline"/>
    </w:rPr>
  </w:style>
  <w:style w:type="character" w:styleId="243">
    <w:name w:val="HTML Code"/>
    <w:basedOn w:val="231"/>
    <w:semiHidden/>
    <w:qFormat/>
    <w:uiPriority w:val="0"/>
    <w:rPr>
      <w:rFonts w:ascii="Courier New" w:hAnsi="Courier New"/>
      <w:sz w:val="20"/>
      <w:szCs w:val="20"/>
    </w:rPr>
  </w:style>
  <w:style w:type="character" w:styleId="244">
    <w:name w:val="annotation reference"/>
    <w:basedOn w:val="231"/>
    <w:semiHidden/>
    <w:unhideWhenUsed/>
    <w:qFormat/>
    <w:uiPriority w:val="99"/>
    <w:rPr>
      <w:sz w:val="21"/>
      <w:szCs w:val="21"/>
    </w:rPr>
  </w:style>
  <w:style w:type="character" w:styleId="245">
    <w:name w:val="HTML Cite"/>
    <w:basedOn w:val="231"/>
    <w:semiHidden/>
    <w:qFormat/>
    <w:uiPriority w:val="0"/>
    <w:rPr>
      <w:i/>
      <w:iCs/>
    </w:rPr>
  </w:style>
  <w:style w:type="character" w:styleId="246">
    <w:name w:val="footnote reference"/>
    <w:basedOn w:val="231"/>
    <w:semiHidden/>
    <w:qFormat/>
    <w:uiPriority w:val="0"/>
    <w:rPr>
      <w:vertAlign w:val="superscript"/>
    </w:rPr>
  </w:style>
  <w:style w:type="character" w:styleId="247">
    <w:name w:val="HTML Keyboard"/>
    <w:basedOn w:val="231"/>
    <w:semiHidden/>
    <w:qFormat/>
    <w:uiPriority w:val="0"/>
    <w:rPr>
      <w:rFonts w:ascii="Courier New" w:hAnsi="Courier New"/>
      <w:sz w:val="20"/>
      <w:szCs w:val="20"/>
    </w:rPr>
  </w:style>
  <w:style w:type="character" w:styleId="248">
    <w:name w:val="HTML Sample"/>
    <w:basedOn w:val="231"/>
    <w:semiHidden/>
    <w:qFormat/>
    <w:uiPriority w:val="0"/>
    <w:rPr>
      <w:rFonts w:ascii="Courier New" w:hAnsi="Courier New"/>
    </w:rPr>
  </w:style>
  <w:style w:type="paragraph" w:customStyle="1" w:styleId="249">
    <w:name w:val="标准标志HB"/>
    <w:next w:val="1"/>
    <w:qFormat/>
    <w:uiPriority w:val="0"/>
    <w:pPr>
      <w:shd w:val="solid" w:color="FFFFFF" w:fill="FFFFFF"/>
      <w:spacing w:line="0" w:lineRule="atLeast"/>
      <w:jc w:val="right"/>
    </w:pPr>
    <w:rPr>
      <w:rFonts w:ascii="Britannic Bold" w:hAnsi="Britannic Bold" w:eastAsia="Britannic Bold" w:cs="Times New Roman"/>
      <w:b/>
      <w:w w:val="110"/>
      <w:kern w:val="2"/>
      <w:sz w:val="160"/>
      <w:lang w:val="en-US" w:eastAsia="zh-CN" w:bidi="ar-SA"/>
    </w:rPr>
  </w:style>
  <w:style w:type="paragraph" w:customStyle="1" w:styleId="250">
    <w:name w:val="标准称谓GB"/>
    <w:next w:val="1"/>
    <w:qFormat/>
    <w:uiPriority w:val="0"/>
    <w:pPr>
      <w:widowControl w:val="0"/>
      <w:kinsoku w:val="0"/>
      <w:overflowPunct w:val="0"/>
      <w:autoSpaceDE w:val="0"/>
      <w:autoSpaceDN w:val="0"/>
      <w:spacing w:line="0" w:lineRule="atLeast"/>
      <w:jc w:val="distribute"/>
    </w:pPr>
    <w:rPr>
      <w:rFonts w:ascii="宋体" w:hAnsi="Times New Roman" w:cs="Times New Roman" w:eastAsiaTheme="minorEastAsia"/>
      <w:b/>
      <w:bCs/>
      <w:w w:val="135"/>
      <w:sz w:val="52"/>
      <w:lang w:val="en-US" w:eastAsia="zh-CN" w:bidi="ar-SA"/>
    </w:rPr>
  </w:style>
  <w:style w:type="paragraph" w:customStyle="1" w:styleId="251">
    <w:name w:val="标准书脚_偶数页"/>
    <w:qFormat/>
    <w:uiPriority w:val="0"/>
    <w:pPr>
      <w:spacing w:before="120"/>
    </w:pPr>
    <w:rPr>
      <w:rFonts w:ascii="Times New Roman" w:hAnsi="Times New Roman" w:eastAsia="宋体" w:cs="Times New Roman"/>
      <w:sz w:val="18"/>
      <w:lang w:val="en-US" w:eastAsia="zh-CN" w:bidi="ar-SA"/>
    </w:rPr>
  </w:style>
  <w:style w:type="paragraph" w:customStyle="1" w:styleId="252">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253">
    <w:name w:val="标准书眉_奇数页"/>
    <w:next w:val="1"/>
    <w:qFormat/>
    <w:uiPriority w:val="0"/>
    <w:pPr>
      <w:tabs>
        <w:tab w:val="center" w:pos="4154"/>
        <w:tab w:val="right" w:pos="8306"/>
      </w:tabs>
      <w:spacing w:after="120"/>
      <w:jc w:val="right"/>
    </w:pPr>
    <w:rPr>
      <w:rFonts w:ascii="黑体" w:hAnsi="Times New Roman" w:eastAsia="黑体" w:cs="Times New Roman"/>
      <w:sz w:val="21"/>
      <w:lang w:val="en-US" w:eastAsia="zh-CN" w:bidi="ar-SA"/>
    </w:rPr>
  </w:style>
  <w:style w:type="paragraph" w:customStyle="1" w:styleId="254">
    <w:name w:val="标准书眉_偶数页"/>
    <w:basedOn w:val="253"/>
    <w:next w:val="1"/>
    <w:qFormat/>
    <w:uiPriority w:val="0"/>
    <w:pPr>
      <w:jc w:val="left"/>
    </w:pPr>
  </w:style>
  <w:style w:type="paragraph" w:customStyle="1" w:styleId="255">
    <w:name w:val="标准书眉一"/>
    <w:qFormat/>
    <w:uiPriority w:val="0"/>
    <w:pPr>
      <w:jc w:val="both"/>
    </w:pPr>
    <w:rPr>
      <w:rFonts w:ascii="Times New Roman" w:hAnsi="Times New Roman" w:eastAsia="宋体" w:cs="Times New Roman"/>
      <w:lang w:val="en-US" w:eastAsia="zh-CN" w:bidi="ar-SA"/>
    </w:rPr>
  </w:style>
  <w:style w:type="paragraph" w:customStyle="1" w:styleId="256">
    <w:name w:val="前言、引言标题"/>
    <w:next w:val="1"/>
    <w:qFormat/>
    <w:uiPriority w:val="0"/>
    <w:p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257">
    <w:name w:val="参考文献、索引标题"/>
    <w:basedOn w:val="256"/>
    <w:next w:val="1"/>
    <w:qFormat/>
    <w:uiPriority w:val="0"/>
    <w:pPr>
      <w:spacing w:after="200"/>
    </w:pPr>
    <w:rPr>
      <w:sz w:val="21"/>
    </w:rPr>
  </w:style>
  <w:style w:type="paragraph" w:customStyle="1" w:styleId="258">
    <w:name w:val="段"/>
    <w:qFormat/>
    <w:uiPriority w:val="0"/>
    <w:pPr>
      <w:ind w:firstLine="200" w:firstLineChars="200"/>
      <w:jc w:val="both"/>
    </w:pPr>
    <w:rPr>
      <w:rFonts w:ascii="宋体" w:hAnsi="Times New Roman" w:eastAsia="宋体" w:cs="Times New Roman"/>
      <w:sz w:val="21"/>
      <w:lang w:val="en-US" w:eastAsia="zh-CN" w:bidi="ar-SA"/>
    </w:rPr>
  </w:style>
  <w:style w:type="paragraph" w:customStyle="1" w:styleId="259">
    <w:name w:val="章标题"/>
    <w:next w:val="258"/>
    <w:qFormat/>
    <w:uiPriority w:val="0"/>
    <w:pPr>
      <w:numPr>
        <w:ilvl w:val="0"/>
        <w:numId w:val="11"/>
      </w:num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260">
    <w:name w:val="一级条标题"/>
    <w:next w:val="258"/>
    <w:qFormat/>
    <w:uiPriority w:val="0"/>
    <w:pPr>
      <w:numPr>
        <w:ilvl w:val="1"/>
        <w:numId w:val="11"/>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261">
    <w:name w:val="二级条标题"/>
    <w:basedOn w:val="260"/>
    <w:next w:val="258"/>
    <w:qFormat/>
    <w:uiPriority w:val="0"/>
    <w:pPr>
      <w:numPr>
        <w:ilvl w:val="2"/>
      </w:numPr>
      <w:spacing w:before="50" w:after="50"/>
      <w:outlineLvl w:val="3"/>
    </w:pPr>
  </w:style>
  <w:style w:type="character" w:customStyle="1" w:styleId="262">
    <w:name w:val="发布_1"/>
    <w:basedOn w:val="231"/>
    <w:qFormat/>
    <w:uiPriority w:val="0"/>
    <w:rPr>
      <w:rFonts w:ascii="黑体" w:eastAsia="黑体"/>
      <w:spacing w:val="22"/>
      <w:w w:val="100"/>
      <w:position w:val="3"/>
      <w:sz w:val="28"/>
    </w:rPr>
  </w:style>
  <w:style w:type="paragraph" w:customStyle="1" w:styleId="263">
    <w:name w:val="发布部门GB"/>
    <w:next w:val="258"/>
    <w:qFormat/>
    <w:uiPriority w:val="0"/>
    <w:pPr>
      <w:spacing w:line="360" w:lineRule="exact"/>
      <w:jc w:val="center"/>
    </w:pPr>
    <w:rPr>
      <w:rFonts w:ascii="宋体" w:hAnsi="Times New Roman" w:eastAsia="宋体" w:cs="Times New Roman"/>
      <w:b/>
      <w:sz w:val="36"/>
      <w:lang w:val="en-US" w:eastAsia="zh-CN" w:bidi="ar-SA"/>
    </w:rPr>
  </w:style>
  <w:style w:type="paragraph" w:customStyle="1" w:styleId="264">
    <w:name w:val="发布日期"/>
    <w:qFormat/>
    <w:uiPriority w:val="0"/>
    <w:rPr>
      <w:rFonts w:ascii="黑体" w:hAnsi="黑体" w:eastAsia="黑体" w:cs="Times New Roman"/>
      <w:sz w:val="28"/>
      <w:lang w:val="en-US" w:eastAsia="zh-CN" w:bidi="ar-SA"/>
    </w:rPr>
  </w:style>
  <w:style w:type="paragraph" w:customStyle="1" w:styleId="265">
    <w:name w:val="封面标准号1"/>
    <w:qFormat/>
    <w:uiPriority w:val="0"/>
    <w:pPr>
      <w:widowControl w:val="0"/>
      <w:kinsoku w:val="0"/>
      <w:overflowPunct w:val="0"/>
      <w:autoSpaceDE w:val="0"/>
      <w:autoSpaceDN w:val="0"/>
      <w:spacing w:line="360" w:lineRule="exact"/>
      <w:jc w:val="right"/>
      <w:textAlignment w:val="center"/>
    </w:pPr>
    <w:rPr>
      <w:rFonts w:ascii="黑体" w:hAnsi="Times New Roman" w:eastAsia="黑体" w:cs="Times New Roman"/>
      <w:sz w:val="28"/>
      <w:lang w:val="en-US" w:eastAsia="zh-CN" w:bidi="ar-SA"/>
    </w:rPr>
  </w:style>
  <w:style w:type="paragraph" w:customStyle="1" w:styleId="266">
    <w:name w:val="封面标准号2"/>
    <w:basedOn w:val="265"/>
    <w:qFormat/>
    <w:uiPriority w:val="0"/>
    <w:pPr>
      <w:adjustRightInd w:val="0"/>
      <w:spacing w:before="357" w:line="280" w:lineRule="exact"/>
    </w:pPr>
  </w:style>
  <w:style w:type="paragraph" w:customStyle="1" w:styleId="267">
    <w:name w:val="封面标准代替信息"/>
    <w:basedOn w:val="266"/>
    <w:qFormat/>
    <w:uiPriority w:val="0"/>
    <w:pPr>
      <w:spacing w:before="0" w:line="360" w:lineRule="exact"/>
    </w:pPr>
    <w:rPr>
      <w:rFonts w:hAnsi="黑体"/>
      <w:sz w:val="21"/>
    </w:rPr>
  </w:style>
  <w:style w:type="paragraph" w:customStyle="1" w:styleId="268">
    <w:name w:val="封面标准名称"/>
    <w:qFormat/>
    <w:uiPriority w:val="0"/>
    <w:pPr>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269">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270">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271">
    <w:name w:val="封面标准英文名称"/>
    <w:qFormat/>
    <w:uiPriority w:val="0"/>
    <w:pPr>
      <w:widowControl w:val="0"/>
      <w:spacing w:before="330" w:line="400" w:lineRule="exact"/>
      <w:jc w:val="center"/>
    </w:pPr>
    <w:rPr>
      <w:rFonts w:ascii="黑体" w:hAnsi="Times New Roman" w:eastAsia="黑体" w:cs="Times New Roman"/>
      <w:sz w:val="28"/>
      <w:lang w:val="en-US" w:eastAsia="zh-CN" w:bidi="ar-SA"/>
    </w:rPr>
  </w:style>
  <w:style w:type="paragraph" w:customStyle="1" w:styleId="272">
    <w:name w:val="封面一致性程度标识"/>
    <w:qFormat/>
    <w:uiPriority w:val="0"/>
    <w:pPr>
      <w:spacing w:before="680" w:line="400" w:lineRule="exact"/>
      <w:jc w:val="center"/>
    </w:pPr>
    <w:rPr>
      <w:rFonts w:ascii="黑体" w:hAnsi="黑体" w:eastAsia="黑体" w:cs="Times New Roman"/>
      <w:sz w:val="28"/>
      <w:lang w:val="en-US" w:eastAsia="zh-CN" w:bidi="ar-SA"/>
    </w:rPr>
  </w:style>
  <w:style w:type="paragraph" w:customStyle="1" w:styleId="273">
    <w:name w:val="封面正文"/>
    <w:qFormat/>
    <w:uiPriority w:val="0"/>
    <w:pPr>
      <w:jc w:val="both"/>
    </w:pPr>
    <w:rPr>
      <w:rFonts w:ascii="Times New Roman" w:hAnsi="Times New Roman" w:eastAsia="宋体" w:cs="Times New Roman"/>
      <w:lang w:val="en-US" w:eastAsia="zh-CN" w:bidi="ar-SA"/>
    </w:rPr>
  </w:style>
  <w:style w:type="paragraph" w:customStyle="1" w:styleId="274">
    <w:name w:val="附录标识"/>
    <w:basedOn w:val="1"/>
    <w:next w:val="258"/>
    <w:qFormat/>
    <w:uiPriority w:val="0"/>
    <w:pPr>
      <w:keepNext/>
      <w:widowControl/>
      <w:numPr>
        <w:ilvl w:val="0"/>
        <w:numId w:val="12"/>
      </w:numPr>
      <w:shd w:val="clear" w:color="FFFFFF" w:fill="FFFFFF"/>
      <w:tabs>
        <w:tab w:val="left" w:pos="6405"/>
      </w:tabs>
      <w:spacing w:before="640" w:after="280"/>
      <w:jc w:val="center"/>
      <w:outlineLvl w:val="0"/>
    </w:pPr>
    <w:rPr>
      <w:rFonts w:ascii="黑体" w:eastAsia="黑体"/>
      <w:kern w:val="0"/>
      <w:szCs w:val="20"/>
    </w:rPr>
  </w:style>
  <w:style w:type="paragraph" w:customStyle="1" w:styleId="275">
    <w:name w:val="附录表标题"/>
    <w:basedOn w:val="1"/>
    <w:next w:val="1"/>
    <w:qFormat/>
    <w:uiPriority w:val="0"/>
    <w:pPr>
      <w:numPr>
        <w:ilvl w:val="1"/>
        <w:numId w:val="13"/>
      </w:numPr>
      <w:spacing w:before="50" w:beforeLines="50" w:after="50" w:afterLines="50"/>
      <w:jc w:val="center"/>
    </w:pPr>
    <w:rPr>
      <w:rFonts w:ascii="黑体" w:eastAsia="黑体"/>
      <w:szCs w:val="21"/>
    </w:rPr>
  </w:style>
  <w:style w:type="paragraph" w:customStyle="1" w:styleId="276">
    <w:name w:val="附录章标题"/>
    <w:next w:val="258"/>
    <w:qFormat/>
    <w:uiPriority w:val="0"/>
    <w:pPr>
      <w:numPr>
        <w:ilvl w:val="1"/>
        <w:numId w:val="12"/>
      </w:numPr>
      <w:wordWrap w:val="0"/>
      <w:overflowPunct w:val="0"/>
      <w:autoSpaceDE w:val="0"/>
      <w:spacing w:before="50" w:beforeLines="50" w:after="50" w:afterLines="50"/>
      <w:jc w:val="both"/>
      <w:textAlignment w:val="baseline"/>
      <w:outlineLvl w:val="2"/>
    </w:pPr>
    <w:rPr>
      <w:rFonts w:ascii="黑体" w:hAnsi="Times New Roman" w:eastAsia="黑体" w:cs="Times New Roman"/>
      <w:kern w:val="21"/>
      <w:sz w:val="21"/>
      <w:lang w:val="en-US" w:eastAsia="zh-CN" w:bidi="ar-SA"/>
    </w:rPr>
  </w:style>
  <w:style w:type="paragraph" w:customStyle="1" w:styleId="277">
    <w:name w:val="附录一级条标题"/>
    <w:basedOn w:val="276"/>
    <w:next w:val="258"/>
    <w:qFormat/>
    <w:uiPriority w:val="0"/>
    <w:pPr>
      <w:numPr>
        <w:ilvl w:val="2"/>
      </w:numPr>
      <w:autoSpaceDN w:val="0"/>
      <w:outlineLvl w:val="3"/>
    </w:pPr>
  </w:style>
  <w:style w:type="paragraph" w:customStyle="1" w:styleId="278">
    <w:name w:val="附录二级条标题"/>
    <w:basedOn w:val="1"/>
    <w:next w:val="258"/>
    <w:qFormat/>
    <w:uiPriority w:val="0"/>
    <w:pPr>
      <w:widowControl/>
      <w:numPr>
        <w:ilvl w:val="3"/>
        <w:numId w:val="12"/>
      </w:numPr>
      <w:wordWrap w:val="0"/>
      <w:overflowPunct w:val="0"/>
      <w:autoSpaceDE w:val="0"/>
      <w:autoSpaceDN w:val="0"/>
      <w:spacing w:before="50" w:beforeLines="50" w:after="50" w:afterLines="50"/>
      <w:textAlignment w:val="baseline"/>
      <w:outlineLvl w:val="9"/>
    </w:pPr>
    <w:rPr>
      <w:rFonts w:ascii="黑体" w:eastAsia="黑体"/>
      <w:kern w:val="21"/>
      <w:szCs w:val="20"/>
    </w:rPr>
  </w:style>
  <w:style w:type="paragraph" w:customStyle="1" w:styleId="279">
    <w:name w:val="附录三级条标题"/>
    <w:basedOn w:val="278"/>
    <w:next w:val="258"/>
    <w:qFormat/>
    <w:uiPriority w:val="0"/>
    <w:pPr>
      <w:numPr>
        <w:ilvl w:val="4"/>
      </w:numPr>
      <w:outlineLvl w:val="9"/>
    </w:pPr>
  </w:style>
  <w:style w:type="paragraph" w:customStyle="1" w:styleId="280">
    <w:name w:val="附录四级条标题"/>
    <w:basedOn w:val="279"/>
    <w:next w:val="258"/>
    <w:qFormat/>
    <w:uiPriority w:val="0"/>
    <w:pPr>
      <w:numPr>
        <w:ilvl w:val="5"/>
      </w:numPr>
      <w:outlineLvl w:val="9"/>
    </w:pPr>
  </w:style>
  <w:style w:type="paragraph" w:customStyle="1" w:styleId="281">
    <w:name w:val="附录图标题"/>
    <w:basedOn w:val="1"/>
    <w:next w:val="1"/>
    <w:qFormat/>
    <w:uiPriority w:val="0"/>
    <w:pPr>
      <w:numPr>
        <w:ilvl w:val="1"/>
        <w:numId w:val="14"/>
      </w:numPr>
      <w:spacing w:before="50" w:beforeLines="50" w:after="50" w:afterLines="50"/>
      <w:jc w:val="center"/>
    </w:pPr>
    <w:rPr>
      <w:rFonts w:ascii="黑体" w:eastAsia="黑体"/>
      <w:szCs w:val="21"/>
    </w:rPr>
  </w:style>
  <w:style w:type="paragraph" w:customStyle="1" w:styleId="282">
    <w:name w:val="附录五级条标题"/>
    <w:basedOn w:val="280"/>
    <w:next w:val="258"/>
    <w:qFormat/>
    <w:uiPriority w:val="0"/>
    <w:pPr>
      <w:numPr>
        <w:ilvl w:val="6"/>
      </w:numPr>
      <w:outlineLvl w:val="6"/>
    </w:pPr>
  </w:style>
  <w:style w:type="character" w:customStyle="1" w:styleId="283">
    <w:name w:val="个人答复风格"/>
    <w:basedOn w:val="231"/>
    <w:qFormat/>
    <w:uiPriority w:val="0"/>
    <w:rPr>
      <w:rFonts w:ascii="Arial" w:hAnsi="Arial" w:eastAsia="宋体" w:cs="Arial"/>
      <w:color w:val="auto"/>
      <w:sz w:val="20"/>
    </w:rPr>
  </w:style>
  <w:style w:type="character" w:customStyle="1" w:styleId="284">
    <w:name w:val="个人撰写风格"/>
    <w:basedOn w:val="231"/>
    <w:qFormat/>
    <w:uiPriority w:val="0"/>
    <w:rPr>
      <w:rFonts w:ascii="Arial" w:hAnsi="Arial" w:eastAsia="宋体" w:cs="Arial"/>
      <w:color w:val="auto"/>
      <w:sz w:val="20"/>
    </w:rPr>
  </w:style>
  <w:style w:type="paragraph" w:customStyle="1" w:styleId="285">
    <w:name w:val="列项——"/>
    <w:qFormat/>
    <w:uiPriority w:val="0"/>
    <w:pPr>
      <w:widowControl w:val="0"/>
      <w:numPr>
        <w:ilvl w:val="0"/>
        <w:numId w:val="15"/>
      </w:numPr>
      <w:tabs>
        <w:tab w:val="left" w:pos="854"/>
      </w:tabs>
      <w:jc w:val="both"/>
    </w:pPr>
    <w:rPr>
      <w:rFonts w:ascii="宋体" w:hAnsi="Times New Roman" w:eastAsia="宋体" w:cs="Times New Roman"/>
      <w:sz w:val="21"/>
      <w:lang w:val="en-US" w:eastAsia="zh-CN" w:bidi="ar-SA"/>
    </w:rPr>
  </w:style>
  <w:style w:type="paragraph" w:customStyle="1" w:styleId="286">
    <w:name w:val="目次、标准名称标题"/>
    <w:basedOn w:val="256"/>
    <w:next w:val="258"/>
    <w:qFormat/>
    <w:uiPriority w:val="0"/>
    <w:pPr>
      <w:spacing w:line="460" w:lineRule="exact"/>
      <w:outlineLvl w:val="9"/>
    </w:pPr>
  </w:style>
  <w:style w:type="paragraph" w:customStyle="1" w:styleId="287">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288">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289">
    <w:name w:val="其他发布部门"/>
    <w:basedOn w:val="263"/>
    <w:qFormat/>
    <w:uiPriority w:val="0"/>
    <w:pPr>
      <w:framePr w:wrap="around" w:vAnchor="margin" w:hAnchor="text" w:y="1"/>
      <w:spacing w:line="0" w:lineRule="atLeast"/>
    </w:pPr>
    <w:rPr>
      <w:rFonts w:ascii="黑体" w:eastAsia="黑体"/>
      <w:b w:val="0"/>
    </w:rPr>
  </w:style>
  <w:style w:type="paragraph" w:customStyle="1" w:styleId="290">
    <w:name w:val="三级条标题"/>
    <w:basedOn w:val="261"/>
    <w:next w:val="258"/>
    <w:qFormat/>
    <w:uiPriority w:val="0"/>
    <w:pPr>
      <w:numPr>
        <w:ilvl w:val="3"/>
      </w:numPr>
      <w:outlineLvl w:val="9"/>
    </w:pPr>
  </w:style>
  <w:style w:type="paragraph" w:customStyle="1" w:styleId="291">
    <w:name w:val="实施日期"/>
    <w:basedOn w:val="264"/>
    <w:qFormat/>
    <w:uiPriority w:val="0"/>
    <w:pPr>
      <w:jc w:val="right"/>
    </w:pPr>
  </w:style>
  <w:style w:type="paragraph" w:customStyle="1" w:styleId="292">
    <w:name w:val="示例"/>
    <w:next w:val="293"/>
    <w:qFormat/>
    <w:uiPriority w:val="0"/>
    <w:pPr>
      <w:widowControl w:val="0"/>
      <w:numPr>
        <w:ilvl w:val="0"/>
        <w:numId w:val="16"/>
      </w:numPr>
      <w:jc w:val="both"/>
    </w:pPr>
    <w:rPr>
      <w:rFonts w:ascii="宋体" w:hAnsi="Times New Roman" w:eastAsia="宋体" w:cs="Times New Roman"/>
      <w:sz w:val="18"/>
      <w:szCs w:val="18"/>
      <w:lang w:val="en-US" w:eastAsia="zh-CN" w:bidi="ar-SA"/>
    </w:rPr>
  </w:style>
  <w:style w:type="paragraph" w:customStyle="1" w:styleId="293">
    <w:name w:val="示例段"/>
    <w:basedOn w:val="258"/>
    <w:qFormat/>
    <w:uiPriority w:val="0"/>
    <w:pPr>
      <w:ind w:firstLine="420"/>
    </w:pPr>
    <w:rPr>
      <w:sz w:val="18"/>
    </w:rPr>
  </w:style>
  <w:style w:type="paragraph" w:customStyle="1" w:styleId="294">
    <w:name w:val="数字编号列项（二级）"/>
    <w:qFormat/>
    <w:uiPriority w:val="0"/>
    <w:pPr>
      <w:numPr>
        <w:ilvl w:val="1"/>
        <w:numId w:val="17"/>
      </w:numPr>
      <w:jc w:val="both"/>
    </w:pPr>
    <w:rPr>
      <w:rFonts w:ascii="宋体" w:hAnsi="Times New Roman" w:eastAsia="宋体" w:cs="Times New Roman"/>
      <w:sz w:val="21"/>
      <w:lang w:val="en-US" w:eastAsia="zh-CN" w:bidi="ar-SA"/>
    </w:rPr>
  </w:style>
  <w:style w:type="paragraph" w:customStyle="1" w:styleId="295">
    <w:name w:val="四级条标题"/>
    <w:basedOn w:val="290"/>
    <w:next w:val="258"/>
    <w:qFormat/>
    <w:uiPriority w:val="0"/>
    <w:pPr>
      <w:numPr>
        <w:ilvl w:val="4"/>
      </w:numPr>
      <w:outlineLvl w:val="9"/>
    </w:pPr>
  </w:style>
  <w:style w:type="paragraph" w:customStyle="1" w:styleId="296">
    <w:name w:val="条文脚注"/>
    <w:basedOn w:val="69"/>
    <w:link w:val="331"/>
    <w:qFormat/>
    <w:uiPriority w:val="0"/>
    <w:pPr>
      <w:numPr>
        <w:ilvl w:val="0"/>
        <w:numId w:val="18"/>
      </w:numPr>
      <w:ind w:firstLine="0" w:firstLineChars="0"/>
      <w:jc w:val="both"/>
    </w:pPr>
    <w:rPr>
      <w:rFonts w:ascii="宋体"/>
    </w:rPr>
  </w:style>
  <w:style w:type="paragraph" w:customStyle="1" w:styleId="297">
    <w:name w:val="图表脚注"/>
    <w:next w:val="258"/>
    <w:qFormat/>
    <w:uiPriority w:val="0"/>
    <w:pPr>
      <w:ind w:left="300" w:leftChars="200" w:hanging="100" w:hangingChars="100"/>
      <w:jc w:val="both"/>
    </w:pPr>
    <w:rPr>
      <w:rFonts w:ascii="宋体" w:hAnsi="Times New Roman" w:eastAsia="宋体" w:cs="Times New Roman"/>
      <w:sz w:val="18"/>
      <w:lang w:val="en-US" w:eastAsia="zh-CN" w:bidi="ar-SA"/>
    </w:rPr>
  </w:style>
  <w:style w:type="paragraph" w:customStyle="1" w:styleId="298">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299">
    <w:name w:val="无标题条"/>
    <w:next w:val="258"/>
    <w:qFormat/>
    <w:uiPriority w:val="0"/>
    <w:pPr>
      <w:jc w:val="both"/>
    </w:pPr>
    <w:rPr>
      <w:rFonts w:ascii="Times New Roman" w:hAnsi="Times New Roman" w:eastAsia="宋体" w:cs="Times New Roman"/>
      <w:sz w:val="21"/>
      <w:lang w:val="en-US" w:eastAsia="zh-CN" w:bidi="ar-SA"/>
    </w:rPr>
  </w:style>
  <w:style w:type="paragraph" w:customStyle="1" w:styleId="300">
    <w:name w:val="五级条标题"/>
    <w:basedOn w:val="295"/>
    <w:next w:val="258"/>
    <w:qFormat/>
    <w:uiPriority w:val="0"/>
    <w:pPr>
      <w:numPr>
        <w:ilvl w:val="5"/>
      </w:numPr>
      <w:outlineLvl w:val="9"/>
    </w:pPr>
  </w:style>
  <w:style w:type="paragraph" w:customStyle="1" w:styleId="301">
    <w:name w:val="正文表标题"/>
    <w:next w:val="258"/>
    <w:qFormat/>
    <w:uiPriority w:val="0"/>
    <w:pPr>
      <w:numPr>
        <w:ilvl w:val="1"/>
        <w:numId w:val="19"/>
      </w:numPr>
      <w:tabs>
        <w:tab w:val="left" w:pos="360"/>
      </w:tabs>
      <w:spacing w:before="156" w:beforeLines="50" w:after="156" w:afterLines="50"/>
      <w:jc w:val="center"/>
    </w:pPr>
    <w:rPr>
      <w:rFonts w:ascii="黑体" w:hAnsi="Times New Roman" w:eastAsia="黑体" w:cs="Times New Roman"/>
      <w:sz w:val="21"/>
      <w:szCs w:val="21"/>
      <w:lang w:val="en-US" w:eastAsia="zh-CN" w:bidi="ar-SA"/>
    </w:rPr>
  </w:style>
  <w:style w:type="paragraph" w:customStyle="1" w:styleId="302">
    <w:name w:val="正文图标题"/>
    <w:basedOn w:val="301"/>
    <w:next w:val="258"/>
    <w:qFormat/>
    <w:uiPriority w:val="0"/>
    <w:pPr>
      <w:numPr>
        <w:ilvl w:val="0"/>
        <w:numId w:val="20"/>
      </w:numPr>
      <w:tabs>
        <w:tab w:val="clear" w:pos="360"/>
      </w:tabs>
    </w:pPr>
  </w:style>
  <w:style w:type="paragraph" w:customStyle="1" w:styleId="303">
    <w:name w:val="注："/>
    <w:next w:val="258"/>
    <w:qFormat/>
    <w:uiPriority w:val="0"/>
    <w:pPr>
      <w:widowControl w:val="0"/>
      <w:numPr>
        <w:ilvl w:val="0"/>
        <w:numId w:val="21"/>
      </w:numPr>
      <w:autoSpaceDE w:val="0"/>
      <w:autoSpaceDN w:val="0"/>
      <w:ind w:left="720" w:hanging="357"/>
      <w:jc w:val="both"/>
    </w:pPr>
    <w:rPr>
      <w:rFonts w:ascii="宋体" w:hAnsi="宋体" w:eastAsia="宋体" w:cs="Times New Roman"/>
      <w:sz w:val="18"/>
      <w:szCs w:val="18"/>
      <w:lang w:val="en-US" w:eastAsia="zh-CN" w:bidi="ar-SA"/>
    </w:rPr>
  </w:style>
  <w:style w:type="paragraph" w:customStyle="1" w:styleId="304">
    <w:name w:val="注×："/>
    <w:qFormat/>
    <w:uiPriority w:val="0"/>
    <w:pPr>
      <w:widowControl w:val="0"/>
      <w:numPr>
        <w:ilvl w:val="0"/>
        <w:numId w:val="22"/>
      </w:numPr>
      <w:autoSpaceDE w:val="0"/>
      <w:autoSpaceDN w:val="0"/>
      <w:jc w:val="both"/>
    </w:pPr>
    <w:rPr>
      <w:rFonts w:cs="Times New Roman" w:asciiTheme="minorHAnsi" w:hAnsiTheme="minorHAnsi" w:eastAsiaTheme="minorEastAsia"/>
      <w:sz w:val="18"/>
      <w:szCs w:val="18"/>
      <w:lang w:val="en-US" w:eastAsia="zh-CN" w:bidi="ar-SA"/>
    </w:rPr>
  </w:style>
  <w:style w:type="paragraph" w:customStyle="1" w:styleId="305">
    <w:name w:val="字母编号列项（一级）"/>
    <w:qFormat/>
    <w:uiPriority w:val="0"/>
    <w:pPr>
      <w:numPr>
        <w:ilvl w:val="0"/>
        <w:numId w:val="17"/>
      </w:numPr>
      <w:jc w:val="both"/>
    </w:pPr>
    <w:rPr>
      <w:rFonts w:ascii="宋体" w:hAnsi="Times New Roman" w:eastAsia="宋体" w:cs="Times New Roman"/>
      <w:sz w:val="21"/>
      <w:lang w:val="en-US" w:eastAsia="zh-CN" w:bidi="ar-SA"/>
    </w:rPr>
  </w:style>
  <w:style w:type="paragraph" w:customStyle="1" w:styleId="306">
    <w:name w:val="示例×："/>
    <w:basedOn w:val="1"/>
    <w:next w:val="293"/>
    <w:qFormat/>
    <w:uiPriority w:val="0"/>
    <w:pPr>
      <w:widowControl/>
      <w:numPr>
        <w:ilvl w:val="0"/>
        <w:numId w:val="23"/>
      </w:numPr>
    </w:pPr>
    <w:rPr>
      <w:rFonts w:ascii="宋体"/>
      <w:kern w:val="0"/>
      <w:sz w:val="18"/>
      <w:szCs w:val="18"/>
    </w:rPr>
  </w:style>
  <w:style w:type="paragraph" w:customStyle="1" w:styleId="307">
    <w:name w:val="工程建设章标题"/>
    <w:next w:val="258"/>
    <w:qFormat/>
    <w:uiPriority w:val="0"/>
    <w:pPr>
      <w:numPr>
        <w:ilvl w:val="1"/>
        <w:numId w:val="24"/>
      </w:numPr>
      <w:spacing w:before="640" w:after="560" w:line="480" w:lineRule="exact"/>
      <w:jc w:val="center"/>
      <w:outlineLvl w:val="1"/>
    </w:pPr>
    <w:rPr>
      <w:rFonts w:ascii="黑体" w:hAnsi="Times New Roman" w:eastAsia="黑体" w:cs="Times New Roman"/>
      <w:b/>
      <w:sz w:val="28"/>
      <w:lang w:val="en-US" w:eastAsia="zh-CN" w:bidi="ar-SA"/>
    </w:rPr>
  </w:style>
  <w:style w:type="paragraph" w:customStyle="1" w:styleId="308">
    <w:name w:val="工程建设节标题"/>
    <w:basedOn w:val="307"/>
    <w:next w:val="258"/>
    <w:qFormat/>
    <w:uiPriority w:val="0"/>
    <w:pPr>
      <w:numPr>
        <w:ilvl w:val="2"/>
      </w:numPr>
      <w:spacing w:before="400" w:after="400" w:line="240" w:lineRule="auto"/>
      <w:outlineLvl w:val="2"/>
    </w:pPr>
    <w:rPr>
      <w:sz w:val="21"/>
    </w:rPr>
  </w:style>
  <w:style w:type="paragraph" w:customStyle="1" w:styleId="309">
    <w:name w:val="工程建设条标题"/>
    <w:basedOn w:val="308"/>
    <w:next w:val="258"/>
    <w:qFormat/>
    <w:uiPriority w:val="0"/>
    <w:pPr>
      <w:numPr>
        <w:ilvl w:val="3"/>
      </w:numPr>
      <w:spacing w:before="0" w:after="0"/>
      <w:jc w:val="left"/>
      <w:outlineLvl w:val="3"/>
    </w:pPr>
    <w:rPr>
      <w:b w:val="0"/>
    </w:rPr>
  </w:style>
  <w:style w:type="paragraph" w:customStyle="1" w:styleId="310">
    <w:name w:val="工程建设表标题"/>
    <w:basedOn w:val="309"/>
    <w:qFormat/>
    <w:uiPriority w:val="0"/>
    <w:pPr>
      <w:numPr>
        <w:ilvl w:val="4"/>
      </w:numPr>
      <w:jc w:val="center"/>
      <w:outlineLvl w:val="4"/>
    </w:pPr>
  </w:style>
  <w:style w:type="paragraph" w:customStyle="1" w:styleId="311">
    <w:name w:val="工程建设图标题"/>
    <w:basedOn w:val="309"/>
    <w:qFormat/>
    <w:uiPriority w:val="0"/>
    <w:pPr>
      <w:numPr>
        <w:ilvl w:val="5"/>
      </w:numPr>
      <w:jc w:val="center"/>
      <w:outlineLvl w:val="5"/>
    </w:pPr>
  </w:style>
  <w:style w:type="paragraph" w:customStyle="1" w:styleId="312">
    <w:name w:val="工程建设公式标题"/>
    <w:basedOn w:val="309"/>
    <w:qFormat/>
    <w:uiPriority w:val="0"/>
    <w:pPr>
      <w:numPr>
        <w:ilvl w:val="6"/>
      </w:numPr>
      <w:jc w:val="center"/>
      <w:outlineLvl w:val="6"/>
    </w:pPr>
  </w:style>
  <w:style w:type="paragraph" w:customStyle="1" w:styleId="313">
    <w:name w:val="工程建设无节条标题"/>
    <w:basedOn w:val="1"/>
    <w:next w:val="258"/>
    <w:qFormat/>
    <w:uiPriority w:val="0"/>
    <w:pPr>
      <w:numPr>
        <w:ilvl w:val="8"/>
        <w:numId w:val="24"/>
      </w:numPr>
      <w:tabs>
        <w:tab w:val="clear" w:pos="720"/>
      </w:tabs>
      <w:outlineLvl w:val="3"/>
    </w:pPr>
  </w:style>
  <w:style w:type="paragraph" w:customStyle="1" w:styleId="314">
    <w:name w:val="工程建设款标题"/>
    <w:basedOn w:val="309"/>
    <w:qFormat/>
    <w:uiPriority w:val="0"/>
    <w:pPr>
      <w:numPr>
        <w:ilvl w:val="7"/>
      </w:numPr>
      <w:outlineLvl w:val="9"/>
    </w:pPr>
  </w:style>
  <w:style w:type="paragraph" w:customStyle="1" w:styleId="315">
    <w:name w:val="名称"/>
    <w:basedOn w:val="256"/>
    <w:next w:val="258"/>
    <w:qFormat/>
    <w:uiPriority w:val="0"/>
    <w:pPr>
      <w:spacing w:line="460" w:lineRule="exact"/>
      <w:outlineLvl w:val="9"/>
    </w:pPr>
  </w:style>
  <w:style w:type="paragraph" w:customStyle="1" w:styleId="316">
    <w:name w:val="正文表标题续表"/>
    <w:basedOn w:val="301"/>
    <w:next w:val="258"/>
    <w:qFormat/>
    <w:uiPriority w:val="0"/>
    <w:pPr>
      <w:numPr>
        <w:ilvl w:val="2"/>
      </w:numPr>
    </w:pPr>
  </w:style>
  <w:style w:type="paragraph" w:customStyle="1" w:styleId="317">
    <w:name w:val="附录表标题续表"/>
    <w:basedOn w:val="275"/>
    <w:next w:val="258"/>
    <w:qFormat/>
    <w:uiPriority w:val="0"/>
    <w:pPr>
      <w:numPr>
        <w:ilvl w:val="2"/>
      </w:numPr>
    </w:pPr>
  </w:style>
  <w:style w:type="paragraph" w:customStyle="1" w:styleId="318">
    <w:name w:val="术语定义二级条标题"/>
    <w:basedOn w:val="261"/>
    <w:next w:val="258"/>
    <w:qFormat/>
    <w:uiPriority w:val="0"/>
    <w:pPr>
      <w:spacing w:before="0" w:beforeLines="0" w:after="0" w:afterLines="0"/>
      <w:outlineLvl w:val="9"/>
    </w:pPr>
  </w:style>
  <w:style w:type="paragraph" w:customStyle="1" w:styleId="319">
    <w:name w:val="术语定义三级条标题"/>
    <w:basedOn w:val="290"/>
    <w:next w:val="258"/>
    <w:qFormat/>
    <w:uiPriority w:val="0"/>
    <w:pPr>
      <w:spacing w:before="0" w:beforeLines="0" w:after="0" w:afterLines="0"/>
      <w:outlineLvl w:val="9"/>
    </w:pPr>
  </w:style>
  <w:style w:type="paragraph" w:customStyle="1" w:styleId="320">
    <w:name w:val="式中"/>
    <w:qFormat/>
    <w:uiPriority w:val="0"/>
    <w:pPr>
      <w:ind w:left="200" w:leftChars="200"/>
    </w:pPr>
    <w:rPr>
      <w:rFonts w:ascii="宋体" w:hAnsi="Times New Roman" w:eastAsia="宋体" w:cs="Times New Roman"/>
      <w:sz w:val="21"/>
      <w:lang w:val="en-US" w:eastAsia="zh-CN" w:bidi="ar-SA"/>
    </w:rPr>
  </w:style>
  <w:style w:type="paragraph" w:customStyle="1" w:styleId="321">
    <w:name w:val="术语定义四级条标题"/>
    <w:basedOn w:val="295"/>
    <w:next w:val="258"/>
    <w:qFormat/>
    <w:uiPriority w:val="0"/>
    <w:pPr>
      <w:spacing w:before="0" w:beforeLines="0" w:after="0" w:afterLines="0"/>
      <w:outlineLvl w:val="9"/>
    </w:pPr>
  </w:style>
  <w:style w:type="paragraph" w:customStyle="1" w:styleId="322">
    <w:name w:val="术语定义五级条标题"/>
    <w:basedOn w:val="300"/>
    <w:next w:val="258"/>
    <w:qFormat/>
    <w:uiPriority w:val="0"/>
    <w:pPr>
      <w:spacing w:before="0" w:beforeLines="0" w:after="0" w:afterLines="0"/>
      <w:outlineLvl w:val="9"/>
    </w:pPr>
  </w:style>
  <w:style w:type="paragraph" w:customStyle="1" w:styleId="323">
    <w:name w:val="术语定义一级条标题"/>
    <w:basedOn w:val="260"/>
    <w:next w:val="258"/>
    <w:qFormat/>
    <w:uiPriority w:val="0"/>
    <w:pPr>
      <w:spacing w:before="0" w:beforeLines="0" w:after="0" w:afterLines="0"/>
      <w:outlineLvl w:val="9"/>
    </w:pPr>
  </w:style>
  <w:style w:type="paragraph" w:customStyle="1" w:styleId="324">
    <w:name w:val="条文说明"/>
    <w:basedOn w:val="315"/>
    <w:qFormat/>
    <w:uiPriority w:val="0"/>
  </w:style>
  <w:style w:type="paragraph" w:customStyle="1" w:styleId="325">
    <w:name w:val="列项·"/>
    <w:qFormat/>
    <w:uiPriority w:val="0"/>
    <w:pPr>
      <w:numPr>
        <w:ilvl w:val="0"/>
        <w:numId w:val="25"/>
      </w:numPr>
      <w:tabs>
        <w:tab w:val="left" w:pos="840"/>
      </w:tabs>
      <w:ind w:left="200" w:leftChars="200" w:hanging="200" w:hangingChars="200"/>
      <w:jc w:val="both"/>
    </w:pPr>
    <w:rPr>
      <w:rFonts w:ascii="宋体" w:hAnsi="Times New Roman" w:eastAsia="宋体" w:cs="Times New Roman"/>
      <w:sz w:val="21"/>
      <w:lang w:val="en-US" w:eastAsia="zh-CN" w:bidi="ar-SA"/>
    </w:rPr>
  </w:style>
  <w:style w:type="paragraph" w:customStyle="1" w:styleId="326">
    <w:name w:val="二级无标题条"/>
    <w:basedOn w:val="261"/>
    <w:qFormat/>
    <w:uiPriority w:val="0"/>
    <w:pPr>
      <w:spacing w:before="0" w:beforeLines="0" w:after="0" w:afterLines="0"/>
      <w:jc w:val="both"/>
      <w:outlineLvl w:val="9"/>
    </w:pPr>
    <w:rPr>
      <w:rFonts w:asciiTheme="majorEastAsia" w:eastAsiaTheme="majorEastAsia"/>
    </w:rPr>
  </w:style>
  <w:style w:type="paragraph" w:customStyle="1" w:styleId="327">
    <w:name w:val="三级无标题条"/>
    <w:basedOn w:val="290"/>
    <w:qFormat/>
    <w:uiPriority w:val="0"/>
    <w:pPr>
      <w:spacing w:before="0" w:beforeLines="0" w:after="0" w:afterLines="0"/>
      <w:jc w:val="both"/>
      <w:outlineLvl w:val="9"/>
    </w:pPr>
    <w:rPr>
      <w:rFonts w:asciiTheme="majorEastAsia" w:eastAsiaTheme="majorEastAsia"/>
    </w:rPr>
  </w:style>
  <w:style w:type="paragraph" w:customStyle="1" w:styleId="328">
    <w:name w:val="四级无标题条"/>
    <w:basedOn w:val="295"/>
    <w:qFormat/>
    <w:uiPriority w:val="0"/>
    <w:pPr>
      <w:spacing w:before="0" w:beforeLines="0" w:after="0" w:afterLines="0"/>
      <w:jc w:val="both"/>
      <w:outlineLvl w:val="9"/>
    </w:pPr>
    <w:rPr>
      <w:rFonts w:asciiTheme="majorEastAsia" w:eastAsiaTheme="majorEastAsia"/>
    </w:rPr>
  </w:style>
  <w:style w:type="paragraph" w:customStyle="1" w:styleId="329">
    <w:name w:val="五级无标题条"/>
    <w:basedOn w:val="300"/>
    <w:qFormat/>
    <w:uiPriority w:val="0"/>
    <w:pPr>
      <w:spacing w:before="0" w:beforeLines="0" w:after="0" w:afterLines="0"/>
      <w:jc w:val="both"/>
      <w:outlineLvl w:val="9"/>
    </w:pPr>
    <w:rPr>
      <w:rFonts w:asciiTheme="majorEastAsia" w:eastAsiaTheme="majorEastAsia"/>
    </w:rPr>
  </w:style>
  <w:style w:type="paragraph" w:customStyle="1" w:styleId="330">
    <w:name w:val="一级无标题条"/>
    <w:basedOn w:val="260"/>
    <w:qFormat/>
    <w:uiPriority w:val="0"/>
    <w:pPr>
      <w:spacing w:before="0" w:beforeLines="0" w:after="0" w:afterLines="0"/>
      <w:jc w:val="both"/>
      <w:outlineLvl w:val="9"/>
    </w:pPr>
    <w:rPr>
      <w:rFonts w:asciiTheme="majorEastAsia" w:eastAsiaTheme="majorEastAsia"/>
    </w:rPr>
  </w:style>
  <w:style w:type="character" w:customStyle="1" w:styleId="331">
    <w:name w:val="条文脚注 Char"/>
    <w:basedOn w:val="332"/>
    <w:link w:val="296"/>
    <w:qFormat/>
    <w:uiPriority w:val="0"/>
    <w:rPr>
      <w:rFonts w:ascii="宋体"/>
      <w:kern w:val="2"/>
      <w:sz w:val="18"/>
      <w:szCs w:val="18"/>
    </w:rPr>
  </w:style>
  <w:style w:type="character" w:customStyle="1" w:styleId="332">
    <w:name w:val="正文文本 Char"/>
    <w:basedOn w:val="231"/>
    <w:link w:val="2"/>
    <w:semiHidden/>
    <w:qFormat/>
    <w:uiPriority w:val="99"/>
    <w:rPr>
      <w:kern w:val="2"/>
      <w:sz w:val="21"/>
      <w:szCs w:val="24"/>
    </w:rPr>
  </w:style>
  <w:style w:type="paragraph" w:customStyle="1" w:styleId="333">
    <w:name w:val="ICS"/>
    <w:basedOn w:val="273"/>
    <w:qFormat/>
    <w:uiPriority w:val="0"/>
    <w:pPr>
      <w:jc w:val="left"/>
    </w:pPr>
    <w:rPr>
      <w:rFonts w:ascii="黑体" w:eastAsia="黑体"/>
      <w:sz w:val="21"/>
    </w:rPr>
  </w:style>
  <w:style w:type="paragraph" w:customStyle="1" w:styleId="334">
    <w:name w:val="标准称谓HB"/>
    <w:next w:val="1"/>
    <w:qFormat/>
    <w:uiPriority w:val="0"/>
    <w:pPr>
      <w:widowControl w:val="0"/>
      <w:kinsoku w:val="0"/>
      <w:overflowPunct w:val="0"/>
      <w:autoSpaceDE w:val="0"/>
      <w:autoSpaceDN w:val="0"/>
      <w:spacing w:line="0" w:lineRule="atLeast"/>
      <w:jc w:val="distribute"/>
    </w:pPr>
    <w:rPr>
      <w:rFonts w:ascii="Britannic Bold" w:hAnsi="Britannic Bold" w:eastAsia="黑体" w:cs="Times New Roman"/>
      <w:bCs/>
      <w:w w:val="135"/>
      <w:sz w:val="44"/>
      <w:lang w:val="en-US" w:eastAsia="zh-CN" w:bidi="ar-SA"/>
    </w:rPr>
  </w:style>
  <w:style w:type="paragraph" w:customStyle="1" w:styleId="335">
    <w:name w:val="发布"/>
    <w:basedOn w:val="2"/>
    <w:qFormat/>
    <w:uiPriority w:val="0"/>
    <w:pPr>
      <w:spacing w:after="0" w:line="280" w:lineRule="exact"/>
      <w:ind w:left="284"/>
    </w:pPr>
    <w:rPr>
      <w:rFonts w:ascii="黑体" w:eastAsia="黑体"/>
      <w:kern w:val="3"/>
      <w:sz w:val="28"/>
    </w:rPr>
  </w:style>
  <w:style w:type="paragraph" w:customStyle="1" w:styleId="336">
    <w:name w:val="标准称谓DB"/>
    <w:next w:val="1"/>
    <w:link w:val="337"/>
    <w:qFormat/>
    <w:uiPriority w:val="0"/>
    <w:pPr>
      <w:widowControl w:val="0"/>
      <w:kinsoku w:val="0"/>
      <w:overflowPunct w:val="0"/>
      <w:autoSpaceDE w:val="0"/>
      <w:autoSpaceDN w:val="0"/>
      <w:spacing w:line="0" w:lineRule="atLeast"/>
      <w:jc w:val="distribute"/>
    </w:pPr>
    <w:rPr>
      <w:rFonts w:hint="eastAsia" w:ascii="黑体" w:hAnsi="黑体" w:eastAsia="黑体" w:cs="黑体"/>
      <w:b/>
      <w:bCs/>
      <w:w w:val="135"/>
      <w:sz w:val="52"/>
      <w:lang w:val="en-US" w:eastAsia="zh-CN" w:bidi="ar-SA"/>
    </w:rPr>
  </w:style>
  <w:style w:type="character" w:customStyle="1" w:styleId="337">
    <w:name w:val="标准称谓DB Char"/>
    <w:basedOn w:val="231"/>
    <w:link w:val="336"/>
    <w:qFormat/>
    <w:uiPriority w:val="0"/>
    <w:rPr>
      <w:rFonts w:hint="eastAsia" w:ascii="黑体" w:hAnsi="黑体" w:eastAsia="黑体" w:cs="黑体"/>
      <w:b/>
      <w:bCs/>
      <w:w w:val="135"/>
      <w:sz w:val="52"/>
    </w:rPr>
  </w:style>
  <w:style w:type="paragraph" w:customStyle="1" w:styleId="338">
    <w:name w:val="标准称谓QB"/>
    <w:next w:val="1"/>
    <w:link w:val="339"/>
    <w:qFormat/>
    <w:uiPriority w:val="0"/>
    <w:pPr>
      <w:widowControl w:val="0"/>
      <w:kinsoku w:val="0"/>
      <w:overflowPunct w:val="0"/>
      <w:autoSpaceDE w:val="0"/>
      <w:autoSpaceDN w:val="0"/>
      <w:spacing w:line="0" w:lineRule="atLeast"/>
      <w:jc w:val="distribute"/>
    </w:pPr>
    <w:rPr>
      <w:rFonts w:ascii="Arial Black" w:hAnsi="Arial Black" w:eastAsia="黑体" w:cs="Times New Roman"/>
      <w:bCs/>
      <w:w w:val="135"/>
      <w:sz w:val="48"/>
      <w:lang w:val="en-US" w:eastAsia="zh-CN" w:bidi="ar-SA"/>
    </w:rPr>
  </w:style>
  <w:style w:type="character" w:customStyle="1" w:styleId="339">
    <w:name w:val="标准称谓QB Char"/>
    <w:basedOn w:val="231"/>
    <w:link w:val="338"/>
    <w:qFormat/>
    <w:uiPriority w:val="0"/>
    <w:rPr>
      <w:rFonts w:ascii="Arial Black" w:hAnsi="Arial Black" w:eastAsia="黑体"/>
      <w:bCs/>
      <w:w w:val="135"/>
      <w:sz w:val="48"/>
    </w:rPr>
  </w:style>
  <w:style w:type="paragraph" w:customStyle="1" w:styleId="340">
    <w:name w:val="发布部门HB"/>
    <w:next w:val="1"/>
    <w:qFormat/>
    <w:uiPriority w:val="0"/>
    <w:pPr>
      <w:spacing w:line="360" w:lineRule="exact"/>
      <w:jc w:val="center"/>
    </w:pPr>
    <w:rPr>
      <w:rFonts w:ascii="宋体" w:hAnsi="Times New Roman" w:eastAsia="宋体" w:cs="Times New Roman"/>
      <w:b/>
      <w:sz w:val="36"/>
      <w:lang w:val="en-US" w:eastAsia="zh-CN" w:bidi="ar-SA"/>
    </w:rPr>
  </w:style>
  <w:style w:type="paragraph" w:customStyle="1" w:styleId="341">
    <w:name w:val="发布部门DB"/>
    <w:next w:val="1"/>
    <w:qFormat/>
    <w:uiPriority w:val="0"/>
    <w:pPr>
      <w:spacing w:line="360" w:lineRule="exact"/>
      <w:jc w:val="center"/>
    </w:pPr>
    <w:rPr>
      <w:rFonts w:hint="eastAsia" w:ascii="宋体" w:hAnsi="宋体" w:eastAsia="宋体" w:cs="宋体"/>
      <w:b/>
      <w:sz w:val="36"/>
      <w:lang w:val="en-US" w:eastAsia="zh-CN" w:bidi="ar-SA"/>
    </w:rPr>
  </w:style>
  <w:style w:type="paragraph" w:customStyle="1" w:styleId="342">
    <w:name w:val="发布部门QB"/>
    <w:next w:val="1"/>
    <w:qFormat/>
    <w:uiPriority w:val="0"/>
    <w:pPr>
      <w:snapToGrid w:val="0"/>
      <w:jc w:val="center"/>
    </w:pPr>
    <w:rPr>
      <w:rFonts w:ascii="宋体" w:hAnsi="Times New Roman" w:eastAsia="宋体" w:cs="Times New Roman"/>
      <w:b/>
      <w:sz w:val="36"/>
      <w:lang w:val="en-US" w:eastAsia="zh-CN" w:bidi="ar-SA"/>
    </w:rPr>
  </w:style>
  <w:style w:type="paragraph" w:customStyle="1" w:styleId="343">
    <w:name w:val="标准标志DB"/>
    <w:next w:val="1"/>
    <w:qFormat/>
    <w:uiPriority w:val="0"/>
    <w:pPr>
      <w:shd w:val="solid" w:color="FFFFFF" w:fill="FFFFFF"/>
      <w:spacing w:line="0" w:lineRule="atLeast"/>
      <w:jc w:val="right"/>
    </w:pPr>
    <w:rPr>
      <w:rFonts w:ascii="Times New Roman" w:hAnsi="Times New Roman" w:eastAsia="Times New Roman" w:cs="Times New Roman"/>
      <w:b/>
      <w:w w:val="110"/>
      <w:kern w:val="2"/>
      <w:sz w:val="96"/>
      <w:lang w:val="en-US" w:eastAsia="zh-CN" w:bidi="ar-SA"/>
    </w:rPr>
  </w:style>
  <w:style w:type="paragraph" w:customStyle="1" w:styleId="344">
    <w:name w:val="标准标志QB"/>
    <w:next w:val="1"/>
    <w:qFormat/>
    <w:uiPriority w:val="0"/>
    <w:pPr>
      <w:shd w:val="solid" w:color="FFFFFF" w:fill="FFFFFF"/>
      <w:spacing w:line="0" w:lineRule="atLeast"/>
      <w:jc w:val="right"/>
    </w:pPr>
    <w:rPr>
      <w:rFonts w:ascii="Arial Black" w:hAnsi="Britannic Bold" w:eastAsia="Times New Roman" w:cs="Times New Roman"/>
      <w:b/>
      <w:w w:val="110"/>
      <w:kern w:val="2"/>
      <w:sz w:val="96"/>
      <w:lang w:val="en-US" w:eastAsia="zh-CN" w:bidi="ar-SA"/>
    </w:rPr>
  </w:style>
  <w:style w:type="paragraph" w:customStyle="1" w:styleId="345">
    <w:name w:val="标准标志GB"/>
    <w:next w:val="1"/>
    <w:qFormat/>
    <w:uiPriority w:val="0"/>
    <w:pPr>
      <w:shd w:val="solid" w:color="FFFFFF" w:fill="FFFFFF"/>
      <w:spacing w:line="0" w:lineRule="atLeast"/>
      <w:jc w:val="right"/>
    </w:pPr>
    <w:rPr>
      <w:rFonts w:ascii="Britannic Bold" w:hAnsi="Britannic Bold" w:eastAsia="Britannic Bold" w:cs="Times New Roman"/>
      <w:b/>
      <w:w w:val="110"/>
      <w:kern w:val="2"/>
      <w:sz w:val="160"/>
      <w:lang w:val="en-US" w:eastAsia="zh-CN" w:bidi="ar-SA"/>
    </w:rPr>
  </w:style>
  <w:style w:type="paragraph" w:customStyle="1" w:styleId="346">
    <w:name w:val="示例X"/>
    <w:basedOn w:val="258"/>
    <w:next w:val="293"/>
    <w:qFormat/>
    <w:uiPriority w:val="0"/>
    <w:rPr>
      <w:sz w:val="18"/>
    </w:rPr>
  </w:style>
  <w:style w:type="paragraph" w:customStyle="1" w:styleId="347">
    <w:name w:val="附录表标号"/>
    <w:basedOn w:val="1"/>
    <w:next w:val="258"/>
    <w:qFormat/>
    <w:uiPriority w:val="0"/>
    <w:pPr>
      <w:numPr>
        <w:ilvl w:val="0"/>
        <w:numId w:val="13"/>
      </w:numPr>
      <w:snapToGrid w:val="0"/>
      <w:spacing w:line="14" w:lineRule="exact"/>
      <w:jc w:val="center"/>
    </w:pPr>
    <w:rPr>
      <w:color w:val="FFFFFF"/>
    </w:rPr>
  </w:style>
  <w:style w:type="paragraph" w:customStyle="1" w:styleId="348">
    <w:name w:val="附录图标号"/>
    <w:basedOn w:val="1"/>
    <w:next w:val="258"/>
    <w:qFormat/>
    <w:uiPriority w:val="0"/>
    <w:pPr>
      <w:numPr>
        <w:ilvl w:val="0"/>
        <w:numId w:val="14"/>
      </w:numPr>
      <w:snapToGrid w:val="0"/>
      <w:spacing w:line="14" w:lineRule="exact"/>
      <w:jc w:val="center"/>
    </w:pPr>
    <w:rPr>
      <w:color w:val="FFFFFF"/>
    </w:rPr>
  </w:style>
  <w:style w:type="paragraph" w:customStyle="1" w:styleId="349">
    <w:name w:val="重要提示"/>
    <w:basedOn w:val="258"/>
    <w:next w:val="258"/>
    <w:qFormat/>
    <w:uiPriority w:val="0"/>
    <w:rPr>
      <w:rFonts w:eastAsia="黑体"/>
    </w:rPr>
  </w:style>
  <w:style w:type="paragraph" w:customStyle="1" w:styleId="350">
    <w:name w:val="公式编号制表符"/>
    <w:basedOn w:val="1"/>
    <w:next w:val="1"/>
    <w:qFormat/>
    <w:uiPriority w:val="0"/>
    <w:pPr>
      <w:widowControl/>
      <w:tabs>
        <w:tab w:val="center" w:pos="4679"/>
        <w:tab w:val="right" w:leader="dot" w:pos="9299"/>
      </w:tabs>
      <w:autoSpaceDE w:val="0"/>
      <w:autoSpaceDN w:val="0"/>
      <w:textAlignment w:val="center"/>
    </w:pPr>
    <w:rPr>
      <w:rFonts w:ascii="宋体"/>
      <w:kern w:val="0"/>
      <w:szCs w:val="20"/>
    </w:rPr>
  </w:style>
  <w:style w:type="paragraph" w:customStyle="1" w:styleId="351">
    <w:name w:val="TOC 标题1"/>
    <w:basedOn w:val="5"/>
    <w:next w:val="1"/>
    <w:semiHidden/>
    <w:unhideWhenUsed/>
    <w:qFormat/>
    <w:uiPriority w:val="39"/>
    <w:pPr>
      <w:outlineLvl w:val="9"/>
    </w:pPr>
  </w:style>
  <w:style w:type="character" w:customStyle="1" w:styleId="352">
    <w:name w:val="不明显参考1"/>
    <w:basedOn w:val="231"/>
    <w:qFormat/>
    <w:uiPriority w:val="31"/>
    <w:rPr>
      <w:smallCaps/>
      <w:color w:val="595959" w:themeColor="text1" w:themeTint="A6"/>
      <w14:textFill>
        <w14:solidFill>
          <w14:schemeClr w14:val="tx1">
            <w14:lumMod w14:val="65000"/>
            <w14:lumOff w14:val="35000"/>
          </w14:schemeClr>
        </w14:solidFill>
      </w14:textFill>
    </w:rPr>
  </w:style>
  <w:style w:type="character" w:customStyle="1" w:styleId="353">
    <w:name w:val="不明显强调1"/>
    <w:basedOn w:val="231"/>
    <w:qFormat/>
    <w:uiPriority w:val="19"/>
    <w:rPr>
      <w:i/>
      <w:iCs/>
      <w:color w:val="404040" w:themeColor="text1" w:themeTint="BF"/>
      <w14:textFill>
        <w14:solidFill>
          <w14:schemeClr w14:val="tx1">
            <w14:lumMod w14:val="75000"/>
            <w14:lumOff w14:val="25000"/>
          </w14:schemeClr>
        </w14:solidFill>
      </w14:textFill>
    </w:rPr>
  </w:style>
  <w:style w:type="character" w:customStyle="1" w:styleId="354">
    <w:name w:val="称呼 Char"/>
    <w:basedOn w:val="231"/>
    <w:link w:val="36"/>
    <w:semiHidden/>
    <w:qFormat/>
    <w:uiPriority w:val="99"/>
    <w:rPr>
      <w:kern w:val="2"/>
      <w:sz w:val="21"/>
      <w:szCs w:val="24"/>
    </w:rPr>
  </w:style>
  <w:style w:type="character" w:customStyle="1" w:styleId="355">
    <w:name w:val="纯文本 Char"/>
    <w:basedOn w:val="231"/>
    <w:link w:val="48"/>
    <w:semiHidden/>
    <w:qFormat/>
    <w:uiPriority w:val="99"/>
    <w:rPr>
      <w:rFonts w:ascii="宋体" w:hAnsi="Courier New" w:cs="Courier New"/>
      <w:kern w:val="2"/>
      <w:sz w:val="21"/>
      <w:szCs w:val="21"/>
    </w:rPr>
  </w:style>
  <w:style w:type="character" w:customStyle="1" w:styleId="356">
    <w:name w:val="电子邮件签名 Char"/>
    <w:basedOn w:val="231"/>
    <w:link w:val="25"/>
    <w:semiHidden/>
    <w:qFormat/>
    <w:uiPriority w:val="99"/>
    <w:rPr>
      <w:kern w:val="2"/>
      <w:sz w:val="21"/>
      <w:szCs w:val="24"/>
    </w:rPr>
  </w:style>
  <w:style w:type="character" w:customStyle="1" w:styleId="357">
    <w:name w:val="副标题 Char"/>
    <w:basedOn w:val="231"/>
    <w:link w:val="66"/>
    <w:qFormat/>
    <w:uiPriority w:val="11"/>
    <w:rPr>
      <w:rFonts w:asciiTheme="majorHAnsi" w:hAnsiTheme="majorHAnsi" w:cstheme="majorBidi"/>
      <w:b/>
      <w:bCs/>
      <w:kern w:val="28"/>
      <w:sz w:val="32"/>
      <w:szCs w:val="32"/>
    </w:rPr>
  </w:style>
  <w:style w:type="character" w:customStyle="1" w:styleId="358">
    <w:name w:val="宏文本 Char"/>
    <w:basedOn w:val="231"/>
    <w:link w:val="4"/>
    <w:semiHidden/>
    <w:qFormat/>
    <w:uiPriority w:val="99"/>
    <w:rPr>
      <w:rFonts w:ascii="Courier New" w:hAnsi="Courier New" w:cs="Courier New"/>
      <w:kern w:val="2"/>
      <w:sz w:val="24"/>
      <w:szCs w:val="24"/>
    </w:rPr>
  </w:style>
  <w:style w:type="character" w:customStyle="1" w:styleId="359">
    <w:name w:val="结束语 Char"/>
    <w:basedOn w:val="231"/>
    <w:link w:val="38"/>
    <w:semiHidden/>
    <w:qFormat/>
    <w:uiPriority w:val="99"/>
    <w:rPr>
      <w:kern w:val="2"/>
      <w:sz w:val="21"/>
      <w:szCs w:val="24"/>
    </w:rPr>
  </w:style>
  <w:style w:type="paragraph" w:styleId="360">
    <w:name w:val="List Paragraph"/>
    <w:basedOn w:val="1"/>
    <w:qFormat/>
    <w:uiPriority w:val="34"/>
    <w:pPr>
      <w:ind w:firstLine="420" w:firstLineChars="200"/>
    </w:pPr>
  </w:style>
  <w:style w:type="character" w:customStyle="1" w:styleId="361">
    <w:name w:val="明显参考1"/>
    <w:basedOn w:val="231"/>
    <w:qFormat/>
    <w:uiPriority w:val="32"/>
    <w:rPr>
      <w:b/>
      <w:bCs/>
      <w:smallCaps/>
      <w:color w:val="5B9BD5" w:themeColor="accent1"/>
      <w:spacing w:val="5"/>
      <w14:textFill>
        <w14:solidFill>
          <w14:schemeClr w14:val="accent1"/>
        </w14:solidFill>
      </w14:textFill>
    </w:rPr>
  </w:style>
  <w:style w:type="character" w:customStyle="1" w:styleId="362">
    <w:name w:val="明显强调1"/>
    <w:basedOn w:val="231"/>
    <w:qFormat/>
    <w:uiPriority w:val="21"/>
    <w:rPr>
      <w:i/>
      <w:iCs/>
      <w:color w:val="5B9BD5" w:themeColor="accent1"/>
      <w14:textFill>
        <w14:solidFill>
          <w14:schemeClr w14:val="accent1"/>
        </w14:solidFill>
      </w14:textFill>
    </w:rPr>
  </w:style>
  <w:style w:type="paragraph" w:styleId="363">
    <w:name w:val="Intense Quote"/>
    <w:basedOn w:val="1"/>
    <w:next w:val="1"/>
    <w:link w:val="364"/>
    <w:qFormat/>
    <w:uiPriority w:val="30"/>
    <w:pPr>
      <w:pBdr>
        <w:top w:val="single" w:color="5B9BD5" w:themeColor="accent1" w:sz="4" w:space="10"/>
        <w:bottom w:val="single" w:color="5B9BD5" w:themeColor="accent1" w:sz="4" w:space="10"/>
      </w:pBdr>
      <w:spacing w:before="360" w:after="360"/>
      <w:ind w:left="864" w:right="864"/>
      <w:jc w:val="center"/>
    </w:pPr>
    <w:rPr>
      <w:i/>
      <w:iCs/>
      <w:color w:val="5B9BD5" w:themeColor="accent1"/>
      <w14:textFill>
        <w14:solidFill>
          <w14:schemeClr w14:val="accent1"/>
        </w14:solidFill>
      </w14:textFill>
    </w:rPr>
  </w:style>
  <w:style w:type="character" w:customStyle="1" w:styleId="364">
    <w:name w:val="明显引用 Char"/>
    <w:basedOn w:val="231"/>
    <w:link w:val="363"/>
    <w:qFormat/>
    <w:uiPriority w:val="30"/>
    <w:rPr>
      <w:i/>
      <w:iCs/>
      <w:color w:val="5B9BD5" w:themeColor="accent1"/>
      <w:kern w:val="2"/>
      <w:sz w:val="21"/>
      <w:szCs w:val="24"/>
      <w14:textFill>
        <w14:solidFill>
          <w14:schemeClr w14:val="accent1"/>
        </w14:solidFill>
      </w14:textFill>
    </w:rPr>
  </w:style>
  <w:style w:type="character" w:customStyle="1" w:styleId="365">
    <w:name w:val="批注框文本 Char"/>
    <w:basedOn w:val="231"/>
    <w:link w:val="57"/>
    <w:semiHidden/>
    <w:qFormat/>
    <w:uiPriority w:val="99"/>
    <w:rPr>
      <w:kern w:val="2"/>
      <w:sz w:val="18"/>
      <w:szCs w:val="18"/>
    </w:rPr>
  </w:style>
  <w:style w:type="character" w:customStyle="1" w:styleId="366">
    <w:name w:val="批注文字 Char"/>
    <w:basedOn w:val="231"/>
    <w:link w:val="34"/>
    <w:semiHidden/>
    <w:qFormat/>
    <w:uiPriority w:val="99"/>
    <w:rPr>
      <w:kern w:val="2"/>
      <w:sz w:val="21"/>
      <w:szCs w:val="24"/>
    </w:rPr>
  </w:style>
  <w:style w:type="character" w:customStyle="1" w:styleId="367">
    <w:name w:val="批注主题 Char"/>
    <w:basedOn w:val="366"/>
    <w:link w:val="85"/>
    <w:semiHidden/>
    <w:qFormat/>
    <w:uiPriority w:val="99"/>
    <w:rPr>
      <w:b/>
      <w:bCs/>
      <w:kern w:val="2"/>
      <w:sz w:val="21"/>
      <w:szCs w:val="24"/>
    </w:rPr>
  </w:style>
  <w:style w:type="character" w:customStyle="1" w:styleId="368">
    <w:name w:val="签名 Char"/>
    <w:basedOn w:val="231"/>
    <w:link w:val="61"/>
    <w:semiHidden/>
    <w:qFormat/>
    <w:uiPriority w:val="99"/>
    <w:rPr>
      <w:kern w:val="2"/>
      <w:sz w:val="21"/>
      <w:szCs w:val="24"/>
    </w:rPr>
  </w:style>
  <w:style w:type="table" w:customStyle="1" w:styleId="369">
    <w:name w:val="清单表 1 浅色1"/>
    <w:basedOn w:val="88"/>
    <w:qFormat/>
    <w:uiPriority w:val="46"/>
    <w:tblStylePr w:type="firstRow">
      <w:rPr>
        <w:b/>
        <w:bCs/>
      </w:rPr>
      <w:tcPr>
        <w:tcBorders>
          <w:bottom w:val="single" w:color="666666" w:themeColor="text1" w:themeTint="99" w:sz="4" w:space="0"/>
        </w:tcBorders>
      </w:tcPr>
    </w:tblStylePr>
    <w:tblStylePr w:type="lastRow">
      <w:rPr>
        <w:b/>
        <w:bCs/>
      </w:rPr>
      <w:tcPr>
        <w:tcBorders>
          <w:top w:val="sing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70">
    <w:name w:val="清单表 1 浅色 - 着色 11"/>
    <w:basedOn w:val="88"/>
    <w:qFormat/>
    <w:uiPriority w:val="46"/>
    <w:tblStylePr w:type="firstRow">
      <w:rPr>
        <w:b/>
        <w:bCs/>
      </w:rPr>
      <w:tcPr>
        <w:tcBorders>
          <w:bottom w:val="single" w:color="9CC2E5" w:themeColor="accent1" w:themeTint="99" w:sz="4" w:space="0"/>
        </w:tcBorders>
      </w:tcPr>
    </w:tblStylePr>
    <w:tblStylePr w:type="lastRow">
      <w:rPr>
        <w:b/>
        <w:bCs/>
      </w:rPr>
      <w:tcPr>
        <w:tcBorders>
          <w:top w:val="single" w:color="9CC2E5" w:themeColor="accent1" w:themeTint="99"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table" w:customStyle="1" w:styleId="371">
    <w:name w:val="清单表 1 浅色 - 着色 21"/>
    <w:basedOn w:val="88"/>
    <w:qFormat/>
    <w:uiPriority w:val="46"/>
    <w:tblStylePr w:type="firstRow">
      <w:rPr>
        <w:b/>
        <w:bCs/>
      </w:rPr>
      <w:tcPr>
        <w:tcBorders>
          <w:bottom w:val="single" w:color="F4B083" w:themeColor="accent2" w:themeTint="99" w:sz="4" w:space="0"/>
        </w:tcBorders>
      </w:tcPr>
    </w:tblStylePr>
    <w:tblStylePr w:type="lastRow">
      <w:rPr>
        <w:b/>
        <w:bCs/>
      </w:rPr>
      <w:tcPr>
        <w:tcBorders>
          <w:top w:val="single" w:color="F4B083" w:themeColor="accent2" w:themeTint="99" w:sz="4" w:space="0"/>
        </w:tcBorders>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372">
    <w:name w:val="清单表 1 浅色 - 着色 31"/>
    <w:basedOn w:val="88"/>
    <w:qFormat/>
    <w:uiPriority w:val="46"/>
    <w:tblStylePr w:type="firstRow">
      <w:rPr>
        <w:b/>
        <w:bCs/>
      </w:rPr>
      <w:tcPr>
        <w:tcBorders>
          <w:bottom w:val="single" w:color="C8C8C8" w:themeColor="accent3" w:themeTint="99" w:sz="4" w:space="0"/>
        </w:tcBorders>
      </w:tcPr>
    </w:tblStylePr>
    <w:tblStylePr w:type="lastRow">
      <w:rPr>
        <w:b/>
        <w:bCs/>
      </w:rPr>
      <w:tcPr>
        <w:tcBorders>
          <w:top w:val="single" w:color="C8C8C8" w:themeColor="accent3" w:themeTint="99"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373">
    <w:name w:val="清单表 1 浅色 - 着色 41"/>
    <w:basedOn w:val="88"/>
    <w:qFormat/>
    <w:uiPriority w:val="46"/>
    <w:tblStylePr w:type="firstRow">
      <w:rPr>
        <w:b/>
        <w:bCs/>
      </w:rPr>
      <w:tcPr>
        <w:tcBorders>
          <w:bottom w:val="single" w:color="FFD965" w:themeColor="accent4" w:themeTint="99" w:sz="4" w:space="0"/>
        </w:tcBorders>
      </w:tcPr>
    </w:tblStylePr>
    <w:tblStylePr w:type="lastRow">
      <w:rPr>
        <w:b/>
        <w:bCs/>
      </w:rPr>
      <w:tcPr>
        <w:tcBorders>
          <w:top w:val="single" w:color="FFD965" w:themeColor="accent4" w:themeTint="99" w:sz="4" w:space="0"/>
        </w:tcBorders>
      </w:tcPr>
    </w:tblStylePr>
    <w:tblStylePr w:type="firstCol">
      <w:rPr>
        <w:b/>
        <w:bCs/>
      </w:rPr>
    </w:tblStylePr>
    <w:tblStylePr w:type="lastCol">
      <w:rPr>
        <w:b/>
        <w:bCs/>
      </w:rPr>
    </w:tblStylePr>
    <w:tblStylePr w:type="band1Vert">
      <w:tcPr>
        <w:shd w:val="clear" w:color="auto" w:fill="FEF2CC" w:themeFill="accent4" w:themeFillTint="33"/>
      </w:tcPr>
    </w:tblStylePr>
    <w:tblStylePr w:type="band1Horz">
      <w:tcPr>
        <w:shd w:val="clear" w:color="auto" w:fill="FEF2CC" w:themeFill="accent4" w:themeFillTint="33"/>
      </w:tcPr>
    </w:tblStylePr>
  </w:style>
  <w:style w:type="table" w:customStyle="1" w:styleId="374">
    <w:name w:val="清单表 1 浅色 - 着色 51"/>
    <w:basedOn w:val="88"/>
    <w:qFormat/>
    <w:uiPriority w:val="46"/>
    <w:tblStylePr w:type="firstRow">
      <w:rPr>
        <w:b/>
        <w:bCs/>
      </w:rPr>
      <w:tcPr>
        <w:tcBorders>
          <w:bottom w:val="single" w:color="8EAADB" w:themeColor="accent5" w:themeTint="99" w:sz="4" w:space="0"/>
        </w:tcBorders>
      </w:tcPr>
    </w:tblStylePr>
    <w:tblStylePr w:type="lastRow">
      <w:rPr>
        <w:b/>
        <w:bCs/>
      </w:rPr>
      <w:tcPr>
        <w:tcBorders>
          <w:top w:val="single" w:color="8EAADB" w:themeColor="accent5" w:themeTint="99" w:sz="4" w:space="0"/>
        </w:tcBorders>
      </w:tcPr>
    </w:tblStylePr>
    <w:tblStylePr w:type="firstCol">
      <w:rPr>
        <w:b/>
        <w:bCs/>
      </w:rPr>
    </w:tblStylePr>
    <w:tblStylePr w:type="lastCol">
      <w:rPr>
        <w:b/>
        <w:bCs/>
      </w:rPr>
    </w:tblStylePr>
    <w:tblStylePr w:type="band1Vert">
      <w:tcPr>
        <w:shd w:val="clear" w:color="auto" w:fill="D9E2F3" w:themeFill="accent5" w:themeFillTint="33"/>
      </w:tcPr>
    </w:tblStylePr>
    <w:tblStylePr w:type="band1Horz">
      <w:tcPr>
        <w:shd w:val="clear" w:color="auto" w:fill="D9E2F3" w:themeFill="accent5" w:themeFillTint="33"/>
      </w:tcPr>
    </w:tblStylePr>
  </w:style>
  <w:style w:type="table" w:customStyle="1" w:styleId="375">
    <w:name w:val="清单表 1 浅色 - 着色 61"/>
    <w:basedOn w:val="88"/>
    <w:qFormat/>
    <w:uiPriority w:val="46"/>
    <w:tblStylePr w:type="firstRow">
      <w:rPr>
        <w:b/>
        <w:bCs/>
      </w:rPr>
      <w:tcPr>
        <w:tcBorders>
          <w:bottom w:val="single" w:color="A8D08D" w:themeColor="accent6" w:themeTint="99" w:sz="4" w:space="0"/>
        </w:tcBorders>
      </w:tcPr>
    </w:tblStylePr>
    <w:tblStylePr w:type="lastRow">
      <w:rPr>
        <w:b/>
        <w:bCs/>
      </w:rPr>
      <w:tcPr>
        <w:tcBorders>
          <w:top w:val="single" w:color="A8D08D" w:themeColor="accent6" w:themeTint="99"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376">
    <w:name w:val="清单表 21"/>
    <w:basedOn w:val="88"/>
    <w:qFormat/>
    <w:uiPriority w:val="47"/>
    <w:tblPr>
      <w:tblBorders>
        <w:top w:val="single" w:color="666666" w:themeColor="text1" w:themeTint="99" w:sz="4" w:space="0"/>
        <w:bottom w:val="single" w:color="666666" w:themeColor="text1" w:themeTint="99" w:sz="4" w:space="0"/>
        <w:insideH w:val="single" w:color="666666" w:themeColor="text1"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77">
    <w:name w:val="清单表 2 - 着色 11"/>
    <w:basedOn w:val="88"/>
    <w:qFormat/>
    <w:uiPriority w:val="47"/>
    <w:tblPr>
      <w:tblBorders>
        <w:top w:val="single" w:color="9CC2E5" w:themeColor="accent1" w:themeTint="99" w:sz="4" w:space="0"/>
        <w:bottom w:val="single" w:color="9CC2E5" w:themeColor="accent1" w:themeTint="99" w:sz="4" w:space="0"/>
        <w:insideH w:val="single" w:color="9CC2E5" w:themeColor="accent1"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table" w:customStyle="1" w:styleId="378">
    <w:name w:val="清单表 2 - 着色 21"/>
    <w:basedOn w:val="88"/>
    <w:qFormat/>
    <w:uiPriority w:val="47"/>
    <w:tblPr>
      <w:tblBorders>
        <w:top w:val="single" w:color="F4B083" w:themeColor="accent2" w:themeTint="99" w:sz="4" w:space="0"/>
        <w:bottom w:val="single" w:color="F4B083" w:themeColor="accent2" w:themeTint="99" w:sz="4" w:space="0"/>
        <w:insideH w:val="single" w:color="F4B083" w:themeColor="accent2"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379">
    <w:name w:val="清单表 2 - 着色 31"/>
    <w:basedOn w:val="88"/>
    <w:qFormat/>
    <w:uiPriority w:val="47"/>
    <w:tblPr>
      <w:tblBorders>
        <w:top w:val="single" w:color="C8C8C8" w:themeColor="accent3" w:themeTint="99" w:sz="4" w:space="0"/>
        <w:bottom w:val="single" w:color="C8C8C8" w:themeColor="accent3" w:themeTint="99" w:sz="4" w:space="0"/>
        <w:insideH w:val="single" w:color="C8C8C8" w:themeColor="accent3"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380">
    <w:name w:val="清单表 2 - 着色 41"/>
    <w:basedOn w:val="88"/>
    <w:qFormat/>
    <w:uiPriority w:val="47"/>
    <w:tblPr>
      <w:tblBorders>
        <w:top w:val="single" w:color="FFD965" w:themeColor="accent4" w:themeTint="99" w:sz="4" w:space="0"/>
        <w:bottom w:val="single" w:color="FFD965" w:themeColor="accent4" w:themeTint="99" w:sz="4" w:space="0"/>
        <w:insideH w:val="single" w:color="FFD965" w:themeColor="accent4"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EF2CC" w:themeFill="accent4" w:themeFillTint="33"/>
      </w:tcPr>
    </w:tblStylePr>
    <w:tblStylePr w:type="band1Horz">
      <w:tcPr>
        <w:shd w:val="clear" w:color="auto" w:fill="FEF2CC" w:themeFill="accent4" w:themeFillTint="33"/>
      </w:tcPr>
    </w:tblStylePr>
  </w:style>
  <w:style w:type="table" w:customStyle="1" w:styleId="381">
    <w:name w:val="清单表 2 - 着色 51"/>
    <w:basedOn w:val="88"/>
    <w:qFormat/>
    <w:uiPriority w:val="47"/>
    <w:tblPr>
      <w:tblBorders>
        <w:top w:val="single" w:color="8EAADB" w:themeColor="accent5" w:themeTint="99" w:sz="4" w:space="0"/>
        <w:bottom w:val="single" w:color="8EAADB" w:themeColor="accent5" w:themeTint="99" w:sz="4" w:space="0"/>
        <w:insideH w:val="single" w:color="8EAADB" w:themeColor="accent5"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D9E2F3" w:themeFill="accent5" w:themeFillTint="33"/>
      </w:tcPr>
    </w:tblStylePr>
    <w:tblStylePr w:type="band1Horz">
      <w:tcPr>
        <w:shd w:val="clear" w:color="auto" w:fill="D9E2F3" w:themeFill="accent5" w:themeFillTint="33"/>
      </w:tcPr>
    </w:tblStylePr>
  </w:style>
  <w:style w:type="table" w:customStyle="1" w:styleId="382">
    <w:name w:val="清单表 2 - 着色 61"/>
    <w:basedOn w:val="88"/>
    <w:qFormat/>
    <w:uiPriority w:val="47"/>
    <w:tblPr>
      <w:tblBorders>
        <w:top w:val="single" w:color="A8D08D" w:themeColor="accent6" w:themeTint="99" w:sz="4" w:space="0"/>
        <w:bottom w:val="single" w:color="A8D08D" w:themeColor="accent6" w:themeTint="99" w:sz="4" w:space="0"/>
        <w:insideH w:val="single" w:color="A8D08D" w:themeColor="accent6"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383">
    <w:name w:val="清单表 31"/>
    <w:basedOn w:val="88"/>
    <w:qFormat/>
    <w:uiPriority w:val="48"/>
    <w:tblPr>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b/>
        <w:bCs/>
        <w:color w:val="FFFFFF" w:themeColor="background1"/>
        <w14:textFill>
          <w14:solidFill>
            <w14:schemeClr w14:val="bg1"/>
          </w14:solidFill>
        </w14:textFill>
      </w:rPr>
      <w:tcPr>
        <w:shd w:val="clear" w:color="auto" w:fill="000000" w:themeFill="text1"/>
      </w:tcPr>
    </w:tblStylePr>
    <w:tblStylePr w:type="lastRow">
      <w:rPr>
        <w:b/>
        <w:bCs/>
      </w:rPr>
      <w:tcPr>
        <w:tcBorders>
          <w:top w:val="double" w:color="000000" w:themeColor="text1"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000000" w:themeColor="text1" w:sz="4" w:space="0"/>
          <w:right w:val="single" w:color="000000" w:themeColor="text1" w:sz="4" w:space="0"/>
        </w:tcBorders>
      </w:tcPr>
    </w:tblStylePr>
    <w:tblStylePr w:type="band1Horz">
      <w:tcPr>
        <w:tcBorders>
          <w:top w:val="single" w:color="000000" w:themeColor="text1" w:sz="4" w:space="0"/>
          <w:bottom w:val="single" w:color="000000" w:themeColor="text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000000" w:themeColor="text1" w:sz="4" w:space="0"/>
          <w:left w:val="nil"/>
        </w:tcBorders>
      </w:tcPr>
    </w:tblStylePr>
    <w:tblStylePr w:type="swCell">
      <w:tcPr>
        <w:tcBorders>
          <w:top w:val="double" w:color="000000" w:themeColor="text1" w:sz="4" w:space="0"/>
          <w:right w:val="nil"/>
        </w:tcBorders>
      </w:tcPr>
    </w:tblStylePr>
  </w:style>
  <w:style w:type="table" w:customStyle="1" w:styleId="384">
    <w:name w:val="清单表 3 - 着色 11"/>
    <w:basedOn w:val="88"/>
    <w:qFormat/>
    <w:uiPriority w:val="48"/>
    <w:tblPr>
      <w:tblBorders>
        <w:top w:val="single" w:color="5B9BD5" w:themeColor="accent1" w:sz="4" w:space="0"/>
        <w:left w:val="single" w:color="5B9BD5" w:themeColor="accent1" w:sz="4" w:space="0"/>
        <w:bottom w:val="single" w:color="5B9BD5" w:themeColor="accent1" w:sz="4" w:space="0"/>
        <w:right w:val="single" w:color="5B9BD5" w:themeColor="accent1" w:sz="4" w:space="0"/>
      </w:tblBorders>
    </w:tblPr>
    <w:tblStylePr w:type="firstRow">
      <w:rPr>
        <w:b/>
        <w:bCs/>
        <w:color w:val="FFFFFF" w:themeColor="background1"/>
        <w14:textFill>
          <w14:solidFill>
            <w14:schemeClr w14:val="bg1"/>
          </w14:solidFill>
        </w14:textFill>
      </w:rPr>
      <w:tcPr>
        <w:shd w:val="clear" w:color="auto" w:fill="5B9BD5" w:themeFill="accent1"/>
      </w:tcPr>
    </w:tblStylePr>
    <w:tblStylePr w:type="lastRow">
      <w:rPr>
        <w:b/>
        <w:bCs/>
      </w:rPr>
      <w:tcPr>
        <w:tcBorders>
          <w:top w:val="double" w:color="5B9BD5" w:themeColor="accent1"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5B9BD5" w:themeColor="accent1" w:sz="4" w:space="0"/>
          <w:right w:val="single" w:color="5B9BD5" w:themeColor="accent1" w:sz="4" w:space="0"/>
        </w:tcBorders>
      </w:tcPr>
    </w:tblStylePr>
    <w:tblStylePr w:type="band1Horz">
      <w:tcPr>
        <w:tcBorders>
          <w:top w:val="single" w:color="5B9BD5" w:themeColor="accent1" w:sz="4" w:space="0"/>
          <w:bottom w:val="single" w:color="5B9BD5" w:themeColor="accent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5B9BD5" w:themeColor="accent1" w:sz="4" w:space="0"/>
          <w:left w:val="nil"/>
        </w:tcBorders>
      </w:tcPr>
    </w:tblStylePr>
    <w:tblStylePr w:type="swCell">
      <w:tcPr>
        <w:tcBorders>
          <w:top w:val="double" w:color="5B9BD5" w:themeColor="accent1" w:sz="4" w:space="0"/>
          <w:right w:val="nil"/>
        </w:tcBorders>
      </w:tcPr>
    </w:tblStylePr>
  </w:style>
  <w:style w:type="table" w:customStyle="1" w:styleId="385">
    <w:name w:val="清单表 3 - 着色 21"/>
    <w:basedOn w:val="88"/>
    <w:qFormat/>
    <w:uiPriority w:val="48"/>
    <w:tblPr>
      <w:tblBorders>
        <w:top w:val="single" w:color="ED7D31" w:themeColor="accent2" w:sz="4" w:space="0"/>
        <w:left w:val="single" w:color="ED7D31" w:themeColor="accent2" w:sz="4" w:space="0"/>
        <w:bottom w:val="single" w:color="ED7D31" w:themeColor="accent2" w:sz="4" w:space="0"/>
        <w:right w:val="single" w:color="ED7D31" w:themeColor="accent2" w:sz="4" w:space="0"/>
      </w:tblBorders>
    </w:tblPr>
    <w:tblStylePr w:type="firstRow">
      <w:rPr>
        <w:b/>
        <w:bCs/>
        <w:color w:val="FFFFFF" w:themeColor="background1"/>
        <w14:textFill>
          <w14:solidFill>
            <w14:schemeClr w14:val="bg1"/>
          </w14:solidFill>
        </w14:textFill>
      </w:rPr>
      <w:tcPr>
        <w:shd w:val="clear" w:color="auto" w:fill="ED7D31" w:themeFill="accent2"/>
      </w:tcPr>
    </w:tblStylePr>
    <w:tblStylePr w:type="lastRow">
      <w:rPr>
        <w:b/>
        <w:bCs/>
      </w:rPr>
      <w:tcPr>
        <w:tcBorders>
          <w:top w:val="double" w:color="ED7D31" w:themeColor="accent2"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ED7D31" w:themeColor="accent2" w:sz="4" w:space="0"/>
          <w:right w:val="single" w:color="ED7D31" w:themeColor="accent2" w:sz="4" w:space="0"/>
        </w:tcBorders>
      </w:tcPr>
    </w:tblStylePr>
    <w:tblStylePr w:type="band1Horz">
      <w:tcPr>
        <w:tcBorders>
          <w:top w:val="single" w:color="ED7D31" w:themeColor="accent2" w:sz="4" w:space="0"/>
          <w:bottom w:val="single" w:color="ED7D31" w:themeColor="accent2"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ED7D31" w:themeColor="accent2" w:sz="4" w:space="0"/>
          <w:left w:val="nil"/>
        </w:tcBorders>
      </w:tcPr>
    </w:tblStylePr>
    <w:tblStylePr w:type="swCell">
      <w:tcPr>
        <w:tcBorders>
          <w:top w:val="double" w:color="ED7D31" w:themeColor="accent2" w:sz="4" w:space="0"/>
          <w:right w:val="nil"/>
        </w:tcBorders>
      </w:tcPr>
    </w:tblStylePr>
  </w:style>
  <w:style w:type="table" w:customStyle="1" w:styleId="386">
    <w:name w:val="清单表 3 - 着色 31"/>
    <w:basedOn w:val="88"/>
    <w:qFormat/>
    <w:uiPriority w:val="48"/>
    <w:tblPr>
      <w:tblBorders>
        <w:top w:val="single" w:color="A5A5A5" w:themeColor="accent3" w:sz="4" w:space="0"/>
        <w:left w:val="single" w:color="A5A5A5" w:themeColor="accent3" w:sz="4" w:space="0"/>
        <w:bottom w:val="single" w:color="A5A5A5" w:themeColor="accent3" w:sz="4" w:space="0"/>
        <w:right w:val="single" w:color="A5A5A5" w:themeColor="accent3" w:sz="4" w:space="0"/>
      </w:tblBorders>
    </w:tblPr>
    <w:tblStylePr w:type="firstRow">
      <w:rPr>
        <w:b/>
        <w:bCs/>
        <w:color w:val="FFFFFF" w:themeColor="background1"/>
        <w14:textFill>
          <w14:solidFill>
            <w14:schemeClr w14:val="bg1"/>
          </w14:solidFill>
        </w14:textFill>
      </w:rPr>
      <w:tcPr>
        <w:shd w:val="clear" w:color="auto" w:fill="A5A5A5" w:themeFill="accent3"/>
      </w:tcPr>
    </w:tblStylePr>
    <w:tblStylePr w:type="lastRow">
      <w:rPr>
        <w:b/>
        <w:bCs/>
      </w:rPr>
      <w:tcPr>
        <w:tcBorders>
          <w:top w:val="double" w:color="A5A5A5" w:themeColor="accent3"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A5A5A5" w:themeColor="accent3" w:sz="4" w:space="0"/>
          <w:right w:val="single" w:color="A5A5A5" w:themeColor="accent3" w:sz="4" w:space="0"/>
        </w:tcBorders>
      </w:tcPr>
    </w:tblStylePr>
    <w:tblStylePr w:type="band1Horz">
      <w:tcPr>
        <w:tcBorders>
          <w:top w:val="single" w:color="A5A5A5" w:themeColor="accent3" w:sz="4" w:space="0"/>
          <w:bottom w:val="single" w:color="A5A5A5" w:themeColor="accent3"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A5A5A5" w:themeColor="accent3" w:sz="4" w:space="0"/>
          <w:left w:val="nil"/>
        </w:tcBorders>
      </w:tcPr>
    </w:tblStylePr>
    <w:tblStylePr w:type="swCell">
      <w:tcPr>
        <w:tcBorders>
          <w:top w:val="double" w:color="A5A5A5" w:themeColor="accent3" w:sz="4" w:space="0"/>
          <w:right w:val="nil"/>
        </w:tcBorders>
      </w:tcPr>
    </w:tblStylePr>
  </w:style>
  <w:style w:type="table" w:customStyle="1" w:styleId="387">
    <w:name w:val="清单表 3 - 着色 41"/>
    <w:basedOn w:val="88"/>
    <w:qFormat/>
    <w:uiPriority w:val="48"/>
    <w:tblPr>
      <w:tblBorders>
        <w:top w:val="single" w:color="FFC000" w:themeColor="accent4" w:sz="4" w:space="0"/>
        <w:left w:val="single" w:color="FFC000" w:themeColor="accent4" w:sz="4" w:space="0"/>
        <w:bottom w:val="single" w:color="FFC000" w:themeColor="accent4" w:sz="4" w:space="0"/>
        <w:right w:val="single" w:color="FFC000" w:themeColor="accent4" w:sz="4" w:space="0"/>
      </w:tblBorders>
    </w:tblPr>
    <w:tblStylePr w:type="firstRow">
      <w:rPr>
        <w:b/>
        <w:bCs/>
        <w:color w:val="FFFFFF" w:themeColor="background1"/>
        <w14:textFill>
          <w14:solidFill>
            <w14:schemeClr w14:val="bg1"/>
          </w14:solidFill>
        </w14:textFill>
      </w:rPr>
      <w:tcPr>
        <w:shd w:val="clear" w:color="auto" w:fill="FFC000" w:themeFill="accent4"/>
      </w:tcPr>
    </w:tblStylePr>
    <w:tblStylePr w:type="lastRow">
      <w:rPr>
        <w:b/>
        <w:bCs/>
      </w:rPr>
      <w:tcPr>
        <w:tcBorders>
          <w:top w:val="double" w:color="FFC000" w:themeColor="accent4"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FFC000" w:themeColor="accent4" w:sz="4" w:space="0"/>
          <w:right w:val="single" w:color="FFC000" w:themeColor="accent4" w:sz="4" w:space="0"/>
        </w:tcBorders>
      </w:tcPr>
    </w:tblStylePr>
    <w:tblStylePr w:type="band1Horz">
      <w:tcPr>
        <w:tcBorders>
          <w:top w:val="single" w:color="FFC000" w:themeColor="accent4" w:sz="4" w:space="0"/>
          <w:bottom w:val="single" w:color="FFC000" w:themeColor="accent4"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FFC000" w:themeColor="accent4" w:sz="4" w:space="0"/>
          <w:left w:val="nil"/>
        </w:tcBorders>
      </w:tcPr>
    </w:tblStylePr>
    <w:tblStylePr w:type="swCell">
      <w:tcPr>
        <w:tcBorders>
          <w:top w:val="double" w:color="FFC000" w:themeColor="accent4" w:sz="4" w:space="0"/>
          <w:right w:val="nil"/>
        </w:tcBorders>
      </w:tcPr>
    </w:tblStylePr>
  </w:style>
  <w:style w:type="table" w:customStyle="1" w:styleId="388">
    <w:name w:val="清单表 3 - 着色 51"/>
    <w:basedOn w:val="88"/>
    <w:qFormat/>
    <w:uiPriority w:val="48"/>
    <w:tblPr>
      <w:tblBorders>
        <w:top w:val="single" w:color="4472C4" w:themeColor="accent5" w:sz="4" w:space="0"/>
        <w:left w:val="single" w:color="4472C4" w:themeColor="accent5" w:sz="4" w:space="0"/>
        <w:bottom w:val="single" w:color="4472C4" w:themeColor="accent5" w:sz="4" w:space="0"/>
        <w:right w:val="single" w:color="4472C4" w:themeColor="accent5" w:sz="4" w:space="0"/>
      </w:tblBorders>
    </w:tblPr>
    <w:tblStylePr w:type="firstRow">
      <w:rPr>
        <w:b/>
        <w:bCs/>
        <w:color w:val="FFFFFF" w:themeColor="background1"/>
        <w14:textFill>
          <w14:solidFill>
            <w14:schemeClr w14:val="bg1"/>
          </w14:solidFill>
        </w14:textFill>
      </w:rPr>
      <w:tcPr>
        <w:shd w:val="clear" w:color="auto" w:fill="4472C4" w:themeFill="accent5"/>
      </w:tcPr>
    </w:tblStylePr>
    <w:tblStylePr w:type="lastRow">
      <w:rPr>
        <w:b/>
        <w:bCs/>
      </w:rPr>
      <w:tcPr>
        <w:tcBorders>
          <w:top w:val="double" w:color="4472C4" w:themeColor="accent5"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4472C4" w:themeColor="accent5" w:sz="4" w:space="0"/>
          <w:right w:val="single" w:color="4472C4" w:themeColor="accent5" w:sz="4" w:space="0"/>
        </w:tcBorders>
      </w:tcPr>
    </w:tblStylePr>
    <w:tblStylePr w:type="band1Horz">
      <w:tcPr>
        <w:tcBorders>
          <w:top w:val="single" w:color="4472C4" w:themeColor="accent5" w:sz="4" w:space="0"/>
          <w:bottom w:val="single" w:color="4472C4" w:themeColor="accent5"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4472C4" w:themeColor="accent5" w:sz="4" w:space="0"/>
          <w:left w:val="nil"/>
        </w:tcBorders>
      </w:tcPr>
    </w:tblStylePr>
    <w:tblStylePr w:type="swCell">
      <w:tcPr>
        <w:tcBorders>
          <w:top w:val="double" w:color="4472C4" w:themeColor="accent5" w:sz="4" w:space="0"/>
          <w:right w:val="nil"/>
        </w:tcBorders>
      </w:tcPr>
    </w:tblStylePr>
  </w:style>
  <w:style w:type="table" w:customStyle="1" w:styleId="389">
    <w:name w:val="清单表 3 - 着色 61"/>
    <w:basedOn w:val="88"/>
    <w:qFormat/>
    <w:uiPriority w:val="48"/>
    <w:tblPr>
      <w:tblBorders>
        <w:top w:val="single" w:color="70AD47" w:themeColor="accent6" w:sz="4" w:space="0"/>
        <w:left w:val="single" w:color="70AD47" w:themeColor="accent6" w:sz="4" w:space="0"/>
        <w:bottom w:val="single" w:color="70AD47" w:themeColor="accent6" w:sz="4" w:space="0"/>
        <w:right w:val="single" w:color="70AD47" w:themeColor="accent6" w:sz="4" w:space="0"/>
      </w:tblBorders>
    </w:tblPr>
    <w:tblStylePr w:type="firstRow">
      <w:rPr>
        <w:b/>
        <w:bCs/>
        <w:color w:val="FFFFFF" w:themeColor="background1"/>
        <w14:textFill>
          <w14:solidFill>
            <w14:schemeClr w14:val="bg1"/>
          </w14:solidFill>
        </w14:textFill>
      </w:rPr>
      <w:tcPr>
        <w:shd w:val="clear" w:color="auto" w:fill="70AD47" w:themeFill="accent6"/>
      </w:tcPr>
    </w:tblStylePr>
    <w:tblStylePr w:type="lastRow">
      <w:rPr>
        <w:b/>
        <w:bCs/>
      </w:rPr>
      <w:tcPr>
        <w:tcBorders>
          <w:top w:val="double" w:color="70AD47" w:themeColor="accent6"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70AD47" w:themeColor="accent6" w:sz="4" w:space="0"/>
          <w:right w:val="single" w:color="70AD47" w:themeColor="accent6" w:sz="4" w:space="0"/>
        </w:tcBorders>
      </w:tcPr>
    </w:tblStylePr>
    <w:tblStylePr w:type="band1Horz">
      <w:tcPr>
        <w:tcBorders>
          <w:top w:val="single" w:color="70AD47" w:themeColor="accent6" w:sz="4" w:space="0"/>
          <w:bottom w:val="single" w:color="70AD47" w:themeColor="accent6"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70AD47" w:themeColor="accent6" w:sz="4" w:space="0"/>
          <w:left w:val="nil"/>
        </w:tcBorders>
      </w:tcPr>
    </w:tblStylePr>
    <w:tblStylePr w:type="swCell">
      <w:tcPr>
        <w:tcBorders>
          <w:top w:val="double" w:color="70AD47" w:themeColor="accent6" w:sz="4" w:space="0"/>
          <w:right w:val="nil"/>
        </w:tcBorders>
      </w:tcPr>
    </w:tblStylePr>
  </w:style>
  <w:style w:type="table" w:customStyle="1" w:styleId="390">
    <w:name w:val="清单表 41"/>
    <w:basedOn w:val="88"/>
    <w:qFormat/>
    <w:uiPriority w:val="49"/>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tblBorders>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tcBorders>
        <w:shd w:val="clear" w:color="auto" w:fill="000000" w:themeFill="text1"/>
      </w:tcPr>
    </w:tblStylePr>
    <w:tblStylePr w:type="lastRow">
      <w:rPr>
        <w:b/>
        <w:bCs/>
      </w:rPr>
      <w:tcPr>
        <w:tcBorders>
          <w:top w:val="doub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91">
    <w:name w:val="清单表 4 - 着色 11"/>
    <w:basedOn w:val="88"/>
    <w:qFormat/>
    <w:uiPriority w:val="49"/>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tblBorders>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tcBorders>
        <w:shd w:val="clear" w:color="auto" w:fill="5B9BD5" w:themeFill="accent1"/>
      </w:tcPr>
    </w:tblStylePr>
    <w:tblStylePr w:type="lastRow">
      <w:rPr>
        <w:b/>
        <w:bCs/>
      </w:rPr>
      <w:tcPr>
        <w:tcBorders>
          <w:top w:val="double" w:color="9CC2E5" w:themeColor="accent1" w:themeTint="99"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table" w:customStyle="1" w:styleId="392">
    <w:name w:val="清单表 4 - 着色 21"/>
    <w:basedOn w:val="88"/>
    <w:qFormat/>
    <w:uiPriority w:val="49"/>
    <w:tblPr>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tblBorders>
    </w:tblPr>
    <w:tblStylePr w:type="firstRow">
      <w:rPr>
        <w:b/>
        <w:bCs/>
        <w:color w:val="FFFFFF" w:themeColor="background1"/>
        <w14:textFill>
          <w14:solidFill>
            <w14:schemeClr w14:val="bg1"/>
          </w14:solidFill>
        </w14:textFill>
      </w:rPr>
      <w:tcPr>
        <w:tcBorders>
          <w:top w:val="single" w:color="ED7D31" w:themeColor="accent2" w:sz="4" w:space="0"/>
          <w:left w:val="single" w:color="ED7D31" w:themeColor="accent2" w:sz="4" w:space="0"/>
          <w:bottom w:val="single" w:color="ED7D31" w:themeColor="accent2" w:sz="4" w:space="0"/>
          <w:right w:val="single" w:color="ED7D31" w:themeColor="accent2" w:sz="4" w:space="0"/>
          <w:insideH w:val="nil"/>
        </w:tcBorders>
        <w:shd w:val="clear" w:color="auto" w:fill="ED7D31" w:themeFill="accent2"/>
      </w:tcPr>
    </w:tblStylePr>
    <w:tblStylePr w:type="lastRow">
      <w:rPr>
        <w:b/>
        <w:bCs/>
      </w:rPr>
      <w:tcPr>
        <w:tcBorders>
          <w:top w:val="double" w:color="F4B083" w:themeColor="accent2" w:themeTint="99" w:sz="4" w:space="0"/>
        </w:tcBorders>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393">
    <w:name w:val="清单表 4 - 着色 31"/>
    <w:basedOn w:val="88"/>
    <w:qFormat/>
    <w:uiPriority w:val="49"/>
    <w:tblPr>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tblBorders>
    </w:tblPr>
    <w:tblStylePr w:type="firstRow">
      <w:rPr>
        <w:b/>
        <w:bCs/>
        <w:color w:val="FFFFFF" w:themeColor="background1"/>
        <w14:textFill>
          <w14:solidFill>
            <w14:schemeClr w14:val="bg1"/>
          </w14:solidFill>
        </w14:textFill>
      </w:rPr>
      <w:tcPr>
        <w:tcBorders>
          <w:top w:val="single" w:color="A5A5A5" w:themeColor="accent3" w:sz="4" w:space="0"/>
          <w:left w:val="single" w:color="A5A5A5" w:themeColor="accent3" w:sz="4" w:space="0"/>
          <w:bottom w:val="single" w:color="A5A5A5" w:themeColor="accent3" w:sz="4" w:space="0"/>
          <w:right w:val="single" w:color="A5A5A5" w:themeColor="accent3" w:sz="4" w:space="0"/>
          <w:insideH w:val="nil"/>
        </w:tcBorders>
        <w:shd w:val="clear" w:color="auto" w:fill="A5A5A5" w:themeFill="accent3"/>
      </w:tcPr>
    </w:tblStylePr>
    <w:tblStylePr w:type="lastRow">
      <w:rPr>
        <w:b/>
        <w:bCs/>
      </w:rPr>
      <w:tcPr>
        <w:tcBorders>
          <w:top w:val="double" w:color="C8C8C8" w:themeColor="accent3" w:themeTint="99"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394">
    <w:name w:val="清单表 4 - 着色 41"/>
    <w:basedOn w:val="88"/>
    <w:qFormat/>
    <w:uiPriority w:val="49"/>
    <w:tblPr>
      <w:tblBorders>
        <w:top w:val="single" w:color="FFD965" w:themeColor="accent4" w:themeTint="99" w:sz="4" w:space="0"/>
        <w:left w:val="single" w:color="FFD965" w:themeColor="accent4" w:themeTint="99" w:sz="4" w:space="0"/>
        <w:bottom w:val="single" w:color="FFD965" w:themeColor="accent4" w:themeTint="99" w:sz="4" w:space="0"/>
        <w:right w:val="single" w:color="FFD965" w:themeColor="accent4" w:themeTint="99" w:sz="4" w:space="0"/>
        <w:insideH w:val="single" w:color="FFD965" w:themeColor="accent4" w:themeTint="99" w:sz="4" w:space="0"/>
      </w:tblBorders>
    </w:tblPr>
    <w:tblStylePr w:type="firstRow">
      <w:rPr>
        <w:b/>
        <w:bCs/>
        <w:color w:val="FFFFFF" w:themeColor="background1"/>
        <w14:textFill>
          <w14:solidFill>
            <w14:schemeClr w14:val="bg1"/>
          </w14:solidFill>
        </w14:textFill>
      </w:rPr>
      <w:tcPr>
        <w:tcBorders>
          <w:top w:val="single" w:color="FFC000" w:themeColor="accent4" w:sz="4" w:space="0"/>
          <w:left w:val="single" w:color="FFC000" w:themeColor="accent4" w:sz="4" w:space="0"/>
          <w:bottom w:val="single" w:color="FFC000" w:themeColor="accent4" w:sz="4" w:space="0"/>
          <w:right w:val="single" w:color="FFC000" w:themeColor="accent4" w:sz="4" w:space="0"/>
          <w:insideH w:val="nil"/>
        </w:tcBorders>
        <w:shd w:val="clear" w:color="auto" w:fill="FFC000" w:themeFill="accent4"/>
      </w:tcPr>
    </w:tblStylePr>
    <w:tblStylePr w:type="lastRow">
      <w:rPr>
        <w:b/>
        <w:bCs/>
      </w:rPr>
      <w:tcPr>
        <w:tcBorders>
          <w:top w:val="double" w:color="FFD965" w:themeColor="accent4" w:themeTint="99" w:sz="4" w:space="0"/>
        </w:tcBorders>
      </w:tcPr>
    </w:tblStylePr>
    <w:tblStylePr w:type="firstCol">
      <w:rPr>
        <w:b/>
        <w:bCs/>
      </w:rPr>
    </w:tblStylePr>
    <w:tblStylePr w:type="lastCol">
      <w:rPr>
        <w:b/>
        <w:bCs/>
      </w:rPr>
    </w:tblStylePr>
    <w:tblStylePr w:type="band1Vert">
      <w:tcPr>
        <w:shd w:val="clear" w:color="auto" w:fill="FEF2CC" w:themeFill="accent4" w:themeFillTint="33"/>
      </w:tcPr>
    </w:tblStylePr>
    <w:tblStylePr w:type="band1Horz">
      <w:tcPr>
        <w:shd w:val="clear" w:color="auto" w:fill="FEF2CC" w:themeFill="accent4" w:themeFillTint="33"/>
      </w:tcPr>
    </w:tblStylePr>
  </w:style>
  <w:style w:type="table" w:customStyle="1" w:styleId="395">
    <w:name w:val="清单表 4 - 着色 51"/>
    <w:basedOn w:val="88"/>
    <w:qFormat/>
    <w:uiPriority w:val="49"/>
    <w:tblPr>
      <w:tblBorders>
        <w:top w:val="single" w:color="8EAADB" w:themeColor="accent5" w:themeTint="99" w:sz="4" w:space="0"/>
        <w:left w:val="single" w:color="8EAADB" w:themeColor="accent5" w:themeTint="99" w:sz="4" w:space="0"/>
        <w:bottom w:val="single" w:color="8EAADB" w:themeColor="accent5" w:themeTint="99" w:sz="4" w:space="0"/>
        <w:right w:val="single" w:color="8EAADB" w:themeColor="accent5" w:themeTint="99" w:sz="4" w:space="0"/>
        <w:insideH w:val="single" w:color="8EAADB" w:themeColor="accent5" w:themeTint="99" w:sz="4" w:space="0"/>
      </w:tblBorders>
    </w:tblPr>
    <w:tblStylePr w:type="firstRow">
      <w:rPr>
        <w:b/>
        <w:bCs/>
        <w:color w:val="FFFFFF" w:themeColor="background1"/>
        <w14:textFill>
          <w14:solidFill>
            <w14:schemeClr w14:val="bg1"/>
          </w14:solidFill>
        </w14:textFill>
      </w:rPr>
      <w:tcPr>
        <w:tcBorders>
          <w:top w:val="single" w:color="4472C4" w:themeColor="accent5" w:sz="4" w:space="0"/>
          <w:left w:val="single" w:color="4472C4" w:themeColor="accent5" w:sz="4" w:space="0"/>
          <w:bottom w:val="single" w:color="4472C4" w:themeColor="accent5" w:sz="4" w:space="0"/>
          <w:right w:val="single" w:color="4472C4" w:themeColor="accent5" w:sz="4" w:space="0"/>
          <w:insideH w:val="nil"/>
        </w:tcBorders>
        <w:shd w:val="clear" w:color="auto" w:fill="4472C4" w:themeFill="accent5"/>
      </w:tcPr>
    </w:tblStylePr>
    <w:tblStylePr w:type="lastRow">
      <w:rPr>
        <w:b/>
        <w:bCs/>
      </w:rPr>
      <w:tcPr>
        <w:tcBorders>
          <w:top w:val="double" w:color="8EAADB" w:themeColor="accent5" w:themeTint="99" w:sz="4" w:space="0"/>
        </w:tcBorders>
      </w:tcPr>
    </w:tblStylePr>
    <w:tblStylePr w:type="firstCol">
      <w:rPr>
        <w:b/>
        <w:bCs/>
      </w:rPr>
    </w:tblStylePr>
    <w:tblStylePr w:type="lastCol">
      <w:rPr>
        <w:b/>
        <w:bCs/>
      </w:rPr>
    </w:tblStylePr>
    <w:tblStylePr w:type="band1Vert">
      <w:tcPr>
        <w:shd w:val="clear" w:color="auto" w:fill="D9E2F3" w:themeFill="accent5" w:themeFillTint="33"/>
      </w:tcPr>
    </w:tblStylePr>
    <w:tblStylePr w:type="band1Horz">
      <w:tcPr>
        <w:shd w:val="clear" w:color="auto" w:fill="D9E2F3" w:themeFill="accent5" w:themeFillTint="33"/>
      </w:tcPr>
    </w:tblStylePr>
  </w:style>
  <w:style w:type="table" w:customStyle="1" w:styleId="396">
    <w:name w:val="清单表 4 - 着色 61"/>
    <w:basedOn w:val="88"/>
    <w:qFormat/>
    <w:uiPriority w:val="49"/>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tblBorders>
    </w:tblPr>
    <w:tblStylePr w:type="firstRow">
      <w:rPr>
        <w:b/>
        <w:bCs/>
        <w:color w:val="FFFFFF" w:themeColor="background1"/>
        <w14:textFill>
          <w14:solidFill>
            <w14:schemeClr w14:val="bg1"/>
          </w14:solidFill>
        </w14:textFill>
      </w:rPr>
      <w:tcPr>
        <w:tcBorders>
          <w:top w:val="single" w:color="70AD47" w:themeColor="accent6" w:sz="4" w:space="0"/>
          <w:left w:val="single" w:color="70AD47" w:themeColor="accent6" w:sz="4" w:space="0"/>
          <w:bottom w:val="single" w:color="70AD47" w:themeColor="accent6" w:sz="4" w:space="0"/>
          <w:right w:val="single" w:color="70AD47" w:themeColor="accent6" w:sz="4" w:space="0"/>
          <w:insideH w:val="nil"/>
        </w:tcBorders>
        <w:shd w:val="clear" w:color="auto" w:fill="70AD47" w:themeFill="accent6"/>
      </w:tcPr>
    </w:tblStylePr>
    <w:tblStylePr w:type="lastRow">
      <w:rPr>
        <w:b/>
        <w:bCs/>
      </w:rPr>
      <w:tcPr>
        <w:tcBorders>
          <w:top w:val="double" w:color="A8D08D" w:themeColor="accent6" w:themeTint="99"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397">
    <w:name w:val="清单表 5 深色1"/>
    <w:basedOn w:val="88"/>
    <w:qFormat/>
    <w:uiPriority w:val="50"/>
    <w:rPr>
      <w:color w:val="FFFFFF" w:themeColor="background1"/>
      <w14:textFill>
        <w14:solidFill>
          <w14:schemeClr w14:val="bg1"/>
        </w14:solidFill>
      </w14:textFill>
    </w:rPr>
    <w:tblPr>
      <w:tblBorders>
        <w:top w:val="single" w:color="000000" w:themeColor="text1" w:sz="24" w:space="0"/>
        <w:left w:val="single" w:color="000000" w:themeColor="text1" w:sz="24" w:space="0"/>
        <w:bottom w:val="single" w:color="000000" w:themeColor="text1" w:sz="24" w:space="0"/>
        <w:right w:val="single" w:color="000000" w:themeColor="text1" w:sz="24" w:space="0"/>
      </w:tblBorders>
    </w:tblPr>
    <w:tcPr>
      <w:shd w:val="clear" w:color="auto" w:fill="000000" w:themeFill="text1"/>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398">
    <w:name w:val="清单表 5 深色 - 着色 11"/>
    <w:basedOn w:val="88"/>
    <w:qFormat/>
    <w:uiPriority w:val="50"/>
    <w:rPr>
      <w:color w:val="FFFFFF" w:themeColor="background1"/>
      <w14:textFill>
        <w14:solidFill>
          <w14:schemeClr w14:val="bg1"/>
        </w14:solidFill>
      </w14:textFill>
    </w:rPr>
    <w:tblPr>
      <w:tblBorders>
        <w:top w:val="single" w:color="5B9BD5" w:themeColor="accent1" w:sz="24" w:space="0"/>
        <w:left w:val="single" w:color="5B9BD5" w:themeColor="accent1" w:sz="24" w:space="0"/>
        <w:bottom w:val="single" w:color="5B9BD5" w:themeColor="accent1" w:sz="24" w:space="0"/>
        <w:right w:val="single" w:color="5B9BD5" w:themeColor="accent1" w:sz="24" w:space="0"/>
      </w:tblBorders>
    </w:tblPr>
    <w:tcPr>
      <w:shd w:val="clear" w:color="auto" w:fill="5B9BD5" w:themeFill="accent1"/>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399">
    <w:name w:val="清单表 5 深色 - 着色 21"/>
    <w:basedOn w:val="88"/>
    <w:qFormat/>
    <w:uiPriority w:val="50"/>
    <w:rPr>
      <w:color w:val="FFFFFF" w:themeColor="background1"/>
      <w14:textFill>
        <w14:solidFill>
          <w14:schemeClr w14:val="bg1"/>
        </w14:solidFill>
      </w14:textFill>
    </w:rPr>
    <w:tblPr>
      <w:tblBorders>
        <w:top w:val="single" w:color="ED7D31" w:themeColor="accent2" w:sz="24" w:space="0"/>
        <w:left w:val="single" w:color="ED7D31" w:themeColor="accent2" w:sz="24" w:space="0"/>
        <w:bottom w:val="single" w:color="ED7D31" w:themeColor="accent2" w:sz="24" w:space="0"/>
        <w:right w:val="single" w:color="ED7D31" w:themeColor="accent2" w:sz="24" w:space="0"/>
      </w:tblBorders>
    </w:tblPr>
    <w:tcPr>
      <w:shd w:val="clear" w:color="auto" w:fill="ED7D31" w:themeFill="accent2"/>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400">
    <w:name w:val="清单表 5 深色 - 着色 31"/>
    <w:basedOn w:val="88"/>
    <w:qFormat/>
    <w:uiPriority w:val="50"/>
    <w:rPr>
      <w:color w:val="FFFFFF" w:themeColor="background1"/>
      <w14:textFill>
        <w14:solidFill>
          <w14:schemeClr w14:val="bg1"/>
        </w14:solidFill>
      </w14:textFill>
    </w:rPr>
    <w:tblPr>
      <w:tblBorders>
        <w:top w:val="single" w:color="A5A5A5" w:themeColor="accent3" w:sz="24" w:space="0"/>
        <w:left w:val="single" w:color="A5A5A5" w:themeColor="accent3" w:sz="24" w:space="0"/>
        <w:bottom w:val="single" w:color="A5A5A5" w:themeColor="accent3" w:sz="24" w:space="0"/>
        <w:right w:val="single" w:color="A5A5A5" w:themeColor="accent3" w:sz="24" w:space="0"/>
      </w:tblBorders>
    </w:tblPr>
    <w:tcPr>
      <w:shd w:val="clear" w:color="auto" w:fill="A5A5A5" w:themeFill="accent3"/>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401">
    <w:name w:val="清单表 5 深色 - 着色 41"/>
    <w:basedOn w:val="88"/>
    <w:qFormat/>
    <w:uiPriority w:val="50"/>
    <w:rPr>
      <w:color w:val="FFFFFF" w:themeColor="background1"/>
      <w14:textFill>
        <w14:solidFill>
          <w14:schemeClr w14:val="bg1"/>
        </w14:solidFill>
      </w14:textFill>
    </w:rPr>
    <w:tblPr>
      <w:tblBorders>
        <w:top w:val="single" w:color="FFC000" w:themeColor="accent4" w:sz="24" w:space="0"/>
        <w:left w:val="single" w:color="FFC000" w:themeColor="accent4" w:sz="24" w:space="0"/>
        <w:bottom w:val="single" w:color="FFC000" w:themeColor="accent4" w:sz="24" w:space="0"/>
        <w:right w:val="single" w:color="FFC000" w:themeColor="accent4" w:sz="24" w:space="0"/>
      </w:tblBorders>
    </w:tblPr>
    <w:tcPr>
      <w:shd w:val="clear" w:color="auto" w:fill="FFC000" w:themeFill="accent4"/>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402">
    <w:name w:val="清单表 5 深色 - 着色 51"/>
    <w:basedOn w:val="88"/>
    <w:qFormat/>
    <w:uiPriority w:val="50"/>
    <w:rPr>
      <w:color w:val="FFFFFF" w:themeColor="background1"/>
      <w14:textFill>
        <w14:solidFill>
          <w14:schemeClr w14:val="bg1"/>
        </w14:solidFill>
      </w14:textFill>
    </w:rPr>
    <w:tblPr>
      <w:tblBorders>
        <w:top w:val="single" w:color="4472C4" w:themeColor="accent5" w:sz="24" w:space="0"/>
        <w:left w:val="single" w:color="4472C4" w:themeColor="accent5" w:sz="24" w:space="0"/>
        <w:bottom w:val="single" w:color="4472C4" w:themeColor="accent5" w:sz="24" w:space="0"/>
        <w:right w:val="single" w:color="4472C4" w:themeColor="accent5" w:sz="24" w:space="0"/>
      </w:tblBorders>
    </w:tblPr>
    <w:tcPr>
      <w:shd w:val="clear" w:color="auto" w:fill="4472C4" w:themeFill="accent5"/>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403">
    <w:name w:val="清单表 5 深色 - 着色 61"/>
    <w:basedOn w:val="88"/>
    <w:qFormat/>
    <w:uiPriority w:val="50"/>
    <w:rPr>
      <w:color w:val="FFFFFF" w:themeColor="background1"/>
      <w14:textFill>
        <w14:solidFill>
          <w14:schemeClr w14:val="bg1"/>
        </w14:solidFill>
      </w14:textFill>
    </w:rPr>
    <w:tblPr>
      <w:tblBorders>
        <w:top w:val="single" w:color="70AD47" w:themeColor="accent6" w:sz="24" w:space="0"/>
        <w:left w:val="single" w:color="70AD47" w:themeColor="accent6" w:sz="24" w:space="0"/>
        <w:bottom w:val="single" w:color="70AD47" w:themeColor="accent6" w:sz="24" w:space="0"/>
        <w:right w:val="single" w:color="70AD47" w:themeColor="accent6" w:sz="24" w:space="0"/>
      </w:tblBorders>
    </w:tblPr>
    <w:tcPr>
      <w:shd w:val="clear" w:color="auto" w:fill="70AD47" w:themeFill="accent6"/>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404">
    <w:name w:val="清单表 6 彩色1"/>
    <w:basedOn w:val="88"/>
    <w:qFormat/>
    <w:uiPriority w:val="51"/>
    <w:rPr>
      <w:color w:val="000000" w:themeColor="text1"/>
      <w14:textFill>
        <w14:solidFill>
          <w14:schemeClr w14:val="tx1"/>
        </w14:solidFill>
      </w14:textFill>
    </w:rPr>
    <w:tblPr>
      <w:tblBorders>
        <w:top w:val="single" w:color="000000" w:themeColor="text1" w:sz="4" w:space="0"/>
        <w:bottom w:val="single" w:color="000000" w:themeColor="text1" w:sz="4" w:space="0"/>
      </w:tblBorders>
    </w:tblPr>
    <w:tblStylePr w:type="firstRow">
      <w:rPr>
        <w:b/>
        <w:bCs/>
      </w:rPr>
      <w:tcPr>
        <w:tcBorders>
          <w:bottom w:val="single" w:color="000000" w:themeColor="text1" w:sz="4" w:space="0"/>
        </w:tcBorders>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405">
    <w:name w:val="清单表 6 彩色 - 着色 11"/>
    <w:basedOn w:val="88"/>
    <w:qFormat/>
    <w:uiPriority w:val="51"/>
    <w:rPr>
      <w:color w:val="2E75B6" w:themeColor="accent1" w:themeShade="BF"/>
    </w:rPr>
    <w:tblPr>
      <w:tblBorders>
        <w:top w:val="single" w:color="5B9BD5" w:themeColor="accent1" w:sz="4" w:space="0"/>
        <w:bottom w:val="single" w:color="5B9BD5" w:themeColor="accent1" w:sz="4" w:space="0"/>
      </w:tblBorders>
    </w:tblPr>
    <w:tblStylePr w:type="firstRow">
      <w:rPr>
        <w:b/>
        <w:bCs/>
      </w:rPr>
      <w:tcPr>
        <w:tcBorders>
          <w:bottom w:val="single" w:color="5B9BD5" w:themeColor="accent1" w:sz="4" w:space="0"/>
        </w:tcBorders>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table" w:customStyle="1" w:styleId="406">
    <w:name w:val="清单表 6 彩色 - 着色 21"/>
    <w:basedOn w:val="88"/>
    <w:qFormat/>
    <w:uiPriority w:val="51"/>
    <w:rPr>
      <w:color w:val="C55A11" w:themeColor="accent2" w:themeShade="BF"/>
    </w:rPr>
    <w:tblPr>
      <w:tblBorders>
        <w:top w:val="single" w:color="ED7D31" w:themeColor="accent2" w:sz="4" w:space="0"/>
        <w:bottom w:val="single" w:color="ED7D31" w:themeColor="accent2" w:sz="4" w:space="0"/>
      </w:tblBorders>
    </w:tblPr>
    <w:tblStylePr w:type="firstRow">
      <w:rPr>
        <w:b/>
        <w:bCs/>
      </w:rPr>
      <w:tcPr>
        <w:tcBorders>
          <w:bottom w:val="single" w:color="ED7D31" w:themeColor="accent2" w:sz="4" w:space="0"/>
        </w:tcBorders>
      </w:tcPr>
    </w:tblStylePr>
    <w:tblStylePr w:type="lastRow">
      <w:rPr>
        <w:b/>
        <w:bCs/>
      </w:rPr>
      <w:tcPr>
        <w:tcBorders>
          <w:top w:val="double" w:color="ED7D31" w:themeColor="accent2" w:sz="4" w:space="0"/>
        </w:tcBorders>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407">
    <w:name w:val="清单表 6 彩色 - 着色 31"/>
    <w:basedOn w:val="88"/>
    <w:qFormat/>
    <w:uiPriority w:val="51"/>
    <w:rPr>
      <w:color w:val="7C7C7C" w:themeColor="accent3" w:themeShade="BF"/>
    </w:rPr>
    <w:tblPr>
      <w:tblBorders>
        <w:top w:val="single" w:color="A5A5A5" w:themeColor="accent3" w:sz="4" w:space="0"/>
        <w:bottom w:val="single" w:color="A5A5A5" w:themeColor="accent3" w:sz="4" w:space="0"/>
      </w:tblBorders>
    </w:tblPr>
    <w:tblStylePr w:type="firstRow">
      <w:rPr>
        <w:b/>
        <w:bCs/>
      </w:rPr>
      <w:tcPr>
        <w:tcBorders>
          <w:bottom w:val="single" w:color="A5A5A5" w:themeColor="accent3" w:sz="4" w:space="0"/>
        </w:tcBorders>
      </w:tcPr>
    </w:tblStylePr>
    <w:tblStylePr w:type="lastRow">
      <w:rPr>
        <w:b/>
        <w:bCs/>
      </w:rPr>
      <w:tcPr>
        <w:tcBorders>
          <w:top w:val="double" w:color="A5A5A5" w:themeColor="accent3"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408">
    <w:name w:val="清单表 6 彩色 - 着色 41"/>
    <w:basedOn w:val="88"/>
    <w:qFormat/>
    <w:uiPriority w:val="51"/>
    <w:rPr>
      <w:color w:val="BF9000" w:themeColor="accent4" w:themeShade="BF"/>
    </w:rPr>
    <w:tblPr>
      <w:tblBorders>
        <w:top w:val="single" w:color="FFC000" w:themeColor="accent4" w:sz="4" w:space="0"/>
        <w:bottom w:val="single" w:color="FFC000" w:themeColor="accent4" w:sz="4" w:space="0"/>
      </w:tblBorders>
    </w:tblPr>
    <w:tblStylePr w:type="firstRow">
      <w:rPr>
        <w:b/>
        <w:bCs/>
      </w:rPr>
      <w:tcPr>
        <w:tcBorders>
          <w:bottom w:val="single" w:color="FFC000" w:themeColor="accent4" w:sz="4" w:space="0"/>
        </w:tcBorders>
      </w:tcPr>
    </w:tblStylePr>
    <w:tblStylePr w:type="lastRow">
      <w:rPr>
        <w:b/>
        <w:bCs/>
      </w:rPr>
      <w:tcPr>
        <w:tcBorders>
          <w:top w:val="double" w:color="FFC000" w:themeColor="accent4" w:sz="4" w:space="0"/>
        </w:tcBorders>
      </w:tcPr>
    </w:tblStylePr>
    <w:tblStylePr w:type="firstCol">
      <w:rPr>
        <w:b/>
        <w:bCs/>
      </w:rPr>
    </w:tblStylePr>
    <w:tblStylePr w:type="lastCol">
      <w:rPr>
        <w:b/>
        <w:bCs/>
      </w:rPr>
    </w:tblStylePr>
    <w:tblStylePr w:type="band1Vert">
      <w:tcPr>
        <w:shd w:val="clear" w:color="auto" w:fill="FEF2CC" w:themeFill="accent4" w:themeFillTint="33"/>
      </w:tcPr>
    </w:tblStylePr>
    <w:tblStylePr w:type="band1Horz">
      <w:tcPr>
        <w:shd w:val="clear" w:color="auto" w:fill="FEF2CC" w:themeFill="accent4" w:themeFillTint="33"/>
      </w:tcPr>
    </w:tblStylePr>
  </w:style>
  <w:style w:type="table" w:customStyle="1" w:styleId="409">
    <w:name w:val="清单表 6 彩色 - 着色 51"/>
    <w:basedOn w:val="88"/>
    <w:qFormat/>
    <w:uiPriority w:val="51"/>
    <w:rPr>
      <w:color w:val="2F5597" w:themeColor="accent5" w:themeShade="BF"/>
    </w:rPr>
    <w:tblPr>
      <w:tblBorders>
        <w:top w:val="single" w:color="4472C4" w:themeColor="accent5" w:sz="4" w:space="0"/>
        <w:bottom w:val="single" w:color="4472C4" w:themeColor="accent5" w:sz="4" w:space="0"/>
      </w:tblBorders>
    </w:tblPr>
    <w:tblStylePr w:type="firstRow">
      <w:rPr>
        <w:b/>
        <w:bCs/>
      </w:rPr>
      <w:tcPr>
        <w:tcBorders>
          <w:bottom w:val="single" w:color="4472C4" w:themeColor="accent5" w:sz="4" w:space="0"/>
        </w:tcBorders>
      </w:tcPr>
    </w:tblStylePr>
    <w:tblStylePr w:type="lastRow">
      <w:rPr>
        <w:b/>
        <w:bCs/>
      </w:rPr>
      <w:tcPr>
        <w:tcBorders>
          <w:top w:val="double" w:color="4472C4" w:themeColor="accent5" w:sz="4" w:space="0"/>
        </w:tcBorders>
      </w:tcPr>
    </w:tblStylePr>
    <w:tblStylePr w:type="firstCol">
      <w:rPr>
        <w:b/>
        <w:bCs/>
      </w:rPr>
    </w:tblStylePr>
    <w:tblStylePr w:type="lastCol">
      <w:rPr>
        <w:b/>
        <w:bCs/>
      </w:rPr>
    </w:tblStylePr>
    <w:tblStylePr w:type="band1Vert">
      <w:tcPr>
        <w:shd w:val="clear" w:color="auto" w:fill="D9E2F3" w:themeFill="accent5" w:themeFillTint="33"/>
      </w:tcPr>
    </w:tblStylePr>
    <w:tblStylePr w:type="band1Horz">
      <w:tcPr>
        <w:shd w:val="clear" w:color="auto" w:fill="D9E2F3" w:themeFill="accent5" w:themeFillTint="33"/>
      </w:tcPr>
    </w:tblStylePr>
  </w:style>
  <w:style w:type="table" w:customStyle="1" w:styleId="410">
    <w:name w:val="清单表 6 彩色 - 着色 61"/>
    <w:basedOn w:val="88"/>
    <w:qFormat/>
    <w:uiPriority w:val="51"/>
    <w:rPr>
      <w:color w:val="548235" w:themeColor="accent6" w:themeShade="BF"/>
    </w:rPr>
    <w:tblPr>
      <w:tblBorders>
        <w:top w:val="single" w:color="70AD47" w:themeColor="accent6" w:sz="4" w:space="0"/>
        <w:bottom w:val="single" w:color="70AD47" w:themeColor="accent6" w:sz="4" w:space="0"/>
      </w:tblBorders>
    </w:tblPr>
    <w:tblStylePr w:type="firstRow">
      <w:rPr>
        <w:b/>
        <w:bCs/>
      </w:rPr>
      <w:tcPr>
        <w:tcBorders>
          <w:bottom w:val="single" w:color="70AD47" w:themeColor="accent6" w:sz="4" w:space="0"/>
        </w:tcBorders>
      </w:tcPr>
    </w:tblStylePr>
    <w:tblStylePr w:type="lastRow">
      <w:rPr>
        <w:b/>
        <w:bCs/>
      </w:rPr>
      <w:tcPr>
        <w:tcBorders>
          <w:top w:val="double" w:color="70AD47" w:themeColor="accent6"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411">
    <w:name w:val="清单表 7 彩色1"/>
    <w:basedOn w:val="88"/>
    <w:qFormat/>
    <w:uiPriority w:val="52"/>
    <w:rPr>
      <w:color w:val="000000" w:themeColor="text1"/>
      <w14:textFill>
        <w14:solidFill>
          <w14:schemeClr w14:val="tx1"/>
        </w14:solidFill>
      </w14:textFill>
    </w:rPr>
    <w:tblStylePr w:type="firstRow">
      <w:rPr>
        <w:rFonts w:asciiTheme="majorHAnsi" w:hAnsiTheme="majorHAnsi" w:eastAsiaTheme="majorEastAsia" w:cstheme="majorBidi"/>
        <w:i/>
        <w:iCs/>
        <w:sz w:val="26"/>
      </w:rPr>
      <w:tcPr>
        <w:tcBorders>
          <w:bottom w:val="single" w:color="000000" w:themeColor="text1"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000000" w:themeColor="tex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000000" w:themeColor="text1"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000000" w:themeColor="text1" w:sz="4" w:space="0"/>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412">
    <w:name w:val="清单表 7 彩色 - 着色 11"/>
    <w:basedOn w:val="88"/>
    <w:qFormat/>
    <w:uiPriority w:val="52"/>
    <w:rPr>
      <w:color w:val="2E75B6" w:themeColor="accent1" w:themeShade="BF"/>
    </w:rPr>
    <w:tblStylePr w:type="firstRow">
      <w:rPr>
        <w:rFonts w:asciiTheme="majorHAnsi" w:hAnsiTheme="majorHAnsi" w:eastAsiaTheme="majorEastAsia" w:cstheme="majorBidi"/>
        <w:i/>
        <w:iCs/>
        <w:sz w:val="26"/>
      </w:rPr>
      <w:tcPr>
        <w:tcBorders>
          <w:bottom w:val="single" w:color="5B9BD5" w:themeColor="accent1"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5B9BD5" w:themeColor="accen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5B9BD5" w:themeColor="accent1"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5B9BD5" w:themeColor="accent1" w:sz="4" w:space="0"/>
        </w:tcBorders>
        <w:shd w:val="clear" w:color="auto" w:fill="FFFFFF" w:themeFill="background1"/>
      </w:tcPr>
    </w:tblStylePr>
    <w:tblStylePr w:type="band1Vert">
      <w:tcPr>
        <w:shd w:val="clear" w:color="auto" w:fill="DEEAF6" w:themeFill="accent1" w:themeFillTint="33"/>
      </w:tcPr>
    </w:tblStylePr>
    <w:tblStylePr w:type="band1Horz">
      <w:tcPr>
        <w:shd w:val="clear" w:color="auto" w:fill="DEEAF6" w:themeFill="accent1"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413">
    <w:name w:val="清单表 7 彩色 - 着色 21"/>
    <w:basedOn w:val="88"/>
    <w:qFormat/>
    <w:uiPriority w:val="52"/>
    <w:rPr>
      <w:color w:val="C55A11" w:themeColor="accent2" w:themeShade="BF"/>
    </w:rPr>
    <w:tblStylePr w:type="firstRow">
      <w:rPr>
        <w:rFonts w:asciiTheme="majorHAnsi" w:hAnsiTheme="majorHAnsi" w:eastAsiaTheme="majorEastAsia" w:cstheme="majorBidi"/>
        <w:i/>
        <w:iCs/>
        <w:sz w:val="26"/>
      </w:rPr>
      <w:tcPr>
        <w:tcBorders>
          <w:bottom w:val="single" w:color="ED7D31" w:themeColor="accent2"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ED7D31" w:themeColor="accent2"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ED7D31" w:themeColor="accent2"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ED7D31" w:themeColor="accent2" w:sz="4" w:space="0"/>
        </w:tcBorders>
        <w:shd w:val="clear" w:color="auto" w:fill="FFFFFF" w:themeFill="background1"/>
      </w:tcPr>
    </w:tblStylePr>
    <w:tblStylePr w:type="band1Vert">
      <w:tcPr>
        <w:shd w:val="clear" w:color="auto" w:fill="FBE4D5" w:themeFill="accent2" w:themeFillTint="33"/>
      </w:tcPr>
    </w:tblStylePr>
    <w:tblStylePr w:type="band1Horz">
      <w:tcPr>
        <w:shd w:val="clear" w:color="auto" w:fill="FBE4D5" w:themeFill="accent2"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414">
    <w:name w:val="清单表 7 彩色 - 着色 31"/>
    <w:basedOn w:val="88"/>
    <w:qFormat/>
    <w:uiPriority w:val="52"/>
    <w:rPr>
      <w:color w:val="7C7C7C" w:themeColor="accent3" w:themeShade="BF"/>
    </w:rPr>
    <w:tblStylePr w:type="firstRow">
      <w:rPr>
        <w:rFonts w:asciiTheme="majorHAnsi" w:hAnsiTheme="majorHAnsi" w:eastAsiaTheme="majorEastAsia" w:cstheme="majorBidi"/>
        <w:i/>
        <w:iCs/>
        <w:sz w:val="26"/>
      </w:rPr>
      <w:tcPr>
        <w:tcBorders>
          <w:bottom w:val="single" w:color="A5A5A5" w:themeColor="accent3"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A5A5A5" w:themeColor="accent3"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A5A5A5" w:themeColor="accent3"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A5A5A5" w:themeColor="accent3" w:sz="4" w:space="0"/>
        </w:tcBorders>
        <w:shd w:val="clear" w:color="auto" w:fill="FFFFFF" w:themeFill="background1"/>
      </w:tcPr>
    </w:tblStylePr>
    <w:tblStylePr w:type="band1Vert">
      <w:tcPr>
        <w:shd w:val="clear" w:color="auto" w:fill="ECECEC" w:themeFill="accent3" w:themeFillTint="33"/>
      </w:tcPr>
    </w:tblStylePr>
    <w:tblStylePr w:type="band1Horz">
      <w:tcPr>
        <w:shd w:val="clear" w:color="auto" w:fill="ECECEC" w:themeFill="accent3"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415">
    <w:name w:val="清单表 7 彩色 - 着色 41"/>
    <w:basedOn w:val="88"/>
    <w:qFormat/>
    <w:uiPriority w:val="52"/>
    <w:rPr>
      <w:color w:val="BF9000" w:themeColor="accent4" w:themeShade="BF"/>
    </w:rPr>
    <w:tblStylePr w:type="firstRow">
      <w:rPr>
        <w:rFonts w:asciiTheme="majorHAnsi" w:hAnsiTheme="majorHAnsi" w:eastAsiaTheme="majorEastAsia" w:cstheme="majorBidi"/>
        <w:i/>
        <w:iCs/>
        <w:sz w:val="26"/>
      </w:rPr>
      <w:tcPr>
        <w:tcBorders>
          <w:bottom w:val="single" w:color="FFC000" w:themeColor="accent4"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FFC000" w:themeColor="accent4"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FFC000" w:themeColor="accent4"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FFC000" w:themeColor="accent4" w:sz="4" w:space="0"/>
        </w:tcBorders>
        <w:shd w:val="clear" w:color="auto" w:fill="FFFFFF" w:themeFill="background1"/>
      </w:tcPr>
    </w:tblStylePr>
    <w:tblStylePr w:type="band1Vert">
      <w:tcPr>
        <w:shd w:val="clear" w:color="auto" w:fill="FEF2CC" w:themeFill="accent4" w:themeFillTint="33"/>
      </w:tcPr>
    </w:tblStylePr>
    <w:tblStylePr w:type="band1Horz">
      <w:tcPr>
        <w:shd w:val="clear" w:color="auto" w:fill="FEF2CC" w:themeFill="accent4"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416">
    <w:name w:val="清单表 7 彩色 - 着色 51"/>
    <w:basedOn w:val="88"/>
    <w:qFormat/>
    <w:uiPriority w:val="52"/>
    <w:rPr>
      <w:color w:val="2F5597" w:themeColor="accent5" w:themeShade="BF"/>
    </w:rPr>
    <w:tblStylePr w:type="firstRow">
      <w:rPr>
        <w:rFonts w:asciiTheme="majorHAnsi" w:hAnsiTheme="majorHAnsi" w:eastAsiaTheme="majorEastAsia" w:cstheme="majorBidi"/>
        <w:i/>
        <w:iCs/>
        <w:sz w:val="26"/>
      </w:rPr>
      <w:tcPr>
        <w:tcBorders>
          <w:bottom w:val="single" w:color="4472C4" w:themeColor="accent5"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4472C4" w:themeColor="accent5"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4472C4" w:themeColor="accent5"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4472C4" w:themeColor="accent5" w:sz="4" w:space="0"/>
        </w:tcBorders>
        <w:shd w:val="clear" w:color="auto" w:fill="FFFFFF" w:themeFill="background1"/>
      </w:tcPr>
    </w:tblStylePr>
    <w:tblStylePr w:type="band1Vert">
      <w:tcPr>
        <w:shd w:val="clear" w:color="auto" w:fill="D9E2F3" w:themeFill="accent5" w:themeFillTint="33"/>
      </w:tcPr>
    </w:tblStylePr>
    <w:tblStylePr w:type="band1Horz">
      <w:tcPr>
        <w:shd w:val="clear" w:color="auto" w:fill="D9E2F3" w:themeFill="accent5"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417">
    <w:name w:val="清单表 7 彩色 - 着色 61"/>
    <w:basedOn w:val="88"/>
    <w:qFormat/>
    <w:uiPriority w:val="52"/>
    <w:rPr>
      <w:color w:val="548235" w:themeColor="accent6" w:themeShade="BF"/>
    </w:rPr>
    <w:tblStylePr w:type="firstRow">
      <w:rPr>
        <w:rFonts w:asciiTheme="majorHAnsi" w:hAnsiTheme="majorHAnsi" w:eastAsiaTheme="majorEastAsia" w:cstheme="majorBidi"/>
        <w:i/>
        <w:iCs/>
        <w:sz w:val="26"/>
      </w:rPr>
      <w:tcPr>
        <w:tcBorders>
          <w:bottom w:val="single" w:color="70AD47" w:themeColor="accent6"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70AD47" w:themeColor="accent6"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70AD47" w:themeColor="accent6"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70AD47" w:themeColor="accent6" w:sz="4" w:space="0"/>
        </w:tcBorders>
        <w:shd w:val="clear" w:color="auto" w:fill="FFFFFF" w:themeFill="background1"/>
      </w:tcPr>
    </w:tblStylePr>
    <w:tblStylePr w:type="band1Vert">
      <w:tcPr>
        <w:shd w:val="clear" w:color="auto" w:fill="E2EFD9" w:themeFill="accent6" w:themeFillTint="33"/>
      </w:tcPr>
    </w:tblStylePr>
    <w:tblStylePr w:type="band1Horz">
      <w:tcPr>
        <w:shd w:val="clear" w:color="auto" w:fill="E2EFD9" w:themeFill="accent6"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character" w:customStyle="1" w:styleId="418">
    <w:name w:val="日期 Char"/>
    <w:basedOn w:val="231"/>
    <w:link w:val="53"/>
    <w:semiHidden/>
    <w:qFormat/>
    <w:uiPriority w:val="99"/>
    <w:rPr>
      <w:kern w:val="2"/>
      <w:sz w:val="21"/>
      <w:szCs w:val="24"/>
    </w:rPr>
  </w:style>
  <w:style w:type="character" w:customStyle="1" w:styleId="419">
    <w:name w:val="书籍标题1"/>
    <w:basedOn w:val="231"/>
    <w:qFormat/>
    <w:uiPriority w:val="33"/>
    <w:rPr>
      <w:b/>
      <w:bCs/>
      <w:i/>
      <w:iCs/>
      <w:spacing w:val="5"/>
    </w:rPr>
  </w:style>
  <w:style w:type="paragraph" w:customStyle="1" w:styleId="420">
    <w:name w:val="书目1"/>
    <w:basedOn w:val="1"/>
    <w:next w:val="1"/>
    <w:semiHidden/>
    <w:unhideWhenUsed/>
    <w:qFormat/>
    <w:uiPriority w:val="37"/>
  </w:style>
  <w:style w:type="table" w:customStyle="1" w:styleId="421">
    <w:name w:val="网格表 1 浅色1"/>
    <w:basedOn w:val="88"/>
    <w:qFormat/>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table" w:customStyle="1" w:styleId="422">
    <w:name w:val="网格表 1 浅色 - 着色 11"/>
    <w:basedOn w:val="88"/>
    <w:qFormat/>
    <w:uiPriority w:val="46"/>
    <w:tblPr>
      <w:tblBorders>
        <w:top w:val="single" w:color="BDD6EE" w:themeColor="accent1" w:themeTint="66" w:sz="4" w:space="0"/>
        <w:left w:val="single" w:color="BDD6EE" w:themeColor="accent1" w:themeTint="66" w:sz="4" w:space="0"/>
        <w:bottom w:val="single" w:color="BDD6EE" w:themeColor="accent1" w:themeTint="66" w:sz="4" w:space="0"/>
        <w:right w:val="single" w:color="BDD6EE" w:themeColor="accent1" w:themeTint="66" w:sz="4" w:space="0"/>
        <w:insideH w:val="single" w:color="BDD6EE" w:themeColor="accent1" w:themeTint="66" w:sz="4" w:space="0"/>
        <w:insideV w:val="single" w:color="BDD6EE" w:themeColor="accent1" w:themeTint="66" w:sz="4" w:space="0"/>
      </w:tblBorders>
    </w:tblPr>
    <w:tblStylePr w:type="firstRow">
      <w:rPr>
        <w:b/>
        <w:bCs/>
      </w:rPr>
      <w:tcPr>
        <w:tcBorders>
          <w:bottom w:val="single" w:color="9CC2E5" w:themeColor="accent1" w:themeTint="99" w:sz="12" w:space="0"/>
        </w:tcBorders>
      </w:tcPr>
    </w:tblStylePr>
    <w:tblStylePr w:type="lastRow">
      <w:rPr>
        <w:b/>
        <w:bCs/>
      </w:rPr>
      <w:tcPr>
        <w:tcBorders>
          <w:top w:val="double" w:color="9CC2E5" w:themeColor="accent1" w:themeTint="99" w:sz="2" w:space="0"/>
        </w:tcBorders>
      </w:tcPr>
    </w:tblStylePr>
    <w:tblStylePr w:type="firstCol">
      <w:rPr>
        <w:b/>
        <w:bCs/>
      </w:rPr>
    </w:tblStylePr>
    <w:tblStylePr w:type="lastCol">
      <w:rPr>
        <w:b/>
        <w:bCs/>
      </w:rPr>
    </w:tblStylePr>
  </w:style>
  <w:style w:type="table" w:customStyle="1" w:styleId="423">
    <w:name w:val="网格表 1 浅色 - 着色 21"/>
    <w:basedOn w:val="88"/>
    <w:qFormat/>
    <w:uiPriority w:val="46"/>
    <w:tblPr>
      <w:tblBorders>
        <w:top w:val="single" w:color="F7CAAC" w:themeColor="accent2" w:themeTint="66" w:sz="4" w:space="0"/>
        <w:left w:val="single" w:color="F7CAAC" w:themeColor="accent2" w:themeTint="66" w:sz="4" w:space="0"/>
        <w:bottom w:val="single" w:color="F7CAAC" w:themeColor="accent2" w:themeTint="66" w:sz="4" w:space="0"/>
        <w:right w:val="single" w:color="F7CAAC" w:themeColor="accent2" w:themeTint="66" w:sz="4" w:space="0"/>
        <w:insideH w:val="single" w:color="F7CAAC" w:themeColor="accent2" w:themeTint="66" w:sz="4" w:space="0"/>
        <w:insideV w:val="single" w:color="F7CAAC" w:themeColor="accent2" w:themeTint="66" w:sz="4" w:space="0"/>
      </w:tblBorders>
    </w:tblPr>
    <w:tblStylePr w:type="firstRow">
      <w:rPr>
        <w:b/>
        <w:bCs/>
      </w:rPr>
      <w:tcPr>
        <w:tcBorders>
          <w:bottom w:val="single" w:color="F4B083" w:themeColor="accent2" w:themeTint="99" w:sz="12" w:space="0"/>
        </w:tcBorders>
      </w:tcPr>
    </w:tblStylePr>
    <w:tblStylePr w:type="lastRow">
      <w:rPr>
        <w:b/>
        <w:bCs/>
      </w:rPr>
      <w:tcPr>
        <w:tcBorders>
          <w:top w:val="double" w:color="F4B083" w:themeColor="accent2" w:themeTint="99" w:sz="2" w:space="0"/>
        </w:tcBorders>
      </w:tcPr>
    </w:tblStylePr>
    <w:tblStylePr w:type="firstCol">
      <w:rPr>
        <w:b/>
        <w:bCs/>
      </w:rPr>
    </w:tblStylePr>
    <w:tblStylePr w:type="lastCol">
      <w:rPr>
        <w:b/>
        <w:bCs/>
      </w:rPr>
    </w:tblStylePr>
  </w:style>
  <w:style w:type="table" w:customStyle="1" w:styleId="424">
    <w:name w:val="网格表 1 浅色 - 着色 31"/>
    <w:basedOn w:val="88"/>
    <w:qFormat/>
    <w:uiPriority w:val="46"/>
    <w:tblPr>
      <w:tblBorders>
        <w:top w:val="single" w:color="DADADA" w:themeColor="accent3" w:themeTint="66" w:sz="4" w:space="0"/>
        <w:left w:val="single" w:color="DADADA" w:themeColor="accent3" w:themeTint="66" w:sz="4" w:space="0"/>
        <w:bottom w:val="single" w:color="DADADA" w:themeColor="accent3" w:themeTint="66" w:sz="4" w:space="0"/>
        <w:right w:val="single" w:color="DADADA" w:themeColor="accent3" w:themeTint="66" w:sz="4" w:space="0"/>
        <w:insideH w:val="single" w:color="DADADA" w:themeColor="accent3" w:themeTint="66" w:sz="4" w:space="0"/>
        <w:insideV w:val="single" w:color="DADADA" w:themeColor="accent3" w:themeTint="66" w:sz="4" w:space="0"/>
      </w:tblBorders>
    </w:tblPr>
    <w:tblStylePr w:type="firstRow">
      <w:rPr>
        <w:b/>
        <w:bCs/>
      </w:rPr>
      <w:tcPr>
        <w:tcBorders>
          <w:bottom w:val="single" w:color="C8C8C8" w:themeColor="accent3" w:themeTint="99" w:sz="12" w:space="0"/>
        </w:tcBorders>
      </w:tcPr>
    </w:tblStylePr>
    <w:tblStylePr w:type="lastRow">
      <w:rPr>
        <w:b/>
        <w:bCs/>
      </w:rPr>
      <w:tcPr>
        <w:tcBorders>
          <w:top w:val="double" w:color="C8C8C8" w:themeColor="accent3" w:themeTint="99" w:sz="2" w:space="0"/>
        </w:tcBorders>
      </w:tcPr>
    </w:tblStylePr>
    <w:tblStylePr w:type="firstCol">
      <w:rPr>
        <w:b/>
        <w:bCs/>
      </w:rPr>
    </w:tblStylePr>
    <w:tblStylePr w:type="lastCol">
      <w:rPr>
        <w:b/>
        <w:bCs/>
      </w:rPr>
    </w:tblStylePr>
  </w:style>
  <w:style w:type="table" w:customStyle="1" w:styleId="425">
    <w:name w:val="网格表 1 浅色 - 着色 41"/>
    <w:basedOn w:val="88"/>
    <w:qFormat/>
    <w:uiPriority w:val="46"/>
    <w:tblPr>
      <w:tblBorders>
        <w:top w:val="single" w:color="FFE599" w:themeColor="accent4" w:themeTint="66" w:sz="4" w:space="0"/>
        <w:left w:val="single" w:color="FFE599" w:themeColor="accent4" w:themeTint="66" w:sz="4" w:space="0"/>
        <w:bottom w:val="single" w:color="FFE599" w:themeColor="accent4" w:themeTint="66" w:sz="4" w:space="0"/>
        <w:right w:val="single" w:color="FFE599" w:themeColor="accent4" w:themeTint="66" w:sz="4" w:space="0"/>
        <w:insideH w:val="single" w:color="FFE599" w:themeColor="accent4" w:themeTint="66" w:sz="4" w:space="0"/>
        <w:insideV w:val="single" w:color="FFE599" w:themeColor="accent4" w:themeTint="66" w:sz="4" w:space="0"/>
      </w:tblBorders>
    </w:tblPr>
    <w:tblStylePr w:type="firstRow">
      <w:rPr>
        <w:b/>
        <w:bCs/>
      </w:rPr>
      <w:tcPr>
        <w:tcBorders>
          <w:bottom w:val="single" w:color="FFD965" w:themeColor="accent4" w:themeTint="99" w:sz="12" w:space="0"/>
        </w:tcBorders>
      </w:tcPr>
    </w:tblStylePr>
    <w:tblStylePr w:type="lastRow">
      <w:rPr>
        <w:b/>
        <w:bCs/>
      </w:rPr>
      <w:tcPr>
        <w:tcBorders>
          <w:top w:val="double" w:color="FFD965" w:themeColor="accent4" w:themeTint="99" w:sz="2" w:space="0"/>
        </w:tcBorders>
      </w:tcPr>
    </w:tblStylePr>
    <w:tblStylePr w:type="firstCol">
      <w:rPr>
        <w:b/>
        <w:bCs/>
      </w:rPr>
    </w:tblStylePr>
    <w:tblStylePr w:type="lastCol">
      <w:rPr>
        <w:b/>
        <w:bCs/>
      </w:rPr>
    </w:tblStylePr>
  </w:style>
  <w:style w:type="table" w:customStyle="1" w:styleId="426">
    <w:name w:val="网格表 1 浅色 - 着色 51"/>
    <w:basedOn w:val="88"/>
    <w:qFormat/>
    <w:uiPriority w:val="46"/>
    <w:tblPr>
      <w:tblBorders>
        <w:top w:val="single" w:color="B4C6E7" w:themeColor="accent5" w:themeTint="66" w:sz="4" w:space="0"/>
        <w:left w:val="single" w:color="B4C6E7" w:themeColor="accent5" w:themeTint="66" w:sz="4" w:space="0"/>
        <w:bottom w:val="single" w:color="B4C6E7" w:themeColor="accent5" w:themeTint="66" w:sz="4" w:space="0"/>
        <w:right w:val="single" w:color="B4C6E7" w:themeColor="accent5" w:themeTint="66" w:sz="4" w:space="0"/>
        <w:insideH w:val="single" w:color="B4C6E7" w:themeColor="accent5" w:themeTint="66" w:sz="4" w:space="0"/>
        <w:insideV w:val="single" w:color="B4C6E7" w:themeColor="accent5" w:themeTint="66" w:sz="4" w:space="0"/>
      </w:tblBorders>
    </w:tblPr>
    <w:tblStylePr w:type="firstRow">
      <w:rPr>
        <w:b/>
        <w:bCs/>
      </w:rPr>
      <w:tcPr>
        <w:tcBorders>
          <w:bottom w:val="single" w:color="8EAADB" w:themeColor="accent5" w:themeTint="99" w:sz="12" w:space="0"/>
        </w:tcBorders>
      </w:tcPr>
    </w:tblStylePr>
    <w:tblStylePr w:type="lastRow">
      <w:rPr>
        <w:b/>
        <w:bCs/>
      </w:rPr>
      <w:tcPr>
        <w:tcBorders>
          <w:top w:val="double" w:color="8EAADB" w:themeColor="accent5" w:themeTint="99" w:sz="2" w:space="0"/>
        </w:tcBorders>
      </w:tcPr>
    </w:tblStylePr>
    <w:tblStylePr w:type="firstCol">
      <w:rPr>
        <w:b/>
        <w:bCs/>
      </w:rPr>
    </w:tblStylePr>
    <w:tblStylePr w:type="lastCol">
      <w:rPr>
        <w:b/>
        <w:bCs/>
      </w:rPr>
    </w:tblStylePr>
  </w:style>
  <w:style w:type="table" w:customStyle="1" w:styleId="427">
    <w:name w:val="网格表 1 浅色 - 着色 61"/>
    <w:basedOn w:val="88"/>
    <w:qFormat/>
    <w:uiPriority w:val="46"/>
    <w:tblPr>
      <w:tblBorders>
        <w:top w:val="single" w:color="C5E0B3" w:themeColor="accent6" w:themeTint="66" w:sz="4" w:space="0"/>
        <w:left w:val="single" w:color="C5E0B3" w:themeColor="accent6" w:themeTint="66" w:sz="4" w:space="0"/>
        <w:bottom w:val="single" w:color="C5E0B3" w:themeColor="accent6" w:themeTint="66" w:sz="4" w:space="0"/>
        <w:right w:val="single" w:color="C5E0B3" w:themeColor="accent6" w:themeTint="66" w:sz="4" w:space="0"/>
        <w:insideH w:val="single" w:color="C5E0B3" w:themeColor="accent6" w:themeTint="66" w:sz="4" w:space="0"/>
        <w:insideV w:val="single" w:color="C5E0B3" w:themeColor="accent6" w:themeTint="66" w:sz="4" w:space="0"/>
      </w:tblBorders>
    </w:tblPr>
    <w:tblStylePr w:type="firstRow">
      <w:rPr>
        <w:b/>
        <w:bCs/>
      </w:rPr>
      <w:tcPr>
        <w:tcBorders>
          <w:bottom w:val="single" w:color="A8D08D" w:themeColor="accent6" w:themeTint="99" w:sz="12" w:space="0"/>
        </w:tcBorders>
      </w:tcPr>
    </w:tblStylePr>
    <w:tblStylePr w:type="lastRow">
      <w:rPr>
        <w:b/>
        <w:bCs/>
      </w:rPr>
      <w:tcPr>
        <w:tcBorders>
          <w:top w:val="double" w:color="A8D08D" w:themeColor="accent6" w:themeTint="99" w:sz="2" w:space="0"/>
        </w:tcBorders>
      </w:tcPr>
    </w:tblStylePr>
    <w:tblStylePr w:type="firstCol">
      <w:rPr>
        <w:b/>
        <w:bCs/>
      </w:rPr>
    </w:tblStylePr>
    <w:tblStylePr w:type="lastCol">
      <w:rPr>
        <w:b/>
        <w:bCs/>
      </w:rPr>
    </w:tblStylePr>
  </w:style>
  <w:style w:type="table" w:customStyle="1" w:styleId="428">
    <w:name w:val="网格表 21"/>
    <w:basedOn w:val="88"/>
    <w:qFormat/>
    <w:uiPriority w:val="47"/>
    <w:tblPr>
      <w:tblBorders>
        <w:top w:val="single" w:color="666666" w:themeColor="text1" w:themeTint="99" w:sz="2" w:space="0"/>
        <w:bottom w:val="single" w:color="666666" w:themeColor="text1" w:themeTint="99" w:sz="2" w:space="0"/>
        <w:insideH w:val="single" w:color="666666" w:themeColor="text1" w:themeTint="99" w:sz="2" w:space="0"/>
        <w:insideV w:val="single" w:color="666666" w:themeColor="text1" w:themeTint="99" w:sz="2" w:space="0"/>
      </w:tblBorders>
    </w:tblPr>
    <w:tblStylePr w:type="firstRow">
      <w:rPr>
        <w:b/>
        <w:bCs/>
      </w:rPr>
      <w:tcPr>
        <w:tcBorders>
          <w:top w:val="nil"/>
          <w:bottom w:val="single" w:color="666666" w:themeColor="text1" w:themeTint="99" w:sz="12" w:space="0"/>
          <w:insideH w:val="nil"/>
          <w:insideV w:val="nil"/>
        </w:tcBorders>
        <w:shd w:val="clear" w:color="auto" w:fill="FFFFFF" w:themeFill="background1"/>
      </w:tcPr>
    </w:tblStylePr>
    <w:tblStylePr w:type="lastRow">
      <w:rPr>
        <w:b/>
        <w:bCs/>
      </w:rPr>
      <w:tcPr>
        <w:tcBorders>
          <w:top w:val="double" w:color="666666" w:themeColor="tex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429">
    <w:name w:val="网格表 2 - 着色 11"/>
    <w:basedOn w:val="88"/>
    <w:qFormat/>
    <w:uiPriority w:val="47"/>
    <w:tblPr>
      <w:tblBorders>
        <w:top w:val="single" w:color="9CC2E5" w:themeColor="accent1" w:themeTint="99" w:sz="2" w:space="0"/>
        <w:bottom w:val="single" w:color="9CC2E5" w:themeColor="accent1" w:themeTint="99" w:sz="2" w:space="0"/>
        <w:insideH w:val="single" w:color="9CC2E5" w:themeColor="accent1" w:themeTint="99" w:sz="2" w:space="0"/>
        <w:insideV w:val="single" w:color="9CC2E5" w:themeColor="accent1" w:themeTint="99" w:sz="2" w:space="0"/>
      </w:tblBorders>
    </w:tblPr>
    <w:tblStylePr w:type="firstRow">
      <w:rPr>
        <w:b/>
        <w:bCs/>
      </w:rPr>
      <w:tcPr>
        <w:tcBorders>
          <w:top w:val="nil"/>
          <w:bottom w:val="single" w:color="9CC2E5" w:themeColor="accent1" w:themeTint="99" w:sz="12" w:space="0"/>
          <w:insideH w:val="nil"/>
          <w:insideV w:val="nil"/>
        </w:tcBorders>
        <w:shd w:val="clear" w:color="auto" w:fill="FFFFFF" w:themeFill="background1"/>
      </w:tcPr>
    </w:tblStylePr>
    <w:tblStylePr w:type="lastRow">
      <w:rPr>
        <w:b/>
        <w:bCs/>
      </w:rPr>
      <w:tcPr>
        <w:tcBorders>
          <w:top w:val="double" w:color="9CC2E5" w:themeColor="accen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table" w:customStyle="1" w:styleId="430">
    <w:name w:val="网格表 2 - 着色 21"/>
    <w:basedOn w:val="88"/>
    <w:qFormat/>
    <w:uiPriority w:val="47"/>
    <w:tblPr>
      <w:tblBorders>
        <w:top w:val="single" w:color="F4B083" w:themeColor="accent2" w:themeTint="99" w:sz="2" w:space="0"/>
        <w:bottom w:val="single" w:color="F4B083" w:themeColor="accent2" w:themeTint="99" w:sz="2" w:space="0"/>
        <w:insideH w:val="single" w:color="F4B083" w:themeColor="accent2" w:themeTint="99" w:sz="2" w:space="0"/>
        <w:insideV w:val="single" w:color="F4B083" w:themeColor="accent2" w:themeTint="99" w:sz="2" w:space="0"/>
      </w:tblBorders>
    </w:tblPr>
    <w:tblStylePr w:type="firstRow">
      <w:rPr>
        <w:b/>
        <w:bCs/>
      </w:rPr>
      <w:tcPr>
        <w:tcBorders>
          <w:top w:val="nil"/>
          <w:bottom w:val="single" w:color="F4B083" w:themeColor="accent2" w:themeTint="99" w:sz="12" w:space="0"/>
          <w:insideH w:val="nil"/>
          <w:insideV w:val="nil"/>
        </w:tcBorders>
        <w:shd w:val="clear" w:color="auto" w:fill="FFFFFF" w:themeFill="background1"/>
      </w:tcPr>
    </w:tblStylePr>
    <w:tblStylePr w:type="lastRow">
      <w:rPr>
        <w:b/>
        <w:bCs/>
      </w:rPr>
      <w:tcPr>
        <w:tcBorders>
          <w:top w:val="double" w:color="F4B083" w:themeColor="accent2"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431">
    <w:name w:val="网格表 2 - 着色 31"/>
    <w:basedOn w:val="88"/>
    <w:qFormat/>
    <w:uiPriority w:val="47"/>
    <w:tblPr>
      <w:tblBorders>
        <w:top w:val="single" w:color="C8C8C8" w:themeColor="accent3" w:themeTint="99" w:sz="2" w:space="0"/>
        <w:bottom w:val="single" w:color="C8C8C8" w:themeColor="accent3" w:themeTint="99" w:sz="2" w:space="0"/>
        <w:insideH w:val="single" w:color="C8C8C8" w:themeColor="accent3" w:themeTint="99" w:sz="2" w:space="0"/>
        <w:insideV w:val="single" w:color="C8C8C8" w:themeColor="accent3" w:themeTint="99" w:sz="2" w:space="0"/>
      </w:tblBorders>
    </w:tblPr>
    <w:tblStylePr w:type="firstRow">
      <w:rPr>
        <w:b/>
        <w:bCs/>
      </w:rPr>
      <w:tcPr>
        <w:tcBorders>
          <w:top w:val="nil"/>
          <w:bottom w:val="single" w:color="C8C8C8" w:themeColor="accent3" w:themeTint="99" w:sz="12" w:space="0"/>
          <w:insideH w:val="nil"/>
          <w:insideV w:val="nil"/>
        </w:tcBorders>
        <w:shd w:val="clear" w:color="auto" w:fill="FFFFFF" w:themeFill="background1"/>
      </w:tcPr>
    </w:tblStylePr>
    <w:tblStylePr w:type="lastRow">
      <w:rPr>
        <w:b/>
        <w:bCs/>
      </w:rPr>
      <w:tcPr>
        <w:tcBorders>
          <w:top w:val="double" w:color="C8C8C8" w:themeColor="accent3"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432">
    <w:name w:val="网格表 2 - 着色 41"/>
    <w:basedOn w:val="88"/>
    <w:qFormat/>
    <w:uiPriority w:val="47"/>
    <w:tblPr>
      <w:tblBorders>
        <w:top w:val="single" w:color="FFD965" w:themeColor="accent4" w:themeTint="99" w:sz="2" w:space="0"/>
        <w:bottom w:val="single" w:color="FFD965" w:themeColor="accent4" w:themeTint="99" w:sz="2" w:space="0"/>
        <w:insideH w:val="single" w:color="FFD965" w:themeColor="accent4" w:themeTint="99" w:sz="2" w:space="0"/>
        <w:insideV w:val="single" w:color="FFD965" w:themeColor="accent4" w:themeTint="99" w:sz="2" w:space="0"/>
      </w:tblBorders>
    </w:tblPr>
    <w:tblStylePr w:type="firstRow">
      <w:rPr>
        <w:b/>
        <w:bCs/>
      </w:rPr>
      <w:tcPr>
        <w:tcBorders>
          <w:top w:val="nil"/>
          <w:bottom w:val="single" w:color="FFD965" w:themeColor="accent4" w:themeTint="99" w:sz="12" w:space="0"/>
          <w:insideH w:val="nil"/>
          <w:insideV w:val="nil"/>
        </w:tcBorders>
        <w:shd w:val="clear" w:color="auto" w:fill="FFFFFF" w:themeFill="background1"/>
      </w:tcPr>
    </w:tblStylePr>
    <w:tblStylePr w:type="lastRow">
      <w:rPr>
        <w:b/>
        <w:bCs/>
      </w:rPr>
      <w:tcPr>
        <w:tcBorders>
          <w:top w:val="double" w:color="FFD965" w:themeColor="accent4"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FEF2CC" w:themeFill="accent4" w:themeFillTint="33"/>
      </w:tcPr>
    </w:tblStylePr>
    <w:tblStylePr w:type="band1Horz">
      <w:tcPr>
        <w:shd w:val="clear" w:color="auto" w:fill="FEF2CC" w:themeFill="accent4" w:themeFillTint="33"/>
      </w:tcPr>
    </w:tblStylePr>
  </w:style>
  <w:style w:type="table" w:customStyle="1" w:styleId="433">
    <w:name w:val="网格表 2 - 着色 51"/>
    <w:basedOn w:val="88"/>
    <w:qFormat/>
    <w:uiPriority w:val="47"/>
    <w:tblPr>
      <w:tblBorders>
        <w:top w:val="single" w:color="8EAADB" w:themeColor="accent5" w:themeTint="99" w:sz="2" w:space="0"/>
        <w:bottom w:val="single" w:color="8EAADB" w:themeColor="accent5" w:themeTint="99" w:sz="2" w:space="0"/>
        <w:insideH w:val="single" w:color="8EAADB" w:themeColor="accent5" w:themeTint="99" w:sz="2" w:space="0"/>
        <w:insideV w:val="single" w:color="8EAADB" w:themeColor="accent5" w:themeTint="99" w:sz="2" w:space="0"/>
      </w:tblBorders>
    </w:tblPr>
    <w:tblStylePr w:type="firstRow">
      <w:rPr>
        <w:b/>
        <w:bCs/>
      </w:rPr>
      <w:tcPr>
        <w:tcBorders>
          <w:top w:val="nil"/>
          <w:bottom w:val="single" w:color="8EAADB" w:themeColor="accent5" w:themeTint="99" w:sz="12" w:space="0"/>
          <w:insideH w:val="nil"/>
          <w:insideV w:val="nil"/>
        </w:tcBorders>
        <w:shd w:val="clear" w:color="auto" w:fill="FFFFFF" w:themeFill="background1"/>
      </w:tcPr>
    </w:tblStylePr>
    <w:tblStylePr w:type="lastRow">
      <w:rPr>
        <w:b/>
        <w:bCs/>
      </w:rPr>
      <w:tcPr>
        <w:tcBorders>
          <w:top w:val="double" w:color="8EAADB" w:themeColor="accent5"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D9E2F3" w:themeFill="accent5" w:themeFillTint="33"/>
      </w:tcPr>
    </w:tblStylePr>
    <w:tblStylePr w:type="band1Horz">
      <w:tcPr>
        <w:shd w:val="clear" w:color="auto" w:fill="D9E2F3" w:themeFill="accent5" w:themeFillTint="33"/>
      </w:tcPr>
    </w:tblStylePr>
  </w:style>
  <w:style w:type="table" w:customStyle="1" w:styleId="434">
    <w:name w:val="网格表 2 - 着色 61"/>
    <w:basedOn w:val="88"/>
    <w:qFormat/>
    <w:uiPriority w:val="47"/>
    <w:tblPr>
      <w:tblBorders>
        <w:top w:val="single" w:color="A8D08D" w:themeColor="accent6" w:themeTint="99" w:sz="2" w:space="0"/>
        <w:bottom w:val="single" w:color="A8D08D" w:themeColor="accent6" w:themeTint="99" w:sz="2" w:space="0"/>
        <w:insideH w:val="single" w:color="A8D08D" w:themeColor="accent6" w:themeTint="99" w:sz="2" w:space="0"/>
        <w:insideV w:val="single" w:color="A8D08D" w:themeColor="accent6" w:themeTint="99" w:sz="2" w:space="0"/>
      </w:tblBorders>
    </w:tblPr>
    <w:tblStylePr w:type="firstRow">
      <w:rPr>
        <w:b/>
        <w:bCs/>
      </w:rPr>
      <w:tcPr>
        <w:tcBorders>
          <w:top w:val="nil"/>
          <w:bottom w:val="single" w:color="A8D08D" w:themeColor="accent6" w:themeTint="99" w:sz="12" w:space="0"/>
          <w:insideH w:val="nil"/>
          <w:insideV w:val="nil"/>
        </w:tcBorders>
        <w:shd w:val="clear" w:color="auto" w:fill="FFFFFF" w:themeFill="background1"/>
      </w:tcPr>
    </w:tblStylePr>
    <w:tblStylePr w:type="lastRow">
      <w:rPr>
        <w:b/>
        <w:bCs/>
      </w:rPr>
      <w:tcPr>
        <w:tcBorders>
          <w:top w:val="double" w:color="A8D08D" w:themeColor="accent6"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435">
    <w:name w:val="网格表 31"/>
    <w:basedOn w:val="88"/>
    <w:qFormat/>
    <w:uiPriority w:val="48"/>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bottom w:val="single" w:color="666666" w:themeColor="text1" w:themeTint="99" w:sz="4" w:space="0"/>
        </w:tcBorders>
      </w:tcPr>
    </w:tblStylePr>
    <w:tblStylePr w:type="nwCell">
      <w:tcPr>
        <w:tcBorders>
          <w:bottom w:val="single" w:color="666666" w:themeColor="text1" w:themeTint="99" w:sz="4" w:space="0"/>
        </w:tcBorders>
      </w:tcPr>
    </w:tblStylePr>
    <w:tblStylePr w:type="seCell">
      <w:tcPr>
        <w:tcBorders>
          <w:top w:val="single" w:color="666666" w:themeColor="text1" w:themeTint="99" w:sz="4" w:space="0"/>
        </w:tcBorders>
      </w:tcPr>
    </w:tblStylePr>
    <w:tblStylePr w:type="swCell">
      <w:tcPr>
        <w:tcBorders>
          <w:top w:val="single" w:color="666666" w:themeColor="text1" w:themeTint="99" w:sz="4" w:space="0"/>
        </w:tcBorders>
      </w:tcPr>
    </w:tblStylePr>
  </w:style>
  <w:style w:type="table" w:customStyle="1" w:styleId="436">
    <w:name w:val="网格表 3 - 着色 11"/>
    <w:basedOn w:val="88"/>
    <w:qFormat/>
    <w:uiPriority w:val="48"/>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DEEAF6" w:themeFill="accent1" w:themeFillTint="33"/>
      </w:tcPr>
    </w:tblStylePr>
    <w:tblStylePr w:type="band1Horz">
      <w:tcPr>
        <w:shd w:val="clear" w:color="auto" w:fill="DEEAF6" w:themeFill="accent1" w:themeFillTint="33"/>
      </w:tcPr>
    </w:tblStylePr>
    <w:tblStylePr w:type="neCell">
      <w:tcPr>
        <w:tcBorders>
          <w:bottom w:val="single" w:color="9CC2E5" w:themeColor="accent1" w:themeTint="99" w:sz="4" w:space="0"/>
        </w:tcBorders>
      </w:tcPr>
    </w:tblStylePr>
    <w:tblStylePr w:type="nwCell">
      <w:tcPr>
        <w:tcBorders>
          <w:bottom w:val="single" w:color="9CC2E5" w:themeColor="accent1" w:themeTint="99" w:sz="4" w:space="0"/>
        </w:tcBorders>
      </w:tcPr>
    </w:tblStylePr>
    <w:tblStylePr w:type="seCell">
      <w:tcPr>
        <w:tcBorders>
          <w:top w:val="single" w:color="9CC2E5" w:themeColor="accent1" w:themeTint="99" w:sz="4" w:space="0"/>
        </w:tcBorders>
      </w:tcPr>
    </w:tblStylePr>
    <w:tblStylePr w:type="swCell">
      <w:tcPr>
        <w:tcBorders>
          <w:top w:val="single" w:color="9CC2E5" w:themeColor="accent1" w:themeTint="99" w:sz="4" w:space="0"/>
        </w:tcBorders>
      </w:tcPr>
    </w:tblStylePr>
  </w:style>
  <w:style w:type="table" w:customStyle="1" w:styleId="437">
    <w:name w:val="网格表 3 - 着色 21"/>
    <w:basedOn w:val="88"/>
    <w:qFormat/>
    <w:uiPriority w:val="48"/>
    <w:tblPr>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FBE4D5" w:themeFill="accent2" w:themeFillTint="33"/>
      </w:tcPr>
    </w:tblStylePr>
    <w:tblStylePr w:type="band1Horz">
      <w:tcPr>
        <w:shd w:val="clear" w:color="auto" w:fill="FBE4D5" w:themeFill="accent2" w:themeFillTint="33"/>
      </w:tcPr>
    </w:tblStylePr>
    <w:tblStylePr w:type="neCell">
      <w:tcPr>
        <w:tcBorders>
          <w:bottom w:val="single" w:color="F4B083" w:themeColor="accent2" w:themeTint="99" w:sz="4" w:space="0"/>
        </w:tcBorders>
      </w:tcPr>
    </w:tblStylePr>
    <w:tblStylePr w:type="nwCell">
      <w:tcPr>
        <w:tcBorders>
          <w:bottom w:val="single" w:color="F4B083" w:themeColor="accent2" w:themeTint="99" w:sz="4" w:space="0"/>
        </w:tcBorders>
      </w:tcPr>
    </w:tblStylePr>
    <w:tblStylePr w:type="seCell">
      <w:tcPr>
        <w:tcBorders>
          <w:top w:val="single" w:color="F4B083" w:themeColor="accent2" w:themeTint="99" w:sz="4" w:space="0"/>
        </w:tcBorders>
      </w:tcPr>
    </w:tblStylePr>
    <w:tblStylePr w:type="swCell">
      <w:tcPr>
        <w:tcBorders>
          <w:top w:val="single" w:color="F4B083" w:themeColor="accent2" w:themeTint="99" w:sz="4" w:space="0"/>
        </w:tcBorders>
      </w:tcPr>
    </w:tblStylePr>
  </w:style>
  <w:style w:type="table" w:customStyle="1" w:styleId="438">
    <w:name w:val="网格表 3 - 着色 31"/>
    <w:basedOn w:val="88"/>
    <w:qFormat/>
    <w:uiPriority w:val="48"/>
    <w:tblPr>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insideV w:val="single" w:color="C8C8C8" w:themeColor="accent3"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ECECEC" w:themeFill="accent3" w:themeFillTint="33"/>
      </w:tcPr>
    </w:tblStylePr>
    <w:tblStylePr w:type="band1Horz">
      <w:tcPr>
        <w:shd w:val="clear" w:color="auto" w:fill="ECECEC" w:themeFill="accent3" w:themeFillTint="33"/>
      </w:tcPr>
    </w:tblStylePr>
    <w:tblStylePr w:type="neCell">
      <w:tcPr>
        <w:tcBorders>
          <w:bottom w:val="single" w:color="C8C8C8" w:themeColor="accent3" w:themeTint="99" w:sz="4" w:space="0"/>
        </w:tcBorders>
      </w:tcPr>
    </w:tblStylePr>
    <w:tblStylePr w:type="nwCell">
      <w:tcPr>
        <w:tcBorders>
          <w:bottom w:val="single" w:color="C8C8C8" w:themeColor="accent3" w:themeTint="99" w:sz="4" w:space="0"/>
        </w:tcBorders>
      </w:tcPr>
    </w:tblStylePr>
    <w:tblStylePr w:type="seCell">
      <w:tcPr>
        <w:tcBorders>
          <w:top w:val="single" w:color="C8C8C8" w:themeColor="accent3" w:themeTint="99" w:sz="4" w:space="0"/>
        </w:tcBorders>
      </w:tcPr>
    </w:tblStylePr>
    <w:tblStylePr w:type="swCell">
      <w:tcPr>
        <w:tcBorders>
          <w:top w:val="single" w:color="C8C8C8" w:themeColor="accent3" w:themeTint="99" w:sz="4" w:space="0"/>
        </w:tcBorders>
      </w:tcPr>
    </w:tblStylePr>
  </w:style>
  <w:style w:type="table" w:customStyle="1" w:styleId="439">
    <w:name w:val="网格表 3 - 着色 41"/>
    <w:basedOn w:val="88"/>
    <w:qFormat/>
    <w:uiPriority w:val="48"/>
    <w:tblPr>
      <w:tblBorders>
        <w:top w:val="single" w:color="FFD965" w:themeColor="accent4" w:themeTint="99" w:sz="4" w:space="0"/>
        <w:left w:val="single" w:color="FFD965" w:themeColor="accent4" w:themeTint="99" w:sz="4" w:space="0"/>
        <w:bottom w:val="single" w:color="FFD965" w:themeColor="accent4" w:themeTint="99" w:sz="4" w:space="0"/>
        <w:right w:val="single" w:color="FFD965" w:themeColor="accent4" w:themeTint="99" w:sz="4" w:space="0"/>
        <w:insideH w:val="single" w:color="FFD965" w:themeColor="accent4" w:themeTint="99" w:sz="4" w:space="0"/>
        <w:insideV w:val="single" w:color="FFD965" w:themeColor="accent4"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FEF2CC" w:themeFill="accent4" w:themeFillTint="33"/>
      </w:tcPr>
    </w:tblStylePr>
    <w:tblStylePr w:type="band1Horz">
      <w:tcPr>
        <w:shd w:val="clear" w:color="auto" w:fill="FEF2CC" w:themeFill="accent4" w:themeFillTint="33"/>
      </w:tcPr>
    </w:tblStylePr>
    <w:tblStylePr w:type="neCell">
      <w:tcPr>
        <w:tcBorders>
          <w:bottom w:val="single" w:color="FFD965" w:themeColor="accent4" w:themeTint="99" w:sz="4" w:space="0"/>
        </w:tcBorders>
      </w:tcPr>
    </w:tblStylePr>
    <w:tblStylePr w:type="nwCell">
      <w:tcPr>
        <w:tcBorders>
          <w:bottom w:val="single" w:color="FFD965" w:themeColor="accent4" w:themeTint="99" w:sz="4" w:space="0"/>
        </w:tcBorders>
      </w:tcPr>
    </w:tblStylePr>
    <w:tblStylePr w:type="seCell">
      <w:tcPr>
        <w:tcBorders>
          <w:top w:val="single" w:color="FFD965" w:themeColor="accent4" w:themeTint="99" w:sz="4" w:space="0"/>
        </w:tcBorders>
      </w:tcPr>
    </w:tblStylePr>
    <w:tblStylePr w:type="swCell">
      <w:tcPr>
        <w:tcBorders>
          <w:top w:val="single" w:color="FFD965" w:themeColor="accent4" w:themeTint="99" w:sz="4" w:space="0"/>
        </w:tcBorders>
      </w:tcPr>
    </w:tblStylePr>
  </w:style>
  <w:style w:type="table" w:customStyle="1" w:styleId="440">
    <w:name w:val="网格表 3 - 着色 51"/>
    <w:basedOn w:val="88"/>
    <w:qFormat/>
    <w:uiPriority w:val="48"/>
    <w:tblPr>
      <w:tblBorders>
        <w:top w:val="single" w:color="8EAADB" w:themeColor="accent5" w:themeTint="99" w:sz="4" w:space="0"/>
        <w:left w:val="single" w:color="8EAADB" w:themeColor="accent5" w:themeTint="99" w:sz="4" w:space="0"/>
        <w:bottom w:val="single" w:color="8EAADB" w:themeColor="accent5" w:themeTint="99" w:sz="4" w:space="0"/>
        <w:right w:val="single" w:color="8EAADB" w:themeColor="accent5" w:themeTint="99" w:sz="4" w:space="0"/>
        <w:insideH w:val="single" w:color="8EAADB" w:themeColor="accent5" w:themeTint="99" w:sz="4" w:space="0"/>
        <w:insideV w:val="single" w:color="8EAADB" w:themeColor="accent5"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D9E2F3" w:themeFill="accent5" w:themeFillTint="33"/>
      </w:tcPr>
    </w:tblStylePr>
    <w:tblStylePr w:type="band1Horz">
      <w:tcPr>
        <w:shd w:val="clear" w:color="auto" w:fill="D9E2F3" w:themeFill="accent5" w:themeFillTint="33"/>
      </w:tcPr>
    </w:tblStylePr>
    <w:tblStylePr w:type="neCell">
      <w:tcPr>
        <w:tcBorders>
          <w:bottom w:val="single" w:color="8EAADB" w:themeColor="accent5" w:themeTint="99" w:sz="4" w:space="0"/>
        </w:tcBorders>
      </w:tcPr>
    </w:tblStylePr>
    <w:tblStylePr w:type="nwCell">
      <w:tcPr>
        <w:tcBorders>
          <w:bottom w:val="single" w:color="8EAADB" w:themeColor="accent5" w:themeTint="99" w:sz="4" w:space="0"/>
        </w:tcBorders>
      </w:tcPr>
    </w:tblStylePr>
    <w:tblStylePr w:type="seCell">
      <w:tcPr>
        <w:tcBorders>
          <w:top w:val="single" w:color="8EAADB" w:themeColor="accent5" w:themeTint="99" w:sz="4" w:space="0"/>
        </w:tcBorders>
      </w:tcPr>
    </w:tblStylePr>
    <w:tblStylePr w:type="swCell">
      <w:tcPr>
        <w:tcBorders>
          <w:top w:val="single" w:color="8EAADB" w:themeColor="accent5" w:themeTint="99" w:sz="4" w:space="0"/>
        </w:tcBorders>
      </w:tcPr>
    </w:tblStylePr>
  </w:style>
  <w:style w:type="table" w:customStyle="1" w:styleId="441">
    <w:name w:val="网格表 3 - 着色 61"/>
    <w:basedOn w:val="88"/>
    <w:qFormat/>
    <w:uiPriority w:val="48"/>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E2EFD9" w:themeFill="accent6" w:themeFillTint="33"/>
      </w:tcPr>
    </w:tblStylePr>
    <w:tblStylePr w:type="band1Horz">
      <w:tcPr>
        <w:shd w:val="clear" w:color="auto" w:fill="E2EFD9" w:themeFill="accent6" w:themeFillTint="33"/>
      </w:tcPr>
    </w:tblStylePr>
    <w:tblStylePr w:type="neCell">
      <w:tcPr>
        <w:tcBorders>
          <w:bottom w:val="single" w:color="A8D08D" w:themeColor="accent6" w:themeTint="99" w:sz="4" w:space="0"/>
        </w:tcBorders>
      </w:tcPr>
    </w:tblStylePr>
    <w:tblStylePr w:type="nwCell">
      <w:tcPr>
        <w:tcBorders>
          <w:bottom w:val="single" w:color="A8D08D" w:themeColor="accent6" w:themeTint="99" w:sz="4" w:space="0"/>
        </w:tcBorders>
      </w:tcPr>
    </w:tblStylePr>
    <w:tblStylePr w:type="seCell">
      <w:tcPr>
        <w:tcBorders>
          <w:top w:val="single" w:color="A8D08D" w:themeColor="accent6" w:themeTint="99" w:sz="4" w:space="0"/>
        </w:tcBorders>
      </w:tcPr>
    </w:tblStylePr>
    <w:tblStylePr w:type="swCell">
      <w:tcPr>
        <w:tcBorders>
          <w:top w:val="single" w:color="A8D08D" w:themeColor="accent6" w:themeTint="99" w:sz="4" w:space="0"/>
        </w:tcBorders>
      </w:tcPr>
    </w:tblStylePr>
  </w:style>
  <w:style w:type="table" w:customStyle="1" w:styleId="442">
    <w:name w:val="网格表 41"/>
    <w:basedOn w:val="88"/>
    <w:qFormat/>
    <w:uiPriority w:val="49"/>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443">
    <w:name w:val="网格表 4 - 着色 11"/>
    <w:basedOn w:val="88"/>
    <w:qFormat/>
    <w:uiPriority w:val="49"/>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table" w:customStyle="1" w:styleId="444">
    <w:name w:val="网格表 4 - 着色 21"/>
    <w:basedOn w:val="88"/>
    <w:qFormat/>
    <w:uiPriority w:val="49"/>
    <w:tblPr>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Pr>
    <w:tblStylePr w:type="firstRow">
      <w:rPr>
        <w:b/>
        <w:bCs/>
        <w:color w:val="FFFFFF" w:themeColor="background1"/>
        <w14:textFill>
          <w14:solidFill>
            <w14:schemeClr w14:val="bg1"/>
          </w14:solidFill>
        </w14:textFill>
      </w:rPr>
      <w:tcPr>
        <w:tcBorders>
          <w:top w:val="single" w:color="ED7D31" w:themeColor="accent2" w:sz="4" w:space="0"/>
          <w:left w:val="single" w:color="ED7D31" w:themeColor="accent2" w:sz="4" w:space="0"/>
          <w:bottom w:val="single" w:color="ED7D31" w:themeColor="accent2" w:sz="4" w:space="0"/>
          <w:right w:val="single" w:color="ED7D31" w:themeColor="accent2" w:sz="4" w:space="0"/>
          <w:insideH w:val="nil"/>
          <w:insideV w:val="nil"/>
        </w:tcBorders>
        <w:shd w:val="clear" w:color="auto" w:fill="ED7D31" w:themeFill="accent2"/>
      </w:tcPr>
    </w:tblStylePr>
    <w:tblStylePr w:type="lastRow">
      <w:rPr>
        <w:b/>
        <w:bCs/>
      </w:rPr>
      <w:tcPr>
        <w:tcBorders>
          <w:top w:val="double" w:color="ED7D31" w:themeColor="accent2" w:sz="4" w:space="0"/>
        </w:tcBorders>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445">
    <w:name w:val="网格表 4 - 着色 31"/>
    <w:basedOn w:val="88"/>
    <w:qFormat/>
    <w:uiPriority w:val="49"/>
    <w:tblPr>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insideV w:val="single" w:color="C8C8C8" w:themeColor="accent3" w:themeTint="99" w:sz="4" w:space="0"/>
      </w:tblBorders>
    </w:tblPr>
    <w:tblStylePr w:type="firstRow">
      <w:rPr>
        <w:b/>
        <w:bCs/>
        <w:color w:val="FFFFFF" w:themeColor="background1"/>
        <w14:textFill>
          <w14:solidFill>
            <w14:schemeClr w14:val="bg1"/>
          </w14:solidFill>
        </w14:textFill>
      </w:rPr>
      <w:tcPr>
        <w:tcBorders>
          <w:top w:val="single" w:color="A5A5A5" w:themeColor="accent3" w:sz="4" w:space="0"/>
          <w:left w:val="single" w:color="A5A5A5" w:themeColor="accent3" w:sz="4" w:space="0"/>
          <w:bottom w:val="single" w:color="A5A5A5" w:themeColor="accent3" w:sz="4" w:space="0"/>
          <w:right w:val="single" w:color="A5A5A5" w:themeColor="accent3" w:sz="4" w:space="0"/>
          <w:insideH w:val="nil"/>
          <w:insideV w:val="nil"/>
        </w:tcBorders>
        <w:shd w:val="clear" w:color="auto" w:fill="A5A5A5" w:themeFill="accent3"/>
      </w:tcPr>
    </w:tblStylePr>
    <w:tblStylePr w:type="lastRow">
      <w:rPr>
        <w:b/>
        <w:bCs/>
      </w:rPr>
      <w:tcPr>
        <w:tcBorders>
          <w:top w:val="double" w:color="A5A5A5" w:themeColor="accent3"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446">
    <w:name w:val="网格表 4 - 着色 41"/>
    <w:basedOn w:val="88"/>
    <w:qFormat/>
    <w:uiPriority w:val="49"/>
    <w:tblPr>
      <w:tblBorders>
        <w:top w:val="single" w:color="FFD965" w:themeColor="accent4" w:themeTint="99" w:sz="4" w:space="0"/>
        <w:left w:val="single" w:color="FFD965" w:themeColor="accent4" w:themeTint="99" w:sz="4" w:space="0"/>
        <w:bottom w:val="single" w:color="FFD965" w:themeColor="accent4" w:themeTint="99" w:sz="4" w:space="0"/>
        <w:right w:val="single" w:color="FFD965" w:themeColor="accent4" w:themeTint="99" w:sz="4" w:space="0"/>
        <w:insideH w:val="single" w:color="FFD965" w:themeColor="accent4" w:themeTint="99" w:sz="4" w:space="0"/>
        <w:insideV w:val="single" w:color="FFD965" w:themeColor="accent4" w:themeTint="99" w:sz="4" w:space="0"/>
      </w:tblBorders>
    </w:tblPr>
    <w:tblStylePr w:type="firstRow">
      <w:rPr>
        <w:b/>
        <w:bCs/>
        <w:color w:val="FFFFFF" w:themeColor="background1"/>
        <w14:textFill>
          <w14:solidFill>
            <w14:schemeClr w14:val="bg1"/>
          </w14:solidFill>
        </w14:textFill>
      </w:rPr>
      <w:tcPr>
        <w:tcBorders>
          <w:top w:val="single" w:color="FFC000" w:themeColor="accent4" w:sz="4" w:space="0"/>
          <w:left w:val="single" w:color="FFC000" w:themeColor="accent4" w:sz="4" w:space="0"/>
          <w:bottom w:val="single" w:color="FFC000" w:themeColor="accent4" w:sz="4" w:space="0"/>
          <w:right w:val="single" w:color="FFC000" w:themeColor="accent4" w:sz="4" w:space="0"/>
          <w:insideH w:val="nil"/>
          <w:insideV w:val="nil"/>
        </w:tcBorders>
        <w:shd w:val="clear" w:color="auto" w:fill="FFC000" w:themeFill="accent4"/>
      </w:tcPr>
    </w:tblStylePr>
    <w:tblStylePr w:type="lastRow">
      <w:rPr>
        <w:b/>
        <w:bCs/>
      </w:rPr>
      <w:tcPr>
        <w:tcBorders>
          <w:top w:val="double" w:color="FFC000" w:themeColor="accent4" w:sz="4" w:space="0"/>
        </w:tcBorders>
      </w:tcPr>
    </w:tblStylePr>
    <w:tblStylePr w:type="firstCol">
      <w:rPr>
        <w:b/>
        <w:bCs/>
      </w:rPr>
    </w:tblStylePr>
    <w:tblStylePr w:type="lastCol">
      <w:rPr>
        <w:b/>
        <w:bCs/>
      </w:rPr>
    </w:tblStylePr>
    <w:tblStylePr w:type="band1Vert">
      <w:tcPr>
        <w:shd w:val="clear" w:color="auto" w:fill="FEF2CC" w:themeFill="accent4" w:themeFillTint="33"/>
      </w:tcPr>
    </w:tblStylePr>
    <w:tblStylePr w:type="band1Horz">
      <w:tcPr>
        <w:shd w:val="clear" w:color="auto" w:fill="FEF2CC" w:themeFill="accent4" w:themeFillTint="33"/>
      </w:tcPr>
    </w:tblStylePr>
  </w:style>
  <w:style w:type="table" w:customStyle="1" w:styleId="447">
    <w:name w:val="网格表 4 - 着色 51"/>
    <w:basedOn w:val="88"/>
    <w:qFormat/>
    <w:uiPriority w:val="49"/>
    <w:tblPr>
      <w:tblBorders>
        <w:top w:val="single" w:color="8EAADB" w:themeColor="accent5" w:themeTint="99" w:sz="4" w:space="0"/>
        <w:left w:val="single" w:color="8EAADB" w:themeColor="accent5" w:themeTint="99" w:sz="4" w:space="0"/>
        <w:bottom w:val="single" w:color="8EAADB" w:themeColor="accent5" w:themeTint="99" w:sz="4" w:space="0"/>
        <w:right w:val="single" w:color="8EAADB" w:themeColor="accent5" w:themeTint="99" w:sz="4" w:space="0"/>
        <w:insideH w:val="single" w:color="8EAADB" w:themeColor="accent5" w:themeTint="99" w:sz="4" w:space="0"/>
        <w:insideV w:val="single" w:color="8EAADB" w:themeColor="accent5" w:themeTint="99" w:sz="4" w:space="0"/>
      </w:tblBorders>
    </w:tblPr>
    <w:tblStylePr w:type="firstRow">
      <w:rPr>
        <w:b/>
        <w:bCs/>
        <w:color w:val="FFFFFF" w:themeColor="background1"/>
        <w14:textFill>
          <w14:solidFill>
            <w14:schemeClr w14:val="bg1"/>
          </w14:solidFill>
        </w14:textFill>
      </w:rPr>
      <w:tcPr>
        <w:tcBorders>
          <w:top w:val="single" w:color="4472C4" w:themeColor="accent5" w:sz="4" w:space="0"/>
          <w:left w:val="single" w:color="4472C4" w:themeColor="accent5" w:sz="4" w:space="0"/>
          <w:bottom w:val="single" w:color="4472C4" w:themeColor="accent5" w:sz="4" w:space="0"/>
          <w:right w:val="single" w:color="4472C4" w:themeColor="accent5" w:sz="4" w:space="0"/>
          <w:insideH w:val="nil"/>
          <w:insideV w:val="nil"/>
        </w:tcBorders>
        <w:shd w:val="clear" w:color="auto" w:fill="4472C4" w:themeFill="accent5"/>
      </w:tcPr>
    </w:tblStylePr>
    <w:tblStylePr w:type="lastRow">
      <w:rPr>
        <w:b/>
        <w:bCs/>
      </w:rPr>
      <w:tcPr>
        <w:tcBorders>
          <w:top w:val="double" w:color="4472C4" w:themeColor="accent5" w:sz="4" w:space="0"/>
        </w:tcBorders>
      </w:tcPr>
    </w:tblStylePr>
    <w:tblStylePr w:type="firstCol">
      <w:rPr>
        <w:b/>
        <w:bCs/>
      </w:rPr>
    </w:tblStylePr>
    <w:tblStylePr w:type="lastCol">
      <w:rPr>
        <w:b/>
        <w:bCs/>
      </w:rPr>
    </w:tblStylePr>
    <w:tblStylePr w:type="band1Vert">
      <w:tcPr>
        <w:shd w:val="clear" w:color="auto" w:fill="D9E2F3" w:themeFill="accent5" w:themeFillTint="33"/>
      </w:tcPr>
    </w:tblStylePr>
    <w:tblStylePr w:type="band1Horz">
      <w:tcPr>
        <w:shd w:val="clear" w:color="auto" w:fill="D9E2F3" w:themeFill="accent5" w:themeFillTint="33"/>
      </w:tcPr>
    </w:tblStylePr>
  </w:style>
  <w:style w:type="table" w:customStyle="1" w:styleId="448">
    <w:name w:val="网格表 4 - 着色 61"/>
    <w:basedOn w:val="88"/>
    <w:qFormat/>
    <w:uiPriority w:val="49"/>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Pr>
    <w:tblStylePr w:type="firstRow">
      <w:rPr>
        <w:b/>
        <w:bCs/>
        <w:color w:val="FFFFFF" w:themeColor="background1"/>
        <w14:textFill>
          <w14:solidFill>
            <w14:schemeClr w14:val="bg1"/>
          </w14:solidFill>
        </w14:textFill>
      </w:rPr>
      <w:tcPr>
        <w:tcBorders>
          <w:top w:val="single" w:color="70AD47" w:themeColor="accent6" w:sz="4" w:space="0"/>
          <w:left w:val="single" w:color="70AD47" w:themeColor="accent6" w:sz="4" w:space="0"/>
          <w:bottom w:val="single" w:color="70AD47" w:themeColor="accent6" w:sz="4" w:space="0"/>
          <w:right w:val="single" w:color="70AD47" w:themeColor="accent6" w:sz="4" w:space="0"/>
          <w:insideH w:val="nil"/>
          <w:insideV w:val="nil"/>
        </w:tcBorders>
        <w:shd w:val="clear" w:color="auto" w:fill="70AD47" w:themeFill="accent6"/>
      </w:tcPr>
    </w:tblStylePr>
    <w:tblStylePr w:type="lastRow">
      <w:rPr>
        <w:b/>
        <w:bCs/>
      </w:rPr>
      <w:tcPr>
        <w:tcBorders>
          <w:top w:val="double" w:color="70AD47" w:themeColor="accent6"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449">
    <w:name w:val="网格表 5 深色1"/>
    <w:basedOn w:val="88"/>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CCCCCC" w:themeFill="tex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000000" w:themeFill="tex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000000" w:themeFill="tex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000000" w:themeFill="tex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000000" w:themeFill="text1"/>
      </w:tcPr>
    </w:tblStylePr>
    <w:tblStylePr w:type="band1Vert">
      <w:tcPr>
        <w:shd w:val="clear" w:color="auto" w:fill="999999" w:themeFill="text1" w:themeFillTint="66"/>
      </w:tcPr>
    </w:tblStylePr>
    <w:tblStylePr w:type="band1Horz">
      <w:tcPr>
        <w:shd w:val="clear" w:color="auto" w:fill="999999" w:themeFill="text1" w:themeFillTint="66"/>
      </w:tcPr>
    </w:tblStylePr>
  </w:style>
  <w:style w:type="table" w:customStyle="1" w:styleId="450">
    <w:name w:val="网格表 5 深色 - 着色 11"/>
    <w:basedOn w:val="88"/>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EEAF6"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1"/>
      </w:tcPr>
    </w:tblStylePr>
    <w:tblStylePr w:type="band1Vert">
      <w:tcPr>
        <w:shd w:val="clear" w:color="auto" w:fill="BDD6EE" w:themeFill="accent1" w:themeFillTint="66"/>
      </w:tcPr>
    </w:tblStylePr>
    <w:tblStylePr w:type="band1Horz">
      <w:tcPr>
        <w:shd w:val="clear" w:color="auto" w:fill="BDD6EE" w:themeFill="accent1" w:themeFillTint="66"/>
      </w:tcPr>
    </w:tblStylePr>
  </w:style>
  <w:style w:type="table" w:customStyle="1" w:styleId="451">
    <w:name w:val="网格表 5 深色 - 着色 21"/>
    <w:basedOn w:val="88"/>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FBE4D5" w:themeFill="accent2"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ED7D31" w:themeFill="accent2"/>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ED7D31" w:themeFill="accent2"/>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ED7D31" w:themeFill="accent2"/>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ED7D31" w:themeFill="accent2"/>
      </w:tcPr>
    </w:tblStylePr>
    <w:tblStylePr w:type="band1Vert">
      <w:tcPr>
        <w:shd w:val="clear" w:color="auto" w:fill="F7CAAC" w:themeFill="accent2" w:themeFillTint="66"/>
      </w:tcPr>
    </w:tblStylePr>
    <w:tblStylePr w:type="band1Horz">
      <w:tcPr>
        <w:shd w:val="clear" w:color="auto" w:fill="F7CAAC" w:themeFill="accent2" w:themeFillTint="66"/>
      </w:tcPr>
    </w:tblStylePr>
  </w:style>
  <w:style w:type="table" w:customStyle="1" w:styleId="452">
    <w:name w:val="网格表 5 深色 - 着色 31"/>
    <w:basedOn w:val="88"/>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CECEC" w:themeFill="accent3"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A5A5A5" w:themeFill="accent3"/>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A5A5A5" w:themeFill="accent3"/>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A5A5A5" w:themeFill="accent3"/>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A5A5A5" w:themeFill="accent3"/>
      </w:tcPr>
    </w:tblStylePr>
    <w:tblStylePr w:type="band1Vert">
      <w:tcPr>
        <w:shd w:val="clear" w:color="auto" w:fill="DADADA" w:themeFill="accent3" w:themeFillTint="66"/>
      </w:tcPr>
    </w:tblStylePr>
    <w:tblStylePr w:type="band1Horz">
      <w:tcPr>
        <w:shd w:val="clear" w:color="auto" w:fill="DADADA" w:themeFill="accent3" w:themeFillTint="66"/>
      </w:tcPr>
    </w:tblStylePr>
  </w:style>
  <w:style w:type="table" w:customStyle="1" w:styleId="453">
    <w:name w:val="网格表 5 深色 - 着色 41"/>
    <w:basedOn w:val="88"/>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FEF2CC" w:themeFill="accent4"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FFC000" w:themeFill="accent4"/>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FFC000" w:themeFill="accent4"/>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FFC000" w:themeFill="accent4"/>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FFC000" w:themeFill="accent4"/>
      </w:tcPr>
    </w:tblStylePr>
    <w:tblStylePr w:type="band1Vert">
      <w:tcPr>
        <w:shd w:val="clear" w:color="auto" w:fill="FFE599" w:themeFill="accent4" w:themeFillTint="66"/>
      </w:tcPr>
    </w:tblStylePr>
    <w:tblStylePr w:type="band1Horz">
      <w:tcPr>
        <w:shd w:val="clear" w:color="auto" w:fill="FFE599" w:themeFill="accent4" w:themeFillTint="66"/>
      </w:tcPr>
    </w:tblStylePr>
  </w:style>
  <w:style w:type="table" w:customStyle="1" w:styleId="454">
    <w:name w:val="网格表 5 深色 - 着色 51"/>
    <w:basedOn w:val="88"/>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9E2F3"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472C4"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472C4"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472C4"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472C4" w:themeFill="accent5"/>
      </w:tcPr>
    </w:tblStylePr>
    <w:tblStylePr w:type="band1Vert">
      <w:tcPr>
        <w:shd w:val="clear" w:color="auto" w:fill="B4C6E7" w:themeFill="accent5" w:themeFillTint="66"/>
      </w:tcPr>
    </w:tblStylePr>
    <w:tblStylePr w:type="band1Horz">
      <w:tcPr>
        <w:shd w:val="clear" w:color="auto" w:fill="B4C6E7" w:themeFill="accent5" w:themeFillTint="66"/>
      </w:tcPr>
    </w:tblStylePr>
  </w:style>
  <w:style w:type="table" w:customStyle="1" w:styleId="455">
    <w:name w:val="网格表 5 深色 - 着色 61"/>
    <w:basedOn w:val="88"/>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2EFD9" w:themeFill="accent6"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70AD47" w:themeFill="accent6"/>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70AD47" w:themeFill="accent6"/>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70AD47" w:themeFill="accent6"/>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70AD47" w:themeFill="accent6"/>
      </w:tcPr>
    </w:tblStylePr>
    <w:tblStylePr w:type="band1Vert">
      <w:tcPr>
        <w:shd w:val="clear" w:color="auto" w:fill="C5E0B3" w:themeFill="accent6" w:themeFillTint="66"/>
      </w:tcPr>
    </w:tblStylePr>
    <w:tblStylePr w:type="band1Horz">
      <w:tcPr>
        <w:shd w:val="clear" w:color="auto" w:fill="C5E0B3" w:themeFill="accent6" w:themeFillTint="66"/>
      </w:tcPr>
    </w:tblStylePr>
  </w:style>
  <w:style w:type="table" w:customStyle="1" w:styleId="456">
    <w:name w:val="网格表 6 彩色1"/>
    <w:basedOn w:val="88"/>
    <w:qFormat/>
    <w:uiPriority w:val="51"/>
    <w:rPr>
      <w:color w:val="000000" w:themeColor="text1"/>
      <w14:textFill>
        <w14:solidFill>
          <w14:schemeClr w14:val="tx1"/>
        </w14:solidFill>
      </w14:textFill>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457">
    <w:name w:val="网格表 6 彩色 - 着色 11"/>
    <w:basedOn w:val="88"/>
    <w:qFormat/>
    <w:uiPriority w:val="51"/>
    <w:rPr>
      <w:color w:val="2E75B6" w:themeColor="accent1" w:themeShade="BF"/>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rPr>
      <w:tcPr>
        <w:tcBorders>
          <w:bottom w:val="single" w:color="9CC2E5" w:themeColor="accent1" w:themeTint="99" w:sz="12" w:space="0"/>
        </w:tcBorders>
      </w:tcPr>
    </w:tblStylePr>
    <w:tblStylePr w:type="lastRow">
      <w:rPr>
        <w:b/>
        <w:bCs/>
      </w:rPr>
      <w:tcPr>
        <w:tcBorders>
          <w:top w:val="double" w:color="9CC2E5" w:themeColor="accent1" w:themeTint="99"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table" w:customStyle="1" w:styleId="458">
    <w:name w:val="网格表 6 彩色 - 着色 21"/>
    <w:basedOn w:val="88"/>
    <w:qFormat/>
    <w:uiPriority w:val="51"/>
    <w:rPr>
      <w:color w:val="C55A11" w:themeColor="accent2" w:themeShade="BF"/>
    </w:rPr>
    <w:tblPr>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Pr>
    <w:tblStylePr w:type="firstRow">
      <w:rPr>
        <w:b/>
        <w:bCs/>
      </w:rPr>
      <w:tcPr>
        <w:tcBorders>
          <w:bottom w:val="single" w:color="F4B083" w:themeColor="accent2" w:themeTint="99" w:sz="12" w:space="0"/>
        </w:tcBorders>
      </w:tcPr>
    </w:tblStylePr>
    <w:tblStylePr w:type="lastRow">
      <w:rPr>
        <w:b/>
        <w:bCs/>
      </w:rPr>
      <w:tcPr>
        <w:tcBorders>
          <w:top w:val="double" w:color="F4B083" w:themeColor="accent2" w:themeTint="99" w:sz="4" w:space="0"/>
        </w:tcBorders>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459">
    <w:name w:val="网格表 6 彩色 - 着色 31"/>
    <w:basedOn w:val="88"/>
    <w:qFormat/>
    <w:uiPriority w:val="51"/>
    <w:rPr>
      <w:color w:val="7C7C7C" w:themeColor="accent3" w:themeShade="BF"/>
    </w:rPr>
    <w:tblPr>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insideV w:val="single" w:color="C8C8C8" w:themeColor="accent3" w:themeTint="99" w:sz="4" w:space="0"/>
      </w:tblBorders>
    </w:tblPr>
    <w:tblStylePr w:type="firstRow">
      <w:rPr>
        <w:b/>
        <w:bCs/>
      </w:rPr>
      <w:tcPr>
        <w:tcBorders>
          <w:bottom w:val="single" w:color="C8C8C8" w:themeColor="accent3" w:themeTint="99" w:sz="12" w:space="0"/>
        </w:tcBorders>
      </w:tcPr>
    </w:tblStylePr>
    <w:tblStylePr w:type="lastRow">
      <w:rPr>
        <w:b/>
        <w:bCs/>
      </w:rPr>
      <w:tcPr>
        <w:tcBorders>
          <w:top w:val="double" w:color="C8C8C8" w:themeColor="accent3" w:themeTint="99"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460">
    <w:name w:val="网格表 6 彩色 - 着色 41"/>
    <w:basedOn w:val="88"/>
    <w:qFormat/>
    <w:uiPriority w:val="51"/>
    <w:rPr>
      <w:color w:val="BF9000" w:themeColor="accent4" w:themeShade="BF"/>
    </w:rPr>
    <w:tblPr>
      <w:tblBorders>
        <w:top w:val="single" w:color="FFD965" w:themeColor="accent4" w:themeTint="99" w:sz="4" w:space="0"/>
        <w:left w:val="single" w:color="FFD965" w:themeColor="accent4" w:themeTint="99" w:sz="4" w:space="0"/>
        <w:bottom w:val="single" w:color="FFD965" w:themeColor="accent4" w:themeTint="99" w:sz="4" w:space="0"/>
        <w:right w:val="single" w:color="FFD965" w:themeColor="accent4" w:themeTint="99" w:sz="4" w:space="0"/>
        <w:insideH w:val="single" w:color="FFD965" w:themeColor="accent4" w:themeTint="99" w:sz="4" w:space="0"/>
        <w:insideV w:val="single" w:color="FFD965" w:themeColor="accent4" w:themeTint="99" w:sz="4" w:space="0"/>
      </w:tblBorders>
    </w:tblPr>
    <w:tblStylePr w:type="firstRow">
      <w:rPr>
        <w:b/>
        <w:bCs/>
      </w:rPr>
      <w:tcPr>
        <w:tcBorders>
          <w:bottom w:val="single" w:color="FFD965" w:themeColor="accent4" w:themeTint="99" w:sz="12" w:space="0"/>
        </w:tcBorders>
      </w:tcPr>
    </w:tblStylePr>
    <w:tblStylePr w:type="lastRow">
      <w:rPr>
        <w:b/>
        <w:bCs/>
      </w:rPr>
      <w:tcPr>
        <w:tcBorders>
          <w:top w:val="double" w:color="FFD965" w:themeColor="accent4" w:themeTint="99" w:sz="4" w:space="0"/>
        </w:tcBorders>
      </w:tcPr>
    </w:tblStylePr>
    <w:tblStylePr w:type="firstCol">
      <w:rPr>
        <w:b/>
        <w:bCs/>
      </w:rPr>
    </w:tblStylePr>
    <w:tblStylePr w:type="lastCol">
      <w:rPr>
        <w:b/>
        <w:bCs/>
      </w:rPr>
    </w:tblStylePr>
    <w:tblStylePr w:type="band1Vert">
      <w:tcPr>
        <w:shd w:val="clear" w:color="auto" w:fill="FEF2CC" w:themeFill="accent4" w:themeFillTint="33"/>
      </w:tcPr>
    </w:tblStylePr>
    <w:tblStylePr w:type="band1Horz">
      <w:tcPr>
        <w:shd w:val="clear" w:color="auto" w:fill="FEF2CC" w:themeFill="accent4" w:themeFillTint="33"/>
      </w:tcPr>
    </w:tblStylePr>
  </w:style>
  <w:style w:type="table" w:customStyle="1" w:styleId="461">
    <w:name w:val="网格表 6 彩色 - 着色 51"/>
    <w:basedOn w:val="88"/>
    <w:qFormat/>
    <w:uiPriority w:val="51"/>
    <w:rPr>
      <w:color w:val="2F5597" w:themeColor="accent5" w:themeShade="BF"/>
    </w:rPr>
    <w:tblPr>
      <w:tblBorders>
        <w:top w:val="single" w:color="8EAADB" w:themeColor="accent5" w:themeTint="99" w:sz="4" w:space="0"/>
        <w:left w:val="single" w:color="8EAADB" w:themeColor="accent5" w:themeTint="99" w:sz="4" w:space="0"/>
        <w:bottom w:val="single" w:color="8EAADB" w:themeColor="accent5" w:themeTint="99" w:sz="4" w:space="0"/>
        <w:right w:val="single" w:color="8EAADB" w:themeColor="accent5" w:themeTint="99" w:sz="4" w:space="0"/>
        <w:insideH w:val="single" w:color="8EAADB" w:themeColor="accent5" w:themeTint="99" w:sz="4" w:space="0"/>
        <w:insideV w:val="single" w:color="8EAADB" w:themeColor="accent5" w:themeTint="99" w:sz="4" w:space="0"/>
      </w:tblBorders>
    </w:tblPr>
    <w:tblStylePr w:type="firstRow">
      <w:rPr>
        <w:b/>
        <w:bCs/>
      </w:rPr>
      <w:tcPr>
        <w:tcBorders>
          <w:bottom w:val="single" w:color="8EAADB" w:themeColor="accent5" w:themeTint="99" w:sz="12" w:space="0"/>
        </w:tcBorders>
      </w:tcPr>
    </w:tblStylePr>
    <w:tblStylePr w:type="lastRow">
      <w:rPr>
        <w:b/>
        <w:bCs/>
      </w:rPr>
      <w:tcPr>
        <w:tcBorders>
          <w:top w:val="double" w:color="8EAADB" w:themeColor="accent5" w:themeTint="99" w:sz="4" w:space="0"/>
        </w:tcBorders>
      </w:tcPr>
    </w:tblStylePr>
    <w:tblStylePr w:type="firstCol">
      <w:rPr>
        <w:b/>
        <w:bCs/>
      </w:rPr>
    </w:tblStylePr>
    <w:tblStylePr w:type="lastCol">
      <w:rPr>
        <w:b/>
        <w:bCs/>
      </w:rPr>
    </w:tblStylePr>
    <w:tblStylePr w:type="band1Vert">
      <w:tcPr>
        <w:shd w:val="clear" w:color="auto" w:fill="D9E2F3" w:themeFill="accent5" w:themeFillTint="33"/>
      </w:tcPr>
    </w:tblStylePr>
    <w:tblStylePr w:type="band1Horz">
      <w:tcPr>
        <w:shd w:val="clear" w:color="auto" w:fill="D9E2F3" w:themeFill="accent5" w:themeFillTint="33"/>
      </w:tcPr>
    </w:tblStylePr>
  </w:style>
  <w:style w:type="table" w:customStyle="1" w:styleId="462">
    <w:name w:val="网格表 6 彩色 - 着色 61"/>
    <w:basedOn w:val="88"/>
    <w:qFormat/>
    <w:uiPriority w:val="51"/>
    <w:rPr>
      <w:color w:val="548235" w:themeColor="accent6" w:themeShade="BF"/>
    </w:rPr>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Pr>
    <w:tblStylePr w:type="firstRow">
      <w:rPr>
        <w:b/>
        <w:bCs/>
      </w:rPr>
      <w:tcPr>
        <w:tcBorders>
          <w:bottom w:val="single" w:color="A8D08D" w:themeColor="accent6" w:themeTint="99" w:sz="12" w:space="0"/>
        </w:tcBorders>
      </w:tcPr>
    </w:tblStylePr>
    <w:tblStylePr w:type="lastRow">
      <w:rPr>
        <w:b/>
        <w:bCs/>
      </w:rPr>
      <w:tcPr>
        <w:tcBorders>
          <w:top w:val="double" w:color="A8D08D" w:themeColor="accent6" w:themeTint="99"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463">
    <w:name w:val="网格表 7 彩色1"/>
    <w:basedOn w:val="88"/>
    <w:qFormat/>
    <w:uiPriority w:val="52"/>
    <w:rPr>
      <w:color w:val="000000" w:themeColor="text1"/>
      <w14:textFill>
        <w14:solidFill>
          <w14:schemeClr w14:val="tx1"/>
        </w14:solidFill>
      </w14:textFill>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bottom w:val="single" w:color="666666" w:themeColor="text1" w:themeTint="99" w:sz="4" w:space="0"/>
        </w:tcBorders>
      </w:tcPr>
    </w:tblStylePr>
    <w:tblStylePr w:type="nwCell">
      <w:tcPr>
        <w:tcBorders>
          <w:bottom w:val="single" w:color="666666" w:themeColor="text1" w:themeTint="99" w:sz="4" w:space="0"/>
        </w:tcBorders>
      </w:tcPr>
    </w:tblStylePr>
    <w:tblStylePr w:type="seCell">
      <w:tcPr>
        <w:tcBorders>
          <w:top w:val="single" w:color="666666" w:themeColor="text1" w:themeTint="99" w:sz="4" w:space="0"/>
        </w:tcBorders>
      </w:tcPr>
    </w:tblStylePr>
    <w:tblStylePr w:type="swCell">
      <w:tcPr>
        <w:tcBorders>
          <w:top w:val="single" w:color="666666" w:themeColor="text1" w:themeTint="99" w:sz="4" w:space="0"/>
        </w:tcBorders>
      </w:tcPr>
    </w:tblStylePr>
  </w:style>
  <w:style w:type="table" w:customStyle="1" w:styleId="464">
    <w:name w:val="网格表 7 彩色 - 着色 11"/>
    <w:basedOn w:val="88"/>
    <w:qFormat/>
    <w:uiPriority w:val="52"/>
    <w:rPr>
      <w:color w:val="2E75B6" w:themeColor="accent1" w:themeShade="BF"/>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DEEAF6" w:themeFill="accent1" w:themeFillTint="33"/>
      </w:tcPr>
    </w:tblStylePr>
    <w:tblStylePr w:type="band1Horz">
      <w:tcPr>
        <w:shd w:val="clear" w:color="auto" w:fill="DEEAF6" w:themeFill="accent1" w:themeFillTint="33"/>
      </w:tcPr>
    </w:tblStylePr>
    <w:tblStylePr w:type="neCell">
      <w:tcPr>
        <w:tcBorders>
          <w:bottom w:val="single" w:color="9CC2E5" w:themeColor="accent1" w:themeTint="99" w:sz="4" w:space="0"/>
        </w:tcBorders>
      </w:tcPr>
    </w:tblStylePr>
    <w:tblStylePr w:type="nwCell">
      <w:tcPr>
        <w:tcBorders>
          <w:bottom w:val="single" w:color="9CC2E5" w:themeColor="accent1" w:themeTint="99" w:sz="4" w:space="0"/>
        </w:tcBorders>
      </w:tcPr>
    </w:tblStylePr>
    <w:tblStylePr w:type="seCell">
      <w:tcPr>
        <w:tcBorders>
          <w:top w:val="single" w:color="9CC2E5" w:themeColor="accent1" w:themeTint="99" w:sz="4" w:space="0"/>
        </w:tcBorders>
      </w:tcPr>
    </w:tblStylePr>
    <w:tblStylePr w:type="swCell">
      <w:tcPr>
        <w:tcBorders>
          <w:top w:val="single" w:color="9CC2E5" w:themeColor="accent1" w:themeTint="99" w:sz="4" w:space="0"/>
        </w:tcBorders>
      </w:tcPr>
    </w:tblStylePr>
  </w:style>
  <w:style w:type="table" w:customStyle="1" w:styleId="465">
    <w:name w:val="网格表 7 彩色 - 着色 21"/>
    <w:basedOn w:val="88"/>
    <w:qFormat/>
    <w:uiPriority w:val="52"/>
    <w:rPr>
      <w:color w:val="C55A11" w:themeColor="accent2" w:themeShade="BF"/>
    </w:rPr>
    <w:tblPr>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FBE4D5" w:themeFill="accent2" w:themeFillTint="33"/>
      </w:tcPr>
    </w:tblStylePr>
    <w:tblStylePr w:type="band1Horz">
      <w:tcPr>
        <w:shd w:val="clear" w:color="auto" w:fill="FBE4D5" w:themeFill="accent2" w:themeFillTint="33"/>
      </w:tcPr>
    </w:tblStylePr>
    <w:tblStylePr w:type="neCell">
      <w:tcPr>
        <w:tcBorders>
          <w:bottom w:val="single" w:color="F4B083" w:themeColor="accent2" w:themeTint="99" w:sz="4" w:space="0"/>
        </w:tcBorders>
      </w:tcPr>
    </w:tblStylePr>
    <w:tblStylePr w:type="nwCell">
      <w:tcPr>
        <w:tcBorders>
          <w:bottom w:val="single" w:color="F4B083" w:themeColor="accent2" w:themeTint="99" w:sz="4" w:space="0"/>
        </w:tcBorders>
      </w:tcPr>
    </w:tblStylePr>
    <w:tblStylePr w:type="seCell">
      <w:tcPr>
        <w:tcBorders>
          <w:top w:val="single" w:color="F4B083" w:themeColor="accent2" w:themeTint="99" w:sz="4" w:space="0"/>
        </w:tcBorders>
      </w:tcPr>
    </w:tblStylePr>
    <w:tblStylePr w:type="swCell">
      <w:tcPr>
        <w:tcBorders>
          <w:top w:val="single" w:color="F4B083" w:themeColor="accent2" w:themeTint="99" w:sz="4" w:space="0"/>
        </w:tcBorders>
      </w:tcPr>
    </w:tblStylePr>
  </w:style>
  <w:style w:type="table" w:customStyle="1" w:styleId="466">
    <w:name w:val="网格表 7 彩色 - 着色 31"/>
    <w:basedOn w:val="88"/>
    <w:qFormat/>
    <w:uiPriority w:val="52"/>
    <w:rPr>
      <w:color w:val="7C7C7C" w:themeColor="accent3" w:themeShade="BF"/>
    </w:rPr>
    <w:tblPr>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insideV w:val="single" w:color="C8C8C8" w:themeColor="accent3"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ECECEC" w:themeFill="accent3" w:themeFillTint="33"/>
      </w:tcPr>
    </w:tblStylePr>
    <w:tblStylePr w:type="band1Horz">
      <w:tcPr>
        <w:shd w:val="clear" w:color="auto" w:fill="ECECEC" w:themeFill="accent3" w:themeFillTint="33"/>
      </w:tcPr>
    </w:tblStylePr>
    <w:tblStylePr w:type="neCell">
      <w:tcPr>
        <w:tcBorders>
          <w:bottom w:val="single" w:color="C8C8C8" w:themeColor="accent3" w:themeTint="99" w:sz="4" w:space="0"/>
        </w:tcBorders>
      </w:tcPr>
    </w:tblStylePr>
    <w:tblStylePr w:type="nwCell">
      <w:tcPr>
        <w:tcBorders>
          <w:bottom w:val="single" w:color="C8C8C8" w:themeColor="accent3" w:themeTint="99" w:sz="4" w:space="0"/>
        </w:tcBorders>
      </w:tcPr>
    </w:tblStylePr>
    <w:tblStylePr w:type="seCell">
      <w:tcPr>
        <w:tcBorders>
          <w:top w:val="single" w:color="C8C8C8" w:themeColor="accent3" w:themeTint="99" w:sz="4" w:space="0"/>
        </w:tcBorders>
      </w:tcPr>
    </w:tblStylePr>
    <w:tblStylePr w:type="swCell">
      <w:tcPr>
        <w:tcBorders>
          <w:top w:val="single" w:color="C8C8C8" w:themeColor="accent3" w:themeTint="99" w:sz="4" w:space="0"/>
        </w:tcBorders>
      </w:tcPr>
    </w:tblStylePr>
  </w:style>
  <w:style w:type="table" w:customStyle="1" w:styleId="467">
    <w:name w:val="网格表 7 彩色 - 着色 41"/>
    <w:basedOn w:val="88"/>
    <w:qFormat/>
    <w:uiPriority w:val="52"/>
    <w:rPr>
      <w:color w:val="BF9000" w:themeColor="accent4" w:themeShade="BF"/>
    </w:rPr>
    <w:tblPr>
      <w:tblBorders>
        <w:top w:val="single" w:color="FFD965" w:themeColor="accent4" w:themeTint="99" w:sz="4" w:space="0"/>
        <w:left w:val="single" w:color="FFD965" w:themeColor="accent4" w:themeTint="99" w:sz="4" w:space="0"/>
        <w:bottom w:val="single" w:color="FFD965" w:themeColor="accent4" w:themeTint="99" w:sz="4" w:space="0"/>
        <w:right w:val="single" w:color="FFD965" w:themeColor="accent4" w:themeTint="99" w:sz="4" w:space="0"/>
        <w:insideH w:val="single" w:color="FFD965" w:themeColor="accent4" w:themeTint="99" w:sz="4" w:space="0"/>
        <w:insideV w:val="single" w:color="FFD965" w:themeColor="accent4"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FEF2CC" w:themeFill="accent4" w:themeFillTint="33"/>
      </w:tcPr>
    </w:tblStylePr>
    <w:tblStylePr w:type="band1Horz">
      <w:tcPr>
        <w:shd w:val="clear" w:color="auto" w:fill="FEF2CC" w:themeFill="accent4" w:themeFillTint="33"/>
      </w:tcPr>
    </w:tblStylePr>
    <w:tblStylePr w:type="neCell">
      <w:tcPr>
        <w:tcBorders>
          <w:bottom w:val="single" w:color="FFD965" w:themeColor="accent4" w:themeTint="99" w:sz="4" w:space="0"/>
        </w:tcBorders>
      </w:tcPr>
    </w:tblStylePr>
    <w:tblStylePr w:type="nwCell">
      <w:tcPr>
        <w:tcBorders>
          <w:bottom w:val="single" w:color="FFD965" w:themeColor="accent4" w:themeTint="99" w:sz="4" w:space="0"/>
        </w:tcBorders>
      </w:tcPr>
    </w:tblStylePr>
    <w:tblStylePr w:type="seCell">
      <w:tcPr>
        <w:tcBorders>
          <w:top w:val="single" w:color="FFD965" w:themeColor="accent4" w:themeTint="99" w:sz="4" w:space="0"/>
        </w:tcBorders>
      </w:tcPr>
    </w:tblStylePr>
    <w:tblStylePr w:type="swCell">
      <w:tcPr>
        <w:tcBorders>
          <w:top w:val="single" w:color="FFD965" w:themeColor="accent4" w:themeTint="99" w:sz="4" w:space="0"/>
        </w:tcBorders>
      </w:tcPr>
    </w:tblStylePr>
  </w:style>
  <w:style w:type="table" w:customStyle="1" w:styleId="468">
    <w:name w:val="网格表 7 彩色 - 着色 51"/>
    <w:basedOn w:val="88"/>
    <w:qFormat/>
    <w:uiPriority w:val="52"/>
    <w:rPr>
      <w:color w:val="2F5597" w:themeColor="accent5" w:themeShade="BF"/>
    </w:rPr>
    <w:tblPr>
      <w:tblBorders>
        <w:top w:val="single" w:color="8EAADB" w:themeColor="accent5" w:themeTint="99" w:sz="4" w:space="0"/>
        <w:left w:val="single" w:color="8EAADB" w:themeColor="accent5" w:themeTint="99" w:sz="4" w:space="0"/>
        <w:bottom w:val="single" w:color="8EAADB" w:themeColor="accent5" w:themeTint="99" w:sz="4" w:space="0"/>
        <w:right w:val="single" w:color="8EAADB" w:themeColor="accent5" w:themeTint="99" w:sz="4" w:space="0"/>
        <w:insideH w:val="single" w:color="8EAADB" w:themeColor="accent5" w:themeTint="99" w:sz="4" w:space="0"/>
        <w:insideV w:val="single" w:color="8EAADB" w:themeColor="accent5"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D9E2F3" w:themeFill="accent5" w:themeFillTint="33"/>
      </w:tcPr>
    </w:tblStylePr>
    <w:tblStylePr w:type="band1Horz">
      <w:tcPr>
        <w:shd w:val="clear" w:color="auto" w:fill="D9E2F3" w:themeFill="accent5" w:themeFillTint="33"/>
      </w:tcPr>
    </w:tblStylePr>
    <w:tblStylePr w:type="neCell">
      <w:tcPr>
        <w:tcBorders>
          <w:bottom w:val="single" w:color="8EAADB" w:themeColor="accent5" w:themeTint="99" w:sz="4" w:space="0"/>
        </w:tcBorders>
      </w:tcPr>
    </w:tblStylePr>
    <w:tblStylePr w:type="nwCell">
      <w:tcPr>
        <w:tcBorders>
          <w:bottom w:val="single" w:color="8EAADB" w:themeColor="accent5" w:themeTint="99" w:sz="4" w:space="0"/>
        </w:tcBorders>
      </w:tcPr>
    </w:tblStylePr>
    <w:tblStylePr w:type="seCell">
      <w:tcPr>
        <w:tcBorders>
          <w:top w:val="single" w:color="8EAADB" w:themeColor="accent5" w:themeTint="99" w:sz="4" w:space="0"/>
        </w:tcBorders>
      </w:tcPr>
    </w:tblStylePr>
    <w:tblStylePr w:type="swCell">
      <w:tcPr>
        <w:tcBorders>
          <w:top w:val="single" w:color="8EAADB" w:themeColor="accent5" w:themeTint="99" w:sz="4" w:space="0"/>
        </w:tcBorders>
      </w:tcPr>
    </w:tblStylePr>
  </w:style>
  <w:style w:type="table" w:customStyle="1" w:styleId="469">
    <w:name w:val="网格表 7 彩色 - 着色 61"/>
    <w:basedOn w:val="88"/>
    <w:qFormat/>
    <w:uiPriority w:val="52"/>
    <w:rPr>
      <w:color w:val="548235" w:themeColor="accent6" w:themeShade="BF"/>
    </w:rPr>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E2EFD9" w:themeFill="accent6" w:themeFillTint="33"/>
      </w:tcPr>
    </w:tblStylePr>
    <w:tblStylePr w:type="band1Horz">
      <w:tcPr>
        <w:shd w:val="clear" w:color="auto" w:fill="E2EFD9" w:themeFill="accent6" w:themeFillTint="33"/>
      </w:tcPr>
    </w:tblStylePr>
    <w:tblStylePr w:type="neCell">
      <w:tcPr>
        <w:tcBorders>
          <w:bottom w:val="single" w:color="A8D08D" w:themeColor="accent6" w:themeTint="99" w:sz="4" w:space="0"/>
        </w:tcBorders>
      </w:tcPr>
    </w:tblStylePr>
    <w:tblStylePr w:type="nwCell">
      <w:tcPr>
        <w:tcBorders>
          <w:bottom w:val="single" w:color="A8D08D" w:themeColor="accent6" w:themeTint="99" w:sz="4" w:space="0"/>
        </w:tcBorders>
      </w:tcPr>
    </w:tblStylePr>
    <w:tblStylePr w:type="seCell">
      <w:tcPr>
        <w:tcBorders>
          <w:top w:val="single" w:color="A8D08D" w:themeColor="accent6" w:themeTint="99" w:sz="4" w:space="0"/>
        </w:tcBorders>
      </w:tcPr>
    </w:tblStylePr>
    <w:tblStylePr w:type="swCell">
      <w:tcPr>
        <w:tcBorders>
          <w:top w:val="single" w:color="A8D08D" w:themeColor="accent6" w:themeTint="99" w:sz="4" w:space="0"/>
        </w:tcBorders>
      </w:tcPr>
    </w:tblStylePr>
  </w:style>
  <w:style w:type="table" w:customStyle="1" w:styleId="470">
    <w:name w:val="网格型浅色1"/>
    <w:basedOn w:val="88"/>
    <w:qFormat/>
    <w:uiPriority w:val="40"/>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character" w:customStyle="1" w:styleId="471">
    <w:name w:val="尾注文本 Char"/>
    <w:basedOn w:val="231"/>
    <w:link w:val="55"/>
    <w:semiHidden/>
    <w:qFormat/>
    <w:uiPriority w:val="99"/>
    <w:rPr>
      <w:kern w:val="2"/>
      <w:sz w:val="21"/>
      <w:szCs w:val="24"/>
    </w:rPr>
  </w:style>
  <w:style w:type="character" w:customStyle="1" w:styleId="472">
    <w:name w:val="文档结构图 Char"/>
    <w:basedOn w:val="231"/>
    <w:link w:val="32"/>
    <w:semiHidden/>
    <w:qFormat/>
    <w:uiPriority w:val="99"/>
    <w:rPr>
      <w:rFonts w:ascii="Microsoft YaHei UI" w:eastAsia="Microsoft YaHei UI"/>
      <w:kern w:val="2"/>
      <w:sz w:val="18"/>
      <w:szCs w:val="18"/>
    </w:rPr>
  </w:style>
  <w:style w:type="table" w:customStyle="1" w:styleId="473">
    <w:name w:val="无格式表格 11"/>
    <w:basedOn w:val="88"/>
    <w:qFormat/>
    <w:uiPriority w:val="41"/>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474">
    <w:name w:val="无格式表格 21"/>
    <w:basedOn w:val="88"/>
    <w:qFormat/>
    <w:uiPriority w:val="42"/>
    <w:tblPr>
      <w:tblBorders>
        <w:top w:val="single" w:color="7E7E7E" w:themeColor="text1" w:themeTint="80" w:sz="4" w:space="0"/>
        <w:bottom w:val="single" w:color="7E7E7E" w:themeColor="text1" w:themeTint="80" w:sz="4" w:space="0"/>
      </w:tblBorders>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table" w:customStyle="1" w:styleId="475">
    <w:name w:val="无格式表格 31"/>
    <w:basedOn w:val="88"/>
    <w:qFormat/>
    <w:uiPriority w:val="43"/>
    <w:tblStylePr w:type="firstRow">
      <w:rPr>
        <w:b/>
        <w:bCs/>
        <w:caps/>
      </w:rPr>
      <w:tcPr>
        <w:tcBorders>
          <w:bottom w:val="single" w:color="7E7E7E" w:themeColor="text1" w:themeTint="80" w:sz="4" w:space="0"/>
        </w:tcBorders>
      </w:tcPr>
    </w:tblStylePr>
    <w:tblStylePr w:type="lastRow">
      <w:rPr>
        <w:b/>
        <w:bCs/>
        <w:caps/>
      </w:rPr>
      <w:tcPr>
        <w:tcBorders>
          <w:top w:val="nil"/>
        </w:tcBorders>
      </w:tcPr>
    </w:tblStylePr>
    <w:tblStylePr w:type="firstCol">
      <w:rPr>
        <w:b/>
        <w:bCs/>
        <w:caps/>
      </w:rPr>
      <w:tcPr>
        <w:tcBorders>
          <w:right w:val="single" w:color="7E7E7E" w:themeColor="text1" w:themeTint="80" w:sz="4" w:space="0"/>
        </w:tcBorders>
      </w:tcPr>
    </w:tblStylePr>
    <w:tblStylePr w:type="lastCol">
      <w:rPr>
        <w:b/>
        <w:bCs/>
        <w:caps/>
      </w:rPr>
      <w:tcPr>
        <w:tcBorders>
          <w:left w:val="nil"/>
        </w:tcBorders>
      </w:tcPr>
    </w:tblStylePr>
    <w:tblStylePr w:type="band1Vert">
      <w:tcPr>
        <w:shd w:val="clear" w:color="auto" w:fill="F1F1F1" w:themeFill="background1" w:themeFillShade="F2"/>
      </w:tcPr>
    </w:tblStylePr>
    <w:tblStylePr w:type="band1Horz">
      <w:tcPr>
        <w:shd w:val="clear" w:color="auto" w:fill="F1F1F1" w:themeFill="background1" w:themeFillShade="F2"/>
      </w:tcPr>
    </w:tblStylePr>
    <w:tblStylePr w:type="neCell">
      <w:tcPr>
        <w:tcBorders>
          <w:left w:val="nil"/>
        </w:tcBorders>
      </w:tcPr>
    </w:tblStylePr>
    <w:tblStylePr w:type="nwCell">
      <w:tcPr>
        <w:tcBorders>
          <w:right w:val="nil"/>
        </w:tcBorders>
      </w:tcPr>
    </w:tblStylePr>
  </w:style>
  <w:style w:type="table" w:customStyle="1" w:styleId="476">
    <w:name w:val="无格式表格 41"/>
    <w:basedOn w:val="88"/>
    <w:qFormat/>
    <w:uiPriority w:val="44"/>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477">
    <w:name w:val="无格式表格 51"/>
    <w:basedOn w:val="88"/>
    <w:qFormat/>
    <w:uiPriority w:val="45"/>
    <w:tblStylePr w:type="firstRow">
      <w:rPr>
        <w:rFonts w:asciiTheme="majorHAnsi" w:hAnsiTheme="majorHAnsi" w:eastAsiaTheme="majorEastAsia" w:cstheme="majorBidi"/>
        <w:i/>
        <w:iCs/>
        <w:sz w:val="26"/>
      </w:rPr>
      <w:tcPr>
        <w:tcBorders>
          <w:bottom w:val="single" w:color="7E7E7E" w:themeColor="text1" w:themeTint="80"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7E7E7E" w:themeColor="text1" w:themeTint="80"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7E7E7E" w:themeColor="text1" w:themeTint="80"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7E7E7E" w:themeColor="text1" w:themeTint="80" w:sz="4" w:space="0"/>
        </w:tcBorders>
        <w:shd w:val="clear" w:color="auto" w:fill="FFFFFF" w:themeFill="background1"/>
      </w:tcPr>
    </w:tblStylePr>
    <w:tblStylePr w:type="band1Vert">
      <w:tcPr>
        <w:shd w:val="clear" w:color="auto" w:fill="F1F1F1" w:themeFill="background1" w:themeFillShade="F2"/>
      </w:tcPr>
    </w:tblStylePr>
    <w:tblStylePr w:type="band1Horz">
      <w:tcPr>
        <w:shd w:val="clear" w:color="auto" w:fill="F1F1F1" w:themeFill="background1" w:themeFillShade="F2"/>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paragraph" w:styleId="478">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479">
    <w:name w:val="信息标题 Char"/>
    <w:basedOn w:val="231"/>
    <w:link w:val="79"/>
    <w:semiHidden/>
    <w:qFormat/>
    <w:uiPriority w:val="99"/>
    <w:rPr>
      <w:rFonts w:asciiTheme="majorHAnsi" w:hAnsiTheme="majorHAnsi" w:eastAsiaTheme="majorEastAsia" w:cstheme="majorBidi"/>
      <w:kern w:val="2"/>
      <w:sz w:val="24"/>
      <w:szCs w:val="24"/>
      <w:shd w:val="pct20" w:color="auto" w:fill="auto"/>
    </w:rPr>
  </w:style>
  <w:style w:type="paragraph" w:styleId="480">
    <w:name w:val="Quote"/>
    <w:basedOn w:val="1"/>
    <w:next w:val="1"/>
    <w:link w:val="481"/>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481">
    <w:name w:val="引用 Char"/>
    <w:basedOn w:val="231"/>
    <w:link w:val="480"/>
    <w:qFormat/>
    <w:uiPriority w:val="29"/>
    <w:rPr>
      <w:i/>
      <w:iCs/>
      <w:color w:val="404040" w:themeColor="text1" w:themeTint="BF"/>
      <w:kern w:val="2"/>
      <w:sz w:val="21"/>
      <w:szCs w:val="24"/>
      <w14:textFill>
        <w14:solidFill>
          <w14:schemeClr w14:val="tx1">
            <w14:lumMod w14:val="75000"/>
            <w14:lumOff w14:val="25000"/>
          </w14:schemeClr>
        </w14:solidFill>
      </w14:textFill>
    </w:rPr>
  </w:style>
  <w:style w:type="character" w:styleId="482">
    <w:name w:val="Placeholder Text"/>
    <w:basedOn w:val="231"/>
    <w:semiHidden/>
    <w:qFormat/>
    <w:uiPriority w:val="99"/>
    <w:rPr>
      <w:color w:val="808080"/>
    </w:rPr>
  </w:style>
  <w:style w:type="character" w:customStyle="1" w:styleId="483">
    <w:name w:val="正文首行缩进 Char"/>
    <w:basedOn w:val="332"/>
    <w:link w:val="86"/>
    <w:semiHidden/>
    <w:qFormat/>
    <w:uiPriority w:val="99"/>
    <w:rPr>
      <w:kern w:val="2"/>
      <w:sz w:val="21"/>
      <w:szCs w:val="24"/>
    </w:rPr>
  </w:style>
  <w:style w:type="character" w:customStyle="1" w:styleId="484">
    <w:name w:val="正文文本缩进 Char"/>
    <w:basedOn w:val="231"/>
    <w:link w:val="40"/>
    <w:semiHidden/>
    <w:qFormat/>
    <w:uiPriority w:val="99"/>
    <w:rPr>
      <w:kern w:val="2"/>
      <w:sz w:val="21"/>
      <w:szCs w:val="24"/>
    </w:rPr>
  </w:style>
  <w:style w:type="character" w:customStyle="1" w:styleId="485">
    <w:name w:val="正文首行缩进 2 Char"/>
    <w:basedOn w:val="484"/>
    <w:link w:val="87"/>
    <w:semiHidden/>
    <w:qFormat/>
    <w:uiPriority w:val="99"/>
    <w:rPr>
      <w:kern w:val="2"/>
      <w:sz w:val="21"/>
      <w:szCs w:val="24"/>
    </w:rPr>
  </w:style>
  <w:style w:type="character" w:customStyle="1" w:styleId="486">
    <w:name w:val="正文文本 2 Char"/>
    <w:basedOn w:val="231"/>
    <w:link w:val="76"/>
    <w:semiHidden/>
    <w:qFormat/>
    <w:uiPriority w:val="99"/>
    <w:rPr>
      <w:kern w:val="2"/>
      <w:sz w:val="21"/>
      <w:szCs w:val="24"/>
    </w:rPr>
  </w:style>
  <w:style w:type="character" w:customStyle="1" w:styleId="487">
    <w:name w:val="正文文本 3 Char"/>
    <w:basedOn w:val="231"/>
    <w:link w:val="37"/>
    <w:semiHidden/>
    <w:qFormat/>
    <w:uiPriority w:val="99"/>
    <w:rPr>
      <w:kern w:val="2"/>
      <w:sz w:val="16"/>
      <w:szCs w:val="16"/>
    </w:rPr>
  </w:style>
  <w:style w:type="character" w:customStyle="1" w:styleId="488">
    <w:name w:val="正文文本缩进 2 Char"/>
    <w:basedOn w:val="231"/>
    <w:link w:val="54"/>
    <w:semiHidden/>
    <w:qFormat/>
    <w:uiPriority w:val="99"/>
    <w:rPr>
      <w:kern w:val="2"/>
      <w:sz w:val="21"/>
      <w:szCs w:val="24"/>
    </w:rPr>
  </w:style>
  <w:style w:type="character" w:customStyle="1" w:styleId="489">
    <w:name w:val="正文文本缩进 3 Char"/>
    <w:basedOn w:val="231"/>
    <w:link w:val="71"/>
    <w:semiHidden/>
    <w:qFormat/>
    <w:uiPriority w:val="99"/>
    <w:rPr>
      <w:kern w:val="2"/>
      <w:sz w:val="16"/>
      <w:szCs w:val="16"/>
    </w:rPr>
  </w:style>
  <w:style w:type="character" w:customStyle="1" w:styleId="490">
    <w:name w:val="注释标题 Char"/>
    <w:basedOn w:val="231"/>
    <w:link w:val="22"/>
    <w:semiHidden/>
    <w:qFormat/>
    <w:uiPriority w:val="99"/>
    <w:rPr>
      <w:kern w:val="2"/>
      <w:sz w:val="21"/>
      <w:szCs w:val="24"/>
    </w:rPr>
  </w:style>
  <w:style w:type="paragraph" w:customStyle="1" w:styleId="491">
    <w:name w:val="附录无标题章"/>
    <w:basedOn w:val="276"/>
    <w:qFormat/>
    <w:uiPriority w:val="0"/>
    <w:pPr>
      <w:spacing w:before="0" w:beforeLines="0" w:after="0" w:afterLines="0"/>
      <w:outlineLvl w:val="9"/>
    </w:pPr>
    <w:rPr>
      <w:rFonts w:asciiTheme="majorEastAsia" w:eastAsiaTheme="majorEastAsia"/>
    </w:rPr>
  </w:style>
  <w:style w:type="paragraph" w:customStyle="1" w:styleId="492">
    <w:name w:val="附录一级无标题条"/>
    <w:basedOn w:val="277"/>
    <w:qFormat/>
    <w:uiPriority w:val="0"/>
    <w:pPr>
      <w:spacing w:before="0" w:beforeLines="0" w:after="0" w:afterLines="0"/>
      <w:outlineLvl w:val="9"/>
    </w:pPr>
    <w:rPr>
      <w:rFonts w:asciiTheme="majorEastAsia" w:eastAsiaTheme="majorEastAsia"/>
    </w:rPr>
  </w:style>
  <w:style w:type="paragraph" w:customStyle="1" w:styleId="493">
    <w:name w:val="附录二级无标题条"/>
    <w:basedOn w:val="278"/>
    <w:qFormat/>
    <w:uiPriority w:val="0"/>
    <w:pPr>
      <w:spacing w:before="0" w:beforeLines="0" w:after="0" w:afterLines="0"/>
      <w:outlineLvl w:val="9"/>
    </w:pPr>
    <w:rPr>
      <w:rFonts w:asciiTheme="majorEastAsia" w:eastAsiaTheme="majorEastAsia"/>
    </w:rPr>
  </w:style>
  <w:style w:type="paragraph" w:customStyle="1" w:styleId="494">
    <w:name w:val="附录三级无标题条"/>
    <w:basedOn w:val="279"/>
    <w:qFormat/>
    <w:uiPriority w:val="0"/>
    <w:pPr>
      <w:spacing w:before="0" w:beforeLines="0" w:after="0" w:afterLines="0"/>
      <w:outlineLvl w:val="9"/>
    </w:pPr>
    <w:rPr>
      <w:rFonts w:asciiTheme="majorEastAsia" w:eastAsiaTheme="majorEastAsia"/>
    </w:rPr>
  </w:style>
  <w:style w:type="paragraph" w:customStyle="1" w:styleId="495">
    <w:name w:val="附录四级无标题条"/>
    <w:basedOn w:val="280"/>
    <w:qFormat/>
    <w:uiPriority w:val="0"/>
    <w:pPr>
      <w:spacing w:before="0" w:beforeLines="0" w:after="0" w:afterLines="0"/>
      <w:outlineLvl w:val="9"/>
    </w:pPr>
    <w:rPr>
      <w:rFonts w:asciiTheme="majorEastAsia" w:eastAsiaTheme="majorEastAsia"/>
    </w:rPr>
  </w:style>
  <w:style w:type="paragraph" w:customStyle="1" w:styleId="496">
    <w:name w:val="标准标志TB"/>
    <w:basedOn w:val="1"/>
    <w:qFormat/>
    <w:uiPriority w:val="0"/>
    <w:pPr>
      <w:widowControl/>
      <w:shd w:val="solid" w:color="FFFFFF" w:fill="FFFFFF"/>
      <w:spacing w:line="0" w:lineRule="atLeast"/>
      <w:jc w:val="right"/>
    </w:pPr>
    <w:rPr>
      <w:rFonts w:ascii="Arial Black" w:hAnsi="Britannic Bold" w:eastAsia="Arial Unicode MS"/>
      <w:b/>
      <w:w w:val="110"/>
      <w:sz w:val="96"/>
      <w:szCs w:val="20"/>
    </w:rPr>
  </w:style>
  <w:style w:type="paragraph" w:customStyle="1" w:styleId="497">
    <w:name w:val="标准称谓TB"/>
    <w:basedOn w:val="1"/>
    <w:qFormat/>
    <w:uiPriority w:val="0"/>
    <w:pPr>
      <w:kinsoku w:val="0"/>
      <w:overflowPunct w:val="0"/>
      <w:autoSpaceDE w:val="0"/>
      <w:autoSpaceDN w:val="0"/>
      <w:spacing w:line="0" w:lineRule="atLeast"/>
      <w:jc w:val="center"/>
    </w:pPr>
    <w:rPr>
      <w:rFonts w:ascii="Arial Black" w:hAnsi="Arial Black" w:eastAsia="黑体"/>
      <w:bCs/>
      <w:w w:val="135"/>
      <w:kern w:val="0"/>
      <w:sz w:val="44"/>
      <w:szCs w:val="20"/>
    </w:rPr>
  </w:style>
  <w:style w:type="paragraph" w:customStyle="1" w:styleId="498">
    <w:name w:val="发布GB"/>
    <w:basedOn w:val="2"/>
    <w:qFormat/>
    <w:uiPriority w:val="0"/>
    <w:pPr>
      <w:spacing w:after="0" w:line="280" w:lineRule="exact"/>
      <w:ind w:left="284"/>
    </w:pPr>
    <w:rPr>
      <w:rFonts w:ascii="黑体" w:eastAsia="黑体"/>
      <w:kern w:val="3"/>
      <w:sz w:val="28"/>
    </w:rPr>
  </w:style>
  <w:style w:type="paragraph" w:customStyle="1" w:styleId="499">
    <w:name w:val="发布DB"/>
    <w:basedOn w:val="498"/>
    <w:qFormat/>
    <w:uiPriority w:val="0"/>
    <w:pPr>
      <w:ind w:left="567"/>
    </w:pPr>
  </w:style>
  <w:style w:type="paragraph" w:customStyle="1" w:styleId="500">
    <w:name w:val="发布HB"/>
    <w:basedOn w:val="498"/>
    <w:qFormat/>
    <w:uiPriority w:val="0"/>
    <w:pPr>
      <w:ind w:left="567"/>
    </w:pPr>
  </w:style>
  <w:style w:type="paragraph" w:customStyle="1" w:styleId="501">
    <w:name w:val="发布QB"/>
    <w:basedOn w:val="498"/>
    <w:qFormat/>
    <w:uiPriority w:val="0"/>
    <w:pPr>
      <w:ind w:left="567"/>
    </w:pPr>
  </w:style>
  <w:style w:type="paragraph" w:customStyle="1" w:styleId="502">
    <w:name w:val="发布TB"/>
    <w:basedOn w:val="498"/>
    <w:qFormat/>
    <w:uiPriority w:val="0"/>
    <w:pPr>
      <w:ind w:left="567"/>
    </w:pPr>
  </w:style>
  <w:style w:type="paragraph" w:customStyle="1" w:styleId="503">
    <w:name w:val="发布部门TB"/>
    <w:basedOn w:val="1"/>
    <w:qFormat/>
    <w:uiPriority w:val="0"/>
    <w:pPr>
      <w:widowControl/>
      <w:spacing w:line="360" w:lineRule="exact"/>
      <w:jc w:val="center"/>
    </w:pPr>
    <w:rPr>
      <w:rFonts w:ascii="宋体"/>
      <w:b/>
      <w:kern w:val="0"/>
      <w:sz w:val="36"/>
      <w:szCs w:val="20"/>
    </w:rPr>
  </w:style>
  <w:style w:type="paragraph" w:customStyle="1" w:styleId="504">
    <w:name w:val="标准标志CEC"/>
    <w:basedOn w:val="1"/>
    <w:qFormat/>
    <w:uiPriority w:val="0"/>
    <w:pPr>
      <w:jc w:val="right"/>
    </w:pPr>
    <w:rPr>
      <w:rFonts w:eastAsia="Times New Roman"/>
      <w:b/>
      <w:sz w:val="96"/>
    </w:rPr>
  </w:style>
  <w:style w:type="paragraph" w:customStyle="1" w:styleId="505">
    <w:name w:val="标准称谓CEC"/>
    <w:basedOn w:val="1"/>
    <w:qFormat/>
    <w:uiPriority w:val="0"/>
    <w:pPr>
      <w:jc w:val="center"/>
    </w:pPr>
    <w:rPr>
      <w:rFonts w:eastAsia="黑体"/>
      <w:b/>
      <w:w w:val="132"/>
      <w:kern w:val="0"/>
      <w:sz w:val="52"/>
    </w:rPr>
  </w:style>
  <w:style w:type="paragraph" w:customStyle="1" w:styleId="506">
    <w:name w:val="发布CEC"/>
    <w:basedOn w:val="498"/>
    <w:qFormat/>
    <w:uiPriority w:val="0"/>
  </w:style>
  <w:style w:type="paragraph" w:customStyle="1" w:styleId="507">
    <w:name w:val="发布部门CEC"/>
    <w:basedOn w:val="1"/>
    <w:qFormat/>
    <w:uiPriority w:val="0"/>
    <w:pPr>
      <w:snapToGrid w:val="0"/>
    </w:pPr>
    <w:rPr>
      <w:b/>
      <w:w w:val="135"/>
      <w:kern w:val="0"/>
      <w:sz w:val="36"/>
    </w:rPr>
  </w:style>
  <w:style w:type="paragraph" w:customStyle="1" w:styleId="508">
    <w:name w:val="标准正文公式"/>
    <w:basedOn w:val="1"/>
    <w:next w:val="1"/>
    <w:qFormat/>
    <w:uiPriority w:val="0"/>
    <w:pPr>
      <w:tabs>
        <w:tab w:val="center" w:pos="4678"/>
        <w:tab w:val="right" w:leader="middleDot" w:pos="9356"/>
      </w:tabs>
      <w:adjustRightInd w:val="0"/>
    </w:pPr>
    <w:rPr>
      <w:rFonts w:ascii="宋体" w:hAnsi="宋体"/>
      <w:szCs w:val="21"/>
    </w:rPr>
  </w:style>
  <w:style w:type="paragraph" w:customStyle="1" w:styleId="509">
    <w:name w:val="附录公式标号"/>
    <w:basedOn w:val="360"/>
    <w:qFormat/>
    <w:uiPriority w:val="0"/>
    <w:pPr>
      <w:numPr>
        <w:ilvl w:val="0"/>
        <w:numId w:val="26"/>
      </w:numPr>
      <w:snapToGrid w:val="0"/>
      <w:spacing w:line="14" w:lineRule="atLeast"/>
      <w:ind w:firstLineChars="0"/>
    </w:pPr>
    <w:rPr>
      <w:color w:val="FFFFFF" w:themeColor="background1"/>
      <w:sz w:val="2"/>
      <w14:textFill>
        <w14:solidFill>
          <w14:schemeClr w14:val="bg1"/>
        </w14:solidFill>
      </w14:textFill>
    </w:rPr>
  </w:style>
  <w:style w:type="paragraph" w:customStyle="1" w:styleId="510">
    <w:name w:val="附录公式编号"/>
    <w:basedOn w:val="2"/>
    <w:qFormat/>
    <w:uiPriority w:val="0"/>
    <w:pPr>
      <w:numPr>
        <w:ilvl w:val="1"/>
        <w:numId w:val="26"/>
      </w:numPr>
    </w:pPr>
  </w:style>
  <w:style w:type="paragraph" w:customStyle="1" w:styleId="511">
    <w:name w:val="引言二级条标题"/>
    <w:basedOn w:val="1"/>
    <w:next w:val="258"/>
    <w:qFormat/>
    <w:uiPriority w:val="0"/>
    <w:pPr>
      <w:widowControl/>
      <w:numPr>
        <w:ilvl w:val="2"/>
        <w:numId w:val="27"/>
      </w:numPr>
      <w:autoSpaceDE w:val="0"/>
      <w:autoSpaceDN w:val="0"/>
      <w:spacing w:before="50" w:beforeLines="50" w:after="50" w:afterLines="50"/>
    </w:pPr>
    <w:rPr>
      <w:rFonts w:ascii="黑体" w:eastAsia="黑体"/>
      <w:kern w:val="0"/>
      <w:szCs w:val="20"/>
    </w:rPr>
  </w:style>
  <w:style w:type="paragraph" w:customStyle="1" w:styleId="512">
    <w:name w:val="引言二级无标题条"/>
    <w:basedOn w:val="511"/>
    <w:next w:val="258"/>
    <w:qFormat/>
    <w:uiPriority w:val="0"/>
    <w:pPr>
      <w:spacing w:before="0" w:beforeLines="0" w:after="0" w:afterLines="0" w:line="276" w:lineRule="auto"/>
    </w:pPr>
    <w:rPr>
      <w:rFonts w:ascii="宋体" w:eastAsia="宋体"/>
    </w:rPr>
  </w:style>
  <w:style w:type="paragraph" w:customStyle="1" w:styleId="513">
    <w:name w:val="引言三级条标题"/>
    <w:basedOn w:val="1"/>
    <w:next w:val="258"/>
    <w:qFormat/>
    <w:uiPriority w:val="0"/>
    <w:pPr>
      <w:widowControl/>
      <w:numPr>
        <w:ilvl w:val="3"/>
        <w:numId w:val="27"/>
      </w:numPr>
      <w:autoSpaceDE w:val="0"/>
      <w:autoSpaceDN w:val="0"/>
      <w:spacing w:before="50" w:beforeLines="50" w:after="50" w:afterLines="50"/>
    </w:pPr>
    <w:rPr>
      <w:rFonts w:ascii="黑体" w:eastAsia="黑体"/>
      <w:kern w:val="0"/>
      <w:szCs w:val="20"/>
    </w:rPr>
  </w:style>
  <w:style w:type="paragraph" w:customStyle="1" w:styleId="514">
    <w:name w:val="引言三级无标题条"/>
    <w:basedOn w:val="513"/>
    <w:next w:val="258"/>
    <w:qFormat/>
    <w:uiPriority w:val="0"/>
    <w:pPr>
      <w:spacing w:before="0" w:beforeLines="0" w:after="0" w:afterLines="0" w:line="276" w:lineRule="auto"/>
    </w:pPr>
    <w:rPr>
      <w:rFonts w:ascii="宋体" w:eastAsia="宋体"/>
    </w:rPr>
  </w:style>
  <w:style w:type="paragraph" w:customStyle="1" w:styleId="515">
    <w:name w:val="引言四级条标题"/>
    <w:basedOn w:val="1"/>
    <w:next w:val="258"/>
    <w:qFormat/>
    <w:uiPriority w:val="0"/>
    <w:pPr>
      <w:widowControl/>
      <w:numPr>
        <w:ilvl w:val="4"/>
        <w:numId w:val="27"/>
      </w:numPr>
      <w:autoSpaceDE w:val="0"/>
      <w:autoSpaceDN w:val="0"/>
      <w:spacing w:before="50" w:beforeLines="50" w:after="50" w:afterLines="50"/>
    </w:pPr>
    <w:rPr>
      <w:rFonts w:ascii="黑体" w:eastAsia="黑体"/>
      <w:kern w:val="0"/>
      <w:szCs w:val="20"/>
    </w:rPr>
  </w:style>
  <w:style w:type="paragraph" w:customStyle="1" w:styleId="516">
    <w:name w:val="引言四级无标题条"/>
    <w:basedOn w:val="515"/>
    <w:next w:val="258"/>
    <w:qFormat/>
    <w:uiPriority w:val="0"/>
    <w:pPr>
      <w:spacing w:before="0" w:beforeLines="0" w:after="0" w:afterLines="0" w:line="276" w:lineRule="auto"/>
    </w:pPr>
    <w:rPr>
      <w:rFonts w:ascii="宋体" w:eastAsia="宋体"/>
    </w:rPr>
  </w:style>
  <w:style w:type="paragraph" w:customStyle="1" w:styleId="517">
    <w:name w:val="引言五级条标题"/>
    <w:basedOn w:val="1"/>
    <w:next w:val="258"/>
    <w:qFormat/>
    <w:uiPriority w:val="0"/>
    <w:pPr>
      <w:widowControl/>
      <w:numPr>
        <w:ilvl w:val="5"/>
        <w:numId w:val="27"/>
      </w:numPr>
      <w:autoSpaceDE w:val="0"/>
      <w:autoSpaceDN w:val="0"/>
      <w:spacing w:before="50" w:beforeLines="50" w:after="50" w:afterLines="50"/>
    </w:pPr>
    <w:rPr>
      <w:rFonts w:ascii="黑体" w:eastAsia="黑体"/>
      <w:kern w:val="0"/>
      <w:szCs w:val="20"/>
    </w:rPr>
  </w:style>
  <w:style w:type="paragraph" w:customStyle="1" w:styleId="518">
    <w:name w:val="引言五级无标题条"/>
    <w:basedOn w:val="517"/>
    <w:next w:val="258"/>
    <w:qFormat/>
    <w:uiPriority w:val="0"/>
    <w:pPr>
      <w:spacing w:before="0" w:beforeLines="0" w:after="0" w:afterLines="0" w:line="276" w:lineRule="auto"/>
    </w:pPr>
    <w:rPr>
      <w:rFonts w:ascii="宋体" w:eastAsia="宋体"/>
    </w:rPr>
  </w:style>
  <w:style w:type="paragraph" w:customStyle="1" w:styleId="519">
    <w:name w:val="引言一级条标题"/>
    <w:basedOn w:val="1"/>
    <w:next w:val="258"/>
    <w:qFormat/>
    <w:uiPriority w:val="0"/>
    <w:pPr>
      <w:widowControl/>
      <w:numPr>
        <w:ilvl w:val="1"/>
        <w:numId w:val="27"/>
      </w:numPr>
      <w:autoSpaceDE w:val="0"/>
      <w:autoSpaceDN w:val="0"/>
      <w:spacing w:before="50" w:beforeLines="50" w:after="50" w:afterLines="50"/>
    </w:pPr>
    <w:rPr>
      <w:rFonts w:ascii="黑体" w:eastAsia="黑体"/>
      <w:kern w:val="0"/>
      <w:szCs w:val="20"/>
    </w:rPr>
  </w:style>
  <w:style w:type="paragraph" w:customStyle="1" w:styleId="520">
    <w:name w:val="引言一级无标题条"/>
    <w:basedOn w:val="519"/>
    <w:next w:val="258"/>
    <w:qFormat/>
    <w:uiPriority w:val="0"/>
    <w:pPr>
      <w:spacing w:before="0" w:beforeLines="0" w:after="0" w:afterLines="0" w:line="276" w:lineRule="auto"/>
    </w:pPr>
    <w:rPr>
      <w:rFonts w:ascii="宋体" w:eastAsia="宋体"/>
    </w:rPr>
  </w:style>
  <w:style w:type="paragraph" w:customStyle="1" w:styleId="521">
    <w:name w:val="列项·（二级）"/>
    <w:basedOn w:val="325"/>
    <w:qFormat/>
    <w:uiPriority w:val="0"/>
    <w:pPr>
      <w:ind w:left="1260" w:leftChars="400" w:hanging="420"/>
    </w:pPr>
  </w:style>
  <w:style w:type="paragraph" w:customStyle="1" w:styleId="522">
    <w:name w:val="列项——（二级）"/>
    <w:basedOn w:val="285"/>
    <w:qFormat/>
    <w:uiPriority w:val="0"/>
    <w:pPr>
      <w:ind w:left="1260" w:leftChars="400" w:hanging="200"/>
    </w:pPr>
  </w:style>
  <w:style w:type="paragraph" w:customStyle="1" w:styleId="523">
    <w:name w:val="参考文献编号"/>
    <w:basedOn w:val="258"/>
    <w:qFormat/>
    <w:uiPriority w:val="0"/>
    <w:pPr>
      <w:numPr>
        <w:ilvl w:val="0"/>
        <w:numId w:val="28"/>
      </w:numPr>
    </w:pPr>
  </w:style>
  <w:style w:type="paragraph" w:customStyle="1" w:styleId="524">
    <w:name w:val="表格段"/>
    <w:basedOn w:val="258"/>
    <w:qFormat/>
    <w:uiPriority w:val="0"/>
    <w:pPr>
      <w:ind w:firstLine="420"/>
    </w:pPr>
    <w:rPr>
      <w:sz w:val="18"/>
    </w:rPr>
  </w:style>
  <w:style w:type="paragraph" w:customStyle="1" w:styleId="525">
    <w:name w:val="表格正文"/>
    <w:basedOn w:val="1"/>
    <w:qFormat/>
    <w:uiPriority w:val="0"/>
    <w:rPr>
      <w:rFonts w:ascii="宋体"/>
      <w:sz w:val="18"/>
    </w:rPr>
  </w:style>
  <w:style w:type="paragraph" w:customStyle="1" w:styleId="526">
    <w:name w:val="表格脚注"/>
    <w:basedOn w:val="525"/>
    <w:next w:val="525"/>
    <w:qFormat/>
    <w:uiPriority w:val="0"/>
    <w:pPr>
      <w:numPr>
        <w:ilvl w:val="0"/>
        <w:numId w:val="29"/>
      </w:numPr>
      <w:adjustRightInd w:val="0"/>
      <w:jc w:val="left"/>
    </w:pPr>
    <w:rPr>
      <w:rFonts w:hAnsi="宋体"/>
      <w:szCs w:val="21"/>
    </w:rPr>
  </w:style>
  <w:style w:type="table" w:customStyle="1" w:styleId="527">
    <w:name w:val="Table Normal"/>
    <w:unhideWhenUsed/>
    <w:qFormat/>
    <w:uiPriority w:val="0"/>
    <w:tblPr>
      <w:tblCellMar>
        <w:top w:w="0" w:type="dxa"/>
        <w:left w:w="0" w:type="dxa"/>
        <w:bottom w:w="0" w:type="dxa"/>
        <w:right w:w="0" w:type="dxa"/>
      </w:tblCellMar>
    </w:tblPr>
  </w:style>
  <w:style w:type="paragraph" w:customStyle="1" w:styleId="528">
    <w:name w:val="Normal"/>
    <w:qFormat/>
    <w:uiPriority w:val="0"/>
    <w:pPr>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glossaryDocument" Target="glossary/document.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6.xml"/><Relationship Id="rId12" Type="http://schemas.openxmlformats.org/officeDocument/2006/relationships/header" Target="header5.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26631;&#20934;&#32534;&#20889;WPS\bzbx20.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C0A706F68E7D447CBE6EB340C1DAFF40"/>
        <w:style w:val=""/>
        <w:category>
          <w:name w:val="常规"/>
          <w:gallery w:val="placeholder"/>
        </w:category>
        <w:types>
          <w:type w:val="bbPlcHdr"/>
        </w:types>
        <w:behaviors>
          <w:behavior w:val="content"/>
        </w:behaviors>
        <w:description w:val=""/>
        <w:guid w:val="{D17D6163-10F7-4040-949B-6DBA1D56B1EB}"/>
      </w:docPartPr>
      <w:docPartBody>
        <w:p>
          <w:pPr>
            <w:pStyle w:val="5"/>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revisionView w:markup="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114C"/>
    <w:rsid w:val="00541075"/>
    <w:rsid w:val="00680164"/>
    <w:rsid w:val="00B8114C"/>
    <w:rsid w:val="00CB63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cs="Times New Roman" w:asciiTheme="minorHAnsi" w:hAnsiTheme="minorHAnsi" w:eastAsiaTheme="minorEastAsia"/>
      <w:kern w:val="2"/>
      <w:sz w:val="3276"/>
      <w:szCs w:val="3276"/>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C0A706F68E7D447CBE6EB340C1DAFF40"/>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5D45503-D1B6-4B9A-8BA0-CB75BD070824}">
  <ds:schemaRefs/>
</ds:datastoreItem>
</file>

<file path=docProps/app.xml><?xml version="1.0" encoding="utf-8"?>
<Properties xmlns="http://schemas.openxmlformats.org/officeDocument/2006/extended-properties" xmlns:vt="http://schemas.openxmlformats.org/officeDocument/2006/docPropsVTypes">
  <Template>bzbx20.dotx</Template>
  <Pages>19</Pages>
  <Words>12437</Words>
  <Characters>13326</Characters>
  <Lines>2</Lines>
  <Paragraphs>10</Paragraphs>
  <TotalTime>0</TotalTime>
  <ScaleCrop>false</ScaleCrop>
  <LinksUpToDate>false</LinksUpToDate>
  <CharactersWithSpaces>13777</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2022-12-16T09:24:00Z</dcterms:created>
  <dc:creator>H_H</dc:creator>
  <cp:lastModifiedBy>H_H</cp:lastModifiedBy>
  <dcterms:modified xsi:type="dcterms:W3CDTF">2023-12-21T02:31:03Z</dcterms:modified>
  <cp:revision>101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2736160824B54D8EAD09865AA4EFE51B</vt:lpwstr>
  </property>
  <property fmtid="{D5CDD505-2E9C-101B-9397-08002B2CF9AE}" pid="4" name="条文说明标记" linkTarget="条文说明标记">
    <vt:lpwstr>无</vt:lpwstr>
  </property>
  <property fmtid="{D5CDD505-2E9C-101B-9397-08002B2CF9AE}" pid="5" name="文件标记" linkTarget="文件标记">
    <vt:lpwstr>蓝元软件</vt:lpwstr>
  </property>
  <property fmtid="{D5CDD505-2E9C-101B-9397-08002B2CF9AE}" pid="6" name="标准版本" linkTarget="标准版本">
    <vt:lpwstr>2020</vt:lpwstr>
  </property>
  <property fmtid="{D5CDD505-2E9C-101B-9397-08002B2CF9AE}" pid="7" name="ICS" linkTarget="ICS">
    <vt:lpwstr>ICS 03.220.99</vt:lpwstr>
  </property>
  <property fmtid="{D5CDD505-2E9C-101B-9397-08002B2CF9AE}" pid="8" name="CCS" linkTarget="CCS">
    <vt:lpwstr>F 19</vt:lpwstr>
  </property>
  <property fmtid="{D5CDD505-2E9C-101B-9397-08002B2CF9AE}" pid="9" name="BAH" linkTarget="BAH">
    <vt:lpwstr/>
  </property>
  <property fmtid="{D5CDD505-2E9C-101B-9397-08002B2CF9AE}" pid="10" name="BT" linkTarget="BT">
    <vt:lpwstr>江苏省地方标准</vt:lpwstr>
  </property>
  <property fmtid="{D5CDD505-2E9C-101B-9397-08002B2CF9AE}" pid="11" name="BZBH" linkTarget="BZBH">
    <vt:lpwstr>DB 32/T XXX-2022</vt:lpwstr>
  </property>
  <property fmtid="{D5CDD505-2E9C-101B-9397-08002B2CF9AE}" pid="12" name="TDBH" linkTarget="TDBH">
    <vt:lpwstr/>
  </property>
  <property fmtid="{D5CDD505-2E9C-101B-9397-08002B2CF9AE}" pid="13" name="BZMC" linkTarget="BZMC">
    <vt:lpwstr>预制舱式磷酸铁锂电池储能电站</vt:lpwstr>
  </property>
  <property fmtid="{D5CDD505-2E9C-101B-9397-08002B2CF9AE}" pid="14" name="YWMC" linkTarget="YWMC">
    <vt:lpwstr>Technical specification for fire protection of lithium iron phosphate battery energy storage power station based on prefabricated cabin</vt:lpwstr>
  </property>
  <property fmtid="{D5CDD505-2E9C-101B-9397-08002B2CF9AE}" pid="15" name="CBCD" linkTarget="CBCD">
    <vt:lpwstr>（与国际标准一致性程度的标识）</vt:lpwstr>
  </property>
  <property fmtid="{D5CDD505-2E9C-101B-9397-08002B2CF9AE}" pid="16" name="WGLB" linkTarget="WGLB">
    <vt:lpwstr>（征求意见稿）</vt:lpwstr>
  </property>
  <property fmtid="{D5CDD505-2E9C-101B-9397-08002B2CF9AE}" pid="17" name="FBRQ" linkTarget="FBRQ">
    <vt:lpwstr>20XX-XX-XX</vt:lpwstr>
  </property>
  <property fmtid="{D5CDD505-2E9C-101B-9397-08002B2CF9AE}" pid="18" name="SSRQ" linkTarget="SSRQ">
    <vt:lpwstr>20XX-XX-XX</vt:lpwstr>
  </property>
  <property fmtid="{D5CDD505-2E9C-101B-9397-08002B2CF9AE}" pid="19" name="BZLX" linkTarget="BZLX">
    <vt:lpwstr>DB32</vt:lpwstr>
  </property>
  <property fmtid="{D5CDD505-2E9C-101B-9397-08002B2CF9AE}" pid="20" name="标准类型" linkTarget="标准类型">
    <vt:lpwstr>DB</vt:lpwstr>
  </property>
  <property fmtid="{D5CDD505-2E9C-101B-9397-08002B2CF9AE}" pid="21" name="FBDW" linkTarget="FBDW">
    <vt:lpwstr>江苏省市场监督管理局</vt:lpwstr>
  </property>
  <property fmtid="{D5CDD505-2E9C-101B-9397-08002B2CF9AE}" pid="22" name="IMAGE" linkTarget="IMAGE">
    <vt:lpwstr/>
  </property>
</Properties>
</file>