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9"/>
        <w:framePr w:wrap="around"/>
        <w:rPr>
          <w:rFonts w:ascii="Times New Roman"/>
          <w:highlight w:val="none"/>
        </w:rPr>
      </w:pPr>
      <w:bookmarkStart w:id="0" w:name="_Hlk59692462"/>
      <w:bookmarkStart w:id="60" w:name="_GoBack"/>
      <w:bookmarkEnd w:id="60"/>
      <w:r>
        <w:rPr>
          <w:rFonts w:ascii="Times New Roman"/>
          <w:highlight w:val="none"/>
        </w:rPr>
        <w:t>ICS 13.040.40</w:t>
      </w:r>
    </w:p>
    <w:p>
      <w:pPr>
        <w:pStyle w:val="139"/>
        <w:framePr w:wrap="around"/>
        <w:rPr>
          <w:rFonts w:ascii="Times New Roman"/>
          <w:highlight w:val="none"/>
        </w:rPr>
      </w:pPr>
      <w:r>
        <w:rPr>
          <w:rFonts w:hint="eastAsia" w:ascii="Times New Roman"/>
          <w:highlight w:val="none"/>
        </w:rPr>
        <w:t>C</w:t>
      </w:r>
      <w:r>
        <w:rPr>
          <w:rFonts w:ascii="Times New Roman"/>
          <w:highlight w:val="none"/>
        </w:rPr>
        <w:t>CS Z60</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39"/>
              <w:framePr w:wrap="around"/>
              <w:rPr>
                <w:rFonts w:ascii="Times New Roman"/>
                <w:highlight w:val="none"/>
              </w:rPr>
            </w:pPr>
            <w:r>
              <w:rPr>
                <w:highlight w:val="none"/>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8"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oL4RLw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KC+ES8NAgAAIAQAAA4AAAAAAAAAAQAg&#10;AAAAJAEAAGRycy9lMm9Eb2MueG1sUEsFBgAAAAAGAAYAWQEAAKMFAAAAAA==&#10;">
                      <v:fill on="t" focussize="0,0"/>
                      <v:stroke on="f"/>
                      <v:imagedata o:title=""/>
                      <o:lock v:ext="edit" aspectratio="f"/>
                    </v:rect>
                  </w:pict>
                </mc:Fallback>
              </mc:AlternateContent>
            </w:r>
          </w:p>
        </w:tc>
      </w:tr>
    </w:tbl>
    <w:p>
      <w:pPr>
        <w:pStyle w:val="123"/>
        <w:framePr w:wrap="around"/>
        <w:rPr>
          <w:highlight w:val="none"/>
        </w:rPr>
      </w:pPr>
      <w:r>
        <w:rPr>
          <w:highlight w:val="none"/>
        </w:rPr>
        <w:t>DB</w:t>
      </w:r>
      <w:r>
        <w:rPr>
          <w:rFonts w:hint="eastAsia"/>
          <w:highlight w:val="none"/>
        </w:rPr>
        <w:t>3</w:t>
      </w:r>
      <w:r>
        <w:rPr>
          <w:highlight w:val="none"/>
        </w:rPr>
        <w:t>2</w:t>
      </w:r>
    </w:p>
    <w:p>
      <w:pPr>
        <w:pStyle w:val="124"/>
        <w:framePr w:wrap="around"/>
        <w:rPr>
          <w:rFonts w:ascii="方正小标宋简体" w:hAnsi="Times New Roman" w:eastAsia="方正小标宋简体"/>
          <w:highlight w:val="none"/>
        </w:rPr>
      </w:pPr>
      <w:r>
        <w:rPr>
          <w:rFonts w:hint="eastAsia" w:ascii="方正小标宋简体" w:hAnsi="Times New Roman" w:eastAsia="方正小标宋简体"/>
          <w:highlight w:val="none"/>
        </w:rPr>
        <w:t>江苏省地方标准</w:t>
      </w:r>
    </w:p>
    <w:p>
      <w:pPr>
        <w:pStyle w:val="58"/>
        <w:framePr w:wrap="around"/>
        <w:rPr>
          <w:rFonts w:ascii="Times New Roman"/>
          <w:highlight w:val="none"/>
        </w:rPr>
      </w:pPr>
      <w:r>
        <w:rPr>
          <w:rFonts w:ascii="Times New Roman"/>
          <w:highlight w:val="none"/>
        </w:rPr>
        <w:t xml:space="preserve">DB </w:t>
      </w:r>
      <w:r>
        <w:rPr>
          <w:rFonts w:hint="eastAsia" w:ascii="Times New Roman"/>
          <w:highlight w:val="none"/>
        </w:rPr>
        <w:t>3</w:t>
      </w:r>
      <w:r>
        <w:rPr>
          <w:rFonts w:ascii="Times New Roman"/>
          <w:highlight w:val="none"/>
        </w:rPr>
        <w:t xml:space="preserve">2/ </w:t>
      </w:r>
      <w:r>
        <w:rPr>
          <w:rFonts w:asciiTheme="minorEastAsia" w:hAnsiTheme="minorEastAsia" w:eastAsiaTheme="minorEastAsia"/>
          <w:highlight w:val="none"/>
        </w:rPr>
        <w:t>□□□□</w:t>
      </w:r>
      <w:r>
        <w:rPr>
          <w:rFonts w:ascii="Times New Roman"/>
          <w:highlight w:val="none"/>
        </w:rPr>
        <w:t>—20</w:t>
      </w:r>
      <w:r>
        <w:rPr>
          <w:rFonts w:asciiTheme="minorEastAsia" w:hAnsiTheme="minorEastAsia" w:eastAsiaTheme="minorEastAsia"/>
          <w:highlight w:val="none"/>
        </w:rPr>
        <w:t>□□</w:t>
      </w:r>
    </w:p>
    <w:p>
      <w:pPr>
        <w:pStyle w:val="91"/>
        <w:framePr w:wrap="around"/>
        <w:rPr>
          <w:rFonts w:ascii="Times New Roman"/>
          <w:highlight w:val="none"/>
        </w:rPr>
      </w:pPr>
      <w:bookmarkStart w:id="1" w:name="StdName"/>
      <w:r>
        <w:rPr>
          <w:rFonts w:hint="eastAsia" w:ascii="Times New Roman"/>
          <w:highlight w:val="none"/>
        </w:rPr>
        <w:t>纺织染整工业大气污染物排放标准</w:t>
      </w:r>
      <w:bookmarkEnd w:id="1"/>
    </w:p>
    <w:p>
      <w:pPr>
        <w:pStyle w:val="92"/>
        <w:framePr w:wrap="around"/>
        <w:rPr>
          <w:b/>
          <w:bCs/>
          <w:highlight w:val="none"/>
        </w:rPr>
      </w:pPr>
      <w:bookmarkStart w:id="2" w:name="StdEnglishName"/>
      <w:r>
        <w:rPr>
          <w:rFonts w:hint="eastAsia"/>
          <w:b/>
          <w:bCs/>
          <w:highlight w:val="none"/>
        </w:rPr>
        <w:t xml:space="preserve">Emission standard of air pollutants </w:t>
      </w:r>
      <w:r>
        <w:rPr>
          <w:b/>
          <w:bCs/>
          <w:highlight w:val="none"/>
        </w:rPr>
        <w:t>for textile dyeing and finishing industry</w:t>
      </w:r>
    </w:p>
    <w:bookmarkEnd w:id="2"/>
    <w:p>
      <w:pPr>
        <w:pStyle w:val="93"/>
        <w:framePr w:wrap="around"/>
        <w:rPr>
          <w:rFonts w:ascii="Times New Roman"/>
          <w:highlight w:val="none"/>
        </w:rPr>
      </w:pPr>
      <w:r>
        <w:rPr>
          <w:rFonts w:hint="eastAsia" w:ascii="Times New Roman"/>
          <w:highlight w:val="none"/>
        </w:rPr>
        <w:t>（报批稿）</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4"/>
              <w:framePr w:wrap="around"/>
              <w:rPr>
                <w:rFonts w:ascii="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5"/>
              <w:framePr w:wrap="around"/>
              <w:rPr>
                <w:rFonts w:ascii="Times New Roman"/>
                <w:highlight w:val="none"/>
              </w:rPr>
            </w:pPr>
          </w:p>
        </w:tc>
      </w:tr>
    </w:tbl>
    <w:p>
      <w:pPr>
        <w:pStyle w:val="146"/>
        <w:framePr w:wrap="around" w:hAnchor="page" w:x="1156" w:y="13501"/>
        <w:rPr>
          <w:highlight w:val="none"/>
        </w:rPr>
      </w:pPr>
      <w:r>
        <w:rPr>
          <w:rFonts w:ascii="黑体" w:hAnsi="黑体"/>
          <w:highlight w:val="none"/>
        </w:rPr>
        <w:t>20</w:t>
      </w:r>
      <w:r>
        <w:rPr>
          <w:rFonts w:asciiTheme="minorEastAsia" w:hAnsiTheme="minorEastAsia" w:eastAsiaTheme="minorEastAsia"/>
          <w:highlight w:val="none"/>
        </w:rPr>
        <w:t>□□</w:t>
      </w:r>
      <w:r>
        <w:rPr>
          <w:highlight w:val="none"/>
        </w:rPr>
        <w:t xml:space="preserve"> </w:t>
      </w:r>
      <w:r>
        <w:rPr>
          <w:rFonts w:ascii="黑体" w:hAnsi="黑体"/>
          <w:highlight w:val="none"/>
        </w:rPr>
        <w:t>-</w:t>
      </w:r>
      <w:r>
        <w:rPr>
          <w:rFonts w:asciiTheme="minorEastAsia" w:hAnsiTheme="minorEastAsia" w:eastAsiaTheme="minorEastAsia"/>
          <w:highlight w:val="none"/>
        </w:rPr>
        <w:t>□□</w:t>
      </w:r>
      <w:r>
        <w:rPr>
          <w:highlight w:val="none"/>
        </w:rPr>
        <w:t xml:space="preserve"> </w:t>
      </w:r>
      <w:r>
        <w:rPr>
          <w:rFonts w:ascii="黑体" w:hAnsi="黑体"/>
          <w:highlight w:val="none"/>
        </w:rPr>
        <w:t>-</w:t>
      </w:r>
      <w:r>
        <w:rPr>
          <w:rFonts w:asciiTheme="minorEastAsia" w:hAnsiTheme="minorEastAsia" w:eastAsiaTheme="minorEastAsia"/>
          <w:highlight w:val="none"/>
        </w:rPr>
        <w:t>□□</w:t>
      </w:r>
      <w:r>
        <w:rPr>
          <w:rFonts w:hint="eastAsia"/>
          <w:highlight w:val="none"/>
        </w:rPr>
        <w:t>发布</w:t>
      </w:r>
    </w:p>
    <w:p>
      <w:pPr>
        <w:pStyle w:val="147"/>
        <w:framePr w:wrap="around" w:hAnchor="page" w:x="7006" w:y="13591"/>
        <w:ind w:right="280"/>
        <w:rPr>
          <w:highlight w:val="none"/>
        </w:rPr>
      </w:pPr>
      <w:r>
        <w:rPr>
          <w:rFonts w:ascii="黑体" w:hAnsi="黑体"/>
          <w:highlight w:val="none"/>
        </w:rPr>
        <w:t>20</w:t>
      </w:r>
      <w:r>
        <w:rPr>
          <w:rFonts w:asciiTheme="minorEastAsia" w:hAnsiTheme="minorEastAsia" w:eastAsiaTheme="minorEastAsia"/>
          <w:highlight w:val="none"/>
        </w:rPr>
        <w:t>□□</w:t>
      </w:r>
      <w:r>
        <w:rPr>
          <w:highlight w:val="none"/>
        </w:rPr>
        <w:t xml:space="preserve"> </w:t>
      </w:r>
      <w:r>
        <w:rPr>
          <w:rFonts w:ascii="黑体" w:hAnsi="黑体"/>
          <w:highlight w:val="none"/>
        </w:rPr>
        <w:t>-</w:t>
      </w:r>
      <w:r>
        <w:rPr>
          <w:rFonts w:asciiTheme="minorEastAsia" w:hAnsiTheme="minorEastAsia" w:eastAsiaTheme="minorEastAsia"/>
          <w:highlight w:val="none"/>
        </w:rPr>
        <w:t>□□</w:t>
      </w:r>
      <w:r>
        <w:rPr>
          <w:highlight w:val="none"/>
        </w:rPr>
        <w:t xml:space="preserve"> </w:t>
      </w:r>
      <w:r>
        <w:rPr>
          <w:rFonts w:ascii="黑体" w:hAnsi="黑体"/>
          <w:highlight w:val="none"/>
        </w:rPr>
        <w:t>-</w:t>
      </w:r>
      <w:r>
        <w:rPr>
          <w:highlight w:val="none"/>
        </w:rPr>
        <w:t xml:space="preserve"> </w:t>
      </w:r>
      <w:r>
        <w:rPr>
          <w:rFonts w:asciiTheme="minorEastAsia" w:hAnsiTheme="minorEastAsia" w:eastAsiaTheme="minorEastAsia"/>
          <w:highlight w:val="none"/>
        </w:rPr>
        <w:t>□□</w:t>
      </w:r>
      <w:r>
        <w:rPr>
          <w:rFonts w:hint="eastAsia"/>
          <w:highlight w:val="none"/>
        </w:rPr>
        <w:t>实施</w:t>
      </w:r>
    </w:p>
    <w:p>
      <w:pPr>
        <w:pStyle w:val="125"/>
        <w:framePr w:h="1336" w:hRule="exact" w:wrap="around" w:x="1376" w:y="14341"/>
        <w:spacing w:line="180" w:lineRule="atLeast"/>
        <w:jc w:val="distribute"/>
        <w:rPr>
          <w:rFonts w:ascii="方正小标宋简体" w:eastAsia="方正小标宋简体"/>
          <w:sz w:val="36"/>
          <w:szCs w:val="36"/>
          <w:highlight w:val="none"/>
        </w:rPr>
      </w:pPr>
      <w:r>
        <w:rPr>
          <w:rFonts w:hint="eastAsia" w:ascii="方正小标宋简体" w:eastAsia="方正小标宋简体"/>
          <w:sz w:val="36"/>
          <w:szCs w:val="36"/>
          <w:highlight w:val="none"/>
        </w:rPr>
        <w:t>江苏省生态环境厅</w:t>
      </w:r>
    </w:p>
    <w:p>
      <w:pPr>
        <w:pStyle w:val="125"/>
        <w:framePr w:h="1336" w:hRule="exact" w:wrap="around" w:x="1376" w:y="14341"/>
        <w:spacing w:line="180" w:lineRule="atLeast"/>
        <w:jc w:val="distribute"/>
        <w:rPr>
          <w:rFonts w:ascii="方正小标宋简体" w:eastAsia="方正小标宋简体"/>
          <w:sz w:val="36"/>
          <w:szCs w:val="36"/>
          <w:highlight w:val="none"/>
        </w:rPr>
      </w:pPr>
      <w:r>
        <w:rPr>
          <w:rFonts w:hint="eastAsia" w:ascii="方正小标宋简体" w:eastAsia="方正小标宋简体"/>
          <w:sz w:val="36"/>
          <w:szCs w:val="36"/>
          <w:highlight w:val="none"/>
        </w:rPr>
        <w:t>江苏省市场监督管理局</w:t>
      </w:r>
    </w:p>
    <w:p>
      <w:pPr>
        <w:pStyle w:val="125"/>
        <w:framePr w:w="1601" w:h="946" w:hRule="exact" w:wrap="around" w:x="9386" w:y="14461"/>
        <w:rPr>
          <w:rFonts w:ascii="方正小标宋简体" w:eastAsia="方正小标宋简体"/>
          <w:highlight w:val="none"/>
        </w:rPr>
      </w:pPr>
      <w:r>
        <w:rPr>
          <w:rFonts w:hint="eastAsia" w:ascii="方正小标宋简体" w:eastAsia="方正小标宋简体"/>
          <w:sz w:val="44"/>
          <w:szCs w:val="44"/>
          <w:highlight w:val="none"/>
        </w:rPr>
        <w:t>发布</w:t>
      </w:r>
    </w:p>
    <w:p>
      <w:pPr>
        <w:pStyle w:val="32"/>
        <w:tabs>
          <w:tab w:val="right" w:leader="dot" w:pos="9356"/>
          <w:tab w:val="clear" w:pos="9298"/>
        </w:tabs>
        <w:rPr>
          <w:rFonts w:ascii="Times New Roman"/>
          <w:highlight w:val="none"/>
        </w:rPr>
      </w:pPr>
    </w:p>
    <w:p>
      <w:pPr>
        <w:pStyle w:val="32"/>
        <w:tabs>
          <w:tab w:val="right" w:leader="dot" w:pos="9356"/>
          <w:tab w:val="clear" w:pos="9298"/>
        </w:tabs>
        <w:rPr>
          <w:rFonts w:ascii="Times New Roman"/>
          <w:highlight w:val="none"/>
        </w:rPr>
        <w:sectPr>
          <w:footerReference r:id="rId4" w:type="default"/>
          <w:headerReference r:id="rId3" w:type="even"/>
          <w:footerReference r:id="rId5" w:type="even"/>
          <w:pgSz w:w="11906" w:h="16838"/>
          <w:pgMar w:top="567" w:right="850" w:bottom="1134" w:left="1418" w:header="0" w:footer="0" w:gutter="0"/>
          <w:pgNumType w:start="1"/>
          <w:cols w:space="425" w:num="1"/>
          <w:titlePg/>
          <w:docGrid w:type="lines" w:linePitch="312" w:charSpace="0"/>
        </w:sectPr>
      </w:pPr>
      <w:r>
        <w:rPr>
          <w:highlight w:val="none"/>
        </w:rPr>
        <mc:AlternateContent>
          <mc:Choice Requires="wps">
            <w:drawing>
              <wp:anchor distT="0" distB="0" distL="114300" distR="114300" simplePos="0" relativeHeight="251661312" behindDoc="0" locked="0" layoutInCell="1" allowOverlap="1">
                <wp:simplePos x="0" y="0"/>
                <wp:positionH relativeFrom="page">
                  <wp:posOffset>708660</wp:posOffset>
                </wp:positionH>
                <wp:positionV relativeFrom="paragraph">
                  <wp:posOffset>6217920</wp:posOffset>
                </wp:positionV>
                <wp:extent cx="6120130" cy="0"/>
                <wp:effectExtent l="0" t="0" r="0" b="0"/>
                <wp:wrapNone/>
                <wp:docPr id="5" name="Line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7" o:spid="_x0000_s1026" o:spt="20" style="position:absolute;left:0pt;margin-left:55.8pt;margin-top:489.6pt;height:0pt;width:481.9pt;mso-position-horizontal-relative:page;z-index:251661312;mso-width-relative:page;mso-height-relative:page;" filled="f" stroked="t" coordsize="21600,21600" o:gfxdata="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DEsAtgAAAAMAQAADwAAAAAAAAABACAAAAAiAAAAZHJzL2Rv&#10;d25yZXYueG1sUEsBAhQAFAAAAAgAh07iQJChSKjIAQAAnwMAAA4AAAAAAAAAAQAgAAAAJwEAAGRy&#10;cy9lMm9Eb2MueG1sUEsFBgAAAAAGAAYAWQEAAGEFAAAAAA==&#10;">
                <v:fill on="f" focussize="0,0"/>
                <v:stroke color="#000000" joinstyle="round"/>
                <v:imagedata o:title=""/>
                <o:lock v:ext="edit" aspectratio="f"/>
              </v:line>
            </w:pict>
          </mc:Fallback>
        </mc:AlternateContent>
      </w:r>
      <w:r>
        <w:rPr>
          <w:highlight w:val="none"/>
        </w:rPr>
        <mc:AlternateContent>
          <mc:Choice Requires="wps">
            <w:drawing>
              <wp:anchor distT="0" distB="0" distL="114300" distR="114300" simplePos="0" relativeHeight="251659264" behindDoc="0" locked="0" layoutInCell="1" allowOverlap="1">
                <wp:simplePos x="0" y="0"/>
                <wp:positionH relativeFrom="margin">
                  <wp:posOffset>-93980</wp:posOffset>
                </wp:positionH>
                <wp:positionV relativeFrom="page">
                  <wp:posOffset>2641600</wp:posOffset>
                </wp:positionV>
                <wp:extent cx="6120130" cy="0"/>
                <wp:effectExtent l="0" t="0" r="0" b="0"/>
                <wp:wrapNone/>
                <wp:docPr id="1" name="Line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7" o:spid="_x0000_s1026" o:spt="20" style="position:absolute;left:0pt;margin-left:-7.4pt;margin-top:208pt;height:0pt;width:481.9pt;mso-position-horizontal-relative:margin;mso-position-vertical-relative:page;z-index:251659264;mso-width-relative:page;mso-height-relative:page;" filled="f" stroked="t" coordsize="21600,21600" o:gfxdata="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5fL4qdgAAAALAQAADwAAAAAAAAABACAAAAAiAAAAZHJzL2Rv&#10;d25yZXYueG1sUEsBAhQAFAAAAAgAh07iQJx732vIAQAAnwMAAA4AAAAAAAAAAQAgAAAAJwEAAGRy&#10;cy9lMm9Eb2MueG1sUEsFBgAAAAAGAAYAWQEAAGEFAAAAAA==&#10;">
                <v:fill on="f" focussize="0,0"/>
                <v:stroke color="#000000" joinstyle="round"/>
                <v:imagedata o:title=""/>
                <o:lock v:ext="edit" aspectratio="f"/>
              </v:line>
            </w:pict>
          </mc:Fallback>
        </mc:AlternateContent>
      </w:r>
    </w:p>
    <w:p>
      <w:pPr>
        <w:pStyle w:val="61"/>
        <w:rPr>
          <w:rFonts w:ascii="Times New Roman"/>
          <w:highlight w:val="none"/>
        </w:rPr>
      </w:pPr>
      <w:bookmarkStart w:id="3" w:name="_Toc88643837"/>
      <w:bookmarkStart w:id="4" w:name="_Toc81466738"/>
      <w:bookmarkStart w:id="5" w:name="_Toc74749230"/>
      <w:bookmarkStart w:id="6" w:name="_Toc59696723"/>
      <w:bookmarkStart w:id="7" w:name="_Toc81402537"/>
      <w:r>
        <w:rPr>
          <w:rFonts w:hint="eastAsia" w:ascii="Times New Roman"/>
          <w:highlight w:val="none"/>
        </w:rPr>
        <w:t>目</w:t>
      </w:r>
      <w:bookmarkStart w:id="8" w:name="BKML"/>
      <w:r>
        <w:rPr>
          <w:rFonts w:hint="eastAsia" w:asciiTheme="minorEastAsia" w:hAnsiTheme="minorEastAsia" w:eastAsiaTheme="minorEastAsia"/>
          <w:highlight w:val="none"/>
        </w:rPr>
        <w:t>  </w:t>
      </w:r>
      <w:r>
        <w:rPr>
          <w:rFonts w:hint="eastAsia" w:ascii="Times New Roman"/>
          <w:highlight w:val="none"/>
        </w:rPr>
        <w:t>次</w:t>
      </w:r>
      <w:bookmarkEnd w:id="3"/>
      <w:bookmarkEnd w:id="4"/>
      <w:bookmarkEnd w:id="5"/>
      <w:bookmarkEnd w:id="6"/>
      <w:bookmarkEnd w:id="7"/>
      <w:bookmarkEnd w:id="8"/>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TOC \o "1-1" \h \z \u </w:instrText>
      </w:r>
      <w:r>
        <w:rPr>
          <w:highlight w:val="none"/>
        </w:rPr>
        <w:fldChar w:fldCharType="separate"/>
      </w:r>
      <w:r>
        <w:rPr>
          <w:highlight w:val="none"/>
        </w:rPr>
        <w:fldChar w:fldCharType="begin"/>
      </w:r>
      <w:r>
        <w:rPr>
          <w:highlight w:val="none"/>
        </w:rPr>
        <w:instrText xml:space="preserve"> HYPERLINK \l "_Toc88643838" </w:instrText>
      </w:r>
      <w:r>
        <w:rPr>
          <w:highlight w:val="none"/>
        </w:rPr>
        <w:fldChar w:fldCharType="separate"/>
      </w:r>
      <w:r>
        <w:rPr>
          <w:rStyle w:val="48"/>
          <w:highlight w:val="none"/>
        </w:rPr>
        <w:t>前</w:t>
      </w:r>
      <w:r>
        <w:rPr>
          <w:rStyle w:val="48"/>
          <w:rFonts w:asciiTheme="minorEastAsia" w:hAnsiTheme="minorEastAsia"/>
          <w:highlight w:val="none"/>
        </w:rPr>
        <w:t>  </w:t>
      </w:r>
      <w:r>
        <w:rPr>
          <w:rStyle w:val="48"/>
          <w:highlight w:val="none"/>
        </w:rPr>
        <w:t>言</w:t>
      </w:r>
      <w:r>
        <w:rPr>
          <w:highlight w:val="none"/>
        </w:rPr>
        <w:tab/>
      </w:r>
      <w:r>
        <w:rPr>
          <w:highlight w:val="none"/>
        </w:rPr>
        <w:fldChar w:fldCharType="begin"/>
      </w:r>
      <w:r>
        <w:rPr>
          <w:highlight w:val="none"/>
        </w:rPr>
        <w:instrText xml:space="preserve"> PAGEREF _Toc88643838 \h </w:instrText>
      </w:r>
      <w:r>
        <w:rPr>
          <w:highlight w:val="none"/>
        </w:rPr>
        <w:fldChar w:fldCharType="separate"/>
      </w:r>
      <w:r>
        <w:rPr>
          <w:highlight w:val="none"/>
        </w:rPr>
        <w:t>I</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"_Toc88643839" </w:instrText>
      </w:r>
      <w:r>
        <w:rPr>
          <w:highlight w:val="none"/>
        </w:rPr>
        <w:fldChar w:fldCharType="separate"/>
      </w:r>
      <w:r>
        <w:rPr>
          <w:rStyle w:val="48"/>
          <w:highlight w:val="none"/>
        </w:rPr>
        <w:t>引</w:t>
      </w:r>
      <w:r>
        <w:rPr>
          <w:rStyle w:val="48"/>
          <w:rFonts w:asciiTheme="minorEastAsia" w:hAnsiTheme="minorEastAsia"/>
          <w:highlight w:val="none"/>
        </w:rPr>
        <w:t>  </w:t>
      </w:r>
      <w:r>
        <w:rPr>
          <w:rStyle w:val="48"/>
          <w:highlight w:val="none"/>
        </w:rPr>
        <w:t>言</w:t>
      </w:r>
      <w:r>
        <w:rPr>
          <w:highlight w:val="none"/>
        </w:rPr>
        <w:tab/>
      </w:r>
      <w:r>
        <w:rPr>
          <w:highlight w:val="none"/>
        </w:rPr>
        <w:fldChar w:fldCharType="begin"/>
      </w:r>
      <w:r>
        <w:rPr>
          <w:highlight w:val="none"/>
        </w:rPr>
        <w:instrText xml:space="preserve"> PAGEREF _Toc88643839 \h </w:instrText>
      </w:r>
      <w:r>
        <w:rPr>
          <w:highlight w:val="none"/>
        </w:rPr>
        <w:fldChar w:fldCharType="separate"/>
      </w:r>
      <w:r>
        <w:rPr>
          <w:highlight w:val="none"/>
        </w:rPr>
        <w:t>II</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"_Toc88643840" </w:instrText>
      </w:r>
      <w:r>
        <w:rPr>
          <w:highlight w:val="none"/>
        </w:rPr>
        <w:fldChar w:fldCharType="separate"/>
      </w:r>
      <w:r>
        <w:rPr>
          <w:rStyle w:val="48"/>
          <w:highlight w:val="none"/>
        </w:rPr>
        <w:t>1 范围</w:t>
      </w:r>
      <w:r>
        <w:rPr>
          <w:highlight w:val="none"/>
        </w:rPr>
        <w:tab/>
      </w:r>
      <w:r>
        <w:rPr>
          <w:highlight w:val="none"/>
        </w:rPr>
        <w:fldChar w:fldCharType="begin"/>
      </w:r>
      <w:r>
        <w:rPr>
          <w:highlight w:val="none"/>
        </w:rPr>
        <w:instrText xml:space="preserve"> PAGEREF _Toc88643840 \h </w:instrText>
      </w:r>
      <w:r>
        <w:rPr>
          <w:highlight w:val="none"/>
        </w:rPr>
        <w:fldChar w:fldCharType="separate"/>
      </w:r>
      <w:r>
        <w:rPr>
          <w:highlight w:val="none"/>
        </w:rPr>
        <w:t>1</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"_Toc88643841" </w:instrText>
      </w:r>
      <w:r>
        <w:rPr>
          <w:highlight w:val="none"/>
        </w:rPr>
        <w:fldChar w:fldCharType="separate"/>
      </w:r>
      <w:r>
        <w:rPr>
          <w:rStyle w:val="48"/>
          <w:highlight w:val="none"/>
        </w:rPr>
        <w:t>2 规范性引用文件</w:t>
      </w:r>
      <w:r>
        <w:rPr>
          <w:highlight w:val="none"/>
        </w:rPr>
        <w:tab/>
      </w:r>
      <w:r>
        <w:rPr>
          <w:highlight w:val="none"/>
        </w:rPr>
        <w:fldChar w:fldCharType="begin"/>
      </w:r>
      <w:r>
        <w:rPr>
          <w:highlight w:val="none"/>
        </w:rPr>
        <w:instrText xml:space="preserve"> PAGEREF _Toc88643841 \h </w:instrText>
      </w:r>
      <w:r>
        <w:rPr>
          <w:highlight w:val="none"/>
        </w:rPr>
        <w:fldChar w:fldCharType="separate"/>
      </w:r>
      <w:r>
        <w:rPr>
          <w:highlight w:val="none"/>
        </w:rPr>
        <w:t>1</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"_Toc88643842" </w:instrText>
      </w:r>
      <w:r>
        <w:rPr>
          <w:highlight w:val="none"/>
        </w:rPr>
        <w:fldChar w:fldCharType="separate"/>
      </w:r>
      <w:r>
        <w:rPr>
          <w:rStyle w:val="48"/>
          <w:highlight w:val="none"/>
        </w:rPr>
        <w:t>3 术语和定义</w:t>
      </w:r>
      <w:r>
        <w:rPr>
          <w:highlight w:val="none"/>
        </w:rPr>
        <w:tab/>
      </w:r>
      <w:r>
        <w:rPr>
          <w:highlight w:val="none"/>
        </w:rPr>
        <w:fldChar w:fldCharType="begin"/>
      </w:r>
      <w:r>
        <w:rPr>
          <w:highlight w:val="none"/>
        </w:rPr>
        <w:instrText xml:space="preserve"> PAGEREF _Toc88643842 \h </w:instrText>
      </w:r>
      <w:r>
        <w:rPr>
          <w:highlight w:val="none"/>
        </w:rPr>
        <w:fldChar w:fldCharType="separate"/>
      </w:r>
      <w:r>
        <w:rPr>
          <w:highlight w:val="none"/>
        </w:rPr>
        <w:t>2</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"_Toc88643843" </w:instrText>
      </w:r>
      <w:r>
        <w:rPr>
          <w:highlight w:val="none"/>
        </w:rPr>
        <w:fldChar w:fldCharType="separate"/>
      </w:r>
      <w:r>
        <w:rPr>
          <w:rStyle w:val="48"/>
          <w:highlight w:val="none"/>
        </w:rPr>
        <w:t>4 大气污染物排放控制要求</w:t>
      </w:r>
      <w:r>
        <w:rPr>
          <w:highlight w:val="none"/>
        </w:rPr>
        <w:tab/>
      </w:r>
      <w:r>
        <w:rPr>
          <w:highlight w:val="none"/>
        </w:rPr>
        <w:fldChar w:fldCharType="begin"/>
      </w:r>
      <w:r>
        <w:rPr>
          <w:highlight w:val="none"/>
        </w:rPr>
        <w:instrText xml:space="preserve"> PAGEREF _Toc88643843 \h </w:instrText>
      </w:r>
      <w:r>
        <w:rPr>
          <w:highlight w:val="none"/>
        </w:rPr>
        <w:fldChar w:fldCharType="separate"/>
      </w:r>
      <w:r>
        <w:rPr>
          <w:highlight w:val="none"/>
        </w:rPr>
        <w:t>3</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"_Toc88643844" </w:instrText>
      </w:r>
      <w:r>
        <w:rPr>
          <w:highlight w:val="none"/>
        </w:rPr>
        <w:fldChar w:fldCharType="separate"/>
      </w:r>
      <w:r>
        <w:rPr>
          <w:rStyle w:val="48"/>
          <w:highlight w:val="none"/>
        </w:rPr>
        <w:t>5 污染物监测要求</w:t>
      </w:r>
      <w:r>
        <w:rPr>
          <w:highlight w:val="none"/>
        </w:rPr>
        <w:tab/>
      </w:r>
      <w:r>
        <w:rPr>
          <w:highlight w:val="none"/>
        </w:rPr>
        <w:fldChar w:fldCharType="begin"/>
      </w:r>
      <w:r>
        <w:rPr>
          <w:highlight w:val="none"/>
        </w:rPr>
        <w:instrText xml:space="preserve"> PAGEREF _Toc88643844 \h </w:instrText>
      </w:r>
      <w:r>
        <w:rPr>
          <w:highlight w:val="none"/>
        </w:rPr>
        <w:fldChar w:fldCharType="separate"/>
      </w:r>
      <w:r>
        <w:rPr>
          <w:highlight w:val="none"/>
        </w:rPr>
        <w:t>5</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"_Toc88643845" </w:instrText>
      </w:r>
      <w:r>
        <w:rPr>
          <w:highlight w:val="none"/>
        </w:rPr>
        <w:fldChar w:fldCharType="separate"/>
      </w:r>
      <w:r>
        <w:rPr>
          <w:rStyle w:val="48"/>
          <w:highlight w:val="none"/>
        </w:rPr>
        <w:t>6 达标判定</w:t>
      </w:r>
      <w:r>
        <w:rPr>
          <w:highlight w:val="none"/>
        </w:rPr>
        <w:tab/>
      </w:r>
      <w:r>
        <w:rPr>
          <w:highlight w:val="none"/>
        </w:rPr>
        <w:fldChar w:fldCharType="begin"/>
      </w:r>
      <w:r>
        <w:rPr>
          <w:highlight w:val="none"/>
        </w:rPr>
        <w:instrText xml:space="preserve"> PAGEREF _Toc88643845 \h </w:instrText>
      </w:r>
      <w:r>
        <w:rPr>
          <w:highlight w:val="none"/>
        </w:rPr>
        <w:fldChar w:fldCharType="separate"/>
      </w:r>
      <w:r>
        <w:rPr>
          <w:highlight w:val="none"/>
        </w:rPr>
        <w:t>6</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"_Toc88643846" </w:instrText>
      </w:r>
      <w:r>
        <w:rPr>
          <w:highlight w:val="none"/>
        </w:rPr>
        <w:fldChar w:fldCharType="separate"/>
      </w:r>
      <w:r>
        <w:rPr>
          <w:rStyle w:val="48"/>
          <w:highlight w:val="none"/>
        </w:rPr>
        <w:t>7 实施与监督</w:t>
      </w:r>
      <w:r>
        <w:rPr>
          <w:highlight w:val="none"/>
        </w:rPr>
        <w:tab/>
      </w:r>
      <w:r>
        <w:rPr>
          <w:highlight w:val="none"/>
        </w:rPr>
        <w:fldChar w:fldCharType="begin"/>
      </w:r>
      <w:r>
        <w:rPr>
          <w:highlight w:val="none"/>
        </w:rPr>
        <w:instrText xml:space="preserve"> PAGEREF _Toc88643846 \h </w:instrText>
      </w:r>
      <w:r>
        <w:rPr>
          <w:highlight w:val="none"/>
        </w:rPr>
        <w:fldChar w:fldCharType="separate"/>
      </w:r>
      <w:r>
        <w:rPr>
          <w:highlight w:val="none"/>
        </w:rPr>
        <w:t>6</w:t>
      </w:r>
      <w:r>
        <w:rPr>
          <w:highlight w:val="none"/>
        </w:rPr>
        <w:fldChar w:fldCharType="end"/>
      </w:r>
      <w:r>
        <w:rPr>
          <w:highlight w:val="none"/>
        </w:rPr>
        <w:fldChar w:fldCharType="end"/>
      </w:r>
    </w:p>
    <w:p>
      <w:pPr>
        <w:pStyle w:val="28"/>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"_Toc88643847" </w:instrText>
      </w:r>
      <w:r>
        <w:rPr>
          <w:highlight w:val="none"/>
        </w:rPr>
        <w:fldChar w:fldCharType="separate"/>
      </w:r>
      <w:r>
        <w:rPr>
          <w:rStyle w:val="48"/>
          <w:highlight w:val="none"/>
        </w:rPr>
        <w:t>参考文献</w:t>
      </w:r>
      <w:r>
        <w:rPr>
          <w:highlight w:val="none"/>
        </w:rPr>
        <w:tab/>
      </w:r>
      <w:r>
        <w:rPr>
          <w:highlight w:val="none"/>
        </w:rPr>
        <w:fldChar w:fldCharType="begin"/>
      </w:r>
      <w:r>
        <w:rPr>
          <w:highlight w:val="none"/>
        </w:rPr>
        <w:instrText xml:space="preserve"> PAGEREF _Toc88643847 \h </w:instrText>
      </w:r>
      <w:r>
        <w:rPr>
          <w:highlight w:val="none"/>
        </w:rPr>
        <w:fldChar w:fldCharType="separate"/>
      </w:r>
      <w:r>
        <w:rPr>
          <w:highlight w:val="none"/>
        </w:rPr>
        <w:t>7</w:t>
      </w:r>
      <w:r>
        <w:rPr>
          <w:highlight w:val="none"/>
        </w:rPr>
        <w:fldChar w:fldCharType="end"/>
      </w:r>
      <w:r>
        <w:rPr>
          <w:highlight w:val="none"/>
        </w:rPr>
        <w:fldChar w:fldCharType="end"/>
      </w:r>
    </w:p>
    <w:p>
      <w:pPr>
        <w:pStyle w:val="32"/>
        <w:rPr>
          <w:rFonts w:ascii="Times New Roman"/>
          <w:kern w:val="2"/>
          <w:szCs w:val="21"/>
          <w:highlight w:val="none"/>
        </w:rPr>
        <w:sectPr>
          <w:headerReference r:id="rId6" w:type="default"/>
          <w:pgSz w:w="11906" w:h="16838"/>
          <w:pgMar w:top="567" w:right="1134" w:bottom="1134" w:left="1418" w:header="1418" w:footer="1134" w:gutter="0"/>
          <w:pgNumType w:fmt="upperRoman" w:start="1"/>
          <w:cols w:space="425" w:num="1"/>
          <w:formProt w:val="0"/>
          <w:docGrid w:type="lines" w:linePitch="312" w:charSpace="0"/>
        </w:sectPr>
      </w:pPr>
      <w:r>
        <w:rPr>
          <w:rFonts w:ascii="Times New Roman"/>
          <w:kern w:val="2"/>
          <w:szCs w:val="21"/>
          <w:highlight w:val="none"/>
        </w:rPr>
        <w:fldChar w:fldCharType="end"/>
      </w:r>
    </w:p>
    <w:p>
      <w:pPr>
        <w:pStyle w:val="126"/>
        <w:tabs>
          <w:tab w:val="left" w:pos="1032"/>
          <w:tab w:val="center" w:pos="4677"/>
        </w:tabs>
        <w:jc w:val="left"/>
        <w:rPr>
          <w:rFonts w:ascii="Times New Roman"/>
          <w:highlight w:val="none"/>
        </w:rPr>
      </w:pPr>
      <w:bookmarkStart w:id="9" w:name="_Toc413053573"/>
      <w:r>
        <w:rPr>
          <w:rFonts w:ascii="Times New Roman"/>
          <w:highlight w:val="none"/>
        </w:rPr>
        <w:tab/>
      </w:r>
      <w:r>
        <w:rPr>
          <w:rFonts w:ascii="Times New Roman"/>
          <w:highlight w:val="none"/>
        </w:rPr>
        <w:tab/>
      </w:r>
      <w:bookmarkStart w:id="10" w:name="_Toc88643838"/>
      <w:r>
        <w:rPr>
          <w:rFonts w:hint="eastAsia" w:ascii="Times New Roman"/>
          <w:highlight w:val="none"/>
        </w:rPr>
        <w:t>前</w:t>
      </w:r>
      <w:bookmarkStart w:id="11" w:name="BKQY"/>
      <w:r>
        <w:rPr>
          <w:rFonts w:hint="eastAsia" w:asciiTheme="minorEastAsia" w:hAnsiTheme="minorEastAsia" w:eastAsiaTheme="minorEastAsia"/>
          <w:highlight w:val="none"/>
        </w:rPr>
        <w:t>  </w:t>
      </w:r>
      <w:r>
        <w:rPr>
          <w:rFonts w:hint="eastAsia" w:ascii="Times New Roman"/>
          <w:highlight w:val="none"/>
        </w:rPr>
        <w:t>言</w:t>
      </w:r>
      <w:bookmarkEnd w:id="9"/>
      <w:bookmarkEnd w:id="10"/>
      <w:bookmarkEnd w:id="11"/>
    </w:p>
    <w:p>
      <w:pPr>
        <w:pStyle w:val="32"/>
        <w:rPr>
          <w:rFonts w:ascii="Times New Roman"/>
          <w:highlight w:val="none"/>
        </w:rPr>
      </w:pPr>
      <w:r>
        <w:rPr>
          <w:rFonts w:hint="eastAsia" w:ascii="Times New Roman"/>
          <w:highlight w:val="none"/>
        </w:rPr>
        <w:t>本文件按照G</w:t>
      </w:r>
      <w:r>
        <w:rPr>
          <w:rFonts w:ascii="Times New Roman"/>
          <w:highlight w:val="none"/>
        </w:rPr>
        <w:t>B/T 1.1</w:t>
      </w:r>
      <w:r>
        <w:rPr>
          <w:rFonts w:hint="eastAsia" w:ascii="Times New Roman"/>
          <w:highlight w:val="none"/>
        </w:rPr>
        <w:t>—2</w:t>
      </w:r>
      <w:r>
        <w:rPr>
          <w:rFonts w:ascii="Times New Roman"/>
          <w:highlight w:val="none"/>
        </w:rPr>
        <w:t>020</w:t>
      </w:r>
      <w:r>
        <w:rPr>
          <w:rFonts w:hint="eastAsia" w:ascii="Times New Roman"/>
          <w:highlight w:val="none"/>
        </w:rPr>
        <w:t xml:space="preserve">《标准化工作导则 </w:t>
      </w:r>
      <w:r>
        <w:rPr>
          <w:rFonts w:ascii="Times New Roman"/>
          <w:highlight w:val="none"/>
        </w:rPr>
        <w:t xml:space="preserve"> </w:t>
      </w:r>
      <w:r>
        <w:rPr>
          <w:rFonts w:hint="eastAsia" w:ascii="Times New Roman"/>
          <w:highlight w:val="none"/>
        </w:rPr>
        <w:t>第1部分：标准化文件的结构和起草规则》的规定起草。</w:t>
      </w:r>
    </w:p>
    <w:p>
      <w:pPr>
        <w:pStyle w:val="32"/>
        <w:rPr>
          <w:rFonts w:ascii="Times New Roman"/>
          <w:highlight w:val="none"/>
        </w:rPr>
      </w:pPr>
      <w:r>
        <w:rPr>
          <w:rFonts w:hint="eastAsia" w:ascii="Times New Roman"/>
          <w:highlight w:val="none"/>
        </w:rPr>
        <w:t>请注意本文件的某些内容可能涉及专利。本文件的发布机构不承担识别专利的责任。</w:t>
      </w:r>
    </w:p>
    <w:p>
      <w:pPr>
        <w:pStyle w:val="32"/>
        <w:rPr>
          <w:rFonts w:ascii="Times New Roman"/>
          <w:highlight w:val="none"/>
        </w:rPr>
      </w:pPr>
      <w:r>
        <w:rPr>
          <w:rFonts w:hint="eastAsia" w:ascii="Times New Roman"/>
          <w:highlight w:val="none"/>
        </w:rPr>
        <w:t>本文件由江苏省生态环境厅提出并归口。</w:t>
      </w:r>
    </w:p>
    <w:p>
      <w:pPr>
        <w:pStyle w:val="32"/>
        <w:rPr>
          <w:rFonts w:ascii="Times New Roman"/>
          <w:highlight w:val="none"/>
        </w:rPr>
      </w:pPr>
      <w:r>
        <w:rPr>
          <w:rFonts w:hint="eastAsia" w:ascii="Times New Roman"/>
          <w:highlight w:val="none"/>
        </w:rPr>
        <w:t>本文件由江苏省人民政府于2</w:t>
      </w:r>
      <w:r>
        <w:rPr>
          <w:rFonts w:ascii="Times New Roman"/>
          <w:highlight w:val="none"/>
        </w:rPr>
        <w:t>0</w:t>
      </w:r>
      <w:r>
        <w:rPr>
          <w:rFonts w:hint="eastAsia" w:ascii="Times New Roman"/>
          <w:highlight w:val="none"/>
        </w:rPr>
        <w:t>□□年□□月□□日批准。</w:t>
      </w:r>
    </w:p>
    <w:p>
      <w:pPr>
        <w:pStyle w:val="32"/>
        <w:rPr>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p>
    <w:p>
      <w:pPr>
        <w:pStyle w:val="32"/>
        <w:rPr>
          <w:rFonts w:ascii="Times New Roman"/>
          <w:highlight w:val="none"/>
        </w:rPr>
      </w:pPr>
      <w:r>
        <w:rPr>
          <w:rFonts w:ascii="Times New Roman"/>
          <w:highlight w:val="none"/>
        </w:rPr>
        <w:br w:type="page"/>
      </w:r>
    </w:p>
    <w:p>
      <w:pPr>
        <w:pStyle w:val="126"/>
        <w:tabs>
          <w:tab w:val="left" w:pos="1032"/>
          <w:tab w:val="center" w:pos="4677"/>
        </w:tabs>
        <w:jc w:val="left"/>
        <w:rPr>
          <w:rFonts w:ascii="Times New Roman"/>
          <w:highlight w:val="none"/>
        </w:rPr>
      </w:pPr>
      <w:r>
        <w:rPr>
          <w:rFonts w:ascii="Times New Roman"/>
          <w:highlight w:val="none"/>
        </w:rPr>
        <w:tab/>
      </w:r>
      <w:r>
        <w:rPr>
          <w:rFonts w:ascii="Times New Roman"/>
          <w:highlight w:val="none"/>
        </w:rPr>
        <w:tab/>
      </w:r>
      <w:bookmarkStart w:id="12" w:name="_Toc88643839"/>
      <w:r>
        <w:rPr>
          <w:rFonts w:hint="eastAsia" w:ascii="Times New Roman"/>
          <w:highlight w:val="none"/>
        </w:rPr>
        <w:t>引</w:t>
      </w:r>
      <w:r>
        <w:rPr>
          <w:rFonts w:hint="eastAsia" w:asciiTheme="minorEastAsia" w:hAnsiTheme="minorEastAsia" w:eastAsiaTheme="minorEastAsia"/>
          <w:highlight w:val="none"/>
        </w:rPr>
        <w:t>  </w:t>
      </w:r>
      <w:r>
        <w:rPr>
          <w:rFonts w:hint="eastAsia" w:ascii="Times New Roman"/>
          <w:highlight w:val="none"/>
        </w:rPr>
        <w:t>言</w:t>
      </w:r>
      <w:bookmarkEnd w:id="12"/>
    </w:p>
    <w:p>
      <w:pPr>
        <w:pStyle w:val="32"/>
        <w:rPr>
          <w:rFonts w:ascii="Times New Roman"/>
          <w:highlight w:val="none"/>
        </w:rPr>
      </w:pPr>
      <w:r>
        <w:rPr>
          <w:rFonts w:hint="eastAsia" w:ascii="Times New Roman"/>
          <w:highlight w:val="none"/>
        </w:rPr>
        <w:t>为贯彻《中华人民共和国环境保护法》《中华人民共和国大气污染防治法》《江苏省大气污染防治条例》，保障人体健康，改善环境空气质量，加强江苏省纺织染整工业大气污染物的排放控制，促进行业生产工艺和污染治理水平的提升，制定本文件。</w:t>
      </w:r>
    </w:p>
    <w:p>
      <w:pPr>
        <w:pStyle w:val="32"/>
        <w:rPr>
          <w:rFonts w:ascii="Times New Roman"/>
          <w:highlight w:val="none"/>
        </w:rPr>
      </w:pPr>
      <w:r>
        <w:rPr>
          <w:rFonts w:hint="eastAsia" w:ascii="Times New Roman"/>
          <w:highlight w:val="none"/>
        </w:rPr>
        <w:t>本文件是纺织染整工业生产及污染处理设施大气污染物排放控制的基本要求。除本文件中已确定限值的控制项目外，纺织染整工业锅炉废气排放控制、恶臭污染物排放控制执行国家或地方相关排放标准的规定。环境影响评价文件或排污许可证要求严于本文件时，按照批复的环境影响评价文件或排污许可证执行。</w:t>
      </w:r>
    </w:p>
    <w:p>
      <w:pPr>
        <w:pStyle w:val="32"/>
        <w:rPr>
          <w:highlight w:val="none"/>
        </w:rPr>
      </w:pPr>
      <w:r>
        <w:rPr>
          <w:rFonts w:hint="eastAsia"/>
          <w:highlight w:val="none"/>
        </w:rPr>
        <w:t>本文件颁布后，国家出台相应行业污染物排放标准涉及本文件未做规定的污染物控制项目或排放控制要求严于本文件时，执行国家标准中的相关规定。</w:t>
      </w:r>
    </w:p>
    <w:p>
      <w:pPr>
        <w:pStyle w:val="32"/>
        <w:rPr>
          <w:rFonts w:ascii="Times New Roman"/>
          <w:highlight w:val="none"/>
        </w:rPr>
      </w:pPr>
    </w:p>
    <w:p>
      <w:pPr>
        <w:pStyle w:val="32"/>
        <w:rPr>
          <w:rFonts w:ascii="Times New Roman"/>
          <w:highlight w:val="none"/>
        </w:rPr>
        <w:sectPr>
          <w:pgSz w:w="11906" w:h="16838"/>
          <w:pgMar w:top="567" w:right="1134" w:bottom="1134" w:left="1418" w:header="1418" w:footer="1134" w:gutter="0"/>
          <w:pgNumType w:fmt="upperRoman" w:start="1"/>
          <w:cols w:space="425" w:num="1"/>
          <w:formProt w:val="0"/>
          <w:docGrid w:type="lines" w:linePitch="312" w:charSpace="0"/>
        </w:sectPr>
      </w:pPr>
    </w:p>
    <w:p>
      <w:pPr>
        <w:pStyle w:val="32"/>
        <w:ind w:firstLine="0" w:firstLineChars="0"/>
        <w:jc w:val="center"/>
        <w:rPr>
          <w:rFonts w:ascii="Times New Roman" w:eastAsia="黑体"/>
          <w:sz w:val="32"/>
          <w:highlight w:val="none"/>
        </w:rPr>
      </w:pPr>
      <w:bookmarkStart w:id="13" w:name="_Toc413053574"/>
      <w:r>
        <w:rPr>
          <w:rFonts w:hint="eastAsia" w:ascii="Times New Roman" w:eastAsia="黑体"/>
          <w:sz w:val="32"/>
          <w:highlight w:val="none"/>
        </w:rPr>
        <w:t>纺织染整工业大气污染物排放标准</w:t>
      </w:r>
    </w:p>
    <w:p>
      <w:pPr>
        <w:pStyle w:val="2"/>
        <w:rPr>
          <w:highlight w:val="none"/>
        </w:rPr>
      </w:pPr>
      <w:bookmarkStart w:id="14" w:name="_Toc88643840"/>
      <w:r>
        <w:rPr>
          <w:rFonts w:hint="eastAsia"/>
          <w:highlight w:val="none"/>
        </w:rPr>
        <w:t>范围</w:t>
      </w:r>
      <w:bookmarkEnd w:id="13"/>
      <w:bookmarkEnd w:id="14"/>
    </w:p>
    <w:p>
      <w:pPr>
        <w:spacing w:line="360" w:lineRule="exact"/>
        <w:ind w:firstLine="420" w:firstLineChars="200"/>
        <w:rPr>
          <w:szCs w:val="21"/>
          <w:highlight w:val="none"/>
        </w:rPr>
      </w:pPr>
      <w:r>
        <w:rPr>
          <w:rFonts w:hint="eastAsia"/>
          <w:szCs w:val="21"/>
          <w:highlight w:val="none"/>
        </w:rPr>
        <w:t>本文件规定了纺织染整工业生产及污染处理设施大气污染物排放控制、监测要求、达标判定，以及标准的实施与监督等要求。</w:t>
      </w:r>
    </w:p>
    <w:p>
      <w:pPr>
        <w:spacing w:line="360" w:lineRule="exact"/>
        <w:ind w:firstLine="420" w:firstLineChars="200"/>
        <w:rPr>
          <w:szCs w:val="21"/>
          <w:highlight w:val="none"/>
        </w:rPr>
      </w:pPr>
      <w:r>
        <w:rPr>
          <w:rFonts w:hint="eastAsia"/>
          <w:szCs w:val="21"/>
          <w:highlight w:val="none"/>
        </w:rPr>
        <w:t>本文件适用于现有纺织染整工业生产及污染处理设施的大气污染物排放管理，以及新建、改建、扩建纺织染整工业建设项目的环境影响评价、环境保护工程设计、竣工环境保护验收、排污许可管理及其投产后的大气污染物排放管理。</w:t>
      </w:r>
    </w:p>
    <w:p>
      <w:pPr>
        <w:pStyle w:val="2"/>
        <w:rPr>
          <w:highlight w:val="none"/>
        </w:rPr>
      </w:pPr>
      <w:bookmarkStart w:id="15" w:name="_Toc413053575"/>
      <w:bookmarkStart w:id="16" w:name="_Toc88643841"/>
      <w:r>
        <w:rPr>
          <w:rFonts w:hint="eastAsia"/>
          <w:highlight w:val="none"/>
        </w:rPr>
        <w:t>规范性引用文件</w:t>
      </w:r>
      <w:bookmarkEnd w:id="15"/>
      <w:bookmarkEnd w:id="16"/>
    </w:p>
    <w:p>
      <w:pPr>
        <w:spacing w:line="360" w:lineRule="exact"/>
        <w:ind w:firstLine="420" w:firstLineChars="200"/>
        <w:rPr>
          <w:szCs w:val="21"/>
          <w:highlight w:val="none"/>
        </w:rPr>
      </w:pPr>
      <w:r>
        <w:rPr>
          <w:rFonts w:hint="eastAsia"/>
          <w:szCs w:val="21"/>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Style w:val="42"/>
        <w:tblW w:w="4777" w:type="pct"/>
        <w:jc w:val="center"/>
        <w:tblLayout w:type="autofit"/>
        <w:tblCellMar>
          <w:top w:w="0" w:type="dxa"/>
          <w:left w:w="28" w:type="dxa"/>
          <w:bottom w:w="0" w:type="dxa"/>
          <w:right w:w="28" w:type="dxa"/>
        </w:tblCellMar>
      </w:tblPr>
      <w:tblGrid>
        <w:gridCol w:w="1708"/>
        <w:gridCol w:w="7418"/>
      </w:tblGrid>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kern w:val="0"/>
                <w:szCs w:val="21"/>
                <w:highlight w:val="none"/>
              </w:rPr>
              <w:t>GB/T 15516</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空气质量</w:t>
            </w:r>
            <w:r>
              <w:rPr>
                <w:kern w:val="0"/>
                <w:szCs w:val="21"/>
                <w:highlight w:val="none"/>
              </w:rPr>
              <w:t xml:space="preserve">  </w:t>
            </w:r>
            <w:r>
              <w:rPr>
                <w:rFonts w:hint="eastAsia"/>
                <w:kern w:val="0"/>
                <w:szCs w:val="21"/>
                <w:highlight w:val="none"/>
              </w:rPr>
              <w:t>甲醛的测定</w:t>
            </w:r>
            <w:r>
              <w:rPr>
                <w:kern w:val="0"/>
                <w:szCs w:val="21"/>
                <w:highlight w:val="none"/>
              </w:rPr>
              <w:t xml:space="preserve">  </w:t>
            </w:r>
            <w:r>
              <w:rPr>
                <w:rFonts w:hint="eastAsia"/>
                <w:kern w:val="0"/>
                <w:szCs w:val="21"/>
                <w:highlight w:val="none"/>
              </w:rPr>
              <w:t>乙酰丙酮分光光度法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G</w:t>
            </w:r>
            <w:r>
              <w:rPr>
                <w:kern w:val="0"/>
                <w:szCs w:val="21"/>
                <w:highlight w:val="none"/>
              </w:rPr>
              <w:t>B/T 16157</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固定污染源排气中颗粒物测定与气态污染物采样方法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GB 37822</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挥发性有机物无组织排放控制标准</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HJ 38</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固定污染源废气  总烃、甲烷和非甲烷总烃的测定  气相色谱法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w:t>
            </w:r>
            <w:r>
              <w:rPr>
                <w:kern w:val="0"/>
                <w:szCs w:val="21"/>
                <w:highlight w:val="none"/>
              </w:rPr>
              <w:t>J/T 55</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大气污染物无组织排放监测技术导则</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w:t>
            </w:r>
            <w:r>
              <w:rPr>
                <w:kern w:val="0"/>
                <w:szCs w:val="21"/>
                <w:highlight w:val="none"/>
              </w:rPr>
              <w:t>J 75</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固定污染源烟气（SO</w:t>
            </w:r>
            <w:r>
              <w:rPr>
                <w:rFonts w:hint="eastAsia"/>
                <w:kern w:val="0"/>
                <w:szCs w:val="21"/>
                <w:highlight w:val="none"/>
                <w:vertAlign w:val="subscript"/>
              </w:rPr>
              <w:t>2</w:t>
            </w:r>
            <w:r>
              <w:rPr>
                <w:rFonts w:hint="eastAsia"/>
                <w:kern w:val="0"/>
                <w:szCs w:val="21"/>
                <w:highlight w:val="none"/>
              </w:rPr>
              <w:t>、NO</w:t>
            </w:r>
            <w:r>
              <w:rPr>
                <w:kern w:val="0"/>
                <w:szCs w:val="21"/>
                <w:highlight w:val="none"/>
              </w:rPr>
              <w:t>x</w:t>
            </w:r>
            <w:r>
              <w:rPr>
                <w:rFonts w:hint="eastAsia"/>
                <w:kern w:val="0"/>
                <w:szCs w:val="21"/>
                <w:highlight w:val="none"/>
              </w:rPr>
              <w:t>、颗粒物）排放连续监测技术规范</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w:t>
            </w:r>
            <w:r>
              <w:rPr>
                <w:kern w:val="0"/>
                <w:szCs w:val="21"/>
                <w:highlight w:val="none"/>
              </w:rPr>
              <w:t>J/T 397</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固定源废气监测技术规范</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HJ 604</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环境空气  总烃、甲烷和非甲烷总烃的测定  直接进样-气相色谱法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szCs w:val="21"/>
                <w:highlight w:val="none"/>
              </w:rPr>
            </w:pPr>
            <w:r>
              <w:rPr>
                <w:rFonts w:hint="eastAsia"/>
                <w:szCs w:val="21"/>
                <w:highlight w:val="none"/>
              </w:rPr>
              <w:t>H</w:t>
            </w:r>
            <w:r>
              <w:rPr>
                <w:szCs w:val="21"/>
                <w:highlight w:val="none"/>
              </w:rPr>
              <w:t>J 734</w:t>
            </w:r>
          </w:p>
        </w:tc>
        <w:tc>
          <w:tcPr>
            <w:tcW w:w="4064" w:type="pct"/>
            <w:shd w:val="clear" w:color="auto" w:fill="auto"/>
            <w:vAlign w:val="center"/>
          </w:tcPr>
          <w:p>
            <w:pPr>
              <w:autoSpaceDE w:val="0"/>
              <w:autoSpaceDN w:val="0"/>
              <w:adjustRightInd w:val="0"/>
              <w:ind w:left="-40" w:firstLine="40"/>
              <w:jc w:val="left"/>
              <w:rPr>
                <w:szCs w:val="21"/>
                <w:highlight w:val="none"/>
              </w:rPr>
            </w:pPr>
            <w:r>
              <w:rPr>
                <w:rFonts w:hint="eastAsia"/>
                <w:szCs w:val="21"/>
                <w:highlight w:val="none"/>
              </w:rPr>
              <w:t>固定污染源废气  挥发性有机物的测定  固相吸附-热脱附/气相色谱-质谱法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szCs w:val="21"/>
                <w:highlight w:val="none"/>
              </w:rPr>
            </w:pPr>
            <w:r>
              <w:rPr>
                <w:rFonts w:hint="eastAsia"/>
                <w:kern w:val="0"/>
                <w:szCs w:val="21"/>
                <w:highlight w:val="none"/>
              </w:rPr>
              <w:t>HJ 801</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 xml:space="preserve">环境空气和废气  酰胺类化合物的测定 </w:t>
            </w:r>
            <w:r>
              <w:rPr>
                <w:kern w:val="0"/>
                <w:szCs w:val="21"/>
                <w:highlight w:val="none"/>
              </w:rPr>
              <w:t xml:space="preserve"> </w:t>
            </w:r>
            <w:r>
              <w:rPr>
                <w:rFonts w:hint="eastAsia"/>
                <w:kern w:val="0"/>
                <w:szCs w:val="21"/>
                <w:highlight w:val="none"/>
              </w:rPr>
              <w:t>液相色谱法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szCs w:val="21"/>
                <w:highlight w:val="none"/>
              </w:rPr>
              <w:t>H</w:t>
            </w:r>
            <w:r>
              <w:rPr>
                <w:szCs w:val="21"/>
                <w:highlight w:val="none"/>
              </w:rPr>
              <w:t>J 836</w:t>
            </w:r>
          </w:p>
        </w:tc>
        <w:tc>
          <w:tcPr>
            <w:tcW w:w="4064" w:type="pct"/>
            <w:shd w:val="clear" w:color="auto" w:fill="auto"/>
            <w:vAlign w:val="center"/>
          </w:tcPr>
          <w:p>
            <w:pPr>
              <w:autoSpaceDE w:val="0"/>
              <w:autoSpaceDN w:val="0"/>
              <w:adjustRightInd w:val="0"/>
              <w:jc w:val="left"/>
              <w:rPr>
                <w:kern w:val="0"/>
                <w:szCs w:val="21"/>
                <w:highlight w:val="none"/>
              </w:rPr>
            </w:pPr>
            <w:r>
              <w:rPr>
                <w:rFonts w:hint="eastAsia"/>
                <w:szCs w:val="21"/>
                <w:highlight w:val="none"/>
              </w:rPr>
              <w:t>固定污染源废气  低浓度颗粒物的测定  重量法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w:t>
            </w:r>
            <w:r>
              <w:rPr>
                <w:kern w:val="0"/>
                <w:szCs w:val="21"/>
                <w:highlight w:val="none"/>
              </w:rPr>
              <w:t>J 861</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 xml:space="preserve">排污许可证申请与核发技术规范 </w:t>
            </w:r>
            <w:r>
              <w:rPr>
                <w:kern w:val="0"/>
                <w:szCs w:val="21"/>
                <w:highlight w:val="none"/>
              </w:rPr>
              <w:t xml:space="preserve"> </w:t>
            </w:r>
            <w:r>
              <w:rPr>
                <w:rFonts w:hint="eastAsia"/>
                <w:kern w:val="0"/>
                <w:szCs w:val="21"/>
                <w:highlight w:val="none"/>
              </w:rPr>
              <w:t>纺织印染工业</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kern w:val="0"/>
                <w:szCs w:val="21"/>
                <w:highlight w:val="none"/>
              </w:rPr>
              <w:t>HJ 879</w:t>
            </w:r>
          </w:p>
        </w:tc>
        <w:tc>
          <w:tcPr>
            <w:tcW w:w="4064"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排污单位自行监测技术指南  纺织印染工业</w:t>
            </w:r>
          </w:p>
        </w:tc>
      </w:tr>
      <w:tr>
        <w:tblPrEx>
          <w:tblCellMar>
            <w:top w:w="0" w:type="dxa"/>
            <w:left w:w="28" w:type="dxa"/>
            <w:bottom w:w="0" w:type="dxa"/>
            <w:right w:w="28" w:type="dxa"/>
          </w:tblCellMar>
        </w:tblPrEx>
        <w:trPr>
          <w:trHeight w:val="90"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w:t>
            </w:r>
            <w:r>
              <w:rPr>
                <w:kern w:val="0"/>
                <w:szCs w:val="21"/>
                <w:highlight w:val="none"/>
              </w:rPr>
              <w:t>J 905</w:t>
            </w:r>
          </w:p>
        </w:tc>
        <w:tc>
          <w:tcPr>
            <w:tcW w:w="4064" w:type="pct"/>
            <w:shd w:val="clear" w:color="auto" w:fill="auto"/>
            <w:vAlign w:val="center"/>
          </w:tcPr>
          <w:p>
            <w:pPr>
              <w:autoSpaceDE w:val="0"/>
              <w:autoSpaceDN w:val="0"/>
              <w:adjustRightInd w:val="0"/>
              <w:jc w:val="left"/>
              <w:rPr>
                <w:kern w:val="0"/>
                <w:szCs w:val="21"/>
                <w:highlight w:val="none"/>
              </w:rPr>
            </w:pPr>
            <w:r>
              <w:rPr>
                <w:szCs w:val="21"/>
                <w:highlight w:val="none"/>
              </w:rPr>
              <w:t>恶臭污染环境监测技术规范</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kern w:val="0"/>
                <w:szCs w:val="21"/>
                <w:highlight w:val="none"/>
              </w:rPr>
              <w:t>HJ 944</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排污单位环境管理台账及排污许可证执行报告技术规范</w:t>
            </w:r>
            <w:r>
              <w:rPr>
                <w:szCs w:val="21"/>
                <w:highlight w:val="none"/>
              </w:rPr>
              <w:t xml:space="preserve">  </w:t>
            </w:r>
            <w:r>
              <w:rPr>
                <w:rFonts w:hint="eastAsia"/>
                <w:szCs w:val="21"/>
                <w:highlight w:val="none"/>
              </w:rPr>
              <w:t>总则（试行）</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w:t>
            </w:r>
            <w:r>
              <w:rPr>
                <w:kern w:val="0"/>
                <w:szCs w:val="21"/>
                <w:highlight w:val="none"/>
              </w:rPr>
              <w:t>J 1077</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 xml:space="preserve">固定污染源废气 </w:t>
            </w:r>
            <w:r>
              <w:rPr>
                <w:szCs w:val="21"/>
                <w:highlight w:val="none"/>
              </w:rPr>
              <w:t xml:space="preserve"> </w:t>
            </w:r>
            <w:r>
              <w:rPr>
                <w:rFonts w:hint="eastAsia"/>
                <w:szCs w:val="21"/>
                <w:highlight w:val="none"/>
              </w:rPr>
              <w:t xml:space="preserve">油烟和油雾的测定 </w:t>
            </w:r>
            <w:r>
              <w:rPr>
                <w:szCs w:val="21"/>
                <w:highlight w:val="none"/>
              </w:rPr>
              <w:t xml:space="preserve"> </w:t>
            </w:r>
            <w:r>
              <w:rPr>
                <w:rFonts w:hint="eastAsia"/>
                <w:szCs w:val="21"/>
                <w:highlight w:val="none"/>
              </w:rPr>
              <w:t>红外分光光度法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HJ 1153</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固定污染源废气  醛、酮类化合物的测定  溶液吸收-高效液相色谱法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HJ 1261</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固定污染源废气  苯系物的测定  气袋采样/直接进样-气相色谱法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HJ 1262</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环境空气和废气  臭气的测定  三点比较式臭袋法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HJ 1263</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环境空气  总悬浮颗粒物的测定  重量法</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HJ 1286</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固定污染源废气  非甲烷总烃连续监测技术规范</w:t>
            </w:r>
          </w:p>
        </w:tc>
      </w:tr>
      <w:tr>
        <w:tblPrEx>
          <w:tblCellMar>
            <w:top w:w="0" w:type="dxa"/>
            <w:left w:w="28" w:type="dxa"/>
            <w:bottom w:w="0" w:type="dxa"/>
            <w:right w:w="28" w:type="dxa"/>
          </w:tblCellMar>
        </w:tblPrEx>
        <w:trPr>
          <w:trHeight w:val="363" w:hRule="atLeast"/>
          <w:jc w:val="center"/>
        </w:trPr>
        <w:tc>
          <w:tcPr>
            <w:tcW w:w="936" w:type="pct"/>
            <w:shd w:val="clear" w:color="auto" w:fill="auto"/>
            <w:vAlign w:val="center"/>
          </w:tcPr>
          <w:p>
            <w:pPr>
              <w:autoSpaceDE w:val="0"/>
              <w:autoSpaceDN w:val="0"/>
              <w:adjustRightInd w:val="0"/>
              <w:jc w:val="left"/>
              <w:rPr>
                <w:kern w:val="0"/>
                <w:szCs w:val="21"/>
                <w:highlight w:val="none"/>
              </w:rPr>
            </w:pPr>
            <w:r>
              <w:rPr>
                <w:rFonts w:hint="eastAsia"/>
                <w:kern w:val="0"/>
                <w:szCs w:val="21"/>
                <w:highlight w:val="none"/>
              </w:rPr>
              <w:t>D</w:t>
            </w:r>
            <w:r>
              <w:rPr>
                <w:kern w:val="0"/>
                <w:szCs w:val="21"/>
                <w:highlight w:val="none"/>
              </w:rPr>
              <w:t xml:space="preserve">B32/ </w:t>
            </w:r>
            <w:r>
              <w:rPr>
                <w:rFonts w:hint="eastAsia"/>
                <w:kern w:val="0"/>
                <w:szCs w:val="21"/>
                <w:highlight w:val="none"/>
              </w:rPr>
              <w:t>3728</w:t>
            </w:r>
          </w:p>
        </w:tc>
        <w:tc>
          <w:tcPr>
            <w:tcW w:w="4064" w:type="pct"/>
            <w:shd w:val="clear" w:color="auto" w:fill="auto"/>
            <w:vAlign w:val="center"/>
          </w:tcPr>
          <w:p>
            <w:pPr>
              <w:autoSpaceDE w:val="0"/>
              <w:autoSpaceDN w:val="0"/>
              <w:adjustRightInd w:val="0"/>
              <w:jc w:val="left"/>
              <w:rPr>
                <w:szCs w:val="21"/>
                <w:highlight w:val="none"/>
              </w:rPr>
            </w:pPr>
            <w:r>
              <w:rPr>
                <w:rFonts w:hint="eastAsia"/>
                <w:szCs w:val="21"/>
                <w:highlight w:val="none"/>
              </w:rPr>
              <w:t>工业炉窑大气污染物排放标准</w:t>
            </w:r>
          </w:p>
        </w:tc>
      </w:tr>
    </w:tbl>
    <w:p>
      <w:pPr>
        <w:pStyle w:val="2"/>
        <w:rPr>
          <w:highlight w:val="none"/>
        </w:rPr>
      </w:pPr>
      <w:bookmarkStart w:id="17" w:name="_Toc88643842"/>
      <w:bookmarkStart w:id="18" w:name="_Toc413053576"/>
      <w:r>
        <w:rPr>
          <w:rFonts w:hint="eastAsia"/>
          <w:highlight w:val="none"/>
        </w:rPr>
        <w:t>术语和定义</w:t>
      </w:r>
      <w:bookmarkEnd w:id="17"/>
      <w:bookmarkEnd w:id="18"/>
    </w:p>
    <w:p>
      <w:pPr>
        <w:spacing w:line="360" w:lineRule="exact"/>
        <w:ind w:firstLine="420" w:firstLineChars="200"/>
        <w:rPr>
          <w:szCs w:val="21"/>
          <w:highlight w:val="none"/>
        </w:rPr>
      </w:pPr>
      <w:r>
        <w:rPr>
          <w:rFonts w:hint="eastAsia"/>
          <w:szCs w:val="21"/>
          <w:highlight w:val="none"/>
        </w:rPr>
        <w:t>下列术语和定义适用于本文件。</w:t>
      </w:r>
    </w:p>
    <w:p>
      <w:pPr>
        <w:pStyle w:val="3"/>
        <w:rPr>
          <w:highlight w:val="none"/>
        </w:rPr>
      </w:pPr>
      <w:r>
        <w:rPr>
          <w:highlight w:val="none"/>
        </w:rPr>
        <w:br w:type="textWrapping"/>
      </w:r>
      <w:r>
        <w:rPr>
          <w:rFonts w:hint="eastAsia"/>
          <w:highlight w:val="none"/>
        </w:rPr>
        <w:t xml:space="preserve"> </w:t>
      </w:r>
      <w:r>
        <w:rPr>
          <w:highlight w:val="none"/>
        </w:rPr>
        <w:t xml:space="preserve">   </w:t>
      </w:r>
      <w:r>
        <w:rPr>
          <w:rFonts w:hint="eastAsia"/>
          <w:highlight w:val="none"/>
        </w:rPr>
        <w:t>纺织染整</w:t>
      </w:r>
      <w:r>
        <w:rPr>
          <w:highlight w:val="none"/>
        </w:rPr>
        <w:t xml:space="preserve">  textile dyeing and finishing</w:t>
      </w:r>
    </w:p>
    <w:p>
      <w:pPr>
        <w:spacing w:line="360" w:lineRule="exact"/>
        <w:ind w:firstLine="420" w:firstLineChars="200"/>
        <w:rPr>
          <w:rFonts w:hint="eastAsia"/>
          <w:szCs w:val="21"/>
          <w:highlight w:val="none"/>
        </w:rPr>
      </w:pPr>
      <w:r>
        <w:rPr>
          <w:rFonts w:hint="eastAsia"/>
          <w:szCs w:val="21"/>
          <w:highlight w:val="none"/>
        </w:rPr>
        <w:t>对纺织材料（纤维、纱、线和织物）进行以染色、印花、整理为主的处理工艺过程，包括前处理（不含洗毛、麻脱胶、缫丝、绢纺、纺纱、织造、非织造布制造和化纤等纺织用原料的生产工艺）、染色、印花和整理。</w:t>
      </w:r>
    </w:p>
    <w:p>
      <w:pPr>
        <w:pStyle w:val="3"/>
        <w:rPr>
          <w:highlight w:val="none"/>
        </w:rPr>
      </w:pPr>
      <w:bookmarkStart w:id="19" w:name="_Toc413076743"/>
      <w:bookmarkStart w:id="20" w:name="_Toc59692049"/>
      <w:r>
        <w:rPr>
          <w:highlight w:val="none"/>
        </w:rPr>
        <w:br w:type="textWrapping"/>
      </w:r>
      <w:r>
        <w:rPr>
          <w:rFonts w:hint="eastAsia"/>
          <w:highlight w:val="none"/>
        </w:rPr>
        <w:t xml:space="preserve"> </w:t>
      </w:r>
      <w:r>
        <w:rPr>
          <w:highlight w:val="none"/>
        </w:rPr>
        <w:t xml:space="preserve">   </w:t>
      </w:r>
      <w:r>
        <w:rPr>
          <w:rFonts w:hint="eastAsia"/>
          <w:highlight w:val="none"/>
        </w:rPr>
        <w:t>现有企业</w:t>
      </w:r>
      <w:r>
        <w:rPr>
          <w:highlight w:val="none"/>
        </w:rPr>
        <w:t xml:space="preserve">  existing facility</w:t>
      </w:r>
      <w:bookmarkEnd w:id="19"/>
      <w:bookmarkEnd w:id="20"/>
    </w:p>
    <w:p>
      <w:pPr>
        <w:spacing w:line="360" w:lineRule="exact"/>
        <w:ind w:firstLine="420" w:firstLineChars="200"/>
        <w:rPr>
          <w:szCs w:val="21"/>
          <w:highlight w:val="none"/>
        </w:rPr>
      </w:pPr>
      <w:r>
        <w:rPr>
          <w:rFonts w:hint="eastAsia"/>
          <w:szCs w:val="21"/>
          <w:highlight w:val="none"/>
        </w:rPr>
        <w:t>本文件实施之日前，已建成投产或环境影响评价文件已通过审批或备案的纺织染整企业或生产设施。</w:t>
      </w:r>
    </w:p>
    <w:p>
      <w:pPr>
        <w:pStyle w:val="3"/>
        <w:rPr>
          <w:highlight w:val="none"/>
        </w:rPr>
      </w:pPr>
      <w:bookmarkStart w:id="21" w:name="_Toc413076744"/>
      <w:bookmarkStart w:id="22" w:name="_Toc59692050"/>
      <w:r>
        <w:rPr>
          <w:highlight w:val="none"/>
        </w:rPr>
        <w:br w:type="textWrapping"/>
      </w:r>
      <w:r>
        <w:rPr>
          <w:rFonts w:hint="eastAsia"/>
          <w:highlight w:val="none"/>
        </w:rPr>
        <w:t xml:space="preserve"> </w:t>
      </w:r>
      <w:r>
        <w:rPr>
          <w:highlight w:val="none"/>
        </w:rPr>
        <w:t xml:space="preserve">   </w:t>
      </w:r>
      <w:r>
        <w:rPr>
          <w:rFonts w:hint="eastAsia"/>
          <w:highlight w:val="none"/>
        </w:rPr>
        <w:t xml:space="preserve">新建企业 </w:t>
      </w:r>
      <w:r>
        <w:rPr>
          <w:highlight w:val="none"/>
        </w:rPr>
        <w:t xml:space="preserve"> new facility</w:t>
      </w:r>
      <w:bookmarkEnd w:id="21"/>
      <w:bookmarkEnd w:id="22"/>
    </w:p>
    <w:p>
      <w:pPr>
        <w:spacing w:line="360" w:lineRule="exact"/>
        <w:ind w:firstLine="420" w:firstLineChars="200"/>
        <w:rPr>
          <w:szCs w:val="21"/>
          <w:highlight w:val="none"/>
        </w:rPr>
      </w:pPr>
      <w:r>
        <w:rPr>
          <w:rFonts w:hint="eastAsia"/>
          <w:szCs w:val="21"/>
          <w:highlight w:val="none"/>
        </w:rPr>
        <w:t>本文件实施之日起，环境影响评价文件通过审批或备案的新建、改建和扩建的纺织染整工业建设项目。</w:t>
      </w:r>
    </w:p>
    <w:p>
      <w:pPr>
        <w:pStyle w:val="3"/>
        <w:rPr>
          <w:highlight w:val="none"/>
        </w:rPr>
      </w:pPr>
      <w:bookmarkStart w:id="23" w:name="_Toc59692051"/>
      <w:bookmarkStart w:id="24" w:name="_Toc413076745"/>
      <w:r>
        <w:rPr>
          <w:szCs w:val="21"/>
          <w:highlight w:val="none"/>
        </w:rPr>
        <w:br w:type="textWrapping"/>
      </w:r>
      <w:r>
        <w:rPr>
          <w:szCs w:val="21"/>
          <w:highlight w:val="none"/>
        </w:rPr>
        <w:t xml:space="preserve">    </w:t>
      </w:r>
      <w:r>
        <w:rPr>
          <w:rFonts w:hint="eastAsia"/>
          <w:szCs w:val="21"/>
          <w:highlight w:val="none"/>
        </w:rPr>
        <w:t>标准状态</w:t>
      </w:r>
      <w:r>
        <w:rPr>
          <w:highlight w:val="none"/>
        </w:rPr>
        <w:t xml:space="preserve">  </w:t>
      </w:r>
      <w:bookmarkEnd w:id="23"/>
      <w:bookmarkEnd w:id="24"/>
      <w:r>
        <w:rPr>
          <w:highlight w:val="none"/>
        </w:rPr>
        <w:t>standard state</w:t>
      </w:r>
    </w:p>
    <w:p>
      <w:pPr>
        <w:spacing w:line="360" w:lineRule="exact"/>
        <w:ind w:firstLine="420" w:firstLineChars="200"/>
        <w:rPr>
          <w:szCs w:val="21"/>
          <w:highlight w:val="none"/>
        </w:rPr>
      </w:pPr>
      <w:r>
        <w:rPr>
          <w:rFonts w:hint="eastAsia"/>
          <w:szCs w:val="21"/>
          <w:highlight w:val="none"/>
        </w:rPr>
        <w:t>温度</w:t>
      </w:r>
      <w:r>
        <w:rPr>
          <w:szCs w:val="21"/>
          <w:highlight w:val="none"/>
        </w:rPr>
        <w:t>273.15 K</w:t>
      </w:r>
      <w:r>
        <w:rPr>
          <w:rFonts w:hint="eastAsia"/>
          <w:szCs w:val="21"/>
          <w:highlight w:val="none"/>
        </w:rPr>
        <w:t>、压力</w:t>
      </w:r>
      <w:r>
        <w:rPr>
          <w:szCs w:val="21"/>
          <w:highlight w:val="none"/>
        </w:rPr>
        <w:t>101.325 kPa</w:t>
      </w:r>
      <w:r>
        <w:rPr>
          <w:rFonts w:hint="eastAsia"/>
          <w:szCs w:val="21"/>
          <w:highlight w:val="none"/>
        </w:rPr>
        <w:t>时的状态。本文件规定的大气污染物排放浓度限值均以标准状态下的干气体为基准。</w:t>
      </w:r>
    </w:p>
    <w:p>
      <w:pPr>
        <w:spacing w:line="360" w:lineRule="exact"/>
        <w:ind w:firstLine="420" w:firstLineChars="200"/>
        <w:rPr>
          <w:szCs w:val="21"/>
          <w:highlight w:val="none"/>
        </w:rPr>
      </w:pPr>
      <w:r>
        <w:rPr>
          <w:rFonts w:hint="eastAsia"/>
          <w:szCs w:val="21"/>
          <w:highlight w:val="none"/>
        </w:rPr>
        <w:t>[来源：G</w:t>
      </w:r>
      <w:r>
        <w:rPr>
          <w:szCs w:val="21"/>
          <w:highlight w:val="none"/>
        </w:rPr>
        <w:t>B 16297—1996</w:t>
      </w:r>
      <w:r>
        <w:rPr>
          <w:rFonts w:hint="eastAsia"/>
          <w:szCs w:val="21"/>
          <w:highlight w:val="none"/>
        </w:rPr>
        <w:t>，</w:t>
      </w:r>
      <w:r>
        <w:rPr>
          <w:szCs w:val="21"/>
          <w:highlight w:val="none"/>
        </w:rPr>
        <w:t>3.1</w:t>
      </w:r>
      <w:r>
        <w:rPr>
          <w:rFonts w:hint="eastAsia"/>
          <w:szCs w:val="21"/>
          <w:highlight w:val="none"/>
        </w:rPr>
        <w:t>]</w:t>
      </w:r>
    </w:p>
    <w:p>
      <w:pPr>
        <w:pStyle w:val="3"/>
        <w:rPr>
          <w:highlight w:val="none"/>
        </w:rPr>
      </w:pPr>
      <w:r>
        <w:rPr>
          <w:highlight w:val="none"/>
        </w:rPr>
        <w:br w:type="textWrapping"/>
      </w:r>
      <w:r>
        <w:rPr>
          <w:rFonts w:hint="eastAsia"/>
          <w:highlight w:val="none"/>
        </w:rPr>
        <w:t xml:space="preserve"> </w:t>
      </w:r>
      <w:r>
        <w:rPr>
          <w:highlight w:val="none"/>
        </w:rPr>
        <w:t xml:space="preserve">   </w:t>
      </w:r>
      <w:r>
        <w:rPr>
          <w:rFonts w:hint="eastAsia"/>
          <w:highlight w:val="none"/>
        </w:rPr>
        <w:t>最高允许排放浓度</w:t>
      </w:r>
      <w:r>
        <w:rPr>
          <w:highlight w:val="none"/>
        </w:rPr>
        <w:t xml:space="preserve">  maximum allowable emission concentration</w:t>
      </w:r>
    </w:p>
    <w:p>
      <w:pPr>
        <w:spacing w:line="360" w:lineRule="exact"/>
        <w:ind w:firstLine="420" w:firstLineChars="200"/>
        <w:rPr>
          <w:szCs w:val="21"/>
          <w:highlight w:val="none"/>
        </w:rPr>
      </w:pPr>
      <w:r>
        <w:rPr>
          <w:rFonts w:hint="eastAsia"/>
          <w:szCs w:val="21"/>
          <w:highlight w:val="none"/>
        </w:rPr>
        <w:t>排气筒中大气污染物任何</w:t>
      </w:r>
      <w:r>
        <w:rPr>
          <w:szCs w:val="21"/>
          <w:highlight w:val="none"/>
        </w:rPr>
        <w:t xml:space="preserve">1 h </w:t>
      </w:r>
      <w:r>
        <w:rPr>
          <w:rFonts w:hint="eastAsia"/>
          <w:szCs w:val="21"/>
          <w:highlight w:val="none"/>
        </w:rPr>
        <w:t>浓度平均值不得超过的浓度限值。</w:t>
      </w:r>
    </w:p>
    <w:p>
      <w:pPr>
        <w:spacing w:line="360" w:lineRule="exact"/>
        <w:ind w:firstLine="420" w:firstLineChars="200"/>
        <w:rPr>
          <w:szCs w:val="21"/>
          <w:highlight w:val="none"/>
        </w:rPr>
      </w:pPr>
      <w:r>
        <w:rPr>
          <w:szCs w:val="21"/>
          <w:highlight w:val="none"/>
        </w:rPr>
        <w:t>[</w:t>
      </w:r>
      <w:r>
        <w:rPr>
          <w:rFonts w:hint="eastAsia"/>
          <w:szCs w:val="21"/>
          <w:highlight w:val="none"/>
        </w:rPr>
        <w:t>来源：</w:t>
      </w:r>
      <w:r>
        <w:rPr>
          <w:szCs w:val="21"/>
          <w:highlight w:val="none"/>
        </w:rPr>
        <w:t>GB 16297—1996</w:t>
      </w:r>
      <w:r>
        <w:rPr>
          <w:rFonts w:hint="eastAsia"/>
          <w:szCs w:val="21"/>
          <w:highlight w:val="none"/>
        </w:rPr>
        <w:t>，</w:t>
      </w:r>
      <w:r>
        <w:rPr>
          <w:szCs w:val="21"/>
          <w:highlight w:val="none"/>
        </w:rPr>
        <w:t>3.2]</w:t>
      </w:r>
    </w:p>
    <w:p>
      <w:pPr>
        <w:pStyle w:val="3"/>
        <w:rPr>
          <w:highlight w:val="none"/>
        </w:rPr>
      </w:pPr>
      <w:bookmarkStart w:id="25" w:name="_Toc413076747"/>
      <w:bookmarkStart w:id="26" w:name="_Toc59692053"/>
      <w:r>
        <w:rPr>
          <w:highlight w:val="none"/>
        </w:rPr>
        <w:br w:type="textWrapping"/>
      </w:r>
      <w:r>
        <w:rPr>
          <w:rFonts w:hint="eastAsia"/>
          <w:highlight w:val="none"/>
        </w:rPr>
        <w:t xml:space="preserve"> </w:t>
      </w:r>
      <w:r>
        <w:rPr>
          <w:highlight w:val="none"/>
        </w:rPr>
        <w:t xml:space="preserve">   </w:t>
      </w:r>
      <w:r>
        <w:rPr>
          <w:rFonts w:hint="eastAsia"/>
          <w:highlight w:val="none"/>
        </w:rPr>
        <w:t xml:space="preserve">无组织排放 </w:t>
      </w:r>
      <w:r>
        <w:rPr>
          <w:highlight w:val="none"/>
        </w:rPr>
        <w:t xml:space="preserve"> fugitive emission</w:t>
      </w:r>
      <w:bookmarkEnd w:id="25"/>
      <w:bookmarkEnd w:id="26"/>
    </w:p>
    <w:p>
      <w:pPr>
        <w:spacing w:line="360" w:lineRule="exact"/>
        <w:ind w:firstLine="420" w:firstLineChars="200"/>
        <w:rPr>
          <w:szCs w:val="21"/>
          <w:highlight w:val="none"/>
        </w:rPr>
      </w:pPr>
      <w:r>
        <w:rPr>
          <w:rFonts w:hint="eastAsia"/>
          <w:szCs w:val="21"/>
          <w:highlight w:val="none"/>
        </w:rPr>
        <w:t>大气污染物不经过排气筒的无规则排放，包括开放式作业场所逸散，以及通过缝隙、通风口、敞开门窗和类似开口（孔）的排放等。</w:t>
      </w:r>
    </w:p>
    <w:p>
      <w:pPr>
        <w:spacing w:line="360" w:lineRule="exact"/>
        <w:ind w:firstLine="420" w:firstLineChars="200"/>
        <w:rPr>
          <w:szCs w:val="21"/>
          <w:highlight w:val="none"/>
        </w:rPr>
      </w:pPr>
      <w:r>
        <w:rPr>
          <w:rFonts w:hint="eastAsia"/>
          <w:szCs w:val="21"/>
          <w:highlight w:val="none"/>
        </w:rPr>
        <w:t>[来源：</w:t>
      </w:r>
      <w:r>
        <w:rPr>
          <w:szCs w:val="21"/>
          <w:highlight w:val="none"/>
        </w:rPr>
        <w:t>GB 37822—2019</w:t>
      </w:r>
      <w:r>
        <w:rPr>
          <w:rFonts w:hint="eastAsia"/>
          <w:szCs w:val="21"/>
          <w:highlight w:val="none"/>
        </w:rPr>
        <w:t>，</w:t>
      </w:r>
      <w:r>
        <w:rPr>
          <w:szCs w:val="21"/>
          <w:highlight w:val="none"/>
        </w:rPr>
        <w:t>3.4</w:t>
      </w:r>
      <w:r>
        <w:rPr>
          <w:rFonts w:hint="eastAsia"/>
          <w:szCs w:val="21"/>
          <w:highlight w:val="none"/>
        </w:rPr>
        <w:t>]</w:t>
      </w:r>
    </w:p>
    <w:p>
      <w:pPr>
        <w:pStyle w:val="3"/>
        <w:rPr>
          <w:highlight w:val="none"/>
        </w:rPr>
      </w:pPr>
      <w:r>
        <w:rPr>
          <w:highlight w:val="none"/>
        </w:rPr>
        <w:br w:type="textWrapping"/>
      </w:r>
      <w:r>
        <w:rPr>
          <w:rFonts w:hint="eastAsia"/>
          <w:highlight w:val="none"/>
        </w:rPr>
        <w:t xml:space="preserve"> </w:t>
      </w:r>
      <w:r>
        <w:rPr>
          <w:highlight w:val="none"/>
        </w:rPr>
        <w:t xml:space="preserve">   </w:t>
      </w:r>
      <w:r>
        <w:rPr>
          <w:rFonts w:hint="eastAsia"/>
          <w:highlight w:val="none"/>
        </w:rPr>
        <w:t>挥发性有机物</w:t>
      </w:r>
      <w:r>
        <w:rPr>
          <w:highlight w:val="none"/>
        </w:rPr>
        <w:t xml:space="preserve">  volatile organic compounds</w:t>
      </w:r>
      <w:r>
        <w:rPr>
          <w:rFonts w:hint="eastAsia"/>
          <w:highlight w:val="none"/>
          <w:lang w:val="en-US" w:eastAsia="zh-CN"/>
        </w:rPr>
        <w:t>（</w:t>
      </w:r>
      <w:r>
        <w:rPr>
          <w:rFonts w:hint="eastAsia"/>
          <w:highlight w:val="none"/>
        </w:rPr>
        <w:t>VOCs</w:t>
      </w:r>
      <w:r>
        <w:rPr>
          <w:rFonts w:hint="eastAsia"/>
          <w:highlight w:val="none"/>
          <w:lang w:val="en-US" w:eastAsia="zh-CN"/>
        </w:rPr>
        <w:t>）</w:t>
      </w:r>
    </w:p>
    <w:p>
      <w:pPr>
        <w:spacing w:line="360" w:lineRule="exact"/>
        <w:ind w:firstLine="420" w:firstLineChars="200"/>
        <w:rPr>
          <w:szCs w:val="21"/>
          <w:highlight w:val="none"/>
        </w:rPr>
      </w:pPr>
      <w:r>
        <w:rPr>
          <w:rFonts w:hint="eastAsia"/>
          <w:szCs w:val="21"/>
          <w:highlight w:val="none"/>
        </w:rPr>
        <w:t>参与大气光化学反应的有机化合物，或者根据有关规定确定的有机化合物。在表征</w:t>
      </w:r>
      <w:r>
        <w:rPr>
          <w:szCs w:val="21"/>
          <w:highlight w:val="none"/>
        </w:rPr>
        <w:t>VOCs</w:t>
      </w:r>
      <w:r>
        <w:rPr>
          <w:rFonts w:hint="eastAsia"/>
          <w:szCs w:val="21"/>
          <w:highlight w:val="none"/>
        </w:rPr>
        <w:t>总体排放情况时，本文件采用非甲烷总烃（以</w:t>
      </w:r>
      <w:r>
        <w:rPr>
          <w:szCs w:val="21"/>
          <w:highlight w:val="none"/>
        </w:rPr>
        <w:t>NMHC</w:t>
      </w:r>
      <w:r>
        <w:rPr>
          <w:rFonts w:hint="eastAsia"/>
          <w:szCs w:val="21"/>
          <w:highlight w:val="none"/>
        </w:rPr>
        <w:t>表示）作为污染物控制项目。</w:t>
      </w:r>
    </w:p>
    <w:p>
      <w:pPr>
        <w:spacing w:line="360" w:lineRule="exact"/>
        <w:ind w:firstLine="420" w:firstLineChars="200"/>
        <w:rPr>
          <w:szCs w:val="21"/>
          <w:highlight w:val="none"/>
        </w:rPr>
      </w:pPr>
      <w:r>
        <w:rPr>
          <w:rFonts w:hint="eastAsia"/>
          <w:szCs w:val="21"/>
          <w:highlight w:val="none"/>
        </w:rPr>
        <w:t>[来源：GB 37822</w:t>
      </w:r>
      <w:r>
        <w:rPr>
          <w:szCs w:val="21"/>
          <w:highlight w:val="none"/>
        </w:rPr>
        <w:t>—2019</w:t>
      </w:r>
      <w:r>
        <w:rPr>
          <w:rFonts w:hint="eastAsia"/>
          <w:szCs w:val="21"/>
          <w:highlight w:val="none"/>
        </w:rPr>
        <w:t>，</w:t>
      </w:r>
      <w:r>
        <w:rPr>
          <w:szCs w:val="21"/>
          <w:highlight w:val="none"/>
        </w:rPr>
        <w:t>3.</w:t>
      </w:r>
      <w:r>
        <w:rPr>
          <w:rFonts w:hint="eastAsia"/>
          <w:szCs w:val="21"/>
          <w:highlight w:val="none"/>
        </w:rPr>
        <w:t>1，有修改</w:t>
      </w:r>
      <w:r>
        <w:rPr>
          <w:szCs w:val="21"/>
          <w:highlight w:val="none"/>
        </w:rPr>
        <w:t>]</w:t>
      </w:r>
    </w:p>
    <w:p>
      <w:pPr>
        <w:pStyle w:val="2"/>
        <w:rPr>
          <w:highlight w:val="none"/>
        </w:rPr>
      </w:pPr>
      <w:bookmarkStart w:id="27" w:name="_Toc81402543"/>
      <w:bookmarkEnd w:id="27"/>
      <w:bookmarkStart w:id="28" w:name="_Toc88643843"/>
      <w:bookmarkStart w:id="29" w:name="_Toc300737003"/>
      <w:bookmarkStart w:id="30" w:name="_Toc400611876"/>
      <w:bookmarkStart w:id="31" w:name="_Toc300674094"/>
      <w:bookmarkStart w:id="32" w:name="_Toc301106431"/>
      <w:bookmarkStart w:id="33" w:name="_Toc301157878"/>
      <w:bookmarkStart w:id="34" w:name="_Toc413053581"/>
      <w:r>
        <w:rPr>
          <w:rFonts w:hint="eastAsia"/>
          <w:highlight w:val="none"/>
        </w:rPr>
        <w:t>大气污染物排放控制要求</w:t>
      </w:r>
      <w:bookmarkEnd w:id="28"/>
    </w:p>
    <w:p>
      <w:pPr>
        <w:pStyle w:val="3"/>
        <w:rPr>
          <w:highlight w:val="none"/>
        </w:rPr>
      </w:pPr>
      <w:bookmarkStart w:id="35" w:name="_Toc81402544"/>
      <w:bookmarkEnd w:id="35"/>
      <w:bookmarkStart w:id="36" w:name="_Toc81402545"/>
      <w:bookmarkEnd w:id="36"/>
      <w:r>
        <w:rPr>
          <w:rFonts w:hint="eastAsia"/>
          <w:highlight w:val="none"/>
        </w:rPr>
        <w:t>有组织排放控制要求</w:t>
      </w:r>
      <w:bookmarkEnd w:id="29"/>
      <w:bookmarkEnd w:id="30"/>
      <w:bookmarkEnd w:id="31"/>
      <w:bookmarkEnd w:id="32"/>
      <w:bookmarkEnd w:id="33"/>
      <w:bookmarkEnd w:id="34"/>
    </w:p>
    <w:p>
      <w:pPr>
        <w:pStyle w:val="4"/>
        <w:rPr>
          <w:highlight w:val="none"/>
        </w:rPr>
      </w:pPr>
      <w:r>
        <w:rPr>
          <w:rFonts w:hint="eastAsia"/>
          <w:highlight w:val="none"/>
        </w:rPr>
        <w:t>新建企业自本文件实施之日起，现有企业自</w:t>
      </w:r>
      <w:r>
        <w:rPr>
          <w:highlight w:val="none"/>
        </w:rPr>
        <w:t>20</w:t>
      </w:r>
      <w:r>
        <w:rPr>
          <w:rFonts w:hint="eastAsia"/>
          <w:highlight w:val="none"/>
        </w:rPr>
        <w:t>25年</w:t>
      </w:r>
      <w:r>
        <w:rPr>
          <w:highlight w:val="none"/>
        </w:rPr>
        <w:t>7</w:t>
      </w:r>
      <w:r>
        <w:rPr>
          <w:rFonts w:hint="eastAsia"/>
          <w:highlight w:val="none"/>
        </w:rPr>
        <w:t>月</w:t>
      </w:r>
      <w:r>
        <w:rPr>
          <w:highlight w:val="none"/>
        </w:rPr>
        <w:t>1</w:t>
      </w:r>
      <w:r>
        <w:rPr>
          <w:rFonts w:hint="eastAsia"/>
          <w:highlight w:val="none"/>
        </w:rPr>
        <w:t>日起，执行表1的规定</w:t>
      </w:r>
      <w:r>
        <w:rPr>
          <w:rFonts w:hint="eastAsia"/>
          <w:highlight w:val="none"/>
          <w:lang w:eastAsia="zh-CN"/>
        </w:rPr>
        <w:t>及本文件的其他有组织排放控制要求</w:t>
      </w:r>
      <w:r>
        <w:rPr>
          <w:rFonts w:hint="eastAsia"/>
          <w:highlight w:val="none"/>
        </w:rPr>
        <w:t>。</w:t>
      </w:r>
    </w:p>
    <w:p>
      <w:pPr>
        <w:pStyle w:val="142"/>
        <w:keepNext/>
        <w:widowControl w:val="0"/>
        <w:spacing w:before="156" w:after="156"/>
        <w:rPr>
          <w:rFonts w:ascii="Times New Roman"/>
          <w:highlight w:val="none"/>
        </w:rPr>
      </w:pPr>
      <w:r>
        <w:rPr>
          <w:rFonts w:hint="eastAsia" w:ascii="Times New Roman"/>
          <w:szCs w:val="21"/>
          <w:highlight w:val="none"/>
        </w:rPr>
        <w:t>大气污染物有组织排放浓度限值</w:t>
      </w:r>
    </w:p>
    <w:p>
      <w:pPr>
        <w:pStyle w:val="32"/>
        <w:tabs>
          <w:tab w:val="right" w:leader="dot" w:pos="9181"/>
          <w:tab w:val="clear" w:pos="9298"/>
        </w:tabs>
        <w:ind w:firstLine="360"/>
        <w:jc w:val="right"/>
        <w:rPr>
          <w:rFonts w:ascii="Times New Roman"/>
          <w:szCs w:val="21"/>
          <w:highlight w:val="none"/>
        </w:rPr>
      </w:pPr>
      <w:r>
        <w:rPr>
          <w:rFonts w:hint="eastAsia" w:ascii="Times New Roman"/>
          <w:sz w:val="18"/>
          <w:szCs w:val="18"/>
          <w:highlight w:val="none"/>
        </w:rPr>
        <w:t>单位：</w:t>
      </w:r>
      <w:r>
        <w:rPr>
          <w:rFonts w:ascii="Times New Roman"/>
          <w:szCs w:val="21"/>
          <w:highlight w:val="none"/>
        </w:rPr>
        <w:t>mg/m</w:t>
      </w:r>
      <w:r>
        <w:rPr>
          <w:rFonts w:ascii="Times New Roman"/>
          <w:szCs w:val="21"/>
          <w:highlight w:val="none"/>
          <w:vertAlign w:val="superscript"/>
        </w:rPr>
        <w:t>3</w:t>
      </w:r>
    </w:p>
    <w:tbl>
      <w:tblPr>
        <w:tblStyle w:val="42"/>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1750"/>
        <w:gridCol w:w="3541"/>
        <w:gridCol w:w="1699"/>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jc w:val="center"/>
              <w:rPr>
                <w:sz w:val="18"/>
                <w:highlight w:val="none"/>
              </w:rPr>
            </w:pPr>
            <w:r>
              <w:rPr>
                <w:rFonts w:hint="eastAsia"/>
                <w:sz w:val="18"/>
                <w:highlight w:val="none"/>
              </w:rPr>
              <w:t>序号</w:t>
            </w:r>
          </w:p>
        </w:tc>
        <w:tc>
          <w:tcPr>
            <w:tcW w:w="915" w:type="pct"/>
            <w:shd w:val="clear" w:color="auto" w:fill="auto"/>
            <w:vAlign w:val="center"/>
          </w:tcPr>
          <w:p>
            <w:pPr>
              <w:jc w:val="center"/>
              <w:rPr>
                <w:sz w:val="18"/>
                <w:highlight w:val="none"/>
              </w:rPr>
            </w:pPr>
            <w:r>
              <w:rPr>
                <w:rFonts w:hint="eastAsia"/>
                <w:sz w:val="18"/>
                <w:highlight w:val="none"/>
              </w:rPr>
              <w:t>污染物项目</w:t>
            </w:r>
          </w:p>
        </w:tc>
        <w:tc>
          <w:tcPr>
            <w:tcW w:w="1851" w:type="pct"/>
            <w:shd w:val="clear" w:color="auto" w:fill="auto"/>
            <w:vAlign w:val="center"/>
          </w:tcPr>
          <w:p>
            <w:pPr>
              <w:jc w:val="center"/>
              <w:rPr>
                <w:sz w:val="18"/>
                <w:highlight w:val="none"/>
              </w:rPr>
            </w:pPr>
            <w:r>
              <w:rPr>
                <w:sz w:val="18"/>
                <w:szCs w:val="18"/>
                <w:highlight w:val="none"/>
              </w:rPr>
              <w:t>适用工序</w:t>
            </w:r>
          </w:p>
        </w:tc>
        <w:tc>
          <w:tcPr>
            <w:tcW w:w="888" w:type="pct"/>
            <w:shd w:val="clear" w:color="auto" w:fill="auto"/>
            <w:vAlign w:val="center"/>
          </w:tcPr>
          <w:p>
            <w:pPr>
              <w:jc w:val="center"/>
              <w:rPr>
                <w:color w:val="FF0000"/>
                <w:sz w:val="18"/>
                <w:szCs w:val="18"/>
                <w:highlight w:val="none"/>
              </w:rPr>
            </w:pPr>
            <w:r>
              <w:rPr>
                <w:rFonts w:hint="eastAsia"/>
                <w:sz w:val="18"/>
                <w:szCs w:val="18"/>
                <w:highlight w:val="none"/>
              </w:rPr>
              <w:t>最高允许排放浓度</w:t>
            </w:r>
          </w:p>
        </w:tc>
        <w:tc>
          <w:tcPr>
            <w:tcW w:w="982" w:type="pct"/>
            <w:shd w:val="clear" w:color="auto" w:fill="auto"/>
            <w:vAlign w:val="center"/>
          </w:tcPr>
          <w:p>
            <w:pPr>
              <w:jc w:val="center"/>
              <w:rPr>
                <w:sz w:val="18"/>
                <w:highlight w:val="none"/>
              </w:rPr>
            </w:pPr>
            <w:r>
              <w:rPr>
                <w:rFonts w:hint="eastAsia"/>
                <w:sz w:val="18"/>
                <w:szCs w:val="18"/>
                <w:highlight w:val="none"/>
              </w:rPr>
              <w:t>污染物排放监控位置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pStyle w:val="161"/>
              <w:numPr>
                <w:ilvl w:val="0"/>
                <w:numId w:val="18"/>
              </w:numPr>
              <w:ind w:firstLineChars="0"/>
              <w:jc w:val="center"/>
              <w:rPr>
                <w:sz w:val="18"/>
                <w:szCs w:val="18"/>
                <w:highlight w:val="none"/>
              </w:rPr>
            </w:pPr>
          </w:p>
        </w:tc>
        <w:tc>
          <w:tcPr>
            <w:tcW w:w="915" w:type="pct"/>
            <w:shd w:val="clear" w:color="auto" w:fill="auto"/>
            <w:vAlign w:val="center"/>
          </w:tcPr>
          <w:p>
            <w:pPr>
              <w:jc w:val="left"/>
              <w:rPr>
                <w:sz w:val="18"/>
                <w:szCs w:val="18"/>
                <w:highlight w:val="none"/>
              </w:rPr>
            </w:pPr>
            <w:r>
              <w:rPr>
                <w:rFonts w:hint="eastAsia"/>
                <w:sz w:val="18"/>
                <w:szCs w:val="18"/>
                <w:highlight w:val="none"/>
              </w:rPr>
              <w:t>颗粒物</w:t>
            </w:r>
          </w:p>
        </w:tc>
        <w:tc>
          <w:tcPr>
            <w:tcW w:w="1851" w:type="pct"/>
            <w:shd w:val="clear" w:color="auto" w:fill="auto"/>
            <w:vAlign w:val="center"/>
          </w:tcPr>
          <w:p>
            <w:pPr>
              <w:jc w:val="left"/>
              <w:rPr>
                <w:sz w:val="18"/>
                <w:highlight w:val="none"/>
              </w:rPr>
            </w:pPr>
            <w:r>
              <w:rPr>
                <w:rFonts w:hint="eastAsia"/>
                <w:sz w:val="18"/>
                <w:szCs w:val="18"/>
                <w:highlight w:val="none"/>
              </w:rPr>
              <w:t>烧毛、定形、印花</w:t>
            </w:r>
            <w:r>
              <w:rPr>
                <w:sz w:val="18"/>
                <w:szCs w:val="18"/>
                <w:highlight w:val="none"/>
                <w:vertAlign w:val="superscript"/>
              </w:rPr>
              <w:t>a</w:t>
            </w:r>
            <w:r>
              <w:rPr>
                <w:rFonts w:hint="eastAsia"/>
                <w:sz w:val="18"/>
                <w:szCs w:val="18"/>
                <w:highlight w:val="none"/>
              </w:rPr>
              <w:t>、涂层</w:t>
            </w:r>
            <w:r>
              <w:rPr>
                <w:rFonts w:hint="eastAsia"/>
                <w:sz w:val="18"/>
                <w:highlight w:val="none"/>
              </w:rPr>
              <w:t>、复合、压延、压烫、植绒</w:t>
            </w:r>
          </w:p>
        </w:tc>
        <w:tc>
          <w:tcPr>
            <w:tcW w:w="888" w:type="pct"/>
            <w:shd w:val="clear" w:color="auto" w:fill="auto"/>
            <w:vAlign w:val="center"/>
          </w:tcPr>
          <w:p>
            <w:pPr>
              <w:jc w:val="center"/>
              <w:rPr>
                <w:color w:val="FF0000"/>
                <w:sz w:val="18"/>
                <w:szCs w:val="18"/>
                <w:highlight w:val="none"/>
              </w:rPr>
            </w:pPr>
            <w:r>
              <w:rPr>
                <w:sz w:val="18"/>
                <w:szCs w:val="18"/>
                <w:highlight w:val="none"/>
              </w:rPr>
              <w:t>15</w:t>
            </w:r>
          </w:p>
        </w:tc>
        <w:tc>
          <w:tcPr>
            <w:tcW w:w="982" w:type="pct"/>
            <w:vMerge w:val="restart"/>
            <w:shd w:val="clear" w:color="auto" w:fill="auto"/>
            <w:vAlign w:val="center"/>
          </w:tcPr>
          <w:p>
            <w:pPr>
              <w:jc w:val="center"/>
              <w:rPr>
                <w:sz w:val="18"/>
                <w:highlight w:val="none"/>
              </w:rPr>
            </w:pPr>
            <w:r>
              <w:rPr>
                <w:rFonts w:hint="eastAsia"/>
                <w:sz w:val="18"/>
                <w:szCs w:val="18"/>
                <w:highlight w:val="none"/>
              </w:rPr>
              <w:t>车间或生产设施</w:t>
            </w:r>
            <w:r>
              <w:rPr>
                <w:rFonts w:hint="eastAsia"/>
                <w:sz w:val="18"/>
                <w:szCs w:val="18"/>
                <w:highlight w:val="none"/>
              </w:rPr>
              <w:br w:type="textWrapping"/>
            </w:r>
            <w:r>
              <w:rPr>
                <w:rFonts w:hint="eastAsia"/>
                <w:sz w:val="18"/>
                <w:szCs w:val="18"/>
                <w:highlight w:val="none"/>
              </w:rPr>
              <w:t>排气筒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pStyle w:val="161"/>
              <w:numPr>
                <w:ilvl w:val="0"/>
                <w:numId w:val="18"/>
              </w:numPr>
              <w:ind w:firstLineChars="0"/>
              <w:jc w:val="center"/>
              <w:rPr>
                <w:sz w:val="18"/>
                <w:szCs w:val="18"/>
                <w:highlight w:val="none"/>
              </w:rPr>
            </w:pPr>
          </w:p>
        </w:tc>
        <w:tc>
          <w:tcPr>
            <w:tcW w:w="915" w:type="pct"/>
            <w:shd w:val="clear" w:color="auto" w:fill="auto"/>
            <w:vAlign w:val="center"/>
          </w:tcPr>
          <w:p>
            <w:pPr>
              <w:jc w:val="left"/>
              <w:rPr>
                <w:sz w:val="18"/>
                <w:szCs w:val="18"/>
                <w:highlight w:val="none"/>
              </w:rPr>
            </w:pPr>
            <w:r>
              <w:rPr>
                <w:rFonts w:hint="eastAsia"/>
                <w:sz w:val="18"/>
                <w:szCs w:val="18"/>
                <w:highlight w:val="none"/>
              </w:rPr>
              <w:t>油雾</w:t>
            </w:r>
            <w:r>
              <w:rPr>
                <w:rFonts w:hint="eastAsia"/>
                <w:sz w:val="18"/>
                <w:szCs w:val="18"/>
                <w:highlight w:val="none"/>
                <w:vertAlign w:val="superscript"/>
              </w:rPr>
              <w:t>b</w:t>
            </w:r>
          </w:p>
        </w:tc>
        <w:tc>
          <w:tcPr>
            <w:tcW w:w="1851" w:type="pct"/>
            <w:shd w:val="clear" w:color="auto" w:fill="auto"/>
            <w:vAlign w:val="center"/>
          </w:tcPr>
          <w:p>
            <w:pPr>
              <w:jc w:val="left"/>
              <w:rPr>
                <w:sz w:val="18"/>
                <w:highlight w:val="none"/>
              </w:rPr>
            </w:pPr>
            <w:r>
              <w:rPr>
                <w:rFonts w:hint="eastAsia"/>
                <w:sz w:val="18"/>
                <w:highlight w:val="none"/>
              </w:rPr>
              <w:t>定形、烫光、印花</w:t>
            </w:r>
            <w:r>
              <w:rPr>
                <w:rFonts w:hint="eastAsia"/>
                <w:sz w:val="18"/>
                <w:szCs w:val="18"/>
                <w:highlight w:val="none"/>
                <w:vertAlign w:val="superscript"/>
              </w:rPr>
              <w:t>a</w:t>
            </w:r>
          </w:p>
        </w:tc>
        <w:tc>
          <w:tcPr>
            <w:tcW w:w="888" w:type="pct"/>
            <w:shd w:val="clear" w:color="auto" w:fill="auto"/>
            <w:vAlign w:val="center"/>
          </w:tcPr>
          <w:p>
            <w:pPr>
              <w:jc w:val="center"/>
              <w:rPr>
                <w:color w:val="FF0000"/>
                <w:sz w:val="18"/>
                <w:highlight w:val="none"/>
              </w:rPr>
            </w:pPr>
            <w:r>
              <w:rPr>
                <w:sz w:val="18"/>
                <w:szCs w:val="18"/>
                <w:highlight w:val="none"/>
              </w:rPr>
              <w:t>10</w:t>
            </w:r>
          </w:p>
        </w:tc>
        <w:tc>
          <w:tcPr>
            <w:tcW w:w="982" w:type="pct"/>
            <w:vMerge w:val="continue"/>
            <w:shd w:val="clear" w:color="auto" w:fill="auto"/>
            <w:vAlign w:val="center"/>
          </w:tcPr>
          <w:p>
            <w:pPr>
              <w:jc w:val="center"/>
              <w:rPr>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pStyle w:val="161"/>
              <w:numPr>
                <w:ilvl w:val="0"/>
                <w:numId w:val="18"/>
              </w:numPr>
              <w:ind w:firstLineChars="0"/>
              <w:jc w:val="center"/>
              <w:rPr>
                <w:sz w:val="18"/>
                <w:szCs w:val="18"/>
                <w:highlight w:val="none"/>
              </w:rPr>
            </w:pPr>
          </w:p>
        </w:tc>
        <w:tc>
          <w:tcPr>
            <w:tcW w:w="915" w:type="pct"/>
            <w:shd w:val="clear" w:color="auto" w:fill="auto"/>
            <w:vAlign w:val="center"/>
          </w:tcPr>
          <w:p>
            <w:pPr>
              <w:jc w:val="left"/>
              <w:rPr>
                <w:sz w:val="18"/>
                <w:szCs w:val="18"/>
                <w:highlight w:val="none"/>
              </w:rPr>
            </w:pPr>
            <w:r>
              <w:rPr>
                <w:rFonts w:hint="eastAsia"/>
                <w:sz w:val="18"/>
                <w:szCs w:val="18"/>
                <w:highlight w:val="none"/>
              </w:rPr>
              <w:t>非甲烷总烃</w:t>
            </w:r>
          </w:p>
        </w:tc>
        <w:tc>
          <w:tcPr>
            <w:tcW w:w="1851" w:type="pct"/>
            <w:vMerge w:val="restart"/>
            <w:shd w:val="clear" w:color="auto" w:fill="auto"/>
            <w:vAlign w:val="center"/>
          </w:tcPr>
          <w:p>
            <w:pPr>
              <w:jc w:val="left"/>
              <w:rPr>
                <w:sz w:val="18"/>
                <w:highlight w:val="none"/>
              </w:rPr>
            </w:pPr>
            <w:r>
              <w:rPr>
                <w:rFonts w:hint="eastAsia"/>
                <w:sz w:val="18"/>
                <w:highlight w:val="none"/>
              </w:rPr>
              <w:t>定形、印花</w:t>
            </w:r>
            <w:r>
              <w:rPr>
                <w:rFonts w:hint="eastAsia"/>
                <w:sz w:val="18"/>
                <w:szCs w:val="18"/>
                <w:highlight w:val="none"/>
                <w:vertAlign w:val="superscript"/>
              </w:rPr>
              <w:t>a</w:t>
            </w:r>
            <w:r>
              <w:rPr>
                <w:rFonts w:hint="eastAsia"/>
                <w:sz w:val="18"/>
                <w:highlight w:val="none"/>
              </w:rPr>
              <w:t>、涂层、复合、压延、压烫、植绒</w:t>
            </w:r>
          </w:p>
        </w:tc>
        <w:tc>
          <w:tcPr>
            <w:tcW w:w="888" w:type="pct"/>
            <w:shd w:val="clear" w:color="auto" w:fill="auto"/>
            <w:vAlign w:val="center"/>
          </w:tcPr>
          <w:p>
            <w:pPr>
              <w:jc w:val="center"/>
              <w:rPr>
                <w:color w:val="FF0000"/>
                <w:sz w:val="18"/>
                <w:highlight w:val="none"/>
              </w:rPr>
            </w:pPr>
            <w:r>
              <w:rPr>
                <w:sz w:val="18"/>
                <w:szCs w:val="18"/>
                <w:highlight w:val="none"/>
              </w:rPr>
              <w:t>20</w:t>
            </w:r>
          </w:p>
        </w:tc>
        <w:tc>
          <w:tcPr>
            <w:tcW w:w="982" w:type="pct"/>
            <w:vMerge w:val="continue"/>
            <w:shd w:val="clear" w:color="auto" w:fill="auto"/>
            <w:vAlign w:val="center"/>
          </w:tcPr>
          <w:p>
            <w:pPr>
              <w:jc w:val="center"/>
              <w:rPr>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pStyle w:val="161"/>
              <w:numPr>
                <w:ilvl w:val="0"/>
                <w:numId w:val="18"/>
              </w:numPr>
              <w:ind w:firstLineChars="0"/>
              <w:jc w:val="center"/>
              <w:rPr>
                <w:sz w:val="18"/>
                <w:szCs w:val="18"/>
                <w:highlight w:val="none"/>
              </w:rPr>
            </w:pPr>
          </w:p>
        </w:tc>
        <w:tc>
          <w:tcPr>
            <w:tcW w:w="915" w:type="pct"/>
            <w:shd w:val="clear" w:color="auto" w:fill="auto"/>
            <w:vAlign w:val="center"/>
          </w:tcPr>
          <w:p>
            <w:pPr>
              <w:jc w:val="left"/>
              <w:rPr>
                <w:sz w:val="18"/>
                <w:szCs w:val="18"/>
                <w:highlight w:val="none"/>
              </w:rPr>
            </w:pPr>
            <w:r>
              <w:rPr>
                <w:rFonts w:hint="eastAsia"/>
                <w:sz w:val="18"/>
                <w:szCs w:val="18"/>
                <w:highlight w:val="none"/>
              </w:rPr>
              <w:t>苯</w:t>
            </w:r>
          </w:p>
        </w:tc>
        <w:tc>
          <w:tcPr>
            <w:tcW w:w="1851" w:type="pct"/>
            <w:vMerge w:val="continue"/>
            <w:shd w:val="clear" w:color="auto" w:fill="auto"/>
            <w:vAlign w:val="center"/>
          </w:tcPr>
          <w:p>
            <w:pPr>
              <w:jc w:val="left"/>
              <w:rPr>
                <w:sz w:val="18"/>
                <w:highlight w:val="none"/>
              </w:rPr>
            </w:pPr>
          </w:p>
        </w:tc>
        <w:tc>
          <w:tcPr>
            <w:tcW w:w="888" w:type="pct"/>
            <w:shd w:val="clear" w:color="auto" w:fill="auto"/>
            <w:vAlign w:val="center"/>
          </w:tcPr>
          <w:p>
            <w:pPr>
              <w:jc w:val="center"/>
              <w:rPr>
                <w:color w:val="FF0000"/>
                <w:sz w:val="18"/>
                <w:highlight w:val="none"/>
              </w:rPr>
            </w:pPr>
            <w:r>
              <w:rPr>
                <w:sz w:val="18"/>
                <w:szCs w:val="18"/>
                <w:highlight w:val="none"/>
              </w:rPr>
              <w:t>1</w:t>
            </w:r>
            <w:r>
              <w:rPr>
                <w:rFonts w:hint="eastAsia"/>
                <w:sz w:val="18"/>
                <w:szCs w:val="18"/>
                <w:highlight w:val="none"/>
              </w:rPr>
              <w:t>.0</w:t>
            </w:r>
          </w:p>
        </w:tc>
        <w:tc>
          <w:tcPr>
            <w:tcW w:w="982" w:type="pct"/>
            <w:vMerge w:val="continue"/>
            <w:shd w:val="clear" w:color="auto" w:fill="auto"/>
            <w:vAlign w:val="center"/>
          </w:tcPr>
          <w:p>
            <w:pPr>
              <w:jc w:val="center"/>
              <w:rPr>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pStyle w:val="161"/>
              <w:numPr>
                <w:ilvl w:val="0"/>
                <w:numId w:val="18"/>
              </w:numPr>
              <w:ind w:firstLineChars="0"/>
              <w:jc w:val="center"/>
              <w:rPr>
                <w:sz w:val="18"/>
                <w:szCs w:val="18"/>
                <w:highlight w:val="none"/>
              </w:rPr>
            </w:pPr>
          </w:p>
        </w:tc>
        <w:tc>
          <w:tcPr>
            <w:tcW w:w="915" w:type="pct"/>
            <w:shd w:val="clear" w:color="auto" w:fill="auto"/>
            <w:vAlign w:val="center"/>
          </w:tcPr>
          <w:p>
            <w:pPr>
              <w:jc w:val="left"/>
              <w:rPr>
                <w:sz w:val="18"/>
                <w:szCs w:val="18"/>
                <w:highlight w:val="none"/>
              </w:rPr>
            </w:pPr>
            <w:r>
              <w:rPr>
                <w:rFonts w:hint="eastAsia"/>
                <w:sz w:val="18"/>
                <w:szCs w:val="18"/>
                <w:highlight w:val="none"/>
              </w:rPr>
              <w:t>苯系物</w:t>
            </w:r>
            <w:r>
              <w:rPr>
                <w:rFonts w:hint="eastAsia"/>
                <w:sz w:val="18"/>
                <w:szCs w:val="18"/>
                <w:highlight w:val="none"/>
                <w:vertAlign w:val="superscript"/>
              </w:rPr>
              <w:t>c</w:t>
            </w:r>
          </w:p>
        </w:tc>
        <w:tc>
          <w:tcPr>
            <w:tcW w:w="1851" w:type="pct"/>
            <w:vMerge w:val="continue"/>
            <w:shd w:val="clear" w:color="auto" w:fill="auto"/>
            <w:vAlign w:val="center"/>
          </w:tcPr>
          <w:p>
            <w:pPr>
              <w:jc w:val="left"/>
              <w:rPr>
                <w:sz w:val="18"/>
                <w:highlight w:val="none"/>
              </w:rPr>
            </w:pPr>
          </w:p>
        </w:tc>
        <w:tc>
          <w:tcPr>
            <w:tcW w:w="888" w:type="pct"/>
            <w:shd w:val="clear" w:color="auto" w:fill="auto"/>
            <w:vAlign w:val="center"/>
          </w:tcPr>
          <w:p>
            <w:pPr>
              <w:jc w:val="center"/>
              <w:rPr>
                <w:color w:val="FF0000"/>
                <w:sz w:val="18"/>
                <w:highlight w:val="none"/>
              </w:rPr>
            </w:pPr>
            <w:r>
              <w:rPr>
                <w:rFonts w:hint="eastAsia"/>
                <w:sz w:val="18"/>
                <w:szCs w:val="18"/>
                <w:highlight w:val="none"/>
              </w:rPr>
              <w:t>5</w:t>
            </w:r>
            <w:r>
              <w:rPr>
                <w:sz w:val="18"/>
                <w:szCs w:val="18"/>
                <w:highlight w:val="none"/>
              </w:rPr>
              <w:t>.0</w:t>
            </w:r>
            <w:r>
              <w:rPr>
                <w:rFonts w:hint="eastAsia"/>
                <w:sz w:val="18"/>
                <w:szCs w:val="18"/>
                <w:highlight w:val="none"/>
              </w:rPr>
              <w:t>（20）</w:t>
            </w:r>
            <w:r>
              <w:rPr>
                <w:rFonts w:hint="eastAsia"/>
                <w:sz w:val="18"/>
                <w:szCs w:val="18"/>
                <w:highlight w:val="none"/>
                <w:vertAlign w:val="superscript"/>
              </w:rPr>
              <w:t>d</w:t>
            </w:r>
          </w:p>
        </w:tc>
        <w:tc>
          <w:tcPr>
            <w:tcW w:w="982" w:type="pct"/>
            <w:vMerge w:val="continue"/>
            <w:shd w:val="clear" w:color="auto" w:fill="auto"/>
            <w:vAlign w:val="center"/>
          </w:tcPr>
          <w:p>
            <w:pPr>
              <w:jc w:val="center"/>
              <w:rPr>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pStyle w:val="161"/>
              <w:numPr>
                <w:ilvl w:val="0"/>
                <w:numId w:val="18"/>
              </w:numPr>
              <w:ind w:firstLineChars="0"/>
              <w:jc w:val="center"/>
              <w:rPr>
                <w:sz w:val="18"/>
                <w:szCs w:val="18"/>
                <w:highlight w:val="none"/>
              </w:rPr>
            </w:pPr>
          </w:p>
        </w:tc>
        <w:tc>
          <w:tcPr>
            <w:tcW w:w="915" w:type="pct"/>
            <w:shd w:val="clear" w:color="auto" w:fill="auto"/>
            <w:vAlign w:val="center"/>
          </w:tcPr>
          <w:p>
            <w:pPr>
              <w:jc w:val="left"/>
              <w:rPr>
                <w:sz w:val="18"/>
                <w:szCs w:val="18"/>
                <w:highlight w:val="none"/>
              </w:rPr>
            </w:pPr>
            <w:r>
              <w:rPr>
                <w:rFonts w:hint="eastAsia"/>
                <w:sz w:val="18"/>
                <w:szCs w:val="18"/>
                <w:highlight w:val="none"/>
              </w:rPr>
              <w:t>甲醛</w:t>
            </w:r>
          </w:p>
        </w:tc>
        <w:tc>
          <w:tcPr>
            <w:tcW w:w="1851" w:type="pct"/>
            <w:vMerge w:val="continue"/>
            <w:shd w:val="clear" w:color="auto" w:fill="auto"/>
            <w:vAlign w:val="center"/>
          </w:tcPr>
          <w:p>
            <w:pPr>
              <w:jc w:val="left"/>
              <w:rPr>
                <w:sz w:val="18"/>
                <w:highlight w:val="none"/>
              </w:rPr>
            </w:pPr>
          </w:p>
        </w:tc>
        <w:tc>
          <w:tcPr>
            <w:tcW w:w="888" w:type="pct"/>
            <w:shd w:val="clear" w:color="auto" w:fill="auto"/>
            <w:vAlign w:val="center"/>
          </w:tcPr>
          <w:p>
            <w:pPr>
              <w:jc w:val="center"/>
              <w:rPr>
                <w:color w:val="FF0000"/>
                <w:sz w:val="18"/>
                <w:highlight w:val="none"/>
              </w:rPr>
            </w:pPr>
            <w:r>
              <w:rPr>
                <w:rFonts w:hint="eastAsia"/>
                <w:sz w:val="18"/>
                <w:szCs w:val="18"/>
                <w:highlight w:val="none"/>
              </w:rPr>
              <w:t>2</w:t>
            </w:r>
            <w:r>
              <w:rPr>
                <w:sz w:val="18"/>
                <w:szCs w:val="18"/>
                <w:highlight w:val="none"/>
              </w:rPr>
              <w:t>.0</w:t>
            </w:r>
          </w:p>
        </w:tc>
        <w:tc>
          <w:tcPr>
            <w:tcW w:w="982" w:type="pct"/>
            <w:vMerge w:val="continue"/>
            <w:shd w:val="clear" w:color="auto" w:fill="auto"/>
            <w:vAlign w:val="center"/>
          </w:tcPr>
          <w:p>
            <w:pPr>
              <w:jc w:val="center"/>
              <w:rPr>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shd w:val="clear" w:color="auto" w:fill="auto"/>
            <w:vAlign w:val="center"/>
          </w:tcPr>
          <w:p>
            <w:pPr>
              <w:pStyle w:val="161"/>
              <w:numPr>
                <w:ilvl w:val="0"/>
                <w:numId w:val="18"/>
              </w:numPr>
              <w:ind w:firstLineChars="0"/>
              <w:jc w:val="center"/>
              <w:rPr>
                <w:sz w:val="18"/>
                <w:szCs w:val="18"/>
                <w:highlight w:val="none"/>
              </w:rPr>
            </w:pPr>
          </w:p>
        </w:tc>
        <w:tc>
          <w:tcPr>
            <w:tcW w:w="915" w:type="pct"/>
            <w:shd w:val="clear" w:color="auto" w:fill="auto"/>
            <w:vAlign w:val="center"/>
          </w:tcPr>
          <w:p>
            <w:pPr>
              <w:jc w:val="left"/>
              <w:rPr>
                <w:sz w:val="18"/>
                <w:szCs w:val="18"/>
                <w:highlight w:val="none"/>
              </w:rPr>
            </w:pPr>
            <w:r>
              <w:rPr>
                <w:rFonts w:hint="eastAsia"/>
                <w:i/>
                <w:iCs/>
                <w:sz w:val="18"/>
                <w:szCs w:val="18"/>
                <w:highlight w:val="none"/>
              </w:rPr>
              <w:t>N</w:t>
            </w:r>
            <w:r>
              <w:rPr>
                <w:sz w:val="18"/>
                <w:szCs w:val="18"/>
                <w:highlight w:val="none"/>
              </w:rPr>
              <w:t>,</w:t>
            </w:r>
            <w:r>
              <w:rPr>
                <w:i/>
                <w:iCs/>
                <w:sz w:val="18"/>
                <w:szCs w:val="18"/>
                <w:highlight w:val="none"/>
              </w:rPr>
              <w:t>N</w:t>
            </w:r>
            <w:r>
              <w:rPr>
                <w:rFonts w:hint="eastAsia"/>
                <w:sz w:val="18"/>
                <w:szCs w:val="18"/>
                <w:highlight w:val="none"/>
              </w:rPr>
              <w:t>-二甲基甲酰胺</w:t>
            </w:r>
          </w:p>
        </w:tc>
        <w:tc>
          <w:tcPr>
            <w:tcW w:w="1851" w:type="pct"/>
            <w:shd w:val="clear" w:color="auto" w:fill="auto"/>
            <w:vAlign w:val="center"/>
          </w:tcPr>
          <w:p>
            <w:pPr>
              <w:jc w:val="left"/>
              <w:rPr>
                <w:sz w:val="18"/>
                <w:szCs w:val="18"/>
                <w:highlight w:val="none"/>
              </w:rPr>
            </w:pPr>
            <w:r>
              <w:rPr>
                <w:rFonts w:hint="eastAsia"/>
                <w:sz w:val="18"/>
                <w:szCs w:val="18"/>
                <w:highlight w:val="none"/>
              </w:rPr>
              <w:t>涂层</w:t>
            </w:r>
          </w:p>
        </w:tc>
        <w:tc>
          <w:tcPr>
            <w:tcW w:w="888" w:type="pct"/>
            <w:shd w:val="clear" w:color="auto" w:fill="auto"/>
            <w:vAlign w:val="center"/>
          </w:tcPr>
          <w:p>
            <w:pPr>
              <w:jc w:val="center"/>
              <w:rPr>
                <w:color w:val="FF0000"/>
                <w:sz w:val="18"/>
                <w:highlight w:val="none"/>
              </w:rPr>
            </w:pPr>
            <w:r>
              <w:rPr>
                <w:sz w:val="18"/>
                <w:szCs w:val="18"/>
                <w:highlight w:val="none"/>
              </w:rPr>
              <w:t>10</w:t>
            </w:r>
          </w:p>
        </w:tc>
        <w:tc>
          <w:tcPr>
            <w:tcW w:w="982" w:type="pct"/>
            <w:vMerge w:val="continue"/>
            <w:shd w:val="clear" w:color="auto" w:fill="auto"/>
            <w:vAlign w:val="center"/>
          </w:tcPr>
          <w:p>
            <w:pPr>
              <w:jc w:val="center"/>
              <w:rPr>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vMerge w:val="restart"/>
            <w:shd w:val="clear" w:color="auto" w:fill="auto"/>
            <w:vAlign w:val="center"/>
          </w:tcPr>
          <w:p>
            <w:pPr>
              <w:pStyle w:val="161"/>
              <w:numPr>
                <w:ilvl w:val="0"/>
                <w:numId w:val="18"/>
              </w:numPr>
              <w:ind w:firstLineChars="0"/>
              <w:jc w:val="center"/>
              <w:rPr>
                <w:sz w:val="18"/>
                <w:szCs w:val="18"/>
                <w:highlight w:val="none"/>
              </w:rPr>
            </w:pPr>
          </w:p>
        </w:tc>
        <w:tc>
          <w:tcPr>
            <w:tcW w:w="915" w:type="pct"/>
            <w:vMerge w:val="restart"/>
            <w:shd w:val="clear" w:color="auto" w:fill="auto"/>
            <w:vAlign w:val="center"/>
          </w:tcPr>
          <w:p>
            <w:pPr>
              <w:jc w:val="left"/>
              <w:rPr>
                <w:sz w:val="18"/>
                <w:szCs w:val="18"/>
                <w:highlight w:val="none"/>
              </w:rPr>
            </w:pPr>
            <w:r>
              <w:rPr>
                <w:rFonts w:hint="eastAsia"/>
                <w:sz w:val="18"/>
                <w:szCs w:val="18"/>
                <w:highlight w:val="none"/>
              </w:rPr>
              <w:t>臭气浓度（无量纲）</w:t>
            </w:r>
          </w:p>
        </w:tc>
        <w:tc>
          <w:tcPr>
            <w:tcW w:w="1851" w:type="pct"/>
            <w:shd w:val="clear" w:color="auto" w:fill="auto"/>
            <w:vAlign w:val="center"/>
          </w:tcPr>
          <w:p>
            <w:pPr>
              <w:jc w:val="left"/>
              <w:rPr>
                <w:sz w:val="18"/>
                <w:highlight w:val="none"/>
              </w:rPr>
            </w:pPr>
            <w:r>
              <w:rPr>
                <w:rFonts w:hint="eastAsia"/>
                <w:sz w:val="18"/>
                <w:highlight w:val="none"/>
              </w:rPr>
              <w:t>定形、印花</w:t>
            </w:r>
            <w:r>
              <w:rPr>
                <w:rFonts w:hint="eastAsia"/>
                <w:sz w:val="18"/>
                <w:szCs w:val="18"/>
                <w:highlight w:val="none"/>
                <w:vertAlign w:val="superscript"/>
              </w:rPr>
              <w:t>a</w:t>
            </w:r>
            <w:r>
              <w:rPr>
                <w:rFonts w:hint="eastAsia"/>
                <w:sz w:val="18"/>
                <w:highlight w:val="none"/>
              </w:rPr>
              <w:t>、涂层、复合、压延、压烫、植绒</w:t>
            </w:r>
          </w:p>
        </w:tc>
        <w:tc>
          <w:tcPr>
            <w:tcW w:w="888" w:type="pct"/>
            <w:shd w:val="clear" w:color="auto" w:fill="auto"/>
            <w:vAlign w:val="center"/>
          </w:tcPr>
          <w:p>
            <w:pPr>
              <w:jc w:val="center"/>
              <w:rPr>
                <w:color w:val="FF0000"/>
                <w:sz w:val="18"/>
                <w:highlight w:val="none"/>
              </w:rPr>
            </w:pPr>
            <w:r>
              <w:rPr>
                <w:sz w:val="18"/>
                <w:szCs w:val="18"/>
                <w:highlight w:val="none"/>
              </w:rPr>
              <w:t>300</w:t>
            </w:r>
          </w:p>
        </w:tc>
        <w:tc>
          <w:tcPr>
            <w:tcW w:w="982" w:type="pct"/>
            <w:vMerge w:val="continue"/>
            <w:shd w:val="clear" w:color="auto" w:fill="auto"/>
            <w:vAlign w:val="center"/>
          </w:tcPr>
          <w:p>
            <w:pPr>
              <w:jc w:val="center"/>
              <w:rPr>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362" w:type="pct"/>
            <w:vMerge w:val="continue"/>
            <w:shd w:val="clear" w:color="auto" w:fill="auto"/>
            <w:vAlign w:val="center"/>
          </w:tcPr>
          <w:p>
            <w:pPr>
              <w:pStyle w:val="161"/>
              <w:numPr>
                <w:ilvl w:val="0"/>
                <w:numId w:val="18"/>
              </w:numPr>
              <w:ind w:firstLineChars="0"/>
              <w:jc w:val="center"/>
              <w:rPr>
                <w:sz w:val="18"/>
                <w:szCs w:val="18"/>
                <w:highlight w:val="none"/>
              </w:rPr>
            </w:pPr>
          </w:p>
        </w:tc>
        <w:tc>
          <w:tcPr>
            <w:tcW w:w="915" w:type="pct"/>
            <w:vMerge w:val="continue"/>
            <w:shd w:val="clear" w:color="auto" w:fill="auto"/>
            <w:vAlign w:val="center"/>
          </w:tcPr>
          <w:p>
            <w:pPr>
              <w:jc w:val="center"/>
              <w:rPr>
                <w:sz w:val="18"/>
                <w:szCs w:val="18"/>
                <w:highlight w:val="none"/>
              </w:rPr>
            </w:pPr>
          </w:p>
        </w:tc>
        <w:tc>
          <w:tcPr>
            <w:tcW w:w="1851" w:type="pct"/>
            <w:shd w:val="clear" w:color="auto" w:fill="auto"/>
            <w:vAlign w:val="center"/>
          </w:tcPr>
          <w:p>
            <w:pPr>
              <w:jc w:val="left"/>
              <w:rPr>
                <w:sz w:val="18"/>
                <w:highlight w:val="none"/>
              </w:rPr>
            </w:pPr>
            <w:r>
              <w:rPr>
                <w:rFonts w:hint="eastAsia"/>
                <w:sz w:val="18"/>
                <w:highlight w:val="none"/>
              </w:rPr>
              <w:t>污水处理</w:t>
            </w:r>
          </w:p>
        </w:tc>
        <w:tc>
          <w:tcPr>
            <w:tcW w:w="888" w:type="pct"/>
            <w:shd w:val="clear" w:color="auto" w:fill="auto"/>
            <w:vAlign w:val="center"/>
          </w:tcPr>
          <w:p>
            <w:pPr>
              <w:jc w:val="center"/>
              <w:rPr>
                <w:color w:val="FF0000"/>
                <w:sz w:val="18"/>
                <w:szCs w:val="18"/>
                <w:highlight w:val="none"/>
              </w:rPr>
            </w:pPr>
            <w:r>
              <w:rPr>
                <w:sz w:val="18"/>
                <w:szCs w:val="18"/>
                <w:highlight w:val="none"/>
              </w:rPr>
              <w:t>1000</w:t>
            </w:r>
          </w:p>
        </w:tc>
        <w:tc>
          <w:tcPr>
            <w:tcW w:w="982" w:type="pct"/>
            <w:shd w:val="clear" w:color="auto" w:fill="auto"/>
            <w:vAlign w:val="center"/>
          </w:tcPr>
          <w:p>
            <w:pPr>
              <w:jc w:val="center"/>
              <w:rPr>
                <w:sz w:val="18"/>
                <w:szCs w:val="18"/>
                <w:highlight w:val="none"/>
              </w:rPr>
            </w:pPr>
            <w:r>
              <w:rPr>
                <w:sz w:val="18"/>
                <w:szCs w:val="18"/>
                <w:highlight w:val="none"/>
              </w:rPr>
              <w:t>废气集中处理设施</w:t>
            </w:r>
            <w:r>
              <w:rPr>
                <w:rFonts w:hint="eastAsia"/>
                <w:sz w:val="18"/>
                <w:szCs w:val="18"/>
                <w:highlight w:val="none"/>
              </w:rPr>
              <w:br w:type="textWrapping"/>
            </w:r>
            <w:r>
              <w:rPr>
                <w:sz w:val="18"/>
                <w:szCs w:val="18"/>
                <w:highlight w:val="none"/>
              </w:rPr>
              <w:t>排气筒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000" w:type="pct"/>
            <w:gridSpan w:val="5"/>
            <w:shd w:val="clear" w:color="auto" w:fill="auto"/>
          </w:tcPr>
          <w:p>
            <w:pPr>
              <w:rPr>
                <w:sz w:val="18"/>
                <w:szCs w:val="18"/>
                <w:highlight w:val="none"/>
              </w:rPr>
            </w:pPr>
            <w:r>
              <w:rPr>
                <w:rFonts w:hint="eastAsia"/>
                <w:sz w:val="18"/>
                <w:szCs w:val="18"/>
                <w:highlight w:val="none"/>
                <w:vertAlign w:val="superscript"/>
              </w:rPr>
              <w:t xml:space="preserve">a </w:t>
            </w:r>
            <w:r>
              <w:rPr>
                <w:rFonts w:hint="eastAsia"/>
                <w:sz w:val="18"/>
                <w:szCs w:val="18"/>
                <w:highlight w:val="none"/>
              </w:rPr>
              <w:t>印花工序包含烘干、焙烘、蒸化</w:t>
            </w:r>
            <w:r>
              <w:rPr>
                <w:rFonts w:hint="eastAsia"/>
                <w:sz w:val="18"/>
                <w:szCs w:val="18"/>
                <w:highlight w:val="none"/>
                <w:lang w:eastAsia="zh-CN"/>
              </w:rPr>
              <w:t>等过程</w:t>
            </w:r>
            <w:r>
              <w:rPr>
                <w:rFonts w:hint="eastAsia"/>
                <w:sz w:val="18"/>
                <w:szCs w:val="18"/>
                <w:highlight w:val="none"/>
              </w:rPr>
              <w:t>，</w:t>
            </w:r>
            <w:r>
              <w:rPr>
                <w:rFonts w:hint="eastAsia"/>
                <w:sz w:val="18"/>
                <w:szCs w:val="18"/>
                <w:highlight w:val="none"/>
                <w:lang w:eastAsia="zh-CN"/>
              </w:rPr>
              <w:t>以及</w:t>
            </w:r>
            <w:r>
              <w:rPr>
                <w:rFonts w:hint="eastAsia"/>
                <w:sz w:val="18"/>
                <w:szCs w:val="18"/>
                <w:highlight w:val="none"/>
              </w:rPr>
              <w:t>转移印花</w:t>
            </w:r>
            <w:r>
              <w:rPr>
                <w:rFonts w:hint="eastAsia"/>
                <w:sz w:val="18"/>
                <w:szCs w:val="18"/>
                <w:highlight w:val="none"/>
                <w:lang w:eastAsia="zh-CN"/>
              </w:rPr>
              <w:t>和</w:t>
            </w:r>
            <w:r>
              <w:rPr>
                <w:rFonts w:hint="eastAsia"/>
                <w:sz w:val="18"/>
                <w:szCs w:val="18"/>
                <w:highlight w:val="none"/>
              </w:rPr>
              <w:t>喷墨印花</w:t>
            </w:r>
            <w:r>
              <w:rPr>
                <w:rFonts w:hint="eastAsia"/>
                <w:sz w:val="18"/>
                <w:szCs w:val="18"/>
                <w:highlight w:val="none"/>
                <w:lang w:eastAsia="zh-CN"/>
              </w:rPr>
              <w:t>等工艺</w:t>
            </w:r>
            <w:r>
              <w:rPr>
                <w:rFonts w:hint="eastAsia"/>
                <w:sz w:val="18"/>
                <w:szCs w:val="18"/>
                <w:highlight w:val="none"/>
              </w:rPr>
              <w:t>。</w:t>
            </w:r>
          </w:p>
          <w:p>
            <w:pPr>
              <w:rPr>
                <w:sz w:val="18"/>
                <w:szCs w:val="18"/>
                <w:highlight w:val="none"/>
              </w:rPr>
            </w:pPr>
            <w:r>
              <w:rPr>
                <w:sz w:val="18"/>
                <w:szCs w:val="18"/>
                <w:highlight w:val="none"/>
                <w:vertAlign w:val="superscript"/>
              </w:rPr>
              <w:t>b</w:t>
            </w:r>
            <w:r>
              <w:rPr>
                <w:rFonts w:hint="eastAsia"/>
                <w:sz w:val="18"/>
                <w:szCs w:val="18"/>
                <w:highlight w:val="none"/>
                <w:vertAlign w:val="superscript"/>
              </w:rPr>
              <w:t xml:space="preserve"> </w:t>
            </w:r>
            <w:r>
              <w:rPr>
                <w:rFonts w:hint="eastAsia"/>
                <w:sz w:val="18"/>
                <w:szCs w:val="18"/>
                <w:highlight w:val="none"/>
              </w:rPr>
              <w:t>油雾</w:t>
            </w:r>
            <w:r>
              <w:rPr>
                <w:rFonts w:hint="eastAsia"/>
                <w:sz w:val="18"/>
                <w:szCs w:val="18"/>
                <w:highlight w:val="none"/>
                <w:lang w:eastAsia="zh-CN"/>
              </w:rPr>
              <w:t>项目</w:t>
            </w:r>
            <w:r>
              <w:rPr>
                <w:rFonts w:hint="eastAsia"/>
                <w:sz w:val="18"/>
                <w:szCs w:val="18"/>
                <w:highlight w:val="none"/>
              </w:rPr>
              <w:t>仅适用于化纤织物染整精加工。</w:t>
            </w:r>
          </w:p>
          <w:p>
            <w:pPr>
              <w:rPr>
                <w:sz w:val="18"/>
                <w:szCs w:val="18"/>
                <w:highlight w:val="none"/>
              </w:rPr>
            </w:pPr>
            <w:r>
              <w:rPr>
                <w:rFonts w:hint="eastAsia"/>
                <w:sz w:val="18"/>
                <w:szCs w:val="18"/>
                <w:highlight w:val="none"/>
                <w:vertAlign w:val="superscript"/>
              </w:rPr>
              <w:t xml:space="preserve">c </w:t>
            </w:r>
            <w:r>
              <w:rPr>
                <w:rFonts w:hint="eastAsia"/>
                <w:sz w:val="18"/>
                <w:szCs w:val="18"/>
                <w:highlight w:val="none"/>
              </w:rPr>
              <w:t>苯系物</w:t>
            </w:r>
            <w:r>
              <w:rPr>
                <w:rFonts w:hint="eastAsia"/>
                <w:sz w:val="18"/>
                <w:szCs w:val="18"/>
                <w:highlight w:val="none"/>
                <w:lang w:eastAsia="zh-CN"/>
              </w:rPr>
              <w:t>项目包括</w:t>
            </w:r>
            <w:r>
              <w:rPr>
                <w:rFonts w:hint="eastAsia"/>
                <w:sz w:val="18"/>
                <w:szCs w:val="18"/>
                <w:highlight w:val="none"/>
              </w:rPr>
              <w:t>苯、甲苯、二甲苯、三甲苯、乙苯和苯乙烯</w:t>
            </w:r>
            <w:r>
              <w:rPr>
                <w:rFonts w:hint="eastAsia"/>
                <w:sz w:val="18"/>
                <w:szCs w:val="18"/>
                <w:highlight w:val="none"/>
                <w:lang w:eastAsia="zh-CN"/>
              </w:rPr>
              <w:t>，以</w:t>
            </w:r>
            <w:r>
              <w:rPr>
                <w:rFonts w:hint="eastAsia"/>
                <w:sz w:val="18"/>
                <w:szCs w:val="18"/>
                <w:highlight w:val="none"/>
              </w:rPr>
              <w:t>质量浓度总和</w:t>
            </w:r>
            <w:r>
              <w:rPr>
                <w:rFonts w:hint="eastAsia"/>
                <w:sz w:val="18"/>
                <w:szCs w:val="18"/>
                <w:highlight w:val="none"/>
                <w:lang w:eastAsia="zh-CN"/>
              </w:rPr>
              <w:t>计</w:t>
            </w:r>
            <w:r>
              <w:rPr>
                <w:rFonts w:hint="eastAsia"/>
                <w:sz w:val="18"/>
                <w:szCs w:val="18"/>
                <w:highlight w:val="none"/>
              </w:rPr>
              <w:t>。其中，三甲苯待</w:t>
            </w:r>
            <w:r>
              <w:rPr>
                <w:rFonts w:hint="eastAsia"/>
                <w:sz w:val="18"/>
                <w:szCs w:val="18"/>
                <w:highlight w:val="none"/>
                <w:lang w:eastAsia="zh-CN"/>
              </w:rPr>
              <w:t>相关</w:t>
            </w:r>
            <w:r>
              <w:rPr>
                <w:rFonts w:hint="eastAsia"/>
                <w:sz w:val="18"/>
                <w:szCs w:val="18"/>
                <w:highlight w:val="none"/>
              </w:rPr>
              <w:t>国家生态环境监测标准发布后实施。</w:t>
            </w:r>
          </w:p>
          <w:p>
            <w:pPr>
              <w:rPr>
                <w:sz w:val="18"/>
                <w:szCs w:val="18"/>
                <w:highlight w:val="none"/>
              </w:rPr>
            </w:pPr>
            <w:r>
              <w:rPr>
                <w:rFonts w:hint="eastAsia"/>
                <w:sz w:val="18"/>
                <w:szCs w:val="18"/>
                <w:highlight w:val="none"/>
                <w:vertAlign w:val="superscript"/>
              </w:rPr>
              <w:t>d</w:t>
            </w:r>
            <w:r>
              <w:rPr>
                <w:sz w:val="18"/>
                <w:szCs w:val="18"/>
                <w:highlight w:val="none"/>
              </w:rPr>
              <w:t xml:space="preserve"> </w:t>
            </w:r>
            <w:r>
              <w:rPr>
                <w:rFonts w:hint="eastAsia"/>
                <w:sz w:val="18"/>
                <w:szCs w:val="18"/>
                <w:highlight w:val="none"/>
              </w:rPr>
              <w:t>括号内限值</w:t>
            </w:r>
            <w:r>
              <w:rPr>
                <w:rFonts w:hint="eastAsia"/>
                <w:sz w:val="18"/>
                <w:szCs w:val="18"/>
                <w:highlight w:val="none"/>
                <w:lang w:eastAsia="zh-CN"/>
              </w:rPr>
              <w:t>仅适用于</w:t>
            </w:r>
            <w:r>
              <w:rPr>
                <w:rFonts w:hint="eastAsia"/>
                <w:sz w:val="18"/>
                <w:szCs w:val="18"/>
                <w:highlight w:val="none"/>
              </w:rPr>
              <w:t>涂层</w:t>
            </w:r>
            <w:r>
              <w:rPr>
                <w:rFonts w:hint="eastAsia"/>
                <w:sz w:val="18"/>
                <w:szCs w:val="18"/>
                <w:highlight w:val="none"/>
                <w:lang w:eastAsia="zh-CN"/>
              </w:rPr>
              <w:t>工序</w:t>
            </w:r>
            <w:r>
              <w:rPr>
                <w:rFonts w:hint="eastAsia"/>
                <w:sz w:val="18"/>
                <w:szCs w:val="18"/>
                <w:highlight w:val="none"/>
              </w:rPr>
              <w:t>。</w:t>
            </w:r>
          </w:p>
        </w:tc>
      </w:tr>
    </w:tbl>
    <w:p>
      <w:pPr>
        <w:pStyle w:val="32"/>
        <w:jc w:val="right"/>
        <w:rPr>
          <w:rFonts w:ascii="Times New Roman"/>
          <w:szCs w:val="21"/>
          <w:highlight w:val="none"/>
        </w:rPr>
      </w:pPr>
    </w:p>
    <w:p>
      <w:pPr>
        <w:pStyle w:val="4"/>
        <w:rPr>
          <w:highlight w:val="none"/>
        </w:rPr>
      </w:pPr>
      <w:r>
        <w:rPr>
          <w:rFonts w:hint="eastAsia"/>
          <w:highlight w:val="none"/>
        </w:rPr>
        <w:t>直燃式定形机除</w:t>
      </w:r>
      <w:r>
        <w:rPr>
          <w:rFonts w:hint="eastAsia"/>
          <w:highlight w:val="none"/>
          <w:lang w:eastAsia="zh-CN"/>
        </w:rPr>
        <w:t>执行</w:t>
      </w:r>
      <w:r>
        <w:rPr>
          <w:rFonts w:hint="eastAsia"/>
          <w:highlight w:val="none"/>
        </w:rPr>
        <w:t>表1</w:t>
      </w:r>
      <w:r>
        <w:rPr>
          <w:rFonts w:hint="eastAsia"/>
          <w:highlight w:val="none"/>
          <w:lang w:eastAsia="zh-CN"/>
        </w:rPr>
        <w:t>的规定</w:t>
      </w:r>
      <w:r>
        <w:rPr>
          <w:rFonts w:hint="eastAsia"/>
          <w:highlight w:val="none"/>
        </w:rPr>
        <w:t>外，还应</w:t>
      </w:r>
      <w:r>
        <w:rPr>
          <w:rFonts w:hint="eastAsia"/>
          <w:highlight w:val="none"/>
          <w:lang w:eastAsia="zh-CN"/>
        </w:rPr>
        <w:t>执行</w:t>
      </w:r>
      <w:r>
        <w:rPr>
          <w:rFonts w:hint="eastAsia"/>
          <w:highlight w:val="none"/>
        </w:rPr>
        <w:t>DB</w:t>
      </w:r>
      <w:r>
        <w:rPr>
          <w:highlight w:val="none"/>
        </w:rPr>
        <w:t>32/</w:t>
      </w:r>
      <w:r>
        <w:rPr>
          <w:rFonts w:hint="eastAsia"/>
          <w:highlight w:val="none"/>
        </w:rPr>
        <w:t xml:space="preserve"> </w:t>
      </w:r>
      <w:r>
        <w:rPr>
          <w:highlight w:val="none"/>
        </w:rPr>
        <w:t>3728</w:t>
      </w:r>
      <w:r>
        <w:rPr>
          <w:rFonts w:hint="eastAsia"/>
          <w:highlight w:val="none"/>
          <w:lang w:eastAsia="zh-CN"/>
        </w:rPr>
        <w:t>的相关有组织排放限值</w:t>
      </w:r>
      <w:r>
        <w:rPr>
          <w:rFonts w:hint="eastAsia"/>
          <w:highlight w:val="none"/>
        </w:rPr>
        <w:t>。</w:t>
      </w:r>
    </w:p>
    <w:p>
      <w:pPr>
        <w:pStyle w:val="4"/>
        <w:rPr>
          <w:highlight w:val="none"/>
        </w:rPr>
      </w:pPr>
      <w:r>
        <w:rPr>
          <w:rFonts w:hint="eastAsia"/>
          <w:highlight w:val="none"/>
        </w:rPr>
        <w:t>烧毛机、定形机、印花蒸化机、印花烘干及焙烘机、转移印花机、喷墨印花机以及涂层机、层压复合机、压延机、压烫机、植绒机等产生大气污染物的生产设施应</w:t>
      </w:r>
      <w:r>
        <w:rPr>
          <w:rFonts w:hint="eastAsia"/>
          <w:highlight w:val="none"/>
          <w:lang w:eastAsia="zh-CN"/>
        </w:rPr>
        <w:t>设置</w:t>
      </w:r>
      <w:r>
        <w:rPr>
          <w:rFonts w:hint="eastAsia"/>
          <w:highlight w:val="none"/>
        </w:rPr>
        <w:t>局部或整体的</w:t>
      </w:r>
      <w:r>
        <w:rPr>
          <w:rFonts w:hint="eastAsia"/>
          <w:highlight w:val="none"/>
          <w:lang w:eastAsia="zh-CN"/>
        </w:rPr>
        <w:t>废气</w:t>
      </w:r>
      <w:r>
        <w:rPr>
          <w:rFonts w:hint="eastAsia"/>
          <w:highlight w:val="none"/>
        </w:rPr>
        <w:t>收集</w:t>
      </w:r>
      <w:r>
        <w:rPr>
          <w:rFonts w:hint="eastAsia"/>
          <w:highlight w:val="none"/>
          <w:lang w:eastAsia="zh-CN"/>
        </w:rPr>
        <w:t>处理系统</w:t>
      </w:r>
      <w:r>
        <w:rPr>
          <w:rFonts w:hint="eastAsia"/>
          <w:highlight w:val="none"/>
        </w:rPr>
        <w:t>，达标后排放。</w:t>
      </w:r>
    </w:p>
    <w:p>
      <w:pPr>
        <w:pStyle w:val="4"/>
        <w:rPr>
          <w:highlight w:val="none"/>
        </w:rPr>
      </w:pPr>
      <w:r>
        <w:rPr>
          <w:rFonts w:hint="eastAsia"/>
          <w:highlight w:val="none"/>
        </w:rPr>
        <w:t>废气收集处理系统应与生产设施同步运行。废气收集处理系统发生故障或检修时，对应的生产设施应停止运行，待排除故障或检修完毕后同步投入使用；生产设施不能停止运行或不能及时停止运行的，应设置废气应急处理设施或采取其他替代措施。</w:t>
      </w:r>
    </w:p>
    <w:p>
      <w:pPr>
        <w:pStyle w:val="4"/>
        <w:rPr>
          <w:highlight w:val="none"/>
        </w:rPr>
      </w:pPr>
      <w:r>
        <w:rPr>
          <w:rFonts w:hint="eastAsia"/>
          <w:highlight w:val="none"/>
        </w:rPr>
        <w:t>当执行不同排放</w:t>
      </w:r>
      <w:r>
        <w:rPr>
          <w:rFonts w:hint="eastAsia"/>
          <w:highlight w:val="none"/>
          <w:lang w:eastAsia="zh-CN"/>
        </w:rPr>
        <w:t>控制要求</w:t>
      </w:r>
      <w:r>
        <w:rPr>
          <w:rFonts w:hint="eastAsia"/>
          <w:highlight w:val="none"/>
        </w:rPr>
        <w:t>的废气合并排气筒排放时，应在废气混合前进行监测，并执行相应的排放控制要求；若可选择的监控位置只能对混合后的废气进行监测，则应按各排放控制要求中最严格的规定执行。</w:t>
      </w:r>
    </w:p>
    <w:p>
      <w:pPr>
        <w:pStyle w:val="4"/>
        <w:rPr>
          <w:highlight w:val="none"/>
        </w:rPr>
      </w:pPr>
      <w:r>
        <w:rPr>
          <w:rFonts w:hint="eastAsia"/>
          <w:highlight w:val="none"/>
        </w:rPr>
        <w:t>企业排气筒高度应不低于</w:t>
      </w:r>
      <w:r>
        <w:rPr>
          <w:highlight w:val="none"/>
        </w:rPr>
        <w:t>15 m</w:t>
      </w:r>
      <w:r>
        <w:rPr>
          <w:rFonts w:hint="eastAsia"/>
          <w:highlight w:val="none"/>
        </w:rPr>
        <w:t>（因安全考虑或有特殊工艺要求的除外），具体高度以及与周围建筑物的相对高度关系应根据环境影响评价文件确定。</w:t>
      </w:r>
    </w:p>
    <w:p>
      <w:pPr>
        <w:pStyle w:val="3"/>
        <w:rPr>
          <w:highlight w:val="none"/>
        </w:rPr>
      </w:pPr>
      <w:r>
        <w:rPr>
          <w:rFonts w:hint="eastAsia"/>
          <w:highlight w:val="none"/>
        </w:rPr>
        <w:t>厂区内无组织排放控制要求</w:t>
      </w:r>
    </w:p>
    <w:p>
      <w:pPr>
        <w:pStyle w:val="4"/>
        <w:rPr>
          <w:highlight w:val="none"/>
        </w:rPr>
      </w:pPr>
      <w:r>
        <w:rPr>
          <w:rFonts w:hint="eastAsia"/>
          <w:bCs w:val="0"/>
          <w:highlight w:val="none"/>
        </w:rPr>
        <w:t>新建企业自本</w:t>
      </w:r>
      <w:r>
        <w:rPr>
          <w:bCs w:val="0"/>
          <w:highlight w:val="none"/>
        </w:rPr>
        <w:t>文件实施之日</w:t>
      </w:r>
      <w:r>
        <w:rPr>
          <w:rFonts w:hint="eastAsia"/>
          <w:bCs w:val="0"/>
          <w:highlight w:val="none"/>
        </w:rPr>
        <w:t>起，现有企业自</w:t>
      </w:r>
      <w:r>
        <w:rPr>
          <w:bCs w:val="0"/>
          <w:highlight w:val="none"/>
        </w:rPr>
        <w:t>2025</w:t>
      </w:r>
      <w:r>
        <w:rPr>
          <w:rFonts w:hint="eastAsia"/>
          <w:bCs w:val="0"/>
          <w:highlight w:val="none"/>
        </w:rPr>
        <w:t>年</w:t>
      </w:r>
      <w:r>
        <w:rPr>
          <w:bCs w:val="0"/>
          <w:highlight w:val="none"/>
        </w:rPr>
        <w:t>7</w:t>
      </w:r>
      <w:r>
        <w:rPr>
          <w:rFonts w:hint="eastAsia"/>
          <w:bCs w:val="0"/>
          <w:highlight w:val="none"/>
        </w:rPr>
        <w:t>月</w:t>
      </w:r>
      <w:r>
        <w:rPr>
          <w:bCs w:val="0"/>
          <w:highlight w:val="none"/>
        </w:rPr>
        <w:t>1</w:t>
      </w:r>
      <w:r>
        <w:rPr>
          <w:rFonts w:hint="eastAsia"/>
          <w:bCs w:val="0"/>
          <w:highlight w:val="none"/>
        </w:rPr>
        <w:t>日起，</w:t>
      </w:r>
      <w:r>
        <w:rPr>
          <w:rFonts w:hint="eastAsia"/>
          <w:bCs w:val="0"/>
          <w:highlight w:val="none"/>
          <w:lang w:eastAsia="zh-CN"/>
        </w:rPr>
        <w:t>执行表</w:t>
      </w:r>
      <w:r>
        <w:rPr>
          <w:rFonts w:hint="eastAsia"/>
          <w:bCs w:val="0"/>
          <w:highlight w:val="none"/>
          <w:lang w:val="en-US" w:eastAsia="zh-CN"/>
        </w:rPr>
        <w:t>2的规定</w:t>
      </w:r>
      <w:r>
        <w:rPr>
          <w:rFonts w:hint="eastAsia"/>
          <w:bCs w:val="0"/>
          <w:highlight w:val="none"/>
          <w:lang w:eastAsia="zh-CN"/>
        </w:rPr>
        <w:t>及本文件的其他厂区内无组织排放控制要求</w:t>
      </w:r>
      <w:r>
        <w:rPr>
          <w:rFonts w:hint="eastAsia"/>
          <w:bCs w:val="0"/>
          <w:highlight w:val="none"/>
        </w:rPr>
        <w:t>。</w:t>
      </w:r>
    </w:p>
    <w:p>
      <w:pPr>
        <w:pStyle w:val="142"/>
        <w:keepNext/>
        <w:widowControl w:val="0"/>
        <w:tabs>
          <w:tab w:val="left" w:pos="360"/>
        </w:tabs>
        <w:spacing w:before="156" w:after="156"/>
        <w:rPr>
          <w:rFonts w:ascii="Times New Roman"/>
          <w:szCs w:val="21"/>
          <w:highlight w:val="none"/>
        </w:rPr>
      </w:pPr>
      <w:r>
        <w:rPr>
          <w:rFonts w:ascii="Times New Roman"/>
          <w:szCs w:val="21"/>
          <w:highlight w:val="none"/>
        </w:rPr>
        <w:t>厂区内无组织排放</w:t>
      </w:r>
      <w:r>
        <w:rPr>
          <w:rFonts w:hint="eastAsia" w:ascii="Times New Roman"/>
          <w:szCs w:val="21"/>
          <w:highlight w:val="none"/>
        </w:rPr>
        <w:t>浓度</w:t>
      </w:r>
      <w:r>
        <w:rPr>
          <w:rFonts w:ascii="Times New Roman"/>
          <w:szCs w:val="21"/>
          <w:highlight w:val="none"/>
        </w:rPr>
        <w:t>限值</w:t>
      </w:r>
    </w:p>
    <w:p>
      <w:pPr>
        <w:spacing w:before="78" w:after="78" w:afterLines="25"/>
        <w:jc w:val="right"/>
        <w:rPr>
          <w:highlight w:val="none"/>
          <w:vertAlign w:val="superscript"/>
        </w:rPr>
      </w:pPr>
      <w:r>
        <w:rPr>
          <w:rFonts w:hint="eastAsia"/>
          <w:sz w:val="18"/>
          <w:szCs w:val="18"/>
          <w:highlight w:val="none"/>
        </w:rPr>
        <w:t>单位：</w:t>
      </w:r>
      <w:r>
        <w:rPr>
          <w:sz w:val="18"/>
          <w:szCs w:val="18"/>
          <w:highlight w:val="none"/>
        </w:rPr>
        <w:t>mg/m</w:t>
      </w:r>
      <w:r>
        <w:rPr>
          <w:sz w:val="18"/>
          <w:szCs w:val="18"/>
          <w:highlight w:val="none"/>
          <w:vertAlign w:val="superscript"/>
        </w:rPr>
        <w:t>3</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535"/>
        <w:gridCol w:w="3197"/>
        <w:gridCol w:w="3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tblHeader/>
        </w:trPr>
        <w:tc>
          <w:tcPr>
            <w:tcW w:w="820" w:type="pct"/>
            <w:vAlign w:val="center"/>
          </w:tcPr>
          <w:p>
            <w:pPr>
              <w:spacing w:before="78" w:after="78" w:afterLines="25"/>
              <w:jc w:val="center"/>
              <w:rPr>
                <w:sz w:val="18"/>
                <w:szCs w:val="18"/>
                <w:highlight w:val="none"/>
              </w:rPr>
            </w:pPr>
            <w:r>
              <w:rPr>
                <w:sz w:val="18"/>
                <w:szCs w:val="18"/>
                <w:highlight w:val="none"/>
              </w:rPr>
              <w:t>污染物项目</w:t>
            </w:r>
          </w:p>
        </w:tc>
        <w:tc>
          <w:tcPr>
            <w:tcW w:w="790" w:type="pct"/>
            <w:vAlign w:val="center"/>
          </w:tcPr>
          <w:p>
            <w:pPr>
              <w:spacing w:before="78" w:after="78" w:afterLines="25"/>
              <w:jc w:val="center"/>
              <w:rPr>
                <w:sz w:val="18"/>
                <w:szCs w:val="18"/>
                <w:highlight w:val="none"/>
              </w:rPr>
            </w:pPr>
            <w:r>
              <w:rPr>
                <w:rFonts w:hint="eastAsia"/>
                <w:sz w:val="18"/>
                <w:szCs w:val="18"/>
                <w:highlight w:val="none"/>
              </w:rPr>
              <w:t>浓度</w:t>
            </w:r>
            <w:r>
              <w:rPr>
                <w:sz w:val="18"/>
                <w:szCs w:val="18"/>
                <w:highlight w:val="none"/>
              </w:rPr>
              <w:t>限值</w:t>
            </w:r>
          </w:p>
        </w:tc>
        <w:tc>
          <w:tcPr>
            <w:tcW w:w="1645" w:type="pct"/>
            <w:vAlign w:val="center"/>
          </w:tcPr>
          <w:p>
            <w:pPr>
              <w:spacing w:before="78" w:after="78" w:afterLines="25"/>
              <w:jc w:val="center"/>
              <w:rPr>
                <w:sz w:val="18"/>
                <w:szCs w:val="18"/>
                <w:highlight w:val="none"/>
              </w:rPr>
            </w:pPr>
            <w:r>
              <w:rPr>
                <w:sz w:val="18"/>
                <w:szCs w:val="18"/>
                <w:highlight w:val="none"/>
              </w:rPr>
              <w:t>限值含义</w:t>
            </w:r>
          </w:p>
        </w:tc>
        <w:tc>
          <w:tcPr>
            <w:tcW w:w="1743" w:type="pct"/>
            <w:vAlign w:val="center"/>
          </w:tcPr>
          <w:p>
            <w:pPr>
              <w:spacing w:before="78" w:after="78" w:afterLines="25"/>
              <w:jc w:val="center"/>
              <w:rPr>
                <w:sz w:val="18"/>
                <w:szCs w:val="18"/>
                <w:highlight w:val="none"/>
              </w:rPr>
            </w:pPr>
            <w:r>
              <w:rPr>
                <w:sz w:val="18"/>
                <w:szCs w:val="18"/>
                <w:highlight w:val="none"/>
              </w:rPr>
              <w:t>无组织排放监控位置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trPr>
        <w:tc>
          <w:tcPr>
            <w:tcW w:w="820" w:type="pct"/>
            <w:vMerge w:val="restart"/>
            <w:vAlign w:val="center"/>
          </w:tcPr>
          <w:p>
            <w:pPr>
              <w:spacing w:before="78" w:after="78" w:afterLines="25"/>
              <w:jc w:val="center"/>
              <w:rPr>
                <w:sz w:val="18"/>
                <w:szCs w:val="18"/>
                <w:highlight w:val="none"/>
              </w:rPr>
            </w:pPr>
            <w:r>
              <w:rPr>
                <w:rFonts w:hint="eastAsia"/>
                <w:sz w:val="18"/>
                <w:szCs w:val="18"/>
                <w:highlight w:val="none"/>
              </w:rPr>
              <w:t>非甲烷总烃</w:t>
            </w:r>
          </w:p>
        </w:tc>
        <w:tc>
          <w:tcPr>
            <w:tcW w:w="790" w:type="pct"/>
            <w:vAlign w:val="center"/>
          </w:tcPr>
          <w:p>
            <w:pPr>
              <w:spacing w:before="78" w:after="78" w:afterLines="25"/>
              <w:jc w:val="center"/>
              <w:rPr>
                <w:sz w:val="18"/>
                <w:szCs w:val="18"/>
                <w:highlight w:val="none"/>
              </w:rPr>
            </w:pPr>
            <w:r>
              <w:rPr>
                <w:sz w:val="18"/>
                <w:szCs w:val="18"/>
                <w:highlight w:val="none"/>
              </w:rPr>
              <w:t>6.0</w:t>
            </w:r>
          </w:p>
        </w:tc>
        <w:tc>
          <w:tcPr>
            <w:tcW w:w="1645" w:type="pct"/>
            <w:vAlign w:val="center"/>
          </w:tcPr>
          <w:p>
            <w:pPr>
              <w:spacing w:before="78" w:after="78" w:afterLines="25"/>
              <w:jc w:val="center"/>
              <w:rPr>
                <w:sz w:val="18"/>
                <w:szCs w:val="18"/>
                <w:highlight w:val="none"/>
              </w:rPr>
            </w:pPr>
            <w:r>
              <w:rPr>
                <w:sz w:val="18"/>
                <w:szCs w:val="18"/>
                <w:highlight w:val="none"/>
              </w:rPr>
              <w:t>监控点处1</w:t>
            </w:r>
            <w:r>
              <w:rPr>
                <w:rFonts w:hint="eastAsia"/>
                <w:sz w:val="18"/>
                <w:szCs w:val="18"/>
                <w:highlight w:val="none"/>
              </w:rPr>
              <w:t xml:space="preserve"> </w:t>
            </w:r>
            <w:r>
              <w:rPr>
                <w:sz w:val="18"/>
                <w:szCs w:val="18"/>
                <w:highlight w:val="none"/>
              </w:rPr>
              <w:t>h平均浓度值</w:t>
            </w:r>
          </w:p>
        </w:tc>
        <w:tc>
          <w:tcPr>
            <w:tcW w:w="1743" w:type="pct"/>
            <w:vMerge w:val="restart"/>
            <w:shd w:val="clear" w:color="auto" w:fill="auto"/>
            <w:vAlign w:val="center"/>
          </w:tcPr>
          <w:p>
            <w:pPr>
              <w:spacing w:before="78" w:after="78" w:afterLines="25"/>
              <w:jc w:val="center"/>
              <w:rPr>
                <w:sz w:val="18"/>
                <w:szCs w:val="18"/>
                <w:highlight w:val="none"/>
              </w:rPr>
            </w:pPr>
            <w:r>
              <w:rPr>
                <w:sz w:val="18"/>
                <w:szCs w:val="18"/>
                <w:highlight w:val="none"/>
              </w:rPr>
              <w:t>在</w:t>
            </w:r>
            <w:r>
              <w:rPr>
                <w:rFonts w:hint="eastAsia"/>
                <w:sz w:val="18"/>
                <w:szCs w:val="18"/>
                <w:highlight w:val="none"/>
              </w:rPr>
              <w:t>定形、印花、涂层、复合、压延、压烫、植绒等车间</w:t>
            </w:r>
            <w:r>
              <w:rPr>
                <w:sz w:val="18"/>
                <w:szCs w:val="18"/>
                <w:highlight w:val="none"/>
              </w:rPr>
              <w:t>厂房外设置监控点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trPr>
        <w:tc>
          <w:tcPr>
            <w:tcW w:w="820" w:type="pct"/>
            <w:vMerge w:val="continue"/>
            <w:vAlign w:val="center"/>
          </w:tcPr>
          <w:p>
            <w:pPr>
              <w:spacing w:before="78" w:after="78" w:afterLines="25"/>
              <w:jc w:val="center"/>
              <w:rPr>
                <w:sz w:val="18"/>
                <w:szCs w:val="18"/>
                <w:highlight w:val="none"/>
              </w:rPr>
            </w:pPr>
          </w:p>
        </w:tc>
        <w:tc>
          <w:tcPr>
            <w:tcW w:w="790" w:type="pct"/>
            <w:vAlign w:val="center"/>
          </w:tcPr>
          <w:p>
            <w:pPr>
              <w:spacing w:before="78" w:after="78" w:afterLines="25"/>
              <w:jc w:val="center"/>
              <w:rPr>
                <w:sz w:val="18"/>
                <w:szCs w:val="18"/>
                <w:highlight w:val="none"/>
              </w:rPr>
            </w:pPr>
            <w:r>
              <w:rPr>
                <w:sz w:val="18"/>
                <w:szCs w:val="18"/>
                <w:highlight w:val="none"/>
              </w:rPr>
              <w:t>20</w:t>
            </w:r>
          </w:p>
        </w:tc>
        <w:tc>
          <w:tcPr>
            <w:tcW w:w="1645" w:type="pct"/>
            <w:vAlign w:val="center"/>
          </w:tcPr>
          <w:p>
            <w:pPr>
              <w:spacing w:before="78" w:after="78" w:afterLines="25"/>
              <w:jc w:val="center"/>
              <w:rPr>
                <w:sz w:val="18"/>
                <w:szCs w:val="18"/>
                <w:highlight w:val="none"/>
              </w:rPr>
            </w:pPr>
            <w:r>
              <w:rPr>
                <w:sz w:val="18"/>
                <w:szCs w:val="18"/>
                <w:highlight w:val="none"/>
              </w:rPr>
              <w:t>监控点处任意一次浓度值</w:t>
            </w:r>
          </w:p>
        </w:tc>
        <w:tc>
          <w:tcPr>
            <w:tcW w:w="1743" w:type="pct"/>
            <w:vMerge w:val="continue"/>
            <w:shd w:val="clear" w:color="auto" w:fill="auto"/>
            <w:vAlign w:val="center"/>
          </w:tcPr>
          <w:p>
            <w:pPr>
              <w:spacing w:before="78" w:after="78" w:afterLines="25"/>
              <w:jc w:val="center"/>
              <w:rPr>
                <w:sz w:val="18"/>
                <w:szCs w:val="18"/>
                <w:highlight w:val="none"/>
              </w:rPr>
            </w:pPr>
          </w:p>
        </w:tc>
      </w:tr>
    </w:tbl>
    <w:p>
      <w:pPr>
        <w:rPr>
          <w:highlight w:val="none"/>
        </w:rPr>
      </w:pPr>
    </w:p>
    <w:p>
      <w:pPr>
        <w:pStyle w:val="4"/>
        <w:rPr>
          <w:highlight w:val="none"/>
        </w:rPr>
      </w:pPr>
      <w:r>
        <w:rPr>
          <w:rFonts w:hint="eastAsia"/>
          <w:highlight w:val="none"/>
        </w:rPr>
        <w:t>物料储存、物料转移和输送、工艺过程V</w:t>
      </w:r>
      <w:r>
        <w:rPr>
          <w:highlight w:val="none"/>
        </w:rPr>
        <w:t>OC</w:t>
      </w:r>
      <w:r>
        <w:rPr>
          <w:rFonts w:hint="eastAsia"/>
          <w:highlight w:val="none"/>
        </w:rPr>
        <w:t>s的无组织排放控制要求，设备与管线组件V</w:t>
      </w:r>
      <w:r>
        <w:rPr>
          <w:highlight w:val="none"/>
        </w:rPr>
        <w:t>OC</w:t>
      </w:r>
      <w:r>
        <w:rPr>
          <w:rFonts w:hint="eastAsia"/>
          <w:highlight w:val="none"/>
        </w:rPr>
        <w:t>s泄漏控制要求，敞开液面V</w:t>
      </w:r>
      <w:r>
        <w:rPr>
          <w:highlight w:val="none"/>
        </w:rPr>
        <w:t>OC</w:t>
      </w:r>
      <w:r>
        <w:rPr>
          <w:rFonts w:hint="eastAsia"/>
          <w:highlight w:val="none"/>
        </w:rPr>
        <w:t>s无组织排放控制要求，以及V</w:t>
      </w:r>
      <w:r>
        <w:rPr>
          <w:highlight w:val="none"/>
        </w:rPr>
        <w:t>OC</w:t>
      </w:r>
      <w:r>
        <w:rPr>
          <w:rFonts w:hint="eastAsia"/>
          <w:highlight w:val="none"/>
        </w:rPr>
        <w:t>s无组织排放废气收集处理系统要求等执行G</w:t>
      </w:r>
      <w:r>
        <w:rPr>
          <w:highlight w:val="none"/>
        </w:rPr>
        <w:t>B 37822</w:t>
      </w:r>
      <w:r>
        <w:rPr>
          <w:rFonts w:hint="eastAsia"/>
          <w:highlight w:val="none"/>
        </w:rPr>
        <w:t>的规定。</w:t>
      </w:r>
    </w:p>
    <w:p>
      <w:pPr>
        <w:pStyle w:val="4"/>
        <w:rPr>
          <w:highlight w:val="none"/>
        </w:rPr>
      </w:pPr>
      <w:r>
        <w:rPr>
          <w:rFonts w:hint="eastAsia"/>
          <w:highlight w:val="none"/>
        </w:rPr>
        <w:t>用于输送、储存、处理含有机物、恶臭物质的设施，以及废水和废气污染控制设施、固体废物处理处置设施，在检修时清扫气应接入有机废气回收或处理装置，应</w:t>
      </w:r>
      <w:r>
        <w:rPr>
          <w:rFonts w:hint="eastAsia"/>
          <w:highlight w:val="none"/>
          <w:lang w:eastAsia="zh-CN"/>
        </w:rPr>
        <w:t>执行</w:t>
      </w:r>
      <w:r>
        <w:rPr>
          <w:rFonts w:hint="eastAsia"/>
          <w:highlight w:val="none"/>
        </w:rPr>
        <w:t>表1及4</w:t>
      </w:r>
      <w:r>
        <w:rPr>
          <w:highlight w:val="none"/>
        </w:rPr>
        <w:t>.1.</w:t>
      </w:r>
      <w:r>
        <w:rPr>
          <w:rFonts w:hint="eastAsia"/>
          <w:highlight w:val="none"/>
        </w:rPr>
        <w:t>4的规定。</w:t>
      </w:r>
    </w:p>
    <w:p>
      <w:pPr>
        <w:pStyle w:val="4"/>
        <w:rPr>
          <w:highlight w:val="none"/>
        </w:rPr>
      </w:pPr>
      <w:r>
        <w:rPr>
          <w:rFonts w:hint="eastAsia"/>
          <w:highlight w:val="none"/>
        </w:rPr>
        <w:t>涂层机需安装有机溶剂收集装置，配胶、刮胶等操作岗位需安装抽风装置，并</w:t>
      </w:r>
      <w:r>
        <w:rPr>
          <w:rFonts w:hint="eastAsia"/>
          <w:highlight w:val="none"/>
          <w:lang w:eastAsia="zh-CN"/>
        </w:rPr>
        <w:t>接入</w:t>
      </w:r>
      <w:r>
        <w:rPr>
          <w:rFonts w:hint="eastAsia"/>
          <w:highlight w:val="none"/>
        </w:rPr>
        <w:t>溶剂回收或废气</w:t>
      </w:r>
      <w:r>
        <w:rPr>
          <w:rFonts w:hint="eastAsia"/>
          <w:highlight w:val="none"/>
          <w:lang w:eastAsia="zh-CN"/>
        </w:rPr>
        <w:t>收集</w:t>
      </w:r>
      <w:r>
        <w:rPr>
          <w:rFonts w:hint="eastAsia"/>
          <w:highlight w:val="none"/>
        </w:rPr>
        <w:t>处理系统，尾气经排气筒排放。</w:t>
      </w:r>
    </w:p>
    <w:p>
      <w:pPr>
        <w:pStyle w:val="4"/>
        <w:rPr>
          <w:highlight w:val="none"/>
        </w:rPr>
      </w:pPr>
      <w:r>
        <w:rPr>
          <w:rFonts w:hint="eastAsia"/>
          <w:highlight w:val="none"/>
        </w:rPr>
        <w:t>污水处理站及固体废物处理或存放设施应采取隔离、密封等措施控制恶臭污染。设有恶臭气体收集处理系统的污水处理站，</w:t>
      </w:r>
      <w:r>
        <w:rPr>
          <w:rFonts w:hint="eastAsia"/>
          <w:highlight w:val="none"/>
          <w:lang w:eastAsia="zh-CN"/>
        </w:rPr>
        <w:t>应执行</w:t>
      </w:r>
      <w:r>
        <w:rPr>
          <w:rFonts w:hint="eastAsia"/>
          <w:highlight w:val="none"/>
        </w:rPr>
        <w:t>表1及4</w:t>
      </w:r>
      <w:r>
        <w:rPr>
          <w:highlight w:val="none"/>
        </w:rPr>
        <w:t>.1.</w:t>
      </w:r>
      <w:r>
        <w:rPr>
          <w:rFonts w:hint="eastAsia"/>
          <w:highlight w:val="none"/>
        </w:rPr>
        <w:t>4的规定。</w:t>
      </w:r>
    </w:p>
    <w:p>
      <w:pPr>
        <w:pStyle w:val="4"/>
        <w:rPr>
          <w:highlight w:val="none"/>
        </w:rPr>
      </w:pPr>
      <w:r>
        <w:rPr>
          <w:rFonts w:hint="eastAsia"/>
          <w:highlight w:val="none"/>
        </w:rPr>
        <w:t>企业应依据《排污许可管理条例》等规定，按照H</w:t>
      </w:r>
      <w:r>
        <w:rPr>
          <w:highlight w:val="none"/>
        </w:rPr>
        <w:t>J 861</w:t>
      </w:r>
      <w:r>
        <w:rPr>
          <w:rFonts w:hint="eastAsia"/>
          <w:highlight w:val="none"/>
        </w:rPr>
        <w:t xml:space="preserve">、HJ </w:t>
      </w:r>
      <w:r>
        <w:rPr>
          <w:highlight w:val="none"/>
        </w:rPr>
        <w:t>944</w:t>
      </w:r>
      <w:r>
        <w:rPr>
          <w:rFonts w:hint="eastAsia"/>
          <w:highlight w:val="none"/>
        </w:rPr>
        <w:t>等要求建立环境管理台帐，台账保存期限不少于五年。</w:t>
      </w:r>
    </w:p>
    <w:p>
      <w:pPr>
        <w:pStyle w:val="3"/>
        <w:rPr>
          <w:highlight w:val="none"/>
        </w:rPr>
      </w:pPr>
      <w:r>
        <w:rPr>
          <w:rFonts w:hint="eastAsia"/>
          <w:highlight w:val="none"/>
        </w:rPr>
        <w:t>企业边界监控要求</w:t>
      </w:r>
    </w:p>
    <w:p>
      <w:pPr>
        <w:pStyle w:val="4"/>
        <w:keepNext w:val="0"/>
        <w:keepLines w:val="0"/>
        <w:pageBreakBefore w:val="0"/>
        <w:widowControl w:val="0"/>
        <w:numPr>
          <w:ilvl w:val="2"/>
          <w:numId w:val="0"/>
        </w:numPr>
        <w:kinsoku/>
        <w:wordWrap/>
        <w:overflowPunct/>
        <w:topLinePunct w:val="0"/>
        <w:autoSpaceDE/>
        <w:autoSpaceDN/>
        <w:bidi w:val="0"/>
        <w:adjustRightInd/>
        <w:snapToGrid/>
        <w:ind w:leftChars="0" w:firstLine="420" w:firstLineChars="200"/>
        <w:textAlignment w:val="auto"/>
        <w:rPr>
          <w:highlight w:val="none"/>
        </w:rPr>
      </w:pPr>
      <w:r>
        <w:rPr>
          <w:rFonts w:hint="eastAsia"/>
          <w:highlight w:val="none"/>
        </w:rPr>
        <w:t>新建企业自本文件实施之日起，现有企业自</w:t>
      </w:r>
      <w:r>
        <w:rPr>
          <w:highlight w:val="none"/>
        </w:rPr>
        <w:t>2025</w:t>
      </w:r>
      <w:r>
        <w:rPr>
          <w:rFonts w:hint="eastAsia"/>
          <w:highlight w:val="none"/>
        </w:rPr>
        <w:t>年</w:t>
      </w:r>
      <w:r>
        <w:rPr>
          <w:highlight w:val="none"/>
        </w:rPr>
        <w:t>7</w:t>
      </w:r>
      <w:r>
        <w:rPr>
          <w:rFonts w:hint="eastAsia"/>
          <w:highlight w:val="none"/>
        </w:rPr>
        <w:t>月</w:t>
      </w:r>
      <w:r>
        <w:rPr>
          <w:highlight w:val="none"/>
        </w:rPr>
        <w:t>1</w:t>
      </w:r>
      <w:r>
        <w:rPr>
          <w:rFonts w:hint="eastAsia"/>
          <w:highlight w:val="none"/>
        </w:rPr>
        <w:t>日起，执行表3的规定。</w:t>
      </w:r>
    </w:p>
    <w:p>
      <w:pPr>
        <w:pStyle w:val="142"/>
        <w:keepNext/>
        <w:widowControl w:val="0"/>
        <w:tabs>
          <w:tab w:val="left" w:pos="360"/>
        </w:tabs>
        <w:spacing w:before="156" w:after="156"/>
        <w:rPr>
          <w:rFonts w:ascii="Times New Roman"/>
          <w:szCs w:val="21"/>
          <w:highlight w:val="none"/>
        </w:rPr>
      </w:pPr>
      <w:r>
        <w:rPr>
          <w:rFonts w:hint="eastAsia" w:ascii="Times New Roman"/>
          <w:szCs w:val="21"/>
          <w:highlight w:val="none"/>
        </w:rPr>
        <w:t>企业边界大气污染物浓度限值</w:t>
      </w:r>
    </w:p>
    <w:p>
      <w:pPr>
        <w:pStyle w:val="32"/>
        <w:keepNext/>
        <w:ind w:firstLine="360"/>
        <w:jc w:val="right"/>
        <w:rPr>
          <w:rFonts w:ascii="Times New Roman"/>
          <w:highlight w:val="none"/>
        </w:rPr>
      </w:pPr>
      <w:r>
        <w:rPr>
          <w:rFonts w:hint="eastAsia" w:ascii="Times New Roman"/>
          <w:sz w:val="18"/>
          <w:szCs w:val="18"/>
          <w:highlight w:val="none"/>
        </w:rPr>
        <w:t>单位：mg/m</w:t>
      </w:r>
      <w:r>
        <w:rPr>
          <w:rFonts w:ascii="Times New Roman"/>
          <w:sz w:val="18"/>
          <w:szCs w:val="18"/>
          <w:highlight w:val="none"/>
          <w:vertAlign w:val="superscript"/>
        </w:rPr>
        <w:t>3</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2320"/>
        <w:gridCol w:w="2699"/>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505" w:type="pct"/>
            <w:vAlign w:val="center"/>
          </w:tcPr>
          <w:p>
            <w:pPr>
              <w:jc w:val="center"/>
              <w:rPr>
                <w:sz w:val="18"/>
                <w:highlight w:val="none"/>
              </w:rPr>
            </w:pPr>
            <w:r>
              <w:rPr>
                <w:rFonts w:hint="eastAsia"/>
                <w:sz w:val="18"/>
                <w:highlight w:val="none"/>
              </w:rPr>
              <w:t>序号</w:t>
            </w:r>
          </w:p>
        </w:tc>
        <w:tc>
          <w:tcPr>
            <w:tcW w:w="1194" w:type="pct"/>
            <w:vAlign w:val="center"/>
          </w:tcPr>
          <w:p>
            <w:pPr>
              <w:pStyle w:val="154"/>
              <w:jc w:val="center"/>
              <w:rPr>
                <w:rFonts w:ascii="Times New Roman" w:eastAsia="宋体"/>
                <w:color w:val="auto"/>
                <w:sz w:val="18"/>
                <w:szCs w:val="18"/>
                <w:highlight w:val="none"/>
              </w:rPr>
            </w:pPr>
            <w:r>
              <w:rPr>
                <w:rFonts w:hint="eastAsia" w:ascii="Times New Roman" w:eastAsia="宋体"/>
                <w:color w:val="auto"/>
                <w:sz w:val="18"/>
                <w:szCs w:val="18"/>
                <w:highlight w:val="none"/>
              </w:rPr>
              <w:t>污染物项目</w:t>
            </w:r>
          </w:p>
        </w:tc>
        <w:tc>
          <w:tcPr>
            <w:tcW w:w="1389" w:type="pct"/>
            <w:vAlign w:val="center"/>
          </w:tcPr>
          <w:p>
            <w:pPr>
              <w:pStyle w:val="154"/>
              <w:jc w:val="center"/>
              <w:rPr>
                <w:rFonts w:ascii="Times New Roman" w:eastAsia="宋体"/>
                <w:color w:val="auto"/>
                <w:sz w:val="18"/>
                <w:szCs w:val="18"/>
                <w:highlight w:val="none"/>
              </w:rPr>
            </w:pPr>
            <w:r>
              <w:rPr>
                <w:rFonts w:hint="eastAsia" w:ascii="Times New Roman" w:eastAsia="宋体"/>
                <w:color w:val="auto"/>
                <w:sz w:val="18"/>
                <w:szCs w:val="18"/>
                <w:highlight w:val="none"/>
              </w:rPr>
              <w:t>浓度限值</w:t>
            </w:r>
          </w:p>
        </w:tc>
        <w:tc>
          <w:tcPr>
            <w:tcW w:w="1911" w:type="pct"/>
            <w:vAlign w:val="center"/>
          </w:tcPr>
          <w:p>
            <w:pPr>
              <w:pStyle w:val="154"/>
              <w:jc w:val="center"/>
              <w:rPr>
                <w:rFonts w:ascii="Times New Roman" w:eastAsia="宋体"/>
                <w:color w:val="auto"/>
                <w:sz w:val="18"/>
                <w:szCs w:val="18"/>
                <w:highlight w:val="none"/>
              </w:rPr>
            </w:pPr>
            <w:r>
              <w:rPr>
                <w:rFonts w:hint="eastAsia" w:ascii="Times New Roman" w:eastAsia="宋体"/>
                <w:color w:val="auto"/>
                <w:sz w:val="18"/>
                <w:szCs w:val="18"/>
                <w:highlight w:val="none"/>
              </w:rPr>
              <w:t>监控位置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505" w:type="pct"/>
            <w:vAlign w:val="center"/>
          </w:tcPr>
          <w:p>
            <w:pPr>
              <w:pStyle w:val="161"/>
              <w:numPr>
                <w:ilvl w:val="0"/>
                <w:numId w:val="19"/>
              </w:numPr>
              <w:ind w:firstLineChars="0"/>
              <w:jc w:val="center"/>
              <w:rPr>
                <w:sz w:val="18"/>
                <w:szCs w:val="18"/>
                <w:highlight w:val="none"/>
              </w:rPr>
            </w:pPr>
          </w:p>
        </w:tc>
        <w:tc>
          <w:tcPr>
            <w:tcW w:w="1194" w:type="pct"/>
            <w:vAlign w:val="center"/>
          </w:tcPr>
          <w:p>
            <w:pPr>
              <w:pStyle w:val="154"/>
              <w:rPr>
                <w:rFonts w:ascii="Times New Roman" w:eastAsia="宋体"/>
                <w:color w:val="auto"/>
                <w:sz w:val="18"/>
                <w:szCs w:val="18"/>
                <w:highlight w:val="none"/>
              </w:rPr>
            </w:pPr>
            <w:r>
              <w:rPr>
                <w:rFonts w:hint="eastAsia" w:ascii="Times New Roman" w:eastAsia="宋体"/>
                <w:color w:val="auto"/>
                <w:sz w:val="18"/>
                <w:szCs w:val="18"/>
                <w:highlight w:val="none"/>
              </w:rPr>
              <w:t>颗粒物</w:t>
            </w:r>
          </w:p>
        </w:tc>
        <w:tc>
          <w:tcPr>
            <w:tcW w:w="1389" w:type="pct"/>
            <w:vAlign w:val="center"/>
          </w:tcPr>
          <w:p>
            <w:pPr>
              <w:pStyle w:val="154"/>
              <w:jc w:val="center"/>
              <w:rPr>
                <w:rFonts w:ascii="Times New Roman" w:eastAsia="宋体"/>
                <w:color w:val="auto"/>
                <w:sz w:val="18"/>
                <w:szCs w:val="18"/>
                <w:highlight w:val="none"/>
              </w:rPr>
            </w:pPr>
            <w:r>
              <w:rPr>
                <w:rFonts w:ascii="Times New Roman" w:eastAsia="宋体"/>
                <w:color w:val="auto"/>
                <w:sz w:val="18"/>
                <w:szCs w:val="18"/>
                <w:highlight w:val="none"/>
              </w:rPr>
              <w:t>0.5</w:t>
            </w:r>
          </w:p>
        </w:tc>
        <w:tc>
          <w:tcPr>
            <w:tcW w:w="1911" w:type="pct"/>
            <w:vMerge w:val="restart"/>
            <w:vAlign w:val="center"/>
          </w:tcPr>
          <w:p>
            <w:pPr>
              <w:pStyle w:val="154"/>
              <w:jc w:val="center"/>
              <w:rPr>
                <w:rFonts w:ascii="Times New Roman" w:eastAsia="宋体"/>
                <w:color w:val="auto"/>
                <w:sz w:val="18"/>
                <w:szCs w:val="18"/>
                <w:highlight w:val="none"/>
              </w:rPr>
            </w:pPr>
            <w:r>
              <w:rPr>
                <w:rFonts w:hint="eastAsia" w:ascii="Times New Roman" w:eastAsia="宋体"/>
                <w:color w:val="auto"/>
                <w:sz w:val="18"/>
                <w:szCs w:val="18"/>
                <w:highlight w:val="none"/>
              </w:rPr>
              <w:t>边界外浓度最高点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505" w:type="pct"/>
            <w:vAlign w:val="center"/>
          </w:tcPr>
          <w:p>
            <w:pPr>
              <w:pStyle w:val="161"/>
              <w:numPr>
                <w:ilvl w:val="0"/>
                <w:numId w:val="19"/>
              </w:numPr>
              <w:ind w:firstLineChars="0"/>
              <w:jc w:val="center"/>
              <w:rPr>
                <w:sz w:val="18"/>
                <w:szCs w:val="18"/>
                <w:highlight w:val="none"/>
              </w:rPr>
            </w:pPr>
          </w:p>
        </w:tc>
        <w:tc>
          <w:tcPr>
            <w:tcW w:w="1194" w:type="pct"/>
            <w:vAlign w:val="center"/>
          </w:tcPr>
          <w:p>
            <w:pPr>
              <w:pStyle w:val="154"/>
              <w:rPr>
                <w:rFonts w:ascii="Times New Roman" w:eastAsia="宋体"/>
                <w:color w:val="auto"/>
                <w:sz w:val="18"/>
                <w:szCs w:val="18"/>
                <w:highlight w:val="none"/>
              </w:rPr>
            </w:pPr>
            <w:r>
              <w:rPr>
                <w:rFonts w:hint="eastAsia" w:ascii="Times New Roman" w:eastAsia="宋体"/>
                <w:color w:val="auto"/>
                <w:sz w:val="18"/>
                <w:szCs w:val="18"/>
                <w:highlight w:val="none"/>
              </w:rPr>
              <w:t>非甲烷总烃</w:t>
            </w:r>
          </w:p>
        </w:tc>
        <w:tc>
          <w:tcPr>
            <w:tcW w:w="1389" w:type="pct"/>
            <w:vAlign w:val="center"/>
          </w:tcPr>
          <w:p>
            <w:pPr>
              <w:pStyle w:val="154"/>
              <w:jc w:val="center"/>
              <w:rPr>
                <w:rFonts w:ascii="Times New Roman" w:eastAsia="宋体"/>
                <w:color w:val="auto"/>
                <w:sz w:val="18"/>
                <w:szCs w:val="18"/>
                <w:highlight w:val="none"/>
              </w:rPr>
            </w:pPr>
            <w:r>
              <w:rPr>
                <w:rFonts w:ascii="Times New Roman" w:eastAsia="宋体"/>
                <w:color w:val="auto"/>
                <w:sz w:val="18"/>
                <w:szCs w:val="18"/>
                <w:highlight w:val="none"/>
              </w:rPr>
              <w:t>2.0</w:t>
            </w:r>
          </w:p>
        </w:tc>
        <w:tc>
          <w:tcPr>
            <w:tcW w:w="1911" w:type="pct"/>
            <w:vMerge w:val="continue"/>
            <w:vAlign w:val="center"/>
          </w:tcPr>
          <w:p>
            <w:pPr>
              <w:pStyle w:val="154"/>
              <w:jc w:val="both"/>
              <w:rPr>
                <w:rFonts w:ascii="Times New Roman"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505" w:type="pct"/>
            <w:vAlign w:val="center"/>
          </w:tcPr>
          <w:p>
            <w:pPr>
              <w:pStyle w:val="161"/>
              <w:numPr>
                <w:ilvl w:val="0"/>
                <w:numId w:val="19"/>
              </w:numPr>
              <w:ind w:firstLineChars="0"/>
              <w:jc w:val="center"/>
              <w:rPr>
                <w:sz w:val="18"/>
                <w:szCs w:val="18"/>
                <w:highlight w:val="none"/>
              </w:rPr>
            </w:pPr>
          </w:p>
        </w:tc>
        <w:tc>
          <w:tcPr>
            <w:tcW w:w="1194" w:type="pct"/>
            <w:vAlign w:val="center"/>
          </w:tcPr>
          <w:p>
            <w:pPr>
              <w:pStyle w:val="154"/>
              <w:rPr>
                <w:rFonts w:ascii="Times New Roman" w:eastAsia="宋体"/>
                <w:color w:val="auto"/>
                <w:sz w:val="18"/>
                <w:szCs w:val="18"/>
                <w:highlight w:val="none"/>
              </w:rPr>
            </w:pPr>
            <w:r>
              <w:rPr>
                <w:rFonts w:hint="eastAsia" w:ascii="Times New Roman" w:eastAsia="宋体"/>
                <w:color w:val="auto"/>
                <w:sz w:val="18"/>
                <w:szCs w:val="18"/>
                <w:highlight w:val="none"/>
              </w:rPr>
              <w:t>臭气浓度（无量纲）</w:t>
            </w:r>
          </w:p>
        </w:tc>
        <w:tc>
          <w:tcPr>
            <w:tcW w:w="1389" w:type="pct"/>
            <w:vAlign w:val="center"/>
          </w:tcPr>
          <w:p>
            <w:pPr>
              <w:pStyle w:val="154"/>
              <w:jc w:val="center"/>
              <w:rPr>
                <w:rFonts w:ascii="Times New Roman" w:eastAsia="宋体"/>
                <w:color w:val="auto"/>
                <w:sz w:val="18"/>
                <w:szCs w:val="18"/>
                <w:highlight w:val="none"/>
              </w:rPr>
            </w:pPr>
            <w:r>
              <w:rPr>
                <w:rFonts w:ascii="Times New Roman" w:eastAsia="宋体"/>
                <w:color w:val="auto"/>
                <w:sz w:val="18"/>
                <w:szCs w:val="18"/>
                <w:highlight w:val="none"/>
              </w:rPr>
              <w:t>16</w:t>
            </w:r>
          </w:p>
        </w:tc>
        <w:tc>
          <w:tcPr>
            <w:tcW w:w="1911" w:type="pct"/>
            <w:vMerge w:val="continue"/>
            <w:vAlign w:val="center"/>
          </w:tcPr>
          <w:p>
            <w:pPr>
              <w:pStyle w:val="154"/>
              <w:jc w:val="both"/>
              <w:rPr>
                <w:rFonts w:ascii="Times New Roman" w:eastAsia="宋体"/>
                <w:color w:val="auto"/>
                <w:sz w:val="18"/>
                <w:szCs w:val="18"/>
                <w:highlight w:val="none"/>
              </w:rPr>
            </w:pPr>
          </w:p>
        </w:tc>
      </w:tr>
    </w:tbl>
    <w:p>
      <w:pPr>
        <w:pStyle w:val="2"/>
        <w:rPr>
          <w:highlight w:val="none"/>
        </w:rPr>
      </w:pPr>
      <w:bookmarkStart w:id="37" w:name="_Toc88643844"/>
      <w:r>
        <w:rPr>
          <w:rFonts w:hint="eastAsia"/>
          <w:highlight w:val="none"/>
        </w:rPr>
        <w:t>污染物监测要求</w:t>
      </w:r>
      <w:bookmarkEnd w:id="37"/>
    </w:p>
    <w:p>
      <w:pPr>
        <w:pStyle w:val="3"/>
        <w:keepNext w:val="0"/>
        <w:keepLines w:val="0"/>
        <w:spacing w:before="156" w:beforeLines="50" w:after="156" w:afterLines="50"/>
        <w:rPr>
          <w:rFonts w:ascii="黑体" w:hAnsi="黑体"/>
          <w:highlight w:val="none"/>
        </w:rPr>
      </w:pPr>
      <w:bookmarkStart w:id="38" w:name="_Toc413076756"/>
      <w:r>
        <w:rPr>
          <w:rFonts w:hint="eastAsia" w:ascii="黑体" w:hAnsi="黑体"/>
          <w:highlight w:val="none"/>
        </w:rPr>
        <w:t>一般要求</w:t>
      </w:r>
    </w:p>
    <w:p>
      <w:pPr>
        <w:pStyle w:val="4"/>
        <w:rPr>
          <w:highlight w:val="none"/>
        </w:rPr>
      </w:pPr>
      <w:r>
        <w:rPr>
          <w:rFonts w:hint="eastAsia"/>
          <w:highlight w:val="none"/>
        </w:rPr>
        <w:t>企业应依据《环境监测管理办法》等规定，按照H</w:t>
      </w:r>
      <w:r>
        <w:rPr>
          <w:highlight w:val="none"/>
        </w:rPr>
        <w:t>J 861</w:t>
      </w:r>
      <w:r>
        <w:rPr>
          <w:rFonts w:hint="eastAsia"/>
          <w:highlight w:val="none"/>
        </w:rPr>
        <w:t xml:space="preserve">和HJ </w:t>
      </w:r>
      <w:r>
        <w:rPr>
          <w:highlight w:val="none"/>
        </w:rPr>
        <w:t>879</w:t>
      </w:r>
      <w:r>
        <w:rPr>
          <w:rFonts w:hint="eastAsia"/>
          <w:highlight w:val="none"/>
        </w:rPr>
        <w:t>等要求，建立监测制度，制定监测方案，对污染物排放状况及其对周边环境质量的影响开展自行监测，保存原始监测记录，并公布监测结果。</w:t>
      </w:r>
    </w:p>
    <w:p>
      <w:pPr>
        <w:pStyle w:val="4"/>
        <w:rPr>
          <w:highlight w:val="none"/>
        </w:rPr>
      </w:pPr>
      <w:bookmarkStart w:id="39" w:name="_Toc413076757"/>
      <w:r>
        <w:rPr>
          <w:rFonts w:hint="eastAsia"/>
          <w:highlight w:val="none"/>
        </w:rPr>
        <w:t>企业应依据《污染源自动监控管理办法》等规定安装污染物排放自动监控设备，按照国家和地方</w:t>
      </w:r>
      <w:r>
        <w:rPr>
          <w:rFonts w:hint="eastAsia"/>
          <w:highlight w:val="none"/>
          <w:lang w:eastAsia="zh-CN"/>
        </w:rPr>
        <w:t>的</w:t>
      </w:r>
      <w:r>
        <w:rPr>
          <w:rFonts w:hint="eastAsia"/>
          <w:highlight w:val="none"/>
        </w:rPr>
        <w:t>相关</w:t>
      </w:r>
      <w:r>
        <w:rPr>
          <w:rFonts w:hint="eastAsia"/>
          <w:highlight w:val="none"/>
          <w:lang w:eastAsia="zh-CN"/>
        </w:rPr>
        <w:t>要求运行维护</w:t>
      </w:r>
      <w:r>
        <w:rPr>
          <w:rFonts w:hint="eastAsia"/>
          <w:highlight w:val="none"/>
        </w:rPr>
        <w:t>。</w:t>
      </w:r>
      <w:bookmarkEnd w:id="39"/>
    </w:p>
    <w:p>
      <w:pPr>
        <w:pStyle w:val="4"/>
        <w:rPr>
          <w:highlight w:val="none"/>
        </w:rPr>
      </w:pPr>
      <w:r>
        <w:rPr>
          <w:rFonts w:hint="eastAsia"/>
          <w:highlight w:val="none"/>
        </w:rPr>
        <w:t>企业应按照环境监测管理规定和技术规范的要求，设计、建设、维护永久性采样口、采样测试平台和排污口标志。</w:t>
      </w:r>
    </w:p>
    <w:bookmarkEnd w:id="38"/>
    <w:p>
      <w:pPr>
        <w:pStyle w:val="3"/>
        <w:keepNext w:val="0"/>
        <w:keepLines w:val="0"/>
        <w:spacing w:before="156" w:beforeLines="50" w:after="156" w:afterLines="50"/>
        <w:rPr>
          <w:rFonts w:ascii="黑体" w:hAnsi="黑体"/>
          <w:highlight w:val="none"/>
        </w:rPr>
      </w:pPr>
      <w:bookmarkStart w:id="40" w:name="_Toc413076758"/>
      <w:r>
        <w:rPr>
          <w:rFonts w:hint="eastAsia" w:ascii="黑体" w:hAnsi="黑体"/>
          <w:highlight w:val="none"/>
          <w:lang w:eastAsia="zh-CN"/>
        </w:rPr>
        <w:t>有组织排放</w:t>
      </w:r>
      <w:r>
        <w:rPr>
          <w:rFonts w:hint="eastAsia" w:ascii="黑体" w:hAnsi="黑体"/>
          <w:highlight w:val="none"/>
        </w:rPr>
        <w:t>监测</w:t>
      </w:r>
    </w:p>
    <w:p>
      <w:pPr>
        <w:pStyle w:val="4"/>
        <w:rPr>
          <w:highlight w:val="none"/>
        </w:rPr>
      </w:pPr>
      <w:r>
        <w:rPr>
          <w:rFonts w:hint="eastAsia"/>
          <w:highlight w:val="none"/>
          <w:lang w:eastAsia="zh-CN"/>
        </w:rPr>
        <w:t>有组织排放</w:t>
      </w:r>
      <w:r>
        <w:rPr>
          <w:rFonts w:hint="eastAsia"/>
          <w:highlight w:val="none"/>
        </w:rPr>
        <w:t>监测应在规定的监控位置进行，有废气处理设施的，应在</w:t>
      </w:r>
      <w:r>
        <w:rPr>
          <w:rFonts w:hint="eastAsia"/>
          <w:highlight w:val="none"/>
          <w:lang w:eastAsia="zh-CN"/>
        </w:rPr>
        <w:t>处理</w:t>
      </w:r>
      <w:r>
        <w:rPr>
          <w:rFonts w:hint="eastAsia"/>
          <w:highlight w:val="none"/>
        </w:rPr>
        <w:t>设施后</w:t>
      </w:r>
      <w:r>
        <w:rPr>
          <w:rFonts w:hint="eastAsia"/>
          <w:highlight w:val="none"/>
          <w:lang w:eastAsia="zh-CN"/>
        </w:rPr>
        <w:t>监测</w:t>
      </w:r>
      <w:r>
        <w:rPr>
          <w:rFonts w:hint="eastAsia"/>
          <w:highlight w:val="none"/>
        </w:rPr>
        <w:t>。</w:t>
      </w:r>
    </w:p>
    <w:bookmarkEnd w:id="40"/>
    <w:p>
      <w:pPr>
        <w:pStyle w:val="4"/>
        <w:rPr>
          <w:highlight w:val="none"/>
        </w:rPr>
      </w:pPr>
      <w:bookmarkStart w:id="41" w:name="_Toc413076759"/>
      <w:r>
        <w:rPr>
          <w:rFonts w:hint="eastAsia"/>
          <w:highlight w:val="none"/>
          <w:lang w:eastAsia="zh-CN"/>
        </w:rPr>
        <w:t>有组织排放</w:t>
      </w:r>
      <w:r>
        <w:rPr>
          <w:rFonts w:hint="eastAsia"/>
          <w:highlight w:val="none"/>
        </w:rPr>
        <w:t>大气污染物的监测按</w:t>
      </w:r>
      <w:r>
        <w:rPr>
          <w:highlight w:val="none"/>
        </w:rPr>
        <w:t>GB/T 16157</w:t>
      </w:r>
      <w:r>
        <w:rPr>
          <w:rFonts w:hint="eastAsia"/>
          <w:highlight w:val="none"/>
        </w:rPr>
        <w:t>、</w:t>
      </w:r>
      <w:r>
        <w:rPr>
          <w:highlight w:val="none"/>
        </w:rPr>
        <w:t>HJ/T 397</w:t>
      </w:r>
      <w:r>
        <w:rPr>
          <w:rFonts w:hint="eastAsia"/>
          <w:highlight w:val="none"/>
        </w:rPr>
        <w:t>、H</w:t>
      </w:r>
      <w:r>
        <w:rPr>
          <w:highlight w:val="none"/>
        </w:rPr>
        <w:t>J 905</w:t>
      </w:r>
      <w:r>
        <w:rPr>
          <w:rFonts w:hint="eastAsia"/>
          <w:highlight w:val="none"/>
        </w:rPr>
        <w:t>、</w:t>
      </w:r>
      <w:r>
        <w:rPr>
          <w:highlight w:val="none"/>
        </w:rPr>
        <w:t>HJ 75</w:t>
      </w:r>
      <w:r>
        <w:rPr>
          <w:rFonts w:hint="eastAsia"/>
          <w:highlight w:val="none"/>
        </w:rPr>
        <w:t>和HJ 1286的规定执行。</w:t>
      </w:r>
      <w:bookmarkEnd w:id="41"/>
    </w:p>
    <w:p>
      <w:pPr>
        <w:pStyle w:val="3"/>
        <w:keepNext w:val="0"/>
        <w:keepLines w:val="0"/>
        <w:spacing w:before="156" w:beforeLines="50" w:after="156" w:afterLines="50"/>
        <w:rPr>
          <w:rFonts w:ascii="黑体" w:hAnsi="黑体"/>
          <w:highlight w:val="none"/>
        </w:rPr>
      </w:pPr>
      <w:r>
        <w:rPr>
          <w:rFonts w:hint="eastAsia" w:ascii="黑体" w:hAnsi="黑体"/>
          <w:highlight w:val="none"/>
        </w:rPr>
        <w:t>厂区内</w:t>
      </w:r>
      <w:r>
        <w:rPr>
          <w:rFonts w:hint="eastAsia" w:ascii="黑体" w:hAnsi="黑体"/>
          <w:highlight w:val="none"/>
          <w:lang w:eastAsia="zh-CN"/>
        </w:rPr>
        <w:t>无组织排放</w:t>
      </w:r>
      <w:r>
        <w:rPr>
          <w:rFonts w:hint="eastAsia" w:ascii="黑体" w:hAnsi="黑体"/>
          <w:highlight w:val="none"/>
        </w:rPr>
        <w:t>监测</w:t>
      </w:r>
    </w:p>
    <w:p>
      <w:pPr>
        <w:pStyle w:val="4"/>
        <w:rPr>
          <w:highlight w:val="none"/>
        </w:rPr>
      </w:pPr>
      <w:r>
        <w:rPr>
          <w:rFonts w:hint="eastAsia"/>
          <w:highlight w:val="none"/>
        </w:rPr>
        <w:t>对厂区内无组织排放进行监控时，在厂房门窗或通风口、其他开口（孔）等排放口外1 m，距离地面</w:t>
      </w:r>
      <w:r>
        <w:rPr>
          <w:highlight w:val="none"/>
        </w:rPr>
        <w:t>1.5 m</w:t>
      </w:r>
      <w:r>
        <w:rPr>
          <w:rFonts w:hint="eastAsia"/>
          <w:highlight w:val="none"/>
        </w:rPr>
        <w:t>以上位置处进行监测。若厂房不完整（如有顶无围墙），则在操作工位下风向1 m，距离地面1.5 m以上位置处进行监测。</w:t>
      </w:r>
    </w:p>
    <w:p>
      <w:pPr>
        <w:pStyle w:val="4"/>
        <w:rPr>
          <w:highlight w:val="none"/>
        </w:rPr>
      </w:pPr>
      <w:r>
        <w:rPr>
          <w:rFonts w:hint="eastAsia"/>
          <w:highlight w:val="none"/>
        </w:rPr>
        <w:t>厂区内非甲烷总烃任何1</w:t>
      </w:r>
      <w:r>
        <w:rPr>
          <w:highlight w:val="none"/>
        </w:rPr>
        <w:t xml:space="preserve"> h</w:t>
      </w:r>
      <w:r>
        <w:rPr>
          <w:rFonts w:hint="eastAsia"/>
          <w:highlight w:val="none"/>
        </w:rPr>
        <w:t>平均浓度的监测按照HJ 604规定的方法，以连续1</w:t>
      </w:r>
      <w:r>
        <w:rPr>
          <w:highlight w:val="none"/>
        </w:rPr>
        <w:t xml:space="preserve"> h</w:t>
      </w:r>
      <w:r>
        <w:rPr>
          <w:rFonts w:hint="eastAsia"/>
          <w:highlight w:val="none"/>
        </w:rPr>
        <w:t>采样获取平均值，或在1</w:t>
      </w:r>
      <w:r>
        <w:rPr>
          <w:highlight w:val="none"/>
        </w:rPr>
        <w:t xml:space="preserve"> h</w:t>
      </w:r>
      <w:r>
        <w:rPr>
          <w:rFonts w:hint="eastAsia"/>
          <w:highlight w:val="none"/>
        </w:rPr>
        <w:t>内以等时间间隔采集3个～4个样品计算平均值。厂区内非甲烷总烃任意一次浓度值的监测，按照</w:t>
      </w:r>
      <w:r>
        <w:rPr>
          <w:highlight w:val="none"/>
        </w:rPr>
        <w:t>HJ 604</w:t>
      </w:r>
      <w:r>
        <w:rPr>
          <w:rFonts w:hint="eastAsia"/>
          <w:highlight w:val="none"/>
        </w:rPr>
        <w:t>或便携式监测仪器相关</w:t>
      </w:r>
      <w:r>
        <w:rPr>
          <w:rFonts w:hint="eastAsia"/>
          <w:highlight w:val="none"/>
          <w:lang w:eastAsia="zh-CN"/>
        </w:rPr>
        <w:t>生态环境监测</w:t>
      </w:r>
      <w:r>
        <w:rPr>
          <w:rFonts w:hint="eastAsia"/>
          <w:highlight w:val="none"/>
        </w:rPr>
        <w:t>标准执行。</w:t>
      </w:r>
    </w:p>
    <w:p>
      <w:pPr>
        <w:pStyle w:val="3"/>
        <w:keepNext w:val="0"/>
        <w:keepLines w:val="0"/>
        <w:spacing w:before="156" w:beforeLines="50" w:after="156" w:afterLines="50"/>
        <w:rPr>
          <w:rFonts w:ascii="黑体" w:hAnsi="黑体"/>
          <w:highlight w:val="none"/>
        </w:rPr>
      </w:pPr>
      <w:r>
        <w:rPr>
          <w:rFonts w:hint="eastAsia" w:ascii="黑体" w:hAnsi="黑体"/>
          <w:highlight w:val="none"/>
        </w:rPr>
        <w:t>企业边界监测</w:t>
      </w:r>
    </w:p>
    <w:p>
      <w:pPr>
        <w:pStyle w:val="4"/>
        <w:rPr>
          <w:highlight w:val="none"/>
        </w:rPr>
      </w:pPr>
      <w:r>
        <w:rPr>
          <w:rFonts w:hint="eastAsia"/>
          <w:highlight w:val="none"/>
        </w:rPr>
        <w:t>企业边界臭气浓度的监测应按HJ 905要求执行，其他大气污染物监测按</w:t>
      </w:r>
      <w:r>
        <w:rPr>
          <w:highlight w:val="none"/>
        </w:rPr>
        <w:t>HJ/T 55</w:t>
      </w:r>
      <w:r>
        <w:rPr>
          <w:rFonts w:hint="eastAsia"/>
          <w:highlight w:val="none"/>
        </w:rPr>
        <w:t>要求执行。</w:t>
      </w:r>
    </w:p>
    <w:p>
      <w:pPr>
        <w:pStyle w:val="4"/>
        <w:rPr>
          <w:highlight w:val="none"/>
        </w:rPr>
      </w:pPr>
      <w:r>
        <w:rPr>
          <w:rFonts w:hint="eastAsia"/>
          <w:highlight w:val="none"/>
        </w:rPr>
        <w:t>企业边界大气污染物浓度的监测，除臭气浓度外，一般以连续1 h采样获取平均值；若浓度偏低，可适当延长采样时间；若分析方法灵敏度高，仅需短时间采集时，应在1 h内以等时间间隔采集3个～4个样品，计算平均值。</w:t>
      </w:r>
    </w:p>
    <w:p>
      <w:pPr>
        <w:pStyle w:val="3"/>
        <w:keepLines w:val="0"/>
        <w:spacing w:before="156" w:beforeLines="50" w:after="156" w:afterLines="50"/>
        <w:rPr>
          <w:rFonts w:ascii="黑体" w:hAnsi="黑体"/>
          <w:highlight w:val="none"/>
        </w:rPr>
      </w:pPr>
      <w:r>
        <w:rPr>
          <w:rFonts w:hint="eastAsia" w:ascii="黑体" w:hAnsi="黑体"/>
          <w:highlight w:val="none"/>
        </w:rPr>
        <w:t>监测分析方法</w:t>
      </w:r>
    </w:p>
    <w:p>
      <w:pPr>
        <w:pStyle w:val="4"/>
        <w:rPr>
          <w:highlight w:val="none"/>
        </w:rPr>
      </w:pPr>
      <w:bookmarkStart w:id="42" w:name="_Toc413076760"/>
      <w:r>
        <w:rPr>
          <w:rFonts w:hint="eastAsia"/>
          <w:highlight w:val="none"/>
        </w:rPr>
        <w:t>大气污染物的分析测定采用表4所列的监测分析方法标准。</w:t>
      </w:r>
      <w:bookmarkEnd w:id="42"/>
    </w:p>
    <w:p>
      <w:pPr>
        <w:pStyle w:val="142"/>
        <w:keepNext/>
        <w:widowControl w:val="0"/>
        <w:tabs>
          <w:tab w:val="left" w:pos="360"/>
        </w:tabs>
        <w:spacing w:before="156" w:after="156"/>
        <w:rPr>
          <w:rFonts w:ascii="Times New Roman"/>
          <w:szCs w:val="21"/>
          <w:highlight w:val="none"/>
        </w:rPr>
      </w:pPr>
      <w:r>
        <w:rPr>
          <w:rFonts w:hint="eastAsia" w:ascii="Times New Roman"/>
          <w:szCs w:val="21"/>
          <w:highlight w:val="none"/>
        </w:rPr>
        <w:t>大气污染物浓度的监测分析方法标准</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4"/>
        <w:gridCol w:w="1584"/>
        <w:gridCol w:w="6238"/>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序号</w:t>
            </w:r>
          </w:p>
        </w:tc>
        <w:tc>
          <w:tcPr>
            <w:tcW w:w="829"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污染物项目</w:t>
            </w:r>
          </w:p>
        </w:tc>
        <w:tc>
          <w:tcPr>
            <w:tcW w:w="3264"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方法标准名称</w:t>
            </w:r>
          </w:p>
        </w:tc>
        <w:tc>
          <w:tcPr>
            <w:tcW w:w="610"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方法标准编号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restart"/>
            <w:vAlign w:val="center"/>
          </w:tcPr>
          <w:p>
            <w:pPr>
              <w:pStyle w:val="161"/>
              <w:numPr>
                <w:ilvl w:val="0"/>
                <w:numId w:val="20"/>
              </w:numPr>
              <w:ind w:firstLineChars="0"/>
              <w:jc w:val="center"/>
              <w:rPr>
                <w:sz w:val="18"/>
                <w:szCs w:val="18"/>
                <w:highlight w:val="none"/>
              </w:rPr>
            </w:pPr>
          </w:p>
        </w:tc>
        <w:tc>
          <w:tcPr>
            <w:tcW w:w="829" w:type="pct"/>
            <w:vMerge w:val="restart"/>
            <w:shd w:val="clear" w:color="auto" w:fill="auto"/>
            <w:vAlign w:val="center"/>
          </w:tcPr>
          <w:p>
            <w:pPr>
              <w:jc w:val="left"/>
              <w:rPr>
                <w:sz w:val="18"/>
                <w:szCs w:val="18"/>
                <w:highlight w:val="none"/>
              </w:rPr>
            </w:pPr>
            <w:r>
              <w:rPr>
                <w:rFonts w:hint="eastAsia"/>
                <w:sz w:val="18"/>
                <w:szCs w:val="18"/>
                <w:highlight w:val="none"/>
              </w:rPr>
              <w:t>颗粒物</w:t>
            </w:r>
          </w:p>
        </w:tc>
        <w:tc>
          <w:tcPr>
            <w:tcW w:w="3264" w:type="pct"/>
            <w:shd w:val="clear" w:color="auto" w:fill="auto"/>
            <w:vAlign w:val="center"/>
          </w:tcPr>
          <w:p>
            <w:pPr>
              <w:rPr>
                <w:sz w:val="18"/>
                <w:szCs w:val="18"/>
                <w:highlight w:val="none"/>
              </w:rPr>
            </w:pPr>
            <w:r>
              <w:rPr>
                <w:rFonts w:hint="eastAsia"/>
                <w:sz w:val="18"/>
                <w:szCs w:val="18"/>
                <w:highlight w:val="none"/>
              </w:rPr>
              <w:t>固定污染源废气</w:t>
            </w:r>
            <w:r>
              <w:rPr>
                <w:sz w:val="18"/>
                <w:szCs w:val="18"/>
                <w:highlight w:val="none"/>
              </w:rPr>
              <w:t xml:space="preserve">  </w:t>
            </w:r>
            <w:r>
              <w:rPr>
                <w:rFonts w:hint="eastAsia"/>
                <w:sz w:val="18"/>
                <w:szCs w:val="18"/>
                <w:highlight w:val="none"/>
              </w:rPr>
              <w:t>低浓度颗粒物的测定</w:t>
            </w:r>
            <w:r>
              <w:rPr>
                <w:sz w:val="18"/>
                <w:szCs w:val="18"/>
                <w:highlight w:val="none"/>
              </w:rPr>
              <w:t xml:space="preserve">  </w:t>
            </w:r>
            <w:r>
              <w:rPr>
                <w:rFonts w:hint="eastAsia"/>
                <w:sz w:val="18"/>
                <w:szCs w:val="18"/>
                <w:highlight w:val="none"/>
              </w:rPr>
              <w:t>重量法</w:t>
            </w:r>
          </w:p>
        </w:tc>
        <w:tc>
          <w:tcPr>
            <w:tcW w:w="610" w:type="pct"/>
            <w:shd w:val="clear" w:color="auto" w:fill="auto"/>
            <w:vAlign w:val="center"/>
          </w:tcPr>
          <w:p>
            <w:pPr>
              <w:jc w:val="center"/>
              <w:rPr>
                <w:sz w:val="18"/>
                <w:szCs w:val="18"/>
                <w:highlight w:val="none"/>
              </w:rPr>
            </w:pPr>
            <w:r>
              <w:rPr>
                <w:sz w:val="18"/>
                <w:szCs w:val="18"/>
                <w:highlight w:val="none"/>
              </w:rPr>
              <w:t>HJ 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continue"/>
            <w:vAlign w:val="center"/>
          </w:tcPr>
          <w:p>
            <w:pPr>
              <w:pStyle w:val="161"/>
              <w:numPr>
                <w:ilvl w:val="0"/>
                <w:numId w:val="20"/>
              </w:numPr>
              <w:ind w:firstLineChars="0"/>
              <w:jc w:val="center"/>
              <w:rPr>
                <w:sz w:val="18"/>
                <w:szCs w:val="18"/>
                <w:highlight w:val="none"/>
              </w:rPr>
            </w:pPr>
          </w:p>
        </w:tc>
        <w:tc>
          <w:tcPr>
            <w:tcW w:w="829" w:type="pct"/>
            <w:vMerge w:val="continue"/>
            <w:shd w:val="clear" w:color="auto" w:fill="auto"/>
            <w:vAlign w:val="center"/>
          </w:tcPr>
          <w:p>
            <w:pPr>
              <w:jc w:val="left"/>
              <w:rPr>
                <w:sz w:val="18"/>
                <w:szCs w:val="18"/>
                <w:highlight w:val="none"/>
              </w:rPr>
            </w:pPr>
          </w:p>
        </w:tc>
        <w:tc>
          <w:tcPr>
            <w:tcW w:w="3264" w:type="pct"/>
            <w:shd w:val="clear" w:color="auto" w:fill="auto"/>
            <w:vAlign w:val="center"/>
          </w:tcPr>
          <w:p>
            <w:pPr>
              <w:numPr>
                <w:ilvl w:val="0"/>
                <w:numId w:val="0"/>
              </w:numPr>
              <w:rPr>
                <w:sz w:val="18"/>
                <w:szCs w:val="18"/>
                <w:highlight w:val="none"/>
              </w:rPr>
            </w:pPr>
            <w:bookmarkStart w:id="43" w:name="_Hlk72506635"/>
            <w:r>
              <w:rPr>
                <w:rFonts w:hint="eastAsia"/>
                <w:sz w:val="18"/>
                <w:szCs w:val="18"/>
                <w:highlight w:val="none"/>
              </w:rPr>
              <w:t>固定污染源排气中颗粒物测定与气态污染物采样方法</w:t>
            </w:r>
            <w:bookmarkEnd w:id="43"/>
          </w:p>
        </w:tc>
        <w:tc>
          <w:tcPr>
            <w:tcW w:w="610" w:type="pct"/>
            <w:shd w:val="clear" w:color="auto" w:fill="auto"/>
            <w:vAlign w:val="center"/>
          </w:tcPr>
          <w:p>
            <w:pPr>
              <w:numPr>
                <w:ilvl w:val="0"/>
                <w:numId w:val="0"/>
              </w:numPr>
              <w:jc w:val="both"/>
              <w:rPr>
                <w:sz w:val="18"/>
                <w:szCs w:val="18"/>
                <w:highlight w:val="none"/>
              </w:rPr>
            </w:pPr>
            <w:r>
              <w:rPr>
                <w:sz w:val="18"/>
                <w:szCs w:val="18"/>
                <w:highlight w:val="none"/>
              </w:rPr>
              <w:t>GB/T 16157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continue"/>
            <w:vAlign w:val="center"/>
          </w:tcPr>
          <w:p>
            <w:pPr>
              <w:pStyle w:val="161"/>
              <w:numPr>
                <w:ilvl w:val="0"/>
                <w:numId w:val="20"/>
              </w:numPr>
              <w:ind w:firstLineChars="0"/>
              <w:jc w:val="center"/>
              <w:rPr>
                <w:sz w:val="18"/>
                <w:szCs w:val="18"/>
                <w:highlight w:val="none"/>
              </w:rPr>
            </w:pPr>
          </w:p>
        </w:tc>
        <w:tc>
          <w:tcPr>
            <w:tcW w:w="829" w:type="pct"/>
            <w:vMerge w:val="continue"/>
            <w:vAlign w:val="center"/>
          </w:tcPr>
          <w:p>
            <w:pPr>
              <w:autoSpaceDE w:val="0"/>
              <w:autoSpaceDN w:val="0"/>
              <w:adjustRightInd w:val="0"/>
              <w:jc w:val="left"/>
              <w:rPr>
                <w:kern w:val="0"/>
                <w:sz w:val="18"/>
                <w:szCs w:val="18"/>
                <w:highlight w:val="none"/>
              </w:rPr>
            </w:pPr>
          </w:p>
        </w:tc>
        <w:tc>
          <w:tcPr>
            <w:tcW w:w="3264" w:type="pct"/>
            <w:vAlign w:val="center"/>
          </w:tcPr>
          <w:p>
            <w:pPr>
              <w:autoSpaceDE w:val="0"/>
              <w:autoSpaceDN w:val="0"/>
              <w:adjustRightInd w:val="0"/>
              <w:rPr>
                <w:kern w:val="0"/>
                <w:sz w:val="18"/>
                <w:szCs w:val="18"/>
                <w:highlight w:val="none"/>
              </w:rPr>
            </w:pPr>
            <w:r>
              <w:rPr>
                <w:rFonts w:hint="eastAsia"/>
                <w:kern w:val="0"/>
                <w:sz w:val="18"/>
                <w:szCs w:val="18"/>
                <w:highlight w:val="none"/>
              </w:rPr>
              <w:t>环境空气</w:t>
            </w:r>
            <w:r>
              <w:rPr>
                <w:kern w:val="0"/>
                <w:sz w:val="18"/>
                <w:szCs w:val="18"/>
                <w:highlight w:val="none"/>
              </w:rPr>
              <w:t xml:space="preserve">  </w:t>
            </w:r>
            <w:r>
              <w:rPr>
                <w:rFonts w:hint="eastAsia"/>
                <w:kern w:val="0"/>
                <w:sz w:val="18"/>
                <w:szCs w:val="18"/>
                <w:highlight w:val="none"/>
              </w:rPr>
              <w:t>总悬浮颗粒物的测定</w:t>
            </w:r>
            <w:r>
              <w:rPr>
                <w:kern w:val="0"/>
                <w:sz w:val="18"/>
                <w:szCs w:val="18"/>
                <w:highlight w:val="none"/>
              </w:rPr>
              <w:t xml:space="preserve">  </w:t>
            </w:r>
            <w:r>
              <w:rPr>
                <w:rFonts w:hint="eastAsia"/>
                <w:kern w:val="0"/>
                <w:sz w:val="18"/>
                <w:szCs w:val="18"/>
                <w:highlight w:val="none"/>
              </w:rPr>
              <w:t>重量法</w:t>
            </w:r>
          </w:p>
        </w:tc>
        <w:tc>
          <w:tcPr>
            <w:tcW w:w="610"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HJ 1263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Align w:val="center"/>
          </w:tcPr>
          <w:p>
            <w:pPr>
              <w:pStyle w:val="161"/>
              <w:numPr>
                <w:ilvl w:val="0"/>
                <w:numId w:val="20"/>
              </w:numPr>
              <w:ind w:firstLineChars="0"/>
              <w:jc w:val="center"/>
              <w:rPr>
                <w:sz w:val="18"/>
                <w:szCs w:val="18"/>
                <w:highlight w:val="none"/>
              </w:rPr>
            </w:pPr>
          </w:p>
        </w:tc>
        <w:tc>
          <w:tcPr>
            <w:tcW w:w="829" w:type="pct"/>
            <w:vAlign w:val="center"/>
          </w:tcPr>
          <w:p>
            <w:pPr>
              <w:autoSpaceDE w:val="0"/>
              <w:autoSpaceDN w:val="0"/>
              <w:adjustRightInd w:val="0"/>
              <w:jc w:val="left"/>
              <w:rPr>
                <w:kern w:val="0"/>
                <w:sz w:val="18"/>
                <w:szCs w:val="18"/>
                <w:highlight w:val="none"/>
              </w:rPr>
            </w:pPr>
            <w:r>
              <w:rPr>
                <w:rFonts w:hint="eastAsia"/>
                <w:kern w:val="0"/>
                <w:sz w:val="18"/>
                <w:szCs w:val="18"/>
                <w:highlight w:val="none"/>
              </w:rPr>
              <w:t>油雾</w:t>
            </w:r>
          </w:p>
        </w:tc>
        <w:tc>
          <w:tcPr>
            <w:tcW w:w="3264" w:type="pct"/>
            <w:vAlign w:val="center"/>
          </w:tcPr>
          <w:p>
            <w:pPr>
              <w:autoSpaceDE w:val="0"/>
              <w:autoSpaceDN w:val="0"/>
              <w:adjustRightInd w:val="0"/>
              <w:rPr>
                <w:kern w:val="0"/>
                <w:sz w:val="18"/>
                <w:szCs w:val="18"/>
                <w:highlight w:val="none"/>
              </w:rPr>
            </w:pPr>
            <w:r>
              <w:rPr>
                <w:rFonts w:hint="eastAsia"/>
                <w:kern w:val="0"/>
                <w:sz w:val="18"/>
                <w:szCs w:val="18"/>
                <w:highlight w:val="none"/>
              </w:rPr>
              <w:t xml:space="preserve">固定污染源废气 </w:t>
            </w:r>
            <w:r>
              <w:rPr>
                <w:kern w:val="0"/>
                <w:sz w:val="18"/>
                <w:szCs w:val="18"/>
                <w:highlight w:val="none"/>
              </w:rPr>
              <w:t xml:space="preserve"> </w:t>
            </w:r>
            <w:r>
              <w:rPr>
                <w:rFonts w:hint="eastAsia"/>
                <w:kern w:val="0"/>
                <w:sz w:val="18"/>
                <w:szCs w:val="18"/>
                <w:highlight w:val="none"/>
              </w:rPr>
              <w:t xml:space="preserve">油烟和油雾的测定 </w:t>
            </w:r>
            <w:r>
              <w:rPr>
                <w:kern w:val="0"/>
                <w:sz w:val="18"/>
                <w:szCs w:val="18"/>
                <w:highlight w:val="none"/>
              </w:rPr>
              <w:t xml:space="preserve"> </w:t>
            </w:r>
            <w:r>
              <w:rPr>
                <w:rFonts w:hint="eastAsia"/>
                <w:kern w:val="0"/>
                <w:sz w:val="18"/>
                <w:szCs w:val="18"/>
                <w:highlight w:val="none"/>
              </w:rPr>
              <w:t>红外分光光度法</w:t>
            </w:r>
          </w:p>
        </w:tc>
        <w:tc>
          <w:tcPr>
            <w:tcW w:w="610"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H</w:t>
            </w:r>
            <w:r>
              <w:rPr>
                <w:kern w:val="0"/>
                <w:sz w:val="18"/>
                <w:szCs w:val="18"/>
                <w:highlight w:val="none"/>
              </w:rPr>
              <w:t>J 1077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restart"/>
            <w:vAlign w:val="center"/>
          </w:tcPr>
          <w:p>
            <w:pPr>
              <w:pStyle w:val="161"/>
              <w:numPr>
                <w:ilvl w:val="0"/>
                <w:numId w:val="20"/>
              </w:numPr>
              <w:ind w:firstLineChars="0"/>
              <w:jc w:val="center"/>
              <w:rPr>
                <w:sz w:val="18"/>
                <w:szCs w:val="18"/>
                <w:highlight w:val="none"/>
              </w:rPr>
            </w:pPr>
          </w:p>
        </w:tc>
        <w:tc>
          <w:tcPr>
            <w:tcW w:w="829" w:type="pct"/>
            <w:vMerge w:val="restart"/>
            <w:vAlign w:val="center"/>
          </w:tcPr>
          <w:p>
            <w:pPr>
              <w:autoSpaceDE w:val="0"/>
              <w:autoSpaceDN w:val="0"/>
              <w:adjustRightInd w:val="0"/>
              <w:jc w:val="left"/>
              <w:rPr>
                <w:kern w:val="0"/>
                <w:sz w:val="18"/>
                <w:szCs w:val="18"/>
                <w:highlight w:val="none"/>
              </w:rPr>
            </w:pPr>
            <w:r>
              <w:rPr>
                <w:rFonts w:hint="eastAsia"/>
                <w:kern w:val="0"/>
                <w:sz w:val="18"/>
                <w:szCs w:val="18"/>
                <w:highlight w:val="none"/>
              </w:rPr>
              <w:t>非甲烷总烃</w:t>
            </w:r>
          </w:p>
        </w:tc>
        <w:tc>
          <w:tcPr>
            <w:tcW w:w="3264" w:type="pct"/>
            <w:vAlign w:val="center"/>
          </w:tcPr>
          <w:p>
            <w:pPr>
              <w:autoSpaceDE w:val="0"/>
              <w:autoSpaceDN w:val="0"/>
              <w:adjustRightInd w:val="0"/>
              <w:rPr>
                <w:kern w:val="0"/>
                <w:sz w:val="18"/>
                <w:szCs w:val="18"/>
                <w:highlight w:val="none"/>
              </w:rPr>
            </w:pPr>
            <w:r>
              <w:rPr>
                <w:rFonts w:hint="eastAsia"/>
                <w:kern w:val="0"/>
                <w:sz w:val="18"/>
                <w:szCs w:val="18"/>
                <w:highlight w:val="none"/>
              </w:rPr>
              <w:t>固定污染源废气  总烃、甲烷和非甲烷总烃的测定  气相色谱法</w:t>
            </w:r>
          </w:p>
        </w:tc>
        <w:tc>
          <w:tcPr>
            <w:tcW w:w="610"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HJ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continue"/>
            <w:vAlign w:val="center"/>
          </w:tcPr>
          <w:p>
            <w:pPr>
              <w:pStyle w:val="161"/>
              <w:ind w:firstLineChars="0"/>
              <w:jc w:val="center"/>
              <w:rPr>
                <w:sz w:val="18"/>
                <w:szCs w:val="18"/>
                <w:highlight w:val="none"/>
              </w:rPr>
            </w:pPr>
          </w:p>
        </w:tc>
        <w:tc>
          <w:tcPr>
            <w:tcW w:w="829" w:type="pct"/>
            <w:vMerge w:val="continue"/>
            <w:vAlign w:val="center"/>
          </w:tcPr>
          <w:p>
            <w:pPr>
              <w:autoSpaceDE w:val="0"/>
              <w:autoSpaceDN w:val="0"/>
              <w:adjustRightInd w:val="0"/>
              <w:jc w:val="left"/>
              <w:rPr>
                <w:kern w:val="0"/>
                <w:sz w:val="18"/>
                <w:szCs w:val="18"/>
                <w:highlight w:val="none"/>
              </w:rPr>
            </w:pPr>
          </w:p>
        </w:tc>
        <w:tc>
          <w:tcPr>
            <w:tcW w:w="3264" w:type="pct"/>
            <w:vAlign w:val="center"/>
          </w:tcPr>
          <w:p>
            <w:pPr>
              <w:autoSpaceDE w:val="0"/>
              <w:autoSpaceDN w:val="0"/>
              <w:adjustRightInd w:val="0"/>
              <w:rPr>
                <w:kern w:val="0"/>
                <w:sz w:val="18"/>
                <w:szCs w:val="18"/>
                <w:highlight w:val="none"/>
              </w:rPr>
            </w:pPr>
            <w:r>
              <w:rPr>
                <w:rFonts w:hint="eastAsia"/>
                <w:kern w:val="0"/>
                <w:sz w:val="18"/>
                <w:szCs w:val="18"/>
                <w:highlight w:val="none"/>
              </w:rPr>
              <w:t>环境空气  总烃、甲烷和非甲烷总烃的测定  直接进样-气相色谱法</w:t>
            </w:r>
          </w:p>
        </w:tc>
        <w:tc>
          <w:tcPr>
            <w:tcW w:w="610" w:type="pct"/>
            <w:vAlign w:val="center"/>
          </w:tcPr>
          <w:p>
            <w:pPr>
              <w:autoSpaceDE w:val="0"/>
              <w:autoSpaceDN w:val="0"/>
              <w:adjustRightInd w:val="0"/>
              <w:jc w:val="center"/>
              <w:rPr>
                <w:kern w:val="0"/>
                <w:sz w:val="18"/>
                <w:szCs w:val="18"/>
                <w:highlight w:val="none"/>
              </w:rPr>
            </w:pPr>
            <w:r>
              <w:rPr>
                <w:rFonts w:hint="eastAsia"/>
                <w:kern w:val="0"/>
                <w:sz w:val="18"/>
                <w:szCs w:val="18"/>
                <w:highlight w:val="none"/>
              </w:rPr>
              <w:t>HJ 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restart"/>
            <w:shd w:val="clear" w:color="auto" w:fill="FFFFFF" w:themeFill="background1"/>
            <w:vAlign w:val="center"/>
          </w:tcPr>
          <w:p>
            <w:pPr>
              <w:jc w:val="center"/>
              <w:rPr>
                <w:sz w:val="18"/>
                <w:szCs w:val="18"/>
                <w:highlight w:val="none"/>
              </w:rPr>
            </w:pPr>
            <w:r>
              <w:rPr>
                <w:rFonts w:hint="eastAsia"/>
                <w:sz w:val="18"/>
                <w:szCs w:val="18"/>
                <w:highlight w:val="none"/>
              </w:rPr>
              <w:t>4</w:t>
            </w:r>
          </w:p>
        </w:tc>
        <w:tc>
          <w:tcPr>
            <w:tcW w:w="829" w:type="pct"/>
            <w:vMerge w:val="restart"/>
            <w:shd w:val="clear" w:color="auto" w:fill="FFFFFF" w:themeFill="background1"/>
            <w:vAlign w:val="center"/>
          </w:tcPr>
          <w:p>
            <w:pPr>
              <w:autoSpaceDE w:val="0"/>
              <w:autoSpaceDN w:val="0"/>
              <w:adjustRightInd w:val="0"/>
              <w:jc w:val="left"/>
              <w:rPr>
                <w:kern w:val="0"/>
                <w:sz w:val="18"/>
                <w:szCs w:val="18"/>
                <w:highlight w:val="none"/>
              </w:rPr>
            </w:pPr>
            <w:r>
              <w:rPr>
                <w:rFonts w:hint="eastAsia"/>
                <w:kern w:val="0"/>
                <w:sz w:val="18"/>
                <w:szCs w:val="18"/>
                <w:highlight w:val="none"/>
              </w:rPr>
              <w:t>苯、苯系物</w:t>
            </w:r>
          </w:p>
        </w:tc>
        <w:tc>
          <w:tcPr>
            <w:tcW w:w="3264" w:type="pct"/>
            <w:shd w:val="clear" w:color="auto" w:fill="FFFFFF" w:themeFill="background1"/>
            <w:vAlign w:val="center"/>
          </w:tcPr>
          <w:p>
            <w:pPr>
              <w:autoSpaceDE w:val="0"/>
              <w:autoSpaceDN w:val="0"/>
              <w:adjustRightInd w:val="0"/>
              <w:rPr>
                <w:kern w:val="0"/>
                <w:sz w:val="18"/>
                <w:szCs w:val="18"/>
                <w:highlight w:val="none"/>
              </w:rPr>
            </w:pPr>
            <w:r>
              <w:rPr>
                <w:rFonts w:hint="eastAsia"/>
                <w:kern w:val="0"/>
                <w:sz w:val="18"/>
                <w:szCs w:val="18"/>
                <w:highlight w:val="none"/>
              </w:rPr>
              <w:t xml:space="preserve">固定污染源废气 </w:t>
            </w:r>
            <w:r>
              <w:rPr>
                <w:kern w:val="0"/>
                <w:sz w:val="18"/>
                <w:szCs w:val="18"/>
                <w:highlight w:val="none"/>
              </w:rPr>
              <w:t xml:space="preserve"> </w:t>
            </w:r>
            <w:r>
              <w:rPr>
                <w:rFonts w:hint="eastAsia"/>
                <w:kern w:val="0"/>
                <w:sz w:val="18"/>
                <w:szCs w:val="18"/>
                <w:highlight w:val="none"/>
              </w:rPr>
              <w:t>挥发性有机物的测定  固相吸附-热脱附/气相色谱-质谱法</w:t>
            </w:r>
          </w:p>
        </w:tc>
        <w:tc>
          <w:tcPr>
            <w:tcW w:w="610" w:type="pct"/>
            <w:shd w:val="clear" w:color="auto" w:fill="FFFFFF" w:themeFill="background1"/>
            <w:vAlign w:val="center"/>
          </w:tcPr>
          <w:p>
            <w:pPr>
              <w:autoSpaceDE w:val="0"/>
              <w:autoSpaceDN w:val="0"/>
              <w:adjustRightInd w:val="0"/>
              <w:jc w:val="center"/>
              <w:rPr>
                <w:kern w:val="0"/>
                <w:sz w:val="18"/>
                <w:szCs w:val="18"/>
                <w:highlight w:val="none"/>
              </w:rPr>
            </w:pPr>
            <w:r>
              <w:rPr>
                <w:rFonts w:hint="eastAsia"/>
                <w:kern w:val="0"/>
                <w:sz w:val="18"/>
                <w:szCs w:val="18"/>
                <w:highlight w:val="none"/>
              </w:rPr>
              <w:t>H</w:t>
            </w:r>
            <w:r>
              <w:rPr>
                <w:kern w:val="0"/>
                <w:sz w:val="18"/>
                <w:szCs w:val="18"/>
                <w:highlight w:val="none"/>
              </w:rPr>
              <w:t>J 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continue"/>
            <w:shd w:val="clear" w:color="auto" w:fill="FFFFFF" w:themeFill="background1"/>
            <w:vAlign w:val="center"/>
          </w:tcPr>
          <w:p>
            <w:pPr>
              <w:pStyle w:val="161"/>
              <w:ind w:firstLineChars="0"/>
              <w:jc w:val="center"/>
              <w:rPr>
                <w:sz w:val="18"/>
                <w:szCs w:val="18"/>
                <w:highlight w:val="none"/>
              </w:rPr>
            </w:pPr>
          </w:p>
        </w:tc>
        <w:tc>
          <w:tcPr>
            <w:tcW w:w="829" w:type="pct"/>
            <w:vMerge w:val="continue"/>
            <w:shd w:val="clear" w:color="auto" w:fill="FFFFFF" w:themeFill="background1"/>
            <w:vAlign w:val="center"/>
          </w:tcPr>
          <w:p>
            <w:pPr>
              <w:autoSpaceDE w:val="0"/>
              <w:autoSpaceDN w:val="0"/>
              <w:adjustRightInd w:val="0"/>
              <w:jc w:val="left"/>
              <w:rPr>
                <w:kern w:val="0"/>
                <w:sz w:val="18"/>
                <w:szCs w:val="18"/>
                <w:highlight w:val="none"/>
              </w:rPr>
            </w:pPr>
          </w:p>
        </w:tc>
        <w:tc>
          <w:tcPr>
            <w:tcW w:w="3264" w:type="pct"/>
            <w:shd w:val="clear" w:color="auto" w:fill="FFFFFF" w:themeFill="background1"/>
            <w:vAlign w:val="center"/>
          </w:tcPr>
          <w:p>
            <w:pPr>
              <w:autoSpaceDE w:val="0"/>
              <w:autoSpaceDN w:val="0"/>
              <w:adjustRightInd w:val="0"/>
              <w:rPr>
                <w:kern w:val="0"/>
                <w:sz w:val="18"/>
                <w:szCs w:val="18"/>
                <w:highlight w:val="none"/>
              </w:rPr>
            </w:pPr>
            <w:r>
              <w:rPr>
                <w:rFonts w:hint="eastAsia"/>
                <w:kern w:val="0"/>
                <w:sz w:val="18"/>
                <w:szCs w:val="18"/>
                <w:highlight w:val="none"/>
              </w:rPr>
              <w:t>固定污染源废气</w:t>
            </w:r>
            <w:r>
              <w:rPr>
                <w:kern w:val="0"/>
                <w:sz w:val="18"/>
                <w:szCs w:val="18"/>
                <w:highlight w:val="none"/>
              </w:rPr>
              <w:t xml:space="preserve">  </w:t>
            </w:r>
            <w:r>
              <w:rPr>
                <w:rFonts w:hint="eastAsia"/>
                <w:kern w:val="0"/>
                <w:sz w:val="18"/>
                <w:szCs w:val="18"/>
                <w:highlight w:val="none"/>
              </w:rPr>
              <w:t>苯系物的测定</w:t>
            </w:r>
            <w:r>
              <w:rPr>
                <w:kern w:val="0"/>
                <w:sz w:val="18"/>
                <w:szCs w:val="18"/>
                <w:highlight w:val="none"/>
              </w:rPr>
              <w:t xml:space="preserve">  </w:t>
            </w:r>
            <w:r>
              <w:rPr>
                <w:rFonts w:hint="eastAsia"/>
                <w:kern w:val="0"/>
                <w:sz w:val="18"/>
                <w:szCs w:val="18"/>
                <w:highlight w:val="none"/>
              </w:rPr>
              <w:t>气袋采样/直接进样-气相色谱法</w:t>
            </w:r>
          </w:p>
        </w:tc>
        <w:tc>
          <w:tcPr>
            <w:tcW w:w="610" w:type="pct"/>
            <w:shd w:val="clear" w:color="auto" w:fill="FFFFFF" w:themeFill="background1"/>
            <w:vAlign w:val="center"/>
          </w:tcPr>
          <w:p>
            <w:pPr>
              <w:autoSpaceDE w:val="0"/>
              <w:autoSpaceDN w:val="0"/>
              <w:adjustRightInd w:val="0"/>
              <w:jc w:val="center"/>
              <w:rPr>
                <w:kern w:val="0"/>
                <w:sz w:val="18"/>
                <w:szCs w:val="18"/>
                <w:highlight w:val="none"/>
              </w:rPr>
            </w:pPr>
            <w:r>
              <w:rPr>
                <w:rFonts w:hint="eastAsia"/>
                <w:kern w:val="0"/>
                <w:sz w:val="18"/>
                <w:szCs w:val="18"/>
                <w:highlight w:val="none"/>
              </w:rPr>
              <w:t>HJ 1261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restart"/>
            <w:vAlign w:val="center"/>
          </w:tcPr>
          <w:p>
            <w:pPr>
              <w:pStyle w:val="161"/>
              <w:ind w:firstLine="0" w:firstLineChars="0"/>
              <w:jc w:val="center"/>
              <w:rPr>
                <w:sz w:val="18"/>
                <w:szCs w:val="18"/>
                <w:highlight w:val="none"/>
              </w:rPr>
            </w:pPr>
            <w:r>
              <w:rPr>
                <w:rFonts w:hint="eastAsia"/>
                <w:sz w:val="18"/>
                <w:szCs w:val="18"/>
                <w:highlight w:val="none"/>
              </w:rPr>
              <w:t>5</w:t>
            </w:r>
          </w:p>
        </w:tc>
        <w:tc>
          <w:tcPr>
            <w:tcW w:w="829" w:type="pct"/>
            <w:vMerge w:val="restart"/>
            <w:vAlign w:val="center"/>
          </w:tcPr>
          <w:p>
            <w:pPr>
              <w:autoSpaceDE w:val="0"/>
              <w:autoSpaceDN w:val="0"/>
              <w:adjustRightInd w:val="0"/>
              <w:jc w:val="left"/>
              <w:rPr>
                <w:kern w:val="0"/>
                <w:sz w:val="18"/>
                <w:szCs w:val="18"/>
                <w:highlight w:val="none"/>
              </w:rPr>
            </w:pPr>
            <w:r>
              <w:rPr>
                <w:rFonts w:hint="eastAsia"/>
                <w:kern w:val="0"/>
                <w:sz w:val="18"/>
                <w:szCs w:val="18"/>
                <w:highlight w:val="none"/>
              </w:rPr>
              <w:t>甲醛</w:t>
            </w:r>
          </w:p>
        </w:tc>
        <w:tc>
          <w:tcPr>
            <w:tcW w:w="3264" w:type="pct"/>
            <w:vAlign w:val="center"/>
          </w:tcPr>
          <w:p>
            <w:pPr>
              <w:autoSpaceDE w:val="0"/>
              <w:autoSpaceDN w:val="0"/>
              <w:adjustRightInd w:val="0"/>
              <w:rPr>
                <w:kern w:val="0"/>
                <w:sz w:val="18"/>
                <w:szCs w:val="18"/>
                <w:highlight w:val="none"/>
              </w:rPr>
            </w:pPr>
            <w:r>
              <w:rPr>
                <w:rFonts w:hint="eastAsia"/>
                <w:kern w:val="0"/>
                <w:sz w:val="18"/>
                <w:szCs w:val="18"/>
                <w:highlight w:val="none"/>
              </w:rPr>
              <w:t>空气质量</w:t>
            </w:r>
            <w:r>
              <w:rPr>
                <w:kern w:val="0"/>
                <w:sz w:val="18"/>
                <w:szCs w:val="18"/>
                <w:highlight w:val="none"/>
              </w:rPr>
              <w:t xml:space="preserve">  </w:t>
            </w:r>
            <w:r>
              <w:rPr>
                <w:rFonts w:hint="eastAsia"/>
                <w:kern w:val="0"/>
                <w:sz w:val="18"/>
                <w:szCs w:val="18"/>
                <w:highlight w:val="none"/>
              </w:rPr>
              <w:t>甲醛的测定</w:t>
            </w:r>
            <w:r>
              <w:rPr>
                <w:kern w:val="0"/>
                <w:sz w:val="18"/>
                <w:szCs w:val="18"/>
                <w:highlight w:val="none"/>
              </w:rPr>
              <w:t xml:space="preserve">  </w:t>
            </w:r>
            <w:r>
              <w:rPr>
                <w:rFonts w:hint="eastAsia"/>
                <w:kern w:val="0"/>
                <w:sz w:val="18"/>
                <w:szCs w:val="18"/>
                <w:highlight w:val="none"/>
              </w:rPr>
              <w:t>乙酰丙酮分光光度法</w:t>
            </w:r>
          </w:p>
        </w:tc>
        <w:tc>
          <w:tcPr>
            <w:tcW w:w="610" w:type="pct"/>
            <w:vAlign w:val="center"/>
          </w:tcPr>
          <w:p>
            <w:pPr>
              <w:autoSpaceDE w:val="0"/>
              <w:autoSpaceDN w:val="0"/>
              <w:adjustRightInd w:val="0"/>
              <w:jc w:val="center"/>
              <w:rPr>
                <w:kern w:val="0"/>
                <w:sz w:val="18"/>
                <w:szCs w:val="18"/>
                <w:highlight w:val="none"/>
              </w:rPr>
            </w:pPr>
            <w:r>
              <w:rPr>
                <w:kern w:val="0"/>
                <w:sz w:val="18"/>
                <w:szCs w:val="18"/>
                <w:highlight w:val="none"/>
              </w:rPr>
              <w:t>GB/T 15516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Merge w:val="continue"/>
            <w:vAlign w:val="center"/>
          </w:tcPr>
          <w:p>
            <w:pPr>
              <w:pStyle w:val="161"/>
              <w:ind w:firstLineChars="0"/>
              <w:jc w:val="center"/>
              <w:rPr>
                <w:sz w:val="18"/>
                <w:szCs w:val="18"/>
                <w:highlight w:val="none"/>
              </w:rPr>
            </w:pPr>
          </w:p>
        </w:tc>
        <w:tc>
          <w:tcPr>
            <w:tcW w:w="829" w:type="pct"/>
            <w:vMerge w:val="continue"/>
            <w:vAlign w:val="center"/>
          </w:tcPr>
          <w:p>
            <w:pPr>
              <w:autoSpaceDE w:val="0"/>
              <w:autoSpaceDN w:val="0"/>
              <w:adjustRightInd w:val="0"/>
              <w:jc w:val="left"/>
              <w:rPr>
                <w:kern w:val="0"/>
                <w:sz w:val="18"/>
                <w:szCs w:val="18"/>
                <w:highlight w:val="none"/>
              </w:rPr>
            </w:pPr>
          </w:p>
        </w:tc>
        <w:tc>
          <w:tcPr>
            <w:tcW w:w="3264" w:type="pct"/>
            <w:vAlign w:val="center"/>
          </w:tcPr>
          <w:p>
            <w:pPr>
              <w:autoSpaceDE w:val="0"/>
              <w:autoSpaceDN w:val="0"/>
              <w:adjustRightInd w:val="0"/>
              <w:rPr>
                <w:kern w:val="0"/>
                <w:sz w:val="18"/>
                <w:szCs w:val="18"/>
                <w:highlight w:val="none"/>
              </w:rPr>
            </w:pPr>
            <w:r>
              <w:rPr>
                <w:rFonts w:hint="eastAsia"/>
                <w:kern w:val="0"/>
                <w:sz w:val="18"/>
                <w:szCs w:val="18"/>
                <w:highlight w:val="none"/>
              </w:rPr>
              <w:t>固定污染源废气</w:t>
            </w:r>
            <w:r>
              <w:rPr>
                <w:kern w:val="0"/>
                <w:sz w:val="18"/>
                <w:szCs w:val="18"/>
                <w:highlight w:val="none"/>
              </w:rPr>
              <w:t xml:space="preserve">  </w:t>
            </w:r>
            <w:r>
              <w:rPr>
                <w:rFonts w:hint="eastAsia"/>
                <w:kern w:val="0"/>
                <w:sz w:val="18"/>
                <w:szCs w:val="18"/>
                <w:highlight w:val="none"/>
              </w:rPr>
              <w:t>醛、酮类化合物的测定</w:t>
            </w:r>
            <w:r>
              <w:rPr>
                <w:kern w:val="0"/>
                <w:sz w:val="18"/>
                <w:szCs w:val="18"/>
                <w:highlight w:val="none"/>
              </w:rPr>
              <w:t xml:space="preserve">  </w:t>
            </w:r>
            <w:r>
              <w:rPr>
                <w:rFonts w:hint="eastAsia"/>
                <w:kern w:val="0"/>
                <w:sz w:val="18"/>
                <w:szCs w:val="18"/>
                <w:highlight w:val="none"/>
              </w:rPr>
              <w:t>溶液吸收</w:t>
            </w:r>
            <w:r>
              <w:rPr>
                <w:kern w:val="0"/>
                <w:sz w:val="18"/>
                <w:szCs w:val="18"/>
                <w:highlight w:val="none"/>
              </w:rPr>
              <w:t>-</w:t>
            </w:r>
            <w:r>
              <w:rPr>
                <w:rFonts w:hint="eastAsia"/>
                <w:kern w:val="0"/>
                <w:sz w:val="18"/>
                <w:szCs w:val="18"/>
                <w:highlight w:val="none"/>
              </w:rPr>
              <w:t>高效液相色谱法</w:t>
            </w:r>
          </w:p>
        </w:tc>
        <w:tc>
          <w:tcPr>
            <w:tcW w:w="610" w:type="pct"/>
            <w:vAlign w:val="center"/>
          </w:tcPr>
          <w:p>
            <w:pPr>
              <w:autoSpaceDE w:val="0"/>
              <w:autoSpaceDN w:val="0"/>
              <w:adjustRightInd w:val="0"/>
              <w:jc w:val="center"/>
              <w:rPr>
                <w:kern w:val="0"/>
                <w:sz w:val="18"/>
                <w:szCs w:val="18"/>
                <w:highlight w:val="none"/>
              </w:rPr>
            </w:pPr>
            <w:r>
              <w:rPr>
                <w:kern w:val="0"/>
                <w:sz w:val="18"/>
                <w:szCs w:val="18"/>
                <w:highlight w:val="none"/>
              </w:rPr>
              <w:t>HJ 1153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Align w:val="center"/>
          </w:tcPr>
          <w:p>
            <w:pPr>
              <w:pStyle w:val="161"/>
              <w:ind w:firstLine="0" w:firstLineChars="0"/>
              <w:jc w:val="center"/>
              <w:rPr>
                <w:sz w:val="18"/>
                <w:szCs w:val="18"/>
                <w:highlight w:val="none"/>
              </w:rPr>
            </w:pPr>
            <w:r>
              <w:rPr>
                <w:rFonts w:hint="eastAsia"/>
                <w:sz w:val="18"/>
                <w:szCs w:val="18"/>
                <w:highlight w:val="none"/>
              </w:rPr>
              <w:t>6</w:t>
            </w:r>
          </w:p>
        </w:tc>
        <w:tc>
          <w:tcPr>
            <w:tcW w:w="829" w:type="pct"/>
            <w:vAlign w:val="center"/>
          </w:tcPr>
          <w:p>
            <w:pPr>
              <w:autoSpaceDE w:val="0"/>
              <w:autoSpaceDN w:val="0"/>
              <w:adjustRightInd w:val="0"/>
              <w:jc w:val="left"/>
              <w:rPr>
                <w:kern w:val="0"/>
                <w:sz w:val="18"/>
                <w:szCs w:val="18"/>
                <w:highlight w:val="none"/>
              </w:rPr>
            </w:pPr>
            <w:r>
              <w:rPr>
                <w:rFonts w:hint="eastAsia"/>
                <w:kern w:val="0"/>
                <w:sz w:val="18"/>
                <w:szCs w:val="18"/>
                <w:highlight w:val="none"/>
              </w:rPr>
              <w:t>臭气浓度</w:t>
            </w:r>
          </w:p>
        </w:tc>
        <w:tc>
          <w:tcPr>
            <w:tcW w:w="3264" w:type="pct"/>
            <w:vAlign w:val="center"/>
          </w:tcPr>
          <w:p>
            <w:pPr>
              <w:autoSpaceDE w:val="0"/>
              <w:autoSpaceDN w:val="0"/>
              <w:adjustRightInd w:val="0"/>
              <w:rPr>
                <w:sz w:val="18"/>
                <w:szCs w:val="18"/>
                <w:highlight w:val="none"/>
              </w:rPr>
            </w:pPr>
            <w:r>
              <w:rPr>
                <w:rFonts w:hint="eastAsia"/>
                <w:kern w:val="0"/>
                <w:sz w:val="18"/>
                <w:szCs w:val="18"/>
                <w:highlight w:val="none"/>
              </w:rPr>
              <w:t>环境空气和废气</w:t>
            </w:r>
            <w:r>
              <w:rPr>
                <w:kern w:val="0"/>
                <w:sz w:val="18"/>
                <w:szCs w:val="18"/>
                <w:highlight w:val="none"/>
              </w:rPr>
              <w:t xml:space="preserve">  </w:t>
            </w:r>
            <w:r>
              <w:rPr>
                <w:rFonts w:hint="eastAsia"/>
                <w:kern w:val="0"/>
                <w:sz w:val="18"/>
                <w:szCs w:val="18"/>
                <w:highlight w:val="none"/>
              </w:rPr>
              <w:t>臭气的测定</w:t>
            </w:r>
            <w:r>
              <w:rPr>
                <w:kern w:val="0"/>
                <w:sz w:val="18"/>
                <w:szCs w:val="18"/>
                <w:highlight w:val="none"/>
              </w:rPr>
              <w:t xml:space="preserve">  </w:t>
            </w:r>
            <w:r>
              <w:rPr>
                <w:rFonts w:hint="eastAsia"/>
                <w:kern w:val="0"/>
                <w:sz w:val="18"/>
                <w:szCs w:val="18"/>
                <w:highlight w:val="none"/>
              </w:rPr>
              <w:t>三点比较式臭袋法</w:t>
            </w:r>
          </w:p>
        </w:tc>
        <w:tc>
          <w:tcPr>
            <w:tcW w:w="610" w:type="pct"/>
            <w:vAlign w:val="center"/>
          </w:tcPr>
          <w:p>
            <w:pPr>
              <w:autoSpaceDE w:val="0"/>
              <w:autoSpaceDN w:val="0"/>
              <w:adjustRightInd w:val="0"/>
              <w:jc w:val="center"/>
              <w:rPr>
                <w:sz w:val="18"/>
                <w:szCs w:val="18"/>
                <w:highlight w:val="none"/>
              </w:rPr>
            </w:pPr>
            <w:r>
              <w:rPr>
                <w:rFonts w:hint="eastAsia"/>
                <w:kern w:val="0"/>
                <w:sz w:val="18"/>
                <w:szCs w:val="18"/>
                <w:highlight w:val="none"/>
              </w:rPr>
              <w:t>HJ 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95" w:type="pct"/>
            <w:vAlign w:val="center"/>
          </w:tcPr>
          <w:p>
            <w:pPr>
              <w:pStyle w:val="161"/>
              <w:ind w:firstLine="0" w:firstLineChars="0"/>
              <w:jc w:val="center"/>
              <w:rPr>
                <w:sz w:val="18"/>
                <w:szCs w:val="18"/>
                <w:highlight w:val="none"/>
              </w:rPr>
            </w:pPr>
            <w:r>
              <w:rPr>
                <w:rFonts w:hint="eastAsia"/>
                <w:sz w:val="18"/>
                <w:szCs w:val="18"/>
                <w:highlight w:val="none"/>
              </w:rPr>
              <w:t>7</w:t>
            </w:r>
          </w:p>
        </w:tc>
        <w:tc>
          <w:tcPr>
            <w:tcW w:w="829" w:type="pct"/>
            <w:vAlign w:val="center"/>
          </w:tcPr>
          <w:p>
            <w:pPr>
              <w:autoSpaceDE w:val="0"/>
              <w:autoSpaceDN w:val="0"/>
              <w:adjustRightInd w:val="0"/>
              <w:jc w:val="left"/>
              <w:rPr>
                <w:kern w:val="0"/>
                <w:sz w:val="18"/>
                <w:szCs w:val="18"/>
                <w:highlight w:val="none"/>
              </w:rPr>
            </w:pPr>
            <w:r>
              <w:rPr>
                <w:i/>
                <w:kern w:val="0"/>
                <w:sz w:val="18"/>
                <w:szCs w:val="18"/>
                <w:highlight w:val="none"/>
              </w:rPr>
              <w:t>N,N</w:t>
            </w:r>
            <w:r>
              <w:rPr>
                <w:rFonts w:hint="eastAsia"/>
                <w:kern w:val="0"/>
                <w:sz w:val="18"/>
                <w:szCs w:val="18"/>
                <w:highlight w:val="none"/>
              </w:rPr>
              <w:t>-二甲基甲酰胺</w:t>
            </w:r>
          </w:p>
        </w:tc>
        <w:tc>
          <w:tcPr>
            <w:tcW w:w="3264" w:type="pct"/>
            <w:vAlign w:val="center"/>
          </w:tcPr>
          <w:p>
            <w:pPr>
              <w:autoSpaceDE w:val="0"/>
              <w:autoSpaceDN w:val="0"/>
              <w:adjustRightInd w:val="0"/>
              <w:rPr>
                <w:sz w:val="18"/>
                <w:szCs w:val="18"/>
                <w:highlight w:val="none"/>
              </w:rPr>
            </w:pPr>
            <w:r>
              <w:rPr>
                <w:rFonts w:hint="eastAsia"/>
                <w:kern w:val="0"/>
                <w:sz w:val="18"/>
                <w:szCs w:val="18"/>
                <w:highlight w:val="none"/>
              </w:rPr>
              <w:t>环境空气和废气  酰胺类化合物的测定  液相色谱法</w:t>
            </w:r>
          </w:p>
        </w:tc>
        <w:tc>
          <w:tcPr>
            <w:tcW w:w="610" w:type="pct"/>
            <w:vAlign w:val="center"/>
          </w:tcPr>
          <w:p>
            <w:pPr>
              <w:autoSpaceDE w:val="0"/>
              <w:autoSpaceDN w:val="0"/>
              <w:adjustRightInd w:val="0"/>
              <w:jc w:val="center"/>
              <w:rPr>
                <w:sz w:val="18"/>
                <w:szCs w:val="18"/>
                <w:highlight w:val="none"/>
              </w:rPr>
            </w:pPr>
            <w:r>
              <w:rPr>
                <w:rFonts w:hint="eastAsia"/>
                <w:kern w:val="0"/>
                <w:sz w:val="18"/>
                <w:szCs w:val="18"/>
                <w:highlight w:val="none"/>
              </w:rPr>
              <w:t>HJ 801</w:t>
            </w:r>
          </w:p>
        </w:tc>
      </w:tr>
    </w:tbl>
    <w:p>
      <w:pPr>
        <w:spacing w:line="360" w:lineRule="exact"/>
        <w:ind w:firstLine="420" w:firstLineChars="200"/>
        <w:rPr>
          <w:szCs w:val="21"/>
          <w:highlight w:val="none"/>
        </w:rPr>
      </w:pPr>
    </w:p>
    <w:p>
      <w:pPr>
        <w:pStyle w:val="4"/>
        <w:rPr>
          <w:highlight w:val="none"/>
        </w:rPr>
      </w:pPr>
      <w:r>
        <w:rPr>
          <w:rFonts w:hint="eastAsia"/>
          <w:highlight w:val="none"/>
        </w:rPr>
        <w:t>本文件实施后</w:t>
      </w:r>
      <w:r>
        <w:rPr>
          <w:rFonts w:hint="eastAsia"/>
          <w:highlight w:val="none"/>
          <w:lang w:eastAsia="zh-CN"/>
        </w:rPr>
        <w:t>国家</w:t>
      </w:r>
      <w:r>
        <w:rPr>
          <w:rFonts w:hint="eastAsia"/>
          <w:highlight w:val="none"/>
        </w:rPr>
        <w:t>发布的监测分析方法标准，如适用性满足要求，同样适用于本文件相应污染物的测定。</w:t>
      </w:r>
    </w:p>
    <w:p>
      <w:pPr>
        <w:pStyle w:val="2"/>
        <w:rPr>
          <w:highlight w:val="none"/>
        </w:rPr>
      </w:pPr>
      <w:bookmarkStart w:id="44" w:name="_Toc88643845"/>
      <w:r>
        <w:rPr>
          <w:rFonts w:hint="eastAsia"/>
          <w:highlight w:val="none"/>
        </w:rPr>
        <w:t>达标判定</w:t>
      </w:r>
      <w:bookmarkEnd w:id="44"/>
    </w:p>
    <w:p>
      <w:pPr>
        <w:pStyle w:val="3"/>
        <w:keepNext w:val="0"/>
        <w:keepLines w:val="0"/>
        <w:spacing w:before="0" w:after="0"/>
        <w:rPr>
          <w:rFonts w:ascii="Times New Roman" w:hAnsi="Times New Roman" w:eastAsiaTheme="minorEastAsia"/>
          <w:highlight w:val="none"/>
        </w:rPr>
      </w:pPr>
      <w:bookmarkStart w:id="45" w:name="_Toc86759631"/>
      <w:bookmarkEnd w:id="45"/>
      <w:bookmarkStart w:id="46" w:name="_Toc86329916"/>
      <w:bookmarkEnd w:id="46"/>
      <w:bookmarkStart w:id="47" w:name="_Toc86759635"/>
      <w:bookmarkEnd w:id="47"/>
      <w:bookmarkStart w:id="48" w:name="_Toc86759634"/>
      <w:bookmarkEnd w:id="48"/>
      <w:bookmarkStart w:id="49" w:name="_Toc86329917"/>
      <w:bookmarkEnd w:id="49"/>
      <w:bookmarkStart w:id="50" w:name="_Toc86759633"/>
      <w:bookmarkEnd w:id="50"/>
      <w:bookmarkStart w:id="51" w:name="_Toc86329919"/>
      <w:bookmarkEnd w:id="51"/>
      <w:bookmarkStart w:id="52" w:name="_Toc86329918"/>
      <w:bookmarkEnd w:id="52"/>
      <w:bookmarkStart w:id="53" w:name="_Toc86759632"/>
      <w:bookmarkEnd w:id="53"/>
      <w:bookmarkStart w:id="54" w:name="_Toc86329920"/>
      <w:bookmarkEnd w:id="54"/>
      <w:bookmarkStart w:id="55" w:name="_Hlk78986266"/>
      <w:r>
        <w:rPr>
          <w:rFonts w:hint="eastAsia" w:ascii="Times New Roman" w:hAnsi="Times New Roman" w:eastAsiaTheme="minorEastAsia"/>
          <w:highlight w:val="none"/>
        </w:rPr>
        <w:t>对于有组织排放和企业边界监控点，采用手工监测时，除臭气浓度外，按照</w:t>
      </w:r>
      <w:r>
        <w:rPr>
          <w:rFonts w:hint="eastAsia" w:ascii="Times New Roman" w:hAnsi="Times New Roman" w:eastAsiaTheme="minorEastAsia"/>
          <w:highlight w:val="none"/>
          <w:lang w:eastAsia="zh-CN"/>
        </w:rPr>
        <w:t>生态</w:t>
      </w:r>
      <w:r>
        <w:rPr>
          <w:rFonts w:hint="eastAsia" w:ascii="Times New Roman" w:hAnsi="Times New Roman" w:eastAsiaTheme="minorEastAsia"/>
          <w:highlight w:val="none"/>
        </w:rPr>
        <w:t>环境监测标准要求测定的任何1</w:t>
      </w:r>
      <w:r>
        <w:rPr>
          <w:rFonts w:ascii="Times New Roman" w:hAnsi="Times New Roman" w:eastAsiaTheme="minorEastAsia"/>
          <w:highlight w:val="none"/>
        </w:rPr>
        <w:t xml:space="preserve"> h</w:t>
      </w:r>
      <w:r>
        <w:rPr>
          <w:rFonts w:hint="eastAsia" w:ascii="Times New Roman" w:hAnsi="Times New Roman" w:eastAsiaTheme="minorEastAsia"/>
          <w:highlight w:val="none"/>
        </w:rPr>
        <w:t>平均浓度值超过本文件规定的限值，判定为超标；臭气浓度为最大测定值，按照</w:t>
      </w:r>
      <w:r>
        <w:rPr>
          <w:rFonts w:hint="eastAsia" w:ascii="Times New Roman" w:hAnsi="Times New Roman" w:eastAsiaTheme="minorEastAsia"/>
          <w:highlight w:val="none"/>
          <w:lang w:eastAsia="zh-CN"/>
        </w:rPr>
        <w:t>生态</w:t>
      </w:r>
      <w:r>
        <w:rPr>
          <w:rFonts w:hint="eastAsia" w:ascii="Times New Roman" w:hAnsi="Times New Roman" w:eastAsiaTheme="minorEastAsia"/>
          <w:highlight w:val="none"/>
        </w:rPr>
        <w:t>环境监测标准要求测定的任意一次最大测定值超过本文件规定的限值，判定为超标。</w:t>
      </w:r>
    </w:p>
    <w:p>
      <w:pPr>
        <w:pStyle w:val="3"/>
        <w:keepNext w:val="0"/>
        <w:keepLines w:val="0"/>
        <w:spacing w:before="0" w:after="0"/>
        <w:rPr>
          <w:rFonts w:ascii="Times New Roman" w:hAnsi="Times New Roman" w:eastAsiaTheme="minorEastAsia"/>
          <w:highlight w:val="none"/>
        </w:rPr>
      </w:pPr>
      <w:r>
        <w:rPr>
          <w:rFonts w:hint="eastAsia" w:ascii="Times New Roman" w:hAnsi="Times New Roman" w:eastAsiaTheme="minorEastAsia"/>
          <w:highlight w:val="none"/>
        </w:rPr>
        <w:t>对于厂区内非甲烷总烃无组织排放监控点，按照生态环境监测标准要求测得的任何1</w:t>
      </w:r>
      <w:r>
        <w:rPr>
          <w:rFonts w:ascii="Times New Roman" w:hAnsi="Times New Roman" w:eastAsiaTheme="minorEastAsia"/>
          <w:highlight w:val="none"/>
        </w:rPr>
        <w:t xml:space="preserve"> h</w:t>
      </w:r>
      <w:r>
        <w:rPr>
          <w:rFonts w:hint="eastAsia" w:ascii="Times New Roman" w:hAnsi="Times New Roman" w:eastAsiaTheme="minorEastAsia"/>
          <w:highlight w:val="none"/>
        </w:rPr>
        <w:t>平均浓度值或任意一次浓度值超过本文件规定的相应限值，可判定为超标。</w:t>
      </w:r>
    </w:p>
    <w:p>
      <w:pPr>
        <w:pStyle w:val="3"/>
        <w:keepNext w:val="0"/>
        <w:keepLines w:val="0"/>
        <w:spacing w:before="0" w:after="0"/>
        <w:rPr>
          <w:rFonts w:ascii="Times New Roman" w:hAnsi="Times New Roman" w:eastAsiaTheme="minorEastAsia"/>
          <w:highlight w:val="none"/>
        </w:rPr>
      </w:pPr>
      <w:r>
        <w:rPr>
          <w:rFonts w:hint="eastAsia" w:ascii="Times New Roman" w:hAnsi="Times New Roman" w:eastAsiaTheme="minorEastAsia"/>
          <w:highlight w:val="none"/>
        </w:rPr>
        <w:t>采用自动监测时，达标判定按照国家和江苏省相关规定执行。</w:t>
      </w:r>
    </w:p>
    <w:p>
      <w:pPr>
        <w:pStyle w:val="2"/>
        <w:rPr>
          <w:highlight w:val="none"/>
        </w:rPr>
      </w:pPr>
      <w:bookmarkStart w:id="56" w:name="_Toc88643846"/>
      <w:r>
        <w:rPr>
          <w:rFonts w:hint="eastAsia"/>
          <w:highlight w:val="none"/>
        </w:rPr>
        <w:t>实施与监督</w:t>
      </w:r>
      <w:bookmarkEnd w:id="56"/>
    </w:p>
    <w:p>
      <w:pPr>
        <w:pStyle w:val="3"/>
        <w:keepNext w:val="0"/>
        <w:keepLines w:val="0"/>
        <w:spacing w:before="0" w:after="0"/>
        <w:rPr>
          <w:rFonts w:ascii="Times New Roman" w:hAnsi="Times New Roman" w:eastAsiaTheme="minorEastAsia"/>
          <w:highlight w:val="none"/>
        </w:rPr>
      </w:pPr>
      <w:bookmarkStart w:id="57" w:name="_Toc413076763"/>
      <w:r>
        <w:rPr>
          <w:rFonts w:hint="eastAsia" w:ascii="Times New Roman" w:hAnsi="Times New Roman" w:eastAsiaTheme="minorEastAsia"/>
          <w:highlight w:val="none"/>
        </w:rPr>
        <w:t>本文件由生态环境行政主管部门负责监督实施。</w:t>
      </w:r>
      <w:bookmarkEnd w:id="57"/>
      <w:bookmarkStart w:id="58" w:name="_Toc413076764"/>
    </w:p>
    <w:p>
      <w:pPr>
        <w:pStyle w:val="3"/>
        <w:keepNext w:val="0"/>
        <w:keepLines w:val="0"/>
        <w:widowControl/>
        <w:spacing w:before="0" w:after="0"/>
        <w:jc w:val="left"/>
        <w:rPr>
          <w:rFonts w:eastAsiaTheme="minorEastAsia"/>
          <w:highlight w:val="none"/>
        </w:rPr>
      </w:pPr>
      <w:r>
        <w:rPr>
          <w:rFonts w:hint="eastAsia" w:eastAsiaTheme="minorEastAsia"/>
          <w:highlight w:val="none"/>
        </w:rPr>
        <w:t>企业是实施排放标准的责任主体，应采取必要措施，达到本文件规定的污染物排放控制要求。</w:t>
      </w:r>
      <w:bookmarkEnd w:id="55"/>
      <w:bookmarkEnd w:id="58"/>
    </w:p>
    <w:p>
      <w:pPr>
        <w:pStyle w:val="3"/>
        <w:keepNext w:val="0"/>
        <w:keepLines w:val="0"/>
        <w:spacing w:before="0" w:after="0"/>
        <w:rPr>
          <w:rFonts w:ascii="Times New Roman" w:hAnsi="Times New Roman" w:eastAsiaTheme="minorEastAsia"/>
          <w:highlight w:val="none"/>
        </w:rPr>
      </w:pPr>
      <w:r>
        <w:rPr>
          <w:rFonts w:hint="eastAsia" w:ascii="Times New Roman" w:hAnsi="Times New Roman" w:eastAsiaTheme="minorEastAsia"/>
          <w:highlight w:val="none"/>
        </w:rPr>
        <w:t>企业未遵守本文件规定的措施性控制要求，构成违法行为的，依照法律法规等有关规定予以处理。</w:t>
      </w:r>
    </w:p>
    <w:p>
      <w:pPr>
        <w:widowControl/>
        <w:jc w:val="left"/>
        <w:rPr>
          <w:highlight w:val="none"/>
        </w:rPr>
      </w:pPr>
      <w:r>
        <w:rPr>
          <w:highlight w:val="none"/>
        </w:rPr>
        <w:br w:type="page"/>
      </w:r>
    </w:p>
    <w:p>
      <w:pPr>
        <w:pStyle w:val="2"/>
        <w:numPr>
          <w:ilvl w:val="0"/>
          <w:numId w:val="0"/>
        </w:numPr>
        <w:jc w:val="center"/>
        <w:rPr>
          <w:highlight w:val="none"/>
        </w:rPr>
      </w:pPr>
      <w:bookmarkStart w:id="59" w:name="_Toc88643847"/>
      <w:r>
        <w:rPr>
          <w:rFonts w:hint="eastAsia"/>
          <w:highlight w:val="none"/>
        </w:rPr>
        <w:t>参考文献</w:t>
      </w:r>
      <w:bookmarkEnd w:id="59"/>
    </w:p>
    <w:p>
      <w:pPr>
        <w:pStyle w:val="161"/>
        <w:numPr>
          <w:ilvl w:val="0"/>
          <w:numId w:val="21"/>
        </w:numPr>
        <w:ind w:firstLineChars="0"/>
        <w:rPr>
          <w:kern w:val="0"/>
          <w:szCs w:val="21"/>
          <w:highlight w:val="none"/>
        </w:rPr>
      </w:pPr>
      <w:r>
        <w:rPr>
          <w:szCs w:val="21"/>
          <w:highlight w:val="none"/>
        </w:rPr>
        <w:t>GB 16297</w:t>
      </w:r>
      <w:r>
        <w:rPr>
          <w:rFonts w:hint="eastAsia"/>
          <w:szCs w:val="21"/>
          <w:highlight w:val="none"/>
        </w:rPr>
        <w:t>—</w:t>
      </w:r>
      <w:r>
        <w:rPr>
          <w:szCs w:val="21"/>
          <w:highlight w:val="none"/>
        </w:rPr>
        <w:t>1996</w:t>
      </w:r>
      <w:r>
        <w:rPr>
          <w:rFonts w:hint="eastAsia"/>
          <w:kern w:val="0"/>
          <w:szCs w:val="21"/>
          <w:highlight w:val="none"/>
        </w:rPr>
        <w:t>大气污染物综合排放标准</w:t>
      </w:r>
    </w:p>
    <w:p>
      <w:pPr>
        <w:pStyle w:val="161"/>
        <w:numPr>
          <w:ilvl w:val="0"/>
          <w:numId w:val="21"/>
        </w:numPr>
        <w:ind w:firstLineChars="0"/>
        <w:rPr>
          <w:kern w:val="0"/>
          <w:szCs w:val="21"/>
          <w:highlight w:val="none"/>
        </w:rPr>
      </w:pPr>
      <w:r>
        <w:rPr>
          <w:rFonts w:hint="eastAsia"/>
          <w:kern w:val="0"/>
          <w:szCs w:val="21"/>
          <w:highlight w:val="none"/>
        </w:rPr>
        <w:t>《排污许可管理条例》（中华人民共和国国务院令  第736号）</w:t>
      </w:r>
    </w:p>
    <w:p>
      <w:pPr>
        <w:pStyle w:val="161"/>
        <w:numPr>
          <w:ilvl w:val="0"/>
          <w:numId w:val="21"/>
        </w:numPr>
        <w:ind w:firstLineChars="0"/>
        <w:rPr>
          <w:kern w:val="0"/>
          <w:szCs w:val="21"/>
          <w:highlight w:val="none"/>
        </w:rPr>
      </w:pPr>
      <w:r>
        <w:rPr>
          <w:rFonts w:hint="eastAsia"/>
          <w:kern w:val="0"/>
          <w:szCs w:val="21"/>
          <w:highlight w:val="none"/>
        </w:rPr>
        <w:t xml:space="preserve">《环境监测管理办法》（国家环境保护总局令 </w:t>
      </w:r>
      <w:r>
        <w:rPr>
          <w:kern w:val="0"/>
          <w:szCs w:val="21"/>
          <w:highlight w:val="none"/>
        </w:rPr>
        <w:t xml:space="preserve"> </w:t>
      </w:r>
      <w:r>
        <w:rPr>
          <w:rFonts w:hint="eastAsia"/>
          <w:kern w:val="0"/>
          <w:szCs w:val="21"/>
          <w:highlight w:val="none"/>
        </w:rPr>
        <w:t>第3</w:t>
      </w:r>
      <w:r>
        <w:rPr>
          <w:kern w:val="0"/>
          <w:szCs w:val="21"/>
          <w:highlight w:val="none"/>
        </w:rPr>
        <w:t>9</w:t>
      </w:r>
      <w:r>
        <w:rPr>
          <w:rFonts w:hint="eastAsia"/>
          <w:kern w:val="0"/>
          <w:szCs w:val="21"/>
          <w:highlight w:val="none"/>
        </w:rPr>
        <w:t>号）</w:t>
      </w:r>
    </w:p>
    <w:p>
      <w:pPr>
        <w:pStyle w:val="161"/>
        <w:numPr>
          <w:ilvl w:val="0"/>
          <w:numId w:val="21"/>
        </w:numPr>
        <w:ind w:firstLineChars="0"/>
        <w:rPr>
          <w:kern w:val="0"/>
          <w:szCs w:val="21"/>
          <w:highlight w:val="none"/>
        </w:rPr>
      </w:pPr>
      <w:r>
        <w:rPr>
          <w:rFonts w:hint="eastAsia"/>
          <w:kern w:val="0"/>
          <w:szCs w:val="21"/>
          <w:highlight w:val="none"/>
        </w:rPr>
        <w:t xml:space="preserve">《污染源自动监控管理办法》（国家环境保护总局令 </w:t>
      </w:r>
      <w:r>
        <w:rPr>
          <w:kern w:val="0"/>
          <w:szCs w:val="21"/>
          <w:highlight w:val="none"/>
        </w:rPr>
        <w:t xml:space="preserve"> </w:t>
      </w:r>
      <w:r>
        <w:rPr>
          <w:rFonts w:hint="eastAsia"/>
          <w:kern w:val="0"/>
          <w:szCs w:val="21"/>
          <w:highlight w:val="none"/>
        </w:rPr>
        <w:t>第2</w:t>
      </w:r>
      <w:r>
        <w:rPr>
          <w:kern w:val="0"/>
          <w:szCs w:val="21"/>
          <w:highlight w:val="none"/>
        </w:rPr>
        <w:t>8</w:t>
      </w:r>
      <w:r>
        <w:rPr>
          <w:rFonts w:hint="eastAsia"/>
          <w:kern w:val="0"/>
          <w:szCs w:val="21"/>
          <w:highlight w:val="none"/>
        </w:rPr>
        <w:t>号）</w:t>
      </w:r>
    </w:p>
    <w:p>
      <w:pPr>
        <w:rPr>
          <w:highlight w:val="none"/>
        </w:rPr>
      </w:pPr>
    </w:p>
    <w:p>
      <w:pPr>
        <w:pStyle w:val="145"/>
        <w:framePr w:hSpace="0" w:vSpace="0" w:wrap="auto" w:vAnchor="margin" w:hAnchor="text" w:xAlign="left" w:yAlign="inline"/>
        <w:ind w:firstLine="2835" w:firstLineChars="1350"/>
        <w:jc w:val="center"/>
        <w:rPr>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1677035</wp:posOffset>
                </wp:positionH>
                <wp:positionV relativeFrom="paragraph">
                  <wp:posOffset>94615</wp:posOffset>
                </wp:positionV>
                <wp:extent cx="214757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2147278"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2.05pt;margin-top:7.45pt;height:0pt;width:169.1pt;z-index:251662336;mso-width-relative:page;mso-height-relative:page;" filled="f" stroked="t" coordsize="21600,21600" o:gfxdata="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jqhWdYAAAAJAQAADwAAAAAAAAAB&#10;ACAAAAAiAAAAZHJzL2Rvd25yZXYueG1sUEsBAhQAFAAAAAgAh07iQLNSNAvZAQAAmwMAAA4AAAAA&#10;AAAAAQAgAAAAJQEAAGRycy9lMm9Eb2MueG1sUEsFBgAAAAAGAAYAWQEAAHAFAAAAAA==&#10;">
                <v:fill on="f" focussize="0,0"/>
                <v:stroke weight="1.5pt" color="#000000 [3213]" joinstyle="round"/>
                <v:imagedata o:title=""/>
                <o:lock v:ext="edit" aspectratio="f"/>
              </v:line>
            </w:pict>
          </mc:Fallback>
        </mc:AlternateContent>
      </w:r>
      <w:bookmarkEnd w:id="0"/>
    </w:p>
    <w:sectPr>
      <w:pgSz w:w="11906" w:h="16838"/>
      <w:pgMar w:top="567" w:right="1134" w:bottom="1134" w:left="1276"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 PAGE   \* MERGEFORMAT </w:instrText>
    </w:r>
    <w:r>
      <w:fldChar w:fldCharType="separate"/>
    </w:r>
    <w:r>
      <w:rPr>
        <w:lang w:val="zh-CN"/>
      </w:rPr>
      <w:t>I</w:t>
    </w:r>
    <w:r>
      <w:rPr>
        <w:lang w:val="zh-CN"/>
      </w:rPr>
      <w:fldChar w:fldCharType="end"/>
    </w:r>
  </w:p>
  <w:p>
    <w:pPr>
      <w:pStyle w:val="26"/>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5127214"/>
    </w:sdtPr>
    <w:sdtContent>
      <w:p>
        <w:pPr>
          <w:pStyle w:val="26"/>
          <w:jc w:val="center"/>
        </w:pPr>
        <w:r>
          <w:fldChar w:fldCharType="begin"/>
        </w:r>
        <w:r>
          <w:instrText xml:space="preserve">PAGE   \* MERGEFORMAT</w:instrText>
        </w:r>
        <w:r>
          <w:fldChar w:fldCharType="separate"/>
        </w:r>
        <w:r>
          <w:rPr>
            <w:lang w:val="zh-CN"/>
          </w:rPr>
          <w:t>6</w:t>
        </w:r>
        <w:r>
          <w:fldChar w:fldCharType="end"/>
        </w:r>
      </w:p>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left"/>
    </w:pPr>
    <w:r>
      <w:rPr>
        <w:rFonts w:hint="eastAsia"/>
      </w:rPr>
      <w:t>DB32/ □□□</w:t>
    </w:r>
    <w:r>
      <w:rPr>
        <w:rFonts w:hAnsi="黑体"/>
      </w:rPr>
      <w:t>□</w:t>
    </w:r>
    <w:r>
      <w:rPr>
        <w:rFonts w:hint="eastAsia"/>
      </w:rPr>
      <w:t>—20□□</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t>DB32/</w:t>
    </w:r>
    <w:r>
      <w:rPr>
        <w:rFonts w:hAnsi="黑体"/>
      </w:rPr>
      <w:t xml:space="preserve"> □□□□</w:t>
    </w:r>
    <w:r>
      <w:t>—20</w:t>
    </w:r>
    <w:r>
      <w:rPr>
        <w:rFonts w:hAnsi="黑体"/>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1"/>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
    <w:nsid w:val="093C6778"/>
    <w:multiLevelType w:val="multilevel"/>
    <w:tmpl w:val="093C6778"/>
    <w:lvl w:ilvl="0" w:tentative="0">
      <w:start w:val="1"/>
      <w:numFmt w:val="decimal"/>
      <w:pStyle w:val="130"/>
      <w:suff w:val="nothing"/>
      <w:lvlText w:val="示例%1："/>
      <w:lvlJc w:val="left"/>
      <w:pPr>
        <w:ind w:firstLine="397"/>
      </w:pPr>
      <w:rPr>
        <w:rFonts w:hint="eastAsia" w:ascii="黑体" w:eastAsia="黑体" w:cs="Times New Roman"/>
        <w:sz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2">
    <w:nsid w:val="0AE367E9"/>
    <w:multiLevelType w:val="multilevel"/>
    <w:tmpl w:val="0AE367E9"/>
    <w:lvl w:ilvl="0" w:tentative="0">
      <w:start w:val="1"/>
      <w:numFmt w:val="none"/>
      <w:pStyle w:val="63"/>
      <w:suff w:val="nothing"/>
      <w:lvlText w:val="%1示例："/>
      <w:lvlJc w:val="left"/>
      <w:pPr>
        <w:ind w:firstLine="363"/>
      </w:pPr>
      <w:rPr>
        <w:rFonts w:hint="eastAsia" w:ascii="黑体" w:eastAsia="黑体" w:cs="Times New Roman"/>
        <w:b w:val="0"/>
        <w:i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3">
    <w:nsid w:val="0DDE2B46"/>
    <w:multiLevelType w:val="multilevel"/>
    <w:tmpl w:val="0DDE2B46"/>
    <w:lvl w:ilvl="0" w:tentative="0">
      <w:start w:val="1"/>
      <w:numFmt w:val="lowerLetter"/>
      <w:pStyle w:val="135"/>
      <w:suff w:val="nothing"/>
      <w:lvlText w:val="%1   "/>
      <w:lvlJc w:val="left"/>
      <w:pPr>
        <w:ind w:left="544" w:hanging="181"/>
      </w:pPr>
      <w:rPr>
        <w:rFonts w:hint="eastAsia" w:ascii="宋体" w:eastAsia="宋体" w:cs="Times New Roman"/>
        <w:b w:val="0"/>
        <w:i w:val="0"/>
        <w:sz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4">
    <w:nsid w:val="1DBF583A"/>
    <w:multiLevelType w:val="multilevel"/>
    <w:tmpl w:val="1DBF583A"/>
    <w:lvl w:ilvl="0" w:tentative="0">
      <w:start w:val="2"/>
      <w:numFmt w:val="decimal"/>
      <w:pStyle w:val="78"/>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5">
    <w:nsid w:val="1FC91163"/>
    <w:multiLevelType w:val="multilevel"/>
    <w:tmpl w:val="1FC91163"/>
    <w:lvl w:ilvl="0" w:tentative="0">
      <w:start w:val="1"/>
      <w:numFmt w:val="decimal"/>
      <w:pStyle w:val="2"/>
      <w:suff w:val="nothing"/>
      <w:lvlText w:val="%1　"/>
      <w:lvlJc w:val="left"/>
      <w:pPr>
        <w:ind w:left="0" w:firstLine="0"/>
      </w:pPr>
      <w:rPr>
        <w:rFonts w:hint="default" w:ascii="Arial" w:hAnsi="Arial" w:eastAsia="黑体"/>
        <w:b w:val="0"/>
        <w:i w:val="0"/>
        <w:sz w:val="21"/>
        <w:szCs w:val="21"/>
      </w:rPr>
    </w:lvl>
    <w:lvl w:ilvl="1" w:tentative="0">
      <w:start w:val="1"/>
      <w:numFmt w:val="decimal"/>
      <w:pStyle w:val="3"/>
      <w:suff w:val="nothing"/>
      <w:lvlText w:val="%1.%2　"/>
      <w:lvlJc w:val="left"/>
      <w:pPr>
        <w:ind w:left="142" w:firstLine="0"/>
      </w:pPr>
      <w:rPr>
        <w:rFonts w:hint="default" w:ascii="Arial" w:hAnsi="Arial" w:eastAsia="黑体"/>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
      <w:suff w:val="nothing"/>
      <w:lvlText w:val="%1.%2.%3　"/>
      <w:lvlJc w:val="left"/>
      <w:pPr>
        <w:ind w:left="142" w:firstLine="0"/>
      </w:pPr>
      <w:rPr>
        <w:rFonts w:hint="default" w:ascii="Arial" w:hAnsi="Arial" w:eastAsia="黑体"/>
        <w:b w:val="0"/>
        <w:i w:val="0"/>
        <w:sz w:val="21"/>
      </w:rPr>
    </w:lvl>
    <w:lvl w:ilvl="3" w:tentative="0">
      <w:start w:val="1"/>
      <w:numFmt w:val="decimal"/>
      <w:pStyle w:val="5"/>
      <w:lvlText w:val="%1.%2.%3.%4"/>
      <w:lvlJc w:val="left"/>
      <w:pPr>
        <w:ind w:left="0" w:firstLine="0"/>
      </w:pPr>
      <w:rPr>
        <w:rFonts w:hint="eastAsia"/>
        <w:b w:val="0"/>
        <w:i w:val="0"/>
        <w:sz w:val="21"/>
      </w:rPr>
    </w:lvl>
    <w:lvl w:ilvl="4" w:tentative="0">
      <w:start w:val="1"/>
      <w:numFmt w:val="decimal"/>
      <w:pStyle w:val="6"/>
      <w:lvlText w:val="%1.%2.%3.%4.%5"/>
      <w:lvlJc w:val="left"/>
      <w:pPr>
        <w:ind w:left="0" w:firstLine="0"/>
      </w:pPr>
      <w:rPr>
        <w:rFonts w:hint="eastAsia"/>
        <w:b w:val="0"/>
        <w:i w:val="0"/>
        <w:sz w:val="21"/>
      </w:rPr>
    </w:lvl>
    <w:lvl w:ilvl="5" w:tentative="0">
      <w:start w:val="1"/>
      <w:numFmt w:val="decimal"/>
      <w:pStyle w:val="7"/>
      <w:lvlText w:val="%1.%2.%3.%4.%5.%6"/>
      <w:lvlJc w:val="left"/>
      <w:pPr>
        <w:ind w:left="0" w:firstLine="0"/>
      </w:pPr>
      <w:rPr>
        <w:rFonts w:hint="eastAsia"/>
        <w:b w:val="0"/>
        <w:i w:val="0"/>
        <w:sz w:val="21"/>
      </w:rPr>
    </w:lvl>
    <w:lvl w:ilvl="6" w:tentative="0">
      <w:start w:val="1"/>
      <w:numFmt w:val="decimal"/>
      <w:pStyle w:val="8"/>
      <w:lvlText w:val="%1.%2.%3.%4.%5.%6.%7"/>
      <w:lvlJc w:val="left"/>
      <w:pPr>
        <w:ind w:left="0" w:firstLine="0"/>
      </w:pPr>
      <w:rPr>
        <w:rFonts w:hint="eastAsia"/>
        <w:b w:val="0"/>
        <w:i w:val="0"/>
        <w:sz w:val="21"/>
      </w:rPr>
    </w:lvl>
    <w:lvl w:ilvl="7" w:tentative="0">
      <w:start w:val="1"/>
      <w:numFmt w:val="decimal"/>
      <w:pStyle w:val="9"/>
      <w:lvlText w:val="%1.%2.%3.%4.%5.%6.%7.%8"/>
      <w:lvlJc w:val="left"/>
      <w:pPr>
        <w:ind w:left="0" w:firstLine="0"/>
      </w:pPr>
      <w:rPr>
        <w:rFonts w:hint="eastAsia"/>
      </w:rPr>
    </w:lvl>
    <w:lvl w:ilvl="8" w:tentative="0">
      <w:start w:val="1"/>
      <w:numFmt w:val="decimal"/>
      <w:pStyle w:val="10"/>
      <w:lvlText w:val="%1.%2.%3.%4.%5.%6.%7.%8.%9"/>
      <w:lvlJc w:val="left"/>
      <w:pPr>
        <w:ind w:left="0" w:firstLine="0"/>
      </w:pPr>
      <w:rPr>
        <w:rFonts w:hint="eastAsia"/>
      </w:rPr>
    </w:lvl>
  </w:abstractNum>
  <w:abstractNum w:abstractNumId="6">
    <w:nsid w:val="246C742E"/>
    <w:multiLevelType w:val="multilevel"/>
    <w:tmpl w:val="246C742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6A30332"/>
    <w:multiLevelType w:val="multilevel"/>
    <w:tmpl w:val="26A30332"/>
    <w:lvl w:ilvl="0" w:tentative="0">
      <w:start w:val="1"/>
      <w:numFmt w:val="decimal"/>
      <w:suff w:val="nothing"/>
      <w:lvlText w:val="%1"/>
      <w:lvlJc w:val="center"/>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A8F7113"/>
    <w:multiLevelType w:val="multilevel"/>
    <w:tmpl w:val="2A8F7113"/>
    <w:lvl w:ilvl="0" w:tentative="0">
      <w:start w:val="1"/>
      <w:numFmt w:val="upperLetter"/>
      <w:pStyle w:val="111"/>
      <w:suff w:val="space"/>
      <w:lvlText w:val="%1"/>
      <w:lvlJc w:val="left"/>
      <w:pPr>
        <w:ind w:left="623" w:hanging="425"/>
      </w:pPr>
      <w:rPr>
        <w:rFonts w:hint="eastAsia" w:cs="Times New Roman"/>
      </w:rPr>
    </w:lvl>
    <w:lvl w:ilvl="1" w:tentative="0">
      <w:start w:val="1"/>
      <w:numFmt w:val="decimal"/>
      <w:pStyle w:val="112"/>
      <w:suff w:val="nothing"/>
      <w:lvlText w:val="图%1.%2　"/>
      <w:lvlJc w:val="left"/>
      <w:pPr>
        <w:ind w:left="1190" w:hanging="567"/>
      </w:pPr>
      <w:rPr>
        <w:rFonts w:hint="eastAsia" w:ascii="黑体" w:hAnsi="黑体" w:eastAsia="黑体"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9">
    <w:nsid w:val="2C5917C3"/>
    <w:multiLevelType w:val="multilevel"/>
    <w:tmpl w:val="2C5917C3"/>
    <w:lvl w:ilvl="0" w:tentative="0">
      <w:start w:val="1"/>
      <w:numFmt w:val="none"/>
      <w:pStyle w:val="59"/>
      <w:suff w:val="nothing"/>
      <w:lvlText w:val="%1——"/>
      <w:lvlJc w:val="left"/>
      <w:pPr>
        <w:ind w:left="833" w:hanging="408"/>
      </w:pPr>
      <w:rPr>
        <w:rFonts w:hint="eastAsia" w:cs="Times New Roman"/>
      </w:rPr>
    </w:lvl>
    <w:lvl w:ilvl="1" w:tentative="0">
      <w:start w:val="1"/>
      <w:numFmt w:val="bullet"/>
      <w:pStyle w:val="60"/>
      <w:lvlText w:val=""/>
      <w:lvlJc w:val="left"/>
      <w:pPr>
        <w:tabs>
          <w:tab w:val="left" w:pos="760"/>
        </w:tabs>
        <w:ind w:left="1264" w:hanging="413"/>
      </w:pPr>
      <w:rPr>
        <w:rFonts w:hint="default" w:ascii="Symbol" w:hAnsi="Symbol"/>
        <w:color w:val="auto"/>
      </w:rPr>
    </w:lvl>
    <w:lvl w:ilvl="2" w:tentative="0">
      <w:start w:val="1"/>
      <w:numFmt w:val="bullet"/>
      <w:pStyle w:val="7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0">
    <w:nsid w:val="39E711A1"/>
    <w:multiLevelType w:val="multilevel"/>
    <w:tmpl w:val="39E711A1"/>
    <w:lvl w:ilvl="0" w:tentative="0">
      <w:start w:val="1"/>
      <w:numFmt w:val="decimal"/>
      <w:suff w:val="nothing"/>
      <w:lvlText w:val="%1"/>
      <w:lvlJc w:val="center"/>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D733618"/>
    <w:multiLevelType w:val="multilevel"/>
    <w:tmpl w:val="3D733618"/>
    <w:lvl w:ilvl="0" w:tentative="0">
      <w:start w:val="1"/>
      <w:numFmt w:val="decimal"/>
      <w:pStyle w:val="34"/>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2">
    <w:nsid w:val="44C50F90"/>
    <w:multiLevelType w:val="multilevel"/>
    <w:tmpl w:val="44C50F90"/>
    <w:lvl w:ilvl="0" w:tentative="0">
      <w:start w:val="1"/>
      <w:numFmt w:val="lowerLetter"/>
      <w:pStyle w:val="72"/>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65"/>
      <w:lvlText w:val="%2)"/>
      <w:lvlJc w:val="left"/>
      <w:pPr>
        <w:tabs>
          <w:tab w:val="left" w:pos="1260"/>
        </w:tabs>
        <w:ind w:left="1259" w:hanging="419"/>
      </w:pPr>
      <w:rPr>
        <w:rFonts w:hint="eastAsia" w:cs="Times New Roman"/>
      </w:rPr>
    </w:lvl>
    <w:lvl w:ilvl="2" w:tentative="0">
      <w:start w:val="1"/>
      <w:numFmt w:val="decimal"/>
      <w:pStyle w:val="74"/>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3">
    <w:nsid w:val="4B733A5F"/>
    <w:multiLevelType w:val="multilevel"/>
    <w:tmpl w:val="4B733A5F"/>
    <w:lvl w:ilvl="0" w:tentative="0">
      <w:start w:val="1"/>
      <w:numFmt w:val="decimal"/>
      <w:pStyle w:val="75"/>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4">
    <w:nsid w:val="557C2AF5"/>
    <w:multiLevelType w:val="multilevel"/>
    <w:tmpl w:val="557C2AF5"/>
    <w:lvl w:ilvl="0" w:tentative="0">
      <w:start w:val="1"/>
      <w:numFmt w:val="decimal"/>
      <w:pStyle w:val="144"/>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5">
    <w:nsid w:val="60B55DC2"/>
    <w:multiLevelType w:val="multilevel"/>
    <w:tmpl w:val="60B55DC2"/>
    <w:lvl w:ilvl="0" w:tentative="0">
      <w:start w:val="1"/>
      <w:numFmt w:val="upperLetter"/>
      <w:pStyle w:val="99"/>
      <w:lvlText w:val="%1"/>
      <w:lvlJc w:val="left"/>
      <w:pPr>
        <w:tabs>
          <w:tab w:val="left" w:pos="0"/>
        </w:tabs>
        <w:ind w:hanging="425"/>
      </w:pPr>
      <w:rPr>
        <w:rFonts w:hint="eastAsia" w:cs="Times New Roman"/>
      </w:rPr>
    </w:lvl>
    <w:lvl w:ilvl="1" w:tentative="0">
      <w:start w:val="1"/>
      <w:numFmt w:val="decimal"/>
      <w:pStyle w:val="100"/>
      <w:suff w:val="nothing"/>
      <w:lvlText w:val="表%1.%2　"/>
      <w:lvlJc w:val="left"/>
      <w:pPr>
        <w:ind w:left="567" w:hanging="567"/>
      </w:pPr>
      <w:rPr>
        <w:rFonts w:hint="eastAsia" w:ascii="黑体" w:hAnsi="黑体" w:eastAsia="黑体"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6">
    <w:nsid w:val="63785078"/>
    <w:multiLevelType w:val="multilevel"/>
    <w:tmpl w:val="63785078"/>
    <w:lvl w:ilvl="0" w:tentative="0">
      <w:start w:val="1"/>
      <w:numFmt w:val="decimal"/>
      <w:suff w:val="nothing"/>
      <w:lvlText w:val="%1"/>
      <w:lvlJc w:val="center"/>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46260FA"/>
    <w:multiLevelType w:val="multilevel"/>
    <w:tmpl w:val="646260FA"/>
    <w:lvl w:ilvl="0" w:tentative="0">
      <w:start w:val="1"/>
      <w:numFmt w:val="decimal"/>
      <w:pStyle w:val="142"/>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3828"/>
        </w:tabs>
        <w:ind w:left="3828" w:hanging="567"/>
      </w:pPr>
      <w:rPr>
        <w:rFonts w:hint="eastAsia" w:cs="Times New Roman"/>
      </w:rPr>
    </w:lvl>
    <w:lvl w:ilvl="2" w:tentative="0">
      <w:start w:val="1"/>
      <w:numFmt w:val="decimal"/>
      <w:lvlText w:val="%1.%2.%3"/>
      <w:lvlJc w:val="left"/>
      <w:pPr>
        <w:tabs>
          <w:tab w:val="left" w:pos="4254"/>
        </w:tabs>
        <w:ind w:left="4254" w:hanging="567"/>
      </w:pPr>
      <w:rPr>
        <w:rFonts w:hint="eastAsia" w:cs="Times New Roman"/>
      </w:rPr>
    </w:lvl>
    <w:lvl w:ilvl="3" w:tentative="0">
      <w:start w:val="1"/>
      <w:numFmt w:val="decimal"/>
      <w:lvlText w:val="%1.%2.%3.%4"/>
      <w:lvlJc w:val="left"/>
      <w:pPr>
        <w:tabs>
          <w:tab w:val="left" w:pos="4820"/>
        </w:tabs>
        <w:ind w:left="4820" w:hanging="708"/>
      </w:pPr>
      <w:rPr>
        <w:rFonts w:hint="eastAsia" w:cs="Times New Roman"/>
      </w:rPr>
    </w:lvl>
    <w:lvl w:ilvl="4" w:tentative="0">
      <w:start w:val="1"/>
      <w:numFmt w:val="decimal"/>
      <w:lvlText w:val="%1.%2.%3.%4.%5"/>
      <w:lvlJc w:val="left"/>
      <w:pPr>
        <w:tabs>
          <w:tab w:val="left" w:pos="5387"/>
        </w:tabs>
        <w:ind w:left="5387" w:hanging="850"/>
      </w:pPr>
      <w:rPr>
        <w:rFonts w:hint="eastAsia" w:cs="Times New Roman"/>
      </w:rPr>
    </w:lvl>
    <w:lvl w:ilvl="5" w:tentative="0">
      <w:start w:val="1"/>
      <w:numFmt w:val="decimal"/>
      <w:lvlText w:val="%1.%2.%3.%4.%5.%6"/>
      <w:lvlJc w:val="left"/>
      <w:pPr>
        <w:tabs>
          <w:tab w:val="left" w:pos="6096"/>
        </w:tabs>
        <w:ind w:left="6096" w:hanging="1134"/>
      </w:pPr>
      <w:rPr>
        <w:rFonts w:hint="eastAsia" w:cs="Times New Roman"/>
      </w:rPr>
    </w:lvl>
    <w:lvl w:ilvl="6" w:tentative="0">
      <w:start w:val="1"/>
      <w:numFmt w:val="decimal"/>
      <w:lvlText w:val="%1.%2.%3.%4.%5.%6.%7"/>
      <w:lvlJc w:val="left"/>
      <w:pPr>
        <w:tabs>
          <w:tab w:val="left" w:pos="6663"/>
        </w:tabs>
        <w:ind w:left="6663" w:hanging="1276"/>
      </w:pPr>
      <w:rPr>
        <w:rFonts w:hint="eastAsia" w:cs="Times New Roman"/>
      </w:rPr>
    </w:lvl>
    <w:lvl w:ilvl="7" w:tentative="0">
      <w:start w:val="1"/>
      <w:numFmt w:val="decimal"/>
      <w:lvlText w:val="%1.%2.%3.%4.%5.%6.%7.%8"/>
      <w:lvlJc w:val="left"/>
      <w:pPr>
        <w:tabs>
          <w:tab w:val="left" w:pos="7230"/>
        </w:tabs>
        <w:ind w:left="7230" w:hanging="1418"/>
      </w:pPr>
      <w:rPr>
        <w:rFonts w:hint="eastAsia" w:cs="Times New Roman"/>
      </w:rPr>
    </w:lvl>
    <w:lvl w:ilvl="8" w:tentative="0">
      <w:start w:val="1"/>
      <w:numFmt w:val="decimal"/>
      <w:lvlText w:val="%1.%2.%3.%4.%5.%6.%7.%8.%9"/>
      <w:lvlJc w:val="left"/>
      <w:pPr>
        <w:tabs>
          <w:tab w:val="left" w:pos="7938"/>
        </w:tabs>
        <w:ind w:left="7938" w:hanging="1700"/>
      </w:pPr>
      <w:rPr>
        <w:rFonts w:hint="eastAsia" w:cs="Times New Roman"/>
      </w:rPr>
    </w:lvl>
  </w:abstractNum>
  <w:abstractNum w:abstractNumId="18">
    <w:nsid w:val="657D3FBC"/>
    <w:multiLevelType w:val="multilevel"/>
    <w:tmpl w:val="657D3FBC"/>
    <w:lvl w:ilvl="0" w:tentative="0">
      <w:start w:val="1"/>
      <w:numFmt w:val="upperLetter"/>
      <w:pStyle w:val="97"/>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15"/>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116"/>
      <w:suff w:val="nothing"/>
      <w:lvlText w:val="%1.%2.%3　"/>
      <w:lvlJc w:val="left"/>
      <w:rPr>
        <w:rFonts w:hint="eastAsia" w:ascii="黑体" w:hAnsi="Times New Roman" w:eastAsia="黑体" w:cs="Times New Roman"/>
        <w:b w:val="0"/>
        <w:i w:val="0"/>
        <w:sz w:val="21"/>
      </w:rPr>
    </w:lvl>
    <w:lvl w:ilvl="3" w:tentative="0">
      <w:start w:val="1"/>
      <w:numFmt w:val="decimal"/>
      <w:pStyle w:val="101"/>
      <w:suff w:val="nothing"/>
      <w:lvlText w:val="%1.%2.%3.%4　"/>
      <w:lvlJc w:val="left"/>
      <w:rPr>
        <w:rFonts w:hint="eastAsia" w:ascii="黑体" w:hAnsi="Times New Roman" w:eastAsia="黑体" w:cs="Times New Roman"/>
        <w:b w:val="0"/>
        <w:i w:val="0"/>
        <w:sz w:val="21"/>
      </w:rPr>
    </w:lvl>
    <w:lvl w:ilvl="4" w:tentative="0">
      <w:start w:val="1"/>
      <w:numFmt w:val="decimal"/>
      <w:pStyle w:val="106"/>
      <w:suff w:val="nothing"/>
      <w:lvlText w:val="%1.%2.%3.%4.%5　"/>
      <w:lvlJc w:val="left"/>
      <w:rPr>
        <w:rFonts w:hint="eastAsia" w:ascii="黑体" w:hAnsi="Times New Roman" w:eastAsia="黑体" w:cs="Times New Roman"/>
        <w:b w:val="0"/>
        <w:i w:val="0"/>
        <w:sz w:val="21"/>
      </w:rPr>
    </w:lvl>
    <w:lvl w:ilvl="5" w:tentative="0">
      <w:start w:val="1"/>
      <w:numFmt w:val="decimal"/>
      <w:pStyle w:val="109"/>
      <w:suff w:val="nothing"/>
      <w:lvlText w:val="%1.%2.%3.%4.%5.%6　"/>
      <w:lvlJc w:val="left"/>
      <w:rPr>
        <w:rFonts w:hint="eastAsia" w:ascii="黑体" w:hAnsi="Times New Roman" w:eastAsia="黑体" w:cs="Times New Roman"/>
        <w:b w:val="0"/>
        <w:i w:val="0"/>
        <w:sz w:val="21"/>
      </w:rPr>
    </w:lvl>
    <w:lvl w:ilvl="6" w:tentative="0">
      <w:start w:val="1"/>
      <w:numFmt w:val="decimal"/>
      <w:pStyle w:val="113"/>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9">
    <w:nsid w:val="6D6C07CD"/>
    <w:multiLevelType w:val="multilevel"/>
    <w:tmpl w:val="6D6C07CD"/>
    <w:lvl w:ilvl="0" w:tentative="0">
      <w:start w:val="1"/>
      <w:numFmt w:val="lowerLetter"/>
      <w:pStyle w:val="118"/>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8"/>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20">
    <w:nsid w:val="6DBF04F4"/>
    <w:multiLevelType w:val="multilevel"/>
    <w:tmpl w:val="6DBF04F4"/>
    <w:lvl w:ilvl="0" w:tentative="0">
      <w:start w:val="1"/>
      <w:numFmt w:val="none"/>
      <w:pStyle w:val="70"/>
      <w:suff w:val="nothing"/>
      <w:lvlText w:val="%1注："/>
      <w:lvlJc w:val="left"/>
      <w:pPr>
        <w:ind w:left="726" w:hanging="363"/>
      </w:pPr>
      <w:rPr>
        <w:rFonts w:hint="eastAsia" w:ascii="黑体" w:hAnsi="Times New Roman"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num w:numId="1">
    <w:abstractNumId w:val="5"/>
  </w:num>
  <w:num w:numId="2">
    <w:abstractNumId w:val="11"/>
  </w:num>
  <w:num w:numId="3">
    <w:abstractNumId w:val="9"/>
  </w:num>
  <w:num w:numId="4">
    <w:abstractNumId w:val="2"/>
  </w:num>
  <w:num w:numId="5">
    <w:abstractNumId w:val="12"/>
  </w:num>
  <w:num w:numId="6">
    <w:abstractNumId w:val="20"/>
  </w:num>
  <w:num w:numId="7">
    <w:abstractNumId w:val="0"/>
  </w:num>
  <w:num w:numId="8">
    <w:abstractNumId w:val="13"/>
  </w:num>
  <w:num w:numId="9">
    <w:abstractNumId w:val="4"/>
  </w:num>
  <w:num w:numId="10">
    <w:abstractNumId w:val="18"/>
  </w:num>
  <w:num w:numId="11">
    <w:abstractNumId w:val="15"/>
  </w:num>
  <w:num w:numId="12">
    <w:abstractNumId w:val="19"/>
  </w:num>
  <w:num w:numId="13">
    <w:abstractNumId w:val="8"/>
  </w:num>
  <w:num w:numId="14">
    <w:abstractNumId w:val="1"/>
  </w:num>
  <w:num w:numId="15">
    <w:abstractNumId w:val="3"/>
  </w:num>
  <w:num w:numId="16">
    <w:abstractNumId w:val="17"/>
  </w:num>
  <w:num w:numId="17">
    <w:abstractNumId w:val="14"/>
  </w:num>
  <w:num w:numId="18">
    <w:abstractNumId w:val="7"/>
  </w:num>
  <w:num w:numId="19">
    <w:abstractNumId w:val="16"/>
  </w:num>
  <w:num w:numId="20">
    <w:abstractNumId w:val="1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ZWEzN2E0YjRjOTU4NjNiMWVlMjU2MWM4ODJlNjEifQ=="/>
  </w:docVars>
  <w:rsids>
    <w:rsidRoot w:val="00131705"/>
    <w:rsid w:val="00000244"/>
    <w:rsid w:val="00000C5F"/>
    <w:rsid w:val="000015A9"/>
    <w:rsid w:val="0000185F"/>
    <w:rsid w:val="00002053"/>
    <w:rsid w:val="00002563"/>
    <w:rsid w:val="0000586F"/>
    <w:rsid w:val="00007028"/>
    <w:rsid w:val="00007192"/>
    <w:rsid w:val="00007CF5"/>
    <w:rsid w:val="00013863"/>
    <w:rsid w:val="00013CAB"/>
    <w:rsid w:val="00013D86"/>
    <w:rsid w:val="00013E02"/>
    <w:rsid w:val="000168AF"/>
    <w:rsid w:val="00017D0E"/>
    <w:rsid w:val="0002063B"/>
    <w:rsid w:val="0002143C"/>
    <w:rsid w:val="00025A65"/>
    <w:rsid w:val="00026C31"/>
    <w:rsid w:val="00027280"/>
    <w:rsid w:val="000301CF"/>
    <w:rsid w:val="00031BBE"/>
    <w:rsid w:val="000320A7"/>
    <w:rsid w:val="00032EB5"/>
    <w:rsid w:val="00033ECE"/>
    <w:rsid w:val="00035925"/>
    <w:rsid w:val="00041742"/>
    <w:rsid w:val="000428E3"/>
    <w:rsid w:val="00042C9A"/>
    <w:rsid w:val="00043E21"/>
    <w:rsid w:val="00045547"/>
    <w:rsid w:val="00051B16"/>
    <w:rsid w:val="0005225B"/>
    <w:rsid w:val="00053037"/>
    <w:rsid w:val="000545DA"/>
    <w:rsid w:val="00055592"/>
    <w:rsid w:val="00060C78"/>
    <w:rsid w:val="000637C9"/>
    <w:rsid w:val="00063BB0"/>
    <w:rsid w:val="000660EA"/>
    <w:rsid w:val="00066BBC"/>
    <w:rsid w:val="00067CDF"/>
    <w:rsid w:val="0007162C"/>
    <w:rsid w:val="000716C2"/>
    <w:rsid w:val="00074FBE"/>
    <w:rsid w:val="0007553A"/>
    <w:rsid w:val="0008089E"/>
    <w:rsid w:val="000809A1"/>
    <w:rsid w:val="0008385D"/>
    <w:rsid w:val="00083A09"/>
    <w:rsid w:val="00085C61"/>
    <w:rsid w:val="0009005E"/>
    <w:rsid w:val="00090906"/>
    <w:rsid w:val="00092857"/>
    <w:rsid w:val="00092BB0"/>
    <w:rsid w:val="000960B1"/>
    <w:rsid w:val="000961FF"/>
    <w:rsid w:val="00096B34"/>
    <w:rsid w:val="000A20A9"/>
    <w:rsid w:val="000A4153"/>
    <w:rsid w:val="000A483A"/>
    <w:rsid w:val="000A48B1"/>
    <w:rsid w:val="000A57A9"/>
    <w:rsid w:val="000A669C"/>
    <w:rsid w:val="000A692F"/>
    <w:rsid w:val="000B23C9"/>
    <w:rsid w:val="000B28AB"/>
    <w:rsid w:val="000B3143"/>
    <w:rsid w:val="000B42C0"/>
    <w:rsid w:val="000B49DA"/>
    <w:rsid w:val="000B4AD8"/>
    <w:rsid w:val="000B4E11"/>
    <w:rsid w:val="000B5C93"/>
    <w:rsid w:val="000B61C3"/>
    <w:rsid w:val="000C213B"/>
    <w:rsid w:val="000C5182"/>
    <w:rsid w:val="000C6652"/>
    <w:rsid w:val="000C6B05"/>
    <w:rsid w:val="000C6DD6"/>
    <w:rsid w:val="000C73D4"/>
    <w:rsid w:val="000C7E0A"/>
    <w:rsid w:val="000D29AE"/>
    <w:rsid w:val="000D3110"/>
    <w:rsid w:val="000D312C"/>
    <w:rsid w:val="000D3D4C"/>
    <w:rsid w:val="000D4F51"/>
    <w:rsid w:val="000D718B"/>
    <w:rsid w:val="000E0C46"/>
    <w:rsid w:val="000E141E"/>
    <w:rsid w:val="000E188D"/>
    <w:rsid w:val="000E228E"/>
    <w:rsid w:val="000E43EE"/>
    <w:rsid w:val="000E5D34"/>
    <w:rsid w:val="000E7303"/>
    <w:rsid w:val="000F030C"/>
    <w:rsid w:val="000F129C"/>
    <w:rsid w:val="000F24DD"/>
    <w:rsid w:val="000F5D97"/>
    <w:rsid w:val="000F7B4A"/>
    <w:rsid w:val="00101031"/>
    <w:rsid w:val="00101361"/>
    <w:rsid w:val="001056DE"/>
    <w:rsid w:val="00106178"/>
    <w:rsid w:val="001062DE"/>
    <w:rsid w:val="00107C9E"/>
    <w:rsid w:val="00110B6F"/>
    <w:rsid w:val="00110F79"/>
    <w:rsid w:val="001124C0"/>
    <w:rsid w:val="00113B76"/>
    <w:rsid w:val="0011450E"/>
    <w:rsid w:val="001156A4"/>
    <w:rsid w:val="00116ECD"/>
    <w:rsid w:val="00126F2A"/>
    <w:rsid w:val="00130FC4"/>
    <w:rsid w:val="00131705"/>
    <w:rsid w:val="0013175F"/>
    <w:rsid w:val="00135482"/>
    <w:rsid w:val="001357DB"/>
    <w:rsid w:val="00140C30"/>
    <w:rsid w:val="001419BF"/>
    <w:rsid w:val="00141CB6"/>
    <w:rsid w:val="001430D4"/>
    <w:rsid w:val="001436FF"/>
    <w:rsid w:val="001512B4"/>
    <w:rsid w:val="00152120"/>
    <w:rsid w:val="00152BE9"/>
    <w:rsid w:val="001620A5"/>
    <w:rsid w:val="001626C9"/>
    <w:rsid w:val="0016448D"/>
    <w:rsid w:val="00164E53"/>
    <w:rsid w:val="0016699D"/>
    <w:rsid w:val="00171634"/>
    <w:rsid w:val="00171E48"/>
    <w:rsid w:val="00172E4C"/>
    <w:rsid w:val="001733AA"/>
    <w:rsid w:val="00174A06"/>
    <w:rsid w:val="00175159"/>
    <w:rsid w:val="001760A3"/>
    <w:rsid w:val="00176208"/>
    <w:rsid w:val="00176F53"/>
    <w:rsid w:val="0018211B"/>
    <w:rsid w:val="001822BC"/>
    <w:rsid w:val="001840D3"/>
    <w:rsid w:val="001842B2"/>
    <w:rsid w:val="00186EA2"/>
    <w:rsid w:val="00187B51"/>
    <w:rsid w:val="001900BD"/>
    <w:rsid w:val="001900F7"/>
    <w:rsid w:val="001900F8"/>
    <w:rsid w:val="00190CEC"/>
    <w:rsid w:val="00191258"/>
    <w:rsid w:val="00192680"/>
    <w:rsid w:val="00193037"/>
    <w:rsid w:val="00193A2C"/>
    <w:rsid w:val="00196769"/>
    <w:rsid w:val="001A288E"/>
    <w:rsid w:val="001A725A"/>
    <w:rsid w:val="001B038E"/>
    <w:rsid w:val="001B2DA9"/>
    <w:rsid w:val="001B6DC2"/>
    <w:rsid w:val="001C149C"/>
    <w:rsid w:val="001C205D"/>
    <w:rsid w:val="001C21AC"/>
    <w:rsid w:val="001C2CBE"/>
    <w:rsid w:val="001C350D"/>
    <w:rsid w:val="001C47BA"/>
    <w:rsid w:val="001C59EA"/>
    <w:rsid w:val="001D119E"/>
    <w:rsid w:val="001D1566"/>
    <w:rsid w:val="001D406C"/>
    <w:rsid w:val="001D41EE"/>
    <w:rsid w:val="001D4B7B"/>
    <w:rsid w:val="001D7C36"/>
    <w:rsid w:val="001E0380"/>
    <w:rsid w:val="001E13B1"/>
    <w:rsid w:val="001E1861"/>
    <w:rsid w:val="001E45B6"/>
    <w:rsid w:val="001E5E87"/>
    <w:rsid w:val="001E750C"/>
    <w:rsid w:val="001F1594"/>
    <w:rsid w:val="001F1666"/>
    <w:rsid w:val="001F1C82"/>
    <w:rsid w:val="001F2FB7"/>
    <w:rsid w:val="001F3A19"/>
    <w:rsid w:val="001F7142"/>
    <w:rsid w:val="00200299"/>
    <w:rsid w:val="0020361B"/>
    <w:rsid w:val="00204A07"/>
    <w:rsid w:val="00205061"/>
    <w:rsid w:val="00207B33"/>
    <w:rsid w:val="00207E95"/>
    <w:rsid w:val="00216437"/>
    <w:rsid w:val="00217A7E"/>
    <w:rsid w:val="002203D7"/>
    <w:rsid w:val="00220F9C"/>
    <w:rsid w:val="002213B0"/>
    <w:rsid w:val="00222B16"/>
    <w:rsid w:val="0022537D"/>
    <w:rsid w:val="00232DCB"/>
    <w:rsid w:val="00234467"/>
    <w:rsid w:val="00234D16"/>
    <w:rsid w:val="0023517C"/>
    <w:rsid w:val="00236973"/>
    <w:rsid w:val="00237D8D"/>
    <w:rsid w:val="002410F9"/>
    <w:rsid w:val="00241DA2"/>
    <w:rsid w:val="00242706"/>
    <w:rsid w:val="00245CF1"/>
    <w:rsid w:val="0024684C"/>
    <w:rsid w:val="00247851"/>
    <w:rsid w:val="00247FEE"/>
    <w:rsid w:val="00250E7D"/>
    <w:rsid w:val="0025150A"/>
    <w:rsid w:val="002565D5"/>
    <w:rsid w:val="002622C0"/>
    <w:rsid w:val="00262305"/>
    <w:rsid w:val="00266B82"/>
    <w:rsid w:val="00273690"/>
    <w:rsid w:val="00273987"/>
    <w:rsid w:val="00276257"/>
    <w:rsid w:val="002762B7"/>
    <w:rsid w:val="002778AE"/>
    <w:rsid w:val="0028269A"/>
    <w:rsid w:val="0028288B"/>
    <w:rsid w:val="00282971"/>
    <w:rsid w:val="00282BFC"/>
    <w:rsid w:val="00283590"/>
    <w:rsid w:val="00284079"/>
    <w:rsid w:val="00284A6D"/>
    <w:rsid w:val="00286973"/>
    <w:rsid w:val="00287282"/>
    <w:rsid w:val="00290674"/>
    <w:rsid w:val="00290B82"/>
    <w:rsid w:val="002923A9"/>
    <w:rsid w:val="0029293C"/>
    <w:rsid w:val="00294258"/>
    <w:rsid w:val="00294E70"/>
    <w:rsid w:val="002954F2"/>
    <w:rsid w:val="00297743"/>
    <w:rsid w:val="002A160D"/>
    <w:rsid w:val="002A1924"/>
    <w:rsid w:val="002A241A"/>
    <w:rsid w:val="002A2ACE"/>
    <w:rsid w:val="002A4829"/>
    <w:rsid w:val="002A587D"/>
    <w:rsid w:val="002A7420"/>
    <w:rsid w:val="002B0479"/>
    <w:rsid w:val="002B0F12"/>
    <w:rsid w:val="002B1308"/>
    <w:rsid w:val="002B2E6A"/>
    <w:rsid w:val="002B4554"/>
    <w:rsid w:val="002B5019"/>
    <w:rsid w:val="002B69AD"/>
    <w:rsid w:val="002C50B1"/>
    <w:rsid w:val="002C72D8"/>
    <w:rsid w:val="002D0B55"/>
    <w:rsid w:val="002D11FA"/>
    <w:rsid w:val="002D1C4A"/>
    <w:rsid w:val="002E0DDF"/>
    <w:rsid w:val="002E2906"/>
    <w:rsid w:val="002E465D"/>
    <w:rsid w:val="002E5635"/>
    <w:rsid w:val="002E64C3"/>
    <w:rsid w:val="002E6A2C"/>
    <w:rsid w:val="002E762B"/>
    <w:rsid w:val="002F1D8C"/>
    <w:rsid w:val="002F21DA"/>
    <w:rsid w:val="002F220A"/>
    <w:rsid w:val="002F45A8"/>
    <w:rsid w:val="00300523"/>
    <w:rsid w:val="003007F8"/>
    <w:rsid w:val="00301F39"/>
    <w:rsid w:val="0030202E"/>
    <w:rsid w:val="0030269D"/>
    <w:rsid w:val="003034BE"/>
    <w:rsid w:val="0030370F"/>
    <w:rsid w:val="00314C5E"/>
    <w:rsid w:val="00316CBA"/>
    <w:rsid w:val="00317895"/>
    <w:rsid w:val="00320B0F"/>
    <w:rsid w:val="00323E00"/>
    <w:rsid w:val="00325926"/>
    <w:rsid w:val="00327A8A"/>
    <w:rsid w:val="00335DFA"/>
    <w:rsid w:val="00336610"/>
    <w:rsid w:val="00340A45"/>
    <w:rsid w:val="00343203"/>
    <w:rsid w:val="00343F73"/>
    <w:rsid w:val="00344018"/>
    <w:rsid w:val="00345060"/>
    <w:rsid w:val="00346D17"/>
    <w:rsid w:val="00350851"/>
    <w:rsid w:val="00350A12"/>
    <w:rsid w:val="00350F44"/>
    <w:rsid w:val="003514E3"/>
    <w:rsid w:val="0035323B"/>
    <w:rsid w:val="003547BD"/>
    <w:rsid w:val="00355F19"/>
    <w:rsid w:val="00356171"/>
    <w:rsid w:val="00360618"/>
    <w:rsid w:val="003609D2"/>
    <w:rsid w:val="00362004"/>
    <w:rsid w:val="0036252C"/>
    <w:rsid w:val="00363A30"/>
    <w:rsid w:val="00363E02"/>
    <w:rsid w:val="00363F22"/>
    <w:rsid w:val="0036780E"/>
    <w:rsid w:val="0037048A"/>
    <w:rsid w:val="003704E1"/>
    <w:rsid w:val="0037264B"/>
    <w:rsid w:val="0037284F"/>
    <w:rsid w:val="00374FF3"/>
    <w:rsid w:val="00375564"/>
    <w:rsid w:val="003765EF"/>
    <w:rsid w:val="00376BAA"/>
    <w:rsid w:val="00380731"/>
    <w:rsid w:val="00383191"/>
    <w:rsid w:val="00386DED"/>
    <w:rsid w:val="0038748E"/>
    <w:rsid w:val="00387714"/>
    <w:rsid w:val="003904AE"/>
    <w:rsid w:val="003912E7"/>
    <w:rsid w:val="003919CE"/>
    <w:rsid w:val="00391ADC"/>
    <w:rsid w:val="00392567"/>
    <w:rsid w:val="0039268C"/>
    <w:rsid w:val="00393276"/>
    <w:rsid w:val="00393526"/>
    <w:rsid w:val="00393947"/>
    <w:rsid w:val="00393EF5"/>
    <w:rsid w:val="003A2275"/>
    <w:rsid w:val="003A2F1A"/>
    <w:rsid w:val="003A568A"/>
    <w:rsid w:val="003A5997"/>
    <w:rsid w:val="003A6A4F"/>
    <w:rsid w:val="003A7088"/>
    <w:rsid w:val="003B00DF"/>
    <w:rsid w:val="003B1275"/>
    <w:rsid w:val="003B1778"/>
    <w:rsid w:val="003B1C31"/>
    <w:rsid w:val="003B2E91"/>
    <w:rsid w:val="003B42A9"/>
    <w:rsid w:val="003B4C11"/>
    <w:rsid w:val="003B5BF9"/>
    <w:rsid w:val="003C11CB"/>
    <w:rsid w:val="003C5105"/>
    <w:rsid w:val="003C75F3"/>
    <w:rsid w:val="003C769C"/>
    <w:rsid w:val="003C78A3"/>
    <w:rsid w:val="003D0AEF"/>
    <w:rsid w:val="003D2184"/>
    <w:rsid w:val="003D2B92"/>
    <w:rsid w:val="003D4E22"/>
    <w:rsid w:val="003D5889"/>
    <w:rsid w:val="003D6BC0"/>
    <w:rsid w:val="003D7AA0"/>
    <w:rsid w:val="003E1867"/>
    <w:rsid w:val="003E3B47"/>
    <w:rsid w:val="003E3DD2"/>
    <w:rsid w:val="003E4E67"/>
    <w:rsid w:val="003E5729"/>
    <w:rsid w:val="003F0311"/>
    <w:rsid w:val="003F0EEF"/>
    <w:rsid w:val="003F36E6"/>
    <w:rsid w:val="003F4EE0"/>
    <w:rsid w:val="003F4FDB"/>
    <w:rsid w:val="003F5010"/>
    <w:rsid w:val="00400D5C"/>
    <w:rsid w:val="00402153"/>
    <w:rsid w:val="00402AC1"/>
    <w:rsid w:val="00402FC1"/>
    <w:rsid w:val="00404296"/>
    <w:rsid w:val="0041015C"/>
    <w:rsid w:val="00411AA0"/>
    <w:rsid w:val="00413625"/>
    <w:rsid w:val="004143A7"/>
    <w:rsid w:val="004208EE"/>
    <w:rsid w:val="00425082"/>
    <w:rsid w:val="00426521"/>
    <w:rsid w:val="004311A0"/>
    <w:rsid w:val="00431B5A"/>
    <w:rsid w:val="00431DEB"/>
    <w:rsid w:val="004321DB"/>
    <w:rsid w:val="0043766F"/>
    <w:rsid w:val="0044117B"/>
    <w:rsid w:val="004424A5"/>
    <w:rsid w:val="004456D7"/>
    <w:rsid w:val="00446B29"/>
    <w:rsid w:val="00453F9A"/>
    <w:rsid w:val="00454BD6"/>
    <w:rsid w:val="0045503B"/>
    <w:rsid w:val="004576F5"/>
    <w:rsid w:val="004609CB"/>
    <w:rsid w:val="00462003"/>
    <w:rsid w:val="00463F7B"/>
    <w:rsid w:val="0046483D"/>
    <w:rsid w:val="00467C35"/>
    <w:rsid w:val="00471E91"/>
    <w:rsid w:val="00474675"/>
    <w:rsid w:val="0047470C"/>
    <w:rsid w:val="00480E92"/>
    <w:rsid w:val="0048290F"/>
    <w:rsid w:val="00482CCC"/>
    <w:rsid w:val="00483889"/>
    <w:rsid w:val="00486BB6"/>
    <w:rsid w:val="004906B9"/>
    <w:rsid w:val="0049168D"/>
    <w:rsid w:val="00492242"/>
    <w:rsid w:val="004A119A"/>
    <w:rsid w:val="004A1E6F"/>
    <w:rsid w:val="004A35F9"/>
    <w:rsid w:val="004B20AD"/>
    <w:rsid w:val="004B24C1"/>
    <w:rsid w:val="004B515C"/>
    <w:rsid w:val="004B7B9D"/>
    <w:rsid w:val="004C1DBE"/>
    <w:rsid w:val="004C292F"/>
    <w:rsid w:val="004C7379"/>
    <w:rsid w:val="004D0584"/>
    <w:rsid w:val="004D0FE0"/>
    <w:rsid w:val="004D20BB"/>
    <w:rsid w:val="004D791E"/>
    <w:rsid w:val="004E2F0C"/>
    <w:rsid w:val="004E5EEE"/>
    <w:rsid w:val="004E7E45"/>
    <w:rsid w:val="004F048D"/>
    <w:rsid w:val="004F157A"/>
    <w:rsid w:val="004F1FC3"/>
    <w:rsid w:val="004F49E1"/>
    <w:rsid w:val="004F5E27"/>
    <w:rsid w:val="0050093B"/>
    <w:rsid w:val="0050433C"/>
    <w:rsid w:val="005065AD"/>
    <w:rsid w:val="00506803"/>
    <w:rsid w:val="00506F01"/>
    <w:rsid w:val="00510280"/>
    <w:rsid w:val="005121E4"/>
    <w:rsid w:val="00513D73"/>
    <w:rsid w:val="00514A1D"/>
    <w:rsid w:val="00514A43"/>
    <w:rsid w:val="00515470"/>
    <w:rsid w:val="00516643"/>
    <w:rsid w:val="005174E5"/>
    <w:rsid w:val="0052079D"/>
    <w:rsid w:val="00521BDE"/>
    <w:rsid w:val="00521D2B"/>
    <w:rsid w:val="00522393"/>
    <w:rsid w:val="00522620"/>
    <w:rsid w:val="00525656"/>
    <w:rsid w:val="005262AD"/>
    <w:rsid w:val="00526D79"/>
    <w:rsid w:val="00531041"/>
    <w:rsid w:val="00534C02"/>
    <w:rsid w:val="0053544D"/>
    <w:rsid w:val="005379BC"/>
    <w:rsid w:val="00540488"/>
    <w:rsid w:val="0054264B"/>
    <w:rsid w:val="00543786"/>
    <w:rsid w:val="005467BA"/>
    <w:rsid w:val="005476F4"/>
    <w:rsid w:val="00547B7C"/>
    <w:rsid w:val="00550566"/>
    <w:rsid w:val="005533D7"/>
    <w:rsid w:val="00554FA3"/>
    <w:rsid w:val="00555566"/>
    <w:rsid w:val="0056546D"/>
    <w:rsid w:val="005661C7"/>
    <w:rsid w:val="005666AA"/>
    <w:rsid w:val="005674F4"/>
    <w:rsid w:val="00567B6E"/>
    <w:rsid w:val="00570255"/>
    <w:rsid w:val="005703DE"/>
    <w:rsid w:val="00572D42"/>
    <w:rsid w:val="005758F9"/>
    <w:rsid w:val="00575DA5"/>
    <w:rsid w:val="005760A7"/>
    <w:rsid w:val="00582F2B"/>
    <w:rsid w:val="0058464E"/>
    <w:rsid w:val="00593AA1"/>
    <w:rsid w:val="0059459D"/>
    <w:rsid w:val="005A01CB"/>
    <w:rsid w:val="005A04CB"/>
    <w:rsid w:val="005A2EC2"/>
    <w:rsid w:val="005A4C02"/>
    <w:rsid w:val="005A58FF"/>
    <w:rsid w:val="005A5EAF"/>
    <w:rsid w:val="005A64C0"/>
    <w:rsid w:val="005A6966"/>
    <w:rsid w:val="005A77C3"/>
    <w:rsid w:val="005B184D"/>
    <w:rsid w:val="005B3C11"/>
    <w:rsid w:val="005B716D"/>
    <w:rsid w:val="005C17EE"/>
    <w:rsid w:val="005C1C28"/>
    <w:rsid w:val="005C271E"/>
    <w:rsid w:val="005C6DB5"/>
    <w:rsid w:val="005C6F78"/>
    <w:rsid w:val="005D29EF"/>
    <w:rsid w:val="005D4B68"/>
    <w:rsid w:val="005D4CEF"/>
    <w:rsid w:val="005E19E7"/>
    <w:rsid w:val="005E1F5E"/>
    <w:rsid w:val="005E218D"/>
    <w:rsid w:val="005E5A9F"/>
    <w:rsid w:val="005F3AF5"/>
    <w:rsid w:val="005F3EED"/>
    <w:rsid w:val="005F4DF5"/>
    <w:rsid w:val="005F5416"/>
    <w:rsid w:val="005F7C47"/>
    <w:rsid w:val="006019B8"/>
    <w:rsid w:val="00602AE4"/>
    <w:rsid w:val="00602DDE"/>
    <w:rsid w:val="006031A3"/>
    <w:rsid w:val="0060439A"/>
    <w:rsid w:val="006107A0"/>
    <w:rsid w:val="00614F1F"/>
    <w:rsid w:val="00616DF1"/>
    <w:rsid w:val="0061716C"/>
    <w:rsid w:val="0061742E"/>
    <w:rsid w:val="00621013"/>
    <w:rsid w:val="00621D00"/>
    <w:rsid w:val="006243A1"/>
    <w:rsid w:val="006269DC"/>
    <w:rsid w:val="00632E56"/>
    <w:rsid w:val="00633A5C"/>
    <w:rsid w:val="00633E8E"/>
    <w:rsid w:val="00635CBA"/>
    <w:rsid w:val="00635F9D"/>
    <w:rsid w:val="006409DB"/>
    <w:rsid w:val="00641699"/>
    <w:rsid w:val="0064338B"/>
    <w:rsid w:val="00643BBE"/>
    <w:rsid w:val="00643D68"/>
    <w:rsid w:val="00643F90"/>
    <w:rsid w:val="00646542"/>
    <w:rsid w:val="00646A9E"/>
    <w:rsid w:val="006504F4"/>
    <w:rsid w:val="00650989"/>
    <w:rsid w:val="00652A56"/>
    <w:rsid w:val="00654BC9"/>
    <w:rsid w:val="006552FD"/>
    <w:rsid w:val="006553E2"/>
    <w:rsid w:val="0066213B"/>
    <w:rsid w:val="00663AF3"/>
    <w:rsid w:val="00666B6C"/>
    <w:rsid w:val="0067073F"/>
    <w:rsid w:val="00671605"/>
    <w:rsid w:val="00674E04"/>
    <w:rsid w:val="006755B5"/>
    <w:rsid w:val="0067593E"/>
    <w:rsid w:val="00680192"/>
    <w:rsid w:val="00682682"/>
    <w:rsid w:val="00682702"/>
    <w:rsid w:val="00682F70"/>
    <w:rsid w:val="00683852"/>
    <w:rsid w:val="00684A36"/>
    <w:rsid w:val="0068633F"/>
    <w:rsid w:val="00692276"/>
    <w:rsid w:val="00692368"/>
    <w:rsid w:val="00695BEE"/>
    <w:rsid w:val="00695CE5"/>
    <w:rsid w:val="0069649A"/>
    <w:rsid w:val="00697B61"/>
    <w:rsid w:val="006A192A"/>
    <w:rsid w:val="006A2EBC"/>
    <w:rsid w:val="006A5EA0"/>
    <w:rsid w:val="006A783B"/>
    <w:rsid w:val="006A7B33"/>
    <w:rsid w:val="006B4E13"/>
    <w:rsid w:val="006B67F9"/>
    <w:rsid w:val="006B75DD"/>
    <w:rsid w:val="006B7BA8"/>
    <w:rsid w:val="006C2044"/>
    <w:rsid w:val="006C2EDB"/>
    <w:rsid w:val="006C362D"/>
    <w:rsid w:val="006C3A96"/>
    <w:rsid w:val="006C470F"/>
    <w:rsid w:val="006C67E0"/>
    <w:rsid w:val="006C6EFA"/>
    <w:rsid w:val="006C724F"/>
    <w:rsid w:val="006C7752"/>
    <w:rsid w:val="006C7ABA"/>
    <w:rsid w:val="006D008E"/>
    <w:rsid w:val="006D0D60"/>
    <w:rsid w:val="006D1122"/>
    <w:rsid w:val="006D37F4"/>
    <w:rsid w:val="006D3C00"/>
    <w:rsid w:val="006D3F80"/>
    <w:rsid w:val="006D4057"/>
    <w:rsid w:val="006D71AB"/>
    <w:rsid w:val="006D7DD5"/>
    <w:rsid w:val="006E3675"/>
    <w:rsid w:val="006E38B4"/>
    <w:rsid w:val="006E4A7F"/>
    <w:rsid w:val="006E5747"/>
    <w:rsid w:val="006E6B72"/>
    <w:rsid w:val="006F3757"/>
    <w:rsid w:val="006F47A1"/>
    <w:rsid w:val="006F592C"/>
    <w:rsid w:val="006F70FC"/>
    <w:rsid w:val="007007B3"/>
    <w:rsid w:val="00704DF6"/>
    <w:rsid w:val="00705409"/>
    <w:rsid w:val="0070651C"/>
    <w:rsid w:val="00706A40"/>
    <w:rsid w:val="007132A3"/>
    <w:rsid w:val="00714673"/>
    <w:rsid w:val="00716421"/>
    <w:rsid w:val="0071740D"/>
    <w:rsid w:val="00717AF3"/>
    <w:rsid w:val="00724EFB"/>
    <w:rsid w:val="007250FC"/>
    <w:rsid w:val="00734AD8"/>
    <w:rsid w:val="007419C3"/>
    <w:rsid w:val="007457AC"/>
    <w:rsid w:val="00745C1B"/>
    <w:rsid w:val="007467A7"/>
    <w:rsid w:val="007469DD"/>
    <w:rsid w:val="0074741B"/>
    <w:rsid w:val="0074759E"/>
    <w:rsid w:val="007478EA"/>
    <w:rsid w:val="00750BE3"/>
    <w:rsid w:val="00753A92"/>
    <w:rsid w:val="0075415C"/>
    <w:rsid w:val="007567DD"/>
    <w:rsid w:val="00763502"/>
    <w:rsid w:val="00766E12"/>
    <w:rsid w:val="0076746E"/>
    <w:rsid w:val="00770EE0"/>
    <w:rsid w:val="00772372"/>
    <w:rsid w:val="00772A10"/>
    <w:rsid w:val="007746AC"/>
    <w:rsid w:val="0077713F"/>
    <w:rsid w:val="00777F7A"/>
    <w:rsid w:val="007845B6"/>
    <w:rsid w:val="007862B7"/>
    <w:rsid w:val="00790E5B"/>
    <w:rsid w:val="007913AB"/>
    <w:rsid w:val="007914F7"/>
    <w:rsid w:val="007934DD"/>
    <w:rsid w:val="00794D4A"/>
    <w:rsid w:val="007969F0"/>
    <w:rsid w:val="00796CAE"/>
    <w:rsid w:val="007A1B79"/>
    <w:rsid w:val="007B1625"/>
    <w:rsid w:val="007B31F1"/>
    <w:rsid w:val="007B4A01"/>
    <w:rsid w:val="007B6478"/>
    <w:rsid w:val="007B706E"/>
    <w:rsid w:val="007B71EB"/>
    <w:rsid w:val="007B7415"/>
    <w:rsid w:val="007C0FB5"/>
    <w:rsid w:val="007C6205"/>
    <w:rsid w:val="007C686A"/>
    <w:rsid w:val="007C728E"/>
    <w:rsid w:val="007D078E"/>
    <w:rsid w:val="007D2C53"/>
    <w:rsid w:val="007D3D60"/>
    <w:rsid w:val="007D4CA2"/>
    <w:rsid w:val="007D66CF"/>
    <w:rsid w:val="007E05CB"/>
    <w:rsid w:val="007E1980"/>
    <w:rsid w:val="007E4A0C"/>
    <w:rsid w:val="007E4B76"/>
    <w:rsid w:val="007E5EA8"/>
    <w:rsid w:val="007E6290"/>
    <w:rsid w:val="007E66A7"/>
    <w:rsid w:val="007E6E9F"/>
    <w:rsid w:val="007F0CF1"/>
    <w:rsid w:val="007F12A5"/>
    <w:rsid w:val="007F16E7"/>
    <w:rsid w:val="007F2883"/>
    <w:rsid w:val="007F4CF1"/>
    <w:rsid w:val="007F6447"/>
    <w:rsid w:val="007F758D"/>
    <w:rsid w:val="007F7D52"/>
    <w:rsid w:val="007F7F11"/>
    <w:rsid w:val="008004CB"/>
    <w:rsid w:val="0080654C"/>
    <w:rsid w:val="008071C6"/>
    <w:rsid w:val="008075A1"/>
    <w:rsid w:val="008150F2"/>
    <w:rsid w:val="00817A00"/>
    <w:rsid w:val="0082167A"/>
    <w:rsid w:val="00822422"/>
    <w:rsid w:val="00824B92"/>
    <w:rsid w:val="00826F0C"/>
    <w:rsid w:val="008324FC"/>
    <w:rsid w:val="008348AA"/>
    <w:rsid w:val="008352BF"/>
    <w:rsid w:val="00835DB3"/>
    <w:rsid w:val="00835F53"/>
    <w:rsid w:val="0083617B"/>
    <w:rsid w:val="008371BD"/>
    <w:rsid w:val="00837AD8"/>
    <w:rsid w:val="00842F19"/>
    <w:rsid w:val="00846C42"/>
    <w:rsid w:val="00847E06"/>
    <w:rsid w:val="008504A8"/>
    <w:rsid w:val="0085282E"/>
    <w:rsid w:val="00852FDF"/>
    <w:rsid w:val="00853B7F"/>
    <w:rsid w:val="00853DD4"/>
    <w:rsid w:val="00855957"/>
    <w:rsid w:val="00857924"/>
    <w:rsid w:val="00857B66"/>
    <w:rsid w:val="0086273C"/>
    <w:rsid w:val="00863666"/>
    <w:rsid w:val="0086554C"/>
    <w:rsid w:val="0087198C"/>
    <w:rsid w:val="00872C1F"/>
    <w:rsid w:val="00873B42"/>
    <w:rsid w:val="008751DB"/>
    <w:rsid w:val="008759EB"/>
    <w:rsid w:val="008824E3"/>
    <w:rsid w:val="00882CAF"/>
    <w:rsid w:val="008833CA"/>
    <w:rsid w:val="008833FF"/>
    <w:rsid w:val="008856D8"/>
    <w:rsid w:val="00886EF4"/>
    <w:rsid w:val="00892E82"/>
    <w:rsid w:val="00895BB6"/>
    <w:rsid w:val="00897607"/>
    <w:rsid w:val="00897B68"/>
    <w:rsid w:val="008B3A4E"/>
    <w:rsid w:val="008B623C"/>
    <w:rsid w:val="008B6E8F"/>
    <w:rsid w:val="008C15B2"/>
    <w:rsid w:val="008C1B58"/>
    <w:rsid w:val="008C29C5"/>
    <w:rsid w:val="008C39AE"/>
    <w:rsid w:val="008C39E6"/>
    <w:rsid w:val="008C590D"/>
    <w:rsid w:val="008D56EF"/>
    <w:rsid w:val="008D75D8"/>
    <w:rsid w:val="008E031B"/>
    <w:rsid w:val="008E052E"/>
    <w:rsid w:val="008E0C70"/>
    <w:rsid w:val="008E2715"/>
    <w:rsid w:val="008E4BF3"/>
    <w:rsid w:val="008E4C6E"/>
    <w:rsid w:val="008E56EC"/>
    <w:rsid w:val="008E6631"/>
    <w:rsid w:val="008E6910"/>
    <w:rsid w:val="008E7029"/>
    <w:rsid w:val="008E7EF6"/>
    <w:rsid w:val="008F1434"/>
    <w:rsid w:val="008F1F98"/>
    <w:rsid w:val="008F23F7"/>
    <w:rsid w:val="008F4842"/>
    <w:rsid w:val="008F4B66"/>
    <w:rsid w:val="008F531C"/>
    <w:rsid w:val="008F6758"/>
    <w:rsid w:val="009002DF"/>
    <w:rsid w:val="00901784"/>
    <w:rsid w:val="00901BDB"/>
    <w:rsid w:val="009040DD"/>
    <w:rsid w:val="00905B47"/>
    <w:rsid w:val="009070AB"/>
    <w:rsid w:val="00907275"/>
    <w:rsid w:val="009077F0"/>
    <w:rsid w:val="009118CA"/>
    <w:rsid w:val="0091331C"/>
    <w:rsid w:val="00915289"/>
    <w:rsid w:val="00915E20"/>
    <w:rsid w:val="00917031"/>
    <w:rsid w:val="00920F7E"/>
    <w:rsid w:val="00921B8B"/>
    <w:rsid w:val="00923717"/>
    <w:rsid w:val="009267C7"/>
    <w:rsid w:val="009279DE"/>
    <w:rsid w:val="00930116"/>
    <w:rsid w:val="009340AA"/>
    <w:rsid w:val="00934C9A"/>
    <w:rsid w:val="0094212C"/>
    <w:rsid w:val="00943E10"/>
    <w:rsid w:val="00944EE7"/>
    <w:rsid w:val="009450AC"/>
    <w:rsid w:val="009511FE"/>
    <w:rsid w:val="00954689"/>
    <w:rsid w:val="00955763"/>
    <w:rsid w:val="00961180"/>
    <w:rsid w:val="009611AC"/>
    <w:rsid w:val="009617C9"/>
    <w:rsid w:val="00961C93"/>
    <w:rsid w:val="00965324"/>
    <w:rsid w:val="0096644F"/>
    <w:rsid w:val="0097091E"/>
    <w:rsid w:val="00975BC6"/>
    <w:rsid w:val="009760D3"/>
    <w:rsid w:val="00977132"/>
    <w:rsid w:val="00981A4B"/>
    <w:rsid w:val="00982501"/>
    <w:rsid w:val="00982EDB"/>
    <w:rsid w:val="0098451E"/>
    <w:rsid w:val="00986F8B"/>
    <w:rsid w:val="009877D3"/>
    <w:rsid w:val="00990070"/>
    <w:rsid w:val="009900CD"/>
    <w:rsid w:val="00993655"/>
    <w:rsid w:val="00994E8F"/>
    <w:rsid w:val="009951DC"/>
    <w:rsid w:val="009959BB"/>
    <w:rsid w:val="00997158"/>
    <w:rsid w:val="009A0D26"/>
    <w:rsid w:val="009A0D5C"/>
    <w:rsid w:val="009A389D"/>
    <w:rsid w:val="009A3A7C"/>
    <w:rsid w:val="009A3FA4"/>
    <w:rsid w:val="009A6BAB"/>
    <w:rsid w:val="009B2ADB"/>
    <w:rsid w:val="009B2BDB"/>
    <w:rsid w:val="009B603A"/>
    <w:rsid w:val="009B6B83"/>
    <w:rsid w:val="009B72D8"/>
    <w:rsid w:val="009C2436"/>
    <w:rsid w:val="009C2D0E"/>
    <w:rsid w:val="009C3C7B"/>
    <w:rsid w:val="009C3DAC"/>
    <w:rsid w:val="009C42E0"/>
    <w:rsid w:val="009C6A21"/>
    <w:rsid w:val="009D1F46"/>
    <w:rsid w:val="009D3525"/>
    <w:rsid w:val="009D478B"/>
    <w:rsid w:val="009D5346"/>
    <w:rsid w:val="009D5362"/>
    <w:rsid w:val="009E13DC"/>
    <w:rsid w:val="009E1415"/>
    <w:rsid w:val="009E480B"/>
    <w:rsid w:val="009E5F9F"/>
    <w:rsid w:val="009E6116"/>
    <w:rsid w:val="009E6BBF"/>
    <w:rsid w:val="009E7200"/>
    <w:rsid w:val="009E745D"/>
    <w:rsid w:val="009E76FA"/>
    <w:rsid w:val="009E77EF"/>
    <w:rsid w:val="009E7822"/>
    <w:rsid w:val="009E787D"/>
    <w:rsid w:val="009F237B"/>
    <w:rsid w:val="009F410A"/>
    <w:rsid w:val="009F657D"/>
    <w:rsid w:val="009F6EF0"/>
    <w:rsid w:val="00A0125C"/>
    <w:rsid w:val="00A0148A"/>
    <w:rsid w:val="00A018E7"/>
    <w:rsid w:val="00A02E43"/>
    <w:rsid w:val="00A042C0"/>
    <w:rsid w:val="00A065F9"/>
    <w:rsid w:val="00A074BC"/>
    <w:rsid w:val="00A077D3"/>
    <w:rsid w:val="00A07F34"/>
    <w:rsid w:val="00A12368"/>
    <w:rsid w:val="00A12AD1"/>
    <w:rsid w:val="00A205C7"/>
    <w:rsid w:val="00A20A7A"/>
    <w:rsid w:val="00A21C5B"/>
    <w:rsid w:val="00A22154"/>
    <w:rsid w:val="00A25C38"/>
    <w:rsid w:val="00A2643F"/>
    <w:rsid w:val="00A27D20"/>
    <w:rsid w:val="00A3022F"/>
    <w:rsid w:val="00A312FC"/>
    <w:rsid w:val="00A33E1B"/>
    <w:rsid w:val="00A349CF"/>
    <w:rsid w:val="00A36BBE"/>
    <w:rsid w:val="00A379AD"/>
    <w:rsid w:val="00A4307A"/>
    <w:rsid w:val="00A46A4B"/>
    <w:rsid w:val="00A47EBB"/>
    <w:rsid w:val="00A503F4"/>
    <w:rsid w:val="00A51CDD"/>
    <w:rsid w:val="00A51D0F"/>
    <w:rsid w:val="00A5465F"/>
    <w:rsid w:val="00A57D10"/>
    <w:rsid w:val="00A63E0C"/>
    <w:rsid w:val="00A65FD3"/>
    <w:rsid w:val="00A6730D"/>
    <w:rsid w:val="00A6760F"/>
    <w:rsid w:val="00A70D04"/>
    <w:rsid w:val="00A71625"/>
    <w:rsid w:val="00A71984"/>
    <w:rsid w:val="00A71B9B"/>
    <w:rsid w:val="00A71F88"/>
    <w:rsid w:val="00A72DA2"/>
    <w:rsid w:val="00A751C7"/>
    <w:rsid w:val="00A8233E"/>
    <w:rsid w:val="00A8432F"/>
    <w:rsid w:val="00A85C3F"/>
    <w:rsid w:val="00A87681"/>
    <w:rsid w:val="00A87844"/>
    <w:rsid w:val="00A90B67"/>
    <w:rsid w:val="00A9324A"/>
    <w:rsid w:val="00A936BC"/>
    <w:rsid w:val="00A93973"/>
    <w:rsid w:val="00A93E47"/>
    <w:rsid w:val="00A967FA"/>
    <w:rsid w:val="00AA0296"/>
    <w:rsid w:val="00AA038C"/>
    <w:rsid w:val="00AA35B3"/>
    <w:rsid w:val="00AA4FFB"/>
    <w:rsid w:val="00AA6526"/>
    <w:rsid w:val="00AA68C3"/>
    <w:rsid w:val="00AA73F5"/>
    <w:rsid w:val="00AA78B2"/>
    <w:rsid w:val="00AA7A09"/>
    <w:rsid w:val="00AB059C"/>
    <w:rsid w:val="00AB0D7A"/>
    <w:rsid w:val="00AB1E94"/>
    <w:rsid w:val="00AB2F9D"/>
    <w:rsid w:val="00AB33B4"/>
    <w:rsid w:val="00AB3B50"/>
    <w:rsid w:val="00AB5E29"/>
    <w:rsid w:val="00AB68DB"/>
    <w:rsid w:val="00AC05B1"/>
    <w:rsid w:val="00AC4632"/>
    <w:rsid w:val="00AC486B"/>
    <w:rsid w:val="00AC728C"/>
    <w:rsid w:val="00AC7A66"/>
    <w:rsid w:val="00AD356C"/>
    <w:rsid w:val="00AD4882"/>
    <w:rsid w:val="00AD5610"/>
    <w:rsid w:val="00AE2914"/>
    <w:rsid w:val="00AE57ED"/>
    <w:rsid w:val="00AE6D15"/>
    <w:rsid w:val="00AE7D95"/>
    <w:rsid w:val="00AF016D"/>
    <w:rsid w:val="00AF177A"/>
    <w:rsid w:val="00AF4C9F"/>
    <w:rsid w:val="00AF585D"/>
    <w:rsid w:val="00B014AC"/>
    <w:rsid w:val="00B04182"/>
    <w:rsid w:val="00B0453E"/>
    <w:rsid w:val="00B047E5"/>
    <w:rsid w:val="00B06A18"/>
    <w:rsid w:val="00B0729F"/>
    <w:rsid w:val="00B07AE3"/>
    <w:rsid w:val="00B11430"/>
    <w:rsid w:val="00B11C2A"/>
    <w:rsid w:val="00B13CC6"/>
    <w:rsid w:val="00B14BE1"/>
    <w:rsid w:val="00B1548C"/>
    <w:rsid w:val="00B16E40"/>
    <w:rsid w:val="00B17B02"/>
    <w:rsid w:val="00B2059E"/>
    <w:rsid w:val="00B21319"/>
    <w:rsid w:val="00B21639"/>
    <w:rsid w:val="00B25483"/>
    <w:rsid w:val="00B257DE"/>
    <w:rsid w:val="00B25B9F"/>
    <w:rsid w:val="00B268DE"/>
    <w:rsid w:val="00B26E9F"/>
    <w:rsid w:val="00B2749F"/>
    <w:rsid w:val="00B3262B"/>
    <w:rsid w:val="00B32C93"/>
    <w:rsid w:val="00B33763"/>
    <w:rsid w:val="00B34139"/>
    <w:rsid w:val="00B353EB"/>
    <w:rsid w:val="00B3589C"/>
    <w:rsid w:val="00B368DB"/>
    <w:rsid w:val="00B374D6"/>
    <w:rsid w:val="00B37FCE"/>
    <w:rsid w:val="00B4149A"/>
    <w:rsid w:val="00B417CE"/>
    <w:rsid w:val="00B42B01"/>
    <w:rsid w:val="00B436F0"/>
    <w:rsid w:val="00B439C4"/>
    <w:rsid w:val="00B4535E"/>
    <w:rsid w:val="00B46597"/>
    <w:rsid w:val="00B4751F"/>
    <w:rsid w:val="00B500AD"/>
    <w:rsid w:val="00B508CB"/>
    <w:rsid w:val="00B52A8C"/>
    <w:rsid w:val="00B5493C"/>
    <w:rsid w:val="00B55C18"/>
    <w:rsid w:val="00B56A5D"/>
    <w:rsid w:val="00B636A8"/>
    <w:rsid w:val="00B64688"/>
    <w:rsid w:val="00B6581D"/>
    <w:rsid w:val="00B65D17"/>
    <w:rsid w:val="00B665C6"/>
    <w:rsid w:val="00B668FB"/>
    <w:rsid w:val="00B700D3"/>
    <w:rsid w:val="00B70438"/>
    <w:rsid w:val="00B72016"/>
    <w:rsid w:val="00B75008"/>
    <w:rsid w:val="00B75555"/>
    <w:rsid w:val="00B77535"/>
    <w:rsid w:val="00B805AF"/>
    <w:rsid w:val="00B80A0B"/>
    <w:rsid w:val="00B869EC"/>
    <w:rsid w:val="00B905AE"/>
    <w:rsid w:val="00B92138"/>
    <w:rsid w:val="00B9397A"/>
    <w:rsid w:val="00B95407"/>
    <w:rsid w:val="00B95BE3"/>
    <w:rsid w:val="00B9633D"/>
    <w:rsid w:val="00B97A49"/>
    <w:rsid w:val="00BA003C"/>
    <w:rsid w:val="00BA2EBE"/>
    <w:rsid w:val="00BA382A"/>
    <w:rsid w:val="00BA6874"/>
    <w:rsid w:val="00BB03D1"/>
    <w:rsid w:val="00BB0F28"/>
    <w:rsid w:val="00BB111F"/>
    <w:rsid w:val="00BB339F"/>
    <w:rsid w:val="00BB375B"/>
    <w:rsid w:val="00BB458A"/>
    <w:rsid w:val="00BB45D4"/>
    <w:rsid w:val="00BB66B6"/>
    <w:rsid w:val="00BB7E8A"/>
    <w:rsid w:val="00BC044B"/>
    <w:rsid w:val="00BC5627"/>
    <w:rsid w:val="00BC5675"/>
    <w:rsid w:val="00BD00D3"/>
    <w:rsid w:val="00BD1659"/>
    <w:rsid w:val="00BD3AA9"/>
    <w:rsid w:val="00BD4A18"/>
    <w:rsid w:val="00BD6400"/>
    <w:rsid w:val="00BD6DB2"/>
    <w:rsid w:val="00BE11CF"/>
    <w:rsid w:val="00BE2040"/>
    <w:rsid w:val="00BE21AB"/>
    <w:rsid w:val="00BE36ED"/>
    <w:rsid w:val="00BE4223"/>
    <w:rsid w:val="00BE43DE"/>
    <w:rsid w:val="00BE55CB"/>
    <w:rsid w:val="00BF2044"/>
    <w:rsid w:val="00BF617A"/>
    <w:rsid w:val="00BF6346"/>
    <w:rsid w:val="00BF6CF3"/>
    <w:rsid w:val="00C00F40"/>
    <w:rsid w:val="00C0225A"/>
    <w:rsid w:val="00C034EA"/>
    <w:rsid w:val="00C03694"/>
    <w:rsid w:val="00C0379D"/>
    <w:rsid w:val="00C03931"/>
    <w:rsid w:val="00C03D50"/>
    <w:rsid w:val="00C047EF"/>
    <w:rsid w:val="00C0499C"/>
    <w:rsid w:val="00C05FE3"/>
    <w:rsid w:val="00C103DD"/>
    <w:rsid w:val="00C15EE8"/>
    <w:rsid w:val="00C173D9"/>
    <w:rsid w:val="00C17E94"/>
    <w:rsid w:val="00C2136D"/>
    <w:rsid w:val="00C214EE"/>
    <w:rsid w:val="00C21625"/>
    <w:rsid w:val="00C21D25"/>
    <w:rsid w:val="00C21F90"/>
    <w:rsid w:val="00C2314B"/>
    <w:rsid w:val="00C24971"/>
    <w:rsid w:val="00C2557F"/>
    <w:rsid w:val="00C26BC8"/>
    <w:rsid w:val="00C26BE5"/>
    <w:rsid w:val="00C26E4D"/>
    <w:rsid w:val="00C27909"/>
    <w:rsid w:val="00C27B03"/>
    <w:rsid w:val="00C314E1"/>
    <w:rsid w:val="00C31DA2"/>
    <w:rsid w:val="00C34397"/>
    <w:rsid w:val="00C34F6B"/>
    <w:rsid w:val="00C34F77"/>
    <w:rsid w:val="00C4095D"/>
    <w:rsid w:val="00C41494"/>
    <w:rsid w:val="00C4181C"/>
    <w:rsid w:val="00C51367"/>
    <w:rsid w:val="00C52DBA"/>
    <w:rsid w:val="00C55EB2"/>
    <w:rsid w:val="00C56511"/>
    <w:rsid w:val="00C57A88"/>
    <w:rsid w:val="00C601D2"/>
    <w:rsid w:val="00C60377"/>
    <w:rsid w:val="00C62244"/>
    <w:rsid w:val="00C629FC"/>
    <w:rsid w:val="00C657AB"/>
    <w:rsid w:val="00C65BCC"/>
    <w:rsid w:val="00C66970"/>
    <w:rsid w:val="00C67566"/>
    <w:rsid w:val="00C67AFB"/>
    <w:rsid w:val="00C704F6"/>
    <w:rsid w:val="00C7095E"/>
    <w:rsid w:val="00C7336D"/>
    <w:rsid w:val="00C733BF"/>
    <w:rsid w:val="00C73FFA"/>
    <w:rsid w:val="00C80255"/>
    <w:rsid w:val="00C8160B"/>
    <w:rsid w:val="00C8161E"/>
    <w:rsid w:val="00C820A6"/>
    <w:rsid w:val="00C8691C"/>
    <w:rsid w:val="00C87B04"/>
    <w:rsid w:val="00C901C4"/>
    <w:rsid w:val="00C90F6C"/>
    <w:rsid w:val="00C91F1E"/>
    <w:rsid w:val="00C92997"/>
    <w:rsid w:val="00C9424A"/>
    <w:rsid w:val="00C94EA1"/>
    <w:rsid w:val="00C96CA8"/>
    <w:rsid w:val="00C97D66"/>
    <w:rsid w:val="00CA07F9"/>
    <w:rsid w:val="00CA1285"/>
    <w:rsid w:val="00CA168A"/>
    <w:rsid w:val="00CA22C2"/>
    <w:rsid w:val="00CA357E"/>
    <w:rsid w:val="00CA44F9"/>
    <w:rsid w:val="00CA4A69"/>
    <w:rsid w:val="00CB06FC"/>
    <w:rsid w:val="00CB52A1"/>
    <w:rsid w:val="00CB5B59"/>
    <w:rsid w:val="00CB6EC1"/>
    <w:rsid w:val="00CC205E"/>
    <w:rsid w:val="00CC388F"/>
    <w:rsid w:val="00CC3E0C"/>
    <w:rsid w:val="00CC58D3"/>
    <w:rsid w:val="00CC5CB9"/>
    <w:rsid w:val="00CC6531"/>
    <w:rsid w:val="00CC784D"/>
    <w:rsid w:val="00CC7FE3"/>
    <w:rsid w:val="00CD40FF"/>
    <w:rsid w:val="00CD565D"/>
    <w:rsid w:val="00CE2D5B"/>
    <w:rsid w:val="00CE5CCE"/>
    <w:rsid w:val="00CE7032"/>
    <w:rsid w:val="00CF0627"/>
    <w:rsid w:val="00D028EB"/>
    <w:rsid w:val="00D0337B"/>
    <w:rsid w:val="00D05B3F"/>
    <w:rsid w:val="00D079B2"/>
    <w:rsid w:val="00D10556"/>
    <w:rsid w:val="00D114E9"/>
    <w:rsid w:val="00D2045A"/>
    <w:rsid w:val="00D21783"/>
    <w:rsid w:val="00D2682A"/>
    <w:rsid w:val="00D33B9A"/>
    <w:rsid w:val="00D41E7D"/>
    <w:rsid w:val="00D429C6"/>
    <w:rsid w:val="00D47554"/>
    <w:rsid w:val="00D47748"/>
    <w:rsid w:val="00D47A5A"/>
    <w:rsid w:val="00D47B43"/>
    <w:rsid w:val="00D5236E"/>
    <w:rsid w:val="00D524FA"/>
    <w:rsid w:val="00D54CC3"/>
    <w:rsid w:val="00D54FC3"/>
    <w:rsid w:val="00D6041A"/>
    <w:rsid w:val="00D633EB"/>
    <w:rsid w:val="00D64D93"/>
    <w:rsid w:val="00D655AD"/>
    <w:rsid w:val="00D67365"/>
    <w:rsid w:val="00D70A8F"/>
    <w:rsid w:val="00D71C28"/>
    <w:rsid w:val="00D7540E"/>
    <w:rsid w:val="00D82ABF"/>
    <w:rsid w:val="00D82FF7"/>
    <w:rsid w:val="00D847FE"/>
    <w:rsid w:val="00D9194E"/>
    <w:rsid w:val="00D92598"/>
    <w:rsid w:val="00D92B47"/>
    <w:rsid w:val="00D943CA"/>
    <w:rsid w:val="00D964EA"/>
    <w:rsid w:val="00D966D0"/>
    <w:rsid w:val="00DA0C59"/>
    <w:rsid w:val="00DA38F6"/>
    <w:rsid w:val="00DA3991"/>
    <w:rsid w:val="00DB00DC"/>
    <w:rsid w:val="00DB03DF"/>
    <w:rsid w:val="00DB2284"/>
    <w:rsid w:val="00DB24C1"/>
    <w:rsid w:val="00DB3948"/>
    <w:rsid w:val="00DB746B"/>
    <w:rsid w:val="00DB7A40"/>
    <w:rsid w:val="00DB7E6C"/>
    <w:rsid w:val="00DC4CAE"/>
    <w:rsid w:val="00DC5B05"/>
    <w:rsid w:val="00DC660C"/>
    <w:rsid w:val="00DC66DA"/>
    <w:rsid w:val="00DD0378"/>
    <w:rsid w:val="00DD1CC3"/>
    <w:rsid w:val="00DD2D0F"/>
    <w:rsid w:val="00DD4F0F"/>
    <w:rsid w:val="00DD5A29"/>
    <w:rsid w:val="00DD5C42"/>
    <w:rsid w:val="00DD5D9D"/>
    <w:rsid w:val="00DD5FFA"/>
    <w:rsid w:val="00DE05C5"/>
    <w:rsid w:val="00DE0BEB"/>
    <w:rsid w:val="00DE14E4"/>
    <w:rsid w:val="00DE35CB"/>
    <w:rsid w:val="00DE5B39"/>
    <w:rsid w:val="00DE71F1"/>
    <w:rsid w:val="00DF21E9"/>
    <w:rsid w:val="00DF3752"/>
    <w:rsid w:val="00DF3A82"/>
    <w:rsid w:val="00E00F14"/>
    <w:rsid w:val="00E057C0"/>
    <w:rsid w:val="00E06386"/>
    <w:rsid w:val="00E06B4B"/>
    <w:rsid w:val="00E1098C"/>
    <w:rsid w:val="00E10E80"/>
    <w:rsid w:val="00E122DC"/>
    <w:rsid w:val="00E14B56"/>
    <w:rsid w:val="00E15AE2"/>
    <w:rsid w:val="00E17F34"/>
    <w:rsid w:val="00E17F49"/>
    <w:rsid w:val="00E202CA"/>
    <w:rsid w:val="00E22D08"/>
    <w:rsid w:val="00E23229"/>
    <w:rsid w:val="00E243BC"/>
    <w:rsid w:val="00E2453A"/>
    <w:rsid w:val="00E24EB4"/>
    <w:rsid w:val="00E25559"/>
    <w:rsid w:val="00E26075"/>
    <w:rsid w:val="00E264AF"/>
    <w:rsid w:val="00E279AF"/>
    <w:rsid w:val="00E27EDF"/>
    <w:rsid w:val="00E320ED"/>
    <w:rsid w:val="00E33AFB"/>
    <w:rsid w:val="00E34218"/>
    <w:rsid w:val="00E37F8B"/>
    <w:rsid w:val="00E40A0A"/>
    <w:rsid w:val="00E40AC1"/>
    <w:rsid w:val="00E436EE"/>
    <w:rsid w:val="00E4425D"/>
    <w:rsid w:val="00E46282"/>
    <w:rsid w:val="00E46C14"/>
    <w:rsid w:val="00E4744E"/>
    <w:rsid w:val="00E47F4B"/>
    <w:rsid w:val="00E5216E"/>
    <w:rsid w:val="00E531DD"/>
    <w:rsid w:val="00E5442B"/>
    <w:rsid w:val="00E55222"/>
    <w:rsid w:val="00E558E8"/>
    <w:rsid w:val="00E5631B"/>
    <w:rsid w:val="00E60200"/>
    <w:rsid w:val="00E64345"/>
    <w:rsid w:val="00E675F2"/>
    <w:rsid w:val="00E76282"/>
    <w:rsid w:val="00E775A3"/>
    <w:rsid w:val="00E80CC0"/>
    <w:rsid w:val="00E8202E"/>
    <w:rsid w:val="00E82344"/>
    <w:rsid w:val="00E84C82"/>
    <w:rsid w:val="00E84D64"/>
    <w:rsid w:val="00E870BF"/>
    <w:rsid w:val="00E87408"/>
    <w:rsid w:val="00E87B6C"/>
    <w:rsid w:val="00E914C4"/>
    <w:rsid w:val="00E918EC"/>
    <w:rsid w:val="00E91EF5"/>
    <w:rsid w:val="00E922AD"/>
    <w:rsid w:val="00E934F5"/>
    <w:rsid w:val="00E951F4"/>
    <w:rsid w:val="00E955CE"/>
    <w:rsid w:val="00E95AC2"/>
    <w:rsid w:val="00E9646F"/>
    <w:rsid w:val="00E967B2"/>
    <w:rsid w:val="00E96961"/>
    <w:rsid w:val="00E96C32"/>
    <w:rsid w:val="00E97ECB"/>
    <w:rsid w:val="00EA2793"/>
    <w:rsid w:val="00EA72EC"/>
    <w:rsid w:val="00EB11CB"/>
    <w:rsid w:val="00EB216D"/>
    <w:rsid w:val="00EB275A"/>
    <w:rsid w:val="00EB56B8"/>
    <w:rsid w:val="00EB580B"/>
    <w:rsid w:val="00EB786A"/>
    <w:rsid w:val="00EC1578"/>
    <w:rsid w:val="00EC1C72"/>
    <w:rsid w:val="00EC2528"/>
    <w:rsid w:val="00EC3C9E"/>
    <w:rsid w:val="00EC3CC9"/>
    <w:rsid w:val="00EC4BA9"/>
    <w:rsid w:val="00EC517A"/>
    <w:rsid w:val="00EC680A"/>
    <w:rsid w:val="00EC7531"/>
    <w:rsid w:val="00ED097B"/>
    <w:rsid w:val="00ED553F"/>
    <w:rsid w:val="00ED63D9"/>
    <w:rsid w:val="00ED7D18"/>
    <w:rsid w:val="00EE03C1"/>
    <w:rsid w:val="00EE077D"/>
    <w:rsid w:val="00EE2BED"/>
    <w:rsid w:val="00EE374B"/>
    <w:rsid w:val="00EE3DF1"/>
    <w:rsid w:val="00EF2915"/>
    <w:rsid w:val="00EF3D7A"/>
    <w:rsid w:val="00EF6A7D"/>
    <w:rsid w:val="00F0317A"/>
    <w:rsid w:val="00F057B1"/>
    <w:rsid w:val="00F10FB7"/>
    <w:rsid w:val="00F11BB5"/>
    <w:rsid w:val="00F1417B"/>
    <w:rsid w:val="00F20C02"/>
    <w:rsid w:val="00F24A17"/>
    <w:rsid w:val="00F34B99"/>
    <w:rsid w:val="00F374A6"/>
    <w:rsid w:val="00F374E5"/>
    <w:rsid w:val="00F42218"/>
    <w:rsid w:val="00F4247C"/>
    <w:rsid w:val="00F43345"/>
    <w:rsid w:val="00F47DCF"/>
    <w:rsid w:val="00F47EC3"/>
    <w:rsid w:val="00F51A82"/>
    <w:rsid w:val="00F52DAB"/>
    <w:rsid w:val="00F543F0"/>
    <w:rsid w:val="00F56C93"/>
    <w:rsid w:val="00F629C6"/>
    <w:rsid w:val="00F64554"/>
    <w:rsid w:val="00F655EE"/>
    <w:rsid w:val="00F65B0D"/>
    <w:rsid w:val="00F65DA9"/>
    <w:rsid w:val="00F66A64"/>
    <w:rsid w:val="00F7071E"/>
    <w:rsid w:val="00F73EB1"/>
    <w:rsid w:val="00F75A48"/>
    <w:rsid w:val="00F81D29"/>
    <w:rsid w:val="00F8364C"/>
    <w:rsid w:val="00F85531"/>
    <w:rsid w:val="00F85B01"/>
    <w:rsid w:val="00F91C4D"/>
    <w:rsid w:val="00F92FD9"/>
    <w:rsid w:val="00F95819"/>
    <w:rsid w:val="00FA6684"/>
    <w:rsid w:val="00FA731E"/>
    <w:rsid w:val="00FB2B38"/>
    <w:rsid w:val="00FB629A"/>
    <w:rsid w:val="00FC1D33"/>
    <w:rsid w:val="00FC2336"/>
    <w:rsid w:val="00FC243E"/>
    <w:rsid w:val="00FC518A"/>
    <w:rsid w:val="00FC5431"/>
    <w:rsid w:val="00FC6358"/>
    <w:rsid w:val="00FC6DB5"/>
    <w:rsid w:val="00FD320D"/>
    <w:rsid w:val="00FD3CC9"/>
    <w:rsid w:val="00FD5077"/>
    <w:rsid w:val="00FD617A"/>
    <w:rsid w:val="00FE1ECC"/>
    <w:rsid w:val="00FE23DE"/>
    <w:rsid w:val="00FE494C"/>
    <w:rsid w:val="00FE6040"/>
    <w:rsid w:val="00FE6996"/>
    <w:rsid w:val="00FE6C38"/>
    <w:rsid w:val="00FF2F10"/>
    <w:rsid w:val="00FF42F0"/>
    <w:rsid w:val="00FF5403"/>
    <w:rsid w:val="013C090E"/>
    <w:rsid w:val="02365500"/>
    <w:rsid w:val="0A851326"/>
    <w:rsid w:val="0AF60BC0"/>
    <w:rsid w:val="0D18022F"/>
    <w:rsid w:val="0E0D7ACB"/>
    <w:rsid w:val="13411EEC"/>
    <w:rsid w:val="136A4ADD"/>
    <w:rsid w:val="14636945"/>
    <w:rsid w:val="168B11F8"/>
    <w:rsid w:val="18600DA4"/>
    <w:rsid w:val="1E8F7BBC"/>
    <w:rsid w:val="207D45E6"/>
    <w:rsid w:val="232C101E"/>
    <w:rsid w:val="24A84FF5"/>
    <w:rsid w:val="26BF751B"/>
    <w:rsid w:val="286767DF"/>
    <w:rsid w:val="2D4B5A24"/>
    <w:rsid w:val="2F810927"/>
    <w:rsid w:val="31C845BB"/>
    <w:rsid w:val="31FB713A"/>
    <w:rsid w:val="32861C19"/>
    <w:rsid w:val="34A12BF9"/>
    <w:rsid w:val="365075D0"/>
    <w:rsid w:val="38701D47"/>
    <w:rsid w:val="3E9C3BB7"/>
    <w:rsid w:val="416B6E38"/>
    <w:rsid w:val="43ED46E8"/>
    <w:rsid w:val="46DC79FD"/>
    <w:rsid w:val="4A304379"/>
    <w:rsid w:val="4E4E165B"/>
    <w:rsid w:val="50DB42B0"/>
    <w:rsid w:val="5512068D"/>
    <w:rsid w:val="552D7CBE"/>
    <w:rsid w:val="55C776C9"/>
    <w:rsid w:val="5822508B"/>
    <w:rsid w:val="5A877540"/>
    <w:rsid w:val="5AF34724"/>
    <w:rsid w:val="5B341B1C"/>
    <w:rsid w:val="5B8D379F"/>
    <w:rsid w:val="5F3D6A18"/>
    <w:rsid w:val="61003101"/>
    <w:rsid w:val="621F43E9"/>
    <w:rsid w:val="63B05C41"/>
    <w:rsid w:val="63DB5CD1"/>
    <w:rsid w:val="64994927"/>
    <w:rsid w:val="65FC44C8"/>
    <w:rsid w:val="68331B39"/>
    <w:rsid w:val="6A445335"/>
    <w:rsid w:val="6C7E7BA6"/>
    <w:rsid w:val="70901D61"/>
    <w:rsid w:val="768C6099"/>
    <w:rsid w:val="78E026CC"/>
    <w:rsid w:val="7BF95B5D"/>
    <w:rsid w:val="7BFC70BF"/>
    <w:rsid w:val="7EB86BF1"/>
    <w:rsid w:val="7FA802B6"/>
    <w:rsid w:val="FE6FDC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qFormat="1" w:unhideWhenUsed="0" w:uiPriority="99" w:semiHidden="0" w:name="footnote text"/>
    <w:lsdException w:qFormat="1" w:uiPriority="99"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iPriority="99"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2"/>
    <w:qFormat/>
    <w:locked/>
    <w:uiPriority w:val="0"/>
    <w:pPr>
      <w:keepNext/>
      <w:keepLines/>
      <w:numPr>
        <w:ilvl w:val="0"/>
        <w:numId w:val="1"/>
      </w:numPr>
      <w:spacing w:before="240" w:after="240" w:line="360" w:lineRule="exact"/>
      <w:outlineLvl w:val="0"/>
    </w:pPr>
    <w:rPr>
      <w:rFonts w:ascii="Arial" w:hAnsi="Arial" w:eastAsia="黑体"/>
      <w:bCs/>
      <w:kern w:val="44"/>
      <w:szCs w:val="44"/>
    </w:rPr>
  </w:style>
  <w:style w:type="paragraph" w:styleId="3">
    <w:name w:val="heading 2"/>
    <w:basedOn w:val="1"/>
    <w:next w:val="1"/>
    <w:link w:val="51"/>
    <w:qFormat/>
    <w:uiPriority w:val="99"/>
    <w:pPr>
      <w:keepNext/>
      <w:keepLines/>
      <w:numPr>
        <w:ilvl w:val="1"/>
        <w:numId w:val="1"/>
      </w:numPr>
      <w:spacing w:before="120" w:after="120" w:line="360" w:lineRule="exact"/>
      <w:ind w:left="0"/>
      <w:outlineLvl w:val="1"/>
    </w:pPr>
    <w:rPr>
      <w:rFonts w:ascii="Arial" w:hAnsi="Arial" w:eastAsia="黑体"/>
      <w:bCs/>
      <w:szCs w:val="32"/>
    </w:rPr>
  </w:style>
  <w:style w:type="paragraph" w:styleId="4">
    <w:name w:val="heading 3"/>
    <w:basedOn w:val="1"/>
    <w:next w:val="1"/>
    <w:link w:val="163"/>
    <w:unhideWhenUsed/>
    <w:qFormat/>
    <w:locked/>
    <w:uiPriority w:val="0"/>
    <w:pPr>
      <w:numPr>
        <w:ilvl w:val="2"/>
        <w:numId w:val="1"/>
      </w:numPr>
      <w:spacing w:line="360" w:lineRule="exact"/>
      <w:ind w:left="0"/>
      <w:outlineLvl w:val="2"/>
    </w:pPr>
    <w:rPr>
      <w:bCs/>
      <w:szCs w:val="32"/>
    </w:rPr>
  </w:style>
  <w:style w:type="paragraph" w:styleId="5">
    <w:name w:val="heading 4"/>
    <w:basedOn w:val="1"/>
    <w:next w:val="1"/>
    <w:link w:val="164"/>
    <w:semiHidden/>
    <w:unhideWhenUsed/>
    <w:qFormat/>
    <w:locked/>
    <w:uiPriority w:val="0"/>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65"/>
    <w:semiHidden/>
    <w:unhideWhenUsed/>
    <w:qFormat/>
    <w:locked/>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66"/>
    <w:semiHidden/>
    <w:unhideWhenUsed/>
    <w:qFormat/>
    <w:locked/>
    <w:uiPriority w:val="0"/>
    <w:pPr>
      <w:keepNext/>
      <w:keepLines/>
      <w:numPr>
        <w:ilvl w:val="5"/>
        <w:numId w:val="1"/>
      </w:numPr>
      <w:spacing w:before="240" w:after="64" w:line="320" w:lineRule="auto"/>
      <w:outlineLvl w:val="5"/>
    </w:pPr>
    <w:rPr>
      <w:rFonts w:asciiTheme="majorHAnsi" w:hAnsiTheme="majorHAnsi" w:eastAsiaTheme="majorEastAsia" w:cstheme="majorBidi"/>
      <w:b/>
      <w:bCs/>
      <w:sz w:val="24"/>
    </w:rPr>
  </w:style>
  <w:style w:type="paragraph" w:styleId="8">
    <w:name w:val="heading 7"/>
    <w:basedOn w:val="1"/>
    <w:next w:val="1"/>
    <w:link w:val="167"/>
    <w:semiHidden/>
    <w:unhideWhenUsed/>
    <w:qFormat/>
    <w:locked/>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168"/>
    <w:semiHidden/>
    <w:unhideWhenUsed/>
    <w:qFormat/>
    <w:locked/>
    <w:uiPriority w:val="0"/>
    <w:pPr>
      <w:keepNext/>
      <w:keepLines/>
      <w:numPr>
        <w:ilvl w:val="7"/>
        <w:numId w:val="1"/>
      </w:numPr>
      <w:spacing w:before="240" w:after="64" w:line="320" w:lineRule="auto"/>
      <w:outlineLvl w:val="7"/>
    </w:pPr>
    <w:rPr>
      <w:rFonts w:asciiTheme="majorHAnsi" w:hAnsiTheme="majorHAnsi" w:eastAsiaTheme="majorEastAsia" w:cstheme="majorBidi"/>
      <w:sz w:val="24"/>
    </w:rPr>
  </w:style>
  <w:style w:type="paragraph" w:styleId="10">
    <w:name w:val="heading 9"/>
    <w:basedOn w:val="1"/>
    <w:next w:val="1"/>
    <w:link w:val="169"/>
    <w:semiHidden/>
    <w:unhideWhenUsed/>
    <w:qFormat/>
    <w:locked/>
    <w:uiPriority w:val="0"/>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99"/>
    <w:pPr>
      <w:tabs>
        <w:tab w:val="right" w:leader="dot" w:pos="9241"/>
      </w:tabs>
      <w:ind w:firstLine="505" w:firstLineChars="500"/>
      <w:jc w:val="left"/>
    </w:pPr>
    <w:rPr>
      <w:rFonts w:ascii="宋体"/>
      <w:szCs w:val="21"/>
    </w:rPr>
  </w:style>
  <w:style w:type="paragraph" w:styleId="12">
    <w:name w:val="index 8"/>
    <w:basedOn w:val="1"/>
    <w:next w:val="1"/>
    <w:qFormat/>
    <w:uiPriority w:val="99"/>
    <w:pPr>
      <w:ind w:left="1680" w:hanging="210"/>
      <w:jc w:val="left"/>
    </w:pPr>
    <w:rPr>
      <w:rFonts w:ascii="Calibri" w:hAnsi="Calibri"/>
      <w:sz w:val="20"/>
      <w:szCs w:val="20"/>
    </w:rPr>
  </w:style>
  <w:style w:type="paragraph" w:styleId="13">
    <w:name w:val="caption"/>
    <w:basedOn w:val="1"/>
    <w:next w:val="1"/>
    <w:qFormat/>
    <w:uiPriority w:val="99"/>
    <w:pPr>
      <w:spacing w:before="152" w:after="160"/>
    </w:pPr>
    <w:rPr>
      <w:rFonts w:ascii="Arial" w:hAnsi="Arial" w:eastAsia="黑体" w:cs="Arial"/>
      <w:sz w:val="20"/>
      <w:szCs w:val="20"/>
    </w:rPr>
  </w:style>
  <w:style w:type="paragraph" w:styleId="14">
    <w:name w:val="index 5"/>
    <w:basedOn w:val="1"/>
    <w:next w:val="1"/>
    <w:qFormat/>
    <w:uiPriority w:val="99"/>
    <w:pPr>
      <w:ind w:left="1050" w:hanging="210"/>
      <w:jc w:val="left"/>
    </w:pPr>
    <w:rPr>
      <w:rFonts w:ascii="Calibri" w:hAnsi="Calibri"/>
      <w:sz w:val="20"/>
      <w:szCs w:val="20"/>
    </w:rPr>
  </w:style>
  <w:style w:type="paragraph" w:styleId="15">
    <w:name w:val="Document Map"/>
    <w:basedOn w:val="1"/>
    <w:link w:val="138"/>
    <w:semiHidden/>
    <w:qFormat/>
    <w:uiPriority w:val="99"/>
    <w:pPr>
      <w:shd w:val="clear" w:color="auto" w:fill="000080"/>
    </w:pPr>
  </w:style>
  <w:style w:type="paragraph" w:styleId="16">
    <w:name w:val="annotation text"/>
    <w:basedOn w:val="1"/>
    <w:link w:val="174"/>
    <w:semiHidden/>
    <w:unhideWhenUsed/>
    <w:qFormat/>
    <w:uiPriority w:val="99"/>
    <w:pPr>
      <w:jc w:val="left"/>
    </w:pPr>
  </w:style>
  <w:style w:type="paragraph" w:styleId="17">
    <w:name w:val="index 6"/>
    <w:basedOn w:val="1"/>
    <w:next w:val="1"/>
    <w:qFormat/>
    <w:uiPriority w:val="99"/>
    <w:pPr>
      <w:ind w:left="1260" w:hanging="210"/>
      <w:jc w:val="left"/>
    </w:pPr>
    <w:rPr>
      <w:rFonts w:ascii="Calibri" w:hAnsi="Calibri"/>
      <w:sz w:val="20"/>
      <w:szCs w:val="20"/>
    </w:rPr>
  </w:style>
  <w:style w:type="paragraph" w:styleId="18">
    <w:name w:val="Body Text"/>
    <w:basedOn w:val="1"/>
    <w:link w:val="157"/>
    <w:qFormat/>
    <w:uiPriority w:val="99"/>
    <w:pPr>
      <w:spacing w:after="120"/>
    </w:pPr>
  </w:style>
  <w:style w:type="paragraph" w:styleId="19">
    <w:name w:val="index 4"/>
    <w:basedOn w:val="1"/>
    <w:next w:val="1"/>
    <w:qFormat/>
    <w:uiPriority w:val="99"/>
    <w:pPr>
      <w:ind w:left="840" w:hanging="210"/>
      <w:jc w:val="left"/>
    </w:pPr>
    <w:rPr>
      <w:rFonts w:ascii="Calibri" w:hAnsi="Calibri"/>
      <w:sz w:val="20"/>
      <w:szCs w:val="20"/>
    </w:rPr>
  </w:style>
  <w:style w:type="paragraph" w:styleId="20">
    <w:name w:val="toc 5"/>
    <w:basedOn w:val="1"/>
    <w:next w:val="1"/>
    <w:semiHidden/>
    <w:qFormat/>
    <w:uiPriority w:val="99"/>
    <w:pPr>
      <w:tabs>
        <w:tab w:val="right" w:leader="dot" w:pos="9241"/>
      </w:tabs>
      <w:ind w:firstLine="300" w:firstLineChars="300"/>
      <w:jc w:val="left"/>
    </w:pPr>
    <w:rPr>
      <w:rFonts w:ascii="宋体"/>
      <w:szCs w:val="21"/>
    </w:rPr>
  </w:style>
  <w:style w:type="paragraph" w:styleId="21">
    <w:name w:val="toc 3"/>
    <w:basedOn w:val="1"/>
    <w:next w:val="1"/>
    <w:qFormat/>
    <w:uiPriority w:val="39"/>
    <w:pPr>
      <w:tabs>
        <w:tab w:val="right" w:leader="dot" w:pos="9241"/>
      </w:tabs>
      <w:ind w:firstLine="102" w:firstLineChars="100"/>
      <w:jc w:val="left"/>
    </w:pPr>
    <w:rPr>
      <w:rFonts w:ascii="宋体"/>
      <w:szCs w:val="21"/>
    </w:rPr>
  </w:style>
  <w:style w:type="paragraph" w:styleId="22">
    <w:name w:val="toc 8"/>
    <w:basedOn w:val="1"/>
    <w:next w:val="1"/>
    <w:semiHidden/>
    <w:qFormat/>
    <w:uiPriority w:val="99"/>
    <w:pPr>
      <w:tabs>
        <w:tab w:val="right" w:leader="dot" w:pos="9241"/>
      </w:tabs>
      <w:ind w:firstLine="607" w:firstLineChars="600"/>
      <w:jc w:val="left"/>
    </w:pPr>
    <w:rPr>
      <w:rFonts w:ascii="宋体"/>
      <w:szCs w:val="21"/>
    </w:rPr>
  </w:style>
  <w:style w:type="paragraph" w:styleId="23">
    <w:name w:val="index 3"/>
    <w:basedOn w:val="1"/>
    <w:next w:val="1"/>
    <w:qFormat/>
    <w:uiPriority w:val="99"/>
    <w:pPr>
      <w:ind w:left="630" w:hanging="210"/>
      <w:jc w:val="left"/>
    </w:pPr>
    <w:rPr>
      <w:rFonts w:ascii="Calibri" w:hAnsi="Calibri"/>
      <w:sz w:val="20"/>
      <w:szCs w:val="20"/>
    </w:rPr>
  </w:style>
  <w:style w:type="paragraph" w:styleId="24">
    <w:name w:val="endnote text"/>
    <w:basedOn w:val="1"/>
    <w:link w:val="137"/>
    <w:semiHidden/>
    <w:qFormat/>
    <w:uiPriority w:val="99"/>
    <w:pPr>
      <w:snapToGrid w:val="0"/>
      <w:jc w:val="left"/>
    </w:pPr>
  </w:style>
  <w:style w:type="paragraph" w:styleId="25">
    <w:name w:val="Balloon Text"/>
    <w:basedOn w:val="1"/>
    <w:link w:val="159"/>
    <w:qFormat/>
    <w:uiPriority w:val="99"/>
    <w:rPr>
      <w:sz w:val="18"/>
      <w:szCs w:val="18"/>
    </w:rPr>
  </w:style>
  <w:style w:type="paragraph" w:styleId="26">
    <w:name w:val="footer"/>
    <w:basedOn w:val="1"/>
    <w:link w:val="68"/>
    <w:qFormat/>
    <w:uiPriority w:val="99"/>
    <w:pPr>
      <w:snapToGrid w:val="0"/>
      <w:ind w:right="210" w:rightChars="100"/>
      <w:jc w:val="right"/>
    </w:pPr>
    <w:rPr>
      <w:sz w:val="18"/>
      <w:szCs w:val="18"/>
    </w:rPr>
  </w:style>
  <w:style w:type="paragraph" w:styleId="27">
    <w:name w:val="header"/>
    <w:basedOn w:val="1"/>
    <w:link w:val="69"/>
    <w:qFormat/>
    <w:uiPriority w:val="99"/>
    <w:pPr>
      <w:snapToGrid w:val="0"/>
      <w:jc w:val="left"/>
    </w:pPr>
    <w:rPr>
      <w:sz w:val="18"/>
      <w:szCs w:val="18"/>
    </w:rPr>
  </w:style>
  <w:style w:type="paragraph" w:styleId="28">
    <w:name w:val="toc 1"/>
    <w:basedOn w:val="1"/>
    <w:next w:val="1"/>
    <w:qFormat/>
    <w:uiPriority w:val="39"/>
    <w:pPr>
      <w:tabs>
        <w:tab w:val="right" w:leader="dot" w:pos="9241"/>
      </w:tabs>
      <w:spacing w:before="78" w:beforeLines="25" w:after="78" w:afterLines="25"/>
      <w:jc w:val="left"/>
    </w:pPr>
    <w:rPr>
      <w:szCs w:val="21"/>
    </w:rPr>
  </w:style>
  <w:style w:type="paragraph" w:styleId="29">
    <w:name w:val="toc 4"/>
    <w:basedOn w:val="1"/>
    <w:next w:val="1"/>
    <w:semiHidden/>
    <w:qFormat/>
    <w:uiPriority w:val="99"/>
    <w:pPr>
      <w:tabs>
        <w:tab w:val="right" w:leader="dot" w:pos="9241"/>
      </w:tabs>
      <w:ind w:firstLine="198" w:firstLineChars="200"/>
      <w:jc w:val="left"/>
    </w:pPr>
    <w:rPr>
      <w:rFonts w:ascii="宋体"/>
      <w:szCs w:val="21"/>
    </w:rPr>
  </w:style>
  <w:style w:type="paragraph" w:styleId="30">
    <w:name w:val="index heading"/>
    <w:basedOn w:val="1"/>
    <w:next w:val="31"/>
    <w:qFormat/>
    <w:uiPriority w:val="99"/>
    <w:pPr>
      <w:spacing w:before="120" w:after="120"/>
      <w:jc w:val="center"/>
    </w:pPr>
    <w:rPr>
      <w:rFonts w:ascii="Calibri" w:hAnsi="Calibri"/>
      <w:b/>
      <w:bCs/>
      <w:iCs/>
      <w:szCs w:val="20"/>
    </w:rPr>
  </w:style>
  <w:style w:type="paragraph" w:styleId="31">
    <w:name w:val="index 1"/>
    <w:basedOn w:val="1"/>
    <w:next w:val="32"/>
    <w:qFormat/>
    <w:uiPriority w:val="99"/>
    <w:pPr>
      <w:tabs>
        <w:tab w:val="right" w:leader="dot" w:pos="9299"/>
      </w:tabs>
      <w:jc w:val="left"/>
    </w:pPr>
    <w:rPr>
      <w:rFonts w:ascii="宋体"/>
      <w:szCs w:val="21"/>
    </w:rPr>
  </w:style>
  <w:style w:type="paragraph" w:customStyle="1" w:styleId="32">
    <w:name w:val="段"/>
    <w:link w:val="52"/>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3">
    <w:name w:val="Subtitle"/>
    <w:basedOn w:val="1"/>
    <w:next w:val="1"/>
    <w:link w:val="172"/>
    <w:qFormat/>
    <w:locked/>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34">
    <w:name w:val="footnote text"/>
    <w:basedOn w:val="1"/>
    <w:link w:val="119"/>
    <w:qFormat/>
    <w:uiPriority w:val="99"/>
    <w:pPr>
      <w:numPr>
        <w:ilvl w:val="0"/>
        <w:numId w:val="2"/>
      </w:numPr>
      <w:snapToGrid w:val="0"/>
      <w:jc w:val="left"/>
    </w:pPr>
    <w:rPr>
      <w:rFonts w:ascii="宋体"/>
      <w:sz w:val="18"/>
      <w:szCs w:val="18"/>
    </w:rPr>
  </w:style>
  <w:style w:type="paragraph" w:styleId="35">
    <w:name w:val="toc 6"/>
    <w:basedOn w:val="1"/>
    <w:next w:val="1"/>
    <w:semiHidden/>
    <w:qFormat/>
    <w:uiPriority w:val="99"/>
    <w:pPr>
      <w:tabs>
        <w:tab w:val="right" w:leader="dot" w:pos="9241"/>
      </w:tabs>
      <w:ind w:firstLine="403" w:firstLineChars="400"/>
      <w:jc w:val="left"/>
    </w:pPr>
    <w:rPr>
      <w:rFonts w:ascii="宋体"/>
      <w:szCs w:val="21"/>
    </w:rPr>
  </w:style>
  <w:style w:type="paragraph" w:styleId="36">
    <w:name w:val="index 7"/>
    <w:basedOn w:val="1"/>
    <w:next w:val="1"/>
    <w:qFormat/>
    <w:uiPriority w:val="99"/>
    <w:pPr>
      <w:ind w:left="1470" w:hanging="210"/>
      <w:jc w:val="left"/>
    </w:pPr>
    <w:rPr>
      <w:rFonts w:ascii="Calibri" w:hAnsi="Calibri"/>
      <w:sz w:val="20"/>
      <w:szCs w:val="20"/>
    </w:rPr>
  </w:style>
  <w:style w:type="paragraph" w:styleId="37">
    <w:name w:val="index 9"/>
    <w:basedOn w:val="1"/>
    <w:next w:val="1"/>
    <w:qFormat/>
    <w:uiPriority w:val="99"/>
    <w:pPr>
      <w:ind w:left="1890" w:hanging="210"/>
      <w:jc w:val="left"/>
    </w:pPr>
    <w:rPr>
      <w:rFonts w:ascii="Calibri" w:hAnsi="Calibri"/>
      <w:sz w:val="20"/>
      <w:szCs w:val="20"/>
    </w:rPr>
  </w:style>
  <w:style w:type="paragraph" w:styleId="38">
    <w:name w:val="toc 2"/>
    <w:basedOn w:val="1"/>
    <w:next w:val="1"/>
    <w:qFormat/>
    <w:uiPriority w:val="39"/>
    <w:pPr>
      <w:tabs>
        <w:tab w:val="right" w:leader="dot" w:pos="9241"/>
      </w:tabs>
    </w:pPr>
    <w:rPr>
      <w:rFonts w:ascii="宋体"/>
      <w:szCs w:val="21"/>
    </w:rPr>
  </w:style>
  <w:style w:type="paragraph" w:styleId="39">
    <w:name w:val="toc 9"/>
    <w:basedOn w:val="1"/>
    <w:next w:val="1"/>
    <w:semiHidden/>
    <w:qFormat/>
    <w:uiPriority w:val="99"/>
    <w:pPr>
      <w:ind w:left="1470"/>
      <w:jc w:val="left"/>
    </w:pPr>
    <w:rPr>
      <w:sz w:val="20"/>
      <w:szCs w:val="20"/>
    </w:rPr>
  </w:style>
  <w:style w:type="paragraph" w:styleId="40">
    <w:name w:val="index 2"/>
    <w:basedOn w:val="1"/>
    <w:next w:val="1"/>
    <w:qFormat/>
    <w:uiPriority w:val="99"/>
    <w:pPr>
      <w:ind w:left="420" w:hanging="210"/>
      <w:jc w:val="left"/>
    </w:pPr>
    <w:rPr>
      <w:rFonts w:ascii="Calibri" w:hAnsi="Calibri"/>
      <w:sz w:val="20"/>
      <w:szCs w:val="20"/>
    </w:rPr>
  </w:style>
  <w:style w:type="paragraph" w:styleId="41">
    <w:name w:val="annotation subject"/>
    <w:basedOn w:val="16"/>
    <w:next w:val="16"/>
    <w:link w:val="175"/>
    <w:semiHidden/>
    <w:unhideWhenUsed/>
    <w:qFormat/>
    <w:uiPriority w:val="99"/>
    <w:rPr>
      <w:b/>
      <w:bCs/>
    </w:rPr>
  </w:style>
  <w:style w:type="table" w:styleId="43">
    <w:name w:val="Table Grid"/>
    <w:basedOn w:val="42"/>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5">
    <w:name w:val="endnote reference"/>
    <w:basedOn w:val="44"/>
    <w:semiHidden/>
    <w:qFormat/>
    <w:uiPriority w:val="99"/>
    <w:rPr>
      <w:rFonts w:cs="Times New Roman"/>
      <w:vertAlign w:val="superscript"/>
    </w:rPr>
  </w:style>
  <w:style w:type="character" w:styleId="46">
    <w:name w:val="page number"/>
    <w:basedOn w:val="44"/>
    <w:qFormat/>
    <w:uiPriority w:val="99"/>
    <w:rPr>
      <w:rFonts w:ascii="Times New Roman" w:hAnsi="Times New Roman" w:eastAsia="宋体" w:cs="Times New Roman"/>
      <w:sz w:val="18"/>
    </w:rPr>
  </w:style>
  <w:style w:type="character" w:styleId="47">
    <w:name w:val="FollowedHyperlink"/>
    <w:basedOn w:val="44"/>
    <w:qFormat/>
    <w:uiPriority w:val="99"/>
    <w:rPr>
      <w:rFonts w:cs="Times New Roman"/>
      <w:color w:val="800080"/>
      <w:u w:val="single"/>
    </w:rPr>
  </w:style>
  <w:style w:type="character" w:styleId="48">
    <w:name w:val="Hyperlink"/>
    <w:basedOn w:val="44"/>
    <w:qFormat/>
    <w:uiPriority w:val="99"/>
    <w:rPr>
      <w:rFonts w:cs="Times New Roman"/>
      <w:color w:val="0000FF"/>
      <w:spacing w:val="0"/>
      <w:w w:val="100"/>
      <w:sz w:val="21"/>
      <w:szCs w:val="21"/>
      <w:u w:val="single"/>
    </w:rPr>
  </w:style>
  <w:style w:type="character" w:styleId="49">
    <w:name w:val="annotation reference"/>
    <w:basedOn w:val="44"/>
    <w:semiHidden/>
    <w:unhideWhenUsed/>
    <w:qFormat/>
    <w:uiPriority w:val="99"/>
    <w:rPr>
      <w:sz w:val="21"/>
      <w:szCs w:val="21"/>
    </w:rPr>
  </w:style>
  <w:style w:type="character" w:styleId="50">
    <w:name w:val="footnote reference"/>
    <w:basedOn w:val="44"/>
    <w:semiHidden/>
    <w:qFormat/>
    <w:uiPriority w:val="99"/>
    <w:rPr>
      <w:rFonts w:cs="Times New Roman"/>
      <w:vertAlign w:val="superscript"/>
    </w:rPr>
  </w:style>
  <w:style w:type="character" w:customStyle="1" w:styleId="51">
    <w:name w:val="标题 2 Char"/>
    <w:basedOn w:val="44"/>
    <w:link w:val="3"/>
    <w:qFormat/>
    <w:locked/>
    <w:uiPriority w:val="99"/>
    <w:rPr>
      <w:rFonts w:ascii="Arial" w:hAnsi="Arial" w:eastAsia="黑体"/>
      <w:bCs/>
      <w:kern w:val="2"/>
      <w:sz w:val="21"/>
      <w:szCs w:val="32"/>
    </w:rPr>
  </w:style>
  <w:style w:type="character" w:customStyle="1" w:styleId="52">
    <w:name w:val="段 Char"/>
    <w:basedOn w:val="44"/>
    <w:link w:val="32"/>
    <w:qFormat/>
    <w:locked/>
    <w:uiPriority w:val="99"/>
    <w:rPr>
      <w:rFonts w:ascii="宋体" w:cs="Times New Roman"/>
      <w:sz w:val="21"/>
      <w:lang w:val="en-US" w:eastAsia="zh-CN" w:bidi="ar-SA"/>
    </w:rPr>
  </w:style>
  <w:style w:type="paragraph" w:customStyle="1" w:styleId="53">
    <w:name w:val="一级条标题"/>
    <w:next w:val="32"/>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54">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55">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6">
    <w:name w:val="章标题"/>
    <w:next w:val="32"/>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57">
    <w:name w:val="二级条标题"/>
    <w:basedOn w:val="53"/>
    <w:next w:val="32"/>
    <w:qFormat/>
    <w:uiPriority w:val="0"/>
    <w:pPr>
      <w:spacing w:before="50" w:after="50"/>
      <w:ind w:left="420"/>
      <w:outlineLvl w:val="3"/>
    </w:pPr>
  </w:style>
  <w:style w:type="paragraph" w:customStyle="1" w:styleId="58">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9">
    <w:name w:val="列项——（一级）"/>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60">
    <w:name w:val="列项●（二级）"/>
    <w:qFormat/>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1">
    <w:name w:val="目次、标准名称标题"/>
    <w:basedOn w:val="1"/>
    <w:next w:val="32"/>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2">
    <w:name w:val="三级条标题"/>
    <w:basedOn w:val="57"/>
    <w:next w:val="32"/>
    <w:qFormat/>
    <w:uiPriority w:val="99"/>
    <w:pPr>
      <w:outlineLvl w:val="4"/>
    </w:pPr>
  </w:style>
  <w:style w:type="paragraph" w:customStyle="1" w:styleId="63">
    <w:name w:val="示例"/>
    <w:next w:val="64"/>
    <w:qFormat/>
    <w:uiPriority w:val="99"/>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4">
    <w:name w:val="示例内容"/>
    <w:qFormat/>
    <w:uiPriority w:val="99"/>
    <w:pPr>
      <w:ind w:firstLine="200" w:firstLineChars="200"/>
    </w:pPr>
    <w:rPr>
      <w:rFonts w:ascii="宋体" w:hAnsi="Times New Roman" w:eastAsia="宋体" w:cs="Times New Roman"/>
      <w:sz w:val="18"/>
      <w:szCs w:val="18"/>
      <w:lang w:val="en-US" w:eastAsia="zh-CN" w:bidi="ar-SA"/>
    </w:rPr>
  </w:style>
  <w:style w:type="paragraph" w:customStyle="1" w:styleId="65">
    <w:name w:val="数字编号列项（二级）"/>
    <w:qFormat/>
    <w:uiPriority w:val="99"/>
    <w:pPr>
      <w:numPr>
        <w:ilvl w:val="1"/>
        <w:numId w:val="5"/>
      </w:numPr>
      <w:jc w:val="both"/>
    </w:pPr>
    <w:rPr>
      <w:rFonts w:ascii="宋体" w:hAnsi="Times New Roman" w:eastAsia="宋体" w:cs="Times New Roman"/>
      <w:sz w:val="21"/>
      <w:lang w:val="en-US" w:eastAsia="zh-CN" w:bidi="ar-SA"/>
    </w:rPr>
  </w:style>
  <w:style w:type="paragraph" w:customStyle="1" w:styleId="66">
    <w:name w:val="四级条标题"/>
    <w:basedOn w:val="62"/>
    <w:next w:val="32"/>
    <w:qFormat/>
    <w:uiPriority w:val="99"/>
    <w:pPr>
      <w:outlineLvl w:val="5"/>
    </w:pPr>
  </w:style>
  <w:style w:type="paragraph" w:customStyle="1" w:styleId="67">
    <w:name w:val="五级条标题"/>
    <w:basedOn w:val="66"/>
    <w:next w:val="32"/>
    <w:qFormat/>
    <w:uiPriority w:val="99"/>
    <w:pPr>
      <w:outlineLvl w:val="6"/>
    </w:pPr>
  </w:style>
  <w:style w:type="character" w:customStyle="1" w:styleId="68">
    <w:name w:val="页脚 Char"/>
    <w:basedOn w:val="44"/>
    <w:link w:val="26"/>
    <w:qFormat/>
    <w:locked/>
    <w:uiPriority w:val="99"/>
    <w:rPr>
      <w:rFonts w:cs="Times New Roman"/>
      <w:kern w:val="2"/>
      <w:sz w:val="18"/>
      <w:szCs w:val="18"/>
    </w:rPr>
  </w:style>
  <w:style w:type="character" w:customStyle="1" w:styleId="69">
    <w:name w:val="页眉 Char"/>
    <w:basedOn w:val="44"/>
    <w:link w:val="27"/>
    <w:qFormat/>
    <w:locked/>
    <w:uiPriority w:val="99"/>
    <w:rPr>
      <w:rFonts w:cs="Times New Roman"/>
      <w:kern w:val="2"/>
      <w:sz w:val="18"/>
      <w:szCs w:val="18"/>
    </w:rPr>
  </w:style>
  <w:style w:type="paragraph" w:customStyle="1" w:styleId="70">
    <w:name w:val="注："/>
    <w:next w:val="32"/>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1">
    <w:name w:val="注×："/>
    <w:qFormat/>
    <w:uiPriority w:val="99"/>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2">
    <w:name w:val="字母编号列项（一级）"/>
    <w:qFormat/>
    <w:uiPriority w:val="99"/>
    <w:pPr>
      <w:numPr>
        <w:ilvl w:val="0"/>
        <w:numId w:val="5"/>
      </w:numPr>
      <w:jc w:val="both"/>
    </w:pPr>
    <w:rPr>
      <w:rFonts w:ascii="宋体" w:hAnsi="Times New Roman" w:eastAsia="宋体" w:cs="Times New Roman"/>
      <w:sz w:val="21"/>
      <w:lang w:val="en-US" w:eastAsia="zh-CN" w:bidi="ar-SA"/>
    </w:rPr>
  </w:style>
  <w:style w:type="paragraph" w:customStyle="1" w:styleId="73">
    <w:name w:val="列项◆（三级）"/>
    <w:basedOn w:val="1"/>
    <w:qFormat/>
    <w:uiPriority w:val="99"/>
    <w:pPr>
      <w:numPr>
        <w:ilvl w:val="2"/>
        <w:numId w:val="3"/>
      </w:numPr>
    </w:pPr>
    <w:rPr>
      <w:rFonts w:ascii="宋体"/>
      <w:szCs w:val="21"/>
    </w:rPr>
  </w:style>
  <w:style w:type="paragraph" w:customStyle="1" w:styleId="74">
    <w:name w:val="编号列项（三级）"/>
    <w:qFormat/>
    <w:uiPriority w:val="99"/>
    <w:pPr>
      <w:numPr>
        <w:ilvl w:val="2"/>
        <w:numId w:val="5"/>
      </w:numPr>
    </w:pPr>
    <w:rPr>
      <w:rFonts w:ascii="宋体" w:hAnsi="Times New Roman" w:eastAsia="宋体" w:cs="Times New Roman"/>
      <w:sz w:val="21"/>
      <w:lang w:val="en-US" w:eastAsia="zh-CN" w:bidi="ar-SA"/>
    </w:rPr>
  </w:style>
  <w:style w:type="paragraph" w:customStyle="1" w:styleId="75">
    <w:name w:val="示例×："/>
    <w:basedOn w:val="56"/>
    <w:qFormat/>
    <w:uiPriority w:val="99"/>
    <w:pPr>
      <w:numPr>
        <w:ilvl w:val="0"/>
        <w:numId w:val="8"/>
      </w:numPr>
      <w:spacing w:beforeLines="0" w:afterLines="0"/>
      <w:outlineLvl w:val="9"/>
    </w:pPr>
    <w:rPr>
      <w:rFonts w:ascii="宋体" w:eastAsia="宋体"/>
      <w:sz w:val="18"/>
      <w:szCs w:val="18"/>
    </w:rPr>
  </w:style>
  <w:style w:type="paragraph" w:customStyle="1" w:styleId="76">
    <w:name w:val="二级无"/>
    <w:basedOn w:val="57"/>
    <w:qFormat/>
    <w:uiPriority w:val="99"/>
    <w:pPr>
      <w:spacing w:beforeLines="0" w:afterLines="0"/>
      <w:ind w:left="0"/>
    </w:pPr>
    <w:rPr>
      <w:rFonts w:ascii="宋体" w:eastAsia="宋体"/>
    </w:rPr>
  </w:style>
  <w:style w:type="paragraph" w:customStyle="1" w:styleId="77">
    <w:name w:val="注：（正文）"/>
    <w:basedOn w:val="70"/>
    <w:next w:val="32"/>
    <w:qFormat/>
    <w:uiPriority w:val="99"/>
  </w:style>
  <w:style w:type="paragraph" w:customStyle="1" w:styleId="78">
    <w:name w:val="注×：（正文）"/>
    <w:qFormat/>
    <w:uiPriority w:val="99"/>
    <w:pPr>
      <w:numPr>
        <w:ilvl w:val="0"/>
        <w:numId w:val="9"/>
      </w:numPr>
      <w:jc w:val="both"/>
    </w:pPr>
    <w:rPr>
      <w:rFonts w:ascii="宋体" w:hAnsi="Times New Roman" w:eastAsia="宋体" w:cs="Times New Roman"/>
      <w:sz w:val="18"/>
      <w:szCs w:val="18"/>
      <w:lang w:val="en-US" w:eastAsia="zh-CN" w:bidi="ar-SA"/>
    </w:rPr>
  </w:style>
  <w:style w:type="paragraph" w:customStyle="1" w:styleId="79">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80">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81">
    <w:name w:val="标准书脚_偶数页"/>
    <w:qFormat/>
    <w:uiPriority w:val="99"/>
    <w:pPr>
      <w:spacing w:before="120"/>
      <w:ind w:left="221"/>
    </w:pPr>
    <w:rPr>
      <w:rFonts w:ascii="宋体" w:hAnsi="Times New Roman" w:eastAsia="宋体" w:cs="Times New Roman"/>
      <w:sz w:val="18"/>
      <w:szCs w:val="18"/>
      <w:lang w:val="en-US" w:eastAsia="zh-CN" w:bidi="ar-SA"/>
    </w:rPr>
  </w:style>
  <w:style w:type="paragraph" w:customStyle="1" w:styleId="82">
    <w:name w:val="标准书眉_偶数页"/>
    <w:basedOn w:val="55"/>
    <w:next w:val="1"/>
    <w:qFormat/>
    <w:uiPriority w:val="99"/>
    <w:pPr>
      <w:jc w:val="left"/>
    </w:pPr>
  </w:style>
  <w:style w:type="paragraph" w:customStyle="1" w:styleId="83">
    <w:name w:val="标准书眉一"/>
    <w:qFormat/>
    <w:uiPriority w:val="99"/>
    <w:pPr>
      <w:jc w:val="both"/>
    </w:pPr>
    <w:rPr>
      <w:rFonts w:ascii="Times New Roman" w:hAnsi="Times New Roman" w:eastAsia="宋体" w:cs="Times New Roman"/>
      <w:lang w:val="en-US" w:eastAsia="zh-CN" w:bidi="ar-SA"/>
    </w:rPr>
  </w:style>
  <w:style w:type="paragraph" w:customStyle="1" w:styleId="84">
    <w:name w:val="参考文献"/>
    <w:basedOn w:val="1"/>
    <w:next w:val="32"/>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5">
    <w:name w:val="参考文献、索引标题"/>
    <w:basedOn w:val="1"/>
    <w:next w:val="32"/>
    <w:qFormat/>
    <w:uiPriority w:val="99"/>
    <w:pPr>
      <w:keepNext/>
      <w:pageBreakBefore/>
      <w:widowControl/>
      <w:shd w:val="clear" w:color="FFFFFF" w:fill="FFFFFF"/>
      <w:spacing w:before="640" w:after="200"/>
      <w:jc w:val="center"/>
      <w:outlineLvl w:val="0"/>
    </w:pPr>
    <w:rPr>
      <w:rFonts w:ascii="黑体" w:eastAsia="黑体"/>
      <w:kern w:val="0"/>
      <w:szCs w:val="20"/>
    </w:rPr>
  </w:style>
  <w:style w:type="character" w:customStyle="1" w:styleId="86">
    <w:name w:val="发布"/>
    <w:basedOn w:val="44"/>
    <w:qFormat/>
    <w:uiPriority w:val="99"/>
    <w:rPr>
      <w:rFonts w:ascii="黑体" w:eastAsia="黑体" w:cs="Times New Roman"/>
      <w:spacing w:val="85"/>
      <w:w w:val="100"/>
      <w:position w:val="3"/>
      <w:sz w:val="28"/>
      <w:szCs w:val="28"/>
    </w:rPr>
  </w:style>
  <w:style w:type="paragraph" w:customStyle="1" w:styleId="87">
    <w:name w:val="发布部门"/>
    <w:next w:val="32"/>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8">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9">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0">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1">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2">
    <w:name w:val="封面标准英文名称"/>
    <w:basedOn w:val="91"/>
    <w:qFormat/>
    <w:uiPriority w:val="99"/>
    <w:pPr>
      <w:framePr w:wrap="around"/>
      <w:spacing w:before="370" w:line="400" w:lineRule="exact"/>
    </w:pPr>
    <w:rPr>
      <w:rFonts w:ascii="Times New Roman"/>
      <w:sz w:val="28"/>
      <w:szCs w:val="28"/>
    </w:rPr>
  </w:style>
  <w:style w:type="paragraph" w:customStyle="1" w:styleId="93">
    <w:name w:val="封面一致性程度标识"/>
    <w:basedOn w:val="92"/>
    <w:qFormat/>
    <w:uiPriority w:val="99"/>
    <w:pPr>
      <w:framePr w:wrap="around"/>
      <w:spacing w:before="440"/>
    </w:pPr>
    <w:rPr>
      <w:rFonts w:ascii="宋体" w:eastAsia="宋体"/>
    </w:rPr>
  </w:style>
  <w:style w:type="paragraph" w:customStyle="1" w:styleId="94">
    <w:name w:val="封面标准文稿类别"/>
    <w:basedOn w:val="93"/>
    <w:qFormat/>
    <w:uiPriority w:val="99"/>
    <w:pPr>
      <w:framePr w:wrap="around"/>
      <w:spacing w:after="160" w:line="240" w:lineRule="auto"/>
    </w:pPr>
    <w:rPr>
      <w:sz w:val="24"/>
    </w:rPr>
  </w:style>
  <w:style w:type="paragraph" w:customStyle="1" w:styleId="95">
    <w:name w:val="封面标准文稿编辑信息"/>
    <w:basedOn w:val="94"/>
    <w:qFormat/>
    <w:uiPriority w:val="99"/>
    <w:pPr>
      <w:framePr w:wrap="around"/>
      <w:spacing w:before="180" w:line="180" w:lineRule="exact"/>
    </w:pPr>
    <w:rPr>
      <w:sz w:val="21"/>
    </w:rPr>
  </w:style>
  <w:style w:type="paragraph" w:customStyle="1" w:styleId="96">
    <w:name w:val="封面正文"/>
    <w:qFormat/>
    <w:uiPriority w:val="99"/>
    <w:pPr>
      <w:jc w:val="both"/>
    </w:pPr>
    <w:rPr>
      <w:rFonts w:ascii="Times New Roman" w:hAnsi="Times New Roman" w:eastAsia="宋体" w:cs="Times New Roman"/>
      <w:lang w:val="en-US" w:eastAsia="zh-CN" w:bidi="ar-SA"/>
    </w:rPr>
  </w:style>
  <w:style w:type="paragraph" w:customStyle="1" w:styleId="97">
    <w:name w:val="附录标识"/>
    <w:basedOn w:val="1"/>
    <w:next w:val="32"/>
    <w:qFormat/>
    <w:uiPriority w:val="99"/>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8">
    <w:name w:val="附录标题"/>
    <w:basedOn w:val="32"/>
    <w:next w:val="32"/>
    <w:qFormat/>
    <w:uiPriority w:val="99"/>
    <w:pPr>
      <w:ind w:firstLine="0" w:firstLineChars="0"/>
      <w:jc w:val="center"/>
    </w:pPr>
    <w:rPr>
      <w:rFonts w:ascii="黑体" w:eastAsia="黑体"/>
    </w:rPr>
  </w:style>
  <w:style w:type="paragraph" w:customStyle="1" w:styleId="99">
    <w:name w:val="附录表标号"/>
    <w:basedOn w:val="1"/>
    <w:next w:val="32"/>
    <w:qFormat/>
    <w:uiPriority w:val="99"/>
    <w:pPr>
      <w:numPr>
        <w:ilvl w:val="0"/>
        <w:numId w:val="11"/>
      </w:numPr>
      <w:tabs>
        <w:tab w:val="clear" w:pos="0"/>
      </w:tabs>
      <w:spacing w:line="14" w:lineRule="exact"/>
      <w:ind w:left="811" w:hanging="448"/>
      <w:jc w:val="center"/>
      <w:outlineLvl w:val="0"/>
    </w:pPr>
    <w:rPr>
      <w:color w:val="FFFFFF"/>
    </w:rPr>
  </w:style>
  <w:style w:type="paragraph" w:customStyle="1" w:styleId="100">
    <w:name w:val="附录表标题"/>
    <w:basedOn w:val="1"/>
    <w:next w:val="32"/>
    <w:qFormat/>
    <w:uiPriority w:val="99"/>
    <w:pPr>
      <w:numPr>
        <w:ilvl w:val="1"/>
        <w:numId w:val="11"/>
      </w:numPr>
      <w:tabs>
        <w:tab w:val="left" w:pos="180"/>
      </w:tabs>
      <w:spacing w:beforeLines="50" w:afterLines="50"/>
      <w:ind w:left="0" w:firstLine="0"/>
      <w:jc w:val="center"/>
    </w:pPr>
    <w:rPr>
      <w:rFonts w:ascii="黑体" w:eastAsia="黑体"/>
      <w:szCs w:val="21"/>
    </w:rPr>
  </w:style>
  <w:style w:type="paragraph" w:customStyle="1" w:styleId="101">
    <w:name w:val="附录二级条标题"/>
    <w:basedOn w:val="1"/>
    <w:next w:val="32"/>
    <w:qFormat/>
    <w:uiPriority w:val="99"/>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2">
    <w:name w:val="附录二级无"/>
    <w:basedOn w:val="101"/>
    <w:qFormat/>
    <w:uiPriority w:val="99"/>
    <w:pPr>
      <w:tabs>
        <w:tab w:val="clear" w:pos="360"/>
      </w:tabs>
      <w:spacing w:beforeLines="0" w:afterLines="0"/>
    </w:pPr>
    <w:rPr>
      <w:rFonts w:ascii="宋体" w:eastAsia="宋体"/>
      <w:szCs w:val="21"/>
    </w:rPr>
  </w:style>
  <w:style w:type="paragraph" w:customStyle="1" w:styleId="103">
    <w:name w:val="附录公式"/>
    <w:basedOn w:val="32"/>
    <w:next w:val="32"/>
    <w:link w:val="104"/>
    <w:qFormat/>
    <w:uiPriority w:val="99"/>
  </w:style>
  <w:style w:type="character" w:customStyle="1" w:styleId="104">
    <w:name w:val="附录公式 Char"/>
    <w:basedOn w:val="52"/>
    <w:link w:val="103"/>
    <w:qFormat/>
    <w:locked/>
    <w:uiPriority w:val="99"/>
    <w:rPr>
      <w:rFonts w:ascii="宋体" w:cs="Times New Roman"/>
      <w:sz w:val="21"/>
      <w:lang w:val="en-US" w:eastAsia="zh-CN" w:bidi="ar-SA"/>
    </w:rPr>
  </w:style>
  <w:style w:type="paragraph" w:customStyle="1" w:styleId="105">
    <w:name w:val="附录公式编号制表符"/>
    <w:basedOn w:val="1"/>
    <w:next w:val="32"/>
    <w:qFormat/>
    <w:uiPriority w:val="99"/>
    <w:pPr>
      <w:widowControl/>
      <w:tabs>
        <w:tab w:val="center" w:pos="4201"/>
        <w:tab w:val="right" w:leader="dot" w:pos="9298"/>
      </w:tabs>
      <w:autoSpaceDE w:val="0"/>
      <w:autoSpaceDN w:val="0"/>
    </w:pPr>
    <w:rPr>
      <w:rFonts w:ascii="宋体"/>
      <w:kern w:val="0"/>
      <w:szCs w:val="20"/>
    </w:rPr>
  </w:style>
  <w:style w:type="paragraph" w:customStyle="1" w:styleId="106">
    <w:name w:val="附录三级条标题"/>
    <w:basedOn w:val="101"/>
    <w:next w:val="32"/>
    <w:qFormat/>
    <w:uiPriority w:val="99"/>
    <w:pPr>
      <w:numPr>
        <w:ilvl w:val="4"/>
      </w:numPr>
      <w:outlineLvl w:val="4"/>
    </w:pPr>
  </w:style>
  <w:style w:type="paragraph" w:customStyle="1" w:styleId="107">
    <w:name w:val="附录三级无"/>
    <w:basedOn w:val="106"/>
    <w:qFormat/>
    <w:uiPriority w:val="99"/>
    <w:pPr>
      <w:tabs>
        <w:tab w:val="clear" w:pos="360"/>
      </w:tabs>
      <w:spacing w:beforeLines="0" w:afterLines="0"/>
    </w:pPr>
    <w:rPr>
      <w:rFonts w:ascii="宋体" w:eastAsia="宋体"/>
      <w:szCs w:val="21"/>
    </w:rPr>
  </w:style>
  <w:style w:type="paragraph" w:customStyle="1" w:styleId="108">
    <w:name w:val="附录数字编号列项（二级）"/>
    <w:qFormat/>
    <w:uiPriority w:val="99"/>
    <w:pPr>
      <w:numPr>
        <w:ilvl w:val="1"/>
        <w:numId w:val="12"/>
      </w:numPr>
    </w:pPr>
    <w:rPr>
      <w:rFonts w:ascii="宋体" w:hAnsi="Times New Roman" w:eastAsia="宋体" w:cs="Times New Roman"/>
      <w:sz w:val="21"/>
      <w:lang w:val="en-US" w:eastAsia="zh-CN" w:bidi="ar-SA"/>
    </w:rPr>
  </w:style>
  <w:style w:type="paragraph" w:customStyle="1" w:styleId="109">
    <w:name w:val="附录四级条标题"/>
    <w:basedOn w:val="106"/>
    <w:next w:val="32"/>
    <w:qFormat/>
    <w:uiPriority w:val="99"/>
    <w:pPr>
      <w:numPr>
        <w:ilvl w:val="5"/>
      </w:numPr>
      <w:outlineLvl w:val="5"/>
    </w:pPr>
  </w:style>
  <w:style w:type="paragraph" w:customStyle="1" w:styleId="110">
    <w:name w:val="附录四级无"/>
    <w:basedOn w:val="109"/>
    <w:qFormat/>
    <w:uiPriority w:val="99"/>
    <w:pPr>
      <w:tabs>
        <w:tab w:val="clear" w:pos="360"/>
      </w:tabs>
      <w:spacing w:beforeLines="0" w:afterLines="0"/>
    </w:pPr>
    <w:rPr>
      <w:rFonts w:ascii="宋体" w:eastAsia="宋体"/>
      <w:szCs w:val="21"/>
    </w:rPr>
  </w:style>
  <w:style w:type="paragraph" w:customStyle="1" w:styleId="111">
    <w:name w:val="附录图标号"/>
    <w:basedOn w:val="1"/>
    <w:qFormat/>
    <w:uiPriority w:val="99"/>
    <w:pPr>
      <w:keepNext/>
      <w:pageBreakBefore/>
      <w:widowControl/>
      <w:numPr>
        <w:ilvl w:val="0"/>
        <w:numId w:val="13"/>
      </w:numPr>
      <w:spacing w:line="14" w:lineRule="exact"/>
      <w:ind w:left="0" w:firstLine="363"/>
      <w:jc w:val="center"/>
      <w:outlineLvl w:val="0"/>
    </w:pPr>
    <w:rPr>
      <w:color w:val="FFFFFF"/>
    </w:rPr>
  </w:style>
  <w:style w:type="paragraph" w:customStyle="1" w:styleId="112">
    <w:name w:val="附录图标题"/>
    <w:basedOn w:val="1"/>
    <w:next w:val="32"/>
    <w:qFormat/>
    <w:uiPriority w:val="99"/>
    <w:pPr>
      <w:numPr>
        <w:ilvl w:val="1"/>
        <w:numId w:val="13"/>
      </w:numPr>
      <w:tabs>
        <w:tab w:val="left" w:pos="363"/>
      </w:tabs>
      <w:spacing w:beforeLines="50" w:afterLines="50"/>
      <w:ind w:left="0" w:firstLine="0"/>
      <w:jc w:val="center"/>
    </w:pPr>
    <w:rPr>
      <w:rFonts w:ascii="黑体" w:eastAsia="黑体"/>
      <w:szCs w:val="21"/>
    </w:rPr>
  </w:style>
  <w:style w:type="paragraph" w:customStyle="1" w:styleId="113">
    <w:name w:val="附录五级条标题"/>
    <w:basedOn w:val="109"/>
    <w:next w:val="32"/>
    <w:qFormat/>
    <w:uiPriority w:val="99"/>
    <w:pPr>
      <w:numPr>
        <w:ilvl w:val="6"/>
      </w:numPr>
      <w:outlineLvl w:val="6"/>
    </w:pPr>
  </w:style>
  <w:style w:type="paragraph" w:customStyle="1" w:styleId="114">
    <w:name w:val="附录五级无"/>
    <w:basedOn w:val="113"/>
    <w:qFormat/>
    <w:uiPriority w:val="99"/>
    <w:pPr>
      <w:tabs>
        <w:tab w:val="clear" w:pos="360"/>
      </w:tabs>
      <w:spacing w:beforeLines="0" w:afterLines="0"/>
    </w:pPr>
    <w:rPr>
      <w:rFonts w:ascii="宋体" w:eastAsia="宋体"/>
      <w:szCs w:val="21"/>
    </w:rPr>
  </w:style>
  <w:style w:type="paragraph" w:customStyle="1" w:styleId="115">
    <w:name w:val="附录章标题"/>
    <w:next w:val="32"/>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6">
    <w:name w:val="附录一级条标题"/>
    <w:basedOn w:val="115"/>
    <w:next w:val="32"/>
    <w:qFormat/>
    <w:uiPriority w:val="99"/>
    <w:pPr>
      <w:numPr>
        <w:ilvl w:val="2"/>
      </w:numPr>
      <w:autoSpaceDN w:val="0"/>
      <w:spacing w:beforeLines="50" w:afterLines="50"/>
      <w:outlineLvl w:val="2"/>
    </w:pPr>
  </w:style>
  <w:style w:type="paragraph" w:customStyle="1" w:styleId="117">
    <w:name w:val="附录一级无"/>
    <w:basedOn w:val="116"/>
    <w:qFormat/>
    <w:uiPriority w:val="99"/>
    <w:pPr>
      <w:spacing w:beforeLines="0" w:afterLines="0"/>
    </w:pPr>
    <w:rPr>
      <w:rFonts w:ascii="宋体" w:eastAsia="宋体"/>
      <w:szCs w:val="21"/>
    </w:rPr>
  </w:style>
  <w:style w:type="paragraph" w:customStyle="1" w:styleId="118">
    <w:name w:val="附录字母编号列项（一级）"/>
    <w:qFormat/>
    <w:uiPriority w:val="99"/>
    <w:pPr>
      <w:numPr>
        <w:ilvl w:val="0"/>
        <w:numId w:val="12"/>
      </w:numPr>
    </w:pPr>
    <w:rPr>
      <w:rFonts w:ascii="宋体" w:hAnsi="Times New Roman" w:eastAsia="宋体" w:cs="Times New Roman"/>
      <w:sz w:val="21"/>
      <w:lang w:val="en-US" w:eastAsia="zh-CN" w:bidi="ar-SA"/>
    </w:rPr>
  </w:style>
  <w:style w:type="character" w:customStyle="1" w:styleId="119">
    <w:name w:val="脚注文本 Char"/>
    <w:basedOn w:val="44"/>
    <w:link w:val="34"/>
    <w:qFormat/>
    <w:locked/>
    <w:uiPriority w:val="99"/>
    <w:rPr>
      <w:rFonts w:ascii="宋体"/>
      <w:sz w:val="18"/>
      <w:szCs w:val="18"/>
    </w:rPr>
  </w:style>
  <w:style w:type="paragraph" w:customStyle="1" w:styleId="120">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21">
    <w:name w:val="列项说明数字编号"/>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22">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23">
    <w:name w:val="其他标准标志"/>
    <w:basedOn w:val="79"/>
    <w:qFormat/>
    <w:uiPriority w:val="99"/>
    <w:pPr>
      <w:framePr w:w="6101" w:wrap="around" w:vAnchor="page" w:hAnchor="page" w:x="4673" w:y="942"/>
    </w:pPr>
    <w:rPr>
      <w:w w:val="130"/>
    </w:rPr>
  </w:style>
  <w:style w:type="paragraph" w:customStyle="1" w:styleId="124">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25">
    <w:name w:val="其他发布部门"/>
    <w:basedOn w:val="87"/>
    <w:qFormat/>
    <w:uiPriority w:val="99"/>
    <w:pPr>
      <w:framePr w:wrap="around" w:y="15310"/>
      <w:spacing w:line="240" w:lineRule="atLeast"/>
    </w:pPr>
    <w:rPr>
      <w:rFonts w:ascii="黑体" w:eastAsia="黑体"/>
      <w:b w:val="0"/>
    </w:rPr>
  </w:style>
  <w:style w:type="paragraph" w:customStyle="1" w:styleId="126">
    <w:name w:val="前言、引言标题"/>
    <w:next w:val="32"/>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7">
    <w:name w:val="三级无"/>
    <w:basedOn w:val="62"/>
    <w:qFormat/>
    <w:uiPriority w:val="99"/>
    <w:pPr>
      <w:spacing w:beforeLines="0" w:afterLines="0"/>
    </w:pPr>
    <w:rPr>
      <w:rFonts w:ascii="宋体" w:eastAsia="宋体"/>
    </w:rPr>
  </w:style>
  <w:style w:type="paragraph" w:customStyle="1" w:styleId="128">
    <w:name w:val="实施日期"/>
    <w:basedOn w:val="88"/>
    <w:qFormat/>
    <w:uiPriority w:val="99"/>
    <w:pPr>
      <w:framePr w:wrap="around" w:vAnchor="page" w:hAnchor="text"/>
      <w:jc w:val="right"/>
    </w:pPr>
  </w:style>
  <w:style w:type="paragraph" w:customStyle="1" w:styleId="129">
    <w:name w:val="示例后文字"/>
    <w:basedOn w:val="32"/>
    <w:next w:val="32"/>
    <w:qFormat/>
    <w:uiPriority w:val="99"/>
    <w:pPr>
      <w:ind w:firstLine="360"/>
    </w:pPr>
    <w:rPr>
      <w:sz w:val="18"/>
    </w:rPr>
  </w:style>
  <w:style w:type="paragraph" w:customStyle="1" w:styleId="130">
    <w:name w:val="首示例"/>
    <w:next w:val="32"/>
    <w:link w:val="131"/>
    <w:qFormat/>
    <w:uiPriority w:val="99"/>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31">
    <w:name w:val="首示例 Char"/>
    <w:basedOn w:val="44"/>
    <w:link w:val="130"/>
    <w:qFormat/>
    <w:locked/>
    <w:uiPriority w:val="99"/>
    <w:rPr>
      <w:rFonts w:ascii="宋体" w:hAnsi="宋体"/>
      <w:sz w:val="18"/>
      <w:szCs w:val="18"/>
    </w:rPr>
  </w:style>
  <w:style w:type="paragraph" w:customStyle="1" w:styleId="132">
    <w:name w:val="四级无"/>
    <w:basedOn w:val="66"/>
    <w:qFormat/>
    <w:uiPriority w:val="99"/>
    <w:pPr>
      <w:spacing w:beforeLines="0" w:afterLines="0"/>
    </w:pPr>
    <w:rPr>
      <w:rFonts w:ascii="宋体" w:eastAsia="宋体"/>
    </w:rPr>
  </w:style>
  <w:style w:type="paragraph" w:customStyle="1" w:styleId="133">
    <w:name w:val="条文脚注"/>
    <w:basedOn w:val="34"/>
    <w:qFormat/>
    <w:uiPriority w:val="99"/>
    <w:pPr>
      <w:numPr>
        <w:numId w:val="0"/>
      </w:numPr>
      <w:jc w:val="both"/>
    </w:pPr>
  </w:style>
  <w:style w:type="paragraph" w:customStyle="1" w:styleId="134">
    <w:name w:val="图标脚注说明"/>
    <w:basedOn w:val="32"/>
    <w:qFormat/>
    <w:uiPriority w:val="99"/>
    <w:pPr>
      <w:ind w:left="840" w:hanging="420" w:firstLineChars="0"/>
    </w:pPr>
    <w:rPr>
      <w:sz w:val="18"/>
      <w:szCs w:val="18"/>
    </w:rPr>
  </w:style>
  <w:style w:type="paragraph" w:customStyle="1" w:styleId="135">
    <w:name w:val="图表脚注说明"/>
    <w:basedOn w:val="1"/>
    <w:qFormat/>
    <w:uiPriority w:val="99"/>
    <w:pPr>
      <w:numPr>
        <w:ilvl w:val="0"/>
        <w:numId w:val="15"/>
      </w:numPr>
    </w:pPr>
    <w:rPr>
      <w:rFonts w:ascii="宋体"/>
      <w:sz w:val="18"/>
      <w:szCs w:val="18"/>
    </w:rPr>
  </w:style>
  <w:style w:type="paragraph" w:customStyle="1" w:styleId="136">
    <w:name w:val="图的脚注"/>
    <w:next w:val="32"/>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37">
    <w:name w:val="尾注文本 Char"/>
    <w:basedOn w:val="44"/>
    <w:link w:val="24"/>
    <w:semiHidden/>
    <w:qFormat/>
    <w:locked/>
    <w:uiPriority w:val="99"/>
    <w:rPr>
      <w:rFonts w:cs="Times New Roman"/>
      <w:sz w:val="24"/>
      <w:szCs w:val="24"/>
    </w:rPr>
  </w:style>
  <w:style w:type="character" w:customStyle="1" w:styleId="138">
    <w:name w:val="文档结构图 Char"/>
    <w:basedOn w:val="44"/>
    <w:link w:val="15"/>
    <w:semiHidden/>
    <w:qFormat/>
    <w:locked/>
    <w:uiPriority w:val="99"/>
    <w:rPr>
      <w:rFonts w:cs="Times New Roman"/>
      <w:sz w:val="2"/>
    </w:rPr>
  </w:style>
  <w:style w:type="paragraph" w:customStyle="1" w:styleId="139">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40">
    <w:name w:val="五级无"/>
    <w:basedOn w:val="67"/>
    <w:qFormat/>
    <w:uiPriority w:val="99"/>
    <w:pPr>
      <w:spacing w:beforeLines="0" w:afterLines="0"/>
    </w:pPr>
    <w:rPr>
      <w:rFonts w:ascii="宋体" w:eastAsia="宋体"/>
    </w:rPr>
  </w:style>
  <w:style w:type="paragraph" w:customStyle="1" w:styleId="141">
    <w:name w:val="一级无"/>
    <w:basedOn w:val="53"/>
    <w:qFormat/>
    <w:uiPriority w:val="99"/>
    <w:pPr>
      <w:spacing w:beforeLines="0" w:afterLines="0"/>
    </w:pPr>
    <w:rPr>
      <w:rFonts w:ascii="宋体" w:eastAsia="宋体"/>
    </w:rPr>
  </w:style>
  <w:style w:type="paragraph" w:customStyle="1" w:styleId="142">
    <w:name w:val="正文表标题"/>
    <w:next w:val="32"/>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43">
    <w:name w:val="正文公式编号制表符"/>
    <w:basedOn w:val="32"/>
    <w:next w:val="32"/>
    <w:qFormat/>
    <w:uiPriority w:val="99"/>
    <w:pPr>
      <w:ind w:firstLine="0" w:firstLineChars="0"/>
    </w:pPr>
  </w:style>
  <w:style w:type="paragraph" w:customStyle="1" w:styleId="144">
    <w:name w:val="正文图标题"/>
    <w:next w:val="32"/>
    <w:qFormat/>
    <w:uiPriority w:val="99"/>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5">
    <w:name w:val="终结线"/>
    <w:basedOn w:val="1"/>
    <w:qFormat/>
    <w:uiPriority w:val="99"/>
    <w:pPr>
      <w:framePr w:hSpace="181" w:vSpace="181" w:wrap="around" w:vAnchor="text" w:hAnchor="margin" w:xAlign="center" w:y="285"/>
    </w:pPr>
  </w:style>
  <w:style w:type="paragraph" w:customStyle="1" w:styleId="146">
    <w:name w:val="其他发布日期"/>
    <w:basedOn w:val="88"/>
    <w:qFormat/>
    <w:uiPriority w:val="99"/>
    <w:pPr>
      <w:framePr w:wrap="around" w:vAnchor="page" w:hAnchor="text" w:x="1419"/>
    </w:pPr>
  </w:style>
  <w:style w:type="paragraph" w:customStyle="1" w:styleId="147">
    <w:name w:val="其他实施日期"/>
    <w:basedOn w:val="128"/>
    <w:qFormat/>
    <w:uiPriority w:val="99"/>
    <w:pPr>
      <w:framePr w:wrap="around"/>
    </w:pPr>
  </w:style>
  <w:style w:type="paragraph" w:customStyle="1" w:styleId="148">
    <w:name w:val="封面标准名称2"/>
    <w:basedOn w:val="91"/>
    <w:qFormat/>
    <w:uiPriority w:val="99"/>
    <w:pPr>
      <w:framePr w:wrap="around" w:y="4469"/>
      <w:spacing w:beforeLines="630"/>
    </w:pPr>
  </w:style>
  <w:style w:type="paragraph" w:customStyle="1" w:styleId="149">
    <w:name w:val="封面标准英文名称2"/>
    <w:basedOn w:val="92"/>
    <w:qFormat/>
    <w:uiPriority w:val="99"/>
    <w:pPr>
      <w:framePr w:wrap="around" w:y="4469"/>
    </w:pPr>
  </w:style>
  <w:style w:type="paragraph" w:customStyle="1" w:styleId="150">
    <w:name w:val="封面一致性程度标识2"/>
    <w:basedOn w:val="93"/>
    <w:qFormat/>
    <w:uiPriority w:val="99"/>
    <w:pPr>
      <w:framePr w:wrap="around" w:y="4469"/>
    </w:pPr>
  </w:style>
  <w:style w:type="paragraph" w:customStyle="1" w:styleId="151">
    <w:name w:val="封面标准文稿类别2"/>
    <w:basedOn w:val="94"/>
    <w:qFormat/>
    <w:uiPriority w:val="99"/>
    <w:pPr>
      <w:framePr w:wrap="around" w:y="4469"/>
    </w:pPr>
  </w:style>
  <w:style w:type="paragraph" w:customStyle="1" w:styleId="152">
    <w:name w:val="封面标准文稿编辑信息2"/>
    <w:basedOn w:val="95"/>
    <w:qFormat/>
    <w:uiPriority w:val="99"/>
    <w:pPr>
      <w:framePr w:wrap="around" w:y="4469"/>
    </w:pPr>
  </w:style>
  <w:style w:type="paragraph" w:customStyle="1" w:styleId="153">
    <w:name w:val="标准 二级"/>
    <w:basedOn w:val="3"/>
    <w:qFormat/>
    <w:uiPriority w:val="99"/>
    <w:pPr>
      <w:tabs>
        <w:tab w:val="left" w:pos="526"/>
      </w:tabs>
      <w:spacing w:before="0" w:after="0"/>
    </w:pPr>
    <w:rPr>
      <w:b/>
    </w:rPr>
  </w:style>
  <w:style w:type="paragraph" w:customStyle="1" w:styleId="154">
    <w:name w:val="Default"/>
    <w:qForma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paragraph" w:customStyle="1" w:styleId="155">
    <w:name w:val="样式 正文文本 +"/>
    <w:basedOn w:val="18"/>
    <w:link w:val="156"/>
    <w:semiHidden/>
    <w:qFormat/>
    <w:uiPriority w:val="99"/>
    <w:pPr>
      <w:spacing w:after="0" w:line="360" w:lineRule="exact"/>
    </w:pPr>
    <w:rPr>
      <w:kern w:val="0"/>
      <w:sz w:val="19"/>
      <w:szCs w:val="20"/>
    </w:rPr>
  </w:style>
  <w:style w:type="character" w:customStyle="1" w:styleId="156">
    <w:name w:val="样式 正文文本 + Char"/>
    <w:link w:val="155"/>
    <w:semiHidden/>
    <w:qFormat/>
    <w:locked/>
    <w:uiPriority w:val="99"/>
    <w:rPr>
      <w:rFonts w:eastAsia="宋体"/>
      <w:sz w:val="19"/>
    </w:rPr>
  </w:style>
  <w:style w:type="character" w:customStyle="1" w:styleId="157">
    <w:name w:val="正文文本 Char"/>
    <w:basedOn w:val="44"/>
    <w:link w:val="18"/>
    <w:semiHidden/>
    <w:qFormat/>
    <w:locked/>
    <w:uiPriority w:val="99"/>
    <w:rPr>
      <w:rFonts w:cs="Times New Roman"/>
      <w:sz w:val="24"/>
      <w:szCs w:val="24"/>
    </w:rPr>
  </w:style>
  <w:style w:type="paragraph" w:customStyle="1" w:styleId="158">
    <w:name w:val="样式 标题 2H2h2TestHeading2th2l2sect 1.22l1Heading 2 Hidden..."/>
    <w:basedOn w:val="3"/>
    <w:next w:val="1"/>
    <w:semiHidden/>
    <w:qFormat/>
    <w:uiPriority w:val="99"/>
    <w:pPr>
      <w:adjustRightInd w:val="0"/>
      <w:spacing w:beforeLines="50" w:afterLines="50" w:line="240" w:lineRule="auto"/>
      <w:jc w:val="left"/>
      <w:textAlignment w:val="center"/>
      <w:outlineLvl w:val="0"/>
    </w:pPr>
    <w:rPr>
      <w:rFonts w:ascii="黑体" w:hAnsi="宋体" w:cs="宋体"/>
      <w:b/>
      <w:bCs w:val="0"/>
      <w:szCs w:val="20"/>
    </w:rPr>
  </w:style>
  <w:style w:type="character" w:customStyle="1" w:styleId="159">
    <w:name w:val="批注框文本 Char"/>
    <w:basedOn w:val="44"/>
    <w:link w:val="25"/>
    <w:qFormat/>
    <w:locked/>
    <w:uiPriority w:val="99"/>
    <w:rPr>
      <w:rFonts w:cs="Times New Roman"/>
      <w:kern w:val="2"/>
      <w:sz w:val="18"/>
      <w:szCs w:val="18"/>
    </w:rPr>
  </w:style>
  <w:style w:type="paragraph" w:customStyle="1" w:styleId="160">
    <w:name w:val="a"/>
    <w:basedOn w:val="1"/>
    <w:qFormat/>
    <w:uiPriority w:val="99"/>
    <w:pPr>
      <w:widowControl/>
      <w:spacing w:before="100" w:beforeAutospacing="1" w:after="100" w:afterAutospacing="1"/>
      <w:jc w:val="left"/>
    </w:pPr>
    <w:rPr>
      <w:rFonts w:ascii="宋体" w:hAnsi="宋体" w:cs="宋体"/>
      <w:kern w:val="0"/>
      <w:sz w:val="24"/>
    </w:rPr>
  </w:style>
  <w:style w:type="paragraph" w:styleId="161">
    <w:name w:val="List Paragraph"/>
    <w:basedOn w:val="1"/>
    <w:qFormat/>
    <w:uiPriority w:val="34"/>
    <w:pPr>
      <w:ind w:firstLine="420" w:firstLineChars="200"/>
    </w:pPr>
  </w:style>
  <w:style w:type="character" w:customStyle="1" w:styleId="162">
    <w:name w:val="标题 1 Char"/>
    <w:basedOn w:val="44"/>
    <w:link w:val="2"/>
    <w:qFormat/>
    <w:uiPriority w:val="0"/>
    <w:rPr>
      <w:rFonts w:ascii="Arial" w:hAnsi="Arial" w:eastAsia="黑体"/>
      <w:bCs/>
      <w:kern w:val="44"/>
      <w:szCs w:val="44"/>
    </w:rPr>
  </w:style>
  <w:style w:type="character" w:customStyle="1" w:styleId="163">
    <w:name w:val="标题 3 Char"/>
    <w:basedOn w:val="44"/>
    <w:link w:val="4"/>
    <w:qFormat/>
    <w:uiPriority w:val="0"/>
    <w:rPr>
      <w:bCs/>
      <w:kern w:val="2"/>
      <w:sz w:val="21"/>
      <w:szCs w:val="32"/>
    </w:rPr>
  </w:style>
  <w:style w:type="character" w:customStyle="1" w:styleId="164">
    <w:name w:val="标题 4 Char"/>
    <w:basedOn w:val="44"/>
    <w:link w:val="5"/>
    <w:semiHidden/>
    <w:qFormat/>
    <w:uiPriority w:val="0"/>
    <w:rPr>
      <w:rFonts w:asciiTheme="majorHAnsi" w:hAnsiTheme="majorHAnsi" w:eastAsiaTheme="majorEastAsia" w:cstheme="majorBidi"/>
      <w:b/>
      <w:bCs/>
      <w:sz w:val="28"/>
      <w:szCs w:val="28"/>
    </w:rPr>
  </w:style>
  <w:style w:type="character" w:customStyle="1" w:styleId="165">
    <w:name w:val="标题 5 Char"/>
    <w:basedOn w:val="44"/>
    <w:link w:val="6"/>
    <w:semiHidden/>
    <w:qFormat/>
    <w:uiPriority w:val="0"/>
    <w:rPr>
      <w:b/>
      <w:bCs/>
      <w:sz w:val="28"/>
      <w:szCs w:val="28"/>
    </w:rPr>
  </w:style>
  <w:style w:type="character" w:customStyle="1" w:styleId="166">
    <w:name w:val="标题 6 Char"/>
    <w:basedOn w:val="44"/>
    <w:link w:val="7"/>
    <w:semiHidden/>
    <w:qFormat/>
    <w:uiPriority w:val="0"/>
    <w:rPr>
      <w:rFonts w:asciiTheme="majorHAnsi" w:hAnsiTheme="majorHAnsi" w:eastAsiaTheme="majorEastAsia" w:cstheme="majorBidi"/>
      <w:b/>
      <w:bCs/>
      <w:sz w:val="24"/>
      <w:szCs w:val="24"/>
    </w:rPr>
  </w:style>
  <w:style w:type="character" w:customStyle="1" w:styleId="167">
    <w:name w:val="标题 7 Char"/>
    <w:basedOn w:val="44"/>
    <w:link w:val="8"/>
    <w:semiHidden/>
    <w:qFormat/>
    <w:uiPriority w:val="0"/>
    <w:rPr>
      <w:b/>
      <w:bCs/>
      <w:sz w:val="24"/>
      <w:szCs w:val="24"/>
    </w:rPr>
  </w:style>
  <w:style w:type="character" w:customStyle="1" w:styleId="168">
    <w:name w:val="标题 8 Char"/>
    <w:basedOn w:val="44"/>
    <w:link w:val="9"/>
    <w:semiHidden/>
    <w:qFormat/>
    <w:uiPriority w:val="0"/>
    <w:rPr>
      <w:rFonts w:asciiTheme="majorHAnsi" w:hAnsiTheme="majorHAnsi" w:eastAsiaTheme="majorEastAsia" w:cstheme="majorBidi"/>
      <w:sz w:val="24"/>
      <w:szCs w:val="24"/>
    </w:rPr>
  </w:style>
  <w:style w:type="character" w:customStyle="1" w:styleId="169">
    <w:name w:val="标题 9 Char"/>
    <w:basedOn w:val="44"/>
    <w:link w:val="10"/>
    <w:semiHidden/>
    <w:qFormat/>
    <w:uiPriority w:val="0"/>
    <w:rPr>
      <w:rFonts w:asciiTheme="majorHAnsi" w:hAnsiTheme="majorHAnsi" w:eastAsiaTheme="majorEastAsia" w:cstheme="majorBidi"/>
      <w:szCs w:val="21"/>
    </w:rPr>
  </w:style>
  <w:style w:type="paragraph" w:customStyle="1" w:styleId="170">
    <w:name w:val="正文1"/>
    <w:qFormat/>
    <w:uiPriority w:val="0"/>
    <w:pPr>
      <w:jc w:val="both"/>
    </w:pPr>
    <w:rPr>
      <w:rFonts w:ascii="宋体" w:hAnsi="宋体" w:eastAsia="宋体" w:cs="宋体"/>
      <w:kern w:val="2"/>
      <w:sz w:val="21"/>
      <w:szCs w:val="21"/>
      <w:lang w:val="en-US" w:eastAsia="zh-CN" w:bidi="ar-SA"/>
    </w:rPr>
  </w:style>
  <w:style w:type="paragraph" w:customStyle="1" w:styleId="17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72">
    <w:name w:val="副标题 Char"/>
    <w:basedOn w:val="44"/>
    <w:link w:val="33"/>
    <w:qFormat/>
    <w:uiPriority w:val="0"/>
    <w:rPr>
      <w:rFonts w:asciiTheme="minorHAnsi" w:hAnsiTheme="minorHAnsi" w:eastAsiaTheme="minorEastAsia" w:cstheme="minorBidi"/>
      <w:b/>
      <w:bCs/>
      <w:kern w:val="28"/>
      <w:sz w:val="32"/>
      <w:szCs w:val="32"/>
    </w:rPr>
  </w:style>
  <w:style w:type="paragraph" w:customStyle="1" w:styleId="173">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74">
    <w:name w:val="批注文字 Char"/>
    <w:basedOn w:val="44"/>
    <w:link w:val="16"/>
    <w:semiHidden/>
    <w:qFormat/>
    <w:uiPriority w:val="99"/>
    <w:rPr>
      <w:kern w:val="2"/>
      <w:sz w:val="21"/>
      <w:szCs w:val="24"/>
    </w:rPr>
  </w:style>
  <w:style w:type="character" w:customStyle="1" w:styleId="175">
    <w:name w:val="批注主题 Char"/>
    <w:basedOn w:val="174"/>
    <w:link w:val="41"/>
    <w:semiHidden/>
    <w:qFormat/>
    <w:uiPriority w:val="99"/>
    <w:rPr>
      <w:b/>
      <w:bCs/>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1008</Words>
  <Characters>5748</Characters>
  <Lines>47</Lines>
  <Paragraphs>13</Paragraphs>
  <TotalTime>4</TotalTime>
  <ScaleCrop>false</ScaleCrop>
  <LinksUpToDate>false</LinksUpToDate>
  <CharactersWithSpaces>6743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2021-12-02T08:38:00Z</dcterms:created>
  <cp:lastPrinted>2023-11-27T03:40:00Z</cp:lastPrinted>
  <dcterms:modified xsi:type="dcterms:W3CDTF">2023-12-04T01:18:53Z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303DE631F9B84E96A15F100F43A09C6A_13</vt:lpwstr>
  </property>
</Properties>
</file>