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01.040.11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50/64</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癌症疼</w:t>
      </w:r>
      <w:r>
        <w:t>痛规范化治疗病房建设技术要求</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requirements for the establishment of standardized treatment wards for cancer pain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0"/>
        <w:spacing w:before="900" w:after="468"/>
      </w:pPr>
      <w:bookmarkStart w:id="21"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请注意本文件的某些内容可能涉及专利。本文件的发布机构不承担识别这些专利的责任。</w:t>
      </w:r>
    </w:p>
    <w:p>
      <w:pPr>
        <w:pStyle w:val="57"/>
        <w:ind w:firstLine="420"/>
      </w:pPr>
      <w:r>
        <w:rPr>
          <w:rFonts w:hint="eastAsia"/>
        </w:rPr>
        <w:t>本文件由</w:t>
      </w:r>
      <w:r>
        <w:rPr>
          <w:rFonts w:hint="eastAsia" w:ascii="Times New Roman"/>
        </w:rPr>
        <w:t>江苏省卫生标准化技术委员会提出并</w:t>
      </w:r>
      <w:r>
        <w:rPr>
          <w:rFonts w:hint="eastAsia"/>
        </w:rPr>
        <w:t>归口。</w:t>
      </w:r>
    </w:p>
    <w:p>
      <w:pPr>
        <w:pStyle w:val="57"/>
        <w:ind w:firstLine="420"/>
        <w:rPr>
          <w:rFonts w:hint="eastAsia" w:ascii="Times New Roman" w:eastAsia="宋体"/>
          <w:lang w:eastAsia="zh-CN"/>
        </w:rPr>
      </w:pPr>
      <w:r>
        <w:rPr>
          <w:rFonts w:hint="eastAsia"/>
        </w:rPr>
        <w:t>本文件起草单位：</w:t>
      </w:r>
      <w:r>
        <w:rPr>
          <w:rFonts w:hint="eastAsia" w:ascii="Times New Roman"/>
        </w:rPr>
        <w:t>江苏省肿瘤医院、江苏省人民医院、南京大学医学院附属鼓楼医院、东部战区总医院、东南大学附属中大医院、苏州大学附属第一医院、徐州医科大学附属医院、无锡市第四人民医院、南通市肿瘤医院、南通大学附属医院、泰州市人民医院</w:t>
      </w:r>
      <w:r>
        <w:rPr>
          <w:rFonts w:hint="eastAsia" w:ascii="Times New Roman"/>
          <w:lang w:eastAsia="zh-CN"/>
        </w:rPr>
        <w:t>。</w:t>
      </w:r>
      <w:bookmarkStart w:id="49" w:name="_GoBack"/>
      <w:bookmarkEnd w:id="49"/>
    </w:p>
    <w:p>
      <w:pPr>
        <w:pStyle w:val="57"/>
        <w:ind w:firstLine="420"/>
        <w:rPr>
          <w:rFonts w:ascii="Times New Roman"/>
        </w:rPr>
      </w:pPr>
      <w:r>
        <w:rPr>
          <w:rFonts w:hint="eastAsia"/>
        </w:rPr>
        <w:t>本文件主要起草人：</w:t>
      </w:r>
      <w:r>
        <w:rPr>
          <w:rFonts w:hint="eastAsia" w:ascii="Times New Roman"/>
        </w:rPr>
        <w:t>冯继锋、沈波、周国仁、陆建伟、孟爱凤、杨扬、赵敏、许潇月、束永前、蒋书娣、刘宝瑞、袁玲、褚晓源、邵华、陈凯、申文、华东、倪美鑫、杨磊、黄俊星。</w:t>
      </w:r>
    </w:p>
    <w:p>
      <w:pPr>
        <w:pStyle w:val="57"/>
        <w:ind w:firstLine="420"/>
      </w:pPr>
    </w:p>
    <w:p>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CD3551EF36844193B85D8B8DC6417E2A"/>
        </w:placeholder>
      </w:sdtPr>
      <w:sdtContent>
        <w:p>
          <w:pPr>
            <w:pStyle w:val="178"/>
            <w:spacing w:before="312" w:beforeLines="100" w:after="686" w:afterLines="220"/>
          </w:pPr>
          <w:bookmarkStart w:id="23" w:name="NEW_STAND_NAME"/>
          <w:r>
            <w:rPr>
              <w:rFonts w:hint="eastAsia"/>
            </w:rPr>
            <w:t>癌症疼痛规范化治疗病房建设技术要求</w:t>
          </w:r>
        </w:p>
      </w:sdtContent>
    </w:sdt>
    <w:bookmarkEnd w:id="23"/>
    <w:p>
      <w:pPr>
        <w:pStyle w:val="105"/>
        <w:spacing w:before="312" w:after="312"/>
      </w:pPr>
      <w:bookmarkStart w:id="24" w:name="_Toc17233325"/>
      <w:bookmarkStart w:id="25" w:name="_Toc97191423"/>
      <w:bookmarkStart w:id="26" w:name="_Toc24884211"/>
      <w:bookmarkStart w:id="27" w:name="_Toc26986530"/>
      <w:bookmarkStart w:id="28" w:name="_Toc26648465"/>
      <w:bookmarkStart w:id="29" w:name="_Toc17233333"/>
      <w:bookmarkStart w:id="30" w:name="_Toc24884218"/>
      <w:bookmarkStart w:id="31" w:name="_Toc26986771"/>
      <w:bookmarkStart w:id="32" w:name="_Toc26718930"/>
      <w:r>
        <w:rPr>
          <w:rFonts w:hint="eastAsia"/>
        </w:rPr>
        <w:t>范围</w:t>
      </w:r>
      <w:bookmarkEnd w:id="24"/>
      <w:bookmarkEnd w:id="25"/>
      <w:bookmarkEnd w:id="26"/>
      <w:bookmarkEnd w:id="27"/>
      <w:bookmarkEnd w:id="28"/>
      <w:bookmarkEnd w:id="29"/>
      <w:bookmarkEnd w:id="30"/>
      <w:bookmarkEnd w:id="31"/>
      <w:bookmarkEnd w:id="32"/>
    </w:p>
    <w:p>
      <w:pPr>
        <w:pStyle w:val="57"/>
        <w:ind w:firstLine="420"/>
      </w:pPr>
      <w:bookmarkStart w:id="33" w:name="_Toc17233326"/>
      <w:bookmarkStart w:id="34" w:name="_Toc17233334"/>
      <w:bookmarkStart w:id="35" w:name="_Toc26648466"/>
      <w:bookmarkStart w:id="36" w:name="_Toc24884212"/>
      <w:bookmarkStart w:id="37" w:name="_Toc24884219"/>
      <w:r>
        <w:rPr>
          <w:rFonts w:hint="eastAsia"/>
        </w:rPr>
        <w:t>本文件规定了癌症疼痛规范化治疗病房建设要求的总体要求、制度建立、癌症疼痛诊疗流程建立、癌症疼痛患者的宣教和随访、医护人员培训与药剂管理。</w:t>
      </w:r>
    </w:p>
    <w:p>
      <w:pPr>
        <w:pStyle w:val="57"/>
        <w:ind w:firstLine="420"/>
      </w:pPr>
      <w:r>
        <w:rPr>
          <w:rFonts w:hint="eastAsia"/>
        </w:rPr>
        <w:t>本文件适用于开展癌症疼痛规范化治疗病房的二级以上医疗机构。</w:t>
      </w:r>
    </w:p>
    <w:p>
      <w:pPr>
        <w:pStyle w:val="105"/>
        <w:spacing w:before="312" w:after="312"/>
      </w:pPr>
      <w:bookmarkStart w:id="38" w:name="_Toc26718931"/>
      <w:bookmarkStart w:id="39" w:name="_Toc97191424"/>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6BD3F303A24944D085DA1F8D64AB9A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 xml:space="preserve">麻醉药品临床应用指导原则 </w:t>
      </w:r>
      <w:r>
        <w:t xml:space="preserve"> </w:t>
      </w:r>
      <w:r>
        <w:rPr>
          <w:rFonts w:hint="eastAsia"/>
        </w:rPr>
        <w:t>卫医发</w:t>
      </w:r>
      <w:r>
        <w:rPr>
          <w:rFonts w:hint="eastAsia" w:hAnsi="宋体"/>
        </w:rPr>
        <w:t>〔2</w:t>
      </w:r>
      <w:r>
        <w:rPr>
          <w:rFonts w:hAnsi="宋体"/>
        </w:rPr>
        <w:t>007</w:t>
      </w:r>
      <w:r>
        <w:rPr>
          <w:rFonts w:hint="eastAsia" w:hAnsi="宋体"/>
        </w:rPr>
        <w:t>〕</w:t>
      </w:r>
      <w:r>
        <w:rPr>
          <w:rFonts w:hint="eastAsia"/>
        </w:rPr>
        <w:t xml:space="preserve">38号 </w:t>
      </w:r>
      <w:r>
        <w:t xml:space="preserve"> </w:t>
      </w:r>
      <w:r>
        <w:rPr>
          <w:rFonts w:hint="eastAsia"/>
        </w:rPr>
        <w:t>原卫生部</w:t>
      </w:r>
    </w:p>
    <w:p>
      <w:pPr>
        <w:pStyle w:val="57"/>
        <w:ind w:firstLine="420"/>
      </w:pPr>
      <w:r>
        <w:rPr>
          <w:rFonts w:hint="eastAsia"/>
        </w:rPr>
        <w:t xml:space="preserve">精神药品临床应用指导原则 </w:t>
      </w:r>
      <w:r>
        <w:t xml:space="preserve"> </w:t>
      </w:r>
      <w:r>
        <w:rPr>
          <w:rFonts w:hint="eastAsia"/>
        </w:rPr>
        <w:t xml:space="preserve">卫医发〔2007〕39号 </w:t>
      </w:r>
      <w:r>
        <w:t xml:space="preserve"> </w:t>
      </w:r>
      <w:r>
        <w:rPr>
          <w:rFonts w:hint="eastAsia"/>
        </w:rPr>
        <w:t>原卫生部</w:t>
      </w:r>
    </w:p>
    <w:p>
      <w:pPr>
        <w:pStyle w:val="57"/>
        <w:ind w:firstLine="420"/>
      </w:pPr>
      <w:r>
        <w:rPr>
          <w:rFonts w:hint="eastAsia"/>
        </w:rPr>
        <w:t xml:space="preserve">医疗机构药事管理规定 </w:t>
      </w:r>
      <w:r>
        <w:t xml:space="preserve"> </w:t>
      </w:r>
      <w:r>
        <w:rPr>
          <w:rFonts w:hint="eastAsia"/>
        </w:rPr>
        <w:t xml:space="preserve">卫医政发〔2011〕11号 </w:t>
      </w:r>
      <w:r>
        <w:t xml:space="preserve"> </w:t>
      </w:r>
      <w:r>
        <w:rPr>
          <w:rFonts w:hint="eastAsia"/>
        </w:rPr>
        <w:t>国家中医药管理局总后勤部卫生部</w:t>
      </w:r>
    </w:p>
    <w:p>
      <w:pPr>
        <w:pStyle w:val="57"/>
        <w:ind w:firstLine="420"/>
      </w:pPr>
      <w:r>
        <w:rPr>
          <w:rFonts w:hint="eastAsia"/>
        </w:rPr>
        <w:t xml:space="preserve">癌症疼痛诊疗规范(2018年版)  </w:t>
      </w:r>
      <w:r>
        <w:t xml:space="preserve">   </w:t>
      </w:r>
      <w:r>
        <w:rPr>
          <w:rFonts w:hint="eastAsia"/>
        </w:rPr>
        <w:t>国家卫生健康委员会</w:t>
      </w:r>
    </w:p>
    <w:p>
      <w:pPr>
        <w:pStyle w:val="57"/>
        <w:ind w:firstLine="420"/>
      </w:pPr>
      <w:r>
        <w:rPr>
          <w:rFonts w:hAnsi="宋体"/>
        </w:rPr>
        <w:t>NCCN</w:t>
      </w:r>
      <w:r>
        <w:rPr>
          <w:rFonts w:hint="eastAsia"/>
        </w:rPr>
        <w:t>成人癌痛指南（2023年</w:t>
      </w:r>
      <w:r>
        <w:rPr>
          <w:rFonts w:hAnsi="宋体"/>
        </w:rPr>
        <w:t>V2</w:t>
      </w:r>
      <w:r>
        <w:rPr>
          <w:rFonts w:hint="eastAsia"/>
        </w:rPr>
        <w:t>版） 美国国家综合癌症网络</w:t>
      </w:r>
    </w:p>
    <w:p>
      <w:pPr>
        <w:pStyle w:val="105"/>
        <w:spacing w:before="312" w:after="312"/>
      </w:pPr>
      <w:bookmarkStart w:id="42" w:name="_Toc97191425"/>
      <w:r>
        <w:rPr>
          <w:rFonts w:hint="eastAsia"/>
          <w:szCs w:val="21"/>
        </w:rPr>
        <w:t>术语和定义</w:t>
      </w:r>
      <w:bookmarkEnd w:id="42"/>
    </w:p>
    <w:sdt>
      <w:sdtPr>
        <w:id w:val="-1909835108"/>
        <w:placeholder>
          <w:docPart w:val="810313BE7E0F49F4AC8CAA9A3DC949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3" w:name="_Toc26986532"/>
          <w:bookmarkEnd w:id="43"/>
          <w:r>
            <w:t>下列术语和定义适用于本文件。</w:t>
          </w:r>
        </w:p>
      </w:sdtContent>
    </w:sdt>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疼痛 </w:t>
      </w:r>
      <w:r>
        <w:rPr>
          <w:rFonts w:ascii="黑体" w:hAnsi="黑体" w:eastAsia="黑体"/>
        </w:rPr>
        <w:t>pain</w:t>
      </w:r>
      <w:r>
        <w:rPr>
          <w:rFonts w:hint="eastAsia" w:ascii="黑体" w:hAnsi="黑体" w:eastAsia="黑体"/>
        </w:rPr>
        <w:t xml:space="preserve"> </w:t>
      </w:r>
    </w:p>
    <w:p>
      <w:pPr>
        <w:pStyle w:val="224"/>
        <w:numPr>
          <w:ilvl w:val="0"/>
          <w:numId w:val="0"/>
        </w:numPr>
        <w:ind w:firstLine="420" w:firstLineChars="200"/>
        <w:rPr>
          <w:rFonts w:hAnsi="宋体"/>
        </w:rPr>
      </w:pPr>
      <w:r>
        <w:rPr>
          <w:rFonts w:hint="eastAsia" w:hAnsi="宋体"/>
        </w:rPr>
        <w:t>一种与实际或潜在的组织损伤相关的不愉快的感觉和情绪情感体验，或与此相似的经历。</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癌症疼痛 </w:t>
      </w:r>
      <w:r>
        <w:rPr>
          <w:rFonts w:ascii="黑体" w:hAnsi="黑体" w:eastAsia="黑体"/>
        </w:rPr>
        <w:t>cancer pain</w:t>
      </w:r>
    </w:p>
    <w:p>
      <w:pPr>
        <w:pStyle w:val="224"/>
        <w:numPr>
          <w:ilvl w:val="0"/>
          <w:numId w:val="0"/>
        </w:numPr>
        <w:ind w:left="420"/>
        <w:rPr>
          <w:rFonts w:hAnsi="宋体"/>
        </w:rPr>
      </w:pPr>
      <w:r>
        <w:rPr>
          <w:rFonts w:hint="eastAsia" w:hAnsi="宋体"/>
        </w:rPr>
        <w:t>由原发癌症本身或转移或其治疗引起的疼痛，简称“癌痛”。</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背景痛 </w:t>
      </w:r>
      <w:r>
        <w:rPr>
          <w:rFonts w:ascii="黑体" w:hAnsi="黑体" w:eastAsia="黑体"/>
        </w:rPr>
        <w:t>background pain</w:t>
      </w:r>
    </w:p>
    <w:p>
      <w:pPr>
        <w:pStyle w:val="224"/>
        <w:numPr>
          <w:ilvl w:val="0"/>
          <w:numId w:val="0"/>
        </w:numPr>
        <w:ind w:left="420"/>
        <w:rPr>
          <w:rFonts w:hAnsi="宋体"/>
        </w:rPr>
      </w:pPr>
      <w:r>
        <w:rPr>
          <w:rFonts w:hint="eastAsia" w:hAnsi="宋体"/>
        </w:rPr>
        <w:t>在前一周中疼痛持续时间每天≥12小时，或不应用镇痛药就会出现的疼痛。</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爆发痛 </w:t>
      </w:r>
      <w:r>
        <w:rPr>
          <w:rFonts w:ascii="黑体" w:hAnsi="黑体" w:eastAsia="黑体"/>
        </w:rPr>
        <w:t>breakthrough pain</w:t>
      </w:r>
    </w:p>
    <w:p>
      <w:pPr>
        <w:pStyle w:val="224"/>
        <w:numPr>
          <w:ilvl w:val="0"/>
          <w:numId w:val="0"/>
        </w:numPr>
        <w:ind w:left="420"/>
        <w:rPr>
          <w:rFonts w:hAnsi="宋体"/>
        </w:rPr>
      </w:pPr>
      <w:r>
        <w:rPr>
          <w:rFonts w:hint="eastAsia" w:hAnsi="宋体"/>
        </w:rPr>
        <w:t>背景痛控制相对稳定、镇痛药物充分应用的前提下，自发或在某些可预知或不可预知因素的诱发下</w:t>
      </w:r>
    </w:p>
    <w:p>
      <w:pPr>
        <w:pStyle w:val="224"/>
        <w:numPr>
          <w:ilvl w:val="0"/>
          <w:numId w:val="0"/>
        </w:numPr>
        <w:rPr>
          <w:rFonts w:hAnsi="宋体"/>
        </w:rPr>
      </w:pPr>
      <w:r>
        <w:rPr>
          <w:rFonts w:hint="eastAsia" w:hAnsi="宋体"/>
        </w:rPr>
        <w:t>突然出现的短暂疼痛加重。</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 xml:space="preserve">伤害感受性疼痛 </w:t>
      </w:r>
      <w:r>
        <w:rPr>
          <w:rFonts w:ascii="黑体" w:hAnsi="黑体" w:eastAsia="黑体"/>
        </w:rPr>
        <w:t>nociceptive pain</w:t>
      </w:r>
    </w:p>
    <w:p>
      <w:pPr>
        <w:pStyle w:val="224"/>
        <w:numPr>
          <w:ilvl w:val="0"/>
          <w:numId w:val="0"/>
        </w:numPr>
        <w:ind w:firstLine="420" w:firstLineChars="200"/>
        <w:rPr>
          <w:rFonts w:hAnsi="宋体"/>
        </w:rPr>
      </w:pPr>
      <w:r>
        <w:rPr>
          <w:rFonts w:hint="eastAsia" w:hAnsi="宋体"/>
        </w:rPr>
        <w:t>由伤害性刺激作用于机体或器官组织并破坏其结构而引起的疼痛，其感觉神经系统是正常的。伤害感受性疼痛包括躯体痛和内脏痛。</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神经病理性疼痛 neuropathic pain</w:t>
      </w:r>
    </w:p>
    <w:p>
      <w:pPr>
        <w:pStyle w:val="224"/>
        <w:numPr>
          <w:ilvl w:val="0"/>
          <w:numId w:val="0"/>
        </w:numPr>
        <w:ind w:firstLine="420" w:firstLineChars="200"/>
        <w:rPr>
          <w:rFonts w:hAnsi="宋体"/>
        </w:rPr>
      </w:pPr>
      <w:r>
        <w:rPr>
          <w:rFonts w:hint="eastAsia" w:hAnsi="宋体"/>
        </w:rPr>
        <w:t>为一种躯体感觉神经系统的损伤或疾病直接造成的疼痛，是痛觉传递神经纤维或疼痛中枢产生异常神经冲动所致。</w:t>
      </w:r>
    </w:p>
    <w:p>
      <w:pPr>
        <w:pStyle w:val="224"/>
        <w:ind w:left="420" w:hanging="420" w:hangingChars="200"/>
        <w:rPr>
          <w:rFonts w:ascii="黑体" w:hAnsi="黑体" w:eastAsia="黑体"/>
        </w:rPr>
      </w:pPr>
    </w:p>
    <w:p>
      <w:pPr>
        <w:pStyle w:val="224"/>
        <w:numPr>
          <w:ilvl w:val="0"/>
          <w:numId w:val="0"/>
        </w:numPr>
        <w:ind w:left="420"/>
        <w:rPr>
          <w:rFonts w:ascii="黑体" w:hAnsi="黑体" w:eastAsia="黑体"/>
        </w:rPr>
      </w:pPr>
      <w:r>
        <w:rPr>
          <w:rFonts w:hint="eastAsia" w:ascii="黑体" w:hAnsi="黑体" w:eastAsia="黑体"/>
        </w:rPr>
        <w:t>剂量滴定 does titration</w:t>
      </w:r>
    </w:p>
    <w:p>
      <w:pPr>
        <w:pStyle w:val="224"/>
        <w:numPr>
          <w:ilvl w:val="0"/>
          <w:numId w:val="0"/>
        </w:numPr>
        <w:ind w:firstLine="420" w:firstLineChars="200"/>
        <w:rPr>
          <w:rFonts w:hAnsi="宋体"/>
        </w:rPr>
      </w:pPr>
      <w:r>
        <w:rPr>
          <w:rFonts w:hint="eastAsia" w:hAnsi="宋体"/>
        </w:rPr>
        <w:t>调整阿片类药物剂量以达到充分缓解疼痛且药物不良反应可接受的过程。</w:t>
      </w:r>
    </w:p>
    <w:p>
      <w:pPr>
        <w:pStyle w:val="105"/>
        <w:spacing w:before="312" w:after="312"/>
      </w:pPr>
      <w:r>
        <w:rPr>
          <w:rFonts w:hint="eastAsia"/>
        </w:rPr>
        <w:t>总体要求</w:t>
      </w:r>
    </w:p>
    <w:p>
      <w:pPr>
        <w:pStyle w:val="106"/>
        <w:spacing w:before="156" w:after="156"/>
      </w:pPr>
      <w:r>
        <w:rPr>
          <w:rFonts w:hint="eastAsia"/>
        </w:rPr>
        <w:t>医院要求</w:t>
      </w:r>
    </w:p>
    <w:p>
      <w:pPr>
        <w:pStyle w:val="57"/>
        <w:ind w:firstLine="420"/>
      </w:pPr>
      <w:r>
        <w:rPr>
          <w:rFonts w:hint="eastAsia"/>
        </w:rPr>
        <w:t>二级以上（含）综合医院或专科医院。</w:t>
      </w:r>
    </w:p>
    <w:p>
      <w:pPr>
        <w:pStyle w:val="106"/>
        <w:spacing w:before="156" w:after="156"/>
      </w:pPr>
      <w:r>
        <w:rPr>
          <w:rFonts w:hint="eastAsia"/>
        </w:rPr>
        <w:t>科室要求</w:t>
      </w:r>
    </w:p>
    <w:p>
      <w:pPr>
        <w:pStyle w:val="66"/>
        <w:spacing w:before="156" w:after="156"/>
      </w:pPr>
      <w:r>
        <w:rPr>
          <w:rFonts w:hint="eastAsia"/>
        </w:rPr>
        <w:t>肿瘤科</w:t>
      </w:r>
    </w:p>
    <w:p>
      <w:pPr>
        <w:pStyle w:val="57"/>
        <w:ind w:firstLine="420"/>
        <w:rPr>
          <w:rFonts w:hAnsi="宋体"/>
        </w:rPr>
      </w:pPr>
      <w:r>
        <w:rPr>
          <w:rFonts w:hint="eastAsia" w:hAnsi="宋体"/>
        </w:rPr>
        <w:t>开展肿瘤科临床诊疗工作5年以上，床位不少于</w:t>
      </w:r>
      <w:r>
        <w:rPr>
          <w:rFonts w:hAnsi="宋体"/>
        </w:rPr>
        <w:t>2</w:t>
      </w:r>
      <w:r>
        <w:rPr>
          <w:rFonts w:hint="eastAsia" w:hAnsi="宋体"/>
        </w:rPr>
        <w:t>0张；具有独立设置的肿瘤科门诊，能够为癌痛患者提供门诊服务；具有丰富的教学经验，具有培训癌痛治疗医师和护士的能力。</w:t>
      </w:r>
    </w:p>
    <w:p>
      <w:pPr>
        <w:pStyle w:val="66"/>
        <w:spacing w:before="156" w:after="156"/>
      </w:pPr>
      <w:r>
        <w:rPr>
          <w:rFonts w:hint="eastAsia"/>
        </w:rPr>
        <w:t>疼痛科</w:t>
      </w:r>
    </w:p>
    <w:p>
      <w:pPr>
        <w:pStyle w:val="225"/>
        <w:numPr>
          <w:ilvl w:val="0"/>
          <w:numId w:val="0"/>
        </w:numPr>
        <w:ind w:left="420"/>
        <w:rPr>
          <w:rFonts w:hAnsi="宋体"/>
        </w:rPr>
      </w:pPr>
      <w:r>
        <w:rPr>
          <w:rFonts w:hint="eastAsia" w:hAnsi="宋体"/>
        </w:rPr>
        <w:t>开展疼痛科临床诊疗工作2年以上，设置疼痛科门诊，床位不少于</w:t>
      </w:r>
      <w:r>
        <w:rPr>
          <w:rFonts w:hAnsi="宋体"/>
        </w:rPr>
        <w:t>5</w:t>
      </w:r>
      <w:r>
        <w:rPr>
          <w:rFonts w:hint="eastAsia" w:hAnsi="宋体"/>
        </w:rPr>
        <w:t>张；具有丰富的教学经验，具</w:t>
      </w:r>
    </w:p>
    <w:p>
      <w:pPr>
        <w:pStyle w:val="225"/>
        <w:numPr>
          <w:ilvl w:val="0"/>
          <w:numId w:val="0"/>
        </w:numPr>
        <w:rPr>
          <w:rFonts w:hAnsi="宋体"/>
        </w:rPr>
      </w:pPr>
      <w:r>
        <w:rPr>
          <w:rFonts w:hint="eastAsia" w:hAnsi="宋体"/>
        </w:rPr>
        <w:t>有培训癌痛治疗医师和护士的能力。</w:t>
      </w:r>
    </w:p>
    <w:p>
      <w:pPr>
        <w:pStyle w:val="106"/>
        <w:spacing w:before="156" w:after="156"/>
      </w:pPr>
      <w:r>
        <w:rPr>
          <w:rFonts w:hint="eastAsia"/>
        </w:rPr>
        <w:t>人员要求</w:t>
      </w:r>
    </w:p>
    <w:p>
      <w:pPr>
        <w:pStyle w:val="66"/>
        <w:spacing w:before="156" w:after="156"/>
      </w:pPr>
      <w:r>
        <w:rPr>
          <w:rFonts w:hint="eastAsia"/>
        </w:rPr>
        <w:t>数量要求</w:t>
      </w:r>
    </w:p>
    <w:p>
      <w:pPr>
        <w:pStyle w:val="57"/>
        <w:ind w:firstLine="420"/>
      </w:pPr>
      <w:r>
        <w:rPr>
          <w:rFonts w:hint="eastAsia"/>
        </w:rPr>
        <w:t>医院至少有</w:t>
      </w:r>
      <w:r>
        <w:t>4</w:t>
      </w:r>
      <w:r>
        <w:rPr>
          <w:rFonts w:hint="eastAsia"/>
        </w:rPr>
        <w:t>名医护人员经过相关培训专门负责癌痛评估与治疗工作，其中至少有</w:t>
      </w:r>
      <w:r>
        <w:t>2</w:t>
      </w:r>
      <w:r>
        <w:rPr>
          <w:rFonts w:hint="eastAsia"/>
        </w:rPr>
        <w:t>名医师、</w:t>
      </w:r>
      <w:r>
        <w:t>2</w:t>
      </w:r>
      <w:r>
        <w:rPr>
          <w:rFonts w:hint="eastAsia"/>
        </w:rPr>
        <w:t>名护士。</w:t>
      </w:r>
      <w:r>
        <w:rPr>
          <w:rFonts w:hint="eastAsia" w:hAnsi="宋体"/>
        </w:rPr>
        <w:t>至少1名临床药师负责指导全院癌痛规范化治疗的合理用药。</w:t>
      </w:r>
    </w:p>
    <w:p>
      <w:pPr>
        <w:pStyle w:val="66"/>
        <w:spacing w:before="156" w:after="156"/>
      </w:pPr>
      <w:r>
        <w:rPr>
          <w:rFonts w:hint="eastAsia"/>
        </w:rPr>
        <w:t>资质要求</w:t>
      </w:r>
    </w:p>
    <w:p>
      <w:pPr>
        <w:pStyle w:val="165"/>
      </w:pPr>
      <w:r>
        <w:rPr>
          <w:rFonts w:hint="eastAsia"/>
        </w:rPr>
        <w:t xml:space="preserve"> 医师：具有5年以上肿瘤科临床诊疗工作经验，或2年以上疼痛科临床诊疗工作经验，具有主治医师以上专业技术资格；</w:t>
      </w:r>
      <w:r>
        <w:rPr>
          <w:rFonts w:hint="eastAsia" w:hAnsi="宋体"/>
        </w:rPr>
        <w:t>依法取得麻精药品处方权，并</w:t>
      </w:r>
      <w:r>
        <w:rPr>
          <w:rFonts w:hint="eastAsia"/>
        </w:rPr>
        <w:t>熟练掌握《麻醉药品和精神药品管理条例》《处方管理办法》《医疗机构药事管理规定》《麻醉药品临床应用指导原则》和《精神药品临床应用指导原则》等文件；熟练掌握癌痛患者全面疼痛评估方法；熟练掌握各种止痛药物的特性、使用方法以及不良反应的处理方法；能够独立开展癌痛患者疼痛评估和治疗工作。</w:t>
      </w:r>
    </w:p>
    <w:p>
      <w:pPr>
        <w:pStyle w:val="165"/>
      </w:pPr>
      <w:r>
        <w:rPr>
          <w:rFonts w:hint="eastAsia"/>
        </w:rPr>
        <w:t xml:space="preserve"> 护士：具有3年以上肿瘤科护理工作经验，或2年以上疼痛科护理工作经验，具有护师及以上专业技术资格。熟练掌握肿瘤科、疼痛科护理技能，掌握疼痛评分和疼痛护理操作流程，能够协助医师对患者进行癌痛全面评估和治疗。能够配合医师做好癌痛患者治疗相关宣教工作。</w:t>
      </w:r>
    </w:p>
    <w:p>
      <w:pPr>
        <w:pStyle w:val="165"/>
      </w:pPr>
      <w:r>
        <w:rPr>
          <w:rFonts w:hint="eastAsia"/>
        </w:rPr>
        <w:t xml:space="preserve"> 药师：具有1年以上抗肿瘤药物及镇痛药物临床药学工作经验，具有药师及以上专业技术资格。为临床医师、护士提供癌痛治疗药物的合理用药指导。</w:t>
      </w:r>
    </w:p>
    <w:p>
      <w:pPr>
        <w:pStyle w:val="105"/>
        <w:spacing w:before="312" w:after="312"/>
      </w:pPr>
      <w:r>
        <w:rPr>
          <w:rFonts w:hint="eastAsia"/>
        </w:rPr>
        <w:t>制度建立</w:t>
      </w:r>
    </w:p>
    <w:p>
      <w:pPr>
        <w:pStyle w:val="106"/>
        <w:spacing w:before="156" w:after="156"/>
      </w:pPr>
      <w:r>
        <w:rPr>
          <w:rFonts w:hint="eastAsia"/>
        </w:rPr>
        <w:t>成立协调小组</w:t>
      </w:r>
    </w:p>
    <w:p>
      <w:pPr>
        <w:pStyle w:val="225"/>
        <w:numPr>
          <w:ilvl w:val="0"/>
          <w:numId w:val="0"/>
        </w:numPr>
        <w:ind w:firstLine="420" w:firstLineChars="200"/>
      </w:pPr>
      <w:r>
        <w:rPr>
          <w:rFonts w:hint="eastAsia"/>
        </w:rPr>
        <w:t>成立由癌痛规范化治疗病房建设科室、医务科、药剂科、护理部、肿瘤科、疼痛科、门诊部等相关科室负责人组成的癌痛规范化治疗病房建设协调小组，医院领导任协调小组组长。协调小组</w:t>
      </w:r>
      <w:r>
        <w:rPr>
          <w:rFonts w:hint="eastAsia" w:hAnsi="宋体"/>
        </w:rPr>
        <w:t>解决影响癌痛规范化治疗病房建设中出现的问题，制定</w:t>
      </w:r>
      <w:r>
        <w:rPr>
          <w:rFonts w:hint="eastAsia"/>
        </w:rPr>
        <w:t>癌痛规范化治疗病房</w:t>
      </w:r>
      <w:r>
        <w:rPr>
          <w:rFonts w:hint="eastAsia" w:hAnsi="宋体"/>
        </w:rPr>
        <w:t>建设的病房工作管理制度。</w:t>
      </w:r>
    </w:p>
    <w:p>
      <w:pPr>
        <w:pStyle w:val="106"/>
        <w:spacing w:before="156" w:after="156"/>
      </w:pPr>
      <w:r>
        <w:rPr>
          <w:rFonts w:hint="eastAsia"/>
        </w:rPr>
        <w:t>建立监督机制</w:t>
      </w:r>
    </w:p>
    <w:p>
      <w:pPr>
        <w:pStyle w:val="57"/>
        <w:ind w:firstLine="420"/>
        <w:rPr>
          <w:rFonts w:hAnsi="宋体"/>
        </w:rPr>
      </w:pPr>
      <w:r>
        <w:rPr>
          <w:rFonts w:hint="eastAsia"/>
        </w:rPr>
        <w:t>医院领导或授权医务科定期检查相关科室癌痛规范治疗、医疗安全保障、患者教育及随访、医护人员培训学习情况，并</w:t>
      </w:r>
      <w:r>
        <w:rPr>
          <w:rFonts w:hint="eastAsia" w:hAnsi="宋体"/>
        </w:rPr>
        <w:t>纳入医院医疗质量管理体系进行考核。</w:t>
      </w:r>
    </w:p>
    <w:p>
      <w:pPr>
        <w:pStyle w:val="106"/>
        <w:spacing w:before="156" w:after="156"/>
      </w:pPr>
      <w:r>
        <w:rPr>
          <w:rFonts w:hint="eastAsia"/>
        </w:rPr>
        <w:t>建立麻醉药品和精神药品管理制度</w:t>
      </w:r>
    </w:p>
    <w:p>
      <w:pPr>
        <w:pStyle w:val="166"/>
      </w:pPr>
      <w:r>
        <w:rPr>
          <w:rFonts w:hint="eastAsia"/>
        </w:rPr>
        <w:t>按照《中华人民共和国药品管理法》《麻醉药品和精神药品管理条例》《处方管理办法》《医疗机构药事管理规定》等文件要求，完善麻醉药品和精神药品管理制度，改进工作机制，优化管理流程，保障患者方便、足量、合理使用止痛药物，满足麻醉药品和精神药品临床应用需求。</w:t>
      </w:r>
    </w:p>
    <w:p>
      <w:pPr>
        <w:pStyle w:val="166"/>
      </w:pPr>
      <w:r>
        <w:t>为门（急）诊癌痛患者开具麻醉药品、第一类精神药品符合《处方管理办法》有关规定，不</w:t>
      </w:r>
      <w:r>
        <w:rPr>
          <w:rFonts w:hint="eastAsia"/>
        </w:rPr>
        <w:t>应</w:t>
      </w:r>
      <w:r>
        <w:t>限制阿片类药物单次剂量及门诊患者获得缓释制剂 15 日用量</w:t>
      </w:r>
      <w:r>
        <w:rPr>
          <w:rFonts w:hint="eastAsia"/>
        </w:rPr>
        <w:t>。</w:t>
      </w:r>
    </w:p>
    <w:p>
      <w:pPr>
        <w:pStyle w:val="166"/>
      </w:pPr>
      <w:r>
        <w:rPr>
          <w:rFonts w:hint="eastAsia"/>
        </w:rPr>
        <w:t>麻醉药品注射剂仅限于医疗机构内使用或由医护人员出诊至家中使用；口服短效阿片类药物仅限于爆发痛及滴定治疗使用，应该配合长效缓释阿片类药物使用，制定相应管理规定，不应允许短效阿片类药物院外长期单独使用。</w:t>
      </w:r>
    </w:p>
    <w:p>
      <w:pPr>
        <w:pStyle w:val="166"/>
      </w:pPr>
      <w:r>
        <w:rPr>
          <w:rFonts w:hint="eastAsia"/>
        </w:rPr>
        <w:t>麻醉药品处方实行电子化打印管理。</w:t>
      </w:r>
    </w:p>
    <w:p>
      <w:pPr>
        <w:pStyle w:val="105"/>
        <w:spacing w:before="312" w:after="312"/>
      </w:pPr>
      <w:r>
        <w:rPr>
          <w:rFonts w:hint="eastAsia"/>
        </w:rPr>
        <w:t>癌痛规范化治疗诊疗流程建立</w:t>
      </w:r>
    </w:p>
    <w:p>
      <w:pPr>
        <w:pStyle w:val="106"/>
        <w:spacing w:before="156" w:after="156"/>
      </w:pPr>
      <w:r>
        <w:rPr>
          <w:rFonts w:hint="eastAsia"/>
        </w:rPr>
        <w:t>总体目标</w:t>
      </w:r>
    </w:p>
    <w:p>
      <w:pPr>
        <w:pStyle w:val="57"/>
        <w:ind w:firstLine="420"/>
      </w:pPr>
      <w:r>
        <w:rPr>
          <w:rFonts w:hint="eastAsia"/>
        </w:rPr>
        <w:t>建立健全癌痛规范化诊疗相关流程，包括常规筛查、全面评估、合理诊断、有效镇痛、预防和控制不良反应、积极宣教和定期随访以及医护人员和临床药师等参与全程管理。</w:t>
      </w:r>
    </w:p>
    <w:p>
      <w:pPr>
        <w:pStyle w:val="106"/>
        <w:spacing w:before="156" w:after="156"/>
      </w:pPr>
      <w:r>
        <w:rPr>
          <w:rFonts w:hint="eastAsia"/>
        </w:rPr>
        <w:t>落实患者知情同意制度</w:t>
      </w:r>
    </w:p>
    <w:p>
      <w:pPr>
        <w:pStyle w:val="57"/>
        <w:ind w:firstLine="420"/>
        <w:rPr>
          <w:rFonts w:hAnsi="宋体"/>
        </w:rPr>
      </w:pPr>
      <w:r>
        <w:rPr>
          <w:rFonts w:hint="eastAsia" w:hAnsi="宋体"/>
        </w:rPr>
        <w:t>履行病情告知义务，尊重患者知情同意的权利。实施癌痛规范化治疗前，向患者及其家属告知开展癌痛治疗的目的、风险、注意事项、可能发生的不良反应及预防措施。</w:t>
      </w:r>
    </w:p>
    <w:p>
      <w:pPr>
        <w:pStyle w:val="106"/>
        <w:spacing w:before="156" w:after="156"/>
      </w:pPr>
      <w:r>
        <w:rPr>
          <w:rFonts w:hint="eastAsia"/>
        </w:rPr>
        <w:t>癌痛筛查</w:t>
      </w:r>
    </w:p>
    <w:p>
      <w:pPr>
        <w:pStyle w:val="57"/>
        <w:ind w:firstLine="420"/>
        <w:rPr>
          <w:rFonts w:hAnsi="宋体"/>
        </w:rPr>
      </w:pPr>
      <w:r>
        <w:rPr>
          <w:rFonts w:hint="eastAsia" w:hAnsi="宋体"/>
        </w:rPr>
        <w:t>应把握与就诊患者接触的每次机会进行癌痛筛查，包括初次接诊、后续每次接触以及新的治疗、操作开始前：</w:t>
      </w:r>
    </w:p>
    <w:p>
      <w:pPr>
        <w:pStyle w:val="175"/>
      </w:pPr>
      <w:r>
        <w:rPr>
          <w:rFonts w:hint="eastAsia"/>
        </w:rPr>
        <w:t>患者门诊首诊和首日入院时，筛查患者是否存在癌痛。</w:t>
      </w:r>
    </w:p>
    <w:p>
      <w:pPr>
        <w:pStyle w:val="175"/>
      </w:pPr>
      <w:r>
        <w:rPr>
          <w:rFonts w:hint="eastAsia"/>
        </w:rPr>
        <w:t>患者病情变化时，筛查患者是否存在癌痛。</w:t>
      </w:r>
    </w:p>
    <w:p>
      <w:pPr>
        <w:pStyle w:val="175"/>
      </w:pPr>
      <w:r>
        <w:rPr>
          <w:rFonts w:hint="eastAsia"/>
        </w:rPr>
        <w:t>患者接受有创性操作（如穿刺、置管和拔管等）时，筛查患者是否有发生癌痛的可能并预先处理。</w:t>
      </w:r>
    </w:p>
    <w:p>
      <w:pPr>
        <w:pStyle w:val="175"/>
      </w:pPr>
      <w:r>
        <w:rPr>
          <w:rFonts w:hint="eastAsia"/>
        </w:rPr>
        <w:t>患者存在癌痛客观行为表现（面部表情、呻吟和躯体动作等）时，筛查患者是否有癌痛等。</w:t>
      </w:r>
      <w:r>
        <w:br w:type="textWrapping"/>
      </w:r>
      <w:r>
        <w:rPr>
          <w:rFonts w:hint="eastAsia"/>
        </w:rPr>
        <w:t>癌痛评估</w:t>
      </w:r>
    </w:p>
    <w:p>
      <w:pPr>
        <w:pStyle w:val="66"/>
        <w:spacing w:before="156" w:after="156"/>
      </w:pPr>
      <w:r>
        <w:rPr>
          <w:rFonts w:hint="eastAsia"/>
        </w:rPr>
        <w:t>总体原则</w:t>
      </w:r>
    </w:p>
    <w:p>
      <w:pPr>
        <w:pStyle w:val="57"/>
        <w:ind w:firstLine="420"/>
        <w:rPr>
          <w:rFonts w:hAnsi="宋体"/>
        </w:rPr>
      </w:pPr>
      <w:r>
        <w:rPr>
          <w:rFonts w:hint="eastAsia" w:hAnsi="宋体"/>
        </w:rPr>
        <w:t>癌痛评估是合理且有效进行镇痛治疗的前提，评估过程应在保证患者舒适的前提下尽可能做到准确、全面并遵循“常规、量化、全面、动态”的原则。</w:t>
      </w:r>
    </w:p>
    <w:p>
      <w:pPr>
        <w:pStyle w:val="66"/>
        <w:spacing w:before="156" w:after="156"/>
        <w:rPr>
          <w:rFonts w:ascii="宋体" w:eastAsia="宋体"/>
        </w:rPr>
      </w:pPr>
      <w:r>
        <w:rPr>
          <w:rFonts w:hint="eastAsia"/>
        </w:rPr>
        <w:t>癌痛评估时机</w:t>
      </w:r>
    </w:p>
    <w:p>
      <w:pPr>
        <w:pStyle w:val="166"/>
        <w:numPr>
          <w:ilvl w:val="0"/>
          <w:numId w:val="0"/>
        </w:numPr>
        <w:ind w:firstLine="420" w:firstLineChars="200"/>
        <w:rPr>
          <w:rFonts w:hAnsi="宋体"/>
        </w:rPr>
      </w:pPr>
      <w:r>
        <w:rPr>
          <w:rFonts w:hint="eastAsia" w:hAnsi="宋体"/>
        </w:rPr>
        <w:t>把握与患者接触的每次机会进行癌痛评估，包括：</w:t>
      </w:r>
    </w:p>
    <w:p>
      <w:pPr>
        <w:pStyle w:val="175"/>
        <w:numPr>
          <w:ilvl w:val="0"/>
          <w:numId w:val="32"/>
        </w:numPr>
      </w:pPr>
      <w:r>
        <w:rPr>
          <w:rFonts w:hint="eastAsia"/>
        </w:rPr>
        <w:t>入院8小时内应对患者癌痛情况进行常规评估，24小时内进行全面评估。病程记录体现对癌痛的评估和及时癌痛处理。</w:t>
      </w:r>
    </w:p>
    <w:p>
      <w:pPr>
        <w:pStyle w:val="175"/>
      </w:pPr>
      <w:r>
        <w:rPr>
          <w:rFonts w:hint="eastAsia"/>
        </w:rPr>
        <w:t>癌痛控制稳定患者，应每日至少进行1次常规评估，每两周进行1次全面评估。</w:t>
      </w:r>
    </w:p>
    <w:p>
      <w:pPr>
        <w:pStyle w:val="175"/>
      </w:pPr>
      <w:r>
        <w:rPr>
          <w:rFonts w:hint="eastAsia"/>
        </w:rPr>
        <w:t>癌痛控制不稳定患者，如出现爆发痛、癌痛加重或剂量滴定过程中应及时评估；如出现新发癌痛、癌痛性质或镇痛方案改变时应进行全面评估。</w:t>
      </w:r>
    </w:p>
    <w:p>
      <w:pPr>
        <w:pStyle w:val="175"/>
      </w:pPr>
      <w:r>
        <w:rPr>
          <w:rFonts w:hint="eastAsia"/>
        </w:rPr>
        <w:t>应用镇痛药后，应依据给药途径及药物达峰时间评估癌痛情况。</w:t>
      </w:r>
    </w:p>
    <w:p>
      <w:pPr>
        <w:pStyle w:val="66"/>
        <w:spacing w:before="156" w:after="156"/>
      </w:pPr>
      <w:r>
        <w:rPr>
          <w:rFonts w:hint="eastAsia"/>
        </w:rPr>
        <w:t>癌痛评估工具</w:t>
      </w:r>
    </w:p>
    <w:p>
      <w:pPr>
        <w:pStyle w:val="95"/>
        <w:spacing w:before="156" w:after="156"/>
      </w:pPr>
      <w:r>
        <w:rPr>
          <w:rFonts w:hint="eastAsia"/>
        </w:rPr>
        <w:t>癌痛强度评估量表</w:t>
      </w:r>
    </w:p>
    <w:p>
      <w:pPr>
        <w:pStyle w:val="57"/>
        <w:ind w:firstLine="420"/>
      </w:pPr>
      <w:r>
        <w:rPr>
          <w:rFonts w:hint="eastAsia"/>
        </w:rPr>
        <w:t>根据患者的实际情况选用评估量表：视觉模拟评分量表（visual analogue scale，VAS）、数字评分量表（numeric rating scale，NRS）、语言评分量表（verbal rating scale，VRS）和面部表情疼痛评分量表（faces pain scale-revised，FPS-R），病床旁放置疼痛评分表，并告知患者如何使用。</w:t>
      </w:r>
    </w:p>
    <w:p>
      <w:pPr>
        <w:pStyle w:val="57"/>
        <w:ind w:firstLine="420"/>
      </w:pPr>
      <w:r>
        <w:rPr>
          <w:rFonts w:hint="eastAsia"/>
        </w:rPr>
        <w:t>对于无法语言交流的认知障碍或智力障碍的患者，行为观察是疼痛评估的有效方法，可使用晚期痴呆者疼痛评估量表（PAINAD)；意识障碍的机械通气患者可使用重症监护患者疼痛观察工具（CPOT）（见附录A）。</w:t>
      </w:r>
    </w:p>
    <w:p>
      <w:pPr>
        <w:pStyle w:val="95"/>
        <w:spacing w:before="156" w:after="156"/>
      </w:pPr>
      <w:r>
        <w:rPr>
          <w:rFonts w:hint="eastAsia"/>
        </w:rPr>
        <w:t>癌痛性质评估量表</w:t>
      </w:r>
    </w:p>
    <w:p>
      <w:pPr>
        <w:pStyle w:val="165"/>
        <w:numPr>
          <w:ilvl w:val="0"/>
          <w:numId w:val="0"/>
        </w:numPr>
        <w:ind w:firstLine="420" w:firstLineChars="200"/>
      </w:pPr>
      <w:r>
        <w:rPr>
          <w:rFonts w:hint="eastAsia"/>
        </w:rPr>
        <w:t>鉴别伤害感受性疼痛与神经病理性疼痛使用疼痛性质的评估量表DN4问卷（douleur neuropathique 4 questions）和ID pain量表（见附录</w:t>
      </w:r>
      <w:r>
        <w:t>B</w:t>
      </w:r>
      <w:r>
        <w:rPr>
          <w:rFonts w:hint="eastAsia"/>
        </w:rPr>
        <w:t>）。</w:t>
      </w:r>
    </w:p>
    <w:p>
      <w:pPr>
        <w:pStyle w:val="95"/>
        <w:spacing w:before="156" w:after="156"/>
      </w:pPr>
      <w:r>
        <w:rPr>
          <w:rFonts w:hint="eastAsia"/>
        </w:rPr>
        <w:t>癌痛全面评估量表</w:t>
      </w:r>
    </w:p>
    <w:p>
      <w:pPr>
        <w:pStyle w:val="57"/>
        <w:ind w:firstLine="420"/>
      </w:pPr>
      <w:r>
        <w:rPr>
          <w:rFonts w:hint="eastAsia"/>
        </w:rPr>
        <w:t>全面疼痛评估使用简明疼痛评估量表（brief pain inventory，BPI）（见附录</w:t>
      </w:r>
      <w:r>
        <w:t>C</w:t>
      </w:r>
      <w:r>
        <w:rPr>
          <w:rFonts w:hint="eastAsia"/>
        </w:rPr>
        <w:t>）。</w:t>
      </w:r>
    </w:p>
    <w:p>
      <w:pPr>
        <w:pStyle w:val="95"/>
        <w:spacing w:before="156" w:after="156"/>
      </w:pPr>
      <w:r>
        <w:rPr>
          <w:rFonts w:hint="eastAsia"/>
        </w:rPr>
        <w:t>爆发痛的评估量表</w:t>
      </w:r>
    </w:p>
    <w:p>
      <w:pPr>
        <w:pStyle w:val="57"/>
        <w:ind w:firstLine="420"/>
      </w:pPr>
      <w:r>
        <w:rPr>
          <w:rFonts w:hint="eastAsia"/>
        </w:rPr>
        <w:t>爆发痛的评估量表主要采用NRS、VRS、VAS、爆发痛问卷 （breakthrough pain questionnaire，BPQ）和爆发痛评估工具（breakthrough pain assessment tool, BAT）（见附录</w:t>
      </w:r>
      <w:r>
        <w:t>D</w:t>
      </w:r>
      <w:r>
        <w:rPr>
          <w:rFonts w:hint="eastAsia"/>
        </w:rPr>
        <w:t>）。</w:t>
      </w:r>
    </w:p>
    <w:p>
      <w:pPr>
        <w:pStyle w:val="95"/>
        <w:spacing w:before="156" w:after="156"/>
      </w:pPr>
      <w:r>
        <w:rPr>
          <w:rFonts w:hint="eastAsia"/>
        </w:rPr>
        <w:t>评估焦虑/抑郁心理状态工具</w:t>
      </w:r>
    </w:p>
    <w:p>
      <w:pPr>
        <w:pStyle w:val="57"/>
        <w:ind w:firstLine="420"/>
      </w:pPr>
      <w:r>
        <w:rPr>
          <w:rFonts w:hint="eastAsia"/>
        </w:rPr>
        <w:t>焦虑/抑郁心理状态使用广泛性焦虑量表（generalized anxiety disorder-7，GAD-7）和患者健康问卷抑郁量表（health patient questionnaires-9，HPQ-9）（见附录</w:t>
      </w:r>
      <w:r>
        <w:t>E</w:t>
      </w:r>
      <w:r>
        <w:rPr>
          <w:rFonts w:hint="eastAsia"/>
        </w:rPr>
        <w:t>）。</w:t>
      </w:r>
    </w:p>
    <w:p>
      <w:pPr>
        <w:pStyle w:val="106"/>
        <w:spacing w:before="156" w:after="156"/>
      </w:pPr>
      <w:r>
        <w:rPr>
          <w:rFonts w:hint="eastAsia"/>
        </w:rPr>
        <w:t>癌痛治疗</w:t>
      </w:r>
    </w:p>
    <w:p>
      <w:pPr>
        <w:pStyle w:val="224"/>
        <w:numPr>
          <w:ilvl w:val="0"/>
          <w:numId w:val="0"/>
        </w:numPr>
        <w:ind w:firstLine="420" w:firstLineChars="200"/>
        <w:rPr>
          <w:rFonts w:hAnsi="宋体"/>
        </w:rPr>
      </w:pPr>
      <w:r>
        <w:rPr>
          <w:rFonts w:hint="eastAsia" w:hAnsi="宋体"/>
        </w:rPr>
        <w:t>针对癌痛应采取规范化、个体化的治疗原则。根据患者的病情和身体状况，采用各种治疗方法，及早、充分、持续、有效地消除癌痛，预防和控制药物不良反应，减轻患者可能产生的心理负担和障碍，达到优化患者生活质量的目的。</w:t>
      </w:r>
    </w:p>
    <w:p>
      <w:pPr>
        <w:pStyle w:val="66"/>
        <w:spacing w:before="156" w:after="156"/>
      </w:pPr>
      <w:r>
        <w:rPr>
          <w:rFonts w:hint="eastAsia"/>
        </w:rPr>
        <w:t>实施癌痛个体化治疗</w:t>
      </w:r>
    </w:p>
    <w:p>
      <w:pPr>
        <w:pStyle w:val="225"/>
        <w:numPr>
          <w:ilvl w:val="0"/>
          <w:numId w:val="0"/>
        </w:numPr>
        <w:ind w:firstLine="420" w:firstLineChars="200"/>
      </w:pPr>
      <w:r>
        <w:rPr>
          <w:rFonts w:hint="eastAsia"/>
        </w:rPr>
        <w:t>根据《精神药品临床应用指导原则》《麻醉药品临床应用指导原则》《NCCN成人癌痛指南》《癌症疼痛诊疗规范》和WHO三阶梯止痛原则，准确评估患者癌痛情况，并根据评估结果制定个体化治疗方案，因病施治。治疗有效率不低于75%。</w:t>
      </w:r>
    </w:p>
    <w:p>
      <w:pPr>
        <w:pStyle w:val="66"/>
        <w:spacing w:before="156" w:after="156"/>
        <w:rPr>
          <w:rFonts w:hAnsi="宋体"/>
        </w:rPr>
      </w:pPr>
      <w:r>
        <w:rPr>
          <w:rFonts w:hint="eastAsia"/>
        </w:rPr>
        <w:t>预防和处理阿片类药物不良反应</w:t>
      </w:r>
    </w:p>
    <w:p>
      <w:pPr>
        <w:pStyle w:val="166"/>
        <w:numPr>
          <w:ilvl w:val="0"/>
          <w:numId w:val="0"/>
        </w:numPr>
        <w:ind w:firstLine="420" w:firstLineChars="200"/>
        <w:rPr>
          <w:rFonts w:hAnsi="宋体"/>
        </w:rPr>
      </w:pPr>
      <w:r>
        <w:rPr>
          <w:rFonts w:hint="eastAsia" w:hAnsi="宋体"/>
        </w:rPr>
        <w:t>患者进行癌痛治疗前，应告知阿片类药物可能出现的不良反应。如患者治疗后出现相关不良反应，应根据《NCCN成人癌痛指南》和《癌症疼痛诊疗规范》及时处理，此外，中医、中药处理阿片类药物不良反应也具有良好的效果，同时需建立药品不良反应上报制度。</w:t>
      </w:r>
    </w:p>
    <w:p>
      <w:pPr>
        <w:pStyle w:val="66"/>
        <w:spacing w:before="156" w:after="156"/>
      </w:pPr>
      <w:r>
        <w:rPr>
          <w:rFonts w:hint="eastAsia"/>
        </w:rPr>
        <w:t>建立难治性癌痛患者会诊制度</w:t>
      </w:r>
    </w:p>
    <w:p>
      <w:pPr>
        <w:pStyle w:val="166"/>
        <w:numPr>
          <w:ilvl w:val="0"/>
          <w:numId w:val="0"/>
        </w:numPr>
        <w:ind w:firstLine="420" w:firstLineChars="200"/>
        <w:rPr>
          <w:rFonts w:ascii="黑体" w:hAnsi="黑体" w:eastAsia="黑体"/>
        </w:rPr>
      </w:pPr>
      <w:r>
        <w:rPr>
          <w:rFonts w:hint="eastAsia" w:hAnsi="宋体"/>
        </w:rPr>
        <w:t>建立会诊机制,根据患者病情需要，能够组织肿瘤科、疼痛科、药剂科和中医科等有关科室医师（药师）进行会诊，制定适宜的诊疗方案</w:t>
      </w:r>
      <w:r>
        <w:rPr>
          <w:rFonts w:hint="eastAsia" w:ascii="黑体" w:hAnsi="黑体" w:eastAsia="黑体"/>
        </w:rPr>
        <w:t>。</w:t>
      </w:r>
    </w:p>
    <w:p>
      <w:pPr>
        <w:pStyle w:val="105"/>
        <w:spacing w:before="312" w:after="312"/>
      </w:pPr>
      <w:r>
        <w:rPr>
          <w:rFonts w:hint="eastAsia"/>
        </w:rPr>
        <w:t>患者宣教和随访</w:t>
      </w:r>
    </w:p>
    <w:p>
      <w:pPr>
        <w:pStyle w:val="106"/>
        <w:spacing w:before="156" w:after="156"/>
      </w:pPr>
      <w:r>
        <w:rPr>
          <w:rFonts w:hint="eastAsia"/>
        </w:rPr>
        <w:t>患者宣教</w:t>
      </w:r>
    </w:p>
    <w:p>
      <w:pPr>
        <w:pStyle w:val="166"/>
        <w:numPr>
          <w:ilvl w:val="0"/>
          <w:numId w:val="0"/>
        </w:numPr>
        <w:ind w:firstLine="420" w:firstLineChars="200"/>
        <w:rPr>
          <w:rFonts w:hAnsi="宋体"/>
        </w:rPr>
      </w:pPr>
      <w:r>
        <w:rPr>
          <w:rFonts w:hint="eastAsia" w:hAnsi="宋体"/>
        </w:rPr>
        <w:t>定期举办癌痛患者宣教讲座（每季度至少开展一次）、科普培训，发放患者宣教手册，对患者以及其家属开展癌痛治疗相关知识宣教。</w:t>
      </w:r>
    </w:p>
    <w:p>
      <w:pPr>
        <w:pStyle w:val="166"/>
        <w:numPr>
          <w:ilvl w:val="0"/>
          <w:numId w:val="0"/>
        </w:numPr>
        <w:ind w:firstLine="420" w:firstLineChars="200"/>
        <w:rPr>
          <w:rFonts w:hAnsi="宋体"/>
        </w:rPr>
      </w:pPr>
      <w:r>
        <w:rPr>
          <w:rFonts w:hint="eastAsia" w:hAnsi="宋体"/>
        </w:rPr>
        <w:t>设有建设“癌痛规范化治疗病房”活动公示、癌痛治疗知识教育宣传栏，每季度更新宣教内容。</w:t>
      </w:r>
    </w:p>
    <w:p>
      <w:pPr>
        <w:pStyle w:val="106"/>
        <w:spacing w:before="156" w:after="156"/>
      </w:pPr>
      <w:r>
        <w:rPr>
          <w:rFonts w:hint="eastAsia"/>
        </w:rPr>
        <w:t>患者随访</w:t>
      </w:r>
    </w:p>
    <w:p>
      <w:pPr>
        <w:pStyle w:val="66"/>
        <w:spacing w:before="156" w:after="156"/>
      </w:pPr>
      <w:r>
        <w:rPr>
          <w:rFonts w:hint="eastAsia"/>
        </w:rPr>
        <w:t>基本要求</w:t>
      </w:r>
    </w:p>
    <w:p>
      <w:pPr>
        <w:pStyle w:val="57"/>
        <w:ind w:firstLine="420"/>
      </w:pPr>
      <w:r>
        <w:rPr>
          <w:rFonts w:hint="eastAsia"/>
        </w:rPr>
        <w:t>应对接受癌痛规范化治疗的患者进行定期随访、癌痛评估并记录，保障患者得到持续、合理、有效的癌痛治疗。出院癌痛患者随访率不低于85%，门诊癌痛患者疼痛评估率不低于75%。</w:t>
      </w:r>
    </w:p>
    <w:p>
      <w:pPr>
        <w:pStyle w:val="66"/>
        <w:spacing w:before="156" w:after="156"/>
      </w:pPr>
      <w:r>
        <w:rPr>
          <w:rFonts w:hint="eastAsia"/>
        </w:rPr>
        <w:t>随访要求</w:t>
      </w:r>
    </w:p>
    <w:p>
      <w:pPr>
        <w:pStyle w:val="165"/>
      </w:pPr>
      <w:r>
        <w:rPr>
          <w:rFonts w:hint="eastAsia"/>
        </w:rPr>
        <w:t>负责癌痛随访的人员应相对固定，需经过专业培训，具备癌痛管理经验。</w:t>
      </w:r>
    </w:p>
    <w:p>
      <w:pPr>
        <w:pStyle w:val="165"/>
      </w:pPr>
      <w:r>
        <w:rPr>
          <w:rFonts w:hint="eastAsia"/>
        </w:rPr>
        <w:t>癌痛患者出院时，应评估患者及其家属对癌痛知识掌握情况，与患者和家属共同制订随访计划，提供随访卡和癌痛教育材料。</w:t>
      </w:r>
    </w:p>
    <w:p>
      <w:pPr>
        <w:pStyle w:val="165"/>
      </w:pPr>
      <w:r>
        <w:rPr>
          <w:rFonts w:hint="eastAsia"/>
        </w:rPr>
        <w:t>建立随访记录本，规范、连续记录随访内容。终止随访应写明原因，如住院、死亡、拒绝随访等。</w:t>
      </w:r>
    </w:p>
    <w:p>
      <w:pPr>
        <w:pStyle w:val="66"/>
        <w:spacing w:before="156" w:after="156"/>
      </w:pPr>
      <w:r>
        <w:rPr>
          <w:rFonts w:hint="eastAsia"/>
        </w:rPr>
        <w:t>时间要求</w:t>
      </w:r>
    </w:p>
    <w:p>
      <w:pPr>
        <w:pStyle w:val="165"/>
      </w:pPr>
      <w:r>
        <w:rPr>
          <w:rFonts w:hint="eastAsia"/>
        </w:rPr>
        <w:t>癌痛患者出院一周内进行第一次随访。</w:t>
      </w:r>
    </w:p>
    <w:p>
      <w:pPr>
        <w:pStyle w:val="165"/>
      </w:pPr>
      <w:r>
        <w:rPr>
          <w:rFonts w:hint="eastAsia"/>
        </w:rPr>
        <w:t>对初次用药和癌痛控制不稳定的患者，应3天内进行第一次随访。</w:t>
      </w:r>
    </w:p>
    <w:p>
      <w:pPr>
        <w:pStyle w:val="165"/>
      </w:pPr>
      <w:r>
        <w:rPr>
          <w:rFonts w:hint="eastAsia"/>
        </w:rPr>
        <w:t>随访时间间隔根据患者情况合理安排，癌痛缓解后可1～2周随访一次；癌痛控制不佳或用药副作用较大者，一周内可进行多次随访。</w:t>
      </w:r>
    </w:p>
    <w:p>
      <w:pPr>
        <w:pStyle w:val="165"/>
      </w:pPr>
      <w:r>
        <w:rPr>
          <w:rFonts w:hint="eastAsia"/>
        </w:rPr>
        <w:t>每一次随访结束根据具体情况预定下一次随访时间。</w:t>
      </w:r>
    </w:p>
    <w:p>
      <w:pPr>
        <w:pStyle w:val="66"/>
        <w:spacing w:before="156" w:after="156"/>
      </w:pPr>
      <w:r>
        <w:rPr>
          <w:rFonts w:hint="eastAsia"/>
        </w:rPr>
        <w:t>内容要求</w:t>
      </w:r>
    </w:p>
    <w:p>
      <w:pPr>
        <w:pStyle w:val="165"/>
      </w:pPr>
      <w:r>
        <w:rPr>
          <w:rFonts w:hint="eastAsia"/>
        </w:rPr>
        <w:t>患者癌痛情况。包括癌痛强度、部位、性质；是否出现爆发痛，爆发痛次数、评分和解救用药。</w:t>
      </w:r>
    </w:p>
    <w:p>
      <w:pPr>
        <w:pStyle w:val="165"/>
      </w:pPr>
      <w:r>
        <w:rPr>
          <w:rFonts w:hint="eastAsia"/>
        </w:rPr>
        <w:t>癌痛对日常生活影响。包括饮食、睡眠、活动、情绪、人际关系等。</w:t>
      </w:r>
    </w:p>
    <w:p>
      <w:pPr>
        <w:pStyle w:val="165"/>
      </w:pPr>
      <w:r>
        <w:rPr>
          <w:rFonts w:hint="eastAsia"/>
        </w:rPr>
        <w:t>患者镇痛药物应用情况。包括药物名称、服用剂量、频次、方法；是否遵医嘱用药；是否出现药物不良反应。</w:t>
      </w:r>
    </w:p>
    <w:p>
      <w:pPr>
        <w:pStyle w:val="165"/>
      </w:pPr>
      <w:r>
        <w:rPr>
          <w:rFonts w:hint="eastAsia"/>
        </w:rPr>
        <w:t>根据随访中具体情况给予相应指导和建议。包括规范用药、药物不良反应应对、麻醉药品的取药方法、癌痛教育消除顾虑等。在癌痛加重、每天出现3次及以上的爆发痛或影响睡眠时，应咨询医师或来医院治疗。</w:t>
      </w:r>
    </w:p>
    <w:p>
      <w:pPr>
        <w:pStyle w:val="105"/>
        <w:spacing w:before="312" w:after="312"/>
      </w:pPr>
      <w:r>
        <w:rPr>
          <w:rFonts w:hint="eastAsia"/>
        </w:rPr>
        <w:t>医护人员培训</w:t>
      </w:r>
    </w:p>
    <w:p>
      <w:pPr>
        <w:pStyle w:val="106"/>
        <w:spacing w:before="156" w:after="156"/>
      </w:pPr>
      <w:r>
        <w:rPr>
          <w:rFonts w:hint="eastAsia"/>
        </w:rPr>
        <w:t>建立医护人员培训制度</w:t>
      </w:r>
    </w:p>
    <w:p>
      <w:pPr>
        <w:pStyle w:val="57"/>
        <w:ind w:firstLine="420"/>
      </w:pPr>
      <w:r>
        <w:rPr>
          <w:rFonts w:hint="eastAsia"/>
        </w:rPr>
        <w:t>组织肿瘤治疗相关医护人员每年至少接受一次癌痛规范化治疗培训。二级以上综合医院及专科医院每年定期培训医护和药学人员，并通过培训考核。</w:t>
      </w:r>
    </w:p>
    <w:p>
      <w:pPr>
        <w:pStyle w:val="106"/>
        <w:spacing w:before="156" w:after="156"/>
      </w:pPr>
      <w:r>
        <w:rPr>
          <w:rFonts w:hint="eastAsia"/>
        </w:rPr>
        <w:t>编制癌痛规范化治疗手册</w:t>
      </w:r>
    </w:p>
    <w:p>
      <w:pPr>
        <w:pStyle w:val="57"/>
        <w:ind w:firstLine="420"/>
        <w:rPr>
          <w:rFonts w:hAnsi="宋体"/>
        </w:rPr>
      </w:pPr>
      <w:r>
        <w:rPr>
          <w:rFonts w:hint="eastAsia" w:hAnsi="宋体"/>
        </w:rPr>
        <w:t>按照癌痛有关诊疗规范要求，印制癌痛规范化治疗医师操作手册和护理手册，并保证癌痛治疗相关医护人员人手一册。</w:t>
      </w:r>
    </w:p>
    <w:p>
      <w:pPr>
        <w:pStyle w:val="105"/>
        <w:spacing w:before="312" w:after="312"/>
      </w:pPr>
      <w:r>
        <w:rPr>
          <w:rFonts w:hint="eastAsia"/>
        </w:rPr>
        <w:t>药剂管理</w:t>
      </w:r>
    </w:p>
    <w:p>
      <w:pPr>
        <w:pStyle w:val="106"/>
        <w:spacing w:before="156" w:after="156"/>
      </w:pPr>
      <w:r>
        <w:rPr>
          <w:rFonts w:hint="eastAsia"/>
        </w:rPr>
        <w:t>人员要求</w:t>
      </w:r>
    </w:p>
    <w:p>
      <w:pPr>
        <w:pStyle w:val="225"/>
        <w:numPr>
          <w:ilvl w:val="0"/>
          <w:numId w:val="0"/>
        </w:numPr>
        <w:ind w:firstLine="420" w:firstLineChars="200"/>
        <w:rPr>
          <w:rFonts w:hAnsi="宋体"/>
        </w:rPr>
      </w:pPr>
      <w:r>
        <w:rPr>
          <w:rFonts w:hint="eastAsia" w:hAnsi="宋体"/>
        </w:rPr>
        <w:t>指定至少1名临床药师参与建设协调小组,负责全院癌痛规范化治疗合理用药指导，及时动态分析并公布癌痛规范化治疗不合理用药情况，定期开展临床不合理用药督导检查。</w:t>
      </w:r>
    </w:p>
    <w:p>
      <w:pPr>
        <w:pStyle w:val="106"/>
        <w:spacing w:before="156" w:after="156"/>
      </w:pPr>
      <w:r>
        <w:rPr>
          <w:rFonts w:hint="eastAsia"/>
        </w:rPr>
        <w:t>药品配备</w:t>
      </w:r>
    </w:p>
    <w:p>
      <w:pPr>
        <w:pStyle w:val="57"/>
        <w:ind w:firstLine="420"/>
      </w:pPr>
      <w:r>
        <w:rPr>
          <w:rFonts w:hint="eastAsia"/>
        </w:rPr>
        <w:t>按照WHO三阶梯止痛原则要求提供必要的药品。提供癌痛规范化治疗必需的阿片类止痛药物，至少 3 个品种，每个品种不少于 2 个规格（包括吗啡缓释片、羟考酮缓释片、即释吗啡和芬太尼透皮贴剂等），空安瓿和废贴回收要严格管理，以及纳洛酮等阿片类药物中毒解救药物。</w:t>
      </w:r>
    </w:p>
    <w:p>
      <w:pPr>
        <w:pStyle w:val="106"/>
        <w:spacing w:before="156" w:after="156"/>
      </w:pPr>
      <w:r>
        <w:rPr>
          <w:rFonts w:hint="eastAsia"/>
        </w:rPr>
        <w:t>处方管理</w:t>
      </w:r>
    </w:p>
    <w:p>
      <w:pPr>
        <w:pStyle w:val="57"/>
        <w:ind w:firstLine="420"/>
      </w:pPr>
      <w:r>
        <w:rPr>
          <w:rFonts w:hint="eastAsia" w:hAnsi="宋体"/>
        </w:rPr>
        <w:t>严格遵守《中华人民共和国药品管理法》、《麻醉药品和精神药品管理条例》和《处方管理办法》等法律法规、规章制度，建立完备的麻醉药品和精神药品管理制度和使用流程。</w:t>
      </w:r>
    </w:p>
    <w:p/>
    <w:p/>
    <w:p>
      <w:pPr>
        <w:sectPr>
          <w:pgSz w:w="11906" w:h="16838"/>
          <w:pgMar w:top="1928" w:right="1134" w:bottom="1134" w:left="1134" w:header="1418" w:footer="1134" w:gutter="284"/>
          <w:pgNumType w:start="1"/>
          <w:cols w:space="425" w:num="1"/>
          <w:formProt w:val="0"/>
          <w:docGrid w:type="lines" w:linePitch="312" w:charSpace="0"/>
        </w:sectPr>
      </w:pPr>
    </w:p>
    <w:p>
      <w:pPr>
        <w:pStyle w:val="199"/>
      </w:pPr>
    </w:p>
    <w:p>
      <w:pPr>
        <w:pStyle w:val="200"/>
      </w:pPr>
    </w:p>
    <w:bookmarkEnd w:id="22"/>
    <w:p>
      <w:pPr>
        <w:pStyle w:val="199"/>
      </w:pPr>
      <w:bookmarkStart w:id="44" w:name="BookMark5"/>
    </w:p>
    <w:p>
      <w:pPr>
        <w:pStyle w:val="200"/>
      </w:pPr>
    </w:p>
    <w:p>
      <w:pPr>
        <w:pStyle w:val="77"/>
        <w:spacing w:after="156"/>
      </w:pPr>
      <w:r>
        <w:br w:type="textWrapping"/>
      </w:r>
      <w:r>
        <w:rPr>
          <w:rFonts w:hint="eastAsia"/>
        </w:rPr>
        <w:t>（规范性）</w:t>
      </w:r>
      <w:r>
        <w:br w:type="textWrapping"/>
      </w:r>
      <w:r>
        <w:rPr>
          <w:rFonts w:hint="eastAsia"/>
        </w:rPr>
        <w:t>癌痛强度评估量表</w:t>
      </w:r>
    </w:p>
    <w:p>
      <w:pPr>
        <w:pStyle w:val="79"/>
        <w:spacing w:before="156" w:after="156"/>
      </w:pPr>
      <w:bookmarkStart w:id="45" w:name="OLE_LINK12"/>
      <w:r>
        <w:rPr>
          <w:rFonts w:hint="eastAsia"/>
        </w:rPr>
        <w:t>视觉模拟评分量表</w:t>
      </w:r>
      <w:bookmarkEnd w:id="45"/>
      <w:r>
        <w:rPr>
          <w:rFonts w:hint="eastAsia"/>
        </w:rPr>
        <w:t>(</w:t>
      </w:r>
      <w:r>
        <w:t>VAS</w:t>
      </w:r>
      <w:r>
        <w:rPr>
          <w:rFonts w:hint="eastAsia"/>
        </w:rPr>
        <w:t>)</w:t>
      </w:r>
    </w:p>
    <w:p>
      <w:pPr>
        <w:pStyle w:val="57"/>
        <w:ind w:firstLine="420"/>
        <w:rPr>
          <w:shd w:val="clear" w:color="auto" w:fill="FFFFFF"/>
        </w:rPr>
      </w:pPr>
      <w:r>
        <w:rPr>
          <w:rFonts w:hint="eastAsia"/>
          <w:shd w:val="clear" w:color="auto" w:fill="FFFFFF"/>
        </w:rPr>
        <w:t>在白纸上画一条长10cm的直线，两端分别标上“无痛”和“剧痛”，即构成VAS。患者根据所感受的疼痛程度,在直线上做一记号,从起点至记号处的距离也就是量化了的疼痛程度。</w:t>
      </w:r>
    </w:p>
    <w:tbl>
      <w:tblPr>
        <w:tblStyle w:val="28"/>
        <w:tblW w:w="0" w:type="auto"/>
        <w:tblInd w:w="0" w:type="dxa"/>
        <w:tblBorders>
          <w:top w:val="single" w:color="auto" w:sz="12"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2"/>
        <w:gridCol w:w="4672"/>
      </w:tblGrid>
      <w:tr>
        <w:tblPrEx>
          <w:tblBorders>
            <w:top w:val="single" w:color="auto" w:sz="1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tcPr>
          <w:p>
            <w:pPr>
              <w:spacing w:line="360" w:lineRule="auto"/>
              <w:rPr>
                <w:rFonts w:ascii="宋体" w:hAnsi="宋体" w:cs="宋体"/>
                <w:b/>
                <w:bCs/>
              </w:rPr>
            </w:pPr>
            <w:r>
              <w:rPr>
                <w:rFonts w:hint="eastAsia" w:ascii="宋体" w:hAnsi="宋体" w:cs="宋体"/>
                <w:b/>
                <w:bCs/>
              </w:rPr>
              <w:t>0</w:t>
            </w:r>
          </w:p>
        </w:tc>
        <w:tc>
          <w:tcPr>
            <w:tcW w:w="4672" w:type="dxa"/>
          </w:tcPr>
          <w:p>
            <w:pPr>
              <w:spacing w:line="360" w:lineRule="auto"/>
              <w:jc w:val="right"/>
              <w:rPr>
                <w:rFonts w:ascii="宋体" w:hAnsi="宋体" w:cs="宋体"/>
                <w:b/>
                <w:bCs/>
              </w:rPr>
            </w:pPr>
            <w:r>
              <w:rPr>
                <w:rFonts w:hint="eastAsia" w:ascii="宋体" w:hAnsi="宋体" w:cs="宋体"/>
                <w:b/>
                <w:bCs/>
              </w:rPr>
              <w:t>1</w:t>
            </w:r>
            <w:r>
              <w:rPr>
                <w:rFonts w:ascii="宋体" w:hAnsi="宋体" w:cs="宋体"/>
                <w:b/>
                <w:bCs/>
              </w:rPr>
              <w:t>0</w:t>
            </w:r>
          </w:p>
        </w:tc>
      </w:tr>
      <w:tr>
        <w:tblPrEx>
          <w:tblBorders>
            <w:top w:val="single" w:color="auto" w:sz="1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tcPr>
          <w:p>
            <w:pPr>
              <w:spacing w:line="360" w:lineRule="auto"/>
              <w:rPr>
                <w:rFonts w:ascii="宋体" w:hAnsi="宋体" w:cs="宋体"/>
                <w:bCs/>
                <w:sz w:val="18"/>
              </w:rPr>
            </w:pPr>
            <w:r>
              <w:rPr>
                <w:rFonts w:hint="eastAsia" w:ascii="宋体" w:hAnsi="宋体" w:cs="宋体"/>
                <w:bCs/>
                <w:sz w:val="18"/>
              </w:rPr>
              <w:t>无痛</w:t>
            </w:r>
          </w:p>
        </w:tc>
        <w:tc>
          <w:tcPr>
            <w:tcW w:w="4672" w:type="dxa"/>
          </w:tcPr>
          <w:p>
            <w:pPr>
              <w:spacing w:line="360" w:lineRule="auto"/>
              <w:jc w:val="right"/>
              <w:rPr>
                <w:rFonts w:ascii="宋体" w:hAnsi="宋体" w:cs="宋体"/>
                <w:bCs/>
                <w:sz w:val="18"/>
              </w:rPr>
            </w:pPr>
            <w:r>
              <w:rPr>
                <w:rFonts w:hint="eastAsia" w:ascii="宋体" w:hAnsi="宋体" w:cs="宋体"/>
                <w:bCs/>
                <w:sz w:val="20"/>
              </w:rPr>
              <w:t>难以忍受最剧烈的疼痛(剧痛)</w:t>
            </w:r>
          </w:p>
        </w:tc>
      </w:tr>
    </w:tbl>
    <w:p>
      <w:pPr>
        <w:pStyle w:val="79"/>
        <w:spacing w:before="312" w:beforeLines="100" w:after="156"/>
      </w:pPr>
      <w:r>
        <w:rPr>
          <w:rFonts w:hint="eastAsia"/>
        </w:rPr>
        <w:t>数字分级法</w:t>
      </w:r>
      <w:r>
        <w:rPr>
          <w:rFonts w:hint="eastAsia" w:cs="宋体"/>
          <w:shd w:val="clear" w:color="auto" w:fill="FFFFFF"/>
        </w:rPr>
        <w:t>（</w:t>
      </w:r>
      <w:r>
        <w:t>NRS</w:t>
      </w:r>
      <w:r>
        <w:rPr>
          <w:rFonts w:hint="eastAsia" w:cs="宋体"/>
          <w:shd w:val="clear" w:color="auto" w:fill="FFFFFF"/>
        </w:rPr>
        <w:t>）</w:t>
      </w:r>
    </w:p>
    <w:p>
      <w:pPr>
        <w:pStyle w:val="57"/>
        <w:ind w:firstLine="420"/>
      </w:pPr>
      <w:r>
        <w:rPr>
          <w:rFonts w:hint="eastAsia"/>
        </w:rPr>
        <w:t>使用《疼痛程度数字评估量表》对患者疼痛程度进行评估。将疼痛程度用</w:t>
      </w:r>
      <w:r>
        <w:t>0</w:t>
      </w:r>
      <w:r>
        <w:rPr>
          <w:rFonts w:hint="eastAsia"/>
        </w:rPr>
        <w:t>～</w:t>
      </w:r>
      <w:r>
        <w:t>10</w:t>
      </w:r>
      <w:r>
        <w:rPr>
          <w:rFonts w:hint="eastAsia"/>
        </w:rPr>
        <w:t>个数字依次表示，</w:t>
      </w:r>
      <w:r>
        <w:t>0</w:t>
      </w:r>
      <w:r>
        <w:rPr>
          <w:rFonts w:hint="eastAsia"/>
        </w:rPr>
        <w:t>表示无疼痛，</w:t>
      </w:r>
      <w:r>
        <w:t>10</w:t>
      </w:r>
      <w:r>
        <w:rPr>
          <w:rFonts w:hint="eastAsia"/>
        </w:rPr>
        <w:t>表示最剧烈的疼痛。交由患者自己选择</w:t>
      </w:r>
      <w:r>
        <w:t>1</w:t>
      </w:r>
      <w:r>
        <w:rPr>
          <w:rFonts w:hint="eastAsia"/>
        </w:rPr>
        <w:t>个最能代表自身疼痛程度的数字，或由医护人员询问患者：你的疼痛有多严重？由医护人员根据患者对疼痛的描述选择相应的数字。按照疼痛对应的数字将疼痛程度分为：轻度疼痛（</w:t>
      </w:r>
      <w:r>
        <w:t>1</w:t>
      </w:r>
      <w:r>
        <w:rPr>
          <w:rFonts w:hint="eastAsia"/>
        </w:rPr>
        <w:t>～</w:t>
      </w:r>
      <w:r>
        <w:t>3</w:t>
      </w:r>
      <w:r>
        <w:rPr>
          <w:rFonts w:hint="eastAsia"/>
        </w:rPr>
        <w:t>），中度疼痛（</w:t>
      </w:r>
      <w:r>
        <w:t>4</w:t>
      </w:r>
      <w:r>
        <w:rPr>
          <w:rFonts w:hint="eastAsia"/>
        </w:rPr>
        <w:t>～</w:t>
      </w:r>
      <w:r>
        <w:t>6</w:t>
      </w:r>
      <w:r>
        <w:rPr>
          <w:rFonts w:hint="eastAsia"/>
        </w:rPr>
        <w:t>），重度疼痛（</w:t>
      </w:r>
      <w:r>
        <w:t>7</w:t>
      </w:r>
      <w:r>
        <w:rPr>
          <w:rFonts w:hint="eastAsia"/>
        </w:rPr>
        <w:t>～</w:t>
      </w:r>
      <w:r>
        <w:t>10</w:t>
      </w:r>
      <w:r>
        <w:rPr>
          <w:rFonts w:hint="eastAsia"/>
        </w:rPr>
        <w:t>）。</w:t>
      </w:r>
    </w:p>
    <w:p>
      <w:pPr>
        <w:pStyle w:val="16"/>
        <w:adjustRightInd w:val="0"/>
        <w:snapToGrid w:val="0"/>
        <w:spacing w:line="360" w:lineRule="auto"/>
        <w:jc w:val="center"/>
        <w:rPr>
          <w:rFonts w:ascii="Times New Roman" w:hAnsi="Times New Roman"/>
          <w:sz w:val="24"/>
          <w:szCs w:val="24"/>
        </w:rPr>
      </w:pPr>
      <w:r>
        <w:rPr>
          <w:rFonts w:ascii="Times New Roman" w:hAnsi="Times New Roman"/>
          <w:sz w:val="24"/>
          <w:szCs w:val="24"/>
        </w:rPr>
        <w:drawing>
          <wp:inline distT="0" distB="0" distL="0" distR="0">
            <wp:extent cx="5487670" cy="872490"/>
            <wp:effectExtent l="0" t="0" r="0" b="381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72851" cy="886375"/>
                    </a:xfrm>
                    <a:prstGeom prst="rect">
                      <a:avLst/>
                    </a:prstGeom>
                    <a:noFill/>
                    <a:ln>
                      <a:noFill/>
                    </a:ln>
                  </pic:spPr>
                </pic:pic>
              </a:graphicData>
            </a:graphic>
          </wp:inline>
        </w:drawing>
      </w:r>
    </w:p>
    <w:p>
      <w:pPr>
        <w:pStyle w:val="79"/>
        <w:spacing w:before="156" w:after="156"/>
      </w:pPr>
      <w:r>
        <w:rPr>
          <w:rFonts w:hint="eastAsia"/>
        </w:rPr>
        <w:t>主诉疼痛程度分级法（</w:t>
      </w:r>
      <w:r>
        <w:t>VRS</w:t>
      </w:r>
      <w:r>
        <w:rPr>
          <w:rFonts w:hint="eastAsia"/>
        </w:rPr>
        <w:t>）</w:t>
      </w:r>
    </w:p>
    <w:p>
      <w:pPr>
        <w:pStyle w:val="57"/>
        <w:ind w:firstLine="420"/>
      </w:pPr>
      <w:r>
        <w:rPr>
          <w:rFonts w:hint="eastAsia"/>
        </w:rPr>
        <w:t>根据患者对疼痛的主诉，将疼痛程度分</w:t>
      </w:r>
      <w:r>
        <w:rPr>
          <w:rFonts w:hint="eastAsia" w:ascii="Times New Roman"/>
          <w:kern w:val="2"/>
          <w:szCs w:val="24"/>
        </w:rPr>
        <w:t>为轻度、中度、重度：</w:t>
      </w:r>
    </w:p>
    <w:p>
      <w:pPr>
        <w:pStyle w:val="175"/>
        <w:numPr>
          <w:ilvl w:val="0"/>
          <w:numId w:val="33"/>
        </w:numPr>
      </w:pPr>
      <w:r>
        <w:rPr>
          <w:rFonts w:hint="eastAsia"/>
        </w:rPr>
        <w:t>轻度疼痛：有疼痛，但可忍受，生活正常，睡眠无干扰。</w:t>
      </w:r>
    </w:p>
    <w:p>
      <w:pPr>
        <w:pStyle w:val="175"/>
      </w:pPr>
      <w:r>
        <w:rPr>
          <w:rFonts w:hint="eastAsia"/>
        </w:rPr>
        <w:t>中度疼痛：疼痛明显，不能忍受，要求服用镇痛药物，睡眠受干扰。</w:t>
      </w:r>
    </w:p>
    <w:p>
      <w:pPr>
        <w:pStyle w:val="175"/>
      </w:pPr>
      <w:r>
        <w:rPr>
          <w:rFonts w:hint="eastAsia"/>
        </w:rPr>
        <w:t>重度疼痛：疼痛剧烈，不能忍受，需用镇痛药物，睡眠受严重干扰，可伴自主神经功能紊乱或被动体位。</w:t>
      </w:r>
    </w:p>
    <w:p>
      <w:pPr>
        <w:pStyle w:val="175"/>
        <w:numPr>
          <w:ilvl w:val="0"/>
          <w:numId w:val="0"/>
        </w:numPr>
        <w:ind w:left="851"/>
      </w:pPr>
    </w:p>
    <w:p>
      <w:pPr>
        <w:pStyle w:val="79"/>
        <w:spacing w:before="156" w:after="156"/>
      </w:pPr>
      <w:r>
        <w:rPr>
          <w:rFonts w:hint="eastAsia"/>
        </w:rPr>
        <w:t>面部表情疼痛评分量表法（</w:t>
      </w:r>
      <w:r>
        <w:t>FPS</w:t>
      </w:r>
      <w:r>
        <w:rPr>
          <w:rFonts w:hint="eastAsia"/>
        </w:rPr>
        <w:t>）</w:t>
      </w:r>
    </w:p>
    <w:p>
      <w:pPr>
        <w:pStyle w:val="213"/>
      </w:pPr>
      <w:r>
        <w:rPr>
          <w:rFonts w:hint="eastAsia"/>
        </w:rPr>
        <w:t>医护人员根据患者疼痛时的面部表情状态，对照《面部表情疼痛评分量表》进行疼痛评估，适用于表达困难的患者，如儿童、老年人，以及存在语言或文化差异或其他交流障碍的患者。</w:t>
      </w:r>
    </w:p>
    <w:p>
      <w:pPr>
        <w:pStyle w:val="232"/>
        <w:adjustRightInd w:val="0"/>
        <w:snapToGrid w:val="0"/>
        <w:ind w:firstLine="148" w:firstLineChars="62"/>
        <w:rPr>
          <w:rFonts w:ascii="Times New Roman"/>
          <w:sz w:val="24"/>
          <w:szCs w:val="24"/>
        </w:rPr>
      </w:pPr>
      <w:r>
        <w:rPr>
          <w:rFonts w:ascii="Times New Roman"/>
          <w:sz w:val="24"/>
          <w:szCs w:val="24"/>
        </w:rPr>
        <w:drawing>
          <wp:inline distT="0" distB="0" distL="0" distR="0">
            <wp:extent cx="5472430" cy="1316355"/>
            <wp:effectExtent l="0" t="0" r="0" b="0"/>
            <wp:docPr id="2"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12407" cy="1326225"/>
                    </a:xfrm>
                    <a:prstGeom prst="rect">
                      <a:avLst/>
                    </a:prstGeom>
                    <a:noFill/>
                    <a:ln>
                      <a:noFill/>
                    </a:ln>
                  </pic:spPr>
                </pic:pic>
              </a:graphicData>
            </a:graphic>
          </wp:inline>
        </w:drawing>
      </w:r>
    </w:p>
    <w:p>
      <w:pPr>
        <w:pStyle w:val="232"/>
        <w:adjustRightInd w:val="0"/>
        <w:snapToGrid w:val="0"/>
        <w:ind w:firstLine="148" w:firstLineChars="62"/>
        <w:jc w:val="center"/>
        <w:rPr>
          <w:rFonts w:ascii="Times New Roman"/>
          <w:sz w:val="24"/>
          <w:szCs w:val="24"/>
        </w:rPr>
      </w:pPr>
    </w:p>
    <w:p>
      <w:pPr>
        <w:pStyle w:val="213"/>
      </w:pPr>
      <w:r>
        <w:rPr>
          <w:rFonts w:hint="eastAsia"/>
        </w:rPr>
        <w:t>中文版晚期老年痴呆患者疼痛评估量表（PAINAD）见表A.</w:t>
      </w:r>
      <w:r>
        <w:t>1</w:t>
      </w:r>
    </w:p>
    <w:p>
      <w:pPr>
        <w:pStyle w:val="78"/>
        <w:numPr>
          <w:ilvl w:val="0"/>
          <w:numId w:val="0"/>
        </w:numPr>
        <w:spacing w:before="156" w:after="156"/>
      </w:pPr>
      <w:r>
        <w:rPr>
          <w:rFonts w:hint="eastAsia"/>
        </w:rPr>
        <w:t>表</w:t>
      </w:r>
      <w:r>
        <w:t>A.1</w:t>
      </w:r>
      <w:r>
        <w:rPr>
          <w:rFonts w:hint="eastAsia"/>
        </w:rPr>
        <w:t>中文版晚期老年痴呆患者疼痛评估量表（PAINAD）</w:t>
      </w:r>
    </w:p>
    <w:p>
      <w:pPr>
        <w:pStyle w:val="200"/>
        <w:numPr>
          <w:ilvl w:val="0"/>
          <w:numId w:val="34"/>
        </w:numPr>
        <w:spacing w:before="120" w:after="120"/>
      </w:pP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591"/>
        <w:gridCol w:w="2257"/>
        <w:gridCol w:w="3562"/>
        <w:gridCol w:w="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vMerge w:val="restart"/>
            <w:tcBorders>
              <w:top w:val="single" w:color="auto" w:sz="4" w:space="0"/>
              <w:left w:val="single" w:color="auto" w:sz="4" w:space="0"/>
              <w:right w:val="single" w:color="auto" w:sz="4" w:space="0"/>
            </w:tcBorders>
            <w:vAlign w:val="center"/>
          </w:tcPr>
          <w:p>
            <w:pPr>
              <w:snapToGrid w:val="0"/>
              <w:spacing w:line="240" w:lineRule="exact"/>
              <w:jc w:val="center"/>
              <w:rPr>
                <w:rFonts w:ascii="黑体" w:hAnsi="黑体" w:eastAsia="黑体"/>
                <w:sz w:val="18"/>
                <w:szCs w:val="18"/>
              </w:rPr>
            </w:pPr>
            <w:r>
              <w:rPr>
                <w:rFonts w:hint="eastAsia" w:ascii="黑体" w:hAnsi="黑体" w:eastAsia="黑体"/>
                <w:sz w:val="18"/>
                <w:szCs w:val="18"/>
              </w:rPr>
              <w:t>项目</w:t>
            </w:r>
          </w:p>
        </w:tc>
        <w:tc>
          <w:tcPr>
            <w:tcW w:w="3871" w:type="pct"/>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ascii="黑体" w:hAnsi="黑体" w:eastAsia="黑体"/>
                <w:bCs/>
                <w:sz w:val="18"/>
                <w:szCs w:val="18"/>
              </w:rPr>
            </w:pPr>
            <w:r>
              <w:rPr>
                <w:rFonts w:hint="eastAsia" w:ascii="黑体" w:hAnsi="黑体" w:eastAsia="黑体"/>
                <w:bCs/>
                <w:sz w:val="18"/>
                <w:szCs w:val="18"/>
              </w:rPr>
              <w:t>分数</w:t>
            </w:r>
            <w:r>
              <w:rPr>
                <w:rFonts w:ascii="黑体" w:hAnsi="黑体" w:eastAsia="黑体"/>
                <w:bCs/>
                <w:sz w:val="18"/>
                <w:szCs w:val="18"/>
                <w:vertAlign w:val="superscript"/>
              </w:rPr>
              <w:t>a</w:t>
            </w:r>
          </w:p>
        </w:tc>
        <w:tc>
          <w:tcPr>
            <w:tcW w:w="378" w:type="pct"/>
            <w:tcBorders>
              <w:top w:val="single" w:color="auto" w:sz="4" w:space="0"/>
              <w:left w:val="single" w:color="auto" w:sz="4" w:space="0"/>
              <w:bottom w:val="single" w:color="auto" w:sz="4" w:space="0"/>
              <w:right w:val="single" w:color="auto" w:sz="4" w:space="0"/>
            </w:tcBorders>
            <w:vAlign w:val="center"/>
          </w:tcPr>
          <w:p>
            <w:pPr>
              <w:jc w:val="center"/>
              <w:rPr>
                <w:rFonts w:ascii="黑体" w:hAnsi="黑体" w:eastAsia="黑体"/>
                <w:sz w:val="18"/>
                <w:szCs w:val="18"/>
              </w:rPr>
            </w:pPr>
            <w:r>
              <w:rPr>
                <w:rFonts w:hint="eastAsia" w:ascii="黑体" w:hAnsi="黑体" w:eastAsia="黑体"/>
                <w:sz w:val="18"/>
                <w:szCs w:val="18"/>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vMerge w:val="continue"/>
            <w:tcBorders>
              <w:left w:val="single" w:color="auto" w:sz="4" w:space="0"/>
              <w:bottom w:val="single" w:color="auto" w:sz="4" w:space="0"/>
              <w:right w:val="single" w:color="auto" w:sz="4" w:space="0"/>
            </w:tcBorders>
            <w:vAlign w:val="center"/>
          </w:tcPr>
          <w:p>
            <w:pPr>
              <w:snapToGrid w:val="0"/>
              <w:spacing w:line="240" w:lineRule="exact"/>
              <w:jc w:val="center"/>
              <w:rPr>
                <w:rFonts w:ascii="黑体" w:hAnsi="黑体" w:eastAsia="黑体"/>
                <w:sz w:val="18"/>
                <w:szCs w:val="18"/>
              </w:rPr>
            </w:pP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ascii="黑体" w:hAnsi="黑体" w:eastAsia="黑体"/>
                <w:sz w:val="18"/>
                <w:szCs w:val="18"/>
              </w:rPr>
            </w:pPr>
            <w:r>
              <w:rPr>
                <w:rFonts w:hint="eastAsia" w:ascii="黑体" w:hAnsi="黑体" w:eastAsia="黑体"/>
                <w:sz w:val="18"/>
                <w:szCs w:val="18"/>
              </w:rPr>
              <w:t>0</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ascii="黑体" w:hAnsi="黑体" w:eastAsia="黑体"/>
                <w:sz w:val="18"/>
                <w:szCs w:val="18"/>
              </w:rPr>
            </w:pPr>
            <w:r>
              <w:rPr>
                <w:rFonts w:hint="eastAsia" w:ascii="黑体" w:hAnsi="黑体" w:eastAsia="黑体"/>
                <w:sz w:val="18"/>
                <w:szCs w:val="18"/>
              </w:rPr>
              <w:t>1</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ascii="黑体" w:hAnsi="黑体" w:eastAsia="黑体"/>
                <w:sz w:val="18"/>
                <w:szCs w:val="18"/>
              </w:rPr>
            </w:pPr>
            <w:r>
              <w:rPr>
                <w:rFonts w:hint="eastAsia" w:ascii="黑体" w:hAnsi="黑体" w:eastAsia="黑体"/>
                <w:sz w:val="18"/>
                <w:szCs w:val="18"/>
              </w:rPr>
              <w:t>2</w:t>
            </w:r>
          </w:p>
        </w:tc>
        <w:tc>
          <w:tcPr>
            <w:tcW w:w="378" w:type="pct"/>
            <w:tcBorders>
              <w:top w:val="single" w:color="auto" w:sz="4" w:space="0"/>
              <w:left w:val="single" w:color="auto" w:sz="4" w:space="0"/>
              <w:bottom w:val="single" w:color="auto" w:sz="4" w:space="0"/>
              <w:right w:val="single" w:color="auto" w:sz="4" w:space="0"/>
            </w:tcBorders>
            <w:vAlign w:val="center"/>
          </w:tcPr>
          <w:p>
            <w:pPr>
              <w:ind w:firstLine="360" w:firstLineChars="200"/>
              <w:jc w:val="center"/>
              <w:rPr>
                <w:rFonts w:ascii="黑体" w:hAnsi="黑体" w:eastAsia="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呼吸</w:t>
            </w: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正常</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偶尔呼吸困难</w:t>
            </w:r>
            <w:r>
              <w:rPr>
                <w:sz w:val="18"/>
                <w:szCs w:val="18"/>
              </w:rPr>
              <w:t>/</w:t>
            </w:r>
            <w:r>
              <w:rPr>
                <w:rFonts w:hint="eastAsia"/>
                <w:sz w:val="18"/>
                <w:szCs w:val="18"/>
              </w:rPr>
              <w:t>短时期的换气过度</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呼吸困难兼发出吵闹声音</w:t>
            </w:r>
            <w:r>
              <w:rPr>
                <w:sz w:val="18"/>
                <w:szCs w:val="18"/>
              </w:rPr>
              <w:t>/</w:t>
            </w:r>
            <w:r>
              <w:rPr>
                <w:rFonts w:hint="eastAsia"/>
                <w:sz w:val="18"/>
                <w:szCs w:val="18"/>
              </w:rPr>
              <w:t>长时期的换气过度</w:t>
            </w:r>
            <w:r>
              <w:rPr>
                <w:sz w:val="18"/>
                <w:szCs w:val="18"/>
              </w:rPr>
              <w:t>/</w:t>
            </w:r>
            <w:r>
              <w:rPr>
                <w:rFonts w:hint="eastAsia"/>
                <w:sz w:val="18"/>
                <w:szCs w:val="18"/>
              </w:rPr>
              <w:t>潮式呼吸（陈</w:t>
            </w:r>
            <w:r>
              <w:rPr>
                <w:sz w:val="18"/>
                <w:szCs w:val="18"/>
              </w:rPr>
              <w:t>-</w:t>
            </w:r>
            <w:r>
              <w:rPr>
                <w:rFonts w:hint="eastAsia"/>
                <w:sz w:val="18"/>
                <w:szCs w:val="18"/>
              </w:rPr>
              <w:t>施呼吸）（</w:t>
            </w:r>
            <w:r>
              <w:rPr>
                <w:rFonts w:ascii="宋体" w:hAnsi="宋体"/>
                <w:sz w:val="18"/>
                <w:szCs w:val="18"/>
              </w:rPr>
              <w:t>cheyne-strokes respirations</w:t>
            </w:r>
            <w:r>
              <w:rPr>
                <w:rFonts w:hint="eastAsia"/>
                <w:sz w:val="18"/>
                <w:szCs w:val="18"/>
              </w:rPr>
              <w:t>）</w:t>
            </w:r>
          </w:p>
        </w:tc>
        <w:tc>
          <w:tcPr>
            <w:tcW w:w="378" w:type="pct"/>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负面的声音表达</w:t>
            </w: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没有</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偶尔呻吟</w:t>
            </w:r>
            <w:r>
              <w:rPr>
                <w:sz w:val="18"/>
                <w:szCs w:val="18"/>
              </w:rPr>
              <w:t>/</w:t>
            </w:r>
            <w:r>
              <w:rPr>
                <w:rFonts w:hint="eastAsia"/>
                <w:sz w:val="18"/>
                <w:szCs w:val="18"/>
              </w:rPr>
              <w:t>低沉的声音，带有负面的语气</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重复性地叫嚷</w:t>
            </w:r>
            <w:r>
              <w:rPr>
                <w:sz w:val="18"/>
                <w:szCs w:val="18"/>
              </w:rPr>
              <w:t>/</w:t>
            </w:r>
            <w:r>
              <w:rPr>
                <w:rFonts w:hint="eastAsia"/>
                <w:sz w:val="18"/>
                <w:szCs w:val="18"/>
              </w:rPr>
              <w:t>大声呻吟</w:t>
            </w:r>
            <w:r>
              <w:rPr>
                <w:sz w:val="18"/>
                <w:szCs w:val="18"/>
              </w:rPr>
              <w:t>/</w:t>
            </w:r>
            <w:r>
              <w:rPr>
                <w:rFonts w:hint="eastAsia"/>
                <w:sz w:val="18"/>
                <w:szCs w:val="18"/>
              </w:rPr>
              <w:t>哭泣</w:t>
            </w:r>
          </w:p>
        </w:tc>
        <w:tc>
          <w:tcPr>
            <w:tcW w:w="378" w:type="pct"/>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面部表情</w:t>
            </w: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微笑或无表情</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难过</w:t>
            </w:r>
            <w:r>
              <w:rPr>
                <w:sz w:val="18"/>
                <w:szCs w:val="18"/>
              </w:rPr>
              <w:t>/</w:t>
            </w:r>
            <w:r>
              <w:rPr>
                <w:rFonts w:hint="eastAsia"/>
                <w:sz w:val="18"/>
                <w:szCs w:val="18"/>
              </w:rPr>
              <w:t>恐惧</w:t>
            </w:r>
            <w:r>
              <w:rPr>
                <w:sz w:val="18"/>
                <w:szCs w:val="18"/>
              </w:rPr>
              <w:t>/</w:t>
            </w:r>
            <w:r>
              <w:rPr>
                <w:rFonts w:hint="eastAsia"/>
                <w:sz w:val="18"/>
                <w:szCs w:val="18"/>
              </w:rPr>
              <w:t>皱眉头</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愁眉苦脸</w:t>
            </w:r>
          </w:p>
        </w:tc>
        <w:tc>
          <w:tcPr>
            <w:tcW w:w="378" w:type="pct"/>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身体语言</w:t>
            </w: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轻松</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绷紧</w:t>
            </w:r>
            <w:r>
              <w:rPr>
                <w:sz w:val="18"/>
                <w:szCs w:val="18"/>
              </w:rPr>
              <w:t>/</w:t>
            </w:r>
            <w:r>
              <w:rPr>
                <w:rFonts w:hint="eastAsia"/>
                <w:sz w:val="18"/>
                <w:szCs w:val="18"/>
              </w:rPr>
              <w:t>紧张步伐</w:t>
            </w:r>
            <w:r>
              <w:rPr>
                <w:sz w:val="18"/>
                <w:szCs w:val="18"/>
              </w:rPr>
              <w:t>/</w:t>
            </w:r>
            <w:r>
              <w:rPr>
                <w:rFonts w:hint="eastAsia"/>
                <w:sz w:val="18"/>
                <w:szCs w:val="18"/>
              </w:rPr>
              <w:t>坐立不安</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僵硬</w:t>
            </w:r>
            <w:r>
              <w:rPr>
                <w:sz w:val="18"/>
                <w:szCs w:val="18"/>
              </w:rPr>
              <w:t>/</w:t>
            </w:r>
            <w:r>
              <w:rPr>
                <w:rFonts w:hint="eastAsia"/>
                <w:sz w:val="18"/>
                <w:szCs w:val="18"/>
              </w:rPr>
              <w:t>紧握拳头</w:t>
            </w:r>
            <w:r>
              <w:rPr>
                <w:sz w:val="18"/>
                <w:szCs w:val="18"/>
              </w:rPr>
              <w:t>/</w:t>
            </w:r>
            <w:r>
              <w:rPr>
                <w:rFonts w:hint="eastAsia"/>
                <w:sz w:val="18"/>
                <w:szCs w:val="18"/>
              </w:rPr>
              <w:t>膝盖提起</w:t>
            </w:r>
            <w:r>
              <w:rPr>
                <w:sz w:val="18"/>
                <w:szCs w:val="18"/>
              </w:rPr>
              <w:t>/</w:t>
            </w:r>
            <w:r>
              <w:rPr>
                <w:rFonts w:hint="eastAsia"/>
                <w:sz w:val="18"/>
                <w:szCs w:val="18"/>
              </w:rPr>
              <w:t>拉扯或推开</w:t>
            </w:r>
            <w:r>
              <w:rPr>
                <w:sz w:val="18"/>
                <w:szCs w:val="18"/>
              </w:rPr>
              <w:t>/</w:t>
            </w:r>
            <w:r>
              <w:rPr>
                <w:rFonts w:hint="eastAsia"/>
                <w:sz w:val="18"/>
                <w:szCs w:val="18"/>
              </w:rPr>
              <w:t>推撞</w:t>
            </w:r>
          </w:p>
        </w:tc>
        <w:tc>
          <w:tcPr>
            <w:tcW w:w="378" w:type="pct"/>
            <w:tcBorders>
              <w:top w:val="single" w:color="auto" w:sz="4" w:space="0"/>
              <w:left w:val="single" w:color="auto" w:sz="4" w:space="0"/>
              <w:bottom w:val="single" w:color="auto" w:sz="4" w:space="0"/>
              <w:right w:val="single" w:color="auto" w:sz="4" w:space="0"/>
            </w:tcBorders>
            <w:vAlign w:val="center"/>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可安抚程度</w:t>
            </w:r>
          </w:p>
        </w:tc>
        <w:tc>
          <w:tcPr>
            <w:tcW w:w="83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无需安抚</w:t>
            </w:r>
          </w:p>
        </w:tc>
        <w:tc>
          <w:tcPr>
            <w:tcW w:w="1179"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通过分散注意力或触摸、安慰，可安抚患者</w:t>
            </w:r>
          </w:p>
        </w:tc>
        <w:tc>
          <w:tcPr>
            <w:tcW w:w="18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left"/>
              <w:rPr>
                <w:sz w:val="18"/>
                <w:szCs w:val="18"/>
              </w:rPr>
            </w:pPr>
            <w:r>
              <w:rPr>
                <w:rFonts w:hint="eastAsia"/>
                <w:sz w:val="18"/>
                <w:szCs w:val="18"/>
              </w:rPr>
              <w:t>通过分散注意力或触摸、安慰，也不可安抚患者</w:t>
            </w:r>
          </w:p>
        </w:tc>
        <w:tc>
          <w:tcPr>
            <w:tcW w:w="378" w:type="pct"/>
            <w:tcBorders>
              <w:top w:val="single" w:color="auto" w:sz="4" w:space="0"/>
              <w:left w:val="single" w:color="auto" w:sz="4" w:space="0"/>
              <w:bottom w:val="single" w:color="auto" w:sz="4" w:space="0"/>
              <w:right w:val="single" w:color="auto" w:sz="4" w:space="0"/>
            </w:tcBorders>
            <w:vAlign w:val="center"/>
          </w:tcPr>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snapToGrid w:val="0"/>
              <w:spacing w:line="240" w:lineRule="exact"/>
              <w:ind w:firstLine="1260" w:firstLineChars="700"/>
            </w:pPr>
            <w:r>
              <w:rPr>
                <w:rFonts w:hint="eastAsia"/>
                <w:sz w:val="18"/>
                <w:szCs w:val="18"/>
              </w:rPr>
              <w:t xml:space="preserve">观察时间约 </w:t>
            </w:r>
            <w:r>
              <w:rPr>
                <w:rFonts w:ascii="宋体" w:hAnsi="宋体"/>
                <w:sz w:val="18"/>
                <w:szCs w:val="18"/>
              </w:rPr>
              <w:t>5 min</w:t>
            </w:r>
            <w:r>
              <w:rPr>
                <w:sz w:val="18"/>
                <w:szCs w:val="18"/>
              </w:rPr>
              <w:t xml:space="preserve">                                            </w:t>
            </w:r>
            <w:r>
              <w:rPr>
                <w:rFonts w:hint="eastAsia"/>
                <w:b/>
                <w:sz w:val="18"/>
                <w:szCs w:val="18"/>
              </w:rPr>
              <w:t>总分：</w:t>
            </w:r>
          </w:p>
        </w:tc>
      </w:tr>
    </w:tbl>
    <w:p>
      <w:pPr>
        <w:rPr>
          <w:rFonts w:ascii="Times New Roman" w:hAnsi="Times New Roman"/>
          <w:bCs/>
          <w:szCs w:val="22"/>
        </w:rPr>
      </w:pPr>
      <w:r>
        <w:rPr>
          <w:rFonts w:hint="eastAsia"/>
          <w:bCs/>
        </w:rPr>
        <w:t>注：疼痛分值范围</w:t>
      </w:r>
      <w:r>
        <w:rPr>
          <w:rFonts w:ascii="宋体" w:hAnsi="宋体"/>
          <w:bCs/>
        </w:rPr>
        <w:t>0</w:t>
      </w:r>
      <w:r>
        <w:rPr>
          <w:rFonts w:hint="eastAsia" w:ascii="宋体" w:hAnsi="宋体"/>
          <w:bCs/>
        </w:rPr>
        <w:t>（无痛）</w:t>
      </w:r>
      <w:r>
        <w:rPr>
          <w:rFonts w:hint="eastAsia" w:ascii="宋体" w:hAnsi="宋体"/>
          <w:sz w:val="24"/>
          <w:szCs w:val="24"/>
        </w:rPr>
        <w:t>～</w:t>
      </w:r>
      <w:r>
        <w:rPr>
          <w:rFonts w:ascii="宋体" w:hAnsi="宋体"/>
          <w:bCs/>
        </w:rPr>
        <w:t>10</w:t>
      </w:r>
      <w:r>
        <w:rPr>
          <w:rFonts w:hint="eastAsia" w:ascii="宋体" w:hAnsi="宋体"/>
          <w:bCs/>
        </w:rPr>
        <w:t>（</w:t>
      </w:r>
      <w:r>
        <w:rPr>
          <w:rFonts w:hint="eastAsia"/>
          <w:bCs/>
        </w:rPr>
        <w:t>极度疼痛），分值越高表示疼痛越剧烈。</w:t>
      </w:r>
    </w:p>
    <w:p>
      <w:pPr>
        <w:pStyle w:val="57"/>
        <w:ind w:firstLine="420"/>
      </w:pPr>
    </w:p>
    <w:p>
      <w:pPr>
        <w:pStyle w:val="213"/>
      </w:pPr>
      <w:r>
        <w:rPr>
          <w:rFonts w:hint="eastAsia"/>
        </w:rPr>
        <w:t>重症监护疼痛观察工具（</w:t>
      </w:r>
      <w:r>
        <w:rPr>
          <w:rFonts w:hint="eastAsia" w:hAnsi="宋体"/>
        </w:rPr>
        <w:t>CPOT）见表</w:t>
      </w:r>
      <w:r>
        <w:rPr>
          <w:rFonts w:hAnsi="宋体"/>
        </w:rPr>
        <w:t>A.2</w:t>
      </w:r>
    </w:p>
    <w:p>
      <w:pPr>
        <w:pStyle w:val="78"/>
        <w:numPr>
          <w:ilvl w:val="0"/>
          <w:numId w:val="0"/>
        </w:numPr>
        <w:spacing w:before="156" w:after="156"/>
      </w:pPr>
      <w:r>
        <w:rPr>
          <w:rFonts w:hint="eastAsia" w:ascii="Times New Roman"/>
        </w:rPr>
        <w:t>表</w:t>
      </w:r>
      <w:r>
        <w:rPr>
          <w:rFonts w:ascii="Times New Roman"/>
        </w:rPr>
        <w:t xml:space="preserve">A.2 </w:t>
      </w:r>
      <w:r>
        <w:rPr>
          <w:rFonts w:hint="eastAsia" w:ascii="Times New Roman"/>
        </w:rPr>
        <w:t>重症监护疼痛观察工具（</w:t>
      </w:r>
      <w:r>
        <w:rPr>
          <w:rFonts w:hint="eastAsia" w:hAnsi="黑体"/>
        </w:rPr>
        <w:t>CPOT</w:t>
      </w:r>
      <w:r>
        <w:rPr>
          <w:rFonts w:hint="eastAsia" w:ascii="Times New Roman"/>
        </w:rPr>
        <w:t>）</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2228"/>
        <w:gridCol w:w="3920"/>
        <w:gridCol w:w="1405"/>
        <w:gridCol w:w="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tcBorders>
              <w:top w:val="single" w:color="auto" w:sz="4" w:space="0"/>
              <w:left w:val="single" w:color="auto" w:sz="4" w:space="0"/>
              <w:bottom w:val="single" w:color="auto" w:sz="4" w:space="0"/>
              <w:right w:val="single" w:color="auto" w:sz="4" w:space="0"/>
            </w:tcBorders>
          </w:tcPr>
          <w:p>
            <w:pPr>
              <w:spacing w:line="360" w:lineRule="auto"/>
              <w:ind w:firstLine="89" w:firstLineChars="49"/>
              <w:jc w:val="center"/>
              <w:rPr>
                <w:rFonts w:ascii="宋体" w:cs="宋体"/>
                <w:b/>
                <w:sz w:val="18"/>
                <w:szCs w:val="18"/>
              </w:rPr>
            </w:pPr>
            <w:r>
              <w:rPr>
                <w:rFonts w:hint="eastAsia" w:ascii="宋体" w:hAnsi="宋体" w:cs="宋体"/>
                <w:b/>
                <w:sz w:val="18"/>
                <w:szCs w:val="18"/>
              </w:rPr>
              <w:t>指标</w:t>
            </w:r>
          </w:p>
        </w:tc>
        <w:tc>
          <w:tcPr>
            <w:tcW w:w="1163" w:type="pct"/>
            <w:tcBorders>
              <w:top w:val="single" w:color="auto" w:sz="4" w:space="0"/>
              <w:left w:val="single" w:color="auto" w:sz="4" w:space="0"/>
              <w:bottom w:val="single" w:color="auto" w:sz="4" w:space="0"/>
              <w:right w:val="single" w:color="auto" w:sz="4" w:space="0"/>
            </w:tcBorders>
          </w:tcPr>
          <w:p>
            <w:pPr>
              <w:spacing w:line="360" w:lineRule="auto"/>
              <w:jc w:val="center"/>
              <w:rPr>
                <w:rFonts w:ascii="宋体" w:cs="宋体"/>
                <w:b/>
                <w:sz w:val="18"/>
                <w:szCs w:val="18"/>
              </w:rPr>
            </w:pPr>
            <w:r>
              <w:rPr>
                <w:rFonts w:hint="eastAsia" w:ascii="宋体" w:hAnsi="宋体" w:cs="宋体"/>
                <w:b/>
                <w:sz w:val="18"/>
                <w:szCs w:val="18"/>
              </w:rPr>
              <w:t>条目</w:t>
            </w:r>
          </w:p>
        </w:tc>
        <w:tc>
          <w:tcPr>
            <w:tcW w:w="2048" w:type="pct"/>
            <w:tcBorders>
              <w:top w:val="single" w:color="auto" w:sz="4" w:space="0"/>
              <w:left w:val="single" w:color="auto" w:sz="4" w:space="0"/>
              <w:bottom w:val="single" w:color="auto" w:sz="4" w:space="0"/>
              <w:right w:val="single" w:color="auto" w:sz="4" w:space="0"/>
            </w:tcBorders>
          </w:tcPr>
          <w:p>
            <w:pPr>
              <w:spacing w:line="360" w:lineRule="auto"/>
              <w:jc w:val="center"/>
              <w:rPr>
                <w:rFonts w:ascii="宋体" w:cs="宋体"/>
                <w:b/>
                <w:sz w:val="18"/>
                <w:szCs w:val="18"/>
              </w:rPr>
            </w:pPr>
            <w:r>
              <w:rPr>
                <w:rFonts w:hint="eastAsia" w:ascii="宋体" w:hAnsi="宋体" w:cs="宋体"/>
                <w:b/>
                <w:sz w:val="18"/>
                <w:szCs w:val="18"/>
              </w:rPr>
              <w:t>描述</w:t>
            </w:r>
          </w:p>
        </w:tc>
        <w:tc>
          <w:tcPr>
            <w:tcW w:w="982" w:type="pct"/>
            <w:gridSpan w:val="2"/>
            <w:tcBorders>
              <w:top w:val="single" w:color="auto" w:sz="4" w:space="0"/>
              <w:left w:val="single" w:color="auto" w:sz="4" w:space="0"/>
              <w:bottom w:val="single" w:color="auto" w:sz="4" w:space="0"/>
              <w:right w:val="single" w:color="auto" w:sz="4" w:space="0"/>
            </w:tcBorders>
          </w:tcPr>
          <w:p>
            <w:pPr>
              <w:spacing w:line="360" w:lineRule="auto"/>
              <w:jc w:val="center"/>
              <w:rPr>
                <w:rFonts w:ascii="宋体" w:cs="宋体"/>
                <w:b/>
                <w:sz w:val="18"/>
                <w:szCs w:val="18"/>
              </w:rPr>
            </w:pPr>
            <w:r>
              <w:rPr>
                <w:rFonts w:hint="eastAsia" w:ascii="宋体" w:hAnsi="宋体" w:cs="宋体"/>
                <w:b/>
                <w:sz w:val="18"/>
                <w:szCs w:val="18"/>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restar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面部表情</w:t>
            </w: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放松、自然</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无肌肉紧张表现</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表情紧张</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皱眉、眉毛下垂、眼窝紧缩、轻微面肌收缩或其他表现（如操作中睁眼或流泪）</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痛苦的表情</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出现上述所有的面部运动，并伴有眼睛紧闭（可表现为张口或紧咬气管插管）</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扮怪相</w:t>
            </w: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restar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肢体活动</w:t>
            </w: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无活动或正常体位</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不动（并不代表不存在疼痛）</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无知体动</w:t>
            </w: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防卫动作</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缓慢谨慎的运动，触摸或摩擦疼痛部位，通过运动寻求关注</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保护性体动</w:t>
            </w: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烦躁不安</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拉拽导管，试图坐起，肢体乱动或翻滚，不听指令，攻击医务人员，试图爬离床</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restar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肌肉紧张度</w:t>
            </w: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放松</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对被动运动无抵抗</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紧张，僵硬</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对被动的运动有抵抗</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非常紧张或僵硬</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强烈抵抗，无法完成被动运动</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restar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机械通气的顺应性（气管插管患者）</w:t>
            </w: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耐受</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无报警，通气顺畅</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咳嗽但可耐受</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咳嗽，可触发报警但自动停止警报</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人机对抗</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不同步抵抗呼吸机，频繁引起报警。</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restar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或者发声（拔管后的患者）</w:t>
            </w: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说话音调正常或不发声</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说话语调正常或不发声</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叹息，呻吟</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叹息，呻吟</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叹息，呻吟</w:t>
            </w: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cs="宋体"/>
                <w:sz w:val="18"/>
                <w:szCs w:val="18"/>
              </w:rPr>
            </w:pPr>
          </w:p>
        </w:tc>
        <w:tc>
          <w:tcPr>
            <w:tcW w:w="1163"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喊叫，啜泣</w:t>
            </w:r>
          </w:p>
        </w:tc>
        <w:tc>
          <w:tcPr>
            <w:tcW w:w="20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喊叫，啜泣</w:t>
            </w:r>
          </w:p>
        </w:tc>
        <w:tc>
          <w:tcPr>
            <w:tcW w:w="734"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p>
        </w:tc>
        <w:tc>
          <w:tcPr>
            <w:tcW w:w="248" w:type="pct"/>
            <w:tcBorders>
              <w:top w:val="single" w:color="auto" w:sz="4" w:space="0"/>
              <w:left w:val="single" w:color="auto" w:sz="4" w:space="0"/>
              <w:bottom w:val="single" w:color="auto" w:sz="4" w:space="0"/>
              <w:right w:val="single" w:color="auto" w:sz="4" w:space="0"/>
            </w:tcBorders>
          </w:tcPr>
          <w:p>
            <w:pPr>
              <w:spacing w:line="300" w:lineRule="exact"/>
              <w:rPr>
                <w:rFonts w:ascii="宋体" w:hAnsi="宋体" w:cs="宋体"/>
                <w:sz w:val="18"/>
                <w:szCs w:val="18"/>
              </w:rPr>
            </w:pPr>
            <w:r>
              <w:rPr>
                <w:rFonts w:hint="eastAsia" w:ascii="宋体" w:hAnsi="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970" w:type="pct"/>
            <w:gridSpan w:val="2"/>
            <w:tcBorders>
              <w:top w:val="single" w:color="auto" w:sz="4" w:space="0"/>
              <w:left w:val="single" w:color="auto" w:sz="4" w:space="0"/>
              <w:bottom w:val="single" w:color="auto" w:sz="4" w:space="0"/>
              <w:right w:val="single" w:color="auto" w:sz="4" w:space="0"/>
            </w:tcBorders>
          </w:tcPr>
          <w:p>
            <w:pPr>
              <w:spacing w:line="360" w:lineRule="auto"/>
              <w:rPr>
                <w:rFonts w:ascii="宋体" w:cs="宋体"/>
              </w:rPr>
            </w:pPr>
            <w:r>
              <w:rPr>
                <w:rFonts w:hint="eastAsia" w:ascii="宋体" w:hAnsi="宋体" w:cs="宋体"/>
              </w:rPr>
              <w:t>总分范围0～8</w:t>
            </w:r>
          </w:p>
        </w:tc>
        <w:tc>
          <w:tcPr>
            <w:tcW w:w="3030" w:type="pct"/>
            <w:gridSpan w:val="3"/>
            <w:tcBorders>
              <w:top w:val="single" w:color="auto" w:sz="4" w:space="0"/>
              <w:left w:val="single" w:color="auto" w:sz="4" w:space="0"/>
              <w:bottom w:val="single" w:color="auto" w:sz="4" w:space="0"/>
              <w:right w:val="single" w:color="auto" w:sz="4" w:space="0"/>
            </w:tcBorders>
          </w:tcPr>
          <w:p>
            <w:pPr>
              <w:spacing w:line="360" w:lineRule="auto"/>
              <w:jc w:val="left"/>
              <w:rPr>
                <w:rFonts w:ascii="宋体" w:cs="宋体"/>
                <w:b/>
              </w:rPr>
            </w:pPr>
            <w:r>
              <w:rPr>
                <w:rFonts w:hint="eastAsia" w:ascii="宋体" w:hAnsi="宋体" w:cs="宋体"/>
              </w:rPr>
              <w:t xml:space="preserve">                                </w:t>
            </w:r>
            <w:r>
              <w:rPr>
                <w:rFonts w:hint="eastAsia" w:ascii="宋体" w:hAnsi="宋体" w:cs="宋体"/>
                <w:b/>
              </w:rPr>
              <w:t xml:space="preserve">总分：                         </w:t>
            </w:r>
          </w:p>
        </w:tc>
      </w:tr>
    </w:tbl>
    <w:p>
      <w:pPr>
        <w:pStyle w:val="57"/>
        <w:ind w:firstLine="420"/>
        <w:sectPr>
          <w:pgSz w:w="11906" w:h="16838"/>
          <w:pgMar w:top="1928" w:right="1134" w:bottom="1134" w:left="1134" w:header="1418" w:footer="1134" w:gutter="284"/>
          <w:cols w:space="425" w:num="1"/>
          <w:formProt w:val="0"/>
          <w:docGrid w:type="lines" w:linePitch="312" w:charSpace="0"/>
        </w:sectPr>
      </w:pPr>
    </w:p>
    <w:p>
      <w:pPr>
        <w:pStyle w:val="199"/>
      </w:pPr>
    </w:p>
    <w:p>
      <w:pPr>
        <w:pStyle w:val="200"/>
      </w:pPr>
    </w:p>
    <w:p>
      <w:pPr>
        <w:pStyle w:val="77"/>
        <w:spacing w:after="156"/>
      </w:pPr>
      <w:r>
        <w:br w:type="textWrapping"/>
      </w:r>
      <w:r>
        <w:rPr>
          <w:rFonts w:hint="eastAsia"/>
        </w:rPr>
        <w:t>（规范性）</w:t>
      </w:r>
      <w:r>
        <w:br w:type="textWrapping"/>
      </w:r>
      <w:r>
        <w:rPr>
          <w:rFonts w:hint="eastAsia"/>
        </w:rPr>
        <w:t>癌痛性质评估量表</w:t>
      </w:r>
    </w:p>
    <w:p>
      <w:pPr>
        <w:pStyle w:val="79"/>
        <w:spacing w:before="156" w:after="156"/>
      </w:pPr>
      <w:r>
        <w:rPr>
          <w:rFonts w:hint="eastAsia"/>
        </w:rPr>
        <w:t>神经病理性疼痛DN4问卷表见表B</w:t>
      </w:r>
      <w:r>
        <w:t>.1</w:t>
      </w:r>
    </w:p>
    <w:p>
      <w:pPr>
        <w:pStyle w:val="78"/>
        <w:spacing w:before="156" w:after="156"/>
        <w:jc w:val="left"/>
      </w:pPr>
      <w:r>
        <w:rPr>
          <w:rFonts w:hint="eastAsia"/>
        </w:rPr>
        <w:t>DN4问卷表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0"/>
        <w:gridCol w:w="492"/>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40" w:lineRule="exact"/>
              <w:rPr>
                <w:b/>
                <w:sz w:val="18"/>
                <w:szCs w:val="18"/>
              </w:rPr>
            </w:pPr>
            <w:r>
              <w:rPr>
                <w:bCs/>
                <w:sz w:val="18"/>
                <w:szCs w:val="18"/>
              </w:rPr>
              <w:t xml:space="preserve">1. </w:t>
            </w:r>
            <w:r>
              <w:rPr>
                <w:rFonts w:hint="eastAsia"/>
                <w:bCs/>
                <w:sz w:val="18"/>
                <w:szCs w:val="18"/>
              </w:rPr>
              <w:t>疼痛是否存在下述特点？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1</w:t>
            </w:r>
            <w:r>
              <w:rPr>
                <w:rFonts w:hint="eastAsia"/>
                <w:bCs/>
                <w:sz w:val="18"/>
                <w:szCs w:val="18"/>
              </w:rPr>
              <w:t>）烧灼痛</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2</w:t>
            </w:r>
            <w:r>
              <w:rPr>
                <w:rFonts w:hint="eastAsia"/>
                <w:bCs/>
                <w:sz w:val="18"/>
                <w:szCs w:val="18"/>
              </w:rPr>
              <w:t>）疼痛引发寒战</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3</w:t>
            </w:r>
            <w:r>
              <w:rPr>
                <w:rFonts w:hint="eastAsia"/>
                <w:bCs/>
                <w:sz w:val="18"/>
                <w:szCs w:val="18"/>
              </w:rPr>
              <w:t>）电击样</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rPr>
                <w:bCs/>
                <w:sz w:val="18"/>
                <w:szCs w:val="18"/>
              </w:rPr>
            </w:pPr>
            <w:r>
              <w:rPr>
                <w:bCs/>
                <w:sz w:val="18"/>
                <w:szCs w:val="18"/>
              </w:rPr>
              <w:t xml:space="preserve">2. </w:t>
            </w:r>
            <w:r>
              <w:rPr>
                <w:rFonts w:hint="eastAsia"/>
                <w:bCs/>
                <w:sz w:val="18"/>
                <w:szCs w:val="18"/>
              </w:rPr>
              <w:t>同一部位的疼痛是否有一种或多种下述情况</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1</w:t>
            </w:r>
            <w:r>
              <w:rPr>
                <w:rFonts w:hint="eastAsia"/>
                <w:bCs/>
                <w:sz w:val="18"/>
                <w:szCs w:val="18"/>
              </w:rPr>
              <w:t>）刺痛觉</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2</w:t>
            </w:r>
            <w:r>
              <w:rPr>
                <w:rFonts w:hint="eastAsia"/>
                <w:bCs/>
                <w:sz w:val="18"/>
                <w:szCs w:val="18"/>
              </w:rPr>
              <w:t>）针刺觉</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3</w:t>
            </w:r>
            <w:r>
              <w:rPr>
                <w:rFonts w:hint="eastAsia"/>
                <w:bCs/>
                <w:sz w:val="18"/>
                <w:szCs w:val="18"/>
              </w:rPr>
              <w:t>）麻木感</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4</w:t>
            </w:r>
            <w:r>
              <w:rPr>
                <w:rFonts w:hint="eastAsia"/>
                <w:bCs/>
                <w:sz w:val="18"/>
                <w:szCs w:val="18"/>
              </w:rPr>
              <w:t>）瘙痒感</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left="180" w:hanging="180" w:hangingChars="100"/>
              <w:rPr>
                <w:bCs/>
                <w:sz w:val="18"/>
                <w:szCs w:val="18"/>
              </w:rPr>
            </w:pPr>
            <w:r>
              <w:rPr>
                <w:bCs/>
                <w:sz w:val="18"/>
                <w:szCs w:val="18"/>
              </w:rPr>
              <w:t xml:space="preserve">3. </w:t>
            </w:r>
            <w:r>
              <w:rPr>
                <w:rFonts w:hint="eastAsia"/>
                <w:bCs/>
                <w:sz w:val="18"/>
                <w:szCs w:val="18"/>
              </w:rPr>
              <w:t>疼痛是否局限于一定的范围，并且在此范围体格检查能揭示</w:t>
            </w:r>
            <w:r>
              <w:rPr>
                <w:bCs/>
                <w:sz w:val="18"/>
                <w:szCs w:val="18"/>
              </w:rPr>
              <w:t>1</w:t>
            </w:r>
            <w:r>
              <w:rPr>
                <w:rFonts w:hint="eastAsia"/>
                <w:bCs/>
                <w:sz w:val="18"/>
                <w:szCs w:val="18"/>
              </w:rPr>
              <w:t>个或更多下述特征？</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1</w:t>
            </w:r>
            <w:r>
              <w:rPr>
                <w:rFonts w:hint="eastAsia"/>
                <w:bCs/>
                <w:sz w:val="18"/>
                <w:szCs w:val="18"/>
              </w:rPr>
              <w:t>）触觉减退</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90" w:firstLineChars="50"/>
              <w:rPr>
                <w:bCs/>
                <w:sz w:val="18"/>
                <w:szCs w:val="18"/>
              </w:rPr>
            </w:pPr>
            <w:r>
              <w:rPr>
                <w:rFonts w:hint="eastAsia"/>
                <w:bCs/>
                <w:sz w:val="18"/>
                <w:szCs w:val="18"/>
              </w:rPr>
              <w:t>（</w:t>
            </w:r>
            <w:r>
              <w:rPr>
                <w:bCs/>
                <w:sz w:val="18"/>
                <w:szCs w:val="18"/>
              </w:rPr>
              <w:t>2</w:t>
            </w:r>
            <w:r>
              <w:rPr>
                <w:rFonts w:hint="eastAsia"/>
                <w:bCs/>
                <w:sz w:val="18"/>
                <w:szCs w:val="18"/>
              </w:rPr>
              <w:t>）针刺触觉减退</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rPr>
                <w:bCs/>
                <w:sz w:val="18"/>
                <w:szCs w:val="18"/>
              </w:rPr>
            </w:pPr>
            <w:r>
              <w:rPr>
                <w:bCs/>
                <w:sz w:val="18"/>
                <w:szCs w:val="18"/>
              </w:rPr>
              <w:t xml:space="preserve">4. </w:t>
            </w:r>
            <w:r>
              <w:rPr>
                <w:rFonts w:hint="eastAsia"/>
                <w:bCs/>
                <w:sz w:val="18"/>
                <w:szCs w:val="18"/>
              </w:rPr>
              <w:t>在疼痛区域，下述因素能引起疼痛或疼痛增强？</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88" w:type="pct"/>
            <w:tcBorders>
              <w:top w:val="single" w:color="auto" w:sz="4" w:space="0"/>
              <w:left w:val="single" w:color="auto" w:sz="4" w:space="0"/>
              <w:bottom w:val="single" w:color="auto" w:sz="4" w:space="0"/>
              <w:right w:val="single" w:color="auto" w:sz="4" w:space="0"/>
            </w:tcBorders>
            <w:vAlign w:val="center"/>
          </w:tcPr>
          <w:p>
            <w:pPr>
              <w:spacing w:line="240" w:lineRule="exact"/>
              <w:ind w:firstLine="180" w:firstLineChars="100"/>
              <w:rPr>
                <w:bCs/>
                <w:sz w:val="18"/>
                <w:szCs w:val="18"/>
              </w:rPr>
            </w:pPr>
            <w:r>
              <w:rPr>
                <w:rFonts w:hint="eastAsia"/>
                <w:bCs/>
                <w:sz w:val="18"/>
                <w:szCs w:val="18"/>
              </w:rPr>
              <w:t>摩擦</w:t>
            </w:r>
          </w:p>
        </w:tc>
        <w:tc>
          <w:tcPr>
            <w:tcW w:w="257"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是</w:t>
            </w:r>
          </w:p>
        </w:tc>
        <w:tc>
          <w:tcPr>
            <w:tcW w:w="25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bCs/>
                <w:sz w:val="18"/>
                <w:szCs w:val="18"/>
              </w:rPr>
            </w:pPr>
            <w:r>
              <w:rPr>
                <w:rFonts w:hint="eastAsia"/>
                <w:bCs/>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40" w:lineRule="exact"/>
              <w:rPr>
                <w:bCs/>
                <w:sz w:val="18"/>
                <w:szCs w:val="18"/>
              </w:rPr>
            </w:pPr>
            <w:r>
              <w:rPr>
                <w:rFonts w:hint="eastAsia"/>
                <w:bCs/>
                <w:sz w:val="18"/>
                <w:szCs w:val="18"/>
              </w:rPr>
              <w:t>评分标准：选“是”计</w:t>
            </w:r>
            <w:r>
              <w:rPr>
                <w:bCs/>
                <w:sz w:val="18"/>
                <w:szCs w:val="18"/>
              </w:rPr>
              <w:t>1</w:t>
            </w:r>
            <w:r>
              <w:rPr>
                <w:rFonts w:hint="eastAsia"/>
                <w:bCs/>
                <w:sz w:val="18"/>
                <w:szCs w:val="18"/>
              </w:rPr>
              <w:t>分，选“否”计</w:t>
            </w:r>
            <w:r>
              <w:rPr>
                <w:bCs/>
                <w:sz w:val="18"/>
                <w:szCs w:val="18"/>
              </w:rPr>
              <w:t>0</w:t>
            </w:r>
            <w:r>
              <w:rPr>
                <w:rFonts w:hint="eastAsia"/>
                <w:bCs/>
                <w:sz w:val="18"/>
                <w:szCs w:val="18"/>
              </w:rPr>
              <w:t>分；</w:t>
            </w:r>
          </w:p>
          <w:p>
            <w:pPr>
              <w:spacing w:line="240" w:lineRule="exact"/>
              <w:ind w:firstLine="900" w:firstLineChars="500"/>
              <w:rPr>
                <w:bCs/>
                <w:sz w:val="18"/>
                <w:szCs w:val="18"/>
              </w:rPr>
            </w:pPr>
            <w:r>
              <w:rPr>
                <w:rFonts w:hint="eastAsia"/>
                <w:bCs/>
                <w:sz w:val="18"/>
                <w:szCs w:val="18"/>
              </w:rPr>
              <w:t>分值≥</w:t>
            </w:r>
            <w:r>
              <w:rPr>
                <w:bCs/>
                <w:sz w:val="18"/>
                <w:szCs w:val="18"/>
              </w:rPr>
              <w:t>4</w:t>
            </w:r>
            <w:r>
              <w:rPr>
                <w:rFonts w:hint="eastAsia"/>
                <w:bCs/>
                <w:sz w:val="18"/>
                <w:szCs w:val="18"/>
              </w:rPr>
              <w:t>分，考虑为神经病理性疼痛；分值≤</w:t>
            </w:r>
            <w:r>
              <w:rPr>
                <w:bCs/>
                <w:sz w:val="18"/>
                <w:szCs w:val="18"/>
              </w:rPr>
              <w:t>4</w:t>
            </w:r>
            <w:r>
              <w:rPr>
                <w:rFonts w:hint="eastAsia"/>
                <w:bCs/>
                <w:sz w:val="18"/>
                <w:szCs w:val="18"/>
              </w:rPr>
              <w:t>分，不考虑是神经病理性疼痛</w:t>
            </w:r>
          </w:p>
        </w:tc>
      </w:tr>
    </w:tbl>
    <w:p>
      <w:pPr>
        <w:pStyle w:val="57"/>
        <w:ind w:firstLine="420"/>
      </w:pPr>
    </w:p>
    <w:p>
      <w:pPr>
        <w:pStyle w:val="79"/>
        <w:spacing w:before="156" w:after="156"/>
      </w:pPr>
      <w:r>
        <w:rPr>
          <w:rFonts w:hint="eastAsia"/>
        </w:rPr>
        <w:t>神经病理性疼痛筛查量表：ID Pain量表见表B</w:t>
      </w:r>
      <w:r>
        <w:t>.2</w:t>
      </w:r>
    </w:p>
    <w:p>
      <w:pPr>
        <w:pStyle w:val="78"/>
        <w:spacing w:before="156" w:after="156"/>
        <w:jc w:val="left"/>
      </w:pPr>
      <w:r>
        <w:rPr>
          <w:rFonts w:hint="eastAsia"/>
        </w:rPr>
        <w:t>ID Pain量表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7"/>
        <w:gridCol w:w="1091"/>
        <w:gridCol w:w="1179"/>
        <w:gridCol w:w="1227"/>
        <w:gridCol w:w="1338"/>
        <w:gridCol w:w="557"/>
        <w:gridCol w:w="781"/>
        <w:gridCol w:w="892"/>
        <w:gridCol w:w="335"/>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trPr>
        <w:tc>
          <w:tcPr>
            <w:tcW w:w="3270" w:type="pct"/>
            <w:gridSpan w:val="6"/>
            <w:vMerge w:val="restar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
                <w:bCs/>
                <w:kern w:val="0"/>
                <w:sz w:val="18"/>
                <w:szCs w:val="18"/>
              </w:rPr>
            </w:pPr>
            <w:r>
              <w:rPr>
                <w:rFonts w:hint="eastAsia"/>
                <w:b/>
                <w:bCs/>
                <w:kern w:val="0"/>
                <w:sz w:val="18"/>
                <w:szCs w:val="18"/>
              </w:rPr>
              <w:t>自测题</w:t>
            </w:r>
          </w:p>
        </w:tc>
        <w:tc>
          <w:tcPr>
            <w:tcW w:w="1730" w:type="pct"/>
            <w:gridSpan w:val="4"/>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ind w:firstLine="1070" w:firstLineChars="592"/>
              <w:rPr>
                <w:b/>
                <w:bCs/>
                <w:kern w:val="0"/>
                <w:sz w:val="18"/>
                <w:szCs w:val="18"/>
              </w:rPr>
            </w:pPr>
            <w:r>
              <w:rPr>
                <w:rFonts w:hint="eastAsia"/>
                <w:b/>
                <w:bCs/>
                <w:kern w:val="0"/>
                <w:sz w:val="18"/>
                <w:szCs w:val="18"/>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3270" w:type="pct"/>
            <w:gridSpan w:val="6"/>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b/>
                <w:bCs/>
                <w:kern w:val="0"/>
                <w:sz w:val="18"/>
                <w:szCs w:val="18"/>
              </w:rPr>
            </w:pP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b/>
                <w:bCs/>
                <w:kern w:val="0"/>
                <w:sz w:val="18"/>
                <w:szCs w:val="18"/>
              </w:rPr>
            </w:pPr>
            <w:r>
              <w:rPr>
                <w:rFonts w:hint="eastAsia"/>
                <w:b/>
                <w:bCs/>
                <w:kern w:val="0"/>
                <w:sz w:val="18"/>
                <w:szCs w:val="18"/>
              </w:rPr>
              <w:t>是</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b/>
                <w:bCs/>
                <w:kern w:val="0"/>
                <w:sz w:val="18"/>
                <w:szCs w:val="18"/>
              </w:rPr>
            </w:pPr>
            <w:r>
              <w:rPr>
                <w:rFonts w:hint="eastAsia"/>
                <w:b/>
                <w:bCs/>
                <w:kern w:val="0"/>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Cs/>
                <w:kern w:val="0"/>
                <w:sz w:val="18"/>
                <w:szCs w:val="18"/>
              </w:rPr>
            </w:pPr>
            <w:r>
              <w:rPr>
                <w:rFonts w:hint="eastAsia"/>
                <w:bCs/>
                <w:kern w:val="0"/>
                <w:sz w:val="18"/>
                <w:szCs w:val="18"/>
              </w:rPr>
              <w:t>您是否出现针刺般疼痛？</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您是否出现烧灼样疼痛？</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您是否出现麻木感？</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您是否出现触电般疼痛？</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您的疼痛是否会因为衣服或床单的触碰而加剧？</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您的疼痛是否只出现在关节部位？</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3270" w:type="pct"/>
            <w:gridSpan w:val="6"/>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rFonts w:ascii="Times New Roman" w:hAnsi="Times New Roman"/>
                <w:bCs/>
                <w:kern w:val="0"/>
                <w:sz w:val="18"/>
                <w:szCs w:val="18"/>
              </w:rPr>
            </w:pPr>
            <w:r>
              <w:rPr>
                <w:rFonts w:hint="eastAsia"/>
                <w:bCs/>
                <w:kern w:val="0"/>
                <w:sz w:val="18"/>
                <w:szCs w:val="18"/>
              </w:rPr>
              <w:t>总分：最高分</w:t>
            </w:r>
            <w:r>
              <w:rPr>
                <w:bCs/>
                <w:kern w:val="0"/>
                <w:sz w:val="18"/>
                <w:szCs w:val="18"/>
              </w:rPr>
              <w:t>=5</w:t>
            </w:r>
            <w:r>
              <w:rPr>
                <w:rFonts w:hint="eastAsia"/>
                <w:bCs/>
                <w:kern w:val="0"/>
                <w:sz w:val="18"/>
                <w:szCs w:val="18"/>
              </w:rPr>
              <w:t>分</w:t>
            </w:r>
            <w:r>
              <w:rPr>
                <w:bCs/>
                <w:kern w:val="0"/>
                <w:sz w:val="18"/>
                <w:szCs w:val="18"/>
              </w:rPr>
              <w:t xml:space="preserve">   </w:t>
            </w:r>
            <w:r>
              <w:rPr>
                <w:rFonts w:hint="eastAsia"/>
                <w:bCs/>
                <w:kern w:val="0"/>
                <w:sz w:val="18"/>
                <w:szCs w:val="18"/>
              </w:rPr>
              <w:t>最低分</w:t>
            </w:r>
            <w:r>
              <w:rPr>
                <w:bCs/>
                <w:kern w:val="0"/>
                <w:sz w:val="18"/>
                <w:szCs w:val="18"/>
              </w:rPr>
              <w:t>= -1</w:t>
            </w:r>
            <w:r>
              <w:rPr>
                <w:rFonts w:hint="eastAsia"/>
                <w:bCs/>
                <w:kern w:val="0"/>
                <w:sz w:val="18"/>
                <w:szCs w:val="18"/>
              </w:rPr>
              <w:t>分</w:t>
            </w:r>
          </w:p>
        </w:tc>
        <w:tc>
          <w:tcPr>
            <w:tcW w:w="874"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bCs/>
                <w:kern w:val="0"/>
                <w:sz w:val="18"/>
                <w:szCs w:val="18"/>
              </w:rPr>
            </w:pPr>
          </w:p>
        </w:tc>
        <w:tc>
          <w:tcPr>
            <w:tcW w:w="857"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atLeast"/>
        </w:trPr>
        <w:tc>
          <w:tcPr>
            <w:tcW w:w="5000" w:type="pct"/>
            <w:gridSpan w:val="10"/>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
                <w:bCs/>
                <w:kern w:val="0"/>
                <w:sz w:val="18"/>
                <w:szCs w:val="18"/>
              </w:rPr>
            </w:pPr>
            <w:r>
              <w:rPr>
                <w:rFonts w:hint="eastAsia"/>
                <w:b/>
                <w:bCs/>
                <w:kern w:val="0"/>
                <w:sz w:val="18"/>
                <w:szCs w:val="18"/>
              </w:rPr>
              <w:t>结果分析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453"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b/>
                <w:bCs/>
                <w:kern w:val="0"/>
                <w:sz w:val="18"/>
                <w:szCs w:val="18"/>
              </w:rPr>
            </w:pPr>
            <w:r>
              <w:rPr>
                <w:rFonts w:hint="eastAsia"/>
                <w:b/>
                <w:bCs/>
                <w:kern w:val="0"/>
                <w:sz w:val="18"/>
                <w:szCs w:val="18"/>
              </w:rPr>
              <w:t>总分</w:t>
            </w:r>
          </w:p>
        </w:tc>
        <w:tc>
          <w:tcPr>
            <w:tcW w:w="570"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616"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0</w:t>
            </w:r>
          </w:p>
        </w:tc>
        <w:tc>
          <w:tcPr>
            <w:tcW w:w="641"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1</w:t>
            </w:r>
          </w:p>
        </w:tc>
        <w:tc>
          <w:tcPr>
            <w:tcW w:w="699"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2</w:t>
            </w:r>
          </w:p>
        </w:tc>
        <w:tc>
          <w:tcPr>
            <w:tcW w:w="699"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3</w:t>
            </w:r>
          </w:p>
        </w:tc>
        <w:tc>
          <w:tcPr>
            <w:tcW w:w="641"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4</w:t>
            </w:r>
          </w:p>
        </w:tc>
        <w:tc>
          <w:tcPr>
            <w:tcW w:w="682"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宋体" w:hAnsi="宋体"/>
                <w:bCs/>
                <w:kern w:val="0"/>
                <w:sz w:val="18"/>
                <w:szCs w:val="18"/>
              </w:rPr>
            </w:pPr>
            <w:r>
              <w:rPr>
                <w:rFonts w:hint="eastAsia" w:ascii="宋体" w:hAnsi="宋体"/>
                <w:bC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86" w:hRule="atLeast"/>
        </w:trPr>
        <w:tc>
          <w:tcPr>
            <w:tcW w:w="453"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jc w:val="center"/>
              <w:rPr>
                <w:rFonts w:ascii="Times New Roman" w:hAnsi="Times New Roman"/>
                <w:bCs/>
                <w:kern w:val="0"/>
                <w:sz w:val="18"/>
                <w:szCs w:val="18"/>
              </w:rPr>
            </w:pPr>
            <w:r>
              <w:rPr>
                <w:rFonts w:hint="eastAsia"/>
                <w:bCs/>
                <w:kern w:val="0"/>
                <w:sz w:val="18"/>
                <w:szCs w:val="18"/>
              </w:rPr>
              <w:t>分析</w:t>
            </w:r>
          </w:p>
        </w:tc>
        <w:tc>
          <w:tcPr>
            <w:tcW w:w="1186" w:type="pct"/>
            <w:gridSpan w:val="2"/>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Cs/>
                <w:kern w:val="0"/>
                <w:sz w:val="18"/>
                <w:szCs w:val="18"/>
              </w:rPr>
            </w:pPr>
            <w:r>
              <w:rPr>
                <w:rFonts w:hint="eastAsia"/>
                <w:bCs/>
                <w:kern w:val="0"/>
                <w:sz w:val="18"/>
                <w:szCs w:val="18"/>
              </w:rPr>
              <w:t>基本排除</w:t>
            </w:r>
          </w:p>
          <w:p>
            <w:pPr>
              <w:autoSpaceDE w:val="0"/>
              <w:autoSpaceDN w:val="0"/>
              <w:spacing w:line="240" w:lineRule="exact"/>
              <w:rPr>
                <w:bCs/>
                <w:kern w:val="0"/>
                <w:sz w:val="18"/>
                <w:szCs w:val="18"/>
              </w:rPr>
            </w:pPr>
            <w:r>
              <w:rPr>
                <w:rFonts w:hint="eastAsia"/>
                <w:bCs/>
                <w:kern w:val="0"/>
                <w:sz w:val="18"/>
                <w:szCs w:val="18"/>
              </w:rPr>
              <w:t>神经病理性疼痛</w:t>
            </w:r>
          </w:p>
        </w:tc>
        <w:tc>
          <w:tcPr>
            <w:tcW w:w="641" w:type="pct"/>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Cs/>
                <w:kern w:val="0"/>
                <w:sz w:val="18"/>
                <w:szCs w:val="18"/>
              </w:rPr>
            </w:pPr>
            <w:r>
              <w:rPr>
                <w:rFonts w:hint="eastAsia"/>
                <w:bCs/>
                <w:kern w:val="0"/>
                <w:sz w:val="18"/>
                <w:szCs w:val="18"/>
              </w:rPr>
              <w:t>不完全排除神经病理性疼痛</w:t>
            </w:r>
          </w:p>
        </w:tc>
        <w:tc>
          <w:tcPr>
            <w:tcW w:w="1398" w:type="pct"/>
            <w:gridSpan w:val="3"/>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Cs/>
                <w:kern w:val="0"/>
                <w:sz w:val="18"/>
                <w:szCs w:val="18"/>
              </w:rPr>
            </w:pPr>
            <w:r>
              <w:rPr>
                <w:rFonts w:hint="eastAsia"/>
                <w:bCs/>
                <w:kern w:val="0"/>
                <w:sz w:val="18"/>
                <w:szCs w:val="18"/>
              </w:rPr>
              <w:t>考虑患神经病理性疼痛</w:t>
            </w:r>
          </w:p>
        </w:tc>
        <w:tc>
          <w:tcPr>
            <w:tcW w:w="1323" w:type="pct"/>
            <w:gridSpan w:val="3"/>
            <w:tcBorders>
              <w:top w:val="single" w:color="auto" w:sz="4" w:space="0"/>
              <w:left w:val="single" w:color="auto" w:sz="4" w:space="0"/>
              <w:bottom w:val="single" w:color="auto" w:sz="4" w:space="0"/>
              <w:right w:val="single" w:color="auto" w:sz="4" w:space="0"/>
            </w:tcBorders>
            <w:tcMar>
              <w:top w:w="15" w:type="dxa"/>
              <w:left w:w="108" w:type="dxa"/>
              <w:bottom w:w="0" w:type="dxa"/>
              <w:right w:w="108" w:type="dxa"/>
            </w:tcMar>
            <w:vAlign w:val="center"/>
          </w:tcPr>
          <w:p>
            <w:pPr>
              <w:autoSpaceDE w:val="0"/>
              <w:autoSpaceDN w:val="0"/>
              <w:spacing w:line="240" w:lineRule="exact"/>
              <w:rPr>
                <w:bCs/>
                <w:kern w:val="0"/>
                <w:sz w:val="18"/>
                <w:szCs w:val="18"/>
              </w:rPr>
            </w:pPr>
            <w:r>
              <w:rPr>
                <w:rFonts w:hint="eastAsia"/>
                <w:bCs/>
                <w:kern w:val="0"/>
                <w:sz w:val="18"/>
                <w:szCs w:val="18"/>
              </w:rPr>
              <w:t>高度考虑患神经病理性疼痛</w:t>
            </w:r>
          </w:p>
        </w:tc>
      </w:tr>
    </w:tbl>
    <w:p>
      <w:pPr>
        <w:pStyle w:val="57"/>
        <w:ind w:firstLine="420"/>
      </w:pPr>
    </w:p>
    <w:p>
      <w:pPr>
        <w:pStyle w:val="57"/>
        <w:ind w:firstLine="420"/>
      </w:pPr>
    </w:p>
    <w:p>
      <w:pPr>
        <w:pStyle w:val="57"/>
        <w:ind w:firstLine="420"/>
        <w:sectPr>
          <w:pgSz w:w="11906" w:h="16838"/>
          <w:pgMar w:top="1928" w:right="1134" w:bottom="1134" w:left="1134" w:header="1418" w:footer="1134" w:gutter="284"/>
          <w:cols w:space="425" w:num="1"/>
          <w:formProt w:val="0"/>
          <w:docGrid w:type="lines" w:linePitch="312" w:charSpace="0"/>
        </w:sectPr>
      </w:pPr>
    </w:p>
    <w:p>
      <w:pPr>
        <w:pStyle w:val="199"/>
      </w:pPr>
    </w:p>
    <w:p>
      <w:pPr>
        <w:pStyle w:val="200"/>
      </w:pPr>
    </w:p>
    <w:p>
      <w:pPr>
        <w:pStyle w:val="77"/>
        <w:spacing w:after="156"/>
      </w:pPr>
      <w:r>
        <w:br w:type="textWrapping"/>
      </w:r>
      <w:r>
        <w:rPr>
          <w:rFonts w:hint="eastAsia"/>
        </w:rPr>
        <w:t>（规范性）</w:t>
      </w:r>
      <w:r>
        <w:br w:type="textWrapping"/>
      </w:r>
      <w:r>
        <w:rPr>
          <w:rFonts w:hint="eastAsia"/>
        </w:rPr>
        <w:t>癌痛全面评估量表</w:t>
      </w:r>
    </w:p>
    <w:p>
      <w:pPr>
        <w:pStyle w:val="212"/>
        <w:numPr>
          <w:ilvl w:val="0"/>
          <w:numId w:val="0"/>
        </w:numPr>
      </w:pPr>
      <w:r>
        <w:rPr>
          <w:rFonts w:hint="eastAsia"/>
        </w:rPr>
        <w:t>简明疼痛评估量表（BPI）见表C</w:t>
      </w:r>
      <w:r>
        <w:t>.1</w:t>
      </w:r>
    </w:p>
    <w:p>
      <w:pPr>
        <w:pStyle w:val="78"/>
        <w:spacing w:before="156" w:after="156"/>
        <w:jc w:val="left"/>
      </w:pPr>
      <w:r>
        <w:rPr>
          <w:rFonts w:hint="eastAsia"/>
        </w:rPr>
        <w:t>简明疼痛评估量表（BPI）</w:t>
      </w:r>
    </w:p>
    <w:p>
      <w:pPr>
        <w:snapToGrid w:val="0"/>
        <w:spacing w:line="360" w:lineRule="auto"/>
        <w:ind w:firstLine="420" w:firstLineChars="200"/>
        <w:rPr>
          <w:rFonts w:ascii="Times New Roman" w:hAnsi="Times New Roman"/>
        </w:rPr>
      </w:pPr>
      <w:r>
        <w:rPr>
          <w:rFonts w:ascii="Times New Roman" w:hAnsi="Times New Roman"/>
        </w:rPr>
        <w:t>患者姓名：</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病案号：</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诊断：</w:t>
      </w:r>
      <w:r>
        <w:rPr>
          <w:rFonts w:hint="eastAsia" w:ascii="Times New Roman" w:hAnsi="Times New Roman"/>
          <w:u w:val="single"/>
        </w:rPr>
        <w:t xml:space="preserve"> </w:t>
      </w:r>
      <w:r>
        <w:rPr>
          <w:rFonts w:ascii="Times New Roman" w:hAnsi="Times New Roman"/>
          <w:u w:val="single"/>
        </w:rPr>
        <w:t xml:space="preserve">    </w:t>
      </w:r>
    </w:p>
    <w:p>
      <w:pPr>
        <w:snapToGrid w:val="0"/>
        <w:spacing w:line="360" w:lineRule="auto"/>
        <w:ind w:firstLine="420" w:firstLineChars="200"/>
        <w:rPr>
          <w:rFonts w:ascii="Times New Roman" w:hAnsi="Times New Roman"/>
        </w:rPr>
      </w:pPr>
      <w:r>
        <w:rPr>
          <w:rFonts w:ascii="Times New Roman" w:hAnsi="Times New Roman"/>
        </w:rPr>
        <w:t>评估时间：</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评估医师：</w:t>
      </w:r>
      <w:r>
        <w:rPr>
          <w:rFonts w:hint="eastAsia" w:ascii="Times New Roman" w:hAnsi="Times New Roman"/>
          <w:u w:val="single"/>
        </w:rPr>
        <w:t xml:space="preserve"> </w:t>
      </w:r>
      <w:r>
        <w:rPr>
          <w:rFonts w:ascii="Times New Roman" w:hAnsi="Times New Roman"/>
          <w:u w:val="single"/>
        </w:rPr>
        <w:t xml:space="preserve">         </w:t>
      </w:r>
    </w:p>
    <w:p>
      <w:pPr>
        <w:snapToGrid w:val="0"/>
        <w:spacing w:line="360" w:lineRule="auto"/>
        <w:ind w:firstLine="420" w:firstLineChars="200"/>
        <w:rPr>
          <w:rFonts w:ascii="Times New Roman" w:hAnsi="Times New Roman"/>
        </w:rPr>
      </w:pPr>
    </w:p>
    <w:p>
      <w:pPr>
        <w:snapToGrid w:val="0"/>
        <w:spacing w:line="360" w:lineRule="auto"/>
        <w:ind w:firstLine="420" w:firstLineChars="200"/>
        <w:rPr>
          <w:rFonts w:ascii="Times New Roman" w:hAnsi="Times New Roman"/>
        </w:rPr>
      </w:pPr>
      <w:r>
        <w:rPr>
          <w:rFonts w:ascii="Times New Roman" w:hAnsi="Times New Roman"/>
        </w:rPr>
        <w:t>1、多数人一生中均有过的疼痛经历（如轻微头痛、扭伤后痛、牙痛）。</w:t>
      </w:r>
    </w:p>
    <w:p>
      <w:pPr>
        <w:snapToGrid w:val="0"/>
        <w:spacing w:line="360" w:lineRule="auto"/>
        <w:ind w:firstLine="735" w:firstLineChars="350"/>
        <w:rPr>
          <w:rFonts w:ascii="Times New Roman" w:hAnsi="Times New Roman"/>
        </w:rPr>
      </w:pPr>
      <w:r>
        <w:rPr>
          <w:rFonts w:ascii="Times New Roman" w:hAnsi="Times New Roman"/>
        </w:rPr>
        <w:t xml:space="preserve">除上述常见的疼痛外，现在您是否还感到有其他类型的疼痛？ </w:t>
      </w:r>
    </w:p>
    <w:p>
      <w:pPr>
        <w:snapToGrid w:val="0"/>
        <w:spacing w:line="360" w:lineRule="auto"/>
        <w:ind w:firstLine="630" w:firstLineChars="300"/>
        <w:rPr>
          <w:rFonts w:ascii="Times New Roman" w:hAnsi="Times New Roman"/>
        </w:rPr>
      </w:pPr>
      <w:r>
        <w:rPr>
          <w:rFonts w:ascii="Times New Roman" w:hAnsi="Times New Roman"/>
        </w:rPr>
        <w:t>（1）是</w:t>
      </w:r>
      <w:r>
        <w:rPr>
          <w:rFonts w:hint="eastAsia" w:ascii="Times New Roman" w:hAnsi="Times New Roman"/>
        </w:rPr>
        <w:t xml:space="preserve"> </w:t>
      </w:r>
      <w:r>
        <w:rPr>
          <w:rFonts w:ascii="Times New Roman" w:hAnsi="Times New Roman"/>
        </w:rPr>
        <w:t xml:space="preserve">  （2）否</w:t>
      </w:r>
    </w:p>
    <w:p>
      <w:pPr>
        <w:snapToGrid w:val="0"/>
        <w:spacing w:line="360" w:lineRule="auto"/>
        <w:ind w:firstLine="420" w:firstLineChars="200"/>
        <w:rPr>
          <w:rFonts w:ascii="Times New Roman" w:hAnsi="Times New Roman"/>
        </w:rPr>
      </w:pPr>
      <w:r>
        <w:rPr>
          <w:rFonts w:ascii="Times New Roman" w:hAnsi="Times New Roman"/>
        </w:rPr>
        <w:t>2、请您在下图中标出您的疼痛部位，并在疼痛最剧烈的部位以“Ｘ”标出。</w:t>
      </w:r>
    </w:p>
    <w:tbl>
      <w:tblPr>
        <w:tblStyle w:val="27"/>
        <w:tblW w:w="0" w:type="auto"/>
        <w:tblInd w:w="-108" w:type="dxa"/>
        <w:tblLayout w:type="fixed"/>
        <w:tblCellMar>
          <w:top w:w="0" w:type="dxa"/>
          <w:left w:w="108" w:type="dxa"/>
          <w:bottom w:w="0" w:type="dxa"/>
          <w:right w:w="108" w:type="dxa"/>
        </w:tblCellMar>
      </w:tblPr>
      <w:tblGrid>
        <w:gridCol w:w="2321"/>
        <w:gridCol w:w="3880"/>
        <w:gridCol w:w="2321"/>
      </w:tblGrid>
      <w:tr>
        <w:tblPrEx>
          <w:tblCellMar>
            <w:top w:w="0" w:type="dxa"/>
            <w:left w:w="108" w:type="dxa"/>
            <w:bottom w:w="0" w:type="dxa"/>
            <w:right w:w="108" w:type="dxa"/>
          </w:tblCellMar>
        </w:tblPrEx>
        <w:tc>
          <w:tcPr>
            <w:tcW w:w="2321" w:type="dxa"/>
          </w:tcPr>
          <w:p>
            <w:pPr>
              <w:snapToGrid w:val="0"/>
              <w:spacing w:line="360" w:lineRule="auto"/>
              <w:rPr>
                <w:rFonts w:ascii="Times New Roman" w:hAnsi="Times New Roman"/>
              </w:rPr>
            </w:pPr>
          </w:p>
        </w:tc>
        <w:tc>
          <w:tcPr>
            <w:tcW w:w="3880" w:type="dxa"/>
          </w:tcPr>
          <w:p>
            <w:pPr>
              <w:snapToGrid w:val="0"/>
              <w:spacing w:line="360" w:lineRule="auto"/>
              <w:rPr>
                <w:rFonts w:ascii="Times New Roman" w:hAnsi="Times New Roman"/>
              </w:rPr>
            </w:pPr>
            <w:r>
              <w:rPr>
                <w:rFonts w:ascii="Times New Roman" w:hAnsi="Times New Roman"/>
              </w:rPr>
              <w:drawing>
                <wp:inline distT="0" distB="0" distL="0" distR="0">
                  <wp:extent cx="2286000" cy="2276475"/>
                  <wp:effectExtent l="0" t="0" r="0" b="9525"/>
                  <wp:docPr id="4" name="图片 4" descr="说明: 疼痛部位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疼痛部位图示"/>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286000" cy="2276475"/>
                          </a:xfrm>
                          <a:prstGeom prst="rect">
                            <a:avLst/>
                          </a:prstGeom>
                          <a:noFill/>
                          <a:ln>
                            <a:noFill/>
                          </a:ln>
                        </pic:spPr>
                      </pic:pic>
                    </a:graphicData>
                  </a:graphic>
                </wp:inline>
              </w:drawing>
            </w:r>
          </w:p>
        </w:tc>
        <w:tc>
          <w:tcPr>
            <w:tcW w:w="2321" w:type="dxa"/>
          </w:tcPr>
          <w:p>
            <w:pPr>
              <w:snapToGrid w:val="0"/>
              <w:spacing w:line="360" w:lineRule="auto"/>
              <w:rPr>
                <w:rFonts w:ascii="Times New Roman" w:hAnsi="Times New Roman"/>
              </w:rPr>
            </w:pPr>
          </w:p>
        </w:tc>
      </w:tr>
    </w:tbl>
    <w:p>
      <w:pPr>
        <w:snapToGrid w:val="0"/>
        <w:spacing w:line="360" w:lineRule="auto"/>
        <w:ind w:firstLine="420" w:firstLineChars="200"/>
        <w:rPr>
          <w:rFonts w:ascii="Times New Roman" w:hAnsi="Times New Roman"/>
        </w:rPr>
      </w:pPr>
      <w:r>
        <w:rPr>
          <w:rFonts w:ascii="Times New Roman" w:hAnsi="Times New Roman"/>
        </w:rPr>
        <w:t>3、请选择下面的1个数字，以表示过去24 h内您疼痛最剧烈的程度。</w:t>
      </w:r>
    </w:p>
    <w:p>
      <w:pPr>
        <w:snapToGrid w:val="0"/>
        <w:spacing w:line="360" w:lineRule="auto"/>
        <w:ind w:firstLine="630" w:firstLineChars="300"/>
        <w:rPr>
          <w:rFonts w:ascii="Times New Roman" w:hAnsi="Times New Roman"/>
        </w:rPr>
      </w:pPr>
      <w:r>
        <w:rPr>
          <w:rFonts w:ascii="Times New Roman" w:hAnsi="Times New Roman"/>
        </w:rPr>
        <w:t>（不痛）</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0（最剧烈）</w:t>
      </w:r>
    </w:p>
    <w:p>
      <w:pPr>
        <w:snapToGrid w:val="0"/>
        <w:spacing w:line="360" w:lineRule="auto"/>
        <w:ind w:firstLine="420" w:firstLineChars="200"/>
        <w:rPr>
          <w:rFonts w:ascii="Times New Roman" w:hAnsi="Times New Roman"/>
        </w:rPr>
      </w:pPr>
      <w:r>
        <w:rPr>
          <w:rFonts w:ascii="Times New Roman" w:hAnsi="Times New Roman"/>
        </w:rPr>
        <w:t>4、请选择下面的1个数字，以表示过去24 h内您疼痛最轻微的程度。</w:t>
      </w:r>
    </w:p>
    <w:p>
      <w:pPr>
        <w:snapToGrid w:val="0"/>
        <w:spacing w:line="360" w:lineRule="auto"/>
        <w:ind w:firstLine="630" w:firstLineChars="300"/>
        <w:rPr>
          <w:rFonts w:ascii="Times New Roman" w:hAnsi="Times New Roman"/>
        </w:rPr>
      </w:pPr>
      <w:r>
        <w:rPr>
          <w:rFonts w:ascii="Times New Roman" w:hAnsi="Times New Roman"/>
        </w:rPr>
        <w:t>（不痛）</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0（最剧烈）</w:t>
      </w:r>
    </w:p>
    <w:p>
      <w:pPr>
        <w:snapToGrid w:val="0"/>
        <w:spacing w:line="360" w:lineRule="auto"/>
        <w:ind w:firstLine="420" w:firstLineChars="200"/>
        <w:rPr>
          <w:rFonts w:ascii="Times New Roman" w:hAnsi="Times New Roman"/>
        </w:rPr>
      </w:pPr>
      <w:r>
        <w:rPr>
          <w:rFonts w:ascii="Times New Roman" w:hAnsi="Times New Roman"/>
        </w:rPr>
        <w:t>5、请选择下面的1个数字，以表示过去24 h内您疼痛的平均程度。</w:t>
      </w:r>
    </w:p>
    <w:p>
      <w:pPr>
        <w:snapToGrid w:val="0"/>
        <w:spacing w:line="360" w:lineRule="auto"/>
        <w:ind w:firstLine="630" w:firstLineChars="300"/>
        <w:rPr>
          <w:rFonts w:ascii="Times New Roman" w:hAnsi="Times New Roman"/>
        </w:rPr>
      </w:pPr>
      <w:r>
        <w:rPr>
          <w:rFonts w:ascii="Times New Roman" w:hAnsi="Times New Roman"/>
        </w:rPr>
        <w:t>（不痛）</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0（最剧烈）</w:t>
      </w:r>
    </w:p>
    <w:p>
      <w:pPr>
        <w:snapToGrid w:val="0"/>
        <w:spacing w:line="360" w:lineRule="auto"/>
        <w:ind w:firstLine="420" w:firstLineChars="200"/>
        <w:rPr>
          <w:rFonts w:ascii="Times New Roman" w:hAnsi="Times New Roman"/>
        </w:rPr>
      </w:pPr>
      <w:r>
        <w:rPr>
          <w:rFonts w:ascii="Times New Roman" w:hAnsi="Times New Roman"/>
        </w:rPr>
        <w:t>6、请选择下面的1个数字，以表示您目前的疼痛程度。</w:t>
      </w:r>
    </w:p>
    <w:p>
      <w:pPr>
        <w:snapToGrid w:val="0"/>
        <w:spacing w:line="360" w:lineRule="auto"/>
        <w:ind w:firstLine="630" w:firstLineChars="300"/>
        <w:rPr>
          <w:rFonts w:ascii="Times New Roman" w:hAnsi="Times New Roman"/>
        </w:rPr>
      </w:pPr>
      <w:r>
        <w:rPr>
          <w:rFonts w:ascii="Times New Roman" w:hAnsi="Times New Roman"/>
        </w:rPr>
        <w:t>（不痛）</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0（最剧烈）</w:t>
      </w:r>
    </w:p>
    <w:p>
      <w:pPr>
        <w:snapToGrid w:val="0"/>
        <w:spacing w:line="360" w:lineRule="auto"/>
        <w:ind w:firstLine="420" w:firstLineChars="200"/>
        <w:rPr>
          <w:rFonts w:ascii="Times New Roman" w:hAnsi="Times New Roman"/>
        </w:rPr>
      </w:pPr>
      <w:r>
        <w:rPr>
          <w:rFonts w:ascii="Times New Roman" w:hAnsi="Times New Roman"/>
        </w:rPr>
        <w:t>7、您希望接受何种药物或治疗控制您的疼痛？</w:t>
      </w:r>
    </w:p>
    <w:p>
      <w:pPr>
        <w:snapToGrid w:val="0"/>
        <w:spacing w:line="360" w:lineRule="auto"/>
        <w:ind w:left="794" w:leftChars="228" w:hanging="315" w:hangingChars="150"/>
        <w:rPr>
          <w:rFonts w:ascii="Times New Roman" w:hAnsi="Times New Roman"/>
        </w:rPr>
      </w:pPr>
      <w:r>
        <w:rPr>
          <w:rFonts w:ascii="Times New Roman" w:hAnsi="Times New Roman"/>
        </w:rPr>
        <w:t>8、在过去的24 h内，由于药物或治疗的作用，您的疼痛缓解多少？请选择下面的一个百分数，以表示疼痛缓解的程度。</w:t>
      </w:r>
    </w:p>
    <w:p>
      <w:pPr>
        <w:snapToGrid w:val="0"/>
        <w:spacing w:line="360" w:lineRule="auto"/>
        <w:ind w:firstLine="595" w:firstLineChars="350"/>
        <w:rPr>
          <w:rFonts w:ascii="Times New Roman" w:hAnsi="Times New Roman"/>
          <w:spacing w:val="-20"/>
        </w:rPr>
      </w:pPr>
      <w:r>
        <w:rPr>
          <w:rFonts w:ascii="Times New Roman" w:hAnsi="Times New Roman"/>
          <w:spacing w:val="-20"/>
        </w:rPr>
        <w:t>（无缓解）0  10%  20%  30%  40%  50%  60%  70%  80%  90%  100%（完全缓解）</w:t>
      </w:r>
    </w:p>
    <w:p>
      <w:pPr>
        <w:snapToGrid w:val="0"/>
        <w:spacing w:line="360" w:lineRule="auto"/>
        <w:rPr>
          <w:rFonts w:ascii="Times New Roman" w:hAnsi="Times New Roman"/>
        </w:rPr>
      </w:pPr>
      <w:r>
        <w:rPr>
          <w:rFonts w:ascii="Times New Roman" w:hAnsi="Times New Roman"/>
        </w:rPr>
        <w:t>9、请选择下面的1个数字，以表示过去24 h内疼痛对您的影响</w:t>
      </w:r>
    </w:p>
    <w:p>
      <w:pPr>
        <w:snapToGrid w:val="0"/>
        <w:spacing w:line="360" w:lineRule="auto"/>
        <w:ind w:firstLine="630" w:firstLineChars="300"/>
        <w:rPr>
          <w:rFonts w:ascii="Times New Roman" w:hAnsi="Times New Roman"/>
        </w:rPr>
      </w:pPr>
      <w:r>
        <w:rPr>
          <w:rFonts w:ascii="Times New Roman" w:hAnsi="Times New Roman"/>
        </w:rPr>
        <w:t>1）对日常生活的影响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2）对情绪的影响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3）对行走能力的影响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4）对日常工作的影响（包括外出工作和家务劳动）</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5）对与他人关系的影响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6）对睡眠的影响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snapToGrid w:val="0"/>
        <w:spacing w:line="360" w:lineRule="auto"/>
        <w:ind w:firstLine="630" w:firstLineChars="300"/>
        <w:rPr>
          <w:rFonts w:ascii="Times New Roman" w:hAnsi="Times New Roman"/>
        </w:rPr>
      </w:pPr>
      <w:r>
        <w:rPr>
          <w:rFonts w:ascii="Times New Roman" w:hAnsi="Times New Roman"/>
        </w:rPr>
        <w:t>7）对生活兴趣的影响</w:t>
      </w:r>
    </w:p>
    <w:p>
      <w:pPr>
        <w:snapToGrid w:val="0"/>
        <w:spacing w:line="360" w:lineRule="auto"/>
        <w:ind w:firstLine="840" w:firstLineChars="400"/>
        <w:rPr>
          <w:rFonts w:ascii="Times New Roman" w:hAnsi="Times New Roman"/>
        </w:rPr>
      </w:pPr>
      <w:r>
        <w:rPr>
          <w:rFonts w:ascii="Times New Roman" w:hAnsi="Times New Roman"/>
        </w:rPr>
        <w:t>（无影响）</w:t>
      </w:r>
      <w:r>
        <w:rPr>
          <w:rFonts w:hint="eastAsia" w:ascii="Times New Roman" w:hAnsi="Times New Roman"/>
        </w:rPr>
        <w:t>0</w:t>
      </w:r>
      <w:r>
        <w:rPr>
          <w:rFonts w:ascii="Times New Roman" w:hAnsi="Times New Roman"/>
        </w:rPr>
        <w:t>　</w:t>
      </w:r>
      <w:r>
        <w:rPr>
          <w:rFonts w:hint="eastAsia" w:ascii="Times New Roman" w:hAnsi="Times New Roman"/>
        </w:rPr>
        <w:t>1</w:t>
      </w:r>
      <w:r>
        <w:rPr>
          <w:rFonts w:ascii="Times New Roman" w:hAnsi="Times New Roman"/>
        </w:rPr>
        <w:t>　</w:t>
      </w:r>
      <w:r>
        <w:rPr>
          <w:rFonts w:hint="eastAsia" w:ascii="Times New Roman" w:hAnsi="Times New Roman"/>
        </w:rPr>
        <w:t>2</w:t>
      </w:r>
      <w:r>
        <w:rPr>
          <w:rFonts w:ascii="Times New Roman" w:hAnsi="Times New Roman"/>
        </w:rPr>
        <w:t>　</w:t>
      </w:r>
      <w:r>
        <w:rPr>
          <w:rFonts w:hint="eastAsia" w:ascii="Times New Roman" w:hAnsi="Times New Roman"/>
        </w:rPr>
        <w:t>3</w:t>
      </w:r>
      <w:r>
        <w:rPr>
          <w:rFonts w:ascii="Times New Roman" w:hAnsi="Times New Roman"/>
        </w:rPr>
        <w:t>　</w:t>
      </w:r>
      <w:r>
        <w:rPr>
          <w:rFonts w:hint="eastAsia" w:ascii="Times New Roman" w:hAnsi="Times New Roman"/>
        </w:rPr>
        <w:t>4</w:t>
      </w:r>
      <w:r>
        <w:rPr>
          <w:rFonts w:ascii="Times New Roman" w:hAnsi="Times New Roman"/>
        </w:rPr>
        <w:t>　</w:t>
      </w:r>
      <w:r>
        <w:rPr>
          <w:rFonts w:hint="eastAsia" w:ascii="Times New Roman" w:hAnsi="Times New Roman"/>
        </w:rPr>
        <w:t>5</w:t>
      </w:r>
      <w:r>
        <w:rPr>
          <w:rFonts w:ascii="Times New Roman" w:hAnsi="Times New Roman"/>
        </w:rPr>
        <w:t>　</w:t>
      </w:r>
      <w:r>
        <w:rPr>
          <w:rFonts w:hint="eastAsia" w:ascii="Times New Roman" w:hAnsi="Times New Roman"/>
        </w:rPr>
        <w:t>6</w:t>
      </w:r>
      <w:r>
        <w:rPr>
          <w:rFonts w:ascii="Times New Roman" w:hAnsi="Times New Roman"/>
        </w:rPr>
        <w:t>　</w:t>
      </w:r>
      <w:r>
        <w:rPr>
          <w:rFonts w:hint="eastAsia" w:ascii="Times New Roman" w:hAnsi="Times New Roman"/>
        </w:rPr>
        <w:t>7</w:t>
      </w:r>
      <w:r>
        <w:rPr>
          <w:rFonts w:ascii="Times New Roman" w:hAnsi="Times New Roman"/>
        </w:rPr>
        <w:t>　</w:t>
      </w:r>
      <w:r>
        <w:rPr>
          <w:rFonts w:hint="eastAsia" w:ascii="Times New Roman" w:hAnsi="Times New Roman"/>
        </w:rPr>
        <w:t>8</w:t>
      </w:r>
      <w:r>
        <w:rPr>
          <w:rFonts w:ascii="Times New Roman" w:hAnsi="Times New Roman"/>
        </w:rPr>
        <w:t>　</w:t>
      </w:r>
      <w:r>
        <w:rPr>
          <w:rFonts w:hint="eastAsia" w:ascii="Times New Roman" w:hAnsi="Times New Roman"/>
        </w:rPr>
        <w:t>9</w:t>
      </w:r>
      <w:r>
        <w:rPr>
          <w:rFonts w:ascii="Times New Roman" w:hAnsi="Times New Roman"/>
        </w:rPr>
        <w:t>　</w:t>
      </w:r>
      <w:r>
        <w:rPr>
          <w:rFonts w:hint="eastAsia" w:ascii="Times New Roman" w:hAnsi="Times New Roman"/>
        </w:rPr>
        <w:t>1</w:t>
      </w:r>
      <w:r>
        <w:rPr>
          <w:rFonts w:ascii="Times New Roman" w:hAnsi="Times New Roman"/>
        </w:rPr>
        <w:t>0（完全影响）</w:t>
      </w:r>
    </w:p>
    <w:p>
      <w:pPr>
        <w:pStyle w:val="57"/>
        <w:ind w:firstLine="420"/>
        <w:rPr>
          <w:rFonts w:ascii="Times New Roman"/>
          <w:szCs w:val="21"/>
        </w:rPr>
      </w:pPr>
      <w:r>
        <w:rPr>
          <w:rFonts w:ascii="Times New Roman"/>
          <w:szCs w:val="21"/>
        </w:rPr>
        <w:br w:type="page"/>
      </w:r>
    </w:p>
    <w:p>
      <w:pPr>
        <w:pStyle w:val="200"/>
      </w:pPr>
    </w:p>
    <w:p>
      <w:pPr>
        <w:pStyle w:val="77"/>
        <w:spacing w:after="156"/>
      </w:pPr>
      <w:r>
        <w:br w:type="textWrapping"/>
      </w:r>
      <w:r>
        <w:rPr>
          <w:rFonts w:hint="eastAsia"/>
        </w:rPr>
        <w:t>（规范性）</w:t>
      </w:r>
      <w:r>
        <w:br w:type="textWrapping"/>
      </w:r>
      <w:r>
        <w:rPr>
          <w:rFonts w:hint="eastAsia"/>
        </w:rPr>
        <w:t>爆发痛评估量表</w:t>
      </w:r>
    </w:p>
    <w:p>
      <w:pPr>
        <w:pStyle w:val="57"/>
        <w:ind w:firstLine="0" w:firstLineChars="0"/>
      </w:pPr>
      <w:r>
        <w:rPr>
          <w:rFonts w:hint="eastAsia"/>
        </w:rPr>
        <w:t>爆发痛评估问卷（BPQ）见表D</w:t>
      </w:r>
      <w:r>
        <w:t>.1</w:t>
      </w:r>
    </w:p>
    <w:p>
      <w:pPr>
        <w:pStyle w:val="78"/>
        <w:spacing w:before="156" w:after="156"/>
        <w:jc w:val="left"/>
      </w:pPr>
      <w:r>
        <w:rPr>
          <w:rFonts w:hint="eastAsia"/>
        </w:rPr>
        <w:t>爆发痛评估问卷（BPQ）</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是否有爆发痛发作？</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疼痛加重的因素？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疼痛发生的频率怎样？</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疼痛的缓解因素？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疼痛的部位？</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对止痛治疗的反应？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疼痛是否有放散？</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对其他干预的反应？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疼痛的性质？</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伴随症状？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疼痛的严重程度？</w:t>
            </w:r>
          </w:p>
        </w:tc>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对日常生活的影响？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148" w:type="dxa"/>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4"/>
              </w:rPr>
            </w:pPr>
            <w:r>
              <w:rPr>
                <w:rFonts w:hint="eastAsia"/>
                <w:bCs/>
                <w:szCs w:val="24"/>
              </w:rPr>
              <w:t>疼痛的持续时间？</w:t>
            </w:r>
          </w:p>
        </w:tc>
        <w:tc>
          <w:tcPr>
            <w:tcW w:w="4148" w:type="dxa"/>
            <w:tcBorders>
              <w:top w:val="single" w:color="auto" w:sz="4" w:space="0"/>
              <w:left w:val="single" w:color="auto" w:sz="4" w:space="0"/>
              <w:bottom w:val="single" w:color="auto" w:sz="4" w:space="0"/>
              <w:right w:val="single" w:color="auto" w:sz="4" w:space="0"/>
            </w:tcBorders>
            <w:vAlign w:val="center"/>
          </w:tcPr>
          <w:p>
            <w:pPr>
              <w:rPr>
                <w:bCs/>
                <w:szCs w:val="24"/>
              </w:rPr>
            </w:pPr>
          </w:p>
        </w:tc>
      </w:tr>
    </w:tbl>
    <w:p>
      <w:pPr>
        <w:pStyle w:val="57"/>
        <w:ind w:firstLine="420"/>
      </w:pPr>
    </w:p>
    <w:p>
      <w:pPr>
        <w:pStyle w:val="57"/>
        <w:ind w:firstLine="0" w:firstLineChars="0"/>
      </w:pPr>
      <w:r>
        <w:rPr>
          <w:rFonts w:hint="eastAsia"/>
        </w:rPr>
        <w:t>爆发痛评估工具（BAT）见表D</w:t>
      </w:r>
      <w:r>
        <w:t>.2</w:t>
      </w:r>
    </w:p>
    <w:p>
      <w:pPr>
        <w:pStyle w:val="78"/>
        <w:spacing w:before="156" w:after="156"/>
        <w:jc w:val="left"/>
      </w:pPr>
      <w:r>
        <w:rPr>
          <w:rFonts w:hint="eastAsia"/>
        </w:rPr>
        <w:t>爆发痛评估工具（BAT）</w:t>
      </w:r>
    </w:p>
    <w:p>
      <w:pPr>
        <w:pStyle w:val="57"/>
        <w:ind w:firstLine="420"/>
      </w:pPr>
    </w:p>
    <w:p>
      <w:pPr>
        <w:pStyle w:val="199"/>
        <w:numPr>
          <w:ilvl w:val="0"/>
          <w:numId w:val="0"/>
        </w:numPr>
        <w:jc w:val="both"/>
      </w:pPr>
    </w:p>
    <w:p>
      <w:pPr>
        <w:adjustRightInd/>
        <w:spacing w:line="240" w:lineRule="auto"/>
        <w:rPr>
          <w:rFonts w:ascii="Times New Roman" w:hAnsi="Times New Roman"/>
          <w:szCs w:val="22"/>
        </w:rPr>
      </w:pPr>
      <w:r>
        <w:rPr>
          <w:rFonts w:hint="eastAsia" w:ascii="Times New Roman" w:hAnsi="Times New Roman"/>
          <w:szCs w:val="22"/>
        </w:rPr>
        <w:t>下述问题是评估您最近</w:t>
      </w:r>
      <w:r>
        <w:rPr>
          <w:rFonts w:ascii="Times New Roman" w:hAnsi="Times New Roman"/>
          <w:szCs w:val="22"/>
        </w:rPr>
        <w:t>1</w:t>
      </w:r>
      <w:r>
        <w:rPr>
          <w:rFonts w:hint="eastAsia" w:ascii="Times New Roman" w:hAnsi="Times New Roman"/>
          <w:szCs w:val="22"/>
        </w:rPr>
        <w:t>周时间内的爆发痛情况。爆发痛是指癌痛的短暂增加。</w:t>
      </w:r>
    </w:p>
    <w:p>
      <w:pPr>
        <w:adjustRightInd/>
        <w:spacing w:line="240" w:lineRule="auto"/>
        <w:rPr>
          <w:rFonts w:ascii="Times New Roman" w:hAnsi="Times New Roman"/>
          <w:b/>
          <w:szCs w:val="22"/>
        </w:rPr>
      </w:pPr>
      <w:r>
        <w:rPr>
          <w:rFonts w:ascii="Times New Roman" w:hAnsi="Times New Roman"/>
          <w:b/>
          <w:szCs w:val="22"/>
        </w:rPr>
        <w:t>1</w:t>
      </w:r>
      <w:r>
        <w:rPr>
          <w:rFonts w:hint="eastAsia" w:ascii="Times New Roman" w:hAnsi="Times New Roman"/>
          <w:b/>
          <w:szCs w:val="22"/>
        </w:rPr>
        <w:t>、请在下图中标出您疼痛的部位</w:t>
      </w:r>
    </w:p>
    <w:p>
      <w:pPr>
        <w:adjustRightInd/>
        <w:spacing w:line="240" w:lineRule="auto"/>
        <w:ind w:firstLine="315" w:firstLineChars="150"/>
        <w:rPr>
          <w:rFonts w:ascii="Times New Roman" w:hAnsi="Times New Roman"/>
          <w:szCs w:val="22"/>
        </w:rPr>
      </w:pPr>
      <w:r>
        <w:rPr>
          <w:rFonts w:ascii="Times New Roman" w:hAnsi="Times New Roman"/>
          <w:szCs w:val="22"/>
        </w:rPr>
        <w:drawing>
          <wp:inline distT="0" distB="0" distL="0" distR="0">
            <wp:extent cx="1733550" cy="1485900"/>
            <wp:effectExtent l="0" t="0" r="0" b="0"/>
            <wp:docPr id="7" name="图片 56" descr="https://html.hanspub.org/file/14-1570827x10_hansp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6" descr="https://html.hanspub.org/file/14-1570827x10_hanspub.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733550" cy="1485900"/>
                    </a:xfrm>
                    <a:prstGeom prst="rect">
                      <a:avLst/>
                    </a:prstGeom>
                    <a:noFill/>
                    <a:ln>
                      <a:noFill/>
                    </a:ln>
                  </pic:spPr>
                </pic:pic>
              </a:graphicData>
            </a:graphic>
          </wp:inline>
        </w:drawing>
      </w:r>
    </w:p>
    <w:p>
      <w:pPr>
        <w:adjustRightInd/>
        <w:spacing w:line="240" w:lineRule="auto"/>
        <w:rPr>
          <w:rFonts w:ascii="Times New Roman" w:hAnsi="Times New Roman"/>
          <w:b/>
          <w:szCs w:val="22"/>
        </w:rPr>
      </w:pPr>
      <w:r>
        <w:rPr>
          <w:rFonts w:ascii="Times New Roman" w:hAnsi="Times New Roman"/>
          <w:b/>
          <w:szCs w:val="22"/>
        </w:rPr>
        <w:t>2</w:t>
      </w:r>
      <w:r>
        <w:rPr>
          <w:rFonts w:hint="eastAsia" w:ascii="Times New Roman" w:hAnsi="Times New Roman"/>
          <w:b/>
          <w:szCs w:val="22"/>
        </w:rPr>
        <w:t>、您每天爆发痛的频率是怎样的？</w:t>
      </w:r>
    </w:p>
    <w:p>
      <w:pPr>
        <w:adjustRightInd/>
        <w:spacing w:line="240" w:lineRule="auto"/>
        <w:ind w:firstLine="315" w:firstLineChars="150"/>
        <w:rPr>
          <w:rFonts w:ascii="Times New Roman" w:hAnsi="Times New Roman"/>
          <w:szCs w:val="22"/>
        </w:rPr>
      </w:pPr>
      <w:r>
        <w:rPr>
          <w:rFonts w:hint="eastAsia" w:ascii="Times New Roman" w:hAnsi="Times New Roman"/>
          <w:szCs w:val="22"/>
        </w:rPr>
        <w:t>很少</w:t>
      </w:r>
      <w:r>
        <w:rPr>
          <w:rFonts w:ascii="Times New Roman" w:hAnsi="Times New Roman"/>
          <w:szCs w:val="22"/>
        </w:rPr>
        <w:t>1</w:t>
      </w:r>
      <w:r>
        <w:rPr>
          <w:rFonts w:hint="eastAsia" w:ascii="Times New Roman" w:hAnsi="Times New Roman"/>
          <w:szCs w:val="22"/>
        </w:rPr>
        <w:t>～</w:t>
      </w:r>
      <w:r>
        <w:rPr>
          <w:rFonts w:ascii="Times New Roman" w:hAnsi="Times New Roman"/>
          <w:szCs w:val="22"/>
        </w:rPr>
        <w:t>2</w:t>
      </w:r>
      <w:r>
        <w:rPr>
          <w:rFonts w:hint="eastAsia" w:ascii="Times New Roman" w:hAnsi="Times New Roman"/>
          <w:szCs w:val="22"/>
        </w:rPr>
        <w:t>次　　</w:t>
      </w:r>
      <w:r>
        <w:rPr>
          <w:rFonts w:ascii="Times New Roman" w:hAnsi="Times New Roman"/>
          <w:szCs w:val="22"/>
        </w:rPr>
        <w:t>3</w:t>
      </w:r>
      <w:r>
        <w:rPr>
          <w:rFonts w:hint="eastAsia" w:ascii="Times New Roman" w:hAnsi="Times New Roman"/>
          <w:szCs w:val="22"/>
        </w:rPr>
        <w:t>～</w:t>
      </w:r>
      <w:r>
        <w:rPr>
          <w:rFonts w:ascii="Times New Roman" w:hAnsi="Times New Roman"/>
          <w:szCs w:val="22"/>
        </w:rPr>
        <w:t>4</w:t>
      </w:r>
      <w:r>
        <w:rPr>
          <w:rFonts w:hint="eastAsia" w:ascii="Times New Roman" w:hAnsi="Times New Roman"/>
          <w:szCs w:val="22"/>
        </w:rPr>
        <w:t>次　　</w:t>
      </w:r>
      <w:r>
        <w:rPr>
          <w:rFonts w:ascii="Times New Roman" w:hAnsi="Times New Roman"/>
          <w:szCs w:val="22"/>
        </w:rPr>
        <w:t>&gt;4</w:t>
      </w:r>
      <w:r>
        <w:rPr>
          <w:rFonts w:hint="eastAsia" w:ascii="Times New Roman" w:hAnsi="Times New Roman"/>
          <w:szCs w:val="22"/>
        </w:rPr>
        <w:t>次</w:t>
      </w:r>
    </w:p>
    <w:p>
      <w:pPr>
        <w:adjustRightInd/>
        <w:spacing w:line="240" w:lineRule="auto"/>
        <w:rPr>
          <w:rFonts w:ascii="Times New Roman" w:hAnsi="Times New Roman"/>
          <w:b/>
          <w:szCs w:val="22"/>
        </w:rPr>
      </w:pPr>
      <w:r>
        <w:rPr>
          <w:rFonts w:ascii="Times New Roman" w:hAnsi="Times New Roman"/>
          <w:b/>
          <w:szCs w:val="22"/>
        </w:rPr>
        <w:t>3</w:t>
      </w:r>
      <w:r>
        <w:rPr>
          <w:rFonts w:hint="eastAsia" w:ascii="Times New Roman" w:hAnsi="Times New Roman"/>
          <w:b/>
          <w:szCs w:val="22"/>
        </w:rPr>
        <w:t>、有哪些因素会导致您爆发痛发生？</w:t>
      </w:r>
    </w:p>
    <w:p>
      <w:pPr>
        <w:adjustRightInd/>
        <w:spacing w:line="240" w:lineRule="auto"/>
        <w:ind w:firstLine="315" w:firstLineChars="150"/>
        <w:rPr>
          <w:rFonts w:ascii="Times New Roman" w:hAnsi="Times New Roman"/>
          <w:szCs w:val="22"/>
        </w:rPr>
      </w:pPr>
      <w:r>
        <w:rPr>
          <w:rFonts w:hint="eastAsia" w:ascii="Times New Roman" w:hAnsi="Times New Roman"/>
          <w:szCs w:val="22"/>
        </w:rPr>
        <w:t>如果有，请写出。</w:t>
      </w:r>
    </w:p>
    <w:p>
      <w:pPr>
        <w:adjustRightInd/>
        <w:spacing w:line="240" w:lineRule="auto"/>
        <w:rPr>
          <w:rFonts w:ascii="Times New Roman" w:hAnsi="Times New Roman"/>
          <w:b/>
          <w:szCs w:val="22"/>
        </w:rPr>
      </w:pPr>
      <w:r>
        <w:rPr>
          <w:rFonts w:ascii="Times New Roman" w:hAnsi="Times New Roman"/>
          <w:b/>
          <w:szCs w:val="22"/>
        </w:rPr>
        <w:t>4</w:t>
      </w:r>
      <w:r>
        <w:rPr>
          <w:rFonts w:hint="eastAsia" w:ascii="Times New Roman" w:hAnsi="Times New Roman"/>
          <w:b/>
          <w:szCs w:val="22"/>
        </w:rPr>
        <w:t>、哪些因素会改善您的爆发痛？（止痛药或其他）</w:t>
      </w:r>
    </w:p>
    <w:p>
      <w:pPr>
        <w:adjustRightInd/>
        <w:spacing w:line="240" w:lineRule="auto"/>
        <w:ind w:firstLine="315" w:firstLineChars="150"/>
        <w:rPr>
          <w:rFonts w:ascii="Times New Roman" w:hAnsi="Times New Roman"/>
          <w:szCs w:val="22"/>
        </w:rPr>
      </w:pPr>
      <w:r>
        <w:rPr>
          <w:rFonts w:hint="eastAsia" w:ascii="Times New Roman" w:hAnsi="Times New Roman"/>
          <w:szCs w:val="22"/>
        </w:rPr>
        <w:t>如果有，请写出。</w:t>
      </w:r>
    </w:p>
    <w:p>
      <w:pPr>
        <w:adjustRightInd/>
        <w:spacing w:line="240" w:lineRule="auto"/>
        <w:rPr>
          <w:rFonts w:ascii="Times New Roman" w:hAnsi="Times New Roman"/>
          <w:b/>
          <w:szCs w:val="22"/>
        </w:rPr>
      </w:pPr>
      <w:r>
        <w:rPr>
          <w:rFonts w:ascii="Times New Roman" w:hAnsi="Times New Roman"/>
          <w:b/>
          <w:szCs w:val="22"/>
        </w:rPr>
        <w:t>5</w:t>
      </w:r>
      <w:r>
        <w:rPr>
          <w:rFonts w:hint="eastAsia" w:ascii="Times New Roman" w:hAnsi="Times New Roman"/>
          <w:b/>
          <w:szCs w:val="22"/>
        </w:rPr>
        <w:t>、您爆发痛持续的时间一般多久？</w:t>
      </w:r>
    </w:p>
    <w:p>
      <w:pPr>
        <w:adjustRightInd/>
        <w:spacing w:line="240" w:lineRule="auto"/>
        <w:ind w:firstLine="315" w:firstLineChars="150"/>
        <w:rPr>
          <w:rFonts w:ascii="Times New Roman" w:hAnsi="Times New Roman"/>
          <w:szCs w:val="22"/>
        </w:rPr>
      </w:pPr>
      <w:r>
        <w:rPr>
          <w:rFonts w:ascii="Times New Roman" w:hAnsi="Times New Roman"/>
          <w:szCs w:val="22"/>
        </w:rPr>
        <w:t>&lt;5</w:t>
      </w:r>
      <w:r>
        <w:rPr>
          <w:rFonts w:hint="eastAsia" w:ascii="Times New Roman" w:hAnsi="Times New Roman"/>
          <w:szCs w:val="22"/>
        </w:rPr>
        <w:t>分钟　　</w:t>
      </w:r>
      <w:r>
        <w:rPr>
          <w:rFonts w:ascii="Times New Roman" w:hAnsi="Times New Roman"/>
          <w:szCs w:val="22"/>
        </w:rPr>
        <w:t>5</w:t>
      </w:r>
      <w:r>
        <w:rPr>
          <w:rFonts w:hint="eastAsia" w:ascii="Times New Roman" w:hAnsi="Times New Roman"/>
          <w:szCs w:val="22"/>
        </w:rPr>
        <w:t>～</w:t>
      </w:r>
      <w:r>
        <w:rPr>
          <w:rFonts w:ascii="Times New Roman" w:hAnsi="Times New Roman"/>
          <w:szCs w:val="22"/>
        </w:rPr>
        <w:t>15</w:t>
      </w:r>
      <w:r>
        <w:rPr>
          <w:rFonts w:hint="eastAsia" w:ascii="Times New Roman" w:hAnsi="Times New Roman"/>
          <w:szCs w:val="22"/>
        </w:rPr>
        <w:t>分钟　　</w:t>
      </w:r>
      <w:r>
        <w:rPr>
          <w:rFonts w:ascii="Times New Roman" w:hAnsi="Times New Roman"/>
          <w:szCs w:val="22"/>
        </w:rPr>
        <w:t>15</w:t>
      </w:r>
      <w:r>
        <w:rPr>
          <w:rFonts w:hint="eastAsia" w:ascii="Times New Roman" w:hAnsi="Times New Roman"/>
          <w:szCs w:val="22"/>
        </w:rPr>
        <w:t>～</w:t>
      </w:r>
      <w:r>
        <w:rPr>
          <w:rFonts w:ascii="Times New Roman" w:hAnsi="Times New Roman"/>
          <w:szCs w:val="22"/>
        </w:rPr>
        <w:t>30</w:t>
      </w:r>
      <w:r>
        <w:rPr>
          <w:rFonts w:hint="eastAsia" w:ascii="Times New Roman" w:hAnsi="Times New Roman"/>
          <w:szCs w:val="22"/>
        </w:rPr>
        <w:t>分钟　　</w:t>
      </w:r>
      <w:r>
        <w:rPr>
          <w:rFonts w:ascii="Times New Roman" w:hAnsi="Times New Roman"/>
          <w:szCs w:val="22"/>
        </w:rPr>
        <w:t>30</w:t>
      </w:r>
      <w:r>
        <w:rPr>
          <w:rFonts w:hint="eastAsia" w:ascii="Times New Roman" w:hAnsi="Times New Roman"/>
          <w:szCs w:val="22"/>
        </w:rPr>
        <w:t>～</w:t>
      </w:r>
      <w:r>
        <w:rPr>
          <w:rFonts w:ascii="Times New Roman" w:hAnsi="Times New Roman"/>
          <w:szCs w:val="22"/>
        </w:rPr>
        <w:t>60</w:t>
      </w:r>
      <w:r>
        <w:rPr>
          <w:rFonts w:hint="eastAsia" w:ascii="Times New Roman" w:hAnsi="Times New Roman"/>
          <w:szCs w:val="22"/>
        </w:rPr>
        <w:t>分钟　　</w:t>
      </w:r>
      <w:r>
        <w:rPr>
          <w:rFonts w:ascii="Times New Roman" w:hAnsi="Times New Roman"/>
          <w:szCs w:val="22"/>
        </w:rPr>
        <w:t>&gt;60</w:t>
      </w:r>
      <w:r>
        <w:rPr>
          <w:rFonts w:hint="eastAsia" w:ascii="Times New Roman" w:hAnsi="Times New Roman"/>
          <w:szCs w:val="22"/>
        </w:rPr>
        <w:t>分钟</w:t>
      </w:r>
    </w:p>
    <w:p>
      <w:pPr>
        <w:adjustRightInd/>
        <w:spacing w:line="240" w:lineRule="auto"/>
        <w:rPr>
          <w:rFonts w:ascii="Times New Roman" w:hAnsi="Times New Roman"/>
          <w:b/>
          <w:szCs w:val="22"/>
        </w:rPr>
      </w:pPr>
      <w:r>
        <w:rPr>
          <w:rFonts w:ascii="Times New Roman" w:hAnsi="Times New Roman"/>
          <w:b/>
          <w:szCs w:val="22"/>
        </w:rPr>
        <w:t>6</w:t>
      </w:r>
      <w:r>
        <w:rPr>
          <w:rFonts w:hint="eastAsia" w:ascii="Times New Roman" w:hAnsi="Times New Roman"/>
          <w:b/>
          <w:szCs w:val="22"/>
        </w:rPr>
        <w:t>、您爆发痛最严重的时候疼痛评分有几分？</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无疼痛</w:t>
      </w:r>
      <w:r>
        <w:rPr>
          <w:rFonts w:ascii="Times New Roman" w:hAnsi="Times New Roman"/>
          <w:szCs w:val="22"/>
        </w:rPr>
        <w:t xml:space="preserve">                                         </w:t>
      </w:r>
      <w:r>
        <w:rPr>
          <w:rFonts w:hint="eastAsia" w:ascii="Times New Roman" w:hAnsi="Times New Roman"/>
          <w:szCs w:val="22"/>
        </w:rPr>
        <w:t>您能想象的剧痛</w:t>
      </w:r>
    </w:p>
    <w:p>
      <w:pPr>
        <w:adjustRightInd/>
        <w:spacing w:line="240" w:lineRule="auto"/>
        <w:rPr>
          <w:rFonts w:ascii="Times New Roman" w:hAnsi="Times New Roman"/>
          <w:b/>
          <w:szCs w:val="22"/>
        </w:rPr>
      </w:pPr>
      <w:r>
        <w:rPr>
          <w:rFonts w:ascii="Times New Roman" w:hAnsi="Times New Roman"/>
          <w:b/>
          <w:szCs w:val="22"/>
        </w:rPr>
        <w:t>7</w:t>
      </w:r>
      <w:r>
        <w:rPr>
          <w:rFonts w:hint="eastAsia" w:ascii="Times New Roman" w:hAnsi="Times New Roman"/>
          <w:b/>
          <w:szCs w:val="22"/>
        </w:rPr>
        <w:t>、您爆发痛一般疼痛评分有几分？</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无疼痛</w:t>
      </w:r>
      <w:r>
        <w:rPr>
          <w:rFonts w:ascii="Times New Roman" w:hAnsi="Times New Roman"/>
          <w:szCs w:val="22"/>
        </w:rPr>
        <w:t xml:space="preserve">                                         </w:t>
      </w:r>
      <w:r>
        <w:rPr>
          <w:rFonts w:hint="eastAsia" w:ascii="Times New Roman" w:hAnsi="Times New Roman"/>
          <w:szCs w:val="22"/>
        </w:rPr>
        <w:t>您能想象的剧痛</w:t>
      </w:r>
    </w:p>
    <w:p>
      <w:pPr>
        <w:adjustRightInd/>
        <w:spacing w:line="240" w:lineRule="auto"/>
        <w:rPr>
          <w:rFonts w:ascii="Times New Roman" w:hAnsi="Times New Roman"/>
          <w:b/>
          <w:szCs w:val="22"/>
        </w:rPr>
      </w:pPr>
      <w:r>
        <w:rPr>
          <w:rFonts w:ascii="Times New Roman" w:hAnsi="Times New Roman"/>
          <w:b/>
          <w:szCs w:val="22"/>
        </w:rPr>
        <w:t>8</w:t>
      </w:r>
      <w:r>
        <w:rPr>
          <w:rFonts w:hint="eastAsia" w:ascii="Times New Roman" w:hAnsi="Times New Roman"/>
          <w:b/>
          <w:szCs w:val="22"/>
        </w:rPr>
        <w:t>、爆发痛给您带来的困扰程度是怎样的？</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没有</w:t>
      </w:r>
      <w:r>
        <w:rPr>
          <w:rFonts w:ascii="Times New Roman" w:hAnsi="Times New Roman"/>
          <w:szCs w:val="22"/>
        </w:rPr>
        <w:t xml:space="preserve">                                            </w:t>
      </w:r>
      <w:r>
        <w:rPr>
          <w:rFonts w:hint="eastAsia" w:ascii="Times New Roman" w:hAnsi="Times New Roman"/>
          <w:szCs w:val="22"/>
        </w:rPr>
        <w:t>非常严重</w:t>
      </w:r>
    </w:p>
    <w:p>
      <w:pPr>
        <w:adjustRightInd/>
        <w:spacing w:line="240" w:lineRule="auto"/>
        <w:rPr>
          <w:rFonts w:ascii="Times New Roman" w:hAnsi="Times New Roman"/>
          <w:b/>
          <w:szCs w:val="22"/>
        </w:rPr>
      </w:pPr>
      <w:r>
        <w:rPr>
          <w:rFonts w:ascii="Times New Roman" w:hAnsi="Times New Roman"/>
          <w:b/>
          <w:szCs w:val="22"/>
        </w:rPr>
        <w:t>9</w:t>
      </w:r>
      <w:r>
        <w:rPr>
          <w:rFonts w:hint="eastAsia" w:ascii="Times New Roman" w:hAnsi="Times New Roman"/>
          <w:b/>
          <w:szCs w:val="22"/>
        </w:rPr>
        <w:t>、爆发痛对您正常生活的影响程度是怎样的？</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没有</w:t>
      </w:r>
      <w:r>
        <w:rPr>
          <w:rFonts w:ascii="Times New Roman" w:hAnsi="Times New Roman"/>
          <w:szCs w:val="22"/>
        </w:rPr>
        <w:t xml:space="preserve">                                            </w:t>
      </w:r>
      <w:r>
        <w:rPr>
          <w:rFonts w:hint="eastAsia" w:ascii="Times New Roman" w:hAnsi="Times New Roman"/>
          <w:szCs w:val="22"/>
        </w:rPr>
        <w:t>非常严重</w:t>
      </w:r>
    </w:p>
    <w:p>
      <w:pPr>
        <w:adjustRightInd/>
        <w:spacing w:line="240" w:lineRule="auto"/>
        <w:rPr>
          <w:rFonts w:ascii="Times New Roman" w:hAnsi="Times New Roman"/>
          <w:b/>
          <w:szCs w:val="22"/>
        </w:rPr>
      </w:pPr>
      <w:r>
        <w:rPr>
          <w:rFonts w:ascii="Times New Roman" w:hAnsi="Times New Roman"/>
          <w:b/>
          <w:szCs w:val="22"/>
        </w:rPr>
        <w:t>10</w:t>
      </w:r>
      <w:r>
        <w:rPr>
          <w:rFonts w:hint="eastAsia" w:ascii="Times New Roman" w:hAnsi="Times New Roman"/>
          <w:b/>
          <w:szCs w:val="22"/>
        </w:rPr>
        <w:t>、哪些止痛药能改善您的爆发痛（如果有的话）？</w:t>
      </w:r>
    </w:p>
    <w:p>
      <w:pPr>
        <w:adjustRightInd/>
        <w:spacing w:line="240" w:lineRule="auto"/>
        <w:ind w:firstLine="420" w:firstLineChars="200"/>
        <w:rPr>
          <w:rFonts w:ascii="Times New Roman" w:hAnsi="Times New Roman"/>
          <w:szCs w:val="22"/>
        </w:rPr>
      </w:pPr>
      <w:r>
        <w:rPr>
          <w:rFonts w:hint="eastAsia" w:ascii="Times New Roman" w:hAnsi="Times New Roman"/>
          <w:szCs w:val="22"/>
        </w:rPr>
        <w:t>请写下止痛的剂型和剂量</w:t>
      </w:r>
    </w:p>
    <w:p>
      <w:pPr>
        <w:adjustRightInd/>
        <w:spacing w:line="240" w:lineRule="auto"/>
        <w:rPr>
          <w:rFonts w:ascii="Times New Roman" w:hAnsi="Times New Roman"/>
          <w:b/>
          <w:szCs w:val="22"/>
        </w:rPr>
      </w:pPr>
      <w:r>
        <w:rPr>
          <w:rFonts w:ascii="Times New Roman" w:hAnsi="Times New Roman"/>
          <w:b/>
          <w:szCs w:val="22"/>
        </w:rPr>
        <w:t>11</w:t>
      </w:r>
      <w:r>
        <w:rPr>
          <w:rFonts w:hint="eastAsia" w:ascii="Times New Roman" w:hAnsi="Times New Roman"/>
          <w:b/>
          <w:szCs w:val="22"/>
        </w:rPr>
        <w:t>、您通常使用治疗爆发痛的药物的效果怎样？</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无效</w:t>
      </w:r>
      <w:r>
        <w:rPr>
          <w:rFonts w:ascii="Times New Roman" w:hAnsi="Times New Roman"/>
          <w:szCs w:val="22"/>
        </w:rPr>
        <w:t xml:space="preserve">                                            </w:t>
      </w:r>
      <w:r>
        <w:rPr>
          <w:rFonts w:hint="eastAsia" w:ascii="Times New Roman" w:hAnsi="Times New Roman"/>
          <w:szCs w:val="22"/>
        </w:rPr>
        <w:t>非常有效</w:t>
      </w:r>
    </w:p>
    <w:p>
      <w:pPr>
        <w:adjustRightInd/>
        <w:spacing w:line="240" w:lineRule="auto"/>
        <w:rPr>
          <w:rFonts w:ascii="Times New Roman" w:hAnsi="Times New Roman"/>
          <w:b/>
          <w:szCs w:val="22"/>
        </w:rPr>
      </w:pPr>
      <w:r>
        <w:rPr>
          <w:rFonts w:ascii="Times New Roman" w:hAnsi="Times New Roman"/>
          <w:b/>
          <w:szCs w:val="22"/>
        </w:rPr>
        <w:t>12</w:t>
      </w:r>
      <w:r>
        <w:rPr>
          <w:rFonts w:hint="eastAsia" w:ascii="Times New Roman" w:hAnsi="Times New Roman"/>
          <w:b/>
          <w:szCs w:val="22"/>
        </w:rPr>
        <w:t>、您止痛药控制爆发痛的时间一般多长？</w:t>
      </w:r>
    </w:p>
    <w:p>
      <w:pPr>
        <w:adjustRightInd/>
        <w:spacing w:line="240" w:lineRule="auto"/>
        <w:ind w:firstLine="420" w:firstLineChars="200"/>
        <w:rPr>
          <w:rFonts w:ascii="Times New Roman" w:hAnsi="Times New Roman"/>
          <w:szCs w:val="22"/>
        </w:rPr>
      </w:pPr>
      <w:r>
        <w:rPr>
          <w:rFonts w:hint="eastAsia" w:ascii="Times New Roman" w:hAnsi="Times New Roman"/>
          <w:szCs w:val="22"/>
        </w:rPr>
        <w:t>无效</w:t>
      </w:r>
      <w:r>
        <w:rPr>
          <w:rFonts w:ascii="Times New Roman" w:hAnsi="Times New Roman"/>
          <w:szCs w:val="22"/>
        </w:rPr>
        <w:t xml:space="preserve">    0</w:t>
      </w:r>
      <w:r>
        <w:rPr>
          <w:rFonts w:hint="eastAsia" w:ascii="Times New Roman" w:hAnsi="Times New Roman"/>
          <w:szCs w:val="22"/>
        </w:rPr>
        <w:t>～</w:t>
      </w:r>
      <w:r>
        <w:rPr>
          <w:rFonts w:ascii="Times New Roman" w:hAnsi="Times New Roman"/>
          <w:szCs w:val="22"/>
        </w:rPr>
        <w:t>10</w:t>
      </w:r>
      <w:r>
        <w:rPr>
          <w:rFonts w:hint="eastAsia" w:ascii="Times New Roman" w:hAnsi="Times New Roman"/>
          <w:szCs w:val="22"/>
        </w:rPr>
        <w:t>分钟</w:t>
      </w:r>
      <w:r>
        <w:rPr>
          <w:rFonts w:ascii="Times New Roman" w:hAnsi="Times New Roman"/>
          <w:szCs w:val="22"/>
        </w:rPr>
        <w:t xml:space="preserve">    10</w:t>
      </w:r>
      <w:r>
        <w:rPr>
          <w:rFonts w:hint="eastAsia" w:ascii="Times New Roman" w:hAnsi="Times New Roman"/>
          <w:szCs w:val="22"/>
        </w:rPr>
        <w:t>～</w:t>
      </w:r>
      <w:r>
        <w:rPr>
          <w:rFonts w:ascii="Times New Roman" w:hAnsi="Times New Roman"/>
          <w:szCs w:val="22"/>
        </w:rPr>
        <w:t>20</w:t>
      </w:r>
      <w:r>
        <w:rPr>
          <w:rFonts w:hint="eastAsia" w:ascii="Times New Roman" w:hAnsi="Times New Roman"/>
          <w:szCs w:val="22"/>
        </w:rPr>
        <w:t>分钟</w:t>
      </w:r>
      <w:r>
        <w:rPr>
          <w:rFonts w:ascii="Times New Roman" w:hAnsi="Times New Roman"/>
          <w:szCs w:val="22"/>
        </w:rPr>
        <w:t xml:space="preserve">    20</w:t>
      </w:r>
      <w:r>
        <w:rPr>
          <w:rFonts w:hint="eastAsia" w:ascii="Times New Roman" w:hAnsi="Times New Roman"/>
          <w:szCs w:val="22"/>
        </w:rPr>
        <w:t>～</w:t>
      </w:r>
      <w:r>
        <w:rPr>
          <w:rFonts w:ascii="Times New Roman" w:hAnsi="Times New Roman"/>
          <w:szCs w:val="22"/>
        </w:rPr>
        <w:t>30</w:t>
      </w:r>
      <w:r>
        <w:rPr>
          <w:rFonts w:hint="eastAsia" w:ascii="Times New Roman" w:hAnsi="Times New Roman"/>
          <w:szCs w:val="22"/>
        </w:rPr>
        <w:t>分钟</w:t>
      </w:r>
      <w:r>
        <w:rPr>
          <w:rFonts w:ascii="Times New Roman" w:hAnsi="Times New Roman"/>
          <w:szCs w:val="22"/>
        </w:rPr>
        <w:t xml:space="preserve">    &gt;30</w:t>
      </w:r>
      <w:r>
        <w:rPr>
          <w:rFonts w:hint="eastAsia" w:ascii="Times New Roman" w:hAnsi="Times New Roman"/>
          <w:szCs w:val="22"/>
        </w:rPr>
        <w:t>分钟</w:t>
      </w:r>
    </w:p>
    <w:p>
      <w:pPr>
        <w:adjustRightInd/>
        <w:spacing w:line="240" w:lineRule="auto"/>
        <w:rPr>
          <w:rFonts w:ascii="Times New Roman" w:hAnsi="Times New Roman"/>
          <w:b/>
          <w:szCs w:val="22"/>
        </w:rPr>
      </w:pPr>
      <w:r>
        <w:rPr>
          <w:rFonts w:ascii="Times New Roman" w:hAnsi="Times New Roman"/>
          <w:b/>
          <w:szCs w:val="22"/>
        </w:rPr>
        <w:t>13</w:t>
      </w:r>
      <w:r>
        <w:rPr>
          <w:rFonts w:hint="eastAsia" w:ascii="Times New Roman" w:hAnsi="Times New Roman"/>
          <w:b/>
          <w:szCs w:val="22"/>
        </w:rPr>
        <w:t>、您使用止痛药后是否有一些不良反应？</w:t>
      </w:r>
    </w:p>
    <w:p>
      <w:pPr>
        <w:adjustRightInd/>
        <w:spacing w:line="240" w:lineRule="auto"/>
        <w:ind w:firstLine="420" w:firstLineChars="200"/>
        <w:rPr>
          <w:rFonts w:ascii="Times New Roman" w:hAnsi="Times New Roman"/>
          <w:szCs w:val="22"/>
        </w:rPr>
      </w:pPr>
      <w:r>
        <w:rPr>
          <w:rFonts w:hint="eastAsia" w:ascii="Times New Roman" w:hAnsi="Times New Roman"/>
          <w:szCs w:val="22"/>
        </w:rPr>
        <w:t>如果有，请写出。</w:t>
      </w:r>
    </w:p>
    <w:p>
      <w:pPr>
        <w:adjustRightInd/>
        <w:spacing w:line="240" w:lineRule="auto"/>
        <w:rPr>
          <w:rFonts w:ascii="Times New Roman" w:hAnsi="Times New Roman"/>
          <w:b/>
          <w:szCs w:val="22"/>
        </w:rPr>
      </w:pPr>
      <w:r>
        <w:rPr>
          <w:rFonts w:ascii="Times New Roman" w:hAnsi="Times New Roman"/>
          <w:b/>
          <w:szCs w:val="22"/>
        </w:rPr>
        <w:t>14</w:t>
      </w:r>
      <w:r>
        <w:rPr>
          <w:rFonts w:hint="eastAsia" w:ascii="Times New Roman" w:hAnsi="Times New Roman"/>
          <w:b/>
          <w:szCs w:val="22"/>
        </w:rPr>
        <w:t>、您止痛药物不良反应的程度怎样？</w:t>
      </w:r>
    </w:p>
    <w:p>
      <w:pPr>
        <w:adjustRightInd/>
        <w:spacing w:line="240" w:lineRule="auto"/>
        <w:ind w:firstLine="420" w:firstLineChars="200"/>
        <w:rPr>
          <w:rFonts w:ascii="Times New Roman" w:hAnsi="Times New Roman"/>
          <w:szCs w:val="22"/>
        </w:rPr>
      </w:pPr>
      <w:r>
        <w:rPr>
          <w:rFonts w:ascii="Times New Roman" w:hAnsi="Times New Roman"/>
          <w:szCs w:val="22"/>
        </w:rPr>
        <w:t>0    1    2    3    4    5    6    7    8    9    10</w:t>
      </w:r>
    </w:p>
    <w:p>
      <w:pPr>
        <w:adjustRightInd/>
        <w:spacing w:line="240" w:lineRule="auto"/>
        <w:ind w:firstLine="315" w:firstLineChars="150"/>
        <w:rPr>
          <w:rFonts w:ascii="Times New Roman" w:hAnsi="Times New Roman"/>
          <w:szCs w:val="22"/>
        </w:rPr>
      </w:pPr>
      <w:r>
        <w:rPr>
          <w:rFonts w:hint="eastAsia" w:ascii="Times New Roman" w:hAnsi="Times New Roman"/>
          <w:szCs w:val="22"/>
        </w:rPr>
        <w:t>没有</w:t>
      </w:r>
      <w:r>
        <w:rPr>
          <w:rFonts w:ascii="Times New Roman" w:hAnsi="Times New Roman"/>
          <w:szCs w:val="22"/>
        </w:rPr>
        <w:t xml:space="preserve">                                            </w:t>
      </w:r>
      <w:r>
        <w:rPr>
          <w:rFonts w:hint="eastAsia" w:ascii="Times New Roman" w:hAnsi="Times New Roman"/>
          <w:szCs w:val="22"/>
        </w:rPr>
        <w:t>非常严重</w:t>
      </w:r>
    </w:p>
    <w:p>
      <w:pPr>
        <w:pStyle w:val="57"/>
        <w:ind w:firstLine="420"/>
      </w:pPr>
    </w:p>
    <w:p/>
    <w:p/>
    <w:p/>
    <w:p/>
    <w:p/>
    <w:p/>
    <w:p>
      <w:pPr>
        <w:widowControl/>
        <w:adjustRightInd/>
        <w:spacing w:line="240" w:lineRule="auto"/>
        <w:jc w:val="left"/>
      </w:pPr>
      <w:r>
        <w:br w:type="page"/>
      </w:r>
    </w:p>
    <w:p>
      <w:pPr>
        <w:pStyle w:val="199"/>
      </w:pPr>
    </w:p>
    <w:p>
      <w:pPr>
        <w:pStyle w:val="200"/>
      </w:pPr>
    </w:p>
    <w:p>
      <w:pPr>
        <w:pStyle w:val="77"/>
        <w:spacing w:after="156"/>
      </w:pPr>
      <w:r>
        <w:br w:type="textWrapping"/>
      </w:r>
      <w:r>
        <w:rPr>
          <w:rFonts w:hint="eastAsia"/>
        </w:rPr>
        <w:t>（规范性）</w:t>
      </w:r>
      <w:r>
        <w:br w:type="textWrapping"/>
      </w:r>
      <w:r>
        <w:rPr>
          <w:rFonts w:hint="eastAsia"/>
        </w:rPr>
        <w:t>评估焦虑/抑郁心理状态量表</w:t>
      </w:r>
    </w:p>
    <w:p>
      <w:pPr>
        <w:pStyle w:val="57"/>
        <w:ind w:firstLine="0" w:firstLineChars="0"/>
      </w:pPr>
      <w:r>
        <w:rPr>
          <w:rFonts w:hint="eastAsia"/>
        </w:rPr>
        <w:t>GAD-7焦虑症筛查量表见表</w:t>
      </w:r>
      <w:r>
        <w:t>E.1</w:t>
      </w:r>
    </w:p>
    <w:p>
      <w:pPr>
        <w:pStyle w:val="78"/>
        <w:spacing w:before="156" w:after="156"/>
        <w:jc w:val="left"/>
      </w:pPr>
      <w:r>
        <w:rPr>
          <w:rFonts w:hint="eastAsia"/>
        </w:rPr>
        <w:t>GAD-7焦虑症筛查量表</w:t>
      </w:r>
    </w:p>
    <w:p>
      <w:pPr>
        <w:widowControl/>
        <w:spacing w:line="360" w:lineRule="auto"/>
        <w:ind w:firstLine="420" w:firstLineChars="200"/>
        <w:rPr>
          <w:kern w:val="0"/>
        </w:rPr>
      </w:pPr>
      <w:r>
        <w:rPr>
          <w:rFonts w:hint="eastAsia"/>
          <w:kern w:val="0"/>
        </w:rPr>
        <w:t>在</w:t>
      </w:r>
      <w:r>
        <w:rPr>
          <w:rFonts w:hint="eastAsia"/>
          <w:bCs/>
          <w:kern w:val="0"/>
        </w:rPr>
        <w:t>过去的两周</w:t>
      </w:r>
      <w:r>
        <w:rPr>
          <w:rFonts w:hint="eastAsia"/>
          <w:kern w:val="0"/>
        </w:rPr>
        <w:t>内，您生活中下述症状出现的频率有多少次？把相应的数字总合加起来。</w:t>
      </w:r>
    </w:p>
    <w:tbl>
      <w:tblPr>
        <w:tblStyle w:val="27"/>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3465"/>
        <w:gridCol w:w="840"/>
        <w:gridCol w:w="1050"/>
        <w:gridCol w:w="168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88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b/>
                <w:kern w:val="0"/>
              </w:rPr>
            </w:pPr>
            <w:r>
              <w:rPr>
                <w:rFonts w:hint="eastAsia" w:ascii="宋体" w:hAnsi="宋体"/>
                <w:b/>
                <w:kern w:val="0"/>
              </w:rPr>
              <w:t>序号</w:t>
            </w:r>
          </w:p>
        </w:tc>
        <w:tc>
          <w:tcPr>
            <w:tcW w:w="3465"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b/>
                <w:kern w:val="0"/>
              </w:rPr>
            </w:pPr>
            <w:r>
              <w:rPr>
                <w:rFonts w:hint="eastAsia" w:ascii="宋体" w:hAnsi="宋体"/>
                <w:b/>
                <w:kern w:val="0"/>
              </w:rPr>
              <w:t>项目</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b/>
                <w:kern w:val="0"/>
              </w:rPr>
            </w:pPr>
            <w:r>
              <w:rPr>
                <w:rFonts w:hint="eastAsia" w:ascii="宋体" w:hAnsi="宋体"/>
                <w:b/>
                <w:kern w:val="0"/>
              </w:rPr>
              <w:t>没有</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b/>
                <w:kern w:val="0"/>
              </w:rPr>
            </w:pPr>
            <w:r>
              <w:rPr>
                <w:rFonts w:hint="eastAsia" w:ascii="宋体" w:hAnsi="宋体"/>
                <w:b/>
                <w:kern w:val="0"/>
              </w:rPr>
              <w:t>有几天</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b/>
                <w:kern w:val="0"/>
              </w:rPr>
            </w:pPr>
            <w:r>
              <w:rPr>
                <w:rFonts w:hint="eastAsia" w:ascii="宋体" w:hAnsi="宋体"/>
                <w:b/>
                <w:kern w:val="0"/>
              </w:rPr>
              <w:t>一半以上时间</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b/>
                <w:kern w:val="0"/>
              </w:rPr>
            </w:pPr>
            <w:r>
              <w:rPr>
                <w:rFonts w:hint="eastAsia" w:ascii="宋体" w:hAnsi="宋体"/>
                <w:b/>
                <w:kern w:val="0"/>
              </w:rPr>
              <w:t>几乎每日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1</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感到不安、担心及烦躁</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2</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不能停止担心或无法控制担心</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3</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对各种各样的事情过度担心</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4</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很紧张，很难放松下来</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5</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非常焦躁，以至无法静坐</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6</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变得容易烦恼或易被激怒</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889"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7</w:t>
            </w:r>
          </w:p>
        </w:tc>
        <w:tc>
          <w:tcPr>
            <w:tcW w:w="346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感到好像有什么可怕的事情会发生</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1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68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2</w:t>
            </w:r>
          </w:p>
        </w:tc>
        <w:tc>
          <w:tcPr>
            <w:tcW w:w="111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bl>
    <w:p>
      <w:pPr>
        <w:widowControl/>
        <w:spacing w:line="360" w:lineRule="auto"/>
        <w:ind w:firstLine="6107" w:firstLineChars="2897"/>
        <w:rPr>
          <w:rFonts w:ascii="Times New Roman" w:hAnsi="Times New Roman"/>
          <w:kern w:val="0"/>
          <w:u w:val="single"/>
        </w:rPr>
      </w:pPr>
      <w:r>
        <w:rPr>
          <w:rFonts w:hint="eastAsia"/>
          <w:b/>
          <w:kern w:val="0"/>
        </w:rPr>
        <w:t>总分：</w:t>
      </w:r>
      <w:r>
        <w:rPr>
          <w:kern w:val="0"/>
          <w:u w:val="single"/>
        </w:rPr>
        <w:t xml:space="preserve">     </w:t>
      </w:r>
    </w:p>
    <w:p>
      <w:pPr>
        <w:widowControl/>
        <w:spacing w:line="360" w:lineRule="auto"/>
        <w:ind w:firstLine="5903" w:firstLineChars="2800"/>
        <w:rPr>
          <w:b/>
          <w:kern w:val="0"/>
        </w:rPr>
      </w:pPr>
    </w:p>
    <w:p>
      <w:pPr>
        <w:widowControl/>
        <w:wordWrap w:val="0"/>
        <w:spacing w:line="300" w:lineRule="atLeast"/>
        <w:rPr>
          <w:kern w:val="0"/>
        </w:rPr>
      </w:pPr>
    </w:p>
    <w:tbl>
      <w:tblPr>
        <w:tblStyle w:val="27"/>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2604"/>
        <w:gridCol w:w="5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spacing w:line="300" w:lineRule="atLeast"/>
              <w:jc w:val="center"/>
              <w:rPr>
                <w:b/>
                <w:bCs/>
                <w:kern w:val="0"/>
              </w:rPr>
            </w:pPr>
            <w:r>
              <w:rPr>
                <w:rFonts w:hint="eastAsia"/>
                <w:b/>
                <w:bCs/>
                <w:kern w:val="0"/>
              </w:rPr>
              <w:t>总分（分）</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b/>
                <w:bCs/>
                <w:kern w:val="0"/>
              </w:rPr>
            </w:pPr>
            <w:r>
              <w:rPr>
                <w:rFonts w:hint="eastAsia"/>
                <w:b/>
                <w:bCs/>
                <w:kern w:val="0"/>
              </w:rPr>
              <w:t>判断</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b/>
                <w:bCs/>
                <w:kern w:val="0"/>
              </w:rPr>
            </w:pPr>
            <w:r>
              <w:rPr>
                <w:rFonts w:hint="eastAsia"/>
                <w:b/>
                <w:bCs/>
                <w:kern w:val="0"/>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spacing w:line="300" w:lineRule="atLeast"/>
              <w:jc w:val="center"/>
              <w:rPr>
                <w:rFonts w:ascii="宋体" w:hAnsi="宋体"/>
                <w:kern w:val="0"/>
              </w:rPr>
            </w:pPr>
            <w:r>
              <w:rPr>
                <w:rFonts w:hint="eastAsia" w:ascii="宋体" w:hAnsi="宋体"/>
                <w:kern w:val="0"/>
              </w:rPr>
              <w:t>0～4</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无焦虑症</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5～9</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轻微焦虑症</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观察等待：随访时重复GAD-7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10～13</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中度焦虑症</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制定治疗计划，考虑咨询，随访和（或）药物治疗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14～18</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中重度焦虑症</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积极药物治疗和（或）心理治疗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35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19～21</w:t>
            </w:r>
          </w:p>
        </w:tc>
        <w:tc>
          <w:tcPr>
            <w:tcW w:w="2604"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重度焦虑症</w:t>
            </w:r>
          </w:p>
        </w:tc>
        <w:tc>
          <w:tcPr>
            <w:tcW w:w="5074" w:type="dxa"/>
            <w:tcBorders>
              <w:top w:val="single" w:color="auto" w:sz="4" w:space="0"/>
              <w:left w:val="single" w:color="auto" w:sz="4" w:space="0"/>
              <w:bottom w:val="single" w:color="auto" w:sz="4" w:space="0"/>
              <w:right w:val="single" w:color="auto" w:sz="4" w:space="0"/>
            </w:tcBorders>
            <w:vAlign w:val="center"/>
          </w:tcPr>
          <w:p>
            <w:pPr>
              <w:widowControl/>
              <w:wordWrap w:val="0"/>
              <w:rPr>
                <w:rFonts w:ascii="宋体" w:hAnsi="宋体"/>
                <w:kern w:val="0"/>
              </w:rPr>
            </w:pPr>
            <w:r>
              <w:rPr>
                <w:rFonts w:hint="eastAsia" w:ascii="宋体" w:hAnsi="宋体"/>
                <w:kern w:val="0"/>
              </w:rPr>
              <w:t>立即药物治疗，若严重障碍或对治疗无效，建议转至精神心理疾病专家进行心理治疗和（或）综合治疗</w:t>
            </w:r>
          </w:p>
        </w:tc>
      </w:tr>
    </w:tbl>
    <w:p>
      <w:pPr>
        <w:pStyle w:val="57"/>
        <w:ind w:firstLine="420"/>
      </w:pPr>
    </w:p>
    <w:p>
      <w:pPr>
        <w:pStyle w:val="57"/>
        <w:ind w:firstLine="420"/>
      </w:pPr>
    </w:p>
    <w:p>
      <w:pPr>
        <w:pStyle w:val="57"/>
        <w:ind w:firstLine="0" w:firstLineChars="0"/>
      </w:pPr>
      <w:r>
        <w:rPr>
          <w:rFonts w:hint="eastAsia"/>
        </w:rPr>
        <w:t>PHQ-9抑郁症筛查量表见表E.</w:t>
      </w:r>
      <w:r>
        <w:t>2</w:t>
      </w:r>
    </w:p>
    <w:p>
      <w:pPr>
        <w:pStyle w:val="78"/>
        <w:spacing w:before="156" w:after="156"/>
        <w:jc w:val="left"/>
      </w:pPr>
      <w:r>
        <w:rPr>
          <w:rFonts w:hint="eastAsia"/>
        </w:rPr>
        <w:t>PHQ-9抑郁症筛查量表</w:t>
      </w:r>
    </w:p>
    <w:p>
      <w:pPr>
        <w:widowControl/>
        <w:spacing w:line="360" w:lineRule="auto"/>
        <w:ind w:firstLine="420" w:firstLineChars="200"/>
        <w:rPr>
          <w:kern w:val="0"/>
        </w:rPr>
      </w:pPr>
      <w:r>
        <w:rPr>
          <w:rFonts w:hint="eastAsia"/>
          <w:kern w:val="0"/>
        </w:rPr>
        <w:t>在</w:t>
      </w:r>
      <w:r>
        <w:rPr>
          <w:rFonts w:hint="eastAsia"/>
          <w:bCs/>
          <w:kern w:val="0"/>
        </w:rPr>
        <w:t>过去的两周</w:t>
      </w:r>
      <w:r>
        <w:rPr>
          <w:rFonts w:hint="eastAsia"/>
          <w:kern w:val="0"/>
        </w:rPr>
        <w:t>内，您生活中下述症状出现的频率有多少次？把相应的数字总合加起来。</w:t>
      </w:r>
    </w:p>
    <w:tbl>
      <w:tblPr>
        <w:tblStyle w:val="27"/>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3885"/>
        <w:gridCol w:w="735"/>
        <w:gridCol w:w="945"/>
        <w:gridCol w:w="126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rPr>
            </w:pPr>
            <w:r>
              <w:rPr>
                <w:rFonts w:hint="eastAsia" w:eastAsia="黑体"/>
                <w:kern w:val="0"/>
              </w:rPr>
              <w:t>序号</w:t>
            </w:r>
          </w:p>
        </w:tc>
        <w:tc>
          <w:tcPr>
            <w:tcW w:w="3885"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eastAsia="黑体"/>
                <w:kern w:val="0"/>
              </w:rPr>
            </w:pPr>
            <w:r>
              <w:rPr>
                <w:rFonts w:hint="eastAsia" w:eastAsia="黑体"/>
                <w:kern w:val="0"/>
              </w:rPr>
              <w:t>项目</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rPr>
            </w:pPr>
            <w:r>
              <w:rPr>
                <w:rFonts w:hint="eastAsia" w:eastAsia="黑体"/>
                <w:kern w:val="0"/>
              </w:rPr>
              <w:t>没有</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rPr>
            </w:pPr>
            <w:r>
              <w:rPr>
                <w:rFonts w:hint="eastAsia" w:eastAsia="黑体"/>
                <w:kern w:val="0"/>
              </w:rPr>
              <w:t>有几天</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rPr>
                <w:rFonts w:eastAsia="黑体"/>
                <w:kern w:val="0"/>
              </w:rPr>
            </w:pPr>
            <w:r>
              <w:rPr>
                <w:rFonts w:hint="eastAsia" w:eastAsia="黑体"/>
                <w:kern w:val="0"/>
              </w:rPr>
              <w:t>一半以上时间</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rPr>
            </w:pPr>
            <w:r>
              <w:rPr>
                <w:rFonts w:hint="eastAsia" w:eastAsia="黑体"/>
                <w:kern w:val="0"/>
              </w:rPr>
              <w:t>几乎每日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1</w:t>
            </w:r>
          </w:p>
        </w:tc>
        <w:tc>
          <w:tcPr>
            <w:tcW w:w="388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做事时提不起劲或无兴趣</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2</w:t>
            </w:r>
          </w:p>
        </w:tc>
        <w:tc>
          <w:tcPr>
            <w:tcW w:w="388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感到心情低落、沮丧或绝望</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3</w:t>
            </w:r>
          </w:p>
        </w:tc>
        <w:tc>
          <w:tcPr>
            <w:tcW w:w="388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入睡困难、睡不安或睡得过多</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4</w:t>
            </w:r>
          </w:p>
        </w:tc>
        <w:tc>
          <w:tcPr>
            <w:tcW w:w="388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感觉疲倦或无活力</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5</w:t>
            </w:r>
          </w:p>
        </w:tc>
        <w:tc>
          <w:tcPr>
            <w:tcW w:w="3885" w:type="dxa"/>
            <w:tcBorders>
              <w:top w:val="single" w:color="auto" w:sz="4" w:space="0"/>
              <w:left w:val="single" w:color="auto" w:sz="4" w:space="0"/>
              <w:bottom w:val="single" w:color="auto" w:sz="4" w:space="0"/>
              <w:right w:val="single" w:color="auto" w:sz="4" w:space="0"/>
            </w:tcBorders>
          </w:tcPr>
          <w:p>
            <w:pPr>
              <w:widowControl/>
              <w:spacing w:line="360" w:lineRule="auto"/>
              <w:rPr>
                <w:rFonts w:ascii="宋体" w:hAnsi="宋体"/>
                <w:kern w:val="0"/>
              </w:rPr>
            </w:pPr>
            <w:r>
              <w:rPr>
                <w:rFonts w:hint="eastAsia" w:ascii="宋体" w:hAnsi="宋体"/>
                <w:kern w:val="0"/>
              </w:rPr>
              <w:t>食欲不振或吃太多</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6</w:t>
            </w:r>
          </w:p>
        </w:tc>
        <w:tc>
          <w:tcPr>
            <w:tcW w:w="3885" w:type="dxa"/>
            <w:tcBorders>
              <w:top w:val="single" w:color="auto" w:sz="4" w:space="0"/>
              <w:left w:val="single" w:color="auto" w:sz="4" w:space="0"/>
              <w:bottom w:val="single" w:color="auto" w:sz="4" w:space="0"/>
              <w:right w:val="single" w:color="auto" w:sz="4" w:space="0"/>
            </w:tcBorders>
          </w:tcPr>
          <w:p>
            <w:pPr>
              <w:widowControl/>
              <w:rPr>
                <w:rFonts w:ascii="宋体" w:hAnsi="宋体"/>
                <w:kern w:val="0"/>
              </w:rPr>
            </w:pPr>
            <w:r>
              <w:rPr>
                <w:rFonts w:hint="eastAsia" w:ascii="宋体" w:hAnsi="宋体"/>
                <w:kern w:val="0"/>
              </w:rPr>
              <w:t>觉得自己很糟或很失败，或让自己、家人失望</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7</w:t>
            </w:r>
          </w:p>
        </w:tc>
        <w:tc>
          <w:tcPr>
            <w:tcW w:w="3885" w:type="dxa"/>
            <w:tcBorders>
              <w:top w:val="single" w:color="auto" w:sz="4" w:space="0"/>
              <w:left w:val="single" w:color="auto" w:sz="4" w:space="0"/>
              <w:bottom w:val="single" w:color="auto" w:sz="4" w:space="0"/>
              <w:right w:val="single" w:color="auto" w:sz="4" w:space="0"/>
            </w:tcBorders>
          </w:tcPr>
          <w:p>
            <w:pPr>
              <w:widowControl/>
              <w:rPr>
                <w:rFonts w:ascii="宋体" w:hAnsi="宋体"/>
                <w:kern w:val="0"/>
              </w:rPr>
            </w:pPr>
            <w:r>
              <w:rPr>
                <w:rFonts w:hint="eastAsia" w:ascii="宋体" w:hAnsi="宋体"/>
                <w:kern w:val="0"/>
              </w:rPr>
              <w:t>对事物专注有困难，如看报纸或看电视时</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8</w:t>
            </w:r>
          </w:p>
        </w:tc>
        <w:tc>
          <w:tcPr>
            <w:tcW w:w="3885" w:type="dxa"/>
            <w:tcBorders>
              <w:top w:val="single" w:color="auto" w:sz="4" w:space="0"/>
              <w:left w:val="single" w:color="auto" w:sz="4" w:space="0"/>
              <w:bottom w:val="single" w:color="auto" w:sz="4" w:space="0"/>
              <w:right w:val="single" w:color="auto" w:sz="4" w:space="0"/>
            </w:tcBorders>
          </w:tcPr>
          <w:p>
            <w:pPr>
              <w:widowControl/>
              <w:rPr>
                <w:rFonts w:ascii="宋体" w:hAnsi="宋体"/>
                <w:kern w:val="0"/>
              </w:rPr>
            </w:pPr>
            <w:r>
              <w:rPr>
                <w:rFonts w:hint="eastAsia" w:ascii="宋体" w:hAnsi="宋体"/>
                <w:kern w:val="0"/>
              </w:rPr>
              <w:t>行动或说话速度缓慢到别人已经察觉？或刚好相反——变得比平日更烦躁或坐立不安，动来动去</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kern w:val="0"/>
              </w:rPr>
            </w:pPr>
            <w:r>
              <w:rPr>
                <w:rFonts w:hint="eastAsia" w:ascii="宋体" w:hAnsi="宋体"/>
                <w:kern w:val="0"/>
              </w:rPr>
              <w:t>9</w:t>
            </w:r>
          </w:p>
        </w:tc>
        <w:tc>
          <w:tcPr>
            <w:tcW w:w="3885" w:type="dxa"/>
            <w:tcBorders>
              <w:top w:val="single" w:color="auto" w:sz="4" w:space="0"/>
              <w:left w:val="single" w:color="auto" w:sz="4" w:space="0"/>
              <w:bottom w:val="single" w:color="auto" w:sz="4" w:space="0"/>
              <w:right w:val="single" w:color="auto" w:sz="4" w:space="0"/>
            </w:tcBorders>
          </w:tcPr>
          <w:p>
            <w:pPr>
              <w:widowControl/>
              <w:rPr>
                <w:rFonts w:ascii="宋体" w:hAnsi="宋体"/>
                <w:kern w:val="0"/>
              </w:rPr>
            </w:pPr>
            <w:r>
              <w:rPr>
                <w:rFonts w:hint="eastAsia" w:ascii="宋体" w:hAnsi="宋体"/>
                <w:kern w:val="0"/>
              </w:rPr>
              <w:t>有不如死亡或用某种方式伤害自己的念头</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0</w:t>
            </w:r>
          </w:p>
        </w:tc>
        <w:tc>
          <w:tcPr>
            <w:tcW w:w="9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1</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宋体" w:hAnsi="宋体"/>
                <w:kern w:val="0"/>
              </w:rPr>
            </w:pPr>
            <w:r>
              <w:rPr>
                <w:rFonts w:hint="eastAsia" w:ascii="宋体" w:hAnsi="宋体"/>
                <w:kern w:val="0"/>
              </w:rPr>
              <w:t>2</w:t>
            </w:r>
          </w:p>
        </w:tc>
        <w:tc>
          <w:tcPr>
            <w:tcW w:w="124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kern w:val="0"/>
              </w:rPr>
            </w:pPr>
            <w:r>
              <w:rPr>
                <w:rFonts w:hint="eastAsia" w:ascii="宋体" w:hAnsi="宋体"/>
                <w:kern w:val="0"/>
              </w:rPr>
              <w:t>3</w:t>
            </w:r>
          </w:p>
        </w:tc>
      </w:tr>
    </w:tbl>
    <w:p>
      <w:pPr>
        <w:widowControl/>
        <w:spacing w:line="360" w:lineRule="auto"/>
        <w:ind w:firstLine="5903" w:firstLineChars="2800"/>
        <w:rPr>
          <w:rFonts w:ascii="Times New Roman" w:hAnsi="Times New Roman"/>
          <w:kern w:val="0"/>
          <w:u w:val="single"/>
        </w:rPr>
      </w:pPr>
      <w:r>
        <w:rPr>
          <w:rFonts w:hint="eastAsia"/>
          <w:b/>
          <w:kern w:val="0"/>
        </w:rPr>
        <w:t>总分：</w:t>
      </w:r>
      <w:r>
        <w:rPr>
          <w:kern w:val="0"/>
          <w:u w:val="single"/>
        </w:rPr>
        <w:t xml:space="preserve">     </w:t>
      </w:r>
    </w:p>
    <w:p>
      <w:pPr>
        <w:widowControl/>
        <w:spacing w:line="360" w:lineRule="auto"/>
        <w:ind w:firstLine="5880" w:firstLineChars="2800"/>
        <w:rPr>
          <w:kern w:val="0"/>
          <w:u w:val="single"/>
        </w:rPr>
      </w:pPr>
    </w:p>
    <w:p>
      <w:pPr>
        <w:widowControl/>
        <w:spacing w:line="360" w:lineRule="auto"/>
        <w:ind w:firstLine="5880" w:firstLineChars="2800"/>
        <w:rPr>
          <w:kern w:val="0"/>
          <w:u w:val="single"/>
        </w:rPr>
      </w:pPr>
    </w:p>
    <w:tbl>
      <w:tblPr>
        <w:tblStyle w:val="27"/>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2572"/>
        <w:gridCol w:w="5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spacing w:line="300" w:lineRule="atLeast"/>
              <w:jc w:val="center"/>
              <w:rPr>
                <w:b/>
                <w:bCs/>
                <w:kern w:val="0"/>
              </w:rPr>
            </w:pPr>
            <w:r>
              <w:rPr>
                <w:rFonts w:hint="eastAsia"/>
                <w:b/>
                <w:bCs/>
                <w:kern w:val="0"/>
              </w:rPr>
              <w:t>总分</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b/>
                <w:bCs/>
                <w:kern w:val="0"/>
              </w:rPr>
            </w:pPr>
            <w:r>
              <w:rPr>
                <w:rFonts w:hint="eastAsia"/>
                <w:b/>
                <w:bCs/>
                <w:kern w:val="0"/>
              </w:rPr>
              <w:t>判断</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b/>
                <w:bCs/>
                <w:kern w:val="0"/>
              </w:rPr>
            </w:pPr>
            <w:r>
              <w:rPr>
                <w:rFonts w:hint="eastAsia"/>
                <w:b/>
                <w:bCs/>
                <w:kern w:val="0"/>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spacing w:line="300" w:lineRule="atLeast"/>
              <w:jc w:val="center"/>
              <w:rPr>
                <w:rFonts w:ascii="宋体" w:hAnsi="宋体"/>
                <w:kern w:val="0"/>
              </w:rPr>
            </w:pPr>
            <w:r>
              <w:rPr>
                <w:rFonts w:hint="eastAsia" w:ascii="宋体" w:hAnsi="宋体"/>
                <w:kern w:val="0"/>
              </w:rPr>
              <w:t>0～4</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无抑郁症</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5～9</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轻微抑郁症</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观察等待：随访时重复PHQ-9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10～14</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中度抑郁症</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制定治疗计划，考虑咨询，随访和（或）药物治疗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15～19</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中重度抑郁症</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积极药物治疗和（或）心理治疗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338"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jc w:val="center"/>
              <w:rPr>
                <w:rFonts w:ascii="宋体" w:hAnsi="宋体"/>
                <w:kern w:val="0"/>
              </w:rPr>
            </w:pPr>
            <w:r>
              <w:rPr>
                <w:rFonts w:hint="eastAsia" w:ascii="宋体" w:hAnsi="宋体"/>
                <w:kern w:val="0"/>
              </w:rPr>
              <w:t>20～27</w:t>
            </w:r>
          </w:p>
        </w:tc>
        <w:tc>
          <w:tcPr>
            <w:tcW w:w="2572"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重度抑郁症</w:t>
            </w:r>
          </w:p>
        </w:tc>
        <w:tc>
          <w:tcPr>
            <w:tcW w:w="5015" w:type="dxa"/>
            <w:tcBorders>
              <w:top w:val="single" w:color="auto" w:sz="4" w:space="0"/>
              <w:left w:val="single" w:color="auto" w:sz="4" w:space="0"/>
              <w:bottom w:val="single" w:color="auto" w:sz="4" w:space="0"/>
              <w:right w:val="single" w:color="auto" w:sz="4" w:space="0"/>
            </w:tcBorders>
            <w:vAlign w:val="center"/>
          </w:tcPr>
          <w:p>
            <w:pPr>
              <w:widowControl/>
              <w:wordWrap w:val="0"/>
              <w:spacing w:line="300" w:lineRule="atLeast"/>
              <w:rPr>
                <w:rFonts w:ascii="宋体" w:hAnsi="宋体"/>
                <w:kern w:val="0"/>
              </w:rPr>
            </w:pPr>
            <w:r>
              <w:rPr>
                <w:rFonts w:hint="eastAsia" w:ascii="宋体" w:hAnsi="宋体"/>
                <w:kern w:val="0"/>
              </w:rPr>
              <w:t>立即药物治疗，若严重障碍或对治疗无效，建议转至精神心理疾病专家进行心理治疗和（或）综合治疗</w:t>
            </w:r>
          </w:p>
        </w:tc>
      </w:tr>
    </w:tbl>
    <w:p>
      <w:pPr>
        <w:rPr>
          <w:b/>
          <w:bCs/>
          <w:kern w:val="0"/>
        </w:rPr>
      </w:pPr>
      <w:r>
        <w:rPr>
          <w:b/>
          <w:bCs/>
          <w:kern w:val="0"/>
        </w:rPr>
        <w:br w:type="page"/>
      </w:r>
      <w:bookmarkStart w:id="46" w:name="BookMark7"/>
    </w:p>
    <w:bookmarkEnd w:id="44"/>
    <w:p>
      <w:pPr>
        <w:pStyle w:val="64"/>
        <w:spacing w:after="156"/>
      </w:pPr>
      <w:bookmarkStart w:id="47" w:name="BookMark6"/>
      <w:r>
        <w:rPr>
          <w:rFonts w:hint="eastAsia"/>
          <w:spacing w:val="105"/>
        </w:rPr>
        <w:t>参考文</w:t>
      </w:r>
      <w:r>
        <w:rPr>
          <w:rFonts w:hint="eastAsia"/>
        </w:rPr>
        <w:t>献</w:t>
      </w:r>
    </w:p>
    <w:p>
      <w:pPr>
        <w:pStyle w:val="57"/>
        <w:ind w:firstLine="0" w:firstLineChars="0"/>
        <w:rPr>
          <w:rFonts w:hAnsi="宋体"/>
          <w:szCs w:val="21"/>
        </w:rPr>
      </w:pPr>
      <w:r>
        <w:rPr>
          <w:rFonts w:hAnsi="宋体"/>
          <w:szCs w:val="21"/>
        </w:rPr>
        <w:t>[1] 中华人民共和国国家卫生健康委员会.</w:t>
      </w:r>
      <w:r>
        <w:rPr>
          <w:rFonts w:hAnsi="宋体"/>
          <w:color w:val="333333"/>
          <w:szCs w:val="21"/>
          <w:shd w:val="clear" w:color="auto" w:fill="FFFFFF"/>
        </w:rPr>
        <w:t>癌症疼痛诊疗规范(2018年版)[J].临床肿瘤学杂志,2018,(10):937-944.</w:t>
      </w:r>
    </w:p>
    <w:bookmarkEnd w:id="47"/>
    <w:p>
      <w:pPr>
        <w:rPr>
          <w:rFonts w:ascii="宋体" w:hAnsi="宋体"/>
        </w:rPr>
      </w:pPr>
      <w:r>
        <w:rPr>
          <w:rFonts w:ascii="宋体" w:hAnsi="宋体"/>
        </w:rPr>
        <w:t>[2] 沈波,杨扬,申文等.江苏省成人癌症疼痛诊疗规范（2020年版）[J].中国肿瘤临床,2020,47(07):325-333+1-18.</w:t>
      </w:r>
    </w:p>
    <w:p>
      <w:pPr>
        <w:rPr>
          <w:rFonts w:ascii="宋体" w:hAnsi="宋体"/>
        </w:rPr>
      </w:pPr>
      <w:r>
        <w:rPr>
          <w:rFonts w:ascii="宋体" w:hAnsi="宋体"/>
        </w:rPr>
        <w:t>[3] 孟爱风.江苏省成人癌症疼痛护理规范(2020版)[J].医药高职教育与现代护理,2020,3(04):229-244.</w:t>
      </w:r>
    </w:p>
    <w:p>
      <w:pPr>
        <w:rPr>
          <w:rFonts w:ascii="宋体" w:hAnsi="宋体"/>
          <w:b/>
          <w:bCs/>
          <w:kern w:val="0"/>
        </w:rPr>
      </w:pPr>
      <w:r>
        <w:rPr>
          <w:rFonts w:ascii="宋体" w:hAnsi="宋体"/>
        </w:rPr>
        <w:t>[4] 中华人民共和国药品管理法（中华人民共和国主席令第三十一号）</w:t>
      </w:r>
    </w:p>
    <w:p>
      <w:pPr>
        <w:pStyle w:val="57"/>
        <w:ind w:firstLine="0" w:firstLineChars="0"/>
        <w:rPr>
          <w:rFonts w:hAnsi="宋体"/>
        </w:rPr>
      </w:pPr>
      <w:r>
        <w:rPr>
          <w:rFonts w:hAnsi="宋体"/>
        </w:rPr>
        <w:t>[5] 处方管理办法（中华人民共和国卫生部令第53号）</w:t>
      </w:r>
    </w:p>
    <w:p>
      <w:pPr>
        <w:pStyle w:val="57"/>
        <w:ind w:firstLine="0" w:firstLineChars="0"/>
        <w:rPr>
          <w:rFonts w:hAnsi="宋体"/>
        </w:rPr>
      </w:pPr>
      <w:r>
        <w:rPr>
          <w:rFonts w:hAnsi="宋体"/>
        </w:rPr>
        <w:t>[6] 医疗机构麻醉药品、第一精神药品管理规范（卫医发</w:t>
      </w:r>
      <w:r>
        <w:rPr>
          <w:rFonts w:hint="eastAsia" w:hAnsi="宋体"/>
        </w:rPr>
        <w:t>〔2</w:t>
      </w:r>
      <w:r>
        <w:rPr>
          <w:rFonts w:hAnsi="宋体"/>
        </w:rPr>
        <w:t>005</w:t>
      </w:r>
      <w:r>
        <w:rPr>
          <w:rFonts w:hint="eastAsia" w:hAnsi="宋体"/>
        </w:rPr>
        <w:t>〕</w:t>
      </w:r>
      <w:r>
        <w:rPr>
          <w:rFonts w:hAnsi="宋体"/>
        </w:rPr>
        <w:t>438号）</w:t>
      </w:r>
    </w:p>
    <w:p>
      <w:pPr>
        <w:pStyle w:val="57"/>
        <w:ind w:firstLine="0" w:firstLineChars="0"/>
        <w:rPr>
          <w:rFonts w:hAnsi="宋体"/>
        </w:rPr>
      </w:pPr>
      <w:r>
        <w:rPr>
          <w:rFonts w:hAnsi="宋体"/>
        </w:rPr>
        <w:t>[7] 麻醉药品临床应用指导原则（卫医发</w:t>
      </w:r>
      <w:r>
        <w:rPr>
          <w:rFonts w:hint="eastAsia" w:hAnsi="宋体"/>
        </w:rPr>
        <w:t>〔2</w:t>
      </w:r>
      <w:r>
        <w:rPr>
          <w:rFonts w:hAnsi="宋体"/>
        </w:rPr>
        <w:t>007</w:t>
      </w:r>
      <w:r>
        <w:rPr>
          <w:rFonts w:hint="eastAsia" w:hAnsi="宋体"/>
        </w:rPr>
        <w:t>〕</w:t>
      </w:r>
      <w:r>
        <w:rPr>
          <w:rFonts w:hAnsi="宋体"/>
        </w:rPr>
        <w:t>38号）</w:t>
      </w:r>
    </w:p>
    <w:p>
      <w:pPr>
        <w:pStyle w:val="57"/>
        <w:ind w:firstLine="0" w:firstLineChars="0"/>
        <w:rPr>
          <w:rFonts w:hAnsi="宋体"/>
        </w:rPr>
      </w:pPr>
      <w:r>
        <w:rPr>
          <w:rFonts w:hAnsi="宋体"/>
        </w:rPr>
        <w:t>[8] 卫生部医政司关于印发 《癌痛规范化治疗示范病房标准（2011版）》 的通知（卫医政疗便函</w:t>
      </w:r>
      <w:r>
        <w:rPr>
          <w:rFonts w:hint="eastAsia" w:hAnsi="宋体"/>
        </w:rPr>
        <w:t>〔2</w:t>
      </w:r>
      <w:r>
        <w:rPr>
          <w:rFonts w:hAnsi="宋体"/>
        </w:rPr>
        <w:t>011</w:t>
      </w:r>
      <w:r>
        <w:rPr>
          <w:rFonts w:hint="eastAsia" w:hAnsi="宋体"/>
        </w:rPr>
        <w:t>〕</w:t>
      </w:r>
      <w:r>
        <w:rPr>
          <w:rFonts w:hAnsi="宋体"/>
        </w:rPr>
        <w:t>178号）</w:t>
      </w:r>
    </w:p>
    <w:p>
      <w:pPr>
        <w:pStyle w:val="57"/>
        <w:ind w:firstLine="0" w:firstLineChars="0"/>
        <w:rPr>
          <w:rFonts w:hAnsi="宋体"/>
        </w:rPr>
      </w:pPr>
    </w:p>
    <w:bookmarkEnd w:id="46"/>
    <w:p>
      <w:pPr>
        <w:pStyle w:val="57"/>
        <w:ind w:firstLine="0" w:firstLineChars="0"/>
        <w:jc w:val="center"/>
        <w:rPr>
          <w:rFonts w:ascii="Times New Roman"/>
        </w:rPr>
      </w:pPr>
      <w:bookmarkStart w:id="48" w:name="BookMark8"/>
      <w:r>
        <w:rPr>
          <w:rFonts w:ascii="Times New Roman"/>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3119"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zkcFvde8Bw+Y/TGqsvyhwROViy9/TNtDwff7zSyOGguRrvziOUJeZH2LwRnT9tiGRfUMN/RtNA66wE/3vKXLeA==" w:salt="JKc0a/g9lYl12N5qPJqbZ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cxNjW3MLA0MzU2NrRQ0lEKTi0uzszPAykwrgUAAu8CSSwAAAA="/>
    <w:docVar w:name="commondata" w:val="eyJoZGlkIjoiNmVmNDNkOWUxODQ5YzRjYzI2Mjk0ZTQ4NGE4MDc3ZDUifQ=="/>
  </w:docVars>
  <w:rsids>
    <w:rsidRoot w:val="00F16404"/>
    <w:rsid w:val="0000040A"/>
    <w:rsid w:val="00000A94"/>
    <w:rsid w:val="00001972"/>
    <w:rsid w:val="00001D9A"/>
    <w:rsid w:val="00007B3A"/>
    <w:rsid w:val="000107E0"/>
    <w:rsid w:val="00011FDE"/>
    <w:rsid w:val="00012D68"/>
    <w:rsid w:val="00012E31"/>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18"/>
    <w:rsid w:val="00044286"/>
    <w:rsid w:val="00047F28"/>
    <w:rsid w:val="000503AA"/>
    <w:rsid w:val="000506A1"/>
    <w:rsid w:val="000515DD"/>
    <w:rsid w:val="0005265A"/>
    <w:rsid w:val="00053489"/>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AB7"/>
    <w:rsid w:val="00090CA6"/>
    <w:rsid w:val="0009105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5E5"/>
    <w:rsid w:val="000B77DD"/>
    <w:rsid w:val="000C0F6C"/>
    <w:rsid w:val="000C11DB"/>
    <w:rsid w:val="000C1492"/>
    <w:rsid w:val="000C2FBD"/>
    <w:rsid w:val="000C4B41"/>
    <w:rsid w:val="000C57D6"/>
    <w:rsid w:val="000C6362"/>
    <w:rsid w:val="000C7666"/>
    <w:rsid w:val="000D0A9C"/>
    <w:rsid w:val="000D1083"/>
    <w:rsid w:val="000D1795"/>
    <w:rsid w:val="000D329A"/>
    <w:rsid w:val="000D4B9C"/>
    <w:rsid w:val="000D4EB6"/>
    <w:rsid w:val="000D753B"/>
    <w:rsid w:val="000E4C9E"/>
    <w:rsid w:val="000E6FD7"/>
    <w:rsid w:val="000F06E1"/>
    <w:rsid w:val="000F0E3C"/>
    <w:rsid w:val="000F13BF"/>
    <w:rsid w:val="000F19D5"/>
    <w:rsid w:val="000F4AEA"/>
    <w:rsid w:val="000F633F"/>
    <w:rsid w:val="000F67E9"/>
    <w:rsid w:val="000F69A0"/>
    <w:rsid w:val="000F74FE"/>
    <w:rsid w:val="00101821"/>
    <w:rsid w:val="00104926"/>
    <w:rsid w:val="00113B1E"/>
    <w:rsid w:val="0011711C"/>
    <w:rsid w:val="0012059C"/>
    <w:rsid w:val="001210E4"/>
    <w:rsid w:val="00124E4F"/>
    <w:rsid w:val="001260B7"/>
    <w:rsid w:val="001265CB"/>
    <w:rsid w:val="001321C6"/>
    <w:rsid w:val="001325C4"/>
    <w:rsid w:val="00133010"/>
    <w:rsid w:val="001338EE"/>
    <w:rsid w:val="00133AAE"/>
    <w:rsid w:val="00134EFF"/>
    <w:rsid w:val="00135323"/>
    <w:rsid w:val="00135559"/>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31B"/>
    <w:rsid w:val="001852C9"/>
    <w:rsid w:val="00190087"/>
    <w:rsid w:val="001913C4"/>
    <w:rsid w:val="0019348F"/>
    <w:rsid w:val="00193A07"/>
    <w:rsid w:val="0019404A"/>
    <w:rsid w:val="00194459"/>
    <w:rsid w:val="00194C95"/>
    <w:rsid w:val="00195C34"/>
    <w:rsid w:val="00196EF5"/>
    <w:rsid w:val="001A1A53"/>
    <w:rsid w:val="001A234A"/>
    <w:rsid w:val="001A4CF3"/>
    <w:rsid w:val="001B06E8"/>
    <w:rsid w:val="001B71D0"/>
    <w:rsid w:val="001B71EE"/>
    <w:rsid w:val="001B7D42"/>
    <w:rsid w:val="001C04A8"/>
    <w:rsid w:val="001C2C03"/>
    <w:rsid w:val="001C42F7"/>
    <w:rsid w:val="001C49E5"/>
    <w:rsid w:val="001C4CDC"/>
    <w:rsid w:val="001C680C"/>
    <w:rsid w:val="001C7FEA"/>
    <w:rsid w:val="001D0499"/>
    <w:rsid w:val="001D0BBE"/>
    <w:rsid w:val="001D0ED4"/>
    <w:rsid w:val="001D212F"/>
    <w:rsid w:val="001D29D7"/>
    <w:rsid w:val="001D2DE7"/>
    <w:rsid w:val="001D411C"/>
    <w:rsid w:val="001D75F5"/>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DF9"/>
    <w:rsid w:val="00210B15"/>
    <w:rsid w:val="002142EA"/>
    <w:rsid w:val="00214F68"/>
    <w:rsid w:val="002204BB"/>
    <w:rsid w:val="00221B79"/>
    <w:rsid w:val="00221C6B"/>
    <w:rsid w:val="00223EF8"/>
    <w:rsid w:val="002253A1"/>
    <w:rsid w:val="00225CF8"/>
    <w:rsid w:val="0022794E"/>
    <w:rsid w:val="00231087"/>
    <w:rsid w:val="00233D64"/>
    <w:rsid w:val="002347BE"/>
    <w:rsid w:val="0023482A"/>
    <w:rsid w:val="002359CB"/>
    <w:rsid w:val="00240C59"/>
    <w:rsid w:val="00243540"/>
    <w:rsid w:val="0024497B"/>
    <w:rsid w:val="0024515B"/>
    <w:rsid w:val="00246021"/>
    <w:rsid w:val="0024666E"/>
    <w:rsid w:val="00247F52"/>
    <w:rsid w:val="00250B25"/>
    <w:rsid w:val="00250BBE"/>
    <w:rsid w:val="002515C2"/>
    <w:rsid w:val="0025194F"/>
    <w:rsid w:val="00255E1A"/>
    <w:rsid w:val="002562CB"/>
    <w:rsid w:val="0026148A"/>
    <w:rsid w:val="00262696"/>
    <w:rsid w:val="00263D25"/>
    <w:rsid w:val="002643C3"/>
    <w:rsid w:val="00264A0C"/>
    <w:rsid w:val="00264D0D"/>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13B"/>
    <w:rsid w:val="002C3F07"/>
    <w:rsid w:val="002C5278"/>
    <w:rsid w:val="002C7EBB"/>
    <w:rsid w:val="002D06C1"/>
    <w:rsid w:val="002D42B5"/>
    <w:rsid w:val="002D4F1A"/>
    <w:rsid w:val="002D6EC6"/>
    <w:rsid w:val="002D79AC"/>
    <w:rsid w:val="002E039D"/>
    <w:rsid w:val="002E4D5A"/>
    <w:rsid w:val="002E6326"/>
    <w:rsid w:val="002F1FD1"/>
    <w:rsid w:val="002F30E0"/>
    <w:rsid w:val="002F35E4"/>
    <w:rsid w:val="002F3730"/>
    <w:rsid w:val="002F38E1"/>
    <w:rsid w:val="002F7AF6"/>
    <w:rsid w:val="00300E63"/>
    <w:rsid w:val="00302F5F"/>
    <w:rsid w:val="0030441D"/>
    <w:rsid w:val="00306063"/>
    <w:rsid w:val="003069BF"/>
    <w:rsid w:val="00313B85"/>
    <w:rsid w:val="00317988"/>
    <w:rsid w:val="003221B4"/>
    <w:rsid w:val="0032258D"/>
    <w:rsid w:val="00322E62"/>
    <w:rsid w:val="00324D13"/>
    <w:rsid w:val="00324D2A"/>
    <w:rsid w:val="00324EDD"/>
    <w:rsid w:val="00330665"/>
    <w:rsid w:val="003331E4"/>
    <w:rsid w:val="00336C64"/>
    <w:rsid w:val="00337162"/>
    <w:rsid w:val="00340583"/>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DDB"/>
    <w:rsid w:val="00376713"/>
    <w:rsid w:val="00376CF8"/>
    <w:rsid w:val="00380195"/>
    <w:rsid w:val="00380D54"/>
    <w:rsid w:val="00381815"/>
    <w:rsid w:val="003819AF"/>
    <w:rsid w:val="003820E9"/>
    <w:rsid w:val="00382DE7"/>
    <w:rsid w:val="0038300C"/>
    <w:rsid w:val="00384FFC"/>
    <w:rsid w:val="003872FC"/>
    <w:rsid w:val="00387ADC"/>
    <w:rsid w:val="00390020"/>
    <w:rsid w:val="003903D6"/>
    <w:rsid w:val="00390EE6"/>
    <w:rsid w:val="0039118F"/>
    <w:rsid w:val="00392AD7"/>
    <w:rsid w:val="003938D9"/>
    <w:rsid w:val="003941AB"/>
    <w:rsid w:val="00394376"/>
    <w:rsid w:val="003943FF"/>
    <w:rsid w:val="00395700"/>
    <w:rsid w:val="00396865"/>
    <w:rsid w:val="003974EB"/>
    <w:rsid w:val="00397CC5"/>
    <w:rsid w:val="003A1582"/>
    <w:rsid w:val="003A1B73"/>
    <w:rsid w:val="003A405B"/>
    <w:rsid w:val="003A4077"/>
    <w:rsid w:val="003B09AD"/>
    <w:rsid w:val="003B1F18"/>
    <w:rsid w:val="003B54EB"/>
    <w:rsid w:val="003B5BF0"/>
    <w:rsid w:val="003B60BF"/>
    <w:rsid w:val="003B6BE3"/>
    <w:rsid w:val="003C010C"/>
    <w:rsid w:val="003C0A6C"/>
    <w:rsid w:val="003C14F8"/>
    <w:rsid w:val="003C28FC"/>
    <w:rsid w:val="003C366A"/>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43F"/>
    <w:rsid w:val="003F23D3"/>
    <w:rsid w:val="003F2B6A"/>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31F"/>
    <w:rsid w:val="004467FB"/>
    <w:rsid w:val="00452D6B"/>
    <w:rsid w:val="00454484"/>
    <w:rsid w:val="0045517B"/>
    <w:rsid w:val="00462BCA"/>
    <w:rsid w:val="00463B77"/>
    <w:rsid w:val="00463C7B"/>
    <w:rsid w:val="004644A6"/>
    <w:rsid w:val="004659BD"/>
    <w:rsid w:val="00470775"/>
    <w:rsid w:val="00471256"/>
    <w:rsid w:val="00472124"/>
    <w:rsid w:val="004736EF"/>
    <w:rsid w:val="00473DDF"/>
    <w:rsid w:val="004746B1"/>
    <w:rsid w:val="0047583F"/>
    <w:rsid w:val="00475DE8"/>
    <w:rsid w:val="00475F62"/>
    <w:rsid w:val="00480EBE"/>
    <w:rsid w:val="00481B7E"/>
    <w:rsid w:val="00481C44"/>
    <w:rsid w:val="00484936"/>
    <w:rsid w:val="00485C89"/>
    <w:rsid w:val="00486BE3"/>
    <w:rsid w:val="00486D1C"/>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726"/>
    <w:rsid w:val="004C1FBC"/>
    <w:rsid w:val="004C21A5"/>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78"/>
    <w:rsid w:val="00551F6F"/>
    <w:rsid w:val="00555044"/>
    <w:rsid w:val="00557C64"/>
    <w:rsid w:val="00561475"/>
    <w:rsid w:val="0056487B"/>
    <w:rsid w:val="00564FB9"/>
    <w:rsid w:val="005708C7"/>
    <w:rsid w:val="00572044"/>
    <w:rsid w:val="00573D9E"/>
    <w:rsid w:val="00577178"/>
    <w:rsid w:val="005801E3"/>
    <w:rsid w:val="00581802"/>
    <w:rsid w:val="00581C36"/>
    <w:rsid w:val="005836A8"/>
    <w:rsid w:val="0058409C"/>
    <w:rsid w:val="00584262"/>
    <w:rsid w:val="00585E95"/>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9AC"/>
    <w:rsid w:val="006015CE"/>
    <w:rsid w:val="00604784"/>
    <w:rsid w:val="00606419"/>
    <w:rsid w:val="00607D29"/>
    <w:rsid w:val="00612952"/>
    <w:rsid w:val="00614CC1"/>
    <w:rsid w:val="00615A9D"/>
    <w:rsid w:val="00617387"/>
    <w:rsid w:val="006205D6"/>
    <w:rsid w:val="006252D8"/>
    <w:rsid w:val="006259BC"/>
    <w:rsid w:val="0062636B"/>
    <w:rsid w:val="00630830"/>
    <w:rsid w:val="00632182"/>
    <w:rsid w:val="00632283"/>
    <w:rsid w:val="00632AE0"/>
    <w:rsid w:val="00633C17"/>
    <w:rsid w:val="00634D9E"/>
    <w:rsid w:val="00636E3E"/>
    <w:rsid w:val="006379F7"/>
    <w:rsid w:val="00637BBD"/>
    <w:rsid w:val="00637E4D"/>
    <w:rsid w:val="00640620"/>
    <w:rsid w:val="00641A1F"/>
    <w:rsid w:val="00645904"/>
    <w:rsid w:val="00651ACB"/>
    <w:rsid w:val="00651C47"/>
    <w:rsid w:val="00652A80"/>
    <w:rsid w:val="00652AB2"/>
    <w:rsid w:val="00653FED"/>
    <w:rsid w:val="00654EC0"/>
    <w:rsid w:val="0065525B"/>
    <w:rsid w:val="00655D4F"/>
    <w:rsid w:val="00656D29"/>
    <w:rsid w:val="00663E3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4EA"/>
    <w:rsid w:val="006A07AA"/>
    <w:rsid w:val="006A25E5"/>
    <w:rsid w:val="006A2B46"/>
    <w:rsid w:val="006A336D"/>
    <w:rsid w:val="006A37B9"/>
    <w:rsid w:val="006B2672"/>
    <w:rsid w:val="006B511E"/>
    <w:rsid w:val="006B54BF"/>
    <w:rsid w:val="006B5F44"/>
    <w:rsid w:val="006B5F90"/>
    <w:rsid w:val="006B62E4"/>
    <w:rsid w:val="006C1BBA"/>
    <w:rsid w:val="006C2079"/>
    <w:rsid w:val="006C5A62"/>
    <w:rsid w:val="006C5D13"/>
    <w:rsid w:val="006C5D68"/>
    <w:rsid w:val="006C6976"/>
    <w:rsid w:val="006C6DD0"/>
    <w:rsid w:val="006D04EA"/>
    <w:rsid w:val="006D0AB7"/>
    <w:rsid w:val="006D110B"/>
    <w:rsid w:val="006D16C4"/>
    <w:rsid w:val="006D3E96"/>
    <w:rsid w:val="006D4515"/>
    <w:rsid w:val="006D4BB1"/>
    <w:rsid w:val="006D6593"/>
    <w:rsid w:val="006D6898"/>
    <w:rsid w:val="006D6C79"/>
    <w:rsid w:val="006E0011"/>
    <w:rsid w:val="006E23EA"/>
    <w:rsid w:val="006F03A8"/>
    <w:rsid w:val="006F2ACA"/>
    <w:rsid w:val="006F2ADC"/>
    <w:rsid w:val="006F2BFE"/>
    <w:rsid w:val="006F31E9"/>
    <w:rsid w:val="006F6284"/>
    <w:rsid w:val="006F7146"/>
    <w:rsid w:val="007002C5"/>
    <w:rsid w:val="00701E9A"/>
    <w:rsid w:val="00701F13"/>
    <w:rsid w:val="00704387"/>
    <w:rsid w:val="007049F1"/>
    <w:rsid w:val="00706A08"/>
    <w:rsid w:val="00707669"/>
    <w:rsid w:val="00711CBA"/>
    <w:rsid w:val="00711FB5"/>
    <w:rsid w:val="00712A01"/>
    <w:rsid w:val="00714F58"/>
    <w:rsid w:val="00716853"/>
    <w:rsid w:val="00722FBF"/>
    <w:rsid w:val="00722FC2"/>
    <w:rsid w:val="00724879"/>
    <w:rsid w:val="00724E1B"/>
    <w:rsid w:val="00725949"/>
    <w:rsid w:val="00727FA2"/>
    <w:rsid w:val="007322D9"/>
    <w:rsid w:val="00732BC0"/>
    <w:rsid w:val="00733F34"/>
    <w:rsid w:val="0073720F"/>
    <w:rsid w:val="00737796"/>
    <w:rsid w:val="0074099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DA8"/>
    <w:rsid w:val="00755402"/>
    <w:rsid w:val="00756B26"/>
    <w:rsid w:val="00756EDF"/>
    <w:rsid w:val="007600E3"/>
    <w:rsid w:val="00760AC8"/>
    <w:rsid w:val="00765C43"/>
    <w:rsid w:val="00765EFB"/>
    <w:rsid w:val="007671CA"/>
    <w:rsid w:val="00767C61"/>
    <w:rsid w:val="0077008A"/>
    <w:rsid w:val="00773C1F"/>
    <w:rsid w:val="00774DA4"/>
    <w:rsid w:val="00776599"/>
    <w:rsid w:val="00780787"/>
    <w:rsid w:val="0078114B"/>
    <w:rsid w:val="00781DD2"/>
    <w:rsid w:val="00783ECF"/>
    <w:rsid w:val="0078413A"/>
    <w:rsid w:val="007959E8"/>
    <w:rsid w:val="00795E9C"/>
    <w:rsid w:val="007A0521"/>
    <w:rsid w:val="007A2E12"/>
    <w:rsid w:val="007A3475"/>
    <w:rsid w:val="007A3C8E"/>
    <w:rsid w:val="007A41C8"/>
    <w:rsid w:val="007A54CE"/>
    <w:rsid w:val="007A6FD9"/>
    <w:rsid w:val="007A7FFA"/>
    <w:rsid w:val="007B04EB"/>
    <w:rsid w:val="007B0D4F"/>
    <w:rsid w:val="007B46DC"/>
    <w:rsid w:val="007B5A3D"/>
    <w:rsid w:val="007B5B95"/>
    <w:rsid w:val="007B68EA"/>
    <w:rsid w:val="007B7453"/>
    <w:rsid w:val="007C1E8B"/>
    <w:rsid w:val="007C2D89"/>
    <w:rsid w:val="007C4593"/>
    <w:rsid w:val="007C5309"/>
    <w:rsid w:val="007C6069"/>
    <w:rsid w:val="007D06C4"/>
    <w:rsid w:val="007D1352"/>
    <w:rsid w:val="007D2508"/>
    <w:rsid w:val="007D30E4"/>
    <w:rsid w:val="007D346A"/>
    <w:rsid w:val="007D6518"/>
    <w:rsid w:val="007D76BD"/>
    <w:rsid w:val="007E0BF1"/>
    <w:rsid w:val="007E2882"/>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3F2"/>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9C9"/>
    <w:rsid w:val="00870DA1"/>
    <w:rsid w:val="00871DB9"/>
    <w:rsid w:val="00872DD8"/>
    <w:rsid w:val="00876B28"/>
    <w:rsid w:val="00883F93"/>
    <w:rsid w:val="00884DB3"/>
    <w:rsid w:val="00885A9D"/>
    <w:rsid w:val="008864F6"/>
    <w:rsid w:val="0089049D"/>
    <w:rsid w:val="0089114E"/>
    <w:rsid w:val="00891675"/>
    <w:rsid w:val="008925AE"/>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382"/>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355"/>
    <w:rsid w:val="008F17A3"/>
    <w:rsid w:val="008F1ED3"/>
    <w:rsid w:val="008F23A5"/>
    <w:rsid w:val="008F4C29"/>
    <w:rsid w:val="008F70BD"/>
    <w:rsid w:val="008F788F"/>
    <w:rsid w:val="008F7E5C"/>
    <w:rsid w:val="008F7EA2"/>
    <w:rsid w:val="00902722"/>
    <w:rsid w:val="009027BC"/>
    <w:rsid w:val="00903B3F"/>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5F2F"/>
    <w:rsid w:val="009674AD"/>
    <w:rsid w:val="009678E9"/>
    <w:rsid w:val="00970CDC"/>
    <w:rsid w:val="00977010"/>
    <w:rsid w:val="00977503"/>
    <w:rsid w:val="00977D02"/>
    <w:rsid w:val="009807B6"/>
    <w:rsid w:val="009809BB"/>
    <w:rsid w:val="0098364B"/>
    <w:rsid w:val="009911AF"/>
    <w:rsid w:val="00991875"/>
    <w:rsid w:val="00991F92"/>
    <w:rsid w:val="00992985"/>
    <w:rsid w:val="00993889"/>
    <w:rsid w:val="0099551B"/>
    <w:rsid w:val="00997BF1"/>
    <w:rsid w:val="009A089C"/>
    <w:rsid w:val="009A1098"/>
    <w:rsid w:val="009A118E"/>
    <w:rsid w:val="009A21CD"/>
    <w:rsid w:val="009A278C"/>
    <w:rsid w:val="009A2BC2"/>
    <w:rsid w:val="009A42C1"/>
    <w:rsid w:val="009A5429"/>
    <w:rsid w:val="009A72AD"/>
    <w:rsid w:val="009B09E0"/>
    <w:rsid w:val="009B0BC5"/>
    <w:rsid w:val="009B1247"/>
    <w:rsid w:val="009B46F9"/>
    <w:rsid w:val="009B6029"/>
    <w:rsid w:val="009B6971"/>
    <w:rsid w:val="009C2188"/>
    <w:rsid w:val="009C27F1"/>
    <w:rsid w:val="009C3152"/>
    <w:rsid w:val="009C4CFA"/>
    <w:rsid w:val="009C5070"/>
    <w:rsid w:val="009D112C"/>
    <w:rsid w:val="009D37C4"/>
    <w:rsid w:val="009D47FA"/>
    <w:rsid w:val="009D4C5B"/>
    <w:rsid w:val="009D50D2"/>
    <w:rsid w:val="009D6BCA"/>
    <w:rsid w:val="009E0F62"/>
    <w:rsid w:val="009E14E1"/>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2DEF"/>
    <w:rsid w:val="00A3367B"/>
    <w:rsid w:val="00A3597D"/>
    <w:rsid w:val="00A36DD1"/>
    <w:rsid w:val="00A4006C"/>
    <w:rsid w:val="00A40091"/>
    <w:rsid w:val="00A4030F"/>
    <w:rsid w:val="00A41C79"/>
    <w:rsid w:val="00A41CB5"/>
    <w:rsid w:val="00A420DF"/>
    <w:rsid w:val="00A42CDF"/>
    <w:rsid w:val="00A4452E"/>
    <w:rsid w:val="00A4472C"/>
    <w:rsid w:val="00A44E69"/>
    <w:rsid w:val="00A4661E"/>
    <w:rsid w:val="00A55BD6"/>
    <w:rsid w:val="00A55D50"/>
    <w:rsid w:val="00A57142"/>
    <w:rsid w:val="00A6477E"/>
    <w:rsid w:val="00A648CD"/>
    <w:rsid w:val="00A6537A"/>
    <w:rsid w:val="00A67866"/>
    <w:rsid w:val="00A70B07"/>
    <w:rsid w:val="00A723F8"/>
    <w:rsid w:val="00A77CCB"/>
    <w:rsid w:val="00A8045A"/>
    <w:rsid w:val="00A83D8D"/>
    <w:rsid w:val="00A8446B"/>
    <w:rsid w:val="00A8473F"/>
    <w:rsid w:val="00A862D6"/>
    <w:rsid w:val="00A8715E"/>
    <w:rsid w:val="00A924DF"/>
    <w:rsid w:val="00A9295B"/>
    <w:rsid w:val="00A93B09"/>
    <w:rsid w:val="00A94247"/>
    <w:rsid w:val="00A952D7"/>
    <w:rsid w:val="00A963F7"/>
    <w:rsid w:val="00A96AD8"/>
    <w:rsid w:val="00A97F8D"/>
    <w:rsid w:val="00AA052C"/>
    <w:rsid w:val="00AA06B0"/>
    <w:rsid w:val="00AA1E45"/>
    <w:rsid w:val="00AA4286"/>
    <w:rsid w:val="00AA456B"/>
    <w:rsid w:val="00AA57F5"/>
    <w:rsid w:val="00AA672E"/>
    <w:rsid w:val="00AA6EC9"/>
    <w:rsid w:val="00AB41D5"/>
    <w:rsid w:val="00AB6309"/>
    <w:rsid w:val="00AB6C5F"/>
    <w:rsid w:val="00AB7129"/>
    <w:rsid w:val="00AB731F"/>
    <w:rsid w:val="00AB7E85"/>
    <w:rsid w:val="00AC146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66D"/>
    <w:rsid w:val="00AF47C5"/>
    <w:rsid w:val="00AF5398"/>
    <w:rsid w:val="00B049AF"/>
    <w:rsid w:val="00B052A0"/>
    <w:rsid w:val="00B07242"/>
    <w:rsid w:val="00B10534"/>
    <w:rsid w:val="00B113DB"/>
    <w:rsid w:val="00B11D8A"/>
    <w:rsid w:val="00B12981"/>
    <w:rsid w:val="00B147DD"/>
    <w:rsid w:val="00B156FD"/>
    <w:rsid w:val="00B21F61"/>
    <w:rsid w:val="00B2382C"/>
    <w:rsid w:val="00B24A6E"/>
    <w:rsid w:val="00B261F1"/>
    <w:rsid w:val="00B265BC"/>
    <w:rsid w:val="00B30FDD"/>
    <w:rsid w:val="00B31FB1"/>
    <w:rsid w:val="00B33952"/>
    <w:rsid w:val="00B339C5"/>
    <w:rsid w:val="00B33C5E"/>
    <w:rsid w:val="00B342F4"/>
    <w:rsid w:val="00B34369"/>
    <w:rsid w:val="00B34DC2"/>
    <w:rsid w:val="00B378E5"/>
    <w:rsid w:val="00B4346D"/>
    <w:rsid w:val="00B440F4"/>
    <w:rsid w:val="00B447A5"/>
    <w:rsid w:val="00B4654C"/>
    <w:rsid w:val="00B46AF0"/>
    <w:rsid w:val="00B47293"/>
    <w:rsid w:val="00B50E50"/>
    <w:rsid w:val="00B52120"/>
    <w:rsid w:val="00B5348F"/>
    <w:rsid w:val="00B54ABC"/>
    <w:rsid w:val="00B54DDE"/>
    <w:rsid w:val="00B56FBE"/>
    <w:rsid w:val="00B60ACF"/>
    <w:rsid w:val="00B62B58"/>
    <w:rsid w:val="00B65149"/>
    <w:rsid w:val="00B66567"/>
    <w:rsid w:val="00B66F52"/>
    <w:rsid w:val="00B66FE5"/>
    <w:rsid w:val="00B72880"/>
    <w:rsid w:val="00B758BF"/>
    <w:rsid w:val="00B77EC8"/>
    <w:rsid w:val="00B80D7C"/>
    <w:rsid w:val="00B82364"/>
    <w:rsid w:val="00B827A6"/>
    <w:rsid w:val="00B831CE"/>
    <w:rsid w:val="00B8559F"/>
    <w:rsid w:val="00B86677"/>
    <w:rsid w:val="00B87131"/>
    <w:rsid w:val="00B939B1"/>
    <w:rsid w:val="00B93A6E"/>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6D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74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31C"/>
    <w:rsid w:val="00C96741"/>
    <w:rsid w:val="00CA233D"/>
    <w:rsid w:val="00CA2D1B"/>
    <w:rsid w:val="00CA2F4B"/>
    <w:rsid w:val="00CA375D"/>
    <w:rsid w:val="00CA662A"/>
    <w:rsid w:val="00CA7AFD"/>
    <w:rsid w:val="00CA7C3C"/>
    <w:rsid w:val="00CB0189"/>
    <w:rsid w:val="00CB0BA2"/>
    <w:rsid w:val="00CB14BE"/>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569"/>
    <w:rsid w:val="00CF155A"/>
    <w:rsid w:val="00CF2947"/>
    <w:rsid w:val="00CF2B63"/>
    <w:rsid w:val="00CF686F"/>
    <w:rsid w:val="00CF6E60"/>
    <w:rsid w:val="00CF7BCA"/>
    <w:rsid w:val="00D008FD"/>
    <w:rsid w:val="00D02A05"/>
    <w:rsid w:val="00D0321C"/>
    <w:rsid w:val="00D035EC"/>
    <w:rsid w:val="00D06AB1"/>
    <w:rsid w:val="00D072ED"/>
    <w:rsid w:val="00D07A16"/>
    <w:rsid w:val="00D101F3"/>
    <w:rsid w:val="00D1067E"/>
    <w:rsid w:val="00D10B7B"/>
    <w:rsid w:val="00D10F50"/>
    <w:rsid w:val="00D11272"/>
    <w:rsid w:val="00D126F5"/>
    <w:rsid w:val="00D1489E"/>
    <w:rsid w:val="00D20737"/>
    <w:rsid w:val="00D21E81"/>
    <w:rsid w:val="00D223DE"/>
    <w:rsid w:val="00D23695"/>
    <w:rsid w:val="00D25E37"/>
    <w:rsid w:val="00D2661A"/>
    <w:rsid w:val="00D27582"/>
    <w:rsid w:val="00D2797F"/>
    <w:rsid w:val="00D27EC4"/>
    <w:rsid w:val="00D32719"/>
    <w:rsid w:val="00D33333"/>
    <w:rsid w:val="00D33457"/>
    <w:rsid w:val="00D352A2"/>
    <w:rsid w:val="00D3660F"/>
    <w:rsid w:val="00D4162B"/>
    <w:rsid w:val="00D42FFA"/>
    <w:rsid w:val="00D4514F"/>
    <w:rsid w:val="00D451E2"/>
    <w:rsid w:val="00D45E89"/>
    <w:rsid w:val="00D45E8D"/>
    <w:rsid w:val="00D466AE"/>
    <w:rsid w:val="00D4734F"/>
    <w:rsid w:val="00D51BF3"/>
    <w:rsid w:val="00D66846"/>
    <w:rsid w:val="00D675FB"/>
    <w:rsid w:val="00D71F25"/>
    <w:rsid w:val="00D72A9C"/>
    <w:rsid w:val="00D77031"/>
    <w:rsid w:val="00D77B5C"/>
    <w:rsid w:val="00D84941"/>
    <w:rsid w:val="00D84FA1"/>
    <w:rsid w:val="00D851F0"/>
    <w:rsid w:val="00D86DB7"/>
    <w:rsid w:val="00D926D0"/>
    <w:rsid w:val="00D93030"/>
    <w:rsid w:val="00D950E1"/>
    <w:rsid w:val="00D952A6"/>
    <w:rsid w:val="00D956D3"/>
    <w:rsid w:val="00D95771"/>
    <w:rsid w:val="00D97F99"/>
    <w:rsid w:val="00DA02B4"/>
    <w:rsid w:val="00DA1E08"/>
    <w:rsid w:val="00DA24F8"/>
    <w:rsid w:val="00DA28E8"/>
    <w:rsid w:val="00DA3616"/>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40D"/>
    <w:rsid w:val="00DC5B90"/>
    <w:rsid w:val="00DD00FF"/>
    <w:rsid w:val="00DD0164"/>
    <w:rsid w:val="00DD0619"/>
    <w:rsid w:val="00DD07FB"/>
    <w:rsid w:val="00DD1D90"/>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779"/>
    <w:rsid w:val="00E01138"/>
    <w:rsid w:val="00E02DFB"/>
    <w:rsid w:val="00E030F9"/>
    <w:rsid w:val="00E0311A"/>
    <w:rsid w:val="00E03138"/>
    <w:rsid w:val="00E06404"/>
    <w:rsid w:val="00E065D2"/>
    <w:rsid w:val="00E0774D"/>
    <w:rsid w:val="00E11A85"/>
    <w:rsid w:val="00E12495"/>
    <w:rsid w:val="00E15CCD"/>
    <w:rsid w:val="00E202EF"/>
    <w:rsid w:val="00E210B5"/>
    <w:rsid w:val="00E23D99"/>
    <w:rsid w:val="00E245E0"/>
    <w:rsid w:val="00E2552F"/>
    <w:rsid w:val="00E27182"/>
    <w:rsid w:val="00E27739"/>
    <w:rsid w:val="00E3137A"/>
    <w:rsid w:val="00E32102"/>
    <w:rsid w:val="00E32CCF"/>
    <w:rsid w:val="00E34A98"/>
    <w:rsid w:val="00E35D1E"/>
    <w:rsid w:val="00E364F9"/>
    <w:rsid w:val="00E365FA"/>
    <w:rsid w:val="00E36789"/>
    <w:rsid w:val="00E41F6D"/>
    <w:rsid w:val="00E44A83"/>
    <w:rsid w:val="00E4771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47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A39"/>
    <w:rsid w:val="00EA58D1"/>
    <w:rsid w:val="00EA61BC"/>
    <w:rsid w:val="00EA681A"/>
    <w:rsid w:val="00EA735B"/>
    <w:rsid w:val="00EB17DE"/>
    <w:rsid w:val="00EB1E69"/>
    <w:rsid w:val="00EB2086"/>
    <w:rsid w:val="00EB5EDF"/>
    <w:rsid w:val="00EB60FE"/>
    <w:rsid w:val="00EB74DB"/>
    <w:rsid w:val="00EC3CAA"/>
    <w:rsid w:val="00EC4B98"/>
    <w:rsid w:val="00EC5359"/>
    <w:rsid w:val="00EC562A"/>
    <w:rsid w:val="00ED067A"/>
    <w:rsid w:val="00ED2B50"/>
    <w:rsid w:val="00EE0350"/>
    <w:rsid w:val="00EE0719"/>
    <w:rsid w:val="00EE0E80"/>
    <w:rsid w:val="00EE54A6"/>
    <w:rsid w:val="00EE613F"/>
    <w:rsid w:val="00EE7295"/>
    <w:rsid w:val="00EE7869"/>
    <w:rsid w:val="00EF054A"/>
    <w:rsid w:val="00EF0D23"/>
    <w:rsid w:val="00EF3235"/>
    <w:rsid w:val="00EF7E72"/>
    <w:rsid w:val="00F06D37"/>
    <w:rsid w:val="00F06EB1"/>
    <w:rsid w:val="00F07B9D"/>
    <w:rsid w:val="00F11586"/>
    <w:rsid w:val="00F1183B"/>
    <w:rsid w:val="00F11C9F"/>
    <w:rsid w:val="00F12263"/>
    <w:rsid w:val="00F13E57"/>
    <w:rsid w:val="00F1409D"/>
    <w:rsid w:val="00F14214"/>
    <w:rsid w:val="00F157A9"/>
    <w:rsid w:val="00F16404"/>
    <w:rsid w:val="00F25BB6"/>
    <w:rsid w:val="00F26B7E"/>
    <w:rsid w:val="00F27A3B"/>
    <w:rsid w:val="00F32557"/>
    <w:rsid w:val="00F33817"/>
    <w:rsid w:val="00F41365"/>
    <w:rsid w:val="00F420D5"/>
    <w:rsid w:val="00F451EA"/>
    <w:rsid w:val="00F45447"/>
    <w:rsid w:val="00F456C6"/>
    <w:rsid w:val="00F4577B"/>
    <w:rsid w:val="00F45944"/>
    <w:rsid w:val="00F46496"/>
    <w:rsid w:val="00F474D0"/>
    <w:rsid w:val="00F50179"/>
    <w:rsid w:val="00F515EE"/>
    <w:rsid w:val="00F56511"/>
    <w:rsid w:val="00F6194E"/>
    <w:rsid w:val="00F623AC"/>
    <w:rsid w:val="00F6412A"/>
    <w:rsid w:val="00F64F79"/>
    <w:rsid w:val="00F65893"/>
    <w:rsid w:val="00F66A4A"/>
    <w:rsid w:val="00F71E22"/>
    <w:rsid w:val="00F72142"/>
    <w:rsid w:val="00F72AE7"/>
    <w:rsid w:val="00F81141"/>
    <w:rsid w:val="00F833BA"/>
    <w:rsid w:val="00F84FD0"/>
    <w:rsid w:val="00F859A8"/>
    <w:rsid w:val="00F85FBA"/>
    <w:rsid w:val="00F86D87"/>
    <w:rsid w:val="00F9108B"/>
    <w:rsid w:val="00F91349"/>
    <w:rsid w:val="00F93A8A"/>
    <w:rsid w:val="00F95248"/>
    <w:rsid w:val="00F956A9"/>
    <w:rsid w:val="00F963ED"/>
    <w:rsid w:val="00F966CF"/>
    <w:rsid w:val="00F96CAE"/>
    <w:rsid w:val="00F97C99"/>
    <w:rsid w:val="00FA22AC"/>
    <w:rsid w:val="00FA4DAC"/>
    <w:rsid w:val="00FA662D"/>
    <w:rsid w:val="00FA73B1"/>
    <w:rsid w:val="00FB0CB9"/>
    <w:rsid w:val="00FB231D"/>
    <w:rsid w:val="00FB2CF4"/>
    <w:rsid w:val="00FB45F1"/>
    <w:rsid w:val="00FB4A72"/>
    <w:rsid w:val="00FB54E8"/>
    <w:rsid w:val="00FB7054"/>
    <w:rsid w:val="00FC17B7"/>
    <w:rsid w:val="00FC2CB7"/>
    <w:rsid w:val="00FC4090"/>
    <w:rsid w:val="00FC523A"/>
    <w:rsid w:val="00FC55B4"/>
    <w:rsid w:val="00FC5DD4"/>
    <w:rsid w:val="00FD00E6"/>
    <w:rsid w:val="00FD09A1"/>
    <w:rsid w:val="00FD1907"/>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6E0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Plain Text"/>
    <w:basedOn w:val="1"/>
    <w:link w:val="233"/>
    <w:autoRedefine/>
    <w:semiHidden/>
    <w:unhideWhenUsed/>
    <w:qFormat/>
    <w:uiPriority w:val="0"/>
    <w:pPr>
      <w:adjustRightInd/>
      <w:spacing w:line="240" w:lineRule="auto"/>
    </w:pPr>
    <w:rPr>
      <w:rFonts w:ascii="宋体" w:hAnsi="Courier New"/>
      <w:kern w:val="0"/>
      <w:sz w:val="20"/>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autoRedefine/>
    <w:qFormat/>
    <w:uiPriority w:val="0"/>
    <w:rPr>
      <w:b/>
      <w:bCs/>
      <w:kern w:val="44"/>
      <w:sz w:val="44"/>
      <w:szCs w:val="44"/>
    </w:rPr>
  </w:style>
  <w:style w:type="character" w:customStyle="1" w:styleId="36">
    <w:name w:val="标题 2 Char"/>
    <w:link w:val="3"/>
    <w:autoRedefine/>
    <w:qFormat/>
    <w:uiPriority w:val="0"/>
    <w:rPr>
      <w:rFonts w:ascii="Arial" w:hAnsi="Arial" w:eastAsia="黑体"/>
      <w:b/>
      <w:bCs/>
      <w:kern w:val="2"/>
      <w:sz w:val="32"/>
      <w:szCs w:val="32"/>
    </w:rPr>
  </w:style>
  <w:style w:type="character" w:customStyle="1" w:styleId="37">
    <w:name w:val="标题 3 Char"/>
    <w:link w:val="4"/>
    <w:uiPriority w:val="0"/>
    <w:rPr>
      <w:b/>
      <w:bCs/>
      <w:kern w:val="2"/>
      <w:sz w:val="32"/>
      <w:szCs w:val="32"/>
    </w:rPr>
  </w:style>
  <w:style w:type="character" w:customStyle="1" w:styleId="38">
    <w:name w:val="标题 4 Char"/>
    <w:link w:val="5"/>
    <w:uiPriority w:val="0"/>
    <w:rPr>
      <w:rFonts w:ascii="Arial" w:hAnsi="Arial" w:eastAsia="黑体"/>
      <w:b/>
      <w:bCs/>
      <w:kern w:val="2"/>
      <w:sz w:val="28"/>
      <w:szCs w:val="28"/>
    </w:rPr>
  </w:style>
  <w:style w:type="character" w:customStyle="1" w:styleId="39">
    <w:name w:val="标题 5 Char"/>
    <w:link w:val="6"/>
    <w:autoRedefine/>
    <w:qFormat/>
    <w:uiPriority w:val="0"/>
    <w:rPr>
      <w:b/>
      <w:bCs/>
      <w:kern w:val="2"/>
      <w:sz w:val="28"/>
      <w:szCs w:val="28"/>
    </w:rPr>
  </w:style>
  <w:style w:type="character" w:customStyle="1" w:styleId="40">
    <w:name w:val="标题 6 Char"/>
    <w:link w:val="7"/>
    <w:autoRedefine/>
    <w:qFormat/>
    <w:uiPriority w:val="0"/>
    <w:rPr>
      <w:rFonts w:ascii="Arial" w:hAnsi="Arial" w:eastAsia="黑体"/>
      <w:b/>
      <w:bCs/>
      <w:kern w:val="2"/>
      <w:sz w:val="24"/>
      <w:szCs w:val="24"/>
    </w:rPr>
  </w:style>
  <w:style w:type="character" w:customStyle="1" w:styleId="41">
    <w:name w:val="标题 7 Char"/>
    <w:link w:val="8"/>
    <w:autoRedefine/>
    <w:qFormat/>
    <w:uiPriority w:val="0"/>
    <w:rPr>
      <w:b/>
      <w:bCs/>
      <w:kern w:val="2"/>
      <w:sz w:val="24"/>
      <w:szCs w:val="24"/>
    </w:rPr>
  </w:style>
  <w:style w:type="character" w:customStyle="1" w:styleId="42">
    <w:name w:val="标题 8 Char"/>
    <w:link w:val="9"/>
    <w:autoRedefine/>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9"/>
    <w:autoRedefine/>
    <w:qFormat/>
    <w:uiPriority w:val="99"/>
    <w:rPr>
      <w:kern w:val="2"/>
      <w:sz w:val="18"/>
      <w:szCs w:val="18"/>
    </w:rPr>
  </w:style>
  <w:style w:type="character" w:customStyle="1" w:styleId="45">
    <w:name w:val="页脚 Char"/>
    <w:link w:val="18"/>
    <w:autoRedefine/>
    <w:qFormat/>
    <w:uiPriority w:val="99"/>
    <w:rPr>
      <w:rFonts w:ascii="宋体"/>
      <w:kern w:val="2"/>
      <w:sz w:val="18"/>
      <w:szCs w:val="18"/>
    </w:rPr>
  </w:style>
  <w:style w:type="character" w:customStyle="1" w:styleId="46">
    <w:name w:val="批注框文本 Char"/>
    <w:link w:val="17"/>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frame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character" w:customStyle="1" w:styleId="231">
    <w:name w:val="段 Char"/>
    <w:link w:val="232"/>
    <w:autoRedefine/>
    <w:qFormat/>
    <w:locked/>
    <w:uiPriority w:val="0"/>
    <w:rPr>
      <w:rFonts w:ascii="宋体" w:hAnsi="宋体"/>
      <w:sz w:val="21"/>
    </w:rPr>
  </w:style>
  <w:style w:type="paragraph" w:customStyle="1" w:styleId="232">
    <w:name w:val="段"/>
    <w:link w:val="231"/>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3">
    <w:name w:val="纯文本 Char"/>
    <w:basedOn w:val="29"/>
    <w:link w:val="16"/>
    <w:autoRedefine/>
    <w:semiHidden/>
    <w:qFormat/>
    <w:uiPriority w:val="0"/>
    <w:rPr>
      <w:rFonts w:ascii="宋体" w:hAnsi="Courier New"/>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jpeg"/><Relationship Id="rId17" Type="http://schemas.openxmlformats.org/officeDocument/2006/relationships/image" Target="media/image5.png"/><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D3551EF36844193B85D8B8DC6417E2A"/>
        <w:style w:val=""/>
        <w:category>
          <w:name w:val="常规"/>
          <w:gallery w:val="placeholder"/>
        </w:category>
        <w:types>
          <w:type w:val="bbPlcHdr"/>
        </w:types>
        <w:behaviors>
          <w:behavior w:val="content"/>
        </w:behaviors>
        <w:description w:val=""/>
        <w:guid w:val="{4469E89C-F3F9-40BC-AF9D-286324F2999D}"/>
      </w:docPartPr>
      <w:docPartBody>
        <w:p>
          <w:pPr>
            <w:pStyle w:val="5"/>
          </w:pPr>
          <w:r>
            <w:rPr>
              <w:rStyle w:val="4"/>
              <w:rFonts w:hint="eastAsia"/>
            </w:rPr>
            <w:t>单击或点击此处输入文字。</w:t>
          </w:r>
        </w:p>
      </w:docPartBody>
    </w:docPart>
    <w:docPart>
      <w:docPartPr>
        <w:name w:val="6BD3F303A24944D085DA1F8D64AB9A94"/>
        <w:style w:val=""/>
        <w:category>
          <w:name w:val="常规"/>
          <w:gallery w:val="placeholder"/>
        </w:category>
        <w:types>
          <w:type w:val="bbPlcHdr"/>
        </w:types>
        <w:behaviors>
          <w:behavior w:val="content"/>
        </w:behaviors>
        <w:description w:val=""/>
        <w:guid w:val="{754EF745-62C1-4C7C-9F63-C553832E08F2}"/>
      </w:docPartPr>
      <w:docPartBody>
        <w:p>
          <w:pPr>
            <w:pStyle w:val="6"/>
          </w:pPr>
          <w:r>
            <w:rPr>
              <w:rStyle w:val="4"/>
              <w:rFonts w:hint="eastAsia"/>
            </w:rPr>
            <w:t>选择一项。</w:t>
          </w:r>
        </w:p>
      </w:docPartBody>
    </w:docPart>
    <w:docPart>
      <w:docPartPr>
        <w:name w:val="810313BE7E0F49F4AC8CAA9A3DC949E6"/>
        <w:style w:val=""/>
        <w:category>
          <w:name w:val="常规"/>
          <w:gallery w:val="placeholder"/>
        </w:category>
        <w:types>
          <w:type w:val="bbPlcHdr"/>
        </w:types>
        <w:behaviors>
          <w:behavior w:val="content"/>
        </w:behaviors>
        <w:description w:val=""/>
        <w:guid w:val="{2D968968-73AB-4236-BA28-C1DC453B4AE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8F"/>
    <w:rsid w:val="00095D51"/>
    <w:rsid w:val="000F76E2"/>
    <w:rsid w:val="001D7065"/>
    <w:rsid w:val="004E6EB0"/>
    <w:rsid w:val="00561BFB"/>
    <w:rsid w:val="00712B0B"/>
    <w:rsid w:val="00784B64"/>
    <w:rsid w:val="007C7025"/>
    <w:rsid w:val="00840C51"/>
    <w:rsid w:val="009723B9"/>
    <w:rsid w:val="00975578"/>
    <w:rsid w:val="00993C86"/>
    <w:rsid w:val="009B7AC2"/>
    <w:rsid w:val="00A24984"/>
    <w:rsid w:val="00AA1CEC"/>
    <w:rsid w:val="00B25483"/>
    <w:rsid w:val="00CC528F"/>
    <w:rsid w:val="00D74E0D"/>
    <w:rsid w:val="00F013E4"/>
    <w:rsid w:val="00F25AEB"/>
    <w:rsid w:val="00FB0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D3551EF36844193B85D8B8DC6417E2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BD3F303A24944D085DA1F8D64AB9A9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10313BE7E0F49F4AC8CAA9A3DC949E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01B3A-1ECC-455E-BF0D-50AC3EBF20E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1767</Words>
  <Characters>10078</Characters>
  <Lines>83</Lines>
  <Paragraphs>23</Paragraphs>
  <TotalTime>76</TotalTime>
  <ScaleCrop>false</ScaleCrop>
  <LinksUpToDate>false</LinksUpToDate>
  <CharactersWithSpaces>11822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2023-12-20T02:02:00Z</dcterms:created>
  <dc:creator>李俊北</dc:creator>
  <dc:description>&lt;config cover="true" show_menu="true" version="1.0.0" doctype="SDKXY"&gt;_x000d_
&lt;/config&gt;</dc:description>
  <cp:lastModifiedBy>WPS_1620717139</cp:lastModifiedBy>
  <cp:lastPrinted>2020-08-30T10:00:00Z</cp:lastPrinted>
  <dcterms:modified xsi:type="dcterms:W3CDTF">2023-12-28T01:54:36Z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FFB6A8C2D48D45B89E826F93CB4931EA_12</vt:lpwstr>
  </property>
</Properties>
</file>