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03.080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80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bookmarkStart w:id="46" w:name="_GoBack"/>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电商家具物流服务规范</w:t>
      </w:r>
      <w:r>
        <w:fldChar w:fldCharType="end"/>
      </w:r>
      <w:bookmarkEnd w:id="9"/>
      <w:bookmarkEnd w:id="46"/>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Specification for e-commerce furniture logistics service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本文件由徐州市市场监督管理局提出。</w:t>
      </w:r>
    </w:p>
    <w:p>
      <w:pPr>
        <w:pStyle w:val="56"/>
        <w:ind w:firstLine="420"/>
        <w:rPr>
          <w:rFonts w:hint="eastAsia" w:eastAsia="宋体"/>
          <w:lang w:eastAsia="zh-CN"/>
        </w:rPr>
      </w:pPr>
      <w:r>
        <w:rPr>
          <w:rFonts w:hint="eastAsia"/>
        </w:rPr>
        <w:t>本文件由</w:t>
      </w:r>
      <w:r>
        <w:rPr>
          <w:rFonts w:hint="eastAsia"/>
          <w:lang w:val="en-US" w:eastAsia="zh-CN"/>
        </w:rPr>
        <w:t>江苏省现代服务业标准化技术委员会</w:t>
      </w:r>
      <w:r>
        <w:rPr>
          <w:rFonts w:hint="eastAsia"/>
        </w:rPr>
        <w:t>归口</w:t>
      </w:r>
      <w:r>
        <w:rPr>
          <w:rFonts w:hint="eastAsia"/>
          <w:lang w:eastAsia="zh-CN"/>
        </w:rPr>
        <w:t>。</w:t>
      </w:r>
    </w:p>
    <w:p>
      <w:pPr>
        <w:pStyle w:val="56"/>
        <w:ind w:firstLine="420"/>
      </w:pPr>
      <w:r>
        <w:rPr>
          <w:rFonts w:hint="eastAsia"/>
        </w:rPr>
        <w:t>本文件起草单位：睢宁县沙集镇电子商务协会、沙集镇人民政府、苏州麦斯达夫标准技术服务有限公司、睢宁县市场监督管理局第九分局、江苏融威实业有限公司、睢宁县东城投资开发有限公司、江苏顺和丰快运有限公司沙集分公司。</w:t>
      </w:r>
    </w:p>
    <w:p>
      <w:pPr>
        <w:pStyle w:val="56"/>
        <w:ind w:firstLine="420"/>
      </w:pPr>
      <w:r>
        <w:rPr>
          <w:rFonts w:hint="eastAsia"/>
        </w:rPr>
        <w:t>本文件主要起草人：彭亮、田莉莉、孟伟、曹天驰、冯保生、丁沿淞、邵帅、陈旭、张宏彦、陈青菊、周坚、赵士银、郑波、王钊柱、姜倩倩、谢婷婷。</w:t>
      </w: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EDC1E793B934437CB0173504ECDCEE58"/>
        </w:placeholder>
      </w:sdtPr>
      <w:sdtContent>
        <w:p>
          <w:pPr>
            <w:pStyle w:val="177"/>
            <w:spacing w:before="3" w:beforeLines="1" w:after="686" w:afterLines="220"/>
          </w:pPr>
          <w:bookmarkStart w:id="23" w:name="NEW_STAND_NAME"/>
          <w:r>
            <w:rPr>
              <w:rFonts w:hint="eastAsia"/>
            </w:rPr>
            <w:t>电商家具物流服务规范</w:t>
          </w:r>
        </w:p>
      </w:sdtContent>
    </w:sdt>
    <w:bookmarkEnd w:id="23"/>
    <w:p>
      <w:pPr>
        <w:pStyle w:val="104"/>
        <w:spacing w:before="312" w:after="312"/>
      </w:pPr>
      <w:bookmarkStart w:id="24" w:name="_Toc17233333"/>
      <w:bookmarkStart w:id="25" w:name="_Toc24884211"/>
      <w:bookmarkStart w:id="26" w:name="_Toc17233325"/>
      <w:bookmarkStart w:id="27" w:name="_Toc24884218"/>
      <w:bookmarkStart w:id="28" w:name="_Toc26718930"/>
      <w:bookmarkStart w:id="29" w:name="_Toc97191423"/>
      <w:bookmarkStart w:id="30" w:name="_Toc26648465"/>
      <w:bookmarkStart w:id="31" w:name="_Toc26986771"/>
      <w:bookmarkStart w:id="32" w:name="_Toc26986530"/>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17233334"/>
      <w:bookmarkStart w:id="34" w:name="_Toc24884212"/>
      <w:bookmarkStart w:id="35" w:name="_Toc17233326"/>
      <w:bookmarkStart w:id="36" w:name="_Toc26648466"/>
      <w:bookmarkStart w:id="37" w:name="_Toc24884219"/>
      <w:r>
        <w:rPr>
          <w:rFonts w:hint="eastAsia"/>
        </w:rPr>
        <w:t>本文件规定了电商家具物流服务的基本要求、服务内容、服务保障、评价与改进等要求。</w:t>
      </w:r>
    </w:p>
    <w:p>
      <w:pPr>
        <w:pStyle w:val="56"/>
        <w:ind w:firstLine="420"/>
      </w:pPr>
      <w:r>
        <w:rPr>
          <w:rFonts w:hint="eastAsia"/>
        </w:rPr>
        <w:t>本文件适用于电商家具物流服务的开展。</w:t>
      </w:r>
    </w:p>
    <w:p>
      <w:pPr>
        <w:pStyle w:val="104"/>
        <w:spacing w:before="312" w:after="312"/>
      </w:pPr>
      <w:bookmarkStart w:id="38" w:name="_Toc26986772"/>
      <w:bookmarkStart w:id="39" w:name="_Toc97191424"/>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E5A9A114C6F4758BB0198F5DDE587E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17242  投诉处理指南</w:t>
      </w:r>
    </w:p>
    <w:p>
      <w:pPr>
        <w:pStyle w:val="56"/>
        <w:ind w:firstLine="420"/>
      </w:pPr>
      <w:r>
        <w:rPr>
          <w:rFonts w:hint="eastAsia"/>
        </w:rPr>
        <w:t>GB/T 18354—2021  物流术语</w:t>
      </w:r>
    </w:p>
    <w:p>
      <w:pPr>
        <w:pStyle w:val="56"/>
        <w:ind w:firstLine="420"/>
      </w:pPr>
      <w:r>
        <w:rPr>
          <w:rFonts w:hint="eastAsia"/>
        </w:rPr>
        <w:t>GB/T 30333  物流服务合同准则</w:t>
      </w:r>
    </w:p>
    <w:p>
      <w:pPr>
        <w:pStyle w:val="56"/>
        <w:ind w:firstLine="420"/>
      </w:pPr>
      <w:r>
        <w:rPr>
          <w:rFonts w:hint="eastAsia"/>
        </w:rPr>
        <w:t>GB/T 32442—2015  可拆装家具拆装技术要求</w:t>
      </w:r>
    </w:p>
    <w:p>
      <w:pPr>
        <w:pStyle w:val="56"/>
        <w:ind w:firstLine="420"/>
      </w:pPr>
      <w:r>
        <w:rPr>
          <w:rFonts w:hint="eastAsia"/>
        </w:rPr>
        <w:t>SB/T 11132—2015  电子商务物流服务规范</w:t>
      </w:r>
    </w:p>
    <w:p>
      <w:pPr>
        <w:pStyle w:val="56"/>
        <w:ind w:firstLine="420"/>
      </w:pPr>
      <w:r>
        <w:rPr>
          <w:rFonts w:hint="eastAsia"/>
        </w:rPr>
        <w:t>WB/T 1098—2018  家具物流服务规范</w:t>
      </w:r>
    </w:p>
    <w:p>
      <w:pPr>
        <w:pStyle w:val="104"/>
        <w:spacing w:before="312" w:after="312"/>
      </w:pPr>
      <w:bookmarkStart w:id="42" w:name="_Toc97191425"/>
      <w:r>
        <w:rPr>
          <w:rFonts w:hint="eastAsia"/>
          <w:szCs w:val="21"/>
        </w:rPr>
        <w:t>术语和定义</w:t>
      </w:r>
      <w:bookmarkEnd w:id="42"/>
    </w:p>
    <w:sdt>
      <w:sdtPr>
        <w:id w:val="-1909835108"/>
        <w:placeholder>
          <w:docPart w:val="6C3901FC802B4990BD307D61EED71B7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电商家具</w:t>
      </w:r>
      <w:r>
        <w:rPr>
          <w:rFonts w:hint="eastAsia" w:ascii="黑体" w:hAnsi="黑体" w:eastAsia="黑体"/>
        </w:rPr>
        <w:t xml:space="preserve"> </w:t>
      </w:r>
      <w:r>
        <w:rPr>
          <w:rFonts w:ascii="黑体" w:hAnsi="黑体" w:eastAsia="黑体"/>
        </w:rPr>
        <w:t xml:space="preserve"> e-commerce furniture</w:t>
      </w:r>
    </w:p>
    <w:p>
      <w:pPr>
        <w:pStyle w:val="56"/>
        <w:ind w:firstLine="420"/>
      </w:pPr>
      <w:r>
        <w:rPr>
          <w:rFonts w:hint="eastAsia"/>
        </w:rPr>
        <w:t>通过电子商务平台进行销售的家具。</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家具物流服务 </w:t>
      </w:r>
      <w:r>
        <w:rPr>
          <w:rFonts w:ascii="黑体" w:hAnsi="黑体" w:eastAsia="黑体"/>
        </w:rPr>
        <w:t xml:space="preserve"> furniture logistics service</w:t>
      </w:r>
    </w:p>
    <w:p>
      <w:pPr>
        <w:pStyle w:val="56"/>
        <w:ind w:firstLine="420"/>
      </w:pPr>
      <w:r>
        <w:rPr>
          <w:rFonts w:hint="eastAsia"/>
        </w:rPr>
        <w:t>承运人为托运人和收货人提供家具的仓储、包装、运输、配送、搬运、安装、退换、维修等单项或多项服务。</w:t>
      </w:r>
    </w:p>
    <w:p>
      <w:pPr>
        <w:pStyle w:val="56"/>
        <w:ind w:firstLine="420"/>
      </w:pPr>
      <w:r>
        <w:rPr>
          <w:rFonts w:hint="eastAsia"/>
        </w:rPr>
        <w:t>[来源：WB/T 1098—2018，3.2]</w:t>
      </w:r>
    </w:p>
    <w:p>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电商家具物流服务</w:t>
      </w:r>
      <w:r>
        <w:rPr>
          <w:rFonts w:hint="eastAsia" w:ascii="黑体" w:hAnsi="黑体" w:eastAsia="黑体"/>
        </w:rPr>
        <w:t xml:space="preserve"> </w:t>
      </w:r>
      <w:r>
        <w:rPr>
          <w:rFonts w:ascii="黑体" w:hAnsi="黑体" w:eastAsia="黑体"/>
        </w:rPr>
        <w:t xml:space="preserve"> e-commerce furniture logistics service</w:t>
      </w:r>
    </w:p>
    <w:p>
      <w:pPr>
        <w:pStyle w:val="56"/>
        <w:ind w:firstLine="420"/>
      </w:pPr>
      <w:r>
        <w:rPr>
          <w:rFonts w:hint="eastAsia"/>
        </w:rPr>
        <w:t>为电子商务交易家具产品提供可实时动态监控仓储、包装、运输、配送、搬运、安装、退换、维修等单项或多项服务。</w:t>
      </w:r>
    </w:p>
    <w:p>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电商家具物流服务组织</w:t>
      </w:r>
      <w:r>
        <w:rPr>
          <w:rFonts w:hint="eastAsia" w:ascii="黑体" w:hAnsi="黑体" w:eastAsia="黑体"/>
        </w:rPr>
        <w:t xml:space="preserve"> </w:t>
      </w:r>
      <w:r>
        <w:rPr>
          <w:rFonts w:ascii="黑体" w:hAnsi="黑体" w:eastAsia="黑体"/>
        </w:rPr>
        <w:t xml:space="preserve"> e-commerce furniture logistics service organization</w:t>
      </w:r>
    </w:p>
    <w:p>
      <w:pPr>
        <w:pStyle w:val="56"/>
        <w:ind w:firstLine="420"/>
      </w:pPr>
      <w:r>
        <w:rPr>
          <w:rFonts w:hint="eastAsia"/>
        </w:rPr>
        <w:t>为电子商务交易家具产品提供仓储、包装、运输、配送、搬运、安装、退换、维修等服务的组织。</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逆向物流 </w:t>
      </w:r>
      <w:r>
        <w:rPr>
          <w:rFonts w:ascii="黑体" w:hAnsi="黑体" w:eastAsia="黑体"/>
        </w:rPr>
        <w:t xml:space="preserve"> reverse logistics</w:t>
      </w:r>
    </w:p>
    <w:p>
      <w:pPr>
        <w:pStyle w:val="56"/>
        <w:ind w:firstLine="420"/>
      </w:pPr>
      <w:r>
        <w:rPr>
          <w:rFonts w:hint="eastAsia"/>
        </w:rPr>
        <w:t>为恢复物品价值、循环利用或者合理处置，对原材料、零部件、在制品及成品、废旧家具用品从供应链下游节点向上游节点反向流动，或按特定的渠道或方式归集到指定地点所进行的物流活动。</w:t>
      </w:r>
    </w:p>
    <w:p>
      <w:pPr>
        <w:pStyle w:val="56"/>
        <w:ind w:firstLine="420"/>
      </w:pPr>
      <w:r>
        <w:rPr>
          <w:rFonts w:hint="eastAsia"/>
        </w:rPr>
        <w:t>[来源：GB/T 18354—2021，3.35，有改动]</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托运人 </w:t>
      </w:r>
      <w:r>
        <w:rPr>
          <w:rFonts w:ascii="黑体" w:hAnsi="黑体" w:eastAsia="黑体"/>
        </w:rPr>
        <w:t xml:space="preserve"> shipper</w:t>
      </w:r>
    </w:p>
    <w:p>
      <w:pPr>
        <w:pStyle w:val="56"/>
        <w:ind w:firstLine="420"/>
      </w:pPr>
      <w:r>
        <w:rPr>
          <w:rFonts w:hint="eastAsia"/>
        </w:rPr>
        <w:t>本人或者委托他人以本人名义与承运人订立货物运输合同，并向承运人支付相应费用的一方当事人。</w:t>
      </w:r>
    </w:p>
    <w:p>
      <w:pPr>
        <w:pStyle w:val="56"/>
        <w:ind w:firstLine="420"/>
      </w:pPr>
      <w:r>
        <w:rPr>
          <w:rFonts w:hint="eastAsia"/>
        </w:rPr>
        <w:t>[来源：GB/T 18354—2021，4.4]</w:t>
      </w:r>
    </w:p>
    <w:p>
      <w:pPr>
        <w:pStyle w:val="104"/>
        <w:spacing w:before="312" w:after="312"/>
      </w:pPr>
      <w:r>
        <w:rPr>
          <w:rFonts w:hint="eastAsia"/>
        </w:rPr>
        <w:t>基本要求</w:t>
      </w:r>
    </w:p>
    <w:p>
      <w:pPr>
        <w:pStyle w:val="105"/>
        <w:spacing w:before="156" w:after="156"/>
      </w:pPr>
      <w:r>
        <w:rPr>
          <w:rFonts w:hint="eastAsia"/>
        </w:rPr>
        <w:t>服务商</w:t>
      </w:r>
    </w:p>
    <w:p>
      <w:pPr>
        <w:pStyle w:val="56"/>
        <w:ind w:firstLine="420"/>
      </w:pPr>
      <w:r>
        <w:rPr>
          <w:rFonts w:hint="eastAsia"/>
        </w:rPr>
        <w:t>电商家具物流服务组织应取得运营资质，拥有相关技能的从业人员以及电商家具物流所需的智能技术、设施设备、运输工具与管理信息系统。</w:t>
      </w:r>
    </w:p>
    <w:p>
      <w:pPr>
        <w:pStyle w:val="105"/>
        <w:spacing w:before="156" w:after="156"/>
      </w:pPr>
      <w:r>
        <w:rPr>
          <w:rFonts w:hint="eastAsia"/>
        </w:rPr>
        <w:t>人员</w:t>
      </w:r>
    </w:p>
    <w:p>
      <w:pPr>
        <w:pStyle w:val="165"/>
      </w:pPr>
      <w:r>
        <w:rPr>
          <w:rFonts w:hint="eastAsia"/>
        </w:rPr>
        <w:t>应根据工种分为客服、收货、存储、分拣、发货、装车、运输、配送、安装、退货等作业人员。</w:t>
      </w:r>
    </w:p>
    <w:p>
      <w:pPr>
        <w:pStyle w:val="165"/>
      </w:pPr>
      <w:r>
        <w:rPr>
          <w:rFonts w:hint="eastAsia"/>
        </w:rPr>
        <w:t>作业人员应熟练操作智能设备，完成相关物流服务指令。</w:t>
      </w:r>
    </w:p>
    <w:p>
      <w:pPr>
        <w:pStyle w:val="165"/>
      </w:pPr>
      <w:r>
        <w:rPr>
          <w:rFonts w:hint="eastAsia"/>
        </w:rPr>
        <w:t>应遵守法律法规规定，对客户信息严格保密。</w:t>
      </w:r>
    </w:p>
    <w:p>
      <w:pPr>
        <w:pStyle w:val="105"/>
        <w:spacing w:before="156" w:after="156"/>
      </w:pPr>
      <w:r>
        <w:rPr>
          <w:rFonts w:hint="eastAsia"/>
        </w:rPr>
        <w:t>场所</w:t>
      </w:r>
    </w:p>
    <w:p>
      <w:pPr>
        <w:pStyle w:val="165"/>
      </w:pPr>
      <w:r>
        <w:rPr>
          <w:rFonts w:hint="eastAsia"/>
        </w:rPr>
        <w:t>仓储、分拣处理及配送场所应符合SB/T 11132—2015中5.1的规定。</w:t>
      </w:r>
    </w:p>
    <w:p>
      <w:pPr>
        <w:pStyle w:val="165"/>
      </w:pPr>
      <w:r>
        <w:rPr>
          <w:rFonts w:hint="eastAsia"/>
        </w:rPr>
        <w:t>应符合消防安全要求，保持通风、防潮，家具货品与地面、墙面保持适当距离。</w:t>
      </w:r>
    </w:p>
    <w:p>
      <w:pPr>
        <w:pStyle w:val="105"/>
        <w:spacing w:before="156" w:after="156"/>
      </w:pPr>
      <w:r>
        <w:rPr>
          <w:rFonts w:hint="eastAsia"/>
        </w:rPr>
        <w:t>设施设备</w:t>
      </w:r>
    </w:p>
    <w:p>
      <w:pPr>
        <w:pStyle w:val="165"/>
      </w:pPr>
      <w:r>
        <w:rPr>
          <w:rFonts w:hint="eastAsia"/>
        </w:rPr>
        <w:t>应符合SB/T 11132—2015中5.2的规定。</w:t>
      </w:r>
    </w:p>
    <w:p>
      <w:pPr>
        <w:pStyle w:val="165"/>
      </w:pPr>
      <w:r>
        <w:rPr>
          <w:rFonts w:hint="eastAsia"/>
        </w:rPr>
        <w:t>应采用厢式化、重载化、专业化运输工具，降低运输工具能耗。</w:t>
      </w:r>
    </w:p>
    <w:p>
      <w:pPr>
        <w:pStyle w:val="165"/>
      </w:pPr>
      <w:r>
        <w:rPr>
          <w:rFonts w:hint="eastAsia"/>
        </w:rPr>
        <w:t>应满足智能化、信息化、系统化要求。</w:t>
      </w:r>
    </w:p>
    <w:p>
      <w:pPr>
        <w:pStyle w:val="165"/>
      </w:pPr>
      <w:r>
        <w:rPr>
          <w:rFonts w:hint="eastAsia"/>
        </w:rPr>
        <w:t>应符合绿色环保理念。</w:t>
      </w:r>
    </w:p>
    <w:p>
      <w:pPr>
        <w:pStyle w:val="104"/>
        <w:spacing w:before="312" w:after="312"/>
      </w:pPr>
      <w:r>
        <w:rPr>
          <w:rFonts w:hint="eastAsia"/>
        </w:rPr>
        <w:t>服务内容</w:t>
      </w:r>
    </w:p>
    <w:p>
      <w:pPr>
        <w:pStyle w:val="105"/>
        <w:spacing w:before="156" w:after="156"/>
      </w:pPr>
      <w:r>
        <w:rPr>
          <w:rFonts w:hint="eastAsia"/>
        </w:rPr>
        <w:t>物流服务流程图</w:t>
      </w:r>
    </w:p>
    <w:p>
      <w:pPr>
        <w:pStyle w:val="230"/>
        <w:jc w:val="center"/>
      </w:pPr>
      <w:r>
        <w:drawing>
          <wp:inline distT="0" distB="0" distL="0" distR="0">
            <wp:extent cx="4777740" cy="1735455"/>
            <wp:effectExtent l="0" t="0" r="3810" b="0"/>
            <wp:docPr id="20143882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88216"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792791" cy="1741155"/>
                    </a:xfrm>
                    <a:prstGeom prst="rect">
                      <a:avLst/>
                    </a:prstGeom>
                    <a:noFill/>
                    <a:ln>
                      <a:noFill/>
                    </a:ln>
                  </pic:spPr>
                </pic:pic>
              </a:graphicData>
            </a:graphic>
          </wp:inline>
        </w:drawing>
      </w:r>
    </w:p>
    <w:p>
      <w:pPr>
        <w:pStyle w:val="114"/>
        <w:spacing w:before="156" w:after="156"/>
      </w:pPr>
      <w:r>
        <w:rPr>
          <w:rFonts w:hint="eastAsia"/>
        </w:rPr>
        <w:t>物流服务流程图</w:t>
      </w:r>
    </w:p>
    <w:p>
      <w:pPr>
        <w:pStyle w:val="105"/>
        <w:spacing w:before="156" w:after="156"/>
      </w:pPr>
      <w:r>
        <w:rPr>
          <w:rFonts w:hint="eastAsia"/>
        </w:rPr>
        <w:t>订单处理</w:t>
      </w:r>
    </w:p>
    <w:p>
      <w:pPr>
        <w:pStyle w:val="165"/>
      </w:pPr>
      <w:r>
        <w:rPr>
          <w:rFonts w:hint="eastAsia"/>
        </w:rPr>
        <w:t>经托运人与家具物流服务商双方确认后签订确切表达各方意愿的电商家具物流服务合同，并出具物流运单，合同内容应符合GB/T 30333的规定。</w:t>
      </w:r>
    </w:p>
    <w:p>
      <w:pPr>
        <w:pStyle w:val="165"/>
      </w:pPr>
      <w:r>
        <w:rPr>
          <w:rFonts w:hint="eastAsia"/>
        </w:rPr>
        <w:t>电商家具物流服务组织收到物流运单后，应秉持安全、高效、准确的原则提供相应服务。</w:t>
      </w:r>
    </w:p>
    <w:p>
      <w:pPr>
        <w:pStyle w:val="165"/>
      </w:pPr>
      <w:r>
        <w:rPr>
          <w:rFonts w:hint="eastAsia"/>
        </w:rPr>
        <w:t>电商家具物流服务组织应根据家具类别和收货地，采用先进配送组织模式，智能匹配运输路线与服务，并将路线规划结果同步至移动端。</w:t>
      </w:r>
    </w:p>
    <w:p>
      <w:pPr>
        <w:pStyle w:val="165"/>
      </w:pPr>
      <w:r>
        <w:rPr>
          <w:rFonts w:hint="eastAsia"/>
        </w:rPr>
        <w:t>客服应关注客户订单执行、存货控制以及配送情况。</w:t>
      </w:r>
    </w:p>
    <w:p>
      <w:pPr>
        <w:pStyle w:val="105"/>
        <w:spacing w:before="156" w:after="156"/>
      </w:pPr>
      <w:r>
        <w:rPr>
          <w:rFonts w:hint="eastAsia"/>
        </w:rPr>
        <w:t>仓储</w:t>
      </w:r>
    </w:p>
    <w:p>
      <w:pPr>
        <w:pStyle w:val="165"/>
      </w:pPr>
      <w:r>
        <w:rPr>
          <w:rFonts w:hint="eastAsia"/>
        </w:rPr>
        <w:t>家具按所用材料可分为实木家具、板式家具、软体家具、藤（竹）编家具、金属家具、钢木家具、塑料家具、石材家具等。</w:t>
      </w:r>
    </w:p>
    <w:p>
      <w:pPr>
        <w:pStyle w:val="165"/>
      </w:pPr>
      <w:r>
        <w:rPr>
          <w:rFonts w:hint="eastAsia"/>
        </w:rPr>
        <w:t>家具板材和通用零部件从细分类别、销售速度等维度，设计好结构布局、货位、物流操作，统筹考虑后进行堆码。</w:t>
      </w:r>
    </w:p>
    <w:p>
      <w:pPr>
        <w:pStyle w:val="165"/>
      </w:pPr>
      <w:r>
        <w:rPr>
          <w:rFonts w:hint="eastAsia"/>
        </w:rPr>
        <w:t>按照大不压小、重不压轻的原则进行码放。无堆码标志要求的应做到不损坏家具及其配件的外包装。</w:t>
      </w:r>
    </w:p>
    <w:p>
      <w:pPr>
        <w:pStyle w:val="165"/>
      </w:pPr>
      <w:r>
        <w:rPr>
          <w:rFonts w:hint="eastAsia"/>
        </w:rPr>
        <w:t>根据不同的家具应采用不同的包装方式，达到防震、防冲、防潮、防火效果，可多次搬运而不破损，且包装上应标注警示内容。</w:t>
      </w:r>
    </w:p>
    <w:p>
      <w:pPr>
        <w:pStyle w:val="179"/>
      </w:pPr>
      <w:r>
        <w:rPr>
          <w:rFonts w:hint="eastAsia"/>
        </w:rPr>
        <w:t>实木家具应注意空气中的湿度调节，避免硬物划伤；软体家具容易吸尘，且耐磨性差，在仓储中应尽量避免接触灰尘，并且家具之间要尽量避免相互摩擦。</w:t>
      </w:r>
    </w:p>
    <w:p>
      <w:pPr>
        <w:pStyle w:val="105"/>
        <w:spacing w:before="156" w:after="156"/>
      </w:pPr>
      <w:r>
        <w:rPr>
          <w:rFonts w:hint="eastAsia"/>
        </w:rPr>
        <w:t>分拣装卸</w:t>
      </w:r>
    </w:p>
    <w:p>
      <w:pPr>
        <w:pStyle w:val="165"/>
      </w:pPr>
      <w:r>
        <w:rPr>
          <w:rFonts w:hint="eastAsia"/>
        </w:rPr>
        <w:t>根据客户订单分拣家具，五金配件、说明书等应配备齐全，确保订单家具完整配送。</w:t>
      </w:r>
    </w:p>
    <w:p>
      <w:pPr>
        <w:pStyle w:val="165"/>
      </w:pPr>
      <w:r>
        <w:rPr>
          <w:rFonts w:hint="eastAsia"/>
        </w:rPr>
        <w:t>应采用智能管理方式，对配送网点、配送片区划分、配送地址分单、配送路线规划及售后路线规划进行精确定位。</w:t>
      </w:r>
    </w:p>
    <w:p>
      <w:pPr>
        <w:pStyle w:val="165"/>
      </w:pPr>
      <w:r>
        <w:rPr>
          <w:rFonts w:hint="eastAsia"/>
        </w:rPr>
        <w:t>应遵循先卸后装、大不压小、重不压轻的原则，大件物品使用专业装卸工具，确保货物完好。</w:t>
      </w:r>
    </w:p>
    <w:p>
      <w:pPr>
        <w:pStyle w:val="105"/>
        <w:spacing w:before="156" w:after="156"/>
      </w:pPr>
      <w:r>
        <w:rPr>
          <w:rFonts w:hint="eastAsia"/>
        </w:rPr>
        <w:t>运输</w:t>
      </w:r>
    </w:p>
    <w:p>
      <w:pPr>
        <w:pStyle w:val="165"/>
      </w:pPr>
      <w:r>
        <w:rPr>
          <w:rFonts w:hint="eastAsia"/>
        </w:rPr>
        <w:t>运输服务前宜按照发货人和收货人需求，向发货人提供预估的运输时间和运输成本，向收货人提供运输时间（特殊情况提供运输成本）。</w:t>
      </w:r>
    </w:p>
    <w:p>
      <w:pPr>
        <w:pStyle w:val="165"/>
      </w:pPr>
      <w:r>
        <w:rPr>
          <w:rFonts w:hint="eastAsia"/>
        </w:rPr>
        <w:t>运输服务过程中，对运输工具位置、作业人员位置进行实时掌控，随时了解运输工具、货物及作业人员位置。</w:t>
      </w:r>
    </w:p>
    <w:p>
      <w:pPr>
        <w:pStyle w:val="165"/>
      </w:pPr>
      <w:r>
        <w:rPr>
          <w:rFonts w:hint="eastAsia"/>
        </w:rPr>
        <w:t>运输服务过程中，宜及时收集客户反馈，根据客户反馈对运输服务中出现的各类问题提供智能改进服务。</w:t>
      </w:r>
    </w:p>
    <w:p>
      <w:pPr>
        <w:pStyle w:val="105"/>
        <w:spacing w:before="156" w:after="156"/>
      </w:pPr>
      <w:r>
        <w:rPr>
          <w:rFonts w:hint="eastAsia"/>
        </w:rPr>
        <w:t>配送</w:t>
      </w:r>
    </w:p>
    <w:p>
      <w:pPr>
        <w:pStyle w:val="165"/>
      </w:pPr>
      <w:r>
        <w:rPr>
          <w:rFonts w:hint="eastAsia"/>
        </w:rPr>
        <w:t>送货员应做好家具配送的服务工作，货物配送前应根据收货人需求进行配送预约，提供按约配送、临时变更和自主取消等服务。</w:t>
      </w:r>
    </w:p>
    <w:p>
      <w:pPr>
        <w:pStyle w:val="165"/>
      </w:pPr>
      <w:r>
        <w:rPr>
          <w:rFonts w:hint="eastAsia"/>
        </w:rPr>
        <w:t>配送前，根据家具及其配件的类别、数量选择合适的运输方式，配置必要的装卸工具和作业人员。</w:t>
      </w:r>
    </w:p>
    <w:p>
      <w:pPr>
        <w:pStyle w:val="165"/>
      </w:pPr>
      <w:r>
        <w:rPr>
          <w:rFonts w:hint="eastAsia"/>
        </w:rPr>
        <w:t>对配送车辆位置进行动态监控，随时了解车辆及货物位置。同时可对配送人员位置定位，实时查看派单进展情况。</w:t>
      </w:r>
    </w:p>
    <w:p>
      <w:pPr>
        <w:pStyle w:val="165"/>
      </w:pPr>
      <w:r>
        <w:rPr>
          <w:rFonts w:hint="eastAsia"/>
        </w:rPr>
        <w:t>货物配送后宜收集收货人信息反馈，提供优化服务方案。</w:t>
      </w:r>
    </w:p>
    <w:p>
      <w:pPr>
        <w:pStyle w:val="105"/>
        <w:spacing w:before="156" w:after="156"/>
      </w:pPr>
      <w:r>
        <w:rPr>
          <w:rFonts w:hint="eastAsia"/>
        </w:rPr>
        <w:t>安装</w:t>
      </w:r>
    </w:p>
    <w:p>
      <w:pPr>
        <w:pStyle w:val="165"/>
      </w:pPr>
      <w:r>
        <w:rPr>
          <w:rFonts w:hint="eastAsia"/>
        </w:rPr>
        <w:t>应由具备专业安装能力的人员负责。</w:t>
      </w:r>
    </w:p>
    <w:p>
      <w:pPr>
        <w:pStyle w:val="165"/>
      </w:pPr>
      <w:r>
        <w:rPr>
          <w:rFonts w:hint="eastAsia"/>
        </w:rPr>
        <w:t>应按照安装图纸要求进行安装，对安装时间、安装人员、安装所需材料、安装程序、安装质量等进行把控。</w:t>
      </w:r>
    </w:p>
    <w:p>
      <w:pPr>
        <w:pStyle w:val="165"/>
      </w:pPr>
      <w:r>
        <w:rPr>
          <w:rFonts w:hint="eastAsia"/>
        </w:rPr>
        <w:t>安装结束后应进行安装质量确认。</w:t>
      </w:r>
    </w:p>
    <w:p>
      <w:pPr>
        <w:pStyle w:val="105"/>
        <w:spacing w:before="156" w:after="156"/>
      </w:pPr>
      <w:r>
        <w:rPr>
          <w:rFonts w:hint="eastAsia"/>
        </w:rPr>
        <w:t>逆向物流</w:t>
      </w:r>
    </w:p>
    <w:p>
      <w:pPr>
        <w:pStyle w:val="165"/>
      </w:pPr>
      <w:r>
        <w:rPr>
          <w:rFonts w:hint="eastAsia"/>
        </w:rPr>
        <w:t>在收到退换家具及其配件通知时，应及时与收货人联系。</w:t>
      </w:r>
    </w:p>
    <w:p>
      <w:pPr>
        <w:pStyle w:val="165"/>
      </w:pPr>
      <w:r>
        <w:rPr>
          <w:rFonts w:hint="eastAsia"/>
        </w:rPr>
        <w:t>确认退换家具及其配件的类别、数量、货物质量状态、收货时间、送达时间、地点与联系人、逆向物流费用等内容。</w:t>
      </w:r>
    </w:p>
    <w:p>
      <w:pPr>
        <w:pStyle w:val="165"/>
      </w:pPr>
      <w:r>
        <w:rPr>
          <w:rFonts w:hint="eastAsia"/>
        </w:rPr>
        <w:t>应在约定时间内按收货、包装、搬运装卸、运输、配送及仓储要求进行作业。</w:t>
      </w:r>
    </w:p>
    <w:p>
      <w:pPr>
        <w:pStyle w:val="165"/>
      </w:pPr>
      <w:r>
        <w:rPr>
          <w:rFonts w:hint="eastAsia"/>
        </w:rPr>
        <w:t>对已安装好的家具，按GB/T 32442—2015第6章的要求进行拆卸；不便拆卸的家具，在综合成本核算下，提供整体物流服务解决方案。</w:t>
      </w:r>
    </w:p>
    <w:p>
      <w:pPr>
        <w:pStyle w:val="105"/>
        <w:spacing w:before="156" w:after="156"/>
      </w:pPr>
      <w:r>
        <w:rPr>
          <w:rFonts w:hint="eastAsia"/>
        </w:rPr>
        <w:t>信息追溯</w:t>
      </w:r>
    </w:p>
    <w:p>
      <w:pPr>
        <w:pStyle w:val="65"/>
        <w:spacing w:before="156" w:after="156"/>
      </w:pPr>
      <w:r>
        <w:rPr>
          <w:rFonts w:hint="eastAsia"/>
        </w:rPr>
        <w:t>基本信息追溯</w:t>
      </w:r>
    </w:p>
    <w:p>
      <w:pPr>
        <w:pStyle w:val="56"/>
        <w:ind w:firstLine="420"/>
      </w:pPr>
      <w:r>
        <w:rPr>
          <w:rFonts w:hint="eastAsia"/>
        </w:rPr>
        <w:t>电商家具信息追溯包括数据的采集、汇总、处理、公布、查询等，包含但不限于表1的内容。</w:t>
      </w:r>
    </w:p>
    <w:p>
      <w:pPr>
        <w:pStyle w:val="112"/>
        <w:spacing w:before="156" w:after="156"/>
      </w:pPr>
      <w:r>
        <w:rPr>
          <w:rFonts w:hint="eastAsia"/>
        </w:rPr>
        <w:t>追溯信息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8"/>
        <w:gridCol w:w="70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tcBorders>
              <w:top w:val="single" w:color="auto" w:sz="8" w:space="0"/>
              <w:bottom w:val="single" w:color="auto" w:sz="8" w:space="0"/>
            </w:tcBorders>
            <w:shd w:val="clear" w:color="auto" w:fill="auto"/>
            <w:vAlign w:val="center"/>
          </w:tcPr>
          <w:p>
            <w:pPr>
              <w:pStyle w:val="178"/>
            </w:pPr>
            <w:r>
              <w:rPr>
                <w:rFonts w:hint="eastAsia"/>
              </w:rPr>
              <w:t>追溯信息</w:t>
            </w:r>
          </w:p>
        </w:tc>
        <w:tc>
          <w:tcPr>
            <w:tcW w:w="7076" w:type="dxa"/>
            <w:tcBorders>
              <w:top w:val="single" w:color="auto" w:sz="8" w:space="0"/>
              <w:bottom w:val="single" w:color="auto" w:sz="8" w:space="0"/>
            </w:tcBorders>
            <w:shd w:val="clear" w:color="auto" w:fill="auto"/>
            <w:vAlign w:val="center"/>
          </w:tcPr>
          <w:p>
            <w:pPr>
              <w:pStyle w:val="178"/>
            </w:pPr>
            <w:r>
              <w:rPr>
                <w:rFonts w:hint="eastAsia"/>
              </w:rPr>
              <w:t>信息内容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Borders>
              <w:top w:val="single" w:color="auto" w:sz="8" w:space="0"/>
            </w:tcBorders>
            <w:shd w:val="clear" w:color="auto" w:fill="auto"/>
            <w:vAlign w:val="center"/>
          </w:tcPr>
          <w:p>
            <w:pPr>
              <w:pStyle w:val="178"/>
            </w:pPr>
            <w:r>
              <w:rPr>
                <w:rFonts w:hint="eastAsia"/>
              </w:rPr>
              <w:t>商品信息</w:t>
            </w:r>
          </w:p>
        </w:tc>
        <w:tc>
          <w:tcPr>
            <w:tcW w:w="7076" w:type="dxa"/>
            <w:tcBorders>
              <w:top w:val="single" w:color="auto" w:sz="8" w:space="0"/>
            </w:tcBorders>
            <w:shd w:val="clear" w:color="auto" w:fill="auto"/>
            <w:vAlign w:val="center"/>
          </w:tcPr>
          <w:p>
            <w:pPr>
              <w:pStyle w:val="178"/>
              <w:jc w:val="left"/>
            </w:pPr>
            <w:r>
              <w:rPr>
                <w:rFonts w:hint="eastAsia"/>
              </w:rPr>
              <w:t>名称、数量、重量、体积、价值、原料、生产地、生产商、出厂日期、质检报告等。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vAlign w:val="center"/>
          </w:tcPr>
          <w:p>
            <w:pPr>
              <w:pStyle w:val="178"/>
            </w:pPr>
            <w:r>
              <w:rPr>
                <w:rFonts w:hint="eastAsia"/>
              </w:rPr>
              <w:t>运输信息</w:t>
            </w:r>
          </w:p>
        </w:tc>
        <w:tc>
          <w:tcPr>
            <w:tcW w:w="7076" w:type="dxa"/>
            <w:shd w:val="clear" w:color="auto" w:fill="auto"/>
            <w:vAlign w:val="center"/>
          </w:tcPr>
          <w:p>
            <w:pPr>
              <w:pStyle w:val="178"/>
              <w:jc w:val="left"/>
            </w:pPr>
            <w:r>
              <w:rPr>
                <w:rFonts w:hint="eastAsia"/>
              </w:rPr>
              <w:t>托运人、收货人基本信息（包括名称、地址、联系人及联系方式等）、承运商名称、车牌号、司机及其联系方式、收发货时间、车辆在途信息等。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vAlign w:val="center"/>
          </w:tcPr>
          <w:p>
            <w:pPr>
              <w:pStyle w:val="178"/>
            </w:pPr>
            <w:r>
              <w:rPr>
                <w:rFonts w:hint="eastAsia"/>
              </w:rPr>
              <w:t>仓储信息</w:t>
            </w:r>
          </w:p>
        </w:tc>
        <w:tc>
          <w:tcPr>
            <w:tcW w:w="7076" w:type="dxa"/>
            <w:shd w:val="clear" w:color="auto" w:fill="auto"/>
            <w:vAlign w:val="center"/>
          </w:tcPr>
          <w:p>
            <w:pPr>
              <w:pStyle w:val="178"/>
              <w:jc w:val="left"/>
            </w:pPr>
            <w:r>
              <w:rPr>
                <w:rFonts w:hint="eastAsia"/>
              </w:rPr>
              <w:t>仓库名称及地址、货位号、托盘/周转箱编码、收发货时间、操作人员等。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vAlign w:val="center"/>
          </w:tcPr>
          <w:p>
            <w:pPr>
              <w:pStyle w:val="178"/>
            </w:pPr>
            <w:r>
              <w:rPr>
                <w:rFonts w:hint="eastAsia"/>
              </w:rPr>
              <w:t>其他信息</w:t>
            </w:r>
          </w:p>
        </w:tc>
        <w:tc>
          <w:tcPr>
            <w:tcW w:w="7076" w:type="dxa"/>
            <w:shd w:val="clear" w:color="auto" w:fill="auto"/>
            <w:vAlign w:val="center"/>
          </w:tcPr>
          <w:p>
            <w:pPr>
              <w:pStyle w:val="178"/>
              <w:jc w:val="left"/>
            </w:pPr>
            <w:r>
              <w:rPr>
                <w:rFonts w:hint="eastAsia"/>
              </w:rPr>
              <w:t>外包装状态、产品质量信息等。</w:t>
            </w:r>
          </w:p>
        </w:tc>
      </w:tr>
    </w:tbl>
    <w:p>
      <w:pPr>
        <w:pStyle w:val="65"/>
        <w:spacing w:before="156" w:after="156"/>
      </w:pPr>
      <w:r>
        <w:rPr>
          <w:rFonts w:hint="eastAsia"/>
        </w:rPr>
        <w:t>信息存储</w:t>
      </w:r>
    </w:p>
    <w:p>
      <w:pPr>
        <w:pStyle w:val="164"/>
      </w:pPr>
      <w:r>
        <w:rPr>
          <w:rFonts w:hint="eastAsia"/>
        </w:rPr>
        <w:t>应建立电商家具物流服务信息管理制度。</w:t>
      </w:r>
    </w:p>
    <w:p>
      <w:pPr>
        <w:pStyle w:val="164"/>
      </w:pPr>
      <w:r>
        <w:rPr>
          <w:rFonts w:hint="eastAsia"/>
        </w:rPr>
        <w:t>宜采用电子化、无纸化存储方式。</w:t>
      </w:r>
    </w:p>
    <w:p>
      <w:pPr>
        <w:pStyle w:val="164"/>
      </w:pPr>
      <w:r>
        <w:rPr>
          <w:rFonts w:hint="eastAsia"/>
        </w:rPr>
        <w:t>信息记录应及时归档和备份。</w:t>
      </w:r>
    </w:p>
    <w:p>
      <w:pPr>
        <w:pStyle w:val="65"/>
        <w:spacing w:before="156" w:after="156"/>
      </w:pPr>
      <w:r>
        <w:rPr>
          <w:rFonts w:hint="eastAsia"/>
        </w:rPr>
        <w:t>信息传输</w:t>
      </w:r>
    </w:p>
    <w:p>
      <w:pPr>
        <w:pStyle w:val="56"/>
        <w:ind w:firstLine="420"/>
      </w:pPr>
      <w:r>
        <w:rPr>
          <w:rFonts w:hint="eastAsia"/>
        </w:rPr>
        <w:t>物流服务商应具备物流信息服务系统，物流各节点交接时应做到信息共享，包括订单处理、仓储、分拣、运输、配送、安装、信息追溯、服务回访、投诉者处理等。</w:t>
      </w:r>
    </w:p>
    <w:p>
      <w:pPr>
        <w:pStyle w:val="65"/>
        <w:spacing w:before="156" w:after="156"/>
      </w:pPr>
      <w:r>
        <w:rPr>
          <w:rFonts w:hint="eastAsia"/>
        </w:rPr>
        <w:t>信息管理</w:t>
      </w:r>
    </w:p>
    <w:p>
      <w:pPr>
        <w:pStyle w:val="164"/>
      </w:pPr>
      <w:r>
        <w:rPr>
          <w:rFonts w:hint="eastAsia"/>
        </w:rPr>
        <w:t>应对电商家具物流服务各类信息进行采集、处理、分析、保存和传递。</w:t>
      </w:r>
    </w:p>
    <w:p>
      <w:pPr>
        <w:pStyle w:val="164"/>
      </w:pPr>
      <w:r>
        <w:rPr>
          <w:rFonts w:hint="eastAsia"/>
        </w:rPr>
        <w:t>电商家具物流服务组织应保留相关追溯信息，积极响应客户的追溯请求并实施追溯。</w:t>
      </w:r>
    </w:p>
    <w:p>
      <w:pPr>
        <w:pStyle w:val="104"/>
        <w:spacing w:before="312" w:after="312"/>
      </w:pPr>
      <w:r>
        <w:rPr>
          <w:rFonts w:hint="eastAsia"/>
        </w:rPr>
        <w:t>服务保障</w:t>
      </w:r>
    </w:p>
    <w:p>
      <w:pPr>
        <w:pStyle w:val="162"/>
      </w:pPr>
      <w:r>
        <w:rPr>
          <w:rFonts w:hint="eastAsia"/>
        </w:rPr>
        <w:t>应建立优质高效的服务质量体系。</w:t>
      </w:r>
    </w:p>
    <w:p>
      <w:pPr>
        <w:pStyle w:val="162"/>
      </w:pPr>
      <w:r>
        <w:rPr>
          <w:rFonts w:hint="eastAsia"/>
        </w:rPr>
        <w:t>应制定安全管理制度、安全作业操作规范以及相应的安全风险评估和防控措施，能够有效管控货物在仓储、运输、配送、安装等作业过程中产生的各类安全风险。</w:t>
      </w:r>
    </w:p>
    <w:p>
      <w:pPr>
        <w:pStyle w:val="162"/>
      </w:pPr>
      <w:r>
        <w:rPr>
          <w:rFonts w:hint="eastAsia"/>
        </w:rPr>
        <w:t>应制定应急管理制度及应急预案，定期进行演练，确保各人员在遇到紧急情况、意外事故、灾害以及冲突等突发事件时具备快速、妥当处理的能力。</w:t>
      </w:r>
    </w:p>
    <w:p>
      <w:pPr>
        <w:pStyle w:val="162"/>
      </w:pPr>
      <w:r>
        <w:rPr>
          <w:rFonts w:hint="eastAsia"/>
        </w:rPr>
        <w:t>应对作业人员、家具、作业场地、车辆等办理相应保险。</w:t>
      </w:r>
    </w:p>
    <w:p>
      <w:pPr>
        <w:pStyle w:val="162"/>
      </w:pPr>
      <w:r>
        <w:rPr>
          <w:rFonts w:hint="eastAsia"/>
        </w:rPr>
        <w:t>对从事装卸、搬运、运输、安装等作业人员，应配备相应的劳动安全保护用品。</w:t>
      </w:r>
    </w:p>
    <w:p>
      <w:pPr>
        <w:pStyle w:val="162"/>
      </w:pPr>
      <w:r>
        <w:rPr>
          <w:rFonts w:hint="eastAsia"/>
        </w:rPr>
        <w:t>应定期对作业车辆、仓库设施、消防设施、安全防护设施和信息系统等进行检查和维护，保障其正常运行，对相关的安全事项进行评估，发现问题及时整改。</w:t>
      </w:r>
    </w:p>
    <w:p>
      <w:pPr>
        <w:pStyle w:val="162"/>
      </w:pPr>
      <w:r>
        <w:rPr>
          <w:rFonts w:hint="eastAsia"/>
        </w:rPr>
        <w:t>发生意外事件时，应及时采取应急措施，主动和托运人、收货人进行沟通或按合同约定进行处理</w:t>
      </w:r>
      <w:r>
        <w:t>。</w:t>
      </w:r>
    </w:p>
    <w:p>
      <w:pPr>
        <w:pStyle w:val="104"/>
        <w:spacing w:before="312" w:after="312"/>
      </w:pPr>
      <w:r>
        <w:rPr>
          <w:rFonts w:hint="eastAsia"/>
        </w:rPr>
        <w:t>评价与改进</w:t>
      </w:r>
    </w:p>
    <w:p>
      <w:pPr>
        <w:pStyle w:val="105"/>
        <w:spacing w:before="156" w:after="156"/>
      </w:pPr>
      <w:r>
        <w:rPr>
          <w:rFonts w:hint="eastAsia"/>
        </w:rPr>
        <w:t>评价</w:t>
      </w:r>
    </w:p>
    <w:p>
      <w:pPr>
        <w:pStyle w:val="65"/>
        <w:spacing w:before="156" w:after="156"/>
      </w:pPr>
      <w:r>
        <w:rPr>
          <w:rFonts w:hint="eastAsia"/>
        </w:rPr>
        <w:t>服务回访</w:t>
      </w:r>
    </w:p>
    <w:p>
      <w:pPr>
        <w:pStyle w:val="56"/>
        <w:ind w:firstLine="420"/>
      </w:pPr>
      <w:r>
        <w:rPr>
          <w:rFonts w:hint="eastAsia"/>
        </w:rPr>
        <w:t>针对物流运输服务流程控制、货损责任及到货周期等问题，开展电商家具物流服务第三方满意度调查，持续改进服务质量。</w:t>
      </w:r>
    </w:p>
    <w:p>
      <w:pPr>
        <w:pStyle w:val="65"/>
        <w:spacing w:before="156" w:after="156"/>
      </w:pPr>
      <w:r>
        <w:rPr>
          <w:rFonts w:hint="eastAsia"/>
        </w:rPr>
        <w:t>投诉处理</w:t>
      </w:r>
    </w:p>
    <w:p>
      <w:pPr>
        <w:pStyle w:val="165"/>
      </w:pPr>
      <w:r>
        <w:rPr>
          <w:rFonts w:hint="eastAsia"/>
        </w:rPr>
        <w:t>电商家具服务组织应按照GB/T 17242建立电商家具物流服务投诉处理制度。</w:t>
      </w:r>
    </w:p>
    <w:p>
      <w:pPr>
        <w:pStyle w:val="165"/>
      </w:pPr>
      <w:r>
        <w:rPr>
          <w:rFonts w:hint="eastAsia"/>
        </w:rPr>
        <w:t>家具及其配件未能按时送达的，应及时与收货人沟通，说明具体原因，在取得收货人同意时尽快重新安排配送计划和预计到货时间，并与收货人沟通确认。</w:t>
      </w:r>
    </w:p>
    <w:p>
      <w:pPr>
        <w:pStyle w:val="165"/>
      </w:pPr>
      <w:r>
        <w:rPr>
          <w:rFonts w:hint="eastAsia"/>
        </w:rPr>
        <w:t>在配送过程中，家具及其配件有损害时，应及时与客服沟通，协商一致是退款退货还是退货重新配送。</w:t>
      </w:r>
    </w:p>
    <w:p>
      <w:pPr>
        <w:pStyle w:val="105"/>
        <w:spacing w:before="156" w:after="156"/>
      </w:pPr>
      <w:r>
        <w:rPr>
          <w:rFonts w:hint="eastAsia"/>
        </w:rPr>
        <w:t>改进</w:t>
      </w:r>
    </w:p>
    <w:p>
      <w:pPr>
        <w:pStyle w:val="56"/>
        <w:ind w:firstLine="420"/>
      </w:pPr>
      <w:r>
        <w:rPr>
          <w:rFonts w:hint="eastAsia"/>
        </w:rPr>
        <w:t>应根据评价结果采取相应的预防与改进措施，提升服务质量。</w:t>
      </w:r>
    </w:p>
    <w:bookmarkEnd w:id="22"/>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bookmarkStart w:id="44" w:name="BookMark6"/>
    </w:p>
    <w:p>
      <w:pPr>
        <w:pStyle w:val="63"/>
        <w:spacing w:after="156"/>
      </w:pPr>
      <w:r>
        <w:rPr>
          <w:rFonts w:hint="eastAsia"/>
          <w:spacing w:val="105"/>
        </w:rPr>
        <w:t>参考文</w:t>
      </w:r>
      <w:r>
        <w:rPr>
          <w:rFonts w:hint="eastAsia"/>
        </w:rPr>
        <w:t>献</w:t>
      </w:r>
    </w:p>
    <w:p>
      <w:pPr>
        <w:pStyle w:val="56"/>
        <w:ind w:firstLine="420"/>
      </w:pPr>
      <w:r>
        <w:rPr>
          <w:rFonts w:hint="eastAsia"/>
        </w:rPr>
        <w:t>[1]GB/T 33446—2016  家电物流服务通用要求</w:t>
      </w:r>
    </w:p>
    <w:p>
      <w:pPr>
        <w:pStyle w:val="56"/>
        <w:ind w:firstLine="420"/>
      </w:pPr>
      <w:r>
        <w:rPr>
          <w:rFonts w:hint="eastAsia"/>
        </w:rPr>
        <w:t>[2]GB/T 41834—</w:t>
      </w:r>
      <w:r>
        <w:t>2022</w:t>
      </w:r>
      <w:r>
        <w:rPr>
          <w:rFonts w:hint="eastAsia"/>
        </w:rPr>
        <w:t xml:space="preserve">  智慧物流服务指南</w:t>
      </w:r>
    </w:p>
    <w:p>
      <w:pPr>
        <w:pStyle w:val="56"/>
        <w:ind w:firstLine="420"/>
      </w:pPr>
      <w:r>
        <w:rPr>
          <w:rFonts w:hint="eastAsia"/>
        </w:rPr>
        <w:t>[3]SB/T 10977  仓储作业规范</w:t>
      </w:r>
    </w:p>
    <w:p>
      <w:pPr>
        <w:pStyle w:val="56"/>
        <w:ind w:firstLine="420"/>
      </w:pPr>
      <w:r>
        <w:rPr>
          <w:rFonts w:hint="eastAsia"/>
        </w:rPr>
        <w:t>[4]WB/T 1055—2015  物流从业人员职业能力要求  第1部分：仓储、配送作业与作业管理</w:t>
      </w:r>
    </w:p>
    <w:bookmarkEnd w:id="44"/>
    <w:p>
      <w:pPr>
        <w:pStyle w:val="56"/>
        <w:ind w:firstLine="0" w:firstLineChars="0"/>
        <w:jc w:val="center"/>
      </w:pPr>
      <w:bookmarkStart w:id="45" w:name="BookMark8"/>
      <w:r>
        <w:rPr>
          <w:rFonts w:hint="eastAsia"/>
        </w:rPr>
        <w:drawing>
          <wp:inline distT="0" distB="0" distL="0" distR="0">
            <wp:extent cx="1485900" cy="317500"/>
            <wp:effectExtent l="0" t="0" r="0" b="6350"/>
            <wp:docPr id="1570048387" name="图片 2"/>
            <wp:cNvGraphicFramePr/>
            <a:graphic xmlns:a="http://schemas.openxmlformats.org/drawingml/2006/main">
              <a:graphicData uri="http://schemas.openxmlformats.org/drawingml/2006/picture">
                <pic:pic xmlns:pic="http://schemas.openxmlformats.org/drawingml/2006/picture">
                  <pic:nvPicPr>
                    <pic:cNvPr id="1570048387" name="图片 2"/>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XXXX—2023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XXXX—2023</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xsgniBTNPUEmARCLO2r0mvYypAgwlgCP2uM0xKQqstP/cFiOXRJatEXH65npqqkTV7DP2LddPzDn8Am4lpXtOQ==" w:salt="QHR0rnR0tg3byBdf0uhaN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0F3B49"/>
    <w:rsid w:val="0000040A"/>
    <w:rsid w:val="0000077F"/>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4E7"/>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B49"/>
    <w:rsid w:val="000F4AEA"/>
    <w:rsid w:val="000F633F"/>
    <w:rsid w:val="000F67E9"/>
    <w:rsid w:val="00104926"/>
    <w:rsid w:val="00113B1E"/>
    <w:rsid w:val="0011711C"/>
    <w:rsid w:val="0012059C"/>
    <w:rsid w:val="00124E4F"/>
    <w:rsid w:val="001260B7"/>
    <w:rsid w:val="001265CB"/>
    <w:rsid w:val="001321C6"/>
    <w:rsid w:val="001325C4"/>
    <w:rsid w:val="001327F7"/>
    <w:rsid w:val="00133010"/>
    <w:rsid w:val="001338EE"/>
    <w:rsid w:val="00133AAE"/>
    <w:rsid w:val="00135323"/>
    <w:rsid w:val="001356C4"/>
    <w:rsid w:val="00141114"/>
    <w:rsid w:val="00142969"/>
    <w:rsid w:val="001446C2"/>
    <w:rsid w:val="001457E7"/>
    <w:rsid w:val="00145D9D"/>
    <w:rsid w:val="00146388"/>
    <w:rsid w:val="001529E5"/>
    <w:rsid w:val="0015360D"/>
    <w:rsid w:val="00153C7E"/>
    <w:rsid w:val="00156B25"/>
    <w:rsid w:val="00156E1A"/>
    <w:rsid w:val="00157894"/>
    <w:rsid w:val="00157B55"/>
    <w:rsid w:val="001642FA"/>
    <w:rsid w:val="001649EB"/>
    <w:rsid w:val="00164BAF"/>
    <w:rsid w:val="00164FA8"/>
    <w:rsid w:val="00165065"/>
    <w:rsid w:val="00165211"/>
    <w:rsid w:val="00165434"/>
    <w:rsid w:val="0016580B"/>
    <w:rsid w:val="00165F49"/>
    <w:rsid w:val="00166B88"/>
    <w:rsid w:val="0016770A"/>
    <w:rsid w:val="00170804"/>
    <w:rsid w:val="001708E9"/>
    <w:rsid w:val="0017340B"/>
    <w:rsid w:val="00173FB1"/>
    <w:rsid w:val="00176DFD"/>
    <w:rsid w:val="001852C9"/>
    <w:rsid w:val="001857E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6C4"/>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BB5"/>
    <w:rsid w:val="003D6D61"/>
    <w:rsid w:val="003D79C6"/>
    <w:rsid w:val="003E091D"/>
    <w:rsid w:val="003E1C53"/>
    <w:rsid w:val="003E2A69"/>
    <w:rsid w:val="003E2D49"/>
    <w:rsid w:val="003E2FD4"/>
    <w:rsid w:val="003E49F6"/>
    <w:rsid w:val="003E60DE"/>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25F"/>
    <w:rsid w:val="00445574"/>
    <w:rsid w:val="004467FB"/>
    <w:rsid w:val="00452347"/>
    <w:rsid w:val="00452D6B"/>
    <w:rsid w:val="00452F16"/>
    <w:rsid w:val="00454484"/>
    <w:rsid w:val="0045517B"/>
    <w:rsid w:val="00463B77"/>
    <w:rsid w:val="00463C7B"/>
    <w:rsid w:val="004644A6"/>
    <w:rsid w:val="004659BD"/>
    <w:rsid w:val="00470775"/>
    <w:rsid w:val="004746B1"/>
    <w:rsid w:val="0047583F"/>
    <w:rsid w:val="00475DE8"/>
    <w:rsid w:val="0048071C"/>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D8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56A6"/>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D6C"/>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948"/>
    <w:rsid w:val="00641A1F"/>
    <w:rsid w:val="00645904"/>
    <w:rsid w:val="00651ACB"/>
    <w:rsid w:val="00651C47"/>
    <w:rsid w:val="0065223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5C51"/>
    <w:rsid w:val="006F03A8"/>
    <w:rsid w:val="006F2ACA"/>
    <w:rsid w:val="006F2ADC"/>
    <w:rsid w:val="006F2BFE"/>
    <w:rsid w:val="006F31E9"/>
    <w:rsid w:val="006F6284"/>
    <w:rsid w:val="007002C5"/>
    <w:rsid w:val="00700374"/>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C45"/>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4F7F"/>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2CA"/>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709E"/>
    <w:rsid w:val="00953604"/>
    <w:rsid w:val="0095496B"/>
    <w:rsid w:val="009610DC"/>
    <w:rsid w:val="009613AF"/>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1CD"/>
    <w:rsid w:val="00A0096C"/>
    <w:rsid w:val="00A01757"/>
    <w:rsid w:val="00A028C0"/>
    <w:rsid w:val="00A02BAE"/>
    <w:rsid w:val="00A03EB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81D"/>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4F3"/>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3F"/>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915"/>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45C"/>
    <w:rsid w:val="00BE51D4"/>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F94"/>
    <w:rsid w:val="00C24C8D"/>
    <w:rsid w:val="00C25FE2"/>
    <w:rsid w:val="00C26B53"/>
    <w:rsid w:val="00C279B2"/>
    <w:rsid w:val="00C33E50"/>
    <w:rsid w:val="00C34C20"/>
    <w:rsid w:val="00C35A3E"/>
    <w:rsid w:val="00C42130"/>
    <w:rsid w:val="00C423A4"/>
    <w:rsid w:val="00C44BF5"/>
    <w:rsid w:val="00C45D4A"/>
    <w:rsid w:val="00C521D6"/>
    <w:rsid w:val="00C54AE2"/>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1F2"/>
    <w:rsid w:val="00CC39FF"/>
    <w:rsid w:val="00CC3C2F"/>
    <w:rsid w:val="00CC4AC8"/>
    <w:rsid w:val="00CC5233"/>
    <w:rsid w:val="00CC5DE6"/>
    <w:rsid w:val="00CC6E4E"/>
    <w:rsid w:val="00CC6FE8"/>
    <w:rsid w:val="00CC7202"/>
    <w:rsid w:val="00CC721F"/>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3280"/>
    <w:rsid w:val="00D65626"/>
    <w:rsid w:val="00D66846"/>
    <w:rsid w:val="00D675FB"/>
    <w:rsid w:val="00D71F25"/>
    <w:rsid w:val="00D72A9C"/>
    <w:rsid w:val="00D749F5"/>
    <w:rsid w:val="00D77031"/>
    <w:rsid w:val="00D84941"/>
    <w:rsid w:val="00D84FA1"/>
    <w:rsid w:val="00D851F0"/>
    <w:rsid w:val="00D86DB7"/>
    <w:rsid w:val="00D926D0"/>
    <w:rsid w:val="00D927CC"/>
    <w:rsid w:val="00D93030"/>
    <w:rsid w:val="00D950E1"/>
    <w:rsid w:val="00D952A6"/>
    <w:rsid w:val="00D97F99"/>
    <w:rsid w:val="00DA09BA"/>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185"/>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A2F"/>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685"/>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121"/>
    <w:rsid w:val="00FA1339"/>
    <w:rsid w:val="00FA4DAC"/>
    <w:rsid w:val="00FA662D"/>
    <w:rsid w:val="00FA73B1"/>
    <w:rsid w:val="00FB0CB9"/>
    <w:rsid w:val="00FB231D"/>
    <w:rsid w:val="00FB45F1"/>
    <w:rsid w:val="00FB4A72"/>
    <w:rsid w:val="00FB54E8"/>
    <w:rsid w:val="00FB601A"/>
    <w:rsid w:val="00FB7054"/>
    <w:rsid w:val="00FC17B7"/>
    <w:rsid w:val="00FC2CB7"/>
    <w:rsid w:val="00FC4090"/>
    <w:rsid w:val="00FC55B4"/>
    <w:rsid w:val="00FD00E6"/>
    <w:rsid w:val="00FD09A1"/>
    <w:rsid w:val="00FD2A7C"/>
    <w:rsid w:val="00FD59EB"/>
    <w:rsid w:val="00FD6704"/>
    <w:rsid w:val="00FD7299"/>
    <w:rsid w:val="00FE1FBE"/>
    <w:rsid w:val="00FE3901"/>
    <w:rsid w:val="00FE39D3"/>
    <w:rsid w:val="00FE4BCE"/>
    <w:rsid w:val="00FE54AE"/>
    <w:rsid w:val="00FE576A"/>
    <w:rsid w:val="00FE7E79"/>
    <w:rsid w:val="00FF3E7D"/>
    <w:rsid w:val="00FF5B99"/>
    <w:rsid w:val="00FF730C"/>
    <w:rsid w:val="00FF73F4"/>
    <w:rsid w:val="00FF7CE4"/>
    <w:rsid w:val="00FF7E39"/>
    <w:rsid w:val="42CF0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正文1"/>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DC1E793B934437CB0173504ECDCEE58"/>
        <w:style w:val=""/>
        <w:category>
          <w:name w:val="常规"/>
          <w:gallery w:val="placeholder"/>
        </w:category>
        <w:types>
          <w:type w:val="bbPlcHdr"/>
        </w:types>
        <w:behaviors>
          <w:behavior w:val="content"/>
        </w:behaviors>
        <w:description w:val=""/>
        <w:guid w:val="{6FB109AA-454E-435E-8CD9-0407969463E7}"/>
      </w:docPartPr>
      <w:docPartBody>
        <w:p>
          <w:pPr>
            <w:pStyle w:val="5"/>
          </w:pPr>
          <w:r>
            <w:rPr>
              <w:rStyle w:val="4"/>
              <w:rFonts w:hint="eastAsia"/>
            </w:rPr>
            <w:t>单击或点击此处输入文字。</w:t>
          </w:r>
        </w:p>
      </w:docPartBody>
    </w:docPart>
    <w:docPart>
      <w:docPartPr>
        <w:name w:val="CE5A9A114C6F4758BB0198F5DDE587EB"/>
        <w:style w:val=""/>
        <w:category>
          <w:name w:val="常规"/>
          <w:gallery w:val="placeholder"/>
        </w:category>
        <w:types>
          <w:type w:val="bbPlcHdr"/>
        </w:types>
        <w:behaviors>
          <w:behavior w:val="content"/>
        </w:behaviors>
        <w:description w:val=""/>
        <w:guid w:val="{ED2C3309-359B-4D39-9823-728F339F2C00}"/>
      </w:docPartPr>
      <w:docPartBody>
        <w:p>
          <w:pPr>
            <w:pStyle w:val="6"/>
          </w:pPr>
          <w:r>
            <w:rPr>
              <w:rStyle w:val="4"/>
              <w:rFonts w:hint="eastAsia"/>
            </w:rPr>
            <w:t>选择一项。</w:t>
          </w:r>
        </w:p>
      </w:docPartBody>
    </w:docPart>
    <w:docPart>
      <w:docPartPr>
        <w:name w:val="6C3901FC802B4990BD307D61EED71B72"/>
        <w:style w:val=""/>
        <w:category>
          <w:name w:val="常规"/>
          <w:gallery w:val="placeholder"/>
        </w:category>
        <w:types>
          <w:type w:val="bbPlcHdr"/>
        </w:types>
        <w:behaviors>
          <w:behavior w:val="content"/>
        </w:behaviors>
        <w:description w:val=""/>
        <w:guid w:val="{373918BB-6FF9-497C-B802-BCDDFAAE407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398"/>
    <w:rsid w:val="00055461"/>
    <w:rsid w:val="00311240"/>
    <w:rsid w:val="004C1FFC"/>
    <w:rsid w:val="005479E9"/>
    <w:rsid w:val="006927CB"/>
    <w:rsid w:val="006A0525"/>
    <w:rsid w:val="00871750"/>
    <w:rsid w:val="00A24357"/>
    <w:rsid w:val="00BC3CE7"/>
    <w:rsid w:val="00C45398"/>
    <w:rsid w:val="00DB0C11"/>
    <w:rsid w:val="00FB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DC1E793B934437CB0173504ECDCEE5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E5A9A114C6F4758BB0198F5DDE587EB"/>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C3901FC802B4990BD307D61EED71B72"/>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9BA78-53AF-42D0-A42D-BF2082D038B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668</Words>
  <Characters>3813</Characters>
  <Lines>31</Lines>
  <Paragraphs>8</Paragraphs>
  <TotalTime>0</TotalTime>
  <ScaleCrop>false</ScaleCrop>
  <LinksUpToDate>false</LinksUpToDate>
  <CharactersWithSpaces>4473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2023-11-14T10:21:00Z</dcterms:created>
  <dc:creator>xtt</dc:creator>
  <dc:description>&lt;config cover="true" show_menu="true" version="1.0.0" doctype="SDKXY"&gt;_x000d_
&lt;/config&gt;</dc:description>
  <cp:lastModifiedBy>WPS_1620717139</cp:lastModifiedBy>
  <cp:lastPrinted>2020-08-30T10:00:00Z</cp:lastPrinted>
  <dcterms:modified xsi:type="dcterms:W3CDTF">2023-12-27T06:12:24Z</dcterms:modified>
  <dc:title>地方标准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2052-12.1.0.16120</vt:lpwstr>
  </property>
  <property fmtid="{D5CDD505-2E9C-101B-9397-08002B2CF9AE}" pid="16" name="ICV">
    <vt:lpwstr>F9712A8A846640C0834500B3A034A583_12</vt:lpwstr>
  </property>
</Properties>
</file>