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66C8D" w14:paraId="77D741CB" w14:textId="77777777">
        <w:tc>
          <w:tcPr>
            <w:tcW w:w="509" w:type="dxa"/>
          </w:tcPr>
          <w:p w14:paraId="35C1C8B8" w14:textId="77777777" w:rsidR="00466C8D" w:rsidRDefault="00000000">
            <w:pPr>
              <w:pStyle w:val="affff6"/>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63E1C79" w14:textId="77777777" w:rsidR="00466C8D" w:rsidRDefault="00000000">
            <w:pPr>
              <w:pStyle w:val="affff6"/>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11.080.99</w:t>
            </w:r>
          </w:p>
        </w:tc>
      </w:tr>
      <w:tr w:rsidR="00466C8D" w14:paraId="1A0FF8D1" w14:textId="77777777">
        <w:tc>
          <w:tcPr>
            <w:tcW w:w="509" w:type="dxa"/>
          </w:tcPr>
          <w:p w14:paraId="180401E8" w14:textId="77777777" w:rsidR="00466C8D"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CC9F02E" w14:textId="77777777" w:rsidR="00466C8D"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C 51</w:t>
            </w:r>
          </w:p>
        </w:tc>
      </w:tr>
    </w:tbl>
    <w:tbl>
      <w:tblPr>
        <w:tblStyle w:val="afffff"/>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66C8D" w14:paraId="4F569D9A" w14:textId="77777777">
        <w:tc>
          <w:tcPr>
            <w:tcW w:w="6407" w:type="dxa"/>
          </w:tcPr>
          <w:p w14:paraId="71C9372D" w14:textId="77777777" w:rsidR="00466C8D" w:rsidRDefault="00000000">
            <w:pPr>
              <w:pStyle w:val="afffff8"/>
              <w:framePr w:w="0" w:hRule="auto" w:wrap="auto" w:hAnchor="text" w:xAlign="left" w:yAlign="inline" w:anchorLock="0"/>
              <w:rPr>
                <w:rFonts w:ascii="宋体" w:hAnsi="宋体"/>
                <w:sz w:val="28"/>
                <w:szCs w:val="28"/>
              </w:rPr>
            </w:pPr>
            <w:bookmarkStart w:id="0" w:name="_Hlk26473981"/>
            <w:r>
              <w:rPr>
                <w:noProof/>
              </w:rPr>
              <w:drawing>
                <wp:inline distT="0" distB="0" distL="0" distR="0" wp14:anchorId="5DCF6FB6" wp14:editId="79FD8BC1">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32</w:t>
            </w:r>
            <w:r>
              <w:fldChar w:fldCharType="end"/>
            </w:r>
            <w:bookmarkEnd w:id="1"/>
          </w:p>
        </w:tc>
      </w:tr>
    </w:tbl>
    <w:p w14:paraId="48E8F848" w14:textId="77777777" w:rsidR="00466C8D" w:rsidRDefault="00000000">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14:paraId="2C89CC1B" w14:textId="77777777" w:rsidR="00466C8D" w:rsidRDefault="00000000">
      <w:pPr>
        <w:pStyle w:val="affffffffffb"/>
        <w:framePr w:wrap="auto"/>
        <w:rPr>
          <w:lang w:val="fr-FR"/>
        </w:rPr>
      </w:pPr>
      <w:r>
        <w:rPr>
          <w:lang w:val="fr-FR"/>
        </w:rPr>
        <w:t>DB</w:t>
      </w:r>
      <w:r>
        <w:rPr>
          <w:sz w:val="15"/>
          <w:szCs w:val="15"/>
          <w:lang w:val="fr-FR"/>
        </w:rPr>
        <w:t xml:space="preserve"> </w:t>
      </w:r>
      <w:r>
        <w:rPr>
          <w:rFonts w:hint="eastAsia"/>
        </w:rPr>
        <w:t xml:space="preserve">32/T </w:t>
      </w:r>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lang w:val="fr-FR"/>
        </w:rP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lang w:val="fr-FR"/>
        </w:rPr>
        <w:t>XXXX</w:t>
      </w:r>
      <w:r>
        <w:fldChar w:fldCharType="end"/>
      </w:r>
      <w:bookmarkEnd w:id="4"/>
    </w:p>
    <w:p w14:paraId="3D67FB81" w14:textId="77777777" w:rsidR="00466C8D" w:rsidRDefault="00000000">
      <w:pPr>
        <w:pStyle w:val="affffffffffc"/>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59285994" w14:textId="77777777" w:rsidR="00466C8D" w:rsidRDefault="00000000">
      <w:pPr>
        <w:spacing w:line="240" w:lineRule="auto"/>
        <w:rPr>
          <w:rFonts w:ascii="黑体" w:eastAsia="黑体" w:hAnsi="黑体"/>
          <w:kern w:val="0"/>
          <w:sz w:val="10"/>
          <w:szCs w:val="10"/>
        </w:rPr>
      </w:pPr>
      <w:r>
        <w:rPr>
          <w:rFonts w:ascii="黑体" w:eastAsia="黑体" w:hAnsi="黑体"/>
          <w:kern w:val="0"/>
          <w:sz w:val="10"/>
          <w:szCs w:val="10"/>
        </w:rPr>
        <w:pict w14:anchorId="0EE767DF">
          <v:line id="_x0000_s1026" style="position:absolute;left:0;text-align:left;z-index:251659264;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7C017B2C" w14:textId="77777777" w:rsidR="00466C8D" w:rsidRDefault="00466C8D">
      <w:pPr>
        <w:pStyle w:val="afffff9"/>
        <w:framePr w:w="9639" w:h="6976" w:hRule="exact" w:hSpace="0" w:vSpace="0" w:wrap="around" w:hAnchor="page" w:y="6408"/>
        <w:jc w:val="center"/>
        <w:rPr>
          <w:rFonts w:ascii="黑体" w:eastAsia="黑体" w:hAnsi="黑体"/>
          <w:b w:val="0"/>
          <w:bCs w:val="0"/>
          <w:w w:val="100"/>
        </w:rPr>
      </w:pPr>
    </w:p>
    <w:p w14:paraId="5FDF4337" w14:textId="77777777" w:rsidR="00466C8D" w:rsidRDefault="00000000">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Pr>
          <w:rFonts w:hint="eastAsia"/>
        </w:rPr>
        <w:t>公共场所集中空调循环冷却水消毒处理</w:t>
      </w:r>
    </w:p>
    <w:p w14:paraId="1322751E" w14:textId="77777777" w:rsidR="00466C8D" w:rsidRDefault="00000000">
      <w:pPr>
        <w:pStyle w:val="affffffffffd"/>
        <w:framePr w:h="6974" w:hRule="exact" w:wrap="around" w:x="1419" w:anchorLock="1"/>
      </w:pPr>
      <w:r>
        <w:rPr>
          <w:rFonts w:hint="eastAsia"/>
        </w:rPr>
        <w:t>及在线监测技术规范</w:t>
      </w:r>
      <w:r>
        <w:fldChar w:fldCharType="end"/>
      </w:r>
      <w:bookmarkEnd w:id="6"/>
    </w:p>
    <w:p w14:paraId="2BF3B519" w14:textId="77777777" w:rsidR="00466C8D" w:rsidRDefault="00466C8D">
      <w:pPr>
        <w:framePr w:w="9639" w:h="6974" w:hRule="exact" w:wrap="around" w:vAnchor="page" w:hAnchor="page" w:x="1419" w:y="6408" w:anchorLock="1"/>
        <w:ind w:left="-1418"/>
      </w:pPr>
    </w:p>
    <w:p w14:paraId="3F775893" w14:textId="429428BB" w:rsidR="00466C8D" w:rsidRDefault="00000000">
      <w:pPr>
        <w:pStyle w:val="af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Technical </w:t>
      </w:r>
      <w:r w:rsidR="00F06197">
        <w:rPr>
          <w:rFonts w:eastAsia="黑体" w:hint="eastAsia"/>
          <w:szCs w:val="28"/>
        </w:rPr>
        <w:t>specifications</w:t>
      </w:r>
      <w:r>
        <w:rPr>
          <w:rFonts w:eastAsia="黑体"/>
          <w:szCs w:val="28"/>
        </w:rPr>
        <w:t xml:space="preserve"> for disinfection and on-line monitoring of central air-conditioning circulating cooling water in public places</w:t>
      </w:r>
      <w:r>
        <w:rPr>
          <w:rFonts w:eastAsia="黑体"/>
          <w:szCs w:val="28"/>
        </w:rPr>
        <w:fldChar w:fldCharType="end"/>
      </w:r>
      <w:bookmarkEnd w:id="7"/>
    </w:p>
    <w:p w14:paraId="608DC6BB" w14:textId="77777777" w:rsidR="00466C8D" w:rsidRDefault="00466C8D">
      <w:pPr>
        <w:framePr w:w="9639" w:h="6974" w:hRule="exact" w:wrap="around" w:vAnchor="page" w:hAnchor="page" w:x="1419" w:y="6408" w:anchorLock="1"/>
        <w:spacing w:line="760" w:lineRule="exact"/>
        <w:ind w:left="-1418"/>
      </w:pPr>
    </w:p>
    <w:p w14:paraId="3A0DF124" w14:textId="77777777" w:rsidR="00466C8D" w:rsidRDefault="00466C8D">
      <w:pPr>
        <w:pStyle w:val="affffffff1"/>
        <w:framePr w:w="9639" w:h="6974" w:hRule="exact" w:wrap="around" w:vAnchor="page" w:hAnchor="page" w:x="1419" w:y="6408" w:anchorLock="1"/>
        <w:textAlignment w:val="bottom"/>
        <w:rPr>
          <w:rFonts w:eastAsia="黑体"/>
          <w:szCs w:val="28"/>
        </w:rPr>
      </w:pPr>
    </w:p>
    <w:p w14:paraId="522387BA" w14:textId="77777777" w:rsidR="00466C8D" w:rsidRDefault="00466C8D">
      <w:pPr>
        <w:pStyle w:val="affffffff1"/>
        <w:framePr w:w="9639" w:h="6974" w:hRule="exact" w:wrap="around" w:vAnchor="page" w:hAnchor="page" w:x="1419" w:y="6408" w:anchorLock="1"/>
        <w:spacing w:before="180" w:line="240" w:lineRule="atLeast"/>
        <w:textAlignment w:val="bottom"/>
        <w:rPr>
          <w:sz w:val="21"/>
          <w:szCs w:val="28"/>
        </w:rPr>
      </w:pPr>
    </w:p>
    <w:p w14:paraId="381AD02D" w14:textId="77777777" w:rsidR="00466C8D" w:rsidRDefault="00466C8D">
      <w:pPr>
        <w:pStyle w:val="affffffff1"/>
        <w:framePr w:w="9639" w:h="6974" w:hRule="exact" w:wrap="around" w:vAnchor="page" w:hAnchor="page" w:x="1419" w:y="6408" w:anchorLock="1"/>
        <w:spacing w:beforeLines="300" w:before="720" w:afterLines="30" w:after="72" w:line="240" w:lineRule="auto"/>
        <w:textAlignment w:val="bottom"/>
        <w:rPr>
          <w:b/>
          <w:sz w:val="21"/>
          <w:szCs w:val="28"/>
        </w:rPr>
      </w:pPr>
    </w:p>
    <w:p w14:paraId="77B10D82" w14:textId="4C19EF45" w:rsidR="00466C8D" w:rsidRDefault="00000000">
      <w:pPr>
        <w:pStyle w:val="affffffffff9"/>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sidR="00F06197">
        <w:rPr>
          <w:rFonts w:ascii="黑体"/>
        </w:rPr>
      </w:r>
      <w:r>
        <w:rPr>
          <w:rFonts w:ascii="黑体"/>
        </w:rPr>
        <w:fldChar w:fldCharType="separate"/>
      </w:r>
      <w:r w:rsidR="00F06197">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p>
    <w:p w14:paraId="5E603926" w14:textId="77777777" w:rsidR="00466C8D" w:rsidRDefault="00000000">
      <w:pPr>
        <w:pStyle w:val="affffffffffa"/>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p w14:paraId="2C7D49A3" w14:textId="119B4D80" w:rsidR="00466C8D" w:rsidRDefault="00F06197">
      <w:pPr>
        <w:pStyle w:val="afffffffff1"/>
        <w:framePr w:h="584" w:hRule="exact" w:hSpace="181" w:vSpace="181" w:wrap="around" w:y="15027"/>
        <w:rPr>
          <w:rFonts w:hAnsi="黑体"/>
        </w:rPr>
      </w:pPr>
      <w:r>
        <w:rPr>
          <w:rFonts w:hint="eastAsia"/>
          <w:w w:val="100"/>
          <w:sz w:val="28"/>
        </w:rPr>
        <w:t>江苏省市场监督管理局</w:t>
      </w:r>
      <w:r w:rsidR="00000000">
        <w:rPr>
          <w:rFonts w:ascii="Times New Roman"/>
          <w:w w:val="100"/>
          <w:sz w:val="28"/>
        </w:rPr>
        <w:t>  </w:t>
      </w:r>
      <w:r w:rsidR="00000000">
        <w:rPr>
          <w:rStyle w:val="affffffffffff2"/>
          <w:rFonts w:hAnsi="黑体" w:hint="eastAsia"/>
          <w:position w:val="0"/>
        </w:rPr>
        <w:t>发</w:t>
      </w:r>
      <w:r w:rsidR="00000000">
        <w:rPr>
          <w:rStyle w:val="affffffffffff2"/>
          <w:rFonts w:hAnsi="黑体" w:hint="eastAsia"/>
          <w:spacing w:val="0"/>
          <w:position w:val="0"/>
        </w:rPr>
        <w:t>布</w:t>
      </w:r>
    </w:p>
    <w:p w14:paraId="5D7EBC18" w14:textId="77777777" w:rsidR="00466C8D" w:rsidRDefault="00000000">
      <w:pPr>
        <w:rPr>
          <w:rFonts w:ascii="宋体" w:hAnsi="宋体"/>
          <w:sz w:val="28"/>
          <w:szCs w:val="28"/>
        </w:rPr>
        <w:sectPr w:rsidR="00466C8D">
          <w:headerReference w:type="even" r:id="rId11"/>
          <w:headerReference w:type="default" r:id="rId12"/>
          <w:footerReference w:type="even"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w14:anchorId="5E889A1F">
          <v:line id="_x0000_s2050"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6202C24D" w14:textId="77777777" w:rsidR="00466C8D" w:rsidRDefault="00000000">
      <w:pPr>
        <w:pStyle w:val="afffffff3"/>
        <w:spacing w:after="468"/>
      </w:pPr>
      <w:bookmarkStart w:id="14" w:name="BookMark1"/>
      <w:r>
        <w:rPr>
          <w:rFonts w:hint="eastAsia"/>
          <w:spacing w:val="320"/>
        </w:rPr>
        <w:lastRenderedPageBreak/>
        <w:t>目</w:t>
      </w:r>
      <w:r>
        <w:rPr>
          <w:rFonts w:hint="eastAsia"/>
        </w:rPr>
        <w:t>次</w:t>
      </w:r>
    </w:p>
    <w:p w14:paraId="1EE4FF28" w14:textId="77777777" w:rsidR="00466C8D" w:rsidRDefault="00000000">
      <w:pPr>
        <w:pStyle w:val="TOC1"/>
        <w:tabs>
          <w:tab w:val="right" w:leader="dot" w:pos="9354"/>
        </w:tabs>
      </w:pPr>
      <w:r>
        <w:fldChar w:fldCharType="begin"/>
      </w:r>
      <w:r>
        <w:instrText xml:space="preserve"> TOC \o "1-1" \h \t "标准文件_一级条标题,2,标准文件_附录一级条标题,2," </w:instrText>
      </w:r>
      <w:r>
        <w:fldChar w:fldCharType="separate"/>
      </w:r>
      <w:hyperlink w:anchor="_Toc16135" w:history="1">
        <w:r>
          <w:rPr>
            <w:spacing w:val="320"/>
          </w:rPr>
          <w:t>前</w:t>
        </w:r>
        <w:r>
          <w:t>言</w:t>
        </w:r>
        <w:r>
          <w:tab/>
        </w:r>
        <w:r>
          <w:fldChar w:fldCharType="begin"/>
        </w:r>
        <w:r>
          <w:instrText xml:space="preserve"> PAGEREF _Toc16135 \h </w:instrText>
        </w:r>
        <w:r>
          <w:fldChar w:fldCharType="separate"/>
        </w:r>
        <w:r>
          <w:t>II</w:t>
        </w:r>
        <w:r>
          <w:fldChar w:fldCharType="end"/>
        </w:r>
      </w:hyperlink>
    </w:p>
    <w:p w14:paraId="521D6CAF" w14:textId="77777777" w:rsidR="00466C8D" w:rsidRDefault="00000000">
      <w:pPr>
        <w:pStyle w:val="TOC1"/>
        <w:tabs>
          <w:tab w:val="right" w:leader="dot" w:pos="9354"/>
        </w:tabs>
      </w:pPr>
      <w:hyperlink w:anchor="_Toc27505" w:history="1">
        <w:r>
          <w:rPr>
            <w:rFonts w:ascii="黑体" w:eastAsia="黑体" w:hint="eastAsia"/>
          </w:rPr>
          <w:t xml:space="preserve">1 </w:t>
        </w:r>
        <w:r>
          <w:rPr>
            <w:rFonts w:hint="eastAsia"/>
          </w:rPr>
          <w:t>范围</w:t>
        </w:r>
        <w:r>
          <w:tab/>
        </w:r>
        <w:r>
          <w:fldChar w:fldCharType="begin"/>
        </w:r>
        <w:r>
          <w:instrText xml:space="preserve"> PAGEREF _Toc27505 \h </w:instrText>
        </w:r>
        <w:r>
          <w:fldChar w:fldCharType="separate"/>
        </w:r>
        <w:r>
          <w:t>1</w:t>
        </w:r>
        <w:r>
          <w:fldChar w:fldCharType="end"/>
        </w:r>
      </w:hyperlink>
    </w:p>
    <w:p w14:paraId="4DDF5688" w14:textId="77777777" w:rsidR="00466C8D" w:rsidRDefault="00000000">
      <w:pPr>
        <w:pStyle w:val="TOC1"/>
        <w:tabs>
          <w:tab w:val="right" w:leader="dot" w:pos="9354"/>
        </w:tabs>
      </w:pPr>
      <w:hyperlink w:anchor="_Toc12048" w:history="1">
        <w:r>
          <w:rPr>
            <w:rFonts w:ascii="黑体" w:eastAsia="黑体" w:hint="eastAsia"/>
          </w:rPr>
          <w:t xml:space="preserve">2 </w:t>
        </w:r>
        <w:r>
          <w:rPr>
            <w:rFonts w:hint="eastAsia"/>
          </w:rPr>
          <w:t>规范性引用文件</w:t>
        </w:r>
        <w:r>
          <w:tab/>
        </w:r>
        <w:r>
          <w:fldChar w:fldCharType="begin"/>
        </w:r>
        <w:r>
          <w:instrText xml:space="preserve"> PAGEREF _Toc12048 \h </w:instrText>
        </w:r>
        <w:r>
          <w:fldChar w:fldCharType="separate"/>
        </w:r>
        <w:r>
          <w:t>1</w:t>
        </w:r>
        <w:r>
          <w:fldChar w:fldCharType="end"/>
        </w:r>
      </w:hyperlink>
    </w:p>
    <w:p w14:paraId="0C077AE6" w14:textId="77777777" w:rsidR="00466C8D" w:rsidRDefault="00000000">
      <w:pPr>
        <w:pStyle w:val="TOC1"/>
        <w:tabs>
          <w:tab w:val="right" w:leader="dot" w:pos="9354"/>
        </w:tabs>
      </w:pPr>
      <w:hyperlink w:anchor="_Toc1038" w:history="1">
        <w:r>
          <w:rPr>
            <w:rFonts w:ascii="黑体" w:eastAsia="黑体" w:hint="eastAsia"/>
          </w:rPr>
          <w:t xml:space="preserve">3 </w:t>
        </w:r>
        <w:r>
          <w:rPr>
            <w:rFonts w:hint="eastAsia"/>
          </w:rPr>
          <w:t>术语和定义</w:t>
        </w:r>
        <w:r>
          <w:tab/>
        </w:r>
        <w:r>
          <w:fldChar w:fldCharType="begin"/>
        </w:r>
        <w:r>
          <w:instrText xml:space="preserve"> PAGEREF _Toc1038 \h </w:instrText>
        </w:r>
        <w:r>
          <w:fldChar w:fldCharType="separate"/>
        </w:r>
        <w:r>
          <w:t>1</w:t>
        </w:r>
        <w:r>
          <w:fldChar w:fldCharType="end"/>
        </w:r>
      </w:hyperlink>
    </w:p>
    <w:p w14:paraId="160274B7" w14:textId="77777777" w:rsidR="00466C8D" w:rsidRDefault="00000000">
      <w:pPr>
        <w:pStyle w:val="TOC1"/>
        <w:tabs>
          <w:tab w:val="right" w:leader="dot" w:pos="9354"/>
        </w:tabs>
      </w:pPr>
      <w:hyperlink w:anchor="_Toc30256" w:history="1">
        <w:r>
          <w:rPr>
            <w:rFonts w:ascii="黑体" w:eastAsia="黑体" w:hint="eastAsia"/>
          </w:rPr>
          <w:t xml:space="preserve">4 </w:t>
        </w:r>
        <w:r>
          <w:rPr>
            <w:rFonts w:hint="eastAsia"/>
          </w:rPr>
          <w:t>消毒处理工艺</w:t>
        </w:r>
        <w:r>
          <w:tab/>
        </w:r>
        <w:r>
          <w:fldChar w:fldCharType="begin"/>
        </w:r>
        <w:r>
          <w:instrText xml:space="preserve"> PAGEREF _Toc30256 \h </w:instrText>
        </w:r>
        <w:r>
          <w:fldChar w:fldCharType="separate"/>
        </w:r>
        <w:r>
          <w:t>2</w:t>
        </w:r>
        <w:r>
          <w:fldChar w:fldCharType="end"/>
        </w:r>
      </w:hyperlink>
    </w:p>
    <w:p w14:paraId="77445BEE" w14:textId="77777777" w:rsidR="00466C8D" w:rsidRDefault="00000000">
      <w:pPr>
        <w:pStyle w:val="TOC2"/>
        <w:tabs>
          <w:tab w:val="clear" w:pos="9344"/>
          <w:tab w:val="right" w:leader="dot" w:pos="9354"/>
        </w:tabs>
      </w:pPr>
      <w:hyperlink w:anchor="_Toc6762" w:history="1">
        <w:r>
          <w:rPr>
            <w:rFonts w:ascii="黑体" w:eastAsia="黑体" w:hAnsi="Times New Roman" w:hint="eastAsia"/>
            <w:kern w:val="0"/>
          </w:rPr>
          <w:t xml:space="preserve">4.1 </w:t>
        </w:r>
        <w:r>
          <w:rPr>
            <w:rFonts w:hint="eastAsia"/>
          </w:rPr>
          <w:t>一般要求</w:t>
        </w:r>
        <w:r>
          <w:tab/>
        </w:r>
        <w:r>
          <w:fldChar w:fldCharType="begin"/>
        </w:r>
        <w:r>
          <w:instrText xml:space="preserve"> PAGEREF _Toc6762 \h </w:instrText>
        </w:r>
        <w:r>
          <w:fldChar w:fldCharType="separate"/>
        </w:r>
        <w:r>
          <w:t>2</w:t>
        </w:r>
        <w:r>
          <w:fldChar w:fldCharType="end"/>
        </w:r>
      </w:hyperlink>
    </w:p>
    <w:p w14:paraId="1487B64B" w14:textId="77777777" w:rsidR="00466C8D" w:rsidRDefault="00000000">
      <w:pPr>
        <w:pStyle w:val="TOC2"/>
        <w:tabs>
          <w:tab w:val="clear" w:pos="9344"/>
          <w:tab w:val="right" w:leader="dot" w:pos="9354"/>
        </w:tabs>
      </w:pPr>
      <w:hyperlink w:anchor="_Toc5131" w:history="1">
        <w:r>
          <w:rPr>
            <w:rFonts w:ascii="黑体" w:eastAsia="黑体" w:hAnsi="Times New Roman" w:hint="eastAsia"/>
            <w:kern w:val="0"/>
          </w:rPr>
          <w:t xml:space="preserve">4.2 </w:t>
        </w:r>
        <w:r>
          <w:rPr>
            <w:rFonts w:hint="eastAsia"/>
          </w:rPr>
          <w:t>含氯消毒剂</w:t>
        </w:r>
        <w:r>
          <w:tab/>
        </w:r>
        <w:r>
          <w:fldChar w:fldCharType="begin"/>
        </w:r>
        <w:r>
          <w:instrText xml:space="preserve"> PAGEREF _Toc5131 \h </w:instrText>
        </w:r>
        <w:r>
          <w:fldChar w:fldCharType="separate"/>
        </w:r>
        <w:r>
          <w:t>2</w:t>
        </w:r>
        <w:r>
          <w:fldChar w:fldCharType="end"/>
        </w:r>
      </w:hyperlink>
    </w:p>
    <w:p w14:paraId="35692666" w14:textId="77777777" w:rsidR="00466C8D" w:rsidRDefault="00000000">
      <w:pPr>
        <w:pStyle w:val="TOC2"/>
        <w:tabs>
          <w:tab w:val="clear" w:pos="9344"/>
          <w:tab w:val="right" w:leader="dot" w:pos="9354"/>
        </w:tabs>
      </w:pPr>
      <w:hyperlink w:anchor="_Toc12712" w:history="1">
        <w:r>
          <w:rPr>
            <w:rFonts w:ascii="黑体" w:eastAsia="黑体" w:hAnsi="Times New Roman" w:hint="eastAsia"/>
            <w:kern w:val="0"/>
          </w:rPr>
          <w:t xml:space="preserve">4.3 </w:t>
        </w:r>
        <w:r>
          <w:rPr>
            <w:rFonts w:hint="eastAsia"/>
          </w:rPr>
          <w:t>其他水处理剂</w:t>
        </w:r>
        <w:r>
          <w:tab/>
        </w:r>
        <w:r>
          <w:fldChar w:fldCharType="begin"/>
        </w:r>
        <w:r>
          <w:instrText xml:space="preserve"> PAGEREF _Toc12712 \h </w:instrText>
        </w:r>
        <w:r>
          <w:fldChar w:fldCharType="separate"/>
        </w:r>
        <w:r>
          <w:t>3</w:t>
        </w:r>
        <w:r>
          <w:fldChar w:fldCharType="end"/>
        </w:r>
      </w:hyperlink>
    </w:p>
    <w:p w14:paraId="1DF2F804" w14:textId="77777777" w:rsidR="00466C8D" w:rsidRDefault="00000000">
      <w:pPr>
        <w:pStyle w:val="TOC1"/>
        <w:tabs>
          <w:tab w:val="right" w:leader="dot" w:pos="9354"/>
        </w:tabs>
      </w:pPr>
      <w:hyperlink w:anchor="_Toc16646" w:history="1">
        <w:r>
          <w:rPr>
            <w:rFonts w:ascii="黑体" w:eastAsia="黑体" w:hint="eastAsia"/>
          </w:rPr>
          <w:t xml:space="preserve">5 </w:t>
        </w:r>
        <w:r>
          <w:rPr>
            <w:rFonts w:hint="eastAsia"/>
          </w:rPr>
          <w:t>消毒处理设备</w:t>
        </w:r>
        <w:r>
          <w:tab/>
        </w:r>
        <w:r>
          <w:fldChar w:fldCharType="begin"/>
        </w:r>
        <w:r>
          <w:instrText xml:space="preserve"> PAGEREF _Toc16646 \h </w:instrText>
        </w:r>
        <w:r>
          <w:fldChar w:fldCharType="separate"/>
        </w:r>
        <w:r>
          <w:t>3</w:t>
        </w:r>
        <w:r>
          <w:fldChar w:fldCharType="end"/>
        </w:r>
      </w:hyperlink>
    </w:p>
    <w:p w14:paraId="0D216695" w14:textId="77777777" w:rsidR="00466C8D" w:rsidRDefault="00000000">
      <w:pPr>
        <w:pStyle w:val="TOC2"/>
        <w:tabs>
          <w:tab w:val="clear" w:pos="9344"/>
          <w:tab w:val="right" w:leader="dot" w:pos="9354"/>
        </w:tabs>
      </w:pPr>
      <w:hyperlink w:anchor="_Toc828" w:history="1">
        <w:r>
          <w:rPr>
            <w:rFonts w:ascii="黑体" w:eastAsia="黑体" w:hAnsi="Times New Roman" w:hint="eastAsia"/>
            <w:kern w:val="0"/>
          </w:rPr>
          <w:t xml:space="preserve">5.1 </w:t>
        </w:r>
        <w:r>
          <w:rPr>
            <w:rFonts w:hint="eastAsia"/>
          </w:rPr>
          <w:t>基本要求</w:t>
        </w:r>
        <w:r>
          <w:tab/>
        </w:r>
        <w:r>
          <w:fldChar w:fldCharType="begin"/>
        </w:r>
        <w:r>
          <w:instrText xml:space="preserve"> PAGEREF _Toc828 \h </w:instrText>
        </w:r>
        <w:r>
          <w:fldChar w:fldCharType="separate"/>
        </w:r>
        <w:r>
          <w:t>3</w:t>
        </w:r>
        <w:r>
          <w:fldChar w:fldCharType="end"/>
        </w:r>
      </w:hyperlink>
    </w:p>
    <w:p w14:paraId="55690D49" w14:textId="77777777" w:rsidR="00466C8D" w:rsidRDefault="00000000">
      <w:pPr>
        <w:pStyle w:val="TOC2"/>
        <w:tabs>
          <w:tab w:val="clear" w:pos="9344"/>
          <w:tab w:val="right" w:leader="dot" w:pos="9354"/>
        </w:tabs>
      </w:pPr>
      <w:hyperlink w:anchor="_Toc12507" w:history="1">
        <w:r>
          <w:rPr>
            <w:rFonts w:ascii="黑体" w:eastAsia="黑体" w:hAnsi="Times New Roman" w:hint="eastAsia"/>
            <w:kern w:val="0"/>
          </w:rPr>
          <w:t xml:space="preserve">5.2 </w:t>
        </w:r>
        <w:r>
          <w:rPr>
            <w:rFonts w:hint="eastAsia"/>
          </w:rPr>
          <w:t>储药系统</w:t>
        </w:r>
        <w:r>
          <w:tab/>
        </w:r>
        <w:r>
          <w:fldChar w:fldCharType="begin"/>
        </w:r>
        <w:r>
          <w:instrText xml:space="preserve"> PAGEREF _Toc12507 \h </w:instrText>
        </w:r>
        <w:r>
          <w:fldChar w:fldCharType="separate"/>
        </w:r>
        <w:r>
          <w:t>3</w:t>
        </w:r>
        <w:r>
          <w:fldChar w:fldCharType="end"/>
        </w:r>
      </w:hyperlink>
    </w:p>
    <w:p w14:paraId="3A2F9B56" w14:textId="77777777" w:rsidR="00466C8D" w:rsidRDefault="00000000">
      <w:pPr>
        <w:pStyle w:val="TOC2"/>
        <w:tabs>
          <w:tab w:val="clear" w:pos="9344"/>
          <w:tab w:val="right" w:leader="dot" w:pos="9354"/>
        </w:tabs>
      </w:pPr>
      <w:hyperlink w:anchor="_Toc15273" w:history="1">
        <w:r>
          <w:rPr>
            <w:rFonts w:ascii="黑体" w:eastAsia="黑体" w:hAnsi="Times New Roman" w:hint="eastAsia"/>
            <w:kern w:val="0"/>
          </w:rPr>
          <w:t xml:space="preserve">5.3 </w:t>
        </w:r>
        <w:r>
          <w:rPr>
            <w:rFonts w:hint="eastAsia"/>
          </w:rPr>
          <w:t>自动投加系统</w:t>
        </w:r>
        <w:r>
          <w:tab/>
        </w:r>
        <w:r>
          <w:fldChar w:fldCharType="begin"/>
        </w:r>
        <w:r>
          <w:instrText xml:space="preserve"> PAGEREF _Toc15273 \h </w:instrText>
        </w:r>
        <w:r>
          <w:fldChar w:fldCharType="separate"/>
        </w:r>
        <w:r>
          <w:t>3</w:t>
        </w:r>
        <w:r>
          <w:fldChar w:fldCharType="end"/>
        </w:r>
      </w:hyperlink>
    </w:p>
    <w:p w14:paraId="4F6708B5" w14:textId="77777777" w:rsidR="00466C8D" w:rsidRDefault="00000000">
      <w:pPr>
        <w:pStyle w:val="TOC1"/>
        <w:tabs>
          <w:tab w:val="right" w:leader="dot" w:pos="9354"/>
        </w:tabs>
      </w:pPr>
      <w:hyperlink w:anchor="_Toc20203" w:history="1">
        <w:r>
          <w:rPr>
            <w:rFonts w:ascii="黑体" w:eastAsia="黑体" w:hint="eastAsia"/>
          </w:rPr>
          <w:t xml:space="preserve">6 </w:t>
        </w:r>
        <w:r>
          <w:rPr>
            <w:rFonts w:hint="eastAsia"/>
          </w:rPr>
          <w:t>在线监测装置</w:t>
        </w:r>
        <w:r>
          <w:tab/>
        </w:r>
        <w:r>
          <w:fldChar w:fldCharType="begin"/>
        </w:r>
        <w:r>
          <w:instrText xml:space="preserve"> PAGEREF _Toc20203 \h </w:instrText>
        </w:r>
        <w:r>
          <w:fldChar w:fldCharType="separate"/>
        </w:r>
        <w:r>
          <w:t>3</w:t>
        </w:r>
        <w:r>
          <w:fldChar w:fldCharType="end"/>
        </w:r>
      </w:hyperlink>
    </w:p>
    <w:p w14:paraId="3EC5F91F" w14:textId="77777777" w:rsidR="00466C8D" w:rsidRDefault="00000000">
      <w:pPr>
        <w:pStyle w:val="TOC2"/>
        <w:tabs>
          <w:tab w:val="clear" w:pos="9344"/>
          <w:tab w:val="right" w:leader="dot" w:pos="9354"/>
        </w:tabs>
      </w:pPr>
      <w:hyperlink w:anchor="_Toc28177" w:history="1">
        <w:r>
          <w:rPr>
            <w:rFonts w:ascii="黑体" w:eastAsia="黑体" w:hAnsi="Times New Roman" w:hint="eastAsia"/>
            <w:kern w:val="0"/>
          </w:rPr>
          <w:t xml:space="preserve">6.1 </w:t>
        </w:r>
        <w:r>
          <w:rPr>
            <w:rFonts w:hint="eastAsia"/>
          </w:rPr>
          <w:t>监测仪</w:t>
        </w:r>
        <w:r>
          <w:tab/>
        </w:r>
        <w:r>
          <w:fldChar w:fldCharType="begin"/>
        </w:r>
        <w:r>
          <w:instrText xml:space="preserve"> PAGEREF _Toc28177 \h </w:instrText>
        </w:r>
        <w:r>
          <w:fldChar w:fldCharType="separate"/>
        </w:r>
        <w:r>
          <w:t>3</w:t>
        </w:r>
        <w:r>
          <w:fldChar w:fldCharType="end"/>
        </w:r>
      </w:hyperlink>
    </w:p>
    <w:p w14:paraId="4BF2ED48" w14:textId="77777777" w:rsidR="00466C8D" w:rsidRDefault="00000000">
      <w:pPr>
        <w:pStyle w:val="TOC2"/>
        <w:tabs>
          <w:tab w:val="clear" w:pos="9344"/>
          <w:tab w:val="right" w:leader="dot" w:pos="9354"/>
        </w:tabs>
      </w:pPr>
      <w:hyperlink w:anchor="_Toc27149" w:history="1">
        <w:r>
          <w:rPr>
            <w:rFonts w:ascii="黑体" w:eastAsia="黑体" w:hAnsi="Times New Roman" w:hint="eastAsia"/>
            <w:kern w:val="0"/>
          </w:rPr>
          <w:t xml:space="preserve">6.2 </w:t>
        </w:r>
        <w:r>
          <w:rPr>
            <w:rFonts w:hint="eastAsia"/>
          </w:rPr>
          <w:t>数据传输</w:t>
        </w:r>
        <w:r>
          <w:tab/>
        </w:r>
        <w:r>
          <w:fldChar w:fldCharType="begin"/>
        </w:r>
        <w:r>
          <w:instrText xml:space="preserve"> PAGEREF _Toc27149 \h </w:instrText>
        </w:r>
        <w:r>
          <w:fldChar w:fldCharType="separate"/>
        </w:r>
        <w:r>
          <w:t>4</w:t>
        </w:r>
        <w:r>
          <w:fldChar w:fldCharType="end"/>
        </w:r>
      </w:hyperlink>
    </w:p>
    <w:p w14:paraId="4185C6E3" w14:textId="77777777" w:rsidR="00466C8D" w:rsidRDefault="00000000">
      <w:pPr>
        <w:pStyle w:val="TOC2"/>
        <w:tabs>
          <w:tab w:val="clear" w:pos="9344"/>
          <w:tab w:val="right" w:leader="dot" w:pos="9354"/>
        </w:tabs>
      </w:pPr>
      <w:hyperlink w:anchor="_Toc32062" w:history="1">
        <w:r>
          <w:rPr>
            <w:rFonts w:ascii="黑体" w:eastAsia="黑体" w:hAnsi="Times New Roman" w:hint="eastAsia"/>
            <w:kern w:val="0"/>
          </w:rPr>
          <w:t xml:space="preserve">6.3 </w:t>
        </w:r>
        <w:r>
          <w:rPr>
            <w:rFonts w:hint="eastAsia"/>
          </w:rPr>
          <w:t>数据终端平台</w:t>
        </w:r>
        <w:r>
          <w:tab/>
        </w:r>
        <w:r>
          <w:fldChar w:fldCharType="begin"/>
        </w:r>
        <w:r>
          <w:instrText xml:space="preserve"> PAGEREF _Toc32062 \h </w:instrText>
        </w:r>
        <w:r>
          <w:fldChar w:fldCharType="separate"/>
        </w:r>
        <w:r>
          <w:t>4</w:t>
        </w:r>
        <w:r>
          <w:fldChar w:fldCharType="end"/>
        </w:r>
      </w:hyperlink>
    </w:p>
    <w:p w14:paraId="442BC33D" w14:textId="77777777" w:rsidR="00466C8D" w:rsidRDefault="00000000">
      <w:pPr>
        <w:pStyle w:val="TOC1"/>
        <w:tabs>
          <w:tab w:val="right" w:leader="dot" w:pos="9354"/>
        </w:tabs>
      </w:pPr>
      <w:hyperlink w:anchor="_Toc13291" w:history="1">
        <w:r>
          <w:rPr>
            <w:rFonts w:ascii="黑体" w:eastAsia="黑体" w:hint="eastAsia"/>
          </w:rPr>
          <w:t xml:space="preserve">7 </w:t>
        </w:r>
        <w:r>
          <w:rPr>
            <w:rFonts w:hint="eastAsia"/>
          </w:rPr>
          <w:t>运行管理</w:t>
        </w:r>
        <w:r>
          <w:tab/>
        </w:r>
        <w:r>
          <w:fldChar w:fldCharType="begin"/>
        </w:r>
        <w:r>
          <w:instrText xml:space="preserve"> PAGEREF _Toc13291 \h </w:instrText>
        </w:r>
        <w:r>
          <w:fldChar w:fldCharType="separate"/>
        </w:r>
        <w:r>
          <w:t>4</w:t>
        </w:r>
        <w:r>
          <w:fldChar w:fldCharType="end"/>
        </w:r>
      </w:hyperlink>
    </w:p>
    <w:p w14:paraId="5DEDCDA8" w14:textId="77777777" w:rsidR="00466C8D" w:rsidRDefault="00000000">
      <w:pPr>
        <w:pStyle w:val="TOC1"/>
        <w:tabs>
          <w:tab w:val="right" w:leader="dot" w:pos="9354"/>
        </w:tabs>
      </w:pPr>
      <w:hyperlink w:anchor="_Toc28183" w:history="1">
        <w:r>
          <w:rPr>
            <w:rFonts w:ascii="黑体" w:eastAsia="黑体" w:hint="eastAsia"/>
          </w:rPr>
          <w:t xml:space="preserve">8 </w:t>
        </w:r>
        <w:r>
          <w:rPr>
            <w:rFonts w:hint="eastAsia"/>
          </w:rPr>
          <w:t>人员操作防护</w:t>
        </w:r>
        <w:r>
          <w:tab/>
        </w:r>
        <w:r>
          <w:fldChar w:fldCharType="begin"/>
        </w:r>
        <w:r>
          <w:instrText xml:space="preserve"> PAGEREF _Toc28183 \h </w:instrText>
        </w:r>
        <w:r>
          <w:fldChar w:fldCharType="separate"/>
        </w:r>
        <w:r>
          <w:t>5</w:t>
        </w:r>
        <w:r>
          <w:fldChar w:fldCharType="end"/>
        </w:r>
      </w:hyperlink>
    </w:p>
    <w:p w14:paraId="06F77F59" w14:textId="77777777" w:rsidR="00466C8D" w:rsidRDefault="00000000">
      <w:pPr>
        <w:pStyle w:val="TOC1"/>
        <w:tabs>
          <w:tab w:val="right" w:leader="dot" w:pos="9354"/>
        </w:tabs>
      </w:pPr>
      <w:hyperlink w:anchor="_Toc22570" w:history="1">
        <w:r>
          <w:rPr>
            <w:rFonts w:hint="eastAsia"/>
            <w:spacing w:val="100"/>
          </w:rPr>
          <w:t xml:space="preserve">附录A </w:t>
        </w:r>
        <w:r>
          <w:t xml:space="preserve"> </w:t>
        </w:r>
        <w:r>
          <w:rPr>
            <w:rFonts w:hint="eastAsia"/>
          </w:rPr>
          <w:t>（资料性）</w:t>
        </w:r>
        <w:r>
          <w:t xml:space="preserve"> </w:t>
        </w:r>
        <w:r>
          <w:rPr>
            <w:rFonts w:hint="eastAsia"/>
          </w:rPr>
          <w:t xml:space="preserve"> 集中空调循环冷却水水质控制指标</w:t>
        </w:r>
        <w:r>
          <w:tab/>
        </w:r>
        <w:r>
          <w:fldChar w:fldCharType="begin"/>
        </w:r>
        <w:r>
          <w:instrText xml:space="preserve"> PAGEREF _Toc22570 \h </w:instrText>
        </w:r>
        <w:r>
          <w:fldChar w:fldCharType="separate"/>
        </w:r>
        <w:r>
          <w:t>6</w:t>
        </w:r>
        <w:r>
          <w:fldChar w:fldCharType="end"/>
        </w:r>
      </w:hyperlink>
    </w:p>
    <w:p w14:paraId="5FDD4096" w14:textId="77777777" w:rsidR="00466C8D" w:rsidRDefault="00000000">
      <w:pPr>
        <w:pStyle w:val="TOC1"/>
        <w:tabs>
          <w:tab w:val="right" w:leader="dot" w:pos="9354"/>
        </w:tabs>
      </w:pPr>
      <w:hyperlink w:anchor="_Toc30366" w:history="1">
        <w:r>
          <w:rPr>
            <w:rFonts w:hint="eastAsia"/>
            <w:spacing w:val="100"/>
          </w:rPr>
          <w:t xml:space="preserve">附录B </w:t>
        </w:r>
        <w:r>
          <w:t xml:space="preserve"> </w:t>
        </w:r>
        <w:r>
          <w:rPr>
            <w:rFonts w:hint="eastAsia"/>
          </w:rPr>
          <w:t>（资料性）</w:t>
        </w:r>
        <w:r>
          <w:t xml:space="preserve"> </w:t>
        </w:r>
        <w:r>
          <w:rPr>
            <w:rFonts w:hint="eastAsia"/>
          </w:rPr>
          <w:t xml:space="preserve"> 常用在线监测仪技术参数</w:t>
        </w:r>
        <w:r>
          <w:tab/>
        </w:r>
        <w:r>
          <w:fldChar w:fldCharType="begin"/>
        </w:r>
        <w:r>
          <w:instrText xml:space="preserve"> PAGEREF _Toc30366 \h </w:instrText>
        </w:r>
        <w:r>
          <w:fldChar w:fldCharType="separate"/>
        </w:r>
        <w:r>
          <w:t>7</w:t>
        </w:r>
        <w:r>
          <w:fldChar w:fldCharType="end"/>
        </w:r>
      </w:hyperlink>
    </w:p>
    <w:p w14:paraId="4603B0BB" w14:textId="77777777" w:rsidR="00466C8D" w:rsidRDefault="00000000">
      <w:pPr>
        <w:pStyle w:val="afffffff3"/>
        <w:spacing w:after="468"/>
        <w:sectPr w:rsidR="00466C8D">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169FC18A" w14:textId="77777777" w:rsidR="00466C8D" w:rsidRDefault="00000000">
      <w:pPr>
        <w:pStyle w:val="a6"/>
        <w:spacing w:after="468"/>
      </w:pPr>
      <w:bookmarkStart w:id="15" w:name="_Toc16135"/>
      <w:bookmarkStart w:id="16" w:name="BookMark2"/>
      <w:bookmarkEnd w:id="14"/>
      <w:r>
        <w:rPr>
          <w:spacing w:val="320"/>
        </w:rPr>
        <w:lastRenderedPageBreak/>
        <w:t>前</w:t>
      </w:r>
      <w:r>
        <w:t>言</w:t>
      </w:r>
      <w:bookmarkEnd w:id="15"/>
    </w:p>
    <w:p w14:paraId="09D0892D" w14:textId="77777777" w:rsidR="00466C8D" w:rsidRDefault="00000000">
      <w:pPr>
        <w:pStyle w:val="afffffe"/>
        <w:ind w:firstLine="420"/>
      </w:pPr>
      <w:r>
        <w:rPr>
          <w:rFonts w:hint="eastAsia"/>
        </w:rPr>
        <w:t>本文件按照GB/T 1.1—2020《标准化工作导则 第1部分：标准化文件的结构和起草规则》的规定起草。</w:t>
      </w:r>
    </w:p>
    <w:p w14:paraId="202B461C" w14:textId="77777777" w:rsidR="00466C8D" w:rsidRDefault="00000000">
      <w:pPr>
        <w:pStyle w:val="afffffe"/>
        <w:ind w:firstLine="420"/>
      </w:pPr>
      <w:r>
        <w:rPr>
          <w:rFonts w:hint="eastAsia"/>
        </w:rPr>
        <w:t>请注意本文件的某些内容可能涉及专利。本文件的发布机构不承担识别专利的责任。</w:t>
      </w:r>
    </w:p>
    <w:p w14:paraId="372D73F1" w14:textId="77777777" w:rsidR="00466C8D" w:rsidRDefault="00000000">
      <w:pPr>
        <w:pStyle w:val="afffffe"/>
        <w:ind w:firstLine="420"/>
      </w:pPr>
      <w:r>
        <w:rPr>
          <w:rFonts w:hint="eastAsia"/>
        </w:rPr>
        <w:t>本文件由江苏省卫生标准化技术委员会提出并归口。</w:t>
      </w:r>
    </w:p>
    <w:p w14:paraId="65C5C13C" w14:textId="77777777" w:rsidR="00466C8D" w:rsidRDefault="00000000">
      <w:pPr>
        <w:pStyle w:val="affffffffffff3"/>
      </w:pPr>
      <w:r>
        <w:t>本</w:t>
      </w:r>
      <w:r>
        <w:rPr>
          <w:rFonts w:hint="eastAsia"/>
        </w:rPr>
        <w:t>文件</w:t>
      </w:r>
      <w:r>
        <w:t>起草单位：</w:t>
      </w:r>
      <w:r>
        <w:rPr>
          <w:rFonts w:hint="eastAsia"/>
        </w:rPr>
        <w:t>苏州市卫生监督所、江苏省卫生监督所、苏州市疾病预防控制中心、苏州市轨道交通集团有限公司、江苏菲捷斯环保科技有限公司、苏州格瑞普泰环境科技有限公司、苏州紫鑫环保科技有限公司、苏州新日升环境科技有限公司、苏州市立医院。</w:t>
      </w:r>
    </w:p>
    <w:p w14:paraId="6E930F15" w14:textId="77777777" w:rsidR="00466C8D" w:rsidRDefault="00000000">
      <w:pPr>
        <w:pStyle w:val="afffffe"/>
        <w:ind w:firstLine="420"/>
      </w:pPr>
      <w:r>
        <w:t>本</w:t>
      </w:r>
      <w:r>
        <w:rPr>
          <w:rFonts w:hint="eastAsia"/>
        </w:rPr>
        <w:t>文件</w:t>
      </w:r>
      <w:r>
        <w:t>主要起草人：</w:t>
      </w:r>
      <w:r>
        <w:rPr>
          <w:rFonts w:hint="eastAsia"/>
        </w:rPr>
        <w:t>陆仲寅、卞玘璠、杨海兵、汪雨舟、顾月清、刘强、唐锦囊、朱小红、汤忆眉、王瑛、贺鹏飞、丁海峰、王健、何玄渊、金心、杨淑红、陆康健、顾浩、杨伟平、周伟勇、高舒霞、袁夏冰。</w:t>
      </w:r>
    </w:p>
    <w:p w14:paraId="1AB6953D" w14:textId="77777777" w:rsidR="00466C8D" w:rsidRDefault="00466C8D">
      <w:pPr>
        <w:pStyle w:val="afffffe"/>
        <w:ind w:firstLine="420"/>
        <w:sectPr w:rsidR="00466C8D">
          <w:pgSz w:w="11906" w:h="16838"/>
          <w:pgMar w:top="1928" w:right="1134" w:bottom="1134" w:left="1134" w:header="1418" w:footer="1134" w:gutter="284"/>
          <w:pgNumType w:fmt="upperRoman"/>
          <w:cols w:space="425"/>
          <w:formProt w:val="0"/>
          <w:docGrid w:type="lines" w:linePitch="312"/>
        </w:sectPr>
      </w:pPr>
    </w:p>
    <w:p w14:paraId="6987FB55" w14:textId="77777777" w:rsidR="00466C8D" w:rsidRDefault="00466C8D">
      <w:pPr>
        <w:spacing w:line="20" w:lineRule="exact"/>
        <w:jc w:val="center"/>
        <w:rPr>
          <w:rFonts w:ascii="黑体" w:eastAsia="黑体" w:hAnsi="黑体"/>
          <w:sz w:val="32"/>
          <w:szCs w:val="32"/>
        </w:rPr>
      </w:pPr>
      <w:bookmarkStart w:id="17" w:name="BookMark4"/>
      <w:bookmarkEnd w:id="16"/>
    </w:p>
    <w:p w14:paraId="20C1D23C" w14:textId="77777777" w:rsidR="00466C8D" w:rsidRDefault="00466C8D">
      <w:pPr>
        <w:spacing w:line="20" w:lineRule="exact"/>
        <w:jc w:val="center"/>
        <w:rPr>
          <w:rFonts w:ascii="黑体" w:eastAsia="黑体" w:hAnsi="黑体"/>
          <w:sz w:val="32"/>
          <w:szCs w:val="32"/>
        </w:rPr>
      </w:pPr>
    </w:p>
    <w:bookmarkStart w:id="18" w:name="NEW_STAND_NAME" w:displacedByCustomXml="next"/>
    <w:sdt>
      <w:sdtPr>
        <w:tag w:val="NEW_STAND_NAME"/>
        <w:id w:val="595910757"/>
        <w:lock w:val="sdtLocked"/>
        <w:placeholder>
          <w:docPart w:val="BDC0A02F2FC342A289AF375120A266D1"/>
        </w:placeholder>
      </w:sdtPr>
      <w:sdtContent>
        <w:p w14:paraId="46AAFFEB" w14:textId="77777777" w:rsidR="00466C8D" w:rsidRDefault="00000000">
          <w:pPr>
            <w:pStyle w:val="affffffffff1"/>
            <w:spacing w:beforeLines="100" w:before="312" w:afterLines="1" w:after="3"/>
          </w:pPr>
          <w:r>
            <w:rPr>
              <w:rFonts w:hint="eastAsia"/>
            </w:rPr>
            <w:t>公共场所集中空调循环冷却水消毒处理</w:t>
          </w:r>
        </w:p>
        <w:p w14:paraId="2928B616" w14:textId="77777777" w:rsidR="00466C8D" w:rsidRDefault="00000000">
          <w:pPr>
            <w:pStyle w:val="affffffffff1"/>
            <w:spacing w:beforeLines="1" w:before="3" w:after="680"/>
          </w:pPr>
          <w:r>
            <w:rPr>
              <w:rFonts w:hint="eastAsia"/>
            </w:rPr>
            <w:t>及在线监测技术规范</w:t>
          </w:r>
        </w:p>
      </w:sdtContent>
    </w:sdt>
    <w:p w14:paraId="19DE2A0F" w14:textId="77777777" w:rsidR="00466C8D" w:rsidRDefault="00000000">
      <w:pPr>
        <w:pStyle w:val="afff0"/>
        <w:spacing w:before="312" w:after="312"/>
      </w:pPr>
      <w:bookmarkStart w:id="19" w:name="_Toc97191423"/>
      <w:bookmarkStart w:id="20" w:name="_Toc17233333"/>
      <w:bookmarkStart w:id="21" w:name="_Toc17233325"/>
      <w:bookmarkStart w:id="22" w:name="_Toc27505"/>
      <w:bookmarkStart w:id="23" w:name="_Toc26648465"/>
      <w:bookmarkStart w:id="24" w:name="_Toc26986771"/>
      <w:bookmarkStart w:id="25" w:name="_Toc24884211"/>
      <w:bookmarkStart w:id="26" w:name="_Toc24884218"/>
      <w:bookmarkStart w:id="27" w:name="_Toc26718930"/>
      <w:bookmarkStart w:id="28" w:name="_Toc26986530"/>
      <w:bookmarkEnd w:id="18"/>
      <w:r>
        <w:rPr>
          <w:rFonts w:hint="eastAsia"/>
        </w:rPr>
        <w:t>范围</w:t>
      </w:r>
      <w:bookmarkEnd w:id="19"/>
      <w:bookmarkEnd w:id="20"/>
      <w:bookmarkEnd w:id="21"/>
      <w:bookmarkEnd w:id="22"/>
      <w:bookmarkEnd w:id="23"/>
      <w:bookmarkEnd w:id="24"/>
      <w:bookmarkEnd w:id="25"/>
      <w:bookmarkEnd w:id="26"/>
      <w:bookmarkEnd w:id="27"/>
      <w:bookmarkEnd w:id="28"/>
    </w:p>
    <w:p w14:paraId="7B004089" w14:textId="77777777" w:rsidR="00466C8D" w:rsidRDefault="00000000">
      <w:pPr>
        <w:pStyle w:val="afffffe"/>
        <w:ind w:firstLine="420"/>
      </w:pPr>
      <w:bookmarkStart w:id="29" w:name="_Toc17233326"/>
      <w:bookmarkStart w:id="30" w:name="_Toc26648466"/>
      <w:bookmarkStart w:id="31" w:name="_Toc24884212"/>
      <w:bookmarkStart w:id="32" w:name="_Toc24884219"/>
      <w:bookmarkStart w:id="33" w:name="_Toc17233334"/>
      <w:r>
        <w:rPr>
          <w:rFonts w:hint="eastAsia"/>
        </w:rPr>
        <w:t>本文件规定了公共场所集中空调开式循环冷却水含氯消毒处理工艺、消毒处理设备、在线监测装置、运行管理及人员操作防护等技术要求。</w:t>
      </w:r>
    </w:p>
    <w:p w14:paraId="53B8C5B9" w14:textId="77777777" w:rsidR="00466C8D" w:rsidRDefault="00000000">
      <w:pPr>
        <w:pStyle w:val="afffffe"/>
        <w:ind w:firstLine="420"/>
      </w:pPr>
      <w:r>
        <w:rPr>
          <w:rFonts w:hint="eastAsia"/>
        </w:rPr>
        <w:t>本文件适用于公共场所集中空调开式循环冷却水系统，其他场所集中空调循环冷却水开式系统可参照执行。</w:t>
      </w:r>
    </w:p>
    <w:p w14:paraId="72863115" w14:textId="77777777" w:rsidR="00466C8D" w:rsidRDefault="00000000">
      <w:pPr>
        <w:pStyle w:val="afff0"/>
        <w:spacing w:before="312" w:after="312"/>
      </w:pPr>
      <w:bookmarkStart w:id="34" w:name="_Toc26986531"/>
      <w:bookmarkStart w:id="35" w:name="_Toc12048"/>
      <w:bookmarkStart w:id="36" w:name="_Toc97191424"/>
      <w:bookmarkStart w:id="37" w:name="_Toc26986772"/>
      <w:bookmarkStart w:id="38" w:name="_Toc26718931"/>
      <w:r>
        <w:rPr>
          <w:rFonts w:hint="eastAsia"/>
        </w:rPr>
        <w:t>规范性引用文件</w:t>
      </w:r>
      <w:bookmarkEnd w:id="29"/>
      <w:bookmarkEnd w:id="30"/>
      <w:bookmarkEnd w:id="31"/>
      <w:bookmarkEnd w:id="32"/>
      <w:bookmarkEnd w:id="33"/>
      <w:bookmarkEnd w:id="34"/>
      <w:bookmarkEnd w:id="35"/>
      <w:bookmarkEnd w:id="36"/>
      <w:bookmarkEnd w:id="37"/>
      <w:bookmarkEnd w:id="38"/>
    </w:p>
    <w:sdt>
      <w:sdtPr>
        <w:rPr>
          <w:rFonts w:hint="eastAsia"/>
        </w:rPr>
        <w:id w:val="715848253"/>
        <w:placeholder>
          <w:docPart w:val="F45C0D096EEF44D89EE49D39ED8C9C3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115DB88" w14:textId="77777777" w:rsidR="00466C8D" w:rsidRDefault="00000000">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E93AF45" w14:textId="77777777" w:rsidR="00466C8D" w:rsidRDefault="00000000">
      <w:pPr>
        <w:pStyle w:val="afffffe"/>
        <w:ind w:firstLine="420"/>
      </w:pPr>
      <w:r>
        <w:rPr>
          <w:rFonts w:hint="eastAsia"/>
        </w:rPr>
        <w:t>GB/T 29044 采暖空调系统水质</w:t>
      </w:r>
    </w:p>
    <w:p w14:paraId="62B7D31D" w14:textId="77777777" w:rsidR="00466C8D" w:rsidRDefault="00000000">
      <w:pPr>
        <w:pStyle w:val="afffffe"/>
        <w:ind w:firstLine="420"/>
      </w:pPr>
      <w:r>
        <w:rPr>
          <w:rFonts w:hint="eastAsia"/>
        </w:rPr>
        <w:t>GB/T 50050 工业循环冷却水处理设计规范</w:t>
      </w:r>
    </w:p>
    <w:p w14:paraId="412AF2B3" w14:textId="77777777" w:rsidR="00466C8D" w:rsidRDefault="00000000">
      <w:pPr>
        <w:pStyle w:val="afffffe"/>
        <w:ind w:firstLine="420"/>
      </w:pPr>
      <w:r>
        <w:rPr>
          <w:rFonts w:hint="eastAsia"/>
        </w:rPr>
        <w:t>GBZ 158 工作场所职业病危害警示标识</w:t>
      </w:r>
    </w:p>
    <w:p w14:paraId="27AD9DD6" w14:textId="77777777" w:rsidR="00466C8D" w:rsidRDefault="00000000">
      <w:pPr>
        <w:pStyle w:val="afffffe"/>
        <w:ind w:firstLine="420"/>
      </w:pPr>
      <w:r>
        <w:rPr>
          <w:rFonts w:hint="eastAsia"/>
        </w:rPr>
        <w:t>GBZ 188 职业健康监护技术规范</w:t>
      </w:r>
    </w:p>
    <w:p w14:paraId="4A8CE84B" w14:textId="77777777" w:rsidR="00466C8D" w:rsidRDefault="00000000">
      <w:pPr>
        <w:pStyle w:val="afffffe"/>
        <w:ind w:firstLine="420"/>
      </w:pPr>
      <w:r>
        <w:rPr>
          <w:rFonts w:hint="eastAsia"/>
        </w:rPr>
        <w:t>HJ 355 水污染源在线监测系统（COD</w:t>
      </w:r>
      <w:r>
        <w:rPr>
          <w:rFonts w:hint="eastAsia"/>
          <w:vertAlign w:val="subscript"/>
        </w:rPr>
        <w:t>Cr</w:t>
      </w:r>
      <w:r>
        <w:rPr>
          <w:rFonts w:hint="eastAsia"/>
        </w:rPr>
        <w:t>、NH</w:t>
      </w:r>
      <w:r>
        <w:rPr>
          <w:rFonts w:hint="eastAsia"/>
          <w:vertAlign w:val="subscript"/>
        </w:rPr>
        <w:t>3</w:t>
      </w:r>
      <w:r>
        <w:rPr>
          <w:rFonts w:hint="eastAsia"/>
        </w:rPr>
        <w:t>-N 等）运行技术规范</w:t>
      </w:r>
    </w:p>
    <w:p w14:paraId="1AB85F03" w14:textId="77777777" w:rsidR="00466C8D" w:rsidRDefault="00000000">
      <w:pPr>
        <w:pStyle w:val="afffffe"/>
        <w:ind w:firstLine="420"/>
      </w:pPr>
      <w:r>
        <w:rPr>
          <w:rFonts w:hint="eastAsia"/>
        </w:rPr>
        <w:t>WS 394 公共场所集中空调通风系统卫生规范</w:t>
      </w:r>
    </w:p>
    <w:p w14:paraId="2E21C0CB" w14:textId="77777777" w:rsidR="00466C8D" w:rsidRDefault="00000000">
      <w:pPr>
        <w:pStyle w:val="afffffe"/>
        <w:ind w:firstLine="420"/>
      </w:pPr>
      <w:r>
        <w:rPr>
          <w:rFonts w:hint="eastAsia"/>
        </w:rPr>
        <w:t>WS/T 528 小型集中式供水消毒技术规范</w:t>
      </w:r>
    </w:p>
    <w:p w14:paraId="5FEE0941" w14:textId="77777777" w:rsidR="00466C8D" w:rsidRDefault="00466C8D">
      <w:pPr>
        <w:pStyle w:val="afffffe"/>
        <w:ind w:firstLine="420"/>
      </w:pPr>
    </w:p>
    <w:p w14:paraId="49E5F6D4" w14:textId="77777777" w:rsidR="00466C8D" w:rsidRDefault="00000000">
      <w:pPr>
        <w:pStyle w:val="afff0"/>
        <w:spacing w:before="312" w:after="312"/>
      </w:pPr>
      <w:bookmarkStart w:id="39" w:name="_Toc1038"/>
      <w:bookmarkStart w:id="40" w:name="_Toc97191425"/>
      <w:r>
        <w:rPr>
          <w:rFonts w:hint="eastAsia"/>
          <w:szCs w:val="21"/>
        </w:rPr>
        <w:t>术语和定义</w:t>
      </w:r>
      <w:bookmarkEnd w:id="39"/>
      <w:bookmarkEnd w:id="40"/>
    </w:p>
    <w:bookmarkStart w:id="41" w:name="_Toc26986532" w:displacedByCustomXml="next"/>
    <w:bookmarkEnd w:id="41" w:displacedByCustomXml="next"/>
    <w:sdt>
      <w:sdtPr>
        <w:id w:val="-1909835108"/>
        <w:placeholder>
          <w:docPart w:val="C5E5E5C4102847D08A6B70FB4FB3EE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63AF24B" w14:textId="77777777" w:rsidR="00466C8D" w:rsidRDefault="00000000">
          <w:pPr>
            <w:pStyle w:val="afffffe"/>
            <w:ind w:firstLine="420"/>
          </w:pPr>
          <w:r>
            <w:rPr>
              <w:rFonts w:ascii="Times New Roman" w:hAnsi="宋体" w:hint="eastAsia"/>
              <w:szCs w:val="21"/>
            </w:rPr>
            <w:t>GB/T 50050</w:t>
          </w:r>
          <w:r>
            <w:rPr>
              <w:rFonts w:ascii="Times New Roman" w:hAnsi="宋体" w:hint="eastAsia"/>
              <w:szCs w:val="21"/>
            </w:rPr>
            <w:t>、</w:t>
          </w:r>
          <w:r>
            <w:rPr>
              <w:rFonts w:ascii="Times New Roman" w:hAnsi="宋体" w:hint="eastAsia"/>
              <w:szCs w:val="21"/>
            </w:rPr>
            <w:t>WS/T 528</w:t>
          </w:r>
          <w:r>
            <w:rPr>
              <w:rFonts w:ascii="Times New Roman" w:hAnsi="宋体" w:hint="eastAsia"/>
              <w:szCs w:val="21"/>
            </w:rPr>
            <w:t>及</w:t>
          </w:r>
          <w:r>
            <w:rPr>
              <w:rFonts w:ascii="Times New Roman" w:hAnsi="宋体" w:hint="eastAsia"/>
              <w:szCs w:val="21"/>
            </w:rPr>
            <w:t>HJ 355</w:t>
          </w:r>
          <w:r>
            <w:rPr>
              <w:rFonts w:hAnsi="宋体" w:hint="eastAsia"/>
            </w:rPr>
            <w:t>中</w:t>
          </w:r>
          <w:r>
            <w:t>界定的</w:t>
          </w:r>
          <w:r>
            <w:rPr>
              <w:rFonts w:hint="eastAsia"/>
            </w:rPr>
            <w:t>以下</w:t>
          </w:r>
          <w:r>
            <w:t>术语和定义适用于本文件。</w:t>
          </w:r>
        </w:p>
      </w:sdtContent>
    </w:sdt>
    <w:p w14:paraId="6E6DE176" w14:textId="77777777" w:rsidR="00466C8D" w:rsidRDefault="00000000">
      <w:pPr>
        <w:pStyle w:val="af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循环冷却水系统 recirculating </w:t>
      </w:r>
      <w:r>
        <w:rPr>
          <w:rFonts w:ascii="黑体" w:eastAsia="黑体" w:hAnsi="黑体"/>
        </w:rPr>
        <w:t>cooling water system</w:t>
      </w:r>
    </w:p>
    <w:p w14:paraId="086F713E" w14:textId="77777777" w:rsidR="00466C8D" w:rsidRDefault="00000000">
      <w:pPr>
        <w:pStyle w:val="afffffe"/>
        <w:ind w:firstLine="420"/>
      </w:pPr>
      <w:r>
        <w:t>以水作为冷却介质，并循环运行的一种给水系统，由换热设备、冷却设备、处理设施、水泵、管道及其他有关设施组成。</w:t>
      </w:r>
    </w:p>
    <w:p w14:paraId="3658174A" w14:textId="77777777" w:rsidR="00466C8D" w:rsidRDefault="00000000">
      <w:pPr>
        <w:pStyle w:val="afffffe"/>
        <w:ind w:firstLine="420"/>
      </w:pPr>
      <w:r>
        <w:rPr>
          <w:rFonts w:hint="eastAsia"/>
        </w:rPr>
        <w:t>［来源：GB/T 50050-2017，定义2.1.1，有修改］</w:t>
      </w:r>
    </w:p>
    <w:p w14:paraId="6C823B76" w14:textId="77777777" w:rsidR="00466C8D" w:rsidRDefault="00000000">
      <w:pPr>
        <w:pStyle w:val="afffffffffffd"/>
        <w:ind w:left="420" w:hangingChars="200" w:hanging="420"/>
        <w:rPr>
          <w:rFonts w:ascii="黑体" w:eastAsia="黑体" w:hAnsi="黑体"/>
        </w:rPr>
      </w:pPr>
      <w:r>
        <w:rPr>
          <w:rFonts w:ascii="黑体" w:eastAsia="黑体" w:hAnsi="黑体"/>
          <w:bCs/>
        </w:rPr>
        <w:br/>
      </w:r>
      <w:r>
        <w:rPr>
          <w:rFonts w:ascii="黑体" w:eastAsia="黑体" w:hAnsi="黑体" w:hint="eastAsia"/>
          <w:bCs/>
        </w:rPr>
        <w:t xml:space="preserve">开式循环冷却水系统 </w:t>
      </w:r>
      <w:r>
        <w:rPr>
          <w:rFonts w:ascii="黑体" w:eastAsia="黑体" w:hAnsi="黑体"/>
          <w:bCs/>
        </w:rPr>
        <w:t xml:space="preserve">open </w:t>
      </w:r>
      <w:r>
        <w:rPr>
          <w:rFonts w:ascii="黑体" w:eastAsia="黑体" w:hAnsi="黑体" w:hint="eastAsia"/>
        </w:rPr>
        <w:t>recirculating cooling water system</w:t>
      </w:r>
    </w:p>
    <w:p w14:paraId="5B3005F1" w14:textId="77777777" w:rsidR="00466C8D" w:rsidRDefault="00000000">
      <w:pPr>
        <w:pStyle w:val="afffffe"/>
        <w:ind w:firstLine="420"/>
      </w:pPr>
      <w:r>
        <w:t>间冷开式和直冷开式循环冷却水系统的统称。</w:t>
      </w:r>
    </w:p>
    <w:p w14:paraId="5C60D3ED" w14:textId="77777777" w:rsidR="00466C8D" w:rsidRDefault="00000000">
      <w:pPr>
        <w:pStyle w:val="afffffe"/>
        <w:ind w:firstLine="420"/>
      </w:pPr>
      <w:r>
        <w:rPr>
          <w:rFonts w:hint="eastAsia"/>
        </w:rPr>
        <w:t>［来源：</w:t>
      </w:r>
      <w:r>
        <w:rPr>
          <w:rFonts w:hAnsi="宋体" w:hint="eastAsia"/>
        </w:rPr>
        <w:t>GB/T 50050-2017</w:t>
      </w:r>
      <w:r>
        <w:rPr>
          <w:rFonts w:hint="eastAsia"/>
        </w:rPr>
        <w:t>，定义</w:t>
      </w:r>
      <w:r>
        <w:rPr>
          <w:rFonts w:hAnsi="宋体" w:hint="eastAsia"/>
        </w:rPr>
        <w:t>2.1.3</w:t>
      </w:r>
      <w:r>
        <w:rPr>
          <w:rFonts w:hint="eastAsia"/>
        </w:rPr>
        <w:t>，有修改］</w:t>
      </w:r>
    </w:p>
    <w:p w14:paraId="09AF2216" w14:textId="77777777" w:rsidR="00466C8D" w:rsidRDefault="00000000">
      <w:pPr>
        <w:pStyle w:val="afffffffffffd"/>
        <w:ind w:left="420" w:hangingChars="200" w:hanging="420"/>
        <w:rPr>
          <w:rFonts w:ascii="黑体" w:eastAsia="黑体" w:hAnsi="黑体"/>
        </w:rPr>
      </w:pPr>
      <w:r>
        <w:rPr>
          <w:rFonts w:ascii="黑体" w:eastAsia="黑体" w:hAnsi="黑体"/>
        </w:rPr>
        <w:br/>
      </w:r>
      <w:r>
        <w:rPr>
          <w:rFonts w:ascii="黑体" w:eastAsia="黑体" w:hAnsi="黑体" w:hint="eastAsia"/>
        </w:rPr>
        <w:t>直冷开式循环冷却水系统 direct open recirculating cooling water system</w:t>
      </w:r>
    </w:p>
    <w:p w14:paraId="1EBB6A8E" w14:textId="77777777" w:rsidR="00466C8D" w:rsidRDefault="00000000">
      <w:pPr>
        <w:pStyle w:val="afffffe"/>
        <w:ind w:firstLine="420"/>
      </w:pPr>
      <w:r>
        <w:rPr>
          <w:rFonts w:hint="eastAsia"/>
        </w:rPr>
        <w:t>循环冷却水与被冷却介质直接接触且循环冷却水与大气直接接触散热的循环冷却水系统，简称直冷开式系统。</w:t>
      </w:r>
    </w:p>
    <w:p w14:paraId="16F384C8" w14:textId="77777777" w:rsidR="00466C8D" w:rsidRDefault="00000000">
      <w:pPr>
        <w:pStyle w:val="afffffe"/>
        <w:ind w:firstLineChars="195" w:firstLine="409"/>
      </w:pPr>
      <w:r>
        <w:rPr>
          <w:rFonts w:hint="eastAsia"/>
        </w:rPr>
        <w:lastRenderedPageBreak/>
        <w:t>［来源：GB/T 50050-2017，定义2.1.5，有修改］</w:t>
      </w:r>
    </w:p>
    <w:p w14:paraId="1739B32B" w14:textId="77777777" w:rsidR="00466C8D" w:rsidRDefault="00000000">
      <w:pPr>
        <w:pStyle w:val="afffffffffffd"/>
        <w:ind w:left="420" w:hangingChars="200" w:hanging="420"/>
        <w:rPr>
          <w:rFonts w:ascii="黑体" w:eastAsia="黑体" w:hAnsi="黑体"/>
        </w:rPr>
      </w:pPr>
      <w:r>
        <w:rPr>
          <w:rFonts w:ascii="黑体" w:eastAsia="黑体" w:hAnsi="黑体"/>
        </w:rPr>
        <w:br/>
      </w:r>
      <w:r>
        <w:rPr>
          <w:rFonts w:ascii="黑体" w:eastAsia="黑体" w:hAnsi="黑体" w:hint="eastAsia"/>
        </w:rPr>
        <w:t>间冷开式循环冷却水系统 indirect open recirculating cooling water system</w:t>
      </w:r>
    </w:p>
    <w:p w14:paraId="1B9B292D" w14:textId="77777777" w:rsidR="00466C8D" w:rsidRDefault="00000000">
      <w:pPr>
        <w:pStyle w:val="afffffe"/>
        <w:ind w:firstLine="420"/>
      </w:pPr>
      <w:r>
        <w:rPr>
          <w:rFonts w:hint="eastAsia"/>
        </w:rPr>
        <w:t>循环冷却水与被冷却介质间接传热且循环冷却水与大气直接接触散热的循环冷却水系统，简称间冷开式系统。</w:t>
      </w:r>
    </w:p>
    <w:p w14:paraId="2A8771CD" w14:textId="77777777" w:rsidR="00466C8D" w:rsidRDefault="00000000">
      <w:pPr>
        <w:pStyle w:val="afffffe"/>
        <w:ind w:firstLine="420"/>
        <w:rPr>
          <w:rFonts w:ascii="黑体" w:eastAsia="黑体"/>
        </w:rPr>
      </w:pPr>
      <w:r>
        <w:rPr>
          <w:rFonts w:hint="eastAsia"/>
        </w:rPr>
        <w:t>［来源：</w:t>
      </w:r>
      <w:r>
        <w:rPr>
          <w:rFonts w:hAnsi="宋体" w:hint="eastAsia"/>
        </w:rPr>
        <w:t>GB/T 50050-2017</w:t>
      </w:r>
      <w:r>
        <w:rPr>
          <w:rFonts w:hint="eastAsia"/>
        </w:rPr>
        <w:t>，定义</w:t>
      </w:r>
      <w:r>
        <w:rPr>
          <w:rFonts w:hAnsi="宋体" w:hint="eastAsia"/>
        </w:rPr>
        <w:t>2.1.4</w:t>
      </w:r>
      <w:r>
        <w:rPr>
          <w:rFonts w:hint="eastAsia"/>
        </w:rPr>
        <w:t>，有修改］</w:t>
      </w:r>
    </w:p>
    <w:p w14:paraId="29257FC5" w14:textId="77777777" w:rsidR="00466C8D" w:rsidRDefault="00000000">
      <w:pPr>
        <w:pStyle w:val="afffffffffffd"/>
        <w:ind w:left="420" w:hangingChars="200" w:hanging="420"/>
        <w:rPr>
          <w:rFonts w:ascii="黑体" w:eastAsia="黑体" w:hAnsi="黑体"/>
        </w:rPr>
      </w:pPr>
      <w:r>
        <w:rPr>
          <w:rFonts w:ascii="黑体" w:eastAsia="黑体" w:hAnsi="黑体"/>
        </w:rPr>
        <w:br/>
      </w:r>
      <w:r>
        <w:rPr>
          <w:rFonts w:ascii="黑体" w:eastAsia="黑体" w:hAnsi="黑体" w:hint="eastAsia"/>
        </w:rPr>
        <w:t>自动消毒设备 automatic feeder</w:t>
      </w:r>
    </w:p>
    <w:p w14:paraId="1EA3682F" w14:textId="77777777" w:rsidR="00466C8D" w:rsidRDefault="00000000">
      <w:pPr>
        <w:pStyle w:val="afffffe"/>
        <w:ind w:firstLine="420"/>
      </w:pPr>
      <w:r>
        <w:rPr>
          <w:rFonts w:hint="eastAsia"/>
        </w:rPr>
        <w:t>根据循环水流量按比例自动投加消毒剂，并具有自动溶解或稀释功能的装置。</w:t>
      </w:r>
    </w:p>
    <w:p w14:paraId="7DE08EB7" w14:textId="77777777" w:rsidR="00466C8D" w:rsidRDefault="00000000">
      <w:pPr>
        <w:pStyle w:val="afffffe"/>
        <w:ind w:firstLine="420"/>
      </w:pPr>
      <w:r>
        <w:rPr>
          <w:rFonts w:hint="eastAsia"/>
        </w:rPr>
        <w:t>［来源：</w:t>
      </w:r>
      <w:r>
        <w:rPr>
          <w:rFonts w:hAnsi="宋体" w:hint="eastAsia"/>
        </w:rPr>
        <w:t>WS/T 528-2016</w:t>
      </w:r>
      <w:r>
        <w:rPr>
          <w:rFonts w:hint="eastAsia"/>
        </w:rPr>
        <w:t>，定义</w:t>
      </w:r>
      <w:r>
        <w:rPr>
          <w:rFonts w:hAnsi="宋体" w:hint="eastAsia"/>
        </w:rPr>
        <w:t>3.6</w:t>
      </w:r>
      <w:r>
        <w:rPr>
          <w:rFonts w:hint="eastAsia"/>
        </w:rPr>
        <w:t>，有修改］</w:t>
      </w:r>
    </w:p>
    <w:p w14:paraId="2ACFF2CD" w14:textId="77777777" w:rsidR="00466C8D" w:rsidRDefault="00000000">
      <w:pPr>
        <w:pStyle w:val="afffffffffffd"/>
        <w:ind w:left="420" w:hangingChars="200" w:hanging="420"/>
        <w:rPr>
          <w:rFonts w:ascii="黑体" w:eastAsia="黑体" w:hAnsi="黑体"/>
        </w:rPr>
      </w:pPr>
      <w:r>
        <w:rPr>
          <w:rFonts w:ascii="黑体" w:eastAsia="黑体" w:hAnsi="黑体"/>
        </w:rPr>
        <w:br/>
      </w:r>
      <w:r>
        <w:rPr>
          <w:rFonts w:ascii="黑体" w:eastAsia="黑体" w:hAnsi="黑体" w:hint="eastAsia"/>
        </w:rPr>
        <w:t>在线监测系统 on-line monitoring system</w:t>
      </w:r>
    </w:p>
    <w:p w14:paraId="06A260BE" w14:textId="77777777" w:rsidR="00466C8D" w:rsidRDefault="00000000">
      <w:pPr>
        <w:pStyle w:val="afffffe"/>
        <w:ind w:firstLine="420"/>
      </w:pPr>
      <w:r>
        <w:rPr>
          <w:rFonts w:hint="eastAsia"/>
        </w:rPr>
        <w:t>由在线监测仪（又称传感器）、监测平台（含数据采集与传输、数据处理与显示终端）组成，具有水样采集、检测、数据分析报警及上传功能的系统。</w:t>
      </w:r>
    </w:p>
    <w:p w14:paraId="1E660A54" w14:textId="77777777" w:rsidR="00466C8D" w:rsidRDefault="00000000">
      <w:pPr>
        <w:pStyle w:val="afffffe"/>
        <w:ind w:firstLine="420"/>
      </w:pPr>
      <w:r>
        <w:rPr>
          <w:rFonts w:hint="eastAsia"/>
        </w:rPr>
        <w:t>［来源：</w:t>
      </w:r>
      <w:r>
        <w:rPr>
          <w:rFonts w:hAnsi="宋体" w:hint="eastAsia"/>
        </w:rPr>
        <w:t>HJ 355-2019</w:t>
      </w:r>
      <w:r>
        <w:rPr>
          <w:rFonts w:hint="eastAsia"/>
        </w:rPr>
        <w:t>，定义</w:t>
      </w:r>
      <w:r>
        <w:rPr>
          <w:rFonts w:hAnsi="宋体" w:hint="eastAsia"/>
        </w:rPr>
        <w:t>3.1</w:t>
      </w:r>
      <w:r>
        <w:rPr>
          <w:rFonts w:hint="eastAsia"/>
        </w:rPr>
        <w:t xml:space="preserve">，有修改］ </w:t>
      </w:r>
    </w:p>
    <w:p w14:paraId="4BA6FFEC" w14:textId="77777777" w:rsidR="00466C8D" w:rsidRDefault="00000000">
      <w:pPr>
        <w:pStyle w:val="afff0"/>
        <w:spacing w:before="312" w:after="312"/>
      </w:pPr>
      <w:bookmarkStart w:id="42" w:name="_Toc30071"/>
      <w:bookmarkStart w:id="43" w:name="_Toc28481"/>
      <w:bookmarkStart w:id="44" w:name="_Toc30256"/>
      <w:r>
        <w:rPr>
          <w:rFonts w:hint="eastAsia"/>
        </w:rPr>
        <w:t>消毒处理工艺</w:t>
      </w:r>
      <w:bookmarkEnd w:id="42"/>
      <w:bookmarkEnd w:id="43"/>
      <w:bookmarkEnd w:id="44"/>
    </w:p>
    <w:p w14:paraId="60B4DE8B" w14:textId="77777777" w:rsidR="00466C8D" w:rsidRDefault="00000000">
      <w:pPr>
        <w:pStyle w:val="afff1"/>
        <w:spacing w:before="156" w:after="156"/>
      </w:pPr>
      <w:bookmarkStart w:id="45" w:name="_Toc6762"/>
      <w:r>
        <w:rPr>
          <w:rFonts w:hint="eastAsia"/>
        </w:rPr>
        <w:t>一般要求</w:t>
      </w:r>
      <w:bookmarkEnd w:id="45"/>
    </w:p>
    <w:p w14:paraId="15CA6439" w14:textId="77777777" w:rsidR="00466C8D" w:rsidRDefault="00000000">
      <w:pPr>
        <w:pStyle w:val="afffffffffa"/>
      </w:pPr>
      <w:r>
        <w:rPr>
          <w:rFonts w:hint="eastAsia"/>
        </w:rPr>
        <w:t xml:space="preserve">开式循环冷却水微生物控制宜以含氯高水平消毒剂为主，其他水处理消毒剂为辅。                                                                                                                                                                                                                                                                                                                                                                                                                                                                                                                                                                                                                                                                                                                                                                                                                                                                                                                                                                                                                                                                                                                                                                                                                                                                                                                                                                                                                                                                                                                                                                                                                                                                                                                                                                                                                                                                                                                                                                                                                                                                                                                                                                                                                                                                                                                                                                                                                                                                                                                                                                                                                                                                                                                                                                                                                                                                                                                                                                                                                                                                                                                                                                                                                                                                                                                                                                                                                                                                                                                                                                                                                                                                                                                                                                                                                                                                                                                                                                                                                                                                                                                                                                                                                                                                                                                                                                                                                                                                                                                                                                                                                                                                                                                                                                                                                                                                                                                                                                                                                                                                                                                                                                                                                                                                                                                                                                                                                                                                                                                                                                                                                                                                                                                                                                                                                                                                                                                                                                                                                                                                                                                                                                                                                                                                                                                                                                                                                                                                                                                                                                                                                                                                                                                                                                                                                                                                                                                                                                                                                                                                                                                                                                                                                                                                                                                                                                                                                                                                                                                                                                                                                                                                                                                                                                                                                                                                                                                                                                                                                                                                                                                                                                                                                                                                                                                                                                                                                                                                                                                                                                                                                                                                                                                                                                                                                                                                  </w:t>
      </w:r>
    </w:p>
    <w:p w14:paraId="10739D80" w14:textId="77777777" w:rsidR="00466C8D" w:rsidRDefault="00000000">
      <w:pPr>
        <w:pStyle w:val="afffffffffa"/>
      </w:pPr>
      <w:r>
        <w:rPr>
          <w:rFonts w:hint="eastAsia"/>
        </w:rPr>
        <w:t>使用的药剂应符合国家相关规定，使用单位应建立索证索票制度，按照产品操作说明书使用。</w:t>
      </w:r>
    </w:p>
    <w:p w14:paraId="3E6DF338" w14:textId="66E6A16F" w:rsidR="00466C8D" w:rsidRDefault="00000000">
      <w:pPr>
        <w:pStyle w:val="afffffffffa"/>
        <w:rPr>
          <w:rFonts w:hAnsi="宋体" w:cs="宋体"/>
        </w:rPr>
      </w:pPr>
      <w:r>
        <w:rPr>
          <w:rFonts w:hint="eastAsia"/>
        </w:rPr>
        <w:t>经消毒处理后的水质指标：</w:t>
      </w:r>
      <w:r>
        <w:rPr>
          <w:rFonts w:hAnsi="宋体" w:cs="宋体" w:hint="eastAsia"/>
          <w:szCs w:val="18"/>
        </w:rPr>
        <w:t>嗜肺军团菌</w:t>
      </w:r>
      <w:r>
        <w:rPr>
          <w:rFonts w:hAnsi="宋体" w:cs="宋体" w:hint="eastAsia"/>
        </w:rPr>
        <w:t>应符合</w:t>
      </w:r>
      <w:r>
        <w:rPr>
          <w:rFonts w:ascii="Times New Roman" w:hAnsi="宋体" w:hint="eastAsia"/>
          <w:szCs w:val="21"/>
        </w:rPr>
        <w:t>WS 394</w:t>
      </w:r>
      <w:r>
        <w:rPr>
          <w:rFonts w:hAnsi="宋体" w:cs="宋体" w:hint="eastAsia"/>
        </w:rPr>
        <w:t>，</w:t>
      </w:r>
      <w:r>
        <w:rPr>
          <w:rFonts w:ascii="Times New Roman" w:hAnsi="宋体" w:hint="eastAsia"/>
          <w:szCs w:val="21"/>
        </w:rPr>
        <w:t>pH</w:t>
      </w:r>
      <w:r>
        <w:rPr>
          <w:rFonts w:hAnsi="宋体" w:cs="宋体" w:hint="eastAsia"/>
          <w:szCs w:val="18"/>
        </w:rPr>
        <w:t>、游离氯应符合</w:t>
      </w:r>
      <w:r>
        <w:rPr>
          <w:rFonts w:ascii="Times New Roman" w:hAnsi="宋体" w:hint="eastAsia"/>
          <w:szCs w:val="21"/>
        </w:rPr>
        <w:t>GB/T 29044</w:t>
      </w:r>
      <w:r>
        <w:rPr>
          <w:rFonts w:hAnsi="宋体" w:cs="宋体" w:hint="eastAsia"/>
        </w:rPr>
        <w:t>，其他指标参照</w:t>
      </w:r>
      <w:r>
        <w:rPr>
          <w:rFonts w:ascii="Times New Roman" w:hAnsi="宋体" w:hint="eastAsia"/>
          <w:szCs w:val="21"/>
        </w:rPr>
        <w:t>GB/T 29044</w:t>
      </w:r>
      <w:r>
        <w:rPr>
          <w:rFonts w:hAnsi="宋体" w:cs="宋体" w:hint="eastAsia"/>
        </w:rPr>
        <w:t>中相关规定，</w:t>
      </w:r>
      <w:r w:rsidR="00F06197">
        <w:rPr>
          <w:rFonts w:hAnsi="宋体" w:cs="宋体" w:hint="eastAsia"/>
        </w:rPr>
        <w:t>参</w:t>
      </w:r>
      <w:r>
        <w:rPr>
          <w:rFonts w:hAnsi="宋体" w:cs="宋体" w:hint="eastAsia"/>
        </w:rPr>
        <w:t>见附录</w:t>
      </w:r>
      <w:r>
        <w:rPr>
          <w:rFonts w:ascii="Times New Roman" w:hAnsi="宋体" w:hint="eastAsia"/>
          <w:szCs w:val="21"/>
        </w:rPr>
        <w:t>A</w:t>
      </w:r>
      <w:r>
        <w:rPr>
          <w:rFonts w:hAnsi="宋体" w:cs="宋体" w:hint="eastAsia"/>
        </w:rPr>
        <w:t>。</w:t>
      </w:r>
    </w:p>
    <w:p w14:paraId="1B187C45" w14:textId="0976A80D" w:rsidR="00466C8D" w:rsidRDefault="00000000">
      <w:pPr>
        <w:pStyle w:val="afffffffffa"/>
        <w:rPr>
          <w:rFonts w:hAnsi="宋体" w:cs="宋体"/>
        </w:rPr>
      </w:pPr>
      <w:r>
        <w:rPr>
          <w:rFonts w:hAnsi="宋体" w:cs="宋体" w:hint="eastAsia"/>
        </w:rPr>
        <w:t>理化指标监测频率：游离氯、</w:t>
      </w:r>
      <w:r>
        <w:rPr>
          <w:rFonts w:ascii="Times New Roman" w:hAnsi="宋体" w:hint="eastAsia"/>
          <w:szCs w:val="21"/>
        </w:rPr>
        <w:t>pH</w:t>
      </w:r>
      <w:r>
        <w:rPr>
          <w:rFonts w:hAnsi="宋体" w:cs="宋体" w:hint="eastAsia"/>
        </w:rPr>
        <w:t>应</w:t>
      </w:r>
      <w:r>
        <w:rPr>
          <w:rFonts w:hAnsi="宋体" w:cs="宋体" w:hint="eastAsia"/>
          <w:szCs w:val="18"/>
        </w:rPr>
        <w:t>在线实时监测，电导率宜在线实时监测，</w:t>
      </w:r>
      <w:r>
        <w:rPr>
          <w:rFonts w:hAnsi="宋体" w:cs="宋体" w:hint="eastAsia"/>
        </w:rPr>
        <w:t>其他指标宜在开机</w:t>
      </w:r>
      <w:r>
        <w:rPr>
          <w:rFonts w:ascii="Times New Roman" w:hAnsi="宋体" w:hint="eastAsia"/>
          <w:szCs w:val="21"/>
        </w:rPr>
        <w:t>7</w:t>
      </w:r>
      <w:r>
        <w:rPr>
          <w:rFonts w:ascii="Times New Roman" w:hAnsi="宋体" w:hint="eastAsia"/>
          <w:szCs w:val="21"/>
        </w:rPr>
        <w:t>天</w:t>
      </w:r>
      <w:r w:rsidR="00F06197">
        <w:rPr>
          <w:rFonts w:hAnsi="宋体" w:hint="eastAsia"/>
          <w:szCs w:val="21"/>
        </w:rPr>
        <w:t>～</w:t>
      </w:r>
      <w:r>
        <w:rPr>
          <w:rFonts w:ascii="Times New Roman" w:hAnsi="宋体" w:hint="eastAsia"/>
          <w:szCs w:val="21"/>
        </w:rPr>
        <w:t>10</w:t>
      </w:r>
      <w:r>
        <w:rPr>
          <w:rFonts w:ascii="Times New Roman" w:hAnsi="宋体" w:hint="eastAsia"/>
          <w:szCs w:val="21"/>
        </w:rPr>
        <w:t>天</w:t>
      </w:r>
      <w:r>
        <w:rPr>
          <w:rFonts w:hAnsi="宋体" w:cs="宋体" w:hint="eastAsia"/>
        </w:rPr>
        <w:t>内开展第</w:t>
      </w:r>
      <w:r>
        <w:rPr>
          <w:rFonts w:ascii="Times New Roman" w:hAnsi="宋体" w:hint="eastAsia"/>
          <w:szCs w:val="21"/>
        </w:rPr>
        <w:t>1</w:t>
      </w:r>
      <w:r>
        <w:rPr>
          <w:rFonts w:hAnsi="宋体" w:cs="宋体" w:hint="eastAsia"/>
        </w:rPr>
        <w:t>次检测,运行时每运行月度宜检测</w:t>
      </w:r>
      <w:r>
        <w:rPr>
          <w:rFonts w:ascii="Times New Roman" w:hAnsi="宋体" w:hint="eastAsia"/>
          <w:szCs w:val="21"/>
        </w:rPr>
        <w:t>1</w:t>
      </w:r>
      <w:r>
        <w:rPr>
          <w:rFonts w:hAnsi="宋体" w:cs="宋体" w:hint="eastAsia"/>
        </w:rPr>
        <w:t>次。</w:t>
      </w:r>
    </w:p>
    <w:p w14:paraId="15641D24" w14:textId="0DC23647" w:rsidR="00466C8D" w:rsidRDefault="00000000">
      <w:pPr>
        <w:pStyle w:val="afffffffffa"/>
        <w:rPr>
          <w:rFonts w:hAnsi="宋体" w:cs="宋体"/>
        </w:rPr>
      </w:pPr>
      <w:r>
        <w:rPr>
          <w:rFonts w:hAnsi="宋体" w:cs="宋体" w:hint="eastAsia"/>
          <w:szCs w:val="21"/>
        </w:rPr>
        <w:t>微生物指标监测频率：每年启用之前（新、改、扩建项目在正式启用前）进行1次嗜肺军团菌的检测，并在运行期间至少加测</w:t>
      </w:r>
      <w:r>
        <w:rPr>
          <w:rFonts w:ascii="Times New Roman" w:hAnsi="宋体" w:hint="eastAsia"/>
          <w:szCs w:val="21"/>
        </w:rPr>
        <w:t>1</w:t>
      </w:r>
      <w:r>
        <w:rPr>
          <w:rFonts w:hAnsi="宋体" w:cs="宋体" w:hint="eastAsia"/>
          <w:szCs w:val="21"/>
        </w:rPr>
        <w:t>次，宜在夏季。其他微生物指标在开机</w:t>
      </w:r>
      <w:r w:rsidR="00F06197">
        <w:rPr>
          <w:rFonts w:ascii="Times New Roman" w:hAnsi="宋体" w:hint="eastAsia"/>
          <w:szCs w:val="21"/>
        </w:rPr>
        <w:t>7</w:t>
      </w:r>
      <w:r w:rsidR="00F06197">
        <w:rPr>
          <w:rFonts w:ascii="Times New Roman" w:hAnsi="宋体" w:hint="eastAsia"/>
          <w:szCs w:val="21"/>
        </w:rPr>
        <w:t>天</w:t>
      </w:r>
      <w:r w:rsidR="00F06197">
        <w:rPr>
          <w:rFonts w:hAnsi="宋体" w:hint="eastAsia"/>
          <w:szCs w:val="21"/>
        </w:rPr>
        <w:t>～</w:t>
      </w:r>
      <w:r w:rsidR="00F06197">
        <w:rPr>
          <w:rFonts w:ascii="Times New Roman" w:hAnsi="宋体" w:hint="eastAsia"/>
          <w:szCs w:val="21"/>
        </w:rPr>
        <w:t>10</w:t>
      </w:r>
      <w:r w:rsidR="00F06197">
        <w:rPr>
          <w:rFonts w:ascii="Times New Roman" w:hAnsi="宋体" w:hint="eastAsia"/>
          <w:szCs w:val="21"/>
        </w:rPr>
        <w:t>天</w:t>
      </w:r>
      <w:r>
        <w:rPr>
          <w:rFonts w:hAnsi="宋体" w:cs="宋体" w:hint="eastAsia"/>
          <w:szCs w:val="21"/>
        </w:rPr>
        <w:t>内开展第</w:t>
      </w:r>
      <w:r>
        <w:rPr>
          <w:rFonts w:ascii="Times New Roman" w:hAnsi="宋体" w:hint="eastAsia"/>
          <w:szCs w:val="21"/>
        </w:rPr>
        <w:t>1</w:t>
      </w:r>
      <w:r>
        <w:rPr>
          <w:rFonts w:hAnsi="宋体" w:cs="宋体" w:hint="eastAsia"/>
          <w:szCs w:val="21"/>
        </w:rPr>
        <w:t>次检测，运行时每运行月度宜检测</w:t>
      </w:r>
      <w:r>
        <w:rPr>
          <w:rFonts w:ascii="Times New Roman" w:hAnsi="宋体" w:hint="eastAsia"/>
          <w:szCs w:val="21"/>
        </w:rPr>
        <w:t>1</w:t>
      </w:r>
      <w:r>
        <w:rPr>
          <w:rFonts w:hAnsi="宋体" w:cs="宋体" w:hint="eastAsia"/>
          <w:szCs w:val="21"/>
        </w:rPr>
        <w:t>次。</w:t>
      </w:r>
    </w:p>
    <w:p w14:paraId="3CBE98CA" w14:textId="77777777" w:rsidR="00466C8D" w:rsidRDefault="00000000">
      <w:pPr>
        <w:pStyle w:val="afff1"/>
        <w:spacing w:before="156" w:after="156"/>
      </w:pPr>
      <w:bookmarkStart w:id="46" w:name="_Toc5131"/>
      <w:r>
        <w:rPr>
          <w:rFonts w:hint="eastAsia"/>
        </w:rPr>
        <w:t>含氯消毒剂</w:t>
      </w:r>
      <w:bookmarkEnd w:id="46"/>
    </w:p>
    <w:p w14:paraId="76F84563" w14:textId="77777777" w:rsidR="00466C8D" w:rsidRDefault="00000000">
      <w:pPr>
        <w:pStyle w:val="afffffffffa"/>
      </w:pPr>
      <w:r>
        <w:rPr>
          <w:rFonts w:hint="eastAsia"/>
        </w:rPr>
        <w:t>消毒剂</w:t>
      </w:r>
      <w:r>
        <w:t>宜采用</w:t>
      </w:r>
      <w:r>
        <w:rPr>
          <w:rFonts w:hint="eastAsia"/>
        </w:rPr>
        <w:t>含氯消毒剂</w:t>
      </w:r>
      <w:r>
        <w:t>，</w:t>
      </w:r>
      <w:r>
        <w:rPr>
          <w:rFonts w:hint="eastAsia"/>
        </w:rPr>
        <w:t>投加位置、</w:t>
      </w:r>
      <w:r>
        <w:t>投加方式及</w:t>
      </w:r>
      <w:r>
        <w:rPr>
          <w:rFonts w:hint="eastAsia"/>
        </w:rPr>
        <w:t>消毒剂浓度</w:t>
      </w:r>
      <w:r>
        <w:t xml:space="preserve">符合下列规定： </w:t>
      </w:r>
    </w:p>
    <w:p w14:paraId="2D8AD629" w14:textId="77777777" w:rsidR="00466C8D" w:rsidRDefault="00000000">
      <w:pPr>
        <w:pStyle w:val="af9"/>
      </w:pPr>
      <w:r>
        <w:rPr>
          <w:rFonts w:hint="eastAsia"/>
        </w:rPr>
        <w:t>消毒剂宜投加在冷却塔集水池出口的对面和远端的池壁，需多点布置。</w:t>
      </w:r>
    </w:p>
    <w:p w14:paraId="4246ABA6" w14:textId="7CD60092" w:rsidR="00466C8D" w:rsidRDefault="00000000">
      <w:pPr>
        <w:pStyle w:val="af9"/>
      </w:pPr>
      <w:r>
        <w:rPr>
          <w:rFonts w:hint="eastAsia"/>
        </w:rPr>
        <w:t>含氯消毒剂</w:t>
      </w:r>
      <w:r>
        <w:t>宜采用连续投加，也可采用冲击投加。连续投加时，宜控制循环冷却水中</w:t>
      </w:r>
      <w:r>
        <w:rPr>
          <w:rFonts w:hint="eastAsia"/>
        </w:rPr>
        <w:t>游离</w:t>
      </w:r>
      <w:r>
        <w:t>氯</w:t>
      </w:r>
      <w:r>
        <w:rPr>
          <w:rFonts w:hint="eastAsia"/>
        </w:rPr>
        <w:t>余量</w:t>
      </w:r>
      <w:r>
        <w:t>为</w:t>
      </w:r>
      <w:r>
        <w:rPr>
          <w:rFonts w:ascii="Times New Roman" w:hAnsi="宋体" w:hint="eastAsia"/>
          <w:szCs w:val="21"/>
        </w:rPr>
        <w:t xml:space="preserve">0.3 mg/L </w:t>
      </w:r>
      <w:r w:rsidR="00F06197">
        <w:rPr>
          <w:rFonts w:hAnsi="宋体" w:hint="eastAsia"/>
          <w:szCs w:val="21"/>
        </w:rPr>
        <w:t>～</w:t>
      </w:r>
      <w:r>
        <w:rPr>
          <w:rFonts w:ascii="Times New Roman" w:hAnsi="宋体" w:hint="eastAsia"/>
          <w:szCs w:val="21"/>
        </w:rPr>
        <w:t xml:space="preserve"> 0.5 mg/L</w:t>
      </w:r>
      <w:r>
        <w:rPr>
          <w:rFonts w:hint="eastAsia"/>
        </w:rPr>
        <w:t>；</w:t>
      </w:r>
      <w:r>
        <w:t>冲击投加时，宜每天投加</w:t>
      </w:r>
      <w:r>
        <w:rPr>
          <w:rFonts w:ascii="Times New Roman" w:hAnsi="宋体" w:hint="eastAsia"/>
          <w:szCs w:val="21"/>
        </w:rPr>
        <w:t>1</w:t>
      </w:r>
      <w:r>
        <w:t>次</w:t>
      </w:r>
      <w:r w:rsidR="00F06197">
        <w:rPr>
          <w:rFonts w:hAnsi="宋体" w:hint="eastAsia"/>
          <w:szCs w:val="21"/>
        </w:rPr>
        <w:t>～</w:t>
      </w:r>
      <w:r>
        <w:rPr>
          <w:rFonts w:ascii="Times New Roman" w:hAnsi="宋体" w:hint="eastAsia"/>
          <w:szCs w:val="21"/>
        </w:rPr>
        <w:t>3</w:t>
      </w:r>
      <w:r>
        <w:t>次</w:t>
      </w:r>
      <w:r>
        <w:rPr>
          <w:rFonts w:hint="eastAsia"/>
        </w:rPr>
        <w:t>，</w:t>
      </w:r>
      <w:r>
        <w:t>每次投加时</w:t>
      </w:r>
      <w:r>
        <w:rPr>
          <w:rFonts w:hint="eastAsia"/>
        </w:rPr>
        <w:t>投加量</w:t>
      </w:r>
      <w:r>
        <w:t>宜取</w:t>
      </w:r>
      <w:r>
        <w:rPr>
          <w:rFonts w:ascii="Times New Roman" w:hAnsi="宋体" w:hint="eastAsia"/>
          <w:szCs w:val="21"/>
        </w:rPr>
        <w:t xml:space="preserve">2 mg/L </w:t>
      </w:r>
      <w:r w:rsidR="00F06197">
        <w:rPr>
          <w:rFonts w:hAnsi="宋体" w:hint="eastAsia"/>
          <w:szCs w:val="21"/>
        </w:rPr>
        <w:t>～</w:t>
      </w:r>
      <w:r>
        <w:rPr>
          <w:rFonts w:ascii="Times New Roman" w:hAnsi="宋体" w:hint="eastAsia"/>
          <w:szCs w:val="21"/>
        </w:rPr>
        <w:t xml:space="preserve"> 4mg/L</w:t>
      </w:r>
      <w:r>
        <w:rPr>
          <w:rFonts w:hint="eastAsia"/>
        </w:rPr>
        <w:t>，</w:t>
      </w:r>
      <w:r>
        <w:t>保</w:t>
      </w:r>
      <w:r>
        <w:rPr>
          <w:rFonts w:ascii="Times New Roman" w:hAnsi="宋体" w:hint="eastAsia"/>
          <w:szCs w:val="21"/>
        </w:rPr>
        <w:t>持</w:t>
      </w:r>
      <w:r>
        <w:rPr>
          <w:rFonts w:ascii="Times New Roman" w:hAnsi="宋体" w:hint="eastAsia"/>
          <w:szCs w:val="21"/>
        </w:rPr>
        <w:t xml:space="preserve">2 h </w:t>
      </w:r>
      <w:r w:rsidR="00F06197">
        <w:rPr>
          <w:rFonts w:hAnsi="宋体" w:hint="eastAsia"/>
          <w:szCs w:val="21"/>
        </w:rPr>
        <w:t>～</w:t>
      </w:r>
      <w:r>
        <w:rPr>
          <w:rFonts w:ascii="Times New Roman" w:hAnsi="宋体" w:hint="eastAsia"/>
          <w:szCs w:val="21"/>
        </w:rPr>
        <w:t xml:space="preserve"> 3 h</w:t>
      </w:r>
      <w:r>
        <w:rPr>
          <w:rFonts w:hint="eastAsia"/>
        </w:rPr>
        <w:t>，</w:t>
      </w:r>
      <w:r>
        <w:t>宜控制水中</w:t>
      </w:r>
      <w:r>
        <w:rPr>
          <w:rFonts w:hint="eastAsia"/>
        </w:rPr>
        <w:t>游离氯余量为</w:t>
      </w:r>
      <w:r>
        <w:rPr>
          <w:rFonts w:ascii="Times New Roman" w:hAnsi="宋体" w:hint="eastAsia"/>
          <w:szCs w:val="21"/>
        </w:rPr>
        <w:t xml:space="preserve">0.5 mg/L </w:t>
      </w:r>
      <w:r w:rsidR="00F06197">
        <w:rPr>
          <w:rFonts w:hAnsi="宋体" w:hint="eastAsia"/>
          <w:szCs w:val="21"/>
        </w:rPr>
        <w:t>～</w:t>
      </w:r>
      <w:r>
        <w:rPr>
          <w:rFonts w:ascii="Times New Roman" w:hAnsi="宋体" w:hint="eastAsia"/>
          <w:szCs w:val="21"/>
        </w:rPr>
        <w:t xml:space="preserve"> 1.0 mg/L</w:t>
      </w:r>
      <w:r>
        <w:rPr>
          <w:rFonts w:hint="eastAsia"/>
        </w:rPr>
        <w:t>（以有效氯</w:t>
      </w:r>
      <w:r>
        <w:t xml:space="preserve">计）。  </w:t>
      </w:r>
    </w:p>
    <w:p w14:paraId="2C33E775" w14:textId="77777777" w:rsidR="00466C8D" w:rsidRDefault="00000000">
      <w:pPr>
        <w:pStyle w:val="afffffffffa"/>
        <w:rPr>
          <w:bCs/>
        </w:rPr>
      </w:pPr>
      <w:r>
        <w:rPr>
          <w:rFonts w:hint="eastAsia"/>
          <w:bCs/>
        </w:rPr>
        <w:t>加药量按以下公式计算：</w:t>
      </w:r>
    </w:p>
    <w:p w14:paraId="5E433969" w14:textId="77777777" w:rsidR="00466C8D" w:rsidRDefault="00000000">
      <w:pPr>
        <w:pStyle w:val="afffffe"/>
        <w:ind w:firstLine="420"/>
      </w:pPr>
      <w:r>
        <w:rPr>
          <w:rFonts w:hint="eastAsia"/>
        </w:rPr>
        <w:t>消毒剂</w:t>
      </w:r>
      <w:r>
        <w:t>连续投加时，加药设备能力应满足冲击加药量的要求，加药量可按下式计算</w:t>
      </w:r>
      <w:r>
        <w:rPr>
          <w:rFonts w:hint="eastAsia"/>
        </w:rPr>
        <w:t>：</w:t>
      </w:r>
    </w:p>
    <w:p w14:paraId="53FE5D0A" w14:textId="77777777" w:rsidR="00466C8D" w:rsidRPr="00F06197" w:rsidRDefault="00000000" w:rsidP="00F06197">
      <w:pPr>
        <w:widowControl/>
        <w:snapToGrid w:val="0"/>
        <w:spacing w:line="560" w:lineRule="exact"/>
        <w:jc w:val="center"/>
        <w:rPr>
          <w:rFonts w:ascii="Times New Roman" w:hAnsi="Times New Roman"/>
          <w:kern w:val="0"/>
          <w:sz w:val="24"/>
        </w:rPr>
      </w:pPr>
      <w:r w:rsidRPr="00F06197">
        <w:rPr>
          <w:rFonts w:ascii="Times New Roman" w:hAnsi="Times New Roman"/>
          <w:kern w:val="0"/>
          <w:sz w:val="24"/>
        </w:rPr>
        <w:t>G</w:t>
      </w:r>
      <w:r w:rsidRPr="00F06197">
        <w:rPr>
          <w:rFonts w:ascii="Times New Roman" w:hAnsi="Times New Roman"/>
          <w:kern w:val="0"/>
          <w:sz w:val="24"/>
          <w:vertAlign w:val="subscript"/>
        </w:rPr>
        <w:t>0</w:t>
      </w:r>
      <w:r w:rsidRPr="00F06197">
        <w:rPr>
          <w:rFonts w:ascii="Times New Roman" w:hAnsi="Times New Roman"/>
          <w:kern w:val="0"/>
          <w:sz w:val="24"/>
        </w:rPr>
        <w:t>=</w:t>
      </w:r>
      <m:oMath>
        <m:f>
          <m:fPr>
            <m:ctrlPr>
              <w:rPr>
                <w:rFonts w:ascii="Cambria Math" w:hAnsi="Cambria Math"/>
                <w:i/>
                <w:kern w:val="0"/>
                <w:sz w:val="22"/>
                <w:szCs w:val="22"/>
              </w:rPr>
            </m:ctrlPr>
          </m:fPr>
          <m:num>
            <m:sSub>
              <m:sSubPr>
                <m:ctrlPr>
                  <w:rPr>
                    <w:rFonts w:ascii="Cambria Math" w:hAnsi="Cambria Math"/>
                    <w:i/>
                    <w:kern w:val="0"/>
                    <w:sz w:val="22"/>
                    <w:szCs w:val="22"/>
                  </w:rPr>
                </m:ctrlPr>
              </m:sSubPr>
              <m:e>
                <m:r>
                  <w:rPr>
                    <w:rFonts w:ascii="Cambria Math" w:hAnsi="Cambria Math"/>
                    <w:kern w:val="0"/>
                    <w:sz w:val="22"/>
                    <w:szCs w:val="22"/>
                  </w:rPr>
                  <m:t>Q</m:t>
                </m:r>
              </m:e>
              <m:sub>
                <m:r>
                  <w:rPr>
                    <w:rFonts w:ascii="Cambria Math" w:hAnsi="Cambria Math"/>
                    <w:kern w:val="0"/>
                    <w:sz w:val="22"/>
                    <w:szCs w:val="22"/>
                  </w:rPr>
                  <m:t>r</m:t>
                </m:r>
              </m:sub>
            </m:sSub>
            <m:r>
              <w:rPr>
                <w:rFonts w:ascii="Cambria Math" w:hAnsi="Cambria Math"/>
                <w:kern w:val="0"/>
                <w:sz w:val="22"/>
                <w:szCs w:val="22"/>
              </w:rPr>
              <m:t>·</m:t>
            </m:r>
            <m:sSub>
              <m:sSubPr>
                <m:ctrlPr>
                  <w:rPr>
                    <w:rFonts w:ascii="Cambria Math" w:hAnsi="Cambria Math"/>
                    <w:i/>
                    <w:kern w:val="0"/>
                    <w:sz w:val="22"/>
                    <w:szCs w:val="22"/>
                  </w:rPr>
                </m:ctrlPr>
              </m:sSubPr>
              <m:e>
                <m:r>
                  <m:rPr>
                    <m:sty m:val="p"/>
                  </m:rPr>
                  <w:rPr>
                    <w:rFonts w:ascii="Cambria Math" w:hAnsi="Cambria Math"/>
                    <w:kern w:val="0"/>
                    <w:sz w:val="22"/>
                    <w:szCs w:val="22"/>
                  </w:rPr>
                  <m:t>g</m:t>
                </m:r>
              </m:e>
              <m:sub>
                <m:r>
                  <m:rPr>
                    <m:sty m:val="p"/>
                  </m:rPr>
                  <w:rPr>
                    <w:rFonts w:ascii="Cambria Math" w:hAnsi="Cambria Math"/>
                    <w:kern w:val="0"/>
                    <w:sz w:val="22"/>
                    <w:szCs w:val="22"/>
                    <w:vertAlign w:val="subscript"/>
                  </w:rPr>
                  <m:t>0</m:t>
                </m:r>
              </m:sub>
            </m:sSub>
          </m:num>
          <m:den>
            <m:r>
              <w:rPr>
                <w:rFonts w:ascii="Cambria Math" w:hAnsi="Cambria Math"/>
                <w:kern w:val="0"/>
                <w:sz w:val="22"/>
                <w:szCs w:val="22"/>
              </w:rPr>
              <m:t>1000</m:t>
            </m:r>
          </m:den>
        </m:f>
      </m:oMath>
    </w:p>
    <w:p w14:paraId="6044380D" w14:textId="77777777" w:rsidR="00466C8D" w:rsidRPr="00F06197" w:rsidRDefault="00000000" w:rsidP="00F06197">
      <w:pPr>
        <w:widowControl/>
        <w:snapToGrid w:val="0"/>
        <w:spacing w:line="240" w:lineRule="auto"/>
        <w:ind w:firstLineChars="200" w:firstLine="420"/>
        <w:jc w:val="left"/>
        <w:rPr>
          <w:rFonts w:ascii="Times New Roman" w:hAnsi="Times New Roman"/>
          <w:kern w:val="0"/>
          <w:szCs w:val="20"/>
        </w:rPr>
      </w:pPr>
      <w:r w:rsidRPr="00F06197">
        <w:rPr>
          <w:rFonts w:ascii="Times New Roman" w:hAnsi="Times New Roman"/>
          <w:kern w:val="0"/>
          <w:szCs w:val="20"/>
        </w:rPr>
        <w:t>式中：</w:t>
      </w:r>
      <w:r w:rsidRPr="00F06197">
        <w:rPr>
          <w:rFonts w:ascii="Times New Roman" w:hAnsi="Times New Roman"/>
          <w:kern w:val="0"/>
          <w:szCs w:val="20"/>
        </w:rPr>
        <w:t>G</w:t>
      </w:r>
      <w:r w:rsidRPr="00F06197">
        <w:rPr>
          <w:rFonts w:ascii="Times New Roman" w:hAnsi="Times New Roman"/>
          <w:kern w:val="0"/>
          <w:szCs w:val="20"/>
          <w:vertAlign w:val="subscript"/>
        </w:rPr>
        <w:t>0</w:t>
      </w:r>
      <w:r w:rsidRPr="00F06197">
        <w:rPr>
          <w:rFonts w:ascii="Times New Roman" w:hAnsi="Times New Roman"/>
          <w:kern w:val="0"/>
          <w:szCs w:val="20"/>
        </w:rPr>
        <w:t>－消毒剂加药量</w:t>
      </w:r>
      <w:r w:rsidRPr="00F06197">
        <w:rPr>
          <w:rFonts w:ascii="Times New Roman" w:hAnsi="Times New Roman"/>
          <w:kern w:val="0"/>
        </w:rPr>
        <w:t>（</w:t>
      </w:r>
      <w:r w:rsidRPr="00F06197">
        <w:rPr>
          <w:rFonts w:ascii="Times New Roman" w:hAnsi="Times New Roman"/>
          <w:kern w:val="0"/>
        </w:rPr>
        <w:t>kg/h</w:t>
      </w:r>
      <w:r w:rsidRPr="00F06197">
        <w:rPr>
          <w:rFonts w:ascii="Times New Roman" w:hAnsi="Times New Roman"/>
          <w:kern w:val="0"/>
        </w:rPr>
        <w:t>）</w:t>
      </w:r>
      <w:r w:rsidRPr="00F06197">
        <w:rPr>
          <w:rFonts w:ascii="Times New Roman" w:hAnsi="Times New Roman"/>
          <w:kern w:val="0"/>
          <w:szCs w:val="20"/>
        </w:rPr>
        <w:t>。</w:t>
      </w:r>
      <w:r w:rsidRPr="00F06197">
        <w:rPr>
          <w:rFonts w:ascii="Times New Roman" w:hAnsi="Times New Roman"/>
          <w:kern w:val="0"/>
          <w:szCs w:val="20"/>
        </w:rPr>
        <w:t xml:space="preserve"> </w:t>
      </w:r>
    </w:p>
    <w:p w14:paraId="34272862" w14:textId="77777777" w:rsidR="00466C8D" w:rsidRPr="00F06197" w:rsidRDefault="00000000" w:rsidP="00F06197">
      <w:pPr>
        <w:widowControl/>
        <w:snapToGrid w:val="0"/>
        <w:spacing w:line="240" w:lineRule="auto"/>
        <w:ind w:leftChars="500" w:left="1470" w:hangingChars="200" w:hanging="420"/>
        <w:jc w:val="left"/>
        <w:rPr>
          <w:rFonts w:ascii="Times New Roman" w:hAnsi="Times New Roman"/>
          <w:kern w:val="0"/>
          <w:szCs w:val="20"/>
        </w:rPr>
      </w:pPr>
      <w:r w:rsidRPr="00F06197">
        <w:rPr>
          <w:rFonts w:ascii="Times New Roman" w:hAnsi="Times New Roman"/>
          <w:kern w:val="0"/>
          <w:szCs w:val="20"/>
        </w:rPr>
        <w:t>g</w:t>
      </w:r>
      <w:r w:rsidRPr="00F06197">
        <w:rPr>
          <w:rFonts w:ascii="Times New Roman" w:hAnsi="Times New Roman"/>
          <w:kern w:val="0"/>
          <w:szCs w:val="20"/>
          <w:vertAlign w:val="subscript"/>
        </w:rPr>
        <w:t>0</w:t>
      </w:r>
      <w:r w:rsidRPr="00F06197">
        <w:rPr>
          <w:rFonts w:ascii="Times New Roman" w:hAnsi="Times New Roman"/>
          <w:kern w:val="0"/>
          <w:szCs w:val="20"/>
        </w:rPr>
        <w:t>－每升循环冷却水消毒剂加药量</w:t>
      </w:r>
      <w:r w:rsidRPr="00F06197">
        <w:rPr>
          <w:rFonts w:ascii="Times New Roman" w:hAnsi="Times New Roman"/>
          <w:kern w:val="0"/>
        </w:rPr>
        <w:t>（</w:t>
      </w:r>
      <w:r w:rsidRPr="00F06197">
        <w:rPr>
          <w:rFonts w:ascii="Times New Roman" w:hAnsi="Times New Roman"/>
          <w:kern w:val="0"/>
        </w:rPr>
        <w:t>mg/L</w:t>
      </w:r>
      <w:r w:rsidRPr="00F06197">
        <w:rPr>
          <w:rFonts w:ascii="Times New Roman" w:hAnsi="Times New Roman"/>
          <w:kern w:val="0"/>
        </w:rPr>
        <w:t>）。</w:t>
      </w:r>
    </w:p>
    <w:p w14:paraId="5D451363" w14:textId="77777777" w:rsidR="00466C8D" w:rsidRPr="00F06197" w:rsidRDefault="00000000" w:rsidP="00F06197">
      <w:pPr>
        <w:pStyle w:val="affffffffffff3"/>
        <w:adjustRightInd w:val="0"/>
        <w:snapToGrid w:val="0"/>
        <w:ind w:firstLineChars="500" w:firstLine="1050"/>
        <w:rPr>
          <w:rFonts w:ascii="Times New Roman"/>
        </w:rPr>
      </w:pPr>
      <w:r w:rsidRPr="00F06197">
        <w:rPr>
          <w:rFonts w:ascii="Times New Roman"/>
        </w:rPr>
        <w:t>Q</w:t>
      </w:r>
      <w:r w:rsidRPr="00F06197">
        <w:rPr>
          <w:rFonts w:ascii="Times New Roman"/>
          <w:vertAlign w:val="subscript"/>
        </w:rPr>
        <w:t>r</w:t>
      </w:r>
      <w:r w:rsidRPr="00F06197">
        <w:rPr>
          <w:rFonts w:ascii="Times New Roman"/>
        </w:rPr>
        <w:t>－循环冷却水量</w:t>
      </w:r>
      <w:r w:rsidRPr="00F06197">
        <w:rPr>
          <w:rFonts w:ascii="Times New Roman"/>
          <w:szCs w:val="21"/>
        </w:rPr>
        <w:t>（</w:t>
      </w:r>
      <w:r w:rsidRPr="00F06197">
        <w:rPr>
          <w:rFonts w:ascii="Times New Roman"/>
          <w:szCs w:val="21"/>
        </w:rPr>
        <w:t>m</w:t>
      </w:r>
      <w:r w:rsidRPr="00F06197">
        <w:rPr>
          <w:rFonts w:ascii="Times New Roman"/>
          <w:szCs w:val="21"/>
          <w:vertAlign w:val="superscript"/>
        </w:rPr>
        <w:t>3</w:t>
      </w:r>
      <w:r w:rsidRPr="00F06197">
        <w:rPr>
          <w:rFonts w:ascii="Times New Roman"/>
          <w:szCs w:val="21"/>
        </w:rPr>
        <w:t>/h</w:t>
      </w:r>
      <w:r w:rsidRPr="00F06197">
        <w:rPr>
          <w:rFonts w:ascii="Times New Roman"/>
          <w:szCs w:val="21"/>
        </w:rPr>
        <w:t>）</w:t>
      </w:r>
      <w:r w:rsidRPr="00F06197">
        <w:rPr>
          <w:rFonts w:ascii="Times New Roman"/>
        </w:rPr>
        <w:t>。</w:t>
      </w:r>
    </w:p>
    <w:p w14:paraId="3E05AA5C" w14:textId="77777777" w:rsidR="00466C8D" w:rsidRDefault="00000000">
      <w:pPr>
        <w:pStyle w:val="afffffffffa"/>
      </w:pPr>
      <w:r>
        <w:rPr>
          <w:rFonts w:hint="eastAsia"/>
        </w:rPr>
        <w:lastRenderedPageBreak/>
        <w:t>其他类高水平消毒剂按操作说明投加。</w:t>
      </w:r>
    </w:p>
    <w:p w14:paraId="7A656CC0" w14:textId="77777777" w:rsidR="00466C8D" w:rsidRDefault="00000000">
      <w:pPr>
        <w:pStyle w:val="afff1"/>
        <w:spacing w:before="156" w:after="156"/>
      </w:pPr>
      <w:bookmarkStart w:id="47" w:name="_Toc12712"/>
      <w:r>
        <w:rPr>
          <w:rFonts w:hint="eastAsia"/>
        </w:rPr>
        <w:t>其他水处理剂</w:t>
      </w:r>
      <w:bookmarkEnd w:id="47"/>
    </w:p>
    <w:p w14:paraId="200A0015" w14:textId="77777777" w:rsidR="00466C8D" w:rsidRDefault="00000000">
      <w:pPr>
        <w:pStyle w:val="afffffffffa"/>
      </w:pPr>
      <w:r>
        <w:t>宜</w:t>
      </w:r>
      <w:r>
        <w:rPr>
          <w:rFonts w:hint="eastAsia"/>
        </w:rPr>
        <w:t>采用具有</w:t>
      </w:r>
      <w:r>
        <w:t>高效、低毒、广谱、</w:t>
      </w:r>
      <w:r>
        <w:rPr>
          <w:rFonts w:ascii="Times New Roman" w:hAnsi="宋体"/>
          <w:szCs w:val="21"/>
        </w:rPr>
        <w:t>pH</w:t>
      </w:r>
      <w:r>
        <w:t>适用范围宽、与阻垢剂和缓蚀剂</w:t>
      </w:r>
      <w:r>
        <w:rPr>
          <w:rFonts w:hint="eastAsia"/>
        </w:rPr>
        <w:t>互不</w:t>
      </w:r>
      <w:r>
        <w:t>干扰、易于降解、使生物</w:t>
      </w:r>
      <w:r>
        <w:rPr>
          <w:rFonts w:hint="eastAsia"/>
        </w:rPr>
        <w:t>黏</w:t>
      </w:r>
      <w:r>
        <w:t>泥易于剥离等性能</w:t>
      </w:r>
      <w:r>
        <w:rPr>
          <w:rFonts w:hint="eastAsia"/>
        </w:rPr>
        <w:t>的水处理剂</w:t>
      </w:r>
      <w:r>
        <w:t>。</w:t>
      </w:r>
    </w:p>
    <w:p w14:paraId="3AB1E2B2" w14:textId="77777777" w:rsidR="00466C8D" w:rsidRDefault="00000000">
      <w:pPr>
        <w:pStyle w:val="afffffffffa"/>
      </w:pPr>
      <w:r>
        <w:rPr>
          <w:rFonts w:hint="eastAsia"/>
        </w:rPr>
        <w:t>宜选择多种水处理剂交替使用，投加量按照说明书确定。</w:t>
      </w:r>
    </w:p>
    <w:p w14:paraId="5552A1ED" w14:textId="77777777" w:rsidR="00466C8D" w:rsidRDefault="00000000">
      <w:pPr>
        <w:pStyle w:val="afffffffffa"/>
      </w:pPr>
      <w:r>
        <w:rPr>
          <w:rFonts w:hint="eastAsia"/>
        </w:rPr>
        <w:t>宜根据微生物监测数据不定期投加水处理剂。夏季宜每月投加</w:t>
      </w:r>
      <w:r>
        <w:rPr>
          <w:rFonts w:ascii="Times New Roman" w:hAnsi="宋体" w:hint="eastAsia"/>
          <w:szCs w:val="21"/>
        </w:rPr>
        <w:t>2</w:t>
      </w:r>
      <w:r>
        <w:rPr>
          <w:rFonts w:hint="eastAsia"/>
        </w:rPr>
        <w:t>次，其他季节宜每月投加</w:t>
      </w:r>
      <w:r>
        <w:rPr>
          <w:rFonts w:ascii="Times New Roman" w:hAnsi="宋体" w:hint="eastAsia"/>
          <w:szCs w:val="21"/>
        </w:rPr>
        <w:t>1</w:t>
      </w:r>
      <w:r>
        <w:rPr>
          <w:rFonts w:hint="eastAsia"/>
        </w:rPr>
        <w:t>次，当异氧菌数量较高或黏泥附着程度较严重时，不论季节气温高低，每月均需投加</w:t>
      </w:r>
      <w:r>
        <w:rPr>
          <w:rFonts w:ascii="Times New Roman" w:hAnsi="宋体" w:hint="eastAsia"/>
          <w:szCs w:val="21"/>
        </w:rPr>
        <w:t>2</w:t>
      </w:r>
      <w:r>
        <w:rPr>
          <w:rFonts w:hint="eastAsia"/>
        </w:rPr>
        <w:t>次。</w:t>
      </w:r>
    </w:p>
    <w:p w14:paraId="5E1AE414" w14:textId="77777777" w:rsidR="00466C8D" w:rsidRDefault="00000000">
      <w:pPr>
        <w:pStyle w:val="afff0"/>
        <w:spacing w:before="312" w:after="312"/>
      </w:pPr>
      <w:bookmarkStart w:id="48" w:name="_Toc16646"/>
      <w:bookmarkStart w:id="49" w:name="_Toc15487"/>
      <w:bookmarkStart w:id="50" w:name="_Toc10807"/>
      <w:r>
        <w:rPr>
          <w:rFonts w:hint="eastAsia"/>
        </w:rPr>
        <w:t>消毒处理设备</w:t>
      </w:r>
      <w:bookmarkEnd w:id="48"/>
      <w:bookmarkEnd w:id="49"/>
      <w:bookmarkEnd w:id="50"/>
    </w:p>
    <w:p w14:paraId="48ACAB15" w14:textId="77777777" w:rsidR="00466C8D" w:rsidRDefault="00000000">
      <w:pPr>
        <w:pStyle w:val="afff1"/>
        <w:spacing w:before="156" w:after="156"/>
      </w:pPr>
      <w:bookmarkStart w:id="51" w:name="_Toc828"/>
      <w:r>
        <w:rPr>
          <w:rFonts w:hint="eastAsia"/>
        </w:rPr>
        <w:t>基本要求</w:t>
      </w:r>
      <w:bookmarkEnd w:id="51"/>
    </w:p>
    <w:p w14:paraId="232C19F9" w14:textId="77777777" w:rsidR="00466C8D" w:rsidRDefault="00000000">
      <w:pPr>
        <w:pStyle w:val="afffffffffa"/>
      </w:pPr>
      <w:r>
        <w:rPr>
          <w:rFonts w:hint="eastAsia"/>
        </w:rPr>
        <w:t>应至少包含储药系统、自动投加系统、在线监测及数据传输等功能系统。</w:t>
      </w:r>
    </w:p>
    <w:p w14:paraId="6DED3B06" w14:textId="77777777" w:rsidR="00466C8D" w:rsidRDefault="00000000">
      <w:pPr>
        <w:pStyle w:val="afffffffffa"/>
      </w:pPr>
      <w:r>
        <w:rPr>
          <w:rFonts w:hint="eastAsia"/>
        </w:rPr>
        <w:t>应具备防雨、防潮及防腐功能。</w:t>
      </w:r>
    </w:p>
    <w:p w14:paraId="40FE3FA7" w14:textId="77777777" w:rsidR="00466C8D" w:rsidRDefault="00000000">
      <w:pPr>
        <w:pStyle w:val="afffffffffa"/>
      </w:pPr>
      <w:r>
        <w:rPr>
          <w:rFonts w:hint="eastAsia"/>
        </w:rPr>
        <w:t>应具备自动排水功能。</w:t>
      </w:r>
    </w:p>
    <w:p w14:paraId="74DCC7DA" w14:textId="77777777" w:rsidR="00466C8D" w:rsidRDefault="00000000">
      <w:pPr>
        <w:pStyle w:val="afffffffffa"/>
      </w:pPr>
      <w:r>
        <w:rPr>
          <w:rFonts w:hint="eastAsia"/>
        </w:rPr>
        <w:t>自动消毒设备宜安装于避光且通风良好的位置。</w:t>
      </w:r>
    </w:p>
    <w:p w14:paraId="54EBDC66" w14:textId="77777777" w:rsidR="00466C8D" w:rsidRDefault="00000000">
      <w:pPr>
        <w:pStyle w:val="afffffffffa"/>
      </w:pPr>
      <w:r>
        <w:rPr>
          <w:rFonts w:hint="eastAsia"/>
        </w:rPr>
        <w:t>应采用自动化控制，具备数据采集及传输功能，数据采集宜预留至少2个接口。</w:t>
      </w:r>
    </w:p>
    <w:p w14:paraId="77730599" w14:textId="77777777" w:rsidR="00466C8D" w:rsidRDefault="00000000">
      <w:pPr>
        <w:pStyle w:val="afff1"/>
        <w:spacing w:before="156" w:after="156"/>
      </w:pPr>
      <w:bookmarkStart w:id="52" w:name="_Toc12507"/>
      <w:r>
        <w:rPr>
          <w:rFonts w:hint="eastAsia"/>
        </w:rPr>
        <w:t>储药系统</w:t>
      </w:r>
      <w:bookmarkEnd w:id="52"/>
    </w:p>
    <w:p w14:paraId="12AAC8E7" w14:textId="77777777" w:rsidR="00466C8D" w:rsidRDefault="00000000">
      <w:pPr>
        <w:pStyle w:val="afffffffffa"/>
      </w:pPr>
      <w:r>
        <w:t>有效容积根据日处理水量合理</w:t>
      </w:r>
      <w:r>
        <w:rPr>
          <w:rFonts w:hint="eastAsia"/>
        </w:rPr>
        <w:t>设计，宜满足至少</w:t>
      </w:r>
      <w:r>
        <w:rPr>
          <w:rFonts w:ascii="Times New Roman" w:hAnsi="宋体" w:hint="eastAsia"/>
          <w:szCs w:val="21"/>
        </w:rPr>
        <w:t>一</w:t>
      </w:r>
      <w:r>
        <w:rPr>
          <w:rFonts w:hint="eastAsia"/>
        </w:rPr>
        <w:t>周用量。</w:t>
      </w:r>
    </w:p>
    <w:p w14:paraId="3CEA0562" w14:textId="77777777" w:rsidR="00466C8D" w:rsidRDefault="00000000">
      <w:pPr>
        <w:pStyle w:val="afffffffffa"/>
      </w:pPr>
      <w:r>
        <w:t>应设置液位报警</w:t>
      </w:r>
      <w:r>
        <w:rPr>
          <w:rFonts w:hint="eastAsia"/>
        </w:rPr>
        <w:t>检测</w:t>
      </w:r>
      <w:r>
        <w:t>及</w:t>
      </w:r>
      <w:r>
        <w:rPr>
          <w:rFonts w:hint="eastAsia"/>
        </w:rPr>
        <w:t>预警装置。</w:t>
      </w:r>
    </w:p>
    <w:p w14:paraId="78DD54AB" w14:textId="77777777" w:rsidR="00466C8D" w:rsidRDefault="00000000">
      <w:pPr>
        <w:pStyle w:val="afffffffffa"/>
      </w:pPr>
      <w:r>
        <w:rPr>
          <w:rFonts w:hint="eastAsia"/>
        </w:rPr>
        <w:t>宜配置溶液自动搅拌装置。</w:t>
      </w:r>
    </w:p>
    <w:p w14:paraId="5E061CAE" w14:textId="77777777" w:rsidR="00466C8D" w:rsidRDefault="00000000">
      <w:pPr>
        <w:pStyle w:val="afffffffffa"/>
      </w:pPr>
      <w:r>
        <w:rPr>
          <w:rFonts w:hint="eastAsia"/>
        </w:rPr>
        <w:t>宜配置氯气自动消除装置。</w:t>
      </w:r>
    </w:p>
    <w:p w14:paraId="2B872318" w14:textId="77777777" w:rsidR="00466C8D" w:rsidRDefault="00000000">
      <w:pPr>
        <w:pStyle w:val="afffffffffa"/>
      </w:pPr>
      <w:r>
        <w:rPr>
          <w:rFonts w:hint="eastAsia"/>
        </w:rPr>
        <w:t>按照</w:t>
      </w:r>
      <w:r>
        <w:rPr>
          <w:rFonts w:ascii="Times New Roman" w:hAnsi="宋体" w:hint="eastAsia"/>
          <w:szCs w:val="21"/>
        </w:rPr>
        <w:t>GBZ 158</w:t>
      </w:r>
      <w:r>
        <w:rPr>
          <w:rFonts w:hint="eastAsia"/>
        </w:rPr>
        <w:t>要求，应在药剂使用场所明确标识药剂名称、特性等。</w:t>
      </w:r>
    </w:p>
    <w:p w14:paraId="7A5A0810" w14:textId="77777777" w:rsidR="00466C8D" w:rsidRDefault="00000000">
      <w:pPr>
        <w:pStyle w:val="afff1"/>
        <w:spacing w:before="156" w:after="156"/>
        <w:rPr>
          <w:bCs/>
        </w:rPr>
      </w:pPr>
      <w:bookmarkStart w:id="53" w:name="_Toc15273"/>
      <w:r>
        <w:rPr>
          <w:rFonts w:hint="eastAsia"/>
        </w:rPr>
        <w:t>自动投加系统</w:t>
      </w:r>
      <w:bookmarkEnd w:id="53"/>
    </w:p>
    <w:p w14:paraId="6AF43E6D" w14:textId="77777777" w:rsidR="00466C8D" w:rsidRDefault="00000000">
      <w:pPr>
        <w:pStyle w:val="afffffffffa"/>
      </w:pPr>
      <w:r>
        <w:rPr>
          <w:rFonts w:hint="eastAsia"/>
        </w:rPr>
        <w:t>消毒剂投加量</w:t>
      </w:r>
      <w:r>
        <w:t>应根据</w:t>
      </w:r>
      <w:r>
        <w:rPr>
          <w:rFonts w:hint="eastAsia"/>
        </w:rPr>
        <w:t>游离氯</w:t>
      </w:r>
      <w:r>
        <w:t>监测结果自动控制</w:t>
      </w:r>
      <w:r>
        <w:rPr>
          <w:rFonts w:hint="eastAsia"/>
        </w:rPr>
        <w:t>，投加系统应具备手动投加功能。</w:t>
      </w:r>
    </w:p>
    <w:p w14:paraId="370BDC1A" w14:textId="77777777" w:rsidR="00466C8D" w:rsidRDefault="00000000">
      <w:pPr>
        <w:pStyle w:val="afffffffffa"/>
      </w:pPr>
      <w:r>
        <w:rPr>
          <w:rFonts w:hint="eastAsia"/>
        </w:rPr>
        <w:t>投加系统宜一用一备。</w:t>
      </w:r>
    </w:p>
    <w:p w14:paraId="5D0798B3" w14:textId="77777777" w:rsidR="00466C8D" w:rsidRDefault="00000000">
      <w:pPr>
        <w:pStyle w:val="afff0"/>
        <w:spacing w:before="312" w:after="312"/>
      </w:pPr>
      <w:bookmarkStart w:id="54" w:name="_Toc19559"/>
      <w:bookmarkStart w:id="55" w:name="_Toc20203"/>
      <w:bookmarkStart w:id="56" w:name="_Toc15641"/>
      <w:r>
        <w:rPr>
          <w:rFonts w:hint="eastAsia"/>
        </w:rPr>
        <w:t>在线监测装置</w:t>
      </w:r>
      <w:bookmarkEnd w:id="54"/>
      <w:bookmarkEnd w:id="55"/>
      <w:bookmarkEnd w:id="56"/>
    </w:p>
    <w:p w14:paraId="077A0145" w14:textId="77777777" w:rsidR="00466C8D" w:rsidRDefault="00000000">
      <w:pPr>
        <w:pStyle w:val="afff1"/>
        <w:spacing w:before="156" w:after="156"/>
      </w:pPr>
      <w:bookmarkStart w:id="57" w:name="_Toc28177"/>
      <w:r>
        <w:rPr>
          <w:rFonts w:hint="eastAsia"/>
        </w:rPr>
        <w:t>监测仪</w:t>
      </w:r>
      <w:bookmarkEnd w:id="57"/>
    </w:p>
    <w:p w14:paraId="6E8F594E" w14:textId="11E6E0BD" w:rsidR="00466C8D" w:rsidRDefault="00000000">
      <w:pPr>
        <w:pStyle w:val="afffffffffa"/>
      </w:pPr>
      <w:r>
        <w:rPr>
          <w:rFonts w:hint="eastAsia"/>
        </w:rPr>
        <w:t>应至少配置在线游离氯测定仪和</w:t>
      </w:r>
      <w:r>
        <w:rPr>
          <w:rFonts w:ascii="Times New Roman" w:hAnsi="宋体" w:hint="eastAsia"/>
          <w:szCs w:val="21"/>
        </w:rPr>
        <w:t>pH</w:t>
      </w:r>
      <w:r>
        <w:rPr>
          <w:rFonts w:hint="eastAsia"/>
        </w:rPr>
        <w:t>测定仪，宜预留其它检测仪接口，监测仪器技术参数应符合</w:t>
      </w:r>
      <w:r>
        <w:rPr>
          <w:rFonts w:ascii="Times New Roman" w:hAnsi="宋体" w:hint="eastAsia"/>
          <w:szCs w:val="21"/>
        </w:rPr>
        <w:t>HJ/T 96</w:t>
      </w:r>
      <w:r>
        <w:rPr>
          <w:rFonts w:hint="eastAsia"/>
        </w:rPr>
        <w:t>要求，</w:t>
      </w:r>
      <w:r w:rsidR="00F06197">
        <w:rPr>
          <w:rFonts w:hint="eastAsia"/>
        </w:rPr>
        <w:t>参</w:t>
      </w:r>
      <w:r>
        <w:rPr>
          <w:rFonts w:hint="eastAsia"/>
        </w:rPr>
        <w:t>见附录</w:t>
      </w:r>
      <w:r>
        <w:rPr>
          <w:rFonts w:ascii="Times New Roman" w:hAnsi="宋体" w:hint="eastAsia"/>
          <w:szCs w:val="21"/>
        </w:rPr>
        <w:t>B</w:t>
      </w:r>
      <w:r>
        <w:rPr>
          <w:rFonts w:hint="eastAsia"/>
        </w:rPr>
        <w:t>。</w:t>
      </w:r>
    </w:p>
    <w:p w14:paraId="0C61E9BE" w14:textId="77777777" w:rsidR="00466C8D" w:rsidRDefault="00000000">
      <w:pPr>
        <w:pStyle w:val="afffffffffa"/>
        <w:rPr>
          <w:rFonts w:ascii="黑体" w:eastAsia="黑体"/>
          <w:bCs/>
        </w:rPr>
      </w:pPr>
      <w:r>
        <w:rPr>
          <w:rFonts w:hint="eastAsia"/>
        </w:rPr>
        <w:t>监测范围、精度、灵敏度及使用寿命等应满足监测的需求，监测浓度（强度）范围应能包含根据要求设定的报警值，且探测器应具有抗腐蚀能力，监测结果定期与实验室标准方法比对。</w:t>
      </w:r>
    </w:p>
    <w:p w14:paraId="2350E0C9" w14:textId="77777777" w:rsidR="00466C8D" w:rsidRDefault="00000000">
      <w:pPr>
        <w:pStyle w:val="afffffffffa"/>
      </w:pPr>
      <w:r>
        <w:rPr>
          <w:rFonts w:hint="eastAsia"/>
        </w:rPr>
        <w:t>应具有调零、标定、浓度报警、故障报警的功能，报警方式能使操作人员及时响应，必要时可联动控制装置。</w:t>
      </w:r>
    </w:p>
    <w:p w14:paraId="70CC52C9" w14:textId="77777777" w:rsidR="00466C8D" w:rsidRDefault="00000000">
      <w:pPr>
        <w:pStyle w:val="afffffffffa"/>
      </w:pPr>
      <w:r>
        <w:rPr>
          <w:rFonts w:hint="eastAsia"/>
        </w:rPr>
        <w:t>采样探头宜采用拔插型，方便更换和维护。</w:t>
      </w:r>
    </w:p>
    <w:p w14:paraId="6990EC11" w14:textId="77777777" w:rsidR="00466C8D" w:rsidRDefault="00000000">
      <w:pPr>
        <w:pStyle w:val="afffffffffa"/>
      </w:pPr>
      <w:r>
        <w:rPr>
          <w:rFonts w:hint="eastAsia"/>
        </w:rPr>
        <w:t>监测仪响应时间应不大于</w:t>
      </w:r>
      <w:r>
        <w:rPr>
          <w:rFonts w:ascii="Times New Roman" w:hAnsi="宋体" w:hint="eastAsia"/>
          <w:szCs w:val="21"/>
        </w:rPr>
        <w:t>2</w:t>
      </w:r>
      <w:r>
        <w:rPr>
          <w:rFonts w:hint="eastAsia"/>
        </w:rPr>
        <w:t>秒。</w:t>
      </w:r>
    </w:p>
    <w:p w14:paraId="77BD3C89" w14:textId="77777777" w:rsidR="00466C8D" w:rsidRDefault="00000000">
      <w:pPr>
        <w:pStyle w:val="afffffffffa"/>
      </w:pPr>
      <w:r>
        <w:rPr>
          <w:rFonts w:hint="eastAsia"/>
        </w:rPr>
        <w:t>监测仪取样点应远离加药位置。</w:t>
      </w:r>
    </w:p>
    <w:p w14:paraId="31C85758" w14:textId="77777777" w:rsidR="00466C8D" w:rsidRDefault="00000000">
      <w:pPr>
        <w:pStyle w:val="afff1"/>
        <w:spacing w:before="156" w:after="156"/>
      </w:pPr>
      <w:bookmarkStart w:id="58" w:name="_Toc504565110"/>
      <w:bookmarkStart w:id="59" w:name="_Toc501797948"/>
      <w:r>
        <w:rPr>
          <w:rFonts w:hint="eastAsia"/>
        </w:rPr>
        <w:lastRenderedPageBreak/>
        <w:t xml:space="preserve"> </w:t>
      </w:r>
      <w:bookmarkStart w:id="60" w:name="_Toc27149"/>
      <w:r>
        <w:rPr>
          <w:rFonts w:hint="eastAsia"/>
        </w:rPr>
        <w:t>数据传输</w:t>
      </w:r>
      <w:bookmarkEnd w:id="58"/>
      <w:bookmarkEnd w:id="59"/>
      <w:bookmarkEnd w:id="60"/>
    </w:p>
    <w:p w14:paraId="6DCBA34F" w14:textId="77777777" w:rsidR="00466C8D" w:rsidRDefault="00000000">
      <w:pPr>
        <w:pStyle w:val="afffffffffa"/>
        <w:rPr>
          <w:szCs w:val="22"/>
        </w:rPr>
      </w:pPr>
      <w:r>
        <w:rPr>
          <w:rFonts w:hint="eastAsia"/>
        </w:rPr>
        <w:t>应根据现场的环境条件</w:t>
      </w:r>
      <w:r>
        <w:rPr>
          <w:rFonts w:hint="eastAsia"/>
          <w:szCs w:val="22"/>
        </w:rPr>
        <w:t>，选择以下一种或几种传输方式：</w:t>
      </w:r>
    </w:p>
    <w:p w14:paraId="3844ED75" w14:textId="77777777" w:rsidR="00466C8D" w:rsidRDefault="00000000">
      <w:pPr>
        <w:pStyle w:val="af9"/>
        <w:numPr>
          <w:ilvl w:val="0"/>
          <w:numId w:val="33"/>
        </w:numPr>
      </w:pPr>
      <w:r>
        <w:rPr>
          <w:rFonts w:hint="eastAsia"/>
        </w:rPr>
        <w:t>以太网通讯：适用于布线不便，传感器数量少的场所；</w:t>
      </w:r>
    </w:p>
    <w:p w14:paraId="475680BD" w14:textId="77777777" w:rsidR="00466C8D" w:rsidRDefault="00000000">
      <w:pPr>
        <w:pStyle w:val="af9"/>
        <w:numPr>
          <w:ilvl w:val="0"/>
          <w:numId w:val="33"/>
        </w:numPr>
      </w:pPr>
      <w:r>
        <w:rPr>
          <w:rFonts w:hint="eastAsia"/>
        </w:rPr>
        <w:t>无线自组网：适用于布线不便，传感器数量多的场所；</w:t>
      </w:r>
    </w:p>
    <w:p w14:paraId="5C95A754" w14:textId="77777777" w:rsidR="00466C8D" w:rsidRDefault="00000000">
      <w:pPr>
        <w:pStyle w:val="af9"/>
        <w:numPr>
          <w:ilvl w:val="0"/>
          <w:numId w:val="33"/>
        </w:numPr>
      </w:pPr>
      <w:r>
        <w:rPr>
          <w:rFonts w:hint="eastAsia"/>
        </w:rPr>
        <w:t>有线网络：适用于已有网络布线的场所；</w:t>
      </w:r>
    </w:p>
    <w:p w14:paraId="74412518" w14:textId="77777777" w:rsidR="00466C8D" w:rsidRDefault="00000000">
      <w:pPr>
        <w:pStyle w:val="af9"/>
        <w:numPr>
          <w:ilvl w:val="0"/>
          <w:numId w:val="33"/>
        </w:numPr>
      </w:pPr>
      <w:r>
        <w:rPr>
          <w:rFonts w:hint="eastAsia"/>
        </w:rPr>
        <w:t>电力线载波：适用于布线不便、且安装环境对无线信号屏蔽严重，但有照明供电线路的场所。</w:t>
      </w:r>
    </w:p>
    <w:p w14:paraId="0238F2EC" w14:textId="77777777" w:rsidR="00466C8D" w:rsidRDefault="00000000">
      <w:pPr>
        <w:pStyle w:val="afffffffffa"/>
      </w:pPr>
      <w:r>
        <w:rPr>
          <w:rFonts w:hint="eastAsia"/>
        </w:rPr>
        <w:t>传输时应对环境温湿度的变化自动补偿，对机械性损伤、雨水和</w:t>
      </w:r>
      <w:r>
        <w:t>腐蚀</w:t>
      </w:r>
      <w:r>
        <w:rPr>
          <w:rFonts w:hint="eastAsia"/>
        </w:rPr>
        <w:t>的侵害有防护措施，还应能抗电磁干扰，避免信号失真。</w:t>
      </w:r>
    </w:p>
    <w:p w14:paraId="5DCBFC1C" w14:textId="77777777" w:rsidR="00466C8D" w:rsidRDefault="00000000">
      <w:pPr>
        <w:pStyle w:val="afffffffffa"/>
      </w:pPr>
      <w:r>
        <w:t>应配置具备通用接口功能</w:t>
      </w:r>
      <w:r>
        <w:rPr>
          <w:rFonts w:hint="eastAsia"/>
        </w:rPr>
        <w:t>的</w:t>
      </w:r>
      <w:r>
        <w:t>独立数据采集、传输装置</w:t>
      </w:r>
      <w:r>
        <w:rPr>
          <w:rFonts w:hint="eastAsia"/>
        </w:rPr>
        <w:t>，并</w:t>
      </w:r>
      <w:r>
        <w:t>预留</w:t>
      </w:r>
      <w:r>
        <w:rPr>
          <w:rFonts w:ascii="Times New Roman" w:hAnsi="宋体" w:hint="eastAsia"/>
          <w:szCs w:val="21"/>
        </w:rPr>
        <w:t>2</w:t>
      </w:r>
      <w:r>
        <w:t>个以上扩容端口</w:t>
      </w:r>
      <w:r>
        <w:rPr>
          <w:rFonts w:hint="eastAsia"/>
        </w:rPr>
        <w:t>。</w:t>
      </w:r>
    </w:p>
    <w:p w14:paraId="759396BD" w14:textId="77777777" w:rsidR="00466C8D" w:rsidRDefault="00000000">
      <w:pPr>
        <w:pStyle w:val="afffffffffa"/>
      </w:pPr>
      <w:r>
        <w:rPr>
          <w:rFonts w:hint="eastAsia"/>
        </w:rPr>
        <w:t>数据通讯协议宜采用</w:t>
      </w:r>
      <w:r>
        <w:rPr>
          <w:rFonts w:ascii="Times New Roman" w:hAnsi="宋体" w:hint="eastAsia"/>
          <w:szCs w:val="21"/>
        </w:rPr>
        <w:t>HTTP</w:t>
      </w:r>
      <w:r>
        <w:rPr>
          <w:rFonts w:hint="eastAsia"/>
        </w:rPr>
        <w:t>等通用协议。</w:t>
      </w:r>
    </w:p>
    <w:p w14:paraId="3A0AB5F7" w14:textId="77777777" w:rsidR="00466C8D" w:rsidRDefault="00000000">
      <w:pPr>
        <w:pStyle w:val="afff1"/>
        <w:spacing w:before="156" w:after="156"/>
      </w:pPr>
      <w:bookmarkStart w:id="61" w:name="_Toc501797949"/>
      <w:bookmarkStart w:id="62" w:name="_Toc504565111"/>
      <w:bookmarkStart w:id="63" w:name="_Toc32062"/>
      <w:r>
        <w:rPr>
          <w:rFonts w:hint="eastAsia"/>
        </w:rPr>
        <w:t>数据终端</w:t>
      </w:r>
      <w:bookmarkEnd w:id="61"/>
      <w:bookmarkEnd w:id="62"/>
      <w:r>
        <w:rPr>
          <w:rFonts w:hint="eastAsia"/>
        </w:rPr>
        <w:t>平台</w:t>
      </w:r>
      <w:bookmarkEnd w:id="63"/>
    </w:p>
    <w:p w14:paraId="47F38E63" w14:textId="77777777" w:rsidR="00466C8D" w:rsidRDefault="00000000">
      <w:pPr>
        <w:pStyle w:val="afff2"/>
        <w:spacing w:before="156" w:after="156"/>
      </w:pPr>
      <w:r>
        <w:rPr>
          <w:rFonts w:hint="eastAsia"/>
        </w:rPr>
        <w:t>配置要求</w:t>
      </w:r>
    </w:p>
    <w:p w14:paraId="65AA34A5" w14:textId="77777777" w:rsidR="00466C8D" w:rsidRDefault="00000000">
      <w:pPr>
        <w:pStyle w:val="afffffe"/>
        <w:ind w:firstLineChars="400" w:firstLine="840"/>
      </w:pPr>
      <w:r>
        <w:rPr>
          <w:rFonts w:hint="eastAsia"/>
        </w:rPr>
        <w:t>配置应满足以下要求：</w:t>
      </w:r>
    </w:p>
    <w:p w14:paraId="4DB27F1F" w14:textId="77777777" w:rsidR="00466C8D" w:rsidRDefault="00000000">
      <w:pPr>
        <w:pStyle w:val="af9"/>
        <w:numPr>
          <w:ilvl w:val="0"/>
          <w:numId w:val="34"/>
        </w:numPr>
        <w:ind w:left="425" w:firstLine="420"/>
      </w:pPr>
      <w:r>
        <w:rPr>
          <w:rFonts w:hint="eastAsia"/>
        </w:rPr>
        <w:t>应设置远程在线监测控制软件平台。</w:t>
      </w:r>
    </w:p>
    <w:p w14:paraId="53C3B8A7" w14:textId="77777777" w:rsidR="00466C8D" w:rsidRDefault="00000000">
      <w:pPr>
        <w:pStyle w:val="af9"/>
        <w:ind w:left="425" w:firstLine="420"/>
        <w:rPr>
          <w:szCs w:val="22"/>
        </w:rPr>
      </w:pPr>
      <w:r>
        <w:rPr>
          <w:rFonts w:hint="eastAsia"/>
          <w:szCs w:val="22"/>
        </w:rPr>
        <w:t>应设置报警装置，理化指标的报警值设置按</w:t>
      </w:r>
      <w:r>
        <w:rPr>
          <w:rFonts w:ascii="Times New Roman" w:hAnsi="宋体" w:hint="eastAsia"/>
          <w:szCs w:val="21"/>
        </w:rPr>
        <w:t>GB/T 29044</w:t>
      </w:r>
      <w:r>
        <w:rPr>
          <w:rFonts w:hint="eastAsia"/>
          <w:szCs w:val="22"/>
        </w:rPr>
        <w:t>水质指标的要求执行。</w:t>
      </w:r>
    </w:p>
    <w:p w14:paraId="168FCA31" w14:textId="77777777" w:rsidR="00466C8D" w:rsidRDefault="00000000">
      <w:pPr>
        <w:pStyle w:val="af9"/>
        <w:ind w:left="425" w:firstLine="420"/>
        <w:rPr>
          <w:szCs w:val="22"/>
        </w:rPr>
      </w:pPr>
      <w:r>
        <w:rPr>
          <w:rFonts w:hint="eastAsia"/>
          <w:szCs w:val="22"/>
        </w:rPr>
        <w:t>宜具有与主管部门和各个站点同步对接功能。</w:t>
      </w:r>
    </w:p>
    <w:p w14:paraId="254C8661" w14:textId="77777777" w:rsidR="00466C8D" w:rsidRDefault="00000000">
      <w:pPr>
        <w:pStyle w:val="af9"/>
        <w:ind w:left="425" w:firstLine="420"/>
      </w:pPr>
      <w:r>
        <w:rPr>
          <w:rFonts w:hint="eastAsia"/>
        </w:rPr>
        <w:t>宜在</w:t>
      </w:r>
      <w:r>
        <w:t>设备控制室配置实时影像监控装置，监控摄像范围应可视主控开关、在线监测装置、</w:t>
      </w:r>
      <w:r>
        <w:rPr>
          <w:rFonts w:hint="eastAsia"/>
        </w:rPr>
        <w:t xml:space="preserve">  </w:t>
      </w:r>
    </w:p>
    <w:p w14:paraId="03CC0325" w14:textId="77777777" w:rsidR="00466C8D" w:rsidRDefault="00000000">
      <w:pPr>
        <w:pStyle w:val="af9"/>
        <w:numPr>
          <w:ilvl w:val="0"/>
          <w:numId w:val="0"/>
        </w:numPr>
        <w:ind w:left="845" w:firstLineChars="200" w:firstLine="420"/>
      </w:pPr>
      <w:r>
        <w:t>取样口等重要设备。</w:t>
      </w:r>
    </w:p>
    <w:p w14:paraId="44A155FE" w14:textId="77777777" w:rsidR="00466C8D" w:rsidRDefault="00000000">
      <w:pPr>
        <w:pStyle w:val="afff2"/>
        <w:spacing w:before="156" w:after="156"/>
      </w:pPr>
      <w:r>
        <w:rPr>
          <w:rFonts w:hint="eastAsia"/>
        </w:rPr>
        <w:t>设置要求</w:t>
      </w:r>
    </w:p>
    <w:p w14:paraId="7C6CC9E9" w14:textId="77777777" w:rsidR="00466C8D" w:rsidRDefault="00000000">
      <w:pPr>
        <w:pStyle w:val="afffffe"/>
        <w:ind w:firstLineChars="400" w:firstLine="840"/>
      </w:pPr>
      <w:r>
        <w:rPr>
          <w:rFonts w:hint="eastAsia"/>
        </w:rPr>
        <w:t>设置应满足以下要求：</w:t>
      </w:r>
    </w:p>
    <w:p w14:paraId="748AEB46" w14:textId="77777777" w:rsidR="00466C8D" w:rsidRDefault="00000000">
      <w:pPr>
        <w:pStyle w:val="af9"/>
        <w:numPr>
          <w:ilvl w:val="0"/>
          <w:numId w:val="35"/>
        </w:numPr>
        <w:ind w:left="425" w:firstLine="420"/>
      </w:pPr>
      <w:r>
        <w:rPr>
          <w:rFonts w:hint="eastAsia"/>
        </w:rPr>
        <w:t xml:space="preserve">具有数据统计功能，可将所有检测结果保存（转化）成电子表格或其他类似的格式，便于      </w:t>
      </w:r>
    </w:p>
    <w:p w14:paraId="1070D18C" w14:textId="77777777" w:rsidR="00466C8D" w:rsidRDefault="00000000">
      <w:pPr>
        <w:pStyle w:val="af9"/>
        <w:numPr>
          <w:ilvl w:val="0"/>
          <w:numId w:val="0"/>
        </w:numPr>
        <w:ind w:left="845" w:firstLineChars="200" w:firstLine="420"/>
      </w:pPr>
      <w:r>
        <w:rPr>
          <w:rFonts w:hint="eastAsia"/>
        </w:rPr>
        <w:t>数据统计、分析。</w:t>
      </w:r>
    </w:p>
    <w:p w14:paraId="532397BD" w14:textId="77777777" w:rsidR="00466C8D" w:rsidRDefault="00000000">
      <w:pPr>
        <w:pStyle w:val="af9"/>
        <w:ind w:left="425" w:firstLine="420"/>
      </w:pPr>
      <w:r>
        <w:t>实时显示每一</w:t>
      </w:r>
      <w:r>
        <w:rPr>
          <w:rFonts w:hint="eastAsia"/>
        </w:rPr>
        <w:t>台</w:t>
      </w:r>
      <w:r>
        <w:t>监测仪的监测结果</w:t>
      </w:r>
      <w:r>
        <w:rPr>
          <w:rFonts w:hint="eastAsia"/>
        </w:rPr>
        <w:t>，</w:t>
      </w:r>
      <w:r>
        <w:t>并且具有数据历史查询和变化趋势</w:t>
      </w:r>
      <w:r>
        <w:rPr>
          <w:rFonts w:hint="eastAsia"/>
        </w:rPr>
        <w:t xml:space="preserve">、报警值的设置与  </w:t>
      </w:r>
    </w:p>
    <w:p w14:paraId="17810A20" w14:textId="77777777" w:rsidR="00466C8D" w:rsidRDefault="00000000">
      <w:pPr>
        <w:pStyle w:val="af9"/>
        <w:numPr>
          <w:ilvl w:val="0"/>
          <w:numId w:val="0"/>
        </w:numPr>
        <w:ind w:left="845" w:firstLineChars="200" w:firstLine="420"/>
      </w:pPr>
      <w:r>
        <w:rPr>
          <w:rFonts w:hint="eastAsia"/>
        </w:rPr>
        <w:t>调整等功能。</w:t>
      </w:r>
    </w:p>
    <w:p w14:paraId="4C6E26A5" w14:textId="77777777" w:rsidR="00466C8D" w:rsidRDefault="00000000">
      <w:pPr>
        <w:pStyle w:val="af9"/>
        <w:ind w:left="425" w:firstLine="420"/>
      </w:pPr>
      <w:r>
        <w:t>具有报警提示功能</w:t>
      </w:r>
      <w:r>
        <w:rPr>
          <w:rFonts w:hint="eastAsia"/>
        </w:rPr>
        <w:t>，</w:t>
      </w:r>
      <w:r>
        <w:t>并与现场报警点联动</w:t>
      </w:r>
      <w:r>
        <w:rPr>
          <w:rFonts w:hint="eastAsia"/>
        </w:rPr>
        <w:t>。</w:t>
      </w:r>
    </w:p>
    <w:p w14:paraId="38CD6A8C" w14:textId="77777777" w:rsidR="00466C8D" w:rsidRDefault="00000000">
      <w:pPr>
        <w:pStyle w:val="af9"/>
        <w:ind w:left="425" w:firstLine="420"/>
      </w:pPr>
      <w:r>
        <w:t>设置控制室及集中控制系统，配备人力</w:t>
      </w:r>
      <w:r>
        <w:rPr>
          <w:rFonts w:hint="eastAsia"/>
        </w:rPr>
        <w:t>实时处理</w:t>
      </w:r>
      <w:r>
        <w:t>报警、维护、启动紧急预案等功能。</w:t>
      </w:r>
    </w:p>
    <w:p w14:paraId="3B7D5833" w14:textId="77777777" w:rsidR="00466C8D" w:rsidRDefault="00000000">
      <w:pPr>
        <w:pStyle w:val="af9"/>
        <w:ind w:left="425" w:firstLine="420"/>
      </w:pPr>
      <w:r>
        <w:t>可使用电脑</w:t>
      </w:r>
      <w:r>
        <w:rPr>
          <w:rFonts w:hint="eastAsia"/>
        </w:rPr>
        <w:t>、</w:t>
      </w:r>
      <w:r>
        <w:rPr>
          <w:rFonts w:ascii="Times New Roman" w:hAnsi="宋体" w:hint="eastAsia"/>
          <w:szCs w:val="21"/>
        </w:rPr>
        <w:t>LED</w:t>
      </w:r>
      <w:r>
        <w:rPr>
          <w:rFonts w:hint="eastAsia"/>
        </w:rPr>
        <w:t>屏等显示结果，界面应简单、清晰，便于操作。</w:t>
      </w:r>
    </w:p>
    <w:p w14:paraId="52AD601D" w14:textId="77777777" w:rsidR="00466C8D" w:rsidRDefault="00000000">
      <w:pPr>
        <w:pStyle w:val="af9"/>
        <w:ind w:left="425" w:firstLine="420"/>
      </w:pPr>
      <w:r>
        <w:rPr>
          <w:rFonts w:hint="eastAsia"/>
        </w:rPr>
        <w:t>互联网通讯采用专用网络，保障通讯安全。</w:t>
      </w:r>
    </w:p>
    <w:p w14:paraId="604D0C3A" w14:textId="77777777" w:rsidR="00466C8D" w:rsidRDefault="00000000">
      <w:pPr>
        <w:pStyle w:val="af9"/>
        <w:ind w:left="425" w:firstLine="420"/>
      </w:pPr>
      <w:r>
        <w:rPr>
          <w:rFonts w:hint="eastAsia"/>
        </w:rPr>
        <w:t>监测数据至少保存</w:t>
      </w:r>
      <w:r>
        <w:rPr>
          <w:rFonts w:ascii="Times New Roman" w:hAnsi="宋体" w:hint="eastAsia"/>
          <w:szCs w:val="21"/>
        </w:rPr>
        <w:t>3</w:t>
      </w:r>
      <w:r>
        <w:rPr>
          <w:rFonts w:hint="eastAsia"/>
        </w:rPr>
        <w:t>年，实时影像资料保存期限应不低于</w:t>
      </w:r>
      <w:r>
        <w:rPr>
          <w:rFonts w:ascii="Times New Roman" w:hAnsi="宋体" w:hint="eastAsia"/>
          <w:szCs w:val="21"/>
        </w:rPr>
        <w:t>7</w:t>
      </w:r>
      <w:r>
        <w:rPr>
          <w:rFonts w:hint="eastAsia"/>
        </w:rPr>
        <w:t>天</w:t>
      </w:r>
      <w:r>
        <w:t>。</w:t>
      </w:r>
    </w:p>
    <w:p w14:paraId="06DB0928" w14:textId="77777777" w:rsidR="00466C8D" w:rsidRDefault="00000000">
      <w:pPr>
        <w:pStyle w:val="afff0"/>
        <w:spacing w:before="312" w:after="312"/>
      </w:pPr>
      <w:bookmarkStart w:id="64" w:name="_Toc13291"/>
      <w:bookmarkStart w:id="65" w:name="_Toc18188"/>
      <w:r>
        <w:rPr>
          <w:rFonts w:hint="eastAsia"/>
        </w:rPr>
        <w:t>运行管理</w:t>
      </w:r>
      <w:bookmarkEnd w:id="64"/>
      <w:bookmarkEnd w:id="65"/>
    </w:p>
    <w:p w14:paraId="1BFAEF38" w14:textId="77777777" w:rsidR="00466C8D" w:rsidRDefault="00000000">
      <w:pPr>
        <w:pStyle w:val="afffffffff7"/>
      </w:pPr>
      <w:r>
        <w:rPr>
          <w:rFonts w:hint="eastAsia"/>
        </w:rPr>
        <w:t xml:space="preserve">纳入正常设备维护管理工作，应根据工艺要求，定期对构筑物、设备、电气及自控仪表进行检查维护，确保处理设施稳定运行。 </w:t>
      </w:r>
    </w:p>
    <w:p w14:paraId="04B7E6DA" w14:textId="77777777" w:rsidR="00466C8D" w:rsidRDefault="00000000">
      <w:pPr>
        <w:pStyle w:val="afffffffff7"/>
      </w:pPr>
      <w:r>
        <w:rPr>
          <w:rFonts w:hint="eastAsia"/>
        </w:rPr>
        <w:t>电气设备的运行与操作须执行供电管理部门的安全操作规程，应按消防部门要求设置消防器材。</w:t>
      </w:r>
    </w:p>
    <w:p w14:paraId="1E1FF2D1" w14:textId="77777777" w:rsidR="00466C8D" w:rsidRDefault="00000000">
      <w:pPr>
        <w:pStyle w:val="afffffffff7"/>
      </w:pPr>
      <w:r>
        <w:rPr>
          <w:rFonts w:hint="eastAsia"/>
        </w:rPr>
        <w:t xml:space="preserve">设立应急配套设施或预留应急改造的空间。 </w:t>
      </w:r>
    </w:p>
    <w:p w14:paraId="4AB3098D" w14:textId="77777777" w:rsidR="00466C8D" w:rsidRDefault="00000000">
      <w:pPr>
        <w:pStyle w:val="afffffffff7"/>
      </w:pPr>
      <w:r>
        <w:rPr>
          <w:rFonts w:hint="eastAsia"/>
        </w:rPr>
        <w:t>按照</w:t>
      </w:r>
      <w:r>
        <w:rPr>
          <w:rFonts w:ascii="Times New Roman" w:hAnsi="宋体" w:hint="eastAsia"/>
          <w:szCs w:val="21"/>
        </w:rPr>
        <w:t>GB/T 50050</w:t>
      </w:r>
      <w:r>
        <w:rPr>
          <w:rFonts w:hint="eastAsia"/>
        </w:rPr>
        <w:t>要求，建立健全运行管理档案。</w:t>
      </w:r>
    </w:p>
    <w:p w14:paraId="518246F4" w14:textId="77777777" w:rsidR="00466C8D" w:rsidRDefault="00000000">
      <w:pPr>
        <w:pStyle w:val="afffffffff7"/>
      </w:pPr>
      <w:r>
        <w:rPr>
          <w:rFonts w:hint="eastAsia"/>
        </w:rPr>
        <w:t>建立值班制度及应急预案管理机制。</w:t>
      </w:r>
    </w:p>
    <w:p w14:paraId="0DE8EB97" w14:textId="77777777" w:rsidR="00466C8D" w:rsidRDefault="00000000">
      <w:pPr>
        <w:pStyle w:val="afffffffff7"/>
      </w:pPr>
      <w:r>
        <w:rPr>
          <w:rFonts w:hint="eastAsia"/>
        </w:rPr>
        <w:t>定期对监测探头进行校准与维护保养。</w:t>
      </w:r>
    </w:p>
    <w:p w14:paraId="3BA2B761" w14:textId="77777777" w:rsidR="00466C8D" w:rsidRDefault="00000000">
      <w:pPr>
        <w:pStyle w:val="afff0"/>
        <w:spacing w:before="312" w:after="312"/>
      </w:pPr>
      <w:bookmarkStart w:id="66" w:name="_Toc28183"/>
      <w:bookmarkStart w:id="67" w:name="_Toc25649"/>
      <w:bookmarkStart w:id="68" w:name="_Toc901"/>
      <w:bookmarkStart w:id="69" w:name="_Toc92384616"/>
      <w:r>
        <w:rPr>
          <w:rFonts w:hint="eastAsia"/>
        </w:rPr>
        <w:lastRenderedPageBreak/>
        <w:t>人员操作防护</w:t>
      </w:r>
      <w:bookmarkEnd w:id="66"/>
      <w:bookmarkEnd w:id="67"/>
      <w:bookmarkEnd w:id="68"/>
      <w:bookmarkEnd w:id="69"/>
    </w:p>
    <w:p w14:paraId="6C61CE91" w14:textId="77777777" w:rsidR="00466C8D" w:rsidRDefault="00000000">
      <w:pPr>
        <w:pStyle w:val="afffffffff7"/>
      </w:pPr>
      <w:r>
        <w:rPr>
          <w:rFonts w:hint="eastAsia"/>
        </w:rPr>
        <w:t>工作场所应配备应急冲淋洗眼装置。</w:t>
      </w:r>
    </w:p>
    <w:p w14:paraId="7F3E71B4" w14:textId="77777777" w:rsidR="00466C8D" w:rsidRDefault="00000000">
      <w:pPr>
        <w:pStyle w:val="afffffffff7"/>
      </w:pPr>
      <w:r>
        <w:rPr>
          <w:rFonts w:hint="eastAsia"/>
        </w:rPr>
        <w:t>应采取有效的职业卫生防护措施，配备必要的防护用品。</w:t>
      </w:r>
    </w:p>
    <w:p w14:paraId="199D0F4A" w14:textId="77777777" w:rsidR="00466C8D" w:rsidRDefault="00000000">
      <w:pPr>
        <w:pStyle w:val="afffffffff7"/>
      </w:pPr>
      <w:r>
        <w:rPr>
          <w:rFonts w:hint="eastAsia"/>
        </w:rPr>
        <w:t>操作人员须经过技术培训、安全培训及生产实践考核。</w:t>
      </w:r>
    </w:p>
    <w:p w14:paraId="396037F7" w14:textId="77777777" w:rsidR="00466C8D" w:rsidRDefault="00000000">
      <w:pPr>
        <w:pStyle w:val="afffffffff7"/>
      </w:pPr>
      <w:r>
        <w:rPr>
          <w:rFonts w:hint="eastAsia"/>
        </w:rPr>
        <w:t>操作人员应按</w:t>
      </w:r>
      <w:r>
        <w:rPr>
          <w:rFonts w:ascii="Times New Roman" w:hAnsi="宋体" w:hint="eastAsia"/>
          <w:szCs w:val="21"/>
        </w:rPr>
        <w:t>GBZ 188</w:t>
      </w:r>
      <w:r>
        <w:rPr>
          <w:rFonts w:hint="eastAsia"/>
        </w:rPr>
        <w:t>相关要求进行职业</w:t>
      </w:r>
      <w:r>
        <w:t>健康</w:t>
      </w:r>
      <w:r>
        <w:rPr>
          <w:rFonts w:hint="eastAsia"/>
        </w:rPr>
        <w:t>监护。</w:t>
      </w:r>
    </w:p>
    <w:p w14:paraId="3B4FCD68" w14:textId="77777777" w:rsidR="00466C8D" w:rsidRDefault="00000000">
      <w:pPr>
        <w:pStyle w:val="afffffffff7"/>
      </w:pPr>
      <w:r>
        <w:rPr>
          <w:rFonts w:hint="eastAsia"/>
        </w:rPr>
        <w:t>制定相应的职业中毒应急处置预案，定期开展应急预案演练。</w:t>
      </w:r>
    </w:p>
    <w:p w14:paraId="7F87DDFA" w14:textId="77777777" w:rsidR="00466C8D" w:rsidRDefault="00466C8D">
      <w:pPr>
        <w:pStyle w:val="afffffffff7"/>
        <w:numPr>
          <w:ilvl w:val="2"/>
          <w:numId w:val="0"/>
        </w:numPr>
      </w:pPr>
    </w:p>
    <w:p w14:paraId="1A5BBFCD" w14:textId="77777777" w:rsidR="00466C8D" w:rsidRDefault="00466C8D">
      <w:pPr>
        <w:pStyle w:val="afffffe"/>
        <w:ind w:firstLine="420"/>
      </w:pPr>
    </w:p>
    <w:p w14:paraId="4CD9D83D" w14:textId="77777777" w:rsidR="00466C8D" w:rsidRDefault="00466C8D">
      <w:pPr>
        <w:pStyle w:val="afffffe"/>
        <w:ind w:firstLine="420"/>
      </w:pPr>
    </w:p>
    <w:p w14:paraId="5C4981E9" w14:textId="77777777" w:rsidR="00466C8D" w:rsidRDefault="00466C8D">
      <w:pPr>
        <w:pStyle w:val="afffffe"/>
        <w:ind w:firstLine="420"/>
      </w:pPr>
    </w:p>
    <w:p w14:paraId="0B09BB1D" w14:textId="77777777" w:rsidR="00466C8D" w:rsidRDefault="00466C8D">
      <w:pPr>
        <w:pStyle w:val="afffffe"/>
        <w:ind w:firstLine="420"/>
      </w:pPr>
    </w:p>
    <w:p w14:paraId="0F5BF77E" w14:textId="77777777" w:rsidR="00466C8D" w:rsidRDefault="00466C8D">
      <w:pPr>
        <w:pStyle w:val="afffffe"/>
        <w:ind w:firstLine="420"/>
        <w:sectPr w:rsidR="00466C8D">
          <w:pgSz w:w="11906" w:h="16838"/>
          <w:pgMar w:top="1928" w:right="1134" w:bottom="1134" w:left="1134" w:header="1418" w:footer="1134" w:gutter="284"/>
          <w:pgNumType w:start="1"/>
          <w:cols w:space="425"/>
          <w:formProt w:val="0"/>
          <w:docGrid w:type="lines" w:linePitch="312"/>
        </w:sectPr>
      </w:pPr>
    </w:p>
    <w:p w14:paraId="563259D7" w14:textId="77777777" w:rsidR="00466C8D" w:rsidRDefault="00466C8D">
      <w:pPr>
        <w:pStyle w:val="afc"/>
        <w:rPr>
          <w:vanish w:val="0"/>
        </w:rPr>
      </w:pPr>
      <w:bookmarkStart w:id="70" w:name="BookMark5"/>
      <w:bookmarkEnd w:id="17"/>
    </w:p>
    <w:p w14:paraId="64AD685E" w14:textId="77777777" w:rsidR="00466C8D" w:rsidRDefault="00466C8D">
      <w:pPr>
        <w:pStyle w:val="aff2"/>
        <w:rPr>
          <w:vanish w:val="0"/>
        </w:rPr>
      </w:pPr>
    </w:p>
    <w:p w14:paraId="6B89C120" w14:textId="77777777" w:rsidR="00466C8D" w:rsidRDefault="00000000">
      <w:pPr>
        <w:pStyle w:val="aff7"/>
        <w:spacing w:after="156"/>
      </w:pPr>
      <w:bookmarkStart w:id="71" w:name="_Toc22570"/>
      <w:r>
        <w:br/>
      </w:r>
      <w:r>
        <w:rPr>
          <w:rFonts w:hint="eastAsia"/>
        </w:rPr>
        <w:t>（资料性）</w:t>
      </w:r>
      <w:r>
        <w:br/>
      </w:r>
      <w:r>
        <w:rPr>
          <w:rFonts w:hint="eastAsia"/>
        </w:rPr>
        <w:t xml:space="preserve"> 集中空调循环冷却水水质控制指标</w:t>
      </w:r>
      <w:bookmarkEnd w:id="71"/>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1111"/>
        <w:gridCol w:w="2357"/>
        <w:gridCol w:w="3532"/>
      </w:tblGrid>
      <w:tr w:rsidR="00466C8D" w14:paraId="5AAAF8D0" w14:textId="77777777">
        <w:trPr>
          <w:tblHeader/>
          <w:jc w:val="center"/>
        </w:trPr>
        <w:tc>
          <w:tcPr>
            <w:tcW w:w="2334" w:type="dxa"/>
            <w:tcBorders>
              <w:top w:val="single" w:sz="8" w:space="0" w:color="auto"/>
              <w:bottom w:val="single" w:sz="8" w:space="0" w:color="auto"/>
            </w:tcBorders>
            <w:shd w:val="clear" w:color="auto" w:fill="auto"/>
            <w:vAlign w:val="center"/>
          </w:tcPr>
          <w:p w14:paraId="1EC2E6CE" w14:textId="77777777" w:rsidR="00466C8D" w:rsidRPr="00F06197" w:rsidRDefault="00000000">
            <w:pPr>
              <w:pStyle w:val="affffffffff2"/>
              <w:rPr>
                <w:rFonts w:ascii="黑体" w:eastAsia="黑体" w:hAnsi="黑体"/>
              </w:rPr>
            </w:pPr>
            <w:r w:rsidRPr="00F06197">
              <w:rPr>
                <w:rFonts w:ascii="黑体" w:eastAsia="黑体" w:hAnsi="黑体" w:cs="宋体" w:hint="eastAsia"/>
                <w:szCs w:val="18"/>
              </w:rPr>
              <w:t>项目</w:t>
            </w:r>
          </w:p>
        </w:tc>
        <w:tc>
          <w:tcPr>
            <w:tcW w:w="1111" w:type="dxa"/>
            <w:tcBorders>
              <w:top w:val="single" w:sz="8" w:space="0" w:color="auto"/>
              <w:bottom w:val="single" w:sz="8" w:space="0" w:color="auto"/>
            </w:tcBorders>
            <w:shd w:val="clear" w:color="auto" w:fill="auto"/>
            <w:vAlign w:val="center"/>
          </w:tcPr>
          <w:p w14:paraId="361D422E" w14:textId="77777777" w:rsidR="00466C8D" w:rsidRPr="00F06197" w:rsidRDefault="00000000">
            <w:pPr>
              <w:pStyle w:val="affffffffff2"/>
              <w:rPr>
                <w:rFonts w:ascii="黑体" w:eastAsia="黑体" w:hAnsi="黑体"/>
              </w:rPr>
            </w:pPr>
            <w:r w:rsidRPr="00F06197">
              <w:rPr>
                <w:rFonts w:ascii="黑体" w:eastAsia="黑体" w:hAnsi="黑体" w:cs="宋体" w:hint="eastAsia"/>
                <w:szCs w:val="18"/>
              </w:rPr>
              <w:t>单位</w:t>
            </w:r>
          </w:p>
        </w:tc>
        <w:tc>
          <w:tcPr>
            <w:tcW w:w="2357" w:type="dxa"/>
            <w:tcBorders>
              <w:top w:val="single" w:sz="8" w:space="0" w:color="auto"/>
              <w:bottom w:val="single" w:sz="8" w:space="0" w:color="auto"/>
            </w:tcBorders>
            <w:shd w:val="clear" w:color="auto" w:fill="auto"/>
            <w:vAlign w:val="center"/>
          </w:tcPr>
          <w:p w14:paraId="1B80B448" w14:textId="77777777" w:rsidR="00466C8D" w:rsidRPr="00F06197" w:rsidRDefault="00000000">
            <w:pPr>
              <w:pStyle w:val="affffffffff2"/>
              <w:rPr>
                <w:rFonts w:ascii="黑体" w:eastAsia="黑体" w:hAnsi="黑体"/>
              </w:rPr>
            </w:pPr>
            <w:r w:rsidRPr="00F06197">
              <w:rPr>
                <w:rFonts w:ascii="黑体" w:eastAsia="黑体" w:hAnsi="黑体" w:cs="宋体" w:hint="eastAsia"/>
                <w:szCs w:val="18"/>
              </w:rPr>
              <w:t>循环水</w:t>
            </w:r>
          </w:p>
        </w:tc>
        <w:tc>
          <w:tcPr>
            <w:tcW w:w="3532" w:type="dxa"/>
            <w:tcBorders>
              <w:top w:val="single" w:sz="8" w:space="0" w:color="auto"/>
              <w:bottom w:val="single" w:sz="8" w:space="0" w:color="auto"/>
            </w:tcBorders>
            <w:shd w:val="clear" w:color="auto" w:fill="auto"/>
            <w:vAlign w:val="center"/>
          </w:tcPr>
          <w:p w14:paraId="3390F244" w14:textId="77777777" w:rsidR="00466C8D" w:rsidRPr="00F06197" w:rsidRDefault="00000000">
            <w:pPr>
              <w:pStyle w:val="affffffffff2"/>
              <w:rPr>
                <w:rFonts w:ascii="黑体" w:eastAsia="黑体" w:hAnsi="黑体"/>
              </w:rPr>
            </w:pPr>
            <w:r w:rsidRPr="00F06197">
              <w:rPr>
                <w:rFonts w:ascii="黑体" w:eastAsia="黑体" w:hAnsi="黑体" w:cs="宋体" w:hint="eastAsia"/>
                <w:szCs w:val="18"/>
              </w:rPr>
              <w:t>监测频率</w:t>
            </w:r>
          </w:p>
        </w:tc>
      </w:tr>
      <w:tr w:rsidR="00466C8D" w14:paraId="56050715" w14:textId="77777777">
        <w:trPr>
          <w:jc w:val="center"/>
        </w:trPr>
        <w:tc>
          <w:tcPr>
            <w:tcW w:w="2334" w:type="dxa"/>
            <w:tcBorders>
              <w:top w:val="single" w:sz="8" w:space="0" w:color="auto"/>
            </w:tcBorders>
            <w:shd w:val="clear" w:color="auto" w:fill="auto"/>
            <w:vAlign w:val="center"/>
          </w:tcPr>
          <w:p w14:paraId="6C1822CB" w14:textId="77777777" w:rsidR="00466C8D" w:rsidRDefault="00000000">
            <w:pPr>
              <w:pStyle w:val="affffffffff2"/>
            </w:pPr>
            <w:r>
              <w:rPr>
                <w:rFonts w:hAnsi="宋体" w:cs="宋体" w:hint="eastAsia"/>
                <w:szCs w:val="18"/>
              </w:rPr>
              <w:t>嗜肺军团菌</w:t>
            </w:r>
          </w:p>
        </w:tc>
        <w:tc>
          <w:tcPr>
            <w:tcW w:w="1111" w:type="dxa"/>
            <w:tcBorders>
              <w:top w:val="single" w:sz="8" w:space="0" w:color="auto"/>
            </w:tcBorders>
            <w:shd w:val="clear" w:color="auto" w:fill="auto"/>
            <w:vAlign w:val="center"/>
          </w:tcPr>
          <w:p w14:paraId="74FBC0C7" w14:textId="77777777" w:rsidR="00466C8D" w:rsidRDefault="00466C8D">
            <w:pPr>
              <w:pStyle w:val="affffffffff2"/>
            </w:pPr>
          </w:p>
        </w:tc>
        <w:tc>
          <w:tcPr>
            <w:tcW w:w="2357" w:type="dxa"/>
            <w:tcBorders>
              <w:top w:val="single" w:sz="8" w:space="0" w:color="auto"/>
            </w:tcBorders>
            <w:shd w:val="clear" w:color="auto" w:fill="auto"/>
            <w:vAlign w:val="center"/>
          </w:tcPr>
          <w:p w14:paraId="791F7605" w14:textId="77777777" w:rsidR="00466C8D" w:rsidRDefault="00000000">
            <w:pPr>
              <w:pStyle w:val="affffffffff2"/>
            </w:pPr>
            <w:r>
              <w:rPr>
                <w:rFonts w:hAnsi="宋体" w:cs="宋体" w:hint="eastAsia"/>
                <w:szCs w:val="18"/>
              </w:rPr>
              <w:t>不得检出</w:t>
            </w:r>
          </w:p>
        </w:tc>
        <w:tc>
          <w:tcPr>
            <w:tcW w:w="3532" w:type="dxa"/>
            <w:tcBorders>
              <w:top w:val="single" w:sz="8" w:space="0" w:color="auto"/>
            </w:tcBorders>
            <w:shd w:val="clear" w:color="auto" w:fill="auto"/>
            <w:vAlign w:val="center"/>
          </w:tcPr>
          <w:p w14:paraId="46FF9507" w14:textId="77777777" w:rsidR="00466C8D" w:rsidRDefault="00000000">
            <w:pPr>
              <w:pStyle w:val="affffffffff2"/>
            </w:pPr>
            <w:r>
              <w:rPr>
                <w:rFonts w:hAnsi="宋体" w:cs="宋体" w:hint="eastAsia"/>
                <w:szCs w:val="21"/>
              </w:rPr>
              <w:t>每年启用之前（新、改、扩建项目在正式启用前）进行</w:t>
            </w:r>
            <w:r>
              <w:rPr>
                <w:rFonts w:ascii="Times New Roman" w:hAnsi="宋体" w:hint="eastAsia"/>
                <w:szCs w:val="21"/>
              </w:rPr>
              <w:t>1</w:t>
            </w:r>
            <w:r>
              <w:rPr>
                <w:rFonts w:hAnsi="宋体" w:cs="宋体" w:hint="eastAsia"/>
                <w:szCs w:val="21"/>
              </w:rPr>
              <w:t>次嗜肺军团菌的检测，并在运行期间至少加测</w:t>
            </w:r>
            <w:r>
              <w:rPr>
                <w:rFonts w:ascii="Times New Roman" w:hAnsi="宋体" w:hint="eastAsia"/>
                <w:szCs w:val="21"/>
              </w:rPr>
              <w:t>1</w:t>
            </w:r>
            <w:r>
              <w:rPr>
                <w:rFonts w:hAnsi="宋体" w:cs="宋体" w:hint="eastAsia"/>
                <w:szCs w:val="21"/>
              </w:rPr>
              <w:t>次，宜在夏季。</w:t>
            </w:r>
          </w:p>
        </w:tc>
      </w:tr>
      <w:tr w:rsidR="00466C8D" w14:paraId="7672B71A" w14:textId="77777777">
        <w:trPr>
          <w:jc w:val="center"/>
        </w:trPr>
        <w:tc>
          <w:tcPr>
            <w:tcW w:w="2334" w:type="dxa"/>
            <w:shd w:val="clear" w:color="auto" w:fill="auto"/>
            <w:vAlign w:val="center"/>
          </w:tcPr>
          <w:p w14:paraId="19ED8CCB" w14:textId="77777777" w:rsidR="00466C8D" w:rsidRDefault="00000000">
            <w:pPr>
              <w:pStyle w:val="affffffffff2"/>
            </w:pPr>
            <w:r>
              <w:rPr>
                <w:rFonts w:ascii="Times New Roman" w:hAnsi="宋体" w:hint="eastAsia"/>
                <w:szCs w:val="21"/>
              </w:rPr>
              <w:t>pH</w:t>
            </w:r>
            <w:r>
              <w:rPr>
                <w:rFonts w:hAnsi="宋体" w:cs="宋体" w:hint="eastAsia"/>
                <w:szCs w:val="18"/>
              </w:rPr>
              <w:t>(</w:t>
            </w:r>
            <w:r>
              <w:rPr>
                <w:rFonts w:ascii="Times New Roman" w:hAnsi="宋体" w:hint="eastAsia"/>
                <w:szCs w:val="21"/>
              </w:rPr>
              <w:t>25</w:t>
            </w:r>
            <w:r>
              <w:rPr>
                <w:rFonts w:ascii="Times New Roman" w:hAnsi="宋体" w:hint="eastAsia"/>
                <w:szCs w:val="21"/>
              </w:rPr>
              <w:t>℃</w:t>
            </w:r>
            <w:r>
              <w:rPr>
                <w:rFonts w:hAnsi="宋体" w:cs="宋体" w:hint="eastAsia"/>
                <w:szCs w:val="18"/>
              </w:rPr>
              <w:t>）</w:t>
            </w:r>
          </w:p>
        </w:tc>
        <w:tc>
          <w:tcPr>
            <w:tcW w:w="1111" w:type="dxa"/>
            <w:shd w:val="clear" w:color="auto" w:fill="auto"/>
            <w:vAlign w:val="center"/>
          </w:tcPr>
          <w:p w14:paraId="493F0B42" w14:textId="77777777" w:rsidR="00466C8D" w:rsidRDefault="00466C8D">
            <w:pPr>
              <w:pStyle w:val="affffffffff2"/>
            </w:pPr>
          </w:p>
        </w:tc>
        <w:tc>
          <w:tcPr>
            <w:tcW w:w="2357" w:type="dxa"/>
            <w:shd w:val="clear" w:color="auto" w:fill="auto"/>
            <w:vAlign w:val="center"/>
          </w:tcPr>
          <w:p w14:paraId="129FAFB5" w14:textId="77777777" w:rsidR="00466C8D" w:rsidRDefault="00000000">
            <w:pPr>
              <w:pStyle w:val="affffffffff2"/>
            </w:pPr>
            <w:r>
              <w:rPr>
                <w:rFonts w:ascii="Times New Roman" w:hAnsi="宋体" w:hint="eastAsia"/>
                <w:szCs w:val="21"/>
              </w:rPr>
              <w:t>7.5~9.5</w:t>
            </w:r>
          </w:p>
        </w:tc>
        <w:tc>
          <w:tcPr>
            <w:tcW w:w="3532" w:type="dxa"/>
            <w:vMerge w:val="restart"/>
            <w:shd w:val="clear" w:color="auto" w:fill="auto"/>
            <w:vAlign w:val="center"/>
          </w:tcPr>
          <w:p w14:paraId="1324663C" w14:textId="77777777" w:rsidR="00466C8D" w:rsidRDefault="00000000">
            <w:pPr>
              <w:pStyle w:val="affffffffff2"/>
            </w:pPr>
            <w:r>
              <w:rPr>
                <w:rFonts w:hAnsi="宋体" w:cs="宋体" w:hint="eastAsia"/>
                <w:szCs w:val="18"/>
              </w:rPr>
              <w:t xml:space="preserve">在线实时监测  </w:t>
            </w:r>
          </w:p>
        </w:tc>
      </w:tr>
      <w:tr w:rsidR="00466C8D" w14:paraId="41644436" w14:textId="77777777">
        <w:trPr>
          <w:jc w:val="center"/>
        </w:trPr>
        <w:tc>
          <w:tcPr>
            <w:tcW w:w="2334" w:type="dxa"/>
            <w:shd w:val="clear" w:color="auto" w:fill="auto"/>
            <w:vAlign w:val="center"/>
          </w:tcPr>
          <w:p w14:paraId="29E76033" w14:textId="77777777" w:rsidR="00466C8D" w:rsidRDefault="00000000">
            <w:pPr>
              <w:pStyle w:val="affffffffff2"/>
            </w:pPr>
            <w:r>
              <w:rPr>
                <w:rFonts w:hAnsi="宋体" w:cs="宋体" w:hint="eastAsia"/>
                <w:szCs w:val="18"/>
              </w:rPr>
              <w:t>游离氯（余氯）</w:t>
            </w:r>
          </w:p>
        </w:tc>
        <w:tc>
          <w:tcPr>
            <w:tcW w:w="1111" w:type="dxa"/>
            <w:shd w:val="clear" w:color="auto" w:fill="auto"/>
            <w:vAlign w:val="center"/>
          </w:tcPr>
          <w:p w14:paraId="2C6252D4"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531061BC" w14:textId="77777777" w:rsidR="00466C8D" w:rsidRDefault="00000000">
            <w:pPr>
              <w:pStyle w:val="affffffffff2"/>
            </w:pPr>
            <w:r>
              <w:rPr>
                <w:rFonts w:ascii="Times New Roman" w:hAnsi="宋体" w:hint="eastAsia"/>
                <w:szCs w:val="21"/>
              </w:rPr>
              <w:t>0.3~1.0</w:t>
            </w:r>
            <w:r>
              <w:rPr>
                <w:rFonts w:hAnsi="宋体" w:cs="宋体" w:hint="eastAsia"/>
                <w:szCs w:val="18"/>
              </w:rPr>
              <w:t>（循环回水总管处）</w:t>
            </w:r>
          </w:p>
        </w:tc>
        <w:tc>
          <w:tcPr>
            <w:tcW w:w="3532" w:type="dxa"/>
            <w:vMerge/>
            <w:shd w:val="clear" w:color="auto" w:fill="auto"/>
            <w:vAlign w:val="center"/>
          </w:tcPr>
          <w:p w14:paraId="36825784" w14:textId="77777777" w:rsidR="00466C8D" w:rsidRDefault="00466C8D">
            <w:pPr>
              <w:pStyle w:val="affffffffff2"/>
            </w:pPr>
          </w:p>
        </w:tc>
      </w:tr>
      <w:tr w:rsidR="00466C8D" w14:paraId="605330AD" w14:textId="77777777">
        <w:trPr>
          <w:jc w:val="center"/>
        </w:trPr>
        <w:tc>
          <w:tcPr>
            <w:tcW w:w="2334" w:type="dxa"/>
            <w:shd w:val="clear" w:color="auto" w:fill="auto"/>
            <w:vAlign w:val="center"/>
          </w:tcPr>
          <w:p w14:paraId="3E999C9D" w14:textId="77777777" w:rsidR="00466C8D" w:rsidRDefault="00000000">
            <w:pPr>
              <w:pStyle w:val="affffffffff2"/>
            </w:pPr>
            <w:r>
              <w:rPr>
                <w:rFonts w:hAnsi="宋体" w:cs="宋体" w:hint="eastAsia"/>
                <w:szCs w:val="18"/>
              </w:rPr>
              <w:t>电导率（</w:t>
            </w:r>
            <w:r>
              <w:rPr>
                <w:rFonts w:ascii="Times New Roman" w:hAnsi="宋体" w:hint="eastAsia"/>
                <w:szCs w:val="21"/>
              </w:rPr>
              <w:t>25</w:t>
            </w:r>
            <w:r>
              <w:rPr>
                <w:rFonts w:ascii="Times New Roman" w:hAnsi="宋体" w:hint="eastAsia"/>
                <w:szCs w:val="21"/>
              </w:rPr>
              <w:t>℃</w:t>
            </w:r>
            <w:r>
              <w:rPr>
                <w:rFonts w:hAnsi="宋体" w:cs="宋体" w:hint="eastAsia"/>
                <w:szCs w:val="18"/>
              </w:rPr>
              <w:t>）</w:t>
            </w:r>
          </w:p>
        </w:tc>
        <w:tc>
          <w:tcPr>
            <w:tcW w:w="1111" w:type="dxa"/>
            <w:shd w:val="clear" w:color="auto" w:fill="auto"/>
            <w:vAlign w:val="center"/>
          </w:tcPr>
          <w:p w14:paraId="261A1A70" w14:textId="77777777" w:rsidR="00466C8D" w:rsidRDefault="00000000">
            <w:pPr>
              <w:pStyle w:val="affffffffff2"/>
            </w:pPr>
            <w:r>
              <w:rPr>
                <w:rFonts w:hAnsi="宋体" w:hint="eastAsia"/>
                <w:sz w:val="21"/>
                <w:szCs w:val="21"/>
              </w:rPr>
              <w:t>µS/cm</w:t>
            </w:r>
          </w:p>
        </w:tc>
        <w:tc>
          <w:tcPr>
            <w:tcW w:w="2357" w:type="dxa"/>
            <w:shd w:val="clear" w:color="auto" w:fill="auto"/>
            <w:vAlign w:val="center"/>
          </w:tcPr>
          <w:p w14:paraId="527507A3" w14:textId="77777777" w:rsidR="00466C8D" w:rsidRDefault="00000000">
            <w:pPr>
              <w:pStyle w:val="affffffffff2"/>
            </w:pPr>
            <w:r>
              <w:rPr>
                <w:rFonts w:ascii="Times New Roman" w:hAnsi="宋体" w:hint="eastAsia"/>
                <w:szCs w:val="21"/>
              </w:rPr>
              <w:t>≤</w:t>
            </w:r>
            <w:r>
              <w:rPr>
                <w:rFonts w:ascii="Times New Roman" w:hAnsi="宋体" w:hint="eastAsia"/>
                <w:szCs w:val="21"/>
              </w:rPr>
              <w:t>2300</w:t>
            </w:r>
          </w:p>
        </w:tc>
        <w:tc>
          <w:tcPr>
            <w:tcW w:w="3532" w:type="dxa"/>
            <w:shd w:val="clear" w:color="auto" w:fill="auto"/>
            <w:vAlign w:val="center"/>
          </w:tcPr>
          <w:p w14:paraId="6EB2E6F5" w14:textId="77777777" w:rsidR="00466C8D" w:rsidRDefault="00000000">
            <w:pPr>
              <w:pStyle w:val="affffffffff2"/>
            </w:pPr>
            <w:r>
              <w:rPr>
                <w:rFonts w:hAnsi="宋体" w:cs="宋体" w:hint="eastAsia"/>
                <w:szCs w:val="18"/>
              </w:rPr>
              <w:t xml:space="preserve">在线实时监测  </w:t>
            </w:r>
          </w:p>
        </w:tc>
      </w:tr>
      <w:tr w:rsidR="00466C8D" w14:paraId="39792E13" w14:textId="77777777">
        <w:trPr>
          <w:jc w:val="center"/>
        </w:trPr>
        <w:tc>
          <w:tcPr>
            <w:tcW w:w="2334" w:type="dxa"/>
            <w:shd w:val="clear" w:color="auto" w:fill="auto"/>
            <w:vAlign w:val="center"/>
          </w:tcPr>
          <w:p w14:paraId="727F376F" w14:textId="77777777" w:rsidR="00466C8D" w:rsidRDefault="00000000">
            <w:pPr>
              <w:pStyle w:val="affffffffff2"/>
            </w:pPr>
            <w:r>
              <w:rPr>
                <w:rFonts w:hAnsi="宋体" w:cs="宋体" w:hint="eastAsia"/>
                <w:szCs w:val="18"/>
              </w:rPr>
              <w:t>钙硬度（以</w:t>
            </w:r>
            <w:r>
              <w:rPr>
                <w:rFonts w:ascii="Times New Roman" w:hAnsi="宋体" w:hint="eastAsia"/>
                <w:szCs w:val="21"/>
              </w:rPr>
              <w:t>CaCO</w:t>
            </w:r>
            <w:r>
              <w:rPr>
                <w:rFonts w:ascii="Times New Roman" w:hAnsi="宋体" w:hint="eastAsia"/>
                <w:szCs w:val="21"/>
                <w:vertAlign w:val="subscript"/>
              </w:rPr>
              <w:t>3</w:t>
            </w:r>
            <w:r>
              <w:rPr>
                <w:rFonts w:hAnsi="宋体" w:cs="宋体" w:hint="eastAsia"/>
                <w:sz w:val="20"/>
                <w:szCs w:val="18"/>
              </w:rPr>
              <w:t>计</w:t>
            </w:r>
            <w:r>
              <w:rPr>
                <w:rFonts w:hAnsi="宋体" w:cs="宋体" w:hint="eastAsia"/>
                <w:szCs w:val="18"/>
              </w:rPr>
              <w:t>）</w:t>
            </w:r>
          </w:p>
        </w:tc>
        <w:tc>
          <w:tcPr>
            <w:tcW w:w="1111" w:type="dxa"/>
            <w:shd w:val="clear" w:color="auto" w:fill="auto"/>
            <w:vAlign w:val="center"/>
          </w:tcPr>
          <w:p w14:paraId="157E8E52"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33268FF8" w14:textId="77777777" w:rsidR="00466C8D" w:rsidRDefault="00000000">
            <w:pPr>
              <w:pStyle w:val="affffffffff2"/>
            </w:pPr>
            <w:r>
              <w:rPr>
                <w:rFonts w:ascii="Times New Roman" w:hAnsi="宋体" w:hint="eastAsia"/>
                <w:szCs w:val="21"/>
              </w:rPr>
              <w:t>-</w:t>
            </w:r>
          </w:p>
        </w:tc>
        <w:tc>
          <w:tcPr>
            <w:tcW w:w="3532" w:type="dxa"/>
            <w:vMerge w:val="restart"/>
            <w:shd w:val="clear" w:color="auto" w:fill="auto"/>
            <w:vAlign w:val="center"/>
          </w:tcPr>
          <w:p w14:paraId="696DEF10" w14:textId="77777777" w:rsidR="00466C8D" w:rsidRDefault="00000000">
            <w:pPr>
              <w:pStyle w:val="affffffffff2"/>
            </w:pPr>
            <w:r>
              <w:rPr>
                <w:rFonts w:hAnsi="宋体" w:cs="宋体" w:hint="eastAsia"/>
              </w:rPr>
              <w:t>在开机</w:t>
            </w:r>
            <w:r>
              <w:rPr>
                <w:rFonts w:ascii="Times New Roman" w:hAnsi="宋体" w:hint="eastAsia"/>
                <w:szCs w:val="21"/>
              </w:rPr>
              <w:t>7 d ~10 d</w:t>
            </w:r>
            <w:r>
              <w:rPr>
                <w:rFonts w:hAnsi="宋体" w:cs="宋体" w:hint="eastAsia"/>
              </w:rPr>
              <w:t>内开展第</w:t>
            </w:r>
            <w:r>
              <w:rPr>
                <w:rFonts w:ascii="Times New Roman" w:hAnsi="宋体" w:hint="eastAsia"/>
                <w:szCs w:val="21"/>
              </w:rPr>
              <w:t>1</w:t>
            </w:r>
            <w:r>
              <w:rPr>
                <w:rFonts w:hAnsi="宋体" w:cs="宋体" w:hint="eastAsia"/>
              </w:rPr>
              <w:t>次检测,运行时每运行月度检测</w:t>
            </w:r>
            <w:r>
              <w:rPr>
                <w:rFonts w:ascii="Times New Roman" w:hAnsi="宋体" w:hint="eastAsia"/>
                <w:szCs w:val="21"/>
              </w:rPr>
              <w:t>1</w:t>
            </w:r>
            <w:r>
              <w:rPr>
                <w:rFonts w:hAnsi="宋体" w:cs="宋体" w:hint="eastAsia"/>
              </w:rPr>
              <w:t>次；检测方法参照</w:t>
            </w:r>
            <w:r>
              <w:rPr>
                <w:rFonts w:hint="eastAsia"/>
              </w:rPr>
              <w:t>GB/T 29044。</w:t>
            </w:r>
          </w:p>
        </w:tc>
      </w:tr>
      <w:tr w:rsidR="00466C8D" w14:paraId="0120EF69" w14:textId="77777777">
        <w:trPr>
          <w:jc w:val="center"/>
        </w:trPr>
        <w:tc>
          <w:tcPr>
            <w:tcW w:w="2334" w:type="dxa"/>
            <w:shd w:val="clear" w:color="auto" w:fill="auto"/>
            <w:vAlign w:val="center"/>
          </w:tcPr>
          <w:p w14:paraId="78E97301" w14:textId="77777777" w:rsidR="00466C8D" w:rsidRDefault="00000000">
            <w:pPr>
              <w:pStyle w:val="affffffffff2"/>
            </w:pPr>
            <w:r>
              <w:rPr>
                <w:rFonts w:hAnsi="宋体" w:cs="宋体" w:hint="eastAsia"/>
                <w:szCs w:val="18"/>
              </w:rPr>
              <w:t>总碱度（以</w:t>
            </w:r>
            <w:r>
              <w:rPr>
                <w:rFonts w:ascii="Times New Roman" w:hAnsi="宋体" w:hint="eastAsia"/>
                <w:szCs w:val="21"/>
              </w:rPr>
              <w:t>CaCO</w:t>
            </w:r>
            <w:r>
              <w:rPr>
                <w:rFonts w:ascii="Times New Roman" w:hAnsi="宋体" w:hint="eastAsia"/>
                <w:szCs w:val="21"/>
                <w:vertAlign w:val="subscript"/>
              </w:rPr>
              <w:t>3</w:t>
            </w:r>
            <w:r>
              <w:rPr>
                <w:rFonts w:hAnsi="宋体" w:cs="宋体" w:hint="eastAsia"/>
                <w:sz w:val="20"/>
                <w:szCs w:val="18"/>
              </w:rPr>
              <w:t>计</w:t>
            </w:r>
            <w:r>
              <w:rPr>
                <w:rFonts w:hAnsi="宋体" w:cs="宋体" w:hint="eastAsia"/>
                <w:szCs w:val="18"/>
              </w:rPr>
              <w:t>）</w:t>
            </w:r>
          </w:p>
        </w:tc>
        <w:tc>
          <w:tcPr>
            <w:tcW w:w="1111" w:type="dxa"/>
            <w:shd w:val="clear" w:color="auto" w:fill="auto"/>
            <w:vAlign w:val="center"/>
          </w:tcPr>
          <w:p w14:paraId="2EEDE0FB"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76DCBB25" w14:textId="77777777" w:rsidR="00466C8D" w:rsidRDefault="00000000">
            <w:pPr>
              <w:pStyle w:val="affffffffff2"/>
            </w:pPr>
            <w:r>
              <w:rPr>
                <w:rFonts w:ascii="Times New Roman" w:hAnsi="宋体" w:hint="eastAsia"/>
                <w:szCs w:val="21"/>
              </w:rPr>
              <w:t>≤</w:t>
            </w:r>
            <w:r>
              <w:rPr>
                <w:rFonts w:ascii="Times New Roman" w:hAnsi="宋体" w:hint="eastAsia"/>
                <w:szCs w:val="21"/>
              </w:rPr>
              <w:t>600</w:t>
            </w:r>
          </w:p>
        </w:tc>
        <w:tc>
          <w:tcPr>
            <w:tcW w:w="3532" w:type="dxa"/>
            <w:vMerge/>
            <w:shd w:val="clear" w:color="auto" w:fill="auto"/>
            <w:vAlign w:val="center"/>
          </w:tcPr>
          <w:p w14:paraId="0D0482F7" w14:textId="77777777" w:rsidR="00466C8D" w:rsidRDefault="00466C8D">
            <w:pPr>
              <w:pStyle w:val="affffffffff2"/>
            </w:pPr>
          </w:p>
        </w:tc>
      </w:tr>
      <w:tr w:rsidR="00466C8D" w14:paraId="1F833297" w14:textId="77777777">
        <w:trPr>
          <w:jc w:val="center"/>
        </w:trPr>
        <w:tc>
          <w:tcPr>
            <w:tcW w:w="2334" w:type="dxa"/>
            <w:shd w:val="clear" w:color="auto" w:fill="auto"/>
            <w:vAlign w:val="center"/>
          </w:tcPr>
          <w:p w14:paraId="678D5307" w14:textId="77777777" w:rsidR="00466C8D" w:rsidRDefault="00000000">
            <w:pPr>
              <w:pStyle w:val="affffffffff2"/>
            </w:pPr>
            <w:r>
              <w:rPr>
                <w:rFonts w:hAnsi="宋体" w:cs="宋体" w:hint="eastAsia"/>
                <w:szCs w:val="18"/>
              </w:rPr>
              <w:t>钙硬度+总碱度（以</w:t>
            </w:r>
            <w:r>
              <w:rPr>
                <w:rFonts w:ascii="Times New Roman" w:hAnsi="宋体" w:hint="eastAsia"/>
                <w:szCs w:val="21"/>
              </w:rPr>
              <w:t>CaCO</w:t>
            </w:r>
            <w:r>
              <w:rPr>
                <w:rFonts w:ascii="Times New Roman" w:hAnsi="宋体" w:hint="eastAsia"/>
                <w:szCs w:val="21"/>
                <w:vertAlign w:val="subscript"/>
              </w:rPr>
              <w:t>3</w:t>
            </w:r>
            <w:r>
              <w:rPr>
                <w:rFonts w:hAnsi="宋体" w:cs="宋体" w:hint="eastAsia"/>
                <w:sz w:val="20"/>
                <w:szCs w:val="18"/>
              </w:rPr>
              <w:t>计</w:t>
            </w:r>
            <w:r>
              <w:rPr>
                <w:rFonts w:hAnsi="宋体" w:cs="宋体" w:hint="eastAsia"/>
                <w:szCs w:val="18"/>
              </w:rPr>
              <w:t>）</w:t>
            </w:r>
          </w:p>
        </w:tc>
        <w:tc>
          <w:tcPr>
            <w:tcW w:w="1111" w:type="dxa"/>
            <w:shd w:val="clear" w:color="auto" w:fill="auto"/>
            <w:vAlign w:val="center"/>
          </w:tcPr>
          <w:p w14:paraId="33B7231D"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13CAE03C" w14:textId="77777777" w:rsidR="00466C8D" w:rsidRDefault="00000000">
            <w:pPr>
              <w:pStyle w:val="affffffffff2"/>
            </w:pPr>
            <w:r>
              <w:rPr>
                <w:rFonts w:ascii="Times New Roman" w:hAnsi="宋体" w:hint="eastAsia"/>
                <w:szCs w:val="21"/>
              </w:rPr>
              <w:t>≤</w:t>
            </w:r>
            <w:r>
              <w:rPr>
                <w:rFonts w:ascii="Times New Roman" w:hAnsi="宋体" w:hint="eastAsia"/>
                <w:szCs w:val="21"/>
              </w:rPr>
              <w:t>1100</w:t>
            </w:r>
          </w:p>
        </w:tc>
        <w:tc>
          <w:tcPr>
            <w:tcW w:w="3532" w:type="dxa"/>
            <w:vMerge/>
            <w:shd w:val="clear" w:color="auto" w:fill="auto"/>
            <w:vAlign w:val="center"/>
          </w:tcPr>
          <w:p w14:paraId="69092953" w14:textId="77777777" w:rsidR="00466C8D" w:rsidRDefault="00466C8D">
            <w:pPr>
              <w:pStyle w:val="affffffffff2"/>
            </w:pPr>
          </w:p>
        </w:tc>
      </w:tr>
      <w:tr w:rsidR="00466C8D" w14:paraId="622189A9" w14:textId="77777777">
        <w:trPr>
          <w:jc w:val="center"/>
        </w:trPr>
        <w:tc>
          <w:tcPr>
            <w:tcW w:w="2334" w:type="dxa"/>
            <w:shd w:val="clear" w:color="auto" w:fill="auto"/>
            <w:vAlign w:val="center"/>
          </w:tcPr>
          <w:p w14:paraId="073891BE" w14:textId="77777777" w:rsidR="00466C8D" w:rsidRDefault="00000000">
            <w:pPr>
              <w:pStyle w:val="affffffffff2"/>
            </w:pPr>
            <w:r>
              <w:rPr>
                <w:rFonts w:ascii="Times New Roman" w:hAnsi="宋体" w:hint="eastAsia"/>
                <w:szCs w:val="21"/>
              </w:rPr>
              <w:t>Cl</w:t>
            </w:r>
            <w:r>
              <w:rPr>
                <w:rFonts w:ascii="Times New Roman" w:hAnsi="宋体" w:hint="eastAsia"/>
                <w:szCs w:val="21"/>
                <w:vertAlign w:val="superscript"/>
              </w:rPr>
              <w:t>-</w:t>
            </w:r>
          </w:p>
        </w:tc>
        <w:tc>
          <w:tcPr>
            <w:tcW w:w="1111" w:type="dxa"/>
            <w:shd w:val="clear" w:color="auto" w:fill="auto"/>
            <w:vAlign w:val="center"/>
          </w:tcPr>
          <w:p w14:paraId="203BD30F"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321CA04C" w14:textId="77777777" w:rsidR="00466C8D" w:rsidRDefault="00000000">
            <w:pPr>
              <w:pStyle w:val="affffffffff2"/>
            </w:pPr>
            <w:r>
              <w:rPr>
                <w:rFonts w:ascii="Times New Roman" w:hAnsi="宋体" w:hint="eastAsia"/>
                <w:szCs w:val="21"/>
              </w:rPr>
              <w:t>≤</w:t>
            </w:r>
            <w:r>
              <w:rPr>
                <w:rFonts w:ascii="Times New Roman" w:hAnsi="宋体" w:hint="eastAsia"/>
                <w:szCs w:val="21"/>
              </w:rPr>
              <w:t>500</w:t>
            </w:r>
          </w:p>
        </w:tc>
        <w:tc>
          <w:tcPr>
            <w:tcW w:w="3532" w:type="dxa"/>
            <w:vMerge/>
            <w:shd w:val="clear" w:color="auto" w:fill="auto"/>
            <w:vAlign w:val="center"/>
          </w:tcPr>
          <w:p w14:paraId="0F3E3FC8" w14:textId="77777777" w:rsidR="00466C8D" w:rsidRDefault="00466C8D">
            <w:pPr>
              <w:pStyle w:val="affffffffff2"/>
            </w:pPr>
          </w:p>
        </w:tc>
      </w:tr>
      <w:tr w:rsidR="00466C8D" w14:paraId="217D5B50" w14:textId="77777777">
        <w:trPr>
          <w:jc w:val="center"/>
        </w:trPr>
        <w:tc>
          <w:tcPr>
            <w:tcW w:w="2334" w:type="dxa"/>
            <w:shd w:val="clear" w:color="auto" w:fill="auto"/>
            <w:vAlign w:val="center"/>
          </w:tcPr>
          <w:p w14:paraId="3BAB0677" w14:textId="77777777" w:rsidR="00466C8D" w:rsidRDefault="00000000">
            <w:pPr>
              <w:pStyle w:val="affffffffff2"/>
            </w:pPr>
            <w:r>
              <w:rPr>
                <w:rFonts w:hAnsi="宋体" w:cs="宋体" w:hint="eastAsia"/>
                <w:szCs w:val="18"/>
              </w:rPr>
              <w:t>总铁</w:t>
            </w:r>
          </w:p>
        </w:tc>
        <w:tc>
          <w:tcPr>
            <w:tcW w:w="1111" w:type="dxa"/>
            <w:shd w:val="clear" w:color="auto" w:fill="auto"/>
            <w:vAlign w:val="center"/>
          </w:tcPr>
          <w:p w14:paraId="2B23D68D"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18EAB877" w14:textId="77777777" w:rsidR="00466C8D" w:rsidRDefault="00000000">
            <w:pPr>
              <w:pStyle w:val="affffffffff2"/>
            </w:pPr>
            <w:r>
              <w:rPr>
                <w:rFonts w:ascii="Times New Roman" w:hAnsi="宋体" w:hint="eastAsia"/>
                <w:szCs w:val="21"/>
              </w:rPr>
              <w:t>≤</w:t>
            </w:r>
            <w:r>
              <w:rPr>
                <w:rFonts w:ascii="Times New Roman" w:hAnsi="宋体" w:hint="eastAsia"/>
                <w:szCs w:val="21"/>
              </w:rPr>
              <w:t>1.0</w:t>
            </w:r>
          </w:p>
        </w:tc>
        <w:tc>
          <w:tcPr>
            <w:tcW w:w="3532" w:type="dxa"/>
            <w:vMerge/>
            <w:shd w:val="clear" w:color="auto" w:fill="auto"/>
            <w:vAlign w:val="center"/>
          </w:tcPr>
          <w:p w14:paraId="7FB36D84" w14:textId="77777777" w:rsidR="00466C8D" w:rsidRDefault="00466C8D">
            <w:pPr>
              <w:pStyle w:val="affffffffff2"/>
            </w:pPr>
          </w:p>
        </w:tc>
      </w:tr>
      <w:tr w:rsidR="00466C8D" w14:paraId="1A70BBB5" w14:textId="77777777">
        <w:trPr>
          <w:jc w:val="center"/>
        </w:trPr>
        <w:tc>
          <w:tcPr>
            <w:tcW w:w="2334" w:type="dxa"/>
            <w:shd w:val="clear" w:color="auto" w:fill="auto"/>
            <w:vAlign w:val="center"/>
          </w:tcPr>
          <w:p w14:paraId="6124D75D" w14:textId="77777777" w:rsidR="00466C8D" w:rsidRDefault="00000000">
            <w:pPr>
              <w:pStyle w:val="affffffffff2"/>
            </w:pPr>
            <w:r>
              <w:rPr>
                <w:rFonts w:ascii="Times New Roman" w:hAnsi="宋体" w:hint="eastAsia"/>
                <w:szCs w:val="21"/>
              </w:rPr>
              <w:t>NH</w:t>
            </w:r>
            <w:r>
              <w:rPr>
                <w:rFonts w:ascii="Times New Roman" w:hAnsi="宋体" w:hint="eastAsia"/>
                <w:szCs w:val="21"/>
                <w:vertAlign w:val="subscript"/>
              </w:rPr>
              <w:t>3</w:t>
            </w:r>
            <w:r>
              <w:rPr>
                <w:rFonts w:ascii="Times New Roman" w:hAnsi="宋体" w:hint="eastAsia"/>
                <w:szCs w:val="21"/>
              </w:rPr>
              <w:t>-N</w:t>
            </w:r>
          </w:p>
        </w:tc>
        <w:tc>
          <w:tcPr>
            <w:tcW w:w="1111" w:type="dxa"/>
            <w:shd w:val="clear" w:color="auto" w:fill="auto"/>
            <w:vAlign w:val="center"/>
          </w:tcPr>
          <w:p w14:paraId="5D66F9AD"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52855B75" w14:textId="77777777" w:rsidR="00466C8D" w:rsidRDefault="00000000">
            <w:pPr>
              <w:pStyle w:val="affffffffff2"/>
            </w:pPr>
            <w:r>
              <w:rPr>
                <w:rFonts w:ascii="Times New Roman" w:hAnsi="宋体" w:hint="eastAsia"/>
                <w:szCs w:val="21"/>
              </w:rPr>
              <w:t>≤</w:t>
            </w:r>
            <w:r>
              <w:rPr>
                <w:rFonts w:ascii="Times New Roman" w:hAnsi="宋体" w:hint="eastAsia"/>
                <w:szCs w:val="21"/>
              </w:rPr>
              <w:t>10</w:t>
            </w:r>
          </w:p>
        </w:tc>
        <w:tc>
          <w:tcPr>
            <w:tcW w:w="3532" w:type="dxa"/>
            <w:vMerge/>
            <w:shd w:val="clear" w:color="auto" w:fill="auto"/>
            <w:vAlign w:val="center"/>
          </w:tcPr>
          <w:p w14:paraId="611269C6" w14:textId="77777777" w:rsidR="00466C8D" w:rsidRDefault="00466C8D">
            <w:pPr>
              <w:pStyle w:val="affffffffff2"/>
            </w:pPr>
          </w:p>
        </w:tc>
      </w:tr>
      <w:tr w:rsidR="00466C8D" w14:paraId="2B8AB898" w14:textId="77777777">
        <w:trPr>
          <w:jc w:val="center"/>
        </w:trPr>
        <w:tc>
          <w:tcPr>
            <w:tcW w:w="2334" w:type="dxa"/>
            <w:shd w:val="clear" w:color="auto" w:fill="auto"/>
            <w:vAlign w:val="center"/>
          </w:tcPr>
          <w:p w14:paraId="71DDBC02" w14:textId="77777777" w:rsidR="00466C8D" w:rsidRDefault="00000000">
            <w:pPr>
              <w:pStyle w:val="affffffffff2"/>
            </w:pPr>
            <w:r>
              <w:rPr>
                <w:rFonts w:hAnsi="宋体" w:cs="宋体" w:hint="eastAsia"/>
                <w:szCs w:val="18"/>
              </w:rPr>
              <w:t>浊度</w:t>
            </w:r>
          </w:p>
        </w:tc>
        <w:tc>
          <w:tcPr>
            <w:tcW w:w="1111" w:type="dxa"/>
            <w:shd w:val="clear" w:color="auto" w:fill="auto"/>
            <w:vAlign w:val="center"/>
          </w:tcPr>
          <w:p w14:paraId="62828DD6" w14:textId="77777777" w:rsidR="00466C8D" w:rsidRDefault="00000000">
            <w:pPr>
              <w:pStyle w:val="affffffffff2"/>
            </w:pPr>
            <w:r>
              <w:rPr>
                <w:rFonts w:ascii="Times New Roman" w:hAnsi="宋体" w:hint="eastAsia"/>
                <w:szCs w:val="21"/>
              </w:rPr>
              <w:t>NTU</w:t>
            </w:r>
          </w:p>
        </w:tc>
        <w:tc>
          <w:tcPr>
            <w:tcW w:w="2357" w:type="dxa"/>
            <w:shd w:val="clear" w:color="auto" w:fill="auto"/>
            <w:vAlign w:val="center"/>
          </w:tcPr>
          <w:p w14:paraId="45884759" w14:textId="77777777" w:rsidR="00466C8D" w:rsidRDefault="00000000">
            <w:pPr>
              <w:pStyle w:val="affffffffffff3"/>
              <w:ind w:firstLineChars="0" w:firstLine="0"/>
              <w:jc w:val="center"/>
              <w:rPr>
                <w:rFonts w:ascii="Times New Roman" w:hAnsi="宋体"/>
                <w:szCs w:val="21"/>
              </w:rPr>
            </w:pPr>
            <w:r>
              <w:rPr>
                <w:rFonts w:ascii="Times New Roman" w:hAnsi="宋体" w:hint="eastAsia"/>
                <w:szCs w:val="21"/>
              </w:rPr>
              <w:t>≤</w:t>
            </w:r>
            <w:r>
              <w:rPr>
                <w:rFonts w:ascii="Times New Roman" w:hAnsi="宋体" w:hint="eastAsia"/>
                <w:szCs w:val="21"/>
              </w:rPr>
              <w:t>10</w:t>
            </w:r>
          </w:p>
          <w:p w14:paraId="1825FDCC" w14:textId="77777777" w:rsidR="00466C8D" w:rsidRDefault="00000000">
            <w:pPr>
              <w:pStyle w:val="affffffffff2"/>
            </w:pPr>
            <w:r>
              <w:rPr>
                <w:rFonts w:hAnsi="宋体" w:cs="宋体" w:hint="eastAsia"/>
                <w:szCs w:val="21"/>
              </w:rPr>
              <w:t>(当换热设备为板式、翅片管式、螺旋板式)</w:t>
            </w:r>
          </w:p>
        </w:tc>
        <w:tc>
          <w:tcPr>
            <w:tcW w:w="3532" w:type="dxa"/>
            <w:vMerge/>
            <w:shd w:val="clear" w:color="auto" w:fill="auto"/>
            <w:vAlign w:val="center"/>
          </w:tcPr>
          <w:p w14:paraId="04863422" w14:textId="77777777" w:rsidR="00466C8D" w:rsidRDefault="00466C8D">
            <w:pPr>
              <w:pStyle w:val="affffffffff2"/>
            </w:pPr>
          </w:p>
        </w:tc>
      </w:tr>
      <w:tr w:rsidR="00466C8D" w14:paraId="72B50052" w14:textId="77777777">
        <w:trPr>
          <w:jc w:val="center"/>
        </w:trPr>
        <w:tc>
          <w:tcPr>
            <w:tcW w:w="2334" w:type="dxa"/>
            <w:shd w:val="clear" w:color="auto" w:fill="auto"/>
            <w:vAlign w:val="center"/>
          </w:tcPr>
          <w:p w14:paraId="03D87A8F" w14:textId="77777777" w:rsidR="00466C8D" w:rsidRDefault="00000000">
            <w:pPr>
              <w:pStyle w:val="affffffffff2"/>
            </w:pPr>
            <w:r>
              <w:rPr>
                <w:rFonts w:ascii="Times New Roman" w:hAnsi="宋体" w:hint="eastAsia"/>
                <w:szCs w:val="21"/>
              </w:rPr>
              <w:t>COD</w:t>
            </w:r>
            <w:r>
              <w:rPr>
                <w:rFonts w:ascii="Times New Roman" w:hAnsi="宋体" w:hint="eastAsia"/>
                <w:szCs w:val="21"/>
                <w:vertAlign w:val="subscript"/>
              </w:rPr>
              <w:t>Cr</w:t>
            </w:r>
          </w:p>
        </w:tc>
        <w:tc>
          <w:tcPr>
            <w:tcW w:w="1111" w:type="dxa"/>
            <w:shd w:val="clear" w:color="auto" w:fill="auto"/>
            <w:vAlign w:val="center"/>
          </w:tcPr>
          <w:p w14:paraId="22E28389"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66DCF276" w14:textId="77777777" w:rsidR="00466C8D" w:rsidRDefault="00000000">
            <w:pPr>
              <w:pStyle w:val="affffffffff2"/>
            </w:pPr>
            <w:r>
              <w:rPr>
                <w:rFonts w:ascii="Times New Roman" w:hAnsi="宋体" w:hint="eastAsia"/>
                <w:szCs w:val="21"/>
              </w:rPr>
              <w:t>≤</w:t>
            </w:r>
            <w:r>
              <w:rPr>
                <w:rFonts w:ascii="Times New Roman" w:hAnsi="宋体" w:hint="eastAsia"/>
                <w:szCs w:val="21"/>
              </w:rPr>
              <w:t>100</w:t>
            </w:r>
          </w:p>
        </w:tc>
        <w:tc>
          <w:tcPr>
            <w:tcW w:w="3532" w:type="dxa"/>
            <w:vMerge/>
            <w:shd w:val="clear" w:color="auto" w:fill="auto"/>
            <w:vAlign w:val="center"/>
          </w:tcPr>
          <w:p w14:paraId="454E94F3" w14:textId="77777777" w:rsidR="00466C8D" w:rsidRDefault="00466C8D">
            <w:pPr>
              <w:pStyle w:val="affffffffff2"/>
            </w:pPr>
          </w:p>
        </w:tc>
      </w:tr>
      <w:tr w:rsidR="00466C8D" w14:paraId="405BF2EA" w14:textId="77777777">
        <w:trPr>
          <w:jc w:val="center"/>
        </w:trPr>
        <w:tc>
          <w:tcPr>
            <w:tcW w:w="2334" w:type="dxa"/>
            <w:shd w:val="clear" w:color="auto" w:fill="auto"/>
            <w:vAlign w:val="center"/>
          </w:tcPr>
          <w:p w14:paraId="24DA4606" w14:textId="77777777" w:rsidR="00466C8D" w:rsidRDefault="00000000">
            <w:pPr>
              <w:pStyle w:val="affffffffff2"/>
            </w:pPr>
            <w:r>
              <w:rPr>
                <w:rFonts w:hAnsi="宋体" w:cs="宋体" w:hint="eastAsia"/>
                <w:szCs w:val="18"/>
              </w:rPr>
              <w:t>异养菌总数</w:t>
            </w:r>
          </w:p>
        </w:tc>
        <w:tc>
          <w:tcPr>
            <w:tcW w:w="1111" w:type="dxa"/>
            <w:shd w:val="clear" w:color="auto" w:fill="auto"/>
            <w:vAlign w:val="center"/>
          </w:tcPr>
          <w:p w14:paraId="64BD0DF3" w14:textId="77777777" w:rsidR="00466C8D" w:rsidRDefault="00000000">
            <w:pPr>
              <w:pStyle w:val="affffffffff2"/>
            </w:pPr>
            <w:r>
              <w:rPr>
                <w:rFonts w:ascii="Times New Roman" w:hAnsi="宋体" w:hint="eastAsia"/>
                <w:szCs w:val="21"/>
              </w:rPr>
              <w:t>个</w:t>
            </w:r>
            <w:r>
              <w:rPr>
                <w:rFonts w:ascii="Times New Roman" w:hAnsi="宋体" w:hint="eastAsia"/>
                <w:szCs w:val="21"/>
              </w:rPr>
              <w:t>/mL</w:t>
            </w:r>
          </w:p>
        </w:tc>
        <w:tc>
          <w:tcPr>
            <w:tcW w:w="2357" w:type="dxa"/>
            <w:shd w:val="clear" w:color="auto" w:fill="auto"/>
            <w:vAlign w:val="center"/>
          </w:tcPr>
          <w:p w14:paraId="43CCFED7" w14:textId="77777777" w:rsidR="00466C8D" w:rsidRDefault="00000000">
            <w:pPr>
              <w:pStyle w:val="affffffffff2"/>
            </w:pPr>
            <w:r>
              <w:rPr>
                <w:rFonts w:ascii="Times New Roman" w:hAnsi="宋体" w:hint="eastAsia"/>
                <w:szCs w:val="21"/>
              </w:rPr>
              <w:t>≤</w:t>
            </w:r>
            <w:r>
              <w:rPr>
                <w:rFonts w:ascii="Times New Roman" w:hAnsi="宋体" w:hint="eastAsia"/>
                <w:szCs w:val="21"/>
              </w:rPr>
              <w:t>1</w:t>
            </w:r>
            <w:r>
              <w:rPr>
                <w:rFonts w:ascii="Times New Roman" w:hAnsi="宋体" w:hint="eastAsia"/>
                <w:szCs w:val="21"/>
              </w:rPr>
              <w:t>×</w:t>
            </w:r>
            <w:r>
              <w:rPr>
                <w:rFonts w:ascii="Times New Roman" w:hAnsi="宋体" w:hint="eastAsia"/>
                <w:szCs w:val="21"/>
              </w:rPr>
              <w:t>10</w:t>
            </w:r>
            <w:r>
              <w:rPr>
                <w:rFonts w:ascii="Times New Roman" w:hAnsi="宋体" w:hint="eastAsia"/>
                <w:szCs w:val="21"/>
                <w:vertAlign w:val="superscript"/>
              </w:rPr>
              <w:t>5</w:t>
            </w:r>
          </w:p>
        </w:tc>
        <w:tc>
          <w:tcPr>
            <w:tcW w:w="3532" w:type="dxa"/>
            <w:vMerge/>
            <w:shd w:val="clear" w:color="auto" w:fill="auto"/>
            <w:vAlign w:val="center"/>
          </w:tcPr>
          <w:p w14:paraId="2A595699" w14:textId="77777777" w:rsidR="00466C8D" w:rsidRDefault="00466C8D">
            <w:pPr>
              <w:pStyle w:val="affffffffff2"/>
            </w:pPr>
          </w:p>
        </w:tc>
      </w:tr>
      <w:tr w:rsidR="00466C8D" w14:paraId="4745BC19" w14:textId="77777777">
        <w:trPr>
          <w:jc w:val="center"/>
        </w:trPr>
        <w:tc>
          <w:tcPr>
            <w:tcW w:w="2334" w:type="dxa"/>
            <w:shd w:val="clear" w:color="auto" w:fill="auto"/>
            <w:vAlign w:val="center"/>
          </w:tcPr>
          <w:p w14:paraId="2282D1DA" w14:textId="77777777" w:rsidR="00466C8D" w:rsidRDefault="00000000">
            <w:pPr>
              <w:pStyle w:val="affffffffff2"/>
            </w:pPr>
            <w:r>
              <w:rPr>
                <w:rFonts w:hAnsi="宋体" w:cs="宋体" w:hint="eastAsia"/>
                <w:szCs w:val="18"/>
              </w:rPr>
              <w:t>有机磷（以</w:t>
            </w:r>
            <w:r>
              <w:rPr>
                <w:rFonts w:ascii="Times New Roman" w:hAnsi="宋体" w:hint="eastAsia"/>
                <w:szCs w:val="21"/>
              </w:rPr>
              <w:t>P</w:t>
            </w:r>
            <w:r>
              <w:rPr>
                <w:rFonts w:hAnsi="宋体" w:cs="宋体" w:hint="eastAsia"/>
                <w:szCs w:val="18"/>
              </w:rPr>
              <w:t>计）</w:t>
            </w:r>
          </w:p>
        </w:tc>
        <w:tc>
          <w:tcPr>
            <w:tcW w:w="1111" w:type="dxa"/>
            <w:shd w:val="clear" w:color="auto" w:fill="auto"/>
            <w:vAlign w:val="center"/>
          </w:tcPr>
          <w:p w14:paraId="0FB95FAE" w14:textId="77777777" w:rsidR="00466C8D" w:rsidRDefault="00000000">
            <w:pPr>
              <w:pStyle w:val="affffffffff2"/>
            </w:pPr>
            <w:r>
              <w:rPr>
                <w:rFonts w:ascii="Times New Roman" w:hAnsi="宋体" w:hint="eastAsia"/>
                <w:szCs w:val="21"/>
              </w:rPr>
              <w:t>mg/L</w:t>
            </w:r>
          </w:p>
        </w:tc>
        <w:tc>
          <w:tcPr>
            <w:tcW w:w="2357" w:type="dxa"/>
            <w:shd w:val="clear" w:color="auto" w:fill="auto"/>
            <w:vAlign w:val="center"/>
          </w:tcPr>
          <w:p w14:paraId="559854A0" w14:textId="77777777" w:rsidR="00466C8D" w:rsidRDefault="00000000">
            <w:pPr>
              <w:pStyle w:val="affffffffff2"/>
            </w:pPr>
            <w:r>
              <w:rPr>
                <w:rFonts w:ascii="Times New Roman" w:hAnsi="宋体" w:hint="eastAsia"/>
                <w:szCs w:val="21"/>
              </w:rPr>
              <w:t>≤</w:t>
            </w:r>
            <w:r>
              <w:rPr>
                <w:rFonts w:ascii="Times New Roman" w:hAnsi="宋体" w:hint="eastAsia"/>
                <w:szCs w:val="21"/>
              </w:rPr>
              <w:t>0.5</w:t>
            </w:r>
          </w:p>
        </w:tc>
        <w:tc>
          <w:tcPr>
            <w:tcW w:w="3532" w:type="dxa"/>
            <w:vMerge/>
            <w:shd w:val="clear" w:color="auto" w:fill="auto"/>
            <w:vAlign w:val="center"/>
          </w:tcPr>
          <w:p w14:paraId="4FF363BA" w14:textId="77777777" w:rsidR="00466C8D" w:rsidRDefault="00466C8D">
            <w:pPr>
              <w:pStyle w:val="affffffffff2"/>
            </w:pPr>
          </w:p>
        </w:tc>
      </w:tr>
    </w:tbl>
    <w:p w14:paraId="594DE9A4" w14:textId="77777777" w:rsidR="00466C8D" w:rsidRDefault="00466C8D">
      <w:pPr>
        <w:pStyle w:val="afffffe"/>
        <w:ind w:firstLine="420"/>
      </w:pPr>
    </w:p>
    <w:p w14:paraId="1D091B43" w14:textId="77777777" w:rsidR="00466C8D" w:rsidRDefault="00466C8D">
      <w:pPr>
        <w:pStyle w:val="afffffe"/>
        <w:ind w:firstLine="420"/>
      </w:pPr>
    </w:p>
    <w:p w14:paraId="01679549" w14:textId="77777777" w:rsidR="00466C8D" w:rsidRDefault="00466C8D">
      <w:pPr>
        <w:pStyle w:val="afffffe"/>
        <w:ind w:firstLine="420"/>
      </w:pPr>
    </w:p>
    <w:p w14:paraId="7DD6D0FB" w14:textId="77777777" w:rsidR="00466C8D" w:rsidRDefault="00466C8D">
      <w:pPr>
        <w:pStyle w:val="afffffe"/>
        <w:ind w:firstLine="420"/>
      </w:pPr>
    </w:p>
    <w:p w14:paraId="351C279E" w14:textId="77777777" w:rsidR="00466C8D" w:rsidRDefault="00466C8D">
      <w:pPr>
        <w:pStyle w:val="afffffe"/>
        <w:ind w:firstLine="420"/>
        <w:sectPr w:rsidR="00466C8D">
          <w:pgSz w:w="11906" w:h="16838"/>
          <w:pgMar w:top="1928" w:right="1134" w:bottom="1134" w:left="1134" w:header="1418" w:footer="1134" w:gutter="284"/>
          <w:cols w:space="425"/>
          <w:formProt w:val="0"/>
          <w:docGrid w:type="lines" w:linePitch="312"/>
        </w:sectPr>
      </w:pPr>
    </w:p>
    <w:p w14:paraId="1428B623" w14:textId="77777777" w:rsidR="00466C8D" w:rsidRDefault="00466C8D">
      <w:pPr>
        <w:pStyle w:val="afc"/>
        <w:rPr>
          <w:vanish w:val="0"/>
        </w:rPr>
      </w:pPr>
    </w:p>
    <w:p w14:paraId="78E0191B" w14:textId="77777777" w:rsidR="00466C8D" w:rsidRDefault="00466C8D">
      <w:pPr>
        <w:pStyle w:val="aff2"/>
        <w:rPr>
          <w:vanish w:val="0"/>
        </w:rPr>
      </w:pPr>
    </w:p>
    <w:p w14:paraId="48300A15" w14:textId="77777777" w:rsidR="00466C8D" w:rsidRDefault="00000000">
      <w:pPr>
        <w:pStyle w:val="aff7"/>
        <w:spacing w:after="156"/>
      </w:pPr>
      <w:bookmarkStart w:id="72" w:name="_Toc30366"/>
      <w:r>
        <w:br/>
      </w:r>
      <w:r>
        <w:rPr>
          <w:rFonts w:hint="eastAsia"/>
        </w:rPr>
        <w:t>（资料性）</w:t>
      </w:r>
      <w:r>
        <w:br/>
      </w:r>
      <w:r>
        <w:rPr>
          <w:rFonts w:hint="eastAsia"/>
        </w:rPr>
        <w:t xml:space="preserve"> 常用在线监测仪技术参数</w:t>
      </w:r>
      <w:bookmarkEnd w:id="72"/>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466C8D" w14:paraId="6DD25882" w14:textId="77777777">
        <w:trPr>
          <w:tblHeader/>
          <w:jc w:val="center"/>
        </w:trPr>
        <w:tc>
          <w:tcPr>
            <w:tcW w:w="3110" w:type="dxa"/>
            <w:tcBorders>
              <w:top w:val="single" w:sz="8" w:space="0" w:color="auto"/>
              <w:bottom w:val="single" w:sz="8" w:space="0" w:color="auto"/>
            </w:tcBorders>
            <w:shd w:val="clear" w:color="auto" w:fill="auto"/>
            <w:vAlign w:val="center"/>
          </w:tcPr>
          <w:p w14:paraId="75FFA968" w14:textId="77777777" w:rsidR="00466C8D" w:rsidRDefault="00000000">
            <w:pPr>
              <w:pStyle w:val="affffffffff2"/>
            </w:pPr>
            <w:r>
              <w:rPr>
                <w:rFonts w:hAnsi="宋体" w:cs="宋体" w:hint="eastAsia"/>
                <w:szCs w:val="18"/>
              </w:rPr>
              <w:t>监测仪</w:t>
            </w:r>
          </w:p>
        </w:tc>
        <w:tc>
          <w:tcPr>
            <w:tcW w:w="3112" w:type="dxa"/>
            <w:tcBorders>
              <w:top w:val="single" w:sz="8" w:space="0" w:color="auto"/>
              <w:bottom w:val="single" w:sz="8" w:space="0" w:color="auto"/>
            </w:tcBorders>
            <w:shd w:val="clear" w:color="auto" w:fill="auto"/>
            <w:vAlign w:val="center"/>
          </w:tcPr>
          <w:p w14:paraId="6C12FC8E" w14:textId="77777777" w:rsidR="00466C8D" w:rsidRDefault="00000000">
            <w:pPr>
              <w:pStyle w:val="affffffffff2"/>
            </w:pPr>
            <w:r>
              <w:rPr>
                <w:rFonts w:hAnsi="宋体" w:cs="宋体" w:hint="eastAsia"/>
                <w:szCs w:val="18"/>
              </w:rPr>
              <w:t>测量原理</w:t>
            </w:r>
          </w:p>
        </w:tc>
        <w:tc>
          <w:tcPr>
            <w:tcW w:w="3112" w:type="dxa"/>
            <w:tcBorders>
              <w:top w:val="single" w:sz="8" w:space="0" w:color="auto"/>
              <w:bottom w:val="single" w:sz="8" w:space="0" w:color="auto"/>
            </w:tcBorders>
            <w:shd w:val="clear" w:color="auto" w:fill="auto"/>
            <w:vAlign w:val="center"/>
          </w:tcPr>
          <w:p w14:paraId="2F6FC481" w14:textId="77777777" w:rsidR="00466C8D" w:rsidRDefault="00000000">
            <w:pPr>
              <w:pStyle w:val="affffffffff2"/>
            </w:pPr>
            <w:r>
              <w:rPr>
                <w:rFonts w:hAnsi="宋体" w:cs="宋体" w:hint="eastAsia"/>
                <w:szCs w:val="18"/>
              </w:rPr>
              <w:t>监测精度及范围</w:t>
            </w:r>
          </w:p>
        </w:tc>
      </w:tr>
      <w:tr w:rsidR="00466C8D" w14:paraId="13DD5957" w14:textId="77777777">
        <w:trPr>
          <w:jc w:val="center"/>
        </w:trPr>
        <w:tc>
          <w:tcPr>
            <w:tcW w:w="3110" w:type="dxa"/>
            <w:tcBorders>
              <w:top w:val="single" w:sz="8" w:space="0" w:color="auto"/>
            </w:tcBorders>
            <w:shd w:val="clear" w:color="auto" w:fill="auto"/>
            <w:vAlign w:val="center"/>
          </w:tcPr>
          <w:p w14:paraId="399A76A7" w14:textId="77777777" w:rsidR="00466C8D" w:rsidRPr="00F06197" w:rsidRDefault="00000000">
            <w:pPr>
              <w:pStyle w:val="affffffffff2"/>
              <w:rPr>
                <w:rFonts w:ascii="Times New Roman"/>
                <w:szCs w:val="18"/>
              </w:rPr>
            </w:pPr>
            <w:r w:rsidRPr="00F06197">
              <w:rPr>
                <w:rFonts w:ascii="Times New Roman"/>
                <w:szCs w:val="18"/>
              </w:rPr>
              <w:t>电导率</w:t>
            </w:r>
          </w:p>
        </w:tc>
        <w:tc>
          <w:tcPr>
            <w:tcW w:w="3112" w:type="dxa"/>
            <w:tcBorders>
              <w:top w:val="single" w:sz="8" w:space="0" w:color="auto"/>
            </w:tcBorders>
            <w:shd w:val="clear" w:color="auto" w:fill="auto"/>
            <w:vAlign w:val="center"/>
          </w:tcPr>
          <w:p w14:paraId="75C6AF38" w14:textId="77777777" w:rsidR="00466C8D" w:rsidRPr="00F06197" w:rsidRDefault="00000000">
            <w:pPr>
              <w:pStyle w:val="affffffffff2"/>
              <w:rPr>
                <w:rFonts w:ascii="Times New Roman"/>
                <w:szCs w:val="18"/>
              </w:rPr>
            </w:pPr>
            <w:r w:rsidRPr="00F06197">
              <w:rPr>
                <w:rFonts w:ascii="Times New Roman"/>
                <w:szCs w:val="18"/>
              </w:rPr>
              <w:t>玻璃电极法</w:t>
            </w:r>
          </w:p>
        </w:tc>
        <w:tc>
          <w:tcPr>
            <w:tcW w:w="3112" w:type="dxa"/>
            <w:tcBorders>
              <w:top w:val="single" w:sz="8" w:space="0" w:color="auto"/>
            </w:tcBorders>
            <w:shd w:val="clear" w:color="auto" w:fill="auto"/>
            <w:vAlign w:val="center"/>
          </w:tcPr>
          <w:p w14:paraId="623CED47" w14:textId="77777777" w:rsidR="00466C8D" w:rsidRPr="00F06197" w:rsidRDefault="00000000">
            <w:pPr>
              <w:pStyle w:val="affffffffffff3"/>
              <w:ind w:firstLineChars="0" w:firstLine="0"/>
              <w:rPr>
                <w:rFonts w:ascii="Times New Roman"/>
                <w:sz w:val="18"/>
                <w:szCs w:val="18"/>
              </w:rPr>
            </w:pPr>
            <w:r w:rsidRPr="00F06197">
              <w:rPr>
                <w:rFonts w:ascii="Times New Roman"/>
                <w:sz w:val="18"/>
                <w:szCs w:val="18"/>
              </w:rPr>
              <w:t>测量范围：</w:t>
            </w:r>
            <w:r w:rsidRPr="00F06197">
              <w:rPr>
                <w:rFonts w:ascii="Times New Roman"/>
                <w:sz w:val="18"/>
                <w:szCs w:val="18"/>
              </w:rPr>
              <w:t>0 ms/cm~200ms/cm</w:t>
            </w:r>
          </w:p>
          <w:p w14:paraId="5667B966" w14:textId="77777777" w:rsidR="00466C8D" w:rsidRPr="00F06197" w:rsidRDefault="00000000">
            <w:pPr>
              <w:pStyle w:val="affffffffffff3"/>
              <w:ind w:firstLineChars="0" w:firstLine="0"/>
              <w:rPr>
                <w:rFonts w:ascii="Times New Roman"/>
                <w:sz w:val="18"/>
                <w:szCs w:val="18"/>
              </w:rPr>
            </w:pPr>
            <w:r w:rsidRPr="00F06197">
              <w:rPr>
                <w:rFonts w:ascii="Times New Roman"/>
                <w:sz w:val="18"/>
                <w:szCs w:val="18"/>
              </w:rPr>
              <w:t>重复性：</w:t>
            </w:r>
            <w:r w:rsidRPr="00F06197">
              <w:rPr>
                <w:rFonts w:ascii="Times New Roman"/>
                <w:sz w:val="18"/>
                <w:szCs w:val="18"/>
              </w:rPr>
              <w:t>1.0% FS</w:t>
            </w:r>
          </w:p>
          <w:p w14:paraId="64405A84" w14:textId="77777777" w:rsidR="00466C8D" w:rsidRPr="00F06197" w:rsidRDefault="00000000">
            <w:pPr>
              <w:pStyle w:val="affffffffff2"/>
              <w:jc w:val="both"/>
              <w:rPr>
                <w:rFonts w:ascii="Times New Roman"/>
                <w:szCs w:val="18"/>
              </w:rPr>
            </w:pPr>
            <w:r w:rsidRPr="00F06197">
              <w:rPr>
                <w:rFonts w:ascii="Times New Roman"/>
                <w:szCs w:val="18"/>
              </w:rPr>
              <w:t>示值误差：</w:t>
            </w:r>
            <w:r w:rsidRPr="00F06197">
              <w:rPr>
                <w:rFonts w:ascii="Times New Roman"/>
                <w:szCs w:val="18"/>
              </w:rPr>
              <w:t>±2.0% FS</w:t>
            </w:r>
          </w:p>
        </w:tc>
      </w:tr>
      <w:tr w:rsidR="00466C8D" w14:paraId="50FBB280" w14:textId="77777777">
        <w:trPr>
          <w:jc w:val="center"/>
        </w:trPr>
        <w:tc>
          <w:tcPr>
            <w:tcW w:w="3110" w:type="dxa"/>
            <w:shd w:val="clear" w:color="auto" w:fill="auto"/>
            <w:vAlign w:val="center"/>
          </w:tcPr>
          <w:p w14:paraId="2DB91AD9" w14:textId="77777777" w:rsidR="00466C8D" w:rsidRPr="00F06197" w:rsidRDefault="00000000">
            <w:pPr>
              <w:pStyle w:val="affffffffff2"/>
              <w:rPr>
                <w:rFonts w:ascii="Times New Roman"/>
                <w:szCs w:val="18"/>
              </w:rPr>
            </w:pPr>
            <w:r w:rsidRPr="00F06197">
              <w:rPr>
                <w:rFonts w:ascii="Times New Roman"/>
                <w:szCs w:val="18"/>
              </w:rPr>
              <w:t>余氯自动分析仪</w:t>
            </w:r>
          </w:p>
        </w:tc>
        <w:tc>
          <w:tcPr>
            <w:tcW w:w="3112" w:type="dxa"/>
            <w:shd w:val="clear" w:color="auto" w:fill="auto"/>
            <w:vAlign w:val="center"/>
          </w:tcPr>
          <w:p w14:paraId="3147D22C" w14:textId="77777777" w:rsidR="00466C8D" w:rsidRPr="00F06197" w:rsidRDefault="00000000">
            <w:pPr>
              <w:pStyle w:val="affffffffff2"/>
              <w:rPr>
                <w:rFonts w:ascii="Times New Roman"/>
                <w:szCs w:val="18"/>
              </w:rPr>
            </w:pPr>
            <w:r w:rsidRPr="00F06197">
              <w:rPr>
                <w:rFonts w:ascii="Times New Roman"/>
                <w:szCs w:val="18"/>
              </w:rPr>
              <w:t>玻璃电极法</w:t>
            </w:r>
          </w:p>
        </w:tc>
        <w:tc>
          <w:tcPr>
            <w:tcW w:w="3112" w:type="dxa"/>
            <w:shd w:val="clear" w:color="auto" w:fill="auto"/>
            <w:vAlign w:val="center"/>
          </w:tcPr>
          <w:p w14:paraId="2B56A592" w14:textId="77777777" w:rsidR="00466C8D" w:rsidRPr="00F06197" w:rsidRDefault="00000000">
            <w:pPr>
              <w:pStyle w:val="affffffffffff3"/>
              <w:ind w:firstLineChars="0" w:firstLine="0"/>
              <w:rPr>
                <w:rFonts w:ascii="Times New Roman"/>
                <w:sz w:val="18"/>
                <w:szCs w:val="18"/>
              </w:rPr>
            </w:pPr>
            <w:r w:rsidRPr="00F06197">
              <w:rPr>
                <w:rFonts w:ascii="Times New Roman"/>
                <w:sz w:val="18"/>
                <w:szCs w:val="18"/>
              </w:rPr>
              <w:t>测量范围：</w:t>
            </w:r>
            <w:r w:rsidRPr="00F06197">
              <w:rPr>
                <w:rFonts w:ascii="Times New Roman"/>
                <w:sz w:val="18"/>
                <w:szCs w:val="18"/>
              </w:rPr>
              <w:t>0.000 ~10.000 ppm</w:t>
            </w:r>
          </w:p>
          <w:p w14:paraId="361AA5BC" w14:textId="77777777" w:rsidR="00466C8D" w:rsidRPr="00F06197" w:rsidRDefault="00000000">
            <w:pPr>
              <w:pStyle w:val="affffffffffff3"/>
              <w:ind w:firstLineChars="0" w:firstLine="0"/>
              <w:rPr>
                <w:rFonts w:ascii="Times New Roman"/>
                <w:sz w:val="18"/>
                <w:szCs w:val="18"/>
              </w:rPr>
            </w:pPr>
            <w:r w:rsidRPr="00F06197">
              <w:rPr>
                <w:rFonts w:ascii="Times New Roman"/>
                <w:sz w:val="18"/>
                <w:szCs w:val="18"/>
              </w:rPr>
              <w:t>分辨率：</w:t>
            </w:r>
            <w:r w:rsidRPr="00F06197">
              <w:rPr>
                <w:rFonts w:ascii="Times New Roman"/>
                <w:sz w:val="18"/>
                <w:szCs w:val="18"/>
              </w:rPr>
              <w:t>0.001mg/L</w:t>
            </w:r>
          </w:p>
          <w:p w14:paraId="3754F304" w14:textId="77777777" w:rsidR="00466C8D" w:rsidRPr="00F06197" w:rsidRDefault="00000000">
            <w:pPr>
              <w:pStyle w:val="affffffffff2"/>
              <w:jc w:val="both"/>
              <w:rPr>
                <w:rFonts w:ascii="Times New Roman"/>
                <w:szCs w:val="18"/>
              </w:rPr>
            </w:pPr>
            <w:r w:rsidRPr="00F06197">
              <w:rPr>
                <w:rFonts w:ascii="Times New Roman"/>
                <w:szCs w:val="18"/>
              </w:rPr>
              <w:t>精</w:t>
            </w:r>
            <w:r w:rsidRPr="00F06197">
              <w:rPr>
                <w:rFonts w:ascii="Times New Roman"/>
                <w:szCs w:val="18"/>
              </w:rPr>
              <w:t xml:space="preserve">  </w:t>
            </w:r>
            <w:r w:rsidRPr="00F06197">
              <w:rPr>
                <w:rFonts w:ascii="Times New Roman"/>
                <w:szCs w:val="18"/>
              </w:rPr>
              <w:t>度：</w:t>
            </w:r>
            <w:r w:rsidRPr="00F06197">
              <w:rPr>
                <w:rFonts w:ascii="Times New Roman"/>
                <w:szCs w:val="18"/>
              </w:rPr>
              <w:t>±2.0% F.S</w:t>
            </w:r>
          </w:p>
        </w:tc>
      </w:tr>
      <w:tr w:rsidR="00466C8D" w14:paraId="284E1982" w14:textId="77777777">
        <w:trPr>
          <w:jc w:val="center"/>
        </w:trPr>
        <w:tc>
          <w:tcPr>
            <w:tcW w:w="3110" w:type="dxa"/>
            <w:shd w:val="clear" w:color="auto" w:fill="auto"/>
            <w:vAlign w:val="center"/>
          </w:tcPr>
          <w:p w14:paraId="62FBAE5E" w14:textId="77777777" w:rsidR="00466C8D" w:rsidRPr="00F06197" w:rsidRDefault="00000000">
            <w:pPr>
              <w:pStyle w:val="affffffffff2"/>
              <w:rPr>
                <w:rFonts w:ascii="Times New Roman"/>
                <w:szCs w:val="18"/>
              </w:rPr>
            </w:pPr>
            <w:r w:rsidRPr="00F06197">
              <w:rPr>
                <w:rFonts w:ascii="Times New Roman"/>
                <w:szCs w:val="18"/>
              </w:rPr>
              <w:t>pH</w:t>
            </w:r>
            <w:r w:rsidRPr="00F06197">
              <w:rPr>
                <w:rFonts w:ascii="Times New Roman"/>
                <w:szCs w:val="18"/>
              </w:rPr>
              <w:t>自动分析仪</w:t>
            </w:r>
          </w:p>
        </w:tc>
        <w:tc>
          <w:tcPr>
            <w:tcW w:w="3112" w:type="dxa"/>
            <w:shd w:val="clear" w:color="auto" w:fill="auto"/>
            <w:vAlign w:val="center"/>
          </w:tcPr>
          <w:p w14:paraId="6C5D2C21" w14:textId="77777777" w:rsidR="00466C8D" w:rsidRPr="00F06197" w:rsidRDefault="00000000">
            <w:pPr>
              <w:pStyle w:val="affffffffff2"/>
              <w:rPr>
                <w:rFonts w:ascii="Times New Roman"/>
                <w:szCs w:val="18"/>
              </w:rPr>
            </w:pPr>
            <w:r w:rsidRPr="00F06197">
              <w:rPr>
                <w:rFonts w:ascii="Times New Roman"/>
                <w:szCs w:val="18"/>
              </w:rPr>
              <w:t>玻璃电极法</w:t>
            </w:r>
          </w:p>
        </w:tc>
        <w:tc>
          <w:tcPr>
            <w:tcW w:w="3112" w:type="dxa"/>
            <w:shd w:val="clear" w:color="auto" w:fill="auto"/>
            <w:vAlign w:val="center"/>
          </w:tcPr>
          <w:p w14:paraId="4D72E1FA" w14:textId="534FDD5D" w:rsidR="00466C8D" w:rsidRPr="00F06197" w:rsidRDefault="00000000">
            <w:pPr>
              <w:pStyle w:val="affffffffffff3"/>
              <w:ind w:firstLineChars="0" w:firstLine="0"/>
              <w:rPr>
                <w:rFonts w:ascii="Times New Roman"/>
                <w:sz w:val="18"/>
                <w:szCs w:val="18"/>
              </w:rPr>
            </w:pPr>
            <w:r w:rsidRPr="00F06197">
              <w:rPr>
                <w:rFonts w:ascii="Times New Roman"/>
                <w:sz w:val="18"/>
                <w:szCs w:val="18"/>
              </w:rPr>
              <w:t>测量最小范围：</w:t>
            </w:r>
            <w:r w:rsidRPr="00F06197">
              <w:rPr>
                <w:rFonts w:ascii="Times New Roman"/>
                <w:sz w:val="18"/>
                <w:szCs w:val="18"/>
              </w:rPr>
              <w:t>2~12</w:t>
            </w:r>
            <w:r w:rsidRPr="00F06197">
              <w:rPr>
                <w:rFonts w:ascii="Times New Roman"/>
                <w:sz w:val="18"/>
                <w:szCs w:val="18"/>
              </w:rPr>
              <w:t>（</w:t>
            </w:r>
            <w:r w:rsidRPr="00F06197">
              <w:rPr>
                <w:rFonts w:ascii="Times New Roman"/>
                <w:sz w:val="18"/>
                <w:szCs w:val="18"/>
              </w:rPr>
              <w:t>0</w:t>
            </w:r>
            <w:r w:rsidR="00F06197">
              <w:rPr>
                <w:rFonts w:ascii="Times New Roman"/>
                <w:sz w:val="18"/>
                <w:szCs w:val="18"/>
              </w:rPr>
              <w:t xml:space="preserve"> </w:t>
            </w:r>
            <w:r w:rsidR="00F06197" w:rsidRPr="00F06197">
              <w:rPr>
                <w:rFonts w:ascii="Times New Roman"/>
                <w:sz w:val="18"/>
                <w:szCs w:val="18"/>
              </w:rPr>
              <w:t>℃</w:t>
            </w:r>
            <w:r w:rsidRPr="00F06197">
              <w:rPr>
                <w:rFonts w:ascii="Times New Roman"/>
                <w:sz w:val="18"/>
                <w:szCs w:val="18"/>
              </w:rPr>
              <w:t>~40</w:t>
            </w:r>
            <w:r w:rsidR="00F06197">
              <w:rPr>
                <w:rFonts w:ascii="Times New Roman"/>
                <w:sz w:val="18"/>
                <w:szCs w:val="18"/>
              </w:rPr>
              <w:t xml:space="preserve"> </w:t>
            </w:r>
            <w:r w:rsidRPr="00F06197">
              <w:rPr>
                <w:rFonts w:ascii="Times New Roman"/>
                <w:sz w:val="18"/>
                <w:szCs w:val="18"/>
              </w:rPr>
              <w:t>℃</w:t>
            </w:r>
            <w:r w:rsidRPr="00F06197">
              <w:rPr>
                <w:rFonts w:ascii="Times New Roman"/>
                <w:sz w:val="18"/>
                <w:szCs w:val="18"/>
              </w:rPr>
              <w:t>）</w:t>
            </w:r>
          </w:p>
          <w:p w14:paraId="4B54148D" w14:textId="77777777" w:rsidR="00466C8D" w:rsidRPr="00F06197" w:rsidRDefault="00000000">
            <w:pPr>
              <w:pStyle w:val="affffffffffff3"/>
              <w:ind w:firstLineChars="0" w:firstLine="0"/>
              <w:rPr>
                <w:rFonts w:ascii="Times New Roman"/>
                <w:sz w:val="18"/>
                <w:szCs w:val="18"/>
              </w:rPr>
            </w:pPr>
            <w:r w:rsidRPr="00F06197">
              <w:rPr>
                <w:rFonts w:ascii="Times New Roman"/>
                <w:sz w:val="18"/>
                <w:szCs w:val="18"/>
              </w:rPr>
              <w:t>分辨率：</w:t>
            </w:r>
            <w:r w:rsidRPr="00F06197">
              <w:rPr>
                <w:rFonts w:ascii="Times New Roman"/>
                <w:sz w:val="18"/>
                <w:szCs w:val="18"/>
              </w:rPr>
              <w:t>0.01</w:t>
            </w:r>
          </w:p>
          <w:p w14:paraId="73A5522A" w14:textId="77777777" w:rsidR="00466C8D" w:rsidRPr="00F06197" w:rsidRDefault="00000000">
            <w:pPr>
              <w:pStyle w:val="affffffffff2"/>
              <w:jc w:val="both"/>
              <w:rPr>
                <w:rFonts w:ascii="Times New Roman"/>
                <w:szCs w:val="18"/>
              </w:rPr>
            </w:pPr>
            <w:r w:rsidRPr="00F06197">
              <w:rPr>
                <w:rFonts w:ascii="Times New Roman"/>
                <w:szCs w:val="18"/>
              </w:rPr>
              <w:t>准确度：</w:t>
            </w:r>
            <w:r w:rsidRPr="00F06197">
              <w:rPr>
                <w:rFonts w:ascii="Times New Roman"/>
                <w:szCs w:val="18"/>
              </w:rPr>
              <w:t>±0.1</w:t>
            </w:r>
            <w:r w:rsidRPr="00F06197">
              <w:rPr>
                <w:rFonts w:ascii="Times New Roman"/>
                <w:szCs w:val="18"/>
              </w:rPr>
              <w:t>级</w:t>
            </w:r>
          </w:p>
        </w:tc>
      </w:tr>
    </w:tbl>
    <w:p w14:paraId="55B00C29" w14:textId="77777777" w:rsidR="00466C8D" w:rsidRDefault="00000000">
      <w:pPr>
        <w:pStyle w:val="afffffe"/>
        <w:ind w:firstLineChars="0" w:firstLine="0"/>
        <w:jc w:val="center"/>
      </w:pPr>
      <w:bookmarkStart w:id="73" w:name="BookMark8"/>
      <w:bookmarkEnd w:id="70"/>
      <w:r>
        <w:rPr>
          <w:noProof/>
        </w:rPr>
        <w:drawing>
          <wp:inline distT="0" distB="0" distL="0" distR="0" wp14:anchorId="398D755F" wp14:editId="02DC9CC0">
            <wp:extent cx="1485900" cy="317500"/>
            <wp:effectExtent l="0" t="0" r="0" b="6350"/>
            <wp:docPr id="2024433501" name="图片 1"/>
            <wp:cNvGraphicFramePr/>
            <a:graphic xmlns:a="http://schemas.openxmlformats.org/drawingml/2006/main">
              <a:graphicData uri="http://schemas.openxmlformats.org/drawingml/2006/picture">
                <pic:pic xmlns:pic="http://schemas.openxmlformats.org/drawingml/2006/picture">
                  <pic:nvPicPr>
                    <pic:cNvPr id="2024433501" name="图片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rsidR="00466C8D">
      <w:pgSz w:w="11906" w:h="16838"/>
      <w:pgMar w:top="1928"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FCF27" w14:textId="77777777" w:rsidR="004675C9" w:rsidRDefault="004675C9">
      <w:pPr>
        <w:spacing w:line="240" w:lineRule="auto"/>
      </w:pPr>
      <w:r>
        <w:separator/>
      </w:r>
    </w:p>
  </w:endnote>
  <w:endnote w:type="continuationSeparator" w:id="0">
    <w:p w14:paraId="7A6F98DA" w14:textId="77777777" w:rsidR="004675C9" w:rsidRDefault="004675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EF1A6" w14:textId="77777777" w:rsidR="00466C8D"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59E8" w14:textId="77777777" w:rsidR="00466C8D" w:rsidRDefault="00466C8D">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1F40" w14:textId="77777777" w:rsidR="00466C8D" w:rsidRDefault="00000000">
    <w:pPr>
      <w:pStyle w:val="afffffb"/>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4D092" w14:textId="77777777" w:rsidR="004675C9" w:rsidRDefault="004675C9">
      <w:pPr>
        <w:spacing w:line="240" w:lineRule="auto"/>
      </w:pPr>
      <w:r>
        <w:separator/>
      </w:r>
    </w:p>
  </w:footnote>
  <w:footnote w:type="continuationSeparator" w:id="0">
    <w:p w14:paraId="2A068FD0" w14:textId="77777777" w:rsidR="004675C9" w:rsidRDefault="004675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3496" w14:textId="77777777" w:rsidR="00466C8D" w:rsidRDefault="00466C8D">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EDCB" w14:textId="77777777" w:rsidR="00466C8D" w:rsidRDefault="00000000">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74514" w14:textId="77777777" w:rsidR="00466C8D" w:rsidRDefault="00466C8D">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7338" w14:textId="77777777" w:rsidR="00466C8D" w:rsidRDefault="00000000">
    <w:pPr>
      <w:pStyle w:val="affff6"/>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32/T  XXXX—XXXX</w:t>
    </w:r>
    <w:r>
      <w:rPr>
        <w:lang w:val="fr-F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01FAB" w14:textId="25AD57C8" w:rsidR="00466C8D" w:rsidRDefault="00000000">
    <w:pPr>
      <w:pStyle w:val="affffff3"/>
    </w:pPr>
    <w:r>
      <w:fldChar w:fldCharType="begin"/>
    </w:r>
    <w:r>
      <w:instrText xml:space="preserve"> STYLEREF  标准文件_文件编号  \* MERGEFORMAT </w:instrText>
    </w:r>
    <w:r>
      <w:fldChar w:fldCharType="separate"/>
    </w:r>
    <w:r w:rsidR="00F06197">
      <w:rPr>
        <w:noProof/>
      </w:rPr>
      <w:t>DB 32/T  XXXX</w:t>
    </w:r>
    <w:r w:rsidR="00F06197">
      <w:rPr>
        <w:noProof/>
      </w:rPr>
      <w:t>—</w:t>
    </w:r>
    <w:r w:rsidR="00F0619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2"/>
      <w:suff w:val="nothing"/>
      <w:lvlText w:val="%1%2.%3.%4　"/>
      <w:lvlJc w:val="left"/>
      <w:pPr>
        <w:ind w:left="0" w:firstLine="0"/>
      </w:pPr>
      <w:rPr>
        <w:rFonts w:ascii="黑体" w:eastAsia="黑体" w:hint="default"/>
        <w:b w:val="0"/>
        <w:i w:val="0"/>
        <w:sz w:val="21"/>
        <w:shd w:val="clear" w:color="auto" w:fill="FFFFFF" w:themeFill="background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87849577">
    <w:abstractNumId w:val="0"/>
  </w:num>
  <w:num w:numId="2" w16cid:durableId="1293825504">
    <w:abstractNumId w:val="28"/>
  </w:num>
  <w:num w:numId="3" w16cid:durableId="2040232401">
    <w:abstractNumId w:val="5"/>
  </w:num>
  <w:num w:numId="4" w16cid:durableId="1203713338">
    <w:abstractNumId w:val="24"/>
  </w:num>
  <w:num w:numId="5" w16cid:durableId="1052658230">
    <w:abstractNumId w:val="19"/>
  </w:num>
  <w:num w:numId="6" w16cid:durableId="454914055">
    <w:abstractNumId w:val="14"/>
  </w:num>
  <w:num w:numId="7" w16cid:durableId="1930850103">
    <w:abstractNumId w:val="8"/>
  </w:num>
  <w:num w:numId="8" w16cid:durableId="305009957">
    <w:abstractNumId w:val="3"/>
  </w:num>
  <w:num w:numId="9" w16cid:durableId="2076857015">
    <w:abstractNumId w:val="9"/>
  </w:num>
  <w:num w:numId="10" w16cid:durableId="783187656">
    <w:abstractNumId w:val="17"/>
  </w:num>
  <w:num w:numId="11" w16cid:durableId="2105221948">
    <w:abstractNumId w:val="26"/>
  </w:num>
  <w:num w:numId="12" w16cid:durableId="702438062">
    <w:abstractNumId w:val="12"/>
  </w:num>
  <w:num w:numId="13" w16cid:durableId="873006449">
    <w:abstractNumId w:val="13"/>
  </w:num>
  <w:num w:numId="14" w16cid:durableId="458454454">
    <w:abstractNumId w:val="7"/>
  </w:num>
  <w:num w:numId="15" w16cid:durableId="1974600892">
    <w:abstractNumId w:val="20"/>
  </w:num>
  <w:num w:numId="16" w16cid:durableId="1134713520">
    <w:abstractNumId w:val="22"/>
  </w:num>
  <w:num w:numId="17" w16cid:durableId="490021415">
    <w:abstractNumId w:val="18"/>
  </w:num>
  <w:num w:numId="18" w16cid:durableId="1125074365">
    <w:abstractNumId w:val="30"/>
  </w:num>
  <w:num w:numId="19" w16cid:durableId="243148610">
    <w:abstractNumId w:val="16"/>
  </w:num>
  <w:num w:numId="20" w16cid:durableId="743068158">
    <w:abstractNumId w:val="1"/>
  </w:num>
  <w:num w:numId="21" w16cid:durableId="926694750">
    <w:abstractNumId w:val="11"/>
  </w:num>
  <w:num w:numId="22" w16cid:durableId="1365598191">
    <w:abstractNumId w:val="31"/>
  </w:num>
  <w:num w:numId="23" w16cid:durableId="205070946">
    <w:abstractNumId w:val="21"/>
  </w:num>
  <w:num w:numId="24" w16cid:durableId="15280747">
    <w:abstractNumId w:val="6"/>
  </w:num>
  <w:num w:numId="25" w16cid:durableId="352848795">
    <w:abstractNumId w:val="27"/>
  </w:num>
  <w:num w:numId="26" w16cid:durableId="1142962285">
    <w:abstractNumId w:val="29"/>
  </w:num>
  <w:num w:numId="27" w16cid:durableId="2089689401">
    <w:abstractNumId w:val="2"/>
  </w:num>
  <w:num w:numId="28" w16cid:durableId="1152258473">
    <w:abstractNumId w:val="4"/>
  </w:num>
  <w:num w:numId="29" w16cid:durableId="1198465872">
    <w:abstractNumId w:val="15"/>
  </w:num>
  <w:num w:numId="30" w16cid:durableId="1836678253">
    <w:abstractNumId w:val="25"/>
  </w:num>
  <w:num w:numId="31" w16cid:durableId="1126312394">
    <w:abstractNumId w:val="23"/>
  </w:num>
  <w:num w:numId="32" w16cid:durableId="1137721575">
    <w:abstractNumId w:val="10"/>
  </w:num>
  <w:num w:numId="33" w16cid:durableId="1503549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11803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43899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documentProtection w:edit="forms" w:enforcement="1" w:cryptProviderType="rsaAES" w:cryptAlgorithmClass="hash" w:cryptAlgorithmType="typeAny" w:cryptAlgorithmSid="14" w:cryptSpinCount="100000" w:hash="fcdwh1zMfdjhw4RRzrRhD3HLQV2JaurL1rnB5hGyjHnNIapBUU3xb799YSIoDSHifNIJCKrvElQzLQrKtVaUMw==" w:salt="ycJCe3eribtnDlOo92KTa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GQ4NzEzOTFiNWNjZTM4YmI1YmFkYWY5ZDAwMTBhNWMifQ=="/>
  </w:docVars>
  <w:rsids>
    <w:rsidRoot w:val="000E6FF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64"/>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87B"/>
    <w:rsid w:val="000E4C9E"/>
    <w:rsid w:val="000E6FD7"/>
    <w:rsid w:val="000E6FF2"/>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4A"/>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C23"/>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B1A"/>
    <w:rsid w:val="00407D39"/>
    <w:rsid w:val="0041477A"/>
    <w:rsid w:val="004167A3"/>
    <w:rsid w:val="00426770"/>
    <w:rsid w:val="00432DAA"/>
    <w:rsid w:val="00434305"/>
    <w:rsid w:val="00435DF7"/>
    <w:rsid w:val="0044083F"/>
    <w:rsid w:val="00441AE7"/>
    <w:rsid w:val="00442153"/>
    <w:rsid w:val="00445574"/>
    <w:rsid w:val="004467FB"/>
    <w:rsid w:val="00452D6B"/>
    <w:rsid w:val="00454484"/>
    <w:rsid w:val="0045517B"/>
    <w:rsid w:val="00463B77"/>
    <w:rsid w:val="00463C7B"/>
    <w:rsid w:val="004644A6"/>
    <w:rsid w:val="004659BD"/>
    <w:rsid w:val="00466C8D"/>
    <w:rsid w:val="004675C9"/>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3C2"/>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5E3"/>
    <w:rsid w:val="008E4BB6"/>
    <w:rsid w:val="008E5342"/>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11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CD9"/>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9E8"/>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FE9"/>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2ED8"/>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2BB1"/>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CFB"/>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03B"/>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6CAE"/>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E4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8F1"/>
    <w:rsid w:val="00EC5359"/>
    <w:rsid w:val="00EC562A"/>
    <w:rsid w:val="00ED067A"/>
    <w:rsid w:val="00ED2B50"/>
    <w:rsid w:val="00EE0350"/>
    <w:rsid w:val="00EE0719"/>
    <w:rsid w:val="00EE0E80"/>
    <w:rsid w:val="00EE427A"/>
    <w:rsid w:val="00EE54A6"/>
    <w:rsid w:val="00EE613F"/>
    <w:rsid w:val="00EE7295"/>
    <w:rsid w:val="00EE7869"/>
    <w:rsid w:val="00EF054A"/>
    <w:rsid w:val="00EF3235"/>
    <w:rsid w:val="00EF7E72"/>
    <w:rsid w:val="00F06197"/>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B97C05"/>
    <w:rsid w:val="0451447E"/>
    <w:rsid w:val="05775909"/>
    <w:rsid w:val="0680729D"/>
    <w:rsid w:val="06FA6BB9"/>
    <w:rsid w:val="070B300A"/>
    <w:rsid w:val="07276C9B"/>
    <w:rsid w:val="0764271A"/>
    <w:rsid w:val="07A7113D"/>
    <w:rsid w:val="0A334D52"/>
    <w:rsid w:val="0AEF2413"/>
    <w:rsid w:val="0B0C02DA"/>
    <w:rsid w:val="0BF2799B"/>
    <w:rsid w:val="0FAC24A5"/>
    <w:rsid w:val="1045758D"/>
    <w:rsid w:val="12DC3AAD"/>
    <w:rsid w:val="13602D79"/>
    <w:rsid w:val="14AD74AF"/>
    <w:rsid w:val="14C111AC"/>
    <w:rsid w:val="16774218"/>
    <w:rsid w:val="187E6433"/>
    <w:rsid w:val="188E75F7"/>
    <w:rsid w:val="19DB134E"/>
    <w:rsid w:val="1A3B555D"/>
    <w:rsid w:val="1C241F22"/>
    <w:rsid w:val="1D721295"/>
    <w:rsid w:val="1E032835"/>
    <w:rsid w:val="1EAF2075"/>
    <w:rsid w:val="1F15637C"/>
    <w:rsid w:val="1F697B09"/>
    <w:rsid w:val="1F84555D"/>
    <w:rsid w:val="209B0B03"/>
    <w:rsid w:val="21136DBF"/>
    <w:rsid w:val="21E84A4D"/>
    <w:rsid w:val="22916662"/>
    <w:rsid w:val="23FB7198"/>
    <w:rsid w:val="24DF6981"/>
    <w:rsid w:val="25382DC5"/>
    <w:rsid w:val="25761B3F"/>
    <w:rsid w:val="269F03EB"/>
    <w:rsid w:val="27DB3EDB"/>
    <w:rsid w:val="28C50E13"/>
    <w:rsid w:val="29DA114E"/>
    <w:rsid w:val="2ABF1D23"/>
    <w:rsid w:val="2AC1560A"/>
    <w:rsid w:val="2BBB6151"/>
    <w:rsid w:val="2BC2788C"/>
    <w:rsid w:val="2C5D1363"/>
    <w:rsid w:val="308C2216"/>
    <w:rsid w:val="30E43E01"/>
    <w:rsid w:val="336A1CFA"/>
    <w:rsid w:val="348C0A37"/>
    <w:rsid w:val="349F21F1"/>
    <w:rsid w:val="35E46E23"/>
    <w:rsid w:val="366C63E4"/>
    <w:rsid w:val="36B97ADD"/>
    <w:rsid w:val="36CC4181"/>
    <w:rsid w:val="37054AD1"/>
    <w:rsid w:val="37C1103E"/>
    <w:rsid w:val="37D87DC2"/>
    <w:rsid w:val="37F77C73"/>
    <w:rsid w:val="390D4744"/>
    <w:rsid w:val="398048E2"/>
    <w:rsid w:val="39D8471E"/>
    <w:rsid w:val="3AAE2B33"/>
    <w:rsid w:val="3AC46E50"/>
    <w:rsid w:val="3B382B6F"/>
    <w:rsid w:val="3BE21884"/>
    <w:rsid w:val="3C6427AB"/>
    <w:rsid w:val="3D1C4922"/>
    <w:rsid w:val="3D3D6D72"/>
    <w:rsid w:val="3DEB4A20"/>
    <w:rsid w:val="3E0926FD"/>
    <w:rsid w:val="3ED01E68"/>
    <w:rsid w:val="3F5E1222"/>
    <w:rsid w:val="400242A3"/>
    <w:rsid w:val="4003047E"/>
    <w:rsid w:val="402204A1"/>
    <w:rsid w:val="40EA7211"/>
    <w:rsid w:val="41AC44C7"/>
    <w:rsid w:val="42C53717"/>
    <w:rsid w:val="434B7D0F"/>
    <w:rsid w:val="43E75C8A"/>
    <w:rsid w:val="45332D06"/>
    <w:rsid w:val="45FC3821"/>
    <w:rsid w:val="46623CEE"/>
    <w:rsid w:val="46696E2A"/>
    <w:rsid w:val="468772B0"/>
    <w:rsid w:val="46AD2083"/>
    <w:rsid w:val="48284AC3"/>
    <w:rsid w:val="4A8A55C1"/>
    <w:rsid w:val="4ACA3C0F"/>
    <w:rsid w:val="4B182BCD"/>
    <w:rsid w:val="4BE40D01"/>
    <w:rsid w:val="4BF21670"/>
    <w:rsid w:val="4CAF130F"/>
    <w:rsid w:val="4F4B5164"/>
    <w:rsid w:val="4F4F42CF"/>
    <w:rsid w:val="4FBF5D0D"/>
    <w:rsid w:val="50106568"/>
    <w:rsid w:val="501E081E"/>
    <w:rsid w:val="529867BF"/>
    <w:rsid w:val="52ED221B"/>
    <w:rsid w:val="53C50C6D"/>
    <w:rsid w:val="53E255A0"/>
    <w:rsid w:val="545F186C"/>
    <w:rsid w:val="54E12281"/>
    <w:rsid w:val="55C93441"/>
    <w:rsid w:val="57803FD4"/>
    <w:rsid w:val="58C93758"/>
    <w:rsid w:val="5A9D4E9D"/>
    <w:rsid w:val="5C545A2F"/>
    <w:rsid w:val="5DDD6D2C"/>
    <w:rsid w:val="5E0C1986"/>
    <w:rsid w:val="60A056E7"/>
    <w:rsid w:val="61846537"/>
    <w:rsid w:val="61CB2CF5"/>
    <w:rsid w:val="61CF5B63"/>
    <w:rsid w:val="63DF2082"/>
    <w:rsid w:val="63FC0E86"/>
    <w:rsid w:val="65220AF2"/>
    <w:rsid w:val="654C1062"/>
    <w:rsid w:val="66C30F2C"/>
    <w:rsid w:val="677569C7"/>
    <w:rsid w:val="68962FB4"/>
    <w:rsid w:val="68AF4719"/>
    <w:rsid w:val="69650EF8"/>
    <w:rsid w:val="69CC2F1F"/>
    <w:rsid w:val="6BD6020E"/>
    <w:rsid w:val="6C8A03A0"/>
    <w:rsid w:val="6D627B71"/>
    <w:rsid w:val="6E1F40EF"/>
    <w:rsid w:val="72435ED2"/>
    <w:rsid w:val="746972F3"/>
    <w:rsid w:val="75630B78"/>
    <w:rsid w:val="765E32DA"/>
    <w:rsid w:val="776B5294"/>
    <w:rsid w:val="786372CE"/>
    <w:rsid w:val="79992D84"/>
    <w:rsid w:val="7A173ECC"/>
    <w:rsid w:val="7A7F0975"/>
    <w:rsid w:val="7AD8364C"/>
    <w:rsid w:val="7B1934EF"/>
    <w:rsid w:val="7BDD683E"/>
    <w:rsid w:val="7C1A5EF5"/>
    <w:rsid w:val="7C857813"/>
    <w:rsid w:val="7F0E1B48"/>
    <w:rsid w:val="7F97010B"/>
    <w:rsid w:val="7FBA7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2"/>
    </o:shapelayout>
  </w:shapeDefaults>
  <w:decimalSymbol w:val="."/>
  <w:listSeparator w:val=","/>
  <w14:docId w14:val="46495EF2"/>
  <w15:docId w15:val="{1B64E853-644D-4DFD-BC14-57F32BCD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9">
    <w:name w:val="Normal"/>
    <w:qFormat/>
    <w:pPr>
      <w:widowControl w:val="0"/>
      <w:adjustRightInd w:val="0"/>
      <w:spacing w:line="400" w:lineRule="exact"/>
      <w:jc w:val="both"/>
    </w:pPr>
    <w:rPr>
      <w:kern w:val="2"/>
      <w:sz w:val="21"/>
      <w:szCs w:val="21"/>
    </w:rPr>
  </w:style>
  <w:style w:type="paragraph" w:styleId="1">
    <w:name w:val="heading 1"/>
    <w:basedOn w:val="afff9"/>
    <w:next w:val="afff9"/>
    <w:link w:val="10"/>
    <w:qFormat/>
    <w:pPr>
      <w:keepNext/>
      <w:keepLines/>
      <w:spacing w:before="340" w:after="330" w:line="578" w:lineRule="auto"/>
      <w:outlineLvl w:val="0"/>
    </w:pPr>
    <w:rPr>
      <w:b/>
      <w:bCs/>
      <w:kern w:val="44"/>
      <w:sz w:val="44"/>
      <w:szCs w:val="44"/>
    </w:rPr>
  </w:style>
  <w:style w:type="paragraph" w:styleId="22">
    <w:name w:val="heading 2"/>
    <w:basedOn w:val="afff9"/>
    <w:next w:val="afff9"/>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pPr>
      <w:keepNext/>
      <w:keepLines/>
      <w:spacing w:before="260" w:after="260" w:line="416" w:lineRule="auto"/>
      <w:outlineLvl w:val="2"/>
    </w:pPr>
    <w:rPr>
      <w:b/>
      <w:bCs/>
      <w:sz w:val="32"/>
      <w:szCs w:val="32"/>
    </w:rPr>
  </w:style>
  <w:style w:type="paragraph" w:styleId="4">
    <w:name w:val="heading 4"/>
    <w:basedOn w:val="afff9"/>
    <w:next w:val="aff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pPr>
      <w:keepNext/>
      <w:keepLines/>
      <w:adjustRightInd/>
      <w:spacing w:before="280" w:after="290" w:line="376" w:lineRule="auto"/>
      <w:outlineLvl w:val="4"/>
    </w:pPr>
    <w:rPr>
      <w:b/>
      <w:bCs/>
      <w:sz w:val="28"/>
      <w:szCs w:val="28"/>
    </w:rPr>
  </w:style>
  <w:style w:type="paragraph" w:styleId="6">
    <w:name w:val="heading 6"/>
    <w:basedOn w:val="afff9"/>
    <w:next w:val="afff9"/>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pPr>
      <w:keepNext/>
      <w:keepLines/>
      <w:adjustRightInd/>
      <w:spacing w:before="240" w:after="64" w:line="320" w:lineRule="auto"/>
      <w:outlineLvl w:val="6"/>
    </w:pPr>
    <w:rPr>
      <w:b/>
      <w:bCs/>
      <w:sz w:val="24"/>
      <w:szCs w:val="24"/>
    </w:rPr>
  </w:style>
  <w:style w:type="paragraph" w:styleId="8">
    <w:name w:val="heading 8"/>
    <w:basedOn w:val="afff9"/>
    <w:next w:val="afff9"/>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TOC7">
    <w:name w:val="toc 7"/>
    <w:basedOn w:val="afff9"/>
    <w:next w:val="afff9"/>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annotation text"/>
    <w:basedOn w:val="afff9"/>
    <w:link w:val="affff"/>
    <w:uiPriority w:val="99"/>
    <w:semiHidden/>
    <w:unhideWhenUsed/>
    <w:qFormat/>
    <w:pPr>
      <w:jc w:val="left"/>
    </w:pPr>
  </w:style>
  <w:style w:type="paragraph" w:styleId="affff0">
    <w:name w:val="Body Text"/>
    <w:basedOn w:val="afff9"/>
    <w:link w:val="affff1"/>
    <w:qFormat/>
    <w:pPr>
      <w:spacing w:after="120"/>
    </w:pPr>
  </w:style>
  <w:style w:type="paragraph" w:styleId="TOC5">
    <w:name w:val="toc 5"/>
    <w:basedOn w:val="afff9"/>
    <w:next w:val="afff9"/>
    <w:uiPriority w:val="39"/>
    <w:unhideWhenUsed/>
    <w:qFormat/>
    <w:pPr>
      <w:ind w:left="839"/>
    </w:pPr>
    <w:rPr>
      <w:rFonts w:ascii="宋体"/>
    </w:rPr>
  </w:style>
  <w:style w:type="paragraph" w:styleId="TOC3">
    <w:name w:val="toc 3"/>
    <w:basedOn w:val="afff9"/>
    <w:next w:val="afff9"/>
    <w:uiPriority w:val="39"/>
    <w:unhideWhenUsed/>
    <w:qFormat/>
    <w:pPr>
      <w:spacing w:line="300" w:lineRule="exact"/>
      <w:ind w:left="420"/>
    </w:pPr>
    <w:rPr>
      <w:rFonts w:ascii="宋体"/>
    </w:rPr>
  </w:style>
  <w:style w:type="paragraph" w:styleId="affff2">
    <w:name w:val="Balloon Text"/>
    <w:basedOn w:val="afff9"/>
    <w:link w:val="affff3"/>
    <w:uiPriority w:val="99"/>
    <w:semiHidden/>
    <w:unhideWhenUsed/>
    <w:qFormat/>
    <w:rPr>
      <w:sz w:val="18"/>
      <w:szCs w:val="18"/>
    </w:rPr>
  </w:style>
  <w:style w:type="paragraph" w:styleId="affff4">
    <w:name w:val="footer"/>
    <w:basedOn w:val="afff9"/>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9"/>
    <w:link w:val="affff7"/>
    <w:uiPriority w:val="99"/>
    <w:qFormat/>
    <w:pPr>
      <w:tabs>
        <w:tab w:val="center" w:pos="4153"/>
        <w:tab w:val="right" w:pos="8306"/>
      </w:tabs>
      <w:adjustRightInd/>
      <w:snapToGrid w:val="0"/>
      <w:jc w:val="center"/>
    </w:pPr>
    <w:rPr>
      <w:sz w:val="18"/>
      <w:szCs w:val="18"/>
    </w:rPr>
  </w:style>
  <w:style w:type="paragraph" w:styleId="TOC1">
    <w:name w:val="toc 1"/>
    <w:basedOn w:val="afff9"/>
    <w:next w:val="afff9"/>
    <w:uiPriority w:val="39"/>
    <w:unhideWhenUsed/>
    <w:qFormat/>
    <w:rPr>
      <w:rFonts w:ascii="宋体"/>
    </w:rPr>
  </w:style>
  <w:style w:type="paragraph" w:styleId="TOC4">
    <w:name w:val="toc 4"/>
    <w:basedOn w:val="afff9"/>
    <w:next w:val="afff9"/>
    <w:uiPriority w:val="39"/>
    <w:unhideWhenUsed/>
    <w:qFormat/>
    <w:pPr>
      <w:tabs>
        <w:tab w:val="right" w:leader="dot" w:pos="9344"/>
      </w:tabs>
      <w:spacing w:line="300" w:lineRule="exact"/>
      <w:ind w:left="629"/>
    </w:pPr>
    <w:rPr>
      <w:rFonts w:ascii="宋体"/>
    </w:rPr>
  </w:style>
  <w:style w:type="paragraph" w:styleId="affff8">
    <w:name w:val="footnote text"/>
    <w:basedOn w:val="afff9"/>
    <w:next w:val="afff9"/>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9"/>
    <w:next w:val="afff9"/>
    <w:uiPriority w:val="39"/>
    <w:unhideWhenUsed/>
    <w:qFormat/>
    <w:pPr>
      <w:spacing w:line="300" w:lineRule="exact"/>
      <w:ind w:left="1049"/>
    </w:pPr>
    <w:rPr>
      <w:rFonts w:ascii="宋体"/>
    </w:rPr>
  </w:style>
  <w:style w:type="paragraph" w:styleId="affffa">
    <w:name w:val="table of figures"/>
    <w:basedOn w:val="afff9"/>
    <w:next w:val="afff9"/>
    <w:semiHidden/>
    <w:qFormat/>
    <w:pPr>
      <w:adjustRightInd/>
      <w:spacing w:line="240" w:lineRule="auto"/>
      <w:jc w:val="left"/>
    </w:pPr>
    <w:rPr>
      <w:szCs w:val="24"/>
    </w:rPr>
  </w:style>
  <w:style w:type="paragraph" w:styleId="TOC2">
    <w:name w:val="toc 2"/>
    <w:basedOn w:val="afff9"/>
    <w:next w:val="afff9"/>
    <w:uiPriority w:val="39"/>
    <w:unhideWhenUsed/>
    <w:qFormat/>
    <w:pPr>
      <w:tabs>
        <w:tab w:val="right" w:leader="dot" w:pos="9344"/>
      </w:tabs>
      <w:spacing w:line="300" w:lineRule="exact"/>
      <w:ind w:left="210"/>
    </w:pPr>
    <w:rPr>
      <w:rFonts w:ascii="宋体"/>
    </w:rPr>
  </w:style>
  <w:style w:type="paragraph" w:styleId="affffb">
    <w:name w:val="Title"/>
    <w:basedOn w:val="afff9"/>
    <w:link w:val="affffc"/>
    <w:qFormat/>
    <w:pPr>
      <w:spacing w:before="240" w:after="60"/>
      <w:jc w:val="center"/>
      <w:outlineLvl w:val="0"/>
    </w:pPr>
    <w:rPr>
      <w:rFonts w:ascii="Arial" w:hAnsi="Arial" w:cs="Arial"/>
      <w:b/>
      <w:bCs/>
      <w:sz w:val="32"/>
      <w:szCs w:val="32"/>
    </w:rPr>
  </w:style>
  <w:style w:type="paragraph" w:styleId="affffd">
    <w:name w:val="annotation subject"/>
    <w:basedOn w:val="afffe"/>
    <w:next w:val="afffe"/>
    <w:link w:val="affffe"/>
    <w:uiPriority w:val="99"/>
    <w:semiHidden/>
    <w:unhideWhenUsed/>
    <w:qFormat/>
    <w:rPr>
      <w:b/>
      <w:bCs/>
    </w:rPr>
  </w:style>
  <w:style w:type="table" w:styleId="afffff">
    <w:name w:val="Table Grid"/>
    <w:basedOn w:val="afffb"/>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annotation reference"/>
    <w:basedOn w:val="afffa"/>
    <w:uiPriority w:val="99"/>
    <w:semiHidden/>
    <w:unhideWhenUsed/>
    <w:qFormat/>
    <w:rPr>
      <w:sz w:val="21"/>
      <w:szCs w:val="21"/>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6">
    <w:name w:val="Quote"/>
    <w:basedOn w:val="afff9"/>
    <w:next w:val="afff9"/>
    <w:link w:val="afffff7"/>
    <w:uiPriority w:val="29"/>
    <w:qFormat/>
    <w:rPr>
      <w:i/>
      <w:iCs/>
      <w:color w:val="000000"/>
    </w:rPr>
  </w:style>
  <w:style w:type="character" w:customStyle="1" w:styleId="afffff7">
    <w:name w:val="引用 字符"/>
    <w:link w:val="afffff6"/>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8">
    <w:name w:val="标准标志"/>
    <w:next w:val="afff9"/>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9">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a">
    <w:name w:val="标准文件_页脚偶数页"/>
    <w:qFormat/>
    <w:pPr>
      <w:ind w:left="198"/>
    </w:pPr>
    <w:rPr>
      <w:rFonts w:ascii="宋体" w:hAnsi="Times New Roman"/>
      <w:sz w:val="18"/>
    </w:rPr>
  </w:style>
  <w:style w:type="paragraph" w:customStyle="1" w:styleId="afffffb">
    <w:name w:val="标准文件_页脚奇数页"/>
    <w:qFormat/>
    <w:pPr>
      <w:ind w:right="227"/>
      <w:jc w:val="right"/>
    </w:pPr>
    <w:rPr>
      <w:rFonts w:ascii="宋体" w:hAnsi="Times New Roman"/>
      <w:sz w:val="18"/>
    </w:rPr>
  </w:style>
  <w:style w:type="paragraph" w:customStyle="1" w:styleId="afffffc">
    <w:name w:val="标准书眉一"/>
    <w:qFormat/>
    <w:pPr>
      <w:jc w:val="both"/>
    </w:pPr>
    <w:rPr>
      <w:rFonts w:ascii="Times New Roman" w:hAnsi="Times New Roman"/>
    </w:rPr>
  </w:style>
  <w:style w:type="paragraph" w:customStyle="1" w:styleId="ICS">
    <w:name w:val="标准文件_ICS"/>
    <w:basedOn w:val="afff9"/>
    <w:qFormat/>
    <w:pPr>
      <w:spacing w:line="0" w:lineRule="atLeast"/>
    </w:pPr>
    <w:rPr>
      <w:rFonts w:ascii="黑体" w:eastAsia="黑体" w:hAnsi="宋体"/>
    </w:rPr>
  </w:style>
  <w:style w:type="paragraph" w:customStyle="1" w:styleId="afffffd">
    <w:name w:val="标准文件_标准正文"/>
    <w:basedOn w:val="afff9"/>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hAnsi="Times New Roman"/>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9"/>
    <w:qFormat/>
    <w:pPr>
      <w:jc w:val="center"/>
    </w:pPr>
    <w:rPr>
      <w:rFonts w:ascii="黑体" w:eastAsia="黑体"/>
      <w:kern w:val="0"/>
      <w:sz w:val="44"/>
    </w:rPr>
  </w:style>
  <w:style w:type="paragraph" w:customStyle="1" w:styleId="affffff1">
    <w:name w:val="标准文件_标准代替"/>
    <w:basedOn w:val="afff9"/>
    <w:next w:val="afff9"/>
    <w:qFormat/>
    <w:pPr>
      <w:spacing w:line="310" w:lineRule="exact"/>
      <w:jc w:val="right"/>
    </w:pPr>
    <w:rPr>
      <w:rFonts w:ascii="宋体" w:hAnsi="宋体"/>
      <w:kern w:val="0"/>
    </w:rPr>
  </w:style>
  <w:style w:type="paragraph" w:customStyle="1" w:styleId="affffff2">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9"/>
    <w:qFormat/>
    <w:pPr>
      <w:jc w:val="left"/>
    </w:pPr>
  </w:style>
  <w:style w:type="paragraph" w:customStyle="1" w:styleId="affffff5">
    <w:name w:val="标准文件_参考文献标题"/>
    <w:basedOn w:val="afff9"/>
    <w:next w:val="afff9"/>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2">
    <w:name w:val="标准文件_二级条标题"/>
    <w:next w:val="afffff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9"/>
    <w:next w:val="affffff1"/>
    <w:qFormat/>
    <w:pPr>
      <w:spacing w:line="310" w:lineRule="exact"/>
      <w:jc w:val="right"/>
    </w:pPr>
    <w:rPr>
      <w:rFonts w:ascii="黑体" w:eastAsia="黑体"/>
      <w:kern w:val="0"/>
      <w:sz w:val="28"/>
    </w:rPr>
  </w:style>
  <w:style w:type="paragraph" w:customStyle="1" w:styleId="affffff8">
    <w:name w:val="标准文件_封面标准分类号"/>
    <w:basedOn w:val="afff9"/>
    <w:qFormat/>
    <w:rPr>
      <w:rFonts w:ascii="黑体" w:eastAsia="黑体"/>
      <w:b/>
      <w:kern w:val="0"/>
      <w:sz w:val="28"/>
    </w:rPr>
  </w:style>
  <w:style w:type="paragraph" w:customStyle="1" w:styleId="affffff9">
    <w:name w:val="标准文件_封面标准名称"/>
    <w:basedOn w:val="afff9"/>
    <w:qFormat/>
    <w:pPr>
      <w:spacing w:line="240" w:lineRule="auto"/>
      <w:jc w:val="center"/>
    </w:pPr>
    <w:rPr>
      <w:rFonts w:ascii="黑体" w:eastAsia="黑体"/>
      <w:kern w:val="0"/>
      <w:sz w:val="52"/>
    </w:rPr>
  </w:style>
  <w:style w:type="paragraph" w:customStyle="1" w:styleId="affffffa">
    <w:name w:val="标准文件_封面标准英文名称"/>
    <w:basedOn w:val="afff9"/>
    <w:qFormat/>
    <w:pPr>
      <w:spacing w:line="240" w:lineRule="auto"/>
      <w:jc w:val="center"/>
    </w:pPr>
    <w:rPr>
      <w:rFonts w:ascii="黑体" w:eastAsia="黑体"/>
      <w:b/>
      <w:sz w:val="28"/>
    </w:rPr>
  </w:style>
  <w:style w:type="paragraph" w:customStyle="1" w:styleId="affffffb">
    <w:name w:val="标准文件_封面发布日期"/>
    <w:basedOn w:val="afff9"/>
    <w:qFormat/>
    <w:pPr>
      <w:spacing w:line="310" w:lineRule="exact"/>
    </w:pPr>
    <w:rPr>
      <w:rFonts w:ascii="黑体" w:eastAsia="黑体"/>
      <w:kern w:val="0"/>
      <w:sz w:val="28"/>
    </w:rPr>
  </w:style>
  <w:style w:type="paragraph" w:customStyle="1" w:styleId="affffffc">
    <w:name w:val="标准文件_封面密级"/>
    <w:basedOn w:val="afff9"/>
    <w:qFormat/>
    <w:rPr>
      <w:rFonts w:eastAsia="黑体"/>
      <w:sz w:val="32"/>
    </w:rPr>
  </w:style>
  <w:style w:type="paragraph" w:customStyle="1" w:styleId="affffffd">
    <w:name w:val="标准文件_封面实施日期"/>
    <w:basedOn w:val="afff9"/>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e"/>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3">
    <w:name w:val="标准文件_附录表标题"/>
    <w:next w:val="afffffe"/>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8">
    <w:name w:val="标准文件_附录一级条标题"/>
    <w:next w:val="afffff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9">
    <w:name w:val="标准文件_附录二级条标题"/>
    <w:basedOn w:val="aff8"/>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b">
    <w:name w:val="标准文件_附录四级条标题"/>
    <w:next w:val="afffff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d">
    <w:name w:val="标准文件_附录图标题"/>
    <w:next w:val="afffffe"/>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c">
    <w:name w:val="标准文件_附录五级条标题"/>
    <w:next w:val="afffff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f2">
    <w:name w:val="标准文件_目次、标准名称标题"/>
    <w:basedOn w:val="a6"/>
    <w:next w:val="afffffe"/>
    <w:qFormat/>
    <w:pPr>
      <w:spacing w:line="460" w:lineRule="exact"/>
      <w:ind w:left="0" w:firstLine="0"/>
    </w:pPr>
  </w:style>
  <w:style w:type="paragraph" w:customStyle="1" w:styleId="afffffff3">
    <w:name w:val="标准文件_目录标题"/>
    <w:basedOn w:val="afff9"/>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0">
    <w:name w:val="标准文件_破折号列项（二级）"/>
    <w:basedOn w:val="af1"/>
    <w:qFormat/>
    <w:pPr>
      <w:numPr>
        <w:numId w:val="10"/>
      </w:numPr>
    </w:pPr>
  </w:style>
  <w:style w:type="paragraph" w:customStyle="1" w:styleId="afff3">
    <w:name w:val="标准文件_三级条标题"/>
    <w:basedOn w:val="afff2"/>
    <w:next w:val="af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5">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9"/>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0">
    <w:name w:val="标准文件_章标题"/>
    <w:next w:val="afffffe"/>
    <w:qFormat/>
    <w:pPr>
      <w:numPr>
        <w:ilvl w:val="1"/>
        <w:numId w:val="2"/>
      </w:numPr>
      <w:spacing w:beforeLines="100" w:afterLines="100"/>
      <w:jc w:val="both"/>
      <w:outlineLvl w:val="0"/>
    </w:pPr>
    <w:rPr>
      <w:rFonts w:ascii="黑体" w:eastAsia="黑体" w:hAnsi="Times New Roman"/>
      <w:sz w:val="21"/>
    </w:rPr>
  </w:style>
  <w:style w:type="paragraph" w:customStyle="1" w:styleId="afff1">
    <w:name w:val="标准文件_一级条标题"/>
    <w:basedOn w:val="afff0"/>
    <w:next w:val="afffffe"/>
    <w:qFormat/>
    <w:pPr>
      <w:numPr>
        <w:ilvl w:val="2"/>
      </w:numPr>
      <w:spacing w:beforeLines="50" w:afterLines="50"/>
      <w:outlineLvl w:val="1"/>
    </w:pPr>
  </w:style>
  <w:style w:type="paragraph" w:customStyle="1" w:styleId="afffffff7">
    <w:name w:val="标准文件_一致程度"/>
    <w:basedOn w:val="afff9"/>
    <w:qFormat/>
    <w:pPr>
      <w:spacing w:line="440" w:lineRule="exact"/>
      <w:jc w:val="center"/>
    </w:pPr>
    <w:rPr>
      <w:sz w:val="28"/>
    </w:rPr>
  </w:style>
  <w:style w:type="paragraph" w:customStyle="1" w:styleId="afffffff8">
    <w:name w:val="标准文件_引言标题"/>
    <w:next w:val="afff9"/>
    <w:qFormat/>
    <w:pPr>
      <w:shd w:val="clear" w:color="FFFFFF" w:fill="FFFFFF"/>
      <w:spacing w:before="540" w:after="600"/>
      <w:jc w:val="center"/>
      <w:outlineLvl w:val="0"/>
    </w:pPr>
    <w:rPr>
      <w:rFonts w:ascii="黑体" w:eastAsia="黑体" w:hAnsi="Times New Roman"/>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9"/>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e"/>
    <w:qFormat/>
    <w:pPr>
      <w:numPr>
        <w:numId w:val="16"/>
      </w:numPr>
      <w:tabs>
        <w:tab w:val="left" w:pos="0"/>
      </w:tabs>
      <w:spacing w:beforeLines="50" w:afterLines="50"/>
      <w:jc w:val="center"/>
    </w:pPr>
    <w:rPr>
      <w:rFonts w:ascii="黑体" w:eastAsia="黑体" w:hAnsi="Times New Roman"/>
      <w:sz w:val="21"/>
    </w:rPr>
  </w:style>
  <w:style w:type="paragraph" w:customStyle="1" w:styleId="afffffffa">
    <w:name w:val="标准文件_正文公式"/>
    <w:basedOn w:val="afff9"/>
    <w:next w:val="afffffd"/>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e"/>
    <w:qFormat/>
    <w:pPr>
      <w:numPr>
        <w:numId w:val="17"/>
      </w:numPr>
      <w:spacing w:beforeLines="50" w:afterLines="50"/>
      <w:jc w:val="center"/>
    </w:pPr>
    <w:rPr>
      <w:rFonts w:ascii="黑体" w:eastAsia="黑体" w:hAnsi="Times New Roman"/>
      <w:sz w:val="21"/>
    </w:rPr>
  </w:style>
  <w:style w:type="paragraph" w:customStyle="1" w:styleId="afff7">
    <w:name w:val="标准文件_正文英文表标题"/>
    <w:next w:val="afffffe"/>
    <w:qFormat/>
    <w:pPr>
      <w:numPr>
        <w:numId w:val="18"/>
      </w:numPr>
      <w:jc w:val="center"/>
    </w:pPr>
    <w:rPr>
      <w:rFonts w:ascii="黑体" w:eastAsia="黑体" w:hAnsi="Times New Roman"/>
      <w:sz w:val="21"/>
    </w:rPr>
  </w:style>
  <w:style w:type="paragraph" w:customStyle="1" w:styleId="aff">
    <w:name w:val="标准文件_正文英文图标题"/>
    <w:next w:val="afffffe"/>
    <w:qFormat/>
    <w:pPr>
      <w:numPr>
        <w:numId w:val="19"/>
      </w:numPr>
      <w:jc w:val="center"/>
    </w:pPr>
    <w:rPr>
      <w:rFonts w:ascii="黑体" w:eastAsia="黑体" w:hAnsi="Times New Roman"/>
      <w:sz w:val="21"/>
    </w:rPr>
  </w:style>
  <w:style w:type="paragraph" w:customStyle="1" w:styleId="afb">
    <w:name w:val="标准文件_编号列项（三级）"/>
    <w:qFormat/>
    <w:pPr>
      <w:numPr>
        <w:ilvl w:val="2"/>
        <w:numId w:val="13"/>
      </w:numPr>
    </w:pPr>
    <w:rPr>
      <w:rFonts w:ascii="宋体" w:hAnsi="Times New Roman"/>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d">
    <w:name w:val="封面标准代替信息"/>
    <w:basedOn w:val="afff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
    <w:name w:val="封面标准文稿编辑信息"/>
    <w:qFormat/>
    <w:pPr>
      <w:spacing w:before="180" w:line="180" w:lineRule="exact"/>
      <w:jc w:val="center"/>
    </w:pPr>
    <w:rPr>
      <w:rFonts w:ascii="宋体" w:hAnsi="Times New Roman"/>
      <w:sz w:val="21"/>
    </w:rPr>
  </w:style>
  <w:style w:type="paragraph" w:customStyle="1" w:styleId="affffffff0">
    <w:name w:val="封面标准文稿类别"/>
    <w:qFormat/>
    <w:pPr>
      <w:spacing w:before="440" w:line="400" w:lineRule="exact"/>
      <w:jc w:val="center"/>
    </w:pPr>
    <w:rPr>
      <w:rFonts w:ascii="宋体" w:hAnsi="Times New Roman"/>
      <w:sz w:val="24"/>
    </w:rPr>
  </w:style>
  <w:style w:type="paragraph" w:customStyle="1" w:styleId="affffffff1">
    <w:name w:val="封面标准英文名称"/>
    <w:qFormat/>
    <w:pPr>
      <w:widowControl w:val="0"/>
      <w:spacing w:line="360" w:lineRule="exact"/>
      <w:jc w:val="center"/>
    </w:pPr>
    <w:rPr>
      <w:rFonts w:ascii="Times New Roman" w:hAnsi="Times New Roman"/>
      <w:sz w:val="28"/>
    </w:rPr>
  </w:style>
  <w:style w:type="paragraph" w:customStyle="1" w:styleId="affffffff2">
    <w:name w:val="封面一致性程度标识"/>
    <w:qFormat/>
    <w:pPr>
      <w:spacing w:before="440" w:line="440" w:lineRule="exact"/>
      <w:jc w:val="center"/>
    </w:pPr>
    <w:rPr>
      <w:rFonts w:ascii="Times New Roman" w:hAnsi="Times New Roman"/>
      <w:sz w:val="28"/>
    </w:rPr>
  </w:style>
  <w:style w:type="paragraph" w:customStyle="1" w:styleId="affffffff3">
    <w:name w:val="封面正文"/>
    <w:qFormat/>
    <w:pPr>
      <w:jc w:val="both"/>
    </w:pPr>
    <w:rPr>
      <w:rFonts w:ascii="Times New Roman" w:hAnsi="Times New Roman"/>
    </w:rPr>
  </w:style>
  <w:style w:type="paragraph" w:customStyle="1" w:styleId="affffffff4">
    <w:name w:val="附录二级无标题条"/>
    <w:basedOn w:val="afff9"/>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6">
    <w:name w:val="标准文件_一级项"/>
    <w:qFormat/>
    <w:pPr>
      <w:numPr>
        <w:numId w:val="21"/>
      </w:numPr>
    </w:pPr>
    <w:rPr>
      <w:rFonts w:ascii="宋体" w:hAnsi="Times New Roman"/>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9"/>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hAnsi="Times New Roman"/>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hAnsi="Times New Roman"/>
      <w:sz w:val="21"/>
    </w:rPr>
  </w:style>
  <w:style w:type="paragraph" w:customStyle="1" w:styleId="210">
    <w:name w:val="目录 21"/>
    <w:basedOn w:val="afff9"/>
    <w:next w:val="afff9"/>
    <w:semiHidden/>
    <w:qFormat/>
    <w:pPr>
      <w:adjustRightInd/>
      <w:spacing w:line="240" w:lineRule="auto"/>
      <w:jc w:val="left"/>
    </w:pPr>
    <w:rPr>
      <w:bCs/>
      <w:iCs/>
    </w:rPr>
  </w:style>
  <w:style w:type="paragraph" w:customStyle="1" w:styleId="31">
    <w:name w:val="目录 31"/>
    <w:basedOn w:val="afff9"/>
    <w:next w:val="afff9"/>
    <w:semiHidden/>
    <w:qFormat/>
    <w:pPr>
      <w:spacing w:line="240" w:lineRule="auto"/>
    </w:pPr>
    <w:rPr>
      <w:rFonts w:ascii="宋体" w:hAnsi="宋体"/>
      <w:iCs/>
    </w:rPr>
  </w:style>
  <w:style w:type="paragraph" w:customStyle="1" w:styleId="41">
    <w:name w:val="目录 41"/>
    <w:basedOn w:val="afff9"/>
    <w:next w:val="afff9"/>
    <w:semiHidden/>
    <w:qFormat/>
    <w:pPr>
      <w:adjustRightInd/>
      <w:spacing w:line="240" w:lineRule="auto"/>
      <w:jc w:val="left"/>
    </w:pPr>
  </w:style>
  <w:style w:type="paragraph" w:customStyle="1" w:styleId="51">
    <w:name w:val="目录 51"/>
    <w:basedOn w:val="afff9"/>
    <w:next w:val="afff9"/>
    <w:semiHidden/>
    <w:qFormat/>
    <w:pPr>
      <w:spacing w:line="240" w:lineRule="auto"/>
    </w:pPr>
    <w:rPr>
      <w:rFonts w:ascii="宋体" w:hAnsi="宋体"/>
    </w:rPr>
  </w:style>
  <w:style w:type="paragraph" w:customStyle="1" w:styleId="61">
    <w:name w:val="目录 61"/>
    <w:basedOn w:val="afff9"/>
    <w:next w:val="afff9"/>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4">
    <w:name w:val="无标题条"/>
    <w:next w:val="afffffe"/>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hAnsi="Times New Roman"/>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1"/>
    <w:qFormat/>
    <w:pPr>
      <w:spacing w:beforeLines="0" w:afterLines="0"/>
      <w:outlineLvl w:val="9"/>
    </w:pPr>
    <w:rPr>
      <w:rFonts w:ascii="宋体" w:eastAsia="宋体"/>
    </w:rPr>
  </w:style>
  <w:style w:type="paragraph" w:customStyle="1" w:styleId="afffffffff8">
    <w:name w:val="标准文件_五级无标题"/>
    <w:basedOn w:val="afff5"/>
    <w:qFormat/>
    <w:pPr>
      <w:spacing w:beforeLines="0" w:afterLines="0"/>
      <w:outlineLvl w:val="9"/>
    </w:pPr>
    <w:rPr>
      <w:rFonts w:ascii="宋体" w:eastAsia="宋体"/>
    </w:rPr>
  </w:style>
  <w:style w:type="paragraph" w:customStyle="1" w:styleId="afffffffff9">
    <w:name w:val="标准文件_三级无标题"/>
    <w:basedOn w:val="afff3"/>
    <w:qFormat/>
    <w:pPr>
      <w:spacing w:beforeLines="0" w:afterLines="0"/>
      <w:outlineLvl w:val="9"/>
    </w:pPr>
    <w:rPr>
      <w:rFonts w:ascii="宋体" w:eastAsia="宋体"/>
    </w:rPr>
  </w:style>
  <w:style w:type="paragraph" w:customStyle="1" w:styleId="afffffffffa">
    <w:name w:val="标准文件_二级无标题"/>
    <w:basedOn w:val="afff2"/>
    <w:qFormat/>
    <w:pPr>
      <w:spacing w:beforeLines="0" w:afterLines="0"/>
      <w:outlineLvl w:val="9"/>
    </w:pPr>
    <w:rPr>
      <w:rFonts w:ascii="宋体" w:eastAsia="宋体"/>
    </w:rPr>
  </w:style>
  <w:style w:type="paragraph" w:customStyle="1" w:styleId="afffffffffb">
    <w:name w:val="标准_四级无标题"/>
    <w:basedOn w:val="afff4"/>
    <w:next w:val="afffffe"/>
    <w:qFormat/>
    <w:rPr>
      <w:rFonts w:eastAsia="宋体"/>
    </w:rPr>
  </w:style>
  <w:style w:type="paragraph" w:customStyle="1" w:styleId="afffffffffc">
    <w:name w:val="标准文件_四级无标题"/>
    <w:basedOn w:val="afff4"/>
    <w:qFormat/>
    <w:pPr>
      <w:spacing w:beforeLines="0" w:afterLines="0"/>
      <w:outlineLvl w:val="9"/>
    </w:pPr>
    <w:rPr>
      <w:rFonts w:ascii="宋体" w:eastAsia="宋体" w:hAnsi="黑体"/>
      <w:szCs w:val="52"/>
    </w:rPr>
  </w:style>
  <w:style w:type="paragraph" w:customStyle="1" w:styleId="aff5">
    <w:name w:val="标准文件_大写罗马数字编号列项"/>
    <w:basedOn w:val="afffffe"/>
    <w:qFormat/>
    <w:pPr>
      <w:numPr>
        <w:numId w:val="23"/>
      </w:numPr>
      <w:ind w:firstLineChars="0" w:firstLine="0"/>
    </w:pPr>
    <w:rPr>
      <w:rFonts w:ascii="Times New Roman" w:cs="Arial"/>
      <w:szCs w:val="28"/>
    </w:rPr>
  </w:style>
  <w:style w:type="paragraph" w:customStyle="1" w:styleId="ae">
    <w:name w:val="标准文件_小写罗马数字编号列项"/>
    <w:basedOn w:val="afffffe"/>
    <w:qFormat/>
    <w:pPr>
      <w:numPr>
        <w:numId w:val="24"/>
      </w:numPr>
      <w:ind w:firstLineChars="0" w:firstLine="0"/>
    </w:pPr>
    <w:rPr>
      <w:rFonts w:cs="Arial"/>
      <w:szCs w:val="28"/>
    </w:rPr>
  </w:style>
  <w:style w:type="paragraph" w:customStyle="1" w:styleId="afffffffffd">
    <w:name w:val="标准文件_附录标题"/>
    <w:basedOn w:val="aff7"/>
    <w:qFormat/>
    <w:pPr>
      <w:numPr>
        <w:numId w:val="0"/>
      </w:numPr>
      <w:spacing w:after="280"/>
      <w:outlineLvl w:val="9"/>
    </w:pPr>
  </w:style>
  <w:style w:type="paragraph" w:customStyle="1" w:styleId="afffffffffe">
    <w:name w:val="标准文件_二级项"/>
    <w:qFormat/>
    <w:rPr>
      <w:rFonts w:ascii="宋体" w:hAnsi="Times New Roman"/>
      <w:sz w:val="21"/>
    </w:rPr>
  </w:style>
  <w:style w:type="paragraph" w:customStyle="1" w:styleId="af7">
    <w:name w:val="标准文件_三级项"/>
    <w:basedOn w:val="afff9"/>
    <w:qFormat/>
    <w:pPr>
      <w:numPr>
        <w:ilvl w:val="2"/>
        <w:numId w:val="21"/>
      </w:numPr>
      <w:spacing w:line="-300" w:lineRule="auto"/>
    </w:pPr>
    <w:rPr>
      <w:rFonts w:ascii="Times New Roman" w:hAnsi="Times New Roman"/>
    </w:rPr>
  </w:style>
  <w:style w:type="paragraph" w:customStyle="1" w:styleId="affe">
    <w:name w:val="图表脚注说明"/>
    <w:basedOn w:val="afff9"/>
    <w:next w:val="afffffe"/>
    <w:qFormat/>
    <w:pPr>
      <w:numPr>
        <w:numId w:val="25"/>
      </w:numPr>
      <w:adjustRightInd/>
      <w:spacing w:line="240" w:lineRule="auto"/>
    </w:pPr>
    <w:rPr>
      <w:rFonts w:ascii="宋体" w:hAnsi="Times New Roman"/>
      <w:sz w:val="18"/>
      <w:szCs w:val="18"/>
    </w:rPr>
  </w:style>
  <w:style w:type="paragraph" w:customStyle="1" w:styleId="af9">
    <w:name w:val="标准文件_字母编号列项（一级）"/>
    <w:qFormat/>
    <w:pPr>
      <w:numPr>
        <w:numId w:val="13"/>
      </w:numPr>
      <w:jc w:val="both"/>
    </w:pPr>
    <w:rPr>
      <w:rFonts w:ascii="宋体" w:hAnsi="Times New Roman"/>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6">
    <w:name w:val="标准文件_注："/>
    <w:next w:val="af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3"/>
    <w:qFormat/>
    <w:pPr>
      <w:widowControl w:val="0"/>
      <w:numPr>
        <w:numId w:val="28"/>
      </w:numPr>
      <w:jc w:val="both"/>
    </w:pPr>
    <w:rPr>
      <w:rFonts w:ascii="宋体" w:hAnsi="Times New Roman"/>
      <w:sz w:val="18"/>
      <w:szCs w:val="18"/>
    </w:rPr>
  </w:style>
  <w:style w:type="paragraph" w:customStyle="1" w:styleId="affffffffff3">
    <w:name w:val="标准文件_示例内容"/>
    <w:basedOn w:val="afffffe"/>
    <w:qFormat/>
    <w:pPr>
      <w:ind w:firstLine="420"/>
    </w:pPr>
    <w:rPr>
      <w:sz w:val="18"/>
    </w:rPr>
  </w:style>
  <w:style w:type="paragraph" w:customStyle="1" w:styleId="afe">
    <w:name w:val="标准文件_示例×："/>
    <w:basedOn w:val="afff9"/>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a"/>
    <w:uiPriority w:val="99"/>
    <w:semiHidden/>
    <w:qFormat/>
    <w:rPr>
      <w:color w:val="808080"/>
    </w:rPr>
  </w:style>
  <w:style w:type="paragraph" w:customStyle="1" w:styleId="2">
    <w:name w:val="标准文件_二级项2"/>
    <w:basedOn w:val="afffffe"/>
    <w:qFormat/>
    <w:pPr>
      <w:numPr>
        <w:ilvl w:val="1"/>
        <w:numId w:val="21"/>
      </w:numPr>
      <w:ind w:firstLineChars="0" w:firstLine="0"/>
    </w:pPr>
  </w:style>
  <w:style w:type="paragraph" w:customStyle="1" w:styleId="21">
    <w:name w:val="标准文件_三级项2"/>
    <w:basedOn w:val="afffffe"/>
    <w:qFormat/>
    <w:pPr>
      <w:numPr>
        <w:numId w:val="30"/>
      </w:numPr>
      <w:spacing w:line="300" w:lineRule="exact"/>
      <w:ind w:firstLineChars="0"/>
    </w:pPr>
    <w:rPr>
      <w:rFonts w:ascii="Times New Roman"/>
    </w:rPr>
  </w:style>
  <w:style w:type="paragraph" w:customStyle="1" w:styleId="20">
    <w:name w:val="标准文件_一级项2"/>
    <w:basedOn w:val="afffffe"/>
    <w:qFormat/>
    <w:pPr>
      <w:numPr>
        <w:numId w:val="31"/>
      </w:numPr>
      <w:spacing w:line="300" w:lineRule="exact"/>
      <w:ind w:firstLineChars="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a"/>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qFormat/>
    <w:pPr>
      <w:framePr w:w="3997" w:h="471" w:hRule="exact" w:hSpace="0" w:vSpace="181" w:wrap="around" w:vAnchor="page" w:hAnchor="page" w:x="1419" w:y="14097"/>
    </w:pPr>
  </w:style>
  <w:style w:type="paragraph" w:customStyle="1" w:styleId="affffffffffa">
    <w:name w:val="其他实施日期"/>
    <w:basedOn w:val="afffffffff2"/>
    <w:qFormat/>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8"/>
    <w:qFormat/>
    <w:pPr>
      <w:spacing w:beforeLines="0" w:afterLines="0" w:line="276" w:lineRule="auto"/>
      <w:outlineLvl w:val="9"/>
    </w:pPr>
    <w:rPr>
      <w:rFonts w:ascii="宋体" w:eastAsia="宋体"/>
    </w:rPr>
  </w:style>
  <w:style w:type="paragraph" w:customStyle="1" w:styleId="afffffffffff2">
    <w:name w:val="标准文件_附录二级无标题"/>
    <w:basedOn w:val="aff9"/>
    <w:qFormat/>
    <w:pPr>
      <w:spacing w:beforeLines="0" w:afterLines="0" w:line="276" w:lineRule="auto"/>
      <w:outlineLvl w:val="9"/>
    </w:pPr>
    <w:rPr>
      <w:rFonts w:ascii="宋体" w:eastAsia="宋体"/>
    </w:rPr>
  </w:style>
  <w:style w:type="paragraph" w:customStyle="1" w:styleId="afffffffffff3">
    <w:name w:val="标准文件_附录三级无标题"/>
    <w:basedOn w:val="affa"/>
    <w:qFormat/>
    <w:pPr>
      <w:spacing w:beforeLines="0" w:afterLines="0" w:line="276" w:lineRule="auto"/>
      <w:outlineLvl w:val="9"/>
    </w:pPr>
    <w:rPr>
      <w:rFonts w:ascii="宋体" w:eastAsia="宋体"/>
    </w:rPr>
  </w:style>
  <w:style w:type="paragraph" w:customStyle="1" w:styleId="afffffffffff4">
    <w:name w:val="标准文件_附录四级无标题"/>
    <w:basedOn w:val="affb"/>
    <w:qFormat/>
    <w:pPr>
      <w:spacing w:beforeLines="0" w:afterLines="0" w:line="276" w:lineRule="auto"/>
      <w:outlineLvl w:val="9"/>
    </w:pPr>
    <w:rPr>
      <w:rFonts w:ascii="宋体" w:eastAsia="宋体"/>
    </w:rPr>
  </w:style>
  <w:style w:type="paragraph" w:customStyle="1" w:styleId="afffffffffff5">
    <w:name w:val="标准文件_附录五级无标题"/>
    <w:basedOn w:val="affc"/>
    <w:qFormat/>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pPr>
      <w:spacing w:beforeLines="0" w:afterLines="0" w:line="276" w:lineRule="auto"/>
    </w:pPr>
    <w:rPr>
      <w:rFonts w:ascii="宋体" w:eastAsia="宋体"/>
    </w:rPr>
  </w:style>
  <w:style w:type="paragraph" w:customStyle="1" w:styleId="afffffffffff7">
    <w:name w:val="标准文件_引言二级无标题"/>
    <w:basedOn w:val="a8"/>
    <w:next w:val="afffffe"/>
    <w:qFormat/>
    <w:pPr>
      <w:spacing w:beforeLines="0" w:afterLines="0" w:line="276" w:lineRule="auto"/>
    </w:pPr>
    <w:rPr>
      <w:rFonts w:ascii="宋体" w:eastAsia="宋体"/>
    </w:rPr>
  </w:style>
  <w:style w:type="paragraph" w:customStyle="1" w:styleId="afffffffffff8">
    <w:name w:val="标准文件_引言三级无标题"/>
    <w:basedOn w:val="a9"/>
    <w:qFormat/>
    <w:pPr>
      <w:spacing w:beforeLines="0" w:afterLines="0" w:line="276" w:lineRule="auto"/>
    </w:pPr>
    <w:rPr>
      <w:rFonts w:ascii="宋体" w:eastAsia="宋体"/>
    </w:rPr>
  </w:style>
  <w:style w:type="paragraph" w:customStyle="1" w:styleId="afffffffffff9">
    <w:name w:val="标准文件_引言四级无标题"/>
    <w:basedOn w:val="aa"/>
    <w:next w:val="afffffe"/>
    <w:qFormat/>
    <w:pPr>
      <w:spacing w:beforeLines="0" w:afterLines="0" w:line="276" w:lineRule="auto"/>
    </w:pPr>
    <w:rPr>
      <w:rFonts w:ascii="宋体" w:eastAsia="宋体"/>
    </w:rPr>
  </w:style>
  <w:style w:type="paragraph" w:customStyle="1" w:styleId="afffffffffffa">
    <w:name w:val="标准文件_引言五级无标题"/>
    <w:basedOn w:val="ab"/>
    <w:next w:val="afffffe"/>
    <w:qFormat/>
    <w:pPr>
      <w:spacing w:beforeLines="0" w:afterLines="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2">
    <w:name w:val="发布"/>
    <w:basedOn w:val="afffa"/>
    <w:qFormat/>
    <w:rPr>
      <w:rFonts w:ascii="黑体" w:eastAsia="黑体"/>
      <w:spacing w:val="85"/>
      <w:w w:val="100"/>
      <w:position w:val="3"/>
      <w:sz w:val="28"/>
      <w:szCs w:val="28"/>
    </w:rPr>
  </w:style>
  <w:style w:type="paragraph" w:customStyle="1" w:styleId="affffffffffff3">
    <w:name w:val="段"/>
    <w:link w:val="Char0"/>
    <w:uiPriority w:val="99"/>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3"/>
    <w:uiPriority w:val="99"/>
    <w:qFormat/>
    <w:rPr>
      <w:rFonts w:ascii="宋体" w:hAnsi="Times New Roman"/>
      <w:sz w:val="21"/>
    </w:rPr>
  </w:style>
  <w:style w:type="paragraph" w:customStyle="1" w:styleId="af4">
    <w:name w:val="四级条标题"/>
    <w:basedOn w:val="afff9"/>
    <w:next w:val="affffffffffff3"/>
    <w:qFormat/>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3">
    <w:name w:val="一级条标题"/>
    <w:next w:val="affffffffffff3"/>
    <w:qFormat/>
    <w:pPr>
      <w:numPr>
        <w:ilvl w:val="1"/>
        <w:numId w:val="32"/>
      </w:numPr>
      <w:spacing w:beforeLines="50" w:afterLines="50"/>
      <w:outlineLvl w:val="2"/>
    </w:pPr>
    <w:rPr>
      <w:rFonts w:ascii="黑体" w:eastAsia="黑体" w:hAnsi="Times New Roman"/>
      <w:sz w:val="21"/>
      <w:szCs w:val="21"/>
    </w:rPr>
  </w:style>
  <w:style w:type="paragraph" w:customStyle="1" w:styleId="af5">
    <w:name w:val="五级条标题"/>
    <w:basedOn w:val="af4"/>
    <w:next w:val="affffffffffff3"/>
    <w:qFormat/>
    <w:pPr>
      <w:numPr>
        <w:ilvl w:val="5"/>
      </w:numPr>
      <w:outlineLvl w:val="6"/>
    </w:pPr>
  </w:style>
  <w:style w:type="paragraph" w:customStyle="1" w:styleId="af2">
    <w:name w:val="章标题"/>
    <w:next w:val="affffffffffff3"/>
    <w:uiPriority w:val="99"/>
    <w:qFormat/>
    <w:pPr>
      <w:numPr>
        <w:numId w:val="32"/>
      </w:numPr>
      <w:spacing w:beforeLines="100" w:afterLines="100"/>
      <w:jc w:val="both"/>
      <w:outlineLvl w:val="1"/>
    </w:pPr>
    <w:rPr>
      <w:rFonts w:ascii="黑体" w:eastAsia="黑体" w:hAnsi="Times New Roman"/>
      <w:sz w:val="21"/>
    </w:rPr>
  </w:style>
  <w:style w:type="character" w:customStyle="1" w:styleId="affff">
    <w:name w:val="批注文字 字符"/>
    <w:basedOn w:val="afffa"/>
    <w:link w:val="afffe"/>
    <w:uiPriority w:val="99"/>
    <w:semiHidden/>
    <w:qFormat/>
    <w:rPr>
      <w:kern w:val="2"/>
      <w:sz w:val="21"/>
      <w:szCs w:val="21"/>
    </w:rPr>
  </w:style>
  <w:style w:type="character" w:customStyle="1" w:styleId="affffe">
    <w:name w:val="批注主题 字符"/>
    <w:basedOn w:val="affff"/>
    <w:link w:val="affffd"/>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tiff"/><Relationship Id="rId19"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DC0A02F2FC342A289AF375120A266D1"/>
        <w:category>
          <w:name w:val="常规"/>
          <w:gallery w:val="placeholder"/>
        </w:category>
        <w:types>
          <w:type w:val="bbPlcHdr"/>
        </w:types>
        <w:behaviors>
          <w:behavior w:val="content"/>
        </w:behaviors>
        <w:guid w:val="{7242A505-D419-4D35-8A39-84D71F7A65DF}"/>
      </w:docPartPr>
      <w:docPartBody>
        <w:p w:rsidR="00FF3476" w:rsidRDefault="00000000">
          <w:pPr>
            <w:pStyle w:val="BDC0A02F2FC342A289AF375120A266D1"/>
          </w:pPr>
          <w:r>
            <w:rPr>
              <w:rStyle w:val="a3"/>
              <w:rFonts w:hint="eastAsia"/>
            </w:rPr>
            <w:t>单击或点击此处输入文字。</w:t>
          </w:r>
        </w:p>
      </w:docPartBody>
    </w:docPart>
    <w:docPart>
      <w:docPartPr>
        <w:name w:val="F45C0D096EEF44D89EE49D39ED8C9C3A"/>
        <w:category>
          <w:name w:val="常规"/>
          <w:gallery w:val="placeholder"/>
        </w:category>
        <w:types>
          <w:type w:val="bbPlcHdr"/>
        </w:types>
        <w:behaviors>
          <w:behavior w:val="content"/>
        </w:behaviors>
        <w:guid w:val="{6626EC82-57B1-4230-9FFD-44F5119B789F}"/>
      </w:docPartPr>
      <w:docPartBody>
        <w:p w:rsidR="00FF3476" w:rsidRDefault="00000000">
          <w:pPr>
            <w:pStyle w:val="F45C0D096EEF44D89EE49D39ED8C9C3A"/>
          </w:pPr>
          <w:r>
            <w:rPr>
              <w:rStyle w:val="a3"/>
              <w:rFonts w:hint="eastAsia"/>
            </w:rPr>
            <w:t>选择一项。</w:t>
          </w:r>
        </w:p>
      </w:docPartBody>
    </w:docPart>
    <w:docPart>
      <w:docPartPr>
        <w:name w:val="C5E5E5C4102847D08A6B70FB4FB3EED0"/>
        <w:category>
          <w:name w:val="常规"/>
          <w:gallery w:val="placeholder"/>
        </w:category>
        <w:types>
          <w:type w:val="bbPlcHdr"/>
        </w:types>
        <w:behaviors>
          <w:behavior w:val="content"/>
        </w:behaviors>
        <w:guid w:val="{D241FD9F-A040-4F24-A41F-C9EF2EDB86D0}"/>
      </w:docPartPr>
      <w:docPartBody>
        <w:p w:rsidR="00FF3476" w:rsidRDefault="00000000">
          <w:pPr>
            <w:pStyle w:val="C5E5E5C4102847D08A6B70FB4FB3EED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B5272"/>
    <w:rsid w:val="00107249"/>
    <w:rsid w:val="003D1A94"/>
    <w:rsid w:val="006335B3"/>
    <w:rsid w:val="00AB5272"/>
    <w:rsid w:val="00C34510"/>
    <w:rsid w:val="00EE40D8"/>
    <w:rsid w:val="00F6575E"/>
    <w:rsid w:val="00FF3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DC0A02F2FC342A289AF375120A266D1">
    <w:name w:val="BDC0A02F2FC342A289AF375120A266D1"/>
    <w:pPr>
      <w:widowControl w:val="0"/>
      <w:jc w:val="both"/>
    </w:pPr>
    <w:rPr>
      <w:kern w:val="2"/>
      <w:sz w:val="21"/>
      <w:szCs w:val="22"/>
    </w:rPr>
  </w:style>
  <w:style w:type="paragraph" w:customStyle="1" w:styleId="F45C0D096EEF44D89EE49D39ED8C9C3A">
    <w:name w:val="F45C0D096EEF44D89EE49D39ED8C9C3A"/>
    <w:pPr>
      <w:widowControl w:val="0"/>
      <w:jc w:val="both"/>
    </w:pPr>
    <w:rPr>
      <w:kern w:val="2"/>
      <w:sz w:val="21"/>
      <w:szCs w:val="22"/>
    </w:rPr>
  </w:style>
  <w:style w:type="paragraph" w:customStyle="1" w:styleId="C5E5E5C4102847D08A6B70FB4FB3EED0">
    <w:name w:val="C5E5E5C4102847D08A6B70FB4FB3EED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8C4690-A2A1-4A71-BF1C-90D7C7C1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127</TotalTime>
  <Pages>1</Pages>
  <Words>2250</Words>
  <Characters>12828</Characters>
  <Application>Microsoft Office Word</Application>
  <DocSecurity>0</DocSecurity>
  <Lines>106</Lines>
  <Paragraphs>30</Paragraphs>
  <ScaleCrop>false</ScaleCrop>
  <Company>PCMI</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徐佳南</dc:creator>
  <dc:description>&lt;config cover="true" show_menu="true" version="1.0.0" doctype="SDKXY"&gt;_x000d_
&lt;/config&gt;</dc:description>
  <cp:lastModifiedBy>徐佳南</cp:lastModifiedBy>
  <cp:revision>24</cp:revision>
  <cp:lastPrinted>2023-11-22T02:50:00Z</cp:lastPrinted>
  <dcterms:created xsi:type="dcterms:W3CDTF">2023-11-20T09:31:00Z</dcterms:created>
  <dcterms:modified xsi:type="dcterms:W3CDTF">2023-12-25T08:06:00Z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2052-12.1.0.15374</vt:lpwstr>
  </property>
  <property fmtid="{D5CDD505-2E9C-101B-9397-08002B2CF9AE}" pid="15" name="ICV">
    <vt:lpwstr>DF9EF90F163F49B2A039B4CF59074822_12</vt:lpwstr>
  </property>
</Properties>
</file>