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05     </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     </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2023</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毯苗机插水稻智能化微喷灌集中育秧</w:t>
      </w:r>
    </w:p>
    <w:p>
      <w:pPr>
        <w:pStyle w:val="197"/>
        <w:framePr w:h="6974" w:hRule="exact" w:wrap="around" w:x="1419" w:anchorLock="1"/>
      </w:pPr>
      <w:r>
        <w:t>技术规程</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xml:space="preserve">Technical code of practice for concentrating seedling raising of intelligent micro-sprinkling irrigation of blanket seedling machine-transplanting rice </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89"/>
        <w:spacing w:before="900" w:after="468"/>
      </w:pPr>
      <w:bookmarkStart w:id="21" w:name="BookMark2"/>
      <w:bookmarkStart w:id="62" w:name="_GoBack"/>
      <w:bookmarkEnd w:id="62"/>
      <w:r>
        <w:rPr>
          <w:spacing w:val="320"/>
        </w:rPr>
        <w:t>前</w:t>
      </w:r>
      <w:r>
        <w:t>言</w:t>
      </w:r>
    </w:p>
    <w:p>
      <w:pPr>
        <w:pStyle w:val="56"/>
        <w:ind w:firstLine="420"/>
      </w:pPr>
      <w:r>
        <w:rPr>
          <w:rFonts w:hint="eastAsia"/>
        </w:rPr>
        <w:t>本文件按照GB/T 1.1—2020《标准化工作导则  第1部分：标准化文件的结构和起草规则》的规定起草。</w:t>
      </w:r>
    </w:p>
    <w:p>
      <w:pPr>
        <w:spacing w:line="360" w:lineRule="auto"/>
        <w:ind w:firstLine="420" w:firstLineChars="200"/>
        <w:rPr>
          <w:highlight w:val="none"/>
        </w:rPr>
      </w:pPr>
      <w:r>
        <w:rPr>
          <w:rFonts w:hint="eastAsia" w:ascii="Times New Roman" w:hAnsi="Times New Roman" w:cs="宋体"/>
          <w:szCs w:val="24"/>
          <w:lang w:bidi="ar"/>
        </w:rPr>
        <w:t>请注意本文件的某些内容可能涉及专</w:t>
      </w:r>
      <w:r>
        <w:rPr>
          <w:rFonts w:hint="eastAsia" w:ascii="Times New Roman" w:hAnsi="Times New Roman" w:cs="宋体"/>
          <w:szCs w:val="24"/>
          <w:highlight w:val="none"/>
          <w:lang w:bidi="ar"/>
        </w:rPr>
        <w:t>利。本文件的发布机构不承担识别专利的责任。</w:t>
      </w:r>
    </w:p>
    <w:p>
      <w:pPr>
        <w:pStyle w:val="56"/>
        <w:ind w:firstLine="420"/>
        <w:rPr>
          <w:highlight w:val="none"/>
        </w:rPr>
      </w:pPr>
      <w:r>
        <w:rPr>
          <w:rFonts w:hint="eastAsia"/>
          <w:highlight w:val="none"/>
        </w:rPr>
        <w:t>本文件由</w:t>
      </w:r>
      <w:r>
        <w:rPr>
          <w:rFonts w:hint="eastAsia" w:ascii="Times New Roman" w:cs="宋体"/>
          <w:kern w:val="2"/>
          <w:szCs w:val="24"/>
          <w:highlight w:val="none"/>
          <w:lang w:bidi="ar"/>
        </w:rPr>
        <w:t>江苏省农作物标准化技术委员会</w:t>
      </w:r>
      <w:r>
        <w:rPr>
          <w:rFonts w:hint="eastAsia" w:ascii="Times New Roman" w:cs="宋体"/>
          <w:kern w:val="2"/>
          <w:szCs w:val="24"/>
          <w:highlight w:val="none"/>
          <w:lang w:val="en-US" w:eastAsia="zh-CN" w:bidi="ar"/>
        </w:rPr>
        <w:t>提出并</w:t>
      </w:r>
      <w:r>
        <w:rPr>
          <w:rFonts w:hint="eastAsia"/>
          <w:highlight w:val="none"/>
        </w:rPr>
        <w:t>归口。</w:t>
      </w:r>
    </w:p>
    <w:p>
      <w:pPr>
        <w:pStyle w:val="56"/>
        <w:ind w:firstLine="420"/>
        <w:rPr>
          <w:rFonts w:ascii="Times New Roman" w:cs="宋体"/>
          <w:kern w:val="2"/>
          <w:szCs w:val="24"/>
          <w:lang w:bidi="ar"/>
        </w:rPr>
      </w:pPr>
      <w:r>
        <w:rPr>
          <w:rFonts w:hint="eastAsia"/>
        </w:rPr>
        <w:t>本文件起草单位：</w:t>
      </w:r>
      <w:r>
        <w:rPr>
          <w:rFonts w:hint="eastAsia" w:ascii="Times New Roman" w:cs="宋体"/>
          <w:kern w:val="2"/>
          <w:szCs w:val="24"/>
          <w:lang w:bidi="ar"/>
        </w:rPr>
        <w:t>江苏五图河农场有限公司、扬州大学农学院、连云港市农业科学院。</w:t>
      </w:r>
    </w:p>
    <w:p>
      <w:pPr>
        <w:pStyle w:val="56"/>
        <w:ind w:firstLine="420"/>
      </w:pPr>
      <w:r>
        <w:rPr>
          <w:rFonts w:hint="eastAsia"/>
        </w:rPr>
        <w:t>本文件主要起草人：</w:t>
      </w:r>
      <w:r>
        <w:rPr>
          <w:rFonts w:hint="eastAsia" w:ascii="Times New Roman"/>
          <w:kern w:val="2"/>
          <w:szCs w:val="24"/>
          <w:lang w:bidi="ar"/>
        </w:rPr>
        <w:t>陈友林、董桂春、张学志、李兆飞、吴家旺、李运强、王用虎、王余龙、陈飞、贾义乐、赵灿、乔雷、周娟、杨静、李伟、王瑞、王婷婷、朱长欢、唐凯</w:t>
      </w:r>
      <w:r>
        <w:rPr>
          <w:rFonts w:ascii="Times New Roman"/>
          <w:kern w:val="2"/>
          <w:szCs w:val="24"/>
          <w:lang w:bidi="ar"/>
        </w:rPr>
        <w:t xml:space="preserve"> </w:t>
      </w:r>
      <w:r>
        <w:rPr>
          <w:rFonts w:hint="eastAsia" w:ascii="Times New Roman"/>
          <w:kern w:val="2"/>
          <w:szCs w:val="24"/>
          <w:lang w:bidi="ar"/>
        </w:rPr>
        <w:t>、曹明华、潘晓盼、贾洁。</w:t>
      </w:r>
    </w:p>
    <w:p>
      <w:pPr>
        <w:pStyle w:val="56"/>
        <w:ind w:firstLine="420"/>
      </w:pPr>
    </w:p>
    <w:p>
      <w:pPr>
        <w:pStyle w:val="56"/>
        <w:ind w:firstLine="420"/>
      </w:pPr>
    </w:p>
    <w:p>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1"/>
    <w:p>
      <w:pPr>
        <w:spacing w:line="20" w:lineRule="exact"/>
        <w:jc w:val="center"/>
        <w:rPr>
          <w:rFonts w:ascii="黑体" w:hAnsi="黑体" w:eastAsia="黑体"/>
          <w:sz w:val="32"/>
          <w:szCs w:val="32"/>
        </w:rPr>
      </w:pPr>
      <w:bookmarkStart w:id="22" w:name="BookMark4"/>
    </w:p>
    <w:p>
      <w:pPr>
        <w:spacing w:line="20" w:lineRule="exact"/>
        <w:jc w:val="center"/>
        <w:rPr>
          <w:rFonts w:ascii="黑体" w:hAnsi="黑体" w:eastAsia="黑体"/>
          <w:sz w:val="32"/>
          <w:szCs w:val="32"/>
        </w:rPr>
      </w:pPr>
    </w:p>
    <w:sdt>
      <w:sdtPr>
        <w:tag w:val="NEW_STAND_NAME"/>
        <w:id w:val="595910757"/>
        <w:lock w:val="sdtLocked"/>
        <w:placeholder>
          <w:docPart w:val="1A6DEDE923A2450E854D608733F6B812"/>
        </w:placeholder>
      </w:sdtPr>
      <w:sdtContent>
        <w:p>
          <w:pPr>
            <w:pStyle w:val="177"/>
            <w:spacing w:before="3" w:beforeLines="1" w:after="3" w:afterLines="1"/>
          </w:pPr>
          <w:bookmarkStart w:id="23" w:name="NEW_STAND_NAME"/>
          <w:r>
            <w:rPr>
              <w:rFonts w:hint="eastAsia"/>
            </w:rPr>
            <w:t>毯苗机插水稻智能化微喷灌集中育秧</w:t>
          </w:r>
        </w:p>
        <w:p>
          <w:pPr>
            <w:pStyle w:val="177"/>
            <w:spacing w:before="3" w:beforeLines="1" w:after="680"/>
          </w:pPr>
          <w:r>
            <w:rPr>
              <w:rFonts w:hint="eastAsia"/>
            </w:rPr>
            <w:t>技术规程</w:t>
          </w:r>
        </w:p>
      </w:sdtContent>
    </w:sdt>
    <w:bookmarkEnd w:id="23"/>
    <w:p>
      <w:pPr>
        <w:pStyle w:val="104"/>
        <w:spacing w:before="312" w:after="312"/>
      </w:pPr>
      <w:bookmarkStart w:id="24" w:name="_Toc26648465"/>
      <w:bookmarkStart w:id="25" w:name="_Toc17233325"/>
      <w:bookmarkStart w:id="26" w:name="_Toc24884218"/>
      <w:bookmarkStart w:id="27" w:name="_Toc97191423"/>
      <w:bookmarkStart w:id="28" w:name="_Toc26718930"/>
      <w:bookmarkStart w:id="29" w:name="_Toc24884211"/>
      <w:bookmarkStart w:id="30" w:name="_Toc26986530"/>
      <w:bookmarkStart w:id="31" w:name="_Toc26986771"/>
      <w:bookmarkStart w:id="32" w:name="_Toc17233333"/>
      <w:r>
        <w:rPr>
          <w:rFonts w:hint="eastAsia"/>
        </w:rPr>
        <w:t>范围</w:t>
      </w:r>
      <w:bookmarkEnd w:id="24"/>
      <w:bookmarkEnd w:id="25"/>
      <w:bookmarkEnd w:id="26"/>
      <w:bookmarkEnd w:id="27"/>
      <w:bookmarkEnd w:id="28"/>
      <w:bookmarkEnd w:id="29"/>
      <w:bookmarkEnd w:id="30"/>
      <w:bookmarkEnd w:id="31"/>
      <w:bookmarkEnd w:id="32"/>
    </w:p>
    <w:p>
      <w:pPr>
        <w:pStyle w:val="56"/>
        <w:ind w:firstLine="420"/>
      </w:pPr>
      <w:bookmarkStart w:id="33" w:name="_Toc24884212"/>
      <w:bookmarkStart w:id="34" w:name="_Toc17233326"/>
      <w:bookmarkStart w:id="35" w:name="_Toc17233334"/>
      <w:bookmarkStart w:id="36" w:name="_Toc24884219"/>
      <w:bookmarkStart w:id="37" w:name="_Toc26648466"/>
      <w:r>
        <w:t>本文件规定了</w:t>
      </w:r>
      <w:r>
        <w:rPr>
          <w:rFonts w:hint="eastAsia"/>
        </w:rPr>
        <w:t>毯苗</w:t>
      </w:r>
      <w:r>
        <w:t>机插水稻智能化微喷灌集中育秧的</w:t>
      </w:r>
      <w:r>
        <w:rPr>
          <w:rFonts w:hint="eastAsia"/>
        </w:rPr>
        <w:t>工艺流程、固定设备安装、种子准备、床土制作、育秧场地准备、硬盘、播种流水线、播种、暗化齐苗、摆盘、秧田管理、壮秧标准</w:t>
      </w:r>
      <w:r>
        <w:t>等技术要求。</w:t>
      </w:r>
    </w:p>
    <w:p>
      <w:pPr>
        <w:pStyle w:val="56"/>
        <w:ind w:firstLine="420"/>
      </w:pPr>
      <w:r>
        <w:t>本文件适用于江苏省</w:t>
      </w:r>
      <w:r>
        <w:rPr>
          <w:rFonts w:hint="eastAsia"/>
        </w:rPr>
        <w:t>毯苗</w:t>
      </w:r>
      <w:r>
        <w:t>机插水稻的智能化微喷灌集中育秧。</w:t>
      </w:r>
    </w:p>
    <w:p>
      <w:pPr>
        <w:pStyle w:val="56"/>
        <w:ind w:firstLine="420"/>
      </w:pPr>
    </w:p>
    <w:p>
      <w:pPr>
        <w:pStyle w:val="104"/>
        <w:spacing w:before="312" w:after="312"/>
      </w:pPr>
      <w:bookmarkStart w:id="38" w:name="_Toc26718931"/>
      <w:bookmarkStart w:id="39" w:name="_Toc26986531"/>
      <w:bookmarkStart w:id="40" w:name="_Toc97191424"/>
      <w:bookmarkStart w:id="41" w:name="_Toc26986772"/>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755225EDCAB5460CA28A20D7164989A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230"/>
      </w:pPr>
      <w:r>
        <w:t>GB/T 3543.4 农作物种子检验规程 发芽试验</w:t>
      </w:r>
    </w:p>
    <w:p>
      <w:pPr>
        <w:pStyle w:val="230"/>
      </w:pPr>
      <w:r>
        <w:t>GB 4404.1 粮食作物种子</w:t>
      </w:r>
      <w:r>
        <w:rPr>
          <w:rFonts w:hint="eastAsia"/>
        </w:rPr>
        <w:t>——第1部分：</w:t>
      </w:r>
      <w:r>
        <w:t>禾谷类</w:t>
      </w:r>
    </w:p>
    <w:p>
      <w:pPr>
        <w:pStyle w:val="230"/>
      </w:pPr>
      <w:r>
        <w:t>GB/T 13663.</w:t>
      </w:r>
      <w:r>
        <w:rPr>
          <w:rFonts w:hint="eastAsia"/>
        </w:rPr>
        <w:t>5</w:t>
      </w:r>
      <w:r>
        <w:t xml:space="preserve"> </w:t>
      </w:r>
      <w:r>
        <w:rPr>
          <w:rFonts w:hint="eastAsia"/>
        </w:rPr>
        <w:t>给水用聚乙烯（PE）管道系统 第5部分：系统适用性</w:t>
      </w:r>
      <w:r>
        <w:t xml:space="preserve"> </w:t>
      </w:r>
    </w:p>
    <w:p>
      <w:pPr>
        <w:pStyle w:val="230"/>
      </w:pPr>
      <w:r>
        <w:t>GB 50395 视频安防监控系统工程设计规范</w:t>
      </w:r>
    </w:p>
    <w:p>
      <w:pPr>
        <w:pStyle w:val="230"/>
      </w:pPr>
      <w:r>
        <w:t>NY</w:t>
      </w:r>
      <w:r>
        <w:rPr>
          <w:rFonts w:hint="eastAsia"/>
        </w:rPr>
        <w:t>/T</w:t>
      </w:r>
      <w:r>
        <w:t xml:space="preserve"> 526 水稻苗床调理剂</w:t>
      </w:r>
    </w:p>
    <w:p>
      <w:pPr>
        <w:pStyle w:val="230"/>
      </w:pPr>
      <w:r>
        <w:t>NY/T 1534 水稻工厂化育秧技术</w:t>
      </w:r>
      <w:r>
        <w:rPr>
          <w:rFonts w:hint="eastAsia"/>
        </w:rPr>
        <w:t>规程</w:t>
      </w:r>
    </w:p>
    <w:p>
      <w:pPr>
        <w:pStyle w:val="230"/>
      </w:pPr>
      <w:r>
        <w:t>QX/T 171</w:t>
      </w:r>
      <w:r>
        <w:rPr>
          <w:rFonts w:hint="eastAsia"/>
        </w:rPr>
        <w:t xml:space="preserve"> 短消息</w:t>
      </w:r>
      <w:r>
        <w:t>LED 屏气象信息显示规范</w:t>
      </w:r>
    </w:p>
    <w:p>
      <w:pPr>
        <w:pStyle w:val="230"/>
      </w:pPr>
      <w:r>
        <w:t>DB32/T 3390 一体化智能泵站应用技术</w:t>
      </w:r>
      <w:r>
        <w:rPr>
          <w:rFonts w:hint="eastAsia"/>
        </w:rPr>
        <w:t>规范</w:t>
      </w:r>
    </w:p>
    <w:p>
      <w:pPr>
        <w:pStyle w:val="104"/>
        <w:spacing w:before="312" w:after="312"/>
      </w:pPr>
      <w:bookmarkStart w:id="42" w:name="_Toc97191425"/>
      <w:r>
        <w:rPr>
          <w:rFonts w:hint="eastAsia"/>
          <w:szCs w:val="21"/>
        </w:rPr>
        <w:t>术语和定义</w:t>
      </w:r>
      <w:bookmarkEnd w:id="42"/>
    </w:p>
    <w:sdt>
      <w:sdtPr>
        <w:id w:val="-1909835108"/>
        <w:placeholder>
          <w:docPart w:val="08CACC5535374CF18A90D872EEFD6C0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3" w:name="_Toc26986532"/>
          <w:bookmarkEnd w:id="43"/>
          <w:r>
            <w:t>本文件没有需要界定的术语和定义。</w:t>
          </w:r>
        </w:p>
      </w:sdtContent>
    </w:sdt>
    <w:p>
      <w:pPr>
        <w:pStyle w:val="104"/>
        <w:spacing w:before="312" w:after="312"/>
      </w:pPr>
      <w:r>
        <w:rPr>
          <w:rFonts w:hint="eastAsia"/>
        </w:rPr>
        <w:t>工艺流程</w:t>
      </w:r>
    </w:p>
    <w:p>
      <w:pPr>
        <w:pStyle w:val="235"/>
        <w:numPr>
          <w:ilvl w:val="0"/>
          <w:numId w:val="0"/>
        </w:numPr>
        <w:jc w:val="center"/>
      </w:pPr>
      <w:r>
        <w:rPr>
          <w:rFonts w:ascii="Times New Roman"/>
          <w:kern w:val="2"/>
          <w:szCs w:val="24"/>
        </w:rPr>
        <w:drawing>
          <wp:inline distT="0" distB="0" distL="114300" distR="114300">
            <wp:extent cx="5038725" cy="3820795"/>
            <wp:effectExtent l="0" t="0" r="5715" b="444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6"/>
                    <a:stretch>
                      <a:fillRect/>
                    </a:stretch>
                  </pic:blipFill>
                  <pic:spPr>
                    <a:xfrm>
                      <a:off x="0" y="0"/>
                      <a:ext cx="5038725" cy="3820795"/>
                    </a:xfrm>
                    <a:prstGeom prst="rect">
                      <a:avLst/>
                    </a:prstGeom>
                    <a:noFill/>
                    <a:ln>
                      <a:noFill/>
                    </a:ln>
                  </pic:spPr>
                </pic:pic>
              </a:graphicData>
            </a:graphic>
          </wp:inline>
        </w:drawing>
      </w:r>
      <w:bookmarkStart w:id="44" w:name="_Toc5064"/>
    </w:p>
    <w:p>
      <w:pPr>
        <w:pStyle w:val="104"/>
        <w:spacing w:before="312" w:after="312"/>
      </w:pPr>
      <w:r>
        <w:rPr>
          <w:rFonts w:hint="eastAsia"/>
        </w:rPr>
        <w:t>固定设备安装</w:t>
      </w:r>
      <w:bookmarkEnd w:id="44"/>
    </w:p>
    <w:p>
      <w:pPr>
        <w:pStyle w:val="162"/>
      </w:pPr>
      <w:r>
        <w:rPr>
          <w:rFonts w:hint="eastAsia"/>
        </w:rPr>
        <w:t>一体化泵站</w:t>
      </w:r>
    </w:p>
    <w:p>
      <w:pPr>
        <w:pStyle w:val="65"/>
        <w:spacing w:before="156" w:after="156"/>
      </w:pPr>
      <w:r>
        <w:rPr>
          <w:rFonts w:hint="eastAsia"/>
        </w:rPr>
        <w:t>泵址选择</w:t>
      </w:r>
    </w:p>
    <w:p>
      <w:pPr>
        <w:pStyle w:val="230"/>
      </w:pPr>
      <w:r>
        <w:t>选择四周开阔、水质良好、交通便捷，且周边无有害粉尘及气体的地方建设一体化泵站。</w:t>
      </w:r>
    </w:p>
    <w:p>
      <w:pPr>
        <w:pStyle w:val="65"/>
        <w:spacing w:before="156" w:after="156"/>
      </w:pPr>
      <w:r>
        <w:rPr>
          <w:rFonts w:hint="eastAsia"/>
        </w:rPr>
        <w:t>泵站选配</w:t>
      </w:r>
    </w:p>
    <w:p>
      <w:pPr>
        <w:pStyle w:val="230"/>
      </w:pPr>
      <w:r>
        <w:rPr>
          <w:rFonts w:hint="eastAsia"/>
        </w:rPr>
        <w:t>以53360 m</w:t>
      </w:r>
      <w:r>
        <w:rPr>
          <w:rFonts w:hint="eastAsia"/>
          <w:vertAlign w:val="superscript"/>
        </w:rPr>
        <w:t>2</w:t>
      </w:r>
      <w:r>
        <w:t>～</w:t>
      </w:r>
      <w:r>
        <w:rPr>
          <w:rFonts w:hint="eastAsia"/>
        </w:rPr>
        <w:t>66700 m</w:t>
      </w:r>
      <w:r>
        <w:rPr>
          <w:rFonts w:hint="eastAsia"/>
          <w:vertAlign w:val="superscript"/>
        </w:rPr>
        <w:t>2</w:t>
      </w:r>
      <w:r>
        <w:rPr>
          <w:rFonts w:hint="eastAsia"/>
        </w:rPr>
        <w:t>亩集中秧田基地为标准，宜</w:t>
      </w:r>
      <w:r>
        <w:t>配电不小于80</w:t>
      </w:r>
      <w:r>
        <w:rPr>
          <w:rFonts w:hint="eastAsia"/>
        </w:rPr>
        <w:t xml:space="preserve"> </w:t>
      </w:r>
      <w:r>
        <w:t>kw。泵站内</w:t>
      </w:r>
      <w:r>
        <w:rPr>
          <w:rFonts w:hint="eastAsia"/>
        </w:rPr>
        <w:t>宜</w:t>
      </w:r>
      <w:r>
        <w:t>配备卧式离心泵三台（功率</w:t>
      </w:r>
      <w:r>
        <w:rPr>
          <w:rFonts w:hint="eastAsia"/>
        </w:rPr>
        <w:t>宜</w:t>
      </w:r>
      <w:r>
        <w:t>为30</w:t>
      </w:r>
      <w:r>
        <w:rPr>
          <w:rFonts w:hint="eastAsia"/>
        </w:rPr>
        <w:t xml:space="preserve"> </w:t>
      </w:r>
      <w:r>
        <w:t>kw，流量</w:t>
      </w:r>
      <w:r>
        <w:rPr>
          <w:rFonts w:hint="eastAsia"/>
        </w:rPr>
        <w:t>宜</w:t>
      </w:r>
      <w:r>
        <w:t>为80</w:t>
      </w:r>
      <w:r>
        <w:rPr>
          <w:rFonts w:hint="eastAsia"/>
        </w:rPr>
        <w:t xml:space="preserve"> </w:t>
      </w:r>
      <w:r>
        <w:t>m</w:t>
      </w:r>
      <w:r>
        <w:rPr>
          <w:vertAlign w:val="superscript"/>
        </w:rPr>
        <w:t>3</w:t>
      </w:r>
      <w:r>
        <w:t>/h～90</w:t>
      </w:r>
      <w:r>
        <w:rPr>
          <w:rFonts w:hint="eastAsia"/>
        </w:rPr>
        <w:t xml:space="preserve"> </w:t>
      </w:r>
      <w:r>
        <w:t>m</w:t>
      </w:r>
      <w:r>
        <w:rPr>
          <w:vertAlign w:val="superscript"/>
        </w:rPr>
        <w:t>3</w:t>
      </w:r>
      <w:r>
        <w:t>/h，扬程</w:t>
      </w:r>
      <w:r>
        <w:rPr>
          <w:rFonts w:hint="eastAsia"/>
        </w:rPr>
        <w:t>宜</w:t>
      </w:r>
      <w:r>
        <w:t>为70</w:t>
      </w:r>
      <w:r>
        <w:rPr>
          <w:rFonts w:hint="eastAsia"/>
        </w:rPr>
        <w:t xml:space="preserve"> </w:t>
      </w:r>
      <w:r>
        <w:t>m），</w:t>
      </w:r>
      <w:r>
        <w:rPr>
          <w:rFonts w:hint="eastAsia"/>
        </w:rPr>
        <w:t>宜</w:t>
      </w:r>
      <w:r>
        <w:t>两用一备，变频控制（变频为ABB主机），水泵应</w:t>
      </w:r>
      <w:r>
        <w:rPr>
          <w:rFonts w:hint="eastAsia"/>
        </w:rPr>
        <w:t>按照</w:t>
      </w:r>
      <w:r>
        <w:t>GB/T 25409</w:t>
      </w:r>
      <w:r>
        <w:rPr>
          <w:rFonts w:hint="eastAsia"/>
        </w:rPr>
        <w:t>的规定执行</w:t>
      </w:r>
      <w:r>
        <w:t>。</w:t>
      </w:r>
    </w:p>
    <w:p>
      <w:pPr>
        <w:pStyle w:val="65"/>
        <w:spacing w:before="156" w:after="156"/>
      </w:pPr>
      <w:r>
        <w:rPr>
          <w:rFonts w:hint="eastAsia"/>
        </w:rPr>
        <w:t>过滤系统</w:t>
      </w:r>
    </w:p>
    <w:p>
      <w:pPr>
        <w:pStyle w:val="230"/>
      </w:pPr>
      <w:r>
        <w:rPr>
          <w:rFonts w:hint="eastAsia"/>
        </w:rPr>
        <w:t>宜采用</w:t>
      </w:r>
      <w:r>
        <w:t>二级过滤系统，介质过滤器和</w:t>
      </w:r>
      <w:r>
        <w:rPr>
          <w:rFonts w:hint="eastAsia"/>
        </w:rPr>
        <w:t>叠</w:t>
      </w:r>
      <w:r>
        <w:t>片过滤器，均为自动反冲洗（介质过滤器</w:t>
      </w:r>
      <w:r>
        <w:rPr>
          <w:rFonts w:hint="eastAsia"/>
        </w:rPr>
        <w:t>宜</w:t>
      </w:r>
      <w:r>
        <w:t>为1200双罐，进出口管径</w:t>
      </w:r>
      <w:r>
        <w:rPr>
          <w:rFonts w:hint="eastAsia"/>
        </w:rPr>
        <w:t>宜</w:t>
      </w:r>
      <w:r>
        <w:t>20</w:t>
      </w:r>
      <w:r>
        <w:rPr>
          <w:rFonts w:hint="eastAsia"/>
        </w:rPr>
        <w:t xml:space="preserve"> </w:t>
      </w:r>
      <w:r>
        <w:t>cm，3</w:t>
      </w:r>
      <w:r>
        <w:rPr>
          <w:rFonts w:hint="eastAsia"/>
        </w:rPr>
        <w:t xml:space="preserve"> m</w:t>
      </w:r>
      <w:r>
        <w:rPr>
          <w:rFonts w:hint="eastAsia"/>
          <w:vertAlign w:val="superscript"/>
        </w:rPr>
        <w:t>3</w:t>
      </w:r>
      <w:r>
        <w:t>/h；片过滤器</w:t>
      </w:r>
      <w:r>
        <w:rPr>
          <w:rFonts w:hint="eastAsia"/>
        </w:rPr>
        <w:t>宜</w:t>
      </w:r>
      <w:r>
        <w:t>为35组，进出口管径</w:t>
      </w:r>
      <w:r>
        <w:rPr>
          <w:rFonts w:hint="eastAsia"/>
        </w:rPr>
        <w:t>宜</w:t>
      </w:r>
      <w:r>
        <w:t>20</w:t>
      </w:r>
      <w:r>
        <w:rPr>
          <w:rFonts w:hint="eastAsia"/>
        </w:rPr>
        <w:t xml:space="preserve"> </w:t>
      </w:r>
      <w:r>
        <w:t>cm，过滤等级</w:t>
      </w:r>
      <w:r>
        <w:rPr>
          <w:rFonts w:hint="eastAsia"/>
        </w:rPr>
        <w:t>宜</w:t>
      </w:r>
      <w:r>
        <w:t>120目）；配备旁路式三通道施肥机一台，实行自动化集中施肥，依据气象条件通过控制线缆，对田间电磁阀实行远程自动化（手动）控制。过滤系统应</w:t>
      </w:r>
      <w:r>
        <w:rPr>
          <w:rFonts w:hint="eastAsia"/>
        </w:rPr>
        <w:t>按照</w:t>
      </w:r>
      <w:r>
        <w:t>GB/T 18690.2</w:t>
      </w:r>
      <w:r>
        <w:rPr>
          <w:rFonts w:hint="eastAsia"/>
        </w:rPr>
        <w:t>的规定执行</w:t>
      </w:r>
      <w:r>
        <w:t>。</w:t>
      </w:r>
    </w:p>
    <w:p>
      <w:pPr>
        <w:pStyle w:val="230"/>
      </w:pPr>
    </w:p>
    <w:p>
      <w:pPr>
        <w:pStyle w:val="162"/>
      </w:pPr>
      <w:r>
        <w:rPr>
          <w:rFonts w:hint="eastAsia"/>
        </w:rPr>
        <w:t>智能控制系统</w:t>
      </w:r>
    </w:p>
    <w:p>
      <w:pPr>
        <w:pStyle w:val="65"/>
        <w:spacing w:before="156" w:after="156"/>
      </w:pPr>
      <w:r>
        <w:rPr>
          <w:rFonts w:hint="eastAsia"/>
        </w:rPr>
        <w:t>气象站</w:t>
      </w:r>
    </w:p>
    <w:p>
      <w:pPr>
        <w:pStyle w:val="230"/>
      </w:pPr>
      <w:r>
        <w:t>泵站外</w:t>
      </w:r>
      <w:r>
        <w:rPr>
          <w:rFonts w:hint="eastAsia"/>
        </w:rPr>
        <w:t>应</w:t>
      </w:r>
      <w:r>
        <w:t>设立微型气象站，监测获取相关气象数据。</w:t>
      </w:r>
      <w:r>
        <w:rPr>
          <w:rFonts w:hint="eastAsia"/>
        </w:rPr>
        <w:t>其应</w:t>
      </w:r>
      <w:r>
        <w:t>具备风力、风向、雨量及光照数据采集功能。</w:t>
      </w:r>
    </w:p>
    <w:p>
      <w:pPr>
        <w:pStyle w:val="65"/>
        <w:spacing w:before="156" w:after="156"/>
      </w:pPr>
      <w:r>
        <w:rPr>
          <w:rFonts w:hint="eastAsia"/>
        </w:rPr>
        <w:t>传感器和显示屏</w:t>
      </w:r>
    </w:p>
    <w:p>
      <w:pPr>
        <w:pStyle w:val="230"/>
      </w:pPr>
      <w:r>
        <w:t>秧田分区分别设立环境、土壤传感器和显示屏，同时安装监控摄像机。传感器主要有：光照传感器、温度传感器、湿度传感器、土壤水分传感器、土壤温度传感器等。视频安防监控系统工程设计应符合GB 50395要求，安全防范系统验收应符合GA 308要求；短消息LED屏气象信息显示应符合QX/T 171要求</w:t>
      </w:r>
      <w:r>
        <w:rPr>
          <w:rFonts w:hint="eastAsia"/>
        </w:rPr>
        <w:t>。</w:t>
      </w:r>
    </w:p>
    <w:p>
      <w:pPr>
        <w:pStyle w:val="65"/>
        <w:spacing w:before="156" w:after="156"/>
      </w:pPr>
      <w:r>
        <w:rPr>
          <w:rFonts w:hint="eastAsia"/>
        </w:rPr>
        <w:t>远程控制平台</w:t>
      </w:r>
    </w:p>
    <w:p>
      <w:pPr>
        <w:pStyle w:val="94"/>
        <w:spacing w:before="156" w:after="156"/>
      </w:pPr>
      <w:r>
        <w:rPr>
          <w:rFonts w:hint="eastAsia"/>
        </w:rPr>
        <w:t>信息平台和多媒体平台控制中心</w:t>
      </w:r>
    </w:p>
    <w:p>
      <w:pPr>
        <w:pStyle w:val="230"/>
      </w:pPr>
      <w:r>
        <w:t>在控制中心设立一块</w:t>
      </w:r>
      <w:r>
        <w:rPr>
          <w:rFonts w:hint="eastAsia"/>
        </w:rPr>
        <w:t>宜</w:t>
      </w:r>
      <w:r>
        <w:t>3</w:t>
      </w:r>
      <w:r>
        <w:rPr>
          <w:rFonts w:hint="eastAsia"/>
        </w:rPr>
        <w:t xml:space="preserve"> </w:t>
      </w:r>
      <w:r>
        <w:t>m</w:t>
      </w:r>
      <w:r>
        <w:rPr>
          <w:rFonts w:hint="eastAsia"/>
        </w:rPr>
        <w:t>×</w:t>
      </w:r>
      <w:r>
        <w:t>3</w:t>
      </w:r>
      <w:r>
        <w:rPr>
          <w:rFonts w:hint="eastAsia"/>
        </w:rPr>
        <w:t xml:space="preserve"> </w:t>
      </w:r>
      <w:r>
        <w:t>m的拼接大屏，前端数据采集系统，通过光纤将视频信号传输到控制中心平台，同时各个点的传感器数据、施肥机控制系统通过网络传输到控制中心平台，在控制中心实行可视化操作。</w:t>
      </w:r>
    </w:p>
    <w:p>
      <w:pPr>
        <w:pStyle w:val="94"/>
        <w:spacing w:before="156" w:after="156"/>
      </w:pPr>
      <w:r>
        <w:t>数字高清监控主机</w:t>
      </w:r>
    </w:p>
    <w:p>
      <w:pPr>
        <w:pStyle w:val="230"/>
      </w:pPr>
      <w:r>
        <w:rPr>
          <w:rFonts w:hint="eastAsia"/>
        </w:rPr>
        <w:t>宜支持但不限于以下功能：</w:t>
      </w:r>
    </w:p>
    <w:p>
      <w:pPr>
        <w:pStyle w:val="132"/>
      </w:pPr>
      <w:r>
        <w:t>8个SATA</w:t>
      </w:r>
      <w:r>
        <w:rPr>
          <w:rFonts w:hint="eastAsia"/>
        </w:rPr>
        <w:t>接口，或更高级别接口硬</w:t>
      </w:r>
      <w:r>
        <w:t>盘；</w:t>
      </w:r>
    </w:p>
    <w:p>
      <w:pPr>
        <w:pStyle w:val="132"/>
      </w:pPr>
      <w:r>
        <w:t>多种</w:t>
      </w:r>
      <w:r>
        <w:rPr>
          <w:rFonts w:hint="eastAsia"/>
        </w:rPr>
        <w:t>磁盘阵列</w:t>
      </w:r>
      <w:r>
        <w:t>模式及全局热备，多重保护数据安全；</w:t>
      </w:r>
    </w:p>
    <w:p>
      <w:pPr>
        <w:pStyle w:val="132"/>
      </w:pPr>
      <w:r>
        <w:t>2</w:t>
      </w:r>
      <w:r>
        <w:rPr>
          <w:rFonts w:hint="eastAsia"/>
        </w:rPr>
        <w:t>千</w:t>
      </w:r>
      <w:r>
        <w:t>分辨率接入和解码输出；</w:t>
      </w:r>
    </w:p>
    <w:p>
      <w:pPr>
        <w:pStyle w:val="132"/>
      </w:pPr>
      <w:r>
        <w:t>H.265、H.264编码前端自适应接入；</w:t>
      </w:r>
    </w:p>
    <w:p>
      <w:pPr>
        <w:pStyle w:val="132"/>
      </w:pPr>
      <w:r>
        <w:t>关键视频</w:t>
      </w:r>
      <w:r>
        <w:rPr>
          <w:rFonts w:hint="eastAsia"/>
        </w:rPr>
        <w:t>可</w:t>
      </w:r>
      <w:r>
        <w:t>添加标签和加锁保护；</w:t>
      </w:r>
    </w:p>
    <w:p>
      <w:pPr>
        <w:pStyle w:val="132"/>
      </w:pPr>
      <w:r>
        <w:rPr>
          <w:rFonts w:hint="eastAsia"/>
        </w:rPr>
        <w:t>至少</w:t>
      </w:r>
      <w:r>
        <w:t>2个千兆以太网口；</w:t>
      </w:r>
    </w:p>
    <w:p>
      <w:pPr>
        <w:pStyle w:val="132"/>
      </w:pPr>
      <w:r>
        <w:rPr>
          <w:rFonts w:hint="eastAsia"/>
        </w:rPr>
        <w:t>支持</w:t>
      </w:r>
      <w:r>
        <w:t>断网续传</w:t>
      </w:r>
      <w:r>
        <w:rPr>
          <w:rFonts w:hint="eastAsia"/>
        </w:rPr>
        <w:t>功能</w:t>
      </w:r>
      <w:r>
        <w:t>；</w:t>
      </w:r>
    </w:p>
    <w:p>
      <w:pPr>
        <w:pStyle w:val="132"/>
      </w:pPr>
      <w:r>
        <w:t>对任一录像进行添加</w:t>
      </w:r>
      <w:r>
        <w:rPr>
          <w:rFonts w:hint="eastAsia"/>
        </w:rPr>
        <w:t>多个</w:t>
      </w:r>
      <w:r>
        <w:t>自定义标签；</w:t>
      </w:r>
    </w:p>
    <w:p>
      <w:pPr>
        <w:pStyle w:val="132"/>
      </w:pPr>
      <w:r>
        <w:rPr>
          <w:rFonts w:hint="eastAsia"/>
        </w:rPr>
        <w:t>后台可通过网络远程</w:t>
      </w:r>
      <w:r>
        <w:t>进行</w:t>
      </w:r>
      <w:r>
        <w:rPr>
          <w:rFonts w:hint="eastAsia"/>
        </w:rPr>
        <w:t>视频</w:t>
      </w:r>
      <w:r>
        <w:t>预览、回放、</w:t>
      </w:r>
      <w:r>
        <w:rPr>
          <w:rFonts w:hint="eastAsia"/>
        </w:rPr>
        <w:t>远程</w:t>
      </w:r>
      <w:r>
        <w:t>配置</w:t>
      </w:r>
      <w:r>
        <w:rPr>
          <w:rFonts w:hint="eastAsia"/>
        </w:rPr>
        <w:t>等</w:t>
      </w:r>
      <w:r>
        <w:t>操作</w:t>
      </w:r>
      <w:r>
        <w:rPr>
          <w:rFonts w:hint="eastAsia"/>
        </w:rPr>
        <w:t>。</w:t>
      </w:r>
    </w:p>
    <w:p>
      <w:pPr>
        <w:pStyle w:val="94"/>
        <w:spacing w:before="156" w:after="156"/>
      </w:pPr>
      <w:r>
        <w:t>高清网络云台球机</w:t>
      </w:r>
    </w:p>
    <w:p>
      <w:pPr>
        <w:pStyle w:val="230"/>
      </w:pPr>
      <w:r>
        <w:rPr>
          <w:rFonts w:hint="eastAsia"/>
        </w:rPr>
        <w:t>宜支持但不限于以下功能：</w:t>
      </w:r>
    </w:p>
    <w:p>
      <w:pPr>
        <w:pStyle w:val="230"/>
      </w:pPr>
      <w:r>
        <w:rPr>
          <w:rFonts w:hint="eastAsia"/>
        </w:rPr>
        <w:t>——</w:t>
      </w:r>
      <w:r>
        <w:t>视频输出</w:t>
      </w:r>
      <w:r>
        <w:rPr>
          <w:rFonts w:hint="eastAsia"/>
        </w:rPr>
        <w:t>分辨率达到</w:t>
      </w:r>
      <w:r>
        <w:t>1920×1080</w:t>
      </w:r>
      <w:r>
        <w:rPr>
          <w:rFonts w:hint="eastAsia"/>
        </w:rPr>
        <w:t>，</w:t>
      </w:r>
      <w:r>
        <w:t>画面每秒传输帧数</w:t>
      </w:r>
      <w:r>
        <w:rPr>
          <w:rFonts w:hint="eastAsia"/>
        </w:rPr>
        <w:t>达到</w:t>
      </w:r>
      <w:r>
        <w:t>25，信噪比≥60</w:t>
      </w:r>
      <w:r>
        <w:rPr>
          <w:rFonts w:hint="eastAsia"/>
        </w:rPr>
        <w:t>分贝</w:t>
      </w:r>
      <w:r>
        <w:t>；</w:t>
      </w:r>
    </w:p>
    <w:p>
      <w:pPr>
        <w:pStyle w:val="230"/>
      </w:pPr>
      <w:r>
        <w:rPr>
          <w:rFonts w:hint="eastAsia"/>
        </w:rPr>
        <w:t>——</w:t>
      </w:r>
      <w:r>
        <w:t>红外距离达150</w:t>
      </w:r>
      <w:r>
        <w:rPr>
          <w:rFonts w:hint="eastAsia"/>
        </w:rPr>
        <w:t xml:space="preserve"> m</w:t>
      </w:r>
      <w:r>
        <w:t>；</w:t>
      </w:r>
    </w:p>
    <w:p>
      <w:pPr>
        <w:pStyle w:val="230"/>
      </w:pPr>
      <w:r>
        <w:rPr>
          <w:rFonts w:hint="eastAsia"/>
        </w:rPr>
        <w:t>——</w:t>
      </w:r>
      <w:r>
        <w:t xml:space="preserve">最低照度彩色0.0005勒克斯，黑白0.0001勒克斯； </w:t>
      </w:r>
    </w:p>
    <w:p>
      <w:pPr>
        <w:pStyle w:val="230"/>
      </w:pPr>
      <w:r>
        <w:rPr>
          <w:rFonts w:hint="eastAsia"/>
        </w:rPr>
        <w:t>——</w:t>
      </w:r>
      <w:r>
        <w:t>动态范围不小于106</w:t>
      </w:r>
      <w:r>
        <w:rPr>
          <w:rFonts w:hint="eastAsia"/>
        </w:rPr>
        <w:t xml:space="preserve"> </w:t>
      </w:r>
      <w:r>
        <w:t>dB，照度适应范围不小于136</w:t>
      </w:r>
      <w:r>
        <w:rPr>
          <w:rFonts w:hint="eastAsia"/>
        </w:rPr>
        <w:t xml:space="preserve"> </w:t>
      </w:r>
      <w:r>
        <w:t>dB，宽动态能力综合得分不小于130；</w:t>
      </w:r>
    </w:p>
    <w:p>
      <w:pPr>
        <w:pStyle w:val="230"/>
      </w:pPr>
      <w:r>
        <w:rPr>
          <w:rFonts w:hint="eastAsia"/>
        </w:rPr>
        <w:t>——</w:t>
      </w:r>
      <w:r>
        <w:t>具备较强的网络自适应能力，在丢包率为20%的网络环境下，仍正常显示监视画面；</w:t>
      </w:r>
    </w:p>
    <w:p>
      <w:pPr>
        <w:pStyle w:val="230"/>
      </w:pPr>
      <w:r>
        <w:rPr>
          <w:rFonts w:hint="eastAsia"/>
        </w:rPr>
        <w:t>——按照视频监控范围实际需求，宜</w:t>
      </w:r>
      <w:r>
        <w:t>支持</w:t>
      </w:r>
      <w:r>
        <w:rPr>
          <w:rFonts w:hint="eastAsia"/>
        </w:rPr>
        <w:t>多</w:t>
      </w:r>
      <w:r>
        <w:t>个预置位，支持</w:t>
      </w:r>
      <w:r>
        <w:rPr>
          <w:rFonts w:hint="eastAsia"/>
        </w:rPr>
        <w:t>多</w:t>
      </w:r>
      <w:r>
        <w:t>条巡航扫描，支持</w:t>
      </w:r>
      <w:r>
        <w:rPr>
          <w:rFonts w:hint="eastAsia"/>
        </w:rPr>
        <w:t>多</w:t>
      </w:r>
      <w:r>
        <w:t>模式路径设置，支持预置位视频冻结功能；</w:t>
      </w:r>
    </w:p>
    <w:p>
      <w:pPr>
        <w:pStyle w:val="230"/>
      </w:pPr>
      <w:r>
        <w:rPr>
          <w:rFonts w:hint="eastAsia"/>
        </w:rPr>
        <w:t>——</w:t>
      </w:r>
      <w:r>
        <w:t>具备较好的电源适应性，电压在</w:t>
      </w:r>
      <w:r>
        <w:rPr>
          <w:rFonts w:hint="eastAsia"/>
        </w:rPr>
        <w:t>正负</w:t>
      </w:r>
      <w:r>
        <w:t>30%范围内变化时，设备</w:t>
      </w:r>
      <w:r>
        <w:rPr>
          <w:rFonts w:hint="eastAsia"/>
        </w:rPr>
        <w:t>能够</w:t>
      </w:r>
      <w:r>
        <w:t>正常工作。</w:t>
      </w:r>
    </w:p>
    <w:p>
      <w:pPr>
        <w:pStyle w:val="94"/>
        <w:spacing w:before="156" w:after="156"/>
      </w:pPr>
      <w:r>
        <w:t>千兆光纤收发器</w:t>
      </w:r>
    </w:p>
    <w:p>
      <w:pPr>
        <w:pStyle w:val="230"/>
      </w:pPr>
      <w:bookmarkStart w:id="45" w:name="_Hlk92528227"/>
      <w:r>
        <w:rPr>
          <w:rFonts w:hint="eastAsia"/>
        </w:rPr>
        <w:t>宜支持但不限于以下功能：</w:t>
      </w:r>
    </w:p>
    <w:p>
      <w:pPr>
        <w:pStyle w:val="230"/>
      </w:pPr>
      <w:r>
        <w:rPr>
          <w:rFonts w:hint="eastAsia"/>
        </w:rPr>
        <w:t>——</w:t>
      </w:r>
      <w:r>
        <w:t>平均无故障时间</w:t>
      </w:r>
      <w:r>
        <w:rPr>
          <w:rFonts w:hint="eastAsia"/>
        </w:rPr>
        <w:t>大于1</w:t>
      </w:r>
      <w:r>
        <w:t>0</w:t>
      </w:r>
      <w:r>
        <w:rPr>
          <w:rFonts w:hint="eastAsia"/>
        </w:rPr>
        <w:t>0000 h</w:t>
      </w:r>
      <w:r>
        <w:t>；</w:t>
      </w:r>
    </w:p>
    <w:p>
      <w:pPr>
        <w:pStyle w:val="230"/>
      </w:pPr>
      <w:r>
        <w:rPr>
          <w:rFonts w:hint="eastAsia"/>
        </w:rPr>
        <w:t>——</w:t>
      </w:r>
      <w:r>
        <w:t>全金属封闭结构，工作温度范围达到-30</w:t>
      </w:r>
      <w:r>
        <w:rPr>
          <w:rFonts w:hint="eastAsia"/>
        </w:rPr>
        <w:t xml:space="preserve"> </w:t>
      </w:r>
      <w:r>
        <w:t>˚C～70 ˚C；</w:t>
      </w:r>
    </w:p>
    <w:p>
      <w:pPr>
        <w:pStyle w:val="230"/>
      </w:pPr>
      <w:r>
        <w:rPr>
          <w:rFonts w:hint="eastAsia"/>
        </w:rPr>
        <w:t>——</w:t>
      </w:r>
      <w:r>
        <w:t>工业级设计,安装简便、即插即用。</w:t>
      </w:r>
    </w:p>
    <w:bookmarkEnd w:id="45"/>
    <w:p>
      <w:pPr>
        <w:pStyle w:val="94"/>
        <w:spacing w:before="156" w:after="156"/>
      </w:pPr>
      <w:r>
        <w:t>千兆</w:t>
      </w:r>
      <w:r>
        <w:rPr>
          <w:rFonts w:hint="eastAsia"/>
        </w:rPr>
        <w:t>以太网</w:t>
      </w:r>
      <w:r>
        <w:t>交换机</w:t>
      </w:r>
    </w:p>
    <w:p>
      <w:pPr>
        <w:pStyle w:val="230"/>
      </w:pPr>
      <w:r>
        <w:rPr>
          <w:rFonts w:hint="eastAsia"/>
        </w:rPr>
        <w:t>宜支持但不限于以下功能：</w:t>
      </w:r>
    </w:p>
    <w:p>
      <w:pPr>
        <w:pStyle w:val="230"/>
      </w:pPr>
      <w:r>
        <w:rPr>
          <w:rFonts w:hint="eastAsia"/>
        </w:rPr>
        <w:t>——多个千兆网络接口，其中光口数量建议为摄像头两倍以上，电口数量建议为其他网络终端的两倍以上，以便后期扩展</w:t>
      </w:r>
      <w:r>
        <w:t xml:space="preserve">； </w:t>
      </w:r>
    </w:p>
    <w:p>
      <w:pPr>
        <w:pStyle w:val="230"/>
      </w:pPr>
      <w:r>
        <w:rPr>
          <w:rFonts w:hint="eastAsia"/>
        </w:rPr>
        <w:t>——</w:t>
      </w:r>
      <w:r>
        <w:t>全金属封闭结构，工作温度范围达到-30</w:t>
      </w:r>
      <w:r>
        <w:rPr>
          <w:rFonts w:hint="eastAsia"/>
        </w:rPr>
        <w:t xml:space="preserve"> </w:t>
      </w:r>
      <w:r>
        <w:t>˚C～70 ˚C；</w:t>
      </w:r>
    </w:p>
    <w:p>
      <w:pPr>
        <w:pStyle w:val="230"/>
      </w:pPr>
      <w:r>
        <w:rPr>
          <w:rFonts w:hint="eastAsia"/>
        </w:rPr>
        <w:t>——</w:t>
      </w:r>
      <w:r>
        <w:t>工业级设计,安装简便、即插即用；</w:t>
      </w:r>
    </w:p>
    <w:p>
      <w:pPr>
        <w:pStyle w:val="230"/>
      </w:pPr>
      <w:r>
        <w:rPr>
          <w:rFonts w:hint="eastAsia"/>
        </w:rPr>
        <w:t>——支持t</w:t>
      </w:r>
      <w:r>
        <w:t>elnet,ssh</w:t>
      </w:r>
      <w:r>
        <w:rPr>
          <w:rFonts w:hint="eastAsia"/>
        </w:rPr>
        <w:t>等主流远程管理协议。</w:t>
      </w:r>
    </w:p>
    <w:p>
      <w:pPr>
        <w:pStyle w:val="94"/>
        <w:spacing w:before="156" w:after="156"/>
      </w:pPr>
      <w:r>
        <w:t>拼接</w:t>
      </w:r>
      <w:r>
        <w:rPr>
          <w:rFonts w:hint="eastAsia"/>
        </w:rPr>
        <w:t>显示</w:t>
      </w:r>
      <w:r>
        <w:t>屏</w:t>
      </w:r>
    </w:p>
    <w:p>
      <w:pPr>
        <w:pStyle w:val="230"/>
      </w:pPr>
      <w:r>
        <w:rPr>
          <w:rFonts w:hint="eastAsia"/>
        </w:rPr>
        <w:t>宜支持但不限于以下功能：</w:t>
      </w:r>
    </w:p>
    <w:p>
      <w:pPr>
        <w:pStyle w:val="230"/>
      </w:pPr>
      <w:r>
        <w:rPr>
          <w:rFonts w:hint="eastAsia"/>
        </w:rPr>
        <w:t>——</w:t>
      </w:r>
      <w:r>
        <w:t>分辨率</w:t>
      </w:r>
      <w:r>
        <w:rPr>
          <w:rFonts w:hint="eastAsia"/>
        </w:rPr>
        <w:t>达到</w:t>
      </w:r>
      <w:r>
        <w:t>1920×1080</w:t>
      </w:r>
      <w:r>
        <w:rPr>
          <w:rFonts w:hint="eastAsia"/>
        </w:rPr>
        <w:t>或以上</w:t>
      </w:r>
      <w:r>
        <w:t>；</w:t>
      </w:r>
    </w:p>
    <w:p>
      <w:pPr>
        <w:pStyle w:val="230"/>
      </w:pPr>
      <w:r>
        <w:rPr>
          <w:rFonts w:hint="eastAsia"/>
        </w:rPr>
        <w:t>——</w:t>
      </w:r>
      <w:r>
        <w:t>可视角度</w:t>
      </w:r>
      <w:r>
        <w:rPr>
          <w:rFonts w:hint="eastAsia"/>
        </w:rPr>
        <w:t>达到</w:t>
      </w:r>
      <w:r>
        <w:t>178</w:t>
      </w:r>
      <w:r>
        <w:rPr>
          <w:rFonts w:hint="eastAsia"/>
        </w:rPr>
        <w:t>°</w:t>
      </w:r>
      <w:r>
        <w:t>；</w:t>
      </w:r>
    </w:p>
    <w:p>
      <w:pPr>
        <w:pStyle w:val="230"/>
      </w:pPr>
      <w:r>
        <w:rPr>
          <w:rFonts w:hint="eastAsia"/>
        </w:rPr>
        <w:t>——支持</w:t>
      </w:r>
      <w:r>
        <w:t>DVI、HDMI、VGA</w:t>
      </w:r>
      <w:r>
        <w:rPr>
          <w:rFonts w:hint="eastAsia"/>
        </w:rPr>
        <w:t>等主流接口</w:t>
      </w:r>
      <w:r>
        <w:t>；</w:t>
      </w:r>
    </w:p>
    <w:p>
      <w:pPr>
        <w:pStyle w:val="230"/>
      </w:pPr>
      <w:r>
        <w:rPr>
          <w:rFonts w:hint="eastAsia"/>
        </w:rPr>
        <w:t>——</w:t>
      </w:r>
      <w:r>
        <w:t>工业级高可靠性，</w:t>
      </w:r>
      <w:r>
        <w:rPr>
          <w:rFonts w:hint="eastAsia"/>
        </w:rPr>
        <w:t>支持全天24小时持</w:t>
      </w:r>
      <w:r>
        <w:t>续工作；</w:t>
      </w:r>
    </w:p>
    <w:p>
      <w:pPr>
        <w:pStyle w:val="230"/>
        <w:rPr>
          <w:rFonts w:ascii="Times New Roman"/>
          <w:szCs w:val="21"/>
        </w:rPr>
      </w:pPr>
      <w:r>
        <w:rPr>
          <w:rFonts w:hint="eastAsia"/>
        </w:rPr>
        <w:t>——</w:t>
      </w:r>
      <w:r>
        <w:t xml:space="preserve">开放底层通讯协议，便于用户灵活采用第三方中控系统。 </w:t>
      </w:r>
    </w:p>
    <w:p>
      <w:pPr>
        <w:pStyle w:val="94"/>
        <w:spacing w:before="156" w:after="156"/>
      </w:pPr>
      <w:r>
        <w:t>一出四矩阵</w:t>
      </w:r>
    </w:p>
    <w:p>
      <w:pPr>
        <w:pStyle w:val="230"/>
      </w:pPr>
      <w:r>
        <w:rPr>
          <w:rFonts w:hint="eastAsia"/>
        </w:rPr>
        <w:t>宜支持但不限于以下功能：</w:t>
      </w:r>
    </w:p>
    <w:p>
      <w:pPr>
        <w:pStyle w:val="230"/>
      </w:pPr>
      <w:r>
        <w:rPr>
          <w:rFonts w:hint="eastAsia"/>
        </w:rPr>
        <w:t>——</w:t>
      </w:r>
      <w:r>
        <w:t>4路信号输入，12路信号输出，实现输入画面全屏或单屏显示四路不同画面；</w:t>
      </w:r>
    </w:p>
    <w:p>
      <w:pPr>
        <w:pStyle w:val="230"/>
      </w:pPr>
      <w:r>
        <w:rPr>
          <w:rFonts w:hint="eastAsia"/>
        </w:rPr>
        <w:t>——可通过网络远程</w:t>
      </w:r>
      <w:r>
        <w:t>控制</w:t>
      </w:r>
      <w:r>
        <w:rPr>
          <w:rFonts w:hint="eastAsia"/>
        </w:rPr>
        <w:t>输入输出</w:t>
      </w:r>
      <w:r>
        <w:t>。</w:t>
      </w:r>
    </w:p>
    <w:p>
      <w:pPr>
        <w:pStyle w:val="105"/>
        <w:spacing w:before="156" w:after="156"/>
      </w:pPr>
      <w:r>
        <w:t>施肥机</w:t>
      </w:r>
    </w:p>
    <w:p>
      <w:pPr>
        <w:pStyle w:val="65"/>
        <w:spacing w:before="156" w:after="156"/>
      </w:pPr>
      <w:r>
        <w:t>参数</w:t>
      </w:r>
    </w:p>
    <w:p>
      <w:pPr>
        <w:spacing w:line="360" w:lineRule="auto"/>
        <w:ind w:firstLine="420" w:firstLineChars="200"/>
      </w:pPr>
      <w:r>
        <w:rPr>
          <w:rFonts w:ascii="宋体"/>
        </w:rPr>
        <w:t>旁路式施肥机</w:t>
      </w:r>
      <w:r>
        <w:rPr>
          <w:rFonts w:hint="eastAsia" w:ascii="宋体"/>
        </w:rPr>
        <w:t>宜采用</w:t>
      </w:r>
      <w:r>
        <w:rPr>
          <w:rFonts w:ascii="宋体"/>
        </w:rPr>
        <w:t>3条施肥通道</w:t>
      </w:r>
      <w:r>
        <w:rPr>
          <w:rFonts w:hint="eastAsia" w:ascii="宋体"/>
        </w:rPr>
        <w:t>、</w:t>
      </w:r>
      <w:r>
        <w:rPr>
          <w:rFonts w:ascii="宋体"/>
        </w:rPr>
        <w:t>EC/PH监测</w:t>
      </w:r>
      <w:r>
        <w:rPr>
          <w:rFonts w:hint="eastAsia" w:ascii="宋体"/>
        </w:rPr>
        <w:t>、</w:t>
      </w:r>
      <w:r>
        <w:rPr>
          <w:rFonts w:ascii="宋体"/>
        </w:rPr>
        <w:t>PRO中文界面</w:t>
      </w:r>
      <w:r>
        <w:rPr>
          <w:rFonts w:hint="eastAsia" w:ascii="宋体"/>
        </w:rPr>
        <w:t>、</w:t>
      </w:r>
      <w:r>
        <w:rPr>
          <w:rFonts w:ascii="宋体"/>
        </w:rPr>
        <w:t>16个24VAC输出</w:t>
      </w:r>
      <w:r>
        <w:rPr>
          <w:rFonts w:hint="eastAsia" w:ascii="宋体"/>
        </w:rPr>
        <w:t>。</w:t>
      </w:r>
      <w:r>
        <w:t xml:space="preserve"> </w:t>
      </w:r>
    </w:p>
    <w:p>
      <w:pPr>
        <w:pStyle w:val="65"/>
        <w:spacing w:before="156" w:after="156"/>
      </w:pPr>
      <w:r>
        <w:t>程序特性</w:t>
      </w:r>
    </w:p>
    <w:p>
      <w:pPr>
        <w:pStyle w:val="230"/>
      </w:pPr>
      <w:r>
        <w:t>根据时间或比例（根据灌溉水量决定注肥次数）或根据EC/PH值进行施肥编程，每条吸肥通道都是独立的，为每条通道注入调配好的肥液以调节水体的离子浓度、酸碱度，安装EC/PH探头和监控器，EC探头在使用前应先泡混合液，内置混肥腔，控制混肥比例，同时控制多个吸肥通道，高达8个流量监测，控制高达24组过滤器反冲洗，根据过滤器进出水口压差决定是否自动反冲洗，基于气象站监测的温度与湿度，有5个动态程序控制降温和增湿系统，此高级控制器连接到气象站和其他控制器，监测和记录相关气候数据，灌溉用水的温度控制。</w:t>
      </w:r>
    </w:p>
    <w:p>
      <w:pPr>
        <w:pStyle w:val="65"/>
        <w:spacing w:before="156" w:after="156"/>
      </w:pPr>
      <w:r>
        <w:t>水力特性</w:t>
      </w:r>
    </w:p>
    <w:p>
      <w:pPr>
        <w:pStyle w:val="230"/>
      </w:pPr>
      <w:r>
        <w:t>系统过流量</w:t>
      </w:r>
      <w:r>
        <w:rPr>
          <w:rFonts w:hint="eastAsia"/>
        </w:rPr>
        <w:t>宜</w:t>
      </w:r>
      <w:r>
        <w:t>为20</w:t>
      </w:r>
      <w:r>
        <w:rPr>
          <w:rFonts w:hint="eastAsia"/>
        </w:rPr>
        <w:t xml:space="preserve"> </w:t>
      </w:r>
      <w:r>
        <w:t>m</w:t>
      </w:r>
      <w:r>
        <w:rPr>
          <w:vertAlign w:val="superscript"/>
        </w:rPr>
        <w:t>3</w:t>
      </w:r>
      <w:r>
        <w:t>/h～120</w:t>
      </w:r>
      <w:bookmarkStart w:id="46" w:name="_Hlk92464422"/>
      <w:r>
        <w:rPr>
          <w:rFonts w:hint="eastAsia"/>
        </w:rPr>
        <w:t xml:space="preserve"> </w:t>
      </w:r>
      <w:r>
        <w:t>m</w:t>
      </w:r>
      <w:r>
        <w:rPr>
          <w:vertAlign w:val="superscript"/>
        </w:rPr>
        <w:t>3</w:t>
      </w:r>
      <w:r>
        <w:t>/h</w:t>
      </w:r>
      <w:bookmarkEnd w:id="46"/>
      <w:r>
        <w:t>，在主管道内的额定扬程</w:t>
      </w:r>
      <w:r>
        <w:rPr>
          <w:rFonts w:hint="eastAsia"/>
        </w:rPr>
        <w:t>宜</w:t>
      </w:r>
      <w:r>
        <w:t>为3</w:t>
      </w:r>
      <w:r>
        <w:rPr>
          <w:rFonts w:hint="eastAsia"/>
        </w:rPr>
        <w:t xml:space="preserve"> </w:t>
      </w:r>
      <w:r>
        <w:t>bar～6</w:t>
      </w:r>
      <w:r>
        <w:rPr>
          <w:rFonts w:hint="eastAsia"/>
        </w:rPr>
        <w:t xml:space="preserve"> </w:t>
      </w:r>
      <w:r>
        <w:t>bar，安装最高5个注肥通道，每个最高吸肥量</w:t>
      </w:r>
      <w:r>
        <w:rPr>
          <w:rFonts w:hint="eastAsia"/>
        </w:rPr>
        <w:t>宜</w:t>
      </w:r>
      <w:r>
        <w:t xml:space="preserve">为300 </w:t>
      </w:r>
      <w:r>
        <w:rPr>
          <w:rFonts w:hint="eastAsia"/>
        </w:rPr>
        <w:t>L</w:t>
      </w:r>
      <w:r>
        <w:t>/h，HydroMix</w:t>
      </w:r>
      <w:bookmarkStart w:id="47" w:name="_Hlk92526915"/>
      <w:r>
        <w:t>（混合控制的设备）</w:t>
      </w:r>
      <w:bookmarkEnd w:id="47"/>
      <w:r>
        <w:t>水力混肥腔，在进出水口长有减压阀和持压阀，配有采样阀门，每套施肥机配1个EC探头和1个PH探头，拥有两个供EC/PH传感器采样的基础测量口。</w:t>
      </w:r>
    </w:p>
    <w:p>
      <w:pPr>
        <w:pStyle w:val="65"/>
        <w:spacing w:before="156" w:after="156"/>
      </w:pPr>
      <w:r>
        <w:t>硬件特性</w:t>
      </w:r>
    </w:p>
    <w:p>
      <w:pPr>
        <w:pStyle w:val="230"/>
      </w:pPr>
      <w:r>
        <w:t>8个24伏交流电输出口模块，每个模块8个输出口共64个输出口，SingleNet系统高达256个直流电脉冲控制输出，最多2个数字输入模块，每个模块8个输入口，共16个，最多2个模拟输入模块，每个模块11个输入口，共22个，有两种CPU电源：230伏交流电或12伏直流电，高压保护电路，外置记忆卡，连接计算机或智能手机进行远程控制。</w:t>
      </w:r>
    </w:p>
    <w:p>
      <w:pPr>
        <w:pStyle w:val="104"/>
        <w:spacing w:before="312" w:after="312"/>
      </w:pPr>
      <w:bookmarkStart w:id="48" w:name="_Toc30107"/>
      <w:r>
        <w:rPr>
          <w:rFonts w:hint="eastAsia"/>
        </w:rPr>
        <w:t>种子准备</w:t>
      </w:r>
      <w:bookmarkEnd w:id="48"/>
    </w:p>
    <w:p>
      <w:pPr>
        <w:pStyle w:val="105"/>
        <w:spacing w:before="156" w:after="156"/>
      </w:pPr>
      <w:r>
        <w:rPr>
          <w:rFonts w:hint="eastAsia"/>
        </w:rPr>
        <w:t>种子质量</w:t>
      </w:r>
    </w:p>
    <w:p>
      <w:pPr>
        <w:pStyle w:val="230"/>
      </w:pPr>
      <w:r>
        <w:t>种子质量应符合GB 4404.1的</w:t>
      </w:r>
      <w:r>
        <w:rPr>
          <w:rFonts w:hint="eastAsia"/>
        </w:rPr>
        <w:t>质量</w:t>
      </w:r>
      <w:r>
        <w:t>要求。</w:t>
      </w:r>
    </w:p>
    <w:p>
      <w:pPr>
        <w:pStyle w:val="105"/>
        <w:spacing w:before="156" w:after="156"/>
      </w:pPr>
      <w:r>
        <w:rPr>
          <w:rFonts w:hint="eastAsia"/>
        </w:rPr>
        <w:t>晒种</w:t>
      </w:r>
    </w:p>
    <w:p>
      <w:pPr>
        <w:pStyle w:val="230"/>
      </w:pPr>
      <w:r>
        <w:t>浸种前晒种2</w:t>
      </w:r>
      <w:r>
        <w:rPr>
          <w:rFonts w:hint="eastAsia"/>
        </w:rPr>
        <w:t xml:space="preserve"> </w:t>
      </w:r>
      <w:r>
        <w:t>d～3</w:t>
      </w:r>
      <w:r>
        <w:rPr>
          <w:rFonts w:hint="eastAsia"/>
        </w:rPr>
        <w:t xml:space="preserve"> </w:t>
      </w:r>
      <w:r>
        <w:t>d，每天人工翻动2次，增强发芽势。</w:t>
      </w:r>
    </w:p>
    <w:p>
      <w:pPr>
        <w:pStyle w:val="105"/>
        <w:spacing w:before="156" w:after="156"/>
      </w:pPr>
      <w:r>
        <w:rPr>
          <w:rFonts w:hint="eastAsia"/>
        </w:rPr>
        <w:t>选种</w:t>
      </w:r>
    </w:p>
    <w:p>
      <w:pPr>
        <w:pStyle w:val="230"/>
      </w:pPr>
      <w:r>
        <w:t>盐水比重1.08，选种后，用清水反复冲洗种子。</w:t>
      </w:r>
    </w:p>
    <w:p>
      <w:pPr>
        <w:pStyle w:val="105"/>
        <w:spacing w:before="156" w:after="156"/>
      </w:pPr>
      <w:r>
        <w:t>发芽率测定</w:t>
      </w:r>
    </w:p>
    <w:p>
      <w:pPr>
        <w:pStyle w:val="230"/>
      </w:pPr>
      <w:r>
        <w:t>按照GB/T 3543.4要求进行。</w:t>
      </w:r>
    </w:p>
    <w:p>
      <w:pPr>
        <w:pStyle w:val="105"/>
        <w:spacing w:before="156" w:after="156"/>
      </w:pPr>
      <w:r>
        <w:t>浸种催芽</w:t>
      </w:r>
    </w:p>
    <w:p>
      <w:pPr>
        <w:pStyle w:val="230"/>
      </w:pPr>
      <w:r>
        <w:rPr>
          <w:rFonts w:hint="eastAsia"/>
        </w:rPr>
        <w:t>选用江苏省植物保护植物检疫站发布的《江苏省绿色防控联合推介产品名录》推荐药剂，对水稻种进行浸种</w:t>
      </w:r>
      <w:r>
        <w:t>。浸种期间，</w:t>
      </w:r>
      <w:r>
        <w:rPr>
          <w:rFonts w:hint="eastAsia"/>
        </w:rPr>
        <w:t>累计</w:t>
      </w:r>
      <w:r>
        <w:t>日积温达到 80</w:t>
      </w:r>
      <w:r>
        <w:rPr>
          <w:rFonts w:hint="eastAsia"/>
        </w:rPr>
        <w:t xml:space="preserve"> </w:t>
      </w:r>
      <w:r>
        <w:rPr>
          <w:rFonts w:hint="eastAsia" w:hAnsi="宋体" w:cs="宋体"/>
        </w:rPr>
        <w:t>℃</w:t>
      </w:r>
      <w:r>
        <w:rPr>
          <w:rFonts w:hint="eastAsia"/>
        </w:rPr>
        <w:t>～100℃</w:t>
      </w:r>
      <w:r>
        <w:t>以上，浸种池上使用黑色农膜覆盖</w:t>
      </w:r>
      <w:r>
        <w:rPr>
          <w:rFonts w:hint="eastAsia"/>
        </w:rPr>
        <w:t>，</w:t>
      </w:r>
      <w:r>
        <w:t>采用日浸夜露法催芽至破胸露白，晾种。</w:t>
      </w:r>
    </w:p>
    <w:p>
      <w:pPr>
        <w:pStyle w:val="105"/>
        <w:spacing w:before="156" w:after="156"/>
      </w:pPr>
      <w:r>
        <w:t>拌种</w:t>
      </w:r>
    </w:p>
    <w:p>
      <w:pPr>
        <w:pStyle w:val="230"/>
        <w:rPr>
          <w:rFonts w:ascii="Times New Roman"/>
          <w:szCs w:val="21"/>
        </w:rPr>
      </w:pPr>
      <w:r>
        <w:t>晾种后</w:t>
      </w:r>
      <w:r>
        <w:rPr>
          <w:rFonts w:hint="eastAsia"/>
        </w:rPr>
        <w:t>宜</w:t>
      </w:r>
      <w:r>
        <w:t>用0.78%多·多唑，种子:药比例为1:100，兑适量水稀释均匀拌种。根据秧龄的长短、播种量的大小进行调节。</w:t>
      </w:r>
    </w:p>
    <w:p>
      <w:pPr>
        <w:pStyle w:val="104"/>
        <w:spacing w:before="312" w:after="312"/>
      </w:pPr>
      <w:bookmarkStart w:id="49" w:name="_Toc4018"/>
      <w:r>
        <w:rPr>
          <w:rFonts w:hint="eastAsia"/>
        </w:rPr>
        <w:t>床土制作</w:t>
      </w:r>
      <w:bookmarkEnd w:id="49"/>
    </w:p>
    <w:p>
      <w:pPr>
        <w:pStyle w:val="105"/>
        <w:spacing w:before="156" w:after="156"/>
      </w:pPr>
      <w:r>
        <w:t>营养土配制</w:t>
      </w:r>
    </w:p>
    <w:p>
      <w:pPr>
        <w:pStyle w:val="65"/>
        <w:spacing w:before="156" w:after="156"/>
      </w:pPr>
      <w:r>
        <w:t>肥料种类及用量</w:t>
      </w:r>
    </w:p>
    <w:p>
      <w:pPr>
        <w:pStyle w:val="230"/>
      </w:pPr>
      <w:r>
        <w:t>尿素</w:t>
      </w:r>
      <w:r>
        <w:rPr>
          <w:rFonts w:hint="eastAsia"/>
        </w:rPr>
        <w:t>宜</w:t>
      </w:r>
      <w:r>
        <w:t>100</w:t>
      </w:r>
      <w:r>
        <w:rPr>
          <w:rFonts w:hint="eastAsia"/>
        </w:rPr>
        <w:t xml:space="preserve"> </w:t>
      </w:r>
      <w:r>
        <w:t>kg/667m</w:t>
      </w:r>
      <w:r>
        <w:rPr>
          <w:vertAlign w:val="superscript"/>
        </w:rPr>
        <w:t>2</w:t>
      </w:r>
      <w:r>
        <w:t>～150kg/667㎡，复合肥（氮、磷、钾含量均为15%，下同）</w:t>
      </w:r>
      <w:r>
        <w:rPr>
          <w:rFonts w:hint="eastAsia"/>
        </w:rPr>
        <w:t>宜</w:t>
      </w:r>
      <w:r>
        <w:t>100</w:t>
      </w:r>
      <w:r>
        <w:rPr>
          <w:rFonts w:hint="eastAsia"/>
        </w:rPr>
        <w:t xml:space="preserve"> </w:t>
      </w:r>
      <w:r>
        <w:t>kg/667㎡。</w:t>
      </w:r>
    </w:p>
    <w:p>
      <w:pPr>
        <w:pStyle w:val="65"/>
        <w:spacing w:before="156" w:after="156"/>
      </w:pPr>
      <w:r>
        <w:t>培肥时间</w:t>
      </w:r>
      <w:r>
        <w:rPr>
          <w:rFonts w:hint="eastAsia"/>
        </w:rPr>
        <w:t>及方式</w:t>
      </w:r>
    </w:p>
    <w:p>
      <w:pPr>
        <w:pStyle w:val="94"/>
        <w:spacing w:before="156" w:after="156"/>
      </w:pPr>
      <w:r>
        <w:rPr>
          <w:rFonts w:hint="eastAsia"/>
        </w:rPr>
        <w:t>时间</w:t>
      </w:r>
    </w:p>
    <w:p>
      <w:pPr>
        <w:pStyle w:val="230"/>
      </w:pPr>
      <w:r>
        <w:t>应在冬前完成培肥工作，11月20日前完成首次施肥及耕翻</w:t>
      </w:r>
      <w:r>
        <w:rPr>
          <w:rFonts w:hint="eastAsia"/>
        </w:rPr>
        <w:t>。</w:t>
      </w:r>
    </w:p>
    <w:p>
      <w:pPr>
        <w:pStyle w:val="94"/>
        <w:spacing w:before="156" w:after="156"/>
      </w:pPr>
      <w:r>
        <w:rPr>
          <w:rFonts w:hint="eastAsia"/>
        </w:rPr>
        <w:t>方式</w:t>
      </w:r>
    </w:p>
    <w:p>
      <w:pPr>
        <w:pStyle w:val="230"/>
      </w:pPr>
      <w:r>
        <w:t>采用机械播施，</w:t>
      </w:r>
      <w:r>
        <w:rPr>
          <w:rFonts w:hint="eastAsia"/>
        </w:rPr>
        <w:t>宜</w:t>
      </w:r>
      <w:r>
        <w:t>分</w:t>
      </w:r>
      <w:r>
        <w:rPr>
          <w:rFonts w:hint="eastAsia"/>
        </w:rPr>
        <w:t>3</w:t>
      </w:r>
      <w:r>
        <w:t>～5次进行。每次尿素</w:t>
      </w:r>
      <w:r>
        <w:rPr>
          <w:rFonts w:hint="eastAsia"/>
        </w:rPr>
        <w:t xml:space="preserve">宜 </w:t>
      </w:r>
      <w:r>
        <w:t>20</w:t>
      </w:r>
      <w:r>
        <w:rPr>
          <w:rFonts w:hint="eastAsia"/>
        </w:rPr>
        <w:t xml:space="preserve"> </w:t>
      </w:r>
      <w:r>
        <w:t>kg/667㎡～30</w:t>
      </w:r>
      <w:r>
        <w:rPr>
          <w:rFonts w:hint="eastAsia"/>
        </w:rPr>
        <w:t xml:space="preserve"> </w:t>
      </w:r>
      <w:r>
        <w:t>kg/667㎡、复合肥</w:t>
      </w:r>
      <w:r>
        <w:rPr>
          <w:rFonts w:hint="eastAsia"/>
        </w:rPr>
        <w:t xml:space="preserve">宜 </w:t>
      </w:r>
      <w:r>
        <w:t>20</w:t>
      </w:r>
      <w:r>
        <w:rPr>
          <w:rFonts w:hint="eastAsia"/>
        </w:rPr>
        <w:t xml:space="preserve"> </w:t>
      </w:r>
      <w:r>
        <w:t>kg/667㎡。每次播肥后旋耕1次，旋耕深度15</w:t>
      </w:r>
      <w:r>
        <w:rPr>
          <w:rFonts w:hint="eastAsia"/>
        </w:rPr>
        <w:t xml:space="preserve"> </w:t>
      </w:r>
      <w:r>
        <w:t>cm以上，每10</w:t>
      </w:r>
      <w:r>
        <w:rPr>
          <w:rFonts w:hint="eastAsia"/>
        </w:rPr>
        <w:t xml:space="preserve"> </w:t>
      </w:r>
      <w:r>
        <w:t>d～15</w:t>
      </w:r>
      <w:r>
        <w:rPr>
          <w:rFonts w:hint="eastAsia"/>
        </w:rPr>
        <w:t xml:space="preserve"> </w:t>
      </w:r>
      <w:r>
        <w:t>d一次</w:t>
      </w:r>
      <w:r>
        <w:rPr>
          <w:rFonts w:hint="eastAsia"/>
        </w:rPr>
        <w:t>，</w:t>
      </w:r>
      <w:r>
        <w:t>最后耕翻1次，冻融待用。</w:t>
      </w:r>
    </w:p>
    <w:p>
      <w:pPr>
        <w:pStyle w:val="65"/>
        <w:spacing w:before="156" w:after="156"/>
      </w:pPr>
      <w:r>
        <w:t>取土与收集</w:t>
      </w:r>
    </w:p>
    <w:p>
      <w:pPr>
        <w:pStyle w:val="230"/>
      </w:pPr>
      <w:r>
        <w:t>在冬前培肥、风化的基础上，3月底前按每667</w:t>
      </w:r>
      <w:r>
        <w:rPr>
          <w:rFonts w:hint="eastAsia"/>
        </w:rPr>
        <w:t xml:space="preserve"> </w:t>
      </w:r>
      <w:r>
        <w:t>㎡大田需床土0.15</w:t>
      </w:r>
      <w:r>
        <w:rPr>
          <w:rFonts w:hint="eastAsia"/>
        </w:rPr>
        <w:t xml:space="preserve"> </w:t>
      </w:r>
      <w:r>
        <w:t>m</w:t>
      </w:r>
      <w:r>
        <w:rPr>
          <w:vertAlign w:val="superscript"/>
        </w:rPr>
        <w:t>3</w:t>
      </w:r>
      <w:r>
        <w:t>的标准取土，取土厚度10</w:t>
      </w:r>
      <w:r>
        <w:rPr>
          <w:rFonts w:hint="eastAsia"/>
        </w:rPr>
        <w:t xml:space="preserve"> </w:t>
      </w:r>
      <w:r>
        <w:t>cm～</w:t>
      </w:r>
      <w:r>
        <w:rPr>
          <w:rFonts w:hint="eastAsia"/>
        </w:rPr>
        <w:t>15 cm</w:t>
      </w:r>
      <w:r>
        <w:t>，选用筛孔6</w:t>
      </w:r>
      <w:r>
        <w:rPr>
          <w:rFonts w:hint="eastAsia"/>
        </w:rPr>
        <w:t xml:space="preserve"> </w:t>
      </w:r>
      <w:r>
        <w:t>㎜的筛子过筛，收集好营养土。</w:t>
      </w:r>
    </w:p>
    <w:p>
      <w:pPr>
        <w:pStyle w:val="105"/>
        <w:spacing w:before="156" w:after="156"/>
      </w:pPr>
      <w:r>
        <w:t>床土配制</w:t>
      </w:r>
    </w:p>
    <w:p>
      <w:pPr>
        <w:pStyle w:val="230"/>
        <w:rPr>
          <w:rFonts w:ascii="Times New Roman"/>
          <w:szCs w:val="21"/>
        </w:rPr>
      </w:pPr>
      <w:r>
        <w:t>用</w:t>
      </w:r>
      <w:r>
        <w:rPr>
          <w:rFonts w:hint="eastAsia"/>
        </w:rPr>
        <w:t>酸碱度5</w:t>
      </w:r>
      <w:r>
        <w:t>～7的育秧基质，按营养土：基质=</w:t>
      </w:r>
      <w:r>
        <w:rPr>
          <w:rFonts w:hint="eastAsia"/>
        </w:rPr>
        <w:t>2</w:t>
      </w:r>
      <w:r>
        <w:t>～4:1配比均匀混合；在营养土、基质混配过程中，加入水稻育秧苗床调理剂</w:t>
      </w:r>
      <w:r>
        <w:rPr>
          <w:rFonts w:hint="eastAsia"/>
        </w:rPr>
        <w:t>，比例宜1:100</w:t>
      </w:r>
      <w:r>
        <w:t>：</w:t>
      </w:r>
      <w:r>
        <w:rPr>
          <w:rFonts w:hint="eastAsia"/>
        </w:rPr>
        <w:t>氮、磷、钾</w:t>
      </w:r>
      <w:r>
        <w:t>总养分≥25%，充分拌匀，制作为床土。</w:t>
      </w:r>
    </w:p>
    <w:p>
      <w:pPr>
        <w:pStyle w:val="104"/>
        <w:spacing w:before="312" w:after="312"/>
      </w:pPr>
      <w:bookmarkStart w:id="50" w:name="_Toc7080"/>
      <w:r>
        <w:rPr>
          <w:rFonts w:hint="eastAsia"/>
        </w:rPr>
        <w:t>育秧场地准备</w:t>
      </w:r>
      <w:bookmarkEnd w:id="50"/>
    </w:p>
    <w:p>
      <w:pPr>
        <w:pStyle w:val="105"/>
        <w:spacing w:before="156" w:after="156"/>
      </w:pPr>
      <w:r>
        <w:rPr>
          <w:rFonts w:hint="eastAsia"/>
        </w:rPr>
        <w:t>秧田</w:t>
      </w:r>
    </w:p>
    <w:p>
      <w:pPr>
        <w:pStyle w:val="230"/>
      </w:pPr>
      <w:r>
        <w:t>冬前对预留秧田进行耕翻培肥，在播种前30</w:t>
      </w:r>
      <w:r>
        <w:rPr>
          <w:rFonts w:hint="eastAsia"/>
        </w:rPr>
        <w:t xml:space="preserve"> </w:t>
      </w:r>
      <w:r>
        <w:t>d～40</w:t>
      </w:r>
      <w:r>
        <w:rPr>
          <w:rFonts w:hint="eastAsia"/>
        </w:rPr>
        <w:t xml:space="preserve"> </w:t>
      </w:r>
      <w:r>
        <w:t>d，使用激光平整仪整平，然后使用</w:t>
      </w:r>
      <w:r>
        <w:rPr>
          <w:rFonts w:hint="eastAsia"/>
        </w:rPr>
        <w:t>卫星导航系统</w:t>
      </w:r>
      <w:r>
        <w:t>开沟作畦，使用小型压路机压平，人工辅助找平。畦宽</w:t>
      </w:r>
      <w:r>
        <w:rPr>
          <w:rFonts w:hint="eastAsia"/>
        </w:rPr>
        <w:t>宜</w:t>
      </w:r>
      <w:r>
        <w:t>2.9</w:t>
      </w:r>
      <w:r>
        <w:rPr>
          <w:rFonts w:hint="eastAsia"/>
        </w:rPr>
        <w:t xml:space="preserve"> </w:t>
      </w:r>
      <w:r>
        <w:t>m，畦沟宽</w:t>
      </w:r>
      <w:r>
        <w:rPr>
          <w:rFonts w:hint="eastAsia"/>
        </w:rPr>
        <w:t>宜</w:t>
      </w:r>
      <w:r>
        <w:t>0.25</w:t>
      </w:r>
      <w:r>
        <w:rPr>
          <w:rFonts w:hint="eastAsia"/>
        </w:rPr>
        <w:t xml:space="preserve"> </w:t>
      </w:r>
      <w:r>
        <w:t>m，畦沟深</w:t>
      </w:r>
      <w:r>
        <w:rPr>
          <w:rFonts w:hint="eastAsia"/>
        </w:rPr>
        <w:t>宜</w:t>
      </w:r>
      <w:r>
        <w:t>0.2</w:t>
      </w:r>
      <w:r>
        <w:rPr>
          <w:rFonts w:hint="eastAsia"/>
        </w:rPr>
        <w:t xml:space="preserve"> </w:t>
      </w:r>
      <w:r>
        <w:t>m，边沟宽</w:t>
      </w:r>
      <w:r>
        <w:rPr>
          <w:rFonts w:hint="eastAsia"/>
        </w:rPr>
        <w:t>宜</w:t>
      </w:r>
      <w:r>
        <w:t>0.3</w:t>
      </w:r>
      <w:r>
        <w:rPr>
          <w:rFonts w:hint="eastAsia"/>
        </w:rPr>
        <w:t xml:space="preserve"> </w:t>
      </w:r>
      <w:r>
        <w:t>m，边沟深</w:t>
      </w:r>
      <w:r>
        <w:rPr>
          <w:rFonts w:hint="eastAsia"/>
        </w:rPr>
        <w:t>宜</w:t>
      </w:r>
      <w:r>
        <w:t>0.3</w:t>
      </w:r>
      <w:r>
        <w:rPr>
          <w:rFonts w:hint="eastAsia"/>
        </w:rPr>
        <w:t xml:space="preserve"> </w:t>
      </w:r>
      <w:r>
        <w:t>m，畦面达到</w:t>
      </w:r>
      <w:r>
        <w:rPr>
          <w:rFonts w:hint="eastAsia"/>
        </w:rPr>
        <w:t>“实、</w:t>
      </w:r>
      <w:r>
        <w:t>平、光、直</w:t>
      </w:r>
      <w:r>
        <w:rPr>
          <w:rFonts w:hint="eastAsia"/>
        </w:rPr>
        <w:t>”</w:t>
      </w:r>
      <w:r>
        <w:t>。秧田面积和大田面积按照1：80～1</w:t>
      </w:r>
      <w:r>
        <w:rPr>
          <w:rFonts w:hint="eastAsia"/>
        </w:rPr>
        <w:t>2</w:t>
      </w:r>
      <w:r>
        <w:t>0进行准备。</w:t>
      </w:r>
    </w:p>
    <w:p>
      <w:pPr>
        <w:pStyle w:val="105"/>
        <w:spacing w:before="156" w:after="156"/>
      </w:pPr>
      <w:r>
        <w:t>智能化微喷灌设备安装</w:t>
      </w:r>
    </w:p>
    <w:p>
      <w:pPr>
        <w:pStyle w:val="230"/>
      </w:pPr>
      <w:r>
        <w:t>根据秧田形状，选择设计对应的干管、支管、微喷管道及其配件，干管</w:t>
      </w:r>
      <w:r>
        <w:rPr>
          <w:rFonts w:hint="eastAsia"/>
        </w:rPr>
        <w:t>宜</w:t>
      </w:r>
      <w:r>
        <w:t>采用PE160/1.0，支管</w:t>
      </w:r>
      <w:r>
        <w:rPr>
          <w:rFonts w:hint="eastAsia"/>
        </w:rPr>
        <w:t>宜宜</w:t>
      </w:r>
      <w:r>
        <w:t>采用PE63/1.25，均埋于地下60</w:t>
      </w:r>
      <w:r>
        <w:rPr>
          <w:rFonts w:hint="eastAsia"/>
        </w:rPr>
        <w:t xml:space="preserve"> </w:t>
      </w:r>
      <w:r>
        <w:t>cm，便于机械耕作。</w:t>
      </w:r>
      <w:r>
        <w:rPr>
          <w:rFonts w:hint="eastAsia"/>
        </w:rPr>
        <w:t>宜</w:t>
      </w:r>
      <w:r>
        <w:t>采用PE25/0.4微喷管道。相关管道应符合GB/T 13663.</w:t>
      </w:r>
      <w:r>
        <w:rPr>
          <w:rFonts w:hint="eastAsia"/>
        </w:rPr>
        <w:t>5</w:t>
      </w:r>
      <w:r>
        <w:t>要求。</w:t>
      </w:r>
    </w:p>
    <w:p>
      <w:pPr>
        <w:pStyle w:val="230"/>
      </w:pPr>
      <w:r>
        <w:t>地表微喷管道及喷头</w:t>
      </w:r>
      <w:r>
        <w:rPr>
          <w:rFonts w:hint="eastAsia"/>
        </w:rPr>
        <w:t>宜</w:t>
      </w:r>
      <w:r>
        <w:t>于育秧前10</w:t>
      </w:r>
      <w:r>
        <w:rPr>
          <w:rFonts w:hint="eastAsia"/>
        </w:rPr>
        <w:t xml:space="preserve"> d</w:t>
      </w:r>
      <w:r>
        <w:t>进行安装调试，设计喷灌管道间距2.9m，微喷头间距3m。微喷头参数为40L/H～70L/H；工作压力为1.5</w:t>
      </w:r>
      <w:r>
        <w:rPr>
          <w:rFonts w:hint="eastAsia"/>
        </w:rPr>
        <w:t xml:space="preserve"> </w:t>
      </w:r>
      <w:r>
        <w:t>bar～4.0</w:t>
      </w:r>
      <w:r>
        <w:rPr>
          <w:rFonts w:hint="eastAsia"/>
        </w:rPr>
        <w:t xml:space="preserve"> </w:t>
      </w:r>
      <w:r>
        <w:t>bar，湿润直径为3.5</w:t>
      </w:r>
      <w:r>
        <w:rPr>
          <w:rFonts w:hint="eastAsia"/>
        </w:rPr>
        <w:t xml:space="preserve"> </w:t>
      </w:r>
      <w:r>
        <w:t>m～3.7</w:t>
      </w:r>
      <w:r>
        <w:rPr>
          <w:rFonts w:hint="eastAsia"/>
        </w:rPr>
        <w:t xml:space="preserve"> </w:t>
      </w:r>
      <w:r>
        <w:t>m。</w:t>
      </w:r>
    </w:p>
    <w:p>
      <w:pPr>
        <w:pStyle w:val="104"/>
        <w:spacing w:before="312" w:after="312"/>
      </w:pPr>
      <w:bookmarkStart w:id="51" w:name="_Toc24133"/>
      <w:r>
        <w:rPr>
          <w:rFonts w:hint="eastAsia"/>
        </w:rPr>
        <w:t>硬盘</w:t>
      </w:r>
      <w:bookmarkEnd w:id="51"/>
    </w:p>
    <w:p>
      <w:pPr>
        <w:pStyle w:val="230"/>
        <w:ind w:left="210" w:leftChars="100" w:firstLine="210" w:firstLineChars="100"/>
      </w:pPr>
      <w:r>
        <w:t>播种前20</w:t>
      </w:r>
      <w:r>
        <w:rPr>
          <w:rFonts w:hint="eastAsia"/>
        </w:rPr>
        <w:t xml:space="preserve"> </w:t>
      </w:r>
      <w:r>
        <w:t>d准备育秧硬盘，摆放于育秧场地。</w:t>
      </w:r>
      <w:r>
        <w:rPr>
          <w:rFonts w:hint="eastAsia"/>
        </w:rPr>
        <w:t>常规粳稻25 盘/667 ㎡</w:t>
      </w:r>
      <w:r>
        <w:t>～</w:t>
      </w:r>
      <w:r>
        <w:rPr>
          <w:rFonts w:hint="eastAsia"/>
        </w:rPr>
        <w:t>35 盘/</w:t>
      </w:r>
      <w:r>
        <w:t>667</w:t>
      </w:r>
      <w:r>
        <w:rPr>
          <w:rFonts w:hint="eastAsia"/>
        </w:rPr>
        <w:t xml:space="preserve"> </w:t>
      </w:r>
      <w:r>
        <w:t>㎡</w:t>
      </w:r>
      <w:r>
        <w:rPr>
          <w:rFonts w:hint="eastAsia"/>
        </w:rPr>
        <w:t>，杂交稻15盘/</w:t>
      </w:r>
      <w:r>
        <w:t>667</w:t>
      </w:r>
      <w:r>
        <w:rPr>
          <w:rFonts w:hint="eastAsia"/>
        </w:rPr>
        <w:t xml:space="preserve"> </w:t>
      </w:r>
      <w:r>
        <w:t>㎡～</w:t>
      </w:r>
      <w:r>
        <w:rPr>
          <w:rFonts w:hint="eastAsia"/>
        </w:rPr>
        <w:t>25 盘/</w:t>
      </w:r>
      <w:r>
        <w:t>667</w:t>
      </w:r>
      <w:r>
        <w:rPr>
          <w:rFonts w:hint="eastAsia"/>
        </w:rPr>
        <w:t xml:space="preserve"> </w:t>
      </w:r>
      <w:r>
        <w:t>㎡</w:t>
      </w:r>
      <w:r>
        <w:rPr>
          <w:rFonts w:hint="eastAsia"/>
        </w:rPr>
        <w:t>，秧盘规格28 cm×58 cm为宜。</w:t>
      </w:r>
    </w:p>
    <w:p>
      <w:pPr>
        <w:pStyle w:val="104"/>
        <w:spacing w:before="312" w:after="312"/>
      </w:pPr>
      <w:bookmarkStart w:id="52" w:name="_Toc17253"/>
      <w:r>
        <w:rPr>
          <w:rFonts w:hint="eastAsia"/>
        </w:rPr>
        <w:t>播种流水线</w:t>
      </w:r>
      <w:bookmarkEnd w:id="52"/>
    </w:p>
    <w:p>
      <w:pPr>
        <w:pStyle w:val="230"/>
      </w:pPr>
      <w:r>
        <w:t>育秧前10</w:t>
      </w:r>
      <w:r>
        <w:rPr>
          <w:rFonts w:hint="eastAsia"/>
        </w:rPr>
        <w:t xml:space="preserve"> </w:t>
      </w:r>
      <w:r>
        <w:t>d，调试好育秧流水线设备。</w:t>
      </w:r>
    </w:p>
    <w:p>
      <w:pPr>
        <w:pStyle w:val="104"/>
        <w:spacing w:before="312" w:after="312"/>
      </w:pPr>
      <w:bookmarkStart w:id="53" w:name="_Toc11212"/>
      <w:r>
        <w:rPr>
          <w:rFonts w:hint="eastAsia"/>
        </w:rPr>
        <w:t>播种</w:t>
      </w:r>
      <w:bookmarkEnd w:id="53"/>
    </w:p>
    <w:p>
      <w:pPr>
        <w:pStyle w:val="105"/>
        <w:spacing w:before="156" w:after="156"/>
      </w:pPr>
      <w:r>
        <w:rPr>
          <w:rFonts w:hint="eastAsia"/>
        </w:rPr>
        <w:t>播种期</w:t>
      </w:r>
    </w:p>
    <w:p>
      <w:pPr>
        <w:pStyle w:val="230"/>
      </w:pPr>
      <w:r>
        <w:t>根据前茬预期收获时间及栽插作业机械动力情况，按18</w:t>
      </w:r>
      <w:r>
        <w:rPr>
          <w:rFonts w:hint="eastAsia"/>
        </w:rPr>
        <w:t xml:space="preserve"> </w:t>
      </w:r>
      <w:r>
        <w:t>d～22</w:t>
      </w:r>
      <w:r>
        <w:rPr>
          <w:rFonts w:hint="eastAsia"/>
        </w:rPr>
        <w:t xml:space="preserve"> </w:t>
      </w:r>
      <w:r>
        <w:t>d秧龄确立合理播期，掌握适龄栽插，杜绝栽插超龄秧。对于冬季空茬大田，气温正常情况下，适当提前育秧、早栽。</w:t>
      </w:r>
    </w:p>
    <w:p>
      <w:pPr>
        <w:pStyle w:val="105"/>
        <w:spacing w:before="156" w:after="156"/>
      </w:pPr>
      <w:r>
        <w:rPr>
          <w:rFonts w:hint="eastAsia"/>
        </w:rPr>
        <w:t>播种量</w:t>
      </w:r>
    </w:p>
    <w:p>
      <w:pPr>
        <w:pStyle w:val="230"/>
      </w:pPr>
      <w:r>
        <w:t>常规粳稻</w:t>
      </w:r>
      <w:r>
        <w:rPr>
          <w:rFonts w:hint="eastAsia"/>
        </w:rPr>
        <w:t>：</w:t>
      </w:r>
      <w:r>
        <w:t>28</w:t>
      </w:r>
      <w:r>
        <w:rPr>
          <w:rFonts w:hint="eastAsia"/>
        </w:rPr>
        <w:t xml:space="preserve"> </w:t>
      </w:r>
      <w:r>
        <w:t>cm</w:t>
      </w:r>
      <w:r>
        <w:rPr>
          <w:rFonts w:hint="eastAsia"/>
        </w:rPr>
        <w:t xml:space="preserve"> × </w:t>
      </w:r>
      <w:r>
        <w:t>58</w:t>
      </w:r>
      <w:r>
        <w:rPr>
          <w:rFonts w:hint="eastAsia"/>
        </w:rPr>
        <w:t xml:space="preserve"> </w:t>
      </w:r>
      <w:r>
        <w:t>cm规格秧盘每盘播晾干的芽谷120</w:t>
      </w:r>
      <w:r>
        <w:rPr>
          <w:rFonts w:hint="eastAsia"/>
        </w:rPr>
        <w:t xml:space="preserve"> </w:t>
      </w:r>
      <w:r>
        <w:t>g～125</w:t>
      </w:r>
      <w:r>
        <w:rPr>
          <w:rFonts w:hint="eastAsia"/>
        </w:rPr>
        <w:t xml:space="preserve"> </w:t>
      </w:r>
      <w:r>
        <w:t>g（干种子100</w:t>
      </w:r>
      <w:r>
        <w:rPr>
          <w:rFonts w:hint="eastAsia"/>
        </w:rPr>
        <w:t xml:space="preserve"> </w:t>
      </w:r>
      <w:r>
        <w:t>g～1</w:t>
      </w:r>
      <w:r>
        <w:rPr>
          <w:rFonts w:hint="eastAsia"/>
        </w:rPr>
        <w:t xml:space="preserve">20 </w:t>
      </w:r>
      <w:r>
        <w:t>g）；23</w:t>
      </w:r>
      <w:r>
        <w:rPr>
          <w:rFonts w:hint="eastAsia"/>
        </w:rPr>
        <w:t xml:space="preserve"> </w:t>
      </w:r>
      <w:r>
        <w:t>cm</w:t>
      </w:r>
      <w:r>
        <w:rPr>
          <w:rFonts w:hint="eastAsia"/>
        </w:rPr>
        <w:t xml:space="preserve"> x </w:t>
      </w:r>
      <w:r>
        <w:t>58</w:t>
      </w:r>
      <w:r>
        <w:rPr>
          <w:rFonts w:hint="eastAsia"/>
        </w:rPr>
        <w:t xml:space="preserve"> </w:t>
      </w:r>
      <w:r>
        <w:t>cm规格每盘播晾干的芽谷100</w:t>
      </w:r>
      <w:r>
        <w:rPr>
          <w:rFonts w:hint="eastAsia"/>
        </w:rPr>
        <w:t xml:space="preserve"> </w:t>
      </w:r>
      <w:r>
        <w:t>g～1</w:t>
      </w:r>
      <w:r>
        <w:rPr>
          <w:rFonts w:hint="eastAsia"/>
        </w:rPr>
        <w:t xml:space="preserve">10 </w:t>
      </w:r>
      <w:r>
        <w:t>g（干种子80</w:t>
      </w:r>
      <w:r>
        <w:rPr>
          <w:rFonts w:hint="eastAsia"/>
        </w:rPr>
        <w:t xml:space="preserve"> </w:t>
      </w:r>
      <w:r>
        <w:t>g～90</w:t>
      </w:r>
      <w:r>
        <w:rPr>
          <w:rFonts w:hint="eastAsia"/>
        </w:rPr>
        <w:t xml:space="preserve"> </w:t>
      </w:r>
      <w:r>
        <w:t>g）。</w:t>
      </w:r>
    </w:p>
    <w:p>
      <w:pPr>
        <w:pStyle w:val="230"/>
      </w:pPr>
      <w:r>
        <w:rPr>
          <w:rFonts w:hint="eastAsia"/>
        </w:rPr>
        <w:t xml:space="preserve">杂交稻： </w:t>
      </w:r>
      <w:r>
        <w:t>28</w:t>
      </w:r>
      <w:r>
        <w:rPr>
          <w:rFonts w:hint="eastAsia"/>
        </w:rPr>
        <w:t xml:space="preserve"> </w:t>
      </w:r>
      <w:r>
        <w:t>cm</w:t>
      </w:r>
      <w:r>
        <w:rPr>
          <w:rFonts w:hint="eastAsia"/>
        </w:rPr>
        <w:t xml:space="preserve"> × </w:t>
      </w:r>
      <w:r>
        <w:t>58</w:t>
      </w:r>
      <w:r>
        <w:rPr>
          <w:rFonts w:hint="eastAsia"/>
        </w:rPr>
        <w:t xml:space="preserve"> </w:t>
      </w:r>
      <w:r>
        <w:t>cm规格秧盘每盘</w:t>
      </w:r>
      <w:r>
        <w:rPr>
          <w:rFonts w:hint="eastAsia"/>
        </w:rPr>
        <w:t>均匀机播晾干的潮种约</w:t>
      </w:r>
      <w:r>
        <w:t>90</w:t>
      </w:r>
      <w:r>
        <w:rPr>
          <w:rFonts w:hint="eastAsia"/>
        </w:rPr>
        <w:t xml:space="preserve"> g</w:t>
      </w:r>
      <w:r>
        <w:t>～100</w:t>
      </w:r>
      <w:r>
        <w:rPr>
          <w:rFonts w:hint="eastAsia"/>
        </w:rPr>
        <w:t xml:space="preserve"> g。 </w:t>
      </w:r>
    </w:p>
    <w:p>
      <w:pPr>
        <w:pStyle w:val="105"/>
        <w:spacing w:before="156" w:after="156"/>
      </w:pPr>
      <w:r>
        <w:rPr>
          <w:rFonts w:hint="eastAsia"/>
        </w:rPr>
        <w:t>播种方式</w:t>
      </w:r>
    </w:p>
    <w:p>
      <w:pPr>
        <w:pStyle w:val="234"/>
        <w:numPr>
          <w:ilvl w:val="1"/>
          <w:numId w:val="0"/>
        </w:numPr>
        <w:ind w:firstLine="420" w:firstLineChars="200"/>
      </w:pPr>
      <w:r>
        <w:rPr>
          <w:rFonts w:hint="eastAsia" w:ascii="宋体" w:eastAsia="宋体"/>
          <w:szCs w:val="20"/>
        </w:rPr>
        <w:t>选用播速适中、播种均匀的机械播种。</w:t>
      </w:r>
      <w:r>
        <w:rPr>
          <w:rFonts w:hint="eastAsia"/>
        </w:rPr>
        <w:t xml:space="preserve">                                                         </w:t>
      </w:r>
    </w:p>
    <w:p>
      <w:pPr>
        <w:pStyle w:val="104"/>
        <w:spacing w:before="312" w:after="312"/>
      </w:pPr>
      <w:bookmarkStart w:id="54" w:name="_Toc3887"/>
      <w:r>
        <w:rPr>
          <w:rFonts w:hint="eastAsia"/>
        </w:rPr>
        <w:t>暗化齐苗</w:t>
      </w:r>
      <w:bookmarkEnd w:id="54"/>
    </w:p>
    <w:p>
      <w:pPr>
        <w:pStyle w:val="230"/>
        <w:rPr>
          <w:rFonts w:ascii="Times New Roman"/>
          <w:szCs w:val="21"/>
        </w:rPr>
      </w:pPr>
      <w:r>
        <w:t>叠盘后，盖好黒色农膜，保温不透光，注意温度监控，温度</w:t>
      </w:r>
      <w:r>
        <w:rPr>
          <w:rFonts w:hint="eastAsia"/>
        </w:rPr>
        <w:t>应</w:t>
      </w:r>
      <w:r>
        <w:t>不超过40</w:t>
      </w:r>
      <w:r>
        <w:rPr>
          <w:rFonts w:hint="eastAsia"/>
        </w:rPr>
        <w:t xml:space="preserve"> </w:t>
      </w:r>
      <w:r>
        <w:rPr>
          <w:rFonts w:hint="eastAsia" w:hAnsi="宋体" w:cs="宋体"/>
        </w:rPr>
        <w:t>℃</w:t>
      </w:r>
      <w:r>
        <w:t>，适宜温度28</w:t>
      </w:r>
      <w:r>
        <w:rPr>
          <w:rFonts w:hint="eastAsia"/>
        </w:rPr>
        <w:t xml:space="preserve"> </w:t>
      </w:r>
      <w:r>
        <w:rPr>
          <w:rFonts w:hint="eastAsia" w:hAnsi="宋体" w:cs="宋体"/>
        </w:rPr>
        <w:t>℃</w:t>
      </w:r>
      <w:r>
        <w:t>～36</w:t>
      </w:r>
      <w:r>
        <w:rPr>
          <w:rFonts w:hint="eastAsia"/>
        </w:rPr>
        <w:t xml:space="preserve"> </w:t>
      </w:r>
      <w:r>
        <w:rPr>
          <w:rFonts w:hint="eastAsia" w:hAnsi="宋体" w:cs="宋体"/>
        </w:rPr>
        <w:t>℃</w:t>
      </w:r>
      <w:r>
        <w:t>。防止高温烧苗。2</w:t>
      </w:r>
      <w:r>
        <w:rPr>
          <w:rFonts w:hint="eastAsia"/>
        </w:rPr>
        <w:t xml:space="preserve"> </w:t>
      </w:r>
      <w:r>
        <w:t>d～3</w:t>
      </w:r>
      <w:r>
        <w:rPr>
          <w:rFonts w:hint="eastAsia"/>
        </w:rPr>
        <w:t xml:space="preserve"> </w:t>
      </w:r>
      <w:r>
        <w:t>d后，芽长0.</w:t>
      </w:r>
      <w:r>
        <w:rPr>
          <w:rFonts w:hint="eastAsia"/>
        </w:rPr>
        <w:t xml:space="preserve">3 </w:t>
      </w:r>
      <w:r>
        <w:t>cm～</w:t>
      </w:r>
      <w:r>
        <w:rPr>
          <w:rFonts w:hint="eastAsia"/>
        </w:rPr>
        <w:t xml:space="preserve">0.5 </w:t>
      </w:r>
      <w:r>
        <w:t>cm时，再搬进秧田摆盘。</w:t>
      </w:r>
    </w:p>
    <w:p>
      <w:pPr>
        <w:pStyle w:val="104"/>
        <w:spacing w:before="312" w:after="312"/>
      </w:pPr>
      <w:bookmarkStart w:id="55" w:name="_Toc9072"/>
      <w:r>
        <w:rPr>
          <w:rFonts w:hint="eastAsia"/>
        </w:rPr>
        <w:t>摆盘</w:t>
      </w:r>
      <w:bookmarkEnd w:id="55"/>
    </w:p>
    <w:p>
      <w:pPr>
        <w:pStyle w:val="230"/>
        <w:rPr>
          <w:rFonts w:ascii="Times New Roman"/>
          <w:szCs w:val="21"/>
        </w:rPr>
      </w:pPr>
      <w:r>
        <w:t>秧盘平整，紧贴畦面整齐摆放。春茬、大麦茬秧盘摆盘后立即盖有孔农膜（或无纺布），以保湿增温，促齐苗。</w:t>
      </w:r>
    </w:p>
    <w:p>
      <w:pPr>
        <w:pStyle w:val="104"/>
        <w:spacing w:before="312" w:after="312"/>
      </w:pPr>
      <w:bookmarkStart w:id="56" w:name="_Toc11998"/>
      <w:r>
        <w:rPr>
          <w:rFonts w:hint="eastAsia"/>
        </w:rPr>
        <w:t>秧田管理</w:t>
      </w:r>
      <w:bookmarkEnd w:id="56"/>
    </w:p>
    <w:p>
      <w:pPr>
        <w:pStyle w:val="105"/>
        <w:spacing w:before="156" w:after="156"/>
      </w:pPr>
      <w:r>
        <w:rPr>
          <w:rFonts w:hint="eastAsia"/>
        </w:rPr>
        <w:t>肥水药控制路径</w:t>
      </w:r>
    </w:p>
    <w:p>
      <w:pPr>
        <w:pStyle w:val="230"/>
      </w:pPr>
      <w:r>
        <w:t>秧田整体管理过程中，智能化控制设备对水分、温度、病虫草和苗情农艺性状等信息进行采集、分析，通过微喷灌设备实时进行水肥药一体化控制，实现水稻育秧的信息化、智能化管理。</w:t>
      </w:r>
    </w:p>
    <w:p>
      <w:pPr>
        <w:pStyle w:val="105"/>
        <w:spacing w:before="156" w:after="156"/>
      </w:pPr>
      <w:r>
        <w:t>水分管理</w:t>
      </w:r>
    </w:p>
    <w:p>
      <w:pPr>
        <w:pStyle w:val="230"/>
      </w:pPr>
      <w:r>
        <w:t>实行湿润旱管。摆盘后第1次喷透水，以后当秧盘水分在25%以下时，或者温度高于38</w:t>
      </w:r>
      <w:r>
        <w:rPr>
          <w:rFonts w:hint="eastAsia"/>
        </w:rPr>
        <w:t xml:space="preserve"> </w:t>
      </w:r>
      <w:r>
        <w:rPr>
          <w:rFonts w:hint="eastAsia" w:hAnsi="宋体" w:cs="宋体"/>
        </w:rPr>
        <w:t>℃</w:t>
      </w:r>
      <w:r>
        <w:t>时，一体化泵</w:t>
      </w:r>
      <w:r>
        <w:rPr>
          <w:rFonts w:hint="eastAsia"/>
        </w:rPr>
        <w:t>自动控制</w:t>
      </w:r>
      <w:r>
        <w:t>对秧田进行喷水，时间10</w:t>
      </w:r>
      <w:r>
        <w:rPr>
          <w:rFonts w:hint="eastAsia"/>
        </w:rPr>
        <w:t xml:space="preserve"> </w:t>
      </w:r>
      <w:r>
        <w:t>min～20</w:t>
      </w:r>
      <w:r>
        <w:rPr>
          <w:rFonts w:hint="eastAsia"/>
        </w:rPr>
        <w:t xml:space="preserve"> </w:t>
      </w:r>
      <w:r>
        <w:t>min。</w:t>
      </w:r>
    </w:p>
    <w:p>
      <w:pPr>
        <w:pStyle w:val="105"/>
        <w:spacing w:before="156" w:after="156"/>
      </w:pPr>
      <w:r>
        <w:t>施肥管理</w:t>
      </w:r>
    </w:p>
    <w:p>
      <w:pPr>
        <w:pStyle w:val="230"/>
      </w:pPr>
      <w:r>
        <w:t>秧苗1叶1心后，每隔3d，对秧苗进行喷施液体肥料，肥液浓度为5%，喷药时间控制在喷水结束前5</w:t>
      </w:r>
      <w:r>
        <w:rPr>
          <w:rFonts w:hint="eastAsia"/>
        </w:rPr>
        <w:t xml:space="preserve"> min</w:t>
      </w:r>
      <w:r>
        <w:t>～10</w:t>
      </w:r>
      <w:r>
        <w:rPr>
          <w:rFonts w:hint="eastAsia"/>
        </w:rPr>
        <w:t xml:space="preserve"> min</w:t>
      </w:r>
      <w:r>
        <w:t>，确保在喷施肥料后有5</w:t>
      </w:r>
      <w:r>
        <w:rPr>
          <w:rFonts w:hint="eastAsia"/>
        </w:rPr>
        <w:t>min</w:t>
      </w:r>
      <w:r>
        <w:t>的喷水时间。</w:t>
      </w:r>
    </w:p>
    <w:p>
      <w:pPr>
        <w:pStyle w:val="105"/>
        <w:spacing w:before="156" w:after="156"/>
      </w:pPr>
      <w:r>
        <w:t>病虫草防治</w:t>
      </w:r>
    </w:p>
    <w:p>
      <w:pPr>
        <w:pStyle w:val="230"/>
      </w:pPr>
      <w:r>
        <w:t>秧田期重点做好水稻苗期恶苗病、</w:t>
      </w:r>
      <w:r>
        <w:rPr>
          <w:rFonts w:hint="eastAsia"/>
        </w:rPr>
        <w:t>干尖线虫病、纹枯病、</w:t>
      </w:r>
      <w:r>
        <w:t>稻瘟病</w:t>
      </w:r>
      <w:r>
        <w:rPr>
          <w:rFonts w:hint="eastAsia"/>
        </w:rPr>
        <w:t>和稻</w:t>
      </w:r>
      <w:r>
        <w:t>飞虱、稻蓟马、二化螟等病虫的防治。秧田期水稻主要病虫</w:t>
      </w:r>
      <w:r>
        <w:rPr>
          <w:rFonts w:hint="eastAsia"/>
        </w:rPr>
        <w:t>草</w:t>
      </w:r>
      <w:r>
        <w:t>害防治方法见附录A</w:t>
      </w:r>
    </w:p>
    <w:p>
      <w:pPr>
        <w:pStyle w:val="104"/>
        <w:spacing w:before="312" w:after="312"/>
      </w:pPr>
      <w:bookmarkStart w:id="57" w:name="_Toc27055"/>
      <w:r>
        <w:rPr>
          <w:rFonts w:hint="eastAsia"/>
        </w:rPr>
        <w:t>壮秧标准</w:t>
      </w:r>
      <w:bookmarkEnd w:id="57"/>
    </w:p>
    <w:p>
      <w:pPr>
        <w:pStyle w:val="105"/>
        <w:spacing w:before="156" w:after="156"/>
      </w:pPr>
      <w:r>
        <w:rPr>
          <w:rFonts w:hint="eastAsia"/>
        </w:rPr>
        <w:t>常规粳稻</w:t>
      </w:r>
    </w:p>
    <w:p>
      <w:pPr>
        <w:pStyle w:val="230"/>
      </w:pPr>
      <w:r>
        <w:t>叶龄3.5叶～4叶，秧龄18</w:t>
      </w:r>
      <w:r>
        <w:rPr>
          <w:rFonts w:hint="eastAsia"/>
        </w:rPr>
        <w:t xml:space="preserve"> </w:t>
      </w:r>
      <w:r>
        <w:t>d～22</w:t>
      </w:r>
      <w:r>
        <w:rPr>
          <w:rFonts w:hint="eastAsia"/>
        </w:rPr>
        <w:t xml:space="preserve"> </w:t>
      </w:r>
      <w:r>
        <w:t>d；苗高15</w:t>
      </w:r>
      <w:r>
        <w:rPr>
          <w:rFonts w:hint="eastAsia"/>
        </w:rPr>
        <w:t xml:space="preserve"> </w:t>
      </w:r>
      <w:r>
        <w:t>cm～18</w:t>
      </w:r>
      <w:r>
        <w:rPr>
          <w:rFonts w:hint="eastAsia"/>
        </w:rPr>
        <w:t xml:space="preserve"> </w:t>
      </w:r>
      <w:r>
        <w:t>cm，苗基部扁宽，叶片挺立有弹性，叶色翠绿；根系发达，发根数11条以上，白根多，根系盘结牢固，盘根带土厚度2.0</w:t>
      </w:r>
      <w:r>
        <w:rPr>
          <w:rFonts w:hint="eastAsia"/>
        </w:rPr>
        <w:t xml:space="preserve"> </w:t>
      </w:r>
      <w:r>
        <w:t>cm～2.5</w:t>
      </w:r>
      <w:r>
        <w:rPr>
          <w:rFonts w:hint="eastAsia"/>
        </w:rPr>
        <w:t xml:space="preserve"> </w:t>
      </w:r>
      <w:r>
        <w:t>cm，厚薄一致，提起不散，形如毯状；苗间均匀， 28</w:t>
      </w:r>
      <w:r>
        <w:rPr>
          <w:rFonts w:hint="eastAsia"/>
        </w:rPr>
        <w:t xml:space="preserve"> </w:t>
      </w:r>
      <w:r>
        <w:t>cm</w:t>
      </w:r>
      <w:r>
        <w:rPr>
          <w:rFonts w:hint="eastAsia"/>
        </w:rPr>
        <w:t>×</w:t>
      </w:r>
      <w:r>
        <w:t>58</w:t>
      </w:r>
      <w:r>
        <w:rPr>
          <w:rFonts w:hint="eastAsia"/>
        </w:rPr>
        <w:t xml:space="preserve"> </w:t>
      </w:r>
      <w:r>
        <w:t>cm规格秧盘2800苗/盘～3000苗/盘，23</w:t>
      </w:r>
      <w:r>
        <w:rPr>
          <w:rFonts w:hint="eastAsia"/>
        </w:rPr>
        <w:t xml:space="preserve"> </w:t>
      </w:r>
      <w:r>
        <w:t>cm</w:t>
      </w:r>
      <w:r>
        <w:rPr>
          <w:rFonts w:hint="eastAsia"/>
        </w:rPr>
        <w:t>×</w:t>
      </w:r>
      <w:r>
        <w:t>58</w:t>
      </w:r>
      <w:r>
        <w:rPr>
          <w:rFonts w:hint="eastAsia"/>
        </w:rPr>
        <w:t xml:space="preserve"> </w:t>
      </w:r>
      <w:r>
        <w:t>cm规格秧盘2400苗/盘～2500苗/盘；无病虫草害。</w:t>
      </w:r>
    </w:p>
    <w:p>
      <w:pPr>
        <w:pStyle w:val="105"/>
        <w:spacing w:before="156" w:after="156"/>
      </w:pPr>
      <w:r>
        <w:rPr>
          <w:rFonts w:hint="eastAsia"/>
        </w:rPr>
        <w:t>杂交稻</w:t>
      </w:r>
    </w:p>
    <w:p>
      <w:pPr>
        <w:pStyle w:val="230"/>
      </w:pPr>
      <w:r>
        <w:rPr>
          <w:rFonts w:hint="eastAsia"/>
        </w:rPr>
        <w:t>秧龄前期</w:t>
      </w:r>
      <w:r>
        <w:t>16</w:t>
      </w:r>
      <w:r>
        <w:rPr>
          <w:rFonts w:hint="eastAsia"/>
        </w:rPr>
        <w:t xml:space="preserve"> d</w:t>
      </w:r>
      <w:r>
        <w:t>-18</w:t>
      </w:r>
      <w:r>
        <w:rPr>
          <w:rFonts w:hint="eastAsia"/>
        </w:rPr>
        <w:t xml:space="preserve"> d</w:t>
      </w:r>
      <w:r>
        <w:t>，后期13</w:t>
      </w:r>
      <w:r>
        <w:rPr>
          <w:rFonts w:hint="eastAsia"/>
        </w:rPr>
        <w:t xml:space="preserve"> d</w:t>
      </w:r>
      <w:r>
        <w:t>-15</w:t>
      </w:r>
      <w:r>
        <w:rPr>
          <w:rFonts w:hint="eastAsia"/>
        </w:rPr>
        <w:t xml:space="preserve"> d</w:t>
      </w:r>
      <w:r>
        <w:t>；苗高14</w:t>
      </w:r>
      <w:r>
        <w:rPr>
          <w:rFonts w:hint="eastAsia"/>
        </w:rPr>
        <w:t xml:space="preserve"> cm</w:t>
      </w:r>
      <w:r>
        <w:t>～17</w:t>
      </w:r>
      <w:r>
        <w:rPr>
          <w:rFonts w:hint="eastAsia"/>
        </w:rPr>
        <w:t xml:space="preserve"> </w:t>
      </w:r>
      <w:r>
        <w:t>cm；叶龄三叶一心以下；第一叶叶鞘长4</w:t>
      </w:r>
      <w:r>
        <w:rPr>
          <w:rFonts w:hint="eastAsia"/>
        </w:rPr>
        <w:t xml:space="preserve"> </w:t>
      </w:r>
      <w:r>
        <w:t>cm以下；单株白根10条以上；盘根厚度2</w:t>
      </w:r>
      <w:r>
        <w:rPr>
          <w:rFonts w:hint="eastAsia"/>
        </w:rPr>
        <w:t xml:space="preserve"> cm</w:t>
      </w:r>
      <w:r>
        <w:t>～2.5</w:t>
      </w:r>
      <w:r>
        <w:rPr>
          <w:rFonts w:hint="eastAsia"/>
        </w:rPr>
        <w:t xml:space="preserve"> </w:t>
      </w:r>
      <w:r>
        <w:t>cm；秧苗整齐，基部扁宽，叶片挺立有弹性，叶色翠绿，无病虫草害；秧苗根系盘结牢固，提起不散，卷运方便；成苗均匀，28</w:t>
      </w:r>
      <w:r>
        <w:rPr>
          <w:rFonts w:hint="eastAsia"/>
        </w:rPr>
        <w:t xml:space="preserve"> </w:t>
      </w:r>
      <w:r>
        <w:t>cm</w:t>
      </w:r>
      <w:r>
        <w:rPr>
          <w:rFonts w:hint="eastAsia"/>
        </w:rPr>
        <w:t>×</w:t>
      </w:r>
      <w:r>
        <w:t>58</w:t>
      </w:r>
      <w:r>
        <w:rPr>
          <w:rFonts w:hint="eastAsia"/>
        </w:rPr>
        <w:t xml:space="preserve"> </w:t>
      </w:r>
      <w:r>
        <w:t>cm规格秧盘每盘苗数2500苗左右。</w:t>
      </w:r>
    </w:p>
    <w:p>
      <w:pPr>
        <w:pStyle w:val="104"/>
        <w:spacing w:before="312" w:after="312"/>
      </w:pPr>
      <w:bookmarkStart w:id="58" w:name="_Toc16605"/>
      <w:r>
        <w:rPr>
          <w:rFonts w:hint="eastAsia"/>
        </w:rPr>
        <w:t>生产档案</w:t>
      </w:r>
      <w:bookmarkEnd w:id="58"/>
    </w:p>
    <w:p>
      <w:pPr>
        <w:pStyle w:val="105"/>
        <w:spacing w:before="156" w:after="156"/>
      </w:pPr>
    </w:p>
    <w:p>
      <w:pPr>
        <w:pStyle w:val="230"/>
      </w:pPr>
      <w:r>
        <w:rPr>
          <w:rFonts w:hint="eastAsia"/>
        </w:rPr>
        <w:t>应</w:t>
      </w:r>
      <w:r>
        <w:t>建立生产档案制度，记录内容包括生产者基本信息、种子来源、种苗管理、播种、喷灌、施肥、病虫害防治等生产要点和过程。</w:t>
      </w:r>
    </w:p>
    <w:p>
      <w:pPr>
        <w:pStyle w:val="105"/>
        <w:spacing w:before="156" w:after="156"/>
      </w:pPr>
    </w:p>
    <w:p>
      <w:pPr>
        <w:pStyle w:val="230"/>
      </w:pPr>
      <w:r>
        <w:t>所有的记录应真实、准确、规范，具有可追溯性</w:t>
      </w:r>
      <w:r>
        <w:rPr>
          <w:rFonts w:hint="eastAsia"/>
        </w:rPr>
        <w:t>。</w:t>
      </w:r>
    </w:p>
    <w:p>
      <w:pPr>
        <w:pStyle w:val="105"/>
        <w:spacing w:before="156" w:after="156"/>
      </w:pPr>
    </w:p>
    <w:p>
      <w:pPr>
        <w:pStyle w:val="230"/>
      </w:pPr>
      <w:r>
        <w:t>生产档案至少保存2年</w:t>
      </w:r>
      <w:r>
        <w:rPr>
          <w:rFonts w:hint="eastAsia"/>
        </w:rPr>
        <w:t>。</w:t>
      </w:r>
    </w:p>
    <w:p/>
    <w:p/>
    <w:p>
      <w:pPr>
        <w:pStyle w:val="56"/>
        <w:ind w:firstLine="420"/>
      </w:pPr>
    </w:p>
    <w:p>
      <w:pPr>
        <w:pStyle w:val="56"/>
        <w:ind w:firstLine="420"/>
        <w:sectPr>
          <w:pgSz w:w="11906" w:h="16838"/>
          <w:pgMar w:top="1928" w:right="1134" w:bottom="1134" w:left="1134" w:header="1418" w:footer="1134" w:gutter="284"/>
          <w:pgNumType w:start="1"/>
          <w:cols w:space="425" w:num="1"/>
          <w:formProt w:val="0"/>
          <w:docGrid w:type="lines" w:linePitch="312" w:charSpace="0"/>
        </w:sectPr>
      </w:pPr>
    </w:p>
    <w:bookmarkEnd w:id="22"/>
    <w:p>
      <w:pPr>
        <w:pStyle w:val="198"/>
        <w:rPr>
          <w:vanish w:val="0"/>
        </w:rPr>
      </w:pPr>
      <w:bookmarkStart w:id="59" w:name="BookMark5"/>
    </w:p>
    <w:p>
      <w:pPr>
        <w:pStyle w:val="199"/>
        <w:rPr>
          <w:vanish w:val="0"/>
        </w:rPr>
      </w:pPr>
    </w:p>
    <w:p>
      <w:pPr>
        <w:pStyle w:val="76"/>
        <w:spacing w:after="156"/>
      </w:pPr>
      <w:r>
        <w:br w:type="textWrapping"/>
      </w:r>
      <w:r>
        <w:rPr>
          <w:rFonts w:hint="eastAsia"/>
        </w:rPr>
        <w:t>（资料性附录）</w:t>
      </w:r>
      <w:r>
        <w:br w:type="textWrapping"/>
      </w:r>
      <w:r>
        <w:rPr>
          <w:rFonts w:hint="eastAsia"/>
        </w:rPr>
        <w:t>秧田期水稻主要病虫草害防治方法</w:t>
      </w:r>
    </w:p>
    <w:p>
      <w:pPr>
        <w:widowControl/>
        <w:spacing w:line="360" w:lineRule="auto"/>
        <w:ind w:firstLine="210" w:firstLineChars="100"/>
        <w:jc w:val="left"/>
        <w:outlineLvl w:val="1"/>
        <w:rPr>
          <w:color w:val="000000"/>
        </w:rPr>
      </w:pPr>
      <w:r>
        <w:rPr>
          <w:rFonts w:hint="eastAsia" w:ascii="Times New Roman" w:hAnsi="Times New Roman" w:cs="宋体"/>
          <w:color w:val="000000"/>
          <w:szCs w:val="24"/>
          <w:lang w:bidi="ar"/>
        </w:rPr>
        <w:t>表</w:t>
      </w:r>
      <w:r>
        <w:rPr>
          <w:rFonts w:ascii="Times New Roman" w:hAnsi="Times New Roman"/>
          <w:color w:val="000000"/>
          <w:szCs w:val="24"/>
          <w:lang w:bidi="ar"/>
        </w:rPr>
        <w:t>A.1</w:t>
      </w:r>
      <w:r>
        <w:rPr>
          <w:rFonts w:hint="eastAsia" w:ascii="Times New Roman" w:hAnsi="Times New Roman" w:cs="宋体"/>
          <w:color w:val="000000"/>
          <w:szCs w:val="24"/>
          <w:lang w:bidi="ar"/>
        </w:rPr>
        <w:t>规定了秧田期水稻主要病害防治方法。</w:t>
      </w:r>
    </w:p>
    <w:p>
      <w:pPr>
        <w:widowControl/>
        <w:spacing w:line="360" w:lineRule="auto"/>
        <w:jc w:val="center"/>
        <w:outlineLvl w:val="1"/>
        <w:rPr>
          <w:rFonts w:eastAsia="黑体"/>
        </w:rPr>
      </w:pPr>
      <w:r>
        <w:rPr>
          <w:rFonts w:hint="eastAsia" w:ascii="Times New Roman" w:hAnsi="Times New Roman" w:eastAsia="黑体" w:cs="黑体"/>
          <w:szCs w:val="24"/>
          <w:lang w:bidi="ar"/>
        </w:rPr>
        <w:t>表</w:t>
      </w:r>
      <w:r>
        <w:rPr>
          <w:rFonts w:ascii="Times New Roman" w:hAnsi="Times New Roman" w:eastAsia="黑体"/>
          <w:szCs w:val="24"/>
          <w:lang w:bidi="ar"/>
        </w:rPr>
        <w:t>A.1</w:t>
      </w:r>
      <w:r>
        <w:rPr>
          <w:rFonts w:hint="eastAsia" w:ascii="Times New Roman" w:hAnsi="Times New Roman" w:eastAsia="黑体" w:cs="黑体"/>
          <w:szCs w:val="24"/>
          <w:lang w:bidi="ar"/>
        </w:rPr>
        <w:t>秧田期水稻主要病害防治方法</w:t>
      </w:r>
    </w:p>
    <w:tbl>
      <w:tblPr>
        <w:tblStyle w:val="26"/>
        <w:tblW w:w="94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3"/>
        <w:gridCol w:w="7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3" w:type="dxa"/>
            <w:tcBorders>
              <w:top w:val="single" w:color="auto" w:sz="4" w:space="0"/>
              <w:left w:val="single" w:color="auto" w:sz="4" w:space="0"/>
              <w:bottom w:val="single" w:color="auto" w:sz="4" w:space="0"/>
              <w:right w:val="single" w:color="auto" w:sz="4" w:space="0"/>
            </w:tcBorders>
            <w:vAlign w:val="center"/>
          </w:tcPr>
          <w:p>
            <w:pPr>
              <w:pStyle w:val="230"/>
              <w:ind w:firstLine="0" w:firstLineChars="0"/>
              <w:jc w:val="center"/>
            </w:pPr>
            <w:r>
              <w:rPr>
                <w:rFonts w:hint="eastAsia"/>
              </w:rPr>
              <w:t>名称</w:t>
            </w:r>
          </w:p>
        </w:tc>
        <w:tc>
          <w:tcPr>
            <w:tcW w:w="7252" w:type="dxa"/>
            <w:tcBorders>
              <w:top w:val="single" w:color="auto" w:sz="4" w:space="0"/>
              <w:left w:val="single" w:color="auto" w:sz="4" w:space="0"/>
              <w:bottom w:val="single" w:color="auto" w:sz="4" w:space="0"/>
              <w:right w:val="single" w:color="auto" w:sz="4" w:space="0"/>
            </w:tcBorders>
            <w:vAlign w:val="center"/>
          </w:tcPr>
          <w:p>
            <w:pPr>
              <w:pStyle w:val="230"/>
              <w:ind w:firstLine="0" w:firstLineChars="0"/>
              <w:jc w:val="center"/>
            </w:pPr>
            <w:r>
              <w:rPr>
                <w:rFonts w:hint="eastAsia"/>
              </w:rPr>
              <w:t>防治措施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3" w:type="dxa"/>
            <w:tcBorders>
              <w:top w:val="single" w:color="auto" w:sz="4" w:space="0"/>
              <w:left w:val="single" w:color="auto" w:sz="4" w:space="0"/>
              <w:bottom w:val="single" w:color="auto" w:sz="4" w:space="0"/>
              <w:right w:val="single" w:color="auto" w:sz="4" w:space="0"/>
            </w:tcBorders>
            <w:vAlign w:val="center"/>
          </w:tcPr>
          <w:p>
            <w:pPr>
              <w:pStyle w:val="230"/>
              <w:ind w:firstLine="0" w:firstLineChars="0"/>
              <w:jc w:val="center"/>
            </w:pPr>
            <w:r>
              <w:rPr>
                <w:rFonts w:hint="eastAsia"/>
              </w:rPr>
              <w:t>纹枯病</w:t>
            </w:r>
          </w:p>
        </w:tc>
        <w:tc>
          <w:tcPr>
            <w:tcW w:w="7252" w:type="dxa"/>
            <w:tcBorders>
              <w:top w:val="single" w:color="auto" w:sz="4" w:space="0"/>
              <w:left w:val="single" w:color="auto" w:sz="4" w:space="0"/>
              <w:bottom w:val="single" w:color="auto" w:sz="4" w:space="0"/>
              <w:right w:val="single" w:color="auto" w:sz="4" w:space="0"/>
            </w:tcBorders>
            <w:vAlign w:val="center"/>
          </w:tcPr>
          <w:p>
            <w:pPr>
              <w:pStyle w:val="230"/>
              <w:ind w:firstLine="0" w:firstLineChars="0"/>
              <w:jc w:val="left"/>
            </w:pPr>
            <w:r>
              <w:rPr>
                <w:rFonts w:hint="eastAsia"/>
              </w:rPr>
              <w:t>3</w:t>
            </w:r>
            <w:r>
              <w:t>8%</w:t>
            </w:r>
            <w:r>
              <w:rPr>
                <w:rFonts w:hint="eastAsia"/>
              </w:rPr>
              <w:t>噻呋</w:t>
            </w:r>
            <w:r>
              <w:t>.</w:t>
            </w:r>
            <w:r>
              <w:rPr>
                <w:rFonts w:hint="eastAsia"/>
              </w:rPr>
              <w:t>肟菌酯，悬浮剂，14 ml/667</w:t>
            </w:r>
            <w:r>
              <w:t>㎡～</w:t>
            </w:r>
            <w:r>
              <w:rPr>
                <w:rFonts w:hint="eastAsia"/>
              </w:rPr>
              <w:t>18 ml/667</w:t>
            </w:r>
            <w:r>
              <w:t>㎡</w:t>
            </w:r>
            <w:r>
              <w:rPr>
                <w:rFonts w:hint="eastAsia"/>
              </w:rPr>
              <w:t>或</w:t>
            </w:r>
            <w:r>
              <w:t>20%</w:t>
            </w:r>
            <w:r>
              <w:rPr>
                <w:rFonts w:hint="eastAsia"/>
              </w:rPr>
              <w:t>噻呋</w:t>
            </w:r>
            <w:r>
              <w:t>.</w:t>
            </w:r>
            <w:r>
              <w:rPr>
                <w:rFonts w:hint="eastAsia"/>
              </w:rPr>
              <w:t>己唑醇，悬浮剂，36 ml/667</w:t>
            </w:r>
            <w:r>
              <w:t>㎡～</w:t>
            </w:r>
            <w:r>
              <w:rPr>
                <w:rFonts w:hint="eastAsia"/>
              </w:rPr>
              <w:t>54 ml/667</w:t>
            </w:r>
            <w:r>
              <w:t>㎡</w:t>
            </w:r>
            <w:r>
              <w:rPr>
                <w:rFonts w:hint="eastAsia"/>
              </w:rPr>
              <w:t>或</w:t>
            </w:r>
            <w:r>
              <w:t>24%</w:t>
            </w:r>
            <w:r>
              <w:rPr>
                <w:rFonts w:hint="eastAsia"/>
              </w:rPr>
              <w:t>井冈霉素，水剂，25 ml/667</w:t>
            </w:r>
            <w:r>
              <w:t>㎡～</w:t>
            </w:r>
            <w:r>
              <w:rPr>
                <w:rFonts w:hint="eastAsia"/>
              </w:rPr>
              <w:t>30 ml/667</w:t>
            </w:r>
            <w:r>
              <w:t>㎡</w:t>
            </w:r>
            <w:r>
              <w:rPr>
                <w:rFonts w:hint="eastAsia"/>
              </w:rPr>
              <w:t>等药剂，轮换用药。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3" w:type="dxa"/>
            <w:tcBorders>
              <w:top w:val="single" w:color="auto" w:sz="4" w:space="0"/>
              <w:left w:val="single" w:color="auto" w:sz="4" w:space="0"/>
              <w:bottom w:val="single" w:color="auto" w:sz="4" w:space="0"/>
              <w:right w:val="single" w:color="auto" w:sz="4" w:space="0"/>
            </w:tcBorders>
            <w:vAlign w:val="center"/>
          </w:tcPr>
          <w:p>
            <w:pPr>
              <w:pStyle w:val="230"/>
              <w:ind w:firstLine="0" w:firstLineChars="0"/>
              <w:jc w:val="center"/>
            </w:pPr>
            <w:r>
              <w:rPr>
                <w:rFonts w:hint="eastAsia"/>
              </w:rPr>
              <w:t>稻瘟病</w:t>
            </w:r>
          </w:p>
        </w:tc>
        <w:tc>
          <w:tcPr>
            <w:tcW w:w="7252" w:type="dxa"/>
            <w:tcBorders>
              <w:top w:val="single" w:color="auto" w:sz="4" w:space="0"/>
              <w:left w:val="single" w:color="auto" w:sz="4" w:space="0"/>
              <w:bottom w:val="single" w:color="auto" w:sz="4" w:space="0"/>
              <w:right w:val="single" w:color="auto" w:sz="4" w:space="0"/>
            </w:tcBorders>
            <w:vAlign w:val="center"/>
          </w:tcPr>
          <w:p>
            <w:pPr>
              <w:pStyle w:val="230"/>
              <w:ind w:firstLine="0" w:firstLineChars="0"/>
              <w:jc w:val="left"/>
            </w:pPr>
            <w:r>
              <w:t>40%</w:t>
            </w:r>
            <w:r>
              <w:rPr>
                <w:rFonts w:hint="eastAsia"/>
              </w:rPr>
              <w:t>稻瘟酰胺，悬浮剂，30 ml/667</w:t>
            </w:r>
            <w:r>
              <w:t>㎡～</w:t>
            </w:r>
            <w:r>
              <w:rPr>
                <w:rFonts w:hint="eastAsia"/>
              </w:rPr>
              <w:t>50 ml/667</w:t>
            </w:r>
            <w:r>
              <w:t>㎡</w:t>
            </w:r>
            <w:r>
              <w:rPr>
                <w:rFonts w:hint="eastAsia"/>
              </w:rPr>
              <w:t>或</w:t>
            </w:r>
            <w:r>
              <w:t>40%</w:t>
            </w:r>
            <w:r>
              <w:rPr>
                <w:rFonts w:hint="eastAsia"/>
              </w:rPr>
              <w:t>稻瘟灵，乳油，100 ml/667</w:t>
            </w:r>
            <w:r>
              <w:t>㎡～</w:t>
            </w:r>
            <w:r>
              <w:rPr>
                <w:rFonts w:hint="eastAsia"/>
              </w:rPr>
              <w:t>150 ml/667</w:t>
            </w:r>
            <w:r>
              <w:t>㎡</w:t>
            </w:r>
            <w:r>
              <w:rPr>
                <w:rFonts w:hint="eastAsia"/>
              </w:rPr>
              <w:t>或</w:t>
            </w:r>
            <w:r>
              <w:t>40%</w:t>
            </w:r>
            <w:r>
              <w:rPr>
                <w:rFonts w:hint="eastAsia"/>
              </w:rPr>
              <w:t>稻瘟</w:t>
            </w:r>
            <w:r>
              <w:t>.</w:t>
            </w:r>
            <w:r>
              <w:rPr>
                <w:rFonts w:hint="eastAsia"/>
              </w:rPr>
              <w:t>三环唑，悬浮剂，65 ml/667</w:t>
            </w:r>
            <w:r>
              <w:t>㎡～</w:t>
            </w:r>
            <w:r>
              <w:rPr>
                <w:rFonts w:hint="eastAsia"/>
              </w:rPr>
              <w:t>70 ml/667</w:t>
            </w:r>
            <w:r>
              <w:t>㎡</w:t>
            </w:r>
            <w:r>
              <w:rPr>
                <w:rFonts w:hint="eastAsia"/>
              </w:rPr>
              <w:t>或</w:t>
            </w:r>
            <w:r>
              <w:t>10%</w:t>
            </w:r>
            <w:r>
              <w:rPr>
                <w:rFonts w:hint="eastAsia"/>
              </w:rPr>
              <w:t>丙硫唑，悬浮剂，70 ml/667</w:t>
            </w:r>
            <w:r>
              <w:t>㎡～</w:t>
            </w:r>
            <w:r>
              <w:rPr>
                <w:rFonts w:hint="eastAsia"/>
              </w:rPr>
              <w:t>80 ml/667</w:t>
            </w:r>
            <w:r>
              <w:t>㎡</w:t>
            </w:r>
            <w:r>
              <w:rPr>
                <w:rFonts w:hint="eastAsia"/>
              </w:rPr>
              <w:t>等药剂，轮换用药。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3" w:type="dxa"/>
            <w:tcBorders>
              <w:top w:val="single" w:color="auto" w:sz="4" w:space="0"/>
              <w:left w:val="single" w:color="auto" w:sz="4" w:space="0"/>
              <w:bottom w:val="single" w:color="auto" w:sz="4" w:space="0"/>
              <w:right w:val="single" w:color="auto" w:sz="4" w:space="0"/>
            </w:tcBorders>
            <w:vAlign w:val="center"/>
          </w:tcPr>
          <w:p>
            <w:pPr>
              <w:pStyle w:val="230"/>
              <w:ind w:firstLine="0" w:firstLineChars="0"/>
              <w:jc w:val="center"/>
            </w:pPr>
            <w:r>
              <w:rPr>
                <w:rFonts w:hint="eastAsia"/>
              </w:rPr>
              <w:t>恶苗病、干尖线虫病</w:t>
            </w:r>
          </w:p>
        </w:tc>
        <w:tc>
          <w:tcPr>
            <w:tcW w:w="7252" w:type="dxa"/>
            <w:tcBorders>
              <w:top w:val="single" w:color="auto" w:sz="4" w:space="0"/>
              <w:left w:val="single" w:color="auto" w:sz="4" w:space="0"/>
              <w:bottom w:val="single" w:color="auto" w:sz="4" w:space="0"/>
              <w:right w:val="single" w:color="auto" w:sz="4" w:space="0"/>
            </w:tcBorders>
            <w:vAlign w:val="center"/>
          </w:tcPr>
          <w:p>
            <w:pPr>
              <w:pStyle w:val="230"/>
              <w:ind w:firstLine="0" w:firstLineChars="0"/>
              <w:jc w:val="left"/>
            </w:pPr>
            <w:r>
              <w:rPr>
                <w:rFonts w:hint="eastAsia"/>
              </w:rPr>
              <w:t>20%氰烯</w:t>
            </w:r>
            <w:r>
              <w:rPr>
                <w:rFonts w:ascii="Segoe UI Symbol" w:hAnsi="Segoe UI Symbol" w:cs="Segoe UI Symbol"/>
              </w:rPr>
              <w:t>▪</w:t>
            </w:r>
            <w:r>
              <w:rPr>
                <w:rFonts w:hint="eastAsia" w:hAnsi="宋体" w:cs="宋体"/>
              </w:rPr>
              <w:t>杀螟丹，</w:t>
            </w:r>
            <w:r>
              <w:rPr>
                <w:rFonts w:hint="eastAsia"/>
              </w:rPr>
              <w:t>800</w:t>
            </w:r>
            <w:r>
              <w:t>～</w:t>
            </w:r>
            <w:r>
              <w:rPr>
                <w:rFonts w:hint="eastAsia"/>
              </w:rPr>
              <w:t>1600倍液、或17%杀螟</w:t>
            </w:r>
            <w:r>
              <w:rPr>
                <w:rFonts w:ascii="Segoe UI Symbol" w:hAnsi="Segoe UI Symbol" w:cs="Segoe UI Symbol"/>
              </w:rPr>
              <w:t>▪</w:t>
            </w:r>
            <w:r>
              <w:rPr>
                <w:rFonts w:hint="eastAsia" w:hAnsi="宋体" w:cs="宋体"/>
              </w:rPr>
              <w:t>乙蒜素</w:t>
            </w:r>
            <w:r>
              <w:rPr>
                <w:rFonts w:hint="eastAsia"/>
              </w:rPr>
              <w:t>200</w:t>
            </w:r>
            <w:r>
              <w:t>～</w:t>
            </w:r>
            <w:r>
              <w:rPr>
                <w:rFonts w:hint="eastAsia"/>
              </w:rPr>
              <w:t>400倍液浸种48 h</w:t>
            </w:r>
            <w:r>
              <w:t>～</w:t>
            </w:r>
            <w:r>
              <w:rPr>
                <w:rFonts w:hint="eastAsia"/>
              </w:rPr>
              <w:t>60 h,温度低时适当延长。。</w:t>
            </w:r>
          </w:p>
        </w:tc>
      </w:tr>
    </w:tbl>
    <w:p>
      <w:pPr>
        <w:spacing w:line="360" w:lineRule="auto"/>
        <w:rPr>
          <w:color w:val="000000"/>
        </w:rPr>
      </w:pPr>
    </w:p>
    <w:p>
      <w:pPr>
        <w:widowControl/>
        <w:spacing w:line="360" w:lineRule="auto"/>
        <w:ind w:firstLine="210" w:firstLineChars="100"/>
        <w:jc w:val="left"/>
        <w:outlineLvl w:val="1"/>
        <w:rPr>
          <w:color w:val="000000"/>
        </w:rPr>
      </w:pPr>
      <w:r>
        <w:rPr>
          <w:rFonts w:hint="eastAsia" w:ascii="Times New Roman" w:hAnsi="Times New Roman" w:cs="宋体"/>
          <w:color w:val="000000"/>
          <w:szCs w:val="24"/>
          <w:lang w:bidi="ar"/>
        </w:rPr>
        <w:t>表</w:t>
      </w:r>
      <w:r>
        <w:rPr>
          <w:rFonts w:ascii="Times New Roman" w:hAnsi="Times New Roman"/>
          <w:color w:val="000000"/>
          <w:szCs w:val="24"/>
          <w:lang w:bidi="ar"/>
        </w:rPr>
        <w:t>A.2</w:t>
      </w:r>
      <w:r>
        <w:rPr>
          <w:rFonts w:hint="eastAsia" w:ascii="Times New Roman" w:hAnsi="Times New Roman" w:cs="宋体"/>
          <w:color w:val="000000"/>
          <w:szCs w:val="24"/>
          <w:lang w:bidi="ar"/>
        </w:rPr>
        <w:t>规定了秧田期水稻主要虫害防治方法。</w:t>
      </w:r>
    </w:p>
    <w:p>
      <w:pPr>
        <w:widowControl/>
        <w:spacing w:line="360" w:lineRule="auto"/>
        <w:jc w:val="center"/>
        <w:outlineLvl w:val="1"/>
        <w:rPr>
          <w:rFonts w:eastAsia="黑体"/>
        </w:rPr>
      </w:pPr>
      <w:r>
        <w:rPr>
          <w:rFonts w:hint="eastAsia" w:ascii="Times New Roman" w:hAnsi="Times New Roman" w:eastAsia="黑体" w:cs="黑体"/>
          <w:szCs w:val="24"/>
          <w:lang w:bidi="ar"/>
        </w:rPr>
        <w:t>表</w:t>
      </w:r>
      <w:r>
        <w:rPr>
          <w:rFonts w:ascii="Times New Roman" w:hAnsi="Times New Roman" w:eastAsia="黑体"/>
          <w:szCs w:val="24"/>
          <w:lang w:bidi="ar"/>
        </w:rPr>
        <w:t>A.2</w:t>
      </w:r>
      <w:r>
        <w:rPr>
          <w:rFonts w:hint="eastAsia" w:ascii="Times New Roman" w:hAnsi="Times New Roman" w:eastAsia="黑体" w:cs="黑体"/>
          <w:szCs w:val="24"/>
          <w:lang w:bidi="ar"/>
        </w:rPr>
        <w:t>秧田期水稻主要虫害防治方法</w:t>
      </w:r>
    </w:p>
    <w:tbl>
      <w:tblPr>
        <w:tblStyle w:val="26"/>
        <w:tblW w:w="93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5"/>
        <w:gridCol w:w="7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5" w:type="dxa"/>
            <w:tcBorders>
              <w:top w:val="single" w:color="auto" w:sz="4" w:space="0"/>
              <w:left w:val="single" w:color="auto" w:sz="4" w:space="0"/>
              <w:bottom w:val="single" w:color="auto" w:sz="4" w:space="0"/>
              <w:right w:val="single" w:color="auto" w:sz="4" w:space="0"/>
            </w:tcBorders>
            <w:vAlign w:val="center"/>
          </w:tcPr>
          <w:p>
            <w:pPr>
              <w:pStyle w:val="230"/>
              <w:ind w:firstLine="0" w:firstLineChars="0"/>
              <w:jc w:val="center"/>
            </w:pPr>
            <w:r>
              <w:rPr>
                <w:rFonts w:hint="eastAsia"/>
              </w:rPr>
              <w:t>名称</w:t>
            </w:r>
          </w:p>
        </w:tc>
        <w:tc>
          <w:tcPr>
            <w:tcW w:w="7181" w:type="dxa"/>
            <w:tcBorders>
              <w:top w:val="single" w:color="auto" w:sz="4" w:space="0"/>
              <w:left w:val="single" w:color="auto" w:sz="4" w:space="0"/>
              <w:bottom w:val="single" w:color="auto" w:sz="4" w:space="0"/>
              <w:right w:val="single" w:color="auto" w:sz="4" w:space="0"/>
            </w:tcBorders>
            <w:vAlign w:val="center"/>
          </w:tcPr>
          <w:p>
            <w:pPr>
              <w:pStyle w:val="230"/>
              <w:ind w:firstLine="0" w:firstLineChars="0"/>
              <w:jc w:val="center"/>
            </w:pPr>
            <w:r>
              <w:rPr>
                <w:rFonts w:hint="eastAsia"/>
              </w:rPr>
              <w:t>防治措施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5" w:type="dxa"/>
            <w:tcBorders>
              <w:top w:val="single" w:color="auto" w:sz="4" w:space="0"/>
              <w:left w:val="single" w:color="auto" w:sz="4" w:space="0"/>
              <w:bottom w:val="single" w:color="auto" w:sz="4" w:space="0"/>
              <w:right w:val="single" w:color="auto" w:sz="4" w:space="0"/>
            </w:tcBorders>
            <w:vAlign w:val="center"/>
          </w:tcPr>
          <w:p>
            <w:pPr>
              <w:pStyle w:val="230"/>
              <w:ind w:firstLine="0" w:firstLineChars="0"/>
              <w:jc w:val="center"/>
            </w:pPr>
            <w:r>
              <w:rPr>
                <w:rFonts w:hint="eastAsia"/>
              </w:rPr>
              <w:t>稻飞虱、稻蓟马</w:t>
            </w:r>
          </w:p>
        </w:tc>
        <w:tc>
          <w:tcPr>
            <w:tcW w:w="7181" w:type="dxa"/>
            <w:tcBorders>
              <w:top w:val="single" w:color="auto" w:sz="4" w:space="0"/>
              <w:left w:val="single" w:color="auto" w:sz="4" w:space="0"/>
              <w:bottom w:val="single" w:color="auto" w:sz="4" w:space="0"/>
              <w:right w:val="single" w:color="auto" w:sz="4" w:space="0"/>
            </w:tcBorders>
            <w:vAlign w:val="center"/>
          </w:tcPr>
          <w:p>
            <w:pPr>
              <w:pStyle w:val="230"/>
              <w:ind w:firstLine="0" w:firstLineChars="0"/>
              <w:jc w:val="left"/>
            </w:pPr>
            <w:r>
              <w:t>24%</w:t>
            </w:r>
            <w:r>
              <w:rPr>
                <w:rFonts w:hint="eastAsia"/>
              </w:rPr>
              <w:t>虫螨腈，悬浮剂，15 ml/667</w:t>
            </w:r>
            <w:r>
              <w:t>㎡～</w:t>
            </w:r>
            <w:r>
              <w:rPr>
                <w:rFonts w:hint="eastAsia"/>
              </w:rPr>
              <w:t>25 ml/667</w:t>
            </w:r>
            <w:r>
              <w:t>㎡</w:t>
            </w:r>
            <w:r>
              <w:rPr>
                <w:rFonts w:hint="eastAsia"/>
              </w:rPr>
              <w:t>或</w:t>
            </w:r>
            <w:r>
              <w:t>20%</w:t>
            </w:r>
            <w:r>
              <w:rPr>
                <w:rFonts w:hint="eastAsia"/>
              </w:rPr>
              <w:t>呋虫胺，悬浮剂，30 ml/667</w:t>
            </w:r>
            <w:r>
              <w:t>㎡～</w:t>
            </w:r>
            <w:r>
              <w:rPr>
                <w:rFonts w:hint="eastAsia"/>
              </w:rPr>
              <w:t>40 ml/667</w:t>
            </w:r>
            <w:r>
              <w:t>㎡</w:t>
            </w:r>
            <w:r>
              <w:rPr>
                <w:rFonts w:hint="eastAsia"/>
              </w:rPr>
              <w:t>或</w:t>
            </w:r>
            <w:r>
              <w:t>60%</w:t>
            </w:r>
            <w:r>
              <w:rPr>
                <w:rFonts w:hint="eastAsia"/>
              </w:rPr>
              <w:t>烯啶虫胺，水剂，10 ml/667</w:t>
            </w:r>
            <w:r>
              <w:t>㎡～</w:t>
            </w:r>
            <w:r>
              <w:rPr>
                <w:rFonts w:hint="eastAsia"/>
              </w:rPr>
              <w:t>20 ml/667</w:t>
            </w:r>
            <w:r>
              <w:t>㎡</w:t>
            </w:r>
            <w:r>
              <w:rPr>
                <w:rFonts w:hint="eastAsia"/>
              </w:rPr>
              <w:t>等药剂，轮换用药。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5" w:type="dxa"/>
            <w:tcBorders>
              <w:top w:val="single" w:color="auto" w:sz="4" w:space="0"/>
              <w:left w:val="single" w:color="auto" w:sz="4" w:space="0"/>
              <w:bottom w:val="single" w:color="auto" w:sz="4" w:space="0"/>
              <w:right w:val="single" w:color="auto" w:sz="4" w:space="0"/>
            </w:tcBorders>
            <w:vAlign w:val="center"/>
          </w:tcPr>
          <w:p>
            <w:pPr>
              <w:pStyle w:val="230"/>
              <w:ind w:firstLine="0" w:firstLineChars="0"/>
              <w:jc w:val="center"/>
            </w:pPr>
            <w:r>
              <w:rPr>
                <w:rFonts w:hint="eastAsia"/>
              </w:rPr>
              <w:t>二化螟</w:t>
            </w:r>
          </w:p>
        </w:tc>
        <w:tc>
          <w:tcPr>
            <w:tcW w:w="7181" w:type="dxa"/>
            <w:tcBorders>
              <w:top w:val="single" w:color="auto" w:sz="4" w:space="0"/>
              <w:left w:val="single" w:color="auto" w:sz="4" w:space="0"/>
              <w:bottom w:val="single" w:color="auto" w:sz="4" w:space="0"/>
              <w:right w:val="single" w:color="auto" w:sz="4" w:space="0"/>
            </w:tcBorders>
            <w:vAlign w:val="center"/>
          </w:tcPr>
          <w:p>
            <w:pPr>
              <w:pStyle w:val="230"/>
              <w:ind w:firstLine="0" w:firstLineChars="0"/>
              <w:jc w:val="left"/>
            </w:pPr>
            <w:r>
              <w:t>15%</w:t>
            </w:r>
            <w:r>
              <w:rPr>
                <w:rFonts w:hint="eastAsia"/>
              </w:rPr>
              <w:t>多杀</w:t>
            </w:r>
            <w:r>
              <w:t>.</w:t>
            </w:r>
            <w:r>
              <w:rPr>
                <w:rFonts w:hint="eastAsia"/>
              </w:rPr>
              <w:t>茚虫威，悬浮剂，14 ml/667</w:t>
            </w:r>
            <w:r>
              <w:t>㎡～</w:t>
            </w:r>
            <w:r>
              <w:rPr>
                <w:rFonts w:hint="eastAsia"/>
              </w:rPr>
              <w:t>1 6ml/667</w:t>
            </w:r>
            <w:r>
              <w:t>㎡</w:t>
            </w:r>
            <w:r>
              <w:rPr>
                <w:rFonts w:hint="eastAsia"/>
              </w:rPr>
              <w:t>或</w:t>
            </w:r>
            <w:r>
              <w:t>5.7%</w:t>
            </w:r>
            <w:r>
              <w:rPr>
                <w:rFonts w:hint="eastAsia"/>
              </w:rPr>
              <w:t>甲氨基阿维菌素，悬浮剂，12 ml/667</w:t>
            </w:r>
            <w:r>
              <w:t>㎡～</w:t>
            </w:r>
            <w:r>
              <w:rPr>
                <w:rFonts w:hint="eastAsia"/>
              </w:rPr>
              <w:t>1 5ml/667</w:t>
            </w:r>
            <w:r>
              <w:t>㎡</w:t>
            </w:r>
            <w:r>
              <w:rPr>
                <w:rFonts w:hint="eastAsia"/>
              </w:rPr>
              <w:t>或</w:t>
            </w:r>
            <w:r>
              <w:t>5%</w:t>
            </w:r>
            <w:r>
              <w:rPr>
                <w:rFonts w:hint="eastAsia"/>
              </w:rPr>
              <w:t>丁虫腈，乳油，3 0ml/667</w:t>
            </w:r>
            <w:r>
              <w:t>㎡～</w:t>
            </w:r>
            <w:r>
              <w:rPr>
                <w:rFonts w:hint="eastAsia"/>
              </w:rPr>
              <w:t>50 ml/667</w:t>
            </w:r>
            <w:r>
              <w:t>㎡</w:t>
            </w:r>
            <w:r>
              <w:rPr>
                <w:rFonts w:hint="eastAsia"/>
              </w:rPr>
              <w:t>等药剂轮换使用。</w:t>
            </w:r>
          </w:p>
        </w:tc>
      </w:tr>
    </w:tbl>
    <w:p>
      <w:pPr>
        <w:widowControl/>
        <w:spacing w:line="360" w:lineRule="auto"/>
        <w:ind w:firstLine="210" w:firstLineChars="100"/>
        <w:jc w:val="left"/>
        <w:outlineLvl w:val="1"/>
        <w:rPr>
          <w:rFonts w:cs="宋体"/>
          <w:color w:val="000000"/>
          <w:lang w:bidi="ar"/>
        </w:rPr>
      </w:pPr>
    </w:p>
    <w:p>
      <w:pPr>
        <w:widowControl/>
        <w:spacing w:line="360" w:lineRule="auto"/>
        <w:ind w:firstLine="210" w:firstLineChars="100"/>
        <w:jc w:val="left"/>
        <w:outlineLvl w:val="1"/>
        <w:rPr>
          <w:color w:val="000000"/>
        </w:rPr>
      </w:pPr>
      <w:r>
        <w:rPr>
          <w:rFonts w:hint="eastAsia" w:ascii="Times New Roman" w:hAnsi="Times New Roman" w:cs="宋体"/>
          <w:color w:val="000000"/>
          <w:szCs w:val="24"/>
          <w:lang w:bidi="ar"/>
        </w:rPr>
        <w:t>表</w:t>
      </w:r>
      <w:r>
        <w:rPr>
          <w:rFonts w:ascii="Times New Roman" w:hAnsi="Times New Roman"/>
          <w:color w:val="000000"/>
          <w:szCs w:val="24"/>
          <w:lang w:bidi="ar"/>
        </w:rPr>
        <w:t>A.</w:t>
      </w:r>
      <w:r>
        <w:rPr>
          <w:rFonts w:hint="eastAsia" w:ascii="Times New Roman" w:hAnsi="Times New Roman"/>
          <w:color w:val="000000"/>
          <w:szCs w:val="24"/>
          <w:lang w:bidi="ar"/>
        </w:rPr>
        <w:t>3</w:t>
      </w:r>
      <w:r>
        <w:rPr>
          <w:rFonts w:hint="eastAsia" w:ascii="Times New Roman" w:hAnsi="Times New Roman" w:cs="宋体"/>
          <w:color w:val="000000"/>
          <w:szCs w:val="24"/>
          <w:lang w:bidi="ar"/>
        </w:rPr>
        <w:t>规定了秧田期水稻主要草害防治方法。</w:t>
      </w:r>
    </w:p>
    <w:p>
      <w:pPr>
        <w:widowControl/>
        <w:spacing w:line="360" w:lineRule="auto"/>
        <w:jc w:val="center"/>
        <w:outlineLvl w:val="1"/>
        <w:rPr>
          <w:rFonts w:eastAsia="黑体"/>
        </w:rPr>
      </w:pPr>
      <w:r>
        <w:rPr>
          <w:rFonts w:hint="eastAsia" w:ascii="Times New Roman" w:hAnsi="Times New Roman" w:eastAsia="黑体" w:cs="黑体"/>
          <w:szCs w:val="24"/>
          <w:lang w:bidi="ar"/>
        </w:rPr>
        <w:t>表</w:t>
      </w:r>
      <w:r>
        <w:rPr>
          <w:rFonts w:ascii="Times New Roman" w:hAnsi="Times New Roman" w:eastAsia="黑体"/>
          <w:szCs w:val="24"/>
          <w:lang w:bidi="ar"/>
        </w:rPr>
        <w:t>A.</w:t>
      </w:r>
      <w:r>
        <w:rPr>
          <w:rFonts w:hint="eastAsia" w:ascii="Times New Roman" w:hAnsi="Times New Roman" w:eastAsia="黑体"/>
          <w:szCs w:val="24"/>
          <w:lang w:bidi="ar"/>
        </w:rPr>
        <w:t>3</w:t>
      </w:r>
      <w:r>
        <w:rPr>
          <w:rFonts w:hint="eastAsia" w:ascii="Times New Roman" w:hAnsi="Times New Roman" w:eastAsia="黑体" w:cs="黑体"/>
          <w:szCs w:val="24"/>
          <w:lang w:bidi="ar"/>
        </w:rPr>
        <w:t>秧田期水稻主要草害防治方法</w:t>
      </w:r>
    </w:p>
    <w:tbl>
      <w:tblPr>
        <w:tblStyle w:val="26"/>
        <w:tblW w:w="92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5"/>
        <w:gridCol w:w="7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5" w:type="dxa"/>
            <w:vAlign w:val="center"/>
          </w:tcPr>
          <w:p>
            <w:pPr>
              <w:pStyle w:val="230"/>
              <w:ind w:firstLine="0" w:firstLineChars="0"/>
              <w:jc w:val="center"/>
            </w:pPr>
            <w:r>
              <w:rPr>
                <w:rFonts w:hint="eastAsia"/>
              </w:rPr>
              <w:t>名称</w:t>
            </w:r>
          </w:p>
        </w:tc>
        <w:tc>
          <w:tcPr>
            <w:tcW w:w="7068" w:type="dxa"/>
            <w:vAlign w:val="center"/>
          </w:tcPr>
          <w:p>
            <w:pPr>
              <w:pStyle w:val="230"/>
              <w:ind w:firstLine="0" w:firstLineChars="0"/>
              <w:jc w:val="center"/>
            </w:pPr>
            <w:r>
              <w:rPr>
                <w:rFonts w:hint="eastAsia"/>
              </w:rPr>
              <w:t>防治措施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5" w:type="dxa"/>
            <w:vAlign w:val="center"/>
          </w:tcPr>
          <w:p>
            <w:pPr>
              <w:pStyle w:val="230"/>
              <w:ind w:firstLine="0" w:firstLineChars="0"/>
              <w:jc w:val="center"/>
            </w:pPr>
            <w:r>
              <w:rPr>
                <w:rFonts w:hint="eastAsia"/>
              </w:rPr>
              <w:t>稗草、千金子</w:t>
            </w:r>
          </w:p>
        </w:tc>
        <w:tc>
          <w:tcPr>
            <w:tcW w:w="7068" w:type="dxa"/>
            <w:vAlign w:val="center"/>
          </w:tcPr>
          <w:p>
            <w:pPr>
              <w:pStyle w:val="230"/>
              <w:ind w:firstLine="0" w:firstLineChars="0"/>
              <w:jc w:val="center"/>
            </w:pPr>
            <w:r>
              <w:rPr>
                <w:rFonts w:hint="eastAsia"/>
              </w:rPr>
              <w:t>10%氰氟草酯，乳油，80 ml/667</w:t>
            </w:r>
            <w:r>
              <w:t>㎡</w:t>
            </w:r>
            <w:r>
              <w:rPr>
                <w:rFonts w:hint="eastAsia"/>
              </w:rPr>
              <w:t>，秧苗2叶1心后喷雾。</w:t>
            </w:r>
          </w:p>
        </w:tc>
      </w:tr>
    </w:tbl>
    <w:p>
      <w:pPr>
        <w:pStyle w:val="230"/>
      </w:pPr>
    </w:p>
    <w:p>
      <w:pPr>
        <w:pStyle w:val="56"/>
        <w:ind w:firstLine="420"/>
      </w:pPr>
    </w:p>
    <w:p>
      <w:pPr>
        <w:pStyle w:val="56"/>
        <w:ind w:firstLine="420"/>
      </w:pPr>
    </w:p>
    <w:p>
      <w:pPr>
        <w:pStyle w:val="56"/>
        <w:ind w:firstLine="420"/>
      </w:pPr>
    </w:p>
    <w:p>
      <w:pPr>
        <w:pStyle w:val="56"/>
        <w:ind w:firstLine="420"/>
      </w:pPr>
    </w:p>
    <w:bookmarkEnd w:id="59"/>
    <w:p>
      <w:pPr>
        <w:pStyle w:val="56"/>
        <w:ind w:firstLine="420"/>
        <w:sectPr>
          <w:pgSz w:w="11906" w:h="16838"/>
          <w:pgMar w:top="1928" w:right="1134" w:bottom="1134" w:left="1134" w:header="1418" w:footer="1134" w:gutter="284"/>
          <w:cols w:space="425" w:num="1"/>
          <w:formProt w:val="0"/>
          <w:docGrid w:type="lines" w:linePitch="312" w:charSpace="0"/>
        </w:sectPr>
      </w:pPr>
      <w:bookmarkStart w:id="60" w:name="BookMark6"/>
    </w:p>
    <w:p>
      <w:pPr>
        <w:pStyle w:val="63"/>
        <w:spacing w:after="156"/>
      </w:pPr>
      <w:r>
        <w:rPr>
          <w:rFonts w:hint="eastAsia"/>
          <w:spacing w:val="105"/>
        </w:rPr>
        <w:t>参考文</w:t>
      </w:r>
      <w:r>
        <w:rPr>
          <w:rFonts w:hint="eastAsia"/>
        </w:rPr>
        <w:t>献</w:t>
      </w:r>
    </w:p>
    <w:p>
      <w:pPr>
        <w:widowControl/>
        <w:tabs>
          <w:tab w:val="center" w:pos="4201"/>
          <w:tab w:val="right" w:leader="dot" w:pos="9298"/>
        </w:tabs>
        <w:autoSpaceDE w:val="0"/>
        <w:autoSpaceDN w:val="0"/>
        <w:adjustRightInd/>
        <w:spacing w:line="240" w:lineRule="auto"/>
        <w:ind w:firstLine="420" w:firstLineChars="200"/>
        <w:rPr>
          <w:rFonts w:ascii="宋体" w:hAnsi="Times New Roman"/>
          <w:kern w:val="0"/>
          <w:szCs w:val="20"/>
        </w:rPr>
      </w:pPr>
      <w:r>
        <w:rPr>
          <w:rFonts w:ascii="宋体" w:hAnsi="Times New Roman"/>
          <w:kern w:val="0"/>
          <w:szCs w:val="20"/>
        </w:rPr>
        <w:t>［</w:t>
      </w:r>
      <w:r>
        <w:rPr>
          <w:rFonts w:hint="eastAsia" w:ascii="宋体" w:hAnsi="Times New Roman"/>
          <w:kern w:val="0"/>
          <w:szCs w:val="20"/>
        </w:rPr>
        <w:t xml:space="preserve">1］ </w:t>
      </w:r>
      <w:r>
        <w:rPr>
          <w:rFonts w:ascii="宋体" w:hAnsi="Times New Roman"/>
          <w:kern w:val="0"/>
          <w:szCs w:val="20"/>
        </w:rPr>
        <w:t>GB/T 18690.2 农业灌溉设备 过滤器 网式过滤器</w:t>
      </w:r>
    </w:p>
    <w:p>
      <w:pPr>
        <w:widowControl/>
        <w:tabs>
          <w:tab w:val="center" w:pos="4201"/>
          <w:tab w:val="right" w:leader="dot" w:pos="9298"/>
        </w:tabs>
        <w:autoSpaceDE w:val="0"/>
        <w:autoSpaceDN w:val="0"/>
        <w:adjustRightInd/>
        <w:spacing w:line="240" w:lineRule="auto"/>
        <w:ind w:firstLine="420" w:firstLineChars="200"/>
        <w:rPr>
          <w:rFonts w:ascii="宋体" w:hAnsi="Times New Roman"/>
          <w:kern w:val="0"/>
          <w:szCs w:val="20"/>
        </w:rPr>
      </w:pPr>
      <w:r>
        <w:rPr>
          <w:rFonts w:ascii="宋体" w:hAnsi="Times New Roman"/>
          <w:kern w:val="0"/>
          <w:szCs w:val="20"/>
        </w:rPr>
        <w:t>［</w:t>
      </w:r>
      <w:r>
        <w:rPr>
          <w:rFonts w:hint="eastAsia" w:ascii="宋体" w:hAnsi="Times New Roman"/>
          <w:kern w:val="0"/>
          <w:szCs w:val="20"/>
        </w:rPr>
        <w:t xml:space="preserve">2］ </w:t>
      </w:r>
      <w:r>
        <w:rPr>
          <w:rFonts w:ascii="宋体" w:hAnsi="Times New Roman"/>
          <w:kern w:val="0"/>
          <w:szCs w:val="20"/>
        </w:rPr>
        <w:t>GB/T 25409 小型潜水电泵</w:t>
      </w:r>
    </w:p>
    <w:p>
      <w:pPr>
        <w:widowControl/>
        <w:tabs>
          <w:tab w:val="center" w:pos="4201"/>
          <w:tab w:val="right" w:leader="dot" w:pos="9298"/>
        </w:tabs>
        <w:autoSpaceDE w:val="0"/>
        <w:autoSpaceDN w:val="0"/>
        <w:adjustRightInd/>
        <w:spacing w:line="240" w:lineRule="auto"/>
        <w:ind w:firstLine="420" w:firstLineChars="200"/>
        <w:rPr>
          <w:rFonts w:ascii="宋体" w:hAnsi="Times New Roman"/>
          <w:kern w:val="0"/>
          <w:szCs w:val="20"/>
        </w:rPr>
      </w:pPr>
      <w:r>
        <w:rPr>
          <w:rFonts w:ascii="宋体" w:hAnsi="Times New Roman"/>
          <w:kern w:val="0"/>
          <w:szCs w:val="20"/>
        </w:rPr>
        <w:t>［</w:t>
      </w:r>
      <w:r>
        <w:rPr>
          <w:rFonts w:hint="eastAsia" w:ascii="宋体" w:hAnsi="Times New Roman"/>
          <w:kern w:val="0"/>
          <w:szCs w:val="20"/>
        </w:rPr>
        <w:t xml:space="preserve">3］ </w:t>
      </w:r>
      <w:r>
        <w:rPr>
          <w:rFonts w:ascii="宋体" w:hAnsi="Times New Roman"/>
          <w:kern w:val="0"/>
          <w:szCs w:val="20"/>
        </w:rPr>
        <w:t>GA 308 安全防范系统验收</w:t>
      </w:r>
      <w:r>
        <w:rPr>
          <w:rFonts w:hint="eastAsia" w:ascii="宋体" w:hAnsi="Times New Roman"/>
          <w:kern w:val="0"/>
          <w:szCs w:val="20"/>
        </w:rPr>
        <w:t>规则</w:t>
      </w:r>
    </w:p>
    <w:p>
      <w:pPr>
        <w:pStyle w:val="56"/>
        <w:ind w:firstLine="420"/>
      </w:pPr>
    </w:p>
    <w:p>
      <w:pPr>
        <w:pStyle w:val="56"/>
        <w:ind w:firstLine="420"/>
      </w:pPr>
    </w:p>
    <w:bookmarkEnd w:id="60"/>
    <w:p>
      <w:pPr>
        <w:pStyle w:val="56"/>
        <w:ind w:firstLine="0" w:firstLineChars="0"/>
        <w:jc w:val="center"/>
      </w:pPr>
      <w:bookmarkStart w:id="61" w:name="BookMark8"/>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1"/>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32/T XXXX—2023</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XXXX—2023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4"/>
      <w:suff w:val="nothing"/>
      <w:lvlText w:val="%1.%2　"/>
      <w:lvlJc w:val="left"/>
      <w:pPr>
        <w:ind w:left="284"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6"/>
      <w:suff w:val="nothing"/>
      <w:lvlText w:val="%1.%2.%3　"/>
      <w:lvlJc w:val="left"/>
      <w:pPr>
        <w:ind w:left="567" w:firstLine="0"/>
      </w:pPr>
      <w:rPr>
        <w:rFonts w:hint="eastAsia" w:ascii="黑体" w:hAnsi="Times New Roman" w:eastAsia="黑体"/>
        <w:b w:val="0"/>
        <w:i w:val="0"/>
        <w:sz w:val="21"/>
      </w:rPr>
    </w:lvl>
    <w:lvl w:ilvl="3" w:tentative="0">
      <w:start w:val="1"/>
      <w:numFmt w:val="decimal"/>
      <w:pStyle w:val="237"/>
      <w:suff w:val="nothing"/>
      <w:lvlText w:val="%1.%2.%3.%4　"/>
      <w:lvlJc w:val="left"/>
      <w:pPr>
        <w:ind w:left="284" w:firstLine="0"/>
      </w:pPr>
      <w:rPr>
        <w:rFonts w:hint="eastAsia" w:ascii="黑体" w:hAnsi="Times New Roman" w:eastAsia="黑体"/>
        <w:b w:val="0"/>
        <w:i w:val="0"/>
        <w:sz w:val="21"/>
      </w:rPr>
    </w:lvl>
    <w:lvl w:ilvl="4" w:tentative="0">
      <w:start w:val="1"/>
      <w:numFmt w:val="decimal"/>
      <w:pStyle w:val="238"/>
      <w:suff w:val="nothing"/>
      <w:lvlText w:val="%1.%2.%3.%4.%5　"/>
      <w:lvlJc w:val="left"/>
      <w:pPr>
        <w:ind w:left="0" w:firstLine="0"/>
      </w:pPr>
      <w:rPr>
        <w:rFonts w:hint="eastAsia" w:ascii="黑体" w:hAnsi="Times New Roman" w:eastAsia="黑体"/>
        <w:b w:val="0"/>
        <w:i w:val="0"/>
        <w:sz w:val="21"/>
      </w:rPr>
    </w:lvl>
    <w:lvl w:ilvl="5" w:tentative="0">
      <w:start w:val="1"/>
      <w:numFmt w:val="decimal"/>
      <w:pStyle w:val="239"/>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284"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bordersDoNotSurroundHeader w:val="1"/>
  <w:bordersDoNotSurroundFooter w:val="1"/>
  <w:attachedTemplate r:id="rId1"/>
  <w:documentProtection w:edit="forms" w:enforcement="1" w:cryptProviderType="rsaAES" w:cryptAlgorithmClass="hash" w:cryptAlgorithmType="typeAny" w:cryptAlgorithmSid="14" w:cryptSpinCount="100000" w:hash="9OVvAnDeiDH4d48pcD5nYY8hcYPwfQzm/Eg+pmW95cYvl6z3cG8Cyx6nlVxoJujpSIiO14N1Svh9WAWmh6TOzQ==" w:salt="oDlRh906slr7/iA3qak6K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YzN2M2NmI1OWE0ZTg2ZWM5MGMzMmU3YzRlMWYzMDEifQ=="/>
  </w:docVars>
  <w:rsids>
    <w:rsidRoot w:val="00CA369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13B"/>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84"/>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37FA1"/>
    <w:rsid w:val="00243540"/>
    <w:rsid w:val="0024497B"/>
    <w:rsid w:val="0024515B"/>
    <w:rsid w:val="00246021"/>
    <w:rsid w:val="0024666E"/>
    <w:rsid w:val="00247F52"/>
    <w:rsid w:val="00250B25"/>
    <w:rsid w:val="00250BBE"/>
    <w:rsid w:val="002515C2"/>
    <w:rsid w:val="0025194F"/>
    <w:rsid w:val="0025195E"/>
    <w:rsid w:val="0025549E"/>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E6E11"/>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091F"/>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4B"/>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970"/>
    <w:rsid w:val="006D3E96"/>
    <w:rsid w:val="006D4515"/>
    <w:rsid w:val="006D4BB1"/>
    <w:rsid w:val="006D6593"/>
    <w:rsid w:val="006E0059"/>
    <w:rsid w:val="006E23EA"/>
    <w:rsid w:val="006E4C62"/>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4F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0AB1"/>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690"/>
    <w:rsid w:val="00CA375D"/>
    <w:rsid w:val="00CA662A"/>
    <w:rsid w:val="00CA7AFD"/>
    <w:rsid w:val="00CA7C3C"/>
    <w:rsid w:val="00CB0189"/>
    <w:rsid w:val="00CB0BA2"/>
    <w:rsid w:val="00CB1A42"/>
    <w:rsid w:val="00CB1B0C"/>
    <w:rsid w:val="00CB2C0B"/>
    <w:rsid w:val="00CB517D"/>
    <w:rsid w:val="00CC038D"/>
    <w:rsid w:val="00CC08DB"/>
    <w:rsid w:val="00CC39FF"/>
    <w:rsid w:val="00CC3BE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23FA"/>
    <w:rsid w:val="00DF44DE"/>
    <w:rsid w:val="00DF5F11"/>
    <w:rsid w:val="00E01138"/>
    <w:rsid w:val="00E02DFB"/>
    <w:rsid w:val="00E030F9"/>
    <w:rsid w:val="00E0311A"/>
    <w:rsid w:val="00E03138"/>
    <w:rsid w:val="00E06404"/>
    <w:rsid w:val="00E065D2"/>
    <w:rsid w:val="00E11A85"/>
    <w:rsid w:val="00E12495"/>
    <w:rsid w:val="00E15CCD"/>
    <w:rsid w:val="00E17EDE"/>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C7632"/>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695955"/>
    <w:rsid w:val="04FC6AE0"/>
    <w:rsid w:val="09151F1E"/>
    <w:rsid w:val="09F064E7"/>
    <w:rsid w:val="183D29BE"/>
    <w:rsid w:val="18DC65B5"/>
    <w:rsid w:val="260F00AB"/>
    <w:rsid w:val="29B11398"/>
    <w:rsid w:val="2E6B5FB9"/>
    <w:rsid w:val="354D6418"/>
    <w:rsid w:val="371D006C"/>
    <w:rsid w:val="37DA5DD4"/>
    <w:rsid w:val="38A26A7B"/>
    <w:rsid w:val="4908245F"/>
    <w:rsid w:val="51C4760A"/>
    <w:rsid w:val="5BD40D92"/>
    <w:rsid w:val="63365E8E"/>
    <w:rsid w:val="64964E36"/>
    <w:rsid w:val="6A282D32"/>
    <w:rsid w:val="6B833C3B"/>
    <w:rsid w:val="783407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qFormat="1"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qFormat="1" w:unhideWhenUsed="0" w:uiPriority="0" w:semiHidden="0" w:name="Normal Indent"/>
    <w:lsdException w:unhideWhenUsed="0" w:uiPriority="0"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unhideWhenUsed/>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unhideWhenUsed/>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uiPriority w:val="39"/>
    <w:rPr>
      <w:rFonts w:ascii="宋体"/>
    </w:rPr>
  </w:style>
  <w:style w:type="paragraph" w:styleId="20">
    <w:name w:val="toc 4"/>
    <w:basedOn w:val="1"/>
    <w:next w:val="1"/>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uiPriority w:val="0"/>
    <w:rPr>
      <w:b/>
      <w:bCs/>
      <w:kern w:val="44"/>
      <w:sz w:val="44"/>
      <w:szCs w:val="44"/>
    </w:rPr>
  </w:style>
  <w:style w:type="character" w:customStyle="1" w:styleId="35">
    <w:name w:val="标题 2 字符"/>
    <w:link w:val="3"/>
    <w:uiPriority w:val="0"/>
    <w:rPr>
      <w:rFonts w:ascii="Arial" w:hAnsi="Arial" w:eastAsia="黑体"/>
      <w:b/>
      <w:bCs/>
      <w:kern w:val="2"/>
      <w:sz w:val="32"/>
      <w:szCs w:val="32"/>
    </w:rPr>
  </w:style>
  <w:style w:type="character" w:customStyle="1" w:styleId="36">
    <w:name w:val="标题 3 字符"/>
    <w:link w:val="4"/>
    <w:autoRedefine/>
    <w:qFormat/>
    <w:uiPriority w:val="0"/>
    <w:rPr>
      <w:b/>
      <w:bCs/>
      <w:kern w:val="2"/>
      <w:sz w:val="32"/>
      <w:szCs w:val="32"/>
    </w:rPr>
  </w:style>
  <w:style w:type="character" w:customStyle="1" w:styleId="37">
    <w:name w:val="标题 4 字符"/>
    <w:link w:val="5"/>
    <w:uiPriority w:val="0"/>
    <w:rPr>
      <w:rFonts w:ascii="Arial" w:hAnsi="Arial" w:eastAsia="黑体"/>
      <w:b/>
      <w:bCs/>
      <w:kern w:val="2"/>
      <w:sz w:val="28"/>
      <w:szCs w:val="28"/>
    </w:rPr>
  </w:style>
  <w:style w:type="character" w:customStyle="1" w:styleId="38">
    <w:name w:val="标题 5 字符"/>
    <w:link w:val="6"/>
    <w:uiPriority w:val="0"/>
    <w:rPr>
      <w:b/>
      <w:bCs/>
      <w:kern w:val="2"/>
      <w:sz w:val="28"/>
      <w:szCs w:val="28"/>
    </w:rPr>
  </w:style>
  <w:style w:type="character" w:customStyle="1" w:styleId="39">
    <w:name w:val="标题 6 字符"/>
    <w:link w:val="7"/>
    <w:autoRedefine/>
    <w:qFormat/>
    <w:uiPriority w:val="0"/>
    <w:rPr>
      <w:rFonts w:ascii="Arial" w:hAnsi="Arial" w:eastAsia="黑体"/>
      <w:b/>
      <w:bCs/>
      <w:kern w:val="2"/>
      <w:sz w:val="24"/>
      <w:szCs w:val="24"/>
    </w:rPr>
  </w:style>
  <w:style w:type="character" w:customStyle="1" w:styleId="40">
    <w:name w:val="标题 7 字符"/>
    <w:link w:val="8"/>
    <w:uiPriority w:val="0"/>
    <w:rPr>
      <w:b/>
      <w:bCs/>
      <w:kern w:val="2"/>
      <w:sz w:val="24"/>
      <w:szCs w:val="24"/>
    </w:rPr>
  </w:style>
  <w:style w:type="character" w:customStyle="1" w:styleId="41">
    <w:name w:val="标题 8 字符"/>
    <w:link w:val="9"/>
    <w:uiPriority w:val="0"/>
    <w:rPr>
      <w:rFonts w:ascii="Arial" w:hAnsi="Arial" w:eastAsia="黑体"/>
      <w:kern w:val="2"/>
      <w:sz w:val="24"/>
      <w:szCs w:val="24"/>
    </w:rPr>
  </w:style>
  <w:style w:type="character" w:customStyle="1" w:styleId="42">
    <w:name w:val="标题 9 字符"/>
    <w:link w:val="10"/>
    <w:uiPriority w:val="0"/>
    <w:rPr>
      <w:rFonts w:ascii="Arial" w:hAnsi="Arial" w:eastAsia="黑体"/>
      <w:kern w:val="2"/>
      <w:sz w:val="21"/>
      <w:szCs w:val="21"/>
    </w:rPr>
  </w:style>
  <w:style w:type="character" w:customStyle="1" w:styleId="43">
    <w:name w:val="页眉 字符"/>
    <w:link w:val="18"/>
    <w:autoRedefine/>
    <w:qFormat/>
    <w:uiPriority w:val="99"/>
    <w:rPr>
      <w:kern w:val="2"/>
      <w:sz w:val="18"/>
      <w:szCs w:val="18"/>
    </w:rPr>
  </w:style>
  <w:style w:type="character" w:customStyle="1" w:styleId="44">
    <w:name w:val="页脚 字符"/>
    <w:link w:val="17"/>
    <w:autoRedefine/>
    <w:qFormat/>
    <w:uiPriority w:val="99"/>
    <w:rPr>
      <w:rFonts w:ascii="宋体"/>
      <w:kern w:val="2"/>
      <w:sz w:val="18"/>
      <w:szCs w:val="18"/>
    </w:rPr>
  </w:style>
  <w:style w:type="character" w:customStyle="1" w:styleId="45">
    <w:name w:val="批注框文本 字符"/>
    <w:link w:val="16"/>
    <w:autoRedefine/>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autoRedefine/>
    <w:qFormat/>
    <w:uiPriority w:val="29"/>
    <w:rPr>
      <w:i/>
      <w:iCs/>
      <w:color w:val="000000"/>
      <w:kern w:val="2"/>
      <w:sz w:val="21"/>
      <w:szCs w:val="21"/>
    </w:rPr>
  </w:style>
  <w:style w:type="character" w:customStyle="1" w:styleId="48">
    <w:name w:val="标题 字符"/>
    <w:link w:val="25"/>
    <w:autoRedefine/>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Subtle Reference"/>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autoRedefine/>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ind w:left="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autoRedefine/>
    <w:qFormat/>
    <w:uiPriority w:val="0"/>
    <w:pPr>
      <w:framePr w:wrap="around"/>
      <w:spacing w:line="0" w:lineRule="atLeast"/>
    </w:pPr>
    <w:rPr>
      <w:rFonts w:ascii="黑体" w:eastAsia="黑体"/>
      <w:b w:val="0"/>
    </w:rPr>
  </w:style>
  <w:style w:type="paragraph" w:customStyle="1" w:styleId="152">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autoRedefine/>
    <w:qFormat/>
    <w:uiPriority w:val="0"/>
    <w:pPr>
      <w:numPr>
        <w:ilvl w:val="6"/>
        <w:numId w:val="20"/>
      </w:numPr>
      <w:adjustRightInd/>
    </w:pPr>
    <w:rPr>
      <w:szCs w:val="24"/>
    </w:rPr>
  </w:style>
  <w:style w:type="paragraph" w:customStyle="1" w:styleId="159">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autoRedefine/>
    <w:qFormat/>
    <w:uiPriority w:val="0"/>
    <w:pPr>
      <w:spacing w:before="0" w:beforeLines="0" w:after="0" w:afterLines="0"/>
      <w:outlineLvl w:val="9"/>
    </w:pPr>
    <w:rPr>
      <w:rFonts w:ascii="宋体" w:eastAsia="宋体"/>
    </w:rPr>
  </w:style>
  <w:style w:type="paragraph" w:customStyle="1" w:styleId="164">
    <w:name w:val="标准文件_三级无标题"/>
    <w:basedOn w:val="94"/>
    <w:autoRedefine/>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autoRedefine/>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autoRedefine/>
    <w:qFormat/>
    <w:uiPriority w:val="0"/>
    <w:pPr>
      <w:numPr>
        <w:ilvl w:val="0"/>
        <w:numId w:val="24"/>
      </w:numPr>
      <w:ind w:firstLine="0" w:firstLineChars="0"/>
    </w:pPr>
    <w:rPr>
      <w:rFonts w:cs="Arial"/>
      <w:szCs w:val="28"/>
    </w:rPr>
  </w:style>
  <w:style w:type="paragraph" w:customStyle="1" w:styleId="170">
    <w:name w:val="标准文件_附录标题"/>
    <w:basedOn w:val="76"/>
    <w:autoRedefine/>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autoRedefine/>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autoRedefine/>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autoRedefine/>
    <w:qFormat/>
    <w:uiPriority w:val="0"/>
    <w:pPr>
      <w:ind w:firstLine="0" w:firstLineChars="0"/>
      <w:jc w:val="center"/>
    </w:pPr>
    <w:rPr>
      <w:sz w:val="18"/>
    </w:rPr>
  </w:style>
  <w:style w:type="paragraph" w:customStyle="1" w:styleId="179">
    <w:name w:val="标准文件_注："/>
    <w:next w:val="56"/>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autoRedefine/>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autoRedefine/>
    <w:qFormat/>
    <w:uiPriority w:val="0"/>
    <w:pPr>
      <w:jc w:val="center"/>
    </w:pPr>
    <w:rPr>
      <w:rFonts w:ascii="黑体" w:hAnsi="黑体" w:eastAsia="黑体"/>
    </w:rPr>
  </w:style>
  <w:style w:type="character" w:styleId="186">
    <w:name w:val="Placeholder Text"/>
    <w:basedOn w:val="28"/>
    <w:autoRedefine/>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autoRedefine/>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autoRedefine/>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autoRedefine/>
    <w:qFormat/>
    <w:uiPriority w:val="0"/>
    <w:pPr>
      <w:framePr w:w="3997" w:h="471" w:hRule="exact" w:hSpace="0" w:vSpace="181" w:wrap="around" w:vAnchor="page" w:hAnchor="page" w:x="1419" w:y="14097"/>
    </w:pPr>
  </w:style>
  <w:style w:type="paragraph" w:customStyle="1" w:styleId="194">
    <w:name w:val="其他实施日期"/>
    <w:basedOn w:val="154"/>
    <w:autoRedefine/>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autoRedefine/>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autoRedefine/>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autoRedefine/>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autoRedefine/>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autoRedefine/>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autoRedefine/>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autoRedefine/>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autoRedefine/>
    <w:qFormat/>
    <w:uiPriority w:val="0"/>
    <w:pPr>
      <w:ind w:left="964" w:firstLine="0" w:firstLineChars="0"/>
    </w:pPr>
    <w:rPr>
      <w:sz w:val="18"/>
    </w:rPr>
  </w:style>
  <w:style w:type="paragraph" w:customStyle="1" w:styleId="208">
    <w:name w:val="标准文件_示例X后"/>
    <w:basedOn w:val="56"/>
    <w:link w:val="209"/>
    <w:autoRedefine/>
    <w:qFormat/>
    <w:uiPriority w:val="0"/>
    <w:pPr>
      <w:ind w:left="1049" w:firstLine="0" w:firstLineChars="0"/>
    </w:pPr>
    <w:rPr>
      <w:sz w:val="18"/>
    </w:rPr>
  </w:style>
  <w:style w:type="character" w:customStyle="1" w:styleId="209">
    <w:name w:val="标准文件_示例X后 字符"/>
    <w:basedOn w:val="184"/>
    <w:link w:val="208"/>
    <w:autoRedefine/>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autoRedefine/>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autoRedefine/>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autoRedefine/>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paragraph" w:customStyle="1" w:styleId="230">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1">
    <w:name w:val="段 Char"/>
    <w:link w:val="230"/>
    <w:uiPriority w:val="0"/>
    <w:rPr>
      <w:rFonts w:ascii="宋体" w:hAnsi="Times New Roman"/>
      <w:sz w:val="21"/>
    </w:rPr>
  </w:style>
  <w:style w:type="paragraph" w:customStyle="1" w:styleId="232">
    <w:name w:val="前言、引言标题"/>
    <w:next w:val="230"/>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33">
    <w:name w:val="目次、标准名称标题"/>
    <w:basedOn w:val="1"/>
    <w:next w:val="230"/>
    <w:qFormat/>
    <w:uiPriority w:val="0"/>
    <w:pPr>
      <w:keepNext/>
      <w:pageBreakBefore/>
      <w:widowControl/>
      <w:shd w:val="clear" w:color="FFFFFF" w:fill="FFFFFF"/>
      <w:adjustRightInd/>
      <w:spacing w:before="640" w:after="560" w:line="460" w:lineRule="exact"/>
      <w:jc w:val="center"/>
      <w:outlineLvl w:val="0"/>
    </w:pPr>
    <w:rPr>
      <w:rFonts w:ascii="黑体" w:hAnsi="Times New Roman" w:eastAsia="黑体"/>
      <w:kern w:val="0"/>
      <w:sz w:val="32"/>
      <w:szCs w:val="20"/>
    </w:rPr>
  </w:style>
  <w:style w:type="paragraph" w:customStyle="1" w:styleId="234">
    <w:name w:val="一级条标题"/>
    <w:next w:val="1"/>
    <w:qFormat/>
    <w:uiPriority w:val="0"/>
    <w:pPr>
      <w:numPr>
        <w:ilvl w:val="1"/>
        <w:numId w:val="32"/>
      </w:numPr>
      <w:spacing w:before="156" w:beforeLines="50" w:after="156" w:afterLines="50"/>
      <w:ind w:left="142"/>
      <w:outlineLvl w:val="2"/>
    </w:pPr>
    <w:rPr>
      <w:rFonts w:ascii="黑体" w:hAnsi="Times New Roman" w:eastAsia="黑体" w:cs="Times New Roman"/>
      <w:sz w:val="21"/>
      <w:szCs w:val="21"/>
      <w:lang w:val="en-US" w:eastAsia="zh-CN" w:bidi="ar-SA"/>
    </w:rPr>
  </w:style>
  <w:style w:type="paragraph" w:customStyle="1" w:styleId="235">
    <w:name w:val="章标题"/>
    <w:next w:val="230"/>
    <w:qFormat/>
    <w:uiPriority w:val="0"/>
    <w:pPr>
      <w:numPr>
        <w:ilvl w:val="0"/>
        <w:numId w:val="3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36">
    <w:name w:val="二级条标题"/>
    <w:basedOn w:val="234"/>
    <w:next w:val="230"/>
    <w:qFormat/>
    <w:uiPriority w:val="0"/>
    <w:pPr>
      <w:numPr>
        <w:ilvl w:val="2"/>
      </w:numPr>
      <w:spacing w:before="50" w:after="50"/>
      <w:ind w:left="284"/>
      <w:outlineLvl w:val="3"/>
    </w:pPr>
  </w:style>
  <w:style w:type="paragraph" w:customStyle="1" w:styleId="237">
    <w:name w:val="三级条标题"/>
    <w:basedOn w:val="236"/>
    <w:next w:val="230"/>
    <w:qFormat/>
    <w:uiPriority w:val="0"/>
    <w:pPr>
      <w:numPr>
        <w:ilvl w:val="3"/>
      </w:numPr>
      <w:ind w:left="0"/>
      <w:outlineLvl w:val="4"/>
    </w:pPr>
  </w:style>
  <w:style w:type="paragraph" w:customStyle="1" w:styleId="238">
    <w:name w:val="四级条标题"/>
    <w:basedOn w:val="237"/>
    <w:next w:val="230"/>
    <w:qFormat/>
    <w:uiPriority w:val="0"/>
    <w:pPr>
      <w:numPr>
        <w:ilvl w:val="4"/>
      </w:numPr>
      <w:outlineLvl w:val="5"/>
    </w:pPr>
  </w:style>
  <w:style w:type="paragraph" w:customStyle="1" w:styleId="239">
    <w:name w:val="五级条标题"/>
    <w:basedOn w:val="238"/>
    <w:next w:val="230"/>
    <w:qFormat/>
    <w:uiPriority w:val="0"/>
    <w:pPr>
      <w:numPr>
        <w:ilvl w:val="5"/>
      </w:numPr>
      <w:outlineLvl w:val="6"/>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A6DEDE923A2450E854D608733F6B812"/>
        <w:style w:val=""/>
        <w:category>
          <w:name w:val="常规"/>
          <w:gallery w:val="placeholder"/>
        </w:category>
        <w:types>
          <w:type w:val="bbPlcHdr"/>
        </w:types>
        <w:behaviors>
          <w:behavior w:val="content"/>
        </w:behaviors>
        <w:description w:val=""/>
        <w:guid w:val="{8484FF20-2607-49A4-83C7-ECB2EB8408BE}"/>
      </w:docPartPr>
      <w:docPartBody>
        <w:p>
          <w:pPr>
            <w:pStyle w:val="5"/>
          </w:pPr>
          <w:r>
            <w:rPr>
              <w:rStyle w:val="4"/>
              <w:rFonts w:hint="eastAsia"/>
            </w:rPr>
            <w:t>单击或点击此处输入文字。</w:t>
          </w:r>
        </w:p>
      </w:docPartBody>
    </w:docPart>
    <w:docPart>
      <w:docPartPr>
        <w:name w:val="755225EDCAB5460CA28A20D7164989AA"/>
        <w:style w:val=""/>
        <w:category>
          <w:name w:val="常规"/>
          <w:gallery w:val="placeholder"/>
        </w:category>
        <w:types>
          <w:type w:val="bbPlcHdr"/>
        </w:types>
        <w:behaviors>
          <w:behavior w:val="content"/>
        </w:behaviors>
        <w:description w:val=""/>
        <w:guid w:val="{DA0B812F-B532-4C98-9C3B-6B41868068E7}"/>
      </w:docPartPr>
      <w:docPartBody>
        <w:p>
          <w:pPr>
            <w:pStyle w:val="6"/>
          </w:pPr>
          <w:r>
            <w:rPr>
              <w:rStyle w:val="4"/>
              <w:rFonts w:hint="eastAsia"/>
            </w:rPr>
            <w:t>选择一项。</w:t>
          </w:r>
        </w:p>
      </w:docPartBody>
    </w:docPart>
    <w:docPart>
      <w:docPartPr>
        <w:name w:val="08CACC5535374CF18A90D872EEFD6C07"/>
        <w:style w:val=""/>
        <w:category>
          <w:name w:val="常规"/>
          <w:gallery w:val="placeholder"/>
        </w:category>
        <w:types>
          <w:type w:val="bbPlcHdr"/>
        </w:types>
        <w:behaviors>
          <w:behavior w:val="content"/>
        </w:behaviors>
        <w:description w:val=""/>
        <w:guid w:val="{51031117-D276-4D17-A9D6-7F6559BF80C4}"/>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B22"/>
    <w:rsid w:val="00176B22"/>
    <w:rsid w:val="008B284A"/>
    <w:rsid w:val="00931632"/>
    <w:rsid w:val="00CE54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1A6DEDE923A2450E854D608733F6B81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755225EDCAB5460CA28A20D7164989A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08CACC5535374CF18A90D872EEFD6C0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2205D3-BDD2-441C-B379-E2A6F88C93DC}">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12</Pages>
  <Words>3136</Words>
  <Characters>3920</Characters>
  <Lines>653</Lines>
  <Paragraphs>587</Paragraphs>
  <TotalTime>106</TotalTime>
  <ScaleCrop>false</ScaleCrop>
  <LinksUpToDate>false</LinksUpToDate>
  <CharactersWithSpaces>6469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2023-11-16T07:00:00Z</dcterms:created>
  <dc:creator>Administrator</dc:creator>
  <dc:description>&lt;config cover="true" show_menu="true" version="1.0.0" doctype="SDKXY"&gt;_x000d_
&lt;/config&gt;</dc:description>
  <cp:lastModifiedBy>le</cp:lastModifiedBy>
  <cp:lastPrinted>2020-08-30T10:00:00Z</cp:lastPrinted>
  <dcterms:modified xsi:type="dcterms:W3CDTF">2023-12-19T05:10:09Z</dcterms:modified>
  <dc:title>地方标准</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2052-12.1.0.16120</vt:lpwstr>
  </property>
  <property fmtid="{D5CDD505-2E9C-101B-9397-08002B2CF9AE}" pid="15" name="ICV">
    <vt:lpwstr>B3A2965184B04B56B3481E301643DB50_13</vt:lpwstr>
  </property>
</Properties>
</file>