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1"/>
        <w:framePr w:wrap="around"/>
      </w:pPr>
      <w:r>
        <w:rPr>
          <w:rFonts w:ascii="Times New Roman"/>
        </w:rPr>
        <w:t>ICS 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 xml:space="preserve"> </w:t>
      </w:r>
      <w:r>
        <w:t>     </w:t>
      </w:r>
      <w:r>
        <w:fldChar w:fldCharType="end"/>
      </w:r>
      <w:bookmarkEnd w:id="0"/>
    </w:p>
    <w:p>
      <w:pPr>
        <w:pStyle w:val="111"/>
        <w:framePr w:wrap="around"/>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t>B     </w:t>
      </w:r>
      <w:r>
        <w:fldChar w:fldCharType="end"/>
      </w:r>
      <w:bookmarkEnd w:id="1"/>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1" w:type="dxa"/>
            <w:tcBorders>
              <w:top w:val="nil"/>
              <w:left w:val="nil"/>
              <w:bottom w:val="nil"/>
              <w:right w:val="nil"/>
            </w:tcBorders>
          </w:tcPr>
          <w:p>
            <w:pPr>
              <w:pStyle w:val="111"/>
              <w:framePr w:wrap="around"/>
            </w:pPr>
            <w:r>
              <w:pict>
                <v:rect id="BAH" o:spid="_x0000_s1026" o:spt="1" style="position:absolute;left:0pt;margin-left:-5.25pt;margin-top:0pt;height:15.6pt;width:68.25pt;z-index:-251654144;mso-width-relative:page;mso-height-relative:page;"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iuL+zVAAAABwEAAA8AAAAAAAAAAQAg&#10;AAAAIgAAAGRycy9kb3ducmV2LnhtbFBLAQIUABQAAAAIAIdO4kAXp8OdEQIAAC4EAAAOAAAAAAAA&#10;AAEAIAAAACQBAABkcnMvZTJvRG9jLnhtbFBLBQYAAAAABgAGAFkBAACnBQAAAAA=&#10;">
                  <v:path/>
                  <v:fill focussize="0,0"/>
                  <v:stroke on="f"/>
                  <v:imagedata o:title=""/>
                  <o:lock v:ext="edit"/>
                </v:rect>
              </w:pic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pPr>
        <w:pStyle w:val="128"/>
        <w:framePr w:wrap="around"/>
      </w:pPr>
      <w:r>
        <w:t>DB</w:t>
      </w:r>
      <w:bookmarkStart w:id="3" w:name="c3"/>
      <w:r>
        <w:fldChar w:fldCharType="begin">
          <w:ffData>
            <w:name w:val="c3"/>
            <w:enabled/>
            <w:calcOnExit w:val="0"/>
            <w:entryMacro w:val="ShowHelp16"/>
            <w:textInput>
              <w:maxLength w:val="2"/>
            </w:textInput>
          </w:ffData>
        </w:fldChar>
      </w:r>
      <w:r>
        <w:instrText xml:space="preserve"> FORMTEXT </w:instrText>
      </w:r>
      <w:r>
        <w:fldChar w:fldCharType="separate"/>
      </w:r>
      <w:r>
        <w:t>  </w:t>
      </w:r>
      <w:r>
        <w:fldChar w:fldCharType="end"/>
      </w:r>
      <w:bookmarkEnd w:id="3"/>
    </w:p>
    <w:p>
      <w:pPr>
        <w:pStyle w:val="63"/>
        <w:framePr w:wrap="around"/>
      </w:pPr>
      <w:bookmarkStart w:id="4" w:name="c4"/>
      <w:r>
        <w:fldChar w:fldCharType="begin">
          <w:ffData>
            <w:name w:val="c4"/>
            <w:enabled/>
            <w:calcOnExit w:val="0"/>
            <w:entryMacro w:val="showhelp12"/>
            <w:textInput/>
          </w:ffData>
        </w:fldChar>
      </w:r>
      <w:r>
        <w:instrText xml:space="preserve"> FORMTEXT </w:instrText>
      </w:r>
      <w:r>
        <w:fldChar w:fldCharType="separate"/>
      </w:r>
      <w:r>
        <w:rPr>
          <w:rFonts w:hint="eastAsia"/>
        </w:rPr>
        <w:t>江苏省</w:t>
      </w:r>
      <w:r>
        <w:fldChar w:fldCharType="end"/>
      </w:r>
      <w:bookmarkEnd w:id="4"/>
      <w:r>
        <w:rPr>
          <w:rFonts w:hint="eastAsia"/>
        </w:rPr>
        <w:t>地方标准</w:t>
      </w:r>
    </w:p>
    <w:p>
      <w:pPr>
        <w:pStyle w:val="95"/>
        <w:framePr w:wrap="around"/>
      </w:pPr>
      <w:r>
        <w:rPr>
          <w:rFonts w:ascii="Times New Roman"/>
        </w:rPr>
        <w:t xml:space="preserve">DB </w:t>
      </w:r>
      <w:bookmarkStart w:id="5" w:name="StdNo0"/>
      <w:r>
        <w:fldChar w:fldCharType="begin">
          <w:ffData>
            <w:name w:val="StdNo0"/>
            <w:enabled/>
            <w:calcOnExit w:val="0"/>
            <w:textInput>
              <w:default w:val="XX"/>
              <w:maxLength w:val="2"/>
            </w:textInput>
          </w:ffData>
        </w:fldChar>
      </w:r>
      <w:r>
        <w:instrText xml:space="preserve"> FORMTEXT </w:instrText>
      </w:r>
      <w:r>
        <w:fldChar w:fldCharType="separate"/>
      </w:r>
      <w:r>
        <w:rPr>
          <w:rFonts w:hint="eastAsia"/>
        </w:rPr>
        <w:t>32</w:t>
      </w:r>
      <w:r>
        <w:fldChar w:fldCharType="end"/>
      </w:r>
      <w:bookmarkEnd w:id="5"/>
      <w:r>
        <w:t xml:space="preserve">/ </w:t>
      </w:r>
      <w:bookmarkStart w:id="6" w:name="StdNo1"/>
      <w:r>
        <w:fldChar w:fldCharType="begin">
          <w:ffData>
            <w:name w:val="StdNo1"/>
            <w:enabled/>
            <w:calcOnExit w:val="0"/>
            <w:textInput>
              <w:default w:val="XXXXX"/>
            </w:textInput>
          </w:ffData>
        </w:fldChar>
      </w:r>
      <w:r>
        <w:instrText xml:space="preserve"> FORMTEXT </w:instrText>
      </w:r>
      <w:r>
        <w:fldChar w:fldCharType="separate"/>
      </w:r>
      <w:r>
        <w:t>XXXXX</w:t>
      </w:r>
      <w:r>
        <w:fldChar w:fldCharType="end"/>
      </w:r>
      <w:bookmarkEnd w:id="6"/>
      <w:r>
        <w:t>—</w:t>
      </w:r>
      <w:bookmarkStart w:id="7" w:name="StdNo2"/>
      <w:r>
        <w:fldChar w:fldCharType="begin">
          <w:ffData>
            <w:name w:val="StdNo2"/>
            <w:enabled/>
            <w:calcOnExit w:val="0"/>
            <w:textInput>
              <w:default w:val="XXXX"/>
              <w:maxLength w:val="4"/>
            </w:textInput>
          </w:ffData>
        </w:fldChar>
      </w:r>
      <w:r>
        <w:instrText xml:space="preserve"> FORMTEXT </w:instrText>
      </w:r>
      <w:r>
        <w:fldChar w:fldCharType="separate"/>
      </w:r>
      <w:r>
        <w:rPr>
          <w:rFonts w:hint="eastAsia"/>
        </w:rPr>
        <w:t>2023</w:t>
      </w:r>
      <w:r>
        <w:fldChar w:fldCharType="end"/>
      </w:r>
      <w:bookmarkEnd w:id="7"/>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115"/>
              <w:framePr w:wrap="around"/>
            </w:pPr>
            <w:bookmarkStart w:id="8" w:name="DT"/>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pPr>
        <w:pStyle w:val="95"/>
        <w:framePr w:wrap="around"/>
      </w:pPr>
    </w:p>
    <w:p>
      <w:pPr>
        <w:pStyle w:val="95"/>
        <w:framePr w:wrap="around"/>
      </w:pPr>
    </w:p>
    <w:p>
      <w:pPr>
        <w:pStyle w:val="52"/>
        <w:framePr w:wrap="around"/>
      </w:pPr>
      <w:bookmarkStart w:id="9"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观、食兼用百合生产技术规程</w:t>
      </w:r>
      <w:r>
        <w:fldChar w:fldCharType="end"/>
      </w:r>
      <w:bookmarkEnd w:id="9"/>
    </w:p>
    <w:p>
      <w:pPr>
        <w:pStyle w:val="70"/>
        <w:framePr w:wrap="around"/>
      </w:pPr>
      <w:bookmarkStart w:id="10"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rPr>
          <w:rFonts w:hint="eastAsia"/>
        </w:rPr>
        <w:t xml:space="preserve">Technical </w:t>
      </w:r>
      <w:r>
        <w:t>code of practice</w:t>
      </w:r>
      <w:r>
        <w:rPr>
          <w:rFonts w:hint="eastAsia"/>
        </w:rPr>
        <w:t xml:space="preserve"> </w:t>
      </w:r>
      <w:r>
        <w:t>for production of lily for visual and edible</w:t>
      </w:r>
      <w:r>
        <w:fldChar w:fldCharType="end"/>
      </w:r>
      <w:bookmarkEnd w:id="10"/>
    </w:p>
    <w:p>
      <w:pPr>
        <w:pStyle w:val="77"/>
        <w:framePr w:wrap="around"/>
      </w:pPr>
      <w:bookmarkStart w:id="11"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11"/>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76"/>
              <w:framePr w:wrap="around"/>
            </w:pPr>
            <w:r>
              <w:pict>
                <v:rect id="RQ" o:spid="_x0000_s1031" o:spt="1" style="position:absolute;left:0pt;margin-left:173.3pt;margin-top:337.15pt;height:20pt;width:150pt;z-index:-251655168;mso-width-relative:page;mso-height-relative:page;"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X9+DXAAAACwEAAA8AAAAAAAAAAQAgAAAA&#10;IgAAAGRycy9kb3ducmV2LnhtbFBLAQIUABQAAAAIAIdO4kBXqbarDAIAAC4EAAAOAAAAAAAAAAEA&#10;IAAAACYBAABkcnMvZTJvRG9jLnhtbFBLBQYAAAAABgAGAFkBAACkBQAAAAA=&#10;">
                  <v:path/>
                  <v:fill focussize="0,0"/>
                  <v:stroke on="f"/>
                  <v:imagedata o:title=""/>
                  <o:lock v:ext="edit"/>
                  <w10:anchorlock/>
                </v:rect>
              </w:pict>
            </w:r>
            <w:r>
              <w:fldChar w:fldCharType="begin">
                <w:ffData>
                  <w:name w:val="LB"/>
                  <w:enabled/>
                  <w:calcOnExit w:val="0"/>
                  <w:ddList>
                    <w:result w:val="5"/>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separate"/>
            </w:r>
            <w:r>
              <w:fldChar w:fldCharType="end"/>
            </w:r>
            <w:bookmarkEnd w:id="1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75"/>
              <w:framePr w:wrap="around"/>
            </w:pPr>
            <w:bookmarkStart w:id="13" w:name="WCRQ"/>
            <w:r>
              <w:fldChar w:fldCharType="begin">
                <w:ffData>
                  <w:name w:val="WCRQ"/>
                  <w:enabled/>
                  <w:calcOnExit w:val="0"/>
                  <w:textInput/>
                </w:ffData>
              </w:fldChar>
            </w:r>
            <w:r>
              <w:instrText xml:space="preserve"> FORMTEXT </w:instrText>
            </w:r>
            <w:r>
              <w:fldChar w:fldCharType="separate"/>
            </w:r>
            <w:r>
              <w:t>   </w:t>
            </w:r>
            <w:r>
              <w:fldChar w:fldCharType="end"/>
            </w:r>
            <w:bookmarkEnd w:id="13"/>
          </w:p>
        </w:tc>
      </w:tr>
    </w:tbl>
    <w:p>
      <w:pPr>
        <w:pStyle w:val="112"/>
        <w:framePr w:wrap="around"/>
      </w:pPr>
      <w:bookmarkStart w:id="14"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hint="eastAsia" w:ascii="黑体"/>
        </w:rPr>
        <w:t>2023</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5"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r>
        <w:pict>
          <v:line id="直线 10" o:spid="_x0000_s1030" o:spt="20" style="position:absolute;left:0pt;margin-left:-0.05pt;margin-top:728.5pt;height:0pt;width:481.9pt;mso-position-vertical-relative:page;z-index:251663360;mso-width-relative:page;mso-height-relative:page;"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JYdrPNYAAAALAQAADwAAAAAA&#10;AAABACAAAAAiAAAAZHJzL2Rvd25yZXYueG1sUEsBAhQAFAAAAAgAh07iQFtGrp/cAQAAsAMAAA4A&#10;AAAAAAAAAQAgAAAAJQEAAGRycy9lMm9Eb2MueG1sUEsFBgAAAAAGAAYAWQEAAHMFAAAAAA==&#10;">
            <v:path arrowok="t"/>
            <v:fill focussize="0,0"/>
            <v:stroke/>
            <v:imagedata o:title=""/>
            <o:lock v:ext="edit"/>
            <w10:anchorlock/>
          </v:line>
        </w:pict>
      </w:r>
    </w:p>
    <w:p>
      <w:pPr>
        <w:pStyle w:val="92"/>
        <w:framePr w:wrap="around"/>
      </w:pPr>
      <w:bookmarkStart w:id="16"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hint="eastAsia" w:ascii="黑体"/>
        </w:rPr>
        <w:t>2023</w:t>
      </w:r>
      <w:r>
        <w:rPr>
          <w:rFonts w:ascii="黑体"/>
        </w:rPr>
        <w:fldChar w:fldCharType="end"/>
      </w:r>
      <w:bookmarkEnd w:id="16"/>
      <w:r>
        <w:t xml:space="preserve"> </w:t>
      </w:r>
      <w:r>
        <w:rPr>
          <w:rFonts w:ascii="黑体"/>
        </w:rPr>
        <w:t>-</w:t>
      </w:r>
      <w:r>
        <w:t xml:space="preserve"> </w:t>
      </w:r>
      <w:bookmarkStart w:id="1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19"/>
        <w:framePr w:wrap="around"/>
      </w:pPr>
      <w:bookmarkStart w:id="19" w:name="fm"/>
      <w:r>
        <w:rPr>
          <w:w w:val="100"/>
        </w:rPr>
        <w:pict>
          <v:rect id="LB" o:spid="_x0000_s1029" o:spt="1" style="position:absolute;left:0pt;margin-left:142.55pt;margin-top:-310.45pt;height:24pt;width:100pt;z-index:-251656192;mso-width-relative:page;mso-height-relative:page;"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Xu1tkAAAANAQAADwAAAAAAAAABACAA&#10;AAAiAAAAZHJzL2Rvd25yZXYueG1sUEsBAhQAFAAAAAgAh07iQHWGbS4MAgAALgQAAA4AAAAAAAAA&#10;AQAgAAAAKAEAAGRycy9lMm9Eb2MueG1sUEsFBgAAAAAGAAYAWQEAAKYFAAAAAA==&#10;">
            <v:path/>
            <v:fill focussize="0,0"/>
            <v:stroke on="f"/>
            <v:imagedata o:title=""/>
            <o:lock v:ext="edit"/>
          </v:rect>
        </w:pict>
      </w:r>
      <w:r>
        <w:rPr>
          <w:w w:val="100"/>
        </w:rPr>
        <w:pict>
          <v:rect id="DT" o:spid="_x0000_s1028" o:spt="1" style="position:absolute;left:0pt;margin-left:347.55pt;margin-top:-585.45pt;height:18pt;width:90pt;z-index:-251657216;mso-width-relative:page;mso-height-relative:page;"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fyYoR2gAAAA8BAAAPAAAAAAAAAAEA&#10;IAAAACIAAABkcnMvZG93bnJldi54bWxQSwECFAAUAAAACACHTuJA7XYkww0CAAAuBAAADgAAAAAA&#10;AAABACAAAAApAQAAZHJzL2Uyb0RvYy54bWxQSwUGAAAAAAYABgBZAQAAqAUAAAAA&#10;">
            <v:path/>
            <v:fill focussize="0,0"/>
            <v:stroke on="f"/>
            <v:imagedata o:title=""/>
            <o:lock v:ext="edit"/>
          </v:rect>
        </w:pict>
      </w:r>
      <w:r>
        <w:rPr>
          <w:w w:val="100"/>
        </w:rPr>
        <w:pict>
          <v:line id="直线 11" o:spid="_x0000_s1027" o:spt="20" style="position:absolute;left:0pt;margin-left:-36.6pt;margin-top:-552.85pt;height:0pt;width:481.9pt;z-index:251664384;mso-width-relative:page;mso-height-relative:page;"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slkaDYAAAADwEAAA8AAAAA&#10;AAAAAQAgAAAAIgAAAGRycy9kb3ducmV2LnhtbFBLAQIUABQAAAAIAIdO4kAR8v/Y2wEAALADAAAO&#10;AAAAAAAAAAEAIAAAACcBAABkcnMvZTJvRG9jLnhtbFBLBQYAAAAABgAGAFkBAAB0BQAAAAA=&#10;">
            <v:path arrowok="t"/>
            <v:fill focussize="0,0"/>
            <v:stroke/>
            <v:imagedata o:title=""/>
            <o:lock v:ext="edit"/>
          </v:line>
        </w:pict>
      </w:r>
      <w:r>
        <w:fldChar w:fldCharType="begin">
          <w:ffData>
            <w:name w:val="fm"/>
            <w:enabled/>
            <w:calcOnExit w:val="0"/>
            <w:textInput/>
          </w:ffData>
        </w:fldChar>
      </w:r>
      <w:r>
        <w:instrText xml:space="preserve"> FORMTEXT </w:instrText>
      </w:r>
      <w:r>
        <w:fldChar w:fldCharType="separate"/>
      </w:r>
      <w:r>
        <w:rPr>
          <w:rFonts w:hint="eastAsia"/>
        </w:rPr>
        <w:t>江苏省市场监督管理局</w:t>
      </w:r>
      <w:r>
        <w:fldChar w:fldCharType="end"/>
      </w:r>
      <w:bookmarkEnd w:id="19"/>
      <w:r>
        <w:t>   </w:t>
      </w:r>
      <w:r>
        <w:rPr>
          <w:rStyle w:val="38"/>
          <w:rFonts w:hint="eastAsia"/>
        </w:rPr>
        <w:t>发布</w:t>
      </w:r>
    </w:p>
    <w:p>
      <w:pPr>
        <w:pStyle w:val="21"/>
        <w:sectPr>
          <w:headerReference r:id="rId3" w:type="even"/>
          <w:footerReference r:id="rId4" w:type="even"/>
          <w:pgSz w:w="11906" w:h="16838"/>
          <w:pgMar w:top="567" w:right="1134" w:bottom="1134" w:left="1417" w:header="0" w:footer="0" w:gutter="0"/>
          <w:pgNumType w:start="1"/>
          <w:cols w:space="720" w:num="1"/>
          <w:docGrid w:type="lines" w:linePitch="312" w:charSpace="0"/>
        </w:sectPr>
      </w:pPr>
    </w:p>
    <w:p>
      <w:pPr>
        <w:pStyle w:val="124"/>
        <w:spacing w:before="0" w:after="0" w:line="360" w:lineRule="auto"/>
        <w:rPr>
          <w:rFonts w:hAnsi="黑体"/>
        </w:rPr>
      </w:pPr>
      <w:bookmarkStart w:id="20" w:name="_Toc283026955"/>
      <w:bookmarkStart w:id="21" w:name="_Toc283026921"/>
      <w:bookmarkStart w:id="22" w:name="_Toc283106517"/>
      <w:bookmarkStart w:id="23" w:name="_Toc283026999"/>
      <w:bookmarkStart w:id="24" w:name="_Toc283026759"/>
      <w:r>
        <w:rPr>
          <w:rFonts w:hint="eastAsia" w:hAnsi="黑体"/>
        </w:rPr>
        <w:t>前</w:t>
      </w:r>
      <w:bookmarkStart w:id="25" w:name="BKQY"/>
      <w:r>
        <w:t>  </w:t>
      </w:r>
      <w:r>
        <w:rPr>
          <w:rFonts w:hint="eastAsia" w:hAnsi="黑体"/>
        </w:rPr>
        <w:t>言</w:t>
      </w:r>
      <w:bookmarkEnd w:id="20"/>
      <w:bookmarkEnd w:id="21"/>
      <w:bookmarkEnd w:id="22"/>
      <w:bookmarkEnd w:id="23"/>
      <w:bookmarkEnd w:id="24"/>
      <w:bookmarkEnd w:id="25"/>
    </w:p>
    <w:p>
      <w:pPr>
        <w:pStyle w:val="21"/>
        <w:spacing w:line="360" w:lineRule="auto"/>
      </w:pPr>
    </w:p>
    <w:p>
      <w:pPr>
        <w:widowControl/>
        <w:shd w:val="clear" w:color="auto" w:fill="FFFFFF"/>
        <w:spacing w:line="360" w:lineRule="auto"/>
        <w:ind w:firstLine="105" w:firstLineChars="50"/>
        <w:jc w:val="left"/>
        <w:rPr>
          <w:rFonts w:ascii="宋体"/>
          <w:kern w:val="0"/>
          <w:szCs w:val="20"/>
        </w:rPr>
      </w:pPr>
      <w:r>
        <w:rPr>
          <w:rFonts w:hint="eastAsia" w:ascii="宋体"/>
          <w:kern w:val="0"/>
          <w:szCs w:val="20"/>
        </w:rPr>
        <w:t>本文件按</w:t>
      </w:r>
      <w:bookmarkStart w:id="26" w:name="OLE_LINK2"/>
      <w:r>
        <w:rPr>
          <w:rFonts w:hint="eastAsia" w:ascii="宋体"/>
          <w:kern w:val="0"/>
          <w:szCs w:val="20"/>
        </w:rPr>
        <w:t>GB/T 1.1-2020《标准化工作导则  第1部分：标准化文件的结构和起草规则》</w:t>
      </w:r>
      <w:bookmarkEnd w:id="26"/>
      <w:r>
        <w:rPr>
          <w:rFonts w:hint="eastAsia" w:ascii="宋体"/>
          <w:kern w:val="0"/>
          <w:szCs w:val="20"/>
        </w:rPr>
        <w:t>的规定编制</w:t>
      </w:r>
      <w:r>
        <w:rPr>
          <w:rFonts w:ascii="宋体"/>
          <w:kern w:val="0"/>
          <w:szCs w:val="20"/>
        </w:rPr>
        <w:t>。</w:t>
      </w:r>
    </w:p>
    <w:p>
      <w:pPr>
        <w:pStyle w:val="21"/>
        <w:spacing w:line="360" w:lineRule="auto"/>
        <w:ind w:left="105" w:leftChars="50" w:firstLine="0" w:firstLineChars="0"/>
      </w:pPr>
      <w:r>
        <w:rPr>
          <w:rFonts w:hint="eastAsia" w:cs="宋体"/>
        </w:rPr>
        <w:t>请注意本文件的某些内容可能涉及专利。本文件的发布机构不承担识别专利的责任。</w:t>
      </w:r>
    </w:p>
    <w:p>
      <w:pPr>
        <w:pStyle w:val="21"/>
        <w:spacing w:line="360" w:lineRule="auto"/>
        <w:ind w:left="105" w:leftChars="50" w:firstLine="0" w:firstLineChars="0"/>
      </w:pPr>
      <w:r>
        <w:t>本</w:t>
      </w:r>
      <w:r>
        <w:rPr>
          <w:rFonts w:hint="eastAsia"/>
        </w:rPr>
        <w:t>文件由江苏省园艺标准化技术委员会提出</w:t>
      </w:r>
      <w:r>
        <w:rPr>
          <w:rFonts w:hint="eastAsia"/>
        </w:rPr>
        <w:t>并归口。</w:t>
      </w:r>
    </w:p>
    <w:p>
      <w:pPr>
        <w:pStyle w:val="21"/>
        <w:spacing w:line="360" w:lineRule="auto"/>
        <w:ind w:firstLine="105" w:firstLineChars="50"/>
      </w:pPr>
      <w:r>
        <w:rPr>
          <w:rFonts w:hint="eastAsia"/>
        </w:rPr>
        <w:t>本文件起草单位：连云港市农业科学院。</w:t>
      </w:r>
    </w:p>
    <w:p>
      <w:pPr>
        <w:pStyle w:val="21"/>
        <w:spacing w:line="360" w:lineRule="auto"/>
        <w:ind w:firstLine="105" w:firstLineChars="50"/>
      </w:pPr>
      <w:r>
        <w:t>本</w:t>
      </w:r>
      <w:r>
        <w:rPr>
          <w:rFonts w:hint="eastAsia"/>
        </w:rPr>
        <w:t>文件</w:t>
      </w:r>
      <w:r>
        <w:t>主要起草人：</w:t>
      </w:r>
      <w:r>
        <w:rPr>
          <w:rFonts w:hint="eastAsia"/>
        </w:rPr>
        <w:t>赵统利、孙明伟、葛金涛、邵小斌、汤雪燕、王江英</w:t>
      </w:r>
      <w:bookmarkStart w:id="39" w:name="_GoBack"/>
      <w:r>
        <w:rPr>
          <w:rFonts w:hint="eastAsia"/>
        </w:rPr>
        <w:t>、</w:t>
      </w:r>
      <w:bookmarkEnd w:id="39"/>
      <w:r>
        <w:rPr>
          <w:rFonts w:hint="eastAsia"/>
        </w:rPr>
        <w:t>朱朋波、侯海滨。</w:t>
      </w:r>
    </w:p>
    <w:p>
      <w:pPr>
        <w:pStyle w:val="21"/>
        <w:spacing w:line="360" w:lineRule="auto"/>
        <w:sectPr>
          <w:headerReference r:id="rId5" w:type="default"/>
          <w:footerReference r:id="rId6" w:type="default"/>
          <w:pgSz w:w="11906" w:h="16838"/>
          <w:pgMar w:top="567" w:right="1134" w:bottom="1134" w:left="1417" w:header="1418" w:footer="1134" w:gutter="0"/>
          <w:pgNumType w:fmt="upperRoman" w:start="1"/>
          <w:cols w:space="720" w:num="1"/>
          <w:formProt w:val="0"/>
          <w:docGrid w:type="lines" w:linePitch="312" w:charSpace="0"/>
        </w:sectPr>
      </w:pPr>
    </w:p>
    <w:p>
      <w:pPr>
        <w:widowControl/>
        <w:spacing w:before="312" w:beforeLines="100" w:after="312" w:afterLines="100"/>
        <w:jc w:val="center"/>
        <w:outlineLvl w:val="1"/>
        <w:rPr>
          <w:rFonts w:eastAsia="黑体"/>
          <w:kern w:val="0"/>
          <w:sz w:val="32"/>
          <w:szCs w:val="32"/>
        </w:rPr>
      </w:pPr>
      <w:r>
        <w:rPr>
          <w:rFonts w:eastAsia="黑体"/>
          <w:sz w:val="32"/>
          <w:szCs w:val="32"/>
        </w:rPr>
        <w:t>观</w:t>
      </w:r>
      <w:r>
        <w:rPr>
          <w:rFonts w:hint="eastAsia" w:eastAsia="黑体"/>
          <w:sz w:val="32"/>
          <w:szCs w:val="32"/>
        </w:rPr>
        <w:t>、</w:t>
      </w:r>
      <w:r>
        <w:rPr>
          <w:rFonts w:eastAsia="黑体"/>
          <w:sz w:val="32"/>
          <w:szCs w:val="32"/>
        </w:rPr>
        <w:t>食兼用百合生产技术规程</w:t>
      </w:r>
    </w:p>
    <w:p>
      <w:pPr>
        <w:widowControl/>
        <w:spacing w:line="360" w:lineRule="auto"/>
        <w:jc w:val="left"/>
        <w:outlineLvl w:val="1"/>
        <w:rPr>
          <w:rFonts w:eastAsia="黑体"/>
          <w:kern w:val="0"/>
          <w:szCs w:val="21"/>
        </w:rPr>
      </w:pPr>
      <w:r>
        <w:rPr>
          <w:rFonts w:eastAsia="黑体"/>
          <w:kern w:val="0"/>
          <w:szCs w:val="21"/>
        </w:rPr>
        <w:t>1  范围</w:t>
      </w:r>
    </w:p>
    <w:p>
      <w:pPr>
        <w:widowControl/>
        <w:tabs>
          <w:tab w:val="center" w:pos="4201"/>
          <w:tab w:val="right" w:leader="dot" w:pos="9298"/>
        </w:tabs>
        <w:autoSpaceDE w:val="0"/>
        <w:autoSpaceDN w:val="0"/>
        <w:spacing w:line="360" w:lineRule="auto"/>
        <w:ind w:firstLine="420" w:firstLineChars="200"/>
        <w:rPr>
          <w:kern w:val="0"/>
          <w:szCs w:val="21"/>
        </w:rPr>
      </w:pPr>
      <w:r>
        <w:rPr>
          <w:kern w:val="0"/>
          <w:szCs w:val="21"/>
        </w:rPr>
        <w:t>本文件规定了</w:t>
      </w:r>
      <w:r>
        <w:rPr>
          <w:rFonts w:hint="eastAsia"/>
          <w:kern w:val="0"/>
          <w:szCs w:val="21"/>
        </w:rPr>
        <w:t>观、食兼用</w:t>
      </w:r>
      <w:r>
        <w:rPr>
          <w:kern w:val="0"/>
          <w:szCs w:val="21"/>
        </w:rPr>
        <w:t>百合生产的土壤选择、种球选择、定植</w:t>
      </w:r>
      <w:r>
        <w:rPr>
          <w:rFonts w:hint="eastAsia"/>
          <w:kern w:val="0"/>
          <w:szCs w:val="21"/>
        </w:rPr>
        <w:t>、</w:t>
      </w:r>
      <w:r>
        <w:rPr>
          <w:kern w:val="0"/>
          <w:szCs w:val="21"/>
        </w:rPr>
        <w:t>田间管理</w:t>
      </w:r>
      <w:r>
        <w:rPr>
          <w:rFonts w:hint="eastAsia"/>
          <w:kern w:val="0"/>
          <w:szCs w:val="21"/>
        </w:rPr>
        <w:t>、</w:t>
      </w:r>
      <w:r>
        <w:rPr>
          <w:kern w:val="0"/>
          <w:szCs w:val="21"/>
        </w:rPr>
        <w:t>病虫害防治</w:t>
      </w:r>
      <w:r>
        <w:rPr>
          <w:rFonts w:hint="eastAsia"/>
          <w:kern w:val="0"/>
          <w:szCs w:val="21"/>
        </w:rPr>
        <w:t>、</w:t>
      </w:r>
      <w:r>
        <w:rPr>
          <w:kern w:val="0"/>
          <w:szCs w:val="21"/>
        </w:rPr>
        <w:t>切花采收</w:t>
      </w:r>
      <w:r>
        <w:rPr>
          <w:rFonts w:hint="eastAsia"/>
          <w:kern w:val="0"/>
          <w:szCs w:val="21"/>
        </w:rPr>
        <w:t>、</w:t>
      </w:r>
      <w:r>
        <w:rPr>
          <w:kern w:val="0"/>
          <w:szCs w:val="21"/>
        </w:rPr>
        <w:t>分级与包装</w:t>
      </w:r>
      <w:r>
        <w:rPr>
          <w:rFonts w:hint="eastAsia"/>
          <w:kern w:val="0"/>
          <w:szCs w:val="21"/>
        </w:rPr>
        <w:t>、</w:t>
      </w:r>
      <w:r>
        <w:rPr>
          <w:kern w:val="0"/>
          <w:szCs w:val="21"/>
        </w:rPr>
        <w:t>花后管理</w:t>
      </w:r>
      <w:r>
        <w:rPr>
          <w:rFonts w:hint="eastAsia"/>
          <w:kern w:val="0"/>
          <w:szCs w:val="21"/>
        </w:rPr>
        <w:t>、收获、分级、包装与贮藏及生产记录等技术要求</w:t>
      </w:r>
      <w:r>
        <w:rPr>
          <w:kern w:val="0"/>
          <w:szCs w:val="21"/>
        </w:rPr>
        <w:t>。</w:t>
      </w:r>
    </w:p>
    <w:p>
      <w:pPr>
        <w:widowControl/>
        <w:tabs>
          <w:tab w:val="center" w:pos="4201"/>
          <w:tab w:val="right" w:leader="dot" w:pos="9298"/>
        </w:tabs>
        <w:autoSpaceDE w:val="0"/>
        <w:autoSpaceDN w:val="0"/>
        <w:spacing w:line="360" w:lineRule="auto"/>
        <w:ind w:firstLine="420" w:firstLineChars="200"/>
        <w:rPr>
          <w:kern w:val="0"/>
          <w:szCs w:val="21"/>
        </w:rPr>
      </w:pPr>
      <w:r>
        <w:rPr>
          <w:kern w:val="0"/>
          <w:szCs w:val="21"/>
        </w:rPr>
        <w:t>本文件适用于</w:t>
      </w:r>
      <w:r>
        <w:rPr>
          <w:rFonts w:hint="eastAsia"/>
          <w:kern w:val="0"/>
          <w:szCs w:val="21"/>
        </w:rPr>
        <w:t>观、食兼用</w:t>
      </w:r>
      <w:r>
        <w:rPr>
          <w:kern w:val="0"/>
          <w:szCs w:val="21"/>
        </w:rPr>
        <w:t>百合的生产。</w:t>
      </w:r>
    </w:p>
    <w:p>
      <w:pPr>
        <w:widowControl/>
        <w:spacing w:line="360" w:lineRule="auto"/>
        <w:outlineLvl w:val="1"/>
        <w:rPr>
          <w:rFonts w:eastAsia="黑体"/>
          <w:kern w:val="0"/>
          <w:szCs w:val="21"/>
        </w:rPr>
      </w:pPr>
      <w:r>
        <w:rPr>
          <w:rFonts w:eastAsia="黑体"/>
          <w:kern w:val="0"/>
          <w:szCs w:val="21"/>
        </w:rPr>
        <w:t>2  规范性引用文件</w:t>
      </w:r>
    </w:p>
    <w:p>
      <w:pPr>
        <w:widowControl/>
        <w:tabs>
          <w:tab w:val="center" w:pos="4201"/>
          <w:tab w:val="right" w:leader="dot" w:pos="9298"/>
        </w:tabs>
        <w:autoSpaceDE w:val="0"/>
        <w:autoSpaceDN w:val="0"/>
        <w:spacing w:line="360" w:lineRule="auto"/>
        <w:ind w:firstLine="420" w:firstLineChars="200"/>
        <w:rPr>
          <w:rFonts w:eastAsiaTheme="minorEastAsia"/>
          <w:kern w:val="0"/>
          <w:szCs w:val="21"/>
        </w:rPr>
      </w:pPr>
      <w:r>
        <w:rPr>
          <w:rFonts w:eastAsiaTheme="minorEastAsia"/>
          <w:kern w:val="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pPr>
        <w:widowControl/>
        <w:tabs>
          <w:tab w:val="center" w:pos="4201"/>
          <w:tab w:val="right" w:leader="dot" w:pos="9298"/>
        </w:tabs>
        <w:autoSpaceDE w:val="0"/>
        <w:autoSpaceDN w:val="0"/>
        <w:spacing w:line="360" w:lineRule="auto"/>
        <w:ind w:firstLine="420" w:firstLineChars="200"/>
        <w:rPr>
          <w:rFonts w:eastAsiaTheme="minorEastAsia"/>
          <w:color w:val="000000" w:themeColor="text1"/>
          <w:kern w:val="0"/>
          <w:szCs w:val="21"/>
        </w:rPr>
      </w:pPr>
      <w:r>
        <w:rPr>
          <w:rFonts w:eastAsiaTheme="minorEastAsia"/>
          <w:color w:val="000000" w:themeColor="text1"/>
          <w:kern w:val="0"/>
          <w:szCs w:val="21"/>
        </w:rPr>
        <w:t>GB/T 8321.10  农药合理使用准</w:t>
      </w:r>
      <w:r>
        <w:rPr>
          <w:rFonts w:hint="eastAsia" w:ascii="宋体" w:hAnsi="宋体" w:cs="宋体"/>
          <w:color w:val="000000" w:themeColor="text1"/>
          <w:kern w:val="0"/>
          <w:szCs w:val="21"/>
        </w:rPr>
        <w:t>则</w:t>
      </w:r>
      <w:r>
        <w:rPr>
          <w:rFonts w:hint="eastAsia" w:asciiTheme="minorEastAsia" w:hAnsiTheme="minorEastAsia" w:eastAsiaTheme="minorEastAsia" w:cstheme="minorEastAsia"/>
          <w:color w:val="000000" w:themeColor="text1"/>
          <w:kern w:val="0"/>
          <w:szCs w:val="21"/>
        </w:rPr>
        <w:t>(十)</w:t>
      </w:r>
      <w:r>
        <w:rPr>
          <w:rFonts w:hint="eastAsia" w:eastAsiaTheme="minorEastAsia"/>
          <w:color w:val="000000" w:themeColor="text1"/>
          <w:kern w:val="0"/>
          <w:szCs w:val="21"/>
        </w:rPr>
        <w:t xml:space="preserve"> </w:t>
      </w:r>
    </w:p>
    <w:p>
      <w:pPr>
        <w:widowControl/>
        <w:tabs>
          <w:tab w:val="center" w:pos="4201"/>
          <w:tab w:val="right" w:leader="dot" w:pos="9298"/>
        </w:tabs>
        <w:autoSpaceDE w:val="0"/>
        <w:autoSpaceDN w:val="0"/>
        <w:spacing w:line="360" w:lineRule="auto"/>
        <w:ind w:firstLine="420" w:firstLineChars="200"/>
        <w:rPr>
          <w:rFonts w:eastAsiaTheme="minorEastAsia"/>
          <w:color w:val="000000" w:themeColor="text1"/>
          <w:kern w:val="0"/>
          <w:szCs w:val="21"/>
        </w:rPr>
      </w:pPr>
      <w:r>
        <w:rPr>
          <w:rFonts w:eastAsiaTheme="minorEastAsia"/>
          <w:color w:val="000000" w:themeColor="text1"/>
          <w:kern w:val="0"/>
          <w:szCs w:val="21"/>
        </w:rPr>
        <w:t>GB/T18247.1  主要花卉产品等级  第1部分：鲜切花</w:t>
      </w:r>
    </w:p>
    <w:p>
      <w:pPr>
        <w:widowControl/>
        <w:tabs>
          <w:tab w:val="center" w:pos="4201"/>
          <w:tab w:val="right" w:leader="dot" w:pos="9298"/>
        </w:tabs>
        <w:autoSpaceDE w:val="0"/>
        <w:autoSpaceDN w:val="0"/>
        <w:spacing w:line="360" w:lineRule="auto"/>
        <w:ind w:firstLine="420" w:firstLineChars="200"/>
        <w:rPr>
          <w:rFonts w:eastAsiaTheme="minorEastAsia"/>
          <w:color w:val="000000" w:themeColor="text1"/>
          <w:kern w:val="0"/>
          <w:szCs w:val="21"/>
        </w:rPr>
      </w:pPr>
      <w:r>
        <w:rPr>
          <w:rFonts w:eastAsiaTheme="minorEastAsia"/>
          <w:color w:val="000000" w:themeColor="text1"/>
          <w:kern w:val="0"/>
          <w:szCs w:val="21"/>
        </w:rPr>
        <w:t>GB/T18247.6  主要花卉产品等级  第6部分：花卉种球</w:t>
      </w:r>
    </w:p>
    <w:p>
      <w:pPr>
        <w:widowControl/>
        <w:tabs>
          <w:tab w:val="center" w:pos="4201"/>
          <w:tab w:val="right" w:leader="dot" w:pos="9298"/>
        </w:tabs>
        <w:autoSpaceDE w:val="0"/>
        <w:autoSpaceDN w:val="0"/>
        <w:spacing w:line="360" w:lineRule="auto"/>
        <w:ind w:firstLine="420" w:firstLineChars="200"/>
        <w:rPr>
          <w:rFonts w:eastAsiaTheme="minorEastAsia"/>
          <w:color w:val="000000" w:themeColor="text1"/>
          <w:kern w:val="0"/>
          <w:szCs w:val="21"/>
        </w:rPr>
      </w:pPr>
      <w:r>
        <w:rPr>
          <w:rFonts w:eastAsiaTheme="minorEastAsia"/>
          <w:color w:val="000000" w:themeColor="text1"/>
          <w:kern w:val="0"/>
          <w:szCs w:val="21"/>
        </w:rPr>
        <w:t>NY/T 391  绿色食品 产地环境质量</w:t>
      </w:r>
    </w:p>
    <w:p>
      <w:pPr>
        <w:widowControl/>
        <w:tabs>
          <w:tab w:val="center" w:pos="4201"/>
          <w:tab w:val="right" w:leader="dot" w:pos="9298"/>
        </w:tabs>
        <w:autoSpaceDE w:val="0"/>
        <w:autoSpaceDN w:val="0"/>
        <w:spacing w:line="360" w:lineRule="auto"/>
        <w:ind w:firstLine="420" w:firstLineChars="200"/>
        <w:rPr>
          <w:rFonts w:eastAsiaTheme="minorEastAsia"/>
          <w:color w:val="000000" w:themeColor="text1"/>
          <w:kern w:val="0"/>
          <w:szCs w:val="21"/>
        </w:rPr>
      </w:pPr>
      <w:r>
        <w:rPr>
          <w:rFonts w:eastAsiaTheme="minorEastAsia"/>
          <w:color w:val="000000" w:themeColor="text1"/>
          <w:kern w:val="0"/>
          <w:szCs w:val="21"/>
        </w:rPr>
        <w:t>NY/T 394</w:t>
      </w:r>
      <w:r>
        <w:rPr>
          <w:rFonts w:hint="eastAsia" w:eastAsiaTheme="minorEastAsia"/>
          <w:color w:val="000000" w:themeColor="text1"/>
          <w:kern w:val="0"/>
          <w:szCs w:val="21"/>
        </w:rPr>
        <w:t xml:space="preserve"> </w:t>
      </w:r>
      <w:r>
        <w:rPr>
          <w:rFonts w:eastAsiaTheme="minorEastAsia"/>
          <w:color w:val="000000" w:themeColor="text1"/>
          <w:kern w:val="0"/>
          <w:szCs w:val="21"/>
        </w:rPr>
        <w:t xml:space="preserve"> 绿色食品 肥料使用准则</w:t>
      </w:r>
    </w:p>
    <w:p>
      <w:pPr>
        <w:widowControl/>
        <w:tabs>
          <w:tab w:val="center" w:pos="4201"/>
          <w:tab w:val="right" w:leader="dot" w:pos="9298"/>
        </w:tabs>
        <w:autoSpaceDE w:val="0"/>
        <w:autoSpaceDN w:val="0"/>
        <w:spacing w:line="360" w:lineRule="auto"/>
        <w:ind w:firstLine="420" w:firstLineChars="200"/>
        <w:rPr>
          <w:rFonts w:eastAsiaTheme="minorEastAsia"/>
          <w:color w:val="000000" w:themeColor="text1"/>
          <w:kern w:val="0"/>
          <w:szCs w:val="21"/>
        </w:rPr>
      </w:pPr>
      <w:r>
        <w:rPr>
          <w:rFonts w:eastAsiaTheme="minorEastAsia"/>
          <w:color w:val="000000" w:themeColor="text1"/>
          <w:kern w:val="0"/>
          <w:szCs w:val="21"/>
        </w:rPr>
        <w:t>NY/T 5010  无公害农产品 种植业产地环境条件</w:t>
      </w:r>
    </w:p>
    <w:p>
      <w:pPr>
        <w:widowControl/>
        <w:tabs>
          <w:tab w:val="center" w:pos="4201"/>
          <w:tab w:val="right" w:leader="dot" w:pos="9298"/>
        </w:tabs>
        <w:autoSpaceDE w:val="0"/>
        <w:autoSpaceDN w:val="0"/>
        <w:spacing w:line="360" w:lineRule="auto"/>
        <w:ind w:firstLine="420" w:firstLineChars="200"/>
        <w:rPr>
          <w:rFonts w:eastAsiaTheme="minorEastAsia"/>
          <w:color w:val="000000" w:themeColor="text1"/>
          <w:kern w:val="0"/>
          <w:szCs w:val="21"/>
        </w:rPr>
      </w:pPr>
      <w:r>
        <w:rPr>
          <w:color w:val="000000" w:themeColor="text1"/>
          <w:szCs w:val="21"/>
        </w:rPr>
        <w:t>DB32/T 2742  切花百合日光温室栽培技术规程</w:t>
      </w:r>
    </w:p>
    <w:p>
      <w:pPr>
        <w:widowControl/>
        <w:spacing w:line="360" w:lineRule="auto"/>
        <w:outlineLvl w:val="1"/>
        <w:rPr>
          <w:rFonts w:eastAsia="黑体"/>
          <w:kern w:val="0"/>
          <w:szCs w:val="21"/>
        </w:rPr>
      </w:pPr>
      <w:r>
        <w:rPr>
          <w:rFonts w:eastAsia="黑体"/>
          <w:kern w:val="0"/>
          <w:szCs w:val="21"/>
        </w:rPr>
        <w:t>3  术语和定义</w:t>
      </w:r>
    </w:p>
    <w:p>
      <w:pPr>
        <w:widowControl/>
        <w:tabs>
          <w:tab w:val="center" w:pos="4201"/>
          <w:tab w:val="right" w:leader="dot" w:pos="9298"/>
        </w:tabs>
        <w:autoSpaceDE w:val="0"/>
        <w:autoSpaceDN w:val="0"/>
        <w:spacing w:line="360" w:lineRule="auto"/>
        <w:ind w:firstLine="420" w:firstLineChars="200"/>
        <w:rPr>
          <w:kern w:val="0"/>
          <w:szCs w:val="21"/>
        </w:rPr>
      </w:pPr>
      <w:r>
        <w:rPr>
          <w:kern w:val="0"/>
          <w:szCs w:val="21"/>
        </w:rPr>
        <w:t>下列术语和定义适用于本文件。</w:t>
      </w:r>
    </w:p>
    <w:p>
      <w:pPr>
        <w:widowControl/>
        <w:numPr>
          <w:ilvl w:val="1"/>
          <w:numId w:val="0"/>
        </w:numPr>
        <w:spacing w:line="360" w:lineRule="auto"/>
        <w:jc w:val="left"/>
        <w:outlineLvl w:val="2"/>
        <w:rPr>
          <w:rFonts w:eastAsia="黑体"/>
          <w:kern w:val="0"/>
          <w:szCs w:val="21"/>
        </w:rPr>
      </w:pPr>
      <w:r>
        <w:rPr>
          <w:rFonts w:eastAsia="黑体"/>
          <w:kern w:val="0"/>
          <w:szCs w:val="21"/>
        </w:rPr>
        <w:t xml:space="preserve">3.1  </w:t>
      </w:r>
    </w:p>
    <w:p>
      <w:pPr>
        <w:widowControl/>
        <w:numPr>
          <w:ilvl w:val="1"/>
          <w:numId w:val="0"/>
        </w:numPr>
        <w:spacing w:line="360" w:lineRule="auto"/>
        <w:ind w:firstLine="420" w:firstLineChars="200"/>
        <w:jc w:val="left"/>
        <w:outlineLvl w:val="2"/>
        <w:rPr>
          <w:rFonts w:eastAsia="黑体"/>
          <w:kern w:val="0"/>
          <w:szCs w:val="21"/>
        </w:rPr>
      </w:pPr>
      <w:r>
        <w:rPr>
          <w:rFonts w:hint="eastAsia" w:eastAsia="黑体"/>
          <w:kern w:val="0"/>
          <w:szCs w:val="21"/>
        </w:rPr>
        <w:t>观、食兼用</w:t>
      </w:r>
      <w:r>
        <w:rPr>
          <w:rFonts w:eastAsia="黑体"/>
          <w:kern w:val="0"/>
          <w:szCs w:val="21"/>
        </w:rPr>
        <w:t xml:space="preserve">百合  </w:t>
      </w:r>
      <w:r>
        <w:rPr>
          <w:rFonts w:hint="eastAsia" w:ascii="黑体" w:hAnsi="黑体" w:eastAsia="黑体"/>
          <w:kern w:val="0"/>
          <w:szCs w:val="21"/>
        </w:rPr>
        <w:t>L</w:t>
      </w:r>
      <w:r>
        <w:rPr>
          <w:rFonts w:ascii="黑体" w:hAnsi="黑体" w:eastAsia="黑体"/>
          <w:kern w:val="0"/>
          <w:szCs w:val="21"/>
        </w:rPr>
        <w:t>ily for visual and edible</w:t>
      </w:r>
    </w:p>
    <w:p>
      <w:pPr>
        <w:widowControl/>
        <w:tabs>
          <w:tab w:val="center" w:pos="4201"/>
          <w:tab w:val="right" w:leader="dot" w:pos="9298"/>
        </w:tabs>
        <w:autoSpaceDE w:val="0"/>
        <w:autoSpaceDN w:val="0"/>
        <w:spacing w:line="360" w:lineRule="auto"/>
        <w:ind w:firstLine="420" w:firstLineChars="200"/>
        <w:rPr>
          <w:rFonts w:eastAsiaTheme="minorEastAsia"/>
          <w:kern w:val="0"/>
          <w:szCs w:val="21"/>
        </w:rPr>
      </w:pPr>
      <w:r>
        <w:rPr>
          <w:rFonts w:eastAsiaTheme="minorEastAsia"/>
          <w:kern w:val="0"/>
          <w:szCs w:val="21"/>
        </w:rPr>
        <w:t>百合科百合属（</w:t>
      </w:r>
      <w:r>
        <w:rPr>
          <w:rFonts w:eastAsiaTheme="minorEastAsia"/>
          <w:i/>
          <w:iCs/>
          <w:kern w:val="0"/>
          <w:szCs w:val="21"/>
        </w:rPr>
        <w:t>Lilium L.</w:t>
      </w:r>
      <w:r>
        <w:rPr>
          <w:rFonts w:eastAsiaTheme="minorEastAsia"/>
          <w:kern w:val="0"/>
          <w:szCs w:val="21"/>
        </w:rPr>
        <w:t>）中观赏价值较高且抗性强，经过食用性评价，可作为食品开发应用的种类或品种。</w:t>
      </w:r>
    </w:p>
    <w:p>
      <w:pPr>
        <w:widowControl/>
        <w:spacing w:line="360" w:lineRule="auto"/>
        <w:jc w:val="left"/>
        <w:outlineLvl w:val="2"/>
        <w:rPr>
          <w:rFonts w:eastAsia="黑体"/>
          <w:kern w:val="0"/>
          <w:szCs w:val="21"/>
        </w:rPr>
      </w:pPr>
      <w:r>
        <w:rPr>
          <w:rFonts w:eastAsia="黑体"/>
          <w:kern w:val="0"/>
          <w:szCs w:val="21"/>
        </w:rPr>
        <w:t>4  土壤选择</w:t>
      </w:r>
    </w:p>
    <w:p>
      <w:pPr>
        <w:widowControl/>
        <w:tabs>
          <w:tab w:val="center" w:pos="4201"/>
          <w:tab w:val="right" w:leader="dot" w:pos="9298"/>
        </w:tabs>
        <w:autoSpaceDE w:val="0"/>
        <w:autoSpaceDN w:val="0"/>
        <w:spacing w:line="360" w:lineRule="auto"/>
        <w:ind w:firstLine="420" w:firstLineChars="200"/>
        <w:rPr>
          <w:rFonts w:eastAsiaTheme="minorEastAsia"/>
          <w:kern w:val="0"/>
          <w:szCs w:val="21"/>
        </w:rPr>
      </w:pPr>
      <w:r>
        <w:rPr>
          <w:rFonts w:eastAsiaTheme="minorEastAsia"/>
          <w:kern w:val="0"/>
          <w:szCs w:val="21"/>
        </w:rPr>
        <w:t>选择3 年内前茬未种过百合科作物、马铃薯等根（块）茎类作物的地块，土层厚度</w:t>
      </w:r>
      <w:r>
        <w:rPr>
          <w:rFonts w:hint="eastAsia" w:eastAsiaTheme="minorEastAsia"/>
          <w:kern w:val="0"/>
          <w:szCs w:val="21"/>
        </w:rPr>
        <w:t>≥</w:t>
      </w:r>
      <w:r>
        <w:rPr>
          <w:rFonts w:eastAsiaTheme="minorEastAsia"/>
          <w:kern w:val="0"/>
          <w:szCs w:val="21"/>
        </w:rPr>
        <w:t>25 cm，土壤和灌溉水pH值5.5～7.0，土壤EC值不超过1ms/cm，</w:t>
      </w:r>
      <w:r>
        <w:rPr>
          <w:rFonts w:hint="eastAsia" w:eastAsiaTheme="minorEastAsia"/>
          <w:kern w:val="0"/>
          <w:szCs w:val="21"/>
        </w:rPr>
        <w:t>排水良好的沙性壤土</w:t>
      </w:r>
      <w:r>
        <w:rPr>
          <w:rFonts w:eastAsiaTheme="minorEastAsia"/>
          <w:kern w:val="0"/>
          <w:szCs w:val="21"/>
        </w:rPr>
        <w:t>。产地中的土壤、水分、空气等环境质量应符合NY/T 391</w:t>
      </w:r>
      <w:r>
        <w:t>和</w:t>
      </w:r>
      <w:r>
        <w:rPr>
          <w:rFonts w:eastAsiaTheme="minorEastAsia"/>
          <w:kern w:val="0"/>
          <w:szCs w:val="21"/>
        </w:rPr>
        <w:t>NY/T 5010的规定。</w:t>
      </w:r>
    </w:p>
    <w:p>
      <w:pPr>
        <w:widowControl/>
        <w:spacing w:line="360" w:lineRule="auto"/>
        <w:jc w:val="left"/>
        <w:outlineLvl w:val="2"/>
        <w:rPr>
          <w:rFonts w:eastAsia="黑体"/>
          <w:kern w:val="0"/>
          <w:szCs w:val="21"/>
        </w:rPr>
      </w:pPr>
      <w:r>
        <w:rPr>
          <w:rFonts w:eastAsia="黑体"/>
          <w:kern w:val="0"/>
          <w:szCs w:val="21"/>
        </w:rPr>
        <w:t>5  种球选择</w:t>
      </w:r>
    </w:p>
    <w:p>
      <w:pPr>
        <w:widowControl/>
        <w:numPr>
          <w:ilvl w:val="1"/>
          <w:numId w:val="0"/>
        </w:numPr>
        <w:spacing w:line="360" w:lineRule="auto"/>
        <w:jc w:val="left"/>
        <w:outlineLvl w:val="2"/>
        <w:rPr>
          <w:rFonts w:eastAsia="黑体"/>
          <w:kern w:val="0"/>
          <w:szCs w:val="21"/>
        </w:rPr>
      </w:pPr>
      <w:r>
        <w:rPr>
          <w:rFonts w:eastAsia="黑体"/>
          <w:kern w:val="0"/>
          <w:szCs w:val="21"/>
        </w:rPr>
        <w:t>5.1  品种选择</w:t>
      </w:r>
    </w:p>
    <w:p>
      <w:pPr>
        <w:widowControl/>
        <w:tabs>
          <w:tab w:val="center" w:pos="4201"/>
          <w:tab w:val="right" w:leader="dot" w:pos="9298"/>
        </w:tabs>
        <w:autoSpaceDE w:val="0"/>
        <w:autoSpaceDN w:val="0"/>
        <w:spacing w:line="360" w:lineRule="auto"/>
        <w:ind w:left="283" w:firstLine="210" w:firstLineChars="100"/>
        <w:rPr>
          <w:rFonts w:eastAsia="黑体"/>
          <w:color w:val="FF0000"/>
          <w:kern w:val="0"/>
          <w:szCs w:val="21"/>
        </w:rPr>
      </w:pPr>
      <w:r>
        <w:rPr>
          <w:rFonts w:hint="eastAsia"/>
          <w:kern w:val="0"/>
          <w:szCs w:val="21"/>
        </w:rPr>
        <w:t>观、食兼用</w:t>
      </w:r>
      <w:r>
        <w:rPr>
          <w:kern w:val="0"/>
          <w:szCs w:val="21"/>
        </w:rPr>
        <w:t>百合品种。如‘连合’‘丹蝶’</w:t>
      </w:r>
      <w:r>
        <w:rPr>
          <w:rFonts w:hint="eastAsia"/>
          <w:kern w:val="0"/>
          <w:szCs w:val="21"/>
        </w:rPr>
        <w:t>‘宜兴百合’</w:t>
      </w:r>
      <w:r>
        <w:rPr>
          <w:kern w:val="0"/>
          <w:szCs w:val="21"/>
        </w:rPr>
        <w:t>等。</w:t>
      </w:r>
    </w:p>
    <w:p>
      <w:pPr>
        <w:widowControl/>
        <w:numPr>
          <w:ilvl w:val="1"/>
          <w:numId w:val="0"/>
        </w:numPr>
        <w:spacing w:line="360" w:lineRule="auto"/>
        <w:jc w:val="left"/>
        <w:outlineLvl w:val="2"/>
        <w:rPr>
          <w:rFonts w:eastAsia="黑体"/>
          <w:kern w:val="0"/>
          <w:szCs w:val="21"/>
        </w:rPr>
      </w:pPr>
      <w:r>
        <w:rPr>
          <w:rFonts w:eastAsia="黑体"/>
          <w:kern w:val="0"/>
          <w:szCs w:val="21"/>
        </w:rPr>
        <w:t>5.2  生产</w:t>
      </w:r>
      <w:r>
        <w:rPr>
          <w:rFonts w:hint="eastAsia" w:eastAsia="黑体"/>
          <w:kern w:val="0"/>
          <w:szCs w:val="21"/>
        </w:rPr>
        <w:t>种球</w:t>
      </w:r>
      <w:r>
        <w:rPr>
          <w:rFonts w:eastAsia="黑体"/>
          <w:kern w:val="0"/>
          <w:szCs w:val="21"/>
        </w:rPr>
        <w:t>选择</w:t>
      </w:r>
    </w:p>
    <w:p>
      <w:pPr>
        <w:widowControl/>
        <w:tabs>
          <w:tab w:val="center" w:pos="4201"/>
          <w:tab w:val="right" w:leader="dot" w:pos="9298"/>
        </w:tabs>
        <w:autoSpaceDE w:val="0"/>
        <w:autoSpaceDN w:val="0"/>
        <w:spacing w:line="360" w:lineRule="auto"/>
        <w:ind w:firstLine="420" w:firstLineChars="200"/>
        <w:rPr>
          <w:rFonts w:eastAsiaTheme="minorEastAsia"/>
          <w:kern w:val="0"/>
          <w:szCs w:val="21"/>
        </w:rPr>
      </w:pPr>
      <w:r>
        <w:rPr>
          <w:rFonts w:eastAsiaTheme="minorEastAsia"/>
          <w:kern w:val="0"/>
          <w:szCs w:val="21"/>
        </w:rPr>
        <w:t>选择根系健壮、鳞茎盘完好、鳞片饱满、抱合紧密、无病虫、无腐烂片、无机械损伤、单球周径</w:t>
      </w:r>
      <w:r>
        <w:rPr>
          <w:rFonts w:hint="eastAsia"/>
          <w:kern w:val="0"/>
          <w:szCs w:val="21"/>
        </w:rPr>
        <w:t>≥</w:t>
      </w:r>
      <w:r>
        <w:rPr>
          <w:rFonts w:eastAsiaTheme="minorEastAsia"/>
          <w:kern w:val="0"/>
          <w:szCs w:val="21"/>
        </w:rPr>
        <w:t>12</w:t>
      </w:r>
      <w:r>
        <w:rPr>
          <w:rFonts w:hint="eastAsia" w:eastAsiaTheme="minorEastAsia"/>
          <w:kern w:val="0"/>
          <w:szCs w:val="21"/>
        </w:rPr>
        <w:t xml:space="preserve"> </w:t>
      </w:r>
      <w:r>
        <w:rPr>
          <w:rFonts w:eastAsiaTheme="minorEastAsia"/>
          <w:kern w:val="0"/>
          <w:szCs w:val="21"/>
        </w:rPr>
        <w:t>cm</w:t>
      </w:r>
      <w:r>
        <w:rPr>
          <w:rFonts w:hint="eastAsia" w:eastAsiaTheme="minorEastAsia"/>
          <w:kern w:val="0"/>
          <w:szCs w:val="21"/>
        </w:rPr>
        <w:t xml:space="preserve"> </w:t>
      </w:r>
      <w:r>
        <w:rPr>
          <w:rFonts w:eastAsiaTheme="minorEastAsia"/>
          <w:kern w:val="0"/>
          <w:szCs w:val="21"/>
        </w:rPr>
        <w:t>的百合鳞茎，</w:t>
      </w:r>
      <w:r>
        <w:rPr>
          <w:rFonts w:hint="eastAsia" w:eastAsiaTheme="minorEastAsia"/>
          <w:kern w:val="0"/>
          <w:szCs w:val="21"/>
        </w:rPr>
        <w:t>经2</w:t>
      </w:r>
      <w:r>
        <w:rPr>
          <w:rFonts w:eastAsiaTheme="minorEastAsia"/>
          <w:kern w:val="0"/>
          <w:szCs w:val="21"/>
        </w:rPr>
        <w:t xml:space="preserve"> ℃～</w:t>
      </w:r>
      <w:r>
        <w:rPr>
          <w:rFonts w:hint="eastAsia" w:eastAsiaTheme="minorEastAsia"/>
          <w:kern w:val="0"/>
          <w:szCs w:val="21"/>
        </w:rPr>
        <w:t xml:space="preserve">4 </w:t>
      </w:r>
      <w:r>
        <w:rPr>
          <w:rFonts w:eastAsiaTheme="minorEastAsia"/>
          <w:kern w:val="0"/>
          <w:szCs w:val="21"/>
        </w:rPr>
        <w:t>℃</w:t>
      </w:r>
      <w:r>
        <w:rPr>
          <w:rFonts w:hint="eastAsia" w:eastAsiaTheme="minorEastAsia"/>
          <w:kern w:val="0"/>
          <w:szCs w:val="21"/>
        </w:rPr>
        <w:t xml:space="preserve"> </w:t>
      </w:r>
      <w:r>
        <w:rPr>
          <w:rFonts w:eastAsiaTheme="minorEastAsia"/>
          <w:kern w:val="0"/>
          <w:szCs w:val="21"/>
        </w:rPr>
        <w:t>低温</w:t>
      </w:r>
      <w:r>
        <w:rPr>
          <w:rFonts w:hint="eastAsia" w:eastAsiaTheme="minorEastAsia"/>
          <w:kern w:val="0"/>
          <w:szCs w:val="21"/>
        </w:rPr>
        <w:t>处理50d以上</w:t>
      </w:r>
      <w:r>
        <w:rPr>
          <w:rFonts w:eastAsiaTheme="minorEastAsia"/>
          <w:kern w:val="0"/>
          <w:szCs w:val="21"/>
        </w:rPr>
        <w:t>作</w:t>
      </w:r>
      <w:r>
        <w:rPr>
          <w:rFonts w:hint="eastAsia" w:eastAsiaTheme="minorEastAsia"/>
          <w:kern w:val="0"/>
          <w:szCs w:val="21"/>
        </w:rPr>
        <w:t>为</w:t>
      </w:r>
      <w:r>
        <w:rPr>
          <w:rFonts w:eastAsiaTheme="minorEastAsia"/>
          <w:kern w:val="0"/>
          <w:szCs w:val="21"/>
        </w:rPr>
        <w:t>生产</w:t>
      </w:r>
      <w:r>
        <w:rPr>
          <w:rFonts w:hint="eastAsia" w:eastAsiaTheme="minorEastAsia"/>
          <w:kern w:val="0"/>
          <w:szCs w:val="21"/>
        </w:rPr>
        <w:t>种球</w:t>
      </w:r>
      <w:r>
        <w:rPr>
          <w:rFonts w:eastAsiaTheme="minorEastAsia"/>
          <w:kern w:val="0"/>
          <w:szCs w:val="21"/>
        </w:rPr>
        <w:t>。</w:t>
      </w:r>
    </w:p>
    <w:p>
      <w:pPr>
        <w:widowControl/>
        <w:spacing w:line="360" w:lineRule="auto"/>
        <w:jc w:val="left"/>
        <w:outlineLvl w:val="1"/>
        <w:rPr>
          <w:rFonts w:eastAsia="黑体"/>
          <w:kern w:val="0"/>
          <w:szCs w:val="21"/>
        </w:rPr>
      </w:pPr>
      <w:bookmarkStart w:id="27" w:name="_Toc492393345"/>
      <w:r>
        <w:rPr>
          <w:rFonts w:eastAsia="黑体"/>
          <w:kern w:val="0"/>
          <w:szCs w:val="21"/>
        </w:rPr>
        <w:t>6  定植</w:t>
      </w:r>
      <w:bookmarkEnd w:id="27"/>
      <w:bookmarkStart w:id="28" w:name="_Toc492393346"/>
    </w:p>
    <w:p>
      <w:pPr>
        <w:widowControl/>
        <w:spacing w:line="360" w:lineRule="auto"/>
        <w:jc w:val="left"/>
        <w:outlineLvl w:val="1"/>
        <w:rPr>
          <w:rFonts w:eastAsia="黑体"/>
          <w:kern w:val="0"/>
          <w:szCs w:val="21"/>
        </w:rPr>
      </w:pPr>
      <w:r>
        <w:rPr>
          <w:rFonts w:eastAsia="黑体"/>
          <w:kern w:val="0"/>
          <w:szCs w:val="21"/>
        </w:rPr>
        <w:t>6.1  定植前准备</w:t>
      </w:r>
    </w:p>
    <w:bookmarkEnd w:id="28"/>
    <w:p>
      <w:pPr>
        <w:widowControl/>
        <w:numPr>
          <w:ilvl w:val="1"/>
          <w:numId w:val="0"/>
        </w:numPr>
        <w:spacing w:line="360" w:lineRule="auto"/>
        <w:jc w:val="left"/>
        <w:outlineLvl w:val="2"/>
        <w:rPr>
          <w:rFonts w:eastAsia="黑体"/>
          <w:kern w:val="0"/>
          <w:szCs w:val="21"/>
        </w:rPr>
      </w:pPr>
      <w:r>
        <w:rPr>
          <w:rFonts w:eastAsia="黑体"/>
          <w:kern w:val="0"/>
          <w:szCs w:val="21"/>
        </w:rPr>
        <w:t>6.1.1  施基肥</w:t>
      </w:r>
    </w:p>
    <w:p>
      <w:pPr>
        <w:widowControl/>
        <w:tabs>
          <w:tab w:val="center" w:pos="4201"/>
          <w:tab w:val="right" w:leader="dot" w:pos="9298"/>
        </w:tabs>
        <w:autoSpaceDE w:val="0"/>
        <w:autoSpaceDN w:val="0"/>
        <w:spacing w:line="360" w:lineRule="auto"/>
        <w:ind w:firstLine="420" w:firstLineChars="200"/>
        <w:rPr>
          <w:rFonts w:eastAsiaTheme="minorEastAsia"/>
          <w:kern w:val="0"/>
          <w:szCs w:val="21"/>
        </w:rPr>
      </w:pPr>
      <w:r>
        <w:rPr>
          <w:rFonts w:eastAsiaTheme="minorEastAsia"/>
          <w:kern w:val="0"/>
          <w:szCs w:val="21"/>
        </w:rPr>
        <w:t xml:space="preserve">每667 ㎡施腐熟有机肥2000 kg～2500 kg </w:t>
      </w:r>
      <w:r>
        <w:rPr>
          <w:rFonts w:hint="eastAsia" w:eastAsiaTheme="minorEastAsia"/>
          <w:kern w:val="0"/>
          <w:szCs w:val="21"/>
        </w:rPr>
        <w:t>（</w:t>
      </w:r>
      <w:r>
        <w:rPr>
          <w:rFonts w:eastAsiaTheme="minorEastAsia"/>
          <w:kern w:val="0"/>
          <w:szCs w:val="21"/>
        </w:rPr>
        <w:t>或饼肥100 kg</w:t>
      </w:r>
      <w:r>
        <w:rPr>
          <w:rFonts w:hint="eastAsia" w:eastAsiaTheme="minorEastAsia"/>
          <w:kern w:val="0"/>
          <w:szCs w:val="21"/>
        </w:rPr>
        <w:t>）</w:t>
      </w:r>
      <w:r>
        <w:rPr>
          <w:rFonts w:eastAsiaTheme="minorEastAsia"/>
          <w:kern w:val="0"/>
          <w:szCs w:val="21"/>
        </w:rPr>
        <w:t>，氮磷钾15-15-15 复合肥30 kg～50 kg。施肥应符合NY/T 394规定。</w:t>
      </w:r>
    </w:p>
    <w:p>
      <w:pPr>
        <w:widowControl/>
        <w:numPr>
          <w:ilvl w:val="5"/>
          <w:numId w:val="0"/>
        </w:numPr>
        <w:spacing w:line="360" w:lineRule="auto"/>
        <w:jc w:val="left"/>
        <w:outlineLvl w:val="6"/>
        <w:rPr>
          <w:kern w:val="0"/>
          <w:szCs w:val="21"/>
        </w:rPr>
      </w:pPr>
      <w:r>
        <w:rPr>
          <w:rFonts w:eastAsia="黑体"/>
          <w:kern w:val="0"/>
          <w:szCs w:val="21"/>
        </w:rPr>
        <w:t>6.1.2</w:t>
      </w:r>
      <w:r>
        <w:rPr>
          <w:kern w:val="0"/>
          <w:szCs w:val="21"/>
        </w:rPr>
        <w:t xml:space="preserve">  </w:t>
      </w:r>
      <w:r>
        <w:rPr>
          <w:rFonts w:eastAsia="黑体"/>
          <w:kern w:val="0"/>
          <w:szCs w:val="21"/>
        </w:rPr>
        <w:t>土壤消毒</w:t>
      </w:r>
    </w:p>
    <w:p>
      <w:pPr>
        <w:widowControl/>
        <w:tabs>
          <w:tab w:val="center" w:pos="4201"/>
          <w:tab w:val="right" w:leader="dot" w:pos="9298"/>
        </w:tabs>
        <w:autoSpaceDE w:val="0"/>
        <w:autoSpaceDN w:val="0"/>
        <w:spacing w:line="360" w:lineRule="auto"/>
        <w:ind w:firstLine="420" w:firstLineChars="200"/>
        <w:rPr>
          <w:rFonts w:eastAsiaTheme="minorEastAsia"/>
          <w:kern w:val="0"/>
          <w:szCs w:val="21"/>
        </w:rPr>
      </w:pPr>
      <w:r>
        <w:rPr>
          <w:rFonts w:hint="eastAsia" w:eastAsiaTheme="minorEastAsia"/>
          <w:kern w:val="0"/>
          <w:szCs w:val="21"/>
        </w:rPr>
        <w:t>对于连作土壤</w:t>
      </w:r>
      <w:r>
        <w:rPr>
          <w:rFonts w:eastAsiaTheme="minorEastAsia"/>
          <w:kern w:val="0"/>
          <w:szCs w:val="21"/>
        </w:rPr>
        <w:t>，翻地前每667 ㎡ 用生石灰</w:t>
      </w:r>
      <w:r>
        <w:rPr>
          <w:rFonts w:hint="eastAsia" w:eastAsiaTheme="minorEastAsia"/>
          <w:kern w:val="0"/>
          <w:szCs w:val="21"/>
        </w:rPr>
        <w:t>3</w:t>
      </w:r>
      <w:r>
        <w:rPr>
          <w:rFonts w:eastAsiaTheme="minorEastAsia"/>
          <w:kern w:val="0"/>
          <w:szCs w:val="21"/>
        </w:rPr>
        <w:t>0 kg～</w:t>
      </w:r>
      <w:r>
        <w:rPr>
          <w:rFonts w:hint="eastAsia" w:eastAsiaTheme="minorEastAsia"/>
          <w:kern w:val="0"/>
          <w:szCs w:val="21"/>
        </w:rPr>
        <w:t>4</w:t>
      </w:r>
      <w:r>
        <w:rPr>
          <w:rFonts w:eastAsiaTheme="minorEastAsia"/>
          <w:kern w:val="0"/>
          <w:szCs w:val="21"/>
        </w:rPr>
        <w:t>0 kg，或棉隆</w:t>
      </w:r>
      <w:r>
        <w:rPr>
          <w:rFonts w:hint="eastAsia" w:eastAsiaTheme="minorEastAsia"/>
          <w:kern w:val="0"/>
          <w:szCs w:val="21"/>
        </w:rPr>
        <w:t>20</w:t>
      </w:r>
      <w:r>
        <w:rPr>
          <w:rFonts w:eastAsiaTheme="minorEastAsia"/>
          <w:kern w:val="0"/>
          <w:szCs w:val="21"/>
        </w:rPr>
        <w:t xml:space="preserve"> kg～25 kg等土壤消毒剂，均匀分撒或喷施到土壤表面，随整地混入土壤中杀虫灭菌</w:t>
      </w:r>
      <w:r>
        <w:rPr>
          <w:rFonts w:hint="eastAsia" w:eastAsiaTheme="minorEastAsia"/>
          <w:kern w:val="0"/>
          <w:szCs w:val="21"/>
        </w:rPr>
        <w:t>，</w:t>
      </w:r>
      <w:r>
        <w:rPr>
          <w:rFonts w:eastAsiaTheme="minorEastAsia"/>
          <w:kern w:val="0"/>
          <w:szCs w:val="21"/>
        </w:rPr>
        <w:t>覆盖地膜封闭闷土，土温高于13 ℃ 以上闷土15 d以上，揭膜后晾晒敞气，间隔7 d～10 d，旋耕2遍以上。</w:t>
      </w:r>
    </w:p>
    <w:p>
      <w:pPr>
        <w:widowControl/>
        <w:numPr>
          <w:ilvl w:val="1"/>
          <w:numId w:val="0"/>
        </w:numPr>
        <w:spacing w:line="360" w:lineRule="auto"/>
        <w:jc w:val="left"/>
        <w:outlineLvl w:val="2"/>
        <w:rPr>
          <w:rFonts w:eastAsia="黑体"/>
          <w:kern w:val="0"/>
          <w:szCs w:val="21"/>
        </w:rPr>
      </w:pPr>
      <w:r>
        <w:rPr>
          <w:rFonts w:eastAsia="黑体"/>
          <w:kern w:val="0"/>
          <w:szCs w:val="21"/>
        </w:rPr>
        <w:t>6.1.3  整地做畦</w:t>
      </w:r>
    </w:p>
    <w:p>
      <w:pPr>
        <w:widowControl/>
        <w:tabs>
          <w:tab w:val="center" w:pos="4201"/>
          <w:tab w:val="right" w:leader="dot" w:pos="9298"/>
        </w:tabs>
        <w:autoSpaceDE w:val="0"/>
        <w:autoSpaceDN w:val="0"/>
        <w:spacing w:line="360" w:lineRule="auto"/>
        <w:ind w:firstLine="420" w:firstLineChars="200"/>
        <w:rPr>
          <w:rFonts w:eastAsiaTheme="minorEastAsia"/>
          <w:kern w:val="0"/>
          <w:szCs w:val="21"/>
        </w:rPr>
      </w:pPr>
      <w:r>
        <w:rPr>
          <w:rFonts w:eastAsiaTheme="minorEastAsia"/>
          <w:kern w:val="0"/>
          <w:szCs w:val="21"/>
        </w:rPr>
        <w:t>深翻土壤25 cm以上，整平、耙细做畦。坡地，按照地块条件，沿等高线做畦，畦面宽100 cm～130 cm</w:t>
      </w:r>
      <w:r>
        <w:rPr>
          <w:rFonts w:hint="eastAsia" w:eastAsiaTheme="minorEastAsia"/>
          <w:kern w:val="0"/>
          <w:szCs w:val="21"/>
        </w:rPr>
        <w:t>，</w:t>
      </w:r>
      <w:r>
        <w:rPr>
          <w:rFonts w:eastAsiaTheme="minorEastAsia"/>
          <w:kern w:val="0"/>
          <w:szCs w:val="21"/>
        </w:rPr>
        <w:t>畦高20 cm～25 cm；平地，高畦栽培，畦高20 cm～25 cm，畦面宽100 cm～120 cm，畦沟宽50 cm。</w:t>
      </w:r>
    </w:p>
    <w:p>
      <w:pPr>
        <w:widowControl/>
        <w:numPr>
          <w:ilvl w:val="1"/>
          <w:numId w:val="0"/>
        </w:numPr>
        <w:spacing w:line="360" w:lineRule="auto"/>
        <w:jc w:val="left"/>
        <w:outlineLvl w:val="2"/>
        <w:rPr>
          <w:rFonts w:eastAsia="黑体"/>
          <w:kern w:val="0"/>
          <w:szCs w:val="21"/>
        </w:rPr>
      </w:pPr>
      <w:r>
        <w:rPr>
          <w:rFonts w:eastAsia="黑体"/>
          <w:kern w:val="0"/>
          <w:szCs w:val="21"/>
        </w:rPr>
        <w:t>6.1.4  种球消毒</w:t>
      </w:r>
    </w:p>
    <w:p>
      <w:pPr>
        <w:widowControl/>
        <w:tabs>
          <w:tab w:val="center" w:pos="4201"/>
          <w:tab w:val="right" w:leader="dot" w:pos="9298"/>
        </w:tabs>
        <w:autoSpaceDE w:val="0"/>
        <w:autoSpaceDN w:val="0"/>
        <w:spacing w:line="360" w:lineRule="auto"/>
        <w:ind w:firstLine="420" w:firstLineChars="200"/>
        <w:rPr>
          <w:rFonts w:eastAsiaTheme="minorEastAsia"/>
          <w:kern w:val="0"/>
          <w:szCs w:val="21"/>
        </w:rPr>
      </w:pPr>
      <w:r>
        <w:rPr>
          <w:rFonts w:eastAsiaTheme="minorEastAsia"/>
          <w:kern w:val="0"/>
          <w:szCs w:val="21"/>
        </w:rPr>
        <w:t>种植前，对种球进行灭菌杀虫处理。</w:t>
      </w:r>
      <w:r>
        <w:rPr>
          <w:rFonts w:hint="eastAsia" w:eastAsiaTheme="minorEastAsia"/>
          <w:kern w:val="0"/>
          <w:szCs w:val="21"/>
        </w:rPr>
        <w:t>采用</w:t>
      </w:r>
      <w:r>
        <w:rPr>
          <w:rFonts w:eastAsiaTheme="minorEastAsia"/>
          <w:kern w:val="0"/>
          <w:szCs w:val="21"/>
        </w:rPr>
        <w:t xml:space="preserve">50% 咪鲜胺锰盐1000倍液，添加0.3% </w:t>
      </w:r>
      <w:bookmarkStart w:id="29" w:name="OLE_LINK1"/>
      <w:r>
        <w:rPr>
          <w:rFonts w:eastAsiaTheme="minorEastAsia"/>
          <w:kern w:val="0"/>
          <w:szCs w:val="21"/>
        </w:rPr>
        <w:t>印楝素</w:t>
      </w:r>
      <w:bookmarkEnd w:id="29"/>
      <w:r>
        <w:rPr>
          <w:rFonts w:eastAsiaTheme="minorEastAsia"/>
          <w:kern w:val="0"/>
          <w:szCs w:val="21"/>
        </w:rPr>
        <w:t>500倍液浸泡消毒30 min，后取出晾干。药剂使用应符合GB/T 8321.10-2018的规定。</w:t>
      </w:r>
    </w:p>
    <w:p>
      <w:pPr>
        <w:widowControl/>
        <w:spacing w:line="360" w:lineRule="auto"/>
        <w:outlineLvl w:val="1"/>
        <w:rPr>
          <w:rFonts w:eastAsia="黑体"/>
          <w:kern w:val="0"/>
          <w:szCs w:val="21"/>
        </w:rPr>
      </w:pPr>
      <w:bookmarkStart w:id="30" w:name="_Toc492393349"/>
      <w:r>
        <w:rPr>
          <w:rFonts w:eastAsia="黑体"/>
          <w:kern w:val="0"/>
          <w:szCs w:val="21"/>
        </w:rPr>
        <w:t xml:space="preserve">6.2  </w:t>
      </w:r>
      <w:bookmarkEnd w:id="30"/>
      <w:bookmarkStart w:id="31" w:name="_Toc492393351"/>
      <w:r>
        <w:rPr>
          <w:rFonts w:eastAsia="黑体"/>
          <w:kern w:val="0"/>
          <w:szCs w:val="21"/>
        </w:rPr>
        <w:t>定植</w:t>
      </w:r>
    </w:p>
    <w:p>
      <w:pPr>
        <w:widowControl/>
        <w:spacing w:line="360" w:lineRule="auto"/>
        <w:outlineLvl w:val="1"/>
        <w:rPr>
          <w:rFonts w:eastAsia="黑体"/>
          <w:kern w:val="0"/>
          <w:szCs w:val="21"/>
        </w:rPr>
      </w:pPr>
      <w:r>
        <w:rPr>
          <w:rFonts w:eastAsia="黑体"/>
          <w:kern w:val="0"/>
          <w:szCs w:val="21"/>
        </w:rPr>
        <w:t>6.2.1  定植时间</w:t>
      </w:r>
    </w:p>
    <w:p>
      <w:pPr>
        <w:widowControl/>
        <w:tabs>
          <w:tab w:val="center" w:pos="4201"/>
          <w:tab w:val="right" w:leader="dot" w:pos="9298"/>
        </w:tabs>
        <w:autoSpaceDE w:val="0"/>
        <w:autoSpaceDN w:val="0"/>
        <w:spacing w:line="360" w:lineRule="auto"/>
        <w:ind w:firstLine="420" w:firstLineChars="200"/>
        <w:rPr>
          <w:rFonts w:eastAsiaTheme="minorEastAsia"/>
          <w:kern w:val="0"/>
          <w:szCs w:val="21"/>
          <w:highlight w:val="red"/>
        </w:rPr>
      </w:pPr>
      <w:r>
        <w:rPr>
          <w:rFonts w:eastAsiaTheme="minorEastAsia"/>
          <w:kern w:val="0"/>
          <w:szCs w:val="21"/>
        </w:rPr>
        <w:t>设施生产宜于9月至11月结冰前，选择晴天定植；露地生产应在3月10日前定植，定植时芽长应不超过3cm。</w:t>
      </w:r>
    </w:p>
    <w:bookmarkEnd w:id="31"/>
    <w:p>
      <w:pPr>
        <w:widowControl/>
        <w:numPr>
          <w:ilvl w:val="1"/>
          <w:numId w:val="0"/>
        </w:numPr>
        <w:spacing w:line="360" w:lineRule="auto"/>
        <w:jc w:val="left"/>
        <w:outlineLvl w:val="2"/>
        <w:rPr>
          <w:rFonts w:eastAsia="黑体"/>
          <w:kern w:val="0"/>
          <w:szCs w:val="21"/>
        </w:rPr>
      </w:pPr>
      <w:bookmarkStart w:id="32" w:name="_Toc492393352"/>
      <w:r>
        <w:rPr>
          <w:rFonts w:eastAsia="黑体"/>
          <w:kern w:val="0"/>
          <w:szCs w:val="21"/>
        </w:rPr>
        <w:t>6.2.2  定植密度与深度</w:t>
      </w:r>
    </w:p>
    <w:p>
      <w:pPr>
        <w:widowControl/>
        <w:tabs>
          <w:tab w:val="center" w:pos="4201"/>
          <w:tab w:val="right" w:leader="dot" w:pos="9298"/>
        </w:tabs>
        <w:autoSpaceDE w:val="0"/>
        <w:autoSpaceDN w:val="0"/>
        <w:spacing w:line="360" w:lineRule="auto"/>
        <w:ind w:firstLine="420" w:firstLineChars="200"/>
        <w:rPr>
          <w:rFonts w:eastAsiaTheme="minorEastAsia"/>
          <w:kern w:val="0"/>
          <w:szCs w:val="21"/>
        </w:rPr>
      </w:pPr>
      <w:r>
        <w:rPr>
          <w:rFonts w:eastAsiaTheme="minorEastAsia"/>
          <w:kern w:val="0"/>
          <w:szCs w:val="21"/>
        </w:rPr>
        <w:t>按行距25 cm ～35 cm 开种植沟，沟深 8 cm～10cm，株距 20 cm～25 cm。每 667 m</w:t>
      </w:r>
      <w:r>
        <w:rPr>
          <w:rFonts w:eastAsiaTheme="minorEastAsia"/>
          <w:kern w:val="0"/>
          <w:szCs w:val="21"/>
          <w:vertAlign w:val="superscript"/>
        </w:rPr>
        <w:t>2</w:t>
      </w:r>
      <w:r>
        <w:rPr>
          <w:rFonts w:eastAsiaTheme="minorEastAsia"/>
          <w:kern w:val="0"/>
          <w:szCs w:val="21"/>
        </w:rPr>
        <w:t>种植0.9 万株～1.2万株。</w:t>
      </w:r>
    </w:p>
    <w:bookmarkEnd w:id="32"/>
    <w:p>
      <w:pPr>
        <w:widowControl/>
        <w:spacing w:line="360" w:lineRule="auto"/>
        <w:jc w:val="left"/>
        <w:outlineLvl w:val="2"/>
        <w:rPr>
          <w:rFonts w:eastAsia="黑体"/>
          <w:kern w:val="0"/>
          <w:szCs w:val="21"/>
        </w:rPr>
      </w:pPr>
      <w:bookmarkStart w:id="33" w:name="_Toc492393353"/>
      <w:r>
        <w:rPr>
          <w:rFonts w:eastAsia="黑体"/>
          <w:kern w:val="0"/>
          <w:szCs w:val="21"/>
        </w:rPr>
        <w:t>6.2.3  定植方法</w:t>
      </w:r>
    </w:p>
    <w:p>
      <w:pPr>
        <w:pStyle w:val="136"/>
        <w:widowControl/>
        <w:spacing w:line="360" w:lineRule="auto"/>
        <w:jc w:val="left"/>
        <w:outlineLvl w:val="2"/>
        <w:rPr>
          <w:rFonts w:eastAsia="黑体"/>
          <w:kern w:val="0"/>
          <w:szCs w:val="21"/>
        </w:rPr>
      </w:pPr>
      <w:r>
        <w:rPr>
          <w:rFonts w:eastAsiaTheme="minorEastAsia"/>
          <w:kern w:val="0"/>
          <w:szCs w:val="21"/>
        </w:rPr>
        <w:t>定植时，芽朝上根朝下摆正种球，覆土厚度为种球高度的 2 倍～3 倍</w:t>
      </w:r>
      <w:r>
        <w:rPr>
          <w:kern w:val="0"/>
          <w:szCs w:val="21"/>
        </w:rPr>
        <w:t>。</w:t>
      </w:r>
    </w:p>
    <w:p>
      <w:pPr>
        <w:widowControl/>
        <w:numPr>
          <w:ilvl w:val="1"/>
          <w:numId w:val="0"/>
        </w:numPr>
        <w:spacing w:line="360" w:lineRule="auto"/>
        <w:jc w:val="left"/>
        <w:outlineLvl w:val="2"/>
        <w:rPr>
          <w:rFonts w:eastAsia="黑体"/>
          <w:kern w:val="0"/>
          <w:szCs w:val="21"/>
        </w:rPr>
      </w:pPr>
      <w:r>
        <w:rPr>
          <w:rFonts w:eastAsia="黑体"/>
          <w:kern w:val="0"/>
          <w:szCs w:val="21"/>
        </w:rPr>
        <w:t>7  田间管理</w:t>
      </w:r>
      <w:bookmarkEnd w:id="33"/>
    </w:p>
    <w:p>
      <w:pPr>
        <w:widowControl/>
        <w:numPr>
          <w:ilvl w:val="1"/>
          <w:numId w:val="0"/>
        </w:numPr>
        <w:spacing w:line="360" w:lineRule="auto"/>
        <w:jc w:val="left"/>
        <w:outlineLvl w:val="2"/>
        <w:rPr>
          <w:rFonts w:eastAsia="黑体"/>
          <w:kern w:val="0"/>
          <w:szCs w:val="21"/>
        </w:rPr>
      </w:pPr>
      <w:bookmarkStart w:id="34" w:name="_Toc492393354"/>
      <w:r>
        <w:rPr>
          <w:rFonts w:eastAsia="黑体"/>
          <w:kern w:val="0"/>
          <w:szCs w:val="21"/>
        </w:rPr>
        <w:t>7.1  出苗前管理</w:t>
      </w:r>
      <w:bookmarkEnd w:id="34"/>
    </w:p>
    <w:p>
      <w:pPr>
        <w:widowControl/>
        <w:numPr>
          <w:ilvl w:val="1"/>
          <w:numId w:val="0"/>
        </w:numPr>
        <w:spacing w:line="360" w:lineRule="auto"/>
        <w:ind w:firstLine="420" w:firstLineChars="200"/>
        <w:jc w:val="left"/>
        <w:outlineLvl w:val="2"/>
        <w:rPr>
          <w:rFonts w:eastAsiaTheme="minorEastAsia"/>
          <w:kern w:val="0"/>
          <w:szCs w:val="21"/>
        </w:rPr>
      </w:pPr>
      <w:r>
        <w:rPr>
          <w:rFonts w:eastAsiaTheme="minorEastAsia"/>
          <w:kern w:val="0"/>
          <w:szCs w:val="21"/>
        </w:rPr>
        <w:t>定植后1 d ～2 d内浇一次透水，并选用芽前除草剂进行土壤封闭，后用稻草或地膜等覆盖畦面保墒。长效除草剂应控制施用量，如：70 % 乙草胺 (乳油)用量不得超过80 g/667 m</w:t>
      </w:r>
      <w:r>
        <w:rPr>
          <w:rFonts w:eastAsiaTheme="minorEastAsia"/>
          <w:kern w:val="0"/>
          <w:szCs w:val="21"/>
          <w:vertAlign w:val="superscript"/>
        </w:rPr>
        <w:t>2</w:t>
      </w:r>
      <w:r>
        <w:rPr>
          <w:rFonts w:eastAsiaTheme="minorEastAsia"/>
          <w:kern w:val="0"/>
          <w:szCs w:val="21"/>
        </w:rPr>
        <w:t>。未做土壤封闭的地块，在百合幼苗未出土前中耕 1次，可结合追肥进行浅中耕，促进出苗。</w:t>
      </w:r>
    </w:p>
    <w:p>
      <w:pPr>
        <w:widowControl/>
        <w:numPr>
          <w:ilvl w:val="1"/>
          <w:numId w:val="0"/>
        </w:numPr>
        <w:spacing w:line="360" w:lineRule="auto"/>
        <w:jc w:val="left"/>
        <w:outlineLvl w:val="2"/>
        <w:rPr>
          <w:rFonts w:eastAsia="黑体"/>
          <w:kern w:val="0"/>
          <w:szCs w:val="21"/>
        </w:rPr>
      </w:pPr>
      <w:bookmarkStart w:id="35" w:name="_Toc492393355"/>
      <w:r>
        <w:rPr>
          <w:rFonts w:eastAsia="黑体"/>
          <w:kern w:val="0"/>
          <w:szCs w:val="21"/>
        </w:rPr>
        <w:t>7.2  苗期管理</w:t>
      </w:r>
      <w:bookmarkEnd w:id="35"/>
      <w:r>
        <w:rPr>
          <w:rFonts w:eastAsia="黑体"/>
          <w:kern w:val="0"/>
          <w:szCs w:val="21"/>
        </w:rPr>
        <w:t xml:space="preserve"> </w:t>
      </w:r>
    </w:p>
    <w:p>
      <w:pPr>
        <w:widowControl/>
        <w:tabs>
          <w:tab w:val="center" w:pos="4201"/>
          <w:tab w:val="right" w:leader="dot" w:pos="9298"/>
        </w:tabs>
        <w:autoSpaceDE w:val="0"/>
        <w:autoSpaceDN w:val="0"/>
        <w:spacing w:line="360" w:lineRule="auto"/>
        <w:ind w:firstLine="420" w:firstLineChars="200"/>
        <w:rPr>
          <w:rFonts w:eastAsiaTheme="majorEastAsia"/>
          <w:kern w:val="0"/>
          <w:szCs w:val="21"/>
        </w:rPr>
      </w:pPr>
      <w:r>
        <w:rPr>
          <w:rFonts w:eastAsiaTheme="majorEastAsia"/>
          <w:kern w:val="0"/>
          <w:szCs w:val="21"/>
        </w:rPr>
        <w:t>幼苗出土后再中耕1次，做到行间深、株间浅；8片</w:t>
      </w:r>
      <w:r>
        <w:rPr>
          <w:rFonts w:eastAsiaTheme="minorEastAsia"/>
          <w:kern w:val="0"/>
          <w:szCs w:val="21"/>
        </w:rPr>
        <w:t>～</w:t>
      </w:r>
      <w:r>
        <w:rPr>
          <w:rFonts w:eastAsiaTheme="majorEastAsia"/>
          <w:kern w:val="0"/>
          <w:szCs w:val="21"/>
        </w:rPr>
        <w:t>10 片叶时结合培土中耕1次。结合中耕除草进行浅培土，以茎生根不露出土面为宜。百合生长到封行后，可不再中耕锄草，但要及时清理沟渠。结合中耕追肥，当百合苗高 20cm</w:t>
      </w:r>
      <w:r>
        <w:rPr>
          <w:rFonts w:eastAsiaTheme="minorEastAsia"/>
          <w:kern w:val="0"/>
          <w:szCs w:val="21"/>
        </w:rPr>
        <w:t>～30</w:t>
      </w:r>
      <w:r>
        <w:rPr>
          <w:rFonts w:eastAsiaTheme="majorEastAsia"/>
          <w:kern w:val="0"/>
          <w:szCs w:val="21"/>
        </w:rPr>
        <w:t xml:space="preserve"> cm 时，</w:t>
      </w:r>
      <w:r>
        <w:rPr>
          <w:rFonts w:hint="eastAsia" w:eastAsiaTheme="majorEastAsia"/>
          <w:kern w:val="0"/>
          <w:szCs w:val="21"/>
        </w:rPr>
        <w:t xml:space="preserve">每667 </w:t>
      </w:r>
      <w:r>
        <w:rPr>
          <w:rFonts w:eastAsiaTheme="majorEastAsia"/>
          <w:kern w:val="0"/>
          <w:szCs w:val="21"/>
        </w:rPr>
        <w:t>m</w:t>
      </w:r>
      <w:r>
        <w:rPr>
          <w:rFonts w:eastAsiaTheme="majorEastAsia"/>
          <w:kern w:val="0"/>
          <w:szCs w:val="21"/>
          <w:vertAlign w:val="superscript"/>
        </w:rPr>
        <w:t>2</w:t>
      </w:r>
      <w:r>
        <w:rPr>
          <w:rFonts w:hint="eastAsia" w:eastAsiaTheme="majorEastAsia"/>
          <w:kern w:val="0"/>
          <w:szCs w:val="21"/>
          <w:vertAlign w:val="superscript"/>
        </w:rPr>
        <w:t xml:space="preserve"> </w:t>
      </w:r>
      <w:r>
        <w:rPr>
          <w:rFonts w:eastAsiaTheme="majorEastAsia"/>
          <w:kern w:val="0"/>
          <w:szCs w:val="21"/>
        </w:rPr>
        <w:t>施腐熟饼肥100 kg、复合肥10kg。</w:t>
      </w:r>
      <w:r>
        <w:rPr>
          <w:rFonts w:eastAsiaTheme="minorEastAsia"/>
          <w:kern w:val="0"/>
          <w:szCs w:val="21"/>
        </w:rPr>
        <w:t>在百合植株长至15 cm～20 cm 时</w:t>
      </w:r>
      <w:r>
        <w:rPr>
          <w:rFonts w:hint="eastAsia" w:eastAsiaTheme="minorEastAsia"/>
          <w:kern w:val="0"/>
          <w:szCs w:val="21"/>
        </w:rPr>
        <w:t>，用</w:t>
      </w:r>
      <w:r>
        <w:rPr>
          <w:rFonts w:eastAsiaTheme="minorEastAsia"/>
          <w:kern w:val="0"/>
          <w:szCs w:val="21"/>
        </w:rPr>
        <w:t xml:space="preserve">15 cm </w:t>
      </w:r>
      <w:r>
        <w:rPr>
          <w:rFonts w:hint="eastAsia" w:asciiTheme="minorEastAsia" w:hAnsiTheme="minorEastAsia" w:eastAsiaTheme="minorEastAsia" w:cstheme="minorEastAsia"/>
          <w:kern w:val="0"/>
          <w:szCs w:val="21"/>
        </w:rPr>
        <w:t>×</w:t>
      </w:r>
      <w:r>
        <w:rPr>
          <w:rFonts w:hint="eastAsia" w:eastAsiaTheme="minorEastAsia"/>
          <w:kern w:val="0"/>
          <w:szCs w:val="21"/>
        </w:rPr>
        <w:t>15</w:t>
      </w:r>
      <w:r>
        <w:rPr>
          <w:rFonts w:eastAsiaTheme="minorEastAsia"/>
          <w:kern w:val="0"/>
          <w:szCs w:val="21"/>
        </w:rPr>
        <w:t xml:space="preserve"> cm</w:t>
      </w:r>
      <w:r>
        <w:rPr>
          <w:rFonts w:hint="eastAsia" w:eastAsiaTheme="minorEastAsia"/>
          <w:kern w:val="0"/>
          <w:szCs w:val="21"/>
        </w:rPr>
        <w:t>尼龙网支撑</w:t>
      </w:r>
      <w:r>
        <w:rPr>
          <w:rFonts w:eastAsiaTheme="minorEastAsia"/>
          <w:kern w:val="0"/>
          <w:szCs w:val="21"/>
        </w:rPr>
        <w:t>，种植畦两边每隔2m 立1根高度80 cm～100 cm的支柱，支撑网随着百合的生长而提高。</w:t>
      </w:r>
    </w:p>
    <w:p>
      <w:pPr>
        <w:widowControl/>
        <w:numPr>
          <w:ilvl w:val="1"/>
          <w:numId w:val="0"/>
        </w:numPr>
        <w:spacing w:line="360" w:lineRule="auto"/>
        <w:jc w:val="left"/>
        <w:outlineLvl w:val="2"/>
        <w:rPr>
          <w:rFonts w:eastAsia="黑体"/>
          <w:kern w:val="0"/>
          <w:szCs w:val="21"/>
        </w:rPr>
      </w:pPr>
      <w:bookmarkStart w:id="36" w:name="_Toc492393356"/>
      <w:r>
        <w:rPr>
          <w:rFonts w:eastAsia="黑体"/>
          <w:kern w:val="0"/>
          <w:szCs w:val="21"/>
        </w:rPr>
        <w:t>7.3  蕾期管理</w:t>
      </w:r>
      <w:bookmarkEnd w:id="36"/>
      <w:r>
        <w:rPr>
          <w:rFonts w:eastAsia="黑体"/>
          <w:kern w:val="0"/>
          <w:szCs w:val="21"/>
        </w:rPr>
        <w:t xml:space="preserve"> </w:t>
      </w:r>
    </w:p>
    <w:p>
      <w:pPr>
        <w:widowControl/>
        <w:tabs>
          <w:tab w:val="center" w:pos="4201"/>
          <w:tab w:val="right" w:leader="dot" w:pos="9298"/>
        </w:tabs>
        <w:autoSpaceDE w:val="0"/>
        <w:autoSpaceDN w:val="0"/>
        <w:spacing w:line="360" w:lineRule="auto"/>
        <w:ind w:firstLine="420" w:firstLineChars="200"/>
        <w:rPr>
          <w:rFonts w:eastAsiaTheme="minorEastAsia"/>
          <w:kern w:val="0"/>
          <w:szCs w:val="21"/>
        </w:rPr>
      </w:pPr>
      <w:r>
        <w:rPr>
          <w:rFonts w:hint="eastAsia" w:eastAsiaTheme="minorEastAsia"/>
          <w:kern w:val="0"/>
          <w:szCs w:val="21"/>
        </w:rPr>
        <w:t>现蕾后，</w:t>
      </w:r>
      <w:r>
        <w:rPr>
          <w:rFonts w:eastAsiaTheme="minorEastAsia"/>
          <w:kern w:val="0"/>
          <w:szCs w:val="21"/>
        </w:rPr>
        <w:t>结合灰霉病、炭疽病等易发病害的防治，</w:t>
      </w:r>
      <w:r>
        <w:rPr>
          <w:rFonts w:hint="eastAsia" w:eastAsiaTheme="minorEastAsia"/>
          <w:kern w:val="0"/>
          <w:szCs w:val="21"/>
        </w:rPr>
        <w:t>现蕾期</w:t>
      </w:r>
      <w:r>
        <w:rPr>
          <w:rFonts w:eastAsiaTheme="minorEastAsia"/>
          <w:kern w:val="0"/>
          <w:szCs w:val="21"/>
        </w:rPr>
        <w:t>每隔7 d～10 d 喷施一次叶面肥，叶面肥以0.2% 磷酸二氢钾，0.01% 硼肥，0.1% 螯合铁为主。</w:t>
      </w:r>
    </w:p>
    <w:p>
      <w:pPr>
        <w:widowControl/>
        <w:numPr>
          <w:ilvl w:val="1"/>
          <w:numId w:val="0"/>
        </w:numPr>
        <w:spacing w:line="360" w:lineRule="auto"/>
        <w:jc w:val="left"/>
        <w:outlineLvl w:val="2"/>
        <w:rPr>
          <w:rFonts w:eastAsia="黑体"/>
          <w:kern w:val="0"/>
          <w:szCs w:val="21"/>
        </w:rPr>
      </w:pPr>
      <w:bookmarkStart w:id="37" w:name="_Toc492393359"/>
      <w:r>
        <w:rPr>
          <w:rFonts w:eastAsia="黑体"/>
          <w:kern w:val="0"/>
          <w:szCs w:val="21"/>
        </w:rPr>
        <w:t>8  病虫害防治</w:t>
      </w:r>
      <w:bookmarkEnd w:id="37"/>
    </w:p>
    <w:p>
      <w:pPr>
        <w:widowControl/>
        <w:spacing w:line="360" w:lineRule="auto"/>
        <w:jc w:val="left"/>
        <w:outlineLvl w:val="3"/>
        <w:rPr>
          <w:rFonts w:eastAsia="黑体"/>
          <w:color w:val="000000"/>
          <w:kern w:val="0"/>
          <w:szCs w:val="21"/>
        </w:rPr>
      </w:pPr>
      <w:r>
        <w:rPr>
          <w:rFonts w:eastAsia="黑体"/>
          <w:color w:val="000000"/>
          <w:kern w:val="0"/>
          <w:szCs w:val="21"/>
        </w:rPr>
        <w:t>8.1  物理防治</w:t>
      </w:r>
    </w:p>
    <w:p>
      <w:pPr>
        <w:spacing w:line="360" w:lineRule="auto"/>
        <w:ind w:firstLine="420" w:firstLineChars="200"/>
        <w:rPr>
          <w:rFonts w:eastAsiaTheme="minorEastAsia"/>
          <w:color w:val="000000"/>
          <w:szCs w:val="21"/>
          <w:lang w:val="en-GB"/>
        </w:rPr>
      </w:pPr>
      <w:r>
        <w:rPr>
          <w:rFonts w:eastAsiaTheme="minorEastAsia"/>
          <w:color w:val="000000"/>
          <w:szCs w:val="21"/>
          <w:lang w:val="en-GB"/>
        </w:rPr>
        <w:t>利用害虫的不同趋性杀虫，用诱虫灯，黄色、蓝色粘板等进行诱杀</w:t>
      </w:r>
      <w:r>
        <w:rPr>
          <w:rFonts w:hint="eastAsia" w:eastAsiaTheme="minorEastAsia"/>
          <w:color w:val="000000"/>
          <w:szCs w:val="21"/>
          <w:lang w:val="en-GB"/>
        </w:rPr>
        <w:t>，</w:t>
      </w:r>
      <w:r>
        <w:rPr>
          <w:rFonts w:eastAsiaTheme="minorEastAsia"/>
          <w:color w:val="000000"/>
          <w:szCs w:val="21"/>
          <w:lang w:val="en-GB"/>
        </w:rPr>
        <w:t>挂放的高度应高于</w:t>
      </w:r>
      <w:r>
        <w:rPr>
          <w:rFonts w:hint="eastAsia" w:eastAsiaTheme="minorEastAsia"/>
          <w:color w:val="000000"/>
          <w:szCs w:val="21"/>
          <w:lang w:val="en-GB"/>
        </w:rPr>
        <w:t>植株</w:t>
      </w:r>
      <w:r>
        <w:rPr>
          <w:rFonts w:asciiTheme="minorEastAsia" w:hAnsiTheme="minorEastAsia" w:eastAsiaTheme="minorEastAsia" w:cstheme="minorEastAsia"/>
          <w:kern w:val="0"/>
          <w:szCs w:val="21"/>
          <w:lang w:val="en-GB"/>
        </w:rPr>
        <w:t>10</w:t>
      </w:r>
      <w:r>
        <w:rPr>
          <w:rFonts w:hint="eastAsia" w:asciiTheme="minorEastAsia" w:hAnsiTheme="minorEastAsia" w:eastAsiaTheme="minorEastAsia" w:cstheme="minorEastAsia"/>
          <w:kern w:val="0"/>
          <w:szCs w:val="21"/>
        </w:rPr>
        <w:t xml:space="preserve"> cm</w:t>
      </w:r>
      <w:r>
        <w:rPr>
          <w:rFonts w:asciiTheme="minorEastAsia" w:hAnsiTheme="minorEastAsia" w:eastAsiaTheme="minorEastAsia" w:cstheme="minorEastAsia"/>
          <w:kern w:val="0"/>
          <w:szCs w:val="21"/>
        </w:rPr>
        <w:t>～</w:t>
      </w:r>
      <w:r>
        <w:rPr>
          <w:rFonts w:asciiTheme="minorEastAsia" w:hAnsiTheme="minorEastAsia" w:eastAsiaTheme="minorEastAsia" w:cstheme="minorEastAsia"/>
          <w:kern w:val="0"/>
          <w:szCs w:val="21"/>
          <w:lang w:val="en-GB"/>
        </w:rPr>
        <w:t>15</w:t>
      </w:r>
      <w:r>
        <w:rPr>
          <w:rFonts w:hint="eastAsia" w:asciiTheme="minorEastAsia" w:hAnsiTheme="minorEastAsia" w:eastAsiaTheme="minorEastAsia" w:cstheme="minorEastAsia"/>
          <w:kern w:val="0"/>
          <w:szCs w:val="21"/>
        </w:rPr>
        <w:t xml:space="preserve"> cm</w:t>
      </w:r>
      <w:r>
        <w:rPr>
          <w:rFonts w:asciiTheme="minorEastAsia" w:hAnsiTheme="minorEastAsia" w:eastAsiaTheme="minorEastAsia" w:cstheme="minorEastAsia"/>
          <w:kern w:val="0"/>
          <w:szCs w:val="21"/>
          <w:lang w:val="en-GB"/>
        </w:rPr>
        <w:t>。</w:t>
      </w:r>
      <w:r>
        <w:rPr>
          <w:rFonts w:hint="eastAsia" w:asciiTheme="minorEastAsia" w:hAnsiTheme="minorEastAsia" w:eastAsiaTheme="minorEastAsia" w:cstheme="minorEastAsia"/>
          <w:kern w:val="0"/>
          <w:szCs w:val="21"/>
        </w:rPr>
        <w:t>20 cm×30 cm的</w:t>
      </w:r>
      <w:r>
        <w:rPr>
          <w:rFonts w:eastAsiaTheme="minorEastAsia"/>
          <w:color w:val="000000"/>
          <w:szCs w:val="21"/>
          <w:lang w:val="en-GB"/>
        </w:rPr>
        <w:t>黄色粘板</w:t>
      </w:r>
      <w:r>
        <w:rPr>
          <w:rFonts w:eastAsiaTheme="minorEastAsia"/>
          <w:color w:val="000000"/>
          <w:szCs w:val="21"/>
        </w:rPr>
        <w:t>诱</w:t>
      </w:r>
      <w:r>
        <w:rPr>
          <w:rFonts w:hint="eastAsia" w:eastAsiaTheme="minorEastAsia"/>
          <w:color w:val="000000"/>
          <w:szCs w:val="21"/>
        </w:rPr>
        <w:t>，</w:t>
      </w:r>
      <w:r>
        <w:rPr>
          <w:rFonts w:hint="eastAsia" w:asciiTheme="minorEastAsia" w:hAnsiTheme="minorEastAsia" w:eastAsiaTheme="minorEastAsia" w:cstheme="minorEastAsia"/>
          <w:kern w:val="0"/>
          <w:szCs w:val="21"/>
        </w:rPr>
        <w:t>每667</w:t>
      </w:r>
      <w:r>
        <w:rPr>
          <w:rFonts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 xml:space="preserve"> 用量25张</w:t>
      </w:r>
      <w:r>
        <w:rPr>
          <w:rFonts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30张</w:t>
      </w:r>
      <w:r>
        <w:rPr>
          <w:rFonts w:asciiTheme="minorEastAsia" w:hAnsiTheme="minorEastAsia" w:eastAsiaTheme="minorEastAsia" w:cstheme="minorEastAsia"/>
          <w:kern w:val="0"/>
          <w:szCs w:val="21"/>
          <w:lang w:val="en-GB"/>
        </w:rPr>
        <w:t>；</w:t>
      </w:r>
      <w:r>
        <w:rPr>
          <w:rFonts w:hint="eastAsia" w:asciiTheme="minorEastAsia" w:hAnsiTheme="minorEastAsia" w:eastAsiaTheme="minorEastAsia" w:cstheme="minorEastAsia"/>
          <w:kern w:val="0"/>
          <w:szCs w:val="21"/>
        </w:rPr>
        <w:t>25 cm×30 cm的</w:t>
      </w:r>
      <w:r>
        <w:rPr>
          <w:rFonts w:eastAsiaTheme="minorEastAsia"/>
          <w:color w:val="000000"/>
          <w:szCs w:val="21"/>
          <w:lang w:val="en-GB"/>
        </w:rPr>
        <w:t>蓝色粘板</w:t>
      </w:r>
      <w:r>
        <w:rPr>
          <w:rFonts w:hint="eastAsia" w:eastAsiaTheme="minorEastAsia"/>
          <w:color w:val="000000"/>
          <w:szCs w:val="21"/>
          <w:lang w:val="en-GB"/>
        </w:rPr>
        <w:t>，</w:t>
      </w:r>
      <w:r>
        <w:rPr>
          <w:rFonts w:hint="eastAsia" w:eastAsiaTheme="minorEastAsia"/>
          <w:color w:val="000000"/>
          <w:szCs w:val="21"/>
        </w:rPr>
        <w:t>每667</w:t>
      </w:r>
      <w:r>
        <w:rPr>
          <w:rFonts w:eastAsiaTheme="minorEastAsia"/>
          <w:kern w:val="0"/>
          <w:szCs w:val="21"/>
        </w:rPr>
        <w:t>㎡</w:t>
      </w:r>
      <w:r>
        <w:rPr>
          <w:rFonts w:hint="eastAsia" w:eastAsiaTheme="minorEastAsia"/>
          <w:color w:val="000000"/>
          <w:szCs w:val="21"/>
        </w:rPr>
        <w:t xml:space="preserve"> 用量20</w:t>
      </w:r>
      <w:r>
        <w:rPr>
          <w:rFonts w:hint="eastAsia" w:asciiTheme="minorEastAsia" w:hAnsiTheme="minorEastAsia" w:eastAsiaTheme="minorEastAsia" w:cstheme="minorEastAsia"/>
          <w:kern w:val="0"/>
          <w:szCs w:val="21"/>
        </w:rPr>
        <w:t>张</w:t>
      </w:r>
      <w:r>
        <w:rPr>
          <w:rFonts w:eastAsiaTheme="minorEastAsia"/>
          <w:kern w:val="0"/>
          <w:szCs w:val="21"/>
        </w:rPr>
        <w:t>～</w:t>
      </w:r>
      <w:r>
        <w:rPr>
          <w:rFonts w:hint="eastAsia" w:eastAsiaTheme="minorEastAsia"/>
          <w:color w:val="000000"/>
          <w:szCs w:val="21"/>
        </w:rPr>
        <w:t>25张</w:t>
      </w:r>
      <w:r>
        <w:rPr>
          <w:rFonts w:eastAsiaTheme="minorEastAsia"/>
          <w:color w:val="000000"/>
          <w:szCs w:val="21"/>
          <w:lang w:val="en-GB"/>
        </w:rPr>
        <w:t>。</w:t>
      </w:r>
    </w:p>
    <w:p>
      <w:pPr>
        <w:widowControl/>
        <w:spacing w:line="360" w:lineRule="auto"/>
        <w:jc w:val="left"/>
        <w:outlineLvl w:val="3"/>
        <w:rPr>
          <w:rFonts w:eastAsia="黑体"/>
          <w:color w:val="000000"/>
          <w:kern w:val="0"/>
          <w:szCs w:val="21"/>
        </w:rPr>
      </w:pPr>
      <w:r>
        <w:rPr>
          <w:rFonts w:eastAsia="黑体"/>
          <w:color w:val="000000"/>
          <w:kern w:val="0"/>
          <w:szCs w:val="21"/>
        </w:rPr>
        <w:t>8.2  生物防治</w:t>
      </w:r>
    </w:p>
    <w:p>
      <w:pPr>
        <w:widowControl/>
        <w:numPr>
          <w:ilvl w:val="1"/>
          <w:numId w:val="0"/>
        </w:numPr>
        <w:spacing w:line="360" w:lineRule="auto"/>
        <w:ind w:firstLine="420" w:firstLineChars="200"/>
        <w:jc w:val="left"/>
        <w:outlineLvl w:val="2"/>
        <w:rPr>
          <w:rFonts w:asciiTheme="minorEastAsia" w:hAnsiTheme="minorEastAsia" w:eastAsiaTheme="minorEastAsia" w:cstheme="minorEastAsia"/>
          <w:kern w:val="0"/>
          <w:szCs w:val="21"/>
          <w:lang w:val="en-GB"/>
        </w:rPr>
      </w:pPr>
      <w:r>
        <w:rPr>
          <w:color w:val="000000"/>
          <w:szCs w:val="21"/>
          <w:lang w:val="en-GB"/>
        </w:rPr>
        <w:t>利用性诱剂诱杀成虫</w:t>
      </w:r>
      <w:r>
        <w:rPr>
          <w:rFonts w:hint="eastAsia" w:asciiTheme="minorEastAsia" w:hAnsiTheme="minorEastAsia" w:eastAsiaTheme="minorEastAsia" w:cstheme="minorEastAsia"/>
          <w:kern w:val="0"/>
          <w:szCs w:val="21"/>
          <w:lang w:val="en-GB"/>
        </w:rPr>
        <w:t>，</w:t>
      </w:r>
      <w:r>
        <w:rPr>
          <w:rFonts w:hint="eastAsia" w:asciiTheme="minorEastAsia" w:hAnsiTheme="minorEastAsia" w:eastAsiaTheme="minorEastAsia" w:cstheme="minorEastAsia"/>
          <w:kern w:val="0"/>
          <w:szCs w:val="21"/>
        </w:rPr>
        <w:t xml:space="preserve">每667 </w:t>
      </w:r>
      <w:r>
        <w:rPr>
          <w:rFonts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投放性诱剂6粒</w:t>
      </w:r>
      <w:r>
        <w:rPr>
          <w:rFonts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8粒</w:t>
      </w:r>
      <w:r>
        <w:rPr>
          <w:rFonts w:asciiTheme="minorEastAsia" w:hAnsiTheme="minorEastAsia" w:eastAsiaTheme="minorEastAsia" w:cstheme="minorEastAsia"/>
          <w:kern w:val="0"/>
          <w:szCs w:val="21"/>
          <w:lang w:val="en-GB"/>
        </w:rPr>
        <w:t>。</w:t>
      </w:r>
    </w:p>
    <w:p>
      <w:pPr>
        <w:widowControl/>
        <w:numPr>
          <w:ilvl w:val="1"/>
          <w:numId w:val="0"/>
        </w:numPr>
        <w:spacing w:line="360" w:lineRule="auto"/>
        <w:jc w:val="left"/>
        <w:outlineLvl w:val="2"/>
        <w:rPr>
          <w:rFonts w:eastAsia="黑体"/>
          <w:kern w:val="0"/>
          <w:szCs w:val="21"/>
        </w:rPr>
      </w:pPr>
      <w:r>
        <w:rPr>
          <w:rFonts w:eastAsia="黑体"/>
          <w:kern w:val="0"/>
          <w:szCs w:val="21"/>
        </w:rPr>
        <w:t>8.3  化学防治</w:t>
      </w:r>
    </w:p>
    <w:p>
      <w:pPr>
        <w:widowControl/>
        <w:tabs>
          <w:tab w:val="center" w:pos="4201"/>
          <w:tab w:val="right" w:leader="dot" w:pos="9298"/>
        </w:tabs>
        <w:autoSpaceDE w:val="0"/>
        <w:autoSpaceDN w:val="0"/>
        <w:spacing w:line="360" w:lineRule="auto"/>
        <w:ind w:firstLine="420" w:firstLineChars="200"/>
        <w:rPr>
          <w:rFonts w:eastAsiaTheme="majorEastAsia"/>
          <w:color w:val="000000"/>
          <w:kern w:val="0"/>
          <w:szCs w:val="21"/>
          <w:lang w:val="en-GB"/>
        </w:rPr>
      </w:pPr>
      <w:bookmarkStart w:id="38" w:name="_Toc492393360"/>
      <w:r>
        <w:rPr>
          <w:rFonts w:eastAsiaTheme="majorEastAsia"/>
          <w:kern w:val="0"/>
          <w:szCs w:val="21"/>
        </w:rPr>
        <w:t>农药的施用应符合GB/T 8321.10的规定。</w:t>
      </w:r>
      <w:r>
        <w:rPr>
          <w:rFonts w:hint="eastAsia" w:eastAsiaTheme="majorEastAsia"/>
          <w:color w:val="000000"/>
          <w:kern w:val="0"/>
          <w:szCs w:val="21"/>
          <w:lang w:val="en-GB"/>
        </w:rPr>
        <w:t>观、食兼用</w:t>
      </w:r>
      <w:r>
        <w:rPr>
          <w:rFonts w:eastAsiaTheme="majorEastAsia"/>
          <w:color w:val="000000"/>
          <w:kern w:val="0"/>
          <w:szCs w:val="21"/>
          <w:lang w:val="en-GB"/>
        </w:rPr>
        <w:t>百合常见病害的症状及防治方法见附录A，</w:t>
      </w:r>
      <w:r>
        <w:rPr>
          <w:rFonts w:hint="eastAsia" w:eastAsiaTheme="majorEastAsia"/>
          <w:color w:val="000000"/>
          <w:kern w:val="0"/>
          <w:szCs w:val="21"/>
          <w:lang w:val="en-GB"/>
        </w:rPr>
        <w:t>观、</w:t>
      </w:r>
      <w:r>
        <w:rPr>
          <w:rFonts w:eastAsiaTheme="majorEastAsia"/>
          <w:color w:val="000000"/>
          <w:kern w:val="0"/>
          <w:szCs w:val="21"/>
          <w:lang w:val="en-GB"/>
        </w:rPr>
        <w:t>食</w:t>
      </w:r>
      <w:r>
        <w:rPr>
          <w:rFonts w:hint="eastAsia" w:eastAsiaTheme="majorEastAsia"/>
          <w:color w:val="000000"/>
          <w:kern w:val="0"/>
          <w:szCs w:val="21"/>
          <w:lang w:val="en-GB"/>
        </w:rPr>
        <w:t>兼用</w:t>
      </w:r>
      <w:r>
        <w:rPr>
          <w:rFonts w:eastAsiaTheme="majorEastAsia"/>
          <w:color w:val="000000"/>
          <w:kern w:val="0"/>
          <w:szCs w:val="21"/>
          <w:lang w:val="en-GB"/>
        </w:rPr>
        <w:t>百合常见虫害的症状及防治方法见附录B。</w:t>
      </w:r>
    </w:p>
    <w:p>
      <w:pPr>
        <w:widowControl/>
        <w:numPr>
          <w:ilvl w:val="1"/>
          <w:numId w:val="0"/>
        </w:numPr>
        <w:spacing w:line="360" w:lineRule="auto"/>
        <w:jc w:val="left"/>
        <w:outlineLvl w:val="2"/>
        <w:rPr>
          <w:rFonts w:eastAsia="黑体"/>
          <w:kern w:val="0"/>
          <w:szCs w:val="21"/>
        </w:rPr>
      </w:pPr>
      <w:r>
        <w:rPr>
          <w:rFonts w:eastAsia="黑体"/>
          <w:kern w:val="0"/>
          <w:szCs w:val="21"/>
        </w:rPr>
        <w:t>9  切花采收、分级与包装</w:t>
      </w:r>
    </w:p>
    <w:p>
      <w:pPr>
        <w:widowControl/>
        <w:numPr>
          <w:ilvl w:val="1"/>
          <w:numId w:val="0"/>
        </w:numPr>
        <w:spacing w:line="360" w:lineRule="auto"/>
        <w:jc w:val="left"/>
        <w:outlineLvl w:val="2"/>
        <w:rPr>
          <w:rFonts w:eastAsia="黑体"/>
          <w:kern w:val="0"/>
          <w:szCs w:val="21"/>
        </w:rPr>
      </w:pPr>
      <w:r>
        <w:rPr>
          <w:rFonts w:eastAsia="黑体"/>
          <w:kern w:val="0"/>
          <w:szCs w:val="21"/>
        </w:rPr>
        <w:t>9.1  切花采收</w:t>
      </w:r>
    </w:p>
    <w:p>
      <w:pPr>
        <w:widowControl/>
        <w:numPr>
          <w:ilvl w:val="1"/>
          <w:numId w:val="0"/>
        </w:numPr>
        <w:spacing w:line="360" w:lineRule="auto"/>
        <w:jc w:val="left"/>
        <w:outlineLvl w:val="2"/>
        <w:rPr>
          <w:rFonts w:eastAsia="黑体"/>
          <w:kern w:val="0"/>
          <w:szCs w:val="21"/>
        </w:rPr>
      </w:pPr>
      <w:r>
        <w:rPr>
          <w:rFonts w:eastAsia="黑体"/>
          <w:kern w:val="0"/>
          <w:szCs w:val="21"/>
        </w:rPr>
        <w:t>9.1.1  采收时间</w:t>
      </w:r>
    </w:p>
    <w:p>
      <w:pPr>
        <w:autoSpaceDE w:val="0"/>
        <w:autoSpaceDN w:val="0"/>
        <w:adjustRightInd w:val="0"/>
        <w:spacing w:line="360" w:lineRule="auto"/>
        <w:ind w:firstLine="420" w:firstLineChars="200"/>
        <w:rPr>
          <w:szCs w:val="21"/>
        </w:rPr>
      </w:pPr>
      <w:r>
        <w:rPr>
          <w:rFonts w:hint="eastAsia"/>
          <w:szCs w:val="21"/>
        </w:rPr>
        <w:t>宜在</w:t>
      </w:r>
      <w:r>
        <w:rPr>
          <w:szCs w:val="21"/>
        </w:rPr>
        <w:t>第一个花蕾稍微透色</w:t>
      </w:r>
      <w:r>
        <w:rPr>
          <w:rFonts w:hint="eastAsia"/>
          <w:szCs w:val="21"/>
        </w:rPr>
        <w:t>时</w:t>
      </w:r>
      <w:r>
        <w:rPr>
          <w:szCs w:val="21"/>
        </w:rPr>
        <w:t>，</w:t>
      </w:r>
      <w:r>
        <w:rPr>
          <w:kern w:val="0"/>
          <w:szCs w:val="21"/>
        </w:rPr>
        <w:t>于早晨或傍晚采收。</w:t>
      </w:r>
    </w:p>
    <w:p>
      <w:pPr>
        <w:autoSpaceDE w:val="0"/>
        <w:autoSpaceDN w:val="0"/>
        <w:adjustRightInd w:val="0"/>
        <w:spacing w:line="360" w:lineRule="auto"/>
        <w:rPr>
          <w:rFonts w:eastAsia="黑体"/>
          <w:szCs w:val="21"/>
        </w:rPr>
      </w:pPr>
      <w:r>
        <w:rPr>
          <w:rFonts w:eastAsia="黑体"/>
          <w:szCs w:val="21"/>
        </w:rPr>
        <w:t>9.1.2  采收方法</w:t>
      </w:r>
    </w:p>
    <w:p>
      <w:pPr>
        <w:widowControl/>
        <w:tabs>
          <w:tab w:val="center" w:pos="4201"/>
          <w:tab w:val="right" w:leader="dot" w:pos="9298"/>
        </w:tabs>
        <w:autoSpaceDE w:val="0"/>
        <w:autoSpaceDN w:val="0"/>
        <w:spacing w:line="360" w:lineRule="auto"/>
        <w:ind w:firstLine="420" w:firstLineChars="200"/>
        <w:rPr>
          <w:rFonts w:eastAsiaTheme="minorEastAsia"/>
          <w:kern w:val="0"/>
          <w:szCs w:val="21"/>
        </w:rPr>
      </w:pPr>
      <w:r>
        <w:rPr>
          <w:rFonts w:eastAsiaTheme="minorEastAsia"/>
          <w:kern w:val="0"/>
          <w:szCs w:val="21"/>
        </w:rPr>
        <w:t>在满足切花高度条件下</w:t>
      </w:r>
      <w:r>
        <w:rPr>
          <w:rFonts w:hint="eastAsia" w:eastAsiaTheme="minorEastAsia"/>
          <w:kern w:val="0"/>
          <w:szCs w:val="21"/>
        </w:rPr>
        <w:t>，</w:t>
      </w:r>
      <w:r>
        <w:rPr>
          <w:rFonts w:eastAsiaTheme="minorEastAsia"/>
          <w:kern w:val="0"/>
          <w:szCs w:val="21"/>
        </w:rPr>
        <w:t>保留植株15片</w:t>
      </w:r>
      <w:r>
        <w:rPr>
          <w:rFonts w:hint="eastAsia" w:eastAsiaTheme="minorEastAsia"/>
          <w:kern w:val="0"/>
          <w:szCs w:val="21"/>
        </w:rPr>
        <w:t>以上</w:t>
      </w:r>
      <w:r>
        <w:rPr>
          <w:rFonts w:eastAsiaTheme="minorEastAsia"/>
          <w:kern w:val="0"/>
          <w:szCs w:val="21"/>
        </w:rPr>
        <w:t>叶片</w:t>
      </w:r>
      <w:r>
        <w:rPr>
          <w:rFonts w:hint="eastAsia" w:eastAsiaTheme="minorEastAsia"/>
          <w:kern w:val="0"/>
          <w:szCs w:val="21"/>
        </w:rPr>
        <w:t>剪切</w:t>
      </w:r>
      <w:r>
        <w:rPr>
          <w:rFonts w:eastAsiaTheme="minorEastAsia"/>
          <w:kern w:val="0"/>
          <w:szCs w:val="21"/>
        </w:rPr>
        <w:t>。</w:t>
      </w:r>
    </w:p>
    <w:p>
      <w:pPr>
        <w:autoSpaceDE w:val="0"/>
        <w:autoSpaceDN w:val="0"/>
        <w:adjustRightInd w:val="0"/>
        <w:spacing w:line="360" w:lineRule="auto"/>
        <w:jc w:val="left"/>
        <w:rPr>
          <w:rFonts w:eastAsia="黑体"/>
          <w:szCs w:val="21"/>
        </w:rPr>
      </w:pPr>
      <w:r>
        <w:rPr>
          <w:rFonts w:eastAsia="黑体"/>
          <w:szCs w:val="21"/>
        </w:rPr>
        <w:t>9.2  分级包装</w:t>
      </w:r>
    </w:p>
    <w:p>
      <w:pPr>
        <w:autoSpaceDE w:val="0"/>
        <w:autoSpaceDN w:val="0"/>
        <w:adjustRightInd w:val="0"/>
        <w:spacing w:line="360" w:lineRule="auto"/>
        <w:ind w:firstLine="420" w:firstLineChars="200"/>
        <w:rPr>
          <w:rFonts w:eastAsiaTheme="minorEastAsia"/>
          <w:kern w:val="0"/>
          <w:szCs w:val="21"/>
        </w:rPr>
      </w:pPr>
      <w:r>
        <w:rPr>
          <w:rFonts w:hint="eastAsia" w:eastAsiaTheme="majorEastAsia"/>
          <w:color w:val="000000" w:themeColor="text1"/>
          <w:szCs w:val="21"/>
        </w:rPr>
        <w:t>分级包装按</w:t>
      </w:r>
      <w:r>
        <w:rPr>
          <w:rFonts w:eastAsiaTheme="majorEastAsia"/>
          <w:color w:val="000000" w:themeColor="text1"/>
          <w:szCs w:val="21"/>
        </w:rPr>
        <w:t>照GB/T18247.1</w:t>
      </w:r>
      <w:r>
        <w:rPr>
          <w:rFonts w:hint="eastAsia" w:eastAsiaTheme="majorEastAsia"/>
          <w:color w:val="000000" w:themeColor="text1"/>
          <w:szCs w:val="21"/>
        </w:rPr>
        <w:t>执行</w:t>
      </w:r>
      <w:r>
        <w:rPr>
          <w:rFonts w:eastAsiaTheme="majorEastAsia"/>
          <w:color w:val="000000" w:themeColor="text1"/>
          <w:szCs w:val="21"/>
        </w:rPr>
        <w:t>。</w:t>
      </w:r>
      <w:r>
        <w:rPr>
          <w:rFonts w:eastAsiaTheme="minorEastAsia"/>
          <w:szCs w:val="21"/>
        </w:rPr>
        <w:t>包装后，插入装有10 cm ～15 cm深</w:t>
      </w:r>
      <w:r>
        <w:rPr>
          <w:rFonts w:eastAsiaTheme="minorEastAsia"/>
          <w:bCs/>
          <w:szCs w:val="21"/>
        </w:rPr>
        <w:t>清水的桶中，入</w:t>
      </w:r>
      <w:r>
        <w:rPr>
          <w:rFonts w:eastAsiaTheme="minorEastAsia"/>
          <w:szCs w:val="21"/>
        </w:rPr>
        <w:t>2 ℃～4 ℃ 冷</w:t>
      </w:r>
      <w:r>
        <w:rPr>
          <w:rFonts w:eastAsiaTheme="minorEastAsia"/>
          <w:kern w:val="0"/>
          <w:szCs w:val="21"/>
        </w:rPr>
        <w:t>库内保存待售。</w:t>
      </w:r>
    </w:p>
    <w:p>
      <w:pPr>
        <w:widowControl/>
        <w:numPr>
          <w:ilvl w:val="1"/>
          <w:numId w:val="0"/>
        </w:numPr>
        <w:spacing w:line="360" w:lineRule="auto"/>
        <w:jc w:val="left"/>
        <w:outlineLvl w:val="2"/>
        <w:rPr>
          <w:rFonts w:eastAsia="黑体"/>
          <w:kern w:val="0"/>
          <w:szCs w:val="21"/>
        </w:rPr>
      </w:pPr>
      <w:r>
        <w:rPr>
          <w:rFonts w:eastAsia="黑体"/>
          <w:kern w:val="0"/>
          <w:szCs w:val="21"/>
        </w:rPr>
        <w:t>10  花后管理</w:t>
      </w:r>
    </w:p>
    <w:p>
      <w:pPr>
        <w:widowControl/>
        <w:tabs>
          <w:tab w:val="center" w:pos="4201"/>
          <w:tab w:val="right" w:leader="dot" w:pos="9298"/>
        </w:tabs>
        <w:autoSpaceDE w:val="0"/>
        <w:autoSpaceDN w:val="0"/>
        <w:spacing w:line="360" w:lineRule="auto"/>
        <w:rPr>
          <w:rFonts w:eastAsia="黑体"/>
          <w:szCs w:val="21"/>
        </w:rPr>
      </w:pPr>
      <w:r>
        <w:rPr>
          <w:rFonts w:eastAsia="黑体"/>
          <w:szCs w:val="21"/>
        </w:rPr>
        <w:t xml:space="preserve">10.1 </w:t>
      </w:r>
      <w:r>
        <w:rPr>
          <w:rFonts w:hint="eastAsia" w:eastAsia="黑体"/>
          <w:szCs w:val="21"/>
        </w:rPr>
        <w:t>消毒处理</w:t>
      </w:r>
    </w:p>
    <w:p>
      <w:pPr>
        <w:widowControl/>
        <w:tabs>
          <w:tab w:val="center" w:pos="4201"/>
          <w:tab w:val="right" w:leader="dot" w:pos="9298"/>
        </w:tabs>
        <w:autoSpaceDE w:val="0"/>
        <w:autoSpaceDN w:val="0"/>
        <w:spacing w:line="360" w:lineRule="auto"/>
        <w:ind w:firstLine="420" w:firstLineChars="200"/>
        <w:rPr>
          <w:rFonts w:eastAsiaTheme="minorEastAsia"/>
          <w:szCs w:val="21"/>
        </w:rPr>
      </w:pPr>
      <w:r>
        <w:rPr>
          <w:rFonts w:eastAsiaTheme="minorEastAsia"/>
          <w:szCs w:val="21"/>
        </w:rPr>
        <w:t>切花采收结束后，立即用40% 马啉胍·羟烯腺可溶性粉剂1000 倍～1500 倍，对采后的百合植株进行喷雾处理。</w:t>
      </w:r>
    </w:p>
    <w:p>
      <w:pPr>
        <w:widowControl/>
        <w:tabs>
          <w:tab w:val="center" w:pos="4201"/>
          <w:tab w:val="right" w:leader="dot" w:pos="9298"/>
        </w:tabs>
        <w:autoSpaceDE w:val="0"/>
        <w:autoSpaceDN w:val="0"/>
        <w:spacing w:line="360" w:lineRule="auto"/>
        <w:rPr>
          <w:rFonts w:eastAsia="黑体"/>
          <w:szCs w:val="21"/>
        </w:rPr>
      </w:pPr>
      <w:r>
        <w:rPr>
          <w:rFonts w:eastAsia="黑体"/>
          <w:szCs w:val="21"/>
        </w:rPr>
        <w:t xml:space="preserve">10.2 </w:t>
      </w:r>
      <w:r>
        <w:rPr>
          <w:rFonts w:hint="eastAsia" w:eastAsia="黑体"/>
          <w:szCs w:val="21"/>
        </w:rPr>
        <w:t>肥料管理</w:t>
      </w:r>
    </w:p>
    <w:p>
      <w:pPr>
        <w:widowControl/>
        <w:tabs>
          <w:tab w:val="center" w:pos="4201"/>
          <w:tab w:val="right" w:leader="dot" w:pos="9298"/>
        </w:tabs>
        <w:autoSpaceDE w:val="0"/>
        <w:autoSpaceDN w:val="0"/>
        <w:spacing w:line="360" w:lineRule="auto"/>
        <w:ind w:firstLine="420" w:firstLineChars="200"/>
        <w:rPr>
          <w:rFonts w:eastAsiaTheme="minorEastAsia"/>
          <w:color w:val="000000" w:themeColor="text1"/>
          <w:szCs w:val="21"/>
        </w:rPr>
      </w:pPr>
      <w:r>
        <w:rPr>
          <w:rFonts w:eastAsiaTheme="minorEastAsia"/>
          <w:szCs w:val="21"/>
        </w:rPr>
        <w:t>切花采收结束</w:t>
      </w:r>
      <w:r>
        <w:rPr>
          <w:rFonts w:hint="eastAsia" w:eastAsiaTheme="minorEastAsia"/>
          <w:szCs w:val="21"/>
        </w:rPr>
        <w:t>一周内，</w:t>
      </w:r>
      <w:r>
        <w:rPr>
          <w:rFonts w:eastAsiaTheme="minorEastAsia"/>
          <w:szCs w:val="21"/>
        </w:rPr>
        <w:t xml:space="preserve">施用尿素 </w:t>
      </w:r>
      <w:r>
        <w:rPr>
          <w:rFonts w:hint="eastAsia" w:eastAsiaTheme="minorEastAsia"/>
          <w:szCs w:val="21"/>
        </w:rPr>
        <w:t xml:space="preserve">3 </w:t>
      </w:r>
      <w:r>
        <w:rPr>
          <w:rFonts w:eastAsiaTheme="minorEastAsia"/>
          <w:szCs w:val="21"/>
        </w:rPr>
        <w:t>kg/</w:t>
      </w:r>
      <w:r>
        <w:rPr>
          <w:rFonts w:hint="eastAsia" w:asciiTheme="minorEastAsia" w:hAnsiTheme="minorEastAsia" w:eastAsiaTheme="minorEastAsia" w:cstheme="minorEastAsia"/>
          <w:kern w:val="0"/>
          <w:szCs w:val="21"/>
        </w:rPr>
        <w:t xml:space="preserve">667 </w:t>
      </w:r>
      <w:r>
        <w:rPr>
          <w:rFonts w:asciiTheme="minorEastAsia" w:hAnsiTheme="minorEastAsia" w:eastAsiaTheme="minorEastAsia" w:cstheme="minorEastAsia"/>
          <w:kern w:val="0"/>
          <w:szCs w:val="21"/>
        </w:rPr>
        <w:t>㎡</w:t>
      </w:r>
      <w:r>
        <w:rPr>
          <w:rFonts w:eastAsiaTheme="minorEastAsia"/>
          <w:szCs w:val="21"/>
        </w:rPr>
        <w:t>～</w:t>
      </w:r>
      <w:r>
        <w:rPr>
          <w:rFonts w:hint="eastAsia" w:eastAsiaTheme="minorEastAsia"/>
          <w:szCs w:val="21"/>
        </w:rPr>
        <w:t>4</w:t>
      </w:r>
      <w:r>
        <w:rPr>
          <w:rFonts w:eastAsiaTheme="minorEastAsia"/>
          <w:szCs w:val="21"/>
        </w:rPr>
        <w:t xml:space="preserve"> kg/</w:t>
      </w:r>
      <w:r>
        <w:rPr>
          <w:rFonts w:hint="eastAsia" w:asciiTheme="minorEastAsia" w:hAnsiTheme="minorEastAsia" w:eastAsiaTheme="minorEastAsia" w:cstheme="minorEastAsia"/>
          <w:kern w:val="0"/>
          <w:szCs w:val="21"/>
        </w:rPr>
        <w:t xml:space="preserve">667 </w:t>
      </w:r>
      <w:r>
        <w:rPr>
          <w:rFonts w:asciiTheme="minorEastAsia" w:hAnsiTheme="minorEastAsia" w:eastAsiaTheme="minorEastAsia" w:cstheme="minorEastAsia"/>
          <w:kern w:val="0"/>
          <w:szCs w:val="21"/>
        </w:rPr>
        <w:t>㎡</w:t>
      </w:r>
      <w:r>
        <w:rPr>
          <w:rFonts w:eastAsiaTheme="minorEastAsia"/>
          <w:szCs w:val="21"/>
        </w:rPr>
        <w:t xml:space="preserve">、硫酸钾 </w:t>
      </w:r>
      <w:r>
        <w:rPr>
          <w:rFonts w:hint="eastAsia" w:eastAsiaTheme="minorEastAsia"/>
          <w:szCs w:val="21"/>
        </w:rPr>
        <w:t xml:space="preserve">5 </w:t>
      </w:r>
      <w:r>
        <w:rPr>
          <w:rFonts w:eastAsiaTheme="minorEastAsia"/>
          <w:szCs w:val="21"/>
        </w:rPr>
        <w:t>kg/</w:t>
      </w:r>
      <w:r>
        <w:rPr>
          <w:rFonts w:hint="eastAsia" w:asciiTheme="minorEastAsia" w:hAnsiTheme="minorEastAsia" w:eastAsiaTheme="minorEastAsia" w:cstheme="minorEastAsia"/>
          <w:kern w:val="0"/>
          <w:szCs w:val="21"/>
        </w:rPr>
        <w:t xml:space="preserve">667 </w:t>
      </w:r>
      <w:r>
        <w:rPr>
          <w:rFonts w:asciiTheme="minorEastAsia" w:hAnsiTheme="minorEastAsia" w:eastAsiaTheme="minorEastAsia" w:cstheme="minorEastAsia"/>
          <w:kern w:val="0"/>
          <w:szCs w:val="21"/>
        </w:rPr>
        <w:t>㎡</w:t>
      </w:r>
      <w:r>
        <w:rPr>
          <w:rFonts w:eastAsiaTheme="minorEastAsia"/>
          <w:szCs w:val="21"/>
        </w:rPr>
        <w:t>～</w:t>
      </w:r>
      <w:r>
        <w:rPr>
          <w:rFonts w:hint="eastAsia" w:eastAsiaTheme="minorEastAsia"/>
          <w:szCs w:val="21"/>
        </w:rPr>
        <w:t>6</w:t>
      </w:r>
      <w:r>
        <w:rPr>
          <w:rFonts w:eastAsiaTheme="minorEastAsia"/>
          <w:szCs w:val="21"/>
        </w:rPr>
        <w:t xml:space="preserve"> kg/</w:t>
      </w:r>
      <w:r>
        <w:rPr>
          <w:rFonts w:hint="eastAsia" w:asciiTheme="minorEastAsia" w:hAnsiTheme="minorEastAsia" w:eastAsiaTheme="minorEastAsia" w:cstheme="minorEastAsia"/>
          <w:kern w:val="0"/>
          <w:szCs w:val="21"/>
        </w:rPr>
        <w:t xml:space="preserve">667 </w:t>
      </w:r>
      <w:r>
        <w:rPr>
          <w:rFonts w:asciiTheme="minorEastAsia" w:hAnsiTheme="minorEastAsia" w:eastAsiaTheme="minorEastAsia" w:cstheme="minorEastAsia"/>
          <w:kern w:val="0"/>
          <w:szCs w:val="21"/>
        </w:rPr>
        <w:t>㎡</w:t>
      </w:r>
      <w:r>
        <w:rPr>
          <w:rFonts w:eastAsiaTheme="minorEastAsia"/>
          <w:szCs w:val="21"/>
        </w:rPr>
        <w:t>。用 0.2 ％ 磷酸二氢钾溶液进行叶面喷肥，每隔7 d～10 d 喷一次，连喷2次。</w:t>
      </w:r>
    </w:p>
    <w:p>
      <w:pPr>
        <w:widowControl/>
        <w:tabs>
          <w:tab w:val="center" w:pos="4201"/>
          <w:tab w:val="right" w:leader="dot" w:pos="9298"/>
        </w:tabs>
        <w:autoSpaceDE w:val="0"/>
        <w:autoSpaceDN w:val="0"/>
        <w:spacing w:line="360" w:lineRule="auto"/>
        <w:rPr>
          <w:rFonts w:eastAsia="黑体"/>
          <w:szCs w:val="21"/>
        </w:rPr>
      </w:pPr>
      <w:r>
        <w:rPr>
          <w:rFonts w:eastAsia="黑体"/>
          <w:szCs w:val="21"/>
        </w:rPr>
        <w:t>10.</w:t>
      </w:r>
      <w:r>
        <w:rPr>
          <w:rFonts w:hint="eastAsia" w:eastAsia="黑体"/>
          <w:szCs w:val="21"/>
        </w:rPr>
        <w:t>3</w:t>
      </w:r>
      <w:r>
        <w:rPr>
          <w:rFonts w:eastAsia="黑体"/>
          <w:szCs w:val="21"/>
        </w:rPr>
        <w:t xml:space="preserve"> </w:t>
      </w:r>
      <w:r>
        <w:rPr>
          <w:rFonts w:hint="eastAsia" w:eastAsia="黑体"/>
          <w:szCs w:val="21"/>
        </w:rPr>
        <w:t>水分管理</w:t>
      </w:r>
    </w:p>
    <w:p>
      <w:pPr>
        <w:widowControl/>
        <w:tabs>
          <w:tab w:val="center" w:pos="4201"/>
          <w:tab w:val="right" w:leader="dot" w:pos="9298"/>
        </w:tabs>
        <w:autoSpaceDE w:val="0"/>
        <w:autoSpaceDN w:val="0"/>
        <w:spacing w:line="360" w:lineRule="auto"/>
        <w:ind w:firstLine="420" w:firstLineChars="200"/>
        <w:rPr>
          <w:rFonts w:eastAsiaTheme="minorEastAsia"/>
          <w:color w:val="000000" w:themeColor="text1"/>
          <w:szCs w:val="21"/>
        </w:rPr>
      </w:pPr>
      <w:r>
        <w:rPr>
          <w:szCs w:val="21"/>
        </w:rPr>
        <w:t>商品球收获前15d不</w:t>
      </w:r>
      <w:r>
        <w:rPr>
          <w:rFonts w:hint="eastAsia"/>
          <w:szCs w:val="21"/>
        </w:rPr>
        <w:t>应</w:t>
      </w:r>
      <w:r>
        <w:rPr>
          <w:szCs w:val="21"/>
        </w:rPr>
        <w:t>灌水，</w:t>
      </w:r>
      <w:r>
        <w:rPr>
          <w:rFonts w:eastAsiaTheme="minorEastAsia"/>
          <w:szCs w:val="21"/>
        </w:rPr>
        <w:t>水分管理参见</w:t>
      </w:r>
      <w:r>
        <w:rPr>
          <w:szCs w:val="21"/>
        </w:rPr>
        <w:t>DB32/T 2742</w:t>
      </w:r>
      <w:r>
        <w:rPr>
          <w:rFonts w:hint="eastAsia"/>
          <w:szCs w:val="21"/>
        </w:rPr>
        <w:t>中的 6.3.1</w:t>
      </w:r>
      <w:r>
        <w:rPr>
          <w:szCs w:val="21"/>
        </w:rPr>
        <w:t>。</w:t>
      </w:r>
    </w:p>
    <w:bookmarkEnd w:id="38"/>
    <w:p>
      <w:pPr>
        <w:autoSpaceDE w:val="0"/>
        <w:autoSpaceDN w:val="0"/>
        <w:adjustRightInd w:val="0"/>
        <w:spacing w:line="360" w:lineRule="auto"/>
        <w:jc w:val="left"/>
        <w:rPr>
          <w:rFonts w:eastAsia="黑体"/>
          <w:szCs w:val="21"/>
        </w:rPr>
      </w:pPr>
      <w:r>
        <w:rPr>
          <w:rFonts w:eastAsia="黑体"/>
          <w:szCs w:val="21"/>
        </w:rPr>
        <w:t>11  收获、</w:t>
      </w:r>
      <w:r>
        <w:rPr>
          <w:rFonts w:hint="eastAsia" w:eastAsia="黑体"/>
          <w:szCs w:val="21"/>
        </w:rPr>
        <w:t>分级、包装与</w:t>
      </w:r>
      <w:r>
        <w:rPr>
          <w:rFonts w:eastAsia="黑体"/>
          <w:szCs w:val="21"/>
        </w:rPr>
        <w:t>贮藏</w:t>
      </w:r>
    </w:p>
    <w:p>
      <w:pPr>
        <w:autoSpaceDE w:val="0"/>
        <w:autoSpaceDN w:val="0"/>
        <w:adjustRightInd w:val="0"/>
        <w:spacing w:line="360" w:lineRule="auto"/>
        <w:jc w:val="left"/>
        <w:rPr>
          <w:rFonts w:eastAsia="黑体"/>
          <w:szCs w:val="21"/>
        </w:rPr>
      </w:pPr>
      <w:r>
        <w:rPr>
          <w:rFonts w:eastAsia="黑体"/>
          <w:szCs w:val="21"/>
        </w:rPr>
        <w:t>11.1  收获</w:t>
      </w:r>
    </w:p>
    <w:p>
      <w:pPr>
        <w:autoSpaceDE w:val="0"/>
        <w:autoSpaceDN w:val="0"/>
        <w:adjustRightInd w:val="0"/>
        <w:spacing w:line="360" w:lineRule="auto"/>
        <w:jc w:val="left"/>
        <w:rPr>
          <w:rFonts w:eastAsia="黑体"/>
          <w:szCs w:val="21"/>
        </w:rPr>
      </w:pPr>
      <w:r>
        <w:rPr>
          <w:rFonts w:eastAsia="黑体"/>
          <w:szCs w:val="21"/>
        </w:rPr>
        <w:t>11.1.1  收获时期</w:t>
      </w:r>
    </w:p>
    <w:p>
      <w:pPr>
        <w:widowControl/>
        <w:tabs>
          <w:tab w:val="center" w:pos="4201"/>
          <w:tab w:val="right" w:leader="dot" w:pos="9298"/>
        </w:tabs>
        <w:autoSpaceDE w:val="0"/>
        <w:autoSpaceDN w:val="0"/>
        <w:spacing w:line="360" w:lineRule="auto"/>
        <w:ind w:firstLine="420" w:firstLineChars="200"/>
        <w:rPr>
          <w:rFonts w:eastAsiaTheme="minorEastAsia"/>
          <w:kern w:val="0"/>
          <w:szCs w:val="21"/>
        </w:rPr>
      </w:pPr>
      <w:r>
        <w:rPr>
          <w:rFonts w:eastAsiaTheme="minorEastAsia"/>
          <w:kern w:val="0"/>
          <w:szCs w:val="21"/>
        </w:rPr>
        <w:t>露地栽培，10月上中旬</w:t>
      </w:r>
      <w:r>
        <w:rPr>
          <w:rFonts w:hint="eastAsia" w:eastAsiaTheme="minorEastAsia"/>
          <w:kern w:val="0"/>
          <w:szCs w:val="21"/>
        </w:rPr>
        <w:t>茎、叶</w:t>
      </w:r>
      <w:r>
        <w:rPr>
          <w:rFonts w:eastAsiaTheme="minorEastAsia"/>
          <w:kern w:val="0"/>
          <w:szCs w:val="21"/>
        </w:rPr>
        <w:t>完全</w:t>
      </w:r>
      <w:r>
        <w:rPr>
          <w:rFonts w:hint="eastAsia" w:eastAsiaTheme="minorEastAsia"/>
          <w:kern w:val="0"/>
          <w:szCs w:val="21"/>
        </w:rPr>
        <w:t>干枯</w:t>
      </w:r>
      <w:r>
        <w:rPr>
          <w:rFonts w:eastAsiaTheme="minorEastAsia"/>
          <w:kern w:val="0"/>
          <w:szCs w:val="21"/>
        </w:rPr>
        <w:t>后可进行</w:t>
      </w:r>
      <w:r>
        <w:rPr>
          <w:rFonts w:hint="eastAsia" w:eastAsiaTheme="minorEastAsia"/>
          <w:kern w:val="0"/>
          <w:szCs w:val="21"/>
        </w:rPr>
        <w:t>收获</w:t>
      </w:r>
      <w:r>
        <w:rPr>
          <w:rFonts w:eastAsiaTheme="minorEastAsia"/>
          <w:kern w:val="0"/>
          <w:szCs w:val="21"/>
        </w:rPr>
        <w:t>。若遇降雨天气可延迟，应在晴天15 d 后采收。</w:t>
      </w:r>
      <w:r>
        <w:rPr>
          <w:rFonts w:hint="eastAsia" w:eastAsiaTheme="minorEastAsia"/>
          <w:kern w:val="0"/>
          <w:szCs w:val="21"/>
        </w:rPr>
        <w:t>设施栽培，9月中下旬茎、叶</w:t>
      </w:r>
      <w:r>
        <w:rPr>
          <w:rFonts w:eastAsiaTheme="minorEastAsia"/>
          <w:kern w:val="0"/>
          <w:szCs w:val="21"/>
        </w:rPr>
        <w:t>完全</w:t>
      </w:r>
      <w:r>
        <w:rPr>
          <w:rFonts w:hint="eastAsia" w:eastAsiaTheme="minorEastAsia"/>
          <w:kern w:val="0"/>
          <w:szCs w:val="21"/>
        </w:rPr>
        <w:t>干枯</w:t>
      </w:r>
      <w:r>
        <w:rPr>
          <w:rFonts w:eastAsiaTheme="minorEastAsia"/>
          <w:kern w:val="0"/>
          <w:szCs w:val="21"/>
        </w:rPr>
        <w:t>后可进行</w:t>
      </w:r>
      <w:r>
        <w:rPr>
          <w:rFonts w:hint="eastAsia" w:eastAsiaTheme="minorEastAsia"/>
          <w:kern w:val="0"/>
          <w:szCs w:val="21"/>
        </w:rPr>
        <w:t>收获</w:t>
      </w:r>
      <w:r>
        <w:rPr>
          <w:rFonts w:eastAsiaTheme="minorEastAsia"/>
          <w:kern w:val="0"/>
          <w:szCs w:val="21"/>
        </w:rPr>
        <w:t>。</w:t>
      </w:r>
    </w:p>
    <w:p>
      <w:pPr>
        <w:widowControl/>
        <w:numPr>
          <w:ilvl w:val="1"/>
          <w:numId w:val="0"/>
        </w:numPr>
        <w:spacing w:line="360" w:lineRule="auto"/>
        <w:jc w:val="left"/>
        <w:outlineLvl w:val="2"/>
        <w:rPr>
          <w:rFonts w:eastAsia="黑体"/>
          <w:kern w:val="0"/>
          <w:szCs w:val="21"/>
        </w:rPr>
      </w:pPr>
      <w:r>
        <w:rPr>
          <w:rFonts w:eastAsia="黑体"/>
          <w:kern w:val="0"/>
          <w:szCs w:val="21"/>
        </w:rPr>
        <w:t>11.1.2  收获方法</w:t>
      </w:r>
    </w:p>
    <w:p>
      <w:pPr>
        <w:widowControl/>
        <w:tabs>
          <w:tab w:val="center" w:pos="4201"/>
          <w:tab w:val="right" w:leader="dot" w:pos="9298"/>
        </w:tabs>
        <w:autoSpaceDE w:val="0"/>
        <w:autoSpaceDN w:val="0"/>
        <w:spacing w:line="360" w:lineRule="auto"/>
        <w:ind w:firstLine="420" w:firstLineChars="200"/>
        <w:rPr>
          <w:rFonts w:eastAsiaTheme="minorEastAsia"/>
          <w:kern w:val="0"/>
          <w:szCs w:val="21"/>
        </w:rPr>
      </w:pPr>
      <w:r>
        <w:rPr>
          <w:rFonts w:eastAsiaTheme="minorEastAsia"/>
          <w:kern w:val="0"/>
          <w:szCs w:val="21"/>
        </w:rPr>
        <w:t>深挖30 cm ，轻轻</w:t>
      </w:r>
      <w:r>
        <w:rPr>
          <w:rFonts w:hint="eastAsia" w:eastAsiaTheme="minorEastAsia"/>
          <w:kern w:val="0"/>
          <w:szCs w:val="21"/>
        </w:rPr>
        <w:t>去除</w:t>
      </w:r>
      <w:r>
        <w:rPr>
          <w:rFonts w:eastAsiaTheme="minorEastAsia"/>
          <w:kern w:val="0"/>
          <w:szCs w:val="21"/>
        </w:rPr>
        <w:t>根部泥土装筐，减少鳞茎损伤。</w:t>
      </w:r>
    </w:p>
    <w:p>
      <w:pPr>
        <w:widowControl/>
        <w:tabs>
          <w:tab w:val="center" w:pos="4201"/>
          <w:tab w:val="right" w:leader="dot" w:pos="9298"/>
        </w:tabs>
        <w:autoSpaceDE w:val="0"/>
        <w:autoSpaceDN w:val="0"/>
        <w:spacing w:line="360" w:lineRule="auto"/>
        <w:rPr>
          <w:rFonts w:eastAsia="黑体"/>
          <w:kern w:val="0"/>
          <w:szCs w:val="21"/>
        </w:rPr>
      </w:pPr>
      <w:r>
        <w:rPr>
          <w:rFonts w:eastAsia="黑体"/>
          <w:kern w:val="0"/>
          <w:szCs w:val="21"/>
        </w:rPr>
        <w:t xml:space="preserve">11.2  </w:t>
      </w:r>
      <w:r>
        <w:rPr>
          <w:rFonts w:hint="eastAsia" w:eastAsia="黑体"/>
          <w:kern w:val="0"/>
          <w:szCs w:val="21"/>
        </w:rPr>
        <w:t>分级</w:t>
      </w:r>
    </w:p>
    <w:p>
      <w:pPr>
        <w:widowControl/>
        <w:tabs>
          <w:tab w:val="center" w:pos="4201"/>
          <w:tab w:val="right" w:leader="dot" w:pos="9298"/>
        </w:tabs>
        <w:autoSpaceDE w:val="0"/>
        <w:autoSpaceDN w:val="0"/>
        <w:spacing w:line="360" w:lineRule="auto"/>
        <w:ind w:firstLine="420" w:firstLineChars="200"/>
        <w:rPr>
          <w:rFonts w:eastAsiaTheme="majorEastAsia"/>
          <w:kern w:val="0"/>
          <w:szCs w:val="21"/>
        </w:rPr>
      </w:pPr>
      <w:r>
        <w:rPr>
          <w:rFonts w:eastAsiaTheme="majorEastAsia"/>
          <w:kern w:val="0"/>
          <w:szCs w:val="21"/>
        </w:rPr>
        <w:t>将百合球放在</w:t>
      </w:r>
      <w:r>
        <w:rPr>
          <w:rFonts w:hint="eastAsia" w:eastAsiaTheme="majorEastAsia"/>
          <w:kern w:val="0"/>
          <w:szCs w:val="21"/>
        </w:rPr>
        <w:t>塑料</w:t>
      </w:r>
      <w:r>
        <w:rPr>
          <w:rFonts w:eastAsiaTheme="majorEastAsia"/>
          <w:kern w:val="0"/>
          <w:szCs w:val="21"/>
        </w:rPr>
        <w:t>筐中，用清水冲洗附泥及小沙石</w:t>
      </w:r>
      <w:r>
        <w:rPr>
          <w:rFonts w:hint="eastAsia" w:eastAsiaTheme="majorEastAsia"/>
          <w:kern w:val="0"/>
          <w:szCs w:val="21"/>
        </w:rPr>
        <w:t>后</w:t>
      </w:r>
      <w:r>
        <w:rPr>
          <w:rFonts w:eastAsiaTheme="majorEastAsia"/>
          <w:kern w:val="0"/>
          <w:szCs w:val="21"/>
        </w:rPr>
        <w:t>，</w:t>
      </w:r>
      <w:r>
        <w:rPr>
          <w:rFonts w:hint="eastAsia" w:eastAsiaTheme="majorEastAsia"/>
          <w:kern w:val="0"/>
          <w:szCs w:val="21"/>
        </w:rPr>
        <w:t>于阴凉处</w:t>
      </w:r>
      <w:r>
        <w:rPr>
          <w:rFonts w:eastAsiaTheme="majorEastAsia"/>
          <w:kern w:val="0"/>
          <w:szCs w:val="21"/>
        </w:rPr>
        <w:t>沥干种球表面的水分，然后进行分级。鲜食百合商品球分级参照GB/T18247.6。</w:t>
      </w:r>
    </w:p>
    <w:p>
      <w:pPr>
        <w:widowControl/>
        <w:tabs>
          <w:tab w:val="center" w:pos="4201"/>
          <w:tab w:val="right" w:leader="dot" w:pos="9298"/>
        </w:tabs>
        <w:autoSpaceDE w:val="0"/>
        <w:autoSpaceDN w:val="0"/>
        <w:spacing w:line="360" w:lineRule="auto"/>
        <w:rPr>
          <w:rFonts w:eastAsia="黑体"/>
          <w:kern w:val="0"/>
          <w:szCs w:val="21"/>
        </w:rPr>
      </w:pPr>
      <w:r>
        <w:rPr>
          <w:rFonts w:eastAsia="黑体"/>
          <w:kern w:val="0"/>
          <w:szCs w:val="21"/>
        </w:rPr>
        <w:t xml:space="preserve">11.3  </w:t>
      </w:r>
      <w:r>
        <w:rPr>
          <w:rFonts w:hint="eastAsia" w:eastAsia="黑体"/>
          <w:kern w:val="0"/>
          <w:szCs w:val="21"/>
        </w:rPr>
        <w:t>包装</w:t>
      </w:r>
    </w:p>
    <w:p>
      <w:pPr>
        <w:widowControl/>
        <w:tabs>
          <w:tab w:val="center" w:pos="4201"/>
          <w:tab w:val="right" w:leader="dot" w:pos="9298"/>
        </w:tabs>
        <w:autoSpaceDE w:val="0"/>
        <w:autoSpaceDN w:val="0"/>
        <w:spacing w:line="360" w:lineRule="auto"/>
        <w:ind w:firstLine="420" w:firstLineChars="200"/>
        <w:rPr>
          <w:rFonts w:eastAsia="黑体"/>
          <w:kern w:val="0"/>
          <w:szCs w:val="21"/>
        </w:rPr>
      </w:pPr>
      <w:r>
        <w:rPr>
          <w:rFonts w:hint="eastAsia" w:eastAsiaTheme="majorEastAsia"/>
          <w:kern w:val="0"/>
          <w:szCs w:val="21"/>
        </w:rPr>
        <w:t>以泥炭、碎木屑等基质作为填充物，与百合球同置于塑料筐内，并用薄膜包裹保湿。基质中含水量以40％</w:t>
      </w:r>
      <w:r>
        <w:rPr>
          <w:rFonts w:eastAsiaTheme="minorEastAsia"/>
          <w:szCs w:val="21"/>
        </w:rPr>
        <w:t>～</w:t>
      </w:r>
      <w:r>
        <w:rPr>
          <w:rFonts w:hint="eastAsia" w:eastAsiaTheme="majorEastAsia"/>
          <w:kern w:val="0"/>
          <w:szCs w:val="21"/>
        </w:rPr>
        <w:t>45％为宜。包装规格为：周径16 cm</w:t>
      </w:r>
      <w:r>
        <w:rPr>
          <w:rFonts w:eastAsiaTheme="minorEastAsia"/>
          <w:szCs w:val="21"/>
        </w:rPr>
        <w:t>～</w:t>
      </w:r>
      <w:r>
        <w:rPr>
          <w:rFonts w:hint="eastAsia" w:eastAsiaTheme="majorEastAsia"/>
          <w:kern w:val="0"/>
          <w:szCs w:val="21"/>
        </w:rPr>
        <w:t>18 cm的百合球，200粒／筐，周径14 cm</w:t>
      </w:r>
      <w:r>
        <w:rPr>
          <w:rFonts w:eastAsiaTheme="minorEastAsia"/>
          <w:szCs w:val="21"/>
        </w:rPr>
        <w:t>～</w:t>
      </w:r>
      <w:r>
        <w:rPr>
          <w:rFonts w:hint="eastAsia" w:eastAsiaTheme="majorEastAsia"/>
          <w:kern w:val="0"/>
          <w:szCs w:val="21"/>
        </w:rPr>
        <w:t>16 cm的百合球，300粒／筐，周径12 cm</w:t>
      </w:r>
      <w:r>
        <w:rPr>
          <w:rFonts w:eastAsiaTheme="minorEastAsia"/>
          <w:szCs w:val="21"/>
        </w:rPr>
        <w:t>～</w:t>
      </w:r>
      <w:r>
        <w:rPr>
          <w:rFonts w:hint="eastAsia" w:eastAsiaTheme="majorEastAsia"/>
          <w:kern w:val="0"/>
          <w:szCs w:val="21"/>
        </w:rPr>
        <w:t>14 cm的百合球，400粒／筐。</w:t>
      </w:r>
    </w:p>
    <w:p>
      <w:pPr>
        <w:widowControl/>
        <w:tabs>
          <w:tab w:val="center" w:pos="4201"/>
          <w:tab w:val="right" w:leader="dot" w:pos="9298"/>
        </w:tabs>
        <w:autoSpaceDE w:val="0"/>
        <w:autoSpaceDN w:val="0"/>
        <w:spacing w:line="360" w:lineRule="auto"/>
        <w:rPr>
          <w:rFonts w:eastAsia="黑体"/>
          <w:kern w:val="0"/>
          <w:szCs w:val="21"/>
        </w:rPr>
      </w:pPr>
      <w:r>
        <w:rPr>
          <w:rFonts w:eastAsia="黑体"/>
          <w:kern w:val="0"/>
          <w:szCs w:val="21"/>
        </w:rPr>
        <w:t>11.</w:t>
      </w:r>
      <w:r>
        <w:rPr>
          <w:rFonts w:hint="eastAsia" w:eastAsia="黑体"/>
          <w:kern w:val="0"/>
          <w:szCs w:val="21"/>
        </w:rPr>
        <w:t>4</w:t>
      </w:r>
      <w:r>
        <w:rPr>
          <w:rFonts w:eastAsia="黑体"/>
          <w:kern w:val="0"/>
          <w:szCs w:val="21"/>
        </w:rPr>
        <w:t xml:space="preserve">  </w:t>
      </w:r>
      <w:r>
        <w:rPr>
          <w:rFonts w:hint="eastAsia" w:eastAsia="黑体"/>
          <w:kern w:val="0"/>
          <w:szCs w:val="21"/>
        </w:rPr>
        <w:t>贮藏</w:t>
      </w:r>
    </w:p>
    <w:p>
      <w:pPr>
        <w:widowControl/>
        <w:tabs>
          <w:tab w:val="center" w:pos="4201"/>
          <w:tab w:val="right" w:leader="dot" w:pos="9298"/>
        </w:tabs>
        <w:autoSpaceDE w:val="0"/>
        <w:autoSpaceDN w:val="0"/>
        <w:spacing w:line="360" w:lineRule="auto"/>
        <w:ind w:firstLine="420" w:firstLineChars="200"/>
        <w:rPr>
          <w:rFonts w:eastAsiaTheme="majorEastAsia"/>
          <w:kern w:val="0"/>
          <w:szCs w:val="21"/>
        </w:rPr>
      </w:pPr>
      <w:r>
        <w:rPr>
          <w:rFonts w:eastAsiaTheme="majorEastAsia"/>
          <w:kern w:val="0"/>
          <w:szCs w:val="21"/>
        </w:rPr>
        <w:t>4 ℃冷库保鲜贮藏。</w:t>
      </w:r>
    </w:p>
    <w:p>
      <w:pPr>
        <w:widowControl/>
        <w:tabs>
          <w:tab w:val="center" w:pos="4201"/>
          <w:tab w:val="right" w:leader="dot" w:pos="9298"/>
        </w:tabs>
        <w:autoSpaceDE w:val="0"/>
        <w:autoSpaceDN w:val="0"/>
        <w:spacing w:line="360" w:lineRule="auto"/>
        <w:rPr>
          <w:rFonts w:eastAsia="黑体"/>
          <w:kern w:val="0"/>
          <w:szCs w:val="21"/>
        </w:rPr>
      </w:pPr>
      <w:r>
        <w:rPr>
          <w:rFonts w:eastAsia="黑体"/>
          <w:kern w:val="0"/>
          <w:szCs w:val="21"/>
        </w:rPr>
        <w:t>12  生产记录</w:t>
      </w:r>
    </w:p>
    <w:p>
      <w:pPr>
        <w:widowControl/>
        <w:tabs>
          <w:tab w:val="center" w:pos="4201"/>
          <w:tab w:val="right" w:leader="dot" w:pos="9298"/>
        </w:tabs>
        <w:autoSpaceDE w:val="0"/>
        <w:autoSpaceDN w:val="0"/>
        <w:spacing w:line="360" w:lineRule="auto"/>
        <w:ind w:firstLine="420" w:firstLineChars="200"/>
        <w:rPr>
          <w:kern w:val="0"/>
          <w:szCs w:val="21"/>
        </w:rPr>
      </w:pPr>
      <w:r>
        <w:rPr>
          <w:szCs w:val="21"/>
        </w:rPr>
        <w:t>对生产过程、投入品等实行全过程记录，记录保存时间2年以上。</w:t>
      </w:r>
    </w:p>
    <w:p>
      <w:pPr>
        <w:widowControl/>
        <w:tabs>
          <w:tab w:val="center" w:pos="4201"/>
          <w:tab w:val="right" w:leader="dot" w:pos="9298"/>
        </w:tabs>
        <w:autoSpaceDE w:val="0"/>
        <w:autoSpaceDN w:val="0"/>
        <w:spacing w:line="360" w:lineRule="auto"/>
        <w:ind w:firstLine="420" w:firstLineChars="200"/>
        <w:rPr>
          <w:kern w:val="0"/>
          <w:szCs w:val="21"/>
        </w:rPr>
      </w:pPr>
    </w:p>
    <w:p>
      <w:pPr>
        <w:widowControl/>
        <w:tabs>
          <w:tab w:val="center" w:pos="4201"/>
          <w:tab w:val="right" w:leader="dot" w:pos="9298"/>
        </w:tabs>
        <w:autoSpaceDE w:val="0"/>
        <w:autoSpaceDN w:val="0"/>
        <w:spacing w:line="360" w:lineRule="auto"/>
        <w:ind w:firstLine="420" w:firstLineChars="200"/>
        <w:rPr>
          <w:kern w:val="0"/>
          <w:szCs w:val="21"/>
        </w:rPr>
      </w:pPr>
    </w:p>
    <w:p>
      <w:pPr>
        <w:widowControl/>
        <w:tabs>
          <w:tab w:val="center" w:pos="4201"/>
          <w:tab w:val="right" w:leader="dot" w:pos="9298"/>
        </w:tabs>
        <w:autoSpaceDE w:val="0"/>
        <w:autoSpaceDN w:val="0"/>
        <w:spacing w:line="360" w:lineRule="auto"/>
        <w:ind w:firstLine="420" w:firstLineChars="200"/>
        <w:rPr>
          <w:kern w:val="0"/>
          <w:szCs w:val="21"/>
        </w:rPr>
      </w:pPr>
    </w:p>
    <w:p>
      <w:pPr>
        <w:widowControl/>
        <w:tabs>
          <w:tab w:val="center" w:pos="4201"/>
          <w:tab w:val="right" w:leader="dot" w:pos="9298"/>
        </w:tabs>
        <w:autoSpaceDE w:val="0"/>
        <w:autoSpaceDN w:val="0"/>
        <w:spacing w:line="360" w:lineRule="auto"/>
        <w:ind w:firstLine="420" w:firstLineChars="200"/>
        <w:rPr>
          <w:kern w:val="0"/>
          <w:szCs w:val="21"/>
        </w:rPr>
      </w:pPr>
    </w:p>
    <w:p>
      <w:pPr>
        <w:widowControl/>
        <w:tabs>
          <w:tab w:val="center" w:pos="4201"/>
          <w:tab w:val="right" w:leader="dot" w:pos="9298"/>
        </w:tabs>
        <w:autoSpaceDE w:val="0"/>
        <w:autoSpaceDN w:val="0"/>
        <w:spacing w:line="360" w:lineRule="auto"/>
        <w:ind w:firstLine="420" w:firstLineChars="200"/>
        <w:rPr>
          <w:kern w:val="0"/>
          <w:szCs w:val="21"/>
        </w:rPr>
      </w:pPr>
    </w:p>
    <w:p>
      <w:pPr>
        <w:widowControl/>
        <w:tabs>
          <w:tab w:val="center" w:pos="4201"/>
          <w:tab w:val="right" w:leader="dot" w:pos="9298"/>
        </w:tabs>
        <w:autoSpaceDE w:val="0"/>
        <w:autoSpaceDN w:val="0"/>
        <w:spacing w:line="360" w:lineRule="auto"/>
        <w:ind w:firstLine="420" w:firstLineChars="200"/>
        <w:rPr>
          <w:kern w:val="0"/>
          <w:szCs w:val="21"/>
        </w:rPr>
      </w:pPr>
    </w:p>
    <w:p>
      <w:pPr>
        <w:widowControl/>
        <w:tabs>
          <w:tab w:val="center" w:pos="4201"/>
          <w:tab w:val="right" w:leader="dot" w:pos="9298"/>
        </w:tabs>
        <w:autoSpaceDE w:val="0"/>
        <w:autoSpaceDN w:val="0"/>
        <w:spacing w:line="360" w:lineRule="auto"/>
        <w:ind w:firstLine="420" w:firstLineChars="200"/>
        <w:rPr>
          <w:kern w:val="0"/>
          <w:szCs w:val="21"/>
        </w:rPr>
      </w:pPr>
    </w:p>
    <w:p>
      <w:pPr>
        <w:widowControl/>
        <w:tabs>
          <w:tab w:val="center" w:pos="4201"/>
          <w:tab w:val="right" w:leader="dot" w:pos="9298"/>
        </w:tabs>
        <w:autoSpaceDE w:val="0"/>
        <w:autoSpaceDN w:val="0"/>
        <w:spacing w:line="360" w:lineRule="auto"/>
        <w:ind w:firstLine="420" w:firstLineChars="200"/>
        <w:rPr>
          <w:kern w:val="0"/>
          <w:szCs w:val="21"/>
        </w:rPr>
      </w:pPr>
    </w:p>
    <w:p>
      <w:pPr>
        <w:widowControl/>
        <w:tabs>
          <w:tab w:val="center" w:pos="4201"/>
          <w:tab w:val="right" w:leader="dot" w:pos="9298"/>
        </w:tabs>
        <w:autoSpaceDE w:val="0"/>
        <w:autoSpaceDN w:val="0"/>
        <w:spacing w:line="360" w:lineRule="auto"/>
        <w:ind w:firstLine="420" w:firstLineChars="200"/>
        <w:rPr>
          <w:kern w:val="0"/>
          <w:szCs w:val="21"/>
        </w:rPr>
      </w:pPr>
    </w:p>
    <w:p>
      <w:pPr>
        <w:widowControl/>
        <w:tabs>
          <w:tab w:val="center" w:pos="4201"/>
          <w:tab w:val="right" w:leader="dot" w:pos="9298"/>
        </w:tabs>
        <w:autoSpaceDE w:val="0"/>
        <w:autoSpaceDN w:val="0"/>
        <w:spacing w:line="360" w:lineRule="auto"/>
        <w:ind w:firstLine="420" w:firstLineChars="200"/>
        <w:rPr>
          <w:kern w:val="0"/>
          <w:szCs w:val="21"/>
        </w:rPr>
      </w:pPr>
    </w:p>
    <w:p>
      <w:pPr>
        <w:widowControl/>
        <w:tabs>
          <w:tab w:val="center" w:pos="4201"/>
          <w:tab w:val="right" w:leader="dot" w:pos="9298"/>
        </w:tabs>
        <w:autoSpaceDE w:val="0"/>
        <w:autoSpaceDN w:val="0"/>
        <w:spacing w:line="360" w:lineRule="auto"/>
        <w:ind w:firstLine="420" w:firstLineChars="200"/>
        <w:rPr>
          <w:kern w:val="0"/>
          <w:szCs w:val="21"/>
        </w:rPr>
      </w:pPr>
    </w:p>
    <w:p>
      <w:pPr>
        <w:widowControl/>
        <w:tabs>
          <w:tab w:val="center" w:pos="4201"/>
          <w:tab w:val="right" w:leader="dot" w:pos="9298"/>
        </w:tabs>
        <w:autoSpaceDE w:val="0"/>
        <w:autoSpaceDN w:val="0"/>
        <w:spacing w:line="360" w:lineRule="auto"/>
        <w:ind w:firstLine="420" w:firstLineChars="200"/>
        <w:rPr>
          <w:kern w:val="0"/>
          <w:szCs w:val="21"/>
        </w:rPr>
      </w:pPr>
    </w:p>
    <w:p>
      <w:pPr>
        <w:pStyle w:val="21"/>
        <w:spacing w:line="360" w:lineRule="auto"/>
        <w:ind w:firstLine="0" w:firstLineChars="0"/>
        <w:jc w:val="center"/>
        <w:rPr>
          <w:rFonts w:ascii="Times New Roman" w:eastAsia="黑体"/>
          <w:szCs w:val="21"/>
        </w:rPr>
      </w:pPr>
    </w:p>
    <w:p>
      <w:pPr>
        <w:pStyle w:val="21"/>
        <w:spacing w:line="360" w:lineRule="auto"/>
        <w:ind w:firstLine="0" w:firstLineChars="0"/>
        <w:jc w:val="center"/>
        <w:rPr>
          <w:rFonts w:ascii="Times New Roman" w:eastAsia="黑体"/>
          <w:szCs w:val="21"/>
        </w:rPr>
      </w:pPr>
    </w:p>
    <w:p>
      <w:pPr>
        <w:pStyle w:val="21"/>
        <w:spacing w:line="360" w:lineRule="auto"/>
        <w:ind w:firstLine="0" w:firstLineChars="0"/>
        <w:jc w:val="center"/>
        <w:rPr>
          <w:rFonts w:ascii="Times New Roman" w:eastAsia="黑体"/>
          <w:szCs w:val="21"/>
        </w:rPr>
      </w:pPr>
    </w:p>
    <w:p>
      <w:pPr>
        <w:pStyle w:val="21"/>
        <w:spacing w:line="360" w:lineRule="auto"/>
        <w:ind w:firstLine="0" w:firstLineChars="0"/>
        <w:jc w:val="center"/>
        <w:rPr>
          <w:rFonts w:ascii="Times New Roman" w:eastAsia="黑体"/>
          <w:szCs w:val="21"/>
        </w:rPr>
      </w:pPr>
    </w:p>
    <w:p>
      <w:pPr>
        <w:pStyle w:val="21"/>
        <w:spacing w:line="360" w:lineRule="auto"/>
        <w:ind w:firstLine="0" w:firstLineChars="0"/>
        <w:jc w:val="center"/>
        <w:rPr>
          <w:rFonts w:ascii="Times New Roman" w:eastAsia="黑体"/>
          <w:szCs w:val="21"/>
        </w:rPr>
      </w:pPr>
    </w:p>
    <w:p>
      <w:pPr>
        <w:pStyle w:val="21"/>
        <w:spacing w:line="360" w:lineRule="auto"/>
        <w:ind w:firstLine="0" w:firstLineChars="0"/>
        <w:jc w:val="center"/>
        <w:rPr>
          <w:rFonts w:ascii="Times New Roman" w:eastAsia="黑体"/>
          <w:szCs w:val="21"/>
        </w:rPr>
      </w:pPr>
    </w:p>
    <w:p>
      <w:pPr>
        <w:pStyle w:val="21"/>
        <w:spacing w:line="360" w:lineRule="auto"/>
        <w:ind w:firstLine="0" w:firstLineChars="0"/>
        <w:jc w:val="center"/>
        <w:rPr>
          <w:rFonts w:ascii="Times New Roman" w:eastAsia="黑体"/>
          <w:szCs w:val="21"/>
        </w:rPr>
      </w:pPr>
    </w:p>
    <w:p>
      <w:pPr>
        <w:pStyle w:val="21"/>
        <w:spacing w:line="360" w:lineRule="auto"/>
        <w:ind w:firstLine="0" w:firstLineChars="0"/>
        <w:jc w:val="center"/>
        <w:rPr>
          <w:rFonts w:ascii="Times New Roman" w:eastAsia="黑体"/>
          <w:szCs w:val="21"/>
        </w:rPr>
      </w:pPr>
    </w:p>
    <w:p>
      <w:pPr>
        <w:pStyle w:val="21"/>
        <w:spacing w:line="360" w:lineRule="auto"/>
        <w:ind w:firstLine="0" w:firstLineChars="0"/>
        <w:jc w:val="center"/>
        <w:rPr>
          <w:rFonts w:ascii="Times New Roman" w:eastAsia="黑体"/>
          <w:szCs w:val="21"/>
        </w:rPr>
      </w:pPr>
    </w:p>
    <w:p>
      <w:pPr>
        <w:pStyle w:val="21"/>
        <w:spacing w:line="360" w:lineRule="auto"/>
        <w:ind w:firstLine="0" w:firstLineChars="0"/>
        <w:jc w:val="center"/>
        <w:rPr>
          <w:rFonts w:ascii="Times New Roman" w:eastAsia="黑体"/>
          <w:szCs w:val="21"/>
        </w:rPr>
      </w:pPr>
      <w:r>
        <w:rPr>
          <w:rFonts w:ascii="Times New Roman" w:eastAsia="黑体"/>
          <w:szCs w:val="21"/>
        </w:rPr>
        <w:t>附</w:t>
      </w:r>
      <w:r>
        <w:rPr>
          <w:rFonts w:hint="eastAsia" w:ascii="Times New Roman" w:eastAsia="黑体"/>
          <w:szCs w:val="21"/>
        </w:rPr>
        <w:t xml:space="preserve"> </w:t>
      </w:r>
      <w:r>
        <w:rPr>
          <w:rFonts w:ascii="Times New Roman" w:eastAsia="黑体"/>
          <w:szCs w:val="21"/>
        </w:rPr>
        <w:t>录</w:t>
      </w:r>
      <w:r>
        <w:rPr>
          <w:rFonts w:hint="eastAsia" w:ascii="Times New Roman" w:eastAsia="黑体"/>
          <w:szCs w:val="21"/>
        </w:rPr>
        <w:t xml:space="preserve"> </w:t>
      </w:r>
      <w:r>
        <w:rPr>
          <w:rFonts w:ascii="Times New Roman" w:eastAsia="黑体"/>
          <w:szCs w:val="21"/>
        </w:rPr>
        <w:t xml:space="preserve">A </w:t>
      </w:r>
    </w:p>
    <w:p>
      <w:pPr>
        <w:pStyle w:val="21"/>
        <w:spacing w:line="360" w:lineRule="auto"/>
        <w:ind w:firstLine="0" w:firstLineChars="0"/>
        <w:jc w:val="center"/>
        <w:rPr>
          <w:rFonts w:ascii="Times New Roman" w:eastAsia="黑体"/>
          <w:szCs w:val="21"/>
        </w:rPr>
      </w:pPr>
      <w:r>
        <w:rPr>
          <w:rFonts w:ascii="Times New Roman" w:eastAsia="黑体"/>
          <w:szCs w:val="21"/>
        </w:rPr>
        <w:t>（</w:t>
      </w:r>
      <w:r>
        <w:rPr>
          <w:rFonts w:hint="eastAsia" w:ascii="Times New Roman" w:eastAsia="黑体"/>
          <w:szCs w:val="21"/>
        </w:rPr>
        <w:t>资料</w:t>
      </w:r>
      <w:r>
        <w:rPr>
          <w:rFonts w:ascii="Times New Roman" w:eastAsia="黑体"/>
          <w:szCs w:val="21"/>
        </w:rPr>
        <w:t>性）</w:t>
      </w:r>
    </w:p>
    <w:p>
      <w:pPr>
        <w:pStyle w:val="21"/>
        <w:spacing w:line="360" w:lineRule="auto"/>
        <w:ind w:firstLine="0" w:firstLineChars="0"/>
        <w:jc w:val="center"/>
        <w:rPr>
          <w:rFonts w:ascii="Times New Roman" w:eastAsia="黑体"/>
          <w:szCs w:val="21"/>
        </w:rPr>
      </w:pPr>
      <w:r>
        <w:rPr>
          <w:rFonts w:hint="eastAsia" w:ascii="Times New Roman" w:eastAsia="黑体"/>
          <w:szCs w:val="21"/>
        </w:rPr>
        <w:t>观、食兼用</w:t>
      </w:r>
      <w:r>
        <w:rPr>
          <w:rFonts w:ascii="Times New Roman" w:eastAsia="黑体"/>
          <w:szCs w:val="21"/>
        </w:rPr>
        <w:t>百合常见病害的防治方法</w:t>
      </w:r>
    </w:p>
    <w:p>
      <w:pPr>
        <w:pStyle w:val="21"/>
        <w:spacing w:line="360" w:lineRule="auto"/>
        <w:ind w:firstLine="0" w:firstLineChars="0"/>
        <w:jc w:val="left"/>
        <w:rPr>
          <w:rFonts w:ascii="Times New Roman" w:eastAsiaTheme="majorEastAsia"/>
          <w:szCs w:val="21"/>
        </w:rPr>
      </w:pPr>
      <w:r>
        <w:rPr>
          <w:rFonts w:ascii="Times New Roman" w:eastAsiaTheme="majorEastAsia"/>
          <w:szCs w:val="21"/>
        </w:rPr>
        <w:t>表 A.1规定了</w:t>
      </w:r>
      <w:r>
        <w:rPr>
          <w:rFonts w:hint="eastAsia" w:ascii="Times New Roman" w:eastAsiaTheme="majorEastAsia"/>
          <w:szCs w:val="21"/>
        </w:rPr>
        <w:t>观、食兼用</w:t>
      </w:r>
      <w:r>
        <w:rPr>
          <w:rFonts w:ascii="Times New Roman" w:eastAsiaTheme="majorEastAsia"/>
          <w:szCs w:val="21"/>
        </w:rPr>
        <w:t>百合常见病害的症状及防治方法</w:t>
      </w:r>
    </w:p>
    <w:p>
      <w:pPr>
        <w:pStyle w:val="21"/>
        <w:spacing w:line="360" w:lineRule="auto"/>
        <w:ind w:firstLine="0" w:firstLineChars="0"/>
        <w:jc w:val="center"/>
        <w:rPr>
          <w:rFonts w:ascii="Times New Roman" w:eastAsia="黑体"/>
          <w:szCs w:val="21"/>
        </w:rPr>
      </w:pPr>
      <w:r>
        <w:rPr>
          <w:rFonts w:ascii="Times New Roman" w:eastAsia="黑体"/>
          <w:szCs w:val="21"/>
        </w:rPr>
        <w:t xml:space="preserve">表 A.1  </w:t>
      </w:r>
      <w:r>
        <w:rPr>
          <w:rFonts w:hint="eastAsia" w:ascii="Times New Roman" w:eastAsia="黑体"/>
          <w:szCs w:val="21"/>
        </w:rPr>
        <w:t>观、食兼用</w:t>
      </w:r>
      <w:r>
        <w:rPr>
          <w:rFonts w:ascii="Times New Roman" w:eastAsia="黑体"/>
          <w:szCs w:val="21"/>
        </w:rPr>
        <w:t>百合常见病害的症状及防治方法</w:t>
      </w:r>
    </w:p>
    <w:tbl>
      <w:tblPr>
        <w:tblStyle w:val="29"/>
        <w:tblW w:w="99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4"/>
        <w:gridCol w:w="4304"/>
        <w:gridCol w:w="4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1304" w:type="dxa"/>
          </w:tcPr>
          <w:p>
            <w:pPr>
              <w:pStyle w:val="21"/>
              <w:spacing w:line="360" w:lineRule="auto"/>
              <w:ind w:firstLine="0" w:firstLineChars="0"/>
              <w:jc w:val="center"/>
              <w:rPr>
                <w:rFonts w:ascii="Times New Roman" w:eastAsiaTheme="minorEastAsia"/>
                <w:szCs w:val="21"/>
              </w:rPr>
            </w:pPr>
            <w:r>
              <w:rPr>
                <w:rFonts w:ascii="Times New Roman" w:eastAsiaTheme="minorEastAsia"/>
                <w:szCs w:val="21"/>
              </w:rPr>
              <w:t>病害名称</w:t>
            </w:r>
          </w:p>
        </w:tc>
        <w:tc>
          <w:tcPr>
            <w:tcW w:w="4304" w:type="dxa"/>
          </w:tcPr>
          <w:p>
            <w:pPr>
              <w:pStyle w:val="21"/>
              <w:spacing w:line="360" w:lineRule="auto"/>
              <w:ind w:firstLine="0" w:firstLineChars="0"/>
              <w:jc w:val="center"/>
              <w:rPr>
                <w:rFonts w:ascii="Times New Roman" w:eastAsiaTheme="minorEastAsia"/>
                <w:szCs w:val="21"/>
              </w:rPr>
            </w:pPr>
            <w:r>
              <w:rPr>
                <w:rFonts w:ascii="Times New Roman" w:eastAsiaTheme="minorEastAsia"/>
                <w:szCs w:val="21"/>
              </w:rPr>
              <w:t>危害部位及症状</w:t>
            </w:r>
          </w:p>
        </w:tc>
        <w:tc>
          <w:tcPr>
            <w:tcW w:w="4353" w:type="dxa"/>
          </w:tcPr>
          <w:p>
            <w:pPr>
              <w:pStyle w:val="21"/>
              <w:spacing w:line="360" w:lineRule="auto"/>
              <w:ind w:firstLine="0" w:firstLineChars="0"/>
              <w:jc w:val="center"/>
              <w:rPr>
                <w:rFonts w:ascii="Times New Roman" w:eastAsiaTheme="minorEastAsia"/>
                <w:szCs w:val="21"/>
              </w:rPr>
            </w:pPr>
            <w:r>
              <w:rPr>
                <w:rFonts w:ascii="Times New Roman" w:eastAsiaTheme="minorEastAsia"/>
                <w:szCs w:val="21"/>
              </w:rPr>
              <w:t>防治方法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1304" w:type="dxa"/>
            <w:vAlign w:val="center"/>
          </w:tcPr>
          <w:p>
            <w:pPr>
              <w:spacing w:line="360" w:lineRule="auto"/>
              <w:jc w:val="left"/>
              <w:rPr>
                <w:rFonts w:eastAsiaTheme="minorEastAsia"/>
                <w:szCs w:val="21"/>
              </w:rPr>
            </w:pPr>
            <w:r>
              <w:rPr>
                <w:rFonts w:eastAsiaTheme="minorEastAsia"/>
                <w:szCs w:val="21"/>
              </w:rPr>
              <w:t>枯萎病</w:t>
            </w:r>
          </w:p>
        </w:tc>
        <w:tc>
          <w:tcPr>
            <w:tcW w:w="4304" w:type="dxa"/>
          </w:tcPr>
          <w:p>
            <w:pPr>
              <w:pStyle w:val="21"/>
              <w:spacing w:line="360" w:lineRule="auto"/>
              <w:jc w:val="left"/>
              <w:rPr>
                <w:rFonts w:ascii="Times New Roman" w:eastAsiaTheme="minorEastAsia"/>
                <w:szCs w:val="21"/>
              </w:rPr>
            </w:pPr>
            <w:r>
              <w:rPr>
                <w:rFonts w:ascii="Times New Roman" w:eastAsiaTheme="minorEastAsia"/>
                <w:szCs w:val="21"/>
              </w:rPr>
              <w:t>主要危害鳞茎和根系，最初为底部叶片变黄脱落，严重时叶变为褐色，地上茎枯萎，鳞茎腐烂，根系烂死，最后整株枯死。</w:t>
            </w:r>
          </w:p>
          <w:p>
            <w:pPr>
              <w:spacing w:line="360" w:lineRule="auto"/>
              <w:ind w:firstLine="424" w:firstLineChars="202"/>
              <w:jc w:val="left"/>
              <w:rPr>
                <w:rFonts w:eastAsiaTheme="minorEastAsia"/>
                <w:szCs w:val="21"/>
              </w:rPr>
            </w:pPr>
            <w:r>
              <w:rPr>
                <w:rFonts w:eastAsiaTheme="minorEastAsia"/>
                <w:szCs w:val="21"/>
              </w:rPr>
              <w:t>百合枯萎病病原体主要为尖孢镰刀菌百合专化型 ，另外还有茄腐皮镰刀菌（</w:t>
            </w:r>
            <w:r>
              <w:rPr>
                <w:rFonts w:eastAsiaTheme="minorEastAsia"/>
                <w:i/>
                <w:szCs w:val="21"/>
              </w:rPr>
              <w:t>Fusarium solani</w:t>
            </w:r>
            <w:r>
              <w:rPr>
                <w:rFonts w:eastAsiaTheme="minorEastAsia"/>
                <w:szCs w:val="21"/>
              </w:rPr>
              <w:t>） 和串珠镰刀菌（</w:t>
            </w:r>
            <w:r>
              <w:rPr>
                <w:rFonts w:eastAsiaTheme="minorEastAsia"/>
                <w:i/>
                <w:szCs w:val="21"/>
              </w:rPr>
              <w:t>Fusarium moniliform</w:t>
            </w:r>
            <w:r>
              <w:rPr>
                <w:rFonts w:eastAsiaTheme="minorEastAsia"/>
                <w:szCs w:val="21"/>
              </w:rPr>
              <w:t>）等。其中尖孢镰刀菌分离频率和致病率最高，且尖孢镰刀菌有严格的寄主专一性，因而确定为尖孢镰刀菌百合专化型。该菌生长和产孢的最适温度为25℃～30℃。菌丝生长的最适pH为7.0。</w:t>
            </w:r>
          </w:p>
        </w:tc>
        <w:tc>
          <w:tcPr>
            <w:tcW w:w="4353" w:type="dxa"/>
            <w:vAlign w:val="center"/>
          </w:tcPr>
          <w:p>
            <w:pPr>
              <w:pStyle w:val="21"/>
              <w:spacing w:line="360" w:lineRule="auto"/>
              <w:ind w:firstLine="0" w:firstLineChars="0"/>
              <w:jc w:val="left"/>
              <w:rPr>
                <w:rFonts w:ascii="Times New Roman" w:eastAsiaTheme="minorEastAsia"/>
                <w:szCs w:val="21"/>
              </w:rPr>
            </w:pPr>
            <w:r>
              <w:rPr>
                <w:rFonts w:ascii="Times New Roman" w:eastAsiaTheme="minorEastAsia"/>
                <w:szCs w:val="21"/>
              </w:rPr>
              <w:t>1、选择健康种球，做好土壤和种球消毒。</w:t>
            </w:r>
          </w:p>
          <w:p>
            <w:pPr>
              <w:spacing w:line="360" w:lineRule="auto"/>
              <w:jc w:val="left"/>
              <w:rPr>
                <w:rFonts w:eastAsiaTheme="minorEastAsia"/>
                <w:szCs w:val="21"/>
              </w:rPr>
            </w:pPr>
            <w:r>
              <w:rPr>
                <w:rFonts w:eastAsiaTheme="minorEastAsia"/>
                <w:szCs w:val="21"/>
              </w:rPr>
              <w:t>2、避免偏施氮肥，施用腐熟的有机肥，提高抗病能力。</w:t>
            </w:r>
          </w:p>
          <w:p>
            <w:pPr>
              <w:spacing w:line="360" w:lineRule="auto"/>
              <w:jc w:val="left"/>
              <w:rPr>
                <w:rFonts w:eastAsiaTheme="minorEastAsia"/>
                <w:szCs w:val="21"/>
              </w:rPr>
            </w:pPr>
            <w:r>
              <w:rPr>
                <w:rFonts w:eastAsiaTheme="minorEastAsia"/>
                <w:szCs w:val="21"/>
              </w:rPr>
              <w:t>3、种植密度合理，保持良好的通风条件。</w:t>
            </w:r>
          </w:p>
          <w:p>
            <w:pPr>
              <w:spacing w:line="360" w:lineRule="auto"/>
              <w:jc w:val="left"/>
              <w:rPr>
                <w:rFonts w:eastAsiaTheme="minorEastAsia"/>
                <w:szCs w:val="21"/>
              </w:rPr>
            </w:pPr>
            <w:r>
              <w:rPr>
                <w:rFonts w:eastAsiaTheme="minorEastAsia"/>
                <w:szCs w:val="21"/>
              </w:rPr>
              <w:t>4、种植前把鳞茎浸入</w:t>
            </w:r>
            <w:r>
              <w:rPr>
                <w:rFonts w:hint="eastAsia" w:eastAsiaTheme="minorEastAsia"/>
                <w:szCs w:val="21"/>
              </w:rPr>
              <w:t>杀菌剂</w:t>
            </w:r>
            <w:r>
              <w:rPr>
                <w:rFonts w:eastAsiaTheme="minorEastAsia"/>
                <w:szCs w:val="21"/>
              </w:rPr>
              <w:t>浸泡，也可把鳞茎先用 39℃温水处理2 h，再浸入</w:t>
            </w:r>
            <w:r>
              <w:rPr>
                <w:rFonts w:hint="eastAsia" w:eastAsiaTheme="minorEastAsia"/>
                <w:szCs w:val="21"/>
              </w:rPr>
              <w:t>杀菌剂</w:t>
            </w:r>
            <w:r>
              <w:rPr>
                <w:rFonts w:eastAsiaTheme="minorEastAsia"/>
                <w:szCs w:val="21"/>
              </w:rPr>
              <w:t>浸</w:t>
            </w:r>
            <w:r>
              <w:rPr>
                <w:rFonts w:hint="eastAsia" w:eastAsiaTheme="minorEastAsia"/>
                <w:szCs w:val="21"/>
              </w:rPr>
              <w:t>泡</w:t>
            </w:r>
            <w:r>
              <w:rPr>
                <w:rFonts w:eastAsiaTheme="minorEastAsia"/>
                <w:szCs w:val="21"/>
              </w:rPr>
              <w:t>。</w:t>
            </w:r>
          </w:p>
          <w:p>
            <w:pPr>
              <w:spacing w:line="360" w:lineRule="auto"/>
              <w:jc w:val="left"/>
              <w:rPr>
                <w:rFonts w:eastAsiaTheme="minorEastAsia"/>
                <w:szCs w:val="21"/>
              </w:rPr>
            </w:pPr>
            <w:r>
              <w:rPr>
                <w:rFonts w:eastAsiaTheme="minorEastAsia"/>
                <w:szCs w:val="21"/>
              </w:rPr>
              <w:t>5、发病初期若土壤湿度大，粘重，通透差，要及时改良并晾晒，再用药。</w:t>
            </w:r>
          </w:p>
          <w:p>
            <w:pPr>
              <w:pStyle w:val="21"/>
              <w:spacing w:line="360" w:lineRule="auto"/>
              <w:ind w:firstLine="0" w:firstLineChars="0"/>
              <w:jc w:val="left"/>
              <w:rPr>
                <w:rFonts w:ascii="Times New Roman" w:eastAsiaTheme="minorEastAsia"/>
                <w:szCs w:val="21"/>
              </w:rPr>
            </w:pPr>
            <w:r>
              <w:rPr>
                <w:rFonts w:ascii="Times New Roman" w:eastAsiaTheme="minorEastAsia"/>
                <w:szCs w:val="21"/>
              </w:rPr>
              <w:t>6、及时清除病株并集中消毁，减少浸染来源。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1304" w:type="dxa"/>
            <w:vAlign w:val="center"/>
          </w:tcPr>
          <w:p>
            <w:pPr>
              <w:spacing w:line="360" w:lineRule="auto"/>
              <w:jc w:val="left"/>
              <w:rPr>
                <w:rFonts w:eastAsiaTheme="minorEastAsia"/>
                <w:szCs w:val="21"/>
              </w:rPr>
            </w:pPr>
            <w:r>
              <w:rPr>
                <w:rFonts w:eastAsiaTheme="minorEastAsia"/>
                <w:szCs w:val="21"/>
              </w:rPr>
              <w:t>病毒病</w:t>
            </w:r>
          </w:p>
        </w:tc>
        <w:tc>
          <w:tcPr>
            <w:tcW w:w="4304" w:type="dxa"/>
            <w:vAlign w:val="center"/>
          </w:tcPr>
          <w:p>
            <w:pPr>
              <w:widowControl/>
              <w:tabs>
                <w:tab w:val="center" w:pos="4201"/>
                <w:tab w:val="right" w:leader="dot" w:pos="9298"/>
              </w:tabs>
              <w:autoSpaceDE w:val="0"/>
              <w:autoSpaceDN w:val="0"/>
              <w:spacing w:line="360" w:lineRule="auto"/>
              <w:ind w:firstLine="420" w:firstLineChars="200"/>
              <w:jc w:val="left"/>
              <w:rPr>
                <w:rFonts w:eastAsiaTheme="minorEastAsia"/>
                <w:szCs w:val="21"/>
              </w:rPr>
            </w:pPr>
            <w:r>
              <w:rPr>
                <w:rFonts w:eastAsiaTheme="minorEastAsia"/>
                <w:kern w:val="0"/>
                <w:szCs w:val="21"/>
              </w:rPr>
              <w:t>常见的症状是造成花叶和黄化，严重的发生卷叶、丛生、缩顶等畸形，病株明显矮小，花蕾畸形，色泽变淡。甚至引起枯斑、环斑和组织坏死，无法开花或花朵畸形，危害严重的鳞茎变小、死亡。</w:t>
            </w:r>
          </w:p>
        </w:tc>
        <w:tc>
          <w:tcPr>
            <w:tcW w:w="4353" w:type="dxa"/>
            <w:vAlign w:val="center"/>
          </w:tcPr>
          <w:p>
            <w:pPr>
              <w:widowControl/>
              <w:tabs>
                <w:tab w:val="center" w:pos="4201"/>
                <w:tab w:val="right" w:leader="dot" w:pos="9298"/>
              </w:tabs>
              <w:autoSpaceDE w:val="0"/>
              <w:autoSpaceDN w:val="0"/>
              <w:spacing w:line="360" w:lineRule="auto"/>
              <w:jc w:val="left"/>
              <w:rPr>
                <w:rFonts w:eastAsiaTheme="minorEastAsia"/>
                <w:kern w:val="0"/>
                <w:szCs w:val="21"/>
              </w:rPr>
            </w:pPr>
            <w:r>
              <w:rPr>
                <w:rFonts w:eastAsiaTheme="minorEastAsia"/>
                <w:kern w:val="0"/>
                <w:szCs w:val="21"/>
              </w:rPr>
              <w:t>1、选择健康种球，做好土壤和种球消毒。</w:t>
            </w:r>
          </w:p>
          <w:p>
            <w:pPr>
              <w:widowControl/>
              <w:tabs>
                <w:tab w:val="center" w:pos="4201"/>
                <w:tab w:val="right" w:leader="dot" w:pos="9298"/>
              </w:tabs>
              <w:autoSpaceDE w:val="0"/>
              <w:autoSpaceDN w:val="0"/>
              <w:spacing w:line="360" w:lineRule="auto"/>
              <w:jc w:val="left"/>
              <w:rPr>
                <w:rFonts w:eastAsiaTheme="minorEastAsia"/>
                <w:kern w:val="0"/>
                <w:szCs w:val="21"/>
              </w:rPr>
            </w:pPr>
            <w:r>
              <w:rPr>
                <w:rFonts w:eastAsiaTheme="minorEastAsia"/>
                <w:kern w:val="0"/>
                <w:szCs w:val="21"/>
              </w:rPr>
              <w:t>2、避免偏施氮肥，施用腐熟的有机肥，提高抗病能力。</w:t>
            </w:r>
          </w:p>
          <w:p>
            <w:pPr>
              <w:widowControl/>
              <w:tabs>
                <w:tab w:val="center" w:pos="4201"/>
                <w:tab w:val="right" w:leader="dot" w:pos="9298"/>
              </w:tabs>
              <w:autoSpaceDE w:val="0"/>
              <w:autoSpaceDN w:val="0"/>
              <w:spacing w:line="360" w:lineRule="auto"/>
              <w:jc w:val="left"/>
              <w:rPr>
                <w:rFonts w:eastAsiaTheme="minorEastAsia"/>
                <w:kern w:val="0"/>
                <w:szCs w:val="21"/>
              </w:rPr>
            </w:pPr>
            <w:r>
              <w:rPr>
                <w:rFonts w:eastAsiaTheme="minorEastAsia"/>
                <w:kern w:val="0"/>
                <w:szCs w:val="21"/>
              </w:rPr>
              <w:t>3、避免生产区域周边有桃树等蚜虫寄主植物。</w:t>
            </w:r>
          </w:p>
          <w:p>
            <w:pPr>
              <w:widowControl/>
              <w:tabs>
                <w:tab w:val="center" w:pos="4201"/>
                <w:tab w:val="right" w:leader="dot" w:pos="9298"/>
              </w:tabs>
              <w:autoSpaceDE w:val="0"/>
              <w:autoSpaceDN w:val="0"/>
              <w:spacing w:line="360" w:lineRule="auto"/>
              <w:jc w:val="left"/>
              <w:rPr>
                <w:rFonts w:eastAsiaTheme="minorEastAsia"/>
                <w:kern w:val="0"/>
                <w:szCs w:val="21"/>
              </w:rPr>
            </w:pPr>
            <w:r>
              <w:rPr>
                <w:rFonts w:eastAsiaTheme="minorEastAsia"/>
                <w:kern w:val="0"/>
                <w:szCs w:val="21"/>
              </w:rPr>
              <w:t>4、切断传病毒传播媒介昆虫蚜虫。</w:t>
            </w:r>
          </w:p>
          <w:p>
            <w:pPr>
              <w:widowControl/>
              <w:tabs>
                <w:tab w:val="center" w:pos="4201"/>
                <w:tab w:val="right" w:leader="dot" w:pos="9298"/>
              </w:tabs>
              <w:autoSpaceDE w:val="0"/>
              <w:autoSpaceDN w:val="0"/>
              <w:spacing w:line="360" w:lineRule="auto"/>
              <w:jc w:val="left"/>
              <w:rPr>
                <w:rFonts w:eastAsiaTheme="minorEastAsia"/>
                <w:kern w:val="0"/>
                <w:szCs w:val="21"/>
              </w:rPr>
            </w:pPr>
            <w:r>
              <w:rPr>
                <w:rFonts w:eastAsiaTheme="minorEastAsia"/>
                <w:kern w:val="0"/>
                <w:szCs w:val="21"/>
              </w:rPr>
              <w:t>5、及时清除病株并集中销毁，减少浸染来源。</w:t>
            </w:r>
          </w:p>
        </w:tc>
      </w:tr>
    </w:tbl>
    <w:p>
      <w:pPr>
        <w:pStyle w:val="21"/>
        <w:spacing w:line="360" w:lineRule="auto"/>
        <w:ind w:firstLine="0" w:firstLineChars="0"/>
        <w:jc w:val="center"/>
        <w:rPr>
          <w:rFonts w:ascii="Times New Roman" w:eastAsia="黑体"/>
          <w:szCs w:val="21"/>
        </w:rPr>
      </w:pPr>
    </w:p>
    <w:p>
      <w:pPr>
        <w:pStyle w:val="21"/>
        <w:spacing w:line="360" w:lineRule="auto"/>
        <w:ind w:firstLine="0" w:firstLineChars="0"/>
        <w:jc w:val="center"/>
        <w:rPr>
          <w:rFonts w:ascii="Times New Roman" w:eastAsia="黑体"/>
          <w:szCs w:val="21"/>
        </w:rPr>
      </w:pPr>
    </w:p>
    <w:p>
      <w:pPr>
        <w:pStyle w:val="21"/>
        <w:spacing w:line="360" w:lineRule="auto"/>
        <w:ind w:firstLine="0" w:firstLineChars="0"/>
        <w:jc w:val="center"/>
        <w:rPr>
          <w:rFonts w:ascii="Times New Roman" w:eastAsia="黑体"/>
          <w:szCs w:val="21"/>
        </w:rPr>
      </w:pPr>
    </w:p>
    <w:p>
      <w:pPr>
        <w:pStyle w:val="21"/>
        <w:spacing w:line="360" w:lineRule="auto"/>
        <w:ind w:firstLine="0" w:firstLineChars="0"/>
        <w:jc w:val="center"/>
        <w:rPr>
          <w:rFonts w:ascii="Times New Roman" w:eastAsia="黑体"/>
          <w:szCs w:val="21"/>
        </w:rPr>
      </w:pPr>
    </w:p>
    <w:p>
      <w:pPr>
        <w:pStyle w:val="21"/>
        <w:spacing w:line="360" w:lineRule="auto"/>
        <w:ind w:firstLine="0" w:firstLineChars="0"/>
        <w:jc w:val="center"/>
        <w:rPr>
          <w:rFonts w:ascii="Times New Roman" w:eastAsia="黑体"/>
          <w:szCs w:val="21"/>
        </w:rPr>
      </w:pPr>
    </w:p>
    <w:p>
      <w:pPr>
        <w:pStyle w:val="21"/>
        <w:spacing w:line="360" w:lineRule="auto"/>
        <w:ind w:firstLine="0" w:firstLineChars="0"/>
        <w:jc w:val="center"/>
        <w:rPr>
          <w:rFonts w:ascii="Times New Roman" w:eastAsia="黑体"/>
          <w:szCs w:val="21"/>
        </w:rPr>
      </w:pPr>
      <w:r>
        <w:rPr>
          <w:rFonts w:ascii="Times New Roman" w:eastAsia="黑体"/>
          <w:szCs w:val="21"/>
        </w:rPr>
        <w:t xml:space="preserve">附 录 B </w:t>
      </w:r>
    </w:p>
    <w:p>
      <w:pPr>
        <w:pStyle w:val="21"/>
        <w:spacing w:line="360" w:lineRule="auto"/>
        <w:ind w:firstLine="0" w:firstLineChars="0"/>
        <w:jc w:val="center"/>
        <w:rPr>
          <w:rFonts w:ascii="Times New Roman" w:eastAsia="黑体"/>
          <w:szCs w:val="21"/>
        </w:rPr>
      </w:pPr>
      <w:r>
        <w:rPr>
          <w:rFonts w:ascii="Times New Roman" w:eastAsia="黑体"/>
          <w:szCs w:val="21"/>
        </w:rPr>
        <w:t>（</w:t>
      </w:r>
      <w:r>
        <w:rPr>
          <w:rFonts w:hint="eastAsia" w:ascii="Times New Roman" w:eastAsia="黑体"/>
          <w:szCs w:val="21"/>
        </w:rPr>
        <w:t>资料</w:t>
      </w:r>
      <w:r>
        <w:rPr>
          <w:rFonts w:ascii="Times New Roman" w:eastAsia="黑体"/>
          <w:szCs w:val="21"/>
        </w:rPr>
        <w:t>性）</w:t>
      </w:r>
    </w:p>
    <w:p>
      <w:pPr>
        <w:pStyle w:val="21"/>
        <w:spacing w:line="360" w:lineRule="auto"/>
        <w:ind w:firstLine="0" w:firstLineChars="0"/>
        <w:jc w:val="center"/>
        <w:rPr>
          <w:rFonts w:ascii="Times New Roman" w:eastAsia="黑体"/>
          <w:szCs w:val="21"/>
        </w:rPr>
      </w:pPr>
      <w:r>
        <w:rPr>
          <w:rFonts w:hint="eastAsia" w:ascii="Times New Roman" w:eastAsia="黑体"/>
          <w:szCs w:val="21"/>
        </w:rPr>
        <w:t>观、食兼用</w:t>
      </w:r>
      <w:r>
        <w:rPr>
          <w:rFonts w:ascii="Times New Roman" w:eastAsia="黑体"/>
          <w:szCs w:val="21"/>
        </w:rPr>
        <w:t>百合常见虫害的防治方法</w:t>
      </w:r>
    </w:p>
    <w:p>
      <w:pPr>
        <w:pStyle w:val="21"/>
        <w:spacing w:line="360" w:lineRule="auto"/>
        <w:ind w:firstLine="0" w:firstLineChars="0"/>
        <w:jc w:val="left"/>
        <w:rPr>
          <w:rFonts w:ascii="Times New Roman" w:eastAsiaTheme="majorEastAsia"/>
          <w:szCs w:val="21"/>
        </w:rPr>
      </w:pPr>
      <w:r>
        <w:rPr>
          <w:rFonts w:ascii="Times New Roman" w:eastAsiaTheme="majorEastAsia"/>
          <w:szCs w:val="21"/>
        </w:rPr>
        <w:t>表B.1规定了</w:t>
      </w:r>
      <w:r>
        <w:rPr>
          <w:rFonts w:hint="eastAsia" w:ascii="Times New Roman" w:eastAsiaTheme="majorEastAsia"/>
          <w:szCs w:val="21"/>
        </w:rPr>
        <w:t>观、食兼用</w:t>
      </w:r>
      <w:r>
        <w:rPr>
          <w:rFonts w:ascii="Times New Roman" w:eastAsiaTheme="majorEastAsia"/>
          <w:szCs w:val="21"/>
        </w:rPr>
        <w:t>百合常见虫害的症状及防治方法</w:t>
      </w:r>
    </w:p>
    <w:p>
      <w:pPr>
        <w:pStyle w:val="21"/>
        <w:spacing w:line="360" w:lineRule="auto"/>
        <w:ind w:firstLine="0" w:firstLineChars="0"/>
        <w:jc w:val="center"/>
        <w:rPr>
          <w:rFonts w:ascii="Times New Roman" w:eastAsia="黑体"/>
          <w:szCs w:val="21"/>
        </w:rPr>
      </w:pPr>
      <w:r>
        <w:rPr>
          <w:rFonts w:ascii="Times New Roman" w:eastAsia="黑体"/>
          <w:szCs w:val="21"/>
        </w:rPr>
        <w:t>表 B.1  观</w:t>
      </w:r>
      <w:r>
        <w:rPr>
          <w:rFonts w:hint="eastAsia" w:ascii="Times New Roman" w:eastAsia="黑体"/>
          <w:szCs w:val="21"/>
        </w:rPr>
        <w:t>、</w:t>
      </w:r>
      <w:r>
        <w:rPr>
          <w:rFonts w:ascii="Times New Roman" w:eastAsia="黑体"/>
          <w:szCs w:val="21"/>
        </w:rPr>
        <w:t>食</w:t>
      </w:r>
      <w:r>
        <w:rPr>
          <w:rFonts w:hint="eastAsia" w:ascii="Times New Roman" w:eastAsia="黑体"/>
          <w:szCs w:val="21"/>
        </w:rPr>
        <w:t>兼用</w:t>
      </w:r>
      <w:r>
        <w:rPr>
          <w:rFonts w:ascii="Times New Roman" w:eastAsia="黑体"/>
          <w:szCs w:val="21"/>
        </w:rPr>
        <w:t>百合常见虫害的症状及防治方法</w:t>
      </w:r>
    </w:p>
    <w:tbl>
      <w:tblPr>
        <w:tblStyle w:val="29"/>
        <w:tblW w:w="91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3482"/>
        <w:gridCol w:w="4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tcPr>
          <w:p>
            <w:pPr>
              <w:pStyle w:val="21"/>
              <w:spacing w:line="360" w:lineRule="auto"/>
              <w:ind w:firstLine="0" w:firstLineChars="0"/>
              <w:jc w:val="center"/>
              <w:rPr>
                <w:rFonts w:ascii="Times New Roman" w:eastAsiaTheme="minorEastAsia"/>
                <w:szCs w:val="21"/>
              </w:rPr>
            </w:pPr>
            <w:r>
              <w:rPr>
                <w:rFonts w:ascii="Times New Roman" w:eastAsiaTheme="minorEastAsia"/>
                <w:szCs w:val="21"/>
              </w:rPr>
              <w:t>虫害名称</w:t>
            </w:r>
          </w:p>
        </w:tc>
        <w:tc>
          <w:tcPr>
            <w:tcW w:w="3482" w:type="dxa"/>
          </w:tcPr>
          <w:p>
            <w:pPr>
              <w:pStyle w:val="21"/>
              <w:spacing w:line="360" w:lineRule="auto"/>
              <w:ind w:firstLine="0" w:firstLineChars="0"/>
              <w:jc w:val="center"/>
              <w:rPr>
                <w:rFonts w:ascii="Times New Roman" w:eastAsiaTheme="minorEastAsia"/>
                <w:szCs w:val="21"/>
              </w:rPr>
            </w:pPr>
            <w:r>
              <w:rPr>
                <w:rFonts w:ascii="Times New Roman" w:eastAsiaTheme="minorEastAsia"/>
                <w:szCs w:val="21"/>
              </w:rPr>
              <w:t>危害部位及症状</w:t>
            </w:r>
          </w:p>
        </w:tc>
        <w:tc>
          <w:tcPr>
            <w:tcW w:w="4155" w:type="dxa"/>
          </w:tcPr>
          <w:p>
            <w:pPr>
              <w:pStyle w:val="21"/>
              <w:spacing w:line="360" w:lineRule="auto"/>
              <w:ind w:firstLine="0" w:firstLineChars="0"/>
              <w:jc w:val="center"/>
              <w:rPr>
                <w:rFonts w:ascii="Times New Roman" w:eastAsiaTheme="minorEastAsia"/>
                <w:szCs w:val="21"/>
              </w:rPr>
            </w:pPr>
            <w:r>
              <w:rPr>
                <w:rFonts w:ascii="Times New Roman" w:eastAsiaTheme="minorEastAsia"/>
                <w:szCs w:val="21"/>
              </w:rPr>
              <w:t>防治方法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9" w:type="dxa"/>
            <w:vAlign w:val="center"/>
          </w:tcPr>
          <w:p>
            <w:pPr>
              <w:pStyle w:val="21"/>
              <w:spacing w:line="360" w:lineRule="auto"/>
              <w:ind w:firstLine="0" w:firstLineChars="0"/>
              <w:jc w:val="left"/>
              <w:rPr>
                <w:rFonts w:ascii="Times New Roman" w:eastAsiaTheme="minorEastAsia"/>
                <w:szCs w:val="21"/>
              </w:rPr>
            </w:pPr>
            <w:r>
              <w:rPr>
                <w:rFonts w:ascii="Times New Roman" w:eastAsiaTheme="minorEastAsia"/>
                <w:szCs w:val="21"/>
              </w:rPr>
              <w:t>地上害虫（蚜虫、金龟子、红蜘蛛、白粉虱等）</w:t>
            </w:r>
          </w:p>
        </w:tc>
        <w:tc>
          <w:tcPr>
            <w:tcW w:w="3482" w:type="dxa"/>
            <w:vAlign w:val="center"/>
          </w:tcPr>
          <w:p>
            <w:pPr>
              <w:pStyle w:val="21"/>
              <w:spacing w:line="360" w:lineRule="auto"/>
              <w:ind w:firstLine="210" w:firstLineChars="100"/>
              <w:jc w:val="left"/>
              <w:rPr>
                <w:rFonts w:ascii="Times New Roman" w:eastAsiaTheme="minorEastAsia"/>
                <w:szCs w:val="21"/>
              </w:rPr>
            </w:pPr>
            <w:r>
              <w:rPr>
                <w:rFonts w:ascii="Times New Roman" w:eastAsiaTheme="minorEastAsia"/>
                <w:szCs w:val="21"/>
              </w:rPr>
              <w:t>危害百合嫩叶、茎秆，常在叶片上刺吸汁液，传播病毒，使幼叶和幼芽产生绿色斑点，并使植株衰退，造成花蕾和嫩叶不易伸展，影响开花。</w:t>
            </w:r>
          </w:p>
        </w:tc>
        <w:tc>
          <w:tcPr>
            <w:tcW w:w="4155" w:type="dxa"/>
            <w:vAlign w:val="center"/>
          </w:tcPr>
          <w:p>
            <w:pPr>
              <w:pStyle w:val="21"/>
              <w:spacing w:line="360" w:lineRule="auto"/>
              <w:ind w:firstLine="0" w:firstLineChars="0"/>
              <w:jc w:val="left"/>
              <w:rPr>
                <w:rFonts w:ascii="Times New Roman" w:eastAsiaTheme="minorEastAsia"/>
                <w:szCs w:val="21"/>
              </w:rPr>
            </w:pPr>
            <w:r>
              <w:rPr>
                <w:rFonts w:ascii="Times New Roman" w:eastAsiaTheme="minorEastAsia"/>
                <w:szCs w:val="21"/>
              </w:rPr>
              <w:t>1、及时清除杂草。</w:t>
            </w:r>
          </w:p>
          <w:p>
            <w:pPr>
              <w:pStyle w:val="21"/>
              <w:spacing w:line="360" w:lineRule="auto"/>
              <w:ind w:firstLine="0" w:firstLineChars="0"/>
              <w:jc w:val="left"/>
              <w:rPr>
                <w:rFonts w:ascii="Times New Roman" w:eastAsiaTheme="minorEastAsia"/>
                <w:szCs w:val="21"/>
              </w:rPr>
            </w:pPr>
            <w:r>
              <w:rPr>
                <w:rFonts w:ascii="Times New Roman" w:eastAsiaTheme="minorEastAsia"/>
                <w:szCs w:val="21"/>
              </w:rPr>
              <w:t>2、利用捕虫板、诱杀。</w:t>
            </w:r>
          </w:p>
          <w:p>
            <w:pPr>
              <w:pStyle w:val="21"/>
              <w:spacing w:line="360" w:lineRule="auto"/>
              <w:ind w:firstLine="0" w:firstLineChars="0"/>
              <w:jc w:val="left"/>
              <w:rPr>
                <w:rFonts w:ascii="Times New Roman" w:eastAsiaTheme="minorEastAsia"/>
                <w:szCs w:val="21"/>
              </w:rPr>
            </w:pPr>
            <w:r>
              <w:rPr>
                <w:rFonts w:ascii="Times New Roman" w:eastAsiaTheme="minorEastAsia"/>
                <w:szCs w:val="21"/>
              </w:rPr>
              <w:t>3、可用阿维菌素等农药1000倍液喷杀，每隔7d喷1次，连喷2次～3次。在栽种前，用70%甲基托布津拌种。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59" w:type="dxa"/>
            <w:vAlign w:val="center"/>
          </w:tcPr>
          <w:p>
            <w:pPr>
              <w:pStyle w:val="21"/>
              <w:spacing w:line="360" w:lineRule="auto"/>
              <w:ind w:firstLine="0" w:firstLineChars="0"/>
              <w:jc w:val="left"/>
              <w:rPr>
                <w:rFonts w:ascii="Times New Roman" w:eastAsiaTheme="minorEastAsia"/>
                <w:szCs w:val="21"/>
              </w:rPr>
            </w:pPr>
            <w:r>
              <w:rPr>
                <w:rFonts w:ascii="Times New Roman" w:eastAsiaTheme="minorEastAsia"/>
                <w:szCs w:val="21"/>
              </w:rPr>
              <w:t>地下害虫（地老虎、线虫、蚊蝇类幼虫、蛴螬、蝼蛄等）</w:t>
            </w:r>
          </w:p>
        </w:tc>
        <w:tc>
          <w:tcPr>
            <w:tcW w:w="3482" w:type="dxa"/>
            <w:vAlign w:val="center"/>
          </w:tcPr>
          <w:p>
            <w:pPr>
              <w:pStyle w:val="21"/>
              <w:spacing w:line="360" w:lineRule="auto"/>
              <w:ind w:firstLine="0" w:firstLineChars="0"/>
              <w:jc w:val="left"/>
              <w:rPr>
                <w:rFonts w:ascii="Times New Roman" w:eastAsiaTheme="minorEastAsia"/>
                <w:szCs w:val="21"/>
              </w:rPr>
            </w:pPr>
            <w:r>
              <w:rPr>
                <w:rFonts w:ascii="Times New Roman" w:eastAsiaTheme="minorEastAsia"/>
                <w:szCs w:val="21"/>
              </w:rPr>
              <w:t>危害地下鳞茎及鳞茎盘，使植株根腐倒伏、死亡。危害幼嫩部位，刺吸汁液，致被害叶片增厚，僵直，变小变窄，幼茎扭曲、节间缩短，导致植株黄化，严重时枯萎死亡。</w:t>
            </w:r>
          </w:p>
        </w:tc>
        <w:tc>
          <w:tcPr>
            <w:tcW w:w="4155" w:type="dxa"/>
            <w:vAlign w:val="center"/>
          </w:tcPr>
          <w:p>
            <w:pPr>
              <w:pStyle w:val="21"/>
              <w:spacing w:line="360" w:lineRule="auto"/>
              <w:ind w:firstLine="0" w:firstLineChars="0"/>
              <w:jc w:val="left"/>
              <w:rPr>
                <w:rFonts w:ascii="Times New Roman" w:eastAsiaTheme="minorEastAsia"/>
                <w:szCs w:val="21"/>
              </w:rPr>
            </w:pPr>
            <w:r>
              <w:rPr>
                <w:rFonts w:ascii="Times New Roman" w:eastAsiaTheme="minorEastAsia"/>
                <w:szCs w:val="21"/>
              </w:rPr>
              <w:t>1、应提前进行土壤、种球消毒。</w:t>
            </w:r>
          </w:p>
          <w:p>
            <w:pPr>
              <w:pStyle w:val="21"/>
              <w:spacing w:line="360" w:lineRule="auto"/>
              <w:ind w:firstLine="0" w:firstLineChars="0"/>
              <w:jc w:val="left"/>
              <w:rPr>
                <w:rFonts w:ascii="Times New Roman" w:eastAsiaTheme="minorEastAsia"/>
                <w:szCs w:val="21"/>
              </w:rPr>
            </w:pPr>
            <w:r>
              <w:rPr>
                <w:rFonts w:ascii="Times New Roman" w:eastAsiaTheme="minorEastAsia"/>
                <w:szCs w:val="21"/>
              </w:rPr>
              <w:t>2、农家肥必须充分腐熟。</w:t>
            </w:r>
          </w:p>
          <w:p>
            <w:pPr>
              <w:pStyle w:val="21"/>
              <w:spacing w:line="360" w:lineRule="auto"/>
              <w:ind w:firstLine="0" w:firstLineChars="0"/>
              <w:jc w:val="left"/>
              <w:rPr>
                <w:rFonts w:ascii="Times New Roman" w:eastAsiaTheme="minorEastAsia"/>
                <w:szCs w:val="21"/>
              </w:rPr>
            </w:pPr>
            <w:r>
              <w:rPr>
                <w:rFonts w:ascii="Times New Roman" w:eastAsiaTheme="minorEastAsia"/>
                <w:szCs w:val="21"/>
              </w:rPr>
              <w:t>3、可用40%辛硫磷800倍液或 1.8% 阿维菌素浇灌根部，间隔10d浇灌1次，连灌4次～5次。采收前20d停止用药。</w:t>
            </w:r>
          </w:p>
        </w:tc>
      </w:tr>
    </w:tbl>
    <w:p>
      <w:pPr>
        <w:autoSpaceDE w:val="0"/>
        <w:autoSpaceDN w:val="0"/>
        <w:adjustRightInd w:val="0"/>
        <w:jc w:val="center"/>
        <w:rPr>
          <w:kern w:val="0"/>
          <w:sz w:val="20"/>
          <w:szCs w:val="20"/>
        </w:rPr>
      </w:pPr>
      <w:r>
        <w:t>_________________________________</w:t>
      </w:r>
    </w:p>
    <w:p>
      <w:pPr>
        <w:autoSpaceDE w:val="0"/>
        <w:autoSpaceDN w:val="0"/>
        <w:adjustRightInd w:val="0"/>
        <w:jc w:val="left"/>
        <w:rPr>
          <w:kern w:val="0"/>
          <w:sz w:val="20"/>
          <w:szCs w:val="20"/>
        </w:rPr>
      </w:pPr>
    </w:p>
    <w:p>
      <w:pPr>
        <w:autoSpaceDE w:val="0"/>
        <w:autoSpaceDN w:val="0"/>
        <w:adjustRightInd w:val="0"/>
        <w:jc w:val="left"/>
        <w:rPr>
          <w:rFonts w:ascii="宋体" w:cs="宋体"/>
          <w:kern w:val="0"/>
          <w:sz w:val="20"/>
          <w:szCs w:val="20"/>
        </w:rPr>
      </w:pPr>
    </w:p>
    <w:sectPr>
      <w:pgSz w:w="11906" w:h="16838"/>
      <w:pgMar w:top="567" w:right="1134" w:bottom="1134" w:left="1417"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6"/>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2"/>
    </w:pPr>
    <w:r>
      <w:fldChar w:fldCharType="begin"/>
    </w:r>
    <w:r>
      <w:instrText xml:space="preserve"> PAGE  \* MERGEFORMAT </w:instrText>
    </w:r>
    <w:r>
      <w:fldChar w:fldCharType="separate"/>
    </w:r>
    <w:r>
      <w:t>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4"/>
    </w:pPr>
    <w:r>
      <w:t>DB/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8"/>
    </w:pPr>
    <w:r>
      <w:t>DB32/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7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4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44"/>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46"/>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88"/>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9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61"/>
      <w:suff w:val="nothing"/>
      <w:lvlText w:val="%1.%2.%3　"/>
      <w:lvlJc w:val="left"/>
      <w:pPr>
        <w:ind w:left="0" w:firstLine="0"/>
      </w:pPr>
      <w:rPr>
        <w:rFonts w:hint="eastAsia" w:ascii="黑体" w:hAnsi="Times New Roman" w:eastAsia="黑体"/>
        <w:b w:val="0"/>
        <w:i w:val="0"/>
        <w:sz w:val="21"/>
      </w:rPr>
    </w:lvl>
    <w:lvl w:ilvl="3" w:tentative="0">
      <w:start w:val="1"/>
      <w:numFmt w:val="decimal"/>
      <w:pStyle w:val="60"/>
      <w:suff w:val="nothing"/>
      <w:lvlText w:val="%1.%2.%3.%4　"/>
      <w:lvlJc w:val="left"/>
      <w:pPr>
        <w:ind w:left="0" w:firstLine="0"/>
      </w:pPr>
      <w:rPr>
        <w:rFonts w:hint="eastAsia" w:ascii="黑体" w:hAnsi="Times New Roman" w:eastAsia="黑体"/>
        <w:b w:val="0"/>
        <w:i w:val="0"/>
        <w:sz w:val="21"/>
      </w:rPr>
    </w:lvl>
    <w:lvl w:ilvl="4" w:tentative="0">
      <w:start w:val="1"/>
      <w:numFmt w:val="decimal"/>
      <w:pStyle w:val="72"/>
      <w:suff w:val="nothing"/>
      <w:lvlText w:val="%1.%2.%3.%4.%5　"/>
      <w:lvlJc w:val="left"/>
      <w:pPr>
        <w:ind w:left="0" w:firstLine="0"/>
      </w:pPr>
      <w:rPr>
        <w:rFonts w:hint="eastAsia" w:ascii="黑体" w:hAnsi="Times New Roman" w:eastAsia="黑体"/>
        <w:b w:val="0"/>
        <w:i w:val="0"/>
        <w:sz w:val="21"/>
      </w:rPr>
    </w:lvl>
    <w:lvl w:ilvl="5" w:tentative="0">
      <w:start w:val="1"/>
      <w:numFmt w:val="decimal"/>
      <w:pStyle w:val="7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123"/>
      <w:suff w:val="space"/>
      <w:lvlText w:val="%1"/>
      <w:lvlJc w:val="left"/>
      <w:pPr>
        <w:ind w:left="623" w:hanging="425"/>
      </w:pPr>
      <w:rPr>
        <w:rFonts w:hint="eastAsia"/>
      </w:rPr>
    </w:lvl>
    <w:lvl w:ilvl="1" w:tentative="0">
      <w:start w:val="1"/>
      <w:numFmt w:val="decimal"/>
      <w:pStyle w:val="12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84"/>
      <w:suff w:val="nothing"/>
      <w:lvlText w:val="%1——"/>
      <w:lvlJc w:val="left"/>
      <w:pPr>
        <w:ind w:left="833" w:hanging="408"/>
      </w:pPr>
      <w:rPr>
        <w:rFonts w:hint="eastAsia"/>
      </w:rPr>
    </w:lvl>
    <w:lvl w:ilvl="1" w:tentative="0">
      <w:start w:val="1"/>
      <w:numFmt w:val="bullet"/>
      <w:pStyle w:val="66"/>
      <w:lvlText w:val=""/>
      <w:lvlJc w:val="left"/>
      <w:pPr>
        <w:tabs>
          <w:tab w:val="left" w:pos="760"/>
        </w:tabs>
        <w:ind w:left="1264" w:hanging="413"/>
      </w:pPr>
      <w:rPr>
        <w:rFonts w:hint="default" w:ascii="Symbol" w:hAnsi="Symbol"/>
        <w:color w:val="auto"/>
      </w:rPr>
    </w:lvl>
    <w:lvl w:ilvl="2" w:tentative="0">
      <w:start w:val="1"/>
      <w:numFmt w:val="bullet"/>
      <w:pStyle w:val="7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2"/>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9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47"/>
      <w:lvlText w:val="%2)"/>
      <w:lvlJc w:val="left"/>
      <w:pPr>
        <w:tabs>
          <w:tab w:val="left" w:pos="1260"/>
        </w:tabs>
        <w:ind w:left="1259" w:hanging="419"/>
      </w:pPr>
      <w:rPr>
        <w:rFonts w:hint="eastAsia"/>
      </w:rPr>
    </w:lvl>
    <w:lvl w:ilvl="2" w:tentative="0">
      <w:start w:val="1"/>
      <w:numFmt w:val="decimal"/>
      <w:pStyle w:val="93"/>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89"/>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4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67"/>
      <w:lvlText w:val="%1"/>
      <w:lvlJc w:val="left"/>
      <w:pPr>
        <w:tabs>
          <w:tab w:val="left" w:pos="0"/>
        </w:tabs>
        <w:ind w:left="0" w:hanging="425"/>
      </w:pPr>
      <w:rPr>
        <w:rFonts w:hint="eastAsia"/>
      </w:rPr>
    </w:lvl>
    <w:lvl w:ilvl="1" w:tentative="0">
      <w:start w:val="1"/>
      <w:numFmt w:val="decimal"/>
      <w:pStyle w:val="9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1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11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8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80"/>
      <w:suff w:val="nothing"/>
      <w:lvlText w:val="%1.%2.%3　"/>
      <w:lvlJc w:val="left"/>
      <w:pPr>
        <w:ind w:left="0" w:firstLine="0"/>
      </w:pPr>
      <w:rPr>
        <w:rFonts w:hint="eastAsia" w:ascii="黑体" w:hAnsi="Times New Roman" w:eastAsia="黑体"/>
        <w:b w:val="0"/>
        <w:i w:val="0"/>
        <w:sz w:val="21"/>
      </w:rPr>
    </w:lvl>
    <w:lvl w:ilvl="3" w:tentative="0">
      <w:start w:val="1"/>
      <w:numFmt w:val="decimal"/>
      <w:pStyle w:val="58"/>
      <w:suff w:val="nothing"/>
      <w:lvlText w:val="%1.%2.%3.%4　"/>
      <w:lvlJc w:val="left"/>
      <w:pPr>
        <w:ind w:left="0" w:firstLine="0"/>
      </w:pPr>
      <w:rPr>
        <w:rFonts w:hint="eastAsia" w:ascii="黑体" w:hAnsi="Times New Roman" w:eastAsia="黑体"/>
        <w:b w:val="0"/>
        <w:i w:val="0"/>
        <w:sz w:val="21"/>
      </w:rPr>
    </w:lvl>
    <w:lvl w:ilvl="4" w:tentative="0">
      <w:start w:val="1"/>
      <w:numFmt w:val="decimal"/>
      <w:pStyle w:val="57"/>
      <w:suff w:val="nothing"/>
      <w:lvlText w:val="%1.%2.%3.%4.%5　"/>
      <w:lvlJc w:val="left"/>
      <w:pPr>
        <w:ind w:left="0" w:firstLine="0"/>
      </w:pPr>
      <w:rPr>
        <w:rFonts w:hint="eastAsia" w:ascii="黑体" w:hAnsi="Times New Roman" w:eastAsia="黑体"/>
        <w:b w:val="0"/>
        <w:i w:val="0"/>
        <w:sz w:val="21"/>
      </w:rPr>
    </w:lvl>
    <w:lvl w:ilvl="5" w:tentative="0">
      <w:start w:val="1"/>
      <w:numFmt w:val="decimal"/>
      <w:pStyle w:val="56"/>
      <w:suff w:val="nothing"/>
      <w:lvlText w:val="%1.%2.%3.%4.%5.%6　"/>
      <w:lvlJc w:val="left"/>
      <w:pPr>
        <w:ind w:left="0" w:firstLine="0"/>
      </w:pPr>
      <w:rPr>
        <w:rFonts w:hint="eastAsia" w:ascii="黑体" w:hAnsi="Times New Roman" w:eastAsia="黑体"/>
        <w:b w:val="0"/>
        <w:i w:val="0"/>
        <w:sz w:val="21"/>
      </w:rPr>
    </w:lvl>
    <w:lvl w:ilvl="6" w:tentative="0">
      <w:start w:val="1"/>
      <w:numFmt w:val="decimal"/>
      <w:pStyle w:val="5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18"/>
      <w:lvlText w:val="%1)"/>
      <w:lvlJc w:val="left"/>
      <w:pPr>
        <w:tabs>
          <w:tab w:val="left" w:pos="839"/>
        </w:tabs>
        <w:ind w:left="839" w:hanging="419"/>
      </w:pPr>
      <w:rPr>
        <w:rFonts w:hint="eastAsia" w:ascii="宋体" w:eastAsia="宋体"/>
        <w:b w:val="0"/>
        <w:i w:val="0"/>
        <w:sz w:val="21"/>
      </w:rPr>
    </w:lvl>
    <w:lvl w:ilvl="1" w:tentative="0">
      <w:start w:val="1"/>
      <w:numFmt w:val="decimal"/>
      <w:pStyle w:val="8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79"/>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1"/>
  </w:num>
  <w:num w:numId="3">
    <w:abstractNumId w:val="2"/>
  </w:num>
  <w:num w:numId="4">
    <w:abstractNumId w:val="3"/>
  </w:num>
  <w:num w:numId="5">
    <w:abstractNumId w:val="9"/>
  </w:num>
  <w:num w:numId="6">
    <w:abstractNumId w:val="11"/>
  </w:num>
  <w:num w:numId="7">
    <w:abstractNumId w:val="14"/>
  </w:num>
  <w:num w:numId="8">
    <w:abstractNumId w:val="5"/>
  </w:num>
  <w:num w:numId="9">
    <w:abstractNumId w:val="7"/>
  </w:num>
  <w:num w:numId="10">
    <w:abstractNumId w:val="12"/>
  </w:num>
  <w:num w:numId="11">
    <w:abstractNumId w:val="0"/>
  </w:num>
  <w:num w:numId="12">
    <w:abstractNumId w:val="16"/>
  </w:num>
  <w:num w:numId="13">
    <w:abstractNumId w:val="15"/>
  </w:num>
  <w:num w:numId="14">
    <w:abstractNumId w:val="4"/>
  </w:num>
  <w:num w:numId="15">
    <w:abstractNumId w:val="10"/>
  </w:num>
  <w:num w:numId="16">
    <w:abstractNumId w:val="1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DT6xO5/pczTLnbwTB1O5X8wuTW8=" w:salt="l+1YRb4HUm8p9DCDr2Pjlw=="/>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mVmNDNkOWUxODQ5YzRjYzI2Mjk0ZTQ4NGE4MDc3ZDUifQ=="/>
  </w:docVars>
  <w:rsids>
    <w:rsidRoot w:val="00035925"/>
    <w:rsid w:val="00000244"/>
    <w:rsid w:val="0000185F"/>
    <w:rsid w:val="0000586F"/>
    <w:rsid w:val="00013D86"/>
    <w:rsid w:val="00013E02"/>
    <w:rsid w:val="00016696"/>
    <w:rsid w:val="00016E63"/>
    <w:rsid w:val="000203B6"/>
    <w:rsid w:val="0002143C"/>
    <w:rsid w:val="00022D0A"/>
    <w:rsid w:val="00025A65"/>
    <w:rsid w:val="00025BCC"/>
    <w:rsid w:val="00025E02"/>
    <w:rsid w:val="00026C31"/>
    <w:rsid w:val="00027280"/>
    <w:rsid w:val="0002752C"/>
    <w:rsid w:val="000320A7"/>
    <w:rsid w:val="00035925"/>
    <w:rsid w:val="000375B6"/>
    <w:rsid w:val="0005291D"/>
    <w:rsid w:val="000536BD"/>
    <w:rsid w:val="00057477"/>
    <w:rsid w:val="00060428"/>
    <w:rsid w:val="00061634"/>
    <w:rsid w:val="00067CDF"/>
    <w:rsid w:val="00074165"/>
    <w:rsid w:val="000743F4"/>
    <w:rsid w:val="00074FBE"/>
    <w:rsid w:val="00076DAA"/>
    <w:rsid w:val="00080C14"/>
    <w:rsid w:val="00082FB7"/>
    <w:rsid w:val="00083A09"/>
    <w:rsid w:val="00083F15"/>
    <w:rsid w:val="0009005E"/>
    <w:rsid w:val="00092857"/>
    <w:rsid w:val="000979AB"/>
    <w:rsid w:val="000A20A9"/>
    <w:rsid w:val="000A3A42"/>
    <w:rsid w:val="000A4693"/>
    <w:rsid w:val="000A48B1"/>
    <w:rsid w:val="000A5BE6"/>
    <w:rsid w:val="000A7256"/>
    <w:rsid w:val="000B3143"/>
    <w:rsid w:val="000B4411"/>
    <w:rsid w:val="000C0806"/>
    <w:rsid w:val="000C1D74"/>
    <w:rsid w:val="000C255F"/>
    <w:rsid w:val="000C2D66"/>
    <w:rsid w:val="000C330C"/>
    <w:rsid w:val="000C4663"/>
    <w:rsid w:val="000C6B05"/>
    <w:rsid w:val="000C6DD6"/>
    <w:rsid w:val="000C6EBA"/>
    <w:rsid w:val="000C73D4"/>
    <w:rsid w:val="000D3D4C"/>
    <w:rsid w:val="000D4CD0"/>
    <w:rsid w:val="000D4F51"/>
    <w:rsid w:val="000D5950"/>
    <w:rsid w:val="000D718B"/>
    <w:rsid w:val="000D73A8"/>
    <w:rsid w:val="000E0C46"/>
    <w:rsid w:val="000E1679"/>
    <w:rsid w:val="000E4264"/>
    <w:rsid w:val="000E7E85"/>
    <w:rsid w:val="000F030C"/>
    <w:rsid w:val="000F129C"/>
    <w:rsid w:val="000F56E5"/>
    <w:rsid w:val="00103FC9"/>
    <w:rsid w:val="001056DE"/>
    <w:rsid w:val="00107395"/>
    <w:rsid w:val="001124C0"/>
    <w:rsid w:val="00113099"/>
    <w:rsid w:val="00117D8F"/>
    <w:rsid w:val="00123783"/>
    <w:rsid w:val="0013175F"/>
    <w:rsid w:val="00140FA3"/>
    <w:rsid w:val="001419F2"/>
    <w:rsid w:val="00141D84"/>
    <w:rsid w:val="00142EF3"/>
    <w:rsid w:val="001466BB"/>
    <w:rsid w:val="00150DD3"/>
    <w:rsid w:val="001512B4"/>
    <w:rsid w:val="00151F4B"/>
    <w:rsid w:val="001543C6"/>
    <w:rsid w:val="001620A5"/>
    <w:rsid w:val="00163E66"/>
    <w:rsid w:val="00164288"/>
    <w:rsid w:val="00164E53"/>
    <w:rsid w:val="0016699D"/>
    <w:rsid w:val="00171D59"/>
    <w:rsid w:val="00172C87"/>
    <w:rsid w:val="00175159"/>
    <w:rsid w:val="00176208"/>
    <w:rsid w:val="0018197C"/>
    <w:rsid w:val="0018211B"/>
    <w:rsid w:val="001840D3"/>
    <w:rsid w:val="00186979"/>
    <w:rsid w:val="00186FC4"/>
    <w:rsid w:val="001900F8"/>
    <w:rsid w:val="00190C83"/>
    <w:rsid w:val="00191258"/>
    <w:rsid w:val="00192680"/>
    <w:rsid w:val="00192C9F"/>
    <w:rsid w:val="00193037"/>
    <w:rsid w:val="00193A2C"/>
    <w:rsid w:val="00194182"/>
    <w:rsid w:val="001A1A17"/>
    <w:rsid w:val="001A288E"/>
    <w:rsid w:val="001B0EEE"/>
    <w:rsid w:val="001B16DD"/>
    <w:rsid w:val="001B24BA"/>
    <w:rsid w:val="001B42B1"/>
    <w:rsid w:val="001B6538"/>
    <w:rsid w:val="001B6DC2"/>
    <w:rsid w:val="001C0A7A"/>
    <w:rsid w:val="001C149C"/>
    <w:rsid w:val="001C1CEA"/>
    <w:rsid w:val="001C21AC"/>
    <w:rsid w:val="001C2C12"/>
    <w:rsid w:val="001C47BA"/>
    <w:rsid w:val="001C59EA"/>
    <w:rsid w:val="001C5DA3"/>
    <w:rsid w:val="001C7C43"/>
    <w:rsid w:val="001D2B0A"/>
    <w:rsid w:val="001D406C"/>
    <w:rsid w:val="001D41EE"/>
    <w:rsid w:val="001D533B"/>
    <w:rsid w:val="001E0380"/>
    <w:rsid w:val="001E13B1"/>
    <w:rsid w:val="001E5A6D"/>
    <w:rsid w:val="001E6A2B"/>
    <w:rsid w:val="001F0DBE"/>
    <w:rsid w:val="001F17EB"/>
    <w:rsid w:val="001F1E7E"/>
    <w:rsid w:val="001F2CD7"/>
    <w:rsid w:val="001F3A19"/>
    <w:rsid w:val="001F544A"/>
    <w:rsid w:val="00200369"/>
    <w:rsid w:val="00201EA9"/>
    <w:rsid w:val="002071D8"/>
    <w:rsid w:val="00220A6C"/>
    <w:rsid w:val="00222061"/>
    <w:rsid w:val="00222A3D"/>
    <w:rsid w:val="002278C4"/>
    <w:rsid w:val="00234467"/>
    <w:rsid w:val="00237D8D"/>
    <w:rsid w:val="00240200"/>
    <w:rsid w:val="00241890"/>
    <w:rsid w:val="00241DA2"/>
    <w:rsid w:val="00243C75"/>
    <w:rsid w:val="00244FFD"/>
    <w:rsid w:val="00247FEE"/>
    <w:rsid w:val="00250E7D"/>
    <w:rsid w:val="002537D7"/>
    <w:rsid w:val="002565D5"/>
    <w:rsid w:val="00257E9C"/>
    <w:rsid w:val="002606A3"/>
    <w:rsid w:val="002622C0"/>
    <w:rsid w:val="00263D0B"/>
    <w:rsid w:val="002656F4"/>
    <w:rsid w:val="002659C1"/>
    <w:rsid w:val="0026634A"/>
    <w:rsid w:val="00276C67"/>
    <w:rsid w:val="002778AE"/>
    <w:rsid w:val="00280C84"/>
    <w:rsid w:val="00282342"/>
    <w:rsid w:val="0028269A"/>
    <w:rsid w:val="00283590"/>
    <w:rsid w:val="002848E9"/>
    <w:rsid w:val="00286973"/>
    <w:rsid w:val="002924CD"/>
    <w:rsid w:val="00294E70"/>
    <w:rsid w:val="0029763F"/>
    <w:rsid w:val="002A0A5B"/>
    <w:rsid w:val="002A0FFA"/>
    <w:rsid w:val="002A1924"/>
    <w:rsid w:val="002A5AE0"/>
    <w:rsid w:val="002A5BB6"/>
    <w:rsid w:val="002A7420"/>
    <w:rsid w:val="002B0F12"/>
    <w:rsid w:val="002B1308"/>
    <w:rsid w:val="002B27E5"/>
    <w:rsid w:val="002B3369"/>
    <w:rsid w:val="002B3B24"/>
    <w:rsid w:val="002B4554"/>
    <w:rsid w:val="002B4AA9"/>
    <w:rsid w:val="002B650C"/>
    <w:rsid w:val="002C72D8"/>
    <w:rsid w:val="002D11FA"/>
    <w:rsid w:val="002D1E90"/>
    <w:rsid w:val="002D3B4D"/>
    <w:rsid w:val="002D3C08"/>
    <w:rsid w:val="002D4114"/>
    <w:rsid w:val="002D7DD9"/>
    <w:rsid w:val="002E0DDF"/>
    <w:rsid w:val="002E2906"/>
    <w:rsid w:val="002E2FAB"/>
    <w:rsid w:val="002E5635"/>
    <w:rsid w:val="002E64C3"/>
    <w:rsid w:val="002E6A2C"/>
    <w:rsid w:val="002F1D8C"/>
    <w:rsid w:val="002F21DA"/>
    <w:rsid w:val="002F2CD7"/>
    <w:rsid w:val="002F4A78"/>
    <w:rsid w:val="002F55FF"/>
    <w:rsid w:val="00301F39"/>
    <w:rsid w:val="00317133"/>
    <w:rsid w:val="00324DCC"/>
    <w:rsid w:val="00325926"/>
    <w:rsid w:val="00327A8A"/>
    <w:rsid w:val="00336610"/>
    <w:rsid w:val="003368FA"/>
    <w:rsid w:val="00341B61"/>
    <w:rsid w:val="00343F73"/>
    <w:rsid w:val="00343F9D"/>
    <w:rsid w:val="00345060"/>
    <w:rsid w:val="00345C83"/>
    <w:rsid w:val="00350180"/>
    <w:rsid w:val="00350742"/>
    <w:rsid w:val="0035323B"/>
    <w:rsid w:val="003609D2"/>
    <w:rsid w:val="00363F22"/>
    <w:rsid w:val="00365C00"/>
    <w:rsid w:val="00371158"/>
    <w:rsid w:val="00375564"/>
    <w:rsid w:val="00380D44"/>
    <w:rsid w:val="00383191"/>
    <w:rsid w:val="00386225"/>
    <w:rsid w:val="00386DED"/>
    <w:rsid w:val="00387179"/>
    <w:rsid w:val="00387983"/>
    <w:rsid w:val="00387A2A"/>
    <w:rsid w:val="003912E7"/>
    <w:rsid w:val="00393947"/>
    <w:rsid w:val="00395B78"/>
    <w:rsid w:val="003960CA"/>
    <w:rsid w:val="003A0E8B"/>
    <w:rsid w:val="003A2275"/>
    <w:rsid w:val="003A6A4F"/>
    <w:rsid w:val="003A6E8F"/>
    <w:rsid w:val="003A7088"/>
    <w:rsid w:val="003A760F"/>
    <w:rsid w:val="003B00DF"/>
    <w:rsid w:val="003B1275"/>
    <w:rsid w:val="003B1778"/>
    <w:rsid w:val="003B5441"/>
    <w:rsid w:val="003C032F"/>
    <w:rsid w:val="003C1104"/>
    <w:rsid w:val="003C11CB"/>
    <w:rsid w:val="003C3AA2"/>
    <w:rsid w:val="003C5617"/>
    <w:rsid w:val="003C6F76"/>
    <w:rsid w:val="003C75F3"/>
    <w:rsid w:val="003C75F4"/>
    <w:rsid w:val="003C76BC"/>
    <w:rsid w:val="003C78A3"/>
    <w:rsid w:val="003D15B5"/>
    <w:rsid w:val="003D2F41"/>
    <w:rsid w:val="003E0C24"/>
    <w:rsid w:val="003E1867"/>
    <w:rsid w:val="003E26A5"/>
    <w:rsid w:val="003E4042"/>
    <w:rsid w:val="003E5729"/>
    <w:rsid w:val="003E7E5B"/>
    <w:rsid w:val="003F18FC"/>
    <w:rsid w:val="003F4EE0"/>
    <w:rsid w:val="00402153"/>
    <w:rsid w:val="00402FC1"/>
    <w:rsid w:val="0040470B"/>
    <w:rsid w:val="0040601C"/>
    <w:rsid w:val="0040631E"/>
    <w:rsid w:val="004202C0"/>
    <w:rsid w:val="004207A2"/>
    <w:rsid w:val="0042141C"/>
    <w:rsid w:val="0042274E"/>
    <w:rsid w:val="00425082"/>
    <w:rsid w:val="00431DEB"/>
    <w:rsid w:val="004344D7"/>
    <w:rsid w:val="00435846"/>
    <w:rsid w:val="004360DB"/>
    <w:rsid w:val="004412C5"/>
    <w:rsid w:val="004460DC"/>
    <w:rsid w:val="00446B29"/>
    <w:rsid w:val="004472D6"/>
    <w:rsid w:val="00447E89"/>
    <w:rsid w:val="00453F9A"/>
    <w:rsid w:val="00465B9E"/>
    <w:rsid w:val="00467D16"/>
    <w:rsid w:val="00467EFF"/>
    <w:rsid w:val="00471E91"/>
    <w:rsid w:val="00472B42"/>
    <w:rsid w:val="00474675"/>
    <w:rsid w:val="0047470C"/>
    <w:rsid w:val="004751D6"/>
    <w:rsid w:val="00477820"/>
    <w:rsid w:val="00490336"/>
    <w:rsid w:val="004948CC"/>
    <w:rsid w:val="004A041E"/>
    <w:rsid w:val="004A12A8"/>
    <w:rsid w:val="004A1D88"/>
    <w:rsid w:val="004A2BC2"/>
    <w:rsid w:val="004A35F9"/>
    <w:rsid w:val="004B0EDD"/>
    <w:rsid w:val="004B24C1"/>
    <w:rsid w:val="004B47D3"/>
    <w:rsid w:val="004B6B97"/>
    <w:rsid w:val="004C292F"/>
    <w:rsid w:val="004C315C"/>
    <w:rsid w:val="004C456A"/>
    <w:rsid w:val="004C5566"/>
    <w:rsid w:val="004C646E"/>
    <w:rsid w:val="004C7630"/>
    <w:rsid w:val="004D32C1"/>
    <w:rsid w:val="004E6406"/>
    <w:rsid w:val="004F313B"/>
    <w:rsid w:val="004F469F"/>
    <w:rsid w:val="00505C22"/>
    <w:rsid w:val="00505E7F"/>
    <w:rsid w:val="00507A2F"/>
    <w:rsid w:val="00510280"/>
    <w:rsid w:val="00510A0E"/>
    <w:rsid w:val="00513D73"/>
    <w:rsid w:val="005145CE"/>
    <w:rsid w:val="00514A43"/>
    <w:rsid w:val="0051702E"/>
    <w:rsid w:val="005174E5"/>
    <w:rsid w:val="00522393"/>
    <w:rsid w:val="00522620"/>
    <w:rsid w:val="00525656"/>
    <w:rsid w:val="00525B4C"/>
    <w:rsid w:val="00525E87"/>
    <w:rsid w:val="00530425"/>
    <w:rsid w:val="00531AB8"/>
    <w:rsid w:val="005336D9"/>
    <w:rsid w:val="00534C02"/>
    <w:rsid w:val="005406A6"/>
    <w:rsid w:val="0054149E"/>
    <w:rsid w:val="0054264B"/>
    <w:rsid w:val="00543786"/>
    <w:rsid w:val="00543C77"/>
    <w:rsid w:val="0054473B"/>
    <w:rsid w:val="005520F2"/>
    <w:rsid w:val="005533D7"/>
    <w:rsid w:val="005542CE"/>
    <w:rsid w:val="00556D71"/>
    <w:rsid w:val="00561743"/>
    <w:rsid w:val="0056355E"/>
    <w:rsid w:val="005703DE"/>
    <w:rsid w:val="00577115"/>
    <w:rsid w:val="0058464E"/>
    <w:rsid w:val="00584E49"/>
    <w:rsid w:val="0058508A"/>
    <w:rsid w:val="00591BAD"/>
    <w:rsid w:val="00594137"/>
    <w:rsid w:val="005A01CB"/>
    <w:rsid w:val="005A2E5B"/>
    <w:rsid w:val="005A32D8"/>
    <w:rsid w:val="005A58FF"/>
    <w:rsid w:val="005A5EAF"/>
    <w:rsid w:val="005A64C0"/>
    <w:rsid w:val="005A7F10"/>
    <w:rsid w:val="005B0989"/>
    <w:rsid w:val="005B3C11"/>
    <w:rsid w:val="005B5E10"/>
    <w:rsid w:val="005C1C28"/>
    <w:rsid w:val="005C6DB5"/>
    <w:rsid w:val="005D5562"/>
    <w:rsid w:val="005D5CD3"/>
    <w:rsid w:val="005D7EDE"/>
    <w:rsid w:val="005E19E7"/>
    <w:rsid w:val="005E4596"/>
    <w:rsid w:val="005E55B4"/>
    <w:rsid w:val="005E78EE"/>
    <w:rsid w:val="005E7C30"/>
    <w:rsid w:val="005F2226"/>
    <w:rsid w:val="005F239E"/>
    <w:rsid w:val="005F2A7E"/>
    <w:rsid w:val="005F5337"/>
    <w:rsid w:val="005F6F62"/>
    <w:rsid w:val="005F7873"/>
    <w:rsid w:val="006056FF"/>
    <w:rsid w:val="00614267"/>
    <w:rsid w:val="00614A69"/>
    <w:rsid w:val="006162DB"/>
    <w:rsid w:val="0061716C"/>
    <w:rsid w:val="006171B7"/>
    <w:rsid w:val="00624186"/>
    <w:rsid w:val="006243A1"/>
    <w:rsid w:val="006274F1"/>
    <w:rsid w:val="00630673"/>
    <w:rsid w:val="00632E56"/>
    <w:rsid w:val="00635CBA"/>
    <w:rsid w:val="00636E27"/>
    <w:rsid w:val="0064338B"/>
    <w:rsid w:val="00644A5C"/>
    <w:rsid w:val="00644F05"/>
    <w:rsid w:val="00646542"/>
    <w:rsid w:val="006504F4"/>
    <w:rsid w:val="00654BC9"/>
    <w:rsid w:val="006552FD"/>
    <w:rsid w:val="00655346"/>
    <w:rsid w:val="006636EB"/>
    <w:rsid w:val="00663AF3"/>
    <w:rsid w:val="00666B6C"/>
    <w:rsid w:val="0067043C"/>
    <w:rsid w:val="0067155D"/>
    <w:rsid w:val="006724B7"/>
    <w:rsid w:val="006772F7"/>
    <w:rsid w:val="00680268"/>
    <w:rsid w:val="00682682"/>
    <w:rsid w:val="00682702"/>
    <w:rsid w:val="00686CB9"/>
    <w:rsid w:val="00692368"/>
    <w:rsid w:val="006939F7"/>
    <w:rsid w:val="00693EBE"/>
    <w:rsid w:val="00697D22"/>
    <w:rsid w:val="006A1469"/>
    <w:rsid w:val="006A2714"/>
    <w:rsid w:val="006A2EBC"/>
    <w:rsid w:val="006A5EA0"/>
    <w:rsid w:val="006A783B"/>
    <w:rsid w:val="006A7B33"/>
    <w:rsid w:val="006B2254"/>
    <w:rsid w:val="006B2A66"/>
    <w:rsid w:val="006B401A"/>
    <w:rsid w:val="006B4E13"/>
    <w:rsid w:val="006B6292"/>
    <w:rsid w:val="006B691D"/>
    <w:rsid w:val="006B713A"/>
    <w:rsid w:val="006B75DD"/>
    <w:rsid w:val="006C000F"/>
    <w:rsid w:val="006C2FEE"/>
    <w:rsid w:val="006C3024"/>
    <w:rsid w:val="006C5254"/>
    <w:rsid w:val="006C56F7"/>
    <w:rsid w:val="006C67E0"/>
    <w:rsid w:val="006C7060"/>
    <w:rsid w:val="006C7ABA"/>
    <w:rsid w:val="006D0D60"/>
    <w:rsid w:val="006D1122"/>
    <w:rsid w:val="006D11ED"/>
    <w:rsid w:val="006D30F9"/>
    <w:rsid w:val="006D3297"/>
    <w:rsid w:val="006D3C00"/>
    <w:rsid w:val="006D46ED"/>
    <w:rsid w:val="006E3675"/>
    <w:rsid w:val="006E37B4"/>
    <w:rsid w:val="006E4A7F"/>
    <w:rsid w:val="006F4169"/>
    <w:rsid w:val="0070425B"/>
    <w:rsid w:val="00704DF6"/>
    <w:rsid w:val="0070651C"/>
    <w:rsid w:val="007067A5"/>
    <w:rsid w:val="007132A3"/>
    <w:rsid w:val="00716421"/>
    <w:rsid w:val="00716551"/>
    <w:rsid w:val="00724EFB"/>
    <w:rsid w:val="007264F1"/>
    <w:rsid w:val="00736161"/>
    <w:rsid w:val="0073635D"/>
    <w:rsid w:val="007419C3"/>
    <w:rsid w:val="007467A7"/>
    <w:rsid w:val="007469DD"/>
    <w:rsid w:val="0074741B"/>
    <w:rsid w:val="0074759E"/>
    <w:rsid w:val="007478EA"/>
    <w:rsid w:val="00752088"/>
    <w:rsid w:val="0075415C"/>
    <w:rsid w:val="007544EF"/>
    <w:rsid w:val="00756386"/>
    <w:rsid w:val="007573B7"/>
    <w:rsid w:val="00761005"/>
    <w:rsid w:val="007634FD"/>
    <w:rsid w:val="00763502"/>
    <w:rsid w:val="00781097"/>
    <w:rsid w:val="00785107"/>
    <w:rsid w:val="00785BA1"/>
    <w:rsid w:val="007913AB"/>
    <w:rsid w:val="007914F7"/>
    <w:rsid w:val="007A0970"/>
    <w:rsid w:val="007A0A9D"/>
    <w:rsid w:val="007A6995"/>
    <w:rsid w:val="007A69F0"/>
    <w:rsid w:val="007B1625"/>
    <w:rsid w:val="007B64D9"/>
    <w:rsid w:val="007B6823"/>
    <w:rsid w:val="007B706E"/>
    <w:rsid w:val="007B71EB"/>
    <w:rsid w:val="007B79B6"/>
    <w:rsid w:val="007C6205"/>
    <w:rsid w:val="007C686A"/>
    <w:rsid w:val="007C728E"/>
    <w:rsid w:val="007D2663"/>
    <w:rsid w:val="007D2BA8"/>
    <w:rsid w:val="007D2C53"/>
    <w:rsid w:val="007D3D60"/>
    <w:rsid w:val="007D5778"/>
    <w:rsid w:val="007E1980"/>
    <w:rsid w:val="007E39AF"/>
    <w:rsid w:val="007E4B76"/>
    <w:rsid w:val="007E5EA8"/>
    <w:rsid w:val="007F0CF1"/>
    <w:rsid w:val="007F12A5"/>
    <w:rsid w:val="007F2C73"/>
    <w:rsid w:val="007F3E91"/>
    <w:rsid w:val="007F4CF1"/>
    <w:rsid w:val="007F758D"/>
    <w:rsid w:val="007F7D52"/>
    <w:rsid w:val="00800DC6"/>
    <w:rsid w:val="0080654C"/>
    <w:rsid w:val="008071C6"/>
    <w:rsid w:val="00816A52"/>
    <w:rsid w:val="00817A00"/>
    <w:rsid w:val="00820F25"/>
    <w:rsid w:val="00821BAA"/>
    <w:rsid w:val="00824F89"/>
    <w:rsid w:val="00825EC1"/>
    <w:rsid w:val="008266C8"/>
    <w:rsid w:val="008276FC"/>
    <w:rsid w:val="00832483"/>
    <w:rsid w:val="00832B05"/>
    <w:rsid w:val="00835C52"/>
    <w:rsid w:val="00835DB3"/>
    <w:rsid w:val="0083617B"/>
    <w:rsid w:val="00836BAF"/>
    <w:rsid w:val="008371BD"/>
    <w:rsid w:val="00846B16"/>
    <w:rsid w:val="00847D7A"/>
    <w:rsid w:val="008504A8"/>
    <w:rsid w:val="008505A7"/>
    <w:rsid w:val="0085282E"/>
    <w:rsid w:val="00852BFB"/>
    <w:rsid w:val="00852F22"/>
    <w:rsid w:val="00856E34"/>
    <w:rsid w:val="00865AB3"/>
    <w:rsid w:val="00865E27"/>
    <w:rsid w:val="008661D7"/>
    <w:rsid w:val="008673F5"/>
    <w:rsid w:val="00867789"/>
    <w:rsid w:val="00867F3C"/>
    <w:rsid w:val="00871745"/>
    <w:rsid w:val="0087198C"/>
    <w:rsid w:val="00872C1F"/>
    <w:rsid w:val="008731F5"/>
    <w:rsid w:val="0087331B"/>
    <w:rsid w:val="00873B42"/>
    <w:rsid w:val="00881980"/>
    <w:rsid w:val="008838BA"/>
    <w:rsid w:val="008856D8"/>
    <w:rsid w:val="00891162"/>
    <w:rsid w:val="00892E82"/>
    <w:rsid w:val="00894E35"/>
    <w:rsid w:val="00896155"/>
    <w:rsid w:val="008A20F0"/>
    <w:rsid w:val="008A6A50"/>
    <w:rsid w:val="008C1B58"/>
    <w:rsid w:val="008C39AE"/>
    <w:rsid w:val="008C5512"/>
    <w:rsid w:val="008C5797"/>
    <w:rsid w:val="008C590D"/>
    <w:rsid w:val="008C7BCE"/>
    <w:rsid w:val="008E031B"/>
    <w:rsid w:val="008E6B83"/>
    <w:rsid w:val="008E7029"/>
    <w:rsid w:val="008E75AF"/>
    <w:rsid w:val="008E7A17"/>
    <w:rsid w:val="008E7EF6"/>
    <w:rsid w:val="008F1F98"/>
    <w:rsid w:val="008F6758"/>
    <w:rsid w:val="008F741E"/>
    <w:rsid w:val="009040DD"/>
    <w:rsid w:val="00905524"/>
    <w:rsid w:val="00905B1E"/>
    <w:rsid w:val="00905B47"/>
    <w:rsid w:val="00907632"/>
    <w:rsid w:val="00910B0D"/>
    <w:rsid w:val="009129AB"/>
    <w:rsid w:val="00912C43"/>
    <w:rsid w:val="0091331C"/>
    <w:rsid w:val="00923B5A"/>
    <w:rsid w:val="009279DE"/>
    <w:rsid w:val="00930116"/>
    <w:rsid w:val="00930251"/>
    <w:rsid w:val="00936E1D"/>
    <w:rsid w:val="0094212C"/>
    <w:rsid w:val="00942ECD"/>
    <w:rsid w:val="009435D8"/>
    <w:rsid w:val="00950BE7"/>
    <w:rsid w:val="00950D54"/>
    <w:rsid w:val="00954689"/>
    <w:rsid w:val="00960F40"/>
    <w:rsid w:val="009617C9"/>
    <w:rsid w:val="00961C93"/>
    <w:rsid w:val="00962D12"/>
    <w:rsid w:val="00965324"/>
    <w:rsid w:val="009660E7"/>
    <w:rsid w:val="0097091E"/>
    <w:rsid w:val="00970FB5"/>
    <w:rsid w:val="00975055"/>
    <w:rsid w:val="009760D3"/>
    <w:rsid w:val="00977132"/>
    <w:rsid w:val="0097753C"/>
    <w:rsid w:val="00981A4B"/>
    <w:rsid w:val="00982501"/>
    <w:rsid w:val="009877D3"/>
    <w:rsid w:val="00987E36"/>
    <w:rsid w:val="00994E8F"/>
    <w:rsid w:val="009951DC"/>
    <w:rsid w:val="009953FF"/>
    <w:rsid w:val="009959BB"/>
    <w:rsid w:val="00996032"/>
    <w:rsid w:val="00997158"/>
    <w:rsid w:val="009A3236"/>
    <w:rsid w:val="009A3A7C"/>
    <w:rsid w:val="009B2ADB"/>
    <w:rsid w:val="009B2BD6"/>
    <w:rsid w:val="009B568E"/>
    <w:rsid w:val="009B603A"/>
    <w:rsid w:val="009B6CCA"/>
    <w:rsid w:val="009C2D0E"/>
    <w:rsid w:val="009C3DAC"/>
    <w:rsid w:val="009C42E0"/>
    <w:rsid w:val="009D4496"/>
    <w:rsid w:val="009D5362"/>
    <w:rsid w:val="009D6554"/>
    <w:rsid w:val="009D7233"/>
    <w:rsid w:val="009E1415"/>
    <w:rsid w:val="009E2FB1"/>
    <w:rsid w:val="009E5E1B"/>
    <w:rsid w:val="009E6116"/>
    <w:rsid w:val="009F0A2E"/>
    <w:rsid w:val="009F1386"/>
    <w:rsid w:val="009F298C"/>
    <w:rsid w:val="009F520B"/>
    <w:rsid w:val="00A02E43"/>
    <w:rsid w:val="00A0394E"/>
    <w:rsid w:val="00A065F9"/>
    <w:rsid w:val="00A07F34"/>
    <w:rsid w:val="00A2017E"/>
    <w:rsid w:val="00A22154"/>
    <w:rsid w:val="00A235BE"/>
    <w:rsid w:val="00A235BF"/>
    <w:rsid w:val="00A25C38"/>
    <w:rsid w:val="00A329ED"/>
    <w:rsid w:val="00A36311"/>
    <w:rsid w:val="00A363A5"/>
    <w:rsid w:val="00A36BBE"/>
    <w:rsid w:val="00A4307A"/>
    <w:rsid w:val="00A44BAE"/>
    <w:rsid w:val="00A45D0D"/>
    <w:rsid w:val="00A46778"/>
    <w:rsid w:val="00A47EBB"/>
    <w:rsid w:val="00A51CDD"/>
    <w:rsid w:val="00A55175"/>
    <w:rsid w:val="00A64CCA"/>
    <w:rsid w:val="00A6730D"/>
    <w:rsid w:val="00A71625"/>
    <w:rsid w:val="00A71B9B"/>
    <w:rsid w:val="00A751C7"/>
    <w:rsid w:val="00A779E9"/>
    <w:rsid w:val="00A86CC2"/>
    <w:rsid w:val="00A87844"/>
    <w:rsid w:val="00A93A93"/>
    <w:rsid w:val="00AA038C"/>
    <w:rsid w:val="00AA0765"/>
    <w:rsid w:val="00AA50F9"/>
    <w:rsid w:val="00AA66CC"/>
    <w:rsid w:val="00AA7A09"/>
    <w:rsid w:val="00AB206A"/>
    <w:rsid w:val="00AB3B50"/>
    <w:rsid w:val="00AB5844"/>
    <w:rsid w:val="00AB6882"/>
    <w:rsid w:val="00AC05B1"/>
    <w:rsid w:val="00AC14AA"/>
    <w:rsid w:val="00AC1B73"/>
    <w:rsid w:val="00AC1CFD"/>
    <w:rsid w:val="00AC490A"/>
    <w:rsid w:val="00AC573D"/>
    <w:rsid w:val="00AC57FB"/>
    <w:rsid w:val="00AC73C5"/>
    <w:rsid w:val="00AD356C"/>
    <w:rsid w:val="00AE203B"/>
    <w:rsid w:val="00AE2914"/>
    <w:rsid w:val="00AE4EBB"/>
    <w:rsid w:val="00AE678A"/>
    <w:rsid w:val="00AE6C9B"/>
    <w:rsid w:val="00AE6D15"/>
    <w:rsid w:val="00AF56F6"/>
    <w:rsid w:val="00B04182"/>
    <w:rsid w:val="00B07AE3"/>
    <w:rsid w:val="00B11430"/>
    <w:rsid w:val="00B20635"/>
    <w:rsid w:val="00B24092"/>
    <w:rsid w:val="00B25B5C"/>
    <w:rsid w:val="00B261CA"/>
    <w:rsid w:val="00B27EE8"/>
    <w:rsid w:val="00B353EB"/>
    <w:rsid w:val="00B36CD2"/>
    <w:rsid w:val="00B415CA"/>
    <w:rsid w:val="00B41B00"/>
    <w:rsid w:val="00B439C4"/>
    <w:rsid w:val="00B4535E"/>
    <w:rsid w:val="00B52A8C"/>
    <w:rsid w:val="00B52B03"/>
    <w:rsid w:val="00B538A7"/>
    <w:rsid w:val="00B54D84"/>
    <w:rsid w:val="00B570B8"/>
    <w:rsid w:val="00B572FB"/>
    <w:rsid w:val="00B61FF8"/>
    <w:rsid w:val="00B633F0"/>
    <w:rsid w:val="00B636A8"/>
    <w:rsid w:val="00B66485"/>
    <w:rsid w:val="00B665C6"/>
    <w:rsid w:val="00B66A5C"/>
    <w:rsid w:val="00B728DD"/>
    <w:rsid w:val="00B73821"/>
    <w:rsid w:val="00B75C3A"/>
    <w:rsid w:val="00B7738B"/>
    <w:rsid w:val="00B805AF"/>
    <w:rsid w:val="00B8138B"/>
    <w:rsid w:val="00B84300"/>
    <w:rsid w:val="00B869EC"/>
    <w:rsid w:val="00B916B7"/>
    <w:rsid w:val="00B9397A"/>
    <w:rsid w:val="00B9633D"/>
    <w:rsid w:val="00BA2EBE"/>
    <w:rsid w:val="00BA4DC1"/>
    <w:rsid w:val="00BA5873"/>
    <w:rsid w:val="00BB0F28"/>
    <w:rsid w:val="00BB21B4"/>
    <w:rsid w:val="00BB3B1E"/>
    <w:rsid w:val="00BB4422"/>
    <w:rsid w:val="00BB458A"/>
    <w:rsid w:val="00BC1616"/>
    <w:rsid w:val="00BC4E67"/>
    <w:rsid w:val="00BC6A09"/>
    <w:rsid w:val="00BD00D3"/>
    <w:rsid w:val="00BD0534"/>
    <w:rsid w:val="00BD1659"/>
    <w:rsid w:val="00BD2F0B"/>
    <w:rsid w:val="00BD3AA9"/>
    <w:rsid w:val="00BD4A18"/>
    <w:rsid w:val="00BD6DB2"/>
    <w:rsid w:val="00BE11CF"/>
    <w:rsid w:val="00BE21AB"/>
    <w:rsid w:val="00BE55CB"/>
    <w:rsid w:val="00BF13E4"/>
    <w:rsid w:val="00BF2F08"/>
    <w:rsid w:val="00BF367E"/>
    <w:rsid w:val="00BF429C"/>
    <w:rsid w:val="00BF51E8"/>
    <w:rsid w:val="00BF617A"/>
    <w:rsid w:val="00C031C9"/>
    <w:rsid w:val="00C0379D"/>
    <w:rsid w:val="00C03931"/>
    <w:rsid w:val="00C05FE3"/>
    <w:rsid w:val="00C1693E"/>
    <w:rsid w:val="00C2136D"/>
    <w:rsid w:val="00C214EE"/>
    <w:rsid w:val="00C2249F"/>
    <w:rsid w:val="00C22B81"/>
    <w:rsid w:val="00C2314B"/>
    <w:rsid w:val="00C24971"/>
    <w:rsid w:val="00C26BE5"/>
    <w:rsid w:val="00C26C01"/>
    <w:rsid w:val="00C26E4D"/>
    <w:rsid w:val="00C26FE5"/>
    <w:rsid w:val="00C27909"/>
    <w:rsid w:val="00C27B03"/>
    <w:rsid w:val="00C314E1"/>
    <w:rsid w:val="00C34397"/>
    <w:rsid w:val="00C351BA"/>
    <w:rsid w:val="00C359CE"/>
    <w:rsid w:val="00C363D9"/>
    <w:rsid w:val="00C4095D"/>
    <w:rsid w:val="00C415F9"/>
    <w:rsid w:val="00C504FE"/>
    <w:rsid w:val="00C601D2"/>
    <w:rsid w:val="00C63839"/>
    <w:rsid w:val="00C654DD"/>
    <w:rsid w:val="00C659DD"/>
    <w:rsid w:val="00C65BCC"/>
    <w:rsid w:val="00C65E80"/>
    <w:rsid w:val="00C6682F"/>
    <w:rsid w:val="00C66970"/>
    <w:rsid w:val="00C67087"/>
    <w:rsid w:val="00C67463"/>
    <w:rsid w:val="00C71973"/>
    <w:rsid w:val="00C8691C"/>
    <w:rsid w:val="00C90829"/>
    <w:rsid w:val="00CA168A"/>
    <w:rsid w:val="00CA357E"/>
    <w:rsid w:val="00CA44F9"/>
    <w:rsid w:val="00CA4A69"/>
    <w:rsid w:val="00CC27EC"/>
    <w:rsid w:val="00CC3E0C"/>
    <w:rsid w:val="00CC58D3"/>
    <w:rsid w:val="00CC784D"/>
    <w:rsid w:val="00CD42B4"/>
    <w:rsid w:val="00CE4D27"/>
    <w:rsid w:val="00CE7666"/>
    <w:rsid w:val="00CF4825"/>
    <w:rsid w:val="00CF57A2"/>
    <w:rsid w:val="00CF7683"/>
    <w:rsid w:val="00D0337B"/>
    <w:rsid w:val="00D05664"/>
    <w:rsid w:val="00D06608"/>
    <w:rsid w:val="00D079B2"/>
    <w:rsid w:val="00D07AA9"/>
    <w:rsid w:val="00D114E9"/>
    <w:rsid w:val="00D116EE"/>
    <w:rsid w:val="00D1407D"/>
    <w:rsid w:val="00D1483E"/>
    <w:rsid w:val="00D209E0"/>
    <w:rsid w:val="00D25075"/>
    <w:rsid w:val="00D253AF"/>
    <w:rsid w:val="00D37237"/>
    <w:rsid w:val="00D40CE9"/>
    <w:rsid w:val="00D40E89"/>
    <w:rsid w:val="00D429C6"/>
    <w:rsid w:val="00D45696"/>
    <w:rsid w:val="00D4571F"/>
    <w:rsid w:val="00D462ED"/>
    <w:rsid w:val="00D47748"/>
    <w:rsid w:val="00D523A4"/>
    <w:rsid w:val="00D54CC3"/>
    <w:rsid w:val="00D559C8"/>
    <w:rsid w:val="00D562F2"/>
    <w:rsid w:val="00D6041A"/>
    <w:rsid w:val="00D633EB"/>
    <w:rsid w:val="00D63D2C"/>
    <w:rsid w:val="00D644B9"/>
    <w:rsid w:val="00D65753"/>
    <w:rsid w:val="00D82B12"/>
    <w:rsid w:val="00D82BA9"/>
    <w:rsid w:val="00D82FF7"/>
    <w:rsid w:val="00D8336E"/>
    <w:rsid w:val="00D847FE"/>
    <w:rsid w:val="00D85010"/>
    <w:rsid w:val="00D91670"/>
    <w:rsid w:val="00D9454D"/>
    <w:rsid w:val="00D95409"/>
    <w:rsid w:val="00D964EA"/>
    <w:rsid w:val="00D966D0"/>
    <w:rsid w:val="00D97244"/>
    <w:rsid w:val="00D97E87"/>
    <w:rsid w:val="00DA0C59"/>
    <w:rsid w:val="00DA3991"/>
    <w:rsid w:val="00DB20E5"/>
    <w:rsid w:val="00DB6FDB"/>
    <w:rsid w:val="00DB7A10"/>
    <w:rsid w:val="00DB7E6C"/>
    <w:rsid w:val="00DC19A1"/>
    <w:rsid w:val="00DC7E11"/>
    <w:rsid w:val="00DD4138"/>
    <w:rsid w:val="00DD5A29"/>
    <w:rsid w:val="00DD5D9D"/>
    <w:rsid w:val="00DE35CB"/>
    <w:rsid w:val="00DE37BA"/>
    <w:rsid w:val="00DE4CA1"/>
    <w:rsid w:val="00DE7D3F"/>
    <w:rsid w:val="00DF21E9"/>
    <w:rsid w:val="00E00F14"/>
    <w:rsid w:val="00E0116D"/>
    <w:rsid w:val="00E03A0D"/>
    <w:rsid w:val="00E06386"/>
    <w:rsid w:val="00E07EC6"/>
    <w:rsid w:val="00E1489E"/>
    <w:rsid w:val="00E23738"/>
    <w:rsid w:val="00E24898"/>
    <w:rsid w:val="00E24EB4"/>
    <w:rsid w:val="00E25DA4"/>
    <w:rsid w:val="00E2601B"/>
    <w:rsid w:val="00E3075F"/>
    <w:rsid w:val="00E319D8"/>
    <w:rsid w:val="00E320ED"/>
    <w:rsid w:val="00E33AFB"/>
    <w:rsid w:val="00E34218"/>
    <w:rsid w:val="00E41150"/>
    <w:rsid w:val="00E42450"/>
    <w:rsid w:val="00E4354B"/>
    <w:rsid w:val="00E46282"/>
    <w:rsid w:val="00E4679B"/>
    <w:rsid w:val="00E504E9"/>
    <w:rsid w:val="00E5216E"/>
    <w:rsid w:val="00E52D4A"/>
    <w:rsid w:val="00E5412C"/>
    <w:rsid w:val="00E62983"/>
    <w:rsid w:val="00E64AF3"/>
    <w:rsid w:val="00E661B6"/>
    <w:rsid w:val="00E80F66"/>
    <w:rsid w:val="00E82344"/>
    <w:rsid w:val="00E84C82"/>
    <w:rsid w:val="00E84D64"/>
    <w:rsid w:val="00E87408"/>
    <w:rsid w:val="00E914C4"/>
    <w:rsid w:val="00E934F5"/>
    <w:rsid w:val="00E94C3C"/>
    <w:rsid w:val="00E96961"/>
    <w:rsid w:val="00E97417"/>
    <w:rsid w:val="00EA586E"/>
    <w:rsid w:val="00EA5969"/>
    <w:rsid w:val="00EA6842"/>
    <w:rsid w:val="00EA6EA0"/>
    <w:rsid w:val="00EA72EC"/>
    <w:rsid w:val="00EB11CB"/>
    <w:rsid w:val="00EB275A"/>
    <w:rsid w:val="00EB27D5"/>
    <w:rsid w:val="00EB5FB8"/>
    <w:rsid w:val="00EB7687"/>
    <w:rsid w:val="00EB780B"/>
    <w:rsid w:val="00EB786A"/>
    <w:rsid w:val="00EB7E0B"/>
    <w:rsid w:val="00EC1578"/>
    <w:rsid w:val="00EC1C72"/>
    <w:rsid w:val="00EC20EA"/>
    <w:rsid w:val="00EC21DF"/>
    <w:rsid w:val="00EC3CC9"/>
    <w:rsid w:val="00EC680A"/>
    <w:rsid w:val="00EC6842"/>
    <w:rsid w:val="00ED5647"/>
    <w:rsid w:val="00ED765D"/>
    <w:rsid w:val="00EE2342"/>
    <w:rsid w:val="00EE2BED"/>
    <w:rsid w:val="00EE374B"/>
    <w:rsid w:val="00EE6842"/>
    <w:rsid w:val="00EE6FEE"/>
    <w:rsid w:val="00EF0C7B"/>
    <w:rsid w:val="00EF2A4C"/>
    <w:rsid w:val="00F053EC"/>
    <w:rsid w:val="00F11BB5"/>
    <w:rsid w:val="00F1417B"/>
    <w:rsid w:val="00F15362"/>
    <w:rsid w:val="00F17B4B"/>
    <w:rsid w:val="00F252D2"/>
    <w:rsid w:val="00F2593B"/>
    <w:rsid w:val="00F25FAD"/>
    <w:rsid w:val="00F2620B"/>
    <w:rsid w:val="00F3043A"/>
    <w:rsid w:val="00F31E0E"/>
    <w:rsid w:val="00F33A10"/>
    <w:rsid w:val="00F34B99"/>
    <w:rsid w:val="00F3754B"/>
    <w:rsid w:val="00F42E5B"/>
    <w:rsid w:val="00F435BA"/>
    <w:rsid w:val="00F517C8"/>
    <w:rsid w:val="00F5193F"/>
    <w:rsid w:val="00F52DAB"/>
    <w:rsid w:val="00F543F0"/>
    <w:rsid w:val="00F56210"/>
    <w:rsid w:val="00F717EE"/>
    <w:rsid w:val="00F76F7F"/>
    <w:rsid w:val="00F81D29"/>
    <w:rsid w:val="00F81E5A"/>
    <w:rsid w:val="00F91C4D"/>
    <w:rsid w:val="00F92FD9"/>
    <w:rsid w:val="00FA1494"/>
    <w:rsid w:val="00FA6684"/>
    <w:rsid w:val="00FA731E"/>
    <w:rsid w:val="00FB13C7"/>
    <w:rsid w:val="00FB2B38"/>
    <w:rsid w:val="00FB2C7F"/>
    <w:rsid w:val="00FB3CA5"/>
    <w:rsid w:val="00FB6F82"/>
    <w:rsid w:val="00FC1B40"/>
    <w:rsid w:val="00FC5ACE"/>
    <w:rsid w:val="00FC6358"/>
    <w:rsid w:val="00FD0D50"/>
    <w:rsid w:val="00FD320D"/>
    <w:rsid w:val="00FD4B28"/>
    <w:rsid w:val="00FE161C"/>
    <w:rsid w:val="00FE23DE"/>
    <w:rsid w:val="00FE5609"/>
    <w:rsid w:val="00FE7229"/>
    <w:rsid w:val="00FF24F2"/>
    <w:rsid w:val="00FF551C"/>
    <w:rsid w:val="00FF5535"/>
    <w:rsid w:val="02B26006"/>
    <w:rsid w:val="051536FE"/>
    <w:rsid w:val="0A621568"/>
    <w:rsid w:val="0B7C57A6"/>
    <w:rsid w:val="0D965DE0"/>
    <w:rsid w:val="109B44B0"/>
    <w:rsid w:val="10CD7FF8"/>
    <w:rsid w:val="12CE603E"/>
    <w:rsid w:val="16A97E1D"/>
    <w:rsid w:val="1A7E7866"/>
    <w:rsid w:val="1B21336C"/>
    <w:rsid w:val="1D1C78C7"/>
    <w:rsid w:val="220A28A0"/>
    <w:rsid w:val="234F4EF7"/>
    <w:rsid w:val="27C84C92"/>
    <w:rsid w:val="2B5B1A53"/>
    <w:rsid w:val="2E063C32"/>
    <w:rsid w:val="301B04A4"/>
    <w:rsid w:val="30AD52C3"/>
    <w:rsid w:val="36254BEA"/>
    <w:rsid w:val="39793043"/>
    <w:rsid w:val="39A30450"/>
    <w:rsid w:val="3D7C26C5"/>
    <w:rsid w:val="3DB671A4"/>
    <w:rsid w:val="43774B3D"/>
    <w:rsid w:val="4B17043D"/>
    <w:rsid w:val="4EDD2287"/>
    <w:rsid w:val="50A43DD6"/>
    <w:rsid w:val="50B23844"/>
    <w:rsid w:val="51212437"/>
    <w:rsid w:val="54D5250D"/>
    <w:rsid w:val="56B00020"/>
    <w:rsid w:val="68FF34C6"/>
    <w:rsid w:val="6B246D54"/>
    <w:rsid w:val="6C644788"/>
    <w:rsid w:val="6CC63C0F"/>
    <w:rsid w:val="6D7E7607"/>
    <w:rsid w:val="6EF82F7F"/>
    <w:rsid w:val="741467C7"/>
    <w:rsid w:val="755F1896"/>
    <w:rsid w:val="7B576D81"/>
    <w:rsid w:val="7D0E1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1">
    <w:name w:val="Default Paragraph Font"/>
    <w:semiHidden/>
    <w:unhideWhenUsed/>
    <w:uiPriority w:val="1"/>
  </w:style>
  <w:style w:type="table" w:default="1" w:styleId="29">
    <w:name w:val="Normal Table"/>
    <w:autoRedefine/>
    <w:semiHidden/>
    <w:unhideWhenUsed/>
    <w:uiPriority w:val="99"/>
    <w:tblPr>
      <w:tblCellMar>
        <w:top w:w="0" w:type="dxa"/>
        <w:left w:w="108" w:type="dxa"/>
        <w:bottom w:w="0" w:type="dxa"/>
        <w:right w:w="108" w:type="dxa"/>
      </w:tblCellMar>
    </w:tblPr>
  </w:style>
  <w:style w:type="paragraph" w:styleId="2">
    <w:name w:val="toc 7"/>
    <w:basedOn w:val="1"/>
    <w:next w:val="1"/>
    <w:autoRedefine/>
    <w:semiHidden/>
    <w:qFormat/>
    <w:uiPriority w:val="0"/>
    <w:pPr>
      <w:tabs>
        <w:tab w:val="right" w:leader="dot" w:pos="9241"/>
      </w:tabs>
      <w:ind w:firstLine="505" w:firstLineChars="500"/>
      <w:jc w:val="left"/>
    </w:pPr>
    <w:rPr>
      <w:rFonts w:ascii="宋体"/>
      <w:szCs w:val="21"/>
    </w:rPr>
  </w:style>
  <w:style w:type="paragraph" w:styleId="3">
    <w:name w:val="index 8"/>
    <w:basedOn w:val="1"/>
    <w:next w:val="1"/>
    <w:autoRedefine/>
    <w:qFormat/>
    <w:uiPriority w:val="0"/>
    <w:pPr>
      <w:ind w:left="1680" w:hanging="210"/>
      <w:jc w:val="left"/>
    </w:pPr>
    <w:rPr>
      <w:rFonts w:ascii="Calibri" w:hAnsi="Calibri"/>
      <w:sz w:val="20"/>
      <w:szCs w:val="20"/>
    </w:rPr>
  </w:style>
  <w:style w:type="paragraph" w:styleId="4">
    <w:name w:val="caption"/>
    <w:basedOn w:val="1"/>
    <w:next w:val="1"/>
    <w:autoRedefine/>
    <w:qFormat/>
    <w:uiPriority w:val="0"/>
    <w:pPr>
      <w:spacing w:before="152" w:after="160"/>
    </w:pPr>
    <w:rPr>
      <w:rFonts w:ascii="Arial" w:hAnsi="Arial" w:eastAsia="黑体" w:cs="Arial"/>
      <w:sz w:val="20"/>
      <w:szCs w:val="20"/>
    </w:rPr>
  </w:style>
  <w:style w:type="paragraph" w:styleId="5">
    <w:name w:val="index 5"/>
    <w:basedOn w:val="1"/>
    <w:next w:val="1"/>
    <w:autoRedefine/>
    <w:qFormat/>
    <w:uiPriority w:val="0"/>
    <w:pPr>
      <w:ind w:left="1050" w:hanging="210"/>
      <w:jc w:val="left"/>
    </w:pPr>
    <w:rPr>
      <w:rFonts w:ascii="Calibri" w:hAnsi="Calibri"/>
      <w:sz w:val="20"/>
      <w:szCs w:val="20"/>
    </w:rPr>
  </w:style>
  <w:style w:type="paragraph" w:styleId="6">
    <w:name w:val="Document Map"/>
    <w:basedOn w:val="1"/>
    <w:autoRedefine/>
    <w:semiHidden/>
    <w:qFormat/>
    <w:uiPriority w:val="0"/>
    <w:pPr>
      <w:shd w:val="clear" w:color="auto" w:fill="000080"/>
    </w:pPr>
  </w:style>
  <w:style w:type="paragraph" w:styleId="7">
    <w:name w:val="index 6"/>
    <w:basedOn w:val="1"/>
    <w:next w:val="1"/>
    <w:autoRedefine/>
    <w:qFormat/>
    <w:uiPriority w:val="0"/>
    <w:pPr>
      <w:ind w:left="1260" w:hanging="210"/>
      <w:jc w:val="left"/>
    </w:pPr>
    <w:rPr>
      <w:rFonts w:ascii="Calibri" w:hAnsi="Calibri"/>
      <w:sz w:val="20"/>
      <w:szCs w:val="20"/>
    </w:rPr>
  </w:style>
  <w:style w:type="paragraph" w:styleId="8">
    <w:name w:val="index 4"/>
    <w:basedOn w:val="1"/>
    <w:next w:val="1"/>
    <w:autoRedefine/>
    <w:qFormat/>
    <w:uiPriority w:val="0"/>
    <w:pPr>
      <w:ind w:left="840" w:hanging="210"/>
      <w:jc w:val="left"/>
    </w:pPr>
    <w:rPr>
      <w:rFonts w:ascii="Calibri" w:hAnsi="Calibri"/>
      <w:sz w:val="20"/>
      <w:szCs w:val="20"/>
    </w:rPr>
  </w:style>
  <w:style w:type="paragraph" w:styleId="9">
    <w:name w:val="toc 5"/>
    <w:basedOn w:val="1"/>
    <w:next w:val="1"/>
    <w:autoRedefine/>
    <w:semiHidden/>
    <w:qFormat/>
    <w:uiPriority w:val="0"/>
    <w:pPr>
      <w:tabs>
        <w:tab w:val="right" w:leader="dot" w:pos="9241"/>
      </w:tabs>
      <w:ind w:firstLine="300" w:firstLineChars="300"/>
      <w:jc w:val="left"/>
    </w:pPr>
    <w:rPr>
      <w:rFonts w:ascii="宋体"/>
      <w:szCs w:val="21"/>
    </w:rPr>
  </w:style>
  <w:style w:type="paragraph" w:styleId="10">
    <w:name w:val="toc 3"/>
    <w:basedOn w:val="1"/>
    <w:next w:val="1"/>
    <w:autoRedefine/>
    <w:semiHidden/>
    <w:qFormat/>
    <w:uiPriority w:val="0"/>
    <w:pPr>
      <w:tabs>
        <w:tab w:val="right" w:leader="dot" w:pos="9241"/>
      </w:tabs>
      <w:ind w:firstLine="102" w:firstLineChars="100"/>
      <w:jc w:val="left"/>
    </w:pPr>
    <w:rPr>
      <w:rFonts w:ascii="宋体"/>
      <w:szCs w:val="21"/>
    </w:rPr>
  </w:style>
  <w:style w:type="paragraph" w:styleId="11">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12">
    <w:name w:val="index 3"/>
    <w:basedOn w:val="1"/>
    <w:next w:val="1"/>
    <w:autoRedefine/>
    <w:qFormat/>
    <w:uiPriority w:val="0"/>
    <w:pPr>
      <w:ind w:left="630" w:hanging="210"/>
      <w:jc w:val="left"/>
    </w:pPr>
    <w:rPr>
      <w:rFonts w:ascii="Calibri" w:hAnsi="Calibri"/>
      <w:sz w:val="20"/>
      <w:szCs w:val="20"/>
    </w:rPr>
  </w:style>
  <w:style w:type="paragraph" w:styleId="13">
    <w:name w:val="endnote text"/>
    <w:basedOn w:val="1"/>
    <w:autoRedefine/>
    <w:semiHidden/>
    <w:qFormat/>
    <w:uiPriority w:val="0"/>
    <w:pPr>
      <w:snapToGrid w:val="0"/>
      <w:jc w:val="left"/>
    </w:pPr>
  </w:style>
  <w:style w:type="paragraph" w:styleId="14">
    <w:name w:val="Balloon Text"/>
    <w:basedOn w:val="1"/>
    <w:link w:val="135"/>
    <w:autoRedefine/>
    <w:qFormat/>
    <w:uiPriority w:val="0"/>
    <w:rPr>
      <w:sz w:val="18"/>
      <w:szCs w:val="18"/>
    </w:rPr>
  </w:style>
  <w:style w:type="paragraph" w:styleId="15">
    <w:name w:val="footer"/>
    <w:basedOn w:val="1"/>
    <w:autoRedefine/>
    <w:qFormat/>
    <w:uiPriority w:val="0"/>
    <w:pPr>
      <w:snapToGrid w:val="0"/>
      <w:ind w:right="210" w:rightChars="100"/>
      <w:jc w:val="right"/>
    </w:pPr>
    <w:rPr>
      <w:sz w:val="18"/>
      <w:szCs w:val="18"/>
    </w:rPr>
  </w:style>
  <w:style w:type="paragraph" w:styleId="16">
    <w:name w:val="header"/>
    <w:basedOn w:val="1"/>
    <w:autoRedefine/>
    <w:qFormat/>
    <w:uiPriority w:val="0"/>
    <w:pPr>
      <w:snapToGrid w:val="0"/>
      <w:jc w:val="left"/>
    </w:pPr>
    <w:rPr>
      <w:sz w:val="18"/>
      <w:szCs w:val="18"/>
    </w:rPr>
  </w:style>
  <w:style w:type="paragraph" w:styleId="17">
    <w:name w:val="toc 1"/>
    <w:basedOn w:val="1"/>
    <w:next w:val="1"/>
    <w:autoRedefine/>
    <w:semiHidden/>
    <w:qFormat/>
    <w:uiPriority w:val="0"/>
    <w:pPr>
      <w:tabs>
        <w:tab w:val="right" w:leader="dot" w:pos="9241"/>
      </w:tabs>
      <w:spacing w:beforeLines="25" w:afterLines="25"/>
      <w:jc w:val="left"/>
    </w:pPr>
    <w:rPr>
      <w:rFonts w:ascii="宋体"/>
      <w:szCs w:val="21"/>
    </w:rPr>
  </w:style>
  <w:style w:type="paragraph" w:styleId="18">
    <w:name w:val="toc 4"/>
    <w:basedOn w:val="1"/>
    <w:next w:val="1"/>
    <w:autoRedefine/>
    <w:semiHidden/>
    <w:qFormat/>
    <w:uiPriority w:val="0"/>
    <w:pPr>
      <w:tabs>
        <w:tab w:val="right" w:leader="dot" w:pos="9241"/>
      </w:tabs>
      <w:ind w:firstLine="198" w:firstLineChars="200"/>
      <w:jc w:val="left"/>
    </w:pPr>
    <w:rPr>
      <w:rFonts w:ascii="宋体"/>
      <w:szCs w:val="21"/>
    </w:rPr>
  </w:style>
  <w:style w:type="paragraph" w:styleId="19">
    <w:name w:val="index heading"/>
    <w:basedOn w:val="1"/>
    <w:next w:val="20"/>
    <w:qFormat/>
    <w:uiPriority w:val="0"/>
    <w:pPr>
      <w:spacing w:before="120" w:after="120"/>
      <w:jc w:val="center"/>
    </w:pPr>
    <w:rPr>
      <w:rFonts w:ascii="Calibri" w:hAnsi="Calibri"/>
      <w:b/>
      <w:bCs/>
      <w:iCs/>
      <w:szCs w:val="20"/>
    </w:rPr>
  </w:style>
  <w:style w:type="paragraph" w:styleId="20">
    <w:name w:val="index 1"/>
    <w:basedOn w:val="1"/>
    <w:next w:val="21"/>
    <w:autoRedefine/>
    <w:qFormat/>
    <w:uiPriority w:val="0"/>
    <w:pPr>
      <w:tabs>
        <w:tab w:val="right" w:leader="dot" w:pos="9299"/>
      </w:tabs>
      <w:jc w:val="left"/>
    </w:pPr>
    <w:rPr>
      <w:rFonts w:ascii="宋体"/>
      <w:szCs w:val="21"/>
    </w:rPr>
  </w:style>
  <w:style w:type="paragraph" w:customStyle="1" w:styleId="21">
    <w:name w:val="段"/>
    <w:link w:val="40"/>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2">
    <w:name w:val="footnote text"/>
    <w:basedOn w:val="1"/>
    <w:autoRedefine/>
    <w:qFormat/>
    <w:uiPriority w:val="0"/>
    <w:pPr>
      <w:numPr>
        <w:ilvl w:val="0"/>
        <w:numId w:val="1"/>
      </w:numPr>
      <w:snapToGrid w:val="0"/>
      <w:jc w:val="left"/>
    </w:pPr>
    <w:rPr>
      <w:rFonts w:ascii="宋体"/>
      <w:sz w:val="18"/>
      <w:szCs w:val="18"/>
    </w:rPr>
  </w:style>
  <w:style w:type="paragraph" w:styleId="23">
    <w:name w:val="toc 6"/>
    <w:basedOn w:val="1"/>
    <w:next w:val="1"/>
    <w:autoRedefine/>
    <w:semiHidden/>
    <w:qFormat/>
    <w:uiPriority w:val="0"/>
    <w:pPr>
      <w:tabs>
        <w:tab w:val="right" w:leader="dot" w:pos="9241"/>
      </w:tabs>
      <w:ind w:firstLine="403" w:firstLineChars="400"/>
      <w:jc w:val="left"/>
    </w:pPr>
    <w:rPr>
      <w:rFonts w:ascii="宋体"/>
      <w:szCs w:val="21"/>
    </w:rPr>
  </w:style>
  <w:style w:type="paragraph" w:styleId="24">
    <w:name w:val="index 7"/>
    <w:basedOn w:val="1"/>
    <w:next w:val="1"/>
    <w:autoRedefine/>
    <w:qFormat/>
    <w:uiPriority w:val="0"/>
    <w:pPr>
      <w:ind w:left="1470" w:hanging="210"/>
      <w:jc w:val="left"/>
    </w:pPr>
    <w:rPr>
      <w:rFonts w:ascii="Calibri" w:hAnsi="Calibri"/>
      <w:sz w:val="20"/>
      <w:szCs w:val="20"/>
    </w:rPr>
  </w:style>
  <w:style w:type="paragraph" w:styleId="25">
    <w:name w:val="index 9"/>
    <w:basedOn w:val="1"/>
    <w:next w:val="1"/>
    <w:autoRedefine/>
    <w:qFormat/>
    <w:uiPriority w:val="0"/>
    <w:pPr>
      <w:ind w:left="1890" w:hanging="210"/>
      <w:jc w:val="left"/>
    </w:pPr>
    <w:rPr>
      <w:rFonts w:ascii="Calibri" w:hAnsi="Calibri"/>
      <w:sz w:val="20"/>
      <w:szCs w:val="20"/>
    </w:rPr>
  </w:style>
  <w:style w:type="paragraph" w:styleId="26">
    <w:name w:val="toc 2"/>
    <w:basedOn w:val="1"/>
    <w:next w:val="1"/>
    <w:autoRedefine/>
    <w:semiHidden/>
    <w:qFormat/>
    <w:uiPriority w:val="0"/>
    <w:pPr>
      <w:tabs>
        <w:tab w:val="right" w:leader="dot" w:pos="9241"/>
      </w:tabs>
    </w:pPr>
    <w:rPr>
      <w:rFonts w:ascii="宋体"/>
      <w:szCs w:val="21"/>
    </w:rPr>
  </w:style>
  <w:style w:type="paragraph" w:styleId="27">
    <w:name w:val="toc 9"/>
    <w:basedOn w:val="1"/>
    <w:next w:val="1"/>
    <w:autoRedefine/>
    <w:semiHidden/>
    <w:qFormat/>
    <w:uiPriority w:val="0"/>
    <w:pPr>
      <w:ind w:left="1470"/>
      <w:jc w:val="left"/>
    </w:pPr>
    <w:rPr>
      <w:sz w:val="20"/>
      <w:szCs w:val="20"/>
    </w:rPr>
  </w:style>
  <w:style w:type="paragraph" w:styleId="28">
    <w:name w:val="index 2"/>
    <w:basedOn w:val="1"/>
    <w:next w:val="1"/>
    <w:autoRedefine/>
    <w:qFormat/>
    <w:uiPriority w:val="0"/>
    <w:pPr>
      <w:ind w:left="420" w:hanging="210"/>
      <w:jc w:val="left"/>
    </w:pPr>
    <w:rPr>
      <w:rFonts w:ascii="Calibri" w:hAnsi="Calibri"/>
      <w:sz w:val="20"/>
      <w:szCs w:val="20"/>
    </w:rPr>
  </w:style>
  <w:style w:type="table" w:styleId="30">
    <w:name w:val="Table Grid"/>
    <w:basedOn w:val="29"/>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endnote reference"/>
    <w:autoRedefine/>
    <w:semiHidden/>
    <w:qFormat/>
    <w:uiPriority w:val="0"/>
    <w:rPr>
      <w:vertAlign w:val="superscript"/>
    </w:rPr>
  </w:style>
  <w:style w:type="character" w:styleId="33">
    <w:name w:val="page number"/>
    <w:autoRedefine/>
    <w:qFormat/>
    <w:uiPriority w:val="0"/>
    <w:rPr>
      <w:rFonts w:ascii="Times New Roman" w:hAnsi="Times New Roman" w:eastAsia="宋体"/>
      <w:sz w:val="18"/>
    </w:rPr>
  </w:style>
  <w:style w:type="character" w:styleId="34">
    <w:name w:val="FollowedHyperlink"/>
    <w:autoRedefine/>
    <w:qFormat/>
    <w:uiPriority w:val="0"/>
    <w:rPr>
      <w:color w:val="800080"/>
      <w:u w:val="single"/>
    </w:rPr>
  </w:style>
  <w:style w:type="character" w:styleId="35">
    <w:name w:val="Emphasis"/>
    <w:basedOn w:val="31"/>
    <w:autoRedefine/>
    <w:qFormat/>
    <w:uiPriority w:val="0"/>
    <w:rPr>
      <w:i/>
    </w:rPr>
  </w:style>
  <w:style w:type="character" w:styleId="36">
    <w:name w:val="Hyperlink"/>
    <w:autoRedefine/>
    <w:qFormat/>
    <w:uiPriority w:val="0"/>
    <w:rPr>
      <w:color w:val="0000FF"/>
      <w:spacing w:val="0"/>
      <w:w w:val="100"/>
      <w:szCs w:val="21"/>
      <w:u w:val="single"/>
      <w:lang w:val="en-US" w:eastAsia="zh-CN"/>
    </w:rPr>
  </w:style>
  <w:style w:type="character" w:styleId="37">
    <w:name w:val="footnote reference"/>
    <w:autoRedefine/>
    <w:semiHidden/>
    <w:qFormat/>
    <w:uiPriority w:val="0"/>
    <w:rPr>
      <w:vertAlign w:val="superscript"/>
    </w:rPr>
  </w:style>
  <w:style w:type="character" w:customStyle="1" w:styleId="38">
    <w:name w:val="发布"/>
    <w:autoRedefine/>
    <w:qFormat/>
    <w:uiPriority w:val="0"/>
    <w:rPr>
      <w:rFonts w:ascii="黑体" w:eastAsia="黑体"/>
      <w:spacing w:val="85"/>
      <w:w w:val="100"/>
      <w:position w:val="3"/>
      <w:sz w:val="28"/>
      <w:szCs w:val="28"/>
    </w:rPr>
  </w:style>
  <w:style w:type="character" w:customStyle="1" w:styleId="39">
    <w:name w:val="附录公式 Char"/>
    <w:basedOn w:val="40"/>
    <w:link w:val="41"/>
    <w:autoRedefine/>
    <w:qFormat/>
    <w:uiPriority w:val="0"/>
    <w:rPr>
      <w:rFonts w:ascii="宋体"/>
      <w:sz w:val="21"/>
      <w:lang w:val="en-US" w:eastAsia="zh-CN" w:bidi="ar-SA"/>
    </w:rPr>
  </w:style>
  <w:style w:type="character" w:customStyle="1" w:styleId="40">
    <w:name w:val="段 Char"/>
    <w:link w:val="21"/>
    <w:autoRedefine/>
    <w:qFormat/>
    <w:uiPriority w:val="0"/>
    <w:rPr>
      <w:rFonts w:ascii="宋体"/>
      <w:sz w:val="21"/>
      <w:lang w:val="en-US" w:eastAsia="zh-CN" w:bidi="ar-SA"/>
    </w:rPr>
  </w:style>
  <w:style w:type="paragraph" w:customStyle="1" w:styleId="41">
    <w:name w:val="附录公式"/>
    <w:basedOn w:val="21"/>
    <w:next w:val="21"/>
    <w:link w:val="39"/>
    <w:autoRedefine/>
    <w:qFormat/>
    <w:uiPriority w:val="0"/>
  </w:style>
  <w:style w:type="character" w:customStyle="1" w:styleId="42">
    <w:name w:val="首示例 Char"/>
    <w:link w:val="43"/>
    <w:autoRedefine/>
    <w:qFormat/>
    <w:uiPriority w:val="0"/>
    <w:rPr>
      <w:rFonts w:ascii="宋体" w:hAnsi="宋体"/>
      <w:kern w:val="2"/>
      <w:sz w:val="18"/>
      <w:szCs w:val="18"/>
      <w:lang w:val="en-US" w:eastAsia="zh-CN" w:bidi="ar-SA"/>
    </w:rPr>
  </w:style>
  <w:style w:type="paragraph" w:customStyle="1" w:styleId="43">
    <w:name w:val="首示例"/>
    <w:next w:val="21"/>
    <w:link w:val="42"/>
    <w:autoRedefine/>
    <w:qFormat/>
    <w:uiPriority w:val="0"/>
    <w:pPr>
      <w:numPr>
        <w:ilvl w:val="0"/>
        <w:numId w:val="2"/>
      </w:numPr>
      <w:tabs>
        <w:tab w:val="left" w:pos="360"/>
      </w:tabs>
      <w:ind w:firstLine="0"/>
    </w:pPr>
    <w:rPr>
      <w:rFonts w:ascii="宋体" w:hAnsi="宋体" w:eastAsia="宋体" w:cs="Times New Roman"/>
      <w:kern w:val="2"/>
      <w:sz w:val="18"/>
      <w:szCs w:val="18"/>
      <w:lang w:val="en-US" w:eastAsia="zh-CN" w:bidi="ar-SA"/>
    </w:rPr>
  </w:style>
  <w:style w:type="paragraph" w:customStyle="1" w:styleId="44">
    <w:name w:val="示例"/>
    <w:next w:val="45"/>
    <w:autoRedefine/>
    <w:qFormat/>
    <w:uiPriority w:val="0"/>
    <w:pPr>
      <w:widowControl w:val="0"/>
      <w:numPr>
        <w:ilvl w:val="0"/>
        <w:numId w:val="3"/>
      </w:numPr>
      <w:jc w:val="both"/>
    </w:pPr>
    <w:rPr>
      <w:rFonts w:ascii="宋体" w:hAnsi="Times New Roman" w:eastAsia="宋体" w:cs="Times New Roman"/>
      <w:sz w:val="18"/>
      <w:szCs w:val="18"/>
      <w:lang w:val="en-US" w:eastAsia="zh-CN" w:bidi="ar-SA"/>
    </w:rPr>
  </w:style>
  <w:style w:type="paragraph" w:customStyle="1" w:styleId="45">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46">
    <w:name w:val="图表脚注说明"/>
    <w:basedOn w:val="1"/>
    <w:autoRedefine/>
    <w:qFormat/>
    <w:uiPriority w:val="0"/>
    <w:pPr>
      <w:numPr>
        <w:ilvl w:val="0"/>
        <w:numId w:val="4"/>
      </w:numPr>
    </w:pPr>
    <w:rPr>
      <w:rFonts w:ascii="宋体"/>
      <w:sz w:val="18"/>
      <w:szCs w:val="18"/>
    </w:rPr>
  </w:style>
  <w:style w:type="paragraph" w:customStyle="1" w:styleId="47">
    <w:name w:val="数字编号列项（二级）"/>
    <w:autoRedefine/>
    <w:qFormat/>
    <w:uiPriority w:val="0"/>
    <w:pPr>
      <w:numPr>
        <w:ilvl w:val="1"/>
        <w:numId w:val="5"/>
      </w:numPr>
      <w:jc w:val="both"/>
    </w:pPr>
    <w:rPr>
      <w:rFonts w:ascii="宋体" w:hAnsi="Times New Roman" w:eastAsia="宋体" w:cs="Times New Roman"/>
      <w:sz w:val="21"/>
      <w:lang w:val="en-US" w:eastAsia="zh-CN" w:bidi="ar-SA"/>
    </w:rPr>
  </w:style>
  <w:style w:type="paragraph" w:customStyle="1" w:styleId="48">
    <w:name w:val="正文图标题"/>
    <w:next w:val="21"/>
    <w:autoRedefine/>
    <w:qFormat/>
    <w:uiPriority w:val="0"/>
    <w:pPr>
      <w:numPr>
        <w:ilvl w:val="0"/>
        <w:numId w:val="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49">
    <w:name w:val="示例后文字"/>
    <w:basedOn w:val="21"/>
    <w:next w:val="21"/>
    <w:autoRedefine/>
    <w:qFormat/>
    <w:uiPriority w:val="0"/>
    <w:pPr>
      <w:ind w:firstLine="360"/>
    </w:pPr>
    <w:rPr>
      <w:sz w:val="18"/>
    </w:rPr>
  </w:style>
  <w:style w:type="paragraph" w:customStyle="1" w:styleId="50">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1">
    <w:name w:val="封面标准名称2"/>
    <w:basedOn w:val="52"/>
    <w:autoRedefine/>
    <w:qFormat/>
    <w:uiPriority w:val="0"/>
    <w:pPr>
      <w:framePr w:wrap="around" w:y="4469"/>
      <w:spacing w:beforeLines="630"/>
    </w:pPr>
  </w:style>
  <w:style w:type="paragraph" w:customStyle="1" w:styleId="52">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3">
    <w:name w:val="终结线"/>
    <w:basedOn w:val="1"/>
    <w:qFormat/>
    <w:uiPriority w:val="0"/>
    <w:pPr>
      <w:framePr w:hSpace="181" w:vSpace="181" w:wrap="around" w:vAnchor="text" w:hAnchor="margin" w:xAlign="center" w:y="285"/>
    </w:pPr>
  </w:style>
  <w:style w:type="paragraph" w:customStyle="1" w:styleId="54">
    <w:name w:val="发布部门"/>
    <w:next w:val="21"/>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55">
    <w:name w:val="附录五级条标题"/>
    <w:basedOn w:val="56"/>
    <w:next w:val="21"/>
    <w:autoRedefine/>
    <w:qFormat/>
    <w:uiPriority w:val="0"/>
    <w:pPr>
      <w:numPr>
        <w:ilvl w:val="6"/>
      </w:numPr>
      <w:tabs>
        <w:tab w:val="left" w:pos="360"/>
      </w:tabs>
      <w:outlineLvl w:val="6"/>
    </w:pPr>
  </w:style>
  <w:style w:type="paragraph" w:customStyle="1" w:styleId="56">
    <w:name w:val="附录四级条标题"/>
    <w:basedOn w:val="57"/>
    <w:next w:val="21"/>
    <w:autoRedefine/>
    <w:qFormat/>
    <w:uiPriority w:val="0"/>
    <w:pPr>
      <w:numPr>
        <w:ilvl w:val="5"/>
      </w:numPr>
      <w:tabs>
        <w:tab w:val="left" w:pos="360"/>
      </w:tabs>
      <w:outlineLvl w:val="5"/>
    </w:pPr>
  </w:style>
  <w:style w:type="paragraph" w:customStyle="1" w:styleId="57">
    <w:name w:val="附录三级条标题"/>
    <w:basedOn w:val="58"/>
    <w:next w:val="21"/>
    <w:autoRedefine/>
    <w:qFormat/>
    <w:uiPriority w:val="0"/>
    <w:pPr>
      <w:numPr>
        <w:ilvl w:val="4"/>
      </w:numPr>
      <w:tabs>
        <w:tab w:val="left" w:pos="360"/>
      </w:tabs>
      <w:outlineLvl w:val="4"/>
    </w:pPr>
  </w:style>
  <w:style w:type="paragraph" w:customStyle="1" w:styleId="58">
    <w:name w:val="附录二级条标题"/>
    <w:basedOn w:val="1"/>
    <w:next w:val="21"/>
    <w:qFormat/>
    <w:uiPriority w:val="0"/>
    <w:pPr>
      <w:widowControl/>
      <w:numPr>
        <w:ilvl w:val="3"/>
        <w:numId w:val="7"/>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59">
    <w:name w:val="附录标题"/>
    <w:basedOn w:val="21"/>
    <w:next w:val="21"/>
    <w:autoRedefine/>
    <w:qFormat/>
    <w:uiPriority w:val="0"/>
    <w:pPr>
      <w:ind w:firstLine="0" w:firstLineChars="0"/>
      <w:jc w:val="center"/>
    </w:pPr>
    <w:rPr>
      <w:rFonts w:ascii="黑体" w:eastAsia="黑体"/>
    </w:rPr>
  </w:style>
  <w:style w:type="paragraph" w:customStyle="1" w:styleId="60">
    <w:name w:val="三级条标题"/>
    <w:basedOn w:val="61"/>
    <w:next w:val="21"/>
    <w:qFormat/>
    <w:uiPriority w:val="0"/>
    <w:pPr>
      <w:numPr>
        <w:ilvl w:val="3"/>
      </w:numPr>
      <w:outlineLvl w:val="4"/>
    </w:pPr>
  </w:style>
  <w:style w:type="paragraph" w:customStyle="1" w:styleId="61">
    <w:name w:val="二级条标题"/>
    <w:basedOn w:val="62"/>
    <w:next w:val="21"/>
    <w:qFormat/>
    <w:uiPriority w:val="0"/>
    <w:pPr>
      <w:numPr>
        <w:ilvl w:val="2"/>
      </w:numPr>
      <w:spacing w:before="50" w:after="50"/>
      <w:outlineLvl w:val="3"/>
    </w:pPr>
  </w:style>
  <w:style w:type="paragraph" w:customStyle="1" w:styleId="62">
    <w:name w:val="一级条标题"/>
    <w:next w:val="21"/>
    <w:autoRedefine/>
    <w:qFormat/>
    <w:uiPriority w:val="0"/>
    <w:pPr>
      <w:numPr>
        <w:ilvl w:val="1"/>
        <w:numId w:val="8"/>
      </w:numPr>
      <w:spacing w:beforeLines="50" w:afterLines="50"/>
      <w:outlineLvl w:val="2"/>
    </w:pPr>
    <w:rPr>
      <w:rFonts w:ascii="黑体" w:hAnsi="Times New Roman" w:eastAsia="黑体" w:cs="Times New Roman"/>
      <w:sz w:val="21"/>
      <w:szCs w:val="21"/>
      <w:lang w:val="en-US" w:eastAsia="zh-CN" w:bidi="ar-SA"/>
    </w:rPr>
  </w:style>
  <w:style w:type="paragraph" w:customStyle="1" w:styleId="6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64">
    <w:name w:val="实施日期"/>
    <w:basedOn w:val="65"/>
    <w:autoRedefine/>
    <w:qFormat/>
    <w:uiPriority w:val="0"/>
    <w:pPr>
      <w:framePr w:wrap="around" w:vAnchor="page" w:hAnchor="text"/>
      <w:jc w:val="right"/>
    </w:pPr>
  </w:style>
  <w:style w:type="paragraph" w:customStyle="1" w:styleId="65">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66">
    <w:name w:val="列项●（二级）"/>
    <w:autoRedefine/>
    <w:qFormat/>
    <w:uiPriority w:val="0"/>
    <w:pPr>
      <w:numPr>
        <w:ilvl w:val="1"/>
        <w:numId w:val="9"/>
      </w:numPr>
      <w:tabs>
        <w:tab w:val="left" w:pos="840"/>
      </w:tabs>
      <w:jc w:val="both"/>
    </w:pPr>
    <w:rPr>
      <w:rFonts w:ascii="宋体" w:hAnsi="Times New Roman" w:eastAsia="宋体" w:cs="Times New Roman"/>
      <w:sz w:val="21"/>
      <w:lang w:val="en-US" w:eastAsia="zh-CN" w:bidi="ar-SA"/>
    </w:rPr>
  </w:style>
  <w:style w:type="paragraph" w:customStyle="1" w:styleId="67">
    <w:name w:val="附录表标号"/>
    <w:basedOn w:val="1"/>
    <w:next w:val="21"/>
    <w:autoRedefine/>
    <w:qFormat/>
    <w:uiPriority w:val="0"/>
    <w:pPr>
      <w:numPr>
        <w:ilvl w:val="0"/>
        <w:numId w:val="10"/>
      </w:numPr>
      <w:tabs>
        <w:tab w:val="clear" w:pos="0"/>
      </w:tabs>
      <w:spacing w:line="14" w:lineRule="exact"/>
      <w:ind w:left="811" w:hanging="448"/>
      <w:jc w:val="center"/>
      <w:outlineLvl w:val="0"/>
    </w:pPr>
    <w:rPr>
      <w:color w:val="FFFFFF"/>
    </w:rPr>
  </w:style>
  <w:style w:type="paragraph" w:customStyle="1" w:styleId="68">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9">
    <w:name w:val="二级无"/>
    <w:basedOn w:val="61"/>
    <w:qFormat/>
    <w:uiPriority w:val="0"/>
    <w:pPr>
      <w:spacing w:beforeLines="0" w:afterLines="0"/>
    </w:pPr>
    <w:rPr>
      <w:rFonts w:ascii="宋体" w:eastAsia="宋体"/>
    </w:rPr>
  </w:style>
  <w:style w:type="paragraph" w:customStyle="1" w:styleId="70">
    <w:name w:val="封面标准英文名称"/>
    <w:basedOn w:val="52"/>
    <w:autoRedefine/>
    <w:qFormat/>
    <w:uiPriority w:val="0"/>
    <w:pPr>
      <w:framePr w:wrap="around"/>
      <w:spacing w:before="370" w:line="400" w:lineRule="exact"/>
    </w:pPr>
    <w:rPr>
      <w:rFonts w:ascii="Times New Roman"/>
      <w:sz w:val="28"/>
      <w:szCs w:val="28"/>
    </w:rPr>
  </w:style>
  <w:style w:type="paragraph" w:customStyle="1" w:styleId="71">
    <w:name w:val="五级条标题"/>
    <w:basedOn w:val="72"/>
    <w:next w:val="21"/>
    <w:autoRedefine/>
    <w:qFormat/>
    <w:uiPriority w:val="0"/>
    <w:pPr>
      <w:numPr>
        <w:ilvl w:val="5"/>
      </w:numPr>
      <w:outlineLvl w:val="6"/>
    </w:pPr>
  </w:style>
  <w:style w:type="paragraph" w:customStyle="1" w:styleId="72">
    <w:name w:val="四级条标题"/>
    <w:basedOn w:val="60"/>
    <w:next w:val="21"/>
    <w:autoRedefine/>
    <w:qFormat/>
    <w:uiPriority w:val="0"/>
    <w:pPr>
      <w:numPr>
        <w:ilvl w:val="4"/>
      </w:numPr>
      <w:outlineLvl w:val="5"/>
    </w:pPr>
  </w:style>
  <w:style w:type="paragraph" w:customStyle="1" w:styleId="73">
    <w:name w:val="列项◆（三级）"/>
    <w:basedOn w:val="1"/>
    <w:autoRedefine/>
    <w:qFormat/>
    <w:uiPriority w:val="0"/>
    <w:pPr>
      <w:numPr>
        <w:ilvl w:val="2"/>
        <w:numId w:val="9"/>
      </w:numPr>
    </w:pPr>
    <w:rPr>
      <w:rFonts w:ascii="宋体"/>
      <w:szCs w:val="21"/>
    </w:rPr>
  </w:style>
  <w:style w:type="paragraph" w:customStyle="1" w:styleId="74">
    <w:name w:val="注×："/>
    <w:autoRedefine/>
    <w:qFormat/>
    <w:uiPriority w:val="0"/>
    <w:pPr>
      <w:widowControl w:val="0"/>
      <w:numPr>
        <w:ilvl w:val="0"/>
        <w:numId w:val="11"/>
      </w:numPr>
      <w:autoSpaceDE w:val="0"/>
      <w:autoSpaceDN w:val="0"/>
      <w:jc w:val="both"/>
    </w:pPr>
    <w:rPr>
      <w:rFonts w:ascii="宋体" w:hAnsi="Times New Roman" w:eastAsia="宋体" w:cs="Times New Roman"/>
      <w:sz w:val="18"/>
      <w:szCs w:val="18"/>
      <w:lang w:val="en-US" w:eastAsia="zh-CN" w:bidi="ar-SA"/>
    </w:rPr>
  </w:style>
  <w:style w:type="paragraph" w:customStyle="1" w:styleId="75">
    <w:name w:val="封面标准文稿编辑信息"/>
    <w:basedOn w:val="76"/>
    <w:autoRedefine/>
    <w:qFormat/>
    <w:uiPriority w:val="0"/>
    <w:pPr>
      <w:framePr w:wrap="around"/>
      <w:spacing w:before="180" w:line="180" w:lineRule="exact"/>
    </w:pPr>
    <w:rPr>
      <w:sz w:val="21"/>
    </w:rPr>
  </w:style>
  <w:style w:type="paragraph" w:customStyle="1" w:styleId="76">
    <w:name w:val="封面标准文稿类别"/>
    <w:basedOn w:val="77"/>
    <w:autoRedefine/>
    <w:qFormat/>
    <w:uiPriority w:val="0"/>
    <w:pPr>
      <w:framePr w:wrap="around"/>
      <w:spacing w:after="160" w:line="240" w:lineRule="auto"/>
    </w:pPr>
    <w:rPr>
      <w:sz w:val="24"/>
    </w:rPr>
  </w:style>
  <w:style w:type="paragraph" w:customStyle="1" w:styleId="77">
    <w:name w:val="封面一致性程度标识"/>
    <w:basedOn w:val="70"/>
    <w:autoRedefine/>
    <w:qFormat/>
    <w:uiPriority w:val="0"/>
    <w:pPr>
      <w:framePr w:wrap="around"/>
      <w:spacing w:before="440"/>
    </w:pPr>
    <w:rPr>
      <w:rFonts w:ascii="宋体" w:eastAsia="宋体"/>
    </w:rPr>
  </w:style>
  <w:style w:type="paragraph" w:customStyle="1" w:styleId="78">
    <w:name w:val="参考文献"/>
    <w:basedOn w:val="1"/>
    <w:next w:val="21"/>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9">
    <w:name w:val="注："/>
    <w:next w:val="21"/>
    <w:autoRedefine/>
    <w:qFormat/>
    <w:uiPriority w:val="0"/>
    <w:pPr>
      <w:widowControl w:val="0"/>
      <w:numPr>
        <w:ilvl w:val="0"/>
        <w:numId w:val="12"/>
      </w:numPr>
      <w:autoSpaceDE w:val="0"/>
      <w:autoSpaceDN w:val="0"/>
      <w:jc w:val="both"/>
    </w:pPr>
    <w:rPr>
      <w:rFonts w:ascii="宋体" w:hAnsi="Times New Roman" w:eastAsia="宋体" w:cs="Times New Roman"/>
      <w:sz w:val="18"/>
      <w:szCs w:val="18"/>
      <w:lang w:val="en-US" w:eastAsia="zh-CN" w:bidi="ar-SA"/>
    </w:rPr>
  </w:style>
  <w:style w:type="paragraph" w:customStyle="1" w:styleId="80">
    <w:name w:val="附录一级条标题"/>
    <w:basedOn w:val="81"/>
    <w:next w:val="21"/>
    <w:autoRedefine/>
    <w:qFormat/>
    <w:uiPriority w:val="0"/>
    <w:pPr>
      <w:numPr>
        <w:ilvl w:val="2"/>
      </w:numPr>
      <w:tabs>
        <w:tab w:val="left" w:pos="360"/>
      </w:tabs>
      <w:autoSpaceDN w:val="0"/>
      <w:spacing w:beforeLines="50" w:afterLines="50"/>
      <w:outlineLvl w:val="2"/>
    </w:pPr>
  </w:style>
  <w:style w:type="paragraph" w:customStyle="1" w:styleId="81">
    <w:name w:val="附录章标题"/>
    <w:next w:val="21"/>
    <w:autoRedefine/>
    <w:qFormat/>
    <w:uiPriority w:val="0"/>
    <w:pPr>
      <w:numPr>
        <w:ilvl w:val="1"/>
        <w:numId w:val="7"/>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82">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83">
    <w:name w:val="附录三级无"/>
    <w:basedOn w:val="57"/>
    <w:autoRedefine/>
    <w:qFormat/>
    <w:uiPriority w:val="0"/>
    <w:pPr>
      <w:tabs>
        <w:tab w:val="clear" w:pos="360"/>
      </w:tabs>
      <w:spacing w:beforeLines="0" w:afterLines="0"/>
    </w:pPr>
    <w:rPr>
      <w:rFonts w:ascii="宋体" w:eastAsia="宋体"/>
      <w:szCs w:val="21"/>
    </w:rPr>
  </w:style>
  <w:style w:type="paragraph" w:customStyle="1" w:styleId="84">
    <w:name w:val="列项——（一级）"/>
    <w:autoRedefine/>
    <w:qFormat/>
    <w:uiPriority w:val="0"/>
    <w:pPr>
      <w:widowControl w:val="0"/>
      <w:numPr>
        <w:ilvl w:val="0"/>
        <w:numId w:val="9"/>
      </w:numPr>
      <w:jc w:val="both"/>
    </w:pPr>
    <w:rPr>
      <w:rFonts w:ascii="宋体" w:hAnsi="Times New Roman" w:eastAsia="宋体" w:cs="Times New Roman"/>
      <w:sz w:val="21"/>
      <w:lang w:val="en-US" w:eastAsia="zh-CN" w:bidi="ar-SA"/>
    </w:rPr>
  </w:style>
  <w:style w:type="paragraph" w:customStyle="1" w:styleId="85">
    <w:name w:val="注：（正文）"/>
    <w:basedOn w:val="79"/>
    <w:next w:val="21"/>
    <w:autoRedefine/>
    <w:qFormat/>
    <w:uiPriority w:val="0"/>
  </w:style>
  <w:style w:type="paragraph" w:customStyle="1" w:styleId="86">
    <w:name w:val="附录数字编号列项（二级）"/>
    <w:autoRedefine/>
    <w:qFormat/>
    <w:uiPriority w:val="0"/>
    <w:pPr>
      <w:numPr>
        <w:ilvl w:val="1"/>
        <w:numId w:val="13"/>
      </w:numPr>
    </w:pPr>
    <w:rPr>
      <w:rFonts w:ascii="宋体" w:hAnsi="Times New Roman" w:eastAsia="宋体" w:cs="Times New Roman"/>
      <w:sz w:val="21"/>
      <w:lang w:val="en-US" w:eastAsia="zh-CN" w:bidi="ar-SA"/>
    </w:rPr>
  </w:style>
  <w:style w:type="paragraph" w:customStyle="1" w:styleId="87">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88">
    <w:name w:val="注×：（正文）"/>
    <w:autoRedefine/>
    <w:qFormat/>
    <w:uiPriority w:val="0"/>
    <w:pPr>
      <w:numPr>
        <w:ilvl w:val="0"/>
        <w:numId w:val="14"/>
      </w:numPr>
      <w:jc w:val="both"/>
    </w:pPr>
    <w:rPr>
      <w:rFonts w:ascii="宋体" w:hAnsi="Times New Roman" w:eastAsia="宋体" w:cs="Times New Roman"/>
      <w:sz w:val="18"/>
      <w:szCs w:val="18"/>
      <w:lang w:val="en-US" w:eastAsia="zh-CN" w:bidi="ar-SA"/>
    </w:rPr>
  </w:style>
  <w:style w:type="paragraph" w:customStyle="1" w:styleId="89">
    <w:name w:val="示例×："/>
    <w:basedOn w:val="90"/>
    <w:autoRedefine/>
    <w:qFormat/>
    <w:uiPriority w:val="0"/>
    <w:pPr>
      <w:numPr>
        <w:numId w:val="15"/>
      </w:numPr>
      <w:spacing w:beforeLines="0" w:afterLines="0"/>
      <w:outlineLvl w:val="9"/>
    </w:pPr>
    <w:rPr>
      <w:rFonts w:ascii="宋体" w:eastAsia="宋体"/>
      <w:sz w:val="18"/>
      <w:szCs w:val="18"/>
    </w:rPr>
  </w:style>
  <w:style w:type="paragraph" w:customStyle="1" w:styleId="90">
    <w:name w:val="章标题"/>
    <w:next w:val="21"/>
    <w:autoRedefine/>
    <w:qFormat/>
    <w:uiPriority w:val="0"/>
    <w:pPr>
      <w:numPr>
        <w:ilvl w:val="0"/>
        <w:numId w:val="8"/>
      </w:numPr>
      <w:spacing w:beforeLines="100" w:afterLines="100"/>
      <w:jc w:val="both"/>
      <w:outlineLvl w:val="1"/>
    </w:pPr>
    <w:rPr>
      <w:rFonts w:ascii="黑体" w:hAnsi="Times New Roman" w:eastAsia="黑体" w:cs="Times New Roman"/>
      <w:sz w:val="21"/>
      <w:lang w:val="en-US" w:eastAsia="zh-CN" w:bidi="ar-SA"/>
    </w:rPr>
  </w:style>
  <w:style w:type="paragraph" w:customStyle="1" w:styleId="91">
    <w:name w:val="参考文献、索引标题"/>
    <w:basedOn w:val="1"/>
    <w:next w:val="21"/>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92">
    <w:name w:val="其他实施日期"/>
    <w:basedOn w:val="64"/>
    <w:autoRedefine/>
    <w:qFormat/>
    <w:uiPriority w:val="0"/>
    <w:pPr>
      <w:framePr w:wrap="around"/>
    </w:pPr>
  </w:style>
  <w:style w:type="paragraph" w:customStyle="1" w:styleId="93">
    <w:name w:val="编号列项（三级）"/>
    <w:autoRedefine/>
    <w:qFormat/>
    <w:uiPriority w:val="0"/>
    <w:pPr>
      <w:numPr>
        <w:ilvl w:val="2"/>
        <w:numId w:val="5"/>
      </w:numPr>
    </w:pPr>
    <w:rPr>
      <w:rFonts w:ascii="宋体" w:hAnsi="Times New Roman" w:eastAsia="宋体" w:cs="Times New Roman"/>
      <w:sz w:val="21"/>
      <w:lang w:val="en-US" w:eastAsia="zh-CN" w:bidi="ar-SA"/>
    </w:rPr>
  </w:style>
  <w:style w:type="paragraph" w:customStyle="1" w:styleId="94">
    <w:name w:val="附录二级无"/>
    <w:basedOn w:val="58"/>
    <w:autoRedefine/>
    <w:qFormat/>
    <w:uiPriority w:val="0"/>
    <w:pPr>
      <w:tabs>
        <w:tab w:val="clear" w:pos="360"/>
      </w:tabs>
      <w:spacing w:beforeLines="0" w:afterLines="0"/>
    </w:pPr>
    <w:rPr>
      <w:rFonts w:ascii="宋体" w:eastAsia="宋体"/>
      <w:szCs w:val="21"/>
    </w:rPr>
  </w:style>
  <w:style w:type="paragraph" w:customStyle="1" w:styleId="95">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96">
    <w:name w:val="标准书眉一"/>
    <w:autoRedefine/>
    <w:qFormat/>
    <w:uiPriority w:val="0"/>
    <w:pPr>
      <w:jc w:val="both"/>
    </w:pPr>
    <w:rPr>
      <w:rFonts w:ascii="Times New Roman" w:hAnsi="Times New Roman" w:eastAsia="宋体" w:cs="Times New Roman"/>
      <w:lang w:val="en-US" w:eastAsia="zh-CN" w:bidi="ar-SA"/>
    </w:rPr>
  </w:style>
  <w:style w:type="paragraph" w:customStyle="1" w:styleId="97">
    <w:name w:val="封面正文"/>
    <w:autoRedefine/>
    <w:qFormat/>
    <w:uiPriority w:val="0"/>
    <w:pPr>
      <w:jc w:val="both"/>
    </w:pPr>
    <w:rPr>
      <w:rFonts w:ascii="Times New Roman" w:hAnsi="Times New Roman" w:eastAsia="宋体" w:cs="Times New Roman"/>
      <w:lang w:val="en-US" w:eastAsia="zh-CN" w:bidi="ar-SA"/>
    </w:rPr>
  </w:style>
  <w:style w:type="paragraph" w:customStyle="1" w:styleId="98">
    <w:name w:val="字母编号列项（一级）"/>
    <w:autoRedefine/>
    <w:qFormat/>
    <w:uiPriority w:val="0"/>
    <w:pPr>
      <w:numPr>
        <w:ilvl w:val="0"/>
        <w:numId w:val="5"/>
      </w:numPr>
      <w:jc w:val="both"/>
    </w:pPr>
    <w:rPr>
      <w:rFonts w:ascii="宋体" w:hAnsi="Times New Roman" w:eastAsia="宋体" w:cs="Times New Roman"/>
      <w:sz w:val="21"/>
      <w:lang w:val="en-US" w:eastAsia="zh-CN" w:bidi="ar-SA"/>
    </w:rPr>
  </w:style>
  <w:style w:type="paragraph" w:customStyle="1" w:styleId="99">
    <w:name w:val="附录表标题"/>
    <w:basedOn w:val="1"/>
    <w:next w:val="21"/>
    <w:autoRedefine/>
    <w:qFormat/>
    <w:uiPriority w:val="0"/>
    <w:pPr>
      <w:numPr>
        <w:ilvl w:val="1"/>
        <w:numId w:val="10"/>
      </w:numPr>
      <w:tabs>
        <w:tab w:val="left" w:pos="180"/>
      </w:tabs>
      <w:spacing w:beforeLines="50" w:afterLines="50"/>
      <w:ind w:left="0" w:firstLine="0"/>
      <w:jc w:val="center"/>
    </w:pPr>
    <w:rPr>
      <w:rFonts w:ascii="黑体" w:eastAsia="黑体"/>
      <w:szCs w:val="21"/>
    </w:rPr>
  </w:style>
  <w:style w:type="paragraph" w:customStyle="1" w:styleId="100">
    <w:name w:val="五级无"/>
    <w:basedOn w:val="71"/>
    <w:autoRedefine/>
    <w:qFormat/>
    <w:uiPriority w:val="0"/>
    <w:pPr>
      <w:spacing w:beforeLines="0" w:afterLines="0"/>
    </w:pPr>
    <w:rPr>
      <w:rFonts w:ascii="宋体" w:eastAsia="宋体"/>
    </w:rPr>
  </w:style>
  <w:style w:type="paragraph" w:customStyle="1" w:styleId="10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02">
    <w:name w:val="三级无"/>
    <w:basedOn w:val="60"/>
    <w:autoRedefine/>
    <w:qFormat/>
    <w:uiPriority w:val="0"/>
    <w:pPr>
      <w:spacing w:beforeLines="0" w:afterLines="0"/>
    </w:pPr>
    <w:rPr>
      <w:rFonts w:ascii="宋体" w:eastAsia="宋体"/>
    </w:rPr>
  </w:style>
  <w:style w:type="paragraph" w:customStyle="1" w:styleId="103">
    <w:name w:val="目次、标准名称标题"/>
    <w:basedOn w:val="1"/>
    <w:next w:val="21"/>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04">
    <w:name w:val="标准书眉_偶数页"/>
    <w:basedOn w:val="68"/>
    <w:next w:val="1"/>
    <w:autoRedefine/>
    <w:qFormat/>
    <w:uiPriority w:val="0"/>
    <w:pPr>
      <w:jc w:val="left"/>
    </w:pPr>
  </w:style>
  <w:style w:type="paragraph" w:customStyle="1" w:styleId="105">
    <w:name w:val="封面标准英文名称2"/>
    <w:basedOn w:val="70"/>
    <w:autoRedefine/>
    <w:qFormat/>
    <w:uiPriority w:val="0"/>
    <w:pPr>
      <w:framePr w:wrap="around" w:y="4469"/>
    </w:pPr>
  </w:style>
  <w:style w:type="paragraph" w:customStyle="1" w:styleId="106">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107">
    <w:name w:val="附录一级无"/>
    <w:basedOn w:val="80"/>
    <w:autoRedefine/>
    <w:qFormat/>
    <w:uiPriority w:val="0"/>
    <w:pPr>
      <w:tabs>
        <w:tab w:val="clear" w:pos="360"/>
      </w:tabs>
      <w:spacing w:beforeLines="0" w:afterLines="0"/>
    </w:pPr>
    <w:rPr>
      <w:rFonts w:ascii="宋体" w:eastAsia="宋体"/>
      <w:szCs w:val="21"/>
    </w:rPr>
  </w:style>
  <w:style w:type="paragraph" w:customStyle="1" w:styleId="108">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09">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0">
    <w:name w:val="正文表标题"/>
    <w:next w:val="21"/>
    <w:autoRedefine/>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11">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12">
    <w:name w:val="其他发布日期"/>
    <w:basedOn w:val="65"/>
    <w:autoRedefine/>
    <w:qFormat/>
    <w:uiPriority w:val="0"/>
    <w:pPr>
      <w:framePr w:wrap="around" w:vAnchor="page" w:hAnchor="text" w:x="1419"/>
    </w:pPr>
  </w:style>
  <w:style w:type="paragraph" w:customStyle="1" w:styleId="113">
    <w:name w:val="图标脚注说明"/>
    <w:basedOn w:val="21"/>
    <w:autoRedefine/>
    <w:qFormat/>
    <w:uiPriority w:val="0"/>
    <w:pPr>
      <w:ind w:left="840" w:hanging="420" w:firstLineChars="0"/>
    </w:pPr>
    <w:rPr>
      <w:sz w:val="18"/>
      <w:szCs w:val="18"/>
    </w:rPr>
  </w:style>
  <w:style w:type="paragraph" w:customStyle="1" w:styleId="114">
    <w:name w:val="附录公式编号制表符"/>
    <w:basedOn w:val="1"/>
    <w:next w:val="21"/>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115">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16">
    <w:name w:val="正文公式编号制表符"/>
    <w:basedOn w:val="21"/>
    <w:next w:val="21"/>
    <w:autoRedefine/>
    <w:qFormat/>
    <w:uiPriority w:val="0"/>
    <w:pPr>
      <w:ind w:firstLine="0" w:firstLineChars="0"/>
    </w:pPr>
  </w:style>
  <w:style w:type="paragraph" w:customStyle="1" w:styleId="117">
    <w:name w:val="附录标识"/>
    <w:basedOn w:val="1"/>
    <w:next w:val="21"/>
    <w:autoRedefine/>
    <w:qFormat/>
    <w:uiPriority w:val="0"/>
    <w:pPr>
      <w:keepNext/>
      <w:widowControl/>
      <w:numPr>
        <w:ilvl w:val="0"/>
        <w:numId w:val="7"/>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18">
    <w:name w:val="附录字母编号列项（一级）"/>
    <w:autoRedefine/>
    <w:qFormat/>
    <w:uiPriority w:val="0"/>
    <w:pPr>
      <w:numPr>
        <w:ilvl w:val="0"/>
        <w:numId w:val="13"/>
      </w:numPr>
    </w:pPr>
    <w:rPr>
      <w:rFonts w:ascii="宋体" w:hAnsi="Times New Roman" w:eastAsia="宋体" w:cs="Times New Roman"/>
      <w:sz w:val="21"/>
      <w:lang w:val="en-US" w:eastAsia="zh-CN" w:bidi="ar-SA"/>
    </w:rPr>
  </w:style>
  <w:style w:type="paragraph" w:customStyle="1" w:styleId="119">
    <w:name w:val="其他发布部门"/>
    <w:basedOn w:val="54"/>
    <w:autoRedefine/>
    <w:qFormat/>
    <w:uiPriority w:val="0"/>
    <w:pPr>
      <w:framePr w:wrap="around" w:y="15310"/>
      <w:spacing w:line="0" w:lineRule="atLeast"/>
    </w:pPr>
    <w:rPr>
      <w:rFonts w:ascii="黑体" w:eastAsia="黑体"/>
      <w:b w:val="0"/>
    </w:rPr>
  </w:style>
  <w:style w:type="paragraph" w:customStyle="1" w:styleId="120">
    <w:name w:val="列项说明"/>
    <w:basedOn w:val="1"/>
    <w:autoRedefine/>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1">
    <w:name w:val="附录四级无"/>
    <w:basedOn w:val="56"/>
    <w:autoRedefine/>
    <w:qFormat/>
    <w:uiPriority w:val="0"/>
    <w:pPr>
      <w:tabs>
        <w:tab w:val="clear" w:pos="360"/>
      </w:tabs>
      <w:spacing w:beforeLines="0" w:afterLines="0"/>
    </w:pPr>
    <w:rPr>
      <w:rFonts w:ascii="宋体" w:eastAsia="宋体"/>
      <w:szCs w:val="21"/>
    </w:rPr>
  </w:style>
  <w:style w:type="paragraph" w:customStyle="1" w:styleId="122">
    <w:name w:val="图的脚注"/>
    <w:next w:val="21"/>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3">
    <w:name w:val="附录图标号"/>
    <w:basedOn w:val="1"/>
    <w:autoRedefine/>
    <w:qFormat/>
    <w:uiPriority w:val="0"/>
    <w:pPr>
      <w:keepNext/>
      <w:pageBreakBefore/>
      <w:widowControl/>
      <w:numPr>
        <w:ilvl w:val="0"/>
        <w:numId w:val="17"/>
      </w:numPr>
      <w:spacing w:line="14" w:lineRule="exact"/>
      <w:ind w:left="0" w:firstLine="363"/>
      <w:jc w:val="center"/>
      <w:outlineLvl w:val="0"/>
    </w:pPr>
    <w:rPr>
      <w:color w:val="FFFFFF"/>
    </w:rPr>
  </w:style>
  <w:style w:type="paragraph" w:customStyle="1" w:styleId="124">
    <w:name w:val="前言、引言标题"/>
    <w:next w:val="21"/>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5">
    <w:name w:val="附录图标题"/>
    <w:basedOn w:val="1"/>
    <w:next w:val="21"/>
    <w:autoRedefine/>
    <w:qFormat/>
    <w:uiPriority w:val="0"/>
    <w:pPr>
      <w:numPr>
        <w:ilvl w:val="1"/>
        <w:numId w:val="17"/>
      </w:numPr>
      <w:tabs>
        <w:tab w:val="left" w:pos="363"/>
      </w:tabs>
      <w:spacing w:beforeLines="50" w:afterLines="50"/>
      <w:ind w:left="0" w:firstLine="0"/>
      <w:jc w:val="center"/>
    </w:pPr>
    <w:rPr>
      <w:rFonts w:ascii="黑体" w:eastAsia="黑体"/>
      <w:szCs w:val="21"/>
    </w:rPr>
  </w:style>
  <w:style w:type="paragraph" w:customStyle="1" w:styleId="126">
    <w:name w:val="附录五级无"/>
    <w:basedOn w:val="55"/>
    <w:autoRedefine/>
    <w:qFormat/>
    <w:uiPriority w:val="0"/>
    <w:pPr>
      <w:tabs>
        <w:tab w:val="clear" w:pos="360"/>
      </w:tabs>
      <w:spacing w:beforeLines="0" w:afterLines="0"/>
    </w:pPr>
    <w:rPr>
      <w:rFonts w:ascii="宋体" w:eastAsia="宋体"/>
      <w:szCs w:val="21"/>
    </w:rPr>
  </w:style>
  <w:style w:type="paragraph" w:customStyle="1" w:styleId="127">
    <w:name w:val="封面标准文稿编辑信息2"/>
    <w:basedOn w:val="75"/>
    <w:autoRedefine/>
    <w:qFormat/>
    <w:uiPriority w:val="0"/>
    <w:pPr>
      <w:framePr w:wrap="around" w:y="4469"/>
    </w:pPr>
  </w:style>
  <w:style w:type="paragraph" w:customStyle="1" w:styleId="128">
    <w:name w:val="其他标准标志"/>
    <w:basedOn w:val="108"/>
    <w:autoRedefine/>
    <w:qFormat/>
    <w:uiPriority w:val="0"/>
    <w:pPr>
      <w:framePr w:w="6101" w:wrap="around" w:vAnchor="page" w:hAnchor="page" w:x="4673" w:y="942"/>
    </w:pPr>
    <w:rPr>
      <w:w w:val="130"/>
    </w:rPr>
  </w:style>
  <w:style w:type="paragraph" w:customStyle="1" w:styleId="129">
    <w:name w:val="四级无"/>
    <w:basedOn w:val="72"/>
    <w:autoRedefine/>
    <w:qFormat/>
    <w:uiPriority w:val="0"/>
    <w:pPr>
      <w:spacing w:beforeLines="0" w:afterLines="0"/>
    </w:pPr>
    <w:rPr>
      <w:rFonts w:ascii="宋体" w:eastAsia="宋体"/>
    </w:rPr>
  </w:style>
  <w:style w:type="paragraph" w:customStyle="1" w:styleId="130">
    <w:name w:val="条文脚注"/>
    <w:basedOn w:val="22"/>
    <w:autoRedefine/>
    <w:qFormat/>
    <w:uiPriority w:val="0"/>
    <w:pPr>
      <w:numPr>
        <w:numId w:val="0"/>
      </w:numPr>
      <w:jc w:val="both"/>
    </w:pPr>
  </w:style>
  <w:style w:type="paragraph" w:customStyle="1" w:styleId="131">
    <w:name w:val="一级无"/>
    <w:basedOn w:val="62"/>
    <w:autoRedefine/>
    <w:qFormat/>
    <w:uiPriority w:val="0"/>
    <w:pPr>
      <w:spacing w:beforeLines="0" w:afterLines="0"/>
    </w:pPr>
    <w:rPr>
      <w:rFonts w:ascii="宋体" w:eastAsia="宋体"/>
    </w:rPr>
  </w:style>
  <w:style w:type="paragraph" w:customStyle="1" w:styleId="132">
    <w:name w:val="封面一致性程度标识2"/>
    <w:basedOn w:val="77"/>
    <w:autoRedefine/>
    <w:qFormat/>
    <w:uiPriority w:val="0"/>
    <w:pPr>
      <w:framePr w:wrap="around" w:y="4469"/>
    </w:pPr>
  </w:style>
  <w:style w:type="paragraph" w:customStyle="1" w:styleId="133">
    <w:name w:val="封面标准文稿类别2"/>
    <w:basedOn w:val="76"/>
    <w:autoRedefine/>
    <w:qFormat/>
    <w:uiPriority w:val="0"/>
    <w:pPr>
      <w:framePr w:wrap="around" w:y="4469"/>
    </w:pPr>
  </w:style>
  <w:style w:type="table" w:customStyle="1" w:styleId="134">
    <w:name w:val="网格型1"/>
    <w:basedOn w:val="2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
    <w:name w:val="批注框文本 Char"/>
    <w:basedOn w:val="31"/>
    <w:link w:val="14"/>
    <w:autoRedefine/>
    <w:qFormat/>
    <w:uiPriority w:val="0"/>
    <w:rPr>
      <w:kern w:val="2"/>
      <w:sz w:val="18"/>
      <w:szCs w:val="18"/>
    </w:rPr>
  </w:style>
  <w:style w:type="paragraph" w:styleId="136">
    <w:name w:val="List Paragraph"/>
    <w:basedOn w:val="1"/>
    <w:autoRedefine/>
    <w:qFormat/>
    <w:uiPriority w:val="99"/>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751</Words>
  <Characters>4283</Characters>
  <Lines>35</Lines>
  <Paragraphs>10</Paragraphs>
  <TotalTime>74</TotalTime>
  <ScaleCrop>false</ScaleCrop>
  <LinksUpToDate>false</LinksUpToDate>
  <CharactersWithSpaces>5024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2021-01-18T02:07:00Z</dcterms:created>
  <dc:creator>CNIS</dc:creator>
  <cp:lastModifiedBy>WPS_1620717139</cp:lastModifiedBy>
  <cp:lastPrinted>2023-11-10T07:46:00Z</cp:lastPrinted>
  <dcterms:modified xsi:type="dcterms:W3CDTF">2023-12-25T02:45:28Z</dcterms:modified>
  <dc:title>标准名称</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5E621B62ABAF4114B8CB66946828ACF6_13</vt:lpwstr>
  </property>
</Properties>
</file>