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lang w:eastAsia="zh-CN"/>
              </w:rPr>
              <w:t>9</w:t>
            </w:r>
            <w:r>
              <w:rPr>
                <w:rFonts w:hint="eastAsia" w:ascii="黑体" w:hAnsi="黑体" w:eastAsia="黑体"/>
                <w:sz w:val="21"/>
                <w:szCs w:val="21"/>
                <w:lang w:val="en-US" w:eastAsia="zh-CN"/>
              </w:rPr>
              <w:t>7.220.10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lang w:eastAsia="zh-CN"/>
              </w:rPr>
              <w:t>A</w:t>
            </w:r>
            <w:r>
              <w:rPr>
                <w:rFonts w:hint="eastAsia" w:ascii="黑体" w:hAnsi="黑体" w:eastAsia="黑体"/>
                <w:sz w:val="21"/>
                <w:szCs w:val="21"/>
                <w:lang w:val="en-US" w:eastAsia="zh-CN"/>
              </w:rPr>
              <w:t>16</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50"/>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lang w:eastAsia="zh-CN"/>
              </w:rPr>
              <w:t>3</w:t>
            </w:r>
            <w:r>
              <w:rPr>
                <w:rFonts w:hint="eastAsia"/>
                <w:lang w:val="en-US" w:eastAsia="zh-CN"/>
              </w:rPr>
              <w:t>2</w:t>
            </w:r>
            <w:r>
              <w:fldChar w:fldCharType="end"/>
            </w:r>
            <w:bookmarkEnd w:id="3"/>
          </w:p>
        </w:tc>
      </w:tr>
    </w:tbl>
    <w:p>
      <w:pPr>
        <w:pStyle w:val="51"/>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江苏省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6"/>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en-US" w:eastAsia="zh-CN"/>
        </w:rPr>
        <w:t>32</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lang w:val="fr-FR" w:eastAsia="zh-CN"/>
        </w:rPr>
        <w:t>2</w:t>
      </w:r>
      <w:r>
        <w:rPr>
          <w:rFonts w:hint="eastAsia"/>
          <w:lang w:val="en-US" w:eastAsia="zh-CN"/>
        </w:rPr>
        <w:t>023</w:t>
      </w:r>
      <w:r>
        <w:fldChar w:fldCharType="end"/>
      </w:r>
      <w:bookmarkEnd w:id="7"/>
    </w:p>
    <w:p>
      <w:pPr>
        <w:pStyle w:val="197"/>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1"/>
        <w:framePr w:w="9639" w:h="6976" w:hRule="exact" w:hSpace="0" w:vSpace="0" w:wrap="around" w:hAnchor="page" w:y="6408"/>
        <w:jc w:val="center"/>
        <w:rPr>
          <w:rFonts w:ascii="黑体" w:hAnsi="黑体" w:eastAsia="黑体"/>
          <w:b w:val="0"/>
          <w:bCs w:val="0"/>
          <w:w w:val="100"/>
        </w:rPr>
      </w:pPr>
    </w:p>
    <w:p>
      <w:pPr>
        <w:pStyle w:val="198"/>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公共体育场馆大型群众性活动</w:t>
      </w:r>
    </w:p>
    <w:p>
      <w:pPr>
        <w:pStyle w:val="198"/>
        <w:framePr w:h="6974" w:hRule="exact" w:wrap="around" w:x="1419" w:anchorLock="1"/>
      </w:pPr>
      <w:r>
        <w:t>安全保障规范</w:t>
      </w:r>
      <w:r>
        <w:fldChar w:fldCharType="end"/>
      </w:r>
      <w:bookmarkEnd w:id="9"/>
    </w:p>
    <w:p>
      <w:pPr>
        <w:framePr w:w="9639" w:h="6974" w:hRule="exact" w:wrap="around" w:vAnchor="page" w:hAnchor="page" w:x="1419" w:y="6408" w:anchorLock="1"/>
        <w:ind w:left="-1418"/>
      </w:pPr>
    </w:p>
    <w:p>
      <w:pPr>
        <w:pStyle w:val="126"/>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Specifications for Safety and Protection of Large-scale Mass Activities in Public Sports Venues</w:t>
      </w:r>
      <w:r>
        <w:rPr>
          <w:rFonts w:eastAsia="黑体"/>
          <w:szCs w:val="28"/>
        </w:rPr>
        <w:fldChar w:fldCharType="end"/>
      </w:r>
      <w:bookmarkEnd w:id="10"/>
    </w:p>
    <w:p>
      <w:pPr>
        <w:framePr w:w="9639" w:h="6974" w:hRule="exact" w:wrap="around" w:vAnchor="page" w:hAnchor="page" w:x="1419" w:y="6408" w:anchorLock="1"/>
        <w:spacing w:line="760" w:lineRule="exact"/>
        <w:ind w:left="-1418"/>
      </w:pPr>
    </w:p>
    <w:p>
      <w:pPr>
        <w:pStyle w:val="126"/>
        <w:framePr w:w="9639" w:h="6974" w:hRule="exact" w:wrap="around" w:vAnchor="page" w:hAnchor="page" w:x="1419" w:y="6408" w:anchorLock="1"/>
        <w:textAlignment w:val="bottom"/>
        <w:rPr>
          <w:rFonts w:eastAsia="黑体"/>
          <w:szCs w:val="28"/>
        </w:rPr>
      </w:pPr>
    </w:p>
    <w:p>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rFonts w:hint="eastAsia"/>
          <w:sz w:val="21"/>
          <w:szCs w:val="28"/>
        </w:rPr>
        <w:t>（本草案完成时间：202</w:t>
      </w:r>
      <w:r>
        <w:rPr>
          <w:rFonts w:hint="eastAsia"/>
          <w:sz w:val="21"/>
          <w:szCs w:val="28"/>
          <w:lang w:val="en-US" w:eastAsia="zh-CN"/>
        </w:rPr>
        <w:t>3</w:t>
      </w:r>
      <w:r>
        <w:rPr>
          <w:rFonts w:hint="eastAsia"/>
          <w:sz w:val="21"/>
          <w:szCs w:val="28"/>
        </w:rPr>
        <w:t>年</w:t>
      </w:r>
      <w:r>
        <w:rPr>
          <w:rFonts w:hint="eastAsia"/>
          <w:sz w:val="21"/>
          <w:szCs w:val="28"/>
          <w:lang w:val="en-US" w:eastAsia="zh-CN"/>
        </w:rPr>
        <w:t>8</w:t>
      </w:r>
      <w:r>
        <w:rPr>
          <w:rFonts w:hint="eastAsia"/>
          <w:sz w:val="21"/>
          <w:szCs w:val="28"/>
        </w:rPr>
        <w:t>月</w:t>
      </w:r>
      <w:r>
        <w:rPr>
          <w:rFonts w:hint="eastAsia"/>
          <w:sz w:val="21"/>
          <w:szCs w:val="28"/>
          <w:lang w:val="en-US" w:eastAsia="zh-CN"/>
        </w:rPr>
        <w:t>14</w:t>
      </w:r>
      <w:r>
        <w:rPr>
          <w:rFonts w:hint="eastAsia"/>
          <w:sz w:val="21"/>
          <w:szCs w:val="28"/>
        </w:rPr>
        <w:t>日）</w:t>
      </w:r>
      <w:r>
        <w:rPr>
          <w:sz w:val="21"/>
          <w:szCs w:val="28"/>
        </w:rPr>
        <w:fldChar w:fldCharType="end"/>
      </w:r>
      <w:bookmarkEnd w:id="12"/>
    </w:p>
    <w:p>
      <w:pPr>
        <w:pStyle w:val="126"/>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4"/>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hint="eastAsia" w:ascii="黑体"/>
          <w:lang w:eastAsia="zh-CN"/>
        </w:rPr>
        <w:t>2</w:t>
      </w:r>
      <w:r>
        <w:rPr>
          <w:rFonts w:hint="eastAsia" w:ascii="黑体"/>
          <w:lang w:val="en-US" w:eastAsia="zh-CN"/>
        </w:rPr>
        <w:t>023</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5"/>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hint="eastAsia" w:ascii="黑体"/>
          <w:lang w:eastAsia="zh-CN"/>
        </w:rPr>
        <w:t>2</w:t>
      </w:r>
      <w:r>
        <w:rPr>
          <w:rFonts w:hint="eastAsia" w:ascii="黑体"/>
          <w:lang w:val="en-US" w:eastAsia="zh-CN"/>
        </w:rPr>
        <w:t>023</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江苏省</w:t>
      </w:r>
      <w:r>
        <w:rPr>
          <w:rFonts w:hint="eastAsia" w:hAnsi="黑体"/>
          <w:w w:val="100"/>
          <w:sz w:val="28"/>
          <w:lang w:eastAsia="zh-CN"/>
        </w:rPr>
        <w:t>市场</w:t>
      </w:r>
      <w:r>
        <w:rPr>
          <w:rFonts w:hAnsi="黑体"/>
          <w:w w:val="100"/>
          <w:sz w:val="28"/>
        </w:rPr>
        <w:t>监督管理局</w:t>
      </w:r>
      <w:r>
        <w:rPr>
          <w:rFonts w:hAnsi="黑体"/>
          <w:w w:val="100"/>
          <w:sz w:val="28"/>
        </w:rPr>
        <w:fldChar w:fldCharType="end"/>
      </w:r>
      <w:bookmarkEnd w:id="20"/>
      <w:r>
        <w:rPr>
          <w:rFonts w:ascii="Times New Roman"/>
          <w:w w:val="100"/>
          <w:sz w:val="28"/>
        </w:rPr>
        <w:t>  </w:t>
      </w:r>
      <w:r>
        <w:rPr>
          <w:rStyle w:val="230"/>
          <w:rFonts w:hint="eastAsia" w:hAnsi="黑体"/>
          <w:position w:val="0"/>
        </w:rPr>
        <w:t>发</w:t>
      </w:r>
      <w:r>
        <w:rPr>
          <w:rStyle w:val="230"/>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2"/>
        <w:spacing w:after="468"/>
      </w:pPr>
      <w:bookmarkStart w:id="21" w:name="BookMark1"/>
      <w:bookmarkStart w:id="22" w:name="_Toc90562512"/>
      <w:bookmarkStart w:id="23" w:name="_Toc88742065"/>
      <w:r>
        <w:rPr>
          <w:rFonts w:hint="eastAsia"/>
          <w:spacing w:val="320"/>
        </w:rPr>
        <w:t>目</w:t>
      </w:r>
      <w:r>
        <w:rPr>
          <w:rFonts w:hint="eastAsia"/>
        </w:rPr>
        <w:t>次</w:t>
      </w:r>
    </w:p>
    <w:p>
      <w:pPr>
        <w:pStyle w:val="19"/>
        <w:tabs>
          <w:tab w:val="right" w:leader="dot" w:pos="9354"/>
        </w:tabs>
        <w:rPr>
          <w:color w:val="auto"/>
        </w:rPr>
      </w:pPr>
      <w:r>
        <w:rPr>
          <w:color w:val="FF0000"/>
        </w:rPr>
        <w:fldChar w:fldCharType="begin"/>
      </w:r>
      <w:r>
        <w:rPr>
          <w:color w:val="FF0000"/>
        </w:rPr>
        <w:instrText xml:space="preserve"> TOC \o "1-1" \h \t "标准文件_一级条标题,2,标准文件_附录一级条标题,2," </w:instrText>
      </w:r>
      <w:r>
        <w:rPr>
          <w:color w:val="FF0000"/>
        </w:rPr>
        <w:fldChar w:fldCharType="separate"/>
      </w:r>
      <w:r>
        <w:rPr>
          <w:color w:val="auto"/>
        </w:rPr>
        <w:fldChar w:fldCharType="begin"/>
      </w:r>
      <w:r>
        <w:rPr>
          <w:color w:val="auto"/>
        </w:rPr>
        <w:instrText xml:space="preserve"> HYPERLINK \l _Toc31799 </w:instrText>
      </w:r>
      <w:r>
        <w:rPr>
          <w:color w:val="auto"/>
        </w:rPr>
        <w:fldChar w:fldCharType="separate"/>
      </w:r>
      <w:r>
        <w:rPr>
          <w:color w:val="auto"/>
          <w:spacing w:val="320"/>
          <w:highlight w:val="none"/>
        </w:rPr>
        <w:t>前</w:t>
      </w:r>
      <w:r>
        <w:rPr>
          <w:color w:val="auto"/>
          <w:highlight w:val="none"/>
        </w:rPr>
        <w:t>言</w:t>
      </w:r>
      <w:r>
        <w:rPr>
          <w:color w:val="auto"/>
        </w:rPr>
        <w:tab/>
      </w:r>
      <w:r>
        <w:rPr>
          <w:color w:val="auto"/>
        </w:rPr>
        <w:fldChar w:fldCharType="begin"/>
      </w:r>
      <w:r>
        <w:rPr>
          <w:color w:val="auto"/>
        </w:rPr>
        <w:instrText xml:space="preserve"> PAGEREF _Toc31799 \h </w:instrText>
      </w:r>
      <w:r>
        <w:rPr>
          <w:color w:val="auto"/>
        </w:rPr>
        <w:fldChar w:fldCharType="separate"/>
      </w:r>
      <w:r>
        <w:rPr>
          <w:color w:val="auto"/>
        </w:rPr>
        <w:t>II</w:t>
      </w:r>
      <w:r>
        <w:rPr>
          <w:color w:val="auto"/>
        </w:rPr>
        <w:fldChar w:fldCharType="end"/>
      </w:r>
      <w:r>
        <w:rPr>
          <w:color w:val="auto"/>
        </w:rPr>
        <w:fldChar w:fldCharType="end"/>
      </w:r>
    </w:p>
    <w:p>
      <w:pPr>
        <w:pStyle w:val="19"/>
        <w:tabs>
          <w:tab w:val="right" w:leader="dot" w:pos="9354"/>
        </w:tabs>
        <w:rPr>
          <w:color w:val="auto"/>
        </w:rPr>
      </w:pPr>
      <w:r>
        <w:rPr>
          <w:color w:val="auto"/>
        </w:rPr>
        <w:fldChar w:fldCharType="begin"/>
      </w:r>
      <w:r>
        <w:rPr>
          <w:color w:val="auto"/>
        </w:rPr>
        <w:instrText xml:space="preserve"> HYPERLINK \l _Toc29458 </w:instrText>
      </w:r>
      <w:r>
        <w:rPr>
          <w:color w:val="auto"/>
        </w:rPr>
        <w:fldChar w:fldCharType="separate"/>
      </w:r>
      <w:r>
        <w:rPr>
          <w:rFonts w:hint="eastAsia" w:ascii="黑体" w:eastAsia="黑体"/>
          <w:i w:val="0"/>
          <w:color w:val="auto"/>
        </w:rPr>
        <w:t xml:space="preserve">1 </w:t>
      </w:r>
      <w:r>
        <w:rPr>
          <w:rFonts w:hint="eastAsia"/>
          <w:color w:val="auto"/>
        </w:rPr>
        <w:t>范围</w:t>
      </w:r>
      <w:r>
        <w:rPr>
          <w:color w:val="auto"/>
        </w:rPr>
        <w:tab/>
      </w:r>
      <w:r>
        <w:rPr>
          <w:color w:val="auto"/>
        </w:rPr>
        <w:fldChar w:fldCharType="begin"/>
      </w:r>
      <w:r>
        <w:rPr>
          <w:color w:val="auto"/>
        </w:rPr>
        <w:instrText xml:space="preserve"> PAGEREF _Toc29458 \h </w:instrText>
      </w:r>
      <w:r>
        <w:rPr>
          <w:color w:val="auto"/>
        </w:rPr>
        <w:fldChar w:fldCharType="separate"/>
      </w:r>
      <w:r>
        <w:rPr>
          <w:color w:val="auto"/>
        </w:rPr>
        <w:t>3</w:t>
      </w:r>
      <w:r>
        <w:rPr>
          <w:color w:val="auto"/>
        </w:rPr>
        <w:fldChar w:fldCharType="end"/>
      </w:r>
      <w:r>
        <w:rPr>
          <w:color w:val="auto"/>
        </w:rPr>
        <w:fldChar w:fldCharType="end"/>
      </w:r>
    </w:p>
    <w:p>
      <w:pPr>
        <w:pStyle w:val="19"/>
        <w:tabs>
          <w:tab w:val="right" w:leader="dot" w:pos="9354"/>
        </w:tabs>
        <w:rPr>
          <w:color w:val="auto"/>
        </w:rPr>
      </w:pPr>
      <w:r>
        <w:rPr>
          <w:color w:val="auto"/>
        </w:rPr>
        <w:fldChar w:fldCharType="begin"/>
      </w:r>
      <w:r>
        <w:rPr>
          <w:color w:val="auto"/>
        </w:rPr>
        <w:instrText xml:space="preserve"> HYPERLINK \l _Toc2139 </w:instrText>
      </w:r>
      <w:r>
        <w:rPr>
          <w:color w:val="auto"/>
        </w:rPr>
        <w:fldChar w:fldCharType="separate"/>
      </w:r>
      <w:r>
        <w:rPr>
          <w:rFonts w:hint="eastAsia" w:ascii="黑体" w:eastAsia="黑体"/>
          <w:i w:val="0"/>
          <w:color w:val="auto"/>
        </w:rPr>
        <w:t xml:space="preserve">2 </w:t>
      </w:r>
      <w:r>
        <w:rPr>
          <w:rFonts w:hint="eastAsia"/>
          <w:color w:val="auto"/>
          <w:highlight w:val="none"/>
        </w:rPr>
        <w:t>规范性引用文件</w:t>
      </w:r>
      <w:r>
        <w:rPr>
          <w:color w:val="auto"/>
        </w:rPr>
        <w:tab/>
      </w:r>
      <w:r>
        <w:rPr>
          <w:color w:val="auto"/>
        </w:rPr>
        <w:fldChar w:fldCharType="begin"/>
      </w:r>
      <w:r>
        <w:rPr>
          <w:color w:val="auto"/>
        </w:rPr>
        <w:instrText xml:space="preserve"> PAGEREF _Toc2139 \h </w:instrText>
      </w:r>
      <w:r>
        <w:rPr>
          <w:color w:val="auto"/>
        </w:rPr>
        <w:fldChar w:fldCharType="separate"/>
      </w:r>
      <w:r>
        <w:rPr>
          <w:color w:val="auto"/>
        </w:rPr>
        <w:t>3</w:t>
      </w:r>
      <w:r>
        <w:rPr>
          <w:color w:val="auto"/>
        </w:rPr>
        <w:fldChar w:fldCharType="end"/>
      </w:r>
      <w:r>
        <w:rPr>
          <w:color w:val="auto"/>
        </w:rPr>
        <w:fldChar w:fldCharType="end"/>
      </w:r>
    </w:p>
    <w:p>
      <w:pPr>
        <w:pStyle w:val="19"/>
        <w:tabs>
          <w:tab w:val="right" w:leader="dot" w:pos="9354"/>
        </w:tabs>
        <w:rPr>
          <w:color w:val="auto"/>
        </w:rPr>
      </w:pPr>
      <w:r>
        <w:rPr>
          <w:color w:val="auto"/>
        </w:rPr>
        <w:fldChar w:fldCharType="begin"/>
      </w:r>
      <w:r>
        <w:rPr>
          <w:color w:val="auto"/>
        </w:rPr>
        <w:instrText xml:space="preserve"> HYPERLINK \l _Toc7778 </w:instrText>
      </w:r>
      <w:r>
        <w:rPr>
          <w:color w:val="auto"/>
        </w:rPr>
        <w:fldChar w:fldCharType="separate"/>
      </w:r>
      <w:r>
        <w:rPr>
          <w:rFonts w:hint="eastAsia" w:ascii="黑体" w:eastAsia="黑体"/>
          <w:i w:val="0"/>
          <w:color w:val="auto"/>
        </w:rPr>
        <w:t xml:space="preserve">3 </w:t>
      </w:r>
      <w:r>
        <w:rPr>
          <w:rFonts w:hint="eastAsia"/>
          <w:color w:val="auto"/>
          <w:szCs w:val="21"/>
          <w:highlight w:val="none"/>
        </w:rPr>
        <w:t>术语和定义</w:t>
      </w:r>
      <w:r>
        <w:rPr>
          <w:color w:val="auto"/>
        </w:rPr>
        <w:tab/>
      </w:r>
      <w:r>
        <w:rPr>
          <w:color w:val="auto"/>
        </w:rPr>
        <w:fldChar w:fldCharType="begin"/>
      </w:r>
      <w:r>
        <w:rPr>
          <w:color w:val="auto"/>
        </w:rPr>
        <w:instrText xml:space="preserve"> PAGEREF _Toc7778 \h </w:instrText>
      </w:r>
      <w:r>
        <w:rPr>
          <w:color w:val="auto"/>
        </w:rPr>
        <w:fldChar w:fldCharType="separate"/>
      </w:r>
      <w:r>
        <w:rPr>
          <w:color w:val="auto"/>
        </w:rPr>
        <w:t>3</w:t>
      </w:r>
      <w:r>
        <w:rPr>
          <w:color w:val="auto"/>
        </w:rPr>
        <w:fldChar w:fldCharType="end"/>
      </w:r>
      <w:r>
        <w:rPr>
          <w:color w:val="auto"/>
        </w:rPr>
        <w:fldChar w:fldCharType="end"/>
      </w:r>
    </w:p>
    <w:p>
      <w:pPr>
        <w:pStyle w:val="19"/>
        <w:tabs>
          <w:tab w:val="right" w:leader="dot" w:pos="9354"/>
        </w:tabs>
        <w:rPr>
          <w:color w:val="auto"/>
        </w:rPr>
      </w:pPr>
      <w:r>
        <w:rPr>
          <w:color w:val="auto"/>
        </w:rPr>
        <w:fldChar w:fldCharType="begin"/>
      </w:r>
      <w:r>
        <w:rPr>
          <w:color w:val="auto"/>
        </w:rPr>
        <w:instrText xml:space="preserve"> HYPERLINK \l _Toc20568 </w:instrText>
      </w:r>
      <w:r>
        <w:rPr>
          <w:color w:val="auto"/>
        </w:rPr>
        <w:fldChar w:fldCharType="separate"/>
      </w:r>
      <w:r>
        <w:rPr>
          <w:rFonts w:hint="eastAsia" w:ascii="黑体" w:eastAsia="黑体"/>
          <w:i w:val="0"/>
          <w:color w:val="auto"/>
        </w:rPr>
        <w:t xml:space="preserve">4 </w:t>
      </w:r>
      <w:r>
        <w:rPr>
          <w:color w:val="auto"/>
          <w:highlight w:val="none"/>
        </w:rPr>
        <w:t>基本要求</w:t>
      </w:r>
      <w:r>
        <w:rPr>
          <w:color w:val="auto"/>
        </w:rPr>
        <w:tab/>
      </w:r>
      <w:r>
        <w:rPr>
          <w:color w:val="auto"/>
        </w:rPr>
        <w:fldChar w:fldCharType="begin"/>
      </w:r>
      <w:r>
        <w:rPr>
          <w:color w:val="auto"/>
        </w:rPr>
        <w:instrText xml:space="preserve"> PAGEREF _Toc20568 \h </w:instrText>
      </w:r>
      <w:r>
        <w:rPr>
          <w:color w:val="auto"/>
        </w:rPr>
        <w:fldChar w:fldCharType="separate"/>
      </w:r>
      <w:r>
        <w:rPr>
          <w:color w:val="auto"/>
        </w:rPr>
        <w:t>4</w:t>
      </w:r>
      <w:r>
        <w:rPr>
          <w:color w:val="auto"/>
        </w:rPr>
        <w:fldChar w:fldCharType="end"/>
      </w:r>
      <w:r>
        <w:rPr>
          <w:color w:val="auto"/>
        </w:rPr>
        <w:fldChar w:fldCharType="end"/>
      </w:r>
    </w:p>
    <w:p>
      <w:pPr>
        <w:pStyle w:val="19"/>
        <w:tabs>
          <w:tab w:val="right" w:leader="dot" w:pos="9354"/>
        </w:tabs>
        <w:rPr>
          <w:color w:val="auto"/>
        </w:rPr>
      </w:pPr>
      <w:r>
        <w:rPr>
          <w:color w:val="auto"/>
        </w:rPr>
        <w:fldChar w:fldCharType="begin"/>
      </w:r>
      <w:r>
        <w:rPr>
          <w:color w:val="auto"/>
        </w:rPr>
        <w:instrText xml:space="preserve"> HYPERLINK \l _Toc15686 </w:instrText>
      </w:r>
      <w:r>
        <w:rPr>
          <w:color w:val="auto"/>
        </w:rPr>
        <w:fldChar w:fldCharType="separate"/>
      </w:r>
      <w:r>
        <w:rPr>
          <w:rFonts w:hint="eastAsia" w:ascii="黑体" w:eastAsia="黑体"/>
          <w:i w:val="0"/>
          <w:color w:val="auto"/>
        </w:rPr>
        <w:t xml:space="preserve">5 </w:t>
      </w:r>
      <w:r>
        <w:rPr>
          <w:rFonts w:hint="eastAsia"/>
          <w:color w:val="auto"/>
          <w:highlight w:val="none"/>
          <w:lang w:val="en-US" w:eastAsia="zh-CN"/>
        </w:rPr>
        <w:t>基础设施</w:t>
      </w:r>
      <w:r>
        <w:rPr>
          <w:color w:val="auto"/>
        </w:rPr>
        <w:tab/>
      </w:r>
      <w:r>
        <w:rPr>
          <w:color w:val="auto"/>
        </w:rPr>
        <w:fldChar w:fldCharType="begin"/>
      </w:r>
      <w:r>
        <w:rPr>
          <w:color w:val="auto"/>
        </w:rPr>
        <w:instrText xml:space="preserve"> PAGEREF _Toc15686 \h </w:instrText>
      </w:r>
      <w:r>
        <w:rPr>
          <w:color w:val="auto"/>
        </w:rPr>
        <w:fldChar w:fldCharType="separate"/>
      </w:r>
      <w:r>
        <w:rPr>
          <w:color w:val="auto"/>
        </w:rPr>
        <w:t>4</w:t>
      </w:r>
      <w:r>
        <w:rPr>
          <w:color w:val="auto"/>
        </w:rPr>
        <w:fldChar w:fldCharType="end"/>
      </w:r>
      <w:r>
        <w:rPr>
          <w:color w:val="auto"/>
        </w:rPr>
        <w:fldChar w:fldCharType="end"/>
      </w:r>
    </w:p>
    <w:p>
      <w:pPr>
        <w:pStyle w:val="19"/>
        <w:tabs>
          <w:tab w:val="right" w:leader="dot" w:pos="9354"/>
        </w:tabs>
        <w:rPr>
          <w:color w:val="auto"/>
        </w:rPr>
      </w:pPr>
      <w:r>
        <w:rPr>
          <w:color w:val="auto"/>
        </w:rPr>
        <w:fldChar w:fldCharType="begin"/>
      </w:r>
      <w:r>
        <w:rPr>
          <w:color w:val="auto"/>
        </w:rPr>
        <w:instrText xml:space="preserve"> HYPERLINK \l _Toc4413 </w:instrText>
      </w:r>
      <w:r>
        <w:rPr>
          <w:color w:val="auto"/>
        </w:rPr>
        <w:fldChar w:fldCharType="separate"/>
      </w:r>
      <w:r>
        <w:rPr>
          <w:rFonts w:hint="eastAsia" w:ascii="黑体" w:eastAsia="黑体"/>
          <w:i w:val="0"/>
          <w:color w:val="auto"/>
        </w:rPr>
        <w:t xml:space="preserve">6 </w:t>
      </w:r>
      <w:r>
        <w:rPr>
          <w:rFonts w:hint="eastAsia"/>
          <w:color w:val="auto"/>
          <w:highlight w:val="none"/>
        </w:rPr>
        <w:t>安全</w:t>
      </w:r>
      <w:r>
        <w:rPr>
          <w:rFonts w:hint="eastAsia"/>
          <w:color w:val="auto"/>
          <w:highlight w:val="none"/>
          <w:lang w:val="en-US" w:eastAsia="zh-CN"/>
        </w:rPr>
        <w:t>职责</w:t>
      </w:r>
      <w:r>
        <w:rPr>
          <w:color w:val="auto"/>
        </w:rPr>
        <w:tab/>
      </w:r>
      <w:r>
        <w:rPr>
          <w:color w:val="auto"/>
        </w:rPr>
        <w:fldChar w:fldCharType="begin"/>
      </w:r>
      <w:r>
        <w:rPr>
          <w:color w:val="auto"/>
        </w:rPr>
        <w:instrText xml:space="preserve"> PAGEREF _Toc4413 \h </w:instrText>
      </w:r>
      <w:r>
        <w:rPr>
          <w:color w:val="auto"/>
        </w:rPr>
        <w:fldChar w:fldCharType="separate"/>
      </w:r>
      <w:r>
        <w:rPr>
          <w:color w:val="auto"/>
        </w:rPr>
        <w:t>5</w:t>
      </w:r>
      <w:r>
        <w:rPr>
          <w:color w:val="auto"/>
        </w:rPr>
        <w:fldChar w:fldCharType="end"/>
      </w:r>
      <w:r>
        <w:rPr>
          <w:color w:val="auto"/>
        </w:rPr>
        <w:fldChar w:fldCharType="end"/>
      </w:r>
    </w:p>
    <w:p>
      <w:pPr>
        <w:pStyle w:val="19"/>
        <w:tabs>
          <w:tab w:val="right" w:leader="dot" w:pos="9354"/>
        </w:tabs>
        <w:rPr>
          <w:color w:val="auto"/>
        </w:rPr>
      </w:pPr>
      <w:r>
        <w:rPr>
          <w:color w:val="auto"/>
        </w:rPr>
        <w:fldChar w:fldCharType="begin"/>
      </w:r>
      <w:r>
        <w:rPr>
          <w:color w:val="auto"/>
        </w:rPr>
        <w:instrText xml:space="preserve"> HYPERLINK \l _Toc7040 </w:instrText>
      </w:r>
      <w:r>
        <w:rPr>
          <w:color w:val="auto"/>
        </w:rPr>
        <w:fldChar w:fldCharType="separate"/>
      </w:r>
      <w:r>
        <w:rPr>
          <w:rFonts w:hint="eastAsia" w:ascii="黑体" w:eastAsia="黑体"/>
          <w:i w:val="0"/>
          <w:color w:val="auto"/>
        </w:rPr>
        <w:t xml:space="preserve">7 </w:t>
      </w:r>
      <w:r>
        <w:rPr>
          <w:rFonts w:hint="eastAsia"/>
          <w:color w:val="auto"/>
          <w:highlight w:val="none"/>
        </w:rPr>
        <w:t>风险评估</w:t>
      </w:r>
      <w:r>
        <w:rPr>
          <w:color w:val="auto"/>
        </w:rPr>
        <w:tab/>
      </w:r>
      <w:r>
        <w:rPr>
          <w:color w:val="auto"/>
        </w:rPr>
        <w:fldChar w:fldCharType="begin"/>
      </w:r>
      <w:r>
        <w:rPr>
          <w:color w:val="auto"/>
        </w:rPr>
        <w:instrText xml:space="preserve"> PAGEREF _Toc7040 \h </w:instrText>
      </w:r>
      <w:r>
        <w:rPr>
          <w:color w:val="auto"/>
        </w:rPr>
        <w:fldChar w:fldCharType="separate"/>
      </w:r>
      <w:r>
        <w:rPr>
          <w:color w:val="auto"/>
        </w:rPr>
        <w:t>5</w:t>
      </w:r>
      <w:r>
        <w:rPr>
          <w:color w:val="auto"/>
        </w:rPr>
        <w:fldChar w:fldCharType="end"/>
      </w:r>
      <w:r>
        <w:rPr>
          <w:color w:val="auto"/>
        </w:rPr>
        <w:fldChar w:fldCharType="end"/>
      </w:r>
    </w:p>
    <w:p>
      <w:pPr>
        <w:pStyle w:val="19"/>
        <w:tabs>
          <w:tab w:val="right" w:leader="dot" w:pos="9354"/>
        </w:tabs>
        <w:rPr>
          <w:color w:val="auto"/>
        </w:rPr>
      </w:pPr>
      <w:r>
        <w:rPr>
          <w:color w:val="auto"/>
        </w:rPr>
        <w:fldChar w:fldCharType="begin"/>
      </w:r>
      <w:r>
        <w:rPr>
          <w:color w:val="auto"/>
        </w:rPr>
        <w:instrText xml:space="preserve"> HYPERLINK \l _Toc9968 </w:instrText>
      </w:r>
      <w:r>
        <w:rPr>
          <w:color w:val="auto"/>
        </w:rPr>
        <w:fldChar w:fldCharType="separate"/>
      </w:r>
      <w:r>
        <w:rPr>
          <w:rFonts w:hint="eastAsia" w:ascii="黑体" w:eastAsia="黑体"/>
          <w:i w:val="0"/>
          <w:color w:val="auto"/>
        </w:rPr>
        <w:t xml:space="preserve">8 </w:t>
      </w:r>
      <w:r>
        <w:rPr>
          <w:rFonts w:hint="eastAsia"/>
          <w:color w:val="auto"/>
          <w:highlight w:val="none"/>
        </w:rPr>
        <w:t>安全工作方案</w:t>
      </w:r>
      <w:r>
        <w:rPr>
          <w:rFonts w:hint="eastAsia"/>
          <w:color w:val="auto"/>
          <w:highlight w:val="none"/>
          <w:lang w:val="en-US" w:eastAsia="zh-CN"/>
        </w:rPr>
        <w:t>制定和报批</w:t>
      </w:r>
      <w:r>
        <w:rPr>
          <w:color w:val="auto"/>
        </w:rPr>
        <w:tab/>
      </w:r>
      <w:r>
        <w:rPr>
          <w:color w:val="auto"/>
        </w:rPr>
        <w:fldChar w:fldCharType="begin"/>
      </w:r>
      <w:r>
        <w:rPr>
          <w:color w:val="auto"/>
        </w:rPr>
        <w:instrText xml:space="preserve"> PAGEREF _Toc9968 \h </w:instrText>
      </w:r>
      <w:r>
        <w:rPr>
          <w:color w:val="auto"/>
        </w:rPr>
        <w:fldChar w:fldCharType="separate"/>
      </w:r>
      <w:r>
        <w:rPr>
          <w:color w:val="auto"/>
        </w:rPr>
        <w:t>6</w:t>
      </w:r>
      <w:r>
        <w:rPr>
          <w:color w:val="auto"/>
        </w:rPr>
        <w:fldChar w:fldCharType="end"/>
      </w:r>
      <w:r>
        <w:rPr>
          <w:color w:val="auto"/>
        </w:rPr>
        <w:fldChar w:fldCharType="end"/>
      </w:r>
    </w:p>
    <w:p>
      <w:pPr>
        <w:pStyle w:val="19"/>
        <w:tabs>
          <w:tab w:val="right" w:leader="dot" w:pos="9354"/>
        </w:tabs>
        <w:rPr>
          <w:color w:val="auto"/>
        </w:rPr>
      </w:pPr>
      <w:r>
        <w:rPr>
          <w:color w:val="auto"/>
        </w:rPr>
        <w:fldChar w:fldCharType="begin"/>
      </w:r>
      <w:r>
        <w:rPr>
          <w:color w:val="auto"/>
        </w:rPr>
        <w:instrText xml:space="preserve"> HYPERLINK \l _Toc4068 </w:instrText>
      </w:r>
      <w:r>
        <w:rPr>
          <w:color w:val="auto"/>
        </w:rPr>
        <w:fldChar w:fldCharType="separate"/>
      </w:r>
      <w:r>
        <w:rPr>
          <w:rFonts w:hint="eastAsia" w:ascii="黑体" w:eastAsia="黑体"/>
          <w:i w:val="0"/>
          <w:color w:val="auto"/>
          <w:lang w:val="en-US"/>
        </w:rPr>
        <w:t xml:space="preserve">9 </w:t>
      </w:r>
      <w:r>
        <w:rPr>
          <w:rFonts w:hint="eastAsia"/>
          <w:color w:val="auto"/>
          <w:highlight w:val="none"/>
          <w:lang w:val="en-US" w:eastAsia="zh-CN"/>
        </w:rPr>
        <w:t>安全检查</w:t>
      </w:r>
      <w:r>
        <w:rPr>
          <w:color w:val="auto"/>
        </w:rPr>
        <w:tab/>
      </w:r>
      <w:r>
        <w:rPr>
          <w:color w:val="auto"/>
        </w:rPr>
        <w:fldChar w:fldCharType="begin"/>
      </w:r>
      <w:r>
        <w:rPr>
          <w:color w:val="auto"/>
        </w:rPr>
        <w:instrText xml:space="preserve"> PAGEREF _Toc4068 \h </w:instrText>
      </w:r>
      <w:r>
        <w:rPr>
          <w:color w:val="auto"/>
        </w:rPr>
        <w:fldChar w:fldCharType="separate"/>
      </w:r>
      <w:r>
        <w:rPr>
          <w:color w:val="auto"/>
        </w:rPr>
        <w:t>7</w:t>
      </w:r>
      <w:r>
        <w:rPr>
          <w:color w:val="auto"/>
        </w:rPr>
        <w:fldChar w:fldCharType="end"/>
      </w:r>
      <w:r>
        <w:rPr>
          <w:color w:val="auto"/>
        </w:rPr>
        <w:fldChar w:fldCharType="end"/>
      </w:r>
    </w:p>
    <w:p>
      <w:pPr>
        <w:pStyle w:val="19"/>
        <w:tabs>
          <w:tab w:val="right" w:leader="dot" w:pos="9354"/>
        </w:tabs>
        <w:rPr>
          <w:color w:val="auto"/>
        </w:rPr>
      </w:pPr>
      <w:r>
        <w:rPr>
          <w:color w:val="auto"/>
        </w:rPr>
        <w:fldChar w:fldCharType="begin"/>
      </w:r>
      <w:r>
        <w:rPr>
          <w:color w:val="auto"/>
        </w:rPr>
        <w:instrText xml:space="preserve"> HYPERLINK \l _Toc21871 </w:instrText>
      </w:r>
      <w:r>
        <w:rPr>
          <w:color w:val="auto"/>
        </w:rPr>
        <w:fldChar w:fldCharType="separate"/>
      </w:r>
      <w:r>
        <w:rPr>
          <w:rFonts w:hint="eastAsia" w:ascii="黑体" w:eastAsia="黑体"/>
          <w:i w:val="0"/>
          <w:color w:val="auto"/>
          <w:lang w:val="en-US"/>
        </w:rPr>
        <w:t xml:space="preserve">10 </w:t>
      </w:r>
      <w:r>
        <w:rPr>
          <w:rFonts w:hint="eastAsia"/>
          <w:color w:val="auto"/>
          <w:highlight w:val="none"/>
          <w:lang w:val="en-US" w:eastAsia="zh-CN"/>
        </w:rPr>
        <w:t>现场管理</w:t>
      </w:r>
      <w:r>
        <w:rPr>
          <w:color w:val="auto"/>
        </w:rPr>
        <w:tab/>
      </w:r>
      <w:r>
        <w:rPr>
          <w:color w:val="auto"/>
        </w:rPr>
        <w:fldChar w:fldCharType="begin"/>
      </w:r>
      <w:r>
        <w:rPr>
          <w:color w:val="auto"/>
        </w:rPr>
        <w:instrText xml:space="preserve"> PAGEREF _Toc21871 \h </w:instrText>
      </w:r>
      <w:r>
        <w:rPr>
          <w:color w:val="auto"/>
        </w:rPr>
        <w:fldChar w:fldCharType="separate"/>
      </w:r>
      <w:r>
        <w:rPr>
          <w:color w:val="auto"/>
        </w:rPr>
        <w:t>7</w:t>
      </w:r>
      <w:r>
        <w:rPr>
          <w:color w:val="auto"/>
        </w:rPr>
        <w:fldChar w:fldCharType="end"/>
      </w:r>
      <w:r>
        <w:rPr>
          <w:color w:val="auto"/>
        </w:rPr>
        <w:fldChar w:fldCharType="end"/>
      </w:r>
    </w:p>
    <w:p>
      <w:pPr>
        <w:pStyle w:val="19"/>
        <w:tabs>
          <w:tab w:val="right" w:leader="dot" w:pos="9354"/>
        </w:tabs>
        <w:rPr>
          <w:color w:val="auto"/>
        </w:rPr>
      </w:pPr>
      <w:r>
        <w:rPr>
          <w:color w:val="auto"/>
        </w:rPr>
        <w:fldChar w:fldCharType="begin"/>
      </w:r>
      <w:r>
        <w:rPr>
          <w:color w:val="auto"/>
        </w:rPr>
        <w:instrText xml:space="preserve"> HYPERLINK \l _Toc23816 </w:instrText>
      </w:r>
      <w:r>
        <w:rPr>
          <w:color w:val="auto"/>
        </w:rPr>
        <w:fldChar w:fldCharType="separate"/>
      </w:r>
      <w:r>
        <w:rPr>
          <w:rFonts w:hint="eastAsia" w:ascii="黑体" w:eastAsia="黑体"/>
          <w:i w:val="0"/>
          <w:color w:val="auto"/>
          <w:lang w:val="en-US"/>
        </w:rPr>
        <w:t xml:space="preserve">11 </w:t>
      </w:r>
      <w:r>
        <w:rPr>
          <w:rFonts w:hint="eastAsia"/>
          <w:color w:val="auto"/>
          <w:highlight w:val="none"/>
          <w:lang w:val="en-US" w:eastAsia="zh-CN"/>
        </w:rPr>
        <w:t>应急处置</w:t>
      </w:r>
      <w:r>
        <w:rPr>
          <w:color w:val="auto"/>
        </w:rPr>
        <w:tab/>
      </w:r>
      <w:r>
        <w:rPr>
          <w:color w:val="auto"/>
        </w:rPr>
        <w:fldChar w:fldCharType="begin"/>
      </w:r>
      <w:r>
        <w:rPr>
          <w:color w:val="auto"/>
        </w:rPr>
        <w:instrText xml:space="preserve"> PAGEREF _Toc23816 \h </w:instrText>
      </w:r>
      <w:r>
        <w:rPr>
          <w:color w:val="auto"/>
        </w:rPr>
        <w:fldChar w:fldCharType="separate"/>
      </w:r>
      <w:r>
        <w:rPr>
          <w:color w:val="auto"/>
        </w:rPr>
        <w:t>9</w:t>
      </w:r>
      <w:r>
        <w:rPr>
          <w:color w:val="auto"/>
        </w:rPr>
        <w:fldChar w:fldCharType="end"/>
      </w:r>
      <w:r>
        <w:rPr>
          <w:color w:val="auto"/>
        </w:rPr>
        <w:fldChar w:fldCharType="end"/>
      </w:r>
    </w:p>
    <w:p>
      <w:pPr>
        <w:pStyle w:val="19"/>
        <w:tabs>
          <w:tab w:val="right" w:leader="dot" w:pos="9354"/>
        </w:tabs>
        <w:rPr>
          <w:color w:val="auto"/>
        </w:rPr>
      </w:pPr>
      <w:r>
        <w:rPr>
          <w:color w:val="auto"/>
        </w:rPr>
        <w:fldChar w:fldCharType="begin"/>
      </w:r>
      <w:r>
        <w:rPr>
          <w:color w:val="auto"/>
        </w:rPr>
        <w:instrText xml:space="preserve"> HYPERLINK \l _Toc28992 </w:instrText>
      </w:r>
      <w:r>
        <w:rPr>
          <w:color w:val="auto"/>
        </w:rPr>
        <w:fldChar w:fldCharType="separate"/>
      </w:r>
      <w:r>
        <w:rPr>
          <w:rFonts w:hint="eastAsia"/>
          <w:color w:val="auto"/>
          <w:szCs w:val="24"/>
          <w:highlight w:val="none"/>
          <w:lang w:val="en-US" w:eastAsia="zh-CN"/>
        </w:rPr>
        <w:t>附录A（规范性）公共体育场馆大型群众性活动突发事件应急处置要求</w:t>
      </w:r>
      <w:r>
        <w:rPr>
          <w:color w:val="auto"/>
        </w:rPr>
        <w:tab/>
      </w:r>
      <w:r>
        <w:rPr>
          <w:color w:val="auto"/>
        </w:rPr>
        <w:fldChar w:fldCharType="begin"/>
      </w:r>
      <w:r>
        <w:rPr>
          <w:color w:val="auto"/>
        </w:rPr>
        <w:instrText xml:space="preserve"> PAGEREF _Toc28992 \h </w:instrText>
      </w:r>
      <w:r>
        <w:rPr>
          <w:color w:val="auto"/>
        </w:rPr>
        <w:fldChar w:fldCharType="separate"/>
      </w:r>
      <w:r>
        <w:rPr>
          <w:color w:val="auto"/>
        </w:rPr>
        <w:t>10</w:t>
      </w:r>
      <w:r>
        <w:rPr>
          <w:color w:val="auto"/>
        </w:rPr>
        <w:fldChar w:fldCharType="end"/>
      </w:r>
      <w:r>
        <w:rPr>
          <w:color w:val="auto"/>
        </w:rPr>
        <w:fldChar w:fldCharType="end"/>
      </w:r>
    </w:p>
    <w:p>
      <w:pPr>
        <w:pStyle w:val="19"/>
        <w:tabs>
          <w:tab w:val="right" w:leader="dot" w:pos="9354"/>
        </w:tabs>
        <w:rPr>
          <w:color w:val="FF0000"/>
        </w:rPr>
      </w:pPr>
      <w:r>
        <w:rPr>
          <w:color w:val="auto"/>
        </w:rPr>
        <w:fldChar w:fldCharType="begin"/>
      </w:r>
      <w:r>
        <w:rPr>
          <w:color w:val="auto"/>
        </w:rPr>
        <w:instrText xml:space="preserve"> HYPERLINK \l _Toc5288 </w:instrText>
      </w:r>
      <w:r>
        <w:rPr>
          <w:color w:val="auto"/>
        </w:rPr>
        <w:fldChar w:fldCharType="separate"/>
      </w:r>
      <w:r>
        <w:rPr>
          <w:rFonts w:hint="eastAsia"/>
          <w:color w:val="auto"/>
          <w:spacing w:val="105"/>
          <w:highlight w:val="none"/>
        </w:rPr>
        <w:t>参考文</w:t>
      </w:r>
      <w:r>
        <w:rPr>
          <w:rFonts w:hint="eastAsia"/>
          <w:color w:val="auto"/>
          <w:highlight w:val="none"/>
        </w:rPr>
        <w:t>献</w:t>
      </w:r>
      <w:r>
        <w:rPr>
          <w:color w:val="auto"/>
        </w:rPr>
        <w:tab/>
      </w:r>
      <w:r>
        <w:rPr>
          <w:color w:val="auto"/>
        </w:rPr>
        <w:fldChar w:fldCharType="begin"/>
      </w:r>
      <w:r>
        <w:rPr>
          <w:color w:val="auto"/>
        </w:rPr>
        <w:instrText xml:space="preserve"> PAGEREF _Toc5288 \h </w:instrText>
      </w:r>
      <w:r>
        <w:rPr>
          <w:color w:val="auto"/>
        </w:rPr>
        <w:fldChar w:fldCharType="separate"/>
      </w:r>
      <w:r>
        <w:rPr>
          <w:color w:val="auto"/>
        </w:rPr>
        <w:t>13</w:t>
      </w:r>
      <w:r>
        <w:rPr>
          <w:color w:val="auto"/>
        </w:rPr>
        <w:fldChar w:fldCharType="end"/>
      </w:r>
      <w:r>
        <w:rPr>
          <w:color w:val="auto"/>
        </w:rPr>
        <w:fldChar w:fldCharType="end"/>
      </w:r>
    </w:p>
    <w:p>
      <w:pPr>
        <w:pStyle w:val="92"/>
        <w:spacing w:after="468"/>
        <w:sectPr>
          <w:headerReference r:id="rId11" w:type="default"/>
          <w:footerReference r:id="rId13" w:type="default"/>
          <w:headerReference r:id="rId12" w:type="even"/>
          <w:pgSz w:w="11906" w:h="16838"/>
          <w:pgMar w:top="2410" w:right="1134" w:bottom="1134" w:left="1134" w:header="1418" w:footer="1134" w:gutter="284"/>
          <w:pgBorders>
            <w:top w:val="none" w:sz="0" w:space="0"/>
            <w:left w:val="none" w:sz="0" w:space="0"/>
            <w:bottom w:val="none" w:sz="0" w:space="0"/>
            <w:right w:val="none" w:sz="0" w:space="0"/>
          </w:pgBorders>
          <w:pgNumType w:fmt="upperRoman" w:start="1"/>
          <w:cols w:space="425" w:num="1"/>
          <w:formProt w:val="0"/>
          <w:docGrid w:type="lines" w:linePitch="312" w:charSpace="0"/>
        </w:sectPr>
      </w:pPr>
      <w:r>
        <w:rPr>
          <w:color w:val="FF0000"/>
        </w:rPr>
        <w:fldChar w:fldCharType="end"/>
      </w:r>
    </w:p>
    <w:bookmarkEnd w:id="21"/>
    <w:p>
      <w:pPr>
        <w:pStyle w:val="90"/>
        <w:spacing w:after="468"/>
        <w:rPr>
          <w:highlight w:val="none"/>
        </w:rPr>
      </w:pPr>
      <w:bookmarkStart w:id="24" w:name="_Toc31799"/>
      <w:bookmarkStart w:id="25" w:name="BookMark2"/>
      <w:r>
        <w:rPr>
          <w:spacing w:val="320"/>
          <w:highlight w:val="none"/>
        </w:rPr>
        <w:t>前</w:t>
      </w:r>
      <w:r>
        <w:rPr>
          <w:highlight w:val="none"/>
        </w:rPr>
        <w:t>言</w:t>
      </w:r>
      <w:bookmarkEnd w:id="22"/>
      <w:bookmarkEnd w:id="23"/>
      <w:bookmarkEnd w:id="24"/>
    </w:p>
    <w:p>
      <w:pPr>
        <w:pStyle w:val="57"/>
        <w:ind w:firstLine="420"/>
        <w:rPr>
          <w:highlight w:val="none"/>
        </w:rPr>
      </w:pPr>
      <w:r>
        <w:rPr>
          <w:rFonts w:hint="eastAsia"/>
          <w:highlight w:val="none"/>
        </w:rPr>
        <w:t>本文件按照GB/T 1.1—2020《标准化工作导则  第1部分：标准化文件的结构和起草规则》的规定起草。</w:t>
      </w:r>
    </w:p>
    <w:p>
      <w:pPr>
        <w:pStyle w:val="57"/>
        <w:ind w:firstLine="420"/>
        <w:rPr>
          <w:rFonts w:hint="eastAsia"/>
          <w:color w:val="auto"/>
          <w:highlight w:val="none"/>
        </w:rPr>
      </w:pPr>
      <w:r>
        <w:rPr>
          <w:rFonts w:hint="eastAsia"/>
          <w:color w:val="auto"/>
          <w:highlight w:val="none"/>
          <w:lang w:val="en-US" w:eastAsia="zh-CN"/>
        </w:rPr>
        <w:t>请注意本标准的某些内容可能涉及专利。本标准的发布机构不承担识别专利的责任。</w:t>
      </w:r>
    </w:p>
    <w:p>
      <w:pPr>
        <w:pStyle w:val="57"/>
        <w:ind w:firstLine="420"/>
        <w:rPr>
          <w:color w:val="auto"/>
          <w:highlight w:val="none"/>
        </w:rPr>
      </w:pPr>
      <w:r>
        <w:rPr>
          <w:rFonts w:hint="eastAsia"/>
          <w:color w:val="auto"/>
          <w:highlight w:val="none"/>
        </w:rPr>
        <w:t>本文件由江苏省体育局提出</w:t>
      </w:r>
      <w:r>
        <w:rPr>
          <w:rFonts w:hint="eastAsia"/>
          <w:color w:val="auto"/>
          <w:highlight w:val="none"/>
          <w:lang w:val="en-US" w:eastAsia="zh-CN"/>
        </w:rPr>
        <w:t>并归口</w:t>
      </w:r>
      <w:r>
        <w:rPr>
          <w:rFonts w:hint="eastAsia"/>
          <w:color w:val="auto"/>
          <w:highlight w:val="none"/>
        </w:rPr>
        <w:t>。</w:t>
      </w:r>
    </w:p>
    <w:p>
      <w:pPr>
        <w:pStyle w:val="57"/>
        <w:ind w:firstLine="420"/>
        <w:rPr>
          <w:color w:val="auto"/>
          <w:highlight w:val="none"/>
        </w:rPr>
      </w:pPr>
      <w:r>
        <w:rPr>
          <w:rFonts w:hint="eastAsia"/>
          <w:color w:val="auto"/>
          <w:highlight w:val="none"/>
        </w:rPr>
        <w:t>本文件起草单位：江苏省五台山体育中心</w:t>
      </w:r>
      <w:r>
        <w:rPr>
          <w:rFonts w:hint="eastAsia"/>
          <w:color w:val="auto"/>
          <w:highlight w:val="none"/>
          <w:lang w:eastAsia="zh-CN"/>
        </w:rPr>
        <w:t>、</w:t>
      </w:r>
      <w:r>
        <w:rPr>
          <w:rFonts w:hint="eastAsia"/>
          <w:color w:val="auto"/>
          <w:highlight w:val="none"/>
          <w:lang w:val="en-US" w:eastAsia="zh-CN"/>
        </w:rPr>
        <w:t>江苏省体育场馆协会</w:t>
      </w:r>
      <w:r>
        <w:rPr>
          <w:rFonts w:hint="eastAsia"/>
          <w:color w:val="auto"/>
          <w:highlight w:val="none"/>
        </w:rPr>
        <w:t>。</w:t>
      </w:r>
    </w:p>
    <w:p>
      <w:pPr>
        <w:pStyle w:val="57"/>
        <w:ind w:firstLine="420"/>
        <w:rPr>
          <w:highlight w:val="none"/>
        </w:rPr>
      </w:pPr>
      <w:r>
        <w:rPr>
          <w:rFonts w:hint="eastAsia"/>
          <w:color w:val="auto"/>
          <w:highlight w:val="none"/>
        </w:rPr>
        <w:t>本文件主要起草人：</w:t>
      </w:r>
      <w:r>
        <w:rPr>
          <w:rFonts w:hint="eastAsia"/>
          <w:color w:val="auto"/>
          <w:highlight w:val="none"/>
          <w:lang w:val="en-US" w:eastAsia="zh-CN"/>
        </w:rPr>
        <w:t>张晃新</w:t>
      </w:r>
      <w:r>
        <w:rPr>
          <w:rFonts w:hint="eastAsia"/>
          <w:color w:val="auto"/>
          <w:highlight w:val="none"/>
        </w:rPr>
        <w:t>、赵春莲、</w:t>
      </w:r>
      <w:r>
        <w:rPr>
          <w:rFonts w:hint="eastAsia"/>
          <w:color w:val="auto"/>
          <w:highlight w:val="none"/>
          <w:lang w:eastAsia="zh-CN"/>
        </w:rPr>
        <w:t>丁元、</w:t>
      </w:r>
      <w:r>
        <w:rPr>
          <w:rFonts w:hint="eastAsia"/>
          <w:color w:val="auto"/>
          <w:highlight w:val="none"/>
          <w:lang w:val="en-US" w:eastAsia="zh-CN"/>
        </w:rPr>
        <w:t>朱锋、</w:t>
      </w:r>
      <w:r>
        <w:rPr>
          <w:rFonts w:hint="eastAsia"/>
          <w:color w:val="auto"/>
          <w:highlight w:val="none"/>
        </w:rPr>
        <w:t>华阳、</w:t>
      </w:r>
      <w:r>
        <w:rPr>
          <w:rFonts w:hint="eastAsia"/>
          <w:color w:val="auto"/>
          <w:highlight w:val="none"/>
          <w:lang w:eastAsia="zh-CN"/>
        </w:rPr>
        <w:t>蔡浩飞、蔡君志</w:t>
      </w:r>
      <w:r>
        <w:rPr>
          <w:rFonts w:hint="eastAsia"/>
          <w:color w:val="auto"/>
          <w:highlight w:val="none"/>
        </w:rPr>
        <w:t>。</w:t>
      </w:r>
    </w:p>
    <w:p>
      <w:pPr>
        <w:pStyle w:val="57"/>
        <w:ind w:firstLine="420"/>
        <w:rPr>
          <w:highlight w:val="none"/>
        </w:rPr>
      </w:pPr>
    </w:p>
    <w:p>
      <w:pPr>
        <w:pStyle w:val="57"/>
        <w:ind w:firstLine="420"/>
        <w:sectPr>
          <w:pgSz w:w="11906" w:h="16838"/>
          <w:pgMar w:top="2410" w:right="1134" w:bottom="1134" w:left="1134" w:header="1418" w:footer="1134" w:gutter="284"/>
          <w:pgBorders>
            <w:top w:val="none" w:sz="0" w:space="0"/>
            <w:left w:val="none" w:sz="0" w:space="0"/>
            <w:bottom w:val="none" w:sz="0" w:space="0"/>
            <w:right w:val="none" w:sz="0" w:space="0"/>
          </w:pgBorders>
          <w:pgNumType w:fmt="upperRoman"/>
          <w:cols w:space="425" w:num="1"/>
          <w:formProt w:val="0"/>
          <w:docGrid w:type="lines" w:linePitch="312" w:charSpace="0"/>
        </w:sectPr>
      </w:pPr>
    </w:p>
    <w:bookmarkEnd w:id="25"/>
    <w:p>
      <w:pPr>
        <w:spacing w:line="20" w:lineRule="exact"/>
        <w:jc w:val="center"/>
        <w:rPr>
          <w:rFonts w:ascii="黑体" w:hAnsi="黑体" w:eastAsia="黑体"/>
          <w:sz w:val="32"/>
          <w:szCs w:val="32"/>
        </w:rPr>
      </w:pPr>
      <w:bookmarkStart w:id="26" w:name="BookMark4"/>
    </w:p>
    <w:p>
      <w:pPr>
        <w:spacing w:line="20" w:lineRule="exact"/>
        <w:jc w:val="center"/>
        <w:rPr>
          <w:rFonts w:ascii="黑体" w:hAnsi="黑体" w:eastAsia="黑体"/>
          <w:sz w:val="32"/>
          <w:szCs w:val="32"/>
        </w:rPr>
      </w:pPr>
    </w:p>
    <w:sdt>
      <w:sdtPr>
        <w:tag w:val="NEW_STAND_NAME"/>
        <w:id w:val="595910757"/>
        <w:lock w:val="sdtLocked"/>
        <w:placeholder>
          <w:docPart w:val="6B30A609351142D98D88E1C2F8FBFD0E"/>
        </w:placeholder>
      </w:sdtPr>
      <w:sdtContent>
        <w:p>
          <w:pPr>
            <w:pStyle w:val="178"/>
            <w:spacing w:before="312" w:beforeLines="100" w:after="3" w:afterLines="1"/>
          </w:pPr>
          <w:bookmarkStart w:id="27" w:name="NEW_STAND_NAME"/>
          <w:r>
            <w:rPr>
              <w:rFonts w:hint="eastAsia"/>
            </w:rPr>
            <w:t>公共体育场馆大型群众性活动</w:t>
          </w:r>
        </w:p>
        <w:p>
          <w:pPr>
            <w:pStyle w:val="178"/>
            <w:spacing w:before="3" w:beforeLines="1" w:after="680"/>
          </w:pPr>
          <w:r>
            <w:rPr>
              <w:rFonts w:hint="eastAsia"/>
            </w:rPr>
            <w:t>安全保障规范</w:t>
          </w:r>
        </w:p>
      </w:sdtContent>
    </w:sdt>
    <w:bookmarkEnd w:id="27"/>
    <w:p>
      <w:pPr>
        <w:pStyle w:val="105"/>
        <w:spacing w:before="312" w:after="312"/>
      </w:pPr>
      <w:bookmarkStart w:id="28" w:name="_Toc17233333"/>
      <w:bookmarkStart w:id="29" w:name="_Toc90562513"/>
      <w:bookmarkStart w:id="30" w:name="_Toc24884218"/>
      <w:bookmarkStart w:id="31" w:name="_Toc88742066"/>
      <w:bookmarkStart w:id="32" w:name="_Toc17233325"/>
      <w:bookmarkStart w:id="33" w:name="_Toc26986530"/>
      <w:bookmarkStart w:id="34" w:name="_Toc26986771"/>
      <w:bookmarkStart w:id="35" w:name="_Toc26718930"/>
      <w:bookmarkStart w:id="36" w:name="_Toc29458"/>
      <w:bookmarkStart w:id="37" w:name="_Toc24884211"/>
      <w:bookmarkStart w:id="38" w:name="_Toc26648465"/>
      <w:r>
        <w:rPr>
          <w:rFonts w:hint="eastAsia"/>
        </w:rPr>
        <w:t>范围</w:t>
      </w:r>
      <w:bookmarkEnd w:id="28"/>
      <w:bookmarkEnd w:id="29"/>
      <w:bookmarkEnd w:id="30"/>
      <w:bookmarkEnd w:id="31"/>
      <w:bookmarkEnd w:id="32"/>
      <w:bookmarkEnd w:id="33"/>
      <w:bookmarkEnd w:id="34"/>
      <w:bookmarkEnd w:id="35"/>
      <w:bookmarkEnd w:id="36"/>
      <w:bookmarkEnd w:id="37"/>
      <w:bookmarkEnd w:id="38"/>
    </w:p>
    <w:p>
      <w:pPr>
        <w:pStyle w:val="57"/>
        <w:ind w:firstLine="420"/>
        <w:rPr>
          <w:color w:val="auto"/>
          <w:highlight w:val="none"/>
        </w:rPr>
      </w:pPr>
      <w:bookmarkStart w:id="39" w:name="_Toc26986531"/>
      <w:bookmarkStart w:id="40" w:name="_Toc26718931"/>
      <w:bookmarkStart w:id="41" w:name="_Toc90562514"/>
      <w:bookmarkStart w:id="42" w:name="_Toc24884212"/>
      <w:bookmarkStart w:id="43" w:name="_Toc17233334"/>
      <w:bookmarkStart w:id="44" w:name="_Toc26648466"/>
      <w:bookmarkStart w:id="45" w:name="_Toc88742067"/>
      <w:bookmarkStart w:id="46" w:name="_Toc26986772"/>
      <w:bookmarkStart w:id="47" w:name="_Toc24884219"/>
      <w:bookmarkStart w:id="48" w:name="_Toc17233326"/>
      <w:r>
        <w:rPr>
          <w:rFonts w:hint="eastAsia"/>
          <w:color w:val="auto"/>
          <w:highlight w:val="none"/>
        </w:rPr>
        <w:t>本文件规定了公共体育场馆大型群众性活动安全</w:t>
      </w:r>
      <w:r>
        <w:rPr>
          <w:rFonts w:hint="eastAsia"/>
          <w:color w:val="auto"/>
          <w:highlight w:val="none"/>
          <w:lang w:val="en-US" w:eastAsia="zh-CN"/>
        </w:rPr>
        <w:t>保障</w:t>
      </w:r>
      <w:r>
        <w:rPr>
          <w:rFonts w:hint="eastAsia"/>
          <w:color w:val="auto"/>
          <w:highlight w:val="none"/>
        </w:rPr>
        <w:t>的基本要求、</w:t>
      </w:r>
      <w:r>
        <w:rPr>
          <w:rFonts w:hint="eastAsia"/>
          <w:color w:val="auto"/>
          <w:highlight w:val="none"/>
          <w:lang w:val="en-US" w:eastAsia="zh-CN"/>
        </w:rPr>
        <w:t>基础设施、</w:t>
      </w:r>
      <w:r>
        <w:rPr>
          <w:rFonts w:hint="eastAsia"/>
          <w:color w:val="auto"/>
          <w:highlight w:val="none"/>
        </w:rPr>
        <w:t>安全</w:t>
      </w:r>
      <w:r>
        <w:rPr>
          <w:rFonts w:hint="eastAsia"/>
          <w:color w:val="auto"/>
          <w:highlight w:val="none"/>
          <w:lang w:val="en-US" w:eastAsia="zh-CN"/>
        </w:rPr>
        <w:t>职责</w:t>
      </w:r>
      <w:r>
        <w:rPr>
          <w:rFonts w:hint="eastAsia"/>
          <w:color w:val="auto"/>
          <w:highlight w:val="none"/>
        </w:rPr>
        <w:t>、风险评估、安全工作方案</w:t>
      </w:r>
      <w:r>
        <w:rPr>
          <w:rFonts w:hint="eastAsia"/>
          <w:color w:val="auto"/>
          <w:highlight w:val="none"/>
          <w:lang w:val="en-US" w:eastAsia="zh-CN"/>
        </w:rPr>
        <w:t>制定和报批、安全检查、现场管理</w:t>
      </w:r>
      <w:r>
        <w:rPr>
          <w:rFonts w:hint="eastAsia"/>
          <w:color w:val="auto"/>
          <w:highlight w:val="none"/>
          <w:lang w:eastAsia="zh-CN"/>
        </w:rPr>
        <w:t>、</w:t>
      </w:r>
      <w:r>
        <w:rPr>
          <w:rFonts w:hint="eastAsia"/>
          <w:color w:val="auto"/>
          <w:highlight w:val="none"/>
          <w:lang w:val="en-US" w:eastAsia="zh-CN"/>
        </w:rPr>
        <w:t>应急处置</w:t>
      </w:r>
      <w:r>
        <w:rPr>
          <w:rFonts w:hint="eastAsia"/>
          <w:color w:val="auto"/>
          <w:highlight w:val="none"/>
        </w:rPr>
        <w:t>。</w:t>
      </w:r>
    </w:p>
    <w:p>
      <w:pPr>
        <w:pStyle w:val="57"/>
        <w:ind w:firstLine="420"/>
        <w:rPr>
          <w:color w:val="auto"/>
          <w:highlight w:val="none"/>
        </w:rPr>
      </w:pPr>
      <w:r>
        <w:rPr>
          <w:rFonts w:hint="eastAsia"/>
          <w:color w:val="auto"/>
          <w:highlight w:val="none"/>
        </w:rPr>
        <w:t>本文件适用于在公共体育场馆开展的大型群众性活动</w:t>
      </w:r>
      <w:r>
        <w:rPr>
          <w:rFonts w:hint="eastAsia"/>
          <w:color w:val="auto"/>
          <w:highlight w:val="none"/>
          <w:lang w:val="en-US" w:eastAsia="zh-CN"/>
        </w:rPr>
        <w:t>安全保障工作</w:t>
      </w:r>
      <w:r>
        <w:rPr>
          <w:rFonts w:hint="eastAsia"/>
          <w:color w:val="auto"/>
          <w:highlight w:val="none"/>
        </w:rPr>
        <w:t>。</w:t>
      </w:r>
    </w:p>
    <w:p>
      <w:pPr>
        <w:pStyle w:val="105"/>
        <w:spacing w:before="312" w:after="312"/>
        <w:rPr>
          <w:color w:val="auto"/>
          <w:highlight w:val="none"/>
        </w:rPr>
      </w:pPr>
      <w:bookmarkStart w:id="49" w:name="_Toc2139"/>
      <w:r>
        <w:rPr>
          <w:rFonts w:hint="eastAsia"/>
          <w:color w:val="auto"/>
          <w:highlight w:val="none"/>
        </w:rPr>
        <w:t>规范性引用文件</w:t>
      </w:r>
      <w:bookmarkEnd w:id="39"/>
      <w:bookmarkEnd w:id="40"/>
      <w:bookmarkEnd w:id="41"/>
      <w:bookmarkEnd w:id="42"/>
      <w:bookmarkEnd w:id="43"/>
      <w:bookmarkEnd w:id="44"/>
      <w:bookmarkEnd w:id="45"/>
      <w:bookmarkEnd w:id="46"/>
      <w:bookmarkEnd w:id="47"/>
      <w:bookmarkEnd w:id="48"/>
      <w:bookmarkEnd w:id="49"/>
    </w:p>
    <w:sdt>
      <w:sdtPr>
        <w:rPr>
          <w:rFonts w:hint="eastAsia"/>
          <w:color w:val="auto"/>
          <w:highlight w:val="none"/>
        </w:rPr>
        <w:id w:val="715848253"/>
        <w:placeholder>
          <w:docPart w:val="760E619712A046C19BC777C2BFBE952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color w:val="auto"/>
          <w:highlight w:val="none"/>
        </w:rPr>
      </w:sdtEndPr>
      <w:sdtContent>
        <w:p>
          <w:pPr>
            <w:pStyle w:val="57"/>
            <w:ind w:firstLine="420"/>
            <w:rPr>
              <w:color w:val="auto"/>
              <w:highlight w:val="none"/>
            </w:rPr>
          </w:pPr>
          <w:r>
            <w:rPr>
              <w:rFonts w:hint="eastAsia"/>
              <w:color w:val="auto"/>
              <w:highlight w:val="none"/>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7"/>
        <w:ind w:firstLine="420"/>
        <w:rPr>
          <w:rFonts w:hint="default"/>
          <w:color w:val="auto"/>
          <w:highlight w:val="none"/>
          <w:lang w:val="en-US" w:eastAsia="zh-CN"/>
        </w:rPr>
      </w:pPr>
      <w:bookmarkStart w:id="50" w:name="_Toc88742068"/>
      <w:bookmarkStart w:id="51" w:name="_Toc90562515"/>
      <w:r>
        <w:rPr>
          <w:rFonts w:hint="eastAsia"/>
          <w:color w:val="auto"/>
          <w:highlight w:val="none"/>
          <w:lang w:val="en-US" w:eastAsia="zh-CN"/>
        </w:rPr>
        <w:t>GB/T 2887-2011  计算机场地通用规范</w:t>
      </w:r>
    </w:p>
    <w:p>
      <w:pPr>
        <w:pStyle w:val="57"/>
        <w:ind w:firstLine="420"/>
        <w:rPr>
          <w:rFonts w:hint="default"/>
          <w:color w:val="auto"/>
          <w:highlight w:val="none"/>
          <w:lang w:val="en-US" w:eastAsia="zh-CN"/>
        </w:rPr>
      </w:pPr>
      <w:r>
        <w:rPr>
          <w:rFonts w:hint="eastAsia"/>
          <w:color w:val="auto"/>
          <w:highlight w:val="none"/>
          <w:lang w:val="en-US" w:eastAsia="zh-CN"/>
        </w:rPr>
        <w:t>GB/T 15408-2011  安全防范系统供电技术要求</w:t>
      </w:r>
    </w:p>
    <w:p>
      <w:pPr>
        <w:pStyle w:val="57"/>
        <w:ind w:firstLine="420"/>
        <w:rPr>
          <w:rFonts w:hint="default"/>
          <w:color w:val="auto"/>
          <w:highlight w:val="none"/>
          <w:lang w:val="en-US" w:eastAsia="zh-CN"/>
        </w:rPr>
      </w:pPr>
      <w:r>
        <w:rPr>
          <w:rFonts w:hint="eastAsia"/>
          <w:color w:val="auto"/>
          <w:highlight w:val="none"/>
          <w:lang w:val="en-US" w:eastAsia="zh-CN"/>
        </w:rPr>
        <w:t>GB 22185-2008  体育场馆公共安全通用要求</w:t>
      </w:r>
    </w:p>
    <w:p>
      <w:pPr>
        <w:pStyle w:val="57"/>
        <w:ind w:firstLine="420"/>
        <w:rPr>
          <w:rFonts w:hint="eastAsia"/>
          <w:color w:val="auto"/>
          <w:highlight w:val="none"/>
          <w:lang w:val="en-US" w:eastAsia="zh-CN"/>
        </w:rPr>
      </w:pPr>
      <w:r>
        <w:rPr>
          <w:rFonts w:hint="eastAsia"/>
          <w:color w:val="auto"/>
          <w:highlight w:val="none"/>
          <w:lang w:val="en-US" w:eastAsia="zh-CN"/>
        </w:rPr>
        <w:t>GB/T 33170.1-2016  大型活动安全要求 第1部分：安全评估</w:t>
      </w:r>
    </w:p>
    <w:p>
      <w:pPr>
        <w:pStyle w:val="57"/>
        <w:ind w:firstLine="420"/>
        <w:rPr>
          <w:rFonts w:hint="eastAsia"/>
          <w:color w:val="auto"/>
          <w:highlight w:val="none"/>
          <w:lang w:val="en-US" w:eastAsia="zh-CN"/>
        </w:rPr>
      </w:pPr>
      <w:r>
        <w:rPr>
          <w:rFonts w:hint="eastAsia"/>
          <w:color w:val="auto"/>
          <w:highlight w:val="none"/>
          <w:lang w:val="en-US" w:eastAsia="zh-CN"/>
        </w:rPr>
        <w:t>GB/T 33170.2-2016  大型活动安全要求 第2部分：人员管控</w:t>
      </w:r>
    </w:p>
    <w:p>
      <w:pPr>
        <w:pStyle w:val="57"/>
        <w:ind w:firstLine="420"/>
        <w:rPr>
          <w:rFonts w:hint="eastAsia"/>
          <w:color w:val="auto"/>
          <w:highlight w:val="none"/>
          <w:lang w:val="en-US" w:eastAsia="zh-CN"/>
        </w:rPr>
      </w:pPr>
      <w:r>
        <w:rPr>
          <w:rFonts w:hint="eastAsia"/>
          <w:color w:val="auto"/>
          <w:highlight w:val="none"/>
          <w:lang w:val="en-US" w:eastAsia="zh-CN"/>
        </w:rPr>
        <w:t>GB/T 33170.3-2016  大型活动安全要求 第3部分：场地布局和安全导向标识</w:t>
      </w:r>
    </w:p>
    <w:p>
      <w:pPr>
        <w:pStyle w:val="57"/>
        <w:ind w:firstLine="420"/>
        <w:rPr>
          <w:rFonts w:hint="eastAsia"/>
          <w:color w:val="auto"/>
          <w:highlight w:val="none"/>
          <w:lang w:val="en-US" w:eastAsia="zh-CN"/>
        </w:rPr>
      </w:pPr>
      <w:r>
        <w:rPr>
          <w:rFonts w:hint="eastAsia"/>
          <w:color w:val="auto"/>
          <w:highlight w:val="none"/>
          <w:lang w:val="en-US" w:eastAsia="zh-CN"/>
        </w:rPr>
        <w:t>GB/T 33170.4-2016  大型活动安全要求 第4部分：临建设施指南</w:t>
      </w:r>
    </w:p>
    <w:p>
      <w:pPr>
        <w:pStyle w:val="57"/>
        <w:ind w:firstLine="420"/>
        <w:rPr>
          <w:rFonts w:hint="eastAsia"/>
          <w:color w:val="auto"/>
          <w:highlight w:val="none"/>
          <w:lang w:val="en-US" w:eastAsia="zh-CN"/>
        </w:rPr>
      </w:pPr>
      <w:r>
        <w:rPr>
          <w:rFonts w:hint="eastAsia"/>
          <w:color w:val="auto"/>
          <w:highlight w:val="none"/>
          <w:lang w:val="en-US" w:eastAsia="zh-CN"/>
        </w:rPr>
        <w:t>GB/T 33170.5-2016  大型活动安全要求 第5部分：安保资源配置</w:t>
      </w:r>
    </w:p>
    <w:p>
      <w:pPr>
        <w:pStyle w:val="57"/>
        <w:ind w:firstLine="420"/>
        <w:rPr>
          <w:rFonts w:hint="eastAsia"/>
          <w:color w:val="auto"/>
          <w:highlight w:val="none"/>
          <w:lang w:val="en-US" w:eastAsia="zh-CN"/>
        </w:rPr>
      </w:pPr>
      <w:r>
        <w:rPr>
          <w:rFonts w:hint="eastAsia"/>
          <w:color w:val="auto"/>
          <w:highlight w:val="none"/>
          <w:lang w:val="en-US" w:eastAsia="zh-CN"/>
        </w:rPr>
        <w:t>GB/T 36731-2018  临时搭建演出场所舞台、看台安全</w:t>
      </w:r>
    </w:p>
    <w:p>
      <w:pPr>
        <w:pStyle w:val="57"/>
        <w:ind w:firstLine="420"/>
        <w:rPr>
          <w:rFonts w:hint="default"/>
          <w:color w:val="auto"/>
          <w:highlight w:val="none"/>
          <w:lang w:val="en-US" w:eastAsia="zh-CN"/>
        </w:rPr>
      </w:pPr>
      <w:r>
        <w:rPr>
          <w:rFonts w:hint="eastAsia"/>
          <w:color w:val="auto"/>
          <w:highlight w:val="none"/>
          <w:lang w:val="en-US" w:eastAsia="zh-CN"/>
        </w:rPr>
        <w:t>GB/T 38315-2019  社会单位灭火和应急疏散预案编制及实施导则</w:t>
      </w:r>
    </w:p>
    <w:p>
      <w:pPr>
        <w:pStyle w:val="57"/>
        <w:ind w:firstLine="420"/>
        <w:rPr>
          <w:rFonts w:hint="default"/>
          <w:color w:val="auto"/>
          <w:highlight w:val="none"/>
          <w:lang w:val="en-US" w:eastAsia="zh-CN"/>
        </w:rPr>
      </w:pPr>
      <w:r>
        <w:rPr>
          <w:rFonts w:hint="eastAsia"/>
          <w:color w:val="auto"/>
          <w:highlight w:val="none"/>
          <w:lang w:val="en-US" w:eastAsia="zh-CN"/>
        </w:rPr>
        <w:t>GB 50016-2014  建筑设计防火规范</w:t>
      </w:r>
    </w:p>
    <w:p>
      <w:pPr>
        <w:pStyle w:val="57"/>
        <w:ind w:firstLine="420"/>
        <w:rPr>
          <w:rFonts w:hint="eastAsia"/>
          <w:color w:val="auto"/>
          <w:highlight w:val="none"/>
          <w:lang w:val="en-US" w:eastAsia="zh-CN"/>
        </w:rPr>
      </w:pPr>
      <w:r>
        <w:rPr>
          <w:rFonts w:hint="eastAsia"/>
          <w:color w:val="auto"/>
          <w:highlight w:val="none"/>
          <w:lang w:val="en-US" w:eastAsia="zh-CN"/>
        </w:rPr>
        <w:t>GB 50348-2018  安全防范工程技术标准</w:t>
      </w:r>
    </w:p>
    <w:p>
      <w:pPr>
        <w:pStyle w:val="57"/>
        <w:ind w:firstLine="420"/>
        <w:rPr>
          <w:rFonts w:hint="eastAsia"/>
          <w:color w:val="auto"/>
          <w:highlight w:val="none"/>
          <w:lang w:val="en-US" w:eastAsia="zh-CN"/>
        </w:rPr>
      </w:pPr>
      <w:r>
        <w:rPr>
          <w:rFonts w:hint="eastAsia"/>
          <w:color w:val="auto"/>
          <w:highlight w:val="none"/>
          <w:lang w:val="en-US" w:eastAsia="zh-CN"/>
        </w:rPr>
        <w:t>GA/T 1459-2018  大型群众性活动安全检查规范</w:t>
      </w:r>
    </w:p>
    <w:p>
      <w:pPr>
        <w:pStyle w:val="57"/>
        <w:ind w:firstLine="420"/>
        <w:rPr>
          <w:rFonts w:hint="eastAsia"/>
          <w:color w:val="auto"/>
          <w:highlight w:val="none"/>
          <w:lang w:val="en-US" w:eastAsia="zh-CN"/>
        </w:rPr>
      </w:pPr>
      <w:r>
        <w:rPr>
          <w:rFonts w:hint="eastAsia"/>
          <w:color w:val="auto"/>
          <w:highlight w:val="none"/>
          <w:lang w:val="en-US" w:eastAsia="zh-CN"/>
        </w:rPr>
        <w:t>JGJ 153-2016  体育场馆照明设计及检测标准</w:t>
      </w:r>
    </w:p>
    <w:p>
      <w:pPr>
        <w:pStyle w:val="57"/>
        <w:ind w:firstLine="420"/>
        <w:rPr>
          <w:rFonts w:hint="default"/>
          <w:color w:val="FF0000"/>
          <w:highlight w:val="none"/>
          <w:lang w:val="en-US" w:eastAsia="zh-CN"/>
        </w:rPr>
      </w:pPr>
      <w:r>
        <w:rPr>
          <w:rFonts w:hint="eastAsia"/>
          <w:color w:val="auto"/>
          <w:highlight w:val="none"/>
          <w:lang w:val="en-US" w:eastAsia="zh-CN"/>
        </w:rPr>
        <w:t>MH/T 1069-2018  无人驾驶航空器系统作业飞行技术规范</w:t>
      </w:r>
      <w:r>
        <w:rPr>
          <w:rFonts w:hint="eastAsia"/>
          <w:color w:val="FF0000"/>
          <w:highlight w:val="none"/>
          <w:lang w:val="en-US" w:eastAsia="zh-CN"/>
        </w:rPr>
        <w:t xml:space="preserve">  </w:t>
      </w:r>
    </w:p>
    <w:p>
      <w:pPr>
        <w:pStyle w:val="105"/>
        <w:spacing w:before="312" w:after="312"/>
        <w:rPr>
          <w:highlight w:val="none"/>
        </w:rPr>
      </w:pPr>
      <w:bookmarkStart w:id="52" w:name="_Toc7778"/>
      <w:r>
        <w:rPr>
          <w:rFonts w:hint="eastAsia"/>
          <w:szCs w:val="21"/>
          <w:highlight w:val="none"/>
        </w:rPr>
        <w:t>术语和定义</w:t>
      </w:r>
      <w:bookmarkEnd w:id="50"/>
      <w:bookmarkEnd w:id="51"/>
      <w:bookmarkEnd w:id="52"/>
    </w:p>
    <w:sdt>
      <w:sdtPr>
        <w:rPr>
          <w:color w:val="FF0000"/>
          <w:highlight w:val="none"/>
        </w:rPr>
        <w:id w:val="-1909835108"/>
        <w:placeholder>
          <w:docPart w:val="80D8CEF700FB418598645DDC4C20F05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color w:val="auto"/>
          <w:highlight w:val="none"/>
        </w:rPr>
      </w:sdtEndPr>
      <w:sdtContent>
        <w:p>
          <w:pPr>
            <w:pStyle w:val="57"/>
            <w:ind w:firstLine="420"/>
            <w:rPr>
              <w:color w:val="auto"/>
              <w:highlight w:val="none"/>
            </w:rPr>
          </w:pPr>
          <w:bookmarkStart w:id="53" w:name="_Toc26986532"/>
          <w:bookmarkEnd w:id="53"/>
          <w:r>
            <w:rPr>
              <w:rFonts w:ascii="宋体" w:hAnsi="Times New Roman" w:eastAsia="宋体" w:cs="Times New Roman"/>
              <w:color w:val="auto"/>
              <w:sz w:val="21"/>
              <w:highlight w:val="none"/>
              <w:lang w:val="en-US" w:eastAsia="zh-CN" w:bidi="ar-SA"/>
            </w:rPr>
            <w:t>下列术语和定义适用于本文件。</w:t>
          </w:r>
        </w:p>
      </w:sdtContent>
    </w:sdt>
    <w:p>
      <w:pPr>
        <w:pStyle w:val="224"/>
        <w:ind w:left="420" w:hanging="420" w:hangingChars="200"/>
        <w:rPr>
          <w:rFonts w:hint="eastAsia" w:ascii="黑体" w:hAnsi="黑体" w:eastAsia="黑体"/>
          <w:color w:val="auto"/>
          <w:highlight w:val="none"/>
          <w:lang w:val="en-US" w:eastAsia="zh-CN"/>
        </w:rPr>
      </w:pPr>
    </w:p>
    <w:p>
      <w:pPr>
        <w:pStyle w:val="224"/>
        <w:keepNext w:val="0"/>
        <w:keepLines w:val="0"/>
        <w:pageBreakBefore w:val="0"/>
        <w:widowControl/>
        <w:numPr>
          <w:ilvl w:val="2"/>
          <w:numId w:val="0"/>
        </w:numPr>
        <w:kinsoku/>
        <w:wordWrap/>
        <w:overflowPunct/>
        <w:topLinePunct w:val="0"/>
        <w:autoSpaceDE/>
        <w:autoSpaceDN/>
        <w:bidi w:val="0"/>
        <w:adjustRightInd/>
        <w:snapToGrid/>
        <w:ind w:leftChars="0" w:firstLine="420" w:firstLineChars="200"/>
        <w:textAlignment w:val="auto"/>
        <w:rPr>
          <w:rFonts w:hint="eastAsia" w:ascii="黑体" w:hAnsi="黑体" w:eastAsia="黑体"/>
          <w:color w:val="auto"/>
          <w:highlight w:val="none"/>
          <w:lang w:val="en-US" w:eastAsia="zh-CN"/>
        </w:rPr>
      </w:pPr>
      <w:r>
        <w:rPr>
          <w:rFonts w:hint="eastAsia" w:ascii="黑体" w:hAnsi="黑体" w:eastAsia="黑体"/>
          <w:color w:val="auto"/>
          <w:highlight w:val="none"/>
          <w:lang w:val="en-US" w:eastAsia="zh-CN"/>
        </w:rPr>
        <w:t>公共体育场馆  public sports venues</w:t>
      </w:r>
    </w:p>
    <w:p>
      <w:pPr>
        <w:pStyle w:val="57"/>
        <w:keepNext w:val="0"/>
        <w:keepLines w:val="0"/>
        <w:pageBreakBefore w:val="0"/>
        <w:widowControl w:val="0"/>
        <w:kinsoku/>
        <w:wordWrap/>
        <w:overflowPunct/>
        <w:topLinePunct w:val="0"/>
        <w:bidi w:val="0"/>
        <w:adjustRightInd/>
        <w:snapToGrid/>
        <w:ind w:firstLine="420"/>
        <w:textAlignment w:val="auto"/>
        <w:rPr>
          <w:rFonts w:hint="eastAsia"/>
          <w:color w:val="auto"/>
          <w:highlight w:val="none"/>
        </w:rPr>
      </w:pPr>
      <w:r>
        <w:rPr>
          <w:rFonts w:hint="eastAsia"/>
          <w:color w:val="auto"/>
          <w:highlight w:val="none"/>
          <w:lang w:val="en-US" w:eastAsia="zh-CN"/>
        </w:rPr>
        <w:t>由各级人民政府或者社会力量兴建的，向公众开放用于开展体育活动的公益性场馆，包括但不仅限于体育场、体育馆、游泳（跳水）馆、全民健身中心等。</w:t>
      </w:r>
    </w:p>
    <w:p>
      <w:pPr>
        <w:pStyle w:val="224"/>
        <w:ind w:left="420" w:hanging="420" w:hangingChars="200"/>
        <w:rPr>
          <w:rFonts w:ascii="黑体" w:hAnsi="黑体" w:eastAsia="黑体"/>
          <w:highlight w:val="none"/>
        </w:rPr>
      </w:pPr>
      <w:r>
        <w:rPr>
          <w:rFonts w:ascii="黑体" w:hAnsi="黑体" w:eastAsia="黑体"/>
          <w:highlight w:val="none"/>
        </w:rPr>
        <w:br w:type="textWrapping"/>
      </w:r>
      <w:r>
        <w:rPr>
          <w:rFonts w:hint="eastAsia" w:ascii="黑体" w:hAnsi="黑体" w:eastAsia="黑体"/>
          <w:highlight w:val="none"/>
        </w:rPr>
        <w:t>大型群众性活动  large-scale mass activity</w:t>
      </w:r>
    </w:p>
    <w:p>
      <w:pPr>
        <w:pStyle w:val="57"/>
        <w:keepNext w:val="0"/>
        <w:keepLines w:val="0"/>
        <w:pageBreakBefore w:val="0"/>
        <w:widowControl w:val="0"/>
        <w:kinsoku/>
        <w:wordWrap/>
        <w:overflowPunct/>
        <w:topLinePunct w:val="0"/>
        <w:bidi w:val="0"/>
        <w:adjustRightInd/>
        <w:snapToGrid/>
        <w:ind w:firstLine="420"/>
        <w:textAlignment w:val="auto"/>
        <w:rPr>
          <w:highlight w:val="none"/>
        </w:rPr>
      </w:pPr>
      <w:r>
        <w:rPr>
          <w:rFonts w:hint="eastAsia"/>
          <w:highlight w:val="none"/>
        </w:rPr>
        <w:t>法人或者其他组织面向社会公众举办的每场次预计参加人数在1000人以上的群众性活动。包括但不限于体育比赛、展览会、展销会、演唱会、音乐会、人才招聘会、游园会、灯会、庙会、花会、焰火晚会、现场开奖的彩票销售活动等。</w:t>
      </w:r>
    </w:p>
    <w:p>
      <w:pPr>
        <w:pStyle w:val="224"/>
        <w:keepNext w:val="0"/>
        <w:keepLines w:val="0"/>
        <w:pageBreakBefore w:val="0"/>
        <w:widowControl w:val="0"/>
        <w:kinsoku/>
        <w:wordWrap/>
        <w:overflowPunct/>
        <w:topLinePunct w:val="0"/>
        <w:bidi w:val="0"/>
        <w:adjustRightInd/>
        <w:snapToGrid/>
        <w:ind w:left="420" w:hanging="420" w:hangingChars="200"/>
        <w:textAlignment w:val="auto"/>
        <w:rPr>
          <w:rFonts w:ascii="黑体" w:hAnsi="黑体" w:eastAsia="黑体"/>
          <w:highlight w:val="none"/>
        </w:rPr>
      </w:pPr>
      <w:r>
        <w:rPr>
          <w:rFonts w:ascii="黑体" w:hAnsi="黑体" w:eastAsia="黑体"/>
          <w:highlight w:val="none"/>
        </w:rPr>
        <w:br w:type="textWrapping"/>
      </w:r>
      <w:r>
        <w:rPr>
          <w:rFonts w:hint="eastAsia" w:ascii="黑体" w:hAnsi="黑体" w:eastAsia="黑体"/>
          <w:highlight w:val="none"/>
        </w:rPr>
        <w:t>承办者  the organizers</w:t>
      </w:r>
    </w:p>
    <w:p>
      <w:pPr>
        <w:pStyle w:val="57"/>
        <w:keepNext w:val="0"/>
        <w:keepLines w:val="0"/>
        <w:pageBreakBefore w:val="0"/>
        <w:widowControl w:val="0"/>
        <w:kinsoku/>
        <w:wordWrap/>
        <w:overflowPunct/>
        <w:topLinePunct w:val="0"/>
        <w:bidi w:val="0"/>
        <w:adjustRightInd/>
        <w:snapToGrid/>
        <w:ind w:firstLine="420"/>
        <w:textAlignment w:val="auto"/>
        <w:rPr>
          <w:highlight w:val="none"/>
        </w:rPr>
      </w:pPr>
      <w:r>
        <w:rPr>
          <w:rFonts w:hint="eastAsia"/>
          <w:highlight w:val="none"/>
        </w:rPr>
        <w:t>负责大型群众性活动组织、协调工作的法人或者其他组织；政府委托、委派有关部门或者其他法人、组织承办活动的，受委托、委派方为承办者。</w:t>
      </w:r>
    </w:p>
    <w:p>
      <w:pPr>
        <w:pStyle w:val="224"/>
        <w:keepNext w:val="0"/>
        <w:keepLines w:val="0"/>
        <w:pageBreakBefore w:val="0"/>
        <w:widowControl w:val="0"/>
        <w:kinsoku/>
        <w:wordWrap/>
        <w:overflowPunct/>
        <w:topLinePunct w:val="0"/>
        <w:bidi w:val="0"/>
        <w:adjustRightInd/>
        <w:snapToGrid/>
        <w:ind w:left="420" w:hanging="420" w:hangingChars="200"/>
        <w:textAlignment w:val="auto"/>
        <w:rPr>
          <w:rFonts w:ascii="黑体" w:hAnsi="黑体" w:eastAsia="黑体"/>
          <w:highlight w:val="none"/>
        </w:rPr>
      </w:pPr>
      <w:r>
        <w:rPr>
          <w:rFonts w:ascii="黑体" w:hAnsi="黑体" w:eastAsia="黑体"/>
          <w:highlight w:val="none"/>
        </w:rPr>
        <w:br w:type="textWrapping"/>
      </w:r>
      <w:r>
        <w:rPr>
          <w:rFonts w:hint="eastAsia" w:ascii="黑体" w:hAnsi="黑体" w:eastAsia="黑体"/>
          <w:highlight w:val="none"/>
        </w:rPr>
        <w:t>体育场馆管理者  large-scale mass activity site manager</w:t>
      </w:r>
    </w:p>
    <w:p>
      <w:pPr>
        <w:pStyle w:val="57"/>
        <w:keepNext w:val="0"/>
        <w:keepLines w:val="0"/>
        <w:pageBreakBefore w:val="0"/>
        <w:widowControl w:val="0"/>
        <w:kinsoku/>
        <w:wordWrap/>
        <w:overflowPunct/>
        <w:topLinePunct w:val="0"/>
        <w:bidi w:val="0"/>
        <w:adjustRightInd/>
        <w:snapToGrid/>
        <w:ind w:firstLine="420"/>
        <w:textAlignment w:val="auto"/>
        <w:rPr>
          <w:color w:val="auto"/>
          <w:highlight w:val="none"/>
        </w:rPr>
      </w:pPr>
      <w:r>
        <w:rPr>
          <w:rFonts w:hint="eastAsia"/>
          <w:color w:val="auto"/>
          <w:highlight w:val="none"/>
        </w:rPr>
        <w:t>场</w:t>
      </w:r>
      <w:r>
        <w:rPr>
          <w:rFonts w:hint="eastAsia"/>
          <w:color w:val="auto"/>
          <w:highlight w:val="none"/>
          <w:lang w:val="en-US" w:eastAsia="zh-CN"/>
        </w:rPr>
        <w:t>馆</w:t>
      </w:r>
      <w:r>
        <w:rPr>
          <w:rFonts w:hint="eastAsia"/>
          <w:color w:val="auto"/>
          <w:highlight w:val="none"/>
        </w:rPr>
        <w:t>所有者，或者实际占有、使用、管理该场</w:t>
      </w:r>
      <w:r>
        <w:rPr>
          <w:rFonts w:hint="eastAsia"/>
          <w:color w:val="auto"/>
          <w:highlight w:val="none"/>
          <w:lang w:val="en-US" w:eastAsia="zh-CN"/>
        </w:rPr>
        <w:t>馆</w:t>
      </w:r>
      <w:r>
        <w:rPr>
          <w:rFonts w:hint="eastAsia"/>
          <w:color w:val="auto"/>
          <w:highlight w:val="none"/>
        </w:rPr>
        <w:t>，并以租赁、借用等形式提供给承办者举办活动的法人、组织或者个人。</w:t>
      </w:r>
    </w:p>
    <w:p>
      <w:pPr>
        <w:pStyle w:val="224"/>
        <w:keepNext w:val="0"/>
        <w:keepLines w:val="0"/>
        <w:pageBreakBefore w:val="0"/>
        <w:widowControl w:val="0"/>
        <w:kinsoku/>
        <w:wordWrap/>
        <w:overflowPunct/>
        <w:topLinePunct w:val="0"/>
        <w:bidi w:val="0"/>
        <w:adjustRightInd/>
        <w:snapToGrid/>
        <w:ind w:left="420" w:hanging="420" w:hangingChars="200"/>
        <w:textAlignment w:val="auto"/>
        <w:rPr>
          <w:rFonts w:hint="eastAsia" w:ascii="黑体" w:hAnsi="黑体" w:eastAsia="黑体"/>
          <w:color w:val="auto"/>
          <w:highlight w:val="none"/>
          <w:lang w:val="en-US" w:eastAsia="zh-CN"/>
        </w:rPr>
      </w:pPr>
    </w:p>
    <w:p>
      <w:pPr>
        <w:pStyle w:val="224"/>
        <w:keepNext w:val="0"/>
        <w:keepLines w:val="0"/>
        <w:pageBreakBefore w:val="0"/>
        <w:widowControl w:val="0"/>
        <w:numPr>
          <w:ilvl w:val="2"/>
          <w:numId w:val="0"/>
        </w:numPr>
        <w:kinsoku/>
        <w:wordWrap/>
        <w:overflowPunct/>
        <w:topLinePunct w:val="0"/>
        <w:autoSpaceDE/>
        <w:autoSpaceDN/>
        <w:bidi w:val="0"/>
        <w:adjustRightInd/>
        <w:snapToGrid/>
        <w:ind w:leftChars="0" w:firstLine="420" w:firstLineChars="200"/>
        <w:textAlignment w:val="auto"/>
        <w:rPr>
          <w:rFonts w:hint="eastAsia" w:ascii="黑体" w:hAnsi="黑体" w:eastAsia="黑体"/>
          <w:color w:val="auto"/>
          <w:highlight w:val="none"/>
          <w:lang w:val="en-US" w:eastAsia="zh-CN"/>
        </w:rPr>
      </w:pPr>
      <w:r>
        <w:rPr>
          <w:rFonts w:hint="eastAsia" w:ascii="黑体" w:hAnsi="黑体" w:eastAsia="黑体"/>
          <w:color w:val="auto"/>
          <w:highlight w:val="none"/>
          <w:lang w:val="en-US" w:eastAsia="zh-CN"/>
        </w:rPr>
        <w:t>安全检查  security check</w:t>
      </w:r>
    </w:p>
    <w:p>
      <w:pPr>
        <w:pStyle w:val="57"/>
        <w:keepNext w:val="0"/>
        <w:keepLines w:val="0"/>
        <w:pageBreakBefore w:val="0"/>
        <w:widowControl w:val="0"/>
        <w:kinsoku/>
        <w:wordWrap/>
        <w:overflowPunct/>
        <w:topLinePunct w:val="0"/>
        <w:bidi w:val="0"/>
        <w:adjustRightInd/>
        <w:snapToGrid/>
        <w:ind w:firstLine="420"/>
        <w:textAlignment w:val="auto"/>
        <w:rPr>
          <w:rFonts w:hint="eastAsia"/>
          <w:color w:val="auto"/>
          <w:highlight w:val="none"/>
          <w:lang w:val="en-US" w:eastAsia="zh-CN"/>
        </w:rPr>
      </w:pPr>
      <w:r>
        <w:rPr>
          <w:rFonts w:hint="eastAsia"/>
          <w:color w:val="auto"/>
          <w:highlight w:val="none"/>
          <w:lang w:val="en-US" w:eastAsia="zh-CN"/>
        </w:rPr>
        <w:t>对进入大型活动场所的人员、物品、车辆以及场地等进行的涉及安全的专业检查，简称安检。</w:t>
      </w:r>
    </w:p>
    <w:p>
      <w:pPr>
        <w:pStyle w:val="57"/>
        <w:keepNext w:val="0"/>
        <w:keepLines w:val="0"/>
        <w:pageBreakBefore w:val="0"/>
        <w:widowControl w:val="0"/>
        <w:kinsoku/>
        <w:wordWrap/>
        <w:overflowPunct/>
        <w:topLinePunct w:val="0"/>
        <w:bidi w:val="0"/>
        <w:adjustRightInd/>
        <w:snapToGrid/>
        <w:ind w:firstLine="420"/>
        <w:textAlignment w:val="auto"/>
        <w:rPr>
          <w:rFonts w:hint="eastAsia"/>
          <w:color w:val="auto"/>
          <w:highlight w:val="none"/>
          <w:lang w:val="en-US" w:eastAsia="zh-CN"/>
        </w:rPr>
      </w:pPr>
      <w:r>
        <w:rPr>
          <w:rFonts w:hint="eastAsia"/>
          <w:color w:val="auto"/>
          <w:highlight w:val="none"/>
          <w:lang w:val="en-US" w:eastAsia="zh-CN"/>
        </w:rPr>
        <w:t>［来源：GA/T 1459-2018，3.2］</w:t>
      </w:r>
    </w:p>
    <w:p>
      <w:pPr>
        <w:pStyle w:val="224"/>
        <w:keepNext w:val="0"/>
        <w:keepLines w:val="0"/>
        <w:pageBreakBefore w:val="0"/>
        <w:widowControl w:val="0"/>
        <w:kinsoku/>
        <w:wordWrap/>
        <w:overflowPunct/>
        <w:topLinePunct w:val="0"/>
        <w:bidi w:val="0"/>
        <w:adjustRightInd/>
        <w:snapToGrid/>
        <w:ind w:left="420" w:hanging="420" w:hangingChars="200"/>
        <w:textAlignment w:val="auto"/>
        <w:rPr>
          <w:rFonts w:hint="eastAsia" w:ascii="黑体" w:hAnsi="黑体" w:eastAsia="黑体"/>
          <w:color w:val="auto"/>
          <w:highlight w:val="none"/>
          <w:lang w:val="en-US" w:eastAsia="zh-CN"/>
        </w:rPr>
      </w:pPr>
    </w:p>
    <w:p>
      <w:pPr>
        <w:pStyle w:val="224"/>
        <w:keepNext w:val="0"/>
        <w:keepLines w:val="0"/>
        <w:pageBreakBefore w:val="0"/>
        <w:widowControl w:val="0"/>
        <w:numPr>
          <w:ilvl w:val="2"/>
          <w:numId w:val="0"/>
        </w:numPr>
        <w:kinsoku/>
        <w:wordWrap/>
        <w:overflowPunct/>
        <w:topLinePunct w:val="0"/>
        <w:autoSpaceDE/>
        <w:autoSpaceDN/>
        <w:bidi w:val="0"/>
        <w:adjustRightInd/>
        <w:snapToGrid/>
        <w:ind w:leftChars="0" w:firstLine="420" w:firstLineChars="200"/>
        <w:textAlignment w:val="auto"/>
        <w:rPr>
          <w:rFonts w:hint="eastAsia" w:ascii="黑体" w:hAnsi="黑体" w:eastAsia="黑体"/>
          <w:color w:val="auto"/>
          <w:highlight w:val="none"/>
          <w:lang w:val="en-US" w:eastAsia="zh-CN"/>
        </w:rPr>
      </w:pPr>
      <w:r>
        <w:rPr>
          <w:rFonts w:hint="eastAsia" w:ascii="黑体" w:hAnsi="黑体" w:eastAsia="黑体"/>
          <w:color w:val="auto"/>
          <w:highlight w:val="none"/>
          <w:lang w:val="en-US" w:eastAsia="zh-CN"/>
        </w:rPr>
        <w:t>临时搭建舞台、看台  temporary stage、auditorium</w:t>
      </w:r>
    </w:p>
    <w:p>
      <w:pPr>
        <w:pStyle w:val="57"/>
        <w:keepNext w:val="0"/>
        <w:keepLines w:val="0"/>
        <w:pageBreakBefore w:val="0"/>
        <w:widowControl w:val="0"/>
        <w:kinsoku/>
        <w:wordWrap/>
        <w:overflowPunct/>
        <w:topLinePunct w:val="0"/>
        <w:bidi w:val="0"/>
        <w:adjustRightInd/>
        <w:snapToGrid/>
        <w:ind w:firstLine="420"/>
        <w:textAlignment w:val="auto"/>
        <w:rPr>
          <w:rFonts w:hint="default"/>
          <w:color w:val="auto"/>
          <w:highlight w:val="none"/>
          <w:lang w:val="en-US" w:eastAsia="zh-CN"/>
        </w:rPr>
      </w:pPr>
      <w:r>
        <w:rPr>
          <w:rFonts w:hint="eastAsia"/>
          <w:color w:val="auto"/>
          <w:highlight w:val="none"/>
          <w:lang w:val="en-US" w:eastAsia="zh-CN"/>
        </w:rPr>
        <w:t>为短期大型群众性活动搭建，活动结束即拆除的舞台、看台。</w:t>
      </w:r>
    </w:p>
    <w:p>
      <w:pPr>
        <w:pStyle w:val="57"/>
        <w:keepNext w:val="0"/>
        <w:keepLines w:val="0"/>
        <w:pageBreakBefore w:val="0"/>
        <w:widowControl w:val="0"/>
        <w:kinsoku/>
        <w:wordWrap/>
        <w:overflowPunct/>
        <w:topLinePunct w:val="0"/>
        <w:bidi w:val="0"/>
        <w:adjustRightInd/>
        <w:snapToGrid/>
        <w:ind w:firstLine="420"/>
        <w:textAlignment w:val="auto"/>
        <w:rPr>
          <w:rFonts w:hint="eastAsia"/>
          <w:color w:val="auto"/>
          <w:highlight w:val="none"/>
          <w:lang w:val="en-US" w:eastAsia="zh-CN"/>
        </w:rPr>
      </w:pPr>
      <w:r>
        <w:rPr>
          <w:rFonts w:hint="eastAsia"/>
          <w:color w:val="auto"/>
          <w:highlight w:val="none"/>
          <w:lang w:val="en-US" w:eastAsia="zh-CN"/>
        </w:rPr>
        <w:t>［来源：GA/T 1459-2018，3.7、3.10，有修改］</w:t>
      </w:r>
    </w:p>
    <w:p>
      <w:pPr>
        <w:pStyle w:val="224"/>
        <w:keepNext w:val="0"/>
        <w:keepLines w:val="0"/>
        <w:pageBreakBefore w:val="0"/>
        <w:widowControl w:val="0"/>
        <w:kinsoku/>
        <w:wordWrap/>
        <w:overflowPunct/>
        <w:topLinePunct w:val="0"/>
        <w:bidi w:val="0"/>
        <w:adjustRightInd/>
        <w:snapToGrid/>
        <w:ind w:left="420" w:hanging="420" w:hangingChars="200"/>
        <w:textAlignment w:val="auto"/>
        <w:rPr>
          <w:rFonts w:hint="default" w:ascii="黑体" w:hAnsi="黑体" w:eastAsia="黑体"/>
          <w:color w:val="auto"/>
          <w:highlight w:val="none"/>
          <w:lang w:val="en-US" w:eastAsia="zh-CN"/>
        </w:rPr>
      </w:pPr>
    </w:p>
    <w:p>
      <w:pPr>
        <w:pStyle w:val="224"/>
        <w:keepNext w:val="0"/>
        <w:keepLines w:val="0"/>
        <w:pageBreakBefore w:val="0"/>
        <w:widowControl w:val="0"/>
        <w:numPr>
          <w:ilvl w:val="2"/>
          <w:numId w:val="0"/>
        </w:numPr>
        <w:kinsoku/>
        <w:wordWrap/>
        <w:overflowPunct/>
        <w:topLinePunct w:val="0"/>
        <w:autoSpaceDE/>
        <w:autoSpaceDN/>
        <w:bidi w:val="0"/>
        <w:adjustRightInd/>
        <w:snapToGrid/>
        <w:ind w:leftChars="0" w:firstLine="420" w:firstLineChars="200"/>
        <w:textAlignment w:val="auto"/>
        <w:rPr>
          <w:rFonts w:hint="default" w:ascii="黑体" w:hAnsi="黑体" w:eastAsia="黑体"/>
          <w:color w:val="auto"/>
          <w:highlight w:val="none"/>
          <w:lang w:val="en-US" w:eastAsia="zh-CN"/>
        </w:rPr>
      </w:pPr>
      <w:r>
        <w:rPr>
          <w:rFonts w:hint="eastAsia" w:ascii="黑体" w:hAnsi="黑体" w:eastAsia="黑体"/>
          <w:color w:val="auto"/>
          <w:highlight w:val="none"/>
          <w:lang w:val="en-US" w:eastAsia="zh-CN"/>
        </w:rPr>
        <w:t>体育场馆突发公共事件应急平台  emergency response platform for stadium and sports hall</w:t>
      </w:r>
    </w:p>
    <w:p>
      <w:pPr>
        <w:pStyle w:val="57"/>
        <w:keepNext w:val="0"/>
        <w:keepLines w:val="0"/>
        <w:pageBreakBefore w:val="0"/>
        <w:widowControl w:val="0"/>
        <w:kinsoku/>
        <w:wordWrap/>
        <w:overflowPunct/>
        <w:topLinePunct w:val="0"/>
        <w:bidi w:val="0"/>
        <w:adjustRightInd/>
        <w:snapToGrid/>
        <w:ind w:firstLine="420"/>
        <w:textAlignment w:val="auto"/>
        <w:rPr>
          <w:rFonts w:hint="eastAsia"/>
          <w:color w:val="auto"/>
          <w:highlight w:val="none"/>
          <w:lang w:val="en-US" w:eastAsia="zh-CN"/>
        </w:rPr>
      </w:pPr>
      <w:r>
        <w:rPr>
          <w:rFonts w:hint="eastAsia"/>
          <w:color w:val="auto"/>
          <w:highlight w:val="none"/>
          <w:lang w:val="en-US" w:eastAsia="zh-CN"/>
        </w:rPr>
        <w:t>具备日常与应急情况下相关安全信息的获取、应急智能、以及应急指挥的功能，软硬件相结合的突发公共事件应急保障技术系统，是实施体育场馆突发公共事件应急预案的工具。</w:t>
      </w:r>
    </w:p>
    <w:p>
      <w:pPr>
        <w:pStyle w:val="57"/>
        <w:keepNext w:val="0"/>
        <w:keepLines w:val="0"/>
        <w:pageBreakBefore w:val="0"/>
        <w:widowControl w:val="0"/>
        <w:kinsoku/>
        <w:wordWrap/>
        <w:overflowPunct/>
        <w:topLinePunct w:val="0"/>
        <w:bidi w:val="0"/>
        <w:adjustRightInd/>
        <w:snapToGrid/>
        <w:ind w:firstLine="420"/>
        <w:textAlignment w:val="auto"/>
        <w:rPr>
          <w:rFonts w:hint="eastAsia"/>
          <w:color w:val="auto"/>
          <w:highlight w:val="none"/>
          <w:lang w:val="en-US" w:eastAsia="zh-CN"/>
        </w:rPr>
      </w:pPr>
      <w:r>
        <w:rPr>
          <w:rFonts w:hint="eastAsia"/>
          <w:color w:val="auto"/>
          <w:highlight w:val="none"/>
          <w:lang w:val="en-US" w:eastAsia="zh-CN"/>
        </w:rPr>
        <w:t>［来源：GA/T 1459-2018，3.2］</w:t>
      </w:r>
    </w:p>
    <w:p>
      <w:pPr>
        <w:pStyle w:val="224"/>
        <w:keepNext w:val="0"/>
        <w:keepLines w:val="0"/>
        <w:pageBreakBefore w:val="0"/>
        <w:widowControl w:val="0"/>
        <w:kinsoku/>
        <w:wordWrap/>
        <w:overflowPunct/>
        <w:topLinePunct w:val="0"/>
        <w:bidi w:val="0"/>
        <w:adjustRightInd/>
        <w:snapToGrid/>
        <w:ind w:left="420" w:hanging="420" w:hangingChars="200"/>
        <w:textAlignment w:val="auto"/>
        <w:rPr>
          <w:rFonts w:hint="eastAsia" w:ascii="黑体" w:hAnsi="黑体" w:eastAsia="黑体"/>
          <w:color w:val="auto"/>
          <w:highlight w:val="none"/>
          <w:lang w:val="en-US" w:eastAsia="zh-CN"/>
        </w:rPr>
      </w:pPr>
    </w:p>
    <w:p>
      <w:pPr>
        <w:pStyle w:val="224"/>
        <w:keepNext w:val="0"/>
        <w:keepLines w:val="0"/>
        <w:pageBreakBefore w:val="0"/>
        <w:widowControl w:val="0"/>
        <w:numPr>
          <w:ilvl w:val="2"/>
          <w:numId w:val="0"/>
        </w:numPr>
        <w:kinsoku/>
        <w:wordWrap/>
        <w:overflowPunct/>
        <w:topLinePunct w:val="0"/>
        <w:autoSpaceDE/>
        <w:autoSpaceDN/>
        <w:bidi w:val="0"/>
        <w:adjustRightInd/>
        <w:snapToGrid/>
        <w:ind w:leftChars="0" w:firstLine="420" w:firstLineChars="200"/>
        <w:textAlignment w:val="auto"/>
        <w:rPr>
          <w:rFonts w:hint="eastAsia" w:ascii="黑体" w:hAnsi="黑体" w:eastAsia="黑体"/>
          <w:color w:val="auto"/>
          <w:highlight w:val="none"/>
          <w:lang w:val="en-US" w:eastAsia="zh-CN"/>
        </w:rPr>
      </w:pPr>
      <w:r>
        <w:rPr>
          <w:rFonts w:hint="eastAsia" w:ascii="黑体" w:hAnsi="黑体" w:eastAsia="黑体"/>
          <w:color w:val="auto"/>
          <w:highlight w:val="none"/>
          <w:lang w:val="en-US" w:eastAsia="zh-CN"/>
        </w:rPr>
        <w:t>无人驾驶航空器  unmanned aerial vehicle</w:t>
      </w:r>
    </w:p>
    <w:p>
      <w:pPr>
        <w:pStyle w:val="57"/>
        <w:rPr>
          <w:rFonts w:hint="eastAsia"/>
          <w:color w:val="auto"/>
          <w:lang w:val="en-US" w:eastAsia="zh-CN"/>
        </w:rPr>
      </w:pPr>
      <w:r>
        <w:rPr>
          <w:rFonts w:hint="eastAsia"/>
          <w:color w:val="auto"/>
          <w:lang w:val="en-US" w:eastAsia="zh-CN"/>
        </w:rPr>
        <w:t>由控制站管理（包括远程操纵或自主飞行）的航空器，也称为远程驾驶航空器或无人机。</w:t>
      </w:r>
    </w:p>
    <w:p>
      <w:pPr>
        <w:pStyle w:val="57"/>
        <w:rPr>
          <w:rFonts w:hint="default"/>
          <w:lang w:val="en-US" w:eastAsia="zh-CN"/>
        </w:rPr>
      </w:pPr>
      <w:r>
        <w:rPr>
          <w:rFonts w:hint="eastAsia"/>
          <w:color w:val="auto"/>
          <w:highlight w:val="none"/>
          <w:lang w:val="en-US" w:eastAsia="zh-CN"/>
        </w:rPr>
        <w:t>［来源：MH/T 1069-2018，2.1，有修改］</w:t>
      </w:r>
    </w:p>
    <w:p>
      <w:pPr>
        <w:pStyle w:val="105"/>
        <w:keepNext w:val="0"/>
        <w:keepLines w:val="0"/>
        <w:pageBreakBefore w:val="0"/>
        <w:widowControl w:val="0"/>
        <w:kinsoku/>
        <w:wordWrap/>
        <w:overflowPunct/>
        <w:topLinePunct w:val="0"/>
        <w:bidi w:val="0"/>
        <w:adjustRightInd/>
        <w:snapToGrid/>
        <w:spacing w:before="312" w:after="312"/>
        <w:textAlignment w:val="auto"/>
        <w:rPr>
          <w:highlight w:val="none"/>
        </w:rPr>
      </w:pPr>
      <w:bookmarkStart w:id="54" w:name="_Toc20568"/>
      <w:bookmarkStart w:id="55" w:name="_Toc90562516"/>
      <w:bookmarkStart w:id="56" w:name="_Toc88742069"/>
      <w:r>
        <w:rPr>
          <w:highlight w:val="none"/>
        </w:rPr>
        <w:t>基本要求</w:t>
      </w:r>
      <w:bookmarkEnd w:id="54"/>
      <w:bookmarkEnd w:id="55"/>
      <w:bookmarkEnd w:id="56"/>
    </w:p>
    <w:p>
      <w:pPr>
        <w:pStyle w:val="163"/>
        <w:keepNext w:val="0"/>
        <w:keepLines w:val="0"/>
        <w:pageBreakBefore w:val="0"/>
        <w:widowControl w:val="0"/>
        <w:kinsoku/>
        <w:wordWrap/>
        <w:overflowPunct/>
        <w:topLinePunct w:val="0"/>
        <w:autoSpaceDE/>
        <w:autoSpaceDN/>
        <w:bidi w:val="0"/>
        <w:adjustRightInd/>
        <w:snapToGrid/>
        <w:spacing w:before="0" w:beforeLines="0" w:after="0" w:afterLines="0"/>
        <w:textAlignment w:val="auto"/>
        <w:rPr>
          <w:color w:val="auto"/>
          <w:highlight w:val="none"/>
        </w:rPr>
      </w:pPr>
      <w:bookmarkStart w:id="57" w:name="_Toc90562517"/>
      <w:bookmarkStart w:id="58" w:name="_Toc88742070"/>
      <w:r>
        <w:rPr>
          <w:rFonts w:hint="eastAsia"/>
          <w:color w:val="auto"/>
          <w:highlight w:val="none"/>
        </w:rPr>
        <w:t>应</w:t>
      </w:r>
      <w:r>
        <w:rPr>
          <w:rFonts w:hint="eastAsia"/>
          <w:color w:val="auto"/>
          <w:highlight w:val="none"/>
          <w:lang w:val="en-US" w:eastAsia="zh-CN"/>
        </w:rPr>
        <w:t>遵循</w:t>
      </w:r>
      <w:r>
        <w:rPr>
          <w:rFonts w:hint="eastAsia"/>
          <w:color w:val="auto"/>
          <w:highlight w:val="none"/>
          <w:lang w:eastAsia="zh-CN"/>
        </w:rPr>
        <w:t>“</w:t>
      </w:r>
      <w:r>
        <w:rPr>
          <w:rFonts w:hint="eastAsia"/>
          <w:color w:val="auto"/>
          <w:highlight w:val="none"/>
          <w:lang w:val="en-US" w:eastAsia="zh-CN"/>
        </w:rPr>
        <w:t>谁承办、谁负责</w:t>
      </w:r>
      <w:r>
        <w:rPr>
          <w:rFonts w:hint="eastAsia"/>
          <w:color w:val="auto"/>
          <w:highlight w:val="none"/>
          <w:lang w:eastAsia="zh-CN"/>
        </w:rPr>
        <w:t>”，</w:t>
      </w:r>
      <w:r>
        <w:rPr>
          <w:rFonts w:hint="eastAsia"/>
          <w:color w:val="auto"/>
          <w:highlight w:val="none"/>
        </w:rPr>
        <w:t>承办者</w:t>
      </w:r>
      <w:r>
        <w:rPr>
          <w:rFonts w:hint="eastAsia"/>
          <w:color w:val="auto"/>
          <w:highlight w:val="none"/>
          <w:lang w:val="en-US" w:eastAsia="zh-CN"/>
        </w:rPr>
        <w:t>应</w:t>
      </w:r>
      <w:r>
        <w:rPr>
          <w:rFonts w:hint="eastAsia"/>
          <w:color w:val="auto"/>
          <w:highlight w:val="none"/>
        </w:rPr>
        <w:t>是依照法定程序成立的法人或者其他组织</w:t>
      </w:r>
      <w:r>
        <w:rPr>
          <w:rFonts w:hint="eastAsia"/>
          <w:color w:val="auto"/>
          <w:highlight w:val="none"/>
          <w:lang w:val="en-US" w:eastAsia="zh-CN"/>
        </w:rPr>
        <w:t>。</w:t>
      </w:r>
    </w:p>
    <w:p>
      <w:pPr>
        <w:pStyle w:val="163"/>
        <w:keepNext w:val="0"/>
        <w:keepLines w:val="0"/>
        <w:pageBreakBefore w:val="0"/>
        <w:widowControl w:val="0"/>
        <w:kinsoku/>
        <w:wordWrap/>
        <w:overflowPunct/>
        <w:topLinePunct w:val="0"/>
        <w:bidi w:val="0"/>
        <w:adjustRightInd/>
        <w:snapToGrid/>
        <w:textAlignment w:val="auto"/>
        <w:rPr>
          <w:color w:val="auto"/>
          <w:highlight w:val="none"/>
        </w:rPr>
      </w:pPr>
      <w:r>
        <w:rPr>
          <w:rFonts w:hint="eastAsia"/>
          <w:color w:val="auto"/>
          <w:highlight w:val="none"/>
          <w:lang w:val="en-US" w:eastAsia="zh-CN"/>
        </w:rPr>
        <w:t>承办者应规范化、专业化运作，成立活动指挥机构，对风险评估、安全工作方案制定和报批、安全检查等活动环节实施全过程安全管理。</w:t>
      </w:r>
    </w:p>
    <w:p>
      <w:pPr>
        <w:pStyle w:val="163"/>
        <w:keepNext w:val="0"/>
        <w:keepLines w:val="0"/>
        <w:pageBreakBefore w:val="0"/>
        <w:widowControl w:val="0"/>
        <w:kinsoku/>
        <w:wordWrap/>
        <w:overflowPunct/>
        <w:topLinePunct w:val="0"/>
        <w:bidi w:val="0"/>
        <w:adjustRightInd/>
        <w:snapToGrid/>
        <w:textAlignment w:val="auto"/>
        <w:rPr>
          <w:color w:val="auto"/>
          <w:highlight w:val="none"/>
        </w:rPr>
      </w:pPr>
      <w:r>
        <w:rPr>
          <w:rFonts w:hint="eastAsia"/>
          <w:color w:val="auto"/>
          <w:highlight w:val="none"/>
          <w:lang w:val="en-US" w:eastAsia="zh-CN"/>
        </w:rPr>
        <w:t>体育场馆管理者提供的</w:t>
      </w:r>
      <w:r>
        <w:rPr>
          <w:rFonts w:hint="eastAsia"/>
          <w:color w:val="auto"/>
          <w:highlight w:val="none"/>
        </w:rPr>
        <w:t>活动场所、设施</w:t>
      </w:r>
      <w:r>
        <w:rPr>
          <w:rFonts w:hint="eastAsia"/>
          <w:color w:val="auto"/>
          <w:highlight w:val="none"/>
          <w:lang w:val="en-US" w:eastAsia="zh-CN"/>
        </w:rPr>
        <w:t>应</w:t>
      </w:r>
      <w:r>
        <w:rPr>
          <w:rFonts w:hint="eastAsia"/>
          <w:color w:val="auto"/>
          <w:highlight w:val="none"/>
        </w:rPr>
        <w:t>符合GB</w:t>
      </w:r>
      <w:r>
        <w:rPr>
          <w:rFonts w:hint="eastAsia"/>
          <w:color w:val="auto"/>
          <w:highlight w:val="none"/>
          <w:lang w:val="en-US" w:eastAsia="zh-CN"/>
        </w:rPr>
        <w:t xml:space="preserve"> 22185-2008的</w:t>
      </w:r>
      <w:r>
        <w:rPr>
          <w:rFonts w:hint="eastAsia"/>
          <w:color w:val="auto"/>
          <w:highlight w:val="none"/>
        </w:rPr>
        <w:t>安全要求</w:t>
      </w:r>
      <w:r>
        <w:rPr>
          <w:rFonts w:hint="eastAsia"/>
          <w:color w:val="auto"/>
          <w:highlight w:val="none"/>
          <w:lang w:eastAsia="zh-CN"/>
        </w:rPr>
        <w:t>，</w:t>
      </w:r>
      <w:r>
        <w:rPr>
          <w:rFonts w:hint="eastAsia"/>
          <w:color w:val="auto"/>
          <w:highlight w:val="none"/>
          <w:lang w:val="en-US" w:eastAsia="zh-CN"/>
        </w:rPr>
        <w:t>应与承办者建立协同机制，共同保障活动顺利有序举办。</w:t>
      </w:r>
    </w:p>
    <w:p>
      <w:pPr>
        <w:pStyle w:val="105"/>
        <w:keepNext w:val="0"/>
        <w:keepLines w:val="0"/>
        <w:pageBreakBefore w:val="0"/>
        <w:widowControl w:val="0"/>
        <w:kinsoku/>
        <w:wordWrap/>
        <w:overflowPunct/>
        <w:topLinePunct w:val="0"/>
        <w:bidi w:val="0"/>
        <w:adjustRightInd/>
        <w:snapToGrid/>
        <w:spacing w:before="312" w:after="312"/>
        <w:textAlignment w:val="auto"/>
        <w:rPr>
          <w:color w:val="auto"/>
          <w:highlight w:val="none"/>
        </w:rPr>
      </w:pPr>
      <w:bookmarkStart w:id="59" w:name="_Toc15686"/>
      <w:r>
        <w:rPr>
          <w:rFonts w:hint="eastAsia"/>
          <w:color w:val="auto"/>
          <w:highlight w:val="none"/>
          <w:lang w:val="en-US" w:eastAsia="zh-CN"/>
        </w:rPr>
        <w:t>基础设施</w:t>
      </w:r>
      <w:bookmarkEnd w:id="59"/>
    </w:p>
    <w:p>
      <w:pPr>
        <w:pStyle w:val="163"/>
        <w:keepNext w:val="0"/>
        <w:keepLines w:val="0"/>
        <w:pageBreakBefore w:val="0"/>
        <w:widowControl w:val="0"/>
        <w:kinsoku/>
        <w:wordWrap/>
        <w:overflowPunct/>
        <w:topLinePunct w:val="0"/>
        <w:bidi w:val="0"/>
        <w:adjustRightInd/>
        <w:snapToGrid/>
        <w:textAlignment w:val="auto"/>
        <w:rPr>
          <w:color w:val="auto"/>
          <w:highlight w:val="none"/>
        </w:rPr>
      </w:pPr>
      <w:r>
        <w:rPr>
          <w:rFonts w:hint="eastAsia" w:ascii="Times New Roman" w:hAnsi="Times New Roman" w:eastAsia="宋体" w:cs="Times New Roman"/>
          <w:color w:val="auto"/>
          <w:highlight w:val="none"/>
          <w:lang w:val="en-US" w:eastAsia="zh-CN"/>
        </w:rPr>
        <w:t>承办大型</w:t>
      </w:r>
      <w:r>
        <w:rPr>
          <w:rFonts w:hint="eastAsia" w:ascii="Times New Roman" w:cs="Times New Roman"/>
          <w:color w:val="auto"/>
          <w:highlight w:val="none"/>
          <w:lang w:val="en-US" w:eastAsia="zh-CN"/>
        </w:rPr>
        <w:t>群众性</w:t>
      </w:r>
      <w:r>
        <w:rPr>
          <w:rFonts w:hint="eastAsia" w:ascii="Times New Roman" w:hAnsi="Times New Roman" w:eastAsia="宋体" w:cs="Times New Roman"/>
          <w:color w:val="auto"/>
          <w:highlight w:val="none"/>
          <w:lang w:val="en-US" w:eastAsia="zh-CN"/>
        </w:rPr>
        <w:t>活动的</w:t>
      </w:r>
      <w:r>
        <w:rPr>
          <w:rFonts w:hint="eastAsia" w:ascii="Times New Roman" w:cs="Times New Roman"/>
          <w:color w:val="auto"/>
          <w:highlight w:val="none"/>
          <w:lang w:val="en-US" w:eastAsia="zh-CN"/>
        </w:rPr>
        <w:t>体育</w:t>
      </w:r>
      <w:r>
        <w:rPr>
          <w:rFonts w:hint="eastAsia" w:ascii="Times New Roman" w:hAnsi="Times New Roman" w:eastAsia="宋体" w:cs="Times New Roman"/>
          <w:color w:val="auto"/>
          <w:highlight w:val="none"/>
          <w:lang w:val="en-US" w:eastAsia="zh-CN"/>
        </w:rPr>
        <w:t>场馆照明条件应满足</w:t>
      </w:r>
      <w:r>
        <w:rPr>
          <w:rFonts w:hint="eastAsia"/>
          <w:color w:val="auto"/>
          <w:highlight w:val="none"/>
          <w:lang w:val="en-US" w:eastAsia="zh-CN"/>
        </w:rPr>
        <w:t>JGJ 153-2016</w:t>
      </w:r>
      <w:r>
        <w:rPr>
          <w:rFonts w:hint="eastAsia" w:ascii="Times New Roman" w:hAnsi="Times New Roman" w:eastAsia="宋体" w:cs="Times New Roman"/>
          <w:color w:val="auto"/>
          <w:highlight w:val="none"/>
          <w:lang w:val="en-US" w:eastAsia="zh-CN"/>
        </w:rPr>
        <w:t>的</w:t>
      </w:r>
      <w:r>
        <w:rPr>
          <w:rFonts w:hint="eastAsia" w:ascii="Times New Roman" w:cs="Times New Roman"/>
          <w:color w:val="auto"/>
          <w:highlight w:val="none"/>
          <w:lang w:val="en-US" w:eastAsia="zh-CN"/>
        </w:rPr>
        <w:t>相关</w:t>
      </w:r>
      <w:r>
        <w:rPr>
          <w:rFonts w:hint="eastAsia" w:ascii="Times New Roman" w:hAnsi="Times New Roman" w:eastAsia="宋体" w:cs="Times New Roman"/>
          <w:color w:val="auto"/>
          <w:highlight w:val="none"/>
          <w:lang w:val="en-US" w:eastAsia="zh-CN"/>
        </w:rPr>
        <w:t>要求。</w:t>
      </w:r>
    </w:p>
    <w:p>
      <w:pPr>
        <w:pStyle w:val="163"/>
        <w:keepNext w:val="0"/>
        <w:keepLines w:val="0"/>
        <w:pageBreakBefore w:val="0"/>
        <w:widowControl w:val="0"/>
        <w:kinsoku/>
        <w:wordWrap/>
        <w:overflowPunct/>
        <w:topLinePunct w:val="0"/>
        <w:bidi w:val="0"/>
        <w:adjustRightInd/>
        <w:snapToGrid/>
        <w:textAlignment w:val="auto"/>
        <w:rPr>
          <w:color w:val="auto"/>
          <w:highlight w:val="none"/>
        </w:rPr>
      </w:pPr>
      <w:r>
        <w:rPr>
          <w:rFonts w:hint="eastAsia"/>
          <w:color w:val="auto"/>
          <w:highlight w:val="none"/>
          <w:lang w:val="en-US" w:eastAsia="zh-CN"/>
        </w:rPr>
        <w:t>承办者和</w:t>
      </w:r>
      <w:r>
        <w:rPr>
          <w:rFonts w:hint="eastAsia"/>
          <w:color w:val="auto"/>
          <w:highlight w:val="none"/>
        </w:rPr>
        <w:t>体育场馆管理者</w:t>
      </w:r>
      <w:r>
        <w:rPr>
          <w:rFonts w:hint="eastAsia"/>
          <w:color w:val="auto"/>
          <w:highlight w:val="none"/>
          <w:lang w:val="en-US" w:eastAsia="zh-CN"/>
        </w:rPr>
        <w:t>应商议明确活动用电需求，需临时增加用电负荷时，承办者应委托专业机构进行用电安全检测，检测报告应存档备查。</w:t>
      </w:r>
    </w:p>
    <w:p>
      <w:pPr>
        <w:pStyle w:val="163"/>
        <w:keepNext w:val="0"/>
        <w:keepLines w:val="0"/>
        <w:pageBreakBefore w:val="0"/>
        <w:widowControl w:val="0"/>
        <w:kinsoku/>
        <w:wordWrap/>
        <w:overflowPunct/>
        <w:topLinePunct w:val="0"/>
        <w:bidi w:val="0"/>
        <w:adjustRightInd/>
        <w:snapToGrid/>
        <w:textAlignment w:val="auto"/>
        <w:rPr>
          <w:color w:val="auto"/>
          <w:highlight w:val="none"/>
        </w:rPr>
      </w:pPr>
      <w:r>
        <w:rPr>
          <w:rFonts w:hint="eastAsia"/>
          <w:color w:val="auto"/>
          <w:highlight w:val="none"/>
          <w:lang w:val="en-US" w:eastAsia="zh-CN"/>
        </w:rPr>
        <w:t>体育场馆场地布局应符合</w:t>
      </w:r>
      <w:r>
        <w:rPr>
          <w:rFonts w:hint="eastAsia"/>
          <w:color w:val="auto"/>
          <w:highlight w:val="none"/>
        </w:rPr>
        <w:t>GB/T 33170.3-2016</w:t>
      </w:r>
      <w:r>
        <w:rPr>
          <w:rFonts w:hint="eastAsia"/>
          <w:color w:val="auto"/>
          <w:highlight w:val="none"/>
          <w:lang w:val="en-US" w:eastAsia="zh-CN"/>
        </w:rPr>
        <w:t>的要求，在场馆入口处，应设置反映场馆整体布局平面图或地图的方位性标识，明确划分主要活动区域、坐席区、急救点、应急指挥中心、安检通道等主要功能分区。</w:t>
      </w:r>
    </w:p>
    <w:p>
      <w:pPr>
        <w:pStyle w:val="163"/>
        <w:keepNext w:val="0"/>
        <w:keepLines w:val="0"/>
        <w:pageBreakBefore w:val="0"/>
        <w:widowControl w:val="0"/>
        <w:kinsoku/>
        <w:wordWrap/>
        <w:overflowPunct/>
        <w:topLinePunct w:val="0"/>
        <w:bidi w:val="0"/>
        <w:adjustRightInd/>
        <w:snapToGrid/>
        <w:textAlignment w:val="auto"/>
        <w:rPr>
          <w:color w:val="auto"/>
          <w:highlight w:val="none"/>
        </w:rPr>
      </w:pPr>
      <w:r>
        <w:rPr>
          <w:rFonts w:hint="eastAsia"/>
          <w:color w:val="auto"/>
          <w:highlight w:val="none"/>
          <w:lang w:val="en-US" w:eastAsia="zh-CN"/>
        </w:rPr>
        <w:t>体育场馆安全导向标识应符合</w:t>
      </w:r>
      <w:r>
        <w:rPr>
          <w:rFonts w:hint="eastAsia"/>
          <w:color w:val="auto"/>
          <w:highlight w:val="none"/>
        </w:rPr>
        <w:t>GB/T 33170.3-2016</w:t>
      </w:r>
      <w:r>
        <w:rPr>
          <w:rFonts w:hint="eastAsia"/>
          <w:color w:val="auto"/>
          <w:highlight w:val="none"/>
          <w:lang w:val="en-US" w:eastAsia="zh-CN"/>
        </w:rPr>
        <w:t>的要求，</w:t>
      </w:r>
      <w:r>
        <w:rPr>
          <w:rFonts w:hint="eastAsia"/>
          <w:color w:val="auto"/>
          <w:highlight w:val="none"/>
        </w:rPr>
        <w:t>体育场馆管理者</w:t>
      </w:r>
      <w:r>
        <w:rPr>
          <w:rFonts w:hint="eastAsia"/>
          <w:color w:val="auto"/>
          <w:highlight w:val="none"/>
          <w:lang w:val="en-US" w:eastAsia="zh-CN"/>
        </w:rPr>
        <w:t>应在现场安全疏散通道、消防车通道、安全出入口、楼梯口设置明显的标志、标识，标明疏散方向。承办者设置的临时活动安全导向标识应设在与安全有关的醒目地方，应间隔重复设置，保持信息的一致性和连续性。</w:t>
      </w:r>
    </w:p>
    <w:p>
      <w:pPr>
        <w:pStyle w:val="105"/>
        <w:keepNext w:val="0"/>
        <w:keepLines w:val="0"/>
        <w:pageBreakBefore w:val="0"/>
        <w:widowControl w:val="0"/>
        <w:kinsoku/>
        <w:wordWrap/>
        <w:overflowPunct/>
        <w:topLinePunct w:val="0"/>
        <w:bidi w:val="0"/>
        <w:adjustRightInd/>
        <w:snapToGrid/>
        <w:spacing w:before="312" w:after="312"/>
        <w:textAlignment w:val="auto"/>
        <w:rPr>
          <w:color w:val="auto"/>
          <w:highlight w:val="none"/>
        </w:rPr>
      </w:pPr>
      <w:bookmarkStart w:id="60" w:name="_Toc4413"/>
      <w:r>
        <w:rPr>
          <w:rFonts w:hint="eastAsia"/>
          <w:color w:val="auto"/>
          <w:highlight w:val="none"/>
        </w:rPr>
        <w:t>安全</w:t>
      </w:r>
      <w:bookmarkEnd w:id="57"/>
      <w:bookmarkEnd w:id="58"/>
      <w:r>
        <w:rPr>
          <w:rFonts w:hint="eastAsia"/>
          <w:color w:val="auto"/>
          <w:highlight w:val="none"/>
          <w:lang w:val="en-US" w:eastAsia="zh-CN"/>
        </w:rPr>
        <w:t>职责</w:t>
      </w:r>
      <w:bookmarkEnd w:id="60"/>
    </w:p>
    <w:p>
      <w:pPr>
        <w:pStyle w:val="163"/>
        <w:keepNext w:val="0"/>
        <w:keepLines w:val="0"/>
        <w:pageBreakBefore w:val="0"/>
        <w:widowControl w:val="0"/>
        <w:kinsoku/>
        <w:wordWrap/>
        <w:overflowPunct/>
        <w:topLinePunct w:val="0"/>
        <w:bidi w:val="0"/>
        <w:adjustRightInd/>
        <w:snapToGrid/>
        <w:textAlignment w:val="auto"/>
        <w:rPr>
          <w:color w:val="auto"/>
          <w:highlight w:val="none"/>
        </w:rPr>
      </w:pPr>
      <w:bookmarkStart w:id="61" w:name="_Toc90562519"/>
      <w:bookmarkStart w:id="62" w:name="_Toc88742072"/>
      <w:bookmarkStart w:id="63" w:name="_Toc88742071"/>
      <w:bookmarkStart w:id="64" w:name="_Toc90562518"/>
      <w:r>
        <w:rPr>
          <w:rFonts w:hint="eastAsia"/>
          <w:color w:val="auto"/>
          <w:highlight w:val="none"/>
          <w:lang w:val="en-US" w:eastAsia="zh-CN"/>
        </w:rPr>
        <w:t>体育场馆管理者与承办者应签订活动协议，明确双方责任和义务。</w:t>
      </w:r>
    </w:p>
    <w:p>
      <w:pPr>
        <w:pStyle w:val="163"/>
        <w:keepNext w:val="0"/>
        <w:keepLines w:val="0"/>
        <w:pageBreakBefore w:val="0"/>
        <w:widowControl w:val="0"/>
        <w:kinsoku/>
        <w:wordWrap/>
        <w:overflowPunct/>
        <w:topLinePunct w:val="0"/>
        <w:bidi w:val="0"/>
        <w:adjustRightInd/>
        <w:snapToGrid/>
        <w:textAlignment w:val="auto"/>
        <w:rPr>
          <w:color w:val="auto"/>
          <w:highlight w:val="none"/>
        </w:rPr>
      </w:pPr>
      <w:r>
        <w:rPr>
          <w:rFonts w:hint="eastAsia"/>
          <w:color w:val="auto"/>
          <w:highlight w:val="none"/>
        </w:rPr>
        <w:t>承办者</w:t>
      </w:r>
      <w:r>
        <w:rPr>
          <w:rFonts w:hint="eastAsia"/>
          <w:color w:val="auto"/>
          <w:highlight w:val="none"/>
          <w:lang w:val="en-US" w:eastAsia="zh-CN"/>
        </w:rPr>
        <w:t>应履行以下安全职责</w:t>
      </w:r>
      <w:r>
        <w:rPr>
          <w:rFonts w:hint="eastAsia"/>
          <w:color w:val="auto"/>
          <w:highlight w:val="none"/>
        </w:rPr>
        <w:t>：</w:t>
      </w:r>
    </w:p>
    <w:p>
      <w:pPr>
        <w:pStyle w:val="133"/>
        <w:keepNext w:val="0"/>
        <w:keepLines w:val="0"/>
        <w:pageBreakBefore w:val="0"/>
        <w:widowControl w:val="0"/>
        <w:kinsoku/>
        <w:wordWrap/>
        <w:overflowPunct/>
        <w:topLinePunct w:val="0"/>
        <w:bidi w:val="0"/>
        <w:adjustRightInd/>
        <w:snapToGrid/>
        <w:textAlignment w:val="auto"/>
        <w:rPr>
          <w:color w:val="auto"/>
          <w:highlight w:val="none"/>
        </w:rPr>
      </w:pPr>
      <w:r>
        <w:rPr>
          <w:rFonts w:hint="eastAsia"/>
          <w:color w:val="auto"/>
          <w:highlight w:val="none"/>
        </w:rPr>
        <w:t>落实大型群众性活动安全工作方案和安全责任制度，明确安全措施、安全工作人员岗位职责，开展大型群众性活动安全宣传教育；</w:t>
      </w:r>
    </w:p>
    <w:p>
      <w:pPr>
        <w:pStyle w:val="133"/>
        <w:keepNext w:val="0"/>
        <w:keepLines w:val="0"/>
        <w:pageBreakBefore w:val="0"/>
        <w:widowControl w:val="0"/>
        <w:kinsoku/>
        <w:wordWrap/>
        <w:overflowPunct/>
        <w:topLinePunct w:val="0"/>
        <w:bidi w:val="0"/>
        <w:adjustRightInd/>
        <w:snapToGrid/>
        <w:textAlignment w:val="auto"/>
        <w:rPr>
          <w:color w:val="auto"/>
          <w:highlight w:val="none"/>
        </w:rPr>
      </w:pPr>
      <w:r>
        <w:rPr>
          <w:rFonts w:hint="eastAsia"/>
          <w:color w:val="auto"/>
          <w:highlight w:val="none"/>
        </w:rPr>
        <w:t>保障临时搭建的设施、建筑物的安全，消除安全隐患；</w:t>
      </w:r>
    </w:p>
    <w:p>
      <w:pPr>
        <w:pStyle w:val="133"/>
        <w:keepNext w:val="0"/>
        <w:keepLines w:val="0"/>
        <w:pageBreakBefore w:val="0"/>
        <w:widowControl w:val="0"/>
        <w:kinsoku/>
        <w:wordWrap/>
        <w:overflowPunct/>
        <w:topLinePunct w:val="0"/>
        <w:bidi w:val="0"/>
        <w:adjustRightInd/>
        <w:snapToGrid/>
        <w:textAlignment w:val="auto"/>
        <w:rPr>
          <w:color w:val="auto"/>
          <w:highlight w:val="none"/>
        </w:rPr>
      </w:pPr>
      <w:r>
        <w:rPr>
          <w:rFonts w:hint="eastAsia"/>
          <w:color w:val="auto"/>
          <w:highlight w:val="none"/>
        </w:rPr>
        <w:t>按照负责许可的公安机关的要求，配备必要的安全检查设备，对参加大型群众性活动的人员进行安全检查，对拒不接受安全检查的，承办者有权拒绝其进入；</w:t>
      </w:r>
    </w:p>
    <w:p>
      <w:pPr>
        <w:pStyle w:val="133"/>
        <w:keepNext w:val="0"/>
        <w:keepLines w:val="0"/>
        <w:pageBreakBefore w:val="0"/>
        <w:widowControl w:val="0"/>
        <w:kinsoku/>
        <w:wordWrap/>
        <w:overflowPunct/>
        <w:topLinePunct w:val="0"/>
        <w:bidi w:val="0"/>
        <w:adjustRightInd/>
        <w:snapToGrid/>
        <w:textAlignment w:val="auto"/>
        <w:rPr>
          <w:color w:val="auto"/>
          <w:highlight w:val="none"/>
        </w:rPr>
      </w:pPr>
      <w:r>
        <w:rPr>
          <w:rFonts w:hint="eastAsia"/>
          <w:color w:val="auto"/>
          <w:highlight w:val="none"/>
        </w:rPr>
        <w:t>按照核准的活动场所容纳人员数量、划定的区域发放或者出售门票；</w:t>
      </w:r>
    </w:p>
    <w:p>
      <w:pPr>
        <w:pStyle w:val="133"/>
        <w:keepNext w:val="0"/>
        <w:keepLines w:val="0"/>
        <w:pageBreakBefore w:val="0"/>
        <w:widowControl w:val="0"/>
        <w:kinsoku/>
        <w:wordWrap/>
        <w:overflowPunct/>
        <w:topLinePunct w:val="0"/>
        <w:bidi w:val="0"/>
        <w:adjustRightInd/>
        <w:snapToGrid/>
        <w:textAlignment w:val="auto"/>
        <w:rPr>
          <w:color w:val="auto"/>
          <w:highlight w:val="none"/>
        </w:rPr>
      </w:pPr>
      <w:r>
        <w:rPr>
          <w:rFonts w:hint="eastAsia"/>
          <w:color w:val="auto"/>
          <w:highlight w:val="none"/>
        </w:rPr>
        <w:t>落实医疗救护、灭火、应急疏散等应急救援措施并组织演练；</w:t>
      </w:r>
    </w:p>
    <w:p>
      <w:pPr>
        <w:pStyle w:val="133"/>
        <w:keepNext w:val="0"/>
        <w:keepLines w:val="0"/>
        <w:pageBreakBefore w:val="0"/>
        <w:widowControl w:val="0"/>
        <w:kinsoku/>
        <w:wordWrap/>
        <w:overflowPunct/>
        <w:topLinePunct w:val="0"/>
        <w:bidi w:val="0"/>
        <w:adjustRightInd/>
        <w:snapToGrid/>
        <w:textAlignment w:val="auto"/>
        <w:rPr>
          <w:color w:val="auto"/>
          <w:highlight w:val="none"/>
        </w:rPr>
      </w:pPr>
      <w:r>
        <w:rPr>
          <w:rFonts w:hint="eastAsia"/>
          <w:color w:val="auto"/>
          <w:highlight w:val="none"/>
        </w:rPr>
        <w:t>对妨碍大型群众性活动安全的行为及时予以制止，发现违法犯罪行为及时向公安机关报告；</w:t>
      </w:r>
    </w:p>
    <w:p>
      <w:pPr>
        <w:pStyle w:val="133"/>
        <w:keepNext w:val="0"/>
        <w:keepLines w:val="0"/>
        <w:pageBreakBefore w:val="0"/>
        <w:widowControl w:val="0"/>
        <w:kinsoku/>
        <w:wordWrap/>
        <w:overflowPunct/>
        <w:topLinePunct w:val="0"/>
        <w:bidi w:val="0"/>
        <w:adjustRightInd/>
        <w:snapToGrid/>
        <w:textAlignment w:val="auto"/>
        <w:rPr>
          <w:color w:val="auto"/>
          <w:highlight w:val="none"/>
        </w:rPr>
      </w:pPr>
      <w:r>
        <w:rPr>
          <w:rFonts w:hint="eastAsia"/>
          <w:color w:val="auto"/>
          <w:highlight w:val="none"/>
        </w:rPr>
        <w:t>配备与大型群众性活动安全工作需要相适应的专业保安人员以及其他安全工作人员；</w:t>
      </w:r>
    </w:p>
    <w:p>
      <w:pPr>
        <w:pStyle w:val="133"/>
        <w:keepNext w:val="0"/>
        <w:keepLines w:val="0"/>
        <w:pageBreakBefore w:val="0"/>
        <w:widowControl w:val="0"/>
        <w:kinsoku/>
        <w:wordWrap/>
        <w:overflowPunct/>
        <w:topLinePunct w:val="0"/>
        <w:bidi w:val="0"/>
        <w:adjustRightInd/>
        <w:snapToGrid/>
        <w:textAlignment w:val="auto"/>
        <w:rPr>
          <w:color w:val="auto"/>
          <w:highlight w:val="none"/>
        </w:rPr>
      </w:pPr>
      <w:r>
        <w:rPr>
          <w:rFonts w:hint="eastAsia"/>
          <w:color w:val="auto"/>
          <w:highlight w:val="none"/>
        </w:rPr>
        <w:t>为大型群众性活动的安全工作提供必要的保障。</w:t>
      </w:r>
    </w:p>
    <w:p>
      <w:pPr>
        <w:pStyle w:val="163"/>
        <w:keepNext w:val="0"/>
        <w:keepLines w:val="0"/>
        <w:pageBreakBefore w:val="0"/>
        <w:widowControl w:val="0"/>
        <w:kinsoku/>
        <w:wordWrap/>
        <w:overflowPunct/>
        <w:topLinePunct w:val="0"/>
        <w:bidi w:val="0"/>
        <w:adjustRightInd/>
        <w:snapToGrid/>
        <w:textAlignment w:val="auto"/>
        <w:rPr>
          <w:color w:val="auto"/>
          <w:highlight w:val="none"/>
        </w:rPr>
      </w:pPr>
      <w:r>
        <w:rPr>
          <w:rFonts w:hint="eastAsia"/>
          <w:color w:val="auto"/>
          <w:highlight w:val="none"/>
        </w:rPr>
        <w:t>体育场馆管理者</w:t>
      </w:r>
      <w:r>
        <w:rPr>
          <w:rFonts w:hint="eastAsia"/>
          <w:color w:val="auto"/>
          <w:highlight w:val="none"/>
          <w:lang w:val="en-US" w:eastAsia="zh-CN"/>
        </w:rPr>
        <w:t>应履行以下安全职责</w:t>
      </w:r>
      <w:r>
        <w:rPr>
          <w:rFonts w:hint="eastAsia"/>
          <w:color w:val="auto"/>
          <w:highlight w:val="none"/>
        </w:rPr>
        <w:t>：</w:t>
      </w:r>
    </w:p>
    <w:p>
      <w:pPr>
        <w:pStyle w:val="133"/>
        <w:keepNext w:val="0"/>
        <w:keepLines w:val="0"/>
        <w:pageBreakBefore w:val="0"/>
        <w:widowControl w:val="0"/>
        <w:kinsoku/>
        <w:wordWrap/>
        <w:overflowPunct/>
        <w:topLinePunct w:val="0"/>
        <w:bidi w:val="0"/>
        <w:adjustRightInd/>
        <w:snapToGrid/>
        <w:textAlignment w:val="auto"/>
        <w:rPr>
          <w:color w:val="auto"/>
          <w:highlight w:val="none"/>
        </w:rPr>
      </w:pPr>
      <w:r>
        <w:rPr>
          <w:rFonts w:hint="eastAsia"/>
          <w:color w:val="auto"/>
          <w:highlight w:val="none"/>
        </w:rPr>
        <w:t>保障活动场所、设施符合国家安全标准和安全规定；</w:t>
      </w:r>
    </w:p>
    <w:p>
      <w:pPr>
        <w:pStyle w:val="133"/>
        <w:keepNext w:val="0"/>
        <w:keepLines w:val="0"/>
        <w:pageBreakBefore w:val="0"/>
        <w:widowControl w:val="0"/>
        <w:kinsoku/>
        <w:wordWrap/>
        <w:overflowPunct/>
        <w:topLinePunct w:val="0"/>
        <w:bidi w:val="0"/>
        <w:adjustRightInd/>
        <w:snapToGrid/>
        <w:textAlignment w:val="auto"/>
        <w:rPr>
          <w:color w:val="auto"/>
          <w:highlight w:val="none"/>
        </w:rPr>
      </w:pPr>
      <w:r>
        <w:rPr>
          <w:rFonts w:hint="eastAsia"/>
          <w:color w:val="auto"/>
          <w:highlight w:val="none"/>
        </w:rPr>
        <w:t>保障疏散通道、安全出口、消防车通道、应急广播、应急照明、疏散指示标志符合法律、法规、技术标准的规定；</w:t>
      </w:r>
    </w:p>
    <w:p>
      <w:pPr>
        <w:pStyle w:val="133"/>
        <w:keepNext w:val="0"/>
        <w:keepLines w:val="0"/>
        <w:pageBreakBefore w:val="0"/>
        <w:widowControl w:val="0"/>
        <w:kinsoku/>
        <w:wordWrap/>
        <w:overflowPunct/>
        <w:topLinePunct w:val="0"/>
        <w:bidi w:val="0"/>
        <w:adjustRightInd/>
        <w:snapToGrid/>
        <w:textAlignment w:val="auto"/>
        <w:rPr>
          <w:color w:val="auto"/>
          <w:highlight w:val="none"/>
        </w:rPr>
      </w:pPr>
      <w:r>
        <w:rPr>
          <w:rFonts w:hint="eastAsia"/>
          <w:color w:val="auto"/>
          <w:highlight w:val="none"/>
        </w:rPr>
        <w:t>保障监控设备和消防设施、器材配置齐全、完好有效；</w:t>
      </w:r>
    </w:p>
    <w:p>
      <w:pPr>
        <w:pStyle w:val="133"/>
        <w:keepNext w:val="0"/>
        <w:keepLines w:val="0"/>
        <w:pageBreakBefore w:val="0"/>
        <w:widowControl w:val="0"/>
        <w:kinsoku/>
        <w:wordWrap/>
        <w:overflowPunct/>
        <w:topLinePunct w:val="0"/>
        <w:bidi w:val="0"/>
        <w:adjustRightInd/>
        <w:snapToGrid/>
        <w:textAlignment w:val="auto"/>
        <w:rPr>
          <w:color w:val="auto"/>
          <w:highlight w:val="none"/>
        </w:rPr>
      </w:pPr>
      <w:r>
        <w:rPr>
          <w:rFonts w:hint="eastAsia"/>
          <w:color w:val="auto"/>
          <w:highlight w:val="none"/>
        </w:rPr>
        <w:t>提前安排必要的停车场地，并维护安全秩序。</w:t>
      </w:r>
    </w:p>
    <w:p>
      <w:pPr>
        <w:pStyle w:val="105"/>
        <w:keepNext w:val="0"/>
        <w:keepLines w:val="0"/>
        <w:pageBreakBefore w:val="0"/>
        <w:widowControl w:val="0"/>
        <w:kinsoku/>
        <w:wordWrap/>
        <w:overflowPunct/>
        <w:topLinePunct w:val="0"/>
        <w:bidi w:val="0"/>
        <w:adjustRightInd/>
        <w:snapToGrid/>
        <w:spacing w:before="312" w:after="312"/>
        <w:textAlignment w:val="auto"/>
        <w:rPr>
          <w:color w:val="auto"/>
          <w:highlight w:val="none"/>
        </w:rPr>
      </w:pPr>
      <w:bookmarkStart w:id="65" w:name="_Toc7040"/>
      <w:r>
        <w:rPr>
          <w:rFonts w:hint="eastAsia"/>
          <w:color w:val="auto"/>
          <w:highlight w:val="none"/>
        </w:rPr>
        <w:t>风险评估</w:t>
      </w:r>
      <w:bookmarkEnd w:id="61"/>
      <w:bookmarkEnd w:id="62"/>
      <w:bookmarkEnd w:id="65"/>
    </w:p>
    <w:p>
      <w:pPr>
        <w:pStyle w:val="163"/>
        <w:keepNext w:val="0"/>
        <w:keepLines w:val="0"/>
        <w:pageBreakBefore w:val="0"/>
        <w:widowControl w:val="0"/>
        <w:kinsoku/>
        <w:wordWrap/>
        <w:overflowPunct/>
        <w:topLinePunct w:val="0"/>
        <w:bidi w:val="0"/>
        <w:adjustRightInd/>
        <w:snapToGrid/>
        <w:textAlignment w:val="auto"/>
        <w:rPr>
          <w:color w:val="auto"/>
          <w:highlight w:val="none"/>
        </w:rPr>
      </w:pPr>
      <w:bookmarkStart w:id="66" w:name="_Toc90562520"/>
      <w:bookmarkStart w:id="67" w:name="_Toc88742073"/>
      <w:r>
        <w:rPr>
          <w:rFonts w:hint="eastAsia"/>
          <w:color w:val="auto"/>
          <w:highlight w:val="none"/>
          <w:lang w:val="en-US" w:eastAsia="zh-CN"/>
        </w:rPr>
        <w:t>承办者应</w:t>
      </w:r>
      <w:r>
        <w:rPr>
          <w:rFonts w:hint="eastAsia"/>
          <w:color w:val="auto"/>
          <w:highlight w:val="none"/>
        </w:rPr>
        <w:t>根据安全风险程度，确定风险等级，建立安全风险评估</w:t>
      </w:r>
      <w:r>
        <w:rPr>
          <w:rFonts w:hint="eastAsia"/>
          <w:color w:val="auto"/>
          <w:highlight w:val="none"/>
          <w:lang w:val="en-US" w:eastAsia="zh-CN"/>
        </w:rPr>
        <w:t>机制</w:t>
      </w:r>
      <w:r>
        <w:rPr>
          <w:rFonts w:hint="eastAsia"/>
          <w:color w:val="auto"/>
          <w:highlight w:val="none"/>
        </w:rPr>
        <w:t>，排查安全风险隐患，落实防范控制措施</w:t>
      </w:r>
      <w:r>
        <w:rPr>
          <w:rFonts w:hint="eastAsia"/>
          <w:color w:val="auto"/>
          <w:highlight w:val="none"/>
          <w:lang w:eastAsia="zh-CN"/>
        </w:rPr>
        <w:t>，</w:t>
      </w:r>
      <w:r>
        <w:rPr>
          <w:rFonts w:hint="eastAsia"/>
          <w:color w:val="auto"/>
          <w:highlight w:val="none"/>
          <w:lang w:val="en-US" w:eastAsia="zh-CN"/>
        </w:rPr>
        <w:t>应</w:t>
      </w:r>
      <w:r>
        <w:rPr>
          <w:rFonts w:hint="eastAsia"/>
          <w:color w:val="auto"/>
          <w:highlight w:val="none"/>
        </w:rPr>
        <w:t>符合GB/T 33170.1-2016的相关要求。</w:t>
      </w:r>
    </w:p>
    <w:p>
      <w:pPr>
        <w:pStyle w:val="163"/>
        <w:keepNext w:val="0"/>
        <w:keepLines w:val="0"/>
        <w:pageBreakBefore w:val="0"/>
        <w:widowControl w:val="0"/>
        <w:kinsoku/>
        <w:wordWrap/>
        <w:overflowPunct/>
        <w:topLinePunct w:val="0"/>
        <w:bidi w:val="0"/>
        <w:adjustRightInd/>
        <w:snapToGrid/>
        <w:textAlignment w:val="auto"/>
        <w:rPr>
          <w:color w:val="auto"/>
          <w:highlight w:val="none"/>
        </w:rPr>
      </w:pPr>
      <w:r>
        <w:rPr>
          <w:rFonts w:hint="eastAsia"/>
          <w:color w:val="auto"/>
          <w:highlight w:val="none"/>
        </w:rPr>
        <w:t>大型群众性活动安全风险评估应重点分析下列因素：</w:t>
      </w:r>
    </w:p>
    <w:p>
      <w:pPr>
        <w:pStyle w:val="133"/>
        <w:keepNext w:val="0"/>
        <w:keepLines w:val="0"/>
        <w:pageBreakBefore w:val="0"/>
        <w:widowControl w:val="0"/>
        <w:kinsoku/>
        <w:wordWrap/>
        <w:overflowPunct/>
        <w:topLinePunct w:val="0"/>
        <w:bidi w:val="0"/>
        <w:adjustRightInd/>
        <w:snapToGrid/>
        <w:textAlignment w:val="auto"/>
        <w:rPr>
          <w:color w:val="auto"/>
          <w:highlight w:val="none"/>
        </w:rPr>
      </w:pPr>
      <w:r>
        <w:rPr>
          <w:rFonts w:hint="eastAsia"/>
          <w:color w:val="auto"/>
          <w:highlight w:val="none"/>
        </w:rPr>
        <w:t>活动举办地的社会治安形势；</w:t>
      </w:r>
    </w:p>
    <w:p>
      <w:pPr>
        <w:pStyle w:val="133"/>
        <w:keepNext w:val="0"/>
        <w:keepLines w:val="0"/>
        <w:pageBreakBefore w:val="0"/>
        <w:widowControl w:val="0"/>
        <w:kinsoku/>
        <w:wordWrap/>
        <w:overflowPunct/>
        <w:topLinePunct w:val="0"/>
        <w:bidi w:val="0"/>
        <w:adjustRightInd/>
        <w:snapToGrid/>
        <w:textAlignment w:val="auto"/>
        <w:rPr>
          <w:color w:val="auto"/>
          <w:highlight w:val="none"/>
        </w:rPr>
      </w:pPr>
      <w:r>
        <w:rPr>
          <w:rFonts w:hint="eastAsia"/>
          <w:color w:val="auto"/>
          <w:highlight w:val="none"/>
        </w:rPr>
        <w:t>活动涉及的政治性、民族性、宗教性等敏感因素；</w:t>
      </w:r>
    </w:p>
    <w:p>
      <w:pPr>
        <w:pStyle w:val="133"/>
        <w:keepNext w:val="0"/>
        <w:keepLines w:val="0"/>
        <w:pageBreakBefore w:val="0"/>
        <w:widowControl w:val="0"/>
        <w:kinsoku/>
        <w:wordWrap/>
        <w:overflowPunct/>
        <w:topLinePunct w:val="0"/>
        <w:bidi w:val="0"/>
        <w:adjustRightInd/>
        <w:snapToGrid/>
        <w:textAlignment w:val="auto"/>
        <w:rPr>
          <w:color w:val="auto"/>
          <w:highlight w:val="none"/>
        </w:rPr>
      </w:pPr>
      <w:r>
        <w:rPr>
          <w:rFonts w:hint="eastAsia"/>
          <w:color w:val="auto"/>
          <w:highlight w:val="none"/>
        </w:rPr>
        <w:t>活动规模、规格以及参加人员的结构层次、敏感程度、情绪反应等；</w:t>
      </w:r>
    </w:p>
    <w:p>
      <w:pPr>
        <w:pStyle w:val="133"/>
        <w:keepNext w:val="0"/>
        <w:keepLines w:val="0"/>
        <w:pageBreakBefore w:val="0"/>
        <w:widowControl w:val="0"/>
        <w:kinsoku/>
        <w:wordWrap/>
        <w:overflowPunct/>
        <w:topLinePunct w:val="0"/>
        <w:bidi w:val="0"/>
        <w:adjustRightInd/>
        <w:snapToGrid/>
        <w:textAlignment w:val="auto"/>
        <w:rPr>
          <w:color w:val="auto"/>
          <w:highlight w:val="none"/>
        </w:rPr>
      </w:pPr>
      <w:r>
        <w:rPr>
          <w:rFonts w:hint="eastAsia"/>
          <w:color w:val="auto"/>
          <w:highlight w:val="none"/>
        </w:rPr>
        <w:t xml:space="preserve">活动核心区、景观集中区、人流聚集区等易产生拥堵区域的安全承载容量；  </w:t>
      </w:r>
    </w:p>
    <w:p>
      <w:pPr>
        <w:pStyle w:val="133"/>
        <w:keepNext w:val="0"/>
        <w:keepLines w:val="0"/>
        <w:pageBreakBefore w:val="0"/>
        <w:widowControl w:val="0"/>
        <w:kinsoku/>
        <w:wordWrap/>
        <w:overflowPunct/>
        <w:topLinePunct w:val="0"/>
        <w:bidi w:val="0"/>
        <w:adjustRightInd/>
        <w:snapToGrid/>
        <w:textAlignment w:val="auto"/>
        <w:rPr>
          <w:color w:val="auto"/>
          <w:highlight w:val="none"/>
        </w:rPr>
      </w:pPr>
      <w:r>
        <w:rPr>
          <w:rFonts w:hint="eastAsia"/>
          <w:color w:val="auto"/>
          <w:highlight w:val="none"/>
        </w:rPr>
        <w:t>活动现场及周边道路交通情况、停车设施情况和人流疏散、车辆疏导情况；</w:t>
      </w:r>
    </w:p>
    <w:p>
      <w:pPr>
        <w:pStyle w:val="133"/>
        <w:keepNext w:val="0"/>
        <w:keepLines w:val="0"/>
        <w:pageBreakBefore w:val="0"/>
        <w:widowControl w:val="0"/>
        <w:kinsoku/>
        <w:wordWrap/>
        <w:overflowPunct/>
        <w:topLinePunct w:val="0"/>
        <w:bidi w:val="0"/>
        <w:adjustRightInd/>
        <w:snapToGrid/>
        <w:textAlignment w:val="auto"/>
        <w:rPr>
          <w:color w:val="auto"/>
          <w:highlight w:val="none"/>
        </w:rPr>
      </w:pPr>
      <w:r>
        <w:rPr>
          <w:rFonts w:hint="eastAsia"/>
          <w:color w:val="auto"/>
          <w:highlight w:val="none"/>
        </w:rPr>
        <w:t>场地开放程度，周边地理环境，道路、水域、桥梁、制高点等安全性；</w:t>
      </w:r>
    </w:p>
    <w:p>
      <w:pPr>
        <w:pStyle w:val="133"/>
        <w:keepNext w:val="0"/>
        <w:keepLines w:val="0"/>
        <w:pageBreakBefore w:val="0"/>
        <w:widowControl w:val="0"/>
        <w:kinsoku/>
        <w:wordWrap/>
        <w:overflowPunct/>
        <w:topLinePunct w:val="0"/>
        <w:bidi w:val="0"/>
        <w:adjustRightInd/>
        <w:snapToGrid/>
        <w:textAlignment w:val="auto"/>
        <w:rPr>
          <w:color w:val="auto"/>
          <w:highlight w:val="none"/>
        </w:rPr>
      </w:pPr>
      <w:r>
        <w:rPr>
          <w:rFonts w:hint="eastAsia"/>
          <w:color w:val="auto"/>
          <w:highlight w:val="none"/>
        </w:rPr>
        <w:t>场所安全通道、消防设施、技防设施、各种指示标志以及供水、供电、供气、供热、通讯等重点部位的安全状况；</w:t>
      </w:r>
    </w:p>
    <w:p>
      <w:pPr>
        <w:pStyle w:val="133"/>
        <w:keepNext w:val="0"/>
        <w:keepLines w:val="0"/>
        <w:pageBreakBefore w:val="0"/>
        <w:widowControl w:val="0"/>
        <w:kinsoku/>
        <w:wordWrap/>
        <w:overflowPunct/>
        <w:topLinePunct w:val="0"/>
        <w:bidi w:val="0"/>
        <w:adjustRightInd/>
        <w:snapToGrid/>
        <w:textAlignment w:val="auto"/>
        <w:rPr>
          <w:color w:val="auto"/>
          <w:highlight w:val="none"/>
        </w:rPr>
      </w:pPr>
      <w:r>
        <w:rPr>
          <w:rFonts w:hint="eastAsia"/>
          <w:color w:val="auto"/>
          <w:highlight w:val="none"/>
        </w:rPr>
        <w:t>临时搭建设施、建筑物的安全性；</w:t>
      </w:r>
    </w:p>
    <w:p>
      <w:pPr>
        <w:pStyle w:val="133"/>
        <w:keepNext w:val="0"/>
        <w:keepLines w:val="0"/>
        <w:pageBreakBefore w:val="0"/>
        <w:widowControl w:val="0"/>
        <w:kinsoku/>
        <w:wordWrap/>
        <w:overflowPunct/>
        <w:topLinePunct w:val="0"/>
        <w:bidi w:val="0"/>
        <w:adjustRightInd/>
        <w:snapToGrid/>
        <w:textAlignment w:val="auto"/>
        <w:rPr>
          <w:color w:val="auto"/>
          <w:highlight w:val="none"/>
        </w:rPr>
      </w:pPr>
      <w:r>
        <w:rPr>
          <w:rFonts w:hint="eastAsia"/>
          <w:color w:val="auto"/>
          <w:highlight w:val="none"/>
        </w:rPr>
        <w:t>有无焰火燃放、灯光秀、倒计时等可能引发人群聚集滞留的情况；</w:t>
      </w:r>
    </w:p>
    <w:p>
      <w:pPr>
        <w:pStyle w:val="133"/>
        <w:keepNext w:val="0"/>
        <w:keepLines w:val="0"/>
        <w:pageBreakBefore w:val="0"/>
        <w:widowControl w:val="0"/>
        <w:kinsoku/>
        <w:wordWrap/>
        <w:overflowPunct/>
        <w:topLinePunct w:val="0"/>
        <w:bidi w:val="0"/>
        <w:adjustRightInd/>
        <w:snapToGrid/>
        <w:textAlignment w:val="auto"/>
        <w:rPr>
          <w:color w:val="auto"/>
          <w:highlight w:val="none"/>
        </w:rPr>
      </w:pPr>
      <w:r>
        <w:rPr>
          <w:rFonts w:hint="eastAsia"/>
          <w:color w:val="auto"/>
          <w:highlight w:val="none"/>
        </w:rPr>
        <w:t>有关利益群体会否到活动现场表达诉求、制造影响等情况；</w:t>
      </w:r>
    </w:p>
    <w:p>
      <w:pPr>
        <w:pStyle w:val="133"/>
        <w:keepNext w:val="0"/>
        <w:keepLines w:val="0"/>
        <w:pageBreakBefore w:val="0"/>
        <w:widowControl w:val="0"/>
        <w:kinsoku/>
        <w:wordWrap/>
        <w:overflowPunct/>
        <w:topLinePunct w:val="0"/>
        <w:bidi w:val="0"/>
        <w:adjustRightInd/>
        <w:snapToGrid/>
        <w:textAlignment w:val="auto"/>
        <w:rPr>
          <w:color w:val="auto"/>
          <w:highlight w:val="none"/>
        </w:rPr>
      </w:pPr>
      <w:r>
        <w:rPr>
          <w:rFonts w:hint="eastAsia"/>
          <w:color w:val="auto"/>
          <w:highlight w:val="none"/>
        </w:rPr>
        <w:t>社会各界关注度；</w:t>
      </w:r>
    </w:p>
    <w:p>
      <w:pPr>
        <w:pStyle w:val="133"/>
        <w:keepNext w:val="0"/>
        <w:keepLines w:val="0"/>
        <w:pageBreakBefore w:val="0"/>
        <w:widowControl w:val="0"/>
        <w:kinsoku/>
        <w:wordWrap/>
        <w:overflowPunct/>
        <w:topLinePunct w:val="0"/>
        <w:bidi w:val="0"/>
        <w:adjustRightInd/>
        <w:snapToGrid/>
        <w:textAlignment w:val="auto"/>
        <w:rPr>
          <w:color w:val="auto"/>
          <w:highlight w:val="none"/>
        </w:rPr>
      </w:pPr>
      <w:r>
        <w:rPr>
          <w:rFonts w:hint="eastAsia"/>
          <w:color w:val="auto"/>
          <w:highlight w:val="none"/>
        </w:rPr>
        <w:t>天气等自然因素。</w:t>
      </w:r>
    </w:p>
    <w:bookmarkEnd w:id="66"/>
    <w:bookmarkEnd w:id="67"/>
    <w:p>
      <w:pPr>
        <w:pStyle w:val="105"/>
        <w:keepNext w:val="0"/>
        <w:keepLines w:val="0"/>
        <w:pageBreakBefore w:val="0"/>
        <w:widowControl w:val="0"/>
        <w:kinsoku/>
        <w:wordWrap/>
        <w:overflowPunct/>
        <w:topLinePunct w:val="0"/>
        <w:bidi w:val="0"/>
        <w:adjustRightInd/>
        <w:snapToGrid/>
        <w:spacing w:before="312" w:after="312"/>
        <w:textAlignment w:val="auto"/>
        <w:rPr>
          <w:rFonts w:hint="default"/>
          <w:color w:val="auto"/>
          <w:lang w:val="en-US"/>
        </w:rPr>
      </w:pPr>
      <w:bookmarkStart w:id="68" w:name="_Toc9968"/>
      <w:r>
        <w:rPr>
          <w:rFonts w:hint="eastAsia"/>
          <w:color w:val="auto"/>
          <w:highlight w:val="none"/>
        </w:rPr>
        <w:t>安全工作方案</w:t>
      </w:r>
      <w:r>
        <w:rPr>
          <w:rFonts w:hint="eastAsia"/>
          <w:color w:val="auto"/>
          <w:highlight w:val="none"/>
          <w:lang w:val="en-US" w:eastAsia="zh-CN"/>
        </w:rPr>
        <w:t>制定和报批</w:t>
      </w:r>
      <w:bookmarkEnd w:id="68"/>
      <w:r>
        <w:rPr>
          <w:rFonts w:hint="eastAsia"/>
          <w:color w:val="auto"/>
          <w:highlight w:val="none"/>
          <w:lang w:val="en-US" w:eastAsia="zh-CN"/>
        </w:rPr>
        <w:t>.</w:t>
      </w:r>
    </w:p>
    <w:p>
      <w:pPr>
        <w:pStyle w:val="163"/>
        <w:keepNext w:val="0"/>
        <w:keepLines w:val="0"/>
        <w:pageBreakBefore w:val="0"/>
        <w:widowControl w:val="0"/>
        <w:kinsoku/>
        <w:wordWrap/>
        <w:overflowPunct/>
        <w:topLinePunct w:val="0"/>
        <w:bidi w:val="0"/>
        <w:adjustRightInd/>
        <w:snapToGrid/>
        <w:textAlignment w:val="auto"/>
        <w:rPr>
          <w:color w:val="auto"/>
          <w:highlight w:val="none"/>
        </w:rPr>
      </w:pPr>
      <w:r>
        <w:rPr>
          <w:rFonts w:hint="eastAsia"/>
          <w:color w:val="auto"/>
          <w:highlight w:val="none"/>
          <w:lang w:val="en-US" w:eastAsia="zh-CN"/>
        </w:rPr>
        <w:t>承办者</w:t>
      </w:r>
      <w:r>
        <w:rPr>
          <w:rFonts w:hint="eastAsia"/>
          <w:color w:val="auto"/>
          <w:highlight w:val="none"/>
        </w:rPr>
        <w:t>依据对</w:t>
      </w:r>
      <w:r>
        <w:rPr>
          <w:rFonts w:hint="eastAsia"/>
          <w:color w:val="auto"/>
          <w:highlight w:val="none"/>
          <w:lang w:val="en-US" w:eastAsia="zh-CN"/>
        </w:rPr>
        <w:t>活动</w:t>
      </w:r>
      <w:r>
        <w:rPr>
          <w:rFonts w:hint="eastAsia"/>
          <w:color w:val="auto"/>
          <w:highlight w:val="none"/>
        </w:rPr>
        <w:t>现场的考察、</w:t>
      </w:r>
      <w:r>
        <w:rPr>
          <w:rFonts w:hint="eastAsia"/>
          <w:color w:val="auto"/>
          <w:highlight w:val="none"/>
          <w:lang w:val="en-US" w:eastAsia="zh-CN"/>
        </w:rPr>
        <w:t>体育场馆管理者</w:t>
      </w:r>
      <w:r>
        <w:rPr>
          <w:rFonts w:hint="eastAsia"/>
          <w:color w:val="auto"/>
          <w:highlight w:val="none"/>
        </w:rPr>
        <w:t>提供</w:t>
      </w:r>
      <w:r>
        <w:rPr>
          <w:rFonts w:hint="eastAsia"/>
          <w:color w:val="auto"/>
          <w:highlight w:val="none"/>
          <w:lang w:val="en-US" w:eastAsia="zh-CN"/>
        </w:rPr>
        <w:t>的</w:t>
      </w:r>
      <w:r>
        <w:rPr>
          <w:rFonts w:hint="eastAsia"/>
          <w:color w:val="auto"/>
          <w:highlight w:val="none"/>
        </w:rPr>
        <w:t>资料等，制定适用于此次大型群众性活动的安全工作方案。</w:t>
      </w:r>
    </w:p>
    <w:p>
      <w:pPr>
        <w:pStyle w:val="163"/>
        <w:keepNext w:val="0"/>
        <w:keepLines w:val="0"/>
        <w:pageBreakBefore w:val="0"/>
        <w:widowControl w:val="0"/>
        <w:kinsoku/>
        <w:wordWrap/>
        <w:overflowPunct/>
        <w:topLinePunct w:val="0"/>
        <w:bidi w:val="0"/>
        <w:adjustRightInd/>
        <w:snapToGrid/>
        <w:textAlignment w:val="auto"/>
        <w:rPr>
          <w:color w:val="auto"/>
          <w:highlight w:val="none"/>
        </w:rPr>
      </w:pPr>
      <w:r>
        <w:rPr>
          <w:rFonts w:hint="eastAsia"/>
          <w:color w:val="auto"/>
          <w:highlight w:val="none"/>
        </w:rPr>
        <w:t>大型群众性活动安全工作方案应包括下列内容：</w:t>
      </w:r>
    </w:p>
    <w:p>
      <w:pPr>
        <w:pStyle w:val="133"/>
        <w:keepNext w:val="0"/>
        <w:keepLines w:val="0"/>
        <w:pageBreakBefore w:val="0"/>
        <w:widowControl w:val="0"/>
        <w:kinsoku/>
        <w:wordWrap/>
        <w:overflowPunct/>
        <w:topLinePunct w:val="0"/>
        <w:bidi w:val="0"/>
        <w:adjustRightInd/>
        <w:snapToGrid/>
        <w:textAlignment w:val="auto"/>
        <w:rPr>
          <w:color w:val="auto"/>
          <w:highlight w:val="none"/>
        </w:rPr>
      </w:pPr>
      <w:r>
        <w:rPr>
          <w:rFonts w:hint="eastAsia"/>
          <w:color w:val="auto"/>
          <w:highlight w:val="none"/>
        </w:rPr>
        <w:t>活动的时间、地点、内容及组织方式；</w:t>
      </w:r>
    </w:p>
    <w:p>
      <w:pPr>
        <w:pStyle w:val="133"/>
        <w:keepNext w:val="0"/>
        <w:keepLines w:val="0"/>
        <w:pageBreakBefore w:val="0"/>
        <w:widowControl w:val="0"/>
        <w:kinsoku/>
        <w:wordWrap/>
        <w:overflowPunct/>
        <w:topLinePunct w:val="0"/>
        <w:bidi w:val="0"/>
        <w:adjustRightInd/>
        <w:snapToGrid/>
        <w:textAlignment w:val="auto"/>
        <w:rPr>
          <w:color w:val="auto"/>
          <w:highlight w:val="none"/>
        </w:rPr>
      </w:pPr>
      <w:r>
        <w:rPr>
          <w:rFonts w:hint="eastAsia"/>
          <w:color w:val="auto"/>
          <w:highlight w:val="none"/>
        </w:rPr>
        <w:t>安全工作人员的数量、任务分配和识别标志；</w:t>
      </w:r>
    </w:p>
    <w:p>
      <w:pPr>
        <w:pStyle w:val="133"/>
        <w:keepNext w:val="0"/>
        <w:keepLines w:val="0"/>
        <w:pageBreakBefore w:val="0"/>
        <w:widowControl w:val="0"/>
        <w:kinsoku/>
        <w:wordWrap/>
        <w:overflowPunct/>
        <w:topLinePunct w:val="0"/>
        <w:bidi w:val="0"/>
        <w:adjustRightInd/>
        <w:snapToGrid/>
        <w:textAlignment w:val="auto"/>
        <w:rPr>
          <w:color w:val="auto"/>
          <w:highlight w:val="none"/>
        </w:rPr>
      </w:pPr>
      <w:r>
        <w:rPr>
          <w:rFonts w:hint="eastAsia"/>
          <w:color w:val="auto"/>
          <w:highlight w:val="none"/>
        </w:rPr>
        <w:t>活动场所消防安全措施；</w:t>
      </w:r>
    </w:p>
    <w:p>
      <w:pPr>
        <w:pStyle w:val="133"/>
        <w:keepNext w:val="0"/>
        <w:keepLines w:val="0"/>
        <w:pageBreakBefore w:val="0"/>
        <w:widowControl w:val="0"/>
        <w:kinsoku/>
        <w:wordWrap/>
        <w:overflowPunct/>
        <w:topLinePunct w:val="0"/>
        <w:bidi w:val="0"/>
        <w:adjustRightInd/>
        <w:snapToGrid/>
        <w:textAlignment w:val="auto"/>
        <w:rPr>
          <w:color w:val="auto"/>
          <w:highlight w:val="none"/>
        </w:rPr>
      </w:pPr>
      <w:r>
        <w:rPr>
          <w:rFonts w:hint="eastAsia"/>
          <w:color w:val="auto"/>
          <w:highlight w:val="none"/>
        </w:rPr>
        <w:t>活动场所可容纳的人员数量以及活动预计参加人数；</w:t>
      </w:r>
    </w:p>
    <w:p>
      <w:pPr>
        <w:pStyle w:val="133"/>
        <w:keepNext w:val="0"/>
        <w:keepLines w:val="0"/>
        <w:pageBreakBefore w:val="0"/>
        <w:widowControl w:val="0"/>
        <w:kinsoku/>
        <w:wordWrap/>
        <w:overflowPunct/>
        <w:topLinePunct w:val="0"/>
        <w:bidi w:val="0"/>
        <w:adjustRightInd/>
        <w:snapToGrid/>
        <w:textAlignment w:val="auto"/>
        <w:rPr>
          <w:color w:val="auto"/>
          <w:highlight w:val="none"/>
        </w:rPr>
      </w:pPr>
      <w:r>
        <w:rPr>
          <w:rFonts w:hint="eastAsia"/>
          <w:color w:val="auto"/>
          <w:highlight w:val="none"/>
        </w:rPr>
        <w:t>治安缓冲区域的设定及其标识；</w:t>
      </w:r>
    </w:p>
    <w:p>
      <w:pPr>
        <w:pStyle w:val="133"/>
        <w:keepNext w:val="0"/>
        <w:keepLines w:val="0"/>
        <w:pageBreakBefore w:val="0"/>
        <w:widowControl w:val="0"/>
        <w:kinsoku/>
        <w:wordWrap/>
        <w:overflowPunct/>
        <w:topLinePunct w:val="0"/>
        <w:bidi w:val="0"/>
        <w:adjustRightInd/>
        <w:snapToGrid/>
        <w:textAlignment w:val="auto"/>
        <w:rPr>
          <w:color w:val="auto"/>
          <w:highlight w:val="none"/>
        </w:rPr>
      </w:pPr>
      <w:r>
        <w:rPr>
          <w:rFonts w:hint="eastAsia"/>
          <w:color w:val="auto"/>
          <w:highlight w:val="none"/>
        </w:rPr>
        <w:t>入场人员的票证查验和安全检查措施；</w:t>
      </w:r>
    </w:p>
    <w:p>
      <w:pPr>
        <w:pStyle w:val="133"/>
        <w:keepNext w:val="0"/>
        <w:keepLines w:val="0"/>
        <w:pageBreakBefore w:val="0"/>
        <w:widowControl w:val="0"/>
        <w:kinsoku/>
        <w:wordWrap/>
        <w:overflowPunct/>
        <w:topLinePunct w:val="0"/>
        <w:bidi w:val="0"/>
        <w:adjustRightInd/>
        <w:snapToGrid/>
        <w:textAlignment w:val="auto"/>
        <w:rPr>
          <w:color w:val="auto"/>
          <w:highlight w:val="none"/>
        </w:rPr>
      </w:pPr>
      <w:r>
        <w:rPr>
          <w:rFonts w:hint="eastAsia"/>
          <w:color w:val="auto"/>
          <w:highlight w:val="none"/>
        </w:rPr>
        <w:t>车辆停放、疏导措施；</w:t>
      </w:r>
    </w:p>
    <w:p>
      <w:pPr>
        <w:pStyle w:val="133"/>
        <w:keepNext w:val="0"/>
        <w:keepLines w:val="0"/>
        <w:pageBreakBefore w:val="0"/>
        <w:widowControl w:val="0"/>
        <w:kinsoku/>
        <w:wordWrap/>
        <w:overflowPunct/>
        <w:topLinePunct w:val="0"/>
        <w:bidi w:val="0"/>
        <w:adjustRightInd/>
        <w:snapToGrid/>
        <w:textAlignment w:val="auto"/>
        <w:rPr>
          <w:color w:val="auto"/>
          <w:highlight w:val="none"/>
        </w:rPr>
      </w:pPr>
      <w:r>
        <w:rPr>
          <w:rFonts w:hint="eastAsia"/>
          <w:color w:val="auto"/>
          <w:highlight w:val="none"/>
        </w:rPr>
        <w:t>现场秩序维护、人员疏导措施；</w:t>
      </w:r>
    </w:p>
    <w:p>
      <w:pPr>
        <w:pStyle w:val="133"/>
        <w:keepNext w:val="0"/>
        <w:keepLines w:val="0"/>
        <w:pageBreakBefore w:val="0"/>
        <w:widowControl w:val="0"/>
        <w:kinsoku/>
        <w:wordWrap/>
        <w:overflowPunct/>
        <w:topLinePunct w:val="0"/>
        <w:bidi w:val="0"/>
        <w:adjustRightInd/>
        <w:snapToGrid/>
        <w:textAlignment w:val="auto"/>
        <w:rPr>
          <w:color w:val="auto"/>
          <w:highlight w:val="none"/>
        </w:rPr>
      </w:pPr>
      <w:r>
        <w:rPr>
          <w:rFonts w:hint="eastAsia"/>
          <w:color w:val="auto"/>
          <w:highlight w:val="none"/>
        </w:rPr>
        <w:t>应急救援预案。</w:t>
      </w:r>
    </w:p>
    <w:p>
      <w:pPr>
        <w:pStyle w:val="163"/>
        <w:keepNext w:val="0"/>
        <w:keepLines w:val="0"/>
        <w:pageBreakBefore w:val="0"/>
        <w:widowControl w:val="0"/>
        <w:kinsoku/>
        <w:wordWrap/>
        <w:overflowPunct/>
        <w:topLinePunct w:val="0"/>
        <w:bidi w:val="0"/>
        <w:adjustRightInd/>
        <w:snapToGrid/>
        <w:textAlignment w:val="auto"/>
        <w:rPr>
          <w:color w:val="auto"/>
          <w:highlight w:val="none"/>
        </w:rPr>
      </w:pPr>
      <w:r>
        <w:rPr>
          <w:rFonts w:hint="eastAsia"/>
          <w:color w:val="auto"/>
          <w:highlight w:val="none"/>
        </w:rPr>
        <w:t>大型群众性活动使用票证的，安全工作方案还应包括票证样本、管理方案及查验票证的措施；大型群众性活动采取安检措施的，安全工作方案还应包括按照相应安全风险等级制定的安检方案。</w:t>
      </w:r>
    </w:p>
    <w:p>
      <w:pPr>
        <w:pStyle w:val="163"/>
        <w:keepNext w:val="0"/>
        <w:keepLines w:val="0"/>
        <w:pageBreakBefore w:val="0"/>
        <w:widowControl w:val="0"/>
        <w:kinsoku/>
        <w:wordWrap/>
        <w:overflowPunct/>
        <w:topLinePunct w:val="0"/>
        <w:bidi w:val="0"/>
        <w:adjustRightInd/>
        <w:snapToGrid/>
        <w:textAlignment w:val="auto"/>
        <w:rPr>
          <w:color w:val="auto"/>
          <w:highlight w:val="none"/>
        </w:rPr>
      </w:pPr>
      <w:r>
        <w:rPr>
          <w:rFonts w:hint="eastAsia"/>
          <w:color w:val="auto"/>
          <w:highlight w:val="none"/>
        </w:rPr>
        <w:t>大型群众性活动的预计参加人数在1000人以上5000人以下的，由活动所在地县级人民政府公安机关实施安全许可；预计参加人数在5000人以上的，由活动所在地设区的市级人民政府公安机关或者直辖市人民政府公安机关实施安全许可；跨省、自治区、直辖市举办大型群众性活动的，由国务院公安部门实施安全许可。</w:t>
      </w:r>
    </w:p>
    <w:p>
      <w:pPr>
        <w:pStyle w:val="163"/>
        <w:keepNext w:val="0"/>
        <w:keepLines w:val="0"/>
        <w:pageBreakBefore w:val="0"/>
        <w:widowControl w:val="0"/>
        <w:kinsoku/>
        <w:wordWrap/>
        <w:overflowPunct/>
        <w:topLinePunct w:val="0"/>
        <w:bidi w:val="0"/>
        <w:adjustRightInd/>
        <w:snapToGrid/>
        <w:textAlignment w:val="auto"/>
        <w:rPr>
          <w:color w:val="auto"/>
          <w:highlight w:val="none"/>
        </w:rPr>
      </w:pPr>
      <w:r>
        <w:rPr>
          <w:rFonts w:hint="eastAsia"/>
          <w:color w:val="auto"/>
          <w:highlight w:val="none"/>
          <w:lang w:val="en-US" w:eastAsia="zh-CN"/>
        </w:rPr>
        <w:t>演唱会、音乐会等文艺活动应报相关管理部门取得演出许可证。</w:t>
      </w:r>
    </w:p>
    <w:p>
      <w:pPr>
        <w:pStyle w:val="163"/>
        <w:keepNext w:val="0"/>
        <w:keepLines w:val="0"/>
        <w:pageBreakBefore w:val="0"/>
        <w:widowControl w:val="0"/>
        <w:kinsoku/>
        <w:wordWrap/>
        <w:overflowPunct/>
        <w:topLinePunct w:val="0"/>
        <w:bidi w:val="0"/>
        <w:adjustRightInd/>
        <w:snapToGrid/>
        <w:textAlignment w:val="auto"/>
        <w:rPr>
          <w:color w:val="auto"/>
          <w:highlight w:val="none"/>
        </w:rPr>
      </w:pPr>
      <w:r>
        <w:rPr>
          <w:rFonts w:hint="eastAsia"/>
          <w:color w:val="auto"/>
          <w:highlight w:val="none"/>
        </w:rPr>
        <w:t>承办者应在活动举办日的20日前提出安全许可申请，申请时，应提交下列材料：</w:t>
      </w:r>
    </w:p>
    <w:p>
      <w:pPr>
        <w:pStyle w:val="133"/>
        <w:keepNext w:val="0"/>
        <w:keepLines w:val="0"/>
        <w:pageBreakBefore w:val="0"/>
        <w:widowControl w:val="0"/>
        <w:kinsoku/>
        <w:wordWrap/>
        <w:overflowPunct/>
        <w:topLinePunct w:val="0"/>
        <w:bidi w:val="0"/>
        <w:adjustRightInd/>
        <w:snapToGrid/>
        <w:textAlignment w:val="auto"/>
        <w:rPr>
          <w:color w:val="auto"/>
          <w:highlight w:val="none"/>
        </w:rPr>
      </w:pPr>
      <w:r>
        <w:rPr>
          <w:rFonts w:hint="eastAsia"/>
          <w:color w:val="auto"/>
          <w:highlight w:val="none"/>
        </w:rPr>
        <w:t>大型群众性活动安全许可申请表；</w:t>
      </w:r>
    </w:p>
    <w:p>
      <w:pPr>
        <w:pStyle w:val="133"/>
        <w:keepNext w:val="0"/>
        <w:keepLines w:val="0"/>
        <w:pageBreakBefore w:val="0"/>
        <w:widowControl w:val="0"/>
        <w:kinsoku/>
        <w:wordWrap/>
        <w:overflowPunct/>
        <w:topLinePunct w:val="0"/>
        <w:bidi w:val="0"/>
        <w:adjustRightInd/>
        <w:snapToGrid/>
        <w:textAlignment w:val="auto"/>
        <w:rPr>
          <w:color w:val="auto"/>
          <w:highlight w:val="none"/>
        </w:rPr>
      </w:pPr>
      <w:r>
        <w:rPr>
          <w:rFonts w:hint="eastAsia"/>
          <w:color w:val="auto"/>
          <w:highlight w:val="none"/>
        </w:rPr>
        <w:t>承办者合法成立的证明以及安全责任人的身份证明；</w:t>
      </w:r>
    </w:p>
    <w:p>
      <w:pPr>
        <w:pStyle w:val="133"/>
        <w:keepNext w:val="0"/>
        <w:keepLines w:val="0"/>
        <w:pageBreakBefore w:val="0"/>
        <w:widowControl w:val="0"/>
        <w:kinsoku/>
        <w:wordWrap/>
        <w:overflowPunct/>
        <w:topLinePunct w:val="0"/>
        <w:bidi w:val="0"/>
        <w:adjustRightInd/>
        <w:snapToGrid/>
        <w:textAlignment w:val="auto"/>
        <w:rPr>
          <w:color w:val="auto"/>
          <w:highlight w:val="none"/>
        </w:rPr>
      </w:pPr>
      <w:r>
        <w:rPr>
          <w:rFonts w:hint="eastAsia"/>
          <w:color w:val="auto"/>
          <w:highlight w:val="none"/>
        </w:rPr>
        <w:t>大型群众性活动方案及其说明，2个或者2个以上承办者共同承办大型群众性活动的，还应提交联合承办的协议；</w:t>
      </w:r>
    </w:p>
    <w:p>
      <w:pPr>
        <w:pStyle w:val="133"/>
        <w:keepNext w:val="0"/>
        <w:keepLines w:val="0"/>
        <w:pageBreakBefore w:val="0"/>
        <w:widowControl w:val="0"/>
        <w:kinsoku/>
        <w:wordWrap/>
        <w:overflowPunct/>
        <w:topLinePunct w:val="0"/>
        <w:bidi w:val="0"/>
        <w:adjustRightInd/>
        <w:snapToGrid/>
        <w:textAlignment w:val="auto"/>
        <w:rPr>
          <w:color w:val="auto"/>
          <w:highlight w:val="none"/>
        </w:rPr>
      </w:pPr>
      <w:r>
        <w:rPr>
          <w:rFonts w:hint="eastAsia"/>
          <w:color w:val="auto"/>
          <w:highlight w:val="none"/>
        </w:rPr>
        <w:t>大型群众性活动安全工作方案；</w:t>
      </w:r>
    </w:p>
    <w:p>
      <w:pPr>
        <w:pStyle w:val="133"/>
        <w:keepNext w:val="0"/>
        <w:keepLines w:val="0"/>
        <w:pageBreakBefore w:val="0"/>
        <w:widowControl w:val="0"/>
        <w:kinsoku/>
        <w:wordWrap/>
        <w:overflowPunct/>
        <w:topLinePunct w:val="0"/>
        <w:bidi w:val="0"/>
        <w:adjustRightInd/>
        <w:snapToGrid/>
        <w:textAlignment w:val="auto"/>
        <w:rPr>
          <w:color w:val="auto"/>
          <w:highlight w:val="none"/>
        </w:rPr>
      </w:pPr>
      <w:r>
        <w:rPr>
          <w:rFonts w:hint="eastAsia"/>
          <w:color w:val="auto"/>
          <w:highlight w:val="none"/>
        </w:rPr>
        <w:t>大型群众性活动安全风险评估报告；</w:t>
      </w:r>
    </w:p>
    <w:p>
      <w:pPr>
        <w:pStyle w:val="133"/>
        <w:keepNext w:val="0"/>
        <w:keepLines w:val="0"/>
        <w:pageBreakBefore w:val="0"/>
        <w:widowControl w:val="0"/>
        <w:kinsoku/>
        <w:wordWrap/>
        <w:overflowPunct/>
        <w:topLinePunct w:val="0"/>
        <w:bidi w:val="0"/>
        <w:adjustRightInd/>
        <w:snapToGrid/>
        <w:textAlignment w:val="auto"/>
        <w:rPr>
          <w:color w:val="auto"/>
          <w:highlight w:val="none"/>
        </w:rPr>
      </w:pPr>
      <w:r>
        <w:rPr>
          <w:rFonts w:hint="eastAsia"/>
          <w:color w:val="auto"/>
          <w:highlight w:val="none"/>
        </w:rPr>
        <w:t>活动场所管理者同意提供活动场所的证明，包含但不限于场地使用许可证明、租场协议、安全责任书等。</w:t>
      </w:r>
    </w:p>
    <w:p>
      <w:pPr>
        <w:pStyle w:val="133"/>
        <w:keepNext w:val="0"/>
        <w:keepLines w:val="0"/>
        <w:pageBreakBefore w:val="0"/>
        <w:widowControl w:val="0"/>
        <w:kinsoku/>
        <w:wordWrap/>
        <w:overflowPunct/>
        <w:topLinePunct w:val="0"/>
        <w:bidi w:val="0"/>
        <w:adjustRightInd/>
        <w:snapToGrid/>
        <w:textAlignment w:val="auto"/>
        <w:rPr>
          <w:color w:val="auto"/>
          <w:highlight w:val="none"/>
        </w:rPr>
      </w:pPr>
      <w:r>
        <w:rPr>
          <w:rFonts w:hint="eastAsia"/>
          <w:color w:val="auto"/>
          <w:highlight w:val="none"/>
        </w:rPr>
        <w:t>依照法律、行政法规的规定，有关主管部门对大型群众性活动的承办者有资质、资格要求的，还应提交有关资质、资格证明。</w:t>
      </w:r>
    </w:p>
    <w:p>
      <w:pPr>
        <w:pStyle w:val="163"/>
        <w:keepNext w:val="0"/>
        <w:keepLines w:val="0"/>
        <w:pageBreakBefore w:val="0"/>
        <w:widowControl w:val="0"/>
        <w:kinsoku/>
        <w:wordWrap/>
        <w:overflowPunct/>
        <w:topLinePunct w:val="0"/>
        <w:bidi w:val="0"/>
        <w:adjustRightInd/>
        <w:snapToGrid/>
        <w:textAlignment w:val="auto"/>
        <w:rPr>
          <w:color w:val="auto"/>
          <w:highlight w:val="none"/>
        </w:rPr>
      </w:pPr>
      <w:r>
        <w:rPr>
          <w:rFonts w:hint="eastAsia"/>
          <w:color w:val="auto"/>
          <w:highlight w:val="none"/>
        </w:rPr>
        <w:t>对经安全许可的大型群众性活动，承办者不得擅自变更活动的时间、地点、内容或者扩大大型群众性活动的举办规模。</w:t>
      </w:r>
      <w:r>
        <w:rPr>
          <w:rFonts w:hint="eastAsia"/>
          <w:color w:val="auto"/>
          <w:highlight w:val="none"/>
          <w:lang w:val="en-US" w:eastAsia="zh-CN"/>
        </w:rPr>
        <w:t>确需变更的，须报</w:t>
      </w:r>
      <w:r>
        <w:rPr>
          <w:rFonts w:hint="eastAsia"/>
          <w:color w:val="auto"/>
          <w:highlight w:val="none"/>
        </w:rPr>
        <w:t>经公安机关</w:t>
      </w:r>
      <w:r>
        <w:rPr>
          <w:rFonts w:hint="eastAsia"/>
          <w:color w:val="auto"/>
          <w:highlight w:val="none"/>
          <w:lang w:val="en-US" w:eastAsia="zh-CN"/>
        </w:rPr>
        <w:t>等相关职能部门</w:t>
      </w:r>
      <w:r>
        <w:rPr>
          <w:rFonts w:hint="eastAsia"/>
          <w:color w:val="auto"/>
          <w:highlight w:val="none"/>
        </w:rPr>
        <w:t>同意</w:t>
      </w:r>
      <w:r>
        <w:rPr>
          <w:rFonts w:hint="eastAsia"/>
          <w:color w:val="auto"/>
          <w:highlight w:val="none"/>
          <w:lang w:eastAsia="zh-CN"/>
        </w:rPr>
        <w:t>。</w:t>
      </w:r>
    </w:p>
    <w:bookmarkEnd w:id="63"/>
    <w:bookmarkEnd w:id="64"/>
    <w:p>
      <w:pPr>
        <w:pStyle w:val="105"/>
        <w:keepNext w:val="0"/>
        <w:keepLines w:val="0"/>
        <w:pageBreakBefore w:val="0"/>
        <w:widowControl w:val="0"/>
        <w:kinsoku/>
        <w:wordWrap/>
        <w:overflowPunct/>
        <w:topLinePunct w:val="0"/>
        <w:bidi w:val="0"/>
        <w:adjustRightInd/>
        <w:snapToGrid/>
        <w:spacing w:before="312" w:after="312"/>
        <w:textAlignment w:val="auto"/>
        <w:rPr>
          <w:rFonts w:hint="default"/>
          <w:color w:val="auto"/>
          <w:highlight w:val="none"/>
          <w:lang w:val="en-US"/>
        </w:rPr>
      </w:pPr>
      <w:bookmarkStart w:id="69" w:name="_Toc4068"/>
      <w:r>
        <w:rPr>
          <w:rFonts w:hint="eastAsia"/>
          <w:color w:val="auto"/>
          <w:highlight w:val="none"/>
          <w:lang w:val="en-US" w:eastAsia="zh-CN"/>
        </w:rPr>
        <w:t>安全检查</w:t>
      </w:r>
      <w:bookmarkEnd w:id="69"/>
    </w:p>
    <w:p>
      <w:pPr>
        <w:pStyle w:val="163"/>
        <w:keepNext w:val="0"/>
        <w:keepLines w:val="0"/>
        <w:pageBreakBefore w:val="0"/>
        <w:widowControl w:val="0"/>
        <w:kinsoku/>
        <w:wordWrap/>
        <w:overflowPunct/>
        <w:topLinePunct w:val="0"/>
        <w:bidi w:val="0"/>
        <w:adjustRightInd/>
        <w:snapToGrid/>
        <w:textAlignment w:val="auto"/>
        <w:rPr>
          <w:rFonts w:hint="eastAsia"/>
          <w:color w:val="auto"/>
          <w:highlight w:val="none"/>
          <w:lang w:val="en-US" w:eastAsia="zh-CN"/>
        </w:rPr>
      </w:pPr>
      <w:r>
        <w:rPr>
          <w:rFonts w:hint="eastAsia"/>
          <w:color w:val="auto"/>
          <w:highlight w:val="none"/>
          <w:lang w:val="en-US" w:eastAsia="zh-CN"/>
        </w:rPr>
        <w:t>体育场馆管理者和承办者应参加由公安、消防、交管等部门召开的安保协调会，参加公安消防部门组织的场地布置、舞台搭建等检查验收工作。</w:t>
      </w:r>
      <w:r>
        <w:rPr>
          <w:rFonts w:hint="eastAsia" w:ascii="宋体" w:hAnsi="Times New Roman" w:eastAsia="宋体" w:cs="Times New Roman"/>
          <w:color w:val="auto"/>
          <w:kern w:val="0"/>
          <w:sz w:val="21"/>
          <w:highlight w:val="none"/>
          <w:lang w:val="en-US" w:eastAsia="zh-CN" w:bidi="ar-SA"/>
        </w:rPr>
        <w:t>需开展卫生健康防疫监测检查的，</w:t>
      </w:r>
      <w:r>
        <w:rPr>
          <w:rFonts w:hint="eastAsia" w:cs="Times New Roman"/>
          <w:color w:val="auto"/>
          <w:kern w:val="0"/>
          <w:sz w:val="21"/>
          <w:highlight w:val="none"/>
          <w:lang w:val="en-US" w:eastAsia="zh-CN" w:bidi="ar-SA"/>
        </w:rPr>
        <w:t>应</w:t>
      </w:r>
      <w:r>
        <w:rPr>
          <w:rFonts w:hint="eastAsia" w:ascii="宋体" w:hAnsi="Times New Roman" w:eastAsia="宋体" w:cs="Times New Roman"/>
          <w:color w:val="auto"/>
          <w:kern w:val="0"/>
          <w:sz w:val="21"/>
          <w:highlight w:val="none"/>
          <w:lang w:val="en-US" w:eastAsia="zh-CN" w:bidi="ar-SA"/>
        </w:rPr>
        <w:t>在卫生健康部门指导下开展。</w:t>
      </w:r>
    </w:p>
    <w:p>
      <w:pPr>
        <w:pStyle w:val="163"/>
        <w:keepNext w:val="0"/>
        <w:keepLines w:val="0"/>
        <w:pageBreakBefore w:val="0"/>
        <w:widowControl w:val="0"/>
        <w:kinsoku/>
        <w:wordWrap/>
        <w:overflowPunct/>
        <w:topLinePunct w:val="0"/>
        <w:bidi w:val="0"/>
        <w:adjustRightInd/>
        <w:snapToGrid/>
        <w:textAlignment w:val="auto"/>
        <w:rPr>
          <w:rFonts w:hint="eastAsia"/>
          <w:color w:val="auto"/>
          <w:highlight w:val="none"/>
          <w:lang w:val="en-US" w:eastAsia="zh-CN"/>
        </w:rPr>
      </w:pPr>
      <w:r>
        <w:rPr>
          <w:rFonts w:hint="eastAsia"/>
          <w:color w:val="auto"/>
          <w:highlight w:val="none"/>
          <w:lang w:val="en-US" w:eastAsia="zh-CN"/>
        </w:rPr>
        <w:t>实施安全检查的承办者或其委托的第三方机构应具有相关安全检查资质，所属安检人员应经过专业安检培训，持证上岗。</w:t>
      </w:r>
    </w:p>
    <w:p>
      <w:pPr>
        <w:pStyle w:val="163"/>
        <w:keepNext w:val="0"/>
        <w:keepLines w:val="0"/>
        <w:pageBreakBefore w:val="0"/>
        <w:widowControl w:val="0"/>
        <w:kinsoku/>
        <w:wordWrap/>
        <w:overflowPunct/>
        <w:topLinePunct w:val="0"/>
        <w:bidi w:val="0"/>
        <w:adjustRightInd/>
        <w:snapToGrid/>
        <w:textAlignment w:val="auto"/>
        <w:rPr>
          <w:rFonts w:hint="eastAsia"/>
          <w:color w:val="auto"/>
          <w:highlight w:val="none"/>
          <w:lang w:val="en-US" w:eastAsia="zh-CN"/>
        </w:rPr>
      </w:pPr>
      <w:r>
        <w:rPr>
          <w:rFonts w:hint="eastAsia"/>
          <w:color w:val="auto"/>
          <w:highlight w:val="none"/>
          <w:lang w:val="en-US" w:eastAsia="zh-CN"/>
        </w:rPr>
        <w:t>承办者应明示活动禁带、限带物品目录；禁带物品目录应符合公安机关的相关规定，根据活动安全需要，承办者可自行确定限带物品目录。禁带、限带物品目录示例参见GA/T 1459-2018附录A。</w:t>
      </w:r>
    </w:p>
    <w:p>
      <w:pPr>
        <w:pStyle w:val="163"/>
        <w:keepNext w:val="0"/>
        <w:keepLines w:val="0"/>
        <w:pageBreakBefore w:val="0"/>
        <w:widowControl w:val="0"/>
        <w:kinsoku/>
        <w:wordWrap/>
        <w:overflowPunct/>
        <w:topLinePunct w:val="0"/>
        <w:bidi w:val="0"/>
        <w:adjustRightInd/>
        <w:snapToGrid/>
        <w:textAlignment w:val="auto"/>
        <w:rPr>
          <w:rFonts w:hint="eastAsia"/>
          <w:color w:val="auto"/>
          <w:highlight w:val="none"/>
          <w:lang w:val="en-US" w:eastAsia="zh-CN"/>
        </w:rPr>
      </w:pPr>
      <w:r>
        <w:rPr>
          <w:rFonts w:hint="eastAsia"/>
          <w:color w:val="auto"/>
          <w:highlight w:val="none"/>
          <w:lang w:val="en-US" w:eastAsia="zh-CN"/>
        </w:rPr>
        <w:t>承办者应划定安检通道和区域，设立分层次入场检查点，设置相应标识和用于控制人群的硬质隔离护栏，对安检区域实行封闭管理。</w:t>
      </w:r>
    </w:p>
    <w:p>
      <w:pPr>
        <w:pStyle w:val="163"/>
        <w:keepNext w:val="0"/>
        <w:keepLines w:val="0"/>
        <w:pageBreakBefore w:val="0"/>
        <w:widowControl w:val="0"/>
        <w:kinsoku/>
        <w:wordWrap/>
        <w:overflowPunct/>
        <w:topLinePunct w:val="0"/>
        <w:bidi w:val="0"/>
        <w:adjustRightInd/>
        <w:snapToGrid/>
        <w:textAlignment w:val="auto"/>
        <w:rPr>
          <w:rFonts w:hint="eastAsia"/>
          <w:color w:val="auto"/>
          <w:highlight w:val="none"/>
          <w:lang w:val="en-US" w:eastAsia="zh-CN"/>
        </w:rPr>
      </w:pPr>
      <w:r>
        <w:rPr>
          <w:rFonts w:hint="eastAsia"/>
          <w:color w:val="auto"/>
          <w:highlight w:val="none"/>
          <w:lang w:val="en-US" w:eastAsia="zh-CN"/>
        </w:rPr>
        <w:t>承办者应加强对观众身份证明的核实，采用扫描二维码、智能门禁系统等电子验证手段核实票务信息，防止冒领、伪造、复制等非法行为。</w:t>
      </w:r>
    </w:p>
    <w:p>
      <w:pPr>
        <w:pStyle w:val="163"/>
        <w:keepNext w:val="0"/>
        <w:keepLines w:val="0"/>
        <w:pageBreakBefore w:val="0"/>
        <w:widowControl w:val="0"/>
        <w:kinsoku/>
        <w:wordWrap/>
        <w:overflowPunct/>
        <w:topLinePunct w:val="0"/>
        <w:bidi w:val="0"/>
        <w:adjustRightInd/>
        <w:snapToGrid/>
        <w:textAlignment w:val="auto"/>
        <w:rPr>
          <w:color w:val="auto"/>
          <w:highlight w:val="none"/>
        </w:rPr>
      </w:pPr>
      <w:r>
        <w:rPr>
          <w:rFonts w:hint="eastAsia"/>
          <w:color w:val="auto"/>
          <w:highlight w:val="none"/>
          <w:lang w:val="en-US" w:eastAsia="zh-CN"/>
        </w:rPr>
        <w:t>承办者应在安检过程体现人性化服务，</w:t>
      </w:r>
      <w:r>
        <w:rPr>
          <w:rFonts w:hint="eastAsia"/>
          <w:color w:val="auto"/>
          <w:highlight w:val="none"/>
        </w:rPr>
        <w:t>为乘坐轮椅、安装假肢或者体内植入医疗器械等伤残人员，设置专门的安检通道和场所</w:t>
      </w:r>
      <w:r>
        <w:rPr>
          <w:rFonts w:hint="eastAsia"/>
          <w:color w:val="auto"/>
          <w:highlight w:val="none"/>
          <w:lang w:eastAsia="zh-CN"/>
        </w:rPr>
        <w:t>。</w:t>
      </w:r>
      <w:r>
        <w:rPr>
          <w:rFonts w:hint="eastAsia"/>
          <w:color w:val="auto"/>
          <w:highlight w:val="none"/>
        </w:rPr>
        <w:t>对女性进行人身安检应当由女性工作人员检查，对受检人员，应当尊重其宗教信仰和民族习惯</w:t>
      </w:r>
      <w:r>
        <w:rPr>
          <w:rFonts w:hint="eastAsia"/>
          <w:color w:val="auto"/>
          <w:highlight w:val="none"/>
          <w:lang w:eastAsia="zh-CN"/>
        </w:rPr>
        <w:t>。</w:t>
      </w:r>
    </w:p>
    <w:p>
      <w:pPr>
        <w:pStyle w:val="163"/>
        <w:keepNext w:val="0"/>
        <w:keepLines w:val="0"/>
        <w:pageBreakBefore w:val="0"/>
        <w:widowControl w:val="0"/>
        <w:kinsoku/>
        <w:wordWrap/>
        <w:overflowPunct/>
        <w:topLinePunct w:val="0"/>
        <w:bidi w:val="0"/>
        <w:adjustRightInd/>
        <w:snapToGrid/>
        <w:textAlignment w:val="auto"/>
        <w:rPr>
          <w:rFonts w:hint="default"/>
          <w:color w:val="auto"/>
          <w:highlight w:val="none"/>
          <w:lang w:val="en-US"/>
        </w:rPr>
      </w:pPr>
      <w:r>
        <w:rPr>
          <w:rFonts w:hint="eastAsia"/>
          <w:color w:val="auto"/>
          <w:highlight w:val="none"/>
          <w:lang w:val="en-US" w:eastAsia="zh-CN"/>
        </w:rPr>
        <w:t>车辆安全检查流程应符合GA/T 1459-2018，8.2的相关要求。</w:t>
      </w:r>
    </w:p>
    <w:p>
      <w:pPr>
        <w:pStyle w:val="105"/>
        <w:keepNext w:val="0"/>
        <w:keepLines w:val="0"/>
        <w:pageBreakBefore w:val="0"/>
        <w:widowControl w:val="0"/>
        <w:kinsoku/>
        <w:wordWrap/>
        <w:overflowPunct/>
        <w:topLinePunct w:val="0"/>
        <w:bidi w:val="0"/>
        <w:adjustRightInd/>
        <w:snapToGrid/>
        <w:spacing w:before="312" w:after="312"/>
        <w:textAlignment w:val="auto"/>
        <w:rPr>
          <w:rFonts w:hint="default"/>
          <w:color w:val="auto"/>
          <w:highlight w:val="none"/>
          <w:lang w:val="en-US"/>
        </w:rPr>
      </w:pPr>
      <w:bookmarkStart w:id="70" w:name="_Toc21871"/>
      <w:r>
        <w:rPr>
          <w:rFonts w:hint="eastAsia"/>
          <w:color w:val="auto"/>
          <w:highlight w:val="none"/>
          <w:lang w:val="en-US" w:eastAsia="zh-CN"/>
        </w:rPr>
        <w:t>现场管理</w:t>
      </w:r>
      <w:bookmarkEnd w:id="70"/>
    </w:p>
    <w:p>
      <w:pPr>
        <w:pStyle w:val="163"/>
        <w:keepNext w:val="0"/>
        <w:keepLines w:val="0"/>
        <w:pageBreakBefore w:val="0"/>
        <w:widowControl w:val="0"/>
        <w:kinsoku/>
        <w:wordWrap/>
        <w:overflowPunct/>
        <w:topLinePunct w:val="0"/>
        <w:autoSpaceDE/>
        <w:autoSpaceDN/>
        <w:bidi w:val="0"/>
        <w:adjustRightInd/>
        <w:snapToGrid/>
        <w:spacing w:before="0" w:beforeLines="0" w:after="0" w:afterLines="0" w:line="360" w:lineRule="auto"/>
        <w:textAlignment w:val="auto"/>
        <w:rPr>
          <w:rFonts w:hint="eastAsia" w:ascii="黑体" w:hAnsi="黑体" w:eastAsia="黑体" w:cs="黑体"/>
          <w:b w:val="0"/>
          <w:bCs w:val="0"/>
          <w:color w:val="auto"/>
          <w:highlight w:val="none"/>
        </w:rPr>
      </w:pPr>
      <w:r>
        <w:rPr>
          <w:rFonts w:hint="eastAsia" w:ascii="黑体" w:hAnsi="黑体" w:eastAsia="黑体" w:cs="黑体"/>
          <w:b w:val="0"/>
          <w:bCs w:val="0"/>
          <w:color w:val="auto"/>
          <w:highlight w:val="none"/>
          <w:lang w:val="en-US" w:eastAsia="zh-CN"/>
        </w:rPr>
        <w:t>消防</w:t>
      </w:r>
    </w:p>
    <w:p>
      <w:pPr>
        <w:pStyle w:val="66"/>
        <w:keepNext w:val="0"/>
        <w:keepLines w:val="0"/>
        <w:pageBreakBefore w:val="0"/>
        <w:widowControl w:val="0"/>
        <w:kinsoku/>
        <w:wordWrap/>
        <w:overflowPunct/>
        <w:topLinePunct w:val="0"/>
        <w:autoSpaceDE/>
        <w:autoSpaceDN/>
        <w:bidi w:val="0"/>
        <w:adjustRightInd/>
        <w:snapToGrid/>
        <w:spacing w:before="0" w:beforeLines="0" w:after="0" w:afterLines="0"/>
        <w:textAlignment w:val="auto"/>
        <w:rPr>
          <w:rFonts w:hint="eastAsia"/>
          <w:color w:val="auto"/>
          <w:highlight w:val="none"/>
        </w:rPr>
      </w:pPr>
      <w:r>
        <w:rPr>
          <w:rFonts w:hint="eastAsia" w:ascii="宋体" w:hAnsi="宋体" w:eastAsia="宋体" w:cs="宋体"/>
          <w:color w:val="auto"/>
          <w:highlight w:val="none"/>
          <w:lang w:val="en-US" w:eastAsia="zh-CN"/>
        </w:rPr>
        <w:t>坚持“预防为主、防消结合”的工作方针，履行消防安全职责，制定消防安全制度、操作规程等，应明确消防安全责任人及各级、各岗位消防安全管理人员</w:t>
      </w:r>
      <w:r>
        <w:rPr>
          <w:rFonts w:hint="eastAsia" w:ascii="宋体" w:hAnsi="宋体" w:eastAsia="宋体" w:cs="宋体"/>
          <w:color w:val="auto"/>
          <w:highlight w:val="none"/>
          <w:lang w:eastAsia="zh-CN"/>
        </w:rPr>
        <w:t>。</w:t>
      </w:r>
    </w:p>
    <w:p>
      <w:pPr>
        <w:pStyle w:val="66"/>
        <w:keepNext w:val="0"/>
        <w:keepLines w:val="0"/>
        <w:pageBreakBefore w:val="0"/>
        <w:widowControl w:val="0"/>
        <w:kinsoku/>
        <w:wordWrap/>
        <w:overflowPunct/>
        <w:topLinePunct w:val="0"/>
        <w:autoSpaceDE/>
        <w:autoSpaceDN/>
        <w:bidi w:val="0"/>
        <w:adjustRightInd/>
        <w:snapToGrid/>
        <w:spacing w:before="0" w:beforeLines="0" w:after="0" w:afterLines="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场馆管理者应对大型活动开展消防安全检查，督促承办者落实消防安全职责和消防安全要求。</w:t>
      </w:r>
    </w:p>
    <w:p>
      <w:pPr>
        <w:pStyle w:val="66"/>
        <w:keepNext w:val="0"/>
        <w:keepLines w:val="0"/>
        <w:pageBreakBefore w:val="0"/>
        <w:widowControl w:val="0"/>
        <w:kinsoku/>
        <w:wordWrap/>
        <w:overflowPunct/>
        <w:topLinePunct w:val="0"/>
        <w:autoSpaceDE/>
        <w:autoSpaceDN/>
        <w:bidi w:val="0"/>
        <w:adjustRightInd/>
        <w:snapToGrid/>
        <w:spacing w:before="0" w:beforeLines="0" w:after="0" w:afterLines="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承办者应按照GB/T 38315-2019的要求制定灭火和应急疏散预案，在活动前组织演练培训。</w:t>
      </w:r>
    </w:p>
    <w:p>
      <w:pPr>
        <w:pStyle w:val="66"/>
        <w:keepNext w:val="0"/>
        <w:keepLines w:val="0"/>
        <w:pageBreakBefore w:val="0"/>
        <w:widowControl w:val="0"/>
        <w:kinsoku/>
        <w:wordWrap/>
        <w:overflowPunct/>
        <w:topLinePunct w:val="0"/>
        <w:autoSpaceDE/>
        <w:autoSpaceDN/>
        <w:bidi w:val="0"/>
        <w:adjustRightInd/>
        <w:snapToGrid/>
        <w:spacing w:before="0" w:beforeLines="0" w:after="0" w:afterLines="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场馆管理者和活动承办者的消防安全管理人应当具备与其职责相适应的消防安全知识和管理能力，具备引导疏散和扑救初起火灾的能力。</w:t>
      </w:r>
    </w:p>
    <w:p>
      <w:pPr>
        <w:pStyle w:val="66"/>
        <w:keepNext w:val="0"/>
        <w:keepLines w:val="0"/>
        <w:pageBreakBefore w:val="0"/>
        <w:widowControl w:val="0"/>
        <w:kinsoku/>
        <w:wordWrap/>
        <w:overflowPunct/>
        <w:topLinePunct w:val="0"/>
        <w:autoSpaceDE/>
        <w:autoSpaceDN/>
        <w:bidi w:val="0"/>
        <w:adjustRightInd/>
        <w:snapToGrid/>
        <w:spacing w:before="0" w:beforeLines="0" w:after="0" w:afterLines="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承办者如需动火作业，应提供消防部门同意函和批文，并明确作业现场负责人和动火作业监督人。</w:t>
      </w:r>
    </w:p>
    <w:p>
      <w:pPr>
        <w:pStyle w:val="66"/>
        <w:keepNext w:val="0"/>
        <w:keepLines w:val="0"/>
        <w:pageBreakBefore w:val="0"/>
        <w:widowControl w:val="0"/>
        <w:kinsoku/>
        <w:wordWrap/>
        <w:overflowPunct/>
        <w:topLinePunct w:val="0"/>
        <w:autoSpaceDE/>
        <w:autoSpaceDN/>
        <w:bidi w:val="0"/>
        <w:adjustRightInd/>
        <w:snapToGrid/>
        <w:spacing w:before="0" w:beforeLines="0" w:after="0" w:afterLines="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各类临时建筑物以及各类供电、信号转播车辆不应遮挡和堵塞各处消火栓、消防器材、出入口通道、疏散通道和应急安全出口。</w:t>
      </w:r>
    </w:p>
    <w:p>
      <w:pPr>
        <w:pStyle w:val="66"/>
        <w:keepNext w:val="0"/>
        <w:keepLines w:val="0"/>
        <w:pageBreakBefore w:val="0"/>
        <w:widowControl w:val="0"/>
        <w:kinsoku/>
        <w:wordWrap/>
        <w:overflowPunct/>
        <w:topLinePunct w:val="0"/>
        <w:autoSpaceDE/>
        <w:autoSpaceDN/>
        <w:bidi w:val="0"/>
        <w:adjustRightInd/>
        <w:snapToGrid/>
        <w:spacing w:before="0" w:beforeLines="0" w:after="0" w:afterLines="0"/>
        <w:textAlignment w:val="auto"/>
        <w:rPr>
          <w:rFonts w:hint="eastAsia"/>
          <w:color w:val="auto"/>
          <w:lang w:val="en-US" w:eastAsia="zh-CN"/>
        </w:rPr>
      </w:pPr>
      <w:r>
        <w:rPr>
          <w:rFonts w:hint="eastAsia" w:ascii="宋体" w:hAnsi="宋体" w:eastAsia="宋体" w:cs="宋体"/>
          <w:color w:val="auto"/>
          <w:highlight w:val="none"/>
          <w:lang w:val="en-US" w:eastAsia="zh-CN"/>
        </w:rPr>
        <w:t>各类临时建筑物不应使用可燃性材料，确有需要应进行防火阻燃处理，在出具消防检测合格报告后方可使用。</w:t>
      </w:r>
    </w:p>
    <w:p>
      <w:pPr>
        <w:pStyle w:val="163"/>
        <w:keepNext w:val="0"/>
        <w:keepLines w:val="0"/>
        <w:pageBreakBefore w:val="0"/>
        <w:widowControl w:val="0"/>
        <w:kinsoku/>
        <w:wordWrap/>
        <w:overflowPunct/>
        <w:topLinePunct w:val="0"/>
        <w:autoSpaceDE/>
        <w:autoSpaceDN/>
        <w:bidi w:val="0"/>
        <w:adjustRightInd/>
        <w:snapToGrid/>
        <w:spacing w:before="0" w:beforeLines="0" w:after="0" w:afterLines="0" w:line="360" w:lineRule="auto"/>
        <w:textAlignment w:val="auto"/>
        <w:rPr>
          <w:rFonts w:hint="eastAsia" w:ascii="黑体" w:hAnsi="黑体" w:eastAsia="黑体" w:cs="黑体"/>
          <w:b w:val="0"/>
          <w:bCs w:val="0"/>
          <w:color w:val="auto"/>
          <w:highlight w:val="none"/>
          <w:lang w:val="en-US" w:eastAsia="zh-CN"/>
        </w:rPr>
      </w:pPr>
      <w:r>
        <w:rPr>
          <w:rFonts w:hint="eastAsia" w:ascii="黑体" w:hAnsi="黑体" w:eastAsia="黑体" w:cs="黑体"/>
          <w:b w:val="0"/>
          <w:bCs w:val="0"/>
          <w:color w:val="auto"/>
          <w:highlight w:val="none"/>
          <w:lang w:val="en-US" w:eastAsia="zh-CN"/>
        </w:rPr>
        <w:t>反恐怖防范</w:t>
      </w:r>
    </w:p>
    <w:p>
      <w:pPr>
        <w:pStyle w:val="66"/>
        <w:keepNext w:val="0"/>
        <w:keepLines w:val="0"/>
        <w:pageBreakBefore w:val="0"/>
        <w:widowControl w:val="0"/>
        <w:kinsoku/>
        <w:wordWrap/>
        <w:overflowPunct/>
        <w:topLinePunct w:val="0"/>
        <w:autoSpaceDE/>
        <w:autoSpaceDN/>
        <w:bidi w:val="0"/>
        <w:adjustRightInd/>
        <w:snapToGrid/>
        <w:spacing w:before="0" w:beforeLines="0" w:after="0" w:afterLines="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承办者应明确反恐怖防范所对应的人防、物防、技防和制度防等内容。</w:t>
      </w:r>
    </w:p>
    <w:p>
      <w:pPr>
        <w:pStyle w:val="66"/>
        <w:keepNext w:val="0"/>
        <w:keepLines w:val="0"/>
        <w:pageBreakBefore w:val="0"/>
        <w:widowControl w:val="0"/>
        <w:kinsoku/>
        <w:wordWrap/>
        <w:overflowPunct/>
        <w:topLinePunct w:val="0"/>
        <w:autoSpaceDE/>
        <w:autoSpaceDN/>
        <w:bidi w:val="0"/>
        <w:adjustRightInd/>
        <w:snapToGrid/>
        <w:spacing w:before="0" w:beforeLines="0" w:after="0" w:afterLines="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应根据GB/T 33170.5-2016要求，设置相应的安保组织，明确常态安保力量人数、工作任务和重要岗位。</w:t>
      </w:r>
    </w:p>
    <w:p>
      <w:pPr>
        <w:pStyle w:val="66"/>
        <w:keepNext w:val="0"/>
        <w:keepLines w:val="0"/>
        <w:pageBreakBefore w:val="0"/>
        <w:widowControl w:val="0"/>
        <w:kinsoku/>
        <w:wordWrap/>
        <w:overflowPunct/>
        <w:topLinePunct w:val="0"/>
        <w:autoSpaceDE/>
        <w:autoSpaceDN/>
        <w:bidi w:val="0"/>
        <w:adjustRightInd/>
        <w:snapToGrid/>
        <w:spacing w:before="0" w:beforeLines="0" w:after="0" w:afterLines="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应建立实体防护设施、个人应急防护装备、公共应急防护装备和设施等，加强对主要出入口、停车场、隔离区等重点部位的防护设施设置。</w:t>
      </w:r>
    </w:p>
    <w:p>
      <w:pPr>
        <w:pStyle w:val="66"/>
        <w:keepNext w:val="0"/>
        <w:keepLines w:val="0"/>
        <w:pageBreakBefore w:val="0"/>
        <w:widowControl w:val="0"/>
        <w:kinsoku/>
        <w:wordWrap/>
        <w:overflowPunct/>
        <w:topLinePunct w:val="0"/>
        <w:autoSpaceDE/>
        <w:autoSpaceDN/>
        <w:bidi w:val="0"/>
        <w:adjustRightInd/>
        <w:snapToGrid/>
        <w:spacing w:before="0" w:beforeLines="0" w:after="0" w:afterLines="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应加强技术防范，技防系统建设应满足GB 50348-2018中技防设备设施的相关规定，供电应符合GB/T 15408-2011的相关要求，安防监控中心应符合GB/T 2887-2011的相关要求。</w:t>
      </w:r>
    </w:p>
    <w:p>
      <w:pPr>
        <w:pStyle w:val="66"/>
        <w:keepNext w:val="0"/>
        <w:keepLines w:val="0"/>
        <w:pageBreakBefore w:val="0"/>
        <w:widowControl w:val="0"/>
        <w:kinsoku/>
        <w:wordWrap/>
        <w:overflowPunct/>
        <w:topLinePunct w:val="0"/>
        <w:autoSpaceDE/>
        <w:autoSpaceDN/>
        <w:bidi w:val="0"/>
        <w:adjustRightInd/>
        <w:snapToGrid/>
        <w:spacing w:before="0" w:beforeLines="0" w:after="0" w:afterLines="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应加强制度防范，建立管理标准、工作标准和技术标准。</w:t>
      </w:r>
    </w:p>
    <w:p>
      <w:pPr>
        <w:pStyle w:val="163"/>
        <w:keepNext w:val="0"/>
        <w:keepLines w:val="0"/>
        <w:pageBreakBefore w:val="0"/>
        <w:widowControl w:val="0"/>
        <w:kinsoku/>
        <w:wordWrap/>
        <w:overflowPunct/>
        <w:topLinePunct w:val="0"/>
        <w:autoSpaceDE/>
        <w:autoSpaceDN/>
        <w:bidi w:val="0"/>
        <w:adjustRightInd/>
        <w:snapToGrid/>
        <w:spacing w:before="0" w:beforeLines="0" w:after="0" w:afterLines="0" w:line="360" w:lineRule="auto"/>
        <w:textAlignment w:val="auto"/>
        <w:rPr>
          <w:rFonts w:hint="eastAsia" w:ascii="黑体" w:hAnsi="黑体" w:eastAsia="黑体" w:cs="黑体"/>
          <w:b w:val="0"/>
          <w:bCs w:val="0"/>
          <w:color w:val="auto"/>
          <w:highlight w:val="none"/>
          <w:lang w:val="en-US" w:eastAsia="zh-CN"/>
        </w:rPr>
      </w:pPr>
      <w:r>
        <w:rPr>
          <w:rFonts w:hint="eastAsia" w:ascii="黑体" w:hAnsi="黑体" w:eastAsia="黑体" w:cs="黑体"/>
          <w:b w:val="0"/>
          <w:bCs w:val="0"/>
          <w:color w:val="auto"/>
          <w:highlight w:val="none"/>
          <w:lang w:val="en-US" w:eastAsia="zh-CN"/>
        </w:rPr>
        <w:t>临时舞台、看台搭建</w:t>
      </w:r>
    </w:p>
    <w:p>
      <w:pPr>
        <w:pStyle w:val="66"/>
        <w:keepNext w:val="0"/>
        <w:keepLines w:val="0"/>
        <w:pageBreakBefore w:val="0"/>
        <w:widowControl w:val="0"/>
        <w:kinsoku/>
        <w:wordWrap/>
        <w:overflowPunct/>
        <w:topLinePunct w:val="0"/>
        <w:autoSpaceDE/>
        <w:autoSpaceDN/>
        <w:bidi w:val="0"/>
        <w:adjustRightInd/>
        <w:snapToGrid/>
        <w:spacing w:before="0" w:beforeLines="0" w:after="0" w:afterLines="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临时搭建舞台安全技术应符合GB/T 36731-2018中5.2～5.6的要求。</w:t>
      </w:r>
    </w:p>
    <w:p>
      <w:pPr>
        <w:pStyle w:val="66"/>
        <w:keepNext w:val="0"/>
        <w:keepLines w:val="0"/>
        <w:pageBreakBefore w:val="0"/>
        <w:widowControl w:val="0"/>
        <w:kinsoku/>
        <w:wordWrap/>
        <w:overflowPunct/>
        <w:topLinePunct w:val="0"/>
        <w:autoSpaceDE/>
        <w:autoSpaceDN/>
        <w:bidi w:val="0"/>
        <w:adjustRightInd/>
        <w:snapToGrid/>
        <w:spacing w:before="0" w:beforeLines="0" w:after="0" w:afterLines="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临时搭建看台安全技术应符合GB/T 36731-2018第5章要求，工艺安全应符合GB/T 36731-2018中6.2的要求，座位数量及走道宽度应符合GB 50016-2014的规定。</w:t>
      </w:r>
    </w:p>
    <w:p>
      <w:pPr>
        <w:pStyle w:val="66"/>
        <w:keepNext w:val="0"/>
        <w:keepLines w:val="0"/>
        <w:pageBreakBefore w:val="0"/>
        <w:widowControl w:val="0"/>
        <w:kinsoku/>
        <w:wordWrap/>
        <w:overflowPunct/>
        <w:topLinePunct w:val="0"/>
        <w:autoSpaceDE/>
        <w:autoSpaceDN/>
        <w:bidi w:val="0"/>
        <w:adjustRightInd/>
        <w:snapToGrid/>
        <w:spacing w:before="0" w:beforeLines="0" w:after="0" w:afterLines="0"/>
        <w:textAlignment w:val="auto"/>
        <w:rPr>
          <w:rFonts w:hint="eastAsia"/>
          <w:b/>
          <w:bCs/>
          <w:color w:val="auto"/>
          <w:highlight w:val="none"/>
          <w:lang w:val="en-US" w:eastAsia="zh-CN"/>
        </w:rPr>
      </w:pPr>
      <w:r>
        <w:rPr>
          <w:rFonts w:hint="eastAsia" w:ascii="宋体" w:hAnsi="宋体" w:eastAsia="宋体" w:cs="宋体"/>
          <w:color w:val="auto"/>
          <w:highlight w:val="none"/>
          <w:lang w:val="en-US" w:eastAsia="zh-CN"/>
        </w:rPr>
        <w:t>从事临时搭建舞台、看台施工的企业应具备专业施工能力并符合市场准入资格，舞台专业技术岗位应按照从业能力持证上岗。</w:t>
      </w:r>
    </w:p>
    <w:p>
      <w:pPr>
        <w:pStyle w:val="66"/>
        <w:keepNext w:val="0"/>
        <w:keepLines w:val="0"/>
        <w:pageBreakBefore w:val="0"/>
        <w:widowControl w:val="0"/>
        <w:kinsoku/>
        <w:wordWrap/>
        <w:overflowPunct/>
        <w:topLinePunct w:val="0"/>
        <w:autoSpaceDE/>
        <w:autoSpaceDN/>
        <w:bidi w:val="0"/>
        <w:adjustRightInd/>
        <w:snapToGrid/>
        <w:spacing w:before="0" w:beforeLines="0" w:after="0" w:afterLines="0"/>
        <w:textAlignment w:val="auto"/>
        <w:rPr>
          <w:rFonts w:hint="eastAsia"/>
          <w:b/>
          <w:bCs/>
          <w:color w:val="auto"/>
          <w:highlight w:val="none"/>
          <w:lang w:val="en-US" w:eastAsia="zh-CN"/>
        </w:rPr>
      </w:pPr>
      <w:r>
        <w:rPr>
          <w:rFonts w:hint="eastAsia" w:ascii="宋体" w:hAnsi="宋体" w:eastAsia="宋体" w:cs="宋体"/>
          <w:color w:val="auto"/>
          <w:highlight w:val="none"/>
          <w:lang w:val="en-US" w:eastAsia="zh-CN"/>
        </w:rPr>
        <w:t>临时搭建舞台、看台施工过程，承办者应聘请第三方专业机构进行安全检验检测。检测机构应经过行业管理机构认证。</w:t>
      </w:r>
    </w:p>
    <w:p>
      <w:pPr>
        <w:pStyle w:val="163"/>
        <w:keepNext w:val="0"/>
        <w:keepLines w:val="0"/>
        <w:pageBreakBefore w:val="0"/>
        <w:widowControl w:val="0"/>
        <w:kinsoku/>
        <w:wordWrap/>
        <w:overflowPunct/>
        <w:topLinePunct w:val="0"/>
        <w:autoSpaceDE/>
        <w:autoSpaceDN/>
        <w:bidi w:val="0"/>
        <w:adjustRightInd/>
        <w:snapToGrid/>
        <w:spacing w:before="0" w:beforeLines="0" w:after="0" w:afterLines="0" w:line="360" w:lineRule="auto"/>
        <w:textAlignment w:val="auto"/>
        <w:rPr>
          <w:rFonts w:hint="eastAsia" w:ascii="黑体" w:hAnsi="黑体" w:eastAsia="黑体" w:cs="黑体"/>
          <w:b w:val="0"/>
          <w:bCs w:val="0"/>
          <w:color w:val="auto"/>
          <w:highlight w:val="none"/>
          <w:lang w:val="en-US" w:eastAsia="zh-CN"/>
        </w:rPr>
      </w:pPr>
      <w:r>
        <w:rPr>
          <w:rFonts w:hint="eastAsia" w:ascii="黑体" w:hAnsi="黑体" w:eastAsia="黑体" w:cs="黑体"/>
          <w:b w:val="0"/>
          <w:bCs w:val="0"/>
          <w:color w:val="auto"/>
          <w:highlight w:val="none"/>
          <w:lang w:val="en-US" w:eastAsia="zh-CN"/>
        </w:rPr>
        <w:t>交通</w:t>
      </w:r>
    </w:p>
    <w:p>
      <w:pPr>
        <w:pStyle w:val="66"/>
        <w:keepNext w:val="0"/>
        <w:keepLines w:val="0"/>
        <w:pageBreakBefore w:val="0"/>
        <w:widowControl w:val="0"/>
        <w:kinsoku/>
        <w:wordWrap/>
        <w:overflowPunct/>
        <w:topLinePunct w:val="0"/>
        <w:autoSpaceDE/>
        <w:autoSpaceDN/>
        <w:bidi w:val="0"/>
        <w:adjustRightInd/>
        <w:snapToGrid/>
        <w:spacing w:before="0" w:beforeLines="0" w:after="0" w:afterLines="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体育场馆管理者宜通过自有官方平台发布大型活动出行提示，鼓励观众使用公共交通工具。</w:t>
      </w:r>
    </w:p>
    <w:p>
      <w:pPr>
        <w:pStyle w:val="66"/>
        <w:keepNext w:val="0"/>
        <w:keepLines w:val="0"/>
        <w:pageBreakBefore w:val="0"/>
        <w:widowControl w:val="0"/>
        <w:kinsoku/>
        <w:wordWrap/>
        <w:overflowPunct/>
        <w:topLinePunct w:val="0"/>
        <w:autoSpaceDE/>
        <w:autoSpaceDN/>
        <w:bidi w:val="0"/>
        <w:adjustRightInd/>
        <w:snapToGrid/>
        <w:spacing w:before="0" w:beforeLines="0" w:after="0" w:afterLines="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活动现场应设置交通路线指引导向标识，实行人车分流，并保留紧急救援通道。应按照交管部门要求实行临时管制，安排足额的专业人员现场指挥、疏导。</w:t>
      </w:r>
    </w:p>
    <w:p>
      <w:pPr>
        <w:pStyle w:val="163"/>
        <w:keepNext w:val="0"/>
        <w:keepLines w:val="0"/>
        <w:pageBreakBefore w:val="0"/>
        <w:widowControl w:val="0"/>
        <w:kinsoku/>
        <w:wordWrap/>
        <w:overflowPunct/>
        <w:topLinePunct w:val="0"/>
        <w:autoSpaceDE/>
        <w:autoSpaceDN/>
        <w:bidi w:val="0"/>
        <w:adjustRightInd/>
        <w:snapToGrid/>
        <w:spacing w:before="0" w:beforeLines="0" w:after="0" w:afterLines="0" w:line="360" w:lineRule="auto"/>
        <w:textAlignment w:val="auto"/>
        <w:rPr>
          <w:rFonts w:hint="eastAsia" w:ascii="黑体" w:hAnsi="黑体" w:eastAsia="黑体" w:cs="黑体"/>
          <w:b w:val="0"/>
          <w:bCs w:val="0"/>
          <w:color w:val="auto"/>
          <w:highlight w:val="none"/>
          <w:lang w:val="en-US" w:eastAsia="zh-CN"/>
        </w:rPr>
      </w:pPr>
      <w:r>
        <w:rPr>
          <w:rFonts w:hint="eastAsia" w:ascii="黑体" w:hAnsi="黑体" w:eastAsia="黑体" w:cs="黑体"/>
          <w:b w:val="0"/>
          <w:bCs w:val="0"/>
          <w:color w:val="auto"/>
          <w:highlight w:val="none"/>
          <w:lang w:val="en-US" w:eastAsia="zh-CN"/>
        </w:rPr>
        <w:t>观众</w:t>
      </w:r>
    </w:p>
    <w:p>
      <w:pPr>
        <w:pStyle w:val="66"/>
        <w:keepNext w:val="0"/>
        <w:keepLines w:val="0"/>
        <w:pageBreakBefore w:val="0"/>
        <w:widowControl w:val="0"/>
        <w:kinsoku/>
        <w:wordWrap/>
        <w:overflowPunct/>
        <w:topLinePunct w:val="0"/>
        <w:autoSpaceDE/>
        <w:autoSpaceDN/>
        <w:bidi w:val="0"/>
        <w:adjustRightInd/>
        <w:snapToGrid/>
        <w:spacing w:before="0" w:beforeLines="0" w:after="0" w:afterLines="0"/>
        <w:textAlignment w:val="auto"/>
        <w:rPr>
          <w:rFonts w:hint="eastAsia"/>
          <w:color w:val="auto"/>
          <w:lang w:val="en-US" w:eastAsia="zh-CN"/>
        </w:rPr>
      </w:pPr>
      <w:r>
        <w:rPr>
          <w:rFonts w:hint="eastAsia" w:ascii="宋体" w:hAnsi="Times New Roman" w:eastAsia="宋体" w:cs="Times New Roman"/>
          <w:color w:val="auto"/>
          <w:sz w:val="21"/>
          <w:highlight w:val="none"/>
          <w:lang w:val="en-US" w:eastAsia="zh-CN" w:bidi="ar-SA"/>
        </w:rPr>
        <w:t>承办者发现进入活动场所的人员达到核准数量时，应当立即停止验票，做好秩序维护，开展处置工作，</w:t>
      </w:r>
      <w:r>
        <w:rPr>
          <w:rFonts w:hint="eastAsia" w:ascii="宋体" w:eastAsia="宋体" w:cs="Times New Roman"/>
          <w:color w:val="auto"/>
          <w:sz w:val="21"/>
          <w:highlight w:val="none"/>
          <w:lang w:val="en-US" w:eastAsia="zh-CN" w:bidi="ar-SA"/>
        </w:rPr>
        <w:t>并</w:t>
      </w:r>
      <w:r>
        <w:rPr>
          <w:rFonts w:hint="eastAsia" w:ascii="宋体" w:hAnsi="Times New Roman" w:eastAsia="宋体" w:cs="Times New Roman"/>
          <w:color w:val="auto"/>
          <w:sz w:val="21"/>
          <w:highlight w:val="none"/>
          <w:lang w:val="en-US" w:eastAsia="zh-CN" w:bidi="ar-SA"/>
        </w:rPr>
        <w:t>报告公安机关</w:t>
      </w:r>
      <w:r>
        <w:rPr>
          <w:rFonts w:hint="eastAsia" w:ascii="宋体" w:eastAsia="宋体" w:cs="Times New Roman"/>
          <w:color w:val="auto"/>
          <w:sz w:val="21"/>
          <w:highlight w:val="none"/>
          <w:lang w:val="en-US" w:eastAsia="zh-CN" w:bidi="ar-SA"/>
        </w:rPr>
        <w:t>。</w:t>
      </w:r>
    </w:p>
    <w:p>
      <w:pPr>
        <w:pStyle w:val="66"/>
        <w:keepNext w:val="0"/>
        <w:keepLines w:val="0"/>
        <w:pageBreakBefore w:val="0"/>
        <w:widowControl w:val="0"/>
        <w:kinsoku/>
        <w:wordWrap/>
        <w:overflowPunct/>
        <w:topLinePunct w:val="0"/>
        <w:autoSpaceDE/>
        <w:autoSpaceDN/>
        <w:bidi w:val="0"/>
        <w:adjustRightInd/>
        <w:snapToGrid/>
        <w:spacing w:before="0" w:beforeLines="0" w:after="0" w:afterLines="0"/>
        <w:textAlignment w:val="auto"/>
        <w:rPr>
          <w:color w:val="auto"/>
          <w:highlight w:val="none"/>
        </w:rPr>
      </w:pPr>
      <w:r>
        <w:rPr>
          <w:rFonts w:hint="eastAsia" w:ascii="宋体" w:eastAsia="宋体" w:cs="Times New Roman"/>
          <w:color w:val="auto"/>
          <w:sz w:val="21"/>
          <w:highlight w:val="none"/>
          <w:lang w:val="en-US" w:eastAsia="zh-CN" w:bidi="ar-SA"/>
        </w:rPr>
        <w:t>承办者</w:t>
      </w:r>
      <w:r>
        <w:rPr>
          <w:rFonts w:hint="eastAsia" w:ascii="宋体" w:hAnsi="Times New Roman" w:eastAsia="宋体" w:cs="Times New Roman"/>
          <w:color w:val="auto"/>
          <w:sz w:val="21"/>
          <w:highlight w:val="none"/>
          <w:lang w:val="en-US" w:eastAsia="zh-CN" w:bidi="ar-SA"/>
        </w:rPr>
        <w:t>发现持有划定区域以外的门票或者持假票</w:t>
      </w:r>
      <w:r>
        <w:rPr>
          <w:rFonts w:hint="eastAsia" w:ascii="宋体" w:eastAsia="宋体" w:cs="Times New Roman"/>
          <w:color w:val="auto"/>
          <w:sz w:val="21"/>
          <w:highlight w:val="none"/>
          <w:lang w:val="en-US" w:eastAsia="zh-CN" w:bidi="ar-SA"/>
        </w:rPr>
        <w:t>假证</w:t>
      </w:r>
      <w:r>
        <w:rPr>
          <w:rFonts w:hint="eastAsia" w:ascii="宋体" w:hAnsi="Times New Roman" w:eastAsia="宋体" w:cs="Times New Roman"/>
          <w:color w:val="auto"/>
          <w:sz w:val="21"/>
          <w:highlight w:val="none"/>
          <w:lang w:val="en-US" w:eastAsia="zh-CN" w:bidi="ar-SA"/>
        </w:rPr>
        <w:t>的人员，应当拒绝其入场</w:t>
      </w:r>
      <w:r>
        <w:rPr>
          <w:rFonts w:hint="eastAsia" w:ascii="宋体" w:eastAsia="宋体" w:cs="Times New Roman"/>
          <w:color w:val="auto"/>
          <w:sz w:val="21"/>
          <w:highlight w:val="none"/>
          <w:lang w:val="en-US" w:eastAsia="zh-CN" w:bidi="ar-SA"/>
        </w:rPr>
        <w:t>。对于发现假票假证的，应</w:t>
      </w:r>
      <w:r>
        <w:rPr>
          <w:rFonts w:hint="eastAsia" w:ascii="宋体" w:hAnsi="Times New Roman" w:eastAsia="宋体" w:cs="Times New Roman"/>
          <w:color w:val="auto"/>
          <w:sz w:val="21"/>
          <w:highlight w:val="none"/>
          <w:lang w:val="en-US" w:eastAsia="zh-CN" w:bidi="ar-SA"/>
        </w:rPr>
        <w:t>向活动现场的公安机关工作人员报告</w:t>
      </w:r>
      <w:r>
        <w:rPr>
          <w:rFonts w:hint="eastAsia" w:ascii="宋体" w:eastAsia="宋体" w:cs="Times New Roman"/>
          <w:color w:val="auto"/>
          <w:sz w:val="21"/>
          <w:highlight w:val="none"/>
          <w:lang w:val="en-US" w:eastAsia="zh-CN" w:bidi="ar-SA"/>
        </w:rPr>
        <w:t>。</w:t>
      </w:r>
    </w:p>
    <w:p>
      <w:pPr>
        <w:pStyle w:val="66"/>
        <w:keepNext w:val="0"/>
        <w:keepLines w:val="0"/>
        <w:pageBreakBefore w:val="0"/>
        <w:widowControl w:val="0"/>
        <w:kinsoku/>
        <w:wordWrap/>
        <w:overflowPunct/>
        <w:topLinePunct w:val="0"/>
        <w:autoSpaceDE/>
        <w:autoSpaceDN/>
        <w:bidi w:val="0"/>
        <w:adjustRightInd/>
        <w:snapToGrid/>
        <w:spacing w:before="0" w:beforeLines="0" w:after="0" w:afterLines="0"/>
        <w:textAlignment w:val="auto"/>
        <w:rPr>
          <w:rFonts w:hint="eastAsia" w:ascii="宋体" w:eastAsia="宋体" w:cs="Times New Roman"/>
          <w:color w:val="auto"/>
          <w:sz w:val="21"/>
          <w:highlight w:val="none"/>
          <w:lang w:val="en-US" w:eastAsia="zh-CN" w:bidi="ar-SA"/>
        </w:rPr>
      </w:pPr>
      <w:r>
        <w:rPr>
          <w:rFonts w:hint="eastAsia" w:ascii="宋体" w:eastAsia="宋体" w:cs="Times New Roman"/>
          <w:color w:val="auto"/>
          <w:sz w:val="21"/>
          <w:highlight w:val="none"/>
          <w:lang w:val="en-US" w:eastAsia="zh-CN" w:bidi="ar-SA"/>
        </w:rPr>
        <w:t>大型群众性活动工作人员应引导观众遵守法律、法规和社会公德，遵守大型群众性活动场所治安、消防等管理制度。</w:t>
      </w:r>
    </w:p>
    <w:p>
      <w:pPr>
        <w:pStyle w:val="66"/>
        <w:keepNext w:val="0"/>
        <w:keepLines w:val="0"/>
        <w:pageBreakBefore w:val="0"/>
        <w:widowControl w:val="0"/>
        <w:kinsoku/>
        <w:wordWrap/>
        <w:overflowPunct/>
        <w:topLinePunct w:val="0"/>
        <w:autoSpaceDE/>
        <w:autoSpaceDN/>
        <w:bidi w:val="0"/>
        <w:adjustRightInd/>
        <w:snapToGrid/>
        <w:spacing w:before="0" w:beforeLines="0" w:after="0" w:afterLines="0"/>
        <w:textAlignment w:val="auto"/>
        <w:rPr>
          <w:rFonts w:hint="eastAsia" w:ascii="宋体" w:eastAsia="宋体" w:cs="Times New Roman"/>
          <w:color w:val="auto"/>
          <w:sz w:val="21"/>
          <w:highlight w:val="none"/>
          <w:lang w:val="en-US" w:eastAsia="zh-CN" w:bidi="ar-SA"/>
        </w:rPr>
      </w:pPr>
      <w:r>
        <w:rPr>
          <w:rFonts w:hint="eastAsia" w:ascii="宋体" w:eastAsia="宋体" w:cs="Times New Roman"/>
          <w:color w:val="auto"/>
          <w:sz w:val="21"/>
          <w:highlight w:val="none"/>
          <w:lang w:val="en-US" w:eastAsia="zh-CN" w:bidi="ar-SA"/>
        </w:rPr>
        <w:t>大型群众性活动工作人员应引导观众服从安全管理，文明观赛观演，不得展示侮辱性标语、条幅等物品，不得围攻辱骂</w:t>
      </w:r>
      <w:bookmarkStart w:id="80" w:name="_GoBack"/>
      <w:bookmarkEnd w:id="80"/>
      <w:r>
        <w:rPr>
          <w:rFonts w:hint="eastAsia" w:ascii="宋体" w:eastAsia="宋体" w:cs="Times New Roman"/>
          <w:color w:val="auto"/>
          <w:sz w:val="21"/>
          <w:highlight w:val="none"/>
          <w:lang w:val="en-US" w:eastAsia="zh-CN" w:bidi="ar-SA"/>
        </w:rPr>
        <w:t>裁判员、运动员或其他工作人员，不得投掷杂物。</w:t>
      </w:r>
    </w:p>
    <w:p>
      <w:pPr>
        <w:pStyle w:val="66"/>
        <w:keepNext w:val="0"/>
        <w:keepLines w:val="0"/>
        <w:pageBreakBefore w:val="0"/>
        <w:widowControl w:val="0"/>
        <w:kinsoku/>
        <w:wordWrap/>
        <w:overflowPunct/>
        <w:topLinePunct w:val="0"/>
        <w:autoSpaceDE/>
        <w:autoSpaceDN/>
        <w:bidi w:val="0"/>
        <w:adjustRightInd/>
        <w:snapToGrid/>
        <w:spacing w:before="0" w:beforeLines="0" w:after="0" w:afterLines="0"/>
        <w:textAlignment w:val="auto"/>
        <w:rPr>
          <w:rFonts w:hint="eastAsia" w:ascii="宋体" w:eastAsia="宋体" w:cs="Times New Roman"/>
          <w:color w:val="auto"/>
          <w:sz w:val="21"/>
          <w:highlight w:val="none"/>
          <w:lang w:val="en-US" w:eastAsia="zh-CN" w:bidi="ar-SA"/>
        </w:rPr>
      </w:pPr>
      <w:r>
        <w:rPr>
          <w:rFonts w:hint="eastAsia" w:ascii="宋体" w:eastAsia="宋体" w:cs="Times New Roman"/>
          <w:color w:val="auto"/>
          <w:sz w:val="21"/>
          <w:highlight w:val="none"/>
          <w:lang w:val="en-US" w:eastAsia="zh-CN" w:bidi="ar-SA"/>
        </w:rPr>
        <w:t>体育场馆管理者应在活动开场前和结束后，提前开启电子屏及音控系统，播报活动安全须知。</w:t>
      </w:r>
    </w:p>
    <w:p>
      <w:pPr>
        <w:pStyle w:val="163"/>
        <w:keepNext w:val="0"/>
        <w:keepLines w:val="0"/>
        <w:pageBreakBefore w:val="0"/>
        <w:widowControl w:val="0"/>
        <w:kinsoku/>
        <w:wordWrap/>
        <w:overflowPunct/>
        <w:topLinePunct w:val="0"/>
        <w:autoSpaceDE/>
        <w:autoSpaceDN/>
        <w:bidi w:val="0"/>
        <w:adjustRightInd/>
        <w:snapToGrid/>
        <w:spacing w:before="0" w:beforeLines="0" w:after="0" w:afterLines="0" w:line="360" w:lineRule="auto"/>
        <w:textAlignment w:val="auto"/>
        <w:rPr>
          <w:rFonts w:hint="eastAsia" w:ascii="黑体" w:hAnsi="黑体" w:eastAsia="黑体" w:cs="黑体"/>
          <w:b w:val="0"/>
          <w:bCs w:val="0"/>
          <w:color w:val="auto"/>
          <w:highlight w:val="none"/>
          <w:lang w:val="en-US" w:eastAsia="zh-CN"/>
        </w:rPr>
      </w:pPr>
      <w:r>
        <w:rPr>
          <w:rFonts w:hint="eastAsia" w:ascii="黑体" w:hAnsi="黑体" w:eastAsia="黑体" w:cs="黑体"/>
          <w:b w:val="0"/>
          <w:bCs w:val="0"/>
          <w:color w:val="auto"/>
          <w:highlight w:val="none"/>
          <w:lang w:val="en-US" w:eastAsia="zh-CN"/>
        </w:rPr>
        <w:t>餐饮</w:t>
      </w:r>
    </w:p>
    <w:p>
      <w:pPr>
        <w:pStyle w:val="66"/>
        <w:keepNext w:val="0"/>
        <w:keepLines w:val="0"/>
        <w:pageBreakBefore w:val="0"/>
        <w:widowControl w:val="0"/>
        <w:kinsoku/>
        <w:wordWrap/>
        <w:overflowPunct/>
        <w:topLinePunct w:val="0"/>
        <w:autoSpaceDE/>
        <w:autoSpaceDN/>
        <w:bidi w:val="0"/>
        <w:adjustRightInd/>
        <w:snapToGrid/>
        <w:spacing w:before="0" w:beforeLines="0" w:after="0" w:afterLines="0"/>
        <w:textAlignment w:val="auto"/>
        <w:rPr>
          <w:rFonts w:hint="eastAsia" w:ascii="宋体" w:hAnsi="宋体" w:eastAsia="宋体" w:cs="宋体"/>
          <w:color w:val="auto"/>
          <w:highlight w:val="none"/>
          <w:lang w:val="en-US" w:eastAsia="zh-CN"/>
        </w:rPr>
      </w:pPr>
      <w:r>
        <w:rPr>
          <w:rFonts w:hint="eastAsia" w:ascii="宋体" w:eastAsia="宋体" w:cs="Times New Roman"/>
          <w:color w:val="auto"/>
          <w:sz w:val="21"/>
          <w:highlight w:val="none"/>
          <w:lang w:val="en-US" w:eastAsia="zh-CN" w:bidi="ar-SA"/>
        </w:rPr>
        <w:t>承办者</w:t>
      </w:r>
      <w:r>
        <w:rPr>
          <w:rFonts w:hint="eastAsia" w:ascii="宋体" w:hAnsi="Times New Roman" w:eastAsia="宋体" w:cs="Times New Roman"/>
          <w:color w:val="auto"/>
          <w:sz w:val="21"/>
          <w:highlight w:val="none"/>
          <w:lang w:val="en-US" w:eastAsia="zh-CN" w:bidi="ar-SA"/>
        </w:rPr>
        <w:t>应审查餐饮服务提供者相关资质，签订协议明确双方有关食品安全的权利和义务</w:t>
      </w:r>
      <w:r>
        <w:rPr>
          <w:rFonts w:hint="eastAsia" w:ascii="宋体" w:eastAsia="宋体" w:cs="Times New Roman"/>
          <w:color w:val="auto"/>
          <w:sz w:val="21"/>
          <w:highlight w:val="none"/>
          <w:lang w:val="en-US" w:eastAsia="zh-CN" w:bidi="ar-SA"/>
        </w:rPr>
        <w:t>。</w:t>
      </w:r>
    </w:p>
    <w:p>
      <w:pPr>
        <w:pStyle w:val="66"/>
        <w:keepNext w:val="0"/>
        <w:keepLines w:val="0"/>
        <w:pageBreakBefore w:val="0"/>
        <w:widowControl w:val="0"/>
        <w:kinsoku/>
        <w:wordWrap/>
        <w:overflowPunct/>
        <w:topLinePunct w:val="0"/>
        <w:autoSpaceDE/>
        <w:autoSpaceDN/>
        <w:bidi w:val="0"/>
        <w:adjustRightInd/>
        <w:snapToGrid/>
        <w:spacing w:before="0" w:beforeLines="0" w:after="0" w:afterLines="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活动现场有配套便民售卖服务的，售卖商家应具备相应资质，所售物品须合法、合规，并经活动承办者及体育场馆管理者准允，方可入场。</w:t>
      </w:r>
    </w:p>
    <w:p>
      <w:pPr>
        <w:pStyle w:val="163"/>
        <w:keepNext w:val="0"/>
        <w:keepLines w:val="0"/>
        <w:pageBreakBefore w:val="0"/>
        <w:widowControl w:val="0"/>
        <w:kinsoku/>
        <w:wordWrap/>
        <w:overflowPunct/>
        <w:topLinePunct w:val="0"/>
        <w:autoSpaceDE/>
        <w:autoSpaceDN/>
        <w:bidi w:val="0"/>
        <w:adjustRightInd/>
        <w:snapToGrid/>
        <w:spacing w:before="0" w:beforeLines="0" w:after="0" w:afterLines="0" w:line="360" w:lineRule="auto"/>
        <w:textAlignment w:val="auto"/>
        <w:rPr>
          <w:rFonts w:hint="eastAsia" w:ascii="黑体" w:hAnsi="黑体" w:eastAsia="黑体" w:cs="黑体"/>
          <w:b w:val="0"/>
          <w:bCs w:val="0"/>
          <w:color w:val="auto"/>
          <w:highlight w:val="none"/>
          <w:lang w:val="en-US" w:eastAsia="zh-CN"/>
        </w:rPr>
      </w:pPr>
      <w:r>
        <w:rPr>
          <w:rFonts w:hint="eastAsia" w:ascii="黑体" w:hAnsi="黑体" w:eastAsia="黑体" w:cs="黑体"/>
          <w:b w:val="0"/>
          <w:bCs w:val="0"/>
          <w:color w:val="auto"/>
          <w:highlight w:val="none"/>
          <w:lang w:val="en-US" w:eastAsia="zh-CN"/>
        </w:rPr>
        <w:t>环境卫生</w:t>
      </w:r>
    </w:p>
    <w:p>
      <w:pPr>
        <w:pStyle w:val="66"/>
        <w:keepNext w:val="0"/>
        <w:keepLines w:val="0"/>
        <w:pageBreakBefore w:val="0"/>
        <w:widowControl w:val="0"/>
        <w:kinsoku/>
        <w:wordWrap/>
        <w:overflowPunct/>
        <w:topLinePunct w:val="0"/>
        <w:autoSpaceDE/>
        <w:autoSpaceDN/>
        <w:bidi w:val="0"/>
        <w:adjustRightInd/>
        <w:snapToGrid/>
        <w:spacing w:before="0" w:beforeLines="0" w:after="0" w:afterLines="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体育场馆管理者应保持活动场地卫生，做好日常清洁和消杀。对卫生间、餐饮区等重点部位应加强循环保洁频次。</w:t>
      </w:r>
    </w:p>
    <w:p>
      <w:pPr>
        <w:pStyle w:val="66"/>
        <w:keepNext w:val="0"/>
        <w:keepLines w:val="0"/>
        <w:pageBreakBefore w:val="0"/>
        <w:widowControl w:val="0"/>
        <w:kinsoku/>
        <w:wordWrap/>
        <w:overflowPunct/>
        <w:topLinePunct w:val="0"/>
        <w:autoSpaceDE/>
        <w:autoSpaceDN/>
        <w:bidi w:val="0"/>
        <w:adjustRightInd/>
        <w:snapToGrid/>
        <w:spacing w:before="0" w:beforeLines="0" w:after="0" w:afterLines="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承办者应做到“工完、料尽、场地清”，无施工垃圾滞留。</w:t>
      </w:r>
    </w:p>
    <w:p>
      <w:pPr>
        <w:pStyle w:val="163"/>
        <w:keepNext w:val="0"/>
        <w:keepLines w:val="0"/>
        <w:pageBreakBefore w:val="0"/>
        <w:widowControl w:val="0"/>
        <w:kinsoku/>
        <w:wordWrap/>
        <w:overflowPunct/>
        <w:topLinePunct w:val="0"/>
        <w:autoSpaceDE/>
        <w:autoSpaceDN/>
        <w:bidi w:val="0"/>
        <w:adjustRightInd/>
        <w:snapToGrid/>
        <w:spacing w:before="0" w:beforeLines="0" w:after="0" w:afterLines="0" w:line="360" w:lineRule="auto"/>
        <w:textAlignment w:val="auto"/>
        <w:rPr>
          <w:rFonts w:hint="eastAsia" w:ascii="黑体" w:hAnsi="黑体" w:eastAsia="黑体" w:cs="黑体"/>
          <w:b w:val="0"/>
          <w:bCs w:val="0"/>
          <w:color w:val="auto"/>
          <w:highlight w:val="none"/>
          <w:lang w:val="en-US" w:eastAsia="zh-CN"/>
        </w:rPr>
      </w:pPr>
      <w:r>
        <w:rPr>
          <w:rFonts w:hint="eastAsia" w:ascii="黑体" w:hAnsi="黑体" w:eastAsia="黑体" w:cs="黑体"/>
          <w:b w:val="0"/>
          <w:bCs w:val="0"/>
          <w:color w:val="auto"/>
          <w:highlight w:val="none"/>
          <w:lang w:val="en-US" w:eastAsia="zh-CN"/>
        </w:rPr>
        <w:t>无人机</w:t>
      </w:r>
    </w:p>
    <w:p>
      <w:pPr>
        <w:pStyle w:val="66"/>
        <w:keepNext w:val="0"/>
        <w:keepLines w:val="0"/>
        <w:pageBreakBefore w:val="0"/>
        <w:widowControl w:val="0"/>
        <w:kinsoku/>
        <w:wordWrap/>
        <w:overflowPunct/>
        <w:topLinePunct w:val="0"/>
        <w:autoSpaceDE/>
        <w:autoSpaceDN/>
        <w:bidi w:val="0"/>
        <w:adjustRightInd/>
        <w:snapToGrid/>
        <w:spacing w:before="0" w:beforeLines="0" w:after="0" w:afterLines="0"/>
        <w:textAlignment w:val="auto"/>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无人</w:t>
      </w:r>
      <w:r>
        <w:rPr>
          <w:rFonts w:hint="eastAsia" w:ascii="宋体" w:hAnsi="宋体" w:eastAsia="宋体" w:cs="宋体"/>
          <w:b w:val="0"/>
          <w:bCs w:val="0"/>
          <w:color w:val="auto"/>
          <w:kern w:val="0"/>
          <w:sz w:val="21"/>
          <w:szCs w:val="20"/>
          <w:highlight w:val="none"/>
          <w:lang w:val="en-US" w:eastAsia="zh-CN" w:bidi="ar-SA"/>
        </w:rPr>
        <w:t>机作业飞行操作应符合MH/T 1069-2018的相关要求，遵守</w:t>
      </w:r>
      <w:r>
        <w:rPr>
          <w:rFonts w:hint="default" w:ascii="宋体" w:hAnsi="宋体" w:eastAsia="宋体" w:cs="宋体"/>
          <w:b w:val="0"/>
          <w:bCs w:val="0"/>
          <w:color w:val="auto"/>
          <w:kern w:val="0"/>
          <w:sz w:val="21"/>
          <w:szCs w:val="20"/>
          <w:highlight w:val="none"/>
          <w:lang w:val="en-US" w:eastAsia="zh-CN" w:bidi="ar-SA"/>
        </w:rPr>
        <w:t>《无人驾驶航空器飞行管理暂行条例</w:t>
      </w:r>
      <w:r>
        <w:rPr>
          <w:rFonts w:hint="eastAsia" w:ascii="宋体" w:hAnsi="宋体" w:eastAsia="宋体" w:cs="宋体"/>
          <w:b w:val="0"/>
          <w:bCs w:val="0"/>
          <w:color w:val="auto"/>
          <w:kern w:val="0"/>
          <w:sz w:val="21"/>
          <w:szCs w:val="20"/>
          <w:highlight w:val="none"/>
          <w:lang w:val="en-US" w:eastAsia="zh-CN" w:bidi="ar-SA"/>
        </w:rPr>
        <w:t>》。</w:t>
      </w:r>
    </w:p>
    <w:p>
      <w:pPr>
        <w:pStyle w:val="66"/>
        <w:keepNext w:val="0"/>
        <w:keepLines w:val="0"/>
        <w:pageBreakBefore w:val="0"/>
        <w:widowControl w:val="0"/>
        <w:kinsoku/>
        <w:wordWrap/>
        <w:overflowPunct/>
        <w:topLinePunct w:val="0"/>
        <w:autoSpaceDE/>
        <w:autoSpaceDN/>
        <w:bidi w:val="0"/>
        <w:adjustRightInd/>
        <w:snapToGrid/>
        <w:spacing w:before="0" w:beforeLines="0" w:after="0" w:afterLines="0"/>
        <w:textAlignment w:val="auto"/>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大型群众性活动，承办方确需使用无人机飞越集会人群上空进行航拍作业的，应向空中交通管理机构提出飞行活动申请。经批准同意的无人机作业飞行，承办方还应审查其所驾驶无人机类型、资质等是否与批准文件相一致，是否依法投保责任强制保险、是否有紧急情况处置预案、落实风险防范措施等。</w:t>
      </w:r>
    </w:p>
    <w:p>
      <w:pPr>
        <w:pStyle w:val="66"/>
        <w:keepNext w:val="0"/>
        <w:keepLines w:val="0"/>
        <w:pageBreakBefore w:val="0"/>
        <w:widowControl w:val="0"/>
        <w:kinsoku/>
        <w:wordWrap/>
        <w:overflowPunct/>
        <w:topLinePunct w:val="0"/>
        <w:autoSpaceDE/>
        <w:autoSpaceDN/>
        <w:bidi w:val="0"/>
        <w:adjustRightInd/>
        <w:snapToGrid/>
        <w:spacing w:before="0" w:beforeLines="0" w:after="0" w:afterLines="0"/>
        <w:textAlignment w:val="auto"/>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自行携带的无人机，未经审查批准的，严禁带入体育场馆内或进行作业飞行。</w:t>
      </w:r>
    </w:p>
    <w:p>
      <w:pPr>
        <w:pStyle w:val="105"/>
        <w:keepNext w:val="0"/>
        <w:keepLines w:val="0"/>
        <w:pageBreakBefore w:val="0"/>
        <w:widowControl w:val="0"/>
        <w:kinsoku/>
        <w:wordWrap/>
        <w:overflowPunct/>
        <w:topLinePunct w:val="0"/>
        <w:bidi w:val="0"/>
        <w:adjustRightInd/>
        <w:snapToGrid/>
        <w:spacing w:before="312" w:after="312"/>
        <w:textAlignment w:val="auto"/>
        <w:rPr>
          <w:rFonts w:hint="default"/>
          <w:color w:val="auto"/>
          <w:highlight w:val="none"/>
          <w:lang w:val="en-US"/>
        </w:rPr>
      </w:pPr>
      <w:bookmarkStart w:id="71" w:name="_Toc23816"/>
      <w:r>
        <w:rPr>
          <w:rFonts w:hint="eastAsia"/>
          <w:color w:val="auto"/>
          <w:highlight w:val="none"/>
          <w:lang w:val="en-US" w:eastAsia="zh-CN"/>
        </w:rPr>
        <w:t>应急处置</w:t>
      </w:r>
      <w:bookmarkEnd w:id="71"/>
    </w:p>
    <w:p>
      <w:pPr>
        <w:pStyle w:val="163"/>
        <w:keepNext w:val="0"/>
        <w:keepLines w:val="0"/>
        <w:pageBreakBefore w:val="0"/>
        <w:widowControl w:val="0"/>
        <w:kinsoku/>
        <w:wordWrap/>
        <w:overflowPunct/>
        <w:topLinePunct w:val="0"/>
        <w:bidi w:val="0"/>
        <w:adjustRightInd/>
        <w:snapToGrid/>
        <w:textAlignment w:val="auto"/>
        <w:rPr>
          <w:color w:val="auto"/>
          <w:highlight w:val="none"/>
        </w:rPr>
      </w:pPr>
      <w:r>
        <w:rPr>
          <w:rFonts w:hint="eastAsia"/>
          <w:color w:val="auto"/>
          <w:highlight w:val="none"/>
          <w:lang w:val="en-US" w:eastAsia="zh-CN"/>
        </w:rPr>
        <w:t>按照GB 22185-2008，5.1风险等级划分，被列为一级、二级风险单位的体育场馆应设置体育场馆突发公共事件应急平台及监控中心（室）。</w:t>
      </w:r>
    </w:p>
    <w:p>
      <w:pPr>
        <w:pStyle w:val="163"/>
        <w:keepNext w:val="0"/>
        <w:keepLines w:val="0"/>
        <w:pageBreakBefore w:val="0"/>
        <w:widowControl w:val="0"/>
        <w:kinsoku/>
        <w:wordWrap/>
        <w:overflowPunct/>
        <w:topLinePunct w:val="0"/>
        <w:bidi w:val="0"/>
        <w:adjustRightInd/>
        <w:snapToGrid/>
        <w:textAlignment w:val="auto"/>
        <w:rPr>
          <w:color w:val="auto"/>
          <w:highlight w:val="none"/>
        </w:rPr>
      </w:pPr>
      <w:r>
        <w:rPr>
          <w:rFonts w:hint="eastAsia"/>
          <w:color w:val="auto"/>
          <w:highlight w:val="none"/>
          <w:lang w:val="en-US" w:eastAsia="zh-CN"/>
        </w:rPr>
        <w:t>大型群众性活动应建立突发事件报告制度，畅通信息报告渠道。应建立医院、急救中心、共安消防等部门联络清单。</w:t>
      </w:r>
    </w:p>
    <w:p>
      <w:pPr>
        <w:pStyle w:val="163"/>
        <w:keepNext w:val="0"/>
        <w:keepLines w:val="0"/>
        <w:pageBreakBefore w:val="0"/>
        <w:widowControl w:val="0"/>
        <w:kinsoku/>
        <w:wordWrap/>
        <w:overflowPunct/>
        <w:topLinePunct w:val="0"/>
        <w:bidi w:val="0"/>
        <w:adjustRightInd/>
        <w:snapToGrid/>
        <w:textAlignment w:val="auto"/>
        <w:rPr>
          <w:highlight w:val="none"/>
        </w:rPr>
      </w:pPr>
      <w:r>
        <w:rPr>
          <w:rFonts w:hint="eastAsia" w:cs="Times New Roman"/>
          <w:color w:val="auto"/>
          <w:kern w:val="0"/>
          <w:sz w:val="21"/>
          <w:highlight w:val="none"/>
          <w:lang w:val="en-US" w:eastAsia="zh-CN" w:bidi="ar-SA"/>
        </w:rPr>
        <w:t>承办者和体育场馆管理者应按照各自职责制定应急预案，开展应急演练，遇到紧急情况应按照应急预案进行处置，应急</w:t>
      </w:r>
      <w:r>
        <w:rPr>
          <w:rFonts w:hint="eastAsia"/>
          <w:color w:val="auto"/>
          <w:highlight w:val="none"/>
          <w:lang w:val="en-US" w:eastAsia="zh-CN"/>
        </w:rPr>
        <w:t>处置要求见附录A。</w:t>
      </w:r>
    </w:p>
    <w:bookmarkEnd w:id="26"/>
    <w:p>
      <w:pPr>
        <w:pStyle w:val="57"/>
        <w:ind w:firstLine="420"/>
        <w:rPr>
          <w:highlight w:val="none"/>
        </w:rPr>
      </w:pPr>
      <w:bookmarkStart w:id="72" w:name="BookMark6"/>
    </w:p>
    <w:p>
      <w:pPr>
        <w:pStyle w:val="57"/>
        <w:ind w:left="0" w:leftChars="0" w:firstLine="0" w:firstLineChars="0"/>
        <w:rPr>
          <w:highlight w:val="none"/>
        </w:rPr>
      </w:pPr>
    </w:p>
    <w:p>
      <w:pPr>
        <w:pStyle w:val="57"/>
        <w:ind w:left="0" w:leftChars="0" w:firstLine="0" w:firstLineChars="0"/>
        <w:rPr>
          <w:highlight w:val="none"/>
        </w:rPr>
      </w:pPr>
    </w:p>
    <w:p>
      <w:pPr>
        <w:pStyle w:val="57"/>
        <w:ind w:left="0" w:leftChars="0" w:firstLine="0" w:firstLineChars="0"/>
        <w:rPr>
          <w:highlight w:val="none"/>
        </w:rPr>
      </w:pPr>
    </w:p>
    <w:p>
      <w:pPr>
        <w:pStyle w:val="57"/>
        <w:ind w:left="0" w:leftChars="0" w:firstLine="0" w:firstLineChars="0"/>
        <w:rPr>
          <w:highlight w:val="none"/>
        </w:rPr>
      </w:pPr>
    </w:p>
    <w:p>
      <w:pPr>
        <w:pStyle w:val="57"/>
        <w:ind w:left="0" w:leftChars="0" w:firstLine="0" w:firstLineChars="0"/>
        <w:rPr>
          <w:highlight w:val="none"/>
        </w:rPr>
      </w:pPr>
    </w:p>
    <w:p>
      <w:pPr>
        <w:pStyle w:val="57"/>
        <w:ind w:left="0" w:leftChars="0" w:firstLine="0" w:firstLineChars="0"/>
        <w:rPr>
          <w:highlight w:val="none"/>
        </w:rPr>
      </w:pPr>
    </w:p>
    <w:p>
      <w:pPr>
        <w:pStyle w:val="57"/>
        <w:ind w:left="0" w:leftChars="0" w:firstLine="0" w:firstLineChars="0"/>
        <w:rPr>
          <w:highlight w:val="none"/>
        </w:rPr>
      </w:pPr>
    </w:p>
    <w:p>
      <w:pPr>
        <w:pStyle w:val="57"/>
        <w:ind w:left="0" w:leftChars="0" w:firstLine="0" w:firstLineChars="0"/>
        <w:rPr>
          <w:highlight w:val="none"/>
        </w:rPr>
      </w:pPr>
    </w:p>
    <w:p>
      <w:pPr>
        <w:pStyle w:val="57"/>
        <w:ind w:left="0" w:leftChars="0" w:firstLine="0" w:firstLineChars="0"/>
        <w:rPr>
          <w:highlight w:val="none"/>
        </w:rPr>
      </w:pPr>
    </w:p>
    <w:p>
      <w:pPr>
        <w:pStyle w:val="57"/>
        <w:ind w:left="0" w:leftChars="0" w:firstLine="0" w:firstLineChars="0"/>
        <w:rPr>
          <w:highlight w:val="none"/>
        </w:rPr>
      </w:pPr>
    </w:p>
    <w:p>
      <w:pPr>
        <w:pStyle w:val="57"/>
        <w:ind w:left="0" w:leftChars="0" w:firstLine="0" w:firstLineChars="0"/>
        <w:rPr>
          <w:highlight w:val="none"/>
        </w:rPr>
      </w:pPr>
    </w:p>
    <w:p>
      <w:pPr>
        <w:pStyle w:val="57"/>
        <w:ind w:left="0" w:leftChars="0" w:firstLine="0" w:firstLineChars="0"/>
        <w:rPr>
          <w:highlight w:val="none"/>
        </w:rPr>
      </w:pPr>
    </w:p>
    <w:p>
      <w:pPr>
        <w:pStyle w:val="57"/>
        <w:ind w:left="0" w:leftChars="0" w:firstLine="0" w:firstLineChars="0"/>
        <w:rPr>
          <w:highlight w:val="none"/>
        </w:rPr>
      </w:pPr>
    </w:p>
    <w:p>
      <w:pPr>
        <w:pStyle w:val="57"/>
        <w:ind w:left="0" w:leftChars="0" w:firstLine="0" w:firstLineChars="0"/>
        <w:rPr>
          <w:highlight w:val="none"/>
        </w:rPr>
      </w:pPr>
    </w:p>
    <w:p>
      <w:pPr>
        <w:pStyle w:val="57"/>
        <w:ind w:left="0" w:leftChars="0" w:firstLine="0" w:firstLineChars="0"/>
        <w:rPr>
          <w:highlight w:val="none"/>
        </w:rPr>
      </w:pPr>
    </w:p>
    <w:p>
      <w:pPr>
        <w:pStyle w:val="57"/>
        <w:ind w:left="0" w:leftChars="0" w:firstLine="0" w:firstLineChars="0"/>
        <w:rPr>
          <w:highlight w:val="none"/>
        </w:rPr>
      </w:pPr>
    </w:p>
    <w:p>
      <w:pPr>
        <w:pStyle w:val="57"/>
        <w:ind w:left="0" w:leftChars="0" w:firstLine="0" w:firstLineChars="0"/>
        <w:rPr>
          <w:highlight w:val="none"/>
        </w:rPr>
      </w:pPr>
    </w:p>
    <w:p>
      <w:pPr>
        <w:pStyle w:val="57"/>
        <w:ind w:left="0" w:leftChars="0" w:firstLine="0" w:firstLineChars="0"/>
        <w:rPr>
          <w:highlight w:val="none"/>
        </w:rPr>
      </w:pPr>
    </w:p>
    <w:p>
      <w:pPr>
        <w:pStyle w:val="57"/>
        <w:ind w:left="0" w:leftChars="0" w:firstLine="0" w:firstLineChars="0"/>
        <w:rPr>
          <w:highlight w:val="none"/>
        </w:rPr>
      </w:pPr>
    </w:p>
    <w:p>
      <w:pPr>
        <w:pStyle w:val="57"/>
        <w:ind w:left="0" w:leftChars="0" w:firstLine="0" w:firstLineChars="0"/>
        <w:rPr>
          <w:highlight w:val="none"/>
        </w:rPr>
      </w:pPr>
    </w:p>
    <w:p>
      <w:pPr>
        <w:pStyle w:val="57"/>
        <w:ind w:left="0" w:leftChars="0" w:firstLine="0" w:firstLineChars="0"/>
        <w:rPr>
          <w:highlight w:val="none"/>
        </w:rPr>
      </w:pPr>
    </w:p>
    <w:p>
      <w:pPr>
        <w:pStyle w:val="57"/>
        <w:ind w:left="0" w:leftChars="0" w:firstLine="0" w:firstLineChars="0"/>
        <w:rPr>
          <w:highlight w:val="none"/>
        </w:rPr>
      </w:pPr>
    </w:p>
    <w:p>
      <w:pPr>
        <w:pStyle w:val="57"/>
        <w:ind w:left="0" w:leftChars="0" w:firstLine="0" w:firstLineChars="0"/>
        <w:rPr>
          <w:highlight w:val="none"/>
        </w:rPr>
      </w:pPr>
    </w:p>
    <w:p>
      <w:pPr>
        <w:pStyle w:val="57"/>
        <w:ind w:left="0" w:leftChars="0" w:firstLine="0" w:firstLineChars="0"/>
        <w:rPr>
          <w:highlight w:val="none"/>
        </w:rPr>
      </w:pPr>
    </w:p>
    <w:p>
      <w:pPr>
        <w:pStyle w:val="57"/>
        <w:ind w:left="0" w:leftChars="0" w:firstLine="0" w:firstLineChars="0"/>
        <w:rPr>
          <w:highlight w:val="none"/>
        </w:rPr>
      </w:pPr>
    </w:p>
    <w:p>
      <w:pPr>
        <w:pStyle w:val="57"/>
        <w:ind w:left="0" w:leftChars="0" w:firstLine="0" w:firstLineChars="0"/>
        <w:rPr>
          <w:highlight w:val="none"/>
        </w:rPr>
      </w:pPr>
    </w:p>
    <w:p>
      <w:pPr>
        <w:pStyle w:val="57"/>
        <w:ind w:left="0" w:leftChars="0" w:firstLine="0" w:firstLineChars="0"/>
        <w:jc w:val="both"/>
        <w:rPr>
          <w:rFonts w:hint="eastAsia" w:ascii="黑体" w:hAnsi="黑体" w:eastAsia="黑体" w:cs="黑体"/>
          <w:b w:val="0"/>
          <w:bCs w:val="0"/>
          <w:sz w:val="24"/>
          <w:szCs w:val="24"/>
          <w:highlight w:val="none"/>
          <w:lang w:eastAsia="zh-CN"/>
        </w:rPr>
      </w:pPr>
    </w:p>
    <w:p>
      <w:pPr>
        <w:pStyle w:val="105"/>
        <w:keepNext w:val="0"/>
        <w:keepLines w:val="0"/>
        <w:pageBreakBefore w:val="0"/>
        <w:widowControl w:val="0"/>
        <w:numPr>
          <w:ilvl w:val="1"/>
          <w:numId w:val="0"/>
        </w:numPr>
        <w:kinsoku/>
        <w:wordWrap/>
        <w:overflowPunct/>
        <w:topLinePunct w:val="0"/>
        <w:autoSpaceDE/>
        <w:autoSpaceDN/>
        <w:bidi w:val="0"/>
        <w:adjustRightInd/>
        <w:snapToGrid/>
        <w:spacing w:before="0" w:beforeLines="0" w:after="0" w:afterLines="0"/>
        <w:ind w:leftChars="0"/>
        <w:jc w:val="center"/>
        <w:textAlignment w:val="auto"/>
        <w:rPr>
          <w:rFonts w:hint="eastAsia"/>
          <w:sz w:val="24"/>
          <w:szCs w:val="24"/>
          <w:highlight w:val="none"/>
          <w:lang w:val="en-US" w:eastAsia="zh-CN"/>
        </w:rPr>
      </w:pPr>
      <w:bookmarkStart w:id="73" w:name="_Toc28992"/>
    </w:p>
    <w:p>
      <w:pPr>
        <w:pStyle w:val="105"/>
        <w:keepNext w:val="0"/>
        <w:keepLines w:val="0"/>
        <w:pageBreakBefore w:val="0"/>
        <w:widowControl w:val="0"/>
        <w:numPr>
          <w:ilvl w:val="1"/>
          <w:numId w:val="0"/>
        </w:numPr>
        <w:kinsoku/>
        <w:wordWrap/>
        <w:overflowPunct/>
        <w:topLinePunct w:val="0"/>
        <w:autoSpaceDE/>
        <w:autoSpaceDN/>
        <w:bidi w:val="0"/>
        <w:adjustRightInd/>
        <w:snapToGrid/>
        <w:spacing w:before="0" w:beforeLines="0" w:after="0" w:afterLines="0"/>
        <w:ind w:leftChars="0"/>
        <w:jc w:val="center"/>
        <w:textAlignment w:val="auto"/>
        <w:rPr>
          <w:rFonts w:hint="eastAsia"/>
          <w:sz w:val="24"/>
          <w:szCs w:val="24"/>
          <w:highlight w:val="none"/>
          <w:lang w:val="en-US" w:eastAsia="zh-CN"/>
        </w:rPr>
      </w:pPr>
    </w:p>
    <w:p>
      <w:pPr>
        <w:pStyle w:val="105"/>
        <w:keepNext w:val="0"/>
        <w:keepLines w:val="0"/>
        <w:pageBreakBefore w:val="0"/>
        <w:widowControl w:val="0"/>
        <w:numPr>
          <w:ilvl w:val="1"/>
          <w:numId w:val="0"/>
        </w:numPr>
        <w:kinsoku/>
        <w:wordWrap/>
        <w:overflowPunct/>
        <w:topLinePunct w:val="0"/>
        <w:autoSpaceDE/>
        <w:autoSpaceDN/>
        <w:bidi w:val="0"/>
        <w:adjustRightInd/>
        <w:snapToGrid/>
        <w:spacing w:before="0" w:beforeLines="0" w:after="0" w:afterLines="0"/>
        <w:ind w:leftChars="0"/>
        <w:jc w:val="center"/>
        <w:textAlignment w:val="auto"/>
        <w:rPr>
          <w:rFonts w:hint="eastAsia"/>
          <w:sz w:val="24"/>
          <w:szCs w:val="24"/>
          <w:highlight w:val="none"/>
          <w:lang w:val="en-US" w:eastAsia="zh-CN"/>
        </w:rPr>
      </w:pPr>
      <w:r>
        <w:rPr>
          <w:rFonts w:hint="eastAsia"/>
          <w:sz w:val="24"/>
          <w:szCs w:val="24"/>
          <w:highlight w:val="none"/>
          <w:lang w:val="en-US" w:eastAsia="zh-CN"/>
        </w:rPr>
        <w:t>附录A</w:t>
      </w:r>
      <w:bookmarkEnd w:id="73"/>
    </w:p>
    <w:p>
      <w:pPr>
        <w:pStyle w:val="105"/>
        <w:keepNext w:val="0"/>
        <w:keepLines w:val="0"/>
        <w:pageBreakBefore w:val="0"/>
        <w:widowControl w:val="0"/>
        <w:numPr>
          <w:ilvl w:val="1"/>
          <w:numId w:val="0"/>
        </w:numPr>
        <w:kinsoku/>
        <w:wordWrap/>
        <w:overflowPunct/>
        <w:topLinePunct w:val="0"/>
        <w:autoSpaceDE/>
        <w:autoSpaceDN/>
        <w:bidi w:val="0"/>
        <w:adjustRightInd/>
        <w:snapToGrid/>
        <w:spacing w:before="0" w:beforeLines="0" w:after="0" w:afterLines="0"/>
        <w:ind w:leftChars="0"/>
        <w:jc w:val="center"/>
        <w:textAlignment w:val="auto"/>
        <w:rPr>
          <w:rFonts w:hint="eastAsia"/>
          <w:sz w:val="24"/>
          <w:szCs w:val="24"/>
          <w:highlight w:val="none"/>
          <w:lang w:val="en-US" w:eastAsia="zh-CN"/>
        </w:rPr>
      </w:pPr>
      <w:bookmarkStart w:id="74" w:name="_Toc20636"/>
      <w:bookmarkStart w:id="75" w:name="_Toc22652"/>
      <w:r>
        <w:rPr>
          <w:rFonts w:hint="eastAsia"/>
          <w:sz w:val="24"/>
          <w:szCs w:val="24"/>
          <w:highlight w:val="none"/>
          <w:lang w:val="en-US" w:eastAsia="zh-CN"/>
        </w:rPr>
        <w:t>（规范性）</w:t>
      </w:r>
      <w:bookmarkEnd w:id="74"/>
      <w:bookmarkEnd w:id="75"/>
    </w:p>
    <w:p>
      <w:pPr>
        <w:pStyle w:val="105"/>
        <w:keepNext w:val="0"/>
        <w:keepLines w:val="0"/>
        <w:pageBreakBefore w:val="0"/>
        <w:widowControl w:val="0"/>
        <w:numPr>
          <w:ilvl w:val="1"/>
          <w:numId w:val="0"/>
        </w:numPr>
        <w:kinsoku/>
        <w:wordWrap/>
        <w:overflowPunct/>
        <w:topLinePunct w:val="0"/>
        <w:autoSpaceDE/>
        <w:autoSpaceDN/>
        <w:bidi w:val="0"/>
        <w:adjustRightInd/>
        <w:snapToGrid/>
        <w:spacing w:before="0" w:beforeLines="0" w:after="0" w:afterLines="0"/>
        <w:ind w:leftChars="0"/>
        <w:jc w:val="center"/>
        <w:textAlignment w:val="auto"/>
        <w:rPr>
          <w:rFonts w:hint="eastAsia"/>
          <w:sz w:val="24"/>
          <w:szCs w:val="24"/>
          <w:highlight w:val="none"/>
          <w:lang w:val="en-US" w:eastAsia="zh-CN"/>
        </w:rPr>
      </w:pPr>
      <w:bookmarkStart w:id="76" w:name="_Toc6206"/>
      <w:bookmarkStart w:id="77" w:name="_Toc2129"/>
      <w:r>
        <w:rPr>
          <w:rFonts w:hint="eastAsia"/>
          <w:sz w:val="24"/>
          <w:szCs w:val="24"/>
          <w:highlight w:val="none"/>
          <w:lang w:val="en-US" w:eastAsia="zh-CN"/>
        </w:rPr>
        <w:t>公共体育场馆大型群众性活动突发事件应急处置要求</w:t>
      </w:r>
      <w:bookmarkEnd w:id="76"/>
      <w:bookmarkEnd w:id="77"/>
    </w:p>
    <w:p>
      <w:pPr>
        <w:pStyle w:val="57"/>
        <w:rPr>
          <w:rFonts w:hint="default" w:eastAsia="宋体"/>
          <w:highlight w:val="none"/>
          <w:lang w:val="en-US" w:eastAsia="zh-CN"/>
        </w:rPr>
      </w:pPr>
    </w:p>
    <w:p>
      <w:pPr>
        <w:pStyle w:val="57"/>
        <w:rPr>
          <w:rFonts w:hint="eastAsia"/>
          <w:highlight w:val="none"/>
          <w:lang w:val="en-US" w:eastAsia="zh-CN"/>
        </w:rPr>
      </w:pPr>
      <w:r>
        <w:rPr>
          <w:rFonts w:hint="eastAsia"/>
          <w:highlight w:val="none"/>
          <w:lang w:val="en-US" w:eastAsia="zh-CN"/>
        </w:rPr>
        <w:t>表A.1规定了公共体育场馆大型群众性活动突发事件应急处置要求</w:t>
      </w:r>
    </w:p>
    <w:p>
      <w:pPr>
        <w:pStyle w:val="57"/>
        <w:rPr>
          <w:rFonts w:hint="eastAsia"/>
          <w:highlight w:val="none"/>
          <w:lang w:val="en-US" w:eastAsia="zh-CN"/>
        </w:rPr>
      </w:pPr>
    </w:p>
    <w:p>
      <w:pPr>
        <w:pStyle w:val="57"/>
        <w:ind w:firstLine="420"/>
        <w:jc w:val="center"/>
        <w:rPr>
          <w:rFonts w:hint="eastAsia"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表A.1</w:t>
      </w:r>
      <w:r>
        <w:rPr>
          <w:rFonts w:hint="eastAsia"/>
          <w:highlight w:val="none"/>
          <w:lang w:val="en-US" w:eastAsia="zh-CN"/>
        </w:rPr>
        <w:t xml:space="preserve">  </w:t>
      </w:r>
      <w:r>
        <w:rPr>
          <w:rFonts w:hint="eastAsia" w:ascii="黑体" w:hAnsi="黑体" w:eastAsia="黑体" w:cs="黑体"/>
          <w:b w:val="0"/>
          <w:bCs w:val="0"/>
          <w:sz w:val="24"/>
          <w:szCs w:val="24"/>
        </w:rPr>
        <w:t>公共体育场馆大型群众性活动</w:t>
      </w:r>
      <w:r>
        <w:rPr>
          <w:rFonts w:hint="eastAsia" w:ascii="黑体" w:hAnsi="黑体" w:eastAsia="黑体" w:cs="黑体"/>
          <w:b w:val="0"/>
          <w:bCs w:val="0"/>
          <w:sz w:val="24"/>
          <w:szCs w:val="24"/>
          <w:lang w:eastAsia="zh-CN"/>
        </w:rPr>
        <w:t>突发事件应急处置</w:t>
      </w:r>
      <w:r>
        <w:rPr>
          <w:rFonts w:hint="eastAsia" w:ascii="黑体" w:hAnsi="黑体" w:eastAsia="黑体" w:cs="黑体"/>
          <w:b w:val="0"/>
          <w:bCs w:val="0"/>
          <w:sz w:val="24"/>
          <w:szCs w:val="24"/>
          <w:lang w:val="en-US" w:eastAsia="zh-CN"/>
        </w:rPr>
        <w:t>要求</w:t>
      </w:r>
    </w:p>
    <w:p>
      <w:pPr>
        <w:pStyle w:val="57"/>
        <w:keepNext w:val="0"/>
        <w:keepLines w:val="0"/>
        <w:pageBreakBefore w:val="0"/>
        <w:widowControl/>
        <w:kinsoku/>
        <w:wordWrap/>
        <w:overflowPunct/>
        <w:topLinePunct w:val="0"/>
        <w:autoSpaceDE w:val="0"/>
        <w:autoSpaceDN w:val="0"/>
        <w:bidi w:val="0"/>
        <w:adjustRightInd/>
        <w:snapToGrid/>
        <w:spacing w:line="160" w:lineRule="exact"/>
        <w:ind w:left="0" w:leftChars="0" w:firstLine="0" w:firstLineChars="0"/>
        <w:jc w:val="both"/>
        <w:textAlignment w:val="auto"/>
        <w:rPr>
          <w:rFonts w:hint="eastAsia" w:ascii="黑体" w:hAnsi="黑体" w:eastAsia="黑体" w:cs="黑体"/>
          <w:b w:val="0"/>
          <w:bCs w:val="0"/>
          <w:sz w:val="24"/>
          <w:szCs w:val="24"/>
          <w:lang w:val="en-US" w:eastAsia="zh-CN"/>
        </w:rPr>
      </w:pPr>
    </w:p>
    <w:tbl>
      <w:tblPr>
        <w:tblStyle w:val="28"/>
        <w:tblW w:w="8150"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246"/>
        <w:gridCol w:w="2977"/>
        <w:gridCol w:w="3927"/>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85" w:hRule="atLeast"/>
          <w:jc w:val="center"/>
        </w:trPr>
        <w:tc>
          <w:tcPr>
            <w:tcW w:w="1246" w:type="dxa"/>
            <w:tcBorders>
              <w:tl2br w:val="nil"/>
              <w:tr2bl w:val="nil"/>
            </w:tcBorders>
            <w:vAlign w:val="center"/>
          </w:tcPr>
          <w:p>
            <w:pPr>
              <w:pStyle w:val="57"/>
              <w:ind w:left="0" w:leftChars="0" w:firstLine="0" w:firstLineChars="0"/>
              <w:jc w:val="center"/>
              <w:rPr>
                <w:rFonts w:hint="default"/>
                <w:highlight w:val="none"/>
                <w:vertAlign w:val="baseline"/>
                <w:lang w:val="en-US" w:eastAsia="zh-CN"/>
              </w:rPr>
            </w:pPr>
            <w:r>
              <w:rPr>
                <w:rFonts w:hint="eastAsia"/>
                <w:highlight w:val="none"/>
                <w:vertAlign w:val="baseline"/>
                <w:lang w:val="en-US" w:eastAsia="zh-CN"/>
              </w:rPr>
              <w:t>序号</w:t>
            </w:r>
          </w:p>
        </w:tc>
        <w:tc>
          <w:tcPr>
            <w:tcW w:w="2977" w:type="dxa"/>
            <w:tcBorders>
              <w:tl2br w:val="nil"/>
              <w:tr2bl w:val="nil"/>
            </w:tcBorders>
            <w:vAlign w:val="center"/>
          </w:tcPr>
          <w:p>
            <w:pPr>
              <w:pStyle w:val="57"/>
              <w:ind w:left="0" w:leftChars="0" w:firstLine="0" w:firstLineChars="0"/>
              <w:jc w:val="center"/>
              <w:rPr>
                <w:rFonts w:hint="default"/>
                <w:highlight w:val="none"/>
                <w:vertAlign w:val="baseline"/>
                <w:lang w:val="en-US" w:eastAsia="zh-CN"/>
              </w:rPr>
            </w:pPr>
            <w:r>
              <w:rPr>
                <w:rFonts w:hint="eastAsia"/>
                <w:highlight w:val="none"/>
                <w:vertAlign w:val="baseline"/>
                <w:lang w:val="en-US" w:eastAsia="zh-CN"/>
              </w:rPr>
              <w:t>突发事件描述</w:t>
            </w:r>
          </w:p>
        </w:tc>
        <w:tc>
          <w:tcPr>
            <w:tcW w:w="3927" w:type="dxa"/>
            <w:tcBorders>
              <w:tl2br w:val="nil"/>
              <w:tr2bl w:val="nil"/>
            </w:tcBorders>
            <w:vAlign w:val="center"/>
          </w:tcPr>
          <w:p>
            <w:pPr>
              <w:pStyle w:val="57"/>
              <w:ind w:left="0" w:leftChars="0" w:firstLine="0" w:firstLineChars="0"/>
              <w:jc w:val="center"/>
              <w:rPr>
                <w:rFonts w:hint="default"/>
                <w:highlight w:val="none"/>
                <w:vertAlign w:val="baseline"/>
                <w:lang w:val="en-US" w:eastAsia="zh-CN"/>
              </w:rPr>
            </w:pPr>
            <w:r>
              <w:rPr>
                <w:rFonts w:hint="eastAsia"/>
                <w:highlight w:val="none"/>
                <w:vertAlign w:val="baseline"/>
                <w:lang w:val="en-US" w:eastAsia="zh-CN"/>
              </w:rPr>
              <w:t>处理措施</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106" w:hRule="atLeast"/>
          <w:jc w:val="center"/>
        </w:trPr>
        <w:tc>
          <w:tcPr>
            <w:tcW w:w="1246" w:type="dxa"/>
            <w:tcBorders>
              <w:tl2br w:val="nil"/>
              <w:tr2bl w:val="nil"/>
            </w:tcBorders>
            <w:vAlign w:val="center"/>
          </w:tcPr>
          <w:p>
            <w:pPr>
              <w:pStyle w:val="57"/>
              <w:keepNext w:val="0"/>
              <w:keepLines w:val="0"/>
              <w:pageBreakBefore w:val="0"/>
              <w:widowControl/>
              <w:kinsoku/>
              <w:wordWrap/>
              <w:overflowPunct/>
              <w:topLinePunct w:val="0"/>
              <w:autoSpaceDE w:val="0"/>
              <w:autoSpaceDN w:val="0"/>
              <w:bidi w:val="0"/>
              <w:adjustRightInd/>
              <w:snapToGrid/>
              <w:spacing w:line="340" w:lineRule="exact"/>
              <w:ind w:left="0" w:leftChars="0" w:firstLine="0" w:firstLineChars="0"/>
              <w:jc w:val="center"/>
              <w:textAlignment w:val="auto"/>
              <w:rPr>
                <w:rFonts w:hint="default"/>
                <w:highlight w:val="none"/>
                <w:vertAlign w:val="baseline"/>
                <w:lang w:val="en-US" w:eastAsia="zh-CN"/>
              </w:rPr>
            </w:pPr>
            <w:r>
              <w:rPr>
                <w:rFonts w:hint="eastAsia"/>
                <w:highlight w:val="none"/>
                <w:vertAlign w:val="baseline"/>
                <w:lang w:val="en-US" w:eastAsia="zh-CN"/>
              </w:rPr>
              <w:t>1</w:t>
            </w:r>
          </w:p>
        </w:tc>
        <w:tc>
          <w:tcPr>
            <w:tcW w:w="2977" w:type="dxa"/>
            <w:tcBorders>
              <w:tl2br w:val="nil"/>
              <w:tr2bl w:val="nil"/>
            </w:tcBorders>
            <w:vAlign w:val="center"/>
          </w:tcPr>
          <w:p>
            <w:pPr>
              <w:pStyle w:val="57"/>
              <w:keepNext w:val="0"/>
              <w:keepLines w:val="0"/>
              <w:pageBreakBefore w:val="0"/>
              <w:widowControl/>
              <w:kinsoku/>
              <w:wordWrap/>
              <w:overflowPunct/>
              <w:topLinePunct w:val="0"/>
              <w:autoSpaceDE w:val="0"/>
              <w:autoSpaceDN w:val="0"/>
              <w:bidi w:val="0"/>
              <w:adjustRightInd/>
              <w:snapToGrid/>
              <w:spacing w:line="340" w:lineRule="exact"/>
              <w:ind w:left="0" w:leftChars="0" w:firstLine="0" w:firstLineChars="0"/>
              <w:jc w:val="both"/>
              <w:textAlignment w:val="auto"/>
              <w:rPr>
                <w:rFonts w:hint="default"/>
                <w:highlight w:val="none"/>
                <w:vertAlign w:val="baseline"/>
                <w:lang w:val="en-US" w:eastAsia="zh-CN"/>
              </w:rPr>
            </w:pPr>
            <w:r>
              <w:rPr>
                <w:rFonts w:hint="eastAsia" w:ascii="宋体" w:hAnsi="Times New Roman" w:eastAsia="宋体" w:cs="Times New Roman"/>
                <w:highlight w:val="none"/>
                <w:vertAlign w:val="baseline"/>
                <w:lang w:val="en-US" w:eastAsia="zh-CN"/>
              </w:rPr>
              <w:t>因停电、停演、停展等突发情况引起不明真相的观众起哄甚至发生打、砸、烧、抢等事件</w:t>
            </w:r>
          </w:p>
        </w:tc>
        <w:tc>
          <w:tcPr>
            <w:tcW w:w="3927" w:type="dxa"/>
            <w:tcBorders>
              <w:tl2br w:val="nil"/>
              <w:tr2bl w:val="nil"/>
            </w:tcBorders>
            <w:vAlign w:val="center"/>
          </w:tcPr>
          <w:p>
            <w:pPr>
              <w:pStyle w:val="57"/>
              <w:keepNext w:val="0"/>
              <w:keepLines w:val="0"/>
              <w:pageBreakBefore w:val="0"/>
              <w:widowControl/>
              <w:kinsoku/>
              <w:wordWrap/>
              <w:overflowPunct/>
              <w:topLinePunct w:val="0"/>
              <w:autoSpaceDE w:val="0"/>
              <w:autoSpaceDN w:val="0"/>
              <w:bidi w:val="0"/>
              <w:adjustRightInd/>
              <w:snapToGrid/>
              <w:spacing w:line="340" w:lineRule="exact"/>
              <w:ind w:left="0" w:leftChars="0" w:firstLine="0" w:firstLineChars="0"/>
              <w:jc w:val="both"/>
              <w:textAlignment w:val="auto"/>
              <w:rPr>
                <w:rFonts w:hint="eastAsia" w:ascii="宋体" w:hAnsi="Times New Roman" w:eastAsia="宋体" w:cs="Times New Roman"/>
                <w:highlight w:val="none"/>
                <w:vertAlign w:val="baseline"/>
                <w:lang w:val="en-US" w:eastAsia="zh-CN"/>
              </w:rPr>
            </w:pPr>
            <w:r>
              <w:rPr>
                <w:rFonts w:hint="eastAsia" w:ascii="宋体" w:hAnsi="Times New Roman" w:eastAsia="宋体" w:cs="Times New Roman"/>
                <w:highlight w:val="none"/>
                <w:vertAlign w:val="baseline"/>
                <w:lang w:val="en-US" w:eastAsia="zh-CN"/>
              </w:rPr>
              <w:t>在第一时间向辖区公安机关报告的同时采取以下紧急措施：</w:t>
            </w:r>
          </w:p>
          <w:p>
            <w:pPr>
              <w:pStyle w:val="57"/>
              <w:keepNext w:val="0"/>
              <w:keepLines w:val="0"/>
              <w:pageBreakBefore w:val="0"/>
              <w:widowControl/>
              <w:kinsoku/>
              <w:wordWrap/>
              <w:overflowPunct/>
              <w:topLinePunct w:val="0"/>
              <w:autoSpaceDE w:val="0"/>
              <w:autoSpaceDN w:val="0"/>
              <w:bidi w:val="0"/>
              <w:adjustRightInd/>
              <w:snapToGrid/>
              <w:spacing w:line="340" w:lineRule="exact"/>
              <w:ind w:left="0" w:leftChars="0" w:firstLine="0" w:firstLineChars="0"/>
              <w:jc w:val="both"/>
              <w:textAlignment w:val="auto"/>
              <w:rPr>
                <w:rFonts w:hint="eastAsia" w:ascii="宋体" w:hAnsi="Times New Roman" w:eastAsia="宋体" w:cs="Times New Roman"/>
                <w:highlight w:val="none"/>
                <w:vertAlign w:val="baseline"/>
                <w:lang w:val="en-US" w:eastAsia="zh-CN"/>
              </w:rPr>
            </w:pPr>
            <w:r>
              <w:rPr>
                <w:rFonts w:hint="eastAsia" w:ascii="宋体" w:hAnsi="Times New Roman" w:eastAsia="宋体" w:cs="Times New Roman"/>
                <w:highlight w:val="none"/>
                <w:vertAlign w:val="baseline"/>
                <w:lang w:val="en-US" w:eastAsia="zh-CN"/>
              </w:rPr>
              <w:t>1.立即组织现场保安人员采取果断措施，制止打、砸、烧、抢等行为，并做好现场取证工作；</w:t>
            </w:r>
          </w:p>
          <w:p>
            <w:pPr>
              <w:pStyle w:val="57"/>
              <w:keepNext w:val="0"/>
              <w:keepLines w:val="0"/>
              <w:pageBreakBefore w:val="0"/>
              <w:widowControl/>
              <w:kinsoku/>
              <w:wordWrap/>
              <w:overflowPunct/>
              <w:topLinePunct w:val="0"/>
              <w:autoSpaceDE w:val="0"/>
              <w:autoSpaceDN w:val="0"/>
              <w:bidi w:val="0"/>
              <w:adjustRightInd/>
              <w:snapToGrid/>
              <w:spacing w:line="340" w:lineRule="exact"/>
              <w:ind w:left="0" w:leftChars="0" w:firstLine="0" w:firstLineChars="0"/>
              <w:jc w:val="both"/>
              <w:textAlignment w:val="auto"/>
              <w:rPr>
                <w:rFonts w:hint="eastAsia" w:ascii="宋体" w:hAnsi="Times New Roman" w:eastAsia="宋体" w:cs="Times New Roman"/>
                <w:highlight w:val="none"/>
                <w:vertAlign w:val="baseline"/>
                <w:lang w:val="en-US" w:eastAsia="zh-CN"/>
              </w:rPr>
            </w:pPr>
            <w:r>
              <w:rPr>
                <w:rFonts w:hint="eastAsia" w:ascii="宋体" w:hAnsi="Times New Roman" w:eastAsia="宋体" w:cs="Times New Roman"/>
                <w:highlight w:val="none"/>
                <w:vertAlign w:val="baseline"/>
                <w:lang w:val="en-US" w:eastAsia="zh-CN"/>
              </w:rPr>
              <w:t>2.稳定群众情绪，现场安全工作人员及时组织现场群众有序疏散，防止因过度拥挤发生重大伤亡事故；</w:t>
            </w:r>
          </w:p>
          <w:p>
            <w:pPr>
              <w:pStyle w:val="57"/>
              <w:keepNext w:val="0"/>
              <w:keepLines w:val="0"/>
              <w:pageBreakBefore w:val="0"/>
              <w:widowControl/>
              <w:kinsoku/>
              <w:wordWrap/>
              <w:overflowPunct/>
              <w:topLinePunct w:val="0"/>
              <w:autoSpaceDE w:val="0"/>
              <w:autoSpaceDN w:val="0"/>
              <w:bidi w:val="0"/>
              <w:adjustRightInd/>
              <w:snapToGrid/>
              <w:spacing w:line="340" w:lineRule="exact"/>
              <w:ind w:left="0" w:leftChars="0" w:firstLine="0" w:firstLineChars="0"/>
              <w:jc w:val="both"/>
              <w:textAlignment w:val="auto"/>
              <w:rPr>
                <w:rFonts w:hint="eastAsia" w:ascii="宋体" w:hAnsi="Times New Roman" w:eastAsia="宋体" w:cs="Times New Roman"/>
                <w:highlight w:val="none"/>
                <w:vertAlign w:val="baseline"/>
                <w:lang w:val="en-US" w:eastAsia="zh-CN"/>
              </w:rPr>
            </w:pPr>
            <w:r>
              <w:rPr>
                <w:rFonts w:hint="eastAsia" w:ascii="宋体" w:hAnsi="Times New Roman" w:eastAsia="宋体" w:cs="Times New Roman"/>
                <w:highlight w:val="none"/>
                <w:vertAlign w:val="baseline"/>
                <w:lang w:val="en-US" w:eastAsia="zh-CN"/>
              </w:rPr>
              <w:t>3.协助卫生医疗部门，对受伤人员积极采取措施进行抢救；</w:t>
            </w:r>
          </w:p>
          <w:p>
            <w:pPr>
              <w:pStyle w:val="57"/>
              <w:keepNext w:val="0"/>
              <w:keepLines w:val="0"/>
              <w:pageBreakBefore w:val="0"/>
              <w:widowControl/>
              <w:kinsoku/>
              <w:wordWrap/>
              <w:overflowPunct/>
              <w:topLinePunct w:val="0"/>
              <w:autoSpaceDE w:val="0"/>
              <w:autoSpaceDN w:val="0"/>
              <w:bidi w:val="0"/>
              <w:adjustRightInd/>
              <w:snapToGrid/>
              <w:spacing w:line="340" w:lineRule="exact"/>
              <w:ind w:left="0" w:leftChars="0" w:firstLine="0" w:firstLineChars="0"/>
              <w:jc w:val="both"/>
              <w:textAlignment w:val="auto"/>
              <w:rPr>
                <w:rFonts w:hint="eastAsia" w:ascii="宋体" w:hAnsi="Times New Roman" w:eastAsia="宋体" w:cs="Times New Roman"/>
                <w:highlight w:val="none"/>
                <w:vertAlign w:val="baseline"/>
                <w:lang w:val="en-US" w:eastAsia="zh-CN"/>
              </w:rPr>
            </w:pPr>
            <w:r>
              <w:rPr>
                <w:rFonts w:hint="eastAsia" w:ascii="宋体" w:hAnsi="Times New Roman" w:eastAsia="宋体" w:cs="Times New Roman"/>
                <w:highlight w:val="none"/>
                <w:vertAlign w:val="baseline"/>
                <w:lang w:val="en-US" w:eastAsia="zh-CN"/>
              </w:rPr>
              <w:t>4.防止现场发生骚乱；</w:t>
            </w:r>
          </w:p>
          <w:p>
            <w:pPr>
              <w:pStyle w:val="57"/>
              <w:keepNext w:val="0"/>
              <w:keepLines w:val="0"/>
              <w:pageBreakBefore w:val="0"/>
              <w:widowControl/>
              <w:kinsoku/>
              <w:wordWrap/>
              <w:overflowPunct/>
              <w:topLinePunct w:val="0"/>
              <w:autoSpaceDE w:val="0"/>
              <w:autoSpaceDN w:val="0"/>
              <w:bidi w:val="0"/>
              <w:adjustRightInd/>
              <w:snapToGrid/>
              <w:spacing w:line="340" w:lineRule="exact"/>
              <w:ind w:left="0" w:leftChars="0" w:firstLine="0" w:firstLineChars="0"/>
              <w:jc w:val="both"/>
              <w:textAlignment w:val="auto"/>
              <w:rPr>
                <w:rFonts w:hint="default"/>
                <w:highlight w:val="none"/>
                <w:vertAlign w:val="baseline"/>
                <w:lang w:val="en-US" w:eastAsia="zh-CN"/>
              </w:rPr>
            </w:pPr>
            <w:r>
              <w:rPr>
                <w:rFonts w:hint="eastAsia" w:ascii="宋体" w:hAnsi="Times New Roman" w:eastAsia="宋体" w:cs="Times New Roman"/>
                <w:highlight w:val="none"/>
                <w:vertAlign w:val="baseline"/>
                <w:lang w:val="en-US" w:eastAsia="zh-CN"/>
              </w:rPr>
              <w:t>5.配合警方进行调查取证。</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429" w:hRule="atLeast"/>
          <w:jc w:val="center"/>
        </w:trPr>
        <w:tc>
          <w:tcPr>
            <w:tcW w:w="1246" w:type="dxa"/>
            <w:tcBorders>
              <w:tl2br w:val="nil"/>
              <w:tr2bl w:val="nil"/>
            </w:tcBorders>
            <w:vAlign w:val="center"/>
          </w:tcPr>
          <w:p>
            <w:pPr>
              <w:pStyle w:val="57"/>
              <w:keepNext w:val="0"/>
              <w:keepLines w:val="0"/>
              <w:pageBreakBefore w:val="0"/>
              <w:widowControl/>
              <w:kinsoku/>
              <w:wordWrap/>
              <w:overflowPunct/>
              <w:topLinePunct w:val="0"/>
              <w:autoSpaceDE w:val="0"/>
              <w:autoSpaceDN w:val="0"/>
              <w:bidi w:val="0"/>
              <w:adjustRightInd/>
              <w:snapToGrid/>
              <w:spacing w:line="340" w:lineRule="exact"/>
              <w:ind w:left="0" w:leftChars="0" w:firstLine="0" w:firstLineChars="0"/>
              <w:jc w:val="center"/>
              <w:textAlignment w:val="auto"/>
              <w:rPr>
                <w:rFonts w:hint="default"/>
                <w:highlight w:val="none"/>
                <w:vertAlign w:val="baseline"/>
                <w:lang w:val="en-US" w:eastAsia="zh-CN"/>
              </w:rPr>
            </w:pPr>
            <w:r>
              <w:rPr>
                <w:rFonts w:hint="eastAsia"/>
                <w:highlight w:val="none"/>
                <w:vertAlign w:val="baseline"/>
                <w:lang w:val="en-US" w:eastAsia="zh-CN"/>
              </w:rPr>
              <w:t>2</w:t>
            </w:r>
          </w:p>
        </w:tc>
        <w:tc>
          <w:tcPr>
            <w:tcW w:w="2977" w:type="dxa"/>
            <w:tcBorders>
              <w:tl2br w:val="nil"/>
              <w:tr2bl w:val="nil"/>
            </w:tcBorders>
            <w:vAlign w:val="center"/>
          </w:tcPr>
          <w:p>
            <w:pPr>
              <w:pStyle w:val="57"/>
              <w:keepNext w:val="0"/>
              <w:keepLines w:val="0"/>
              <w:pageBreakBefore w:val="0"/>
              <w:widowControl/>
              <w:kinsoku/>
              <w:wordWrap/>
              <w:overflowPunct/>
              <w:topLinePunct w:val="0"/>
              <w:autoSpaceDE w:val="0"/>
              <w:autoSpaceDN w:val="0"/>
              <w:bidi w:val="0"/>
              <w:adjustRightInd/>
              <w:snapToGrid/>
              <w:spacing w:line="340" w:lineRule="exact"/>
              <w:ind w:left="0" w:leftChars="0" w:firstLine="0" w:firstLineChars="0"/>
              <w:jc w:val="both"/>
              <w:textAlignment w:val="auto"/>
              <w:rPr>
                <w:rFonts w:hint="default"/>
                <w:highlight w:val="none"/>
                <w:vertAlign w:val="baseline"/>
                <w:lang w:val="en-US" w:eastAsia="zh-CN"/>
              </w:rPr>
            </w:pPr>
            <w:r>
              <w:rPr>
                <w:rFonts w:hint="eastAsia" w:ascii="宋体" w:hAnsi="Times New Roman" w:eastAsia="宋体" w:cs="Times New Roman"/>
                <w:highlight w:val="none"/>
                <w:vertAlign w:val="baseline"/>
                <w:lang w:val="en-US" w:eastAsia="zh-CN"/>
              </w:rPr>
              <w:t>现场群众争吵、斗殴等事件</w:t>
            </w:r>
          </w:p>
        </w:tc>
        <w:tc>
          <w:tcPr>
            <w:tcW w:w="3927" w:type="dxa"/>
            <w:tcBorders>
              <w:tl2br w:val="nil"/>
              <w:tr2bl w:val="nil"/>
            </w:tcBorders>
            <w:vAlign w:val="center"/>
          </w:tcPr>
          <w:p>
            <w:pPr>
              <w:pStyle w:val="57"/>
              <w:keepNext w:val="0"/>
              <w:keepLines w:val="0"/>
              <w:pageBreakBefore w:val="0"/>
              <w:widowControl/>
              <w:kinsoku/>
              <w:wordWrap/>
              <w:overflowPunct/>
              <w:topLinePunct w:val="0"/>
              <w:autoSpaceDE w:val="0"/>
              <w:autoSpaceDN w:val="0"/>
              <w:bidi w:val="0"/>
              <w:adjustRightInd/>
              <w:snapToGrid/>
              <w:spacing w:line="340" w:lineRule="exact"/>
              <w:ind w:left="0" w:leftChars="0" w:firstLine="0" w:firstLineChars="0"/>
              <w:jc w:val="both"/>
              <w:textAlignment w:val="auto"/>
              <w:rPr>
                <w:rFonts w:hint="eastAsia" w:ascii="宋体" w:hAnsi="Times New Roman" w:eastAsia="宋体" w:cs="Times New Roman"/>
                <w:highlight w:val="none"/>
                <w:vertAlign w:val="baseline"/>
                <w:lang w:val="en-US" w:eastAsia="zh-CN"/>
              </w:rPr>
            </w:pPr>
            <w:r>
              <w:rPr>
                <w:rFonts w:hint="eastAsia" w:ascii="宋体" w:hAnsi="Times New Roman" w:eastAsia="宋体" w:cs="Times New Roman"/>
                <w:highlight w:val="none"/>
                <w:vertAlign w:val="baseline"/>
                <w:lang w:val="en-US" w:eastAsia="zh-CN"/>
              </w:rPr>
              <w:t>在第一时间向辖区公安机关报告的同时采取以下紧急措施：</w:t>
            </w:r>
          </w:p>
          <w:p>
            <w:pPr>
              <w:pStyle w:val="57"/>
              <w:keepNext w:val="0"/>
              <w:keepLines w:val="0"/>
              <w:pageBreakBefore w:val="0"/>
              <w:widowControl/>
              <w:kinsoku/>
              <w:wordWrap/>
              <w:overflowPunct/>
              <w:topLinePunct w:val="0"/>
              <w:autoSpaceDE w:val="0"/>
              <w:autoSpaceDN w:val="0"/>
              <w:bidi w:val="0"/>
              <w:adjustRightInd/>
              <w:snapToGrid/>
              <w:spacing w:line="340" w:lineRule="exact"/>
              <w:ind w:left="0" w:leftChars="0" w:firstLine="0" w:firstLineChars="0"/>
              <w:jc w:val="both"/>
              <w:textAlignment w:val="auto"/>
              <w:rPr>
                <w:rFonts w:hint="eastAsia" w:ascii="宋体" w:hAnsi="Times New Roman" w:eastAsia="宋体" w:cs="Times New Roman"/>
                <w:highlight w:val="none"/>
                <w:vertAlign w:val="baseline"/>
                <w:lang w:val="en-US" w:eastAsia="zh-CN"/>
              </w:rPr>
            </w:pPr>
            <w:r>
              <w:rPr>
                <w:rFonts w:hint="eastAsia" w:ascii="宋体" w:hAnsi="Times New Roman" w:eastAsia="宋体" w:cs="Times New Roman"/>
                <w:highlight w:val="none"/>
                <w:vertAlign w:val="baseline"/>
                <w:lang w:val="en-US" w:eastAsia="zh-CN"/>
              </w:rPr>
              <w:t>1.组织现场安保人员及时制止争吵、斗殴行为；</w:t>
            </w:r>
          </w:p>
          <w:p>
            <w:pPr>
              <w:pStyle w:val="57"/>
              <w:keepNext w:val="0"/>
              <w:keepLines w:val="0"/>
              <w:pageBreakBefore w:val="0"/>
              <w:widowControl/>
              <w:kinsoku/>
              <w:wordWrap/>
              <w:overflowPunct/>
              <w:topLinePunct w:val="0"/>
              <w:autoSpaceDE w:val="0"/>
              <w:autoSpaceDN w:val="0"/>
              <w:bidi w:val="0"/>
              <w:adjustRightInd/>
              <w:snapToGrid/>
              <w:spacing w:line="340" w:lineRule="exact"/>
              <w:ind w:left="0" w:leftChars="0" w:firstLine="0" w:firstLineChars="0"/>
              <w:jc w:val="both"/>
              <w:textAlignment w:val="auto"/>
              <w:rPr>
                <w:rFonts w:hint="eastAsia" w:ascii="宋体" w:hAnsi="Times New Roman" w:eastAsia="宋体" w:cs="Times New Roman"/>
                <w:highlight w:val="none"/>
                <w:vertAlign w:val="baseline"/>
                <w:lang w:val="en-US" w:eastAsia="zh-CN"/>
              </w:rPr>
            </w:pPr>
            <w:r>
              <w:rPr>
                <w:rFonts w:hint="eastAsia" w:ascii="宋体" w:hAnsi="Times New Roman" w:eastAsia="宋体" w:cs="Times New Roman"/>
                <w:highlight w:val="none"/>
                <w:vertAlign w:val="baseline"/>
                <w:lang w:val="en-US" w:eastAsia="zh-CN"/>
              </w:rPr>
              <w:t>2.迅速将当事人带离现场，移交最近治安亭等候警方到来；</w:t>
            </w:r>
          </w:p>
          <w:p>
            <w:pPr>
              <w:pStyle w:val="57"/>
              <w:keepNext w:val="0"/>
              <w:keepLines w:val="0"/>
              <w:pageBreakBefore w:val="0"/>
              <w:widowControl/>
              <w:kinsoku/>
              <w:wordWrap/>
              <w:overflowPunct/>
              <w:topLinePunct w:val="0"/>
              <w:autoSpaceDE w:val="0"/>
              <w:autoSpaceDN w:val="0"/>
              <w:bidi w:val="0"/>
              <w:adjustRightInd/>
              <w:snapToGrid/>
              <w:spacing w:line="340" w:lineRule="exact"/>
              <w:ind w:left="0" w:leftChars="0" w:firstLine="0" w:firstLineChars="0"/>
              <w:jc w:val="both"/>
              <w:textAlignment w:val="auto"/>
              <w:rPr>
                <w:rFonts w:hint="default"/>
                <w:highlight w:val="none"/>
                <w:vertAlign w:val="baseline"/>
                <w:lang w:val="en-US" w:eastAsia="zh-CN"/>
              </w:rPr>
            </w:pPr>
            <w:r>
              <w:rPr>
                <w:rFonts w:hint="eastAsia" w:ascii="宋体" w:hAnsi="Times New Roman" w:eastAsia="宋体" w:cs="Times New Roman"/>
                <w:highlight w:val="none"/>
                <w:vertAlign w:val="baseline"/>
                <w:lang w:val="en-US" w:eastAsia="zh-CN"/>
              </w:rPr>
              <w:t>3.协助警方进行调查取证。</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49" w:hRule="atLeast"/>
          <w:jc w:val="center"/>
        </w:trPr>
        <w:tc>
          <w:tcPr>
            <w:tcW w:w="1246" w:type="dxa"/>
            <w:tcBorders>
              <w:tl2br w:val="nil"/>
              <w:tr2bl w:val="nil"/>
            </w:tcBorders>
            <w:vAlign w:val="center"/>
          </w:tcPr>
          <w:p>
            <w:pPr>
              <w:pStyle w:val="57"/>
              <w:keepNext w:val="0"/>
              <w:keepLines w:val="0"/>
              <w:pageBreakBefore w:val="0"/>
              <w:widowControl/>
              <w:kinsoku/>
              <w:wordWrap/>
              <w:overflowPunct/>
              <w:topLinePunct w:val="0"/>
              <w:autoSpaceDE w:val="0"/>
              <w:autoSpaceDN w:val="0"/>
              <w:bidi w:val="0"/>
              <w:adjustRightInd/>
              <w:snapToGrid/>
              <w:spacing w:line="340" w:lineRule="exact"/>
              <w:ind w:left="0" w:leftChars="0" w:firstLine="0" w:firstLineChars="0"/>
              <w:jc w:val="center"/>
              <w:textAlignment w:val="auto"/>
              <w:rPr>
                <w:rFonts w:hint="default"/>
                <w:highlight w:val="none"/>
                <w:vertAlign w:val="baseline"/>
                <w:lang w:val="en-US" w:eastAsia="zh-CN"/>
              </w:rPr>
            </w:pPr>
            <w:r>
              <w:rPr>
                <w:rFonts w:hint="eastAsia"/>
                <w:highlight w:val="none"/>
                <w:vertAlign w:val="baseline"/>
                <w:lang w:val="en-US" w:eastAsia="zh-CN"/>
              </w:rPr>
              <w:t>3</w:t>
            </w:r>
          </w:p>
        </w:tc>
        <w:tc>
          <w:tcPr>
            <w:tcW w:w="2977" w:type="dxa"/>
            <w:tcBorders>
              <w:tl2br w:val="nil"/>
              <w:tr2bl w:val="nil"/>
            </w:tcBorders>
            <w:vAlign w:val="center"/>
          </w:tcPr>
          <w:p>
            <w:pPr>
              <w:pStyle w:val="57"/>
              <w:keepNext w:val="0"/>
              <w:keepLines w:val="0"/>
              <w:pageBreakBefore w:val="0"/>
              <w:widowControl/>
              <w:kinsoku/>
              <w:wordWrap/>
              <w:overflowPunct/>
              <w:topLinePunct w:val="0"/>
              <w:autoSpaceDE w:val="0"/>
              <w:autoSpaceDN w:val="0"/>
              <w:bidi w:val="0"/>
              <w:adjustRightInd/>
              <w:snapToGrid/>
              <w:spacing w:line="340" w:lineRule="exact"/>
              <w:ind w:left="0" w:leftChars="0" w:firstLine="0" w:firstLineChars="0"/>
              <w:jc w:val="both"/>
              <w:textAlignment w:val="auto"/>
              <w:rPr>
                <w:rFonts w:hint="default"/>
                <w:highlight w:val="none"/>
                <w:vertAlign w:val="baseline"/>
                <w:lang w:val="en-US" w:eastAsia="zh-CN"/>
              </w:rPr>
            </w:pPr>
            <w:r>
              <w:rPr>
                <w:rFonts w:hint="eastAsia" w:ascii="宋体" w:hAnsi="Times New Roman" w:eastAsia="宋体" w:cs="Times New Roman"/>
                <w:highlight w:val="none"/>
                <w:vertAlign w:val="baseline"/>
                <w:lang w:val="en-US" w:eastAsia="zh-CN"/>
              </w:rPr>
              <w:t>发生建筑或临时建筑倒塌，造成人员伤亡等事故</w:t>
            </w:r>
          </w:p>
        </w:tc>
        <w:tc>
          <w:tcPr>
            <w:tcW w:w="3927" w:type="dxa"/>
            <w:tcBorders>
              <w:tl2br w:val="nil"/>
              <w:tr2bl w:val="nil"/>
            </w:tcBorders>
            <w:vAlign w:val="center"/>
          </w:tcPr>
          <w:p>
            <w:pPr>
              <w:pStyle w:val="57"/>
              <w:keepNext w:val="0"/>
              <w:keepLines w:val="0"/>
              <w:pageBreakBefore w:val="0"/>
              <w:widowControl/>
              <w:kinsoku/>
              <w:wordWrap/>
              <w:overflowPunct/>
              <w:topLinePunct w:val="0"/>
              <w:autoSpaceDE w:val="0"/>
              <w:autoSpaceDN w:val="0"/>
              <w:bidi w:val="0"/>
              <w:adjustRightInd/>
              <w:snapToGrid/>
              <w:spacing w:line="340" w:lineRule="exact"/>
              <w:ind w:left="0" w:leftChars="0" w:firstLine="0" w:firstLineChars="0"/>
              <w:jc w:val="both"/>
              <w:textAlignment w:val="auto"/>
              <w:rPr>
                <w:rFonts w:hint="eastAsia" w:ascii="宋体" w:hAnsi="Times New Roman" w:eastAsia="宋体" w:cs="Times New Roman"/>
                <w:highlight w:val="none"/>
                <w:vertAlign w:val="baseline"/>
                <w:lang w:val="en-US" w:eastAsia="zh-CN"/>
              </w:rPr>
            </w:pPr>
            <w:r>
              <w:rPr>
                <w:rFonts w:hint="eastAsia" w:ascii="宋体" w:hAnsi="Times New Roman" w:eastAsia="宋体" w:cs="Times New Roman"/>
                <w:highlight w:val="none"/>
                <w:vertAlign w:val="baseline"/>
                <w:lang w:val="en-US" w:eastAsia="zh-CN"/>
              </w:rPr>
              <w:t>在第一时间向辖区公安机关报告的同时采取以下紧急措施：</w:t>
            </w:r>
          </w:p>
          <w:p>
            <w:pPr>
              <w:pStyle w:val="57"/>
              <w:keepNext w:val="0"/>
              <w:keepLines w:val="0"/>
              <w:pageBreakBefore w:val="0"/>
              <w:widowControl/>
              <w:numPr>
                <w:ilvl w:val="0"/>
                <w:numId w:val="0"/>
              </w:numPr>
              <w:kinsoku/>
              <w:wordWrap/>
              <w:overflowPunct/>
              <w:topLinePunct w:val="0"/>
              <w:autoSpaceDE w:val="0"/>
              <w:autoSpaceDN w:val="0"/>
              <w:bidi w:val="0"/>
              <w:adjustRightInd/>
              <w:snapToGrid/>
              <w:spacing w:line="340" w:lineRule="exact"/>
              <w:ind w:leftChars="0"/>
              <w:jc w:val="both"/>
              <w:textAlignment w:val="auto"/>
              <w:rPr>
                <w:rFonts w:hint="eastAsia" w:ascii="宋体" w:hAnsi="Times New Roman" w:eastAsia="宋体" w:cs="Times New Roman"/>
                <w:highlight w:val="none"/>
                <w:vertAlign w:val="baseline"/>
                <w:lang w:val="en-US" w:eastAsia="zh-CN"/>
              </w:rPr>
            </w:pPr>
            <w:r>
              <w:rPr>
                <w:rFonts w:hint="eastAsia" w:ascii="宋体" w:hAnsi="Times New Roman" w:eastAsia="宋体" w:cs="Times New Roman"/>
                <w:highlight w:val="none"/>
                <w:vertAlign w:val="baseline"/>
                <w:lang w:val="en-US" w:eastAsia="zh-CN"/>
              </w:rPr>
              <w:t>1.稳定群众情绪，防止出现全场骚乱；</w:t>
            </w:r>
          </w:p>
          <w:p>
            <w:pPr>
              <w:pStyle w:val="57"/>
              <w:keepNext w:val="0"/>
              <w:keepLines w:val="0"/>
              <w:pageBreakBefore w:val="0"/>
              <w:widowControl/>
              <w:numPr>
                <w:ilvl w:val="0"/>
                <w:numId w:val="0"/>
              </w:numPr>
              <w:kinsoku/>
              <w:wordWrap/>
              <w:overflowPunct/>
              <w:topLinePunct w:val="0"/>
              <w:autoSpaceDE w:val="0"/>
              <w:autoSpaceDN w:val="0"/>
              <w:bidi w:val="0"/>
              <w:adjustRightInd/>
              <w:snapToGrid/>
              <w:spacing w:line="340" w:lineRule="exact"/>
              <w:ind w:leftChars="0"/>
              <w:jc w:val="both"/>
              <w:textAlignment w:val="auto"/>
              <w:rPr>
                <w:rFonts w:hint="eastAsia" w:ascii="宋体" w:hAnsi="Times New Roman" w:eastAsia="宋体" w:cs="Times New Roman"/>
                <w:highlight w:val="none"/>
                <w:vertAlign w:val="baseline"/>
                <w:lang w:val="en-US" w:eastAsia="zh-CN"/>
              </w:rPr>
            </w:pPr>
            <w:r>
              <w:rPr>
                <w:rFonts w:hint="eastAsia" w:ascii="宋体" w:hAnsi="Times New Roman" w:eastAsia="宋体" w:cs="Times New Roman"/>
                <w:highlight w:val="none"/>
                <w:vertAlign w:val="baseline"/>
                <w:lang w:val="en-US" w:eastAsia="zh-CN"/>
              </w:rPr>
              <w:t>2.配合公安机关立即组织力量撤离观众，救护伤员，并将现场情况报告安保工作领导小组；</w:t>
            </w:r>
          </w:p>
          <w:p>
            <w:pPr>
              <w:pStyle w:val="57"/>
              <w:keepNext w:val="0"/>
              <w:keepLines w:val="0"/>
              <w:pageBreakBefore w:val="0"/>
              <w:widowControl/>
              <w:kinsoku/>
              <w:wordWrap/>
              <w:overflowPunct/>
              <w:topLinePunct w:val="0"/>
              <w:autoSpaceDE w:val="0"/>
              <w:autoSpaceDN w:val="0"/>
              <w:bidi w:val="0"/>
              <w:adjustRightInd/>
              <w:snapToGrid/>
              <w:spacing w:line="340" w:lineRule="exact"/>
              <w:ind w:left="0" w:leftChars="0" w:firstLine="0" w:firstLineChars="0"/>
              <w:jc w:val="both"/>
              <w:textAlignment w:val="auto"/>
              <w:rPr>
                <w:rFonts w:hint="eastAsia" w:ascii="宋体" w:hAnsi="Times New Roman" w:eastAsia="宋体" w:cs="Times New Roman"/>
                <w:highlight w:val="none"/>
                <w:vertAlign w:val="baseline"/>
                <w:lang w:val="en-US" w:eastAsia="zh-CN"/>
              </w:rPr>
            </w:pPr>
            <w:r>
              <w:rPr>
                <w:rFonts w:hint="eastAsia" w:ascii="宋体" w:hAnsi="Times New Roman" w:eastAsia="宋体" w:cs="Times New Roman"/>
                <w:highlight w:val="none"/>
                <w:vertAlign w:val="baseline"/>
                <w:lang w:val="en-US" w:eastAsia="zh-CN"/>
              </w:rPr>
              <w:t>3.调动应急处置力量，配合有关部门进行控制、救护、调查取证等工作；</w:t>
            </w:r>
          </w:p>
          <w:p>
            <w:pPr>
              <w:pStyle w:val="57"/>
              <w:keepNext w:val="0"/>
              <w:keepLines w:val="0"/>
              <w:pageBreakBefore w:val="0"/>
              <w:widowControl/>
              <w:kinsoku/>
              <w:wordWrap/>
              <w:overflowPunct/>
              <w:topLinePunct w:val="0"/>
              <w:autoSpaceDE w:val="0"/>
              <w:autoSpaceDN w:val="0"/>
              <w:bidi w:val="0"/>
              <w:adjustRightInd/>
              <w:snapToGrid/>
              <w:spacing w:line="340" w:lineRule="exact"/>
              <w:ind w:left="0" w:leftChars="0" w:firstLine="0" w:firstLineChars="0"/>
              <w:jc w:val="both"/>
              <w:textAlignment w:val="auto"/>
              <w:rPr>
                <w:rFonts w:hint="default"/>
                <w:highlight w:val="none"/>
                <w:vertAlign w:val="baseline"/>
                <w:lang w:val="en-US" w:eastAsia="zh-CN"/>
              </w:rPr>
            </w:pPr>
            <w:r>
              <w:rPr>
                <w:rFonts w:hint="eastAsia" w:ascii="宋体" w:hAnsi="Times New Roman" w:eastAsia="宋体" w:cs="Times New Roman"/>
                <w:highlight w:val="none"/>
                <w:vertAlign w:val="baseline"/>
                <w:lang w:val="en-US" w:eastAsia="zh-CN"/>
              </w:rPr>
              <w:t>4.出入口的安全工作人员要严密控制，保证通道畅通。</w:t>
            </w:r>
          </w:p>
        </w:tc>
      </w:tr>
    </w:tbl>
    <w:p>
      <w:pPr>
        <w:pStyle w:val="57"/>
        <w:ind w:left="0" w:leftChars="0" w:firstLine="0" w:firstLineChars="0"/>
        <w:jc w:val="center"/>
        <w:rPr>
          <w:rFonts w:hint="eastAsia"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表A.1</w:t>
      </w:r>
      <w:r>
        <w:rPr>
          <w:rFonts w:hint="eastAsia"/>
          <w:highlight w:val="none"/>
          <w:lang w:val="en-US" w:eastAsia="zh-CN"/>
        </w:rPr>
        <w:t xml:space="preserve">  </w:t>
      </w:r>
      <w:r>
        <w:rPr>
          <w:rFonts w:hint="eastAsia" w:ascii="黑体" w:hAnsi="黑体" w:eastAsia="黑体" w:cs="黑体"/>
          <w:b w:val="0"/>
          <w:bCs w:val="0"/>
          <w:sz w:val="24"/>
          <w:szCs w:val="24"/>
        </w:rPr>
        <w:t>公共体育场馆大型群众性活动</w:t>
      </w:r>
      <w:r>
        <w:rPr>
          <w:rFonts w:hint="eastAsia" w:ascii="黑体" w:hAnsi="黑体" w:eastAsia="黑体" w:cs="黑体"/>
          <w:b w:val="0"/>
          <w:bCs w:val="0"/>
          <w:sz w:val="24"/>
          <w:szCs w:val="24"/>
          <w:lang w:eastAsia="zh-CN"/>
        </w:rPr>
        <w:t>突发事件应急处置</w:t>
      </w:r>
      <w:r>
        <w:rPr>
          <w:rFonts w:hint="eastAsia" w:ascii="黑体" w:hAnsi="黑体" w:eastAsia="黑体" w:cs="黑体"/>
          <w:b w:val="0"/>
          <w:bCs w:val="0"/>
          <w:sz w:val="24"/>
          <w:szCs w:val="24"/>
          <w:lang w:val="en-US" w:eastAsia="zh-CN"/>
        </w:rPr>
        <w:t>要求（续）</w:t>
      </w:r>
    </w:p>
    <w:p>
      <w:pPr>
        <w:pStyle w:val="57"/>
        <w:keepNext w:val="0"/>
        <w:keepLines w:val="0"/>
        <w:pageBreakBefore w:val="0"/>
        <w:widowControl/>
        <w:kinsoku/>
        <w:wordWrap/>
        <w:overflowPunct/>
        <w:topLinePunct w:val="0"/>
        <w:autoSpaceDE w:val="0"/>
        <w:autoSpaceDN w:val="0"/>
        <w:bidi w:val="0"/>
        <w:adjustRightInd/>
        <w:snapToGrid/>
        <w:spacing w:line="160" w:lineRule="exact"/>
        <w:ind w:left="0" w:leftChars="0" w:firstLine="0" w:firstLineChars="0"/>
        <w:jc w:val="center"/>
        <w:textAlignment w:val="auto"/>
        <w:rPr>
          <w:rFonts w:hint="default" w:ascii="黑体" w:hAnsi="黑体" w:eastAsia="黑体" w:cs="黑体"/>
          <w:b w:val="0"/>
          <w:bCs w:val="0"/>
          <w:sz w:val="24"/>
          <w:szCs w:val="24"/>
          <w:lang w:val="en-US" w:eastAsia="zh-CN"/>
        </w:rPr>
      </w:pPr>
    </w:p>
    <w:tbl>
      <w:tblPr>
        <w:tblStyle w:val="28"/>
        <w:tblW w:w="8146"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246"/>
        <w:gridCol w:w="2585"/>
        <w:gridCol w:w="4315"/>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85" w:hRule="atLeast"/>
          <w:jc w:val="center"/>
        </w:trPr>
        <w:tc>
          <w:tcPr>
            <w:tcW w:w="1246" w:type="dxa"/>
            <w:tcBorders>
              <w:tl2br w:val="nil"/>
              <w:tr2bl w:val="nil"/>
            </w:tcBorders>
            <w:vAlign w:val="center"/>
          </w:tcPr>
          <w:p>
            <w:pPr>
              <w:pStyle w:val="57"/>
              <w:ind w:left="0" w:leftChars="0" w:firstLine="0" w:firstLineChars="0"/>
              <w:jc w:val="center"/>
              <w:rPr>
                <w:rFonts w:hint="default"/>
                <w:highlight w:val="none"/>
                <w:vertAlign w:val="baseline"/>
                <w:lang w:val="en-US" w:eastAsia="zh-CN"/>
              </w:rPr>
            </w:pPr>
            <w:r>
              <w:rPr>
                <w:rFonts w:hint="eastAsia"/>
                <w:highlight w:val="none"/>
                <w:vertAlign w:val="baseline"/>
                <w:lang w:val="en-US" w:eastAsia="zh-CN"/>
              </w:rPr>
              <w:t>序号</w:t>
            </w:r>
          </w:p>
        </w:tc>
        <w:tc>
          <w:tcPr>
            <w:tcW w:w="2585" w:type="dxa"/>
            <w:tcBorders>
              <w:tl2br w:val="nil"/>
              <w:tr2bl w:val="nil"/>
            </w:tcBorders>
            <w:vAlign w:val="center"/>
          </w:tcPr>
          <w:p>
            <w:pPr>
              <w:pStyle w:val="57"/>
              <w:ind w:left="0" w:leftChars="0" w:firstLine="0" w:firstLineChars="0"/>
              <w:jc w:val="center"/>
              <w:rPr>
                <w:rFonts w:hint="default"/>
                <w:highlight w:val="none"/>
                <w:vertAlign w:val="baseline"/>
                <w:lang w:val="en-US" w:eastAsia="zh-CN"/>
              </w:rPr>
            </w:pPr>
            <w:r>
              <w:rPr>
                <w:rFonts w:hint="eastAsia"/>
                <w:highlight w:val="none"/>
                <w:vertAlign w:val="baseline"/>
                <w:lang w:val="en-US" w:eastAsia="zh-CN"/>
              </w:rPr>
              <w:t>突发事件描述</w:t>
            </w:r>
          </w:p>
        </w:tc>
        <w:tc>
          <w:tcPr>
            <w:tcW w:w="4315" w:type="dxa"/>
            <w:tcBorders>
              <w:tl2br w:val="nil"/>
              <w:tr2bl w:val="nil"/>
            </w:tcBorders>
            <w:vAlign w:val="center"/>
          </w:tcPr>
          <w:p>
            <w:pPr>
              <w:pStyle w:val="57"/>
              <w:ind w:left="0" w:leftChars="0" w:firstLine="0" w:firstLineChars="0"/>
              <w:jc w:val="center"/>
              <w:rPr>
                <w:rFonts w:hint="default"/>
                <w:highlight w:val="none"/>
                <w:vertAlign w:val="baseline"/>
                <w:lang w:val="en-US" w:eastAsia="zh-CN"/>
              </w:rPr>
            </w:pPr>
            <w:r>
              <w:rPr>
                <w:rFonts w:hint="eastAsia"/>
                <w:highlight w:val="none"/>
                <w:vertAlign w:val="baseline"/>
                <w:lang w:val="en-US" w:eastAsia="zh-CN"/>
              </w:rPr>
              <w:t>处理措施</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720" w:hRule="atLeast"/>
          <w:jc w:val="center"/>
        </w:trPr>
        <w:tc>
          <w:tcPr>
            <w:tcW w:w="1246" w:type="dxa"/>
            <w:tcBorders>
              <w:tl2br w:val="nil"/>
              <w:tr2bl w:val="nil"/>
            </w:tcBorders>
            <w:vAlign w:val="center"/>
          </w:tcPr>
          <w:p>
            <w:pPr>
              <w:pStyle w:val="57"/>
              <w:keepNext w:val="0"/>
              <w:keepLines w:val="0"/>
              <w:pageBreakBefore w:val="0"/>
              <w:widowControl/>
              <w:kinsoku/>
              <w:wordWrap/>
              <w:overflowPunct/>
              <w:topLinePunct w:val="0"/>
              <w:autoSpaceDE w:val="0"/>
              <w:autoSpaceDN w:val="0"/>
              <w:bidi w:val="0"/>
              <w:adjustRightInd/>
              <w:snapToGrid/>
              <w:spacing w:line="300" w:lineRule="exact"/>
              <w:ind w:left="0" w:leftChars="0" w:firstLine="0" w:firstLineChars="0"/>
              <w:jc w:val="center"/>
              <w:textAlignment w:val="auto"/>
              <w:rPr>
                <w:rFonts w:hint="default"/>
                <w:highlight w:val="none"/>
                <w:vertAlign w:val="baseline"/>
                <w:lang w:val="en-US" w:eastAsia="zh-CN"/>
              </w:rPr>
            </w:pPr>
            <w:r>
              <w:rPr>
                <w:rFonts w:hint="eastAsia"/>
                <w:highlight w:val="none"/>
                <w:vertAlign w:val="baseline"/>
                <w:lang w:val="en-US" w:eastAsia="zh-CN"/>
              </w:rPr>
              <w:t>4</w:t>
            </w:r>
          </w:p>
        </w:tc>
        <w:tc>
          <w:tcPr>
            <w:tcW w:w="2585" w:type="dxa"/>
            <w:tcBorders>
              <w:tl2br w:val="nil"/>
              <w:tr2bl w:val="nil"/>
            </w:tcBorders>
            <w:vAlign w:val="center"/>
          </w:tcPr>
          <w:p>
            <w:pPr>
              <w:pStyle w:val="57"/>
              <w:keepNext w:val="0"/>
              <w:keepLines w:val="0"/>
              <w:pageBreakBefore w:val="0"/>
              <w:widowControl/>
              <w:kinsoku/>
              <w:wordWrap/>
              <w:overflowPunct/>
              <w:topLinePunct w:val="0"/>
              <w:autoSpaceDE w:val="0"/>
              <w:autoSpaceDN w:val="0"/>
              <w:bidi w:val="0"/>
              <w:adjustRightInd/>
              <w:snapToGrid/>
              <w:spacing w:line="300" w:lineRule="exact"/>
              <w:ind w:left="0" w:leftChars="0" w:firstLine="0" w:firstLineChars="0"/>
              <w:jc w:val="both"/>
              <w:textAlignment w:val="auto"/>
              <w:rPr>
                <w:rFonts w:hint="default" w:ascii="宋体" w:hAnsi="Times New Roman" w:eastAsia="宋体" w:cs="Times New Roman"/>
                <w:highlight w:val="none"/>
                <w:vertAlign w:val="baseline"/>
                <w:lang w:val="en-US" w:eastAsia="zh-CN"/>
              </w:rPr>
            </w:pPr>
            <w:r>
              <w:rPr>
                <w:rFonts w:hint="eastAsia" w:ascii="宋体" w:hAnsi="Times New Roman" w:eastAsia="宋体" w:cs="Times New Roman"/>
                <w:highlight w:val="none"/>
                <w:vertAlign w:val="baseline"/>
                <w:lang w:val="en-US" w:eastAsia="zh-CN"/>
              </w:rPr>
              <w:t>遇恐暴分子在会场现场或周围制造的爆炸、枪击、绑架、施放毒气、胁持人质以及其他恐怖破坏活动</w:t>
            </w:r>
          </w:p>
        </w:tc>
        <w:tc>
          <w:tcPr>
            <w:tcW w:w="4315" w:type="dxa"/>
            <w:tcBorders>
              <w:tl2br w:val="nil"/>
              <w:tr2bl w:val="nil"/>
            </w:tcBorders>
            <w:vAlign w:val="center"/>
          </w:tcPr>
          <w:p>
            <w:pPr>
              <w:pStyle w:val="57"/>
              <w:keepNext w:val="0"/>
              <w:keepLines w:val="0"/>
              <w:pageBreakBefore w:val="0"/>
              <w:widowControl/>
              <w:kinsoku/>
              <w:wordWrap/>
              <w:overflowPunct/>
              <w:topLinePunct w:val="0"/>
              <w:autoSpaceDE w:val="0"/>
              <w:autoSpaceDN w:val="0"/>
              <w:bidi w:val="0"/>
              <w:adjustRightInd/>
              <w:snapToGrid/>
              <w:spacing w:line="300" w:lineRule="exact"/>
              <w:ind w:left="0" w:leftChars="0" w:firstLine="0" w:firstLineChars="0"/>
              <w:jc w:val="both"/>
              <w:textAlignment w:val="auto"/>
              <w:rPr>
                <w:rFonts w:hint="eastAsia" w:ascii="宋体" w:hAnsi="Times New Roman" w:eastAsia="宋体" w:cs="Times New Roman"/>
                <w:highlight w:val="none"/>
                <w:vertAlign w:val="baseline"/>
                <w:lang w:val="en-US" w:eastAsia="zh-CN"/>
              </w:rPr>
            </w:pPr>
            <w:r>
              <w:rPr>
                <w:rFonts w:hint="eastAsia" w:ascii="宋体" w:hAnsi="Times New Roman" w:eastAsia="宋体" w:cs="Times New Roman"/>
                <w:highlight w:val="none"/>
                <w:vertAlign w:val="baseline"/>
                <w:lang w:val="en-US" w:eastAsia="zh-CN"/>
              </w:rPr>
              <w:t>第一时间向辖区公安机关报告的同时，采取以下紧急措施：</w:t>
            </w:r>
          </w:p>
          <w:p>
            <w:pPr>
              <w:pStyle w:val="57"/>
              <w:keepNext w:val="0"/>
              <w:keepLines w:val="0"/>
              <w:pageBreakBefore w:val="0"/>
              <w:widowControl/>
              <w:kinsoku/>
              <w:wordWrap/>
              <w:overflowPunct/>
              <w:topLinePunct w:val="0"/>
              <w:autoSpaceDE w:val="0"/>
              <w:autoSpaceDN w:val="0"/>
              <w:bidi w:val="0"/>
              <w:adjustRightInd/>
              <w:snapToGrid/>
              <w:spacing w:line="300" w:lineRule="exact"/>
              <w:ind w:left="0" w:leftChars="0" w:firstLine="0" w:firstLineChars="0"/>
              <w:jc w:val="both"/>
              <w:textAlignment w:val="auto"/>
              <w:rPr>
                <w:rFonts w:hint="eastAsia" w:ascii="宋体" w:hAnsi="Times New Roman" w:eastAsia="宋体" w:cs="Times New Roman"/>
                <w:highlight w:val="none"/>
                <w:vertAlign w:val="baseline"/>
                <w:lang w:val="en-US" w:eastAsia="zh-CN"/>
              </w:rPr>
            </w:pPr>
            <w:r>
              <w:rPr>
                <w:rFonts w:hint="eastAsia" w:ascii="宋体" w:hAnsi="Times New Roman" w:eastAsia="宋体" w:cs="Times New Roman"/>
                <w:highlight w:val="none"/>
                <w:vertAlign w:val="baseline"/>
                <w:lang w:val="en-US" w:eastAsia="zh-CN"/>
              </w:rPr>
              <w:t>1.稳定观众情绪，防止出现全场骚乱；</w:t>
            </w:r>
          </w:p>
          <w:p>
            <w:pPr>
              <w:pStyle w:val="57"/>
              <w:keepNext w:val="0"/>
              <w:keepLines w:val="0"/>
              <w:pageBreakBefore w:val="0"/>
              <w:widowControl/>
              <w:kinsoku/>
              <w:wordWrap/>
              <w:overflowPunct/>
              <w:topLinePunct w:val="0"/>
              <w:autoSpaceDE w:val="0"/>
              <w:autoSpaceDN w:val="0"/>
              <w:bidi w:val="0"/>
              <w:adjustRightInd/>
              <w:snapToGrid/>
              <w:spacing w:line="300" w:lineRule="exact"/>
              <w:ind w:left="0" w:leftChars="0" w:firstLine="0" w:firstLineChars="0"/>
              <w:jc w:val="both"/>
              <w:textAlignment w:val="auto"/>
              <w:rPr>
                <w:rFonts w:hint="eastAsia" w:ascii="宋体" w:hAnsi="Times New Roman" w:eastAsia="宋体" w:cs="Times New Roman"/>
                <w:highlight w:val="none"/>
                <w:vertAlign w:val="baseline"/>
                <w:lang w:val="en-US" w:eastAsia="zh-CN"/>
              </w:rPr>
            </w:pPr>
            <w:r>
              <w:rPr>
                <w:rFonts w:hint="eastAsia" w:ascii="宋体" w:hAnsi="Times New Roman" w:eastAsia="宋体" w:cs="Times New Roman"/>
                <w:highlight w:val="none"/>
                <w:vertAlign w:val="baseline"/>
                <w:lang w:val="en-US" w:eastAsia="zh-CN"/>
              </w:rPr>
              <w:t>2.立即封锁会场现场，配合公安机关缉拿犯罪分子；</w:t>
            </w:r>
          </w:p>
          <w:p>
            <w:pPr>
              <w:pStyle w:val="57"/>
              <w:keepNext w:val="0"/>
              <w:keepLines w:val="0"/>
              <w:pageBreakBefore w:val="0"/>
              <w:widowControl/>
              <w:kinsoku/>
              <w:wordWrap/>
              <w:overflowPunct/>
              <w:topLinePunct w:val="0"/>
              <w:autoSpaceDE w:val="0"/>
              <w:autoSpaceDN w:val="0"/>
              <w:bidi w:val="0"/>
              <w:adjustRightInd/>
              <w:snapToGrid/>
              <w:spacing w:line="300" w:lineRule="exact"/>
              <w:ind w:left="0" w:leftChars="0" w:firstLine="0" w:firstLineChars="0"/>
              <w:jc w:val="both"/>
              <w:textAlignment w:val="auto"/>
              <w:rPr>
                <w:rFonts w:hint="eastAsia" w:ascii="宋体" w:hAnsi="Times New Roman" w:eastAsia="宋体" w:cs="Times New Roman"/>
                <w:highlight w:val="none"/>
                <w:vertAlign w:val="baseline"/>
                <w:lang w:val="en-US" w:eastAsia="zh-CN"/>
              </w:rPr>
            </w:pPr>
            <w:r>
              <w:rPr>
                <w:rFonts w:hint="eastAsia" w:ascii="宋体" w:hAnsi="Times New Roman" w:eastAsia="宋体" w:cs="Times New Roman"/>
                <w:highlight w:val="none"/>
                <w:vertAlign w:val="baseline"/>
                <w:lang w:val="en-US" w:eastAsia="zh-CN"/>
              </w:rPr>
              <w:t>3.配合公安机关，组织力量疏导观众，有序撤离现场至安全地带，并组织救护伤员；</w:t>
            </w:r>
          </w:p>
          <w:p>
            <w:pPr>
              <w:pStyle w:val="57"/>
              <w:keepNext w:val="0"/>
              <w:keepLines w:val="0"/>
              <w:pageBreakBefore w:val="0"/>
              <w:widowControl/>
              <w:kinsoku/>
              <w:wordWrap/>
              <w:overflowPunct/>
              <w:topLinePunct w:val="0"/>
              <w:autoSpaceDE w:val="0"/>
              <w:autoSpaceDN w:val="0"/>
              <w:bidi w:val="0"/>
              <w:adjustRightInd/>
              <w:snapToGrid/>
              <w:spacing w:line="300" w:lineRule="exact"/>
              <w:ind w:left="0" w:leftChars="0" w:firstLine="0" w:firstLineChars="0"/>
              <w:jc w:val="both"/>
              <w:textAlignment w:val="auto"/>
              <w:rPr>
                <w:rFonts w:hint="eastAsia" w:ascii="宋体" w:hAnsi="Times New Roman" w:eastAsia="宋体" w:cs="Times New Roman"/>
                <w:highlight w:val="none"/>
                <w:vertAlign w:val="baseline"/>
                <w:lang w:val="en-US" w:eastAsia="zh-CN"/>
              </w:rPr>
            </w:pPr>
            <w:r>
              <w:rPr>
                <w:rFonts w:hint="eastAsia" w:ascii="宋体" w:hAnsi="Times New Roman" w:eastAsia="宋体" w:cs="Times New Roman"/>
                <w:highlight w:val="none"/>
                <w:vertAlign w:val="baseline"/>
                <w:lang w:val="en-US" w:eastAsia="zh-CN"/>
              </w:rPr>
              <w:t>4.配合有关部门开展救护、调查取证等工作；</w:t>
            </w:r>
          </w:p>
          <w:p>
            <w:pPr>
              <w:pStyle w:val="57"/>
              <w:keepNext w:val="0"/>
              <w:keepLines w:val="0"/>
              <w:pageBreakBefore w:val="0"/>
              <w:widowControl/>
              <w:kinsoku/>
              <w:wordWrap/>
              <w:overflowPunct/>
              <w:topLinePunct w:val="0"/>
              <w:autoSpaceDE w:val="0"/>
              <w:autoSpaceDN w:val="0"/>
              <w:bidi w:val="0"/>
              <w:adjustRightInd/>
              <w:snapToGrid/>
              <w:spacing w:line="300" w:lineRule="exact"/>
              <w:ind w:left="0" w:leftChars="0" w:firstLine="0" w:firstLineChars="0"/>
              <w:jc w:val="both"/>
              <w:textAlignment w:val="auto"/>
              <w:rPr>
                <w:rFonts w:hint="eastAsia" w:ascii="宋体" w:hAnsi="Times New Roman" w:eastAsia="宋体" w:cs="Times New Roman"/>
                <w:highlight w:val="none"/>
                <w:vertAlign w:val="baseline"/>
                <w:lang w:val="en-US" w:eastAsia="zh-CN"/>
              </w:rPr>
            </w:pPr>
            <w:r>
              <w:rPr>
                <w:rFonts w:hint="eastAsia" w:ascii="宋体" w:hAnsi="Times New Roman" w:eastAsia="宋体" w:cs="Times New Roman"/>
                <w:highlight w:val="none"/>
                <w:vertAlign w:val="baseline"/>
                <w:lang w:val="en-US" w:eastAsia="zh-CN"/>
              </w:rPr>
              <w:t>5.严控各出入口，保证通道畅通，同时防止犯罪分子逃离；</w:t>
            </w:r>
          </w:p>
          <w:p>
            <w:pPr>
              <w:pStyle w:val="57"/>
              <w:keepNext w:val="0"/>
              <w:keepLines w:val="0"/>
              <w:pageBreakBefore w:val="0"/>
              <w:widowControl/>
              <w:kinsoku/>
              <w:wordWrap/>
              <w:overflowPunct/>
              <w:topLinePunct w:val="0"/>
              <w:autoSpaceDE w:val="0"/>
              <w:autoSpaceDN w:val="0"/>
              <w:bidi w:val="0"/>
              <w:adjustRightInd/>
              <w:snapToGrid/>
              <w:spacing w:line="300" w:lineRule="exact"/>
              <w:ind w:left="0" w:leftChars="0" w:firstLine="0" w:firstLineChars="0"/>
              <w:jc w:val="both"/>
              <w:textAlignment w:val="auto"/>
              <w:rPr>
                <w:rFonts w:hint="default" w:ascii="宋体" w:hAnsi="Times New Roman" w:eastAsia="宋体" w:cs="Times New Roman"/>
                <w:highlight w:val="none"/>
                <w:vertAlign w:val="baseline"/>
                <w:lang w:val="en-US" w:eastAsia="zh-CN"/>
              </w:rPr>
            </w:pPr>
            <w:r>
              <w:rPr>
                <w:rFonts w:hint="eastAsia" w:ascii="宋体" w:hAnsi="Times New Roman" w:eastAsia="宋体" w:cs="Times New Roman"/>
                <w:highlight w:val="none"/>
                <w:vertAlign w:val="baseline"/>
                <w:lang w:val="en-US" w:eastAsia="zh-CN"/>
              </w:rPr>
              <w:t>6.配合交警大队对外围道路进行临时交通管制，保证现场车辆尽快有序离场。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661" w:hRule="atLeast"/>
          <w:jc w:val="center"/>
        </w:trPr>
        <w:tc>
          <w:tcPr>
            <w:tcW w:w="1246" w:type="dxa"/>
            <w:tcBorders>
              <w:tl2br w:val="nil"/>
              <w:tr2bl w:val="nil"/>
            </w:tcBorders>
            <w:vAlign w:val="center"/>
          </w:tcPr>
          <w:p>
            <w:pPr>
              <w:pStyle w:val="57"/>
              <w:keepNext w:val="0"/>
              <w:keepLines w:val="0"/>
              <w:pageBreakBefore w:val="0"/>
              <w:widowControl/>
              <w:kinsoku/>
              <w:wordWrap/>
              <w:overflowPunct/>
              <w:topLinePunct w:val="0"/>
              <w:autoSpaceDE w:val="0"/>
              <w:autoSpaceDN w:val="0"/>
              <w:bidi w:val="0"/>
              <w:adjustRightInd/>
              <w:snapToGrid/>
              <w:spacing w:line="300" w:lineRule="exact"/>
              <w:ind w:left="0" w:leftChars="0" w:firstLine="0" w:firstLineChars="0"/>
              <w:jc w:val="center"/>
              <w:textAlignment w:val="auto"/>
              <w:rPr>
                <w:rFonts w:hint="default"/>
                <w:highlight w:val="none"/>
                <w:vertAlign w:val="baseline"/>
                <w:lang w:val="en-US" w:eastAsia="zh-CN"/>
              </w:rPr>
            </w:pPr>
            <w:r>
              <w:rPr>
                <w:rFonts w:hint="eastAsia"/>
                <w:highlight w:val="none"/>
                <w:vertAlign w:val="baseline"/>
                <w:lang w:val="en-US" w:eastAsia="zh-CN"/>
              </w:rPr>
              <w:t>5</w:t>
            </w:r>
          </w:p>
        </w:tc>
        <w:tc>
          <w:tcPr>
            <w:tcW w:w="2585" w:type="dxa"/>
            <w:tcBorders>
              <w:tl2br w:val="nil"/>
              <w:tr2bl w:val="nil"/>
            </w:tcBorders>
            <w:vAlign w:val="center"/>
          </w:tcPr>
          <w:p>
            <w:pPr>
              <w:pStyle w:val="57"/>
              <w:keepNext w:val="0"/>
              <w:keepLines w:val="0"/>
              <w:pageBreakBefore w:val="0"/>
              <w:widowControl/>
              <w:kinsoku/>
              <w:wordWrap/>
              <w:overflowPunct/>
              <w:topLinePunct w:val="0"/>
              <w:autoSpaceDE w:val="0"/>
              <w:autoSpaceDN w:val="0"/>
              <w:bidi w:val="0"/>
              <w:adjustRightInd/>
              <w:snapToGrid/>
              <w:spacing w:line="300" w:lineRule="exact"/>
              <w:ind w:left="0" w:leftChars="0" w:firstLine="0" w:firstLineChars="0"/>
              <w:jc w:val="both"/>
              <w:textAlignment w:val="auto"/>
              <w:rPr>
                <w:rFonts w:hint="eastAsia" w:ascii="宋体" w:hAnsi="Times New Roman" w:eastAsia="宋体" w:cs="Times New Roman"/>
                <w:highlight w:val="none"/>
                <w:vertAlign w:val="baseline"/>
                <w:lang w:val="en-US" w:eastAsia="zh-CN"/>
              </w:rPr>
            </w:pPr>
            <w:r>
              <w:rPr>
                <w:rFonts w:hint="eastAsia" w:ascii="宋体" w:hAnsi="Times New Roman" w:eastAsia="宋体" w:cs="Times New Roman"/>
                <w:highlight w:val="none"/>
                <w:vertAlign w:val="baseline"/>
                <w:lang w:val="en-US" w:eastAsia="zh-CN"/>
              </w:rPr>
              <w:t>发生爆炸事件</w:t>
            </w:r>
          </w:p>
        </w:tc>
        <w:tc>
          <w:tcPr>
            <w:tcW w:w="4315" w:type="dxa"/>
            <w:tcBorders>
              <w:tl2br w:val="nil"/>
              <w:tr2bl w:val="nil"/>
            </w:tcBorders>
            <w:vAlign w:val="center"/>
          </w:tcPr>
          <w:p>
            <w:pPr>
              <w:pStyle w:val="57"/>
              <w:keepNext w:val="0"/>
              <w:keepLines w:val="0"/>
              <w:pageBreakBefore w:val="0"/>
              <w:widowControl/>
              <w:kinsoku/>
              <w:wordWrap/>
              <w:overflowPunct/>
              <w:topLinePunct w:val="0"/>
              <w:autoSpaceDE w:val="0"/>
              <w:autoSpaceDN w:val="0"/>
              <w:bidi w:val="0"/>
              <w:adjustRightInd/>
              <w:snapToGrid/>
              <w:spacing w:line="300" w:lineRule="exact"/>
              <w:ind w:left="0" w:leftChars="0" w:firstLine="0" w:firstLineChars="0"/>
              <w:jc w:val="both"/>
              <w:textAlignment w:val="auto"/>
              <w:rPr>
                <w:rFonts w:hint="eastAsia" w:ascii="宋体" w:hAnsi="Times New Roman" w:eastAsia="宋体" w:cs="Times New Roman"/>
                <w:highlight w:val="none"/>
                <w:vertAlign w:val="baseline"/>
                <w:lang w:val="en-US" w:eastAsia="zh-CN"/>
              </w:rPr>
            </w:pPr>
            <w:r>
              <w:rPr>
                <w:rFonts w:hint="eastAsia" w:ascii="宋体" w:hAnsi="Times New Roman" w:eastAsia="宋体" w:cs="Times New Roman"/>
                <w:highlight w:val="none"/>
                <w:vertAlign w:val="baseline"/>
                <w:lang w:val="en-US" w:eastAsia="zh-CN"/>
              </w:rPr>
              <w:t>1.安保人员：立即向公安机关、市急救中心报告，现场应急指挥部报告，并通知现场医疗处置人员到位。就近疏散人员。指定专人到路口引导</w:t>
            </w:r>
            <w:r>
              <w:rPr>
                <w:rFonts w:hint="default" w:ascii="宋体" w:hAnsi="Times New Roman" w:eastAsia="宋体" w:cs="Times New Roman"/>
                <w:highlight w:val="none"/>
                <w:vertAlign w:val="baseline"/>
                <w:lang w:val="en-US" w:eastAsia="zh-CN"/>
              </w:rPr>
              <w:t>120</w:t>
            </w:r>
            <w:r>
              <w:rPr>
                <w:rFonts w:hint="eastAsia" w:ascii="宋体" w:hAnsi="Times New Roman" w:eastAsia="宋体" w:cs="Times New Roman"/>
                <w:highlight w:val="none"/>
                <w:vertAlign w:val="baseline"/>
                <w:lang w:val="en-US" w:eastAsia="zh-CN"/>
              </w:rPr>
              <w:t>急救车到现场对受伤人员进行急救。在进行救护时，要注意尽量减少对现场的破坏；</w:t>
            </w:r>
          </w:p>
          <w:p>
            <w:pPr>
              <w:pStyle w:val="57"/>
              <w:keepNext w:val="0"/>
              <w:keepLines w:val="0"/>
              <w:pageBreakBefore w:val="0"/>
              <w:widowControl/>
              <w:kinsoku/>
              <w:wordWrap/>
              <w:overflowPunct/>
              <w:topLinePunct w:val="0"/>
              <w:autoSpaceDE w:val="0"/>
              <w:autoSpaceDN w:val="0"/>
              <w:bidi w:val="0"/>
              <w:adjustRightInd/>
              <w:snapToGrid/>
              <w:spacing w:line="300" w:lineRule="exact"/>
              <w:ind w:left="0" w:leftChars="0" w:firstLine="0" w:firstLineChars="0"/>
              <w:jc w:val="both"/>
              <w:textAlignment w:val="auto"/>
              <w:rPr>
                <w:rFonts w:hint="eastAsia" w:ascii="宋体" w:hAnsi="Times New Roman" w:eastAsia="宋体" w:cs="Times New Roman"/>
                <w:highlight w:val="none"/>
                <w:vertAlign w:val="baseline"/>
                <w:lang w:val="en-US" w:eastAsia="zh-CN"/>
              </w:rPr>
            </w:pPr>
            <w:r>
              <w:rPr>
                <w:rFonts w:hint="eastAsia" w:ascii="宋体" w:hAnsi="Times New Roman" w:eastAsia="宋体" w:cs="Times New Roman"/>
                <w:highlight w:val="none"/>
                <w:vertAlign w:val="baseline"/>
                <w:lang w:val="en-US" w:eastAsia="zh-CN"/>
              </w:rPr>
              <w:t>2.广播人员：协助应急指挥部，稳定现场观众情绪，指示现场观众按紧急出口路线逃生；</w:t>
            </w:r>
          </w:p>
          <w:p>
            <w:pPr>
              <w:pStyle w:val="57"/>
              <w:keepNext w:val="0"/>
              <w:keepLines w:val="0"/>
              <w:pageBreakBefore w:val="0"/>
              <w:widowControl/>
              <w:kinsoku/>
              <w:wordWrap/>
              <w:overflowPunct/>
              <w:topLinePunct w:val="0"/>
              <w:autoSpaceDE w:val="0"/>
              <w:autoSpaceDN w:val="0"/>
              <w:bidi w:val="0"/>
              <w:adjustRightInd/>
              <w:snapToGrid/>
              <w:spacing w:line="300" w:lineRule="exact"/>
              <w:ind w:left="0" w:leftChars="0" w:firstLine="0" w:firstLineChars="0"/>
              <w:jc w:val="both"/>
              <w:textAlignment w:val="auto"/>
              <w:rPr>
                <w:rFonts w:hint="eastAsia" w:ascii="宋体" w:hAnsi="Times New Roman" w:eastAsia="宋体" w:cs="Times New Roman"/>
                <w:highlight w:val="none"/>
                <w:vertAlign w:val="baseline"/>
                <w:lang w:val="en-US" w:eastAsia="zh-CN"/>
              </w:rPr>
            </w:pPr>
            <w:r>
              <w:rPr>
                <w:rFonts w:hint="eastAsia" w:ascii="宋体" w:hAnsi="Times New Roman" w:eastAsia="宋体" w:cs="Times New Roman"/>
                <w:highlight w:val="none"/>
                <w:vertAlign w:val="baseline"/>
                <w:lang w:val="en-US" w:eastAsia="zh-CN"/>
              </w:rPr>
              <w:t>3.对重点救护区：加派人员疏导，服从应急指挥部的调度，衔接好和现场救护人员的工作，对困在活动现场内无法转移的人员迅速和消防队及公安部门报告。</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04" w:hRule="atLeast"/>
          <w:jc w:val="center"/>
        </w:trPr>
        <w:tc>
          <w:tcPr>
            <w:tcW w:w="1246" w:type="dxa"/>
            <w:tcBorders>
              <w:tl2br w:val="nil"/>
              <w:tr2bl w:val="nil"/>
            </w:tcBorders>
            <w:vAlign w:val="center"/>
          </w:tcPr>
          <w:p>
            <w:pPr>
              <w:pStyle w:val="57"/>
              <w:keepNext w:val="0"/>
              <w:keepLines w:val="0"/>
              <w:pageBreakBefore w:val="0"/>
              <w:widowControl/>
              <w:kinsoku/>
              <w:wordWrap/>
              <w:overflowPunct/>
              <w:topLinePunct w:val="0"/>
              <w:autoSpaceDE w:val="0"/>
              <w:autoSpaceDN w:val="0"/>
              <w:bidi w:val="0"/>
              <w:adjustRightInd/>
              <w:snapToGrid/>
              <w:spacing w:line="300" w:lineRule="exact"/>
              <w:ind w:left="0" w:leftChars="0" w:firstLine="0" w:firstLineChars="0"/>
              <w:jc w:val="center"/>
              <w:textAlignment w:val="auto"/>
              <w:rPr>
                <w:rFonts w:hint="default"/>
                <w:highlight w:val="none"/>
                <w:vertAlign w:val="baseline"/>
                <w:lang w:val="en-US" w:eastAsia="zh-CN"/>
              </w:rPr>
            </w:pPr>
            <w:r>
              <w:rPr>
                <w:rFonts w:hint="eastAsia"/>
                <w:highlight w:val="none"/>
                <w:vertAlign w:val="baseline"/>
                <w:lang w:val="en-US" w:eastAsia="zh-CN"/>
              </w:rPr>
              <w:t>6</w:t>
            </w:r>
          </w:p>
        </w:tc>
        <w:tc>
          <w:tcPr>
            <w:tcW w:w="2585" w:type="dxa"/>
            <w:tcBorders>
              <w:tl2br w:val="nil"/>
              <w:tr2bl w:val="nil"/>
            </w:tcBorders>
            <w:vAlign w:val="center"/>
          </w:tcPr>
          <w:p>
            <w:pPr>
              <w:pStyle w:val="57"/>
              <w:keepNext w:val="0"/>
              <w:keepLines w:val="0"/>
              <w:pageBreakBefore w:val="0"/>
              <w:widowControl/>
              <w:kinsoku/>
              <w:wordWrap/>
              <w:overflowPunct/>
              <w:topLinePunct w:val="0"/>
              <w:autoSpaceDE w:val="0"/>
              <w:autoSpaceDN w:val="0"/>
              <w:bidi w:val="0"/>
              <w:adjustRightInd/>
              <w:snapToGrid/>
              <w:spacing w:line="300" w:lineRule="exact"/>
              <w:ind w:left="0" w:leftChars="0" w:firstLine="0" w:firstLineChars="0"/>
              <w:jc w:val="both"/>
              <w:textAlignment w:val="auto"/>
              <w:rPr>
                <w:rFonts w:hint="eastAsia" w:ascii="宋体" w:hAnsi="Times New Roman" w:eastAsia="宋体" w:cs="Times New Roman"/>
                <w:highlight w:val="none"/>
                <w:vertAlign w:val="baseline"/>
                <w:lang w:val="en-US" w:eastAsia="zh-CN"/>
              </w:rPr>
            </w:pPr>
            <w:r>
              <w:rPr>
                <w:rFonts w:hint="eastAsia" w:ascii="宋体" w:hAnsi="Times New Roman" w:eastAsia="宋体" w:cs="Times New Roman"/>
                <w:highlight w:val="none"/>
                <w:vertAlign w:val="baseline"/>
                <w:lang w:val="en-US" w:eastAsia="zh-CN"/>
              </w:rPr>
              <w:t>发生火情、火灾</w:t>
            </w:r>
          </w:p>
        </w:tc>
        <w:tc>
          <w:tcPr>
            <w:tcW w:w="4315" w:type="dxa"/>
            <w:tcBorders>
              <w:tl2br w:val="nil"/>
              <w:tr2bl w:val="nil"/>
            </w:tcBorders>
            <w:vAlign w:val="center"/>
          </w:tcPr>
          <w:p>
            <w:pPr>
              <w:pStyle w:val="57"/>
              <w:keepNext w:val="0"/>
              <w:keepLines w:val="0"/>
              <w:pageBreakBefore w:val="0"/>
              <w:widowControl/>
              <w:numPr>
                <w:ilvl w:val="0"/>
                <w:numId w:val="0"/>
              </w:numPr>
              <w:kinsoku/>
              <w:wordWrap/>
              <w:overflowPunct/>
              <w:topLinePunct w:val="0"/>
              <w:autoSpaceDE w:val="0"/>
              <w:autoSpaceDN w:val="0"/>
              <w:bidi w:val="0"/>
              <w:adjustRightInd/>
              <w:snapToGrid/>
              <w:spacing w:line="300" w:lineRule="exact"/>
              <w:ind w:leftChars="0"/>
              <w:jc w:val="both"/>
              <w:textAlignment w:val="auto"/>
              <w:rPr>
                <w:rFonts w:hint="eastAsia" w:ascii="宋体" w:hAnsi="Times New Roman" w:eastAsia="宋体" w:cs="Times New Roman"/>
                <w:highlight w:val="none"/>
                <w:vertAlign w:val="baseline"/>
                <w:lang w:val="en-US" w:eastAsia="zh-CN"/>
              </w:rPr>
            </w:pPr>
            <w:r>
              <w:rPr>
                <w:rFonts w:hint="eastAsia" w:ascii="宋体" w:hAnsi="Times New Roman" w:eastAsia="宋体" w:cs="Times New Roman"/>
                <w:highlight w:val="none"/>
                <w:vertAlign w:val="baseline"/>
                <w:lang w:val="en-US" w:eastAsia="zh-CN"/>
              </w:rPr>
              <w:t>1.安保人员：发生火情时，不要惊慌失措，应立即向应急指挥部报告，如果火势不大，应迅速利用附近的灭火器材，采取有效措施控制和扑灭火情。疏散时应利用广播告诉现场观众不要惊慌，保持冷静，听从现场安保员的指挥。按照疏散路线，有秩序的迅速向会场外疏散；</w:t>
            </w:r>
          </w:p>
          <w:p>
            <w:pPr>
              <w:pStyle w:val="57"/>
              <w:keepNext w:val="0"/>
              <w:keepLines w:val="0"/>
              <w:pageBreakBefore w:val="0"/>
              <w:widowControl/>
              <w:numPr>
                <w:ilvl w:val="0"/>
                <w:numId w:val="0"/>
              </w:numPr>
              <w:kinsoku/>
              <w:wordWrap/>
              <w:overflowPunct/>
              <w:topLinePunct w:val="0"/>
              <w:autoSpaceDE w:val="0"/>
              <w:autoSpaceDN w:val="0"/>
              <w:bidi w:val="0"/>
              <w:adjustRightInd/>
              <w:snapToGrid/>
              <w:spacing w:line="300" w:lineRule="exact"/>
              <w:ind w:leftChars="0"/>
              <w:jc w:val="both"/>
              <w:textAlignment w:val="auto"/>
              <w:rPr>
                <w:rFonts w:hint="eastAsia" w:ascii="宋体" w:hAnsi="Times New Roman" w:eastAsia="宋体" w:cs="Times New Roman"/>
                <w:highlight w:val="none"/>
                <w:vertAlign w:val="baseline"/>
                <w:lang w:val="en-US" w:eastAsia="zh-CN"/>
              </w:rPr>
            </w:pPr>
            <w:r>
              <w:rPr>
                <w:rFonts w:hint="eastAsia" w:ascii="宋体" w:hAnsi="Times New Roman" w:eastAsia="宋体" w:cs="Times New Roman"/>
                <w:highlight w:val="none"/>
                <w:vertAlign w:val="baseline"/>
                <w:lang w:val="en-US" w:eastAsia="zh-CN"/>
              </w:rPr>
              <w:t>2.发现大范围构成威胁的火势，应立即报警，同时通知现场应急指挥部及现场消防官兵进行组织灭火。安保工作协调组开始指挥调度安保人员，采取有效措施控制和扑救火灾，启动广播系统，广播员配合指挥部作现场调度工作；</w:t>
            </w:r>
          </w:p>
          <w:p>
            <w:pPr>
              <w:pStyle w:val="57"/>
              <w:keepNext w:val="0"/>
              <w:keepLines w:val="0"/>
              <w:pageBreakBefore w:val="0"/>
              <w:widowControl/>
              <w:kinsoku/>
              <w:wordWrap/>
              <w:overflowPunct/>
              <w:topLinePunct w:val="0"/>
              <w:autoSpaceDE w:val="0"/>
              <w:autoSpaceDN w:val="0"/>
              <w:bidi w:val="0"/>
              <w:adjustRightInd/>
              <w:snapToGrid/>
              <w:spacing w:line="300" w:lineRule="exact"/>
              <w:ind w:left="0" w:leftChars="0" w:firstLine="0" w:firstLineChars="0"/>
              <w:jc w:val="both"/>
              <w:textAlignment w:val="auto"/>
              <w:rPr>
                <w:rFonts w:hint="eastAsia" w:ascii="宋体" w:hAnsi="Times New Roman" w:eastAsia="宋体" w:cs="Times New Roman"/>
                <w:highlight w:val="none"/>
                <w:vertAlign w:val="baseline"/>
                <w:lang w:val="en-US" w:eastAsia="zh-CN"/>
              </w:rPr>
            </w:pPr>
            <w:r>
              <w:rPr>
                <w:rFonts w:hint="eastAsia" w:ascii="宋体" w:hAnsi="Times New Roman" w:eastAsia="宋体" w:cs="Times New Roman"/>
                <w:highlight w:val="none"/>
                <w:vertAlign w:val="baseline"/>
                <w:lang w:val="en-US" w:eastAsia="zh-CN"/>
              </w:rPr>
              <w:t>3.安全工作人员等，要按疏散标志对现场群众进行有序引导、疏散，防止由于观众摔倒导致踩踏事件的发生。</w:t>
            </w:r>
          </w:p>
        </w:tc>
      </w:tr>
    </w:tbl>
    <w:p>
      <w:pPr>
        <w:pStyle w:val="57"/>
        <w:ind w:left="0" w:leftChars="0" w:firstLine="0" w:firstLineChars="0"/>
        <w:jc w:val="center"/>
        <w:rPr>
          <w:rFonts w:hint="eastAsia"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表A.1</w:t>
      </w:r>
      <w:r>
        <w:rPr>
          <w:rFonts w:hint="eastAsia"/>
          <w:highlight w:val="none"/>
          <w:lang w:val="en-US" w:eastAsia="zh-CN"/>
        </w:rPr>
        <w:t xml:space="preserve">  </w:t>
      </w:r>
      <w:r>
        <w:rPr>
          <w:rFonts w:hint="eastAsia" w:ascii="黑体" w:hAnsi="黑体" w:eastAsia="黑体" w:cs="黑体"/>
          <w:b w:val="0"/>
          <w:bCs w:val="0"/>
          <w:sz w:val="24"/>
          <w:szCs w:val="24"/>
        </w:rPr>
        <w:t>公共体育场馆大型群众性活动</w:t>
      </w:r>
      <w:r>
        <w:rPr>
          <w:rFonts w:hint="eastAsia" w:ascii="黑体" w:hAnsi="黑体" w:eastAsia="黑体" w:cs="黑体"/>
          <w:b w:val="0"/>
          <w:bCs w:val="0"/>
          <w:sz w:val="24"/>
          <w:szCs w:val="24"/>
          <w:lang w:eastAsia="zh-CN"/>
        </w:rPr>
        <w:t>突发事件应急处置</w:t>
      </w:r>
      <w:r>
        <w:rPr>
          <w:rFonts w:hint="eastAsia" w:ascii="黑体" w:hAnsi="黑体" w:eastAsia="黑体" w:cs="黑体"/>
          <w:b w:val="0"/>
          <w:bCs w:val="0"/>
          <w:sz w:val="24"/>
          <w:szCs w:val="24"/>
          <w:lang w:val="en-US" w:eastAsia="zh-CN"/>
        </w:rPr>
        <w:t>要求（续）</w:t>
      </w:r>
    </w:p>
    <w:p>
      <w:pPr>
        <w:pStyle w:val="57"/>
        <w:keepNext w:val="0"/>
        <w:keepLines w:val="0"/>
        <w:pageBreakBefore w:val="0"/>
        <w:widowControl/>
        <w:kinsoku/>
        <w:wordWrap/>
        <w:overflowPunct/>
        <w:topLinePunct w:val="0"/>
        <w:autoSpaceDE w:val="0"/>
        <w:autoSpaceDN w:val="0"/>
        <w:bidi w:val="0"/>
        <w:adjustRightInd/>
        <w:snapToGrid/>
        <w:spacing w:line="160" w:lineRule="exact"/>
        <w:ind w:left="0" w:leftChars="0" w:firstLine="0" w:firstLineChars="0"/>
        <w:jc w:val="center"/>
        <w:textAlignment w:val="auto"/>
        <w:rPr>
          <w:rFonts w:hint="default" w:ascii="黑体" w:hAnsi="黑体" w:eastAsia="黑体" w:cs="黑体"/>
          <w:b w:val="0"/>
          <w:bCs w:val="0"/>
          <w:sz w:val="24"/>
          <w:szCs w:val="24"/>
          <w:lang w:val="en-US" w:eastAsia="zh-CN"/>
        </w:rPr>
      </w:pPr>
    </w:p>
    <w:tbl>
      <w:tblPr>
        <w:tblStyle w:val="28"/>
        <w:tblW w:w="8146"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246"/>
        <w:gridCol w:w="2585"/>
        <w:gridCol w:w="4315"/>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85" w:hRule="atLeast"/>
          <w:jc w:val="center"/>
        </w:trPr>
        <w:tc>
          <w:tcPr>
            <w:tcW w:w="1246" w:type="dxa"/>
            <w:tcBorders>
              <w:tl2br w:val="nil"/>
              <w:tr2bl w:val="nil"/>
            </w:tcBorders>
            <w:vAlign w:val="center"/>
          </w:tcPr>
          <w:p>
            <w:pPr>
              <w:pStyle w:val="57"/>
              <w:ind w:left="0" w:leftChars="0" w:firstLine="0" w:firstLineChars="0"/>
              <w:jc w:val="center"/>
              <w:rPr>
                <w:rFonts w:hint="default"/>
                <w:highlight w:val="none"/>
                <w:vertAlign w:val="baseline"/>
                <w:lang w:val="en-US" w:eastAsia="zh-CN"/>
              </w:rPr>
            </w:pPr>
            <w:r>
              <w:rPr>
                <w:rFonts w:hint="eastAsia"/>
                <w:highlight w:val="none"/>
                <w:vertAlign w:val="baseline"/>
                <w:lang w:val="en-US" w:eastAsia="zh-CN"/>
              </w:rPr>
              <w:t>序号</w:t>
            </w:r>
          </w:p>
        </w:tc>
        <w:tc>
          <w:tcPr>
            <w:tcW w:w="2585" w:type="dxa"/>
            <w:tcBorders>
              <w:tl2br w:val="nil"/>
              <w:tr2bl w:val="nil"/>
            </w:tcBorders>
            <w:vAlign w:val="center"/>
          </w:tcPr>
          <w:p>
            <w:pPr>
              <w:pStyle w:val="57"/>
              <w:ind w:left="0" w:leftChars="0" w:firstLine="0" w:firstLineChars="0"/>
              <w:jc w:val="center"/>
              <w:rPr>
                <w:rFonts w:hint="default"/>
                <w:highlight w:val="none"/>
                <w:vertAlign w:val="baseline"/>
                <w:lang w:val="en-US" w:eastAsia="zh-CN"/>
              </w:rPr>
            </w:pPr>
            <w:r>
              <w:rPr>
                <w:rFonts w:hint="eastAsia"/>
                <w:highlight w:val="none"/>
                <w:vertAlign w:val="baseline"/>
                <w:lang w:val="en-US" w:eastAsia="zh-CN"/>
              </w:rPr>
              <w:t>突发事件描述</w:t>
            </w:r>
          </w:p>
        </w:tc>
        <w:tc>
          <w:tcPr>
            <w:tcW w:w="4315" w:type="dxa"/>
            <w:tcBorders>
              <w:tl2br w:val="nil"/>
              <w:tr2bl w:val="nil"/>
            </w:tcBorders>
            <w:vAlign w:val="center"/>
          </w:tcPr>
          <w:p>
            <w:pPr>
              <w:pStyle w:val="57"/>
              <w:ind w:left="0" w:leftChars="0" w:firstLine="0" w:firstLineChars="0"/>
              <w:jc w:val="center"/>
              <w:rPr>
                <w:rFonts w:hint="default"/>
                <w:highlight w:val="none"/>
                <w:vertAlign w:val="baseline"/>
                <w:lang w:val="en-US" w:eastAsia="zh-CN"/>
              </w:rPr>
            </w:pPr>
            <w:r>
              <w:rPr>
                <w:rFonts w:hint="eastAsia"/>
                <w:highlight w:val="none"/>
                <w:vertAlign w:val="baseline"/>
                <w:lang w:val="en-US" w:eastAsia="zh-CN"/>
              </w:rPr>
              <w:t>处理措施</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004" w:hRule="atLeast"/>
          <w:jc w:val="center"/>
        </w:trPr>
        <w:tc>
          <w:tcPr>
            <w:tcW w:w="1246" w:type="dxa"/>
            <w:tcBorders>
              <w:tl2br w:val="nil"/>
              <w:tr2bl w:val="nil"/>
            </w:tcBorders>
            <w:vAlign w:val="center"/>
          </w:tcPr>
          <w:p>
            <w:pPr>
              <w:pStyle w:val="57"/>
              <w:keepNext w:val="0"/>
              <w:keepLines w:val="0"/>
              <w:pageBreakBefore w:val="0"/>
              <w:widowControl/>
              <w:kinsoku/>
              <w:wordWrap/>
              <w:overflowPunct/>
              <w:topLinePunct w:val="0"/>
              <w:autoSpaceDE w:val="0"/>
              <w:autoSpaceDN w:val="0"/>
              <w:bidi w:val="0"/>
              <w:adjustRightInd/>
              <w:snapToGrid/>
              <w:spacing w:line="300" w:lineRule="exact"/>
              <w:ind w:left="0" w:leftChars="0" w:firstLine="0" w:firstLineChars="0"/>
              <w:jc w:val="center"/>
              <w:textAlignment w:val="auto"/>
              <w:rPr>
                <w:rFonts w:hint="default"/>
                <w:highlight w:val="none"/>
                <w:vertAlign w:val="baseline"/>
                <w:lang w:val="en-US" w:eastAsia="zh-CN"/>
              </w:rPr>
            </w:pPr>
            <w:r>
              <w:rPr>
                <w:rFonts w:hint="eastAsia"/>
                <w:highlight w:val="none"/>
                <w:vertAlign w:val="baseline"/>
                <w:lang w:val="en-US" w:eastAsia="zh-CN"/>
              </w:rPr>
              <w:t>7</w:t>
            </w:r>
          </w:p>
        </w:tc>
        <w:tc>
          <w:tcPr>
            <w:tcW w:w="2585" w:type="dxa"/>
            <w:tcBorders>
              <w:tl2br w:val="nil"/>
              <w:tr2bl w:val="nil"/>
            </w:tcBorders>
            <w:vAlign w:val="center"/>
          </w:tcPr>
          <w:p>
            <w:pPr>
              <w:pStyle w:val="57"/>
              <w:keepNext w:val="0"/>
              <w:keepLines w:val="0"/>
              <w:pageBreakBefore w:val="0"/>
              <w:widowControl/>
              <w:kinsoku/>
              <w:wordWrap/>
              <w:overflowPunct/>
              <w:topLinePunct w:val="0"/>
              <w:autoSpaceDE w:val="0"/>
              <w:autoSpaceDN w:val="0"/>
              <w:bidi w:val="0"/>
              <w:adjustRightInd/>
              <w:snapToGrid/>
              <w:spacing w:line="300" w:lineRule="exact"/>
              <w:ind w:left="0" w:leftChars="0" w:firstLine="0" w:firstLineChars="0"/>
              <w:jc w:val="both"/>
              <w:textAlignment w:val="auto"/>
              <w:rPr>
                <w:rFonts w:hint="default" w:ascii="宋体" w:hAnsi="Times New Roman" w:eastAsia="宋体" w:cs="Times New Roman"/>
                <w:highlight w:val="none"/>
                <w:vertAlign w:val="baseline"/>
                <w:lang w:val="en-US" w:eastAsia="zh-CN"/>
              </w:rPr>
            </w:pPr>
            <w:r>
              <w:rPr>
                <w:rFonts w:hint="eastAsia" w:ascii="宋体" w:hAnsi="Times New Roman" w:eastAsia="宋体" w:cs="Times New Roman"/>
                <w:highlight w:val="none"/>
                <w:vertAlign w:val="baseline"/>
                <w:lang w:val="en-US" w:eastAsia="zh-CN"/>
              </w:rPr>
              <w:t>工作人员和观众发生冲突或争执</w:t>
            </w:r>
          </w:p>
        </w:tc>
        <w:tc>
          <w:tcPr>
            <w:tcW w:w="4315" w:type="dxa"/>
            <w:tcBorders>
              <w:tl2br w:val="nil"/>
              <w:tr2bl w:val="nil"/>
            </w:tcBorders>
            <w:vAlign w:val="center"/>
          </w:tcPr>
          <w:p>
            <w:pPr>
              <w:pStyle w:val="57"/>
              <w:keepNext w:val="0"/>
              <w:keepLines w:val="0"/>
              <w:pageBreakBefore w:val="0"/>
              <w:widowControl/>
              <w:kinsoku/>
              <w:wordWrap/>
              <w:overflowPunct/>
              <w:topLinePunct w:val="0"/>
              <w:autoSpaceDE w:val="0"/>
              <w:autoSpaceDN w:val="0"/>
              <w:bidi w:val="0"/>
              <w:adjustRightInd/>
              <w:snapToGrid/>
              <w:spacing w:line="300" w:lineRule="exact"/>
              <w:ind w:left="0" w:leftChars="0" w:firstLine="0" w:firstLineChars="0"/>
              <w:jc w:val="both"/>
              <w:textAlignment w:val="auto"/>
              <w:rPr>
                <w:rFonts w:hint="eastAsia" w:ascii="宋体" w:hAnsi="Times New Roman" w:eastAsia="宋体" w:cs="Times New Roman"/>
                <w:highlight w:val="none"/>
                <w:vertAlign w:val="baseline"/>
                <w:lang w:val="en-US" w:eastAsia="zh-CN"/>
              </w:rPr>
            </w:pPr>
            <w:r>
              <w:rPr>
                <w:rFonts w:hint="eastAsia" w:ascii="宋体" w:hAnsi="Times New Roman" w:eastAsia="宋体" w:cs="Times New Roman"/>
                <w:highlight w:val="none"/>
                <w:vertAlign w:val="baseline"/>
                <w:lang w:val="en-US" w:eastAsia="zh-CN"/>
              </w:rPr>
              <w:t>1.安全协调组要按照其工作职责，耐心冷静规劝观众，妥善处置，避免冲突，扩大事态；</w:t>
            </w:r>
          </w:p>
          <w:p>
            <w:pPr>
              <w:pStyle w:val="57"/>
              <w:keepNext w:val="0"/>
              <w:keepLines w:val="0"/>
              <w:pageBreakBefore w:val="0"/>
              <w:widowControl/>
              <w:kinsoku/>
              <w:wordWrap/>
              <w:overflowPunct/>
              <w:topLinePunct w:val="0"/>
              <w:autoSpaceDE w:val="0"/>
              <w:autoSpaceDN w:val="0"/>
              <w:bidi w:val="0"/>
              <w:adjustRightInd/>
              <w:snapToGrid/>
              <w:spacing w:line="300" w:lineRule="exact"/>
              <w:ind w:left="0" w:leftChars="0" w:firstLine="0" w:firstLineChars="0"/>
              <w:jc w:val="both"/>
              <w:textAlignment w:val="auto"/>
              <w:rPr>
                <w:rFonts w:hint="default" w:ascii="宋体" w:hAnsi="Times New Roman" w:eastAsia="宋体" w:cs="Times New Roman"/>
                <w:highlight w:val="none"/>
                <w:vertAlign w:val="baseline"/>
                <w:lang w:val="en-US" w:eastAsia="zh-CN"/>
              </w:rPr>
            </w:pPr>
            <w:r>
              <w:rPr>
                <w:rFonts w:hint="eastAsia" w:ascii="宋体" w:hAnsi="Times New Roman" w:eastAsia="宋体" w:cs="Times New Roman"/>
                <w:highlight w:val="none"/>
                <w:vertAlign w:val="baseline"/>
                <w:lang w:val="en-US" w:eastAsia="zh-CN"/>
              </w:rPr>
              <w:t>2.对个别不听劝阻的，出现哄闹、滋事等治安事件要强行带离现场，交公安机关审查处理，以保证活动顺利安全。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724" w:hRule="atLeast"/>
          <w:jc w:val="center"/>
        </w:trPr>
        <w:tc>
          <w:tcPr>
            <w:tcW w:w="1246" w:type="dxa"/>
            <w:tcBorders>
              <w:tl2br w:val="nil"/>
              <w:tr2bl w:val="nil"/>
            </w:tcBorders>
            <w:vAlign w:val="center"/>
          </w:tcPr>
          <w:p>
            <w:pPr>
              <w:pStyle w:val="57"/>
              <w:keepNext w:val="0"/>
              <w:keepLines w:val="0"/>
              <w:pageBreakBefore w:val="0"/>
              <w:widowControl/>
              <w:kinsoku/>
              <w:wordWrap/>
              <w:overflowPunct/>
              <w:topLinePunct w:val="0"/>
              <w:autoSpaceDE w:val="0"/>
              <w:autoSpaceDN w:val="0"/>
              <w:bidi w:val="0"/>
              <w:adjustRightInd/>
              <w:snapToGrid/>
              <w:spacing w:line="300" w:lineRule="exact"/>
              <w:ind w:left="0" w:leftChars="0" w:firstLine="0" w:firstLineChars="0"/>
              <w:jc w:val="center"/>
              <w:textAlignment w:val="auto"/>
              <w:rPr>
                <w:rFonts w:hint="default" w:ascii="宋体" w:hAnsi="Times New Roman" w:eastAsia="宋体" w:cs="Times New Roman"/>
                <w:highlight w:val="none"/>
                <w:vertAlign w:val="baseline"/>
                <w:lang w:val="en-US" w:eastAsia="zh-CN"/>
              </w:rPr>
            </w:pPr>
            <w:r>
              <w:rPr>
                <w:rFonts w:hint="eastAsia" w:ascii="宋体" w:hAnsi="Times New Roman" w:eastAsia="宋体" w:cs="Times New Roman"/>
                <w:highlight w:val="none"/>
                <w:vertAlign w:val="baseline"/>
                <w:lang w:val="en-US" w:eastAsia="zh-CN"/>
              </w:rPr>
              <w:t>8</w:t>
            </w:r>
          </w:p>
        </w:tc>
        <w:tc>
          <w:tcPr>
            <w:tcW w:w="2585" w:type="dxa"/>
            <w:tcBorders>
              <w:tl2br w:val="nil"/>
              <w:tr2bl w:val="nil"/>
            </w:tcBorders>
            <w:vAlign w:val="center"/>
          </w:tcPr>
          <w:p>
            <w:pPr>
              <w:pStyle w:val="57"/>
              <w:keepNext w:val="0"/>
              <w:keepLines w:val="0"/>
              <w:pageBreakBefore w:val="0"/>
              <w:widowControl/>
              <w:kinsoku/>
              <w:wordWrap/>
              <w:overflowPunct/>
              <w:topLinePunct w:val="0"/>
              <w:autoSpaceDE w:val="0"/>
              <w:autoSpaceDN w:val="0"/>
              <w:bidi w:val="0"/>
              <w:adjustRightInd/>
              <w:snapToGrid/>
              <w:spacing w:line="300" w:lineRule="exact"/>
              <w:ind w:left="0" w:leftChars="0" w:firstLine="0" w:firstLineChars="0"/>
              <w:jc w:val="both"/>
              <w:textAlignment w:val="auto"/>
              <w:rPr>
                <w:rFonts w:hint="eastAsia" w:ascii="宋体" w:hAnsi="Times New Roman" w:eastAsia="宋体" w:cs="Times New Roman"/>
                <w:highlight w:val="none"/>
                <w:vertAlign w:val="baseline"/>
                <w:lang w:val="en-US" w:eastAsia="zh-CN"/>
              </w:rPr>
            </w:pPr>
            <w:r>
              <w:rPr>
                <w:rFonts w:hint="default" w:ascii="宋体" w:hAnsi="Times New Roman" w:eastAsia="宋体" w:cs="Times New Roman"/>
                <w:highlight w:val="none"/>
                <w:vertAlign w:val="baseline"/>
                <w:lang w:val="en-US" w:eastAsia="zh-CN"/>
              </w:rPr>
              <w:t>参赛人员及观众发生中暑</w:t>
            </w:r>
            <w:r>
              <w:rPr>
                <w:rFonts w:hint="eastAsia" w:ascii="宋体" w:hAnsi="Times New Roman" w:eastAsia="宋体" w:cs="Times New Roman"/>
                <w:highlight w:val="none"/>
                <w:vertAlign w:val="baseline"/>
                <w:lang w:val="en-US" w:eastAsia="zh-CN"/>
              </w:rPr>
              <w:t>或其他</w:t>
            </w:r>
            <w:r>
              <w:rPr>
                <w:rFonts w:hint="default" w:ascii="宋体" w:hAnsi="Times New Roman" w:eastAsia="宋体" w:cs="Times New Roman"/>
                <w:highlight w:val="none"/>
                <w:vertAlign w:val="baseline"/>
                <w:lang w:val="en-US" w:eastAsia="zh-CN"/>
              </w:rPr>
              <w:t>受伤事件</w:t>
            </w:r>
          </w:p>
        </w:tc>
        <w:tc>
          <w:tcPr>
            <w:tcW w:w="4315" w:type="dxa"/>
            <w:tcBorders>
              <w:tl2br w:val="nil"/>
              <w:tr2bl w:val="nil"/>
            </w:tcBorders>
            <w:vAlign w:val="center"/>
          </w:tcPr>
          <w:p>
            <w:pPr>
              <w:pStyle w:val="57"/>
              <w:keepNext w:val="0"/>
              <w:keepLines w:val="0"/>
              <w:pageBreakBefore w:val="0"/>
              <w:widowControl/>
              <w:kinsoku/>
              <w:wordWrap/>
              <w:overflowPunct/>
              <w:topLinePunct w:val="0"/>
              <w:autoSpaceDE w:val="0"/>
              <w:autoSpaceDN w:val="0"/>
              <w:bidi w:val="0"/>
              <w:adjustRightInd/>
              <w:snapToGrid/>
              <w:spacing w:line="300" w:lineRule="exact"/>
              <w:ind w:left="0" w:leftChars="0" w:firstLine="0" w:firstLineChars="0"/>
              <w:jc w:val="both"/>
              <w:textAlignment w:val="auto"/>
              <w:rPr>
                <w:rFonts w:hint="eastAsia" w:ascii="宋体" w:hAnsi="Times New Roman" w:eastAsia="宋体" w:cs="Times New Roman"/>
                <w:highlight w:val="none"/>
                <w:vertAlign w:val="baseline"/>
                <w:lang w:val="en-US" w:eastAsia="zh-CN"/>
              </w:rPr>
            </w:pPr>
            <w:r>
              <w:rPr>
                <w:rFonts w:hint="default" w:ascii="宋体" w:hAnsi="Times New Roman" w:eastAsia="宋体" w:cs="Times New Roman"/>
                <w:highlight w:val="none"/>
                <w:vertAlign w:val="baseline"/>
                <w:lang w:val="en-US" w:eastAsia="zh-CN"/>
              </w:rPr>
              <w:t>现场工作安保人员应及时疏散人群</w:t>
            </w:r>
            <w:r>
              <w:rPr>
                <w:rFonts w:hint="eastAsia" w:ascii="宋体" w:hAnsi="Times New Roman" w:eastAsia="宋体" w:cs="Times New Roman"/>
                <w:highlight w:val="none"/>
                <w:vertAlign w:val="baseline"/>
                <w:lang w:val="en-US" w:eastAsia="zh-CN"/>
              </w:rPr>
              <w:t>，</w:t>
            </w:r>
            <w:r>
              <w:rPr>
                <w:rFonts w:hint="default" w:ascii="宋体" w:hAnsi="Times New Roman" w:eastAsia="宋体" w:cs="Times New Roman"/>
                <w:highlight w:val="none"/>
                <w:vertAlign w:val="baseline"/>
                <w:lang w:val="en-US" w:eastAsia="zh-CN"/>
              </w:rPr>
              <w:t>联系现场急救医生进行救急并安排到现场急救车内。</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42" w:hRule="atLeast"/>
          <w:jc w:val="center"/>
        </w:trPr>
        <w:tc>
          <w:tcPr>
            <w:tcW w:w="1246" w:type="dxa"/>
            <w:tcBorders>
              <w:tl2br w:val="nil"/>
              <w:tr2bl w:val="nil"/>
            </w:tcBorders>
            <w:vAlign w:val="center"/>
          </w:tcPr>
          <w:p>
            <w:pPr>
              <w:pStyle w:val="57"/>
              <w:keepNext w:val="0"/>
              <w:keepLines w:val="0"/>
              <w:pageBreakBefore w:val="0"/>
              <w:widowControl/>
              <w:kinsoku/>
              <w:wordWrap/>
              <w:overflowPunct/>
              <w:topLinePunct w:val="0"/>
              <w:autoSpaceDE w:val="0"/>
              <w:autoSpaceDN w:val="0"/>
              <w:bidi w:val="0"/>
              <w:adjustRightInd/>
              <w:snapToGrid/>
              <w:spacing w:line="300" w:lineRule="exact"/>
              <w:ind w:left="0" w:leftChars="0" w:firstLine="0" w:firstLineChars="0"/>
              <w:jc w:val="center"/>
              <w:textAlignment w:val="auto"/>
              <w:rPr>
                <w:rFonts w:hint="default" w:ascii="宋体" w:hAnsi="Times New Roman" w:eastAsia="宋体" w:cs="Times New Roman"/>
                <w:highlight w:val="none"/>
                <w:vertAlign w:val="baseline"/>
                <w:lang w:val="en-US" w:eastAsia="zh-CN"/>
              </w:rPr>
            </w:pPr>
            <w:r>
              <w:rPr>
                <w:rFonts w:hint="eastAsia" w:ascii="宋体" w:hAnsi="Times New Roman" w:eastAsia="宋体" w:cs="Times New Roman"/>
                <w:highlight w:val="none"/>
                <w:vertAlign w:val="baseline"/>
                <w:lang w:val="en-US" w:eastAsia="zh-CN"/>
              </w:rPr>
              <w:t>9</w:t>
            </w:r>
          </w:p>
        </w:tc>
        <w:tc>
          <w:tcPr>
            <w:tcW w:w="2585" w:type="dxa"/>
            <w:tcBorders>
              <w:tl2br w:val="nil"/>
              <w:tr2bl w:val="nil"/>
            </w:tcBorders>
            <w:vAlign w:val="center"/>
          </w:tcPr>
          <w:p>
            <w:pPr>
              <w:pStyle w:val="57"/>
              <w:keepNext w:val="0"/>
              <w:keepLines w:val="0"/>
              <w:pageBreakBefore w:val="0"/>
              <w:widowControl/>
              <w:kinsoku/>
              <w:wordWrap/>
              <w:overflowPunct/>
              <w:topLinePunct w:val="0"/>
              <w:autoSpaceDE w:val="0"/>
              <w:autoSpaceDN w:val="0"/>
              <w:bidi w:val="0"/>
              <w:adjustRightInd/>
              <w:snapToGrid/>
              <w:spacing w:line="300" w:lineRule="exact"/>
              <w:ind w:left="0" w:leftChars="0" w:firstLine="0" w:firstLineChars="0"/>
              <w:jc w:val="both"/>
              <w:textAlignment w:val="auto"/>
              <w:rPr>
                <w:rFonts w:hint="default" w:ascii="宋体" w:hAnsi="Times New Roman" w:eastAsia="宋体" w:cs="Times New Roman"/>
                <w:highlight w:val="none"/>
                <w:vertAlign w:val="baseline"/>
                <w:lang w:val="en-US" w:eastAsia="zh-CN"/>
              </w:rPr>
            </w:pPr>
            <w:r>
              <w:rPr>
                <w:rFonts w:hint="default" w:ascii="宋体" w:hAnsi="Times New Roman" w:eastAsia="宋体" w:cs="Times New Roman"/>
                <w:highlight w:val="none"/>
                <w:vertAlign w:val="baseline"/>
                <w:lang w:val="en-US" w:eastAsia="zh-CN"/>
              </w:rPr>
              <w:t>反恐防暴</w:t>
            </w:r>
          </w:p>
        </w:tc>
        <w:tc>
          <w:tcPr>
            <w:tcW w:w="4315" w:type="dxa"/>
            <w:tcBorders>
              <w:tl2br w:val="nil"/>
              <w:tr2bl w:val="nil"/>
            </w:tcBorders>
            <w:vAlign w:val="center"/>
          </w:tcPr>
          <w:p>
            <w:pPr>
              <w:pStyle w:val="57"/>
              <w:keepNext w:val="0"/>
              <w:keepLines w:val="0"/>
              <w:pageBreakBefore w:val="0"/>
              <w:widowControl/>
              <w:kinsoku/>
              <w:wordWrap/>
              <w:overflowPunct/>
              <w:topLinePunct w:val="0"/>
              <w:autoSpaceDE w:val="0"/>
              <w:autoSpaceDN w:val="0"/>
              <w:bidi w:val="0"/>
              <w:adjustRightInd/>
              <w:snapToGrid/>
              <w:spacing w:line="300" w:lineRule="exact"/>
              <w:ind w:left="0" w:leftChars="0" w:firstLine="0" w:firstLineChars="0"/>
              <w:jc w:val="both"/>
              <w:textAlignment w:val="auto"/>
              <w:rPr>
                <w:rFonts w:hint="default" w:ascii="宋体" w:hAnsi="Times New Roman" w:eastAsia="宋体" w:cs="Times New Roman"/>
                <w:highlight w:val="none"/>
                <w:vertAlign w:val="baseline"/>
                <w:lang w:val="en-US" w:eastAsia="zh-CN"/>
              </w:rPr>
            </w:pPr>
            <w:r>
              <w:rPr>
                <w:rFonts w:hint="eastAsia" w:ascii="宋体" w:hAnsi="Times New Roman" w:eastAsia="宋体" w:cs="Times New Roman"/>
                <w:highlight w:val="none"/>
                <w:vertAlign w:val="baseline"/>
                <w:lang w:val="en-US" w:eastAsia="zh-CN"/>
              </w:rPr>
              <w:t>1.</w:t>
            </w:r>
            <w:r>
              <w:rPr>
                <w:rFonts w:hint="default" w:ascii="宋体" w:hAnsi="Times New Roman" w:eastAsia="宋体" w:cs="Times New Roman"/>
                <w:highlight w:val="none"/>
                <w:vertAlign w:val="baseline"/>
                <w:lang w:val="en-US" w:eastAsia="zh-CN"/>
              </w:rPr>
              <w:t>立即向有关部门报告，迅速疏散可疑爆炸物附近人员及易燃</w:t>
            </w:r>
            <w:r>
              <w:rPr>
                <w:rFonts w:hint="eastAsia" w:ascii="宋体" w:hAnsi="Times New Roman" w:eastAsia="宋体" w:cs="Times New Roman"/>
                <w:highlight w:val="none"/>
                <w:vertAlign w:val="baseline"/>
                <w:lang w:val="en-US" w:eastAsia="zh-CN"/>
              </w:rPr>
              <w:t>易</w:t>
            </w:r>
            <w:r>
              <w:rPr>
                <w:rFonts w:hint="default" w:ascii="宋体" w:hAnsi="Times New Roman" w:eastAsia="宋体" w:cs="Times New Roman"/>
                <w:highlight w:val="none"/>
                <w:vertAlign w:val="baseline"/>
                <w:lang w:val="en-US" w:eastAsia="zh-CN"/>
              </w:rPr>
              <w:t>爆物品，严禁群众围观</w:t>
            </w:r>
            <w:r>
              <w:rPr>
                <w:rFonts w:hint="eastAsia" w:ascii="宋体" w:hAnsi="Times New Roman" w:eastAsia="宋体" w:cs="Times New Roman"/>
                <w:highlight w:val="none"/>
                <w:vertAlign w:val="baseline"/>
                <w:lang w:val="en-US" w:eastAsia="zh-CN"/>
              </w:rPr>
              <w:t>；</w:t>
            </w:r>
          </w:p>
          <w:p>
            <w:pPr>
              <w:pStyle w:val="57"/>
              <w:keepNext w:val="0"/>
              <w:keepLines w:val="0"/>
              <w:pageBreakBefore w:val="0"/>
              <w:widowControl/>
              <w:kinsoku/>
              <w:wordWrap/>
              <w:overflowPunct/>
              <w:topLinePunct w:val="0"/>
              <w:autoSpaceDE w:val="0"/>
              <w:autoSpaceDN w:val="0"/>
              <w:bidi w:val="0"/>
              <w:adjustRightInd/>
              <w:snapToGrid/>
              <w:spacing w:line="300" w:lineRule="exact"/>
              <w:ind w:left="0" w:leftChars="0" w:firstLine="0" w:firstLineChars="0"/>
              <w:jc w:val="both"/>
              <w:textAlignment w:val="auto"/>
              <w:rPr>
                <w:rFonts w:hint="default" w:ascii="宋体" w:hAnsi="Times New Roman" w:eastAsia="宋体" w:cs="Times New Roman"/>
                <w:highlight w:val="none"/>
                <w:vertAlign w:val="baseline"/>
                <w:lang w:val="en-US" w:eastAsia="zh-CN"/>
              </w:rPr>
            </w:pPr>
            <w:r>
              <w:rPr>
                <w:rFonts w:hint="eastAsia" w:ascii="宋体" w:hAnsi="Times New Roman" w:eastAsia="宋体" w:cs="Times New Roman"/>
                <w:highlight w:val="none"/>
                <w:vertAlign w:val="baseline"/>
                <w:lang w:val="en-US" w:eastAsia="zh-CN"/>
              </w:rPr>
              <w:t>2.</w:t>
            </w:r>
            <w:r>
              <w:rPr>
                <w:rFonts w:hint="default" w:ascii="宋体" w:hAnsi="Times New Roman" w:eastAsia="宋体" w:cs="Times New Roman"/>
                <w:highlight w:val="none"/>
                <w:vertAlign w:val="baseline"/>
                <w:lang w:val="en-US" w:eastAsia="zh-CN"/>
              </w:rPr>
              <w:t>初步调查、分析可疑爆炸物品来源，了解可疑爆炸物品进入时间、方式、并向第一发现人或知情人了解有关情况</w:t>
            </w:r>
            <w:r>
              <w:rPr>
                <w:rFonts w:hint="eastAsia" w:ascii="宋体" w:hAnsi="Times New Roman" w:eastAsia="宋体" w:cs="Times New Roman"/>
                <w:highlight w:val="none"/>
                <w:vertAlign w:val="baseline"/>
                <w:lang w:val="en-US" w:eastAsia="zh-CN"/>
              </w:rPr>
              <w:t>；</w:t>
            </w:r>
          </w:p>
          <w:p>
            <w:pPr>
              <w:pStyle w:val="57"/>
              <w:keepNext w:val="0"/>
              <w:keepLines w:val="0"/>
              <w:pageBreakBefore w:val="0"/>
              <w:widowControl/>
              <w:kinsoku/>
              <w:wordWrap/>
              <w:overflowPunct/>
              <w:topLinePunct w:val="0"/>
              <w:autoSpaceDE w:val="0"/>
              <w:autoSpaceDN w:val="0"/>
              <w:bidi w:val="0"/>
              <w:adjustRightInd/>
              <w:snapToGrid/>
              <w:spacing w:line="300" w:lineRule="exact"/>
              <w:ind w:left="0" w:leftChars="0" w:firstLine="0" w:firstLineChars="0"/>
              <w:jc w:val="both"/>
              <w:textAlignment w:val="auto"/>
              <w:rPr>
                <w:rFonts w:hint="default" w:ascii="宋体" w:hAnsi="Times New Roman" w:eastAsia="宋体" w:cs="Times New Roman"/>
                <w:highlight w:val="none"/>
                <w:vertAlign w:val="baseline"/>
                <w:lang w:val="en-US" w:eastAsia="zh-CN"/>
              </w:rPr>
            </w:pPr>
            <w:r>
              <w:rPr>
                <w:rFonts w:hint="eastAsia" w:ascii="宋体" w:hAnsi="Times New Roman" w:eastAsia="宋体" w:cs="Times New Roman"/>
                <w:highlight w:val="none"/>
                <w:vertAlign w:val="baseline"/>
                <w:lang w:val="en-US" w:eastAsia="zh-CN"/>
              </w:rPr>
              <w:t>3.</w:t>
            </w:r>
            <w:r>
              <w:rPr>
                <w:rFonts w:hint="default" w:ascii="宋体" w:hAnsi="Times New Roman" w:eastAsia="宋体" w:cs="Times New Roman"/>
                <w:highlight w:val="none"/>
                <w:vertAlign w:val="baseline"/>
                <w:lang w:val="en-US" w:eastAsia="zh-CN"/>
              </w:rPr>
              <w:t>对可疑爆炸物品实施远距离监控，注意发现周围有无形迹可疑的人员，并注意观察可疑人员形迹。</w:t>
            </w:r>
          </w:p>
        </w:tc>
      </w:tr>
    </w:tbl>
    <w:p>
      <w:pPr>
        <w:pStyle w:val="57"/>
        <w:ind w:left="0" w:leftChars="0" w:firstLine="0" w:firstLineChars="0"/>
        <w:rPr>
          <w:rFonts w:hint="eastAsia"/>
          <w:highlight w:val="none"/>
          <w:lang w:eastAsia="zh-CN"/>
        </w:rPr>
      </w:pPr>
    </w:p>
    <w:p>
      <w:pPr>
        <w:pStyle w:val="57"/>
        <w:ind w:firstLine="420"/>
        <w:rPr>
          <w:rFonts w:hint="eastAsia"/>
          <w:highlight w:val="none"/>
          <w:lang w:eastAsia="zh-CN"/>
        </w:rPr>
      </w:pPr>
    </w:p>
    <w:p>
      <w:pPr>
        <w:pStyle w:val="64"/>
        <w:spacing w:before="124" w:after="156"/>
        <w:rPr>
          <w:rFonts w:hint="eastAsia"/>
          <w:spacing w:val="105"/>
          <w:highlight w:val="none"/>
        </w:rPr>
      </w:pPr>
      <w:bookmarkStart w:id="78" w:name="_Toc5288"/>
    </w:p>
    <w:p>
      <w:pPr>
        <w:pStyle w:val="64"/>
        <w:spacing w:before="124" w:after="156"/>
        <w:rPr>
          <w:rFonts w:hint="eastAsia"/>
          <w:spacing w:val="105"/>
          <w:highlight w:val="none"/>
        </w:rPr>
      </w:pPr>
    </w:p>
    <w:p>
      <w:pPr>
        <w:pStyle w:val="64"/>
        <w:spacing w:before="124" w:after="156"/>
        <w:rPr>
          <w:rFonts w:hint="eastAsia"/>
          <w:spacing w:val="105"/>
          <w:highlight w:val="none"/>
        </w:rPr>
      </w:pPr>
    </w:p>
    <w:p>
      <w:pPr>
        <w:pStyle w:val="64"/>
        <w:spacing w:before="124" w:after="156"/>
        <w:rPr>
          <w:rFonts w:hint="eastAsia"/>
          <w:spacing w:val="105"/>
          <w:highlight w:val="none"/>
        </w:rPr>
      </w:pPr>
    </w:p>
    <w:p>
      <w:pPr>
        <w:pStyle w:val="64"/>
        <w:spacing w:before="124" w:after="156"/>
        <w:rPr>
          <w:rFonts w:hint="eastAsia"/>
          <w:spacing w:val="105"/>
          <w:highlight w:val="none"/>
        </w:rPr>
      </w:pPr>
    </w:p>
    <w:p>
      <w:pPr>
        <w:pStyle w:val="64"/>
        <w:spacing w:before="124" w:after="156"/>
        <w:rPr>
          <w:rFonts w:hint="eastAsia"/>
          <w:spacing w:val="105"/>
          <w:highlight w:val="none"/>
        </w:rPr>
      </w:pPr>
    </w:p>
    <w:p>
      <w:pPr>
        <w:pStyle w:val="64"/>
        <w:spacing w:before="124" w:after="156"/>
        <w:rPr>
          <w:rFonts w:hint="eastAsia"/>
          <w:spacing w:val="105"/>
          <w:highlight w:val="none"/>
        </w:rPr>
      </w:pPr>
    </w:p>
    <w:p>
      <w:pPr>
        <w:pStyle w:val="64"/>
        <w:spacing w:before="124" w:after="156"/>
        <w:rPr>
          <w:rFonts w:hint="eastAsia"/>
          <w:spacing w:val="105"/>
          <w:highlight w:val="none"/>
        </w:rPr>
      </w:pPr>
    </w:p>
    <w:p>
      <w:pPr>
        <w:pStyle w:val="64"/>
        <w:spacing w:before="124" w:after="156"/>
        <w:rPr>
          <w:rFonts w:hint="eastAsia"/>
          <w:spacing w:val="105"/>
          <w:highlight w:val="none"/>
        </w:rPr>
      </w:pPr>
    </w:p>
    <w:p>
      <w:pPr>
        <w:pStyle w:val="64"/>
        <w:spacing w:before="124" w:after="156"/>
        <w:rPr>
          <w:rFonts w:hint="eastAsia"/>
          <w:spacing w:val="105"/>
          <w:highlight w:val="none"/>
        </w:rPr>
      </w:pPr>
    </w:p>
    <w:p>
      <w:pPr>
        <w:pStyle w:val="64"/>
        <w:spacing w:before="124" w:after="156"/>
        <w:rPr>
          <w:highlight w:val="none"/>
        </w:rPr>
      </w:pPr>
      <w:r>
        <w:rPr>
          <w:rFonts w:hint="eastAsia"/>
          <w:spacing w:val="105"/>
          <w:highlight w:val="none"/>
        </w:rPr>
        <w:t>参考文</w:t>
      </w:r>
      <w:r>
        <w:rPr>
          <w:rFonts w:hint="eastAsia"/>
          <w:highlight w:val="none"/>
        </w:rPr>
        <w:t>献</w:t>
      </w:r>
      <w:bookmarkEnd w:id="78"/>
    </w:p>
    <w:p>
      <w:pPr>
        <w:pStyle w:val="57"/>
        <w:numPr>
          <w:ilvl w:val="0"/>
          <w:numId w:val="32"/>
        </w:numPr>
        <w:ind w:firstLine="420"/>
        <w:rPr>
          <w:rFonts w:hint="eastAsia"/>
          <w:highlight w:val="none"/>
          <w:lang w:val="en-US" w:eastAsia="zh-CN"/>
        </w:rPr>
      </w:pPr>
      <w:r>
        <w:rPr>
          <w:rFonts w:hint="eastAsia"/>
          <w:highlight w:val="none"/>
        </w:rPr>
        <w:t xml:space="preserve"> 大型群众性活动安全管理条例（国务院令第505号）</w:t>
      </w:r>
    </w:p>
    <w:p>
      <w:pPr>
        <w:pStyle w:val="57"/>
        <w:numPr>
          <w:ilvl w:val="0"/>
          <w:numId w:val="32"/>
        </w:numPr>
        <w:ind w:firstLine="420"/>
        <w:rPr>
          <w:highlight w:val="none"/>
        </w:rPr>
      </w:pPr>
      <w:r>
        <w:rPr>
          <w:rFonts w:hint="eastAsia"/>
          <w:highlight w:val="none"/>
          <w:lang w:val="en-US" w:eastAsia="zh-CN"/>
        </w:rPr>
        <w:t xml:space="preserve"> 关于印发南京市公安机关大型群众性活动安全管理工作规定的通知（宁公规〔2019〕3号）</w:t>
      </w:r>
    </w:p>
    <w:p>
      <w:pPr>
        <w:pStyle w:val="57"/>
        <w:ind w:firstLine="420"/>
        <w:rPr>
          <w:highlight w:val="none"/>
        </w:rPr>
      </w:pPr>
      <w:r>
        <w:rPr>
          <w:rFonts w:hint="eastAsia"/>
          <w:highlight w:val="none"/>
        </w:rPr>
        <w:t>[</w:t>
      </w:r>
      <w:r>
        <w:rPr>
          <w:rFonts w:hint="eastAsia"/>
          <w:highlight w:val="none"/>
          <w:lang w:val="en-US" w:eastAsia="zh-CN"/>
        </w:rPr>
        <w:t>3</w:t>
      </w:r>
      <w:r>
        <w:rPr>
          <w:rFonts w:hint="eastAsia"/>
          <w:highlight w:val="none"/>
        </w:rPr>
        <w:t>]  省政府关于印发江苏省大型群众性活动安全管理规定的通知（苏政发〔2021〕78号）</w:t>
      </w:r>
    </w:p>
    <w:p>
      <w:pPr>
        <w:pStyle w:val="57"/>
        <w:ind w:firstLine="420"/>
        <w:rPr>
          <w:rFonts w:hint="default" w:eastAsia="宋体"/>
          <w:highlight w:val="none"/>
          <w:lang w:val="en-US" w:eastAsia="zh-CN"/>
        </w:rPr>
      </w:pPr>
      <w:r>
        <w:rPr>
          <w:rFonts w:hint="eastAsia"/>
          <w:highlight w:val="none"/>
        </w:rPr>
        <w:t>[</w:t>
      </w:r>
      <w:r>
        <w:rPr>
          <w:rFonts w:hint="eastAsia"/>
          <w:highlight w:val="none"/>
          <w:lang w:val="en-US" w:eastAsia="zh-CN"/>
        </w:rPr>
        <w:t>4</w:t>
      </w:r>
      <w:r>
        <w:rPr>
          <w:rFonts w:hint="eastAsia"/>
          <w:highlight w:val="none"/>
        </w:rPr>
        <w:t>]</w:t>
      </w:r>
      <w:r>
        <w:rPr>
          <w:rFonts w:hint="eastAsia"/>
          <w:highlight w:val="none"/>
          <w:lang w:val="en-US" w:eastAsia="zh-CN"/>
        </w:rPr>
        <w:t xml:space="preserve">  省体育局关于印发江苏省体育重点领域安全生产工作指引的通知（</w:t>
      </w:r>
      <w:r>
        <w:rPr>
          <w:rFonts w:hint="eastAsia"/>
          <w:highlight w:val="none"/>
        </w:rPr>
        <w:t>苏</w:t>
      </w:r>
      <w:r>
        <w:rPr>
          <w:rFonts w:hint="eastAsia"/>
          <w:highlight w:val="none"/>
          <w:lang w:val="en-US" w:eastAsia="zh-CN"/>
        </w:rPr>
        <w:t>体办</w:t>
      </w:r>
      <w:r>
        <w:rPr>
          <w:rFonts w:hint="eastAsia"/>
          <w:highlight w:val="none"/>
        </w:rPr>
        <w:t>〔2021〕</w:t>
      </w:r>
      <w:r>
        <w:rPr>
          <w:rFonts w:hint="eastAsia"/>
          <w:highlight w:val="none"/>
          <w:lang w:val="en-US" w:eastAsia="zh-CN"/>
        </w:rPr>
        <w:t>100</w:t>
      </w:r>
      <w:r>
        <w:rPr>
          <w:rFonts w:hint="eastAsia"/>
          <w:highlight w:val="none"/>
        </w:rPr>
        <w:t>号</w:t>
      </w:r>
      <w:r>
        <w:rPr>
          <w:rFonts w:hint="eastAsia"/>
          <w:highlight w:val="none"/>
          <w:lang w:val="en-US" w:eastAsia="zh-CN"/>
        </w:rPr>
        <w:t>）</w:t>
      </w:r>
    </w:p>
    <w:p>
      <w:pPr>
        <w:pStyle w:val="57"/>
        <w:ind w:firstLine="420"/>
        <w:rPr>
          <w:rFonts w:hint="eastAsia"/>
          <w:highlight w:val="none"/>
          <w:lang w:val="en-US" w:eastAsia="zh-CN"/>
        </w:rPr>
      </w:pPr>
      <w:r>
        <w:rPr>
          <w:rFonts w:hint="eastAsia"/>
          <w:highlight w:val="none"/>
        </w:rPr>
        <w:t>[</w:t>
      </w:r>
      <w:r>
        <w:rPr>
          <w:rFonts w:hint="eastAsia"/>
          <w:highlight w:val="none"/>
          <w:lang w:val="en-US" w:eastAsia="zh-CN"/>
        </w:rPr>
        <w:t>5</w:t>
      </w:r>
      <w:r>
        <w:rPr>
          <w:rFonts w:hint="eastAsia"/>
          <w:highlight w:val="none"/>
        </w:rPr>
        <w:t>]</w:t>
      </w:r>
      <w:r>
        <w:rPr>
          <w:rFonts w:hint="eastAsia"/>
          <w:highlight w:val="none"/>
          <w:lang w:val="en-US" w:eastAsia="zh-CN"/>
        </w:rPr>
        <w:t xml:space="preserve">  省政府办公厅关于印发江苏省体育赛事活动重特大突发事件应急预案的通知（</w:t>
      </w:r>
      <w:r>
        <w:rPr>
          <w:rFonts w:hint="eastAsia"/>
          <w:highlight w:val="none"/>
        </w:rPr>
        <w:t>苏</w:t>
      </w:r>
      <w:r>
        <w:rPr>
          <w:rFonts w:hint="eastAsia"/>
          <w:highlight w:val="none"/>
          <w:lang w:val="en-US" w:eastAsia="zh-CN"/>
        </w:rPr>
        <w:t>政办函</w:t>
      </w:r>
      <w:r>
        <w:rPr>
          <w:rFonts w:hint="eastAsia"/>
          <w:highlight w:val="none"/>
        </w:rPr>
        <w:t>〔2021〕</w:t>
      </w:r>
      <w:r>
        <w:rPr>
          <w:rFonts w:hint="eastAsia"/>
          <w:highlight w:val="none"/>
          <w:lang w:val="en-US" w:eastAsia="zh-CN"/>
        </w:rPr>
        <w:t>72</w:t>
      </w:r>
      <w:r>
        <w:rPr>
          <w:rFonts w:hint="eastAsia"/>
          <w:highlight w:val="none"/>
        </w:rPr>
        <w:t>号</w:t>
      </w:r>
      <w:r>
        <w:rPr>
          <w:rFonts w:hint="eastAsia"/>
          <w:highlight w:val="none"/>
          <w:lang w:val="en-US" w:eastAsia="zh-CN"/>
        </w:rPr>
        <w:t>）</w:t>
      </w:r>
    </w:p>
    <w:p>
      <w:pPr>
        <w:pStyle w:val="57"/>
        <w:ind w:firstLine="420"/>
        <w:rPr>
          <w:rFonts w:hint="eastAsia"/>
          <w:highlight w:val="none"/>
          <w:lang w:val="en-US" w:eastAsia="zh-CN"/>
        </w:rPr>
      </w:pPr>
      <w:r>
        <w:rPr>
          <w:rFonts w:hint="eastAsia"/>
          <w:highlight w:val="none"/>
        </w:rPr>
        <w:t>[</w:t>
      </w:r>
      <w:r>
        <w:rPr>
          <w:rFonts w:hint="eastAsia"/>
          <w:highlight w:val="none"/>
          <w:lang w:val="en-US" w:eastAsia="zh-CN"/>
        </w:rPr>
        <w:t>6</w:t>
      </w:r>
      <w:r>
        <w:rPr>
          <w:rFonts w:hint="eastAsia"/>
          <w:highlight w:val="none"/>
        </w:rPr>
        <w:t>]</w:t>
      </w:r>
      <w:r>
        <w:rPr>
          <w:rFonts w:hint="eastAsia"/>
          <w:highlight w:val="none"/>
          <w:lang w:val="en-US" w:eastAsia="zh-CN"/>
        </w:rPr>
        <w:t xml:space="preserve">  省安委会办公室转发国务院安委会办公室关于进一步加强公共场所人员聚集安全管理的通知（</w:t>
      </w:r>
      <w:r>
        <w:rPr>
          <w:rFonts w:hint="eastAsia"/>
          <w:highlight w:val="none"/>
        </w:rPr>
        <w:t>苏</w:t>
      </w:r>
      <w:r>
        <w:rPr>
          <w:rFonts w:hint="eastAsia"/>
          <w:highlight w:val="none"/>
          <w:lang w:val="en-US" w:eastAsia="zh-CN"/>
        </w:rPr>
        <w:t>安办函</w:t>
      </w:r>
      <w:r>
        <w:rPr>
          <w:rFonts w:hint="eastAsia"/>
          <w:highlight w:val="none"/>
        </w:rPr>
        <w:t>〔202</w:t>
      </w:r>
      <w:r>
        <w:rPr>
          <w:rFonts w:hint="eastAsia"/>
          <w:highlight w:val="none"/>
          <w:lang w:val="en-US" w:eastAsia="zh-CN"/>
        </w:rPr>
        <w:t>3</w:t>
      </w:r>
      <w:r>
        <w:rPr>
          <w:rFonts w:hint="eastAsia"/>
          <w:highlight w:val="none"/>
        </w:rPr>
        <w:t>〕</w:t>
      </w:r>
      <w:r>
        <w:rPr>
          <w:rFonts w:hint="eastAsia"/>
          <w:highlight w:val="none"/>
          <w:lang w:val="en-US" w:eastAsia="zh-CN"/>
        </w:rPr>
        <w:t>11</w:t>
      </w:r>
      <w:r>
        <w:rPr>
          <w:rFonts w:hint="eastAsia"/>
          <w:highlight w:val="none"/>
        </w:rPr>
        <w:t>号</w:t>
      </w:r>
      <w:r>
        <w:rPr>
          <w:rFonts w:hint="eastAsia"/>
          <w:highlight w:val="none"/>
          <w:lang w:val="en-US" w:eastAsia="zh-CN"/>
        </w:rPr>
        <w:t>）</w:t>
      </w:r>
    </w:p>
    <w:p>
      <w:pPr>
        <w:pStyle w:val="57"/>
        <w:ind w:firstLine="420"/>
        <w:rPr>
          <w:rFonts w:hint="default"/>
          <w:color w:val="auto"/>
          <w:highlight w:val="none"/>
          <w:lang w:val="en-US" w:eastAsia="zh-CN"/>
        </w:rPr>
      </w:pPr>
      <w:r>
        <w:rPr>
          <w:rFonts w:hint="eastAsia"/>
          <w:color w:val="auto"/>
          <w:highlight w:val="none"/>
        </w:rPr>
        <w:t>[</w:t>
      </w:r>
      <w:r>
        <w:rPr>
          <w:rFonts w:hint="eastAsia"/>
          <w:color w:val="auto"/>
          <w:highlight w:val="none"/>
          <w:lang w:val="en-US" w:eastAsia="zh-CN"/>
        </w:rPr>
        <w:t>7</w:t>
      </w:r>
      <w:r>
        <w:rPr>
          <w:rFonts w:hint="eastAsia"/>
          <w:color w:val="auto"/>
          <w:highlight w:val="none"/>
        </w:rPr>
        <w:t>]</w:t>
      </w:r>
      <w:r>
        <w:rPr>
          <w:rFonts w:hint="eastAsia"/>
          <w:color w:val="auto"/>
          <w:highlight w:val="none"/>
          <w:lang w:val="en-US" w:eastAsia="zh-CN"/>
        </w:rPr>
        <w:t xml:space="preserve">  </w:t>
      </w:r>
      <w:r>
        <w:rPr>
          <w:rFonts w:hint="default" w:ascii="宋体" w:hAnsi="宋体" w:eastAsia="宋体" w:cs="宋体"/>
          <w:b w:val="0"/>
          <w:bCs w:val="0"/>
          <w:color w:val="auto"/>
          <w:kern w:val="0"/>
          <w:sz w:val="21"/>
          <w:szCs w:val="20"/>
          <w:highlight w:val="none"/>
          <w:lang w:val="en-US" w:eastAsia="zh-CN" w:bidi="ar-SA"/>
        </w:rPr>
        <w:t>无人驾驶航空器飞行管理暂行条例</w:t>
      </w:r>
      <w:r>
        <w:rPr>
          <w:rFonts w:hint="eastAsia" w:hAnsi="宋体" w:cs="宋体"/>
          <w:b w:val="0"/>
          <w:bCs w:val="0"/>
          <w:color w:val="auto"/>
          <w:kern w:val="0"/>
          <w:sz w:val="21"/>
          <w:szCs w:val="20"/>
          <w:highlight w:val="none"/>
          <w:lang w:val="en-US" w:eastAsia="zh-CN" w:bidi="ar-SA"/>
        </w:rPr>
        <w:t>（国令第761号）</w:t>
      </w:r>
    </w:p>
    <w:bookmarkEnd w:id="72"/>
    <w:p>
      <w:pPr>
        <w:pStyle w:val="57"/>
        <w:ind w:firstLine="0" w:firstLineChars="0"/>
        <w:jc w:val="center"/>
        <w:rPr>
          <w:highlight w:val="none"/>
        </w:rPr>
      </w:pPr>
      <w:bookmarkStart w:id="79" w:name="BookMark8"/>
    </w:p>
    <w:p>
      <w:pPr>
        <w:pStyle w:val="57"/>
        <w:ind w:firstLine="0" w:firstLineChars="0"/>
        <w:jc w:val="center"/>
        <w:rPr>
          <w:highlight w:val="none"/>
        </w:rPr>
      </w:pPr>
    </w:p>
    <w:p>
      <w:pPr>
        <w:pStyle w:val="57"/>
        <w:ind w:firstLine="0" w:firstLineChars="0"/>
        <w:jc w:val="center"/>
        <w:rPr>
          <w:highlight w:val="none"/>
        </w:rPr>
      </w:pPr>
      <w:r>
        <w:rPr>
          <w:highlight w:val="none"/>
        </w:rPr>
        <w:drawing>
          <wp:inline distT="0" distB="0" distL="0" distR="0">
            <wp:extent cx="1485900" cy="317500"/>
            <wp:effectExtent l="0" t="0" r="0" b="635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6"/>
                    <a:stretch>
                      <a:fillRect/>
                    </a:stretch>
                  </pic:blipFill>
                  <pic:spPr>
                    <a:xfrm>
                      <a:off x="0" y="0"/>
                      <a:ext cx="1485900" cy="317500"/>
                    </a:xfrm>
                    <a:prstGeom prst="rect">
                      <a:avLst/>
                    </a:prstGeom>
                  </pic:spPr>
                </pic:pic>
              </a:graphicData>
            </a:graphic>
          </wp:inline>
        </w:drawing>
      </w:r>
      <w:bookmarkEnd w:id="79"/>
    </w:p>
    <w:sectPr>
      <w:pgSz w:w="11906" w:h="16838"/>
      <w:pgMar w:top="2410" w:right="1134" w:bottom="1134" w:left="1134" w:header="1418" w:footer="1134" w:gutter="284"/>
      <w:pgBorders>
        <w:top w:val="none" w:sz="0" w:space="0"/>
        <w:left w:val="none" w:sz="0" w:space="0"/>
        <w:bottom w:val="none" w:sz="0" w:space="0"/>
        <w:right w:val="none" w:sz="0" w:space="0"/>
      </w:pgBorders>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32/T XXXX—2023</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32/T XXXX—2023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BA0458"/>
    <w:multiLevelType w:val="singleLevel"/>
    <w:tmpl w:val="CABA0458"/>
    <w:lvl w:ilvl="0" w:tentative="0">
      <w:start w:val="1"/>
      <w:numFmt w:val="decimal"/>
      <w:suff w:val="space"/>
      <w:lvlText w:val="[%1]"/>
      <w:lvlJc w:val="left"/>
    </w:lvl>
  </w:abstractNum>
  <w:abstractNum w:abstractNumId="1">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8"/>
  </w:num>
  <w:num w:numId="3">
    <w:abstractNumId w:val="6"/>
  </w:num>
  <w:num w:numId="4">
    <w:abstractNumId w:val="24"/>
  </w:num>
  <w:num w:numId="5">
    <w:abstractNumId w:val="19"/>
  </w:num>
  <w:num w:numId="6">
    <w:abstractNumId w:val="14"/>
  </w:num>
  <w:num w:numId="7">
    <w:abstractNumId w:val="9"/>
  </w:num>
  <w:num w:numId="8">
    <w:abstractNumId w:val="4"/>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2"/>
  </w:num>
  <w:num w:numId="21">
    <w:abstractNumId w:val="11"/>
  </w:num>
  <w:num w:numId="22">
    <w:abstractNumId w:val="31"/>
  </w:num>
  <w:num w:numId="23">
    <w:abstractNumId w:val="21"/>
  </w:num>
  <w:num w:numId="24">
    <w:abstractNumId w:val="7"/>
  </w:num>
  <w:num w:numId="25">
    <w:abstractNumId w:val="27"/>
  </w:num>
  <w:num w:numId="26">
    <w:abstractNumId w:val="29"/>
  </w:num>
  <w:num w:numId="27">
    <w:abstractNumId w:val="3"/>
  </w:num>
  <w:num w:numId="28">
    <w:abstractNumId w:val="5"/>
  </w:num>
  <w:num w:numId="29">
    <w:abstractNumId w:val="15"/>
  </w:num>
  <w:num w:numId="30">
    <w:abstractNumId w:val="25"/>
  </w:num>
  <w:num w:numId="31">
    <w:abstractNumId w:val="23"/>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attachedTemplate r:id="rId1"/>
  <w:documentProtection w:edit="forms" w:enforcement="1" w:cryptProviderType="rsaFull" w:cryptAlgorithmClass="hash" w:cryptAlgorithmType="typeAny" w:cryptAlgorithmSid="4" w:cryptSpinCount="100000" w:hash="/HSDBrThtRKqekixB5KCrgb1t0o=" w:salt="0ur7guCWuG5E1lphqKo1xQ=="/>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RlYjhhN2NiZTI3YjQwOGQyNmU0N2JlNDExNWJjM2QifQ=="/>
  </w:docVars>
  <w:rsids>
    <w:rsidRoot w:val="00B443D1"/>
    <w:rsid w:val="0000040A"/>
    <w:rsid w:val="00000A94"/>
    <w:rsid w:val="00001972"/>
    <w:rsid w:val="00001C5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1A62"/>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37B73"/>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AFD"/>
    <w:rsid w:val="00270CB8"/>
    <w:rsid w:val="00272B08"/>
    <w:rsid w:val="00281BB8"/>
    <w:rsid w:val="00281E9E"/>
    <w:rsid w:val="00282405"/>
    <w:rsid w:val="00285170"/>
    <w:rsid w:val="00285361"/>
    <w:rsid w:val="002875B5"/>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543"/>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6A44"/>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1AE3"/>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6A24"/>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1E9B"/>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661"/>
    <w:rsid w:val="00653FED"/>
    <w:rsid w:val="00654EC0"/>
    <w:rsid w:val="0065525B"/>
    <w:rsid w:val="00655D4F"/>
    <w:rsid w:val="00656D29"/>
    <w:rsid w:val="006640E5"/>
    <w:rsid w:val="006646F1"/>
    <w:rsid w:val="00664929"/>
    <w:rsid w:val="00664F62"/>
    <w:rsid w:val="006655E1"/>
    <w:rsid w:val="00666CE3"/>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30EE"/>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65A"/>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680C"/>
    <w:rsid w:val="007F75CE"/>
    <w:rsid w:val="008013A4"/>
    <w:rsid w:val="008027CE"/>
    <w:rsid w:val="00802F42"/>
    <w:rsid w:val="00804383"/>
    <w:rsid w:val="00804BB7"/>
    <w:rsid w:val="00804D41"/>
    <w:rsid w:val="00810257"/>
    <w:rsid w:val="008104F5"/>
    <w:rsid w:val="00811072"/>
    <w:rsid w:val="00811369"/>
    <w:rsid w:val="0081303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356F"/>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47F2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283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3D1"/>
    <w:rsid w:val="00B447A5"/>
    <w:rsid w:val="00B4654C"/>
    <w:rsid w:val="00B47293"/>
    <w:rsid w:val="00B50E50"/>
    <w:rsid w:val="00B52120"/>
    <w:rsid w:val="00B53D1F"/>
    <w:rsid w:val="00B54ABC"/>
    <w:rsid w:val="00B54DDE"/>
    <w:rsid w:val="00B56FBE"/>
    <w:rsid w:val="00B60ACF"/>
    <w:rsid w:val="00B62B58"/>
    <w:rsid w:val="00B65149"/>
    <w:rsid w:val="00B66567"/>
    <w:rsid w:val="00B66F52"/>
    <w:rsid w:val="00B66FE5"/>
    <w:rsid w:val="00B70E72"/>
    <w:rsid w:val="00B72880"/>
    <w:rsid w:val="00B758BF"/>
    <w:rsid w:val="00B77EC8"/>
    <w:rsid w:val="00B827A6"/>
    <w:rsid w:val="00B831CE"/>
    <w:rsid w:val="00B86677"/>
    <w:rsid w:val="00B87131"/>
    <w:rsid w:val="00B92F60"/>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0F21"/>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551"/>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800"/>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2F0F"/>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02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05C6"/>
    <w:rsid w:val="00FC17B7"/>
    <w:rsid w:val="00FC27B9"/>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2376D60"/>
    <w:rsid w:val="08606A32"/>
    <w:rsid w:val="0E2B3D1C"/>
    <w:rsid w:val="0E4A4D21"/>
    <w:rsid w:val="12227273"/>
    <w:rsid w:val="14037F7C"/>
    <w:rsid w:val="19CB67B0"/>
    <w:rsid w:val="1CA455C1"/>
    <w:rsid w:val="25B15999"/>
    <w:rsid w:val="284E2613"/>
    <w:rsid w:val="2E9C0912"/>
    <w:rsid w:val="31734504"/>
    <w:rsid w:val="32A65571"/>
    <w:rsid w:val="35543C13"/>
    <w:rsid w:val="35E53F37"/>
    <w:rsid w:val="3DD34C89"/>
    <w:rsid w:val="3E4B6DC9"/>
    <w:rsid w:val="40BE4EFC"/>
    <w:rsid w:val="443F6232"/>
    <w:rsid w:val="477E2462"/>
    <w:rsid w:val="4981022E"/>
    <w:rsid w:val="4BDC516A"/>
    <w:rsid w:val="53907F03"/>
    <w:rsid w:val="54134635"/>
    <w:rsid w:val="60DA329E"/>
    <w:rsid w:val="61CE16ED"/>
    <w:rsid w:val="644F6191"/>
    <w:rsid w:val="6464480F"/>
    <w:rsid w:val="654E1301"/>
    <w:rsid w:val="67A67CAD"/>
    <w:rsid w:val="690B6C43"/>
    <w:rsid w:val="6C3D37AE"/>
    <w:rsid w:val="70883C10"/>
    <w:rsid w:val="72A2712C"/>
    <w:rsid w:val="758D37DC"/>
    <w:rsid w:val="7635771A"/>
    <w:rsid w:val="771C4DBF"/>
    <w:rsid w:val="77F6403D"/>
    <w:rsid w:val="7A4A40A3"/>
    <w:rsid w:val="7A904154"/>
    <w:rsid w:val="7B661E6B"/>
    <w:rsid w:val="7C234810"/>
    <w:rsid w:val="7DF534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3">
    <w:name w:val="heading 1"/>
    <w:basedOn w:val="1"/>
    <w:next w:val="1"/>
    <w:link w:val="36"/>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link w:val="37"/>
    <w:qFormat/>
    <w:uiPriority w:val="0"/>
    <w:pPr>
      <w:keepNext/>
      <w:keepLines/>
      <w:spacing w:before="260" w:after="260" w:line="416" w:lineRule="auto"/>
      <w:outlineLvl w:val="2"/>
    </w:pPr>
    <w:rPr>
      <w:b/>
      <w:bCs/>
      <w:sz w:val="32"/>
      <w:szCs w:val="32"/>
    </w:rPr>
  </w:style>
  <w:style w:type="paragraph" w:styleId="6">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7">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8">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9">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10">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1">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87"/>
    <w:qFormat/>
    <w:uiPriority w:val="0"/>
    <w:pPr>
      <w:spacing w:after="120"/>
    </w:pPr>
  </w:style>
  <w:style w:type="paragraph" w:styleId="12">
    <w:name w:val="toc 7"/>
    <w:basedOn w:val="1"/>
    <w:next w:val="1"/>
    <w:unhideWhenUsed/>
    <w:qFormat/>
    <w:uiPriority w:val="39"/>
    <w:pPr>
      <w:tabs>
        <w:tab w:val="right" w:leader="dot" w:pos="9344"/>
      </w:tabs>
      <w:spacing w:line="300" w:lineRule="exact"/>
      <w:ind w:left="1259"/>
    </w:pPr>
    <w:rPr>
      <w:rFonts w:ascii="宋体"/>
    </w:rPr>
  </w:style>
  <w:style w:type="paragraph" w:styleId="13">
    <w:name w:val="Normal Indent"/>
    <w:basedOn w:val="1"/>
    <w:qFormat/>
    <w:uiPriority w:val="0"/>
    <w:pPr>
      <w:ind w:firstLine="4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Normal (Web)"/>
    <w:basedOn w:val="1"/>
    <w:qFormat/>
    <w:uiPriority w:val="0"/>
    <w:pPr>
      <w:spacing w:before="0" w:beforeAutospacing="1" w:after="0" w:afterAutospacing="1"/>
      <w:ind w:left="0" w:right="0"/>
      <w:jc w:val="left"/>
    </w:pPr>
    <w:rPr>
      <w:kern w:val="0"/>
      <w:sz w:val="24"/>
      <w:lang w:val="en-US" w:eastAsia="zh-CN" w:bidi="ar"/>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2 Char"/>
    <w:link w:val="4"/>
    <w:qFormat/>
    <w:uiPriority w:val="0"/>
    <w:rPr>
      <w:rFonts w:ascii="Arial" w:hAnsi="Arial" w:eastAsia="黑体" w:cs="Times New Roman"/>
      <w:b/>
      <w:bCs/>
      <w:sz w:val="32"/>
      <w:szCs w:val="32"/>
    </w:rPr>
  </w:style>
  <w:style w:type="character" w:customStyle="1" w:styleId="36">
    <w:name w:val="标题 1 Char"/>
    <w:link w:val="3"/>
    <w:qFormat/>
    <w:uiPriority w:val="0"/>
    <w:rPr>
      <w:rFonts w:ascii="Times New Roman" w:hAnsi="Times New Roman" w:eastAsia="宋体" w:cs="Times New Roman"/>
      <w:b/>
      <w:bCs/>
      <w:kern w:val="44"/>
      <w:sz w:val="44"/>
      <w:szCs w:val="44"/>
    </w:rPr>
  </w:style>
  <w:style w:type="character" w:customStyle="1" w:styleId="37">
    <w:name w:val="标题 3 Char"/>
    <w:link w:val="5"/>
    <w:qFormat/>
    <w:uiPriority w:val="0"/>
    <w:rPr>
      <w:rFonts w:ascii="Times New Roman" w:hAnsi="Times New Roman" w:eastAsia="宋体" w:cs="Times New Roman"/>
      <w:b/>
      <w:bCs/>
      <w:sz w:val="32"/>
      <w:szCs w:val="32"/>
    </w:rPr>
  </w:style>
  <w:style w:type="character" w:customStyle="1" w:styleId="38">
    <w:name w:val="标题 4 Char"/>
    <w:link w:val="6"/>
    <w:qFormat/>
    <w:uiPriority w:val="0"/>
    <w:rPr>
      <w:rFonts w:ascii="Arial" w:hAnsi="Arial" w:eastAsia="黑体" w:cs="Times New Roman"/>
      <w:b/>
      <w:bCs/>
      <w:sz w:val="28"/>
      <w:szCs w:val="28"/>
    </w:rPr>
  </w:style>
  <w:style w:type="character" w:customStyle="1" w:styleId="39">
    <w:name w:val="标题 5 Char"/>
    <w:link w:val="7"/>
    <w:qFormat/>
    <w:uiPriority w:val="0"/>
    <w:rPr>
      <w:rFonts w:ascii="Times New Roman" w:hAnsi="Times New Roman" w:eastAsia="宋体" w:cs="Times New Roman"/>
      <w:b/>
      <w:bCs/>
      <w:sz w:val="28"/>
      <w:szCs w:val="28"/>
    </w:rPr>
  </w:style>
  <w:style w:type="character" w:customStyle="1" w:styleId="40">
    <w:name w:val="标题 6 Char"/>
    <w:link w:val="8"/>
    <w:qFormat/>
    <w:uiPriority w:val="0"/>
    <w:rPr>
      <w:rFonts w:ascii="Arial" w:hAnsi="Arial" w:eastAsia="黑体" w:cs="Times New Roman"/>
      <w:b/>
      <w:bCs/>
      <w:sz w:val="24"/>
      <w:szCs w:val="24"/>
    </w:rPr>
  </w:style>
  <w:style w:type="character" w:customStyle="1" w:styleId="41">
    <w:name w:val="标题 7 Char"/>
    <w:link w:val="9"/>
    <w:qFormat/>
    <w:uiPriority w:val="0"/>
    <w:rPr>
      <w:rFonts w:ascii="Times New Roman" w:hAnsi="Times New Roman" w:eastAsia="宋体" w:cs="Times New Roman"/>
      <w:b/>
      <w:bCs/>
      <w:sz w:val="24"/>
      <w:szCs w:val="24"/>
    </w:rPr>
  </w:style>
  <w:style w:type="character" w:customStyle="1" w:styleId="42">
    <w:name w:val="标题 8 Char"/>
    <w:link w:val="10"/>
    <w:qFormat/>
    <w:uiPriority w:val="0"/>
    <w:rPr>
      <w:rFonts w:ascii="Arial" w:hAnsi="Arial" w:eastAsia="黑体" w:cs="Times New Roman"/>
      <w:sz w:val="24"/>
      <w:szCs w:val="24"/>
    </w:rPr>
  </w:style>
  <w:style w:type="character" w:customStyle="1" w:styleId="43">
    <w:name w:val="标题 9 Char"/>
    <w:link w:val="11"/>
    <w:qFormat/>
    <w:uiPriority w:val="0"/>
    <w:rPr>
      <w:rFonts w:ascii="Arial" w:hAnsi="Arial" w:eastAsia="黑体" w:cs="Times New Roman"/>
      <w:szCs w:val="21"/>
    </w:rPr>
  </w:style>
  <w:style w:type="character" w:customStyle="1" w:styleId="44">
    <w:name w:val="页眉 Char"/>
    <w:link w:val="18"/>
    <w:qFormat/>
    <w:uiPriority w:val="99"/>
    <w:rPr>
      <w:rFonts w:ascii="Times New Roman" w:hAnsi="Times New Roman" w:eastAsia="宋体" w:cs="Times New Roman"/>
      <w:sz w:val="18"/>
      <w:szCs w:val="18"/>
    </w:rPr>
  </w:style>
  <w:style w:type="character" w:customStyle="1" w:styleId="45">
    <w:name w:val="页脚 Char"/>
    <w:link w:val="17"/>
    <w:qFormat/>
    <w:uiPriority w:val="99"/>
    <w:rPr>
      <w:rFonts w:ascii="宋体" w:hAnsi="Times New Roman" w:eastAsia="宋体" w:cs="Times New Roman"/>
      <w:sz w:val="18"/>
      <w:szCs w:val="18"/>
    </w:rPr>
  </w:style>
  <w:style w:type="character" w:customStyle="1" w:styleId="46">
    <w:name w:val="批注框文本 Char"/>
    <w:link w:val="16"/>
    <w:semiHidden/>
    <w:qFormat/>
    <w:uiPriority w:val="99"/>
    <w:rPr>
      <w:sz w:val="18"/>
      <w:szCs w:val="18"/>
    </w:rPr>
  </w:style>
  <w:style w:type="paragraph" w:styleId="47">
    <w:name w:val="Quote"/>
    <w:basedOn w:val="1"/>
    <w:next w:val="1"/>
    <w:link w:val="48"/>
    <w:qFormat/>
    <w:uiPriority w:val="29"/>
    <w:rPr>
      <w:i/>
      <w:iCs/>
      <w:color w:val="000000"/>
    </w:rPr>
  </w:style>
  <w:style w:type="character" w:customStyle="1" w:styleId="48">
    <w:name w:val="引用 Char"/>
    <w:link w:val="47"/>
    <w:qFormat/>
    <w:uiPriority w:val="29"/>
    <w:rPr>
      <w:i/>
      <w:iCs/>
      <w:color w:val="000000"/>
    </w:rPr>
  </w:style>
  <w:style w:type="character" w:customStyle="1" w:styleId="49">
    <w:name w:val="标题 Char"/>
    <w:link w:val="26"/>
    <w:qFormat/>
    <w:uiPriority w:val="0"/>
    <w:rPr>
      <w:rFonts w:ascii="Arial" w:hAnsi="Arial" w:eastAsia="宋体" w:cs="Arial"/>
      <w:b/>
      <w:bCs/>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2"/>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Char"/>
    <w:link w:val="2"/>
    <w:qFormat/>
    <w:uiPriority w:val="0"/>
    <w:rPr>
      <w:rFonts w:ascii="Times New Roman" w:hAnsi="Times New Roman" w:eastAsia="宋体" w:cs="Times New Roman"/>
      <w:szCs w:val="20"/>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pPr>
  </w:style>
  <w:style w:type="paragraph" w:customStyle="1" w:styleId="92">
    <w:name w:val="标准文件_目录标题"/>
    <w:basedOn w:val="1"/>
    <w:qFormat/>
    <w:uiPriority w:val="0"/>
    <w:pPr>
      <w:spacing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ind w:left="0" w:firstLine="200"/>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Subtle Reference"/>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Char"/>
    <w:link w:val="21"/>
    <w:semiHidden/>
    <w:qFormat/>
    <w:uiPriority w:val="0"/>
    <w:rPr>
      <w:rFonts w:ascii="宋体" w:hAnsi="Times New Roman" w:eastAsia="宋体" w:cs="Times New Roman"/>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ind w:left="783"/>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left="1271" w:hanging="420" w:firstLineChars="0"/>
    </w:pPr>
  </w:style>
  <w:style w:type="paragraph" w:customStyle="1" w:styleId="189">
    <w:name w:val="标准文件_三级项2"/>
    <w:basedOn w:val="57"/>
    <w:qFormat/>
    <w:uiPriority w:val="0"/>
    <w:pPr>
      <w:numPr>
        <w:ilvl w:val="0"/>
        <w:numId w:val="30"/>
      </w:numPr>
      <w:spacing w:line="300" w:lineRule="exact"/>
      <w:ind w:left="1276" w:hanging="425" w:firstLineChars="0"/>
    </w:pPr>
    <w:rPr>
      <w:rFonts w:ascii="Times New Roman"/>
    </w:rPr>
  </w:style>
  <w:style w:type="paragraph" w:customStyle="1" w:styleId="190">
    <w:name w:val="标准文件_一级项2"/>
    <w:basedOn w:val="57"/>
    <w:qFormat/>
    <w:uiPriority w:val="0"/>
    <w:pPr>
      <w:numPr>
        <w:ilvl w:val="0"/>
        <w:numId w:val="31"/>
      </w:numPr>
      <w:spacing w:line="300" w:lineRule="exact"/>
      <w:ind w:left="1271" w:hanging="420"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spacing w:before="57"/>
    </w:pPr>
    <w:rPr>
      <w:sz w:val="21"/>
    </w:rPr>
  </w:style>
  <w:style w:type="paragraph" w:customStyle="1" w:styleId="198">
    <w:name w:val="标准文件_文件名称"/>
    <w:basedOn w:val="57"/>
    <w:next w:val="57"/>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next w:val="57"/>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6B30A609351142D98D88E1C2F8FBFD0E"/>
        <w:style w:val=""/>
        <w:category>
          <w:name w:val="常规"/>
          <w:gallery w:val="placeholder"/>
        </w:category>
        <w:types>
          <w:type w:val="bbPlcHdr"/>
        </w:types>
        <w:behaviors>
          <w:behavior w:val="content"/>
        </w:behaviors>
        <w:description w:val=""/>
        <w:guid w:val="{D52B4E63-2FE6-452C-83C0-7A49762AD086}"/>
      </w:docPartPr>
      <w:docPartBody>
        <w:p>
          <w:pPr>
            <w:pStyle w:val="5"/>
          </w:pPr>
          <w:r>
            <w:rPr>
              <w:rStyle w:val="4"/>
              <w:rFonts w:hint="eastAsia"/>
            </w:rPr>
            <w:t>单击或点击此处输入文字。</w:t>
          </w:r>
        </w:p>
      </w:docPartBody>
    </w:docPart>
    <w:docPart>
      <w:docPartPr>
        <w:name w:val="760E619712A046C19BC777C2BFBE9526"/>
        <w:style w:val=""/>
        <w:category>
          <w:name w:val="常规"/>
          <w:gallery w:val="placeholder"/>
        </w:category>
        <w:types>
          <w:type w:val="bbPlcHdr"/>
        </w:types>
        <w:behaviors>
          <w:behavior w:val="content"/>
        </w:behaviors>
        <w:description w:val=""/>
        <w:guid w:val="{B8226B8F-9C70-425E-BA9A-62470A2ADADD}"/>
      </w:docPartPr>
      <w:docPartBody>
        <w:p>
          <w:pPr>
            <w:pStyle w:val="6"/>
          </w:pPr>
          <w:r>
            <w:rPr>
              <w:rStyle w:val="4"/>
              <w:rFonts w:hint="eastAsia"/>
            </w:rPr>
            <w:t>选择一项。</w:t>
          </w:r>
        </w:p>
      </w:docPartBody>
    </w:docPart>
    <w:docPart>
      <w:docPartPr>
        <w:name w:val="80D8CEF700FB418598645DDC4C20F05F"/>
        <w:style w:val=""/>
        <w:category>
          <w:name w:val="常规"/>
          <w:gallery w:val="placeholder"/>
        </w:category>
        <w:types>
          <w:type w:val="bbPlcHdr"/>
        </w:types>
        <w:behaviors>
          <w:behavior w:val="content"/>
        </w:behaviors>
        <w:description w:val=""/>
        <w:guid w:val="{F33CB4B9-3DB1-4340-B8CD-9734C267EFB2}"/>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1F20"/>
    <w:rsid w:val="00031F20"/>
    <w:rsid w:val="0003432D"/>
    <w:rsid w:val="00165C67"/>
    <w:rsid w:val="00373555"/>
    <w:rsid w:val="0047241A"/>
    <w:rsid w:val="00651745"/>
    <w:rsid w:val="00C12FE3"/>
    <w:rsid w:val="00EE1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6B30A609351142D98D88E1C2F8FBFD0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760E619712A046C19BC777C2BFBE952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80D8CEF700FB418598645DDC4C20F05F"/>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E53C28-4D47-4B32-B70B-D945DB8018F7}">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14</Pages>
  <Words>7556</Words>
  <Characters>8379</Characters>
  <Lines>38</Lines>
  <Paragraphs>10</Paragraphs>
  <TotalTime>21</TotalTime>
  <ScaleCrop>false</ScaleCrop>
  <LinksUpToDate>false</LinksUpToDate>
  <CharactersWithSpaces>8561</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2021-11-25T05:57:00Z</dcterms:created>
  <dc:creator>顾雷锋(wtsglf)</dc:creator>
  <dc:description>&lt;config cover="true" show_menu="true" version="1.0.0" doctype="SDKXY"&gt;_x000d_
&lt;/config&gt;</dc:description>
  <cp:lastModifiedBy>北极的鱼</cp:lastModifiedBy>
  <cp:lastPrinted>2020-08-30T10:00:00Z</cp:lastPrinted>
  <dcterms:modified xsi:type="dcterms:W3CDTF">2023-08-31T06:19:27Z</dcterms:modified>
  <dc:title>地方标准</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2052-12.1.0.15120</vt:lpwstr>
  </property>
  <property fmtid="{D5CDD505-2E9C-101B-9397-08002B2CF9AE}" pid="15" name="ICV">
    <vt:lpwstr>B47CB90D086942F08E47A76CCF619DE0_13</vt:lpwstr>
  </property>
</Properties>
</file>