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13.030.10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Z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xml:space="preserve">32  </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859623319"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dwfH1+sBAACzAwAADgAAAAAAAAABACAAAAAnAQAAZHJzL2Uyb0RvYy54bWxQSwUGAAAAAAYA&#10;BgBZAQAAhA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含重金属污泥综合利用污染控制技术规范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 for pollution control of comprehensive utilization of heavy metal-containing sludge</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585751258"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CrBh7nqAQAAswMAAA4AAAAAAAAAAQAgAAAAJgEAAGRycy9lMm9Eb2MueG1sUEsFBgAAAAAGAAYA&#10;WQEAAIIFAA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53788244"/>
      <w:bookmarkStart w:id="23" w:name="_Toc153788652"/>
      <w:bookmarkStart w:id="24" w:name="_Toc155795909"/>
      <w:bookmarkStart w:id="25" w:name="_Toc153789254"/>
      <w:bookmarkStart w:id="26" w:name="_Toc153797197"/>
      <w:bookmarkStart w:id="27" w:name="_Toc153788205"/>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"_Toc155795931" </w:instrText>
      </w:r>
      <w:r>
        <w:fldChar w:fldCharType="separate"/>
      </w:r>
      <w:r>
        <w:rPr>
          <w:rStyle w:val="32"/>
        </w:rPr>
        <w:t>前言</w:t>
      </w:r>
      <w:r>
        <w:tab/>
      </w:r>
      <w:r>
        <w:fldChar w:fldCharType="begin"/>
      </w:r>
      <w:r>
        <w:instrText xml:space="preserve"> PAGEREF _Toc155795931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"_Toc155795932" </w:instrText>
      </w:r>
      <w:r>
        <w:fldChar w:fldCharType="separate"/>
      </w:r>
      <w:r>
        <w:rPr>
          <w:rStyle w:val="32"/>
        </w:rPr>
        <w:t>1  范围</w:t>
      </w:r>
      <w:r>
        <w:tab/>
      </w:r>
      <w:r>
        <w:fldChar w:fldCharType="begin"/>
      </w:r>
      <w:r>
        <w:instrText xml:space="preserve"> PAGEREF _Toc155795932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"_Toc155795933" </w:instrText>
      </w:r>
      <w:r>
        <w:fldChar w:fldCharType="separate"/>
      </w:r>
      <w:r>
        <w:rPr>
          <w:rStyle w:val="32"/>
        </w:rPr>
        <w:t>2  规范性引用文件</w:t>
      </w:r>
      <w:r>
        <w:tab/>
      </w:r>
      <w:r>
        <w:fldChar w:fldCharType="begin"/>
      </w:r>
      <w:r>
        <w:instrText xml:space="preserve"> PAGEREF _Toc155795933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"_Toc155795934" </w:instrText>
      </w:r>
      <w:r>
        <w:fldChar w:fldCharType="separate"/>
      </w:r>
      <w:r>
        <w:rPr>
          <w:rStyle w:val="32"/>
        </w:rPr>
        <w:t>3  术语和定义</w:t>
      </w:r>
      <w:r>
        <w:tab/>
      </w:r>
      <w:r>
        <w:fldChar w:fldCharType="begin"/>
      </w:r>
      <w:r>
        <w:instrText xml:space="preserve"> PAGEREF _Toc155795934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"_Toc155795935" </w:instrText>
      </w:r>
      <w:r>
        <w:fldChar w:fldCharType="separate"/>
      </w:r>
      <w:r>
        <w:rPr>
          <w:rStyle w:val="32"/>
        </w:rPr>
        <w:t>4  总体要求</w:t>
      </w:r>
      <w:r>
        <w:tab/>
      </w:r>
      <w:r>
        <w:fldChar w:fldCharType="begin"/>
      </w:r>
      <w:r>
        <w:instrText xml:space="preserve"> PAGEREF _Toc155795935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"_Toc155795936" </w:instrText>
      </w:r>
      <w:r>
        <w:fldChar w:fldCharType="separate"/>
      </w:r>
      <w:r>
        <w:rPr>
          <w:rStyle w:val="32"/>
        </w:rPr>
        <w:t>5  入厂分析</w:t>
      </w:r>
      <w:r>
        <w:tab/>
      </w:r>
      <w:r>
        <w:fldChar w:fldCharType="begin"/>
      </w:r>
      <w:r>
        <w:instrText xml:space="preserve"> PAGEREF _Toc155795936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"_Toc155795937" </w:instrText>
      </w:r>
      <w:r>
        <w:fldChar w:fldCharType="separate"/>
      </w:r>
      <w:r>
        <w:rPr>
          <w:rStyle w:val="32"/>
        </w:rPr>
        <w:t>6  贮存</w:t>
      </w:r>
      <w:r>
        <w:tab/>
      </w:r>
      <w:r>
        <w:fldChar w:fldCharType="begin"/>
      </w:r>
      <w:r>
        <w:instrText xml:space="preserve"> PAGEREF _Toc155795937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"_Toc155795938" </w:instrText>
      </w:r>
      <w:r>
        <w:fldChar w:fldCharType="separate"/>
      </w:r>
      <w:r>
        <w:rPr>
          <w:rStyle w:val="32"/>
        </w:rPr>
        <w:t>7  工艺过程</w:t>
      </w:r>
      <w:r>
        <w:tab/>
      </w:r>
      <w:r>
        <w:fldChar w:fldCharType="begin"/>
      </w:r>
      <w:r>
        <w:instrText xml:space="preserve"> PAGEREF _Toc155795938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"_Toc155795939" </w:instrText>
      </w:r>
      <w:r>
        <w:fldChar w:fldCharType="separate"/>
      </w:r>
      <w:r>
        <w:rPr>
          <w:rStyle w:val="32"/>
        </w:rPr>
        <w:t>8  环境保护</w:t>
      </w:r>
      <w:r>
        <w:tab/>
      </w:r>
      <w:r>
        <w:fldChar w:fldCharType="begin"/>
      </w:r>
      <w:r>
        <w:instrText xml:space="preserve"> PAGEREF _Toc155795939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"_Toc155795940" </w:instrText>
      </w:r>
      <w:r>
        <w:fldChar w:fldCharType="separate"/>
      </w:r>
      <w:r>
        <w:rPr>
          <w:rStyle w:val="32"/>
        </w:rPr>
        <w:t>9  综合利用产物</w:t>
      </w:r>
      <w:r>
        <w:tab/>
      </w:r>
      <w:r>
        <w:fldChar w:fldCharType="begin"/>
      </w:r>
      <w:r>
        <w:instrText xml:space="preserve"> PAGEREF _Toc155795940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"_Toc155795941" </w:instrText>
      </w:r>
      <w:r>
        <w:fldChar w:fldCharType="separate"/>
      </w:r>
      <w:r>
        <w:rPr>
          <w:rStyle w:val="32"/>
        </w:rPr>
        <w:t>10  运行管理</w:t>
      </w:r>
      <w:r>
        <w:tab/>
      </w:r>
      <w:r>
        <w:fldChar w:fldCharType="begin"/>
      </w:r>
      <w:r>
        <w:instrText xml:space="preserve"> PAGEREF _Toc155795941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"_Toc155795942" </w:instrText>
      </w:r>
      <w:r>
        <w:fldChar w:fldCharType="separate"/>
      </w:r>
      <w:r>
        <w:rPr>
          <w:rStyle w:val="32"/>
        </w:rPr>
        <w:t>参考文献</w:t>
      </w:r>
      <w:r>
        <w:tab/>
      </w:r>
      <w:r>
        <w:fldChar w:fldCharType="begin"/>
      </w:r>
      <w:r>
        <w:instrText xml:space="preserve"> PAGEREF _Toc155795942 \h </w:instrText>
      </w:r>
      <w:r>
        <w:fldChar w:fldCharType="separate"/>
      </w:r>
      <w:r>
        <w:t>7</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8" w:name="_Toc155795931"/>
      <w:bookmarkStart w:id="29" w:name="BookMark2"/>
      <w:r>
        <w:rPr>
          <w:spacing w:val="320"/>
        </w:rPr>
        <w:t>前</w:t>
      </w:r>
      <w:r>
        <w:t>言</w:t>
      </w:r>
      <w:bookmarkEnd w:id="22"/>
      <w:bookmarkEnd w:id="23"/>
      <w:bookmarkEnd w:id="24"/>
      <w:bookmarkEnd w:id="25"/>
      <w:bookmarkEnd w:id="26"/>
      <w:bookmarkEnd w:id="27"/>
      <w:bookmarkEnd w:id="28"/>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default" w:eastAsia="宋体"/>
          <w:lang w:val="en-US" w:eastAsia="zh-CN"/>
        </w:rPr>
      </w:pPr>
      <w:r>
        <w:rPr>
          <w:rFonts w:hint="eastAsia"/>
        </w:rPr>
        <w:t>本文件由江苏省生态环境厅提出</w:t>
      </w:r>
      <w:r>
        <w:rPr>
          <w:rFonts w:hint="eastAsia"/>
          <w:lang w:val="en-US" w:eastAsia="zh-CN"/>
        </w:rPr>
        <w:t>并归口。</w:t>
      </w:r>
    </w:p>
    <w:p>
      <w:pPr>
        <w:pStyle w:val="56"/>
        <w:ind w:firstLine="420"/>
      </w:pPr>
      <w:r>
        <w:rPr>
          <w:rFonts w:hint="eastAsia"/>
        </w:rPr>
        <w:t>本文件起草单位：江苏省固体废物监督管理中心、江苏省环境工程技术有限公司、东南大学。</w:t>
      </w:r>
    </w:p>
    <w:p>
      <w:pPr>
        <w:pStyle w:val="56"/>
        <w:ind w:firstLine="420"/>
      </w:pPr>
      <w:r>
        <w:rPr>
          <w:rFonts w:hint="eastAsia"/>
        </w:rPr>
        <w:t>本文件主要起草人：崔灵丰、黄文平、方燕、余辉、</w:t>
      </w:r>
      <w:r>
        <w:rPr>
          <w:rFonts w:hint="eastAsia" w:ascii="Times New Roman"/>
        </w:rPr>
        <w:t>朱晓慧、</w:t>
      </w:r>
      <w:r>
        <w:rPr>
          <w:rFonts w:hint="eastAsia"/>
        </w:rPr>
        <w:t>徐蓓、武倩、葛仕福、左武、张权、周尤超、陈耀耀、马贵林、邹明璟、徐学骁、于洋、吕宜廉、张洪玲、董光辉。</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9"/>
    <w:p>
      <w:pPr>
        <w:spacing w:line="20" w:lineRule="exact"/>
        <w:jc w:val="center"/>
        <w:rPr>
          <w:rFonts w:ascii="黑体" w:hAnsi="黑体" w:eastAsia="黑体"/>
          <w:sz w:val="32"/>
          <w:szCs w:val="32"/>
        </w:rPr>
      </w:pPr>
      <w:bookmarkStart w:id="30" w:name="BookMark4"/>
    </w:p>
    <w:p>
      <w:pPr>
        <w:spacing w:line="20" w:lineRule="exact"/>
        <w:jc w:val="center"/>
        <w:rPr>
          <w:rFonts w:ascii="黑体" w:hAnsi="黑体" w:eastAsia="黑体"/>
          <w:sz w:val="32"/>
          <w:szCs w:val="32"/>
        </w:rPr>
      </w:pPr>
    </w:p>
    <w:sdt>
      <w:sdtPr>
        <w:tag w:val="NEW_STAND_NAME"/>
        <w:id w:val="595910757"/>
        <w:lock w:val="sdtLocked"/>
        <w:placeholder>
          <w:docPart w:val="94B5577E14564AABA56AC2E76ABBE188"/>
        </w:placeholder>
      </w:sdtPr>
      <w:sdtContent>
        <w:p>
          <w:pPr>
            <w:pStyle w:val="177"/>
            <w:spacing w:before="3" w:beforeLines="1" w:after="686" w:afterLines="220"/>
          </w:pPr>
          <w:bookmarkStart w:id="31" w:name="NEW_STAND_NAME"/>
          <w:r>
            <w:rPr>
              <w:rFonts w:hint="eastAsia"/>
            </w:rPr>
            <w:t>含重金属污泥综合利用污染控制技术规范</w:t>
          </w:r>
        </w:p>
      </w:sdtContent>
    </w:sdt>
    <w:bookmarkEnd w:id="31"/>
    <w:p>
      <w:pPr>
        <w:pStyle w:val="104"/>
        <w:spacing w:before="312" w:after="312"/>
      </w:pPr>
      <w:bookmarkStart w:id="32" w:name="_Toc26718930"/>
      <w:bookmarkStart w:id="33" w:name="_Toc153788653"/>
      <w:bookmarkStart w:id="34" w:name="_Toc153788206"/>
      <w:bookmarkStart w:id="35" w:name="_Toc24884211"/>
      <w:bookmarkStart w:id="36" w:name="_Toc153789255"/>
      <w:bookmarkStart w:id="37" w:name="_Toc155795932"/>
      <w:bookmarkStart w:id="38" w:name="_Toc17233333"/>
      <w:bookmarkStart w:id="39" w:name="_Toc153797198"/>
      <w:bookmarkStart w:id="40" w:name="_Toc153788245"/>
      <w:bookmarkStart w:id="41" w:name="_Toc24884218"/>
      <w:bookmarkStart w:id="42" w:name="_Toc26648465"/>
      <w:bookmarkStart w:id="43" w:name="_Toc26986771"/>
      <w:bookmarkStart w:id="44" w:name="_Toc26986530"/>
      <w:bookmarkStart w:id="45" w:name="_Toc97191423"/>
      <w:bookmarkStart w:id="46" w:name="_Toc17233325"/>
      <w:bookmarkStart w:id="47" w:name="_Toc155795910"/>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56"/>
        <w:ind w:firstLine="420"/>
      </w:pPr>
      <w:bookmarkStart w:id="48" w:name="_Hlk153799098"/>
      <w:bookmarkStart w:id="49" w:name="_Toc17233326"/>
      <w:bookmarkStart w:id="50" w:name="_Toc24884219"/>
      <w:bookmarkStart w:id="51" w:name="_Toc17233334"/>
      <w:bookmarkStart w:id="52" w:name="_Toc26648466"/>
      <w:bookmarkStart w:id="53" w:name="_Toc24884212"/>
      <w:r>
        <w:rPr>
          <w:rFonts w:hint="eastAsia"/>
        </w:rPr>
        <w:t>本文件规定了按危险废物管理的含重金属污泥的入厂分析、贮存、综合利用过程及产物污染控制的技术要求和综合利用企业运行管理要求。</w:t>
      </w:r>
    </w:p>
    <w:p>
      <w:pPr>
        <w:pStyle w:val="56"/>
        <w:ind w:firstLine="420"/>
      </w:pPr>
      <w:r>
        <w:rPr>
          <w:rFonts w:hint="eastAsia"/>
        </w:rPr>
        <w:t>本文件适用于含重金属污泥综合利用项目选址、工程设计及建设、运行管理以及与含重金属污泥综合利用有关的建设项目环境影响评价、环境保护设施设计、竣工环境保护验收、排污许可管理、清洁生产审核等；产废企业自建含重金属污泥综合利用设施参照本文件执行。</w:t>
      </w:r>
    </w:p>
    <w:p>
      <w:pPr>
        <w:pStyle w:val="56"/>
        <w:ind w:firstLine="420"/>
      </w:pPr>
      <w:r>
        <w:rPr>
          <w:rFonts w:hint="eastAsia"/>
        </w:rPr>
        <w:t>本文件不适用于含重金属污泥协同利用处置项目及含贵金属污泥综合利用项目。</w:t>
      </w:r>
    </w:p>
    <w:bookmarkEnd w:id="48"/>
    <w:p>
      <w:pPr>
        <w:pStyle w:val="104"/>
        <w:spacing w:before="312" w:after="312"/>
      </w:pPr>
      <w:bookmarkStart w:id="54" w:name="_Toc153788246"/>
      <w:bookmarkStart w:id="55" w:name="_Toc155795911"/>
      <w:bookmarkStart w:id="56" w:name="_Toc153797199"/>
      <w:bookmarkStart w:id="57" w:name="_Toc153789256"/>
      <w:bookmarkStart w:id="58" w:name="_Toc26986531"/>
      <w:bookmarkStart w:id="59" w:name="_Toc97191424"/>
      <w:bookmarkStart w:id="60" w:name="_Toc153788207"/>
      <w:bookmarkStart w:id="61" w:name="_Toc155795933"/>
      <w:bookmarkStart w:id="62" w:name="_Toc26986772"/>
      <w:bookmarkStart w:id="63" w:name="_Toc26718931"/>
      <w:bookmarkStart w:id="64" w:name="_Toc153788654"/>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dt>
      <w:sdtPr>
        <w:rPr>
          <w:rFonts w:hint="eastAsia"/>
        </w:rPr>
        <w:id w:val="715848253"/>
        <w:placeholder>
          <w:docPart w:val="1F1D12491E2D4FEFA68A42581BC98FE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467   阴极铜</w:t>
      </w:r>
    </w:p>
    <w:p>
      <w:pPr>
        <w:pStyle w:val="56"/>
        <w:ind w:firstLine="420"/>
      </w:pPr>
      <w:r>
        <w:rPr>
          <w:rFonts w:hint="eastAsia"/>
        </w:rPr>
        <w:t>GB/T 6516   电解镍</w:t>
      </w:r>
    </w:p>
    <w:p>
      <w:pPr>
        <w:pStyle w:val="56"/>
        <w:ind w:firstLine="420"/>
      </w:pPr>
      <w:r>
        <w:rPr>
          <w:rFonts w:hint="eastAsia"/>
        </w:rPr>
        <w:t>GB 8978   污水综合排放标准</w:t>
      </w:r>
    </w:p>
    <w:p>
      <w:pPr>
        <w:pStyle w:val="56"/>
        <w:ind w:firstLine="420"/>
      </w:pPr>
      <w:r>
        <w:rPr>
          <w:rFonts w:hint="eastAsia"/>
        </w:rPr>
        <w:t>GB 12348   工业企业厂界环境噪声排放标准</w:t>
      </w:r>
    </w:p>
    <w:p>
      <w:pPr>
        <w:pStyle w:val="56"/>
        <w:ind w:firstLine="420"/>
      </w:pPr>
      <w:r>
        <w:rPr>
          <w:rFonts w:hint="eastAsia"/>
        </w:rPr>
        <w:t>GB 14554   恶臭污染物排放标准</w:t>
      </w:r>
    </w:p>
    <w:p>
      <w:pPr>
        <w:pStyle w:val="56"/>
        <w:ind w:firstLine="420"/>
      </w:pPr>
      <w:r>
        <w:rPr>
          <w:rFonts w:hint="eastAsia"/>
        </w:rPr>
        <w:t>GB 18484   危险废物焚烧污染控制标准</w:t>
      </w:r>
    </w:p>
    <w:p>
      <w:pPr>
        <w:pStyle w:val="56"/>
        <w:ind w:firstLine="420"/>
      </w:pPr>
      <w:r>
        <w:rPr>
          <w:rFonts w:hint="eastAsia"/>
        </w:rPr>
        <w:t>GB 18597   危险废物贮存污染控制标准</w:t>
      </w:r>
    </w:p>
    <w:p>
      <w:pPr>
        <w:pStyle w:val="56"/>
        <w:ind w:firstLine="420"/>
      </w:pPr>
      <w:r>
        <w:rPr>
          <w:rFonts w:hint="eastAsia"/>
        </w:rPr>
        <w:t>GB/T 19923   城市污水再生利用  工业用水水质</w:t>
      </w:r>
    </w:p>
    <w:p>
      <w:pPr>
        <w:pStyle w:val="56"/>
        <w:ind w:firstLine="420"/>
      </w:pPr>
      <w:bookmarkStart w:id="65" w:name="_Hlk155949749"/>
      <w:r>
        <w:rPr>
          <w:rFonts w:hint="eastAsia"/>
        </w:rPr>
        <w:t>GB/T 25049   镍铁</w:t>
      </w:r>
    </w:p>
    <w:bookmarkEnd w:id="65"/>
    <w:p>
      <w:pPr>
        <w:pStyle w:val="56"/>
        <w:ind w:firstLine="420"/>
      </w:pPr>
      <w:r>
        <w:rPr>
          <w:rFonts w:hint="eastAsia"/>
        </w:rPr>
        <w:t>GB 31573   无机化学工业污染物排放标准</w:t>
      </w:r>
    </w:p>
    <w:p>
      <w:pPr>
        <w:pStyle w:val="56"/>
        <w:ind w:firstLine="420"/>
      </w:pPr>
      <w:r>
        <w:rPr>
          <w:rFonts w:hint="eastAsia"/>
        </w:rPr>
        <w:t>GB 34330   固体废物鉴别标准 通则</w:t>
      </w:r>
    </w:p>
    <w:p>
      <w:pPr>
        <w:pStyle w:val="56"/>
        <w:ind w:firstLine="420"/>
      </w:pPr>
      <w:r>
        <w:rPr>
          <w:rFonts w:hint="eastAsia"/>
        </w:rPr>
        <w:t>GB/T 38101   含铜污泥处理处置方法</w:t>
      </w:r>
    </w:p>
    <w:p>
      <w:pPr>
        <w:pStyle w:val="56"/>
        <w:ind w:firstLine="420"/>
      </w:pPr>
      <w:r>
        <w:rPr>
          <w:rFonts w:hint="eastAsia"/>
        </w:rPr>
        <w:t>GB/T 41012   含有色金属固体废物回收利用技术规范</w:t>
      </w:r>
    </w:p>
    <w:p>
      <w:pPr>
        <w:pStyle w:val="56"/>
        <w:ind w:firstLine="420"/>
      </w:pPr>
      <w:r>
        <w:rPr>
          <w:rFonts w:hint="eastAsia"/>
        </w:rPr>
        <w:t>GB/T 50483   化工建设项目环境保护工程设计标准</w:t>
      </w:r>
    </w:p>
    <w:p>
      <w:pPr>
        <w:pStyle w:val="56"/>
        <w:ind w:firstLine="420"/>
      </w:pPr>
      <w:r>
        <w:rPr>
          <w:rFonts w:hint="eastAsia"/>
        </w:rPr>
        <w:t>HJ/T 299   固体废物 浸出毒性浸出方法 硫酸硝酸法</w:t>
      </w:r>
    </w:p>
    <w:p>
      <w:pPr>
        <w:pStyle w:val="56"/>
        <w:ind w:firstLine="420"/>
      </w:pPr>
      <w:r>
        <w:rPr>
          <w:rFonts w:hint="eastAsia"/>
        </w:rPr>
        <w:t>HJ 819   排污单位自行监测技术指南 总则</w:t>
      </w:r>
    </w:p>
    <w:p>
      <w:pPr>
        <w:pStyle w:val="56"/>
        <w:ind w:firstLine="420"/>
      </w:pPr>
      <w:r>
        <w:rPr>
          <w:rFonts w:hint="eastAsia"/>
        </w:rPr>
        <w:t>HJ 1091—2020   固体废物再生利用污染防治技术导则</w:t>
      </w:r>
    </w:p>
    <w:p>
      <w:pPr>
        <w:pStyle w:val="56"/>
        <w:ind w:firstLine="420"/>
      </w:pPr>
      <w:r>
        <w:rPr>
          <w:rFonts w:hint="eastAsia"/>
        </w:rPr>
        <w:t>HJ 1208   排污单位自行监测技术指南 有色金属工业—再生金属</w:t>
      </w:r>
    </w:p>
    <w:p>
      <w:pPr>
        <w:pStyle w:val="56"/>
        <w:ind w:firstLine="420"/>
      </w:pPr>
      <w:r>
        <w:rPr>
          <w:rFonts w:hint="eastAsia"/>
        </w:rPr>
        <w:t>HJ 1250   排污单位自行监测技术指南 工业固体废物和危险废物治理</w:t>
      </w:r>
    </w:p>
    <w:p>
      <w:pPr>
        <w:pStyle w:val="56"/>
        <w:ind w:firstLine="420"/>
      </w:pPr>
      <w:r>
        <w:t xml:space="preserve">HJ 1259   </w:t>
      </w:r>
      <w:r>
        <w:rPr>
          <w:rFonts w:hint="eastAsia"/>
        </w:rPr>
        <w:t>危险废物管理计划和管理台账制定技术导则</w:t>
      </w:r>
    </w:p>
    <w:p>
      <w:pPr>
        <w:pStyle w:val="56"/>
        <w:ind w:firstLine="420"/>
      </w:pPr>
      <w:r>
        <w:rPr>
          <w:rFonts w:hint="eastAsia"/>
        </w:rPr>
        <w:t>HJ 1276   危险废物识别标志设置技术规范</w:t>
      </w:r>
    </w:p>
    <w:p>
      <w:pPr>
        <w:pStyle w:val="56"/>
        <w:ind w:firstLine="420"/>
      </w:pPr>
      <w:r>
        <w:rPr>
          <w:rFonts w:hint="eastAsia"/>
        </w:rPr>
        <w:t>HJ 2025   危险废物收集 贮存 运输技术规范</w:t>
      </w:r>
    </w:p>
    <w:p>
      <w:pPr>
        <w:pStyle w:val="56"/>
        <w:ind w:firstLine="420"/>
      </w:pPr>
      <w:bookmarkStart w:id="66" w:name="_Hlk155959560"/>
      <w:r>
        <w:rPr>
          <w:rFonts w:hint="eastAsia"/>
        </w:rPr>
        <w:t>HG/T 3592   电镀用硫酸铜</w:t>
      </w:r>
    </w:p>
    <w:p>
      <w:pPr>
        <w:pStyle w:val="56"/>
        <w:ind w:firstLine="420"/>
      </w:pPr>
      <w:r>
        <w:rPr>
          <w:rFonts w:hint="eastAsia"/>
        </w:rPr>
        <w:t>HG/T 2824   工业硫酸镍</w:t>
      </w:r>
    </w:p>
    <w:bookmarkEnd w:id="66"/>
    <w:p>
      <w:pPr>
        <w:pStyle w:val="56"/>
        <w:ind w:firstLine="420"/>
      </w:pPr>
      <w:bookmarkStart w:id="67" w:name="_Hlk155949741"/>
      <w:r>
        <w:rPr>
          <w:rFonts w:hint="eastAsia"/>
        </w:rPr>
        <w:t>YS/T 632   黑铜</w:t>
      </w:r>
    </w:p>
    <w:p>
      <w:pPr>
        <w:pStyle w:val="56"/>
        <w:ind w:firstLine="420"/>
      </w:pPr>
      <w:r>
        <w:rPr>
          <w:rFonts w:hint="eastAsia"/>
        </w:rPr>
        <w:t>YS/T 921   冰铜</w:t>
      </w:r>
    </w:p>
    <w:bookmarkEnd w:id="67"/>
    <w:p>
      <w:pPr>
        <w:pStyle w:val="56"/>
        <w:ind w:firstLine="420"/>
      </w:pPr>
      <w:r>
        <w:rPr>
          <w:rFonts w:hint="eastAsia"/>
        </w:rPr>
        <w:t>YS/T 1366   海绵铜</w:t>
      </w:r>
    </w:p>
    <w:p>
      <w:pPr>
        <w:pStyle w:val="56"/>
        <w:ind w:firstLine="420"/>
      </w:pPr>
      <w:r>
        <w:rPr>
          <w:rFonts w:hint="eastAsia"/>
        </w:rPr>
        <w:t>DB 32/3728   工业炉窑大气污染物排放标准</w:t>
      </w:r>
    </w:p>
    <w:p>
      <w:pPr>
        <w:pStyle w:val="56"/>
        <w:ind w:firstLine="420"/>
      </w:pPr>
      <w:r>
        <w:rPr>
          <w:rFonts w:hint="eastAsia"/>
        </w:rPr>
        <w:t>DB 32/T 3795   企事业单位和工业园区突发环境事件应急预案编制导则</w:t>
      </w:r>
    </w:p>
    <w:p>
      <w:pPr>
        <w:pStyle w:val="56"/>
        <w:ind w:firstLine="420"/>
      </w:pPr>
      <w:r>
        <w:rPr>
          <w:rFonts w:hint="eastAsia"/>
        </w:rPr>
        <w:t>DB 32/4041   大气污染物综合排放标准</w:t>
      </w:r>
    </w:p>
    <w:p>
      <w:pPr>
        <w:pStyle w:val="56"/>
        <w:ind w:firstLine="420"/>
      </w:pPr>
      <w:bookmarkStart w:id="68" w:name="_Hlk155126010"/>
      <w:r>
        <w:rPr>
          <w:rFonts w:hint="eastAsia"/>
        </w:rPr>
        <w:t>DB 32/T 4370—2022   危险废物综合利用与处置技术规范 通则</w:t>
      </w:r>
    </w:p>
    <w:bookmarkEnd w:id="68"/>
    <w:p>
      <w:pPr>
        <w:pStyle w:val="104"/>
        <w:spacing w:before="312" w:after="312"/>
      </w:pPr>
      <w:bookmarkStart w:id="69" w:name="_Toc153788208"/>
      <w:bookmarkStart w:id="70" w:name="_Toc155795934"/>
      <w:bookmarkStart w:id="71" w:name="_Toc155795912"/>
      <w:bookmarkStart w:id="72" w:name="_Toc153788247"/>
      <w:bookmarkStart w:id="73" w:name="_Toc153788655"/>
      <w:bookmarkStart w:id="74" w:name="_Toc153789257"/>
      <w:bookmarkStart w:id="75" w:name="_Toc153797200"/>
      <w:bookmarkStart w:id="76" w:name="_Toc97191425"/>
      <w:r>
        <w:rPr>
          <w:rFonts w:hint="eastAsia"/>
          <w:szCs w:val="21"/>
        </w:rPr>
        <w:t>术语和定义</w:t>
      </w:r>
      <w:bookmarkEnd w:id="69"/>
      <w:bookmarkEnd w:id="70"/>
      <w:bookmarkEnd w:id="71"/>
      <w:bookmarkEnd w:id="72"/>
      <w:bookmarkEnd w:id="73"/>
      <w:bookmarkEnd w:id="74"/>
      <w:bookmarkEnd w:id="75"/>
      <w:bookmarkEnd w:id="76"/>
    </w:p>
    <w:sdt>
      <w:sdtPr>
        <w:id w:val="-1909835108"/>
        <w:placeholder>
          <w:docPart w:val="19A5866C1145493C9705243EF1751B3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77" w:name="_Toc26986532"/>
          <w:bookmarkEnd w:id="77"/>
          <w:r>
            <w:t>下列术语和定义适用于本文件。</w:t>
          </w:r>
        </w:p>
      </w:sdtContent>
    </w:sdt>
    <w:p>
      <w:pPr>
        <w:pStyle w:val="223"/>
        <w:ind w:left="420" w:hanging="420" w:hangingChars="200"/>
        <w:rPr>
          <w:rFonts w:ascii="黑体" w:hAnsi="黑体" w:eastAsia="黑体"/>
        </w:rPr>
      </w:pPr>
      <w:bookmarkStart w:id="78" w:name="_Hlk154732808"/>
      <w:r>
        <w:rPr>
          <w:rFonts w:ascii="黑体" w:hAnsi="黑体" w:eastAsia="黑体"/>
        </w:rPr>
        <w:br w:type="textWrapping"/>
      </w:r>
      <w:r>
        <w:rPr>
          <w:rFonts w:hint="eastAsia" w:ascii="黑体" w:hAnsi="黑体" w:eastAsia="黑体"/>
        </w:rPr>
        <w:t>含重金属污泥 heavy metal-containing sludge</w:t>
      </w:r>
    </w:p>
    <w:p>
      <w:pPr>
        <w:pStyle w:val="56"/>
        <w:ind w:firstLine="420"/>
      </w:pPr>
      <w:r>
        <w:rPr>
          <w:rFonts w:hint="eastAsia"/>
        </w:rPr>
        <w:t>工业生产或环境治理过程中产生的主要含有铬、镍、铜、锌、镉、铅等重金属且按危险废物管理的污泥。</w:t>
      </w:r>
    </w:p>
    <w:p>
      <w:pPr>
        <w:pStyle w:val="179"/>
      </w:pPr>
      <w:r>
        <w:rPr>
          <w:rFonts w:hint="eastAsia"/>
        </w:rPr>
        <w:t>不包括含砷污泥、含汞污泥。</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综合利用 comprehensive utilization</w:t>
      </w:r>
    </w:p>
    <w:p>
      <w:pPr>
        <w:pStyle w:val="56"/>
        <w:ind w:firstLine="420"/>
      </w:pPr>
      <w:r>
        <w:rPr>
          <w:rFonts w:hint="eastAsia"/>
        </w:rPr>
        <w:t>从含重金属污泥（3.1）中提取金属或金属化合物作为原材料的活动。</w:t>
      </w:r>
    </w:p>
    <w:p>
      <w:pPr>
        <w:pStyle w:val="179"/>
      </w:pPr>
      <w:r>
        <w:rPr>
          <w:rFonts w:hint="eastAsia"/>
        </w:rPr>
        <w:t>主要包括火法冶炼、湿法回收等。</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火法冶炼 pyrometallurgy</w:t>
      </w:r>
    </w:p>
    <w:p>
      <w:pPr>
        <w:pStyle w:val="56"/>
        <w:ind w:firstLine="420"/>
      </w:pPr>
      <w:bookmarkStart w:id="79" w:name="_Hlk155800855"/>
      <w:r>
        <w:rPr>
          <w:rFonts w:hint="eastAsia"/>
        </w:rPr>
        <w:t>在高温条件下，将污泥中的铬、镍、铜等金属元素还原成金属单质或金属化合物的方法。</w:t>
      </w:r>
    </w:p>
    <w:bookmarkEnd w:id="79"/>
    <w:p>
      <w:pPr>
        <w:pStyle w:val="179"/>
      </w:pPr>
      <w:r>
        <w:rPr>
          <w:rFonts w:hint="eastAsia"/>
        </w:rPr>
        <w:t>主要包括干化、配料、制块（球）、烧结、熔炼、烟（废）气处理等工段。</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湿法回收 hydrometallurgy</w:t>
      </w:r>
    </w:p>
    <w:p>
      <w:pPr>
        <w:pStyle w:val="56"/>
        <w:ind w:firstLine="420"/>
      </w:pPr>
      <w:r>
        <w:rPr>
          <w:rFonts w:hint="eastAsia"/>
        </w:rPr>
        <w:t>采用酸浸、氨浸、萃取、电解等方法，回收金属单质或金属化合物的方法。</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次生固体废物 secondary solid waste</w:t>
      </w:r>
    </w:p>
    <w:p>
      <w:pPr>
        <w:pStyle w:val="56"/>
        <w:ind w:firstLine="420"/>
      </w:pPr>
      <w:r>
        <w:rPr>
          <w:rFonts w:hint="eastAsia"/>
        </w:rPr>
        <w:t>含重金属污泥（3.1）综合利用（3.2）过程中产生的固体废物。</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综合利用产物 comprehensive utilization products</w:t>
      </w:r>
    </w:p>
    <w:p>
      <w:pPr>
        <w:pStyle w:val="56"/>
        <w:ind w:firstLine="420"/>
      </w:pPr>
      <w:bookmarkStart w:id="80" w:name="_Hlk155800909"/>
      <w:r>
        <w:rPr>
          <w:rFonts w:hint="eastAsia"/>
        </w:rPr>
        <w:t>含重金属污泥（3.1）综合利用（3.2）产生的具有利用价值且不按危险废物管理的目标产物。</w:t>
      </w:r>
    </w:p>
    <w:bookmarkEnd w:id="80"/>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定向利用 directional utilization</w:t>
      </w:r>
    </w:p>
    <w:p>
      <w:pPr>
        <w:pStyle w:val="56"/>
        <w:ind w:firstLine="420"/>
      </w:pPr>
      <w:bookmarkStart w:id="81" w:name="_Hlk155800926"/>
      <w:r>
        <w:rPr>
          <w:rFonts w:hint="eastAsia"/>
        </w:rPr>
        <w:t>将综合利用产物（3.6）作为另外一家单位工业产品生产的替代原料进行使用的过程。</w:t>
      </w:r>
    </w:p>
    <w:bookmarkEnd w:id="81"/>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再生回用 closed-loop recycling</w:t>
      </w:r>
    </w:p>
    <w:p>
      <w:pPr>
        <w:pStyle w:val="56"/>
        <w:ind w:firstLine="420"/>
      </w:pPr>
      <w:bookmarkStart w:id="82" w:name="_Hlk155800948"/>
      <w:r>
        <w:rPr>
          <w:rFonts w:hint="eastAsia"/>
        </w:rPr>
        <w:t>将综合利用产物（3.6）返回原企业再次利用的过程。</w:t>
      </w:r>
    </w:p>
    <w:bookmarkEnd w:id="78"/>
    <w:bookmarkEnd w:id="82"/>
    <w:p>
      <w:pPr>
        <w:pStyle w:val="104"/>
        <w:spacing w:before="312" w:after="312"/>
      </w:pPr>
      <w:bookmarkStart w:id="83" w:name="_Toc153788209"/>
      <w:bookmarkStart w:id="84" w:name="_Toc153788656"/>
      <w:bookmarkStart w:id="85" w:name="_Toc155795935"/>
      <w:bookmarkStart w:id="86" w:name="_Toc153789258"/>
      <w:bookmarkStart w:id="87" w:name="_Toc153797201"/>
      <w:bookmarkStart w:id="88" w:name="_Toc155795913"/>
      <w:bookmarkStart w:id="89" w:name="_Toc153788248"/>
      <w:r>
        <w:rPr>
          <w:rFonts w:hint="eastAsia"/>
        </w:rPr>
        <w:t>总体要求</w:t>
      </w:r>
      <w:bookmarkEnd w:id="83"/>
      <w:bookmarkEnd w:id="84"/>
      <w:bookmarkEnd w:id="85"/>
      <w:bookmarkEnd w:id="86"/>
      <w:bookmarkEnd w:id="87"/>
      <w:bookmarkEnd w:id="88"/>
      <w:bookmarkEnd w:id="89"/>
    </w:p>
    <w:p>
      <w:pPr>
        <w:pStyle w:val="162"/>
      </w:pPr>
      <w:bookmarkStart w:id="90" w:name="_Toc153788210"/>
      <w:r>
        <w:rPr>
          <w:rFonts w:hint="eastAsia"/>
        </w:rPr>
        <w:t>含重金属污泥综合利用应符合DB32/T 4370的相关要求，含重金属污泥综合利用全过程的环境风险应可控。</w:t>
      </w:r>
      <w:bookmarkEnd w:id="90"/>
    </w:p>
    <w:p>
      <w:pPr>
        <w:pStyle w:val="162"/>
      </w:pPr>
      <w:bookmarkStart w:id="91" w:name="_Toc153788211"/>
      <w:r>
        <w:rPr>
          <w:rFonts w:hint="eastAsia"/>
        </w:rPr>
        <w:t>含重金属污泥综合利用设施选址应符合生态环境保护法律法规、规划和“三线一单”生态环境分区管控的要求，新建设施应避让优先保护类耕地集中区域，并进入工业园区或工业集中区。</w:t>
      </w:r>
      <w:bookmarkEnd w:id="91"/>
    </w:p>
    <w:p>
      <w:pPr>
        <w:pStyle w:val="162"/>
      </w:pPr>
      <w:bookmarkStart w:id="92" w:name="_Toc153788212"/>
      <w:r>
        <w:rPr>
          <w:rFonts w:hint="eastAsia"/>
        </w:rPr>
        <w:t>应采用二次污染少、环境风险低、自动化程度高、节能降耗的工艺及设备，新改扩建企业应采用分布式控制系统（DCS）或可编程序控制器（PLC）等控制系统。</w:t>
      </w:r>
      <w:bookmarkEnd w:id="92"/>
    </w:p>
    <w:p>
      <w:pPr>
        <w:pStyle w:val="104"/>
        <w:spacing w:before="312" w:after="312"/>
      </w:pPr>
      <w:bookmarkStart w:id="93" w:name="_Toc153788249"/>
      <w:bookmarkStart w:id="94" w:name="_Toc153788213"/>
      <w:bookmarkStart w:id="95" w:name="_Toc153788657"/>
      <w:bookmarkStart w:id="96" w:name="_Toc155795936"/>
      <w:bookmarkStart w:id="97" w:name="_Toc153797202"/>
      <w:bookmarkStart w:id="98" w:name="_Toc153789259"/>
      <w:bookmarkStart w:id="99" w:name="_Toc155795914"/>
      <w:r>
        <w:rPr>
          <w:rFonts w:hint="eastAsia"/>
        </w:rPr>
        <w:t>入厂分析</w:t>
      </w:r>
      <w:bookmarkEnd w:id="93"/>
      <w:bookmarkEnd w:id="94"/>
      <w:bookmarkEnd w:id="95"/>
      <w:bookmarkEnd w:id="96"/>
      <w:bookmarkEnd w:id="97"/>
      <w:bookmarkEnd w:id="98"/>
      <w:bookmarkEnd w:id="99"/>
    </w:p>
    <w:p>
      <w:pPr>
        <w:pStyle w:val="162"/>
      </w:pPr>
      <w:bookmarkStart w:id="100" w:name="_Toc153788214"/>
      <w:bookmarkStart w:id="101" w:name="_Hlk155127164"/>
      <w:r>
        <w:rPr>
          <w:rFonts w:hint="eastAsia"/>
        </w:rPr>
        <w:t>应结合含重金属污泥物理化学性质、综合利用工艺、综合利用产物和污染控制要求等，制定入厂接收标准，应包括：</w:t>
      </w:r>
      <w:bookmarkEnd w:id="100"/>
    </w:p>
    <w:p>
      <w:pPr>
        <w:pStyle w:val="174"/>
      </w:pPr>
      <w:r>
        <w:rPr>
          <w:rFonts w:hint="eastAsia"/>
        </w:rPr>
        <w:t>目标回收金属含量下限；</w:t>
      </w:r>
    </w:p>
    <w:p>
      <w:pPr>
        <w:pStyle w:val="174"/>
      </w:pPr>
      <w:r>
        <w:rPr>
          <w:rFonts w:hint="eastAsia"/>
        </w:rPr>
        <w:t>有害金属元素、氟元素、磷元素、砷元素、硒元素等污染物含量上限，采用火法冶炼工艺的企业还应确定硫元素、氯元素等污染物含量上限。</w:t>
      </w:r>
    </w:p>
    <w:bookmarkEnd w:id="101"/>
    <w:p>
      <w:pPr>
        <w:pStyle w:val="162"/>
      </w:pPr>
      <w:bookmarkStart w:id="102" w:name="_Toc153788215"/>
      <w:r>
        <w:rPr>
          <w:rFonts w:hint="eastAsia"/>
        </w:rPr>
        <w:t>综合利用企业应设置化验室，配备满足分析检测需要的检测能力，并制定检测方案，确定检测因子、方法及频次，检测方法应符合国家检测规范要求。</w:t>
      </w:r>
      <w:bookmarkEnd w:id="102"/>
    </w:p>
    <w:p>
      <w:pPr>
        <w:pStyle w:val="162"/>
      </w:pPr>
      <w:bookmarkStart w:id="103" w:name="_Toc153788216"/>
      <w:r>
        <w:rPr>
          <w:rFonts w:hint="eastAsia"/>
        </w:rPr>
        <w:t>应对照入厂接收标准，对入厂的每批次含重金属污泥进行成分分析；对同一来源、组分稳定的含重金属污泥可以减少检测频次，但每月不宜少于1次；应按照“一厂一档”方式建立危险废物电子数据库，数据保存10年以上。</w:t>
      </w:r>
      <w:bookmarkEnd w:id="103"/>
    </w:p>
    <w:p>
      <w:pPr>
        <w:pStyle w:val="104"/>
        <w:spacing w:before="312" w:after="312"/>
      </w:pPr>
      <w:bookmarkStart w:id="104" w:name="_Toc153788658"/>
      <w:bookmarkStart w:id="105" w:name="_Toc153789260"/>
      <w:bookmarkStart w:id="106" w:name="_Toc153788217"/>
      <w:bookmarkStart w:id="107" w:name="_Toc153797203"/>
      <w:bookmarkStart w:id="108" w:name="_Toc155795937"/>
      <w:bookmarkStart w:id="109" w:name="_Toc155795915"/>
      <w:bookmarkStart w:id="110" w:name="_Toc153788250"/>
      <w:r>
        <w:rPr>
          <w:rFonts w:hint="eastAsia"/>
        </w:rPr>
        <w:t>贮存</w:t>
      </w:r>
      <w:bookmarkEnd w:id="104"/>
      <w:bookmarkEnd w:id="105"/>
      <w:bookmarkEnd w:id="106"/>
      <w:bookmarkEnd w:id="107"/>
      <w:bookmarkEnd w:id="108"/>
      <w:bookmarkEnd w:id="109"/>
      <w:bookmarkEnd w:id="110"/>
    </w:p>
    <w:p>
      <w:pPr>
        <w:pStyle w:val="162"/>
      </w:pPr>
      <w:bookmarkStart w:id="111" w:name="_Toc153788218"/>
      <w:r>
        <w:rPr>
          <w:rFonts w:hint="eastAsia"/>
        </w:rPr>
        <w:t>含重金属污泥以及其他危险废物贮存应符合GB 18597、HJ 1276和HJ 2025的相关要求，包装容器应完好无损，地面、导流槽应无积液。</w:t>
      </w:r>
      <w:bookmarkEnd w:id="111"/>
    </w:p>
    <w:p>
      <w:pPr>
        <w:pStyle w:val="162"/>
      </w:pPr>
      <w:bookmarkStart w:id="112" w:name="_Toc153788219"/>
      <w:r>
        <w:rPr>
          <w:rFonts w:hint="eastAsia"/>
        </w:rPr>
        <w:t>应根据物料类别、形态、物理化学性质、环境风险等因素和污染防治要求对接收的危险废物、次生固体废物、综合利用产物进行分类、分区管理，贮存能力应满足稳定生产运行要求。</w:t>
      </w:r>
      <w:bookmarkEnd w:id="112"/>
    </w:p>
    <w:p>
      <w:pPr>
        <w:pStyle w:val="162"/>
      </w:pPr>
      <w:bookmarkStart w:id="113" w:name="_Toc153788220"/>
      <w:r>
        <w:rPr>
          <w:rFonts w:hint="eastAsia"/>
        </w:rPr>
        <w:t>预处理车间及生产车间内的危险废物存放、配伍区域应采取有效的防渗、防腐、防漏措施，并采取必要的措施减少渗滤（漏）液、粉尘、VOCs、酸雾、有毒有害大气污染物和刺激性气味气体等污染物的产生。装卸作业区域应采取防风、防雨、防漏措施。</w:t>
      </w:r>
      <w:bookmarkEnd w:id="113"/>
    </w:p>
    <w:p>
      <w:pPr>
        <w:pStyle w:val="162"/>
      </w:pPr>
      <w:bookmarkStart w:id="114" w:name="_Toc153788221"/>
      <w:r>
        <w:rPr>
          <w:rFonts w:hint="eastAsia"/>
        </w:rPr>
        <w:t>预处理车间、生产车间等非贮存设施不应作为含重金属污泥、次生固体废物等的贮存设施。</w:t>
      </w:r>
      <w:bookmarkEnd w:id="114"/>
    </w:p>
    <w:p>
      <w:pPr>
        <w:pStyle w:val="104"/>
        <w:spacing w:before="312" w:after="312"/>
      </w:pPr>
      <w:bookmarkStart w:id="115" w:name="_Toc153788659"/>
      <w:bookmarkStart w:id="116" w:name="_Toc153788222"/>
      <w:bookmarkStart w:id="117" w:name="_Toc153797204"/>
      <w:bookmarkStart w:id="118" w:name="_Toc155795938"/>
      <w:bookmarkStart w:id="119" w:name="_Toc153789261"/>
      <w:bookmarkStart w:id="120" w:name="_Toc153788251"/>
      <w:bookmarkStart w:id="121" w:name="_Toc155795916"/>
      <w:r>
        <w:rPr>
          <w:rFonts w:hint="eastAsia"/>
        </w:rPr>
        <w:t>工艺过程</w:t>
      </w:r>
      <w:bookmarkEnd w:id="115"/>
      <w:bookmarkEnd w:id="116"/>
      <w:bookmarkEnd w:id="117"/>
      <w:bookmarkEnd w:id="118"/>
      <w:bookmarkEnd w:id="119"/>
      <w:bookmarkEnd w:id="120"/>
      <w:bookmarkEnd w:id="121"/>
    </w:p>
    <w:p>
      <w:pPr>
        <w:pStyle w:val="105"/>
        <w:spacing w:before="156" w:after="156"/>
      </w:pPr>
      <w:bookmarkStart w:id="122" w:name="_Toc153788223"/>
      <w:bookmarkStart w:id="123" w:name="_Toc155795917"/>
      <w:r>
        <w:rPr>
          <w:rFonts w:hint="eastAsia"/>
        </w:rPr>
        <w:t>一般要求</w:t>
      </w:r>
      <w:bookmarkEnd w:id="122"/>
      <w:bookmarkEnd w:id="123"/>
    </w:p>
    <w:p>
      <w:pPr>
        <w:pStyle w:val="165"/>
      </w:pPr>
      <w:r>
        <w:rPr>
          <w:rFonts w:hint="eastAsia"/>
        </w:rPr>
        <w:t>含有色金属污泥综合利用工艺应符合GB/T 41012的相关要求；含铜污泥综合利用工艺应符合GB/T 38101的相关要求；其他类别含重金属污泥有专用标准的，应符合专用标准的相关要求。</w:t>
      </w:r>
    </w:p>
    <w:p>
      <w:pPr>
        <w:pStyle w:val="165"/>
      </w:pPr>
      <w:r>
        <w:rPr>
          <w:rFonts w:hint="eastAsia"/>
        </w:rPr>
        <w:t>应根据含重金属污泥物理化学性质、工艺设备、综合利用产物及污染控制要求等制定综合利用进料标准，并进行配伍，确保综合利用产物环境风险可控、污染物达标排放。</w:t>
      </w:r>
    </w:p>
    <w:p>
      <w:pPr>
        <w:pStyle w:val="165"/>
      </w:pPr>
      <w:r>
        <w:rPr>
          <w:rFonts w:hint="eastAsia"/>
        </w:rPr>
        <w:t>应采用机械投料，并设置投料计量装置，投料计量装置应与工艺参数测定设备耦合并定期校准。</w:t>
      </w:r>
    </w:p>
    <w:p>
      <w:pPr>
        <w:pStyle w:val="165"/>
      </w:pPr>
      <w:bookmarkStart w:id="124" w:name="_Hlk155805855"/>
      <w:r>
        <w:rPr>
          <w:rFonts w:hint="eastAsia"/>
        </w:rPr>
        <w:t>应采用全密闭自动化传送设备输送物料，产生粉尘、VOCs、酸雾、有毒有害大气污染物和刺激性气味气体的生产工段、输送系统、进出料口等处应配备气体收集处理装置。</w:t>
      </w:r>
    </w:p>
    <w:bookmarkEnd w:id="124"/>
    <w:p>
      <w:pPr>
        <w:pStyle w:val="105"/>
        <w:spacing w:before="156" w:after="156"/>
      </w:pPr>
      <w:bookmarkStart w:id="125" w:name="_Toc153788224"/>
      <w:bookmarkStart w:id="126" w:name="_Toc155795918"/>
      <w:r>
        <w:rPr>
          <w:rFonts w:hint="eastAsia"/>
        </w:rPr>
        <w:t>火法冶炼</w:t>
      </w:r>
      <w:bookmarkEnd w:id="125"/>
      <w:bookmarkEnd w:id="126"/>
    </w:p>
    <w:p>
      <w:pPr>
        <w:pStyle w:val="165"/>
      </w:pPr>
      <w:bookmarkStart w:id="127" w:name="_Hlk155805868"/>
      <w:r>
        <w:rPr>
          <w:rFonts w:hint="eastAsia"/>
        </w:rPr>
        <w:t>干化工段应选择闭路循环式干燥设备或间接式干燥设备，干化尾气应进行处理。</w:t>
      </w:r>
    </w:p>
    <w:bookmarkEnd w:id="127"/>
    <w:p>
      <w:pPr>
        <w:pStyle w:val="165"/>
      </w:pPr>
      <w:bookmarkStart w:id="128" w:name="_Hlk155169839"/>
      <w:bookmarkStart w:id="129" w:name="_Hlk155805878"/>
      <w:r>
        <w:rPr>
          <w:rFonts w:hint="eastAsia"/>
        </w:rPr>
        <w:t>应采用生产效率高、能耗低的生产工艺及装备。</w:t>
      </w:r>
      <w:bookmarkEnd w:id="128"/>
      <w:r>
        <w:rPr>
          <w:rFonts w:hint="eastAsia"/>
        </w:rPr>
        <w:t>以铜回收为主的新建设施熔炼工段宜采用富氧熔池熔炼及其他先进工艺，不应选用鼓风炉、电炉、反射炉等工艺及设备。</w:t>
      </w:r>
    </w:p>
    <w:bookmarkEnd w:id="129"/>
    <w:p>
      <w:pPr>
        <w:pStyle w:val="165"/>
      </w:pPr>
      <w:r>
        <w:rPr>
          <w:rFonts w:hint="eastAsia"/>
        </w:rPr>
        <w:t>排渣宜采用水淬冷却工艺。</w:t>
      </w:r>
    </w:p>
    <w:p>
      <w:pPr>
        <w:pStyle w:val="105"/>
        <w:spacing w:before="156" w:after="156"/>
      </w:pPr>
      <w:bookmarkStart w:id="130" w:name="_Toc153788225"/>
      <w:bookmarkStart w:id="131" w:name="_Toc155795919"/>
      <w:r>
        <w:rPr>
          <w:rFonts w:hint="eastAsia"/>
        </w:rPr>
        <w:t>湿法回收</w:t>
      </w:r>
      <w:bookmarkEnd w:id="130"/>
      <w:bookmarkEnd w:id="131"/>
    </w:p>
    <w:p>
      <w:pPr>
        <w:pStyle w:val="165"/>
      </w:pPr>
      <w:bookmarkStart w:id="132" w:name="_Hlk155805901"/>
      <w:r>
        <w:rPr>
          <w:rFonts w:hint="eastAsia"/>
        </w:rPr>
        <w:t>新改扩建企业应采用地上式工艺装置，工艺装置应采取避免跑冒滴漏的有效密闭措施，并收集处理装置中产生的废气。</w:t>
      </w:r>
    </w:p>
    <w:bookmarkEnd w:id="132"/>
    <w:p>
      <w:pPr>
        <w:pStyle w:val="165"/>
      </w:pPr>
      <w:bookmarkStart w:id="133" w:name="_Hlk155805913"/>
      <w:r>
        <w:rPr>
          <w:rFonts w:hint="eastAsia"/>
        </w:rPr>
        <w:t>湿法回收工艺的装置和管路应根据物料性质和反应条件采用防腐蚀、耐高温、抗压材料，并根据工艺控制要求安装液位、温度、pH值、氧化还原电位、反应时间等工艺参数在线监控设备。</w:t>
      </w:r>
    </w:p>
    <w:bookmarkEnd w:id="133"/>
    <w:p>
      <w:pPr>
        <w:pStyle w:val="104"/>
        <w:spacing w:before="312" w:after="312"/>
      </w:pPr>
      <w:bookmarkStart w:id="134" w:name="_Toc153789262"/>
      <w:bookmarkStart w:id="135" w:name="_Toc153788226"/>
      <w:bookmarkStart w:id="136" w:name="_Toc153797205"/>
      <w:bookmarkStart w:id="137" w:name="_Toc155795939"/>
      <w:bookmarkStart w:id="138" w:name="_Toc155795920"/>
      <w:bookmarkStart w:id="139" w:name="_Toc153788252"/>
      <w:bookmarkStart w:id="140" w:name="_Toc153788660"/>
      <w:r>
        <w:rPr>
          <w:rFonts w:hint="eastAsia"/>
        </w:rPr>
        <w:t>环境保护</w:t>
      </w:r>
      <w:bookmarkEnd w:id="134"/>
      <w:bookmarkEnd w:id="135"/>
      <w:bookmarkEnd w:id="136"/>
      <w:bookmarkEnd w:id="137"/>
      <w:bookmarkEnd w:id="138"/>
      <w:bookmarkEnd w:id="139"/>
      <w:bookmarkEnd w:id="140"/>
    </w:p>
    <w:p>
      <w:pPr>
        <w:pStyle w:val="105"/>
        <w:spacing w:before="156" w:after="156"/>
      </w:pPr>
      <w:bookmarkStart w:id="141" w:name="_Toc153788227"/>
      <w:bookmarkStart w:id="142" w:name="_Toc155795921"/>
      <w:r>
        <w:rPr>
          <w:rFonts w:hint="eastAsia"/>
        </w:rPr>
        <w:t>废气</w:t>
      </w:r>
      <w:bookmarkEnd w:id="141"/>
      <w:bookmarkEnd w:id="142"/>
    </w:p>
    <w:p>
      <w:pPr>
        <w:pStyle w:val="165"/>
      </w:pPr>
      <w:bookmarkStart w:id="143" w:name="_Hlk155805935"/>
      <w:r>
        <w:rPr>
          <w:rFonts w:hint="eastAsia"/>
        </w:rPr>
        <w:t>熔炼炉等工业炉窑设备烟气应密闭收集并采用高效脱硫脱硝及除尘措施，所在车间应设置环境集烟系统并进行处理。</w:t>
      </w:r>
    </w:p>
    <w:bookmarkEnd w:id="143"/>
    <w:p>
      <w:pPr>
        <w:pStyle w:val="165"/>
      </w:pPr>
      <w:bookmarkStart w:id="144" w:name="_Hlk155170661"/>
      <w:r>
        <w:rPr>
          <w:rFonts w:hint="eastAsia"/>
        </w:rPr>
        <w:t>采用火法冶炼工艺的企业，工业炉窑车间或生产设施排气筒颗粒物、二氧化硫、氮氧化物大气污染物排放限值应符合DB 32/3728的相关要求，重金属和二噁英应符合GB 18484的相关要求，一氧化碳、VOCs及其他污染物应符合DB32/4041的相关要求；采用湿法回收工艺的企业，酸雾、VOCs及其他污染物应符合DB32/4041的相关要求；恶臭污染物应符合GB 14554的相关要求。有专用大气污染物排放标准时，执行专用大气污染物排放标准。</w:t>
      </w:r>
    </w:p>
    <w:bookmarkEnd w:id="144"/>
    <w:p>
      <w:pPr>
        <w:pStyle w:val="105"/>
        <w:spacing w:before="156" w:after="156"/>
      </w:pPr>
      <w:bookmarkStart w:id="145" w:name="_Toc155795922"/>
      <w:bookmarkStart w:id="146" w:name="_Toc153788228"/>
      <w:r>
        <w:rPr>
          <w:rFonts w:hint="eastAsia"/>
        </w:rPr>
        <w:t>废水</w:t>
      </w:r>
      <w:bookmarkEnd w:id="145"/>
      <w:bookmarkEnd w:id="146"/>
    </w:p>
    <w:p>
      <w:pPr>
        <w:pStyle w:val="165"/>
      </w:pPr>
      <w:bookmarkStart w:id="147" w:name="_Hlk155805966"/>
      <w:r>
        <w:rPr>
          <w:rFonts w:hint="eastAsia"/>
        </w:rPr>
        <w:t>应对生产废水以及生产、装卸等污染区域的冲洗水、初期雨水、消防废水等进行分类收集、分质处理、分级回用，回用水应符合GB/T 19923等相关要求。</w:t>
      </w:r>
    </w:p>
    <w:bookmarkEnd w:id="147"/>
    <w:p>
      <w:pPr>
        <w:pStyle w:val="165"/>
      </w:pPr>
      <w:bookmarkStart w:id="148" w:name="_Hlk155805977"/>
      <w:r>
        <w:rPr>
          <w:rFonts w:hint="eastAsia"/>
        </w:rPr>
        <w:t>应采取措施防止事故状态下水污染物进入环境；应设置应急事故池和初期雨水池，并符合GB/T 50483的相关要求。</w:t>
      </w:r>
    </w:p>
    <w:bookmarkEnd w:id="148"/>
    <w:p>
      <w:pPr>
        <w:pStyle w:val="165"/>
      </w:pPr>
      <w:bookmarkStart w:id="149" w:name="_Hlk155805989"/>
      <w:r>
        <w:rPr>
          <w:rFonts w:hint="eastAsia"/>
        </w:rPr>
        <w:t>采用火法冶炼工艺的企业总排放口、车间或生产设施排放口废水中的重金属应符合GB 8978的相关要求；采用湿法回收工艺的企业总排放口、车间或生产设施排放口废水中的重金属参照GB 31573的相关要求执行；COD、总氮、氨氮、总磷等污染物应达到相应的污水处理厂接管要求。</w:t>
      </w:r>
    </w:p>
    <w:bookmarkEnd w:id="149"/>
    <w:p>
      <w:pPr>
        <w:pStyle w:val="105"/>
        <w:spacing w:before="156" w:after="156"/>
      </w:pPr>
      <w:bookmarkStart w:id="150" w:name="_Toc155795923"/>
      <w:bookmarkStart w:id="151" w:name="_Toc153788229"/>
      <w:r>
        <w:rPr>
          <w:rFonts w:hint="eastAsia"/>
        </w:rPr>
        <w:t>次生固体废物</w:t>
      </w:r>
      <w:bookmarkEnd w:id="150"/>
      <w:bookmarkEnd w:id="151"/>
    </w:p>
    <w:p>
      <w:pPr>
        <w:pStyle w:val="165"/>
      </w:pPr>
      <w:bookmarkStart w:id="152" w:name="_Hlk155806008"/>
      <w:r>
        <w:rPr>
          <w:rFonts w:hint="eastAsia"/>
        </w:rPr>
        <w:t>次生固体废物的转移过程中应采取防止渗滤液跑冒滴漏的措施。</w:t>
      </w:r>
    </w:p>
    <w:bookmarkEnd w:id="152"/>
    <w:p>
      <w:pPr>
        <w:pStyle w:val="165"/>
      </w:pPr>
      <w:bookmarkStart w:id="153" w:name="_Hlk155806017"/>
      <w:r>
        <w:rPr>
          <w:rFonts w:hint="eastAsia"/>
        </w:rPr>
        <w:t>综合利用过程中产生的次生固体废物应根据固体废物属性进行管理，经鉴别属于危险废物的，应按照危险废物的相关要求处理处置；次生固体废物利用处置过程应分析其中的重金属及磷元素对环境的影响，含磷次生固体废物不宜直接作为生产免烧建材产品的原料。</w:t>
      </w:r>
    </w:p>
    <w:bookmarkEnd w:id="153"/>
    <w:p>
      <w:pPr>
        <w:pStyle w:val="165"/>
      </w:pPr>
      <w:bookmarkStart w:id="154" w:name="_Hlk155806028"/>
      <w:r>
        <w:rPr>
          <w:rFonts w:hint="eastAsia"/>
        </w:rPr>
        <w:t>应对次生固体废物的产生、贮存及去向进行详细记录，</w:t>
      </w:r>
      <w:bookmarkStart w:id="197" w:name="_GoBack"/>
      <w:r>
        <w:rPr>
          <w:rFonts w:hint="eastAsia"/>
        </w:rPr>
        <w:t>每年</w:t>
      </w:r>
      <w:bookmarkEnd w:id="197"/>
      <w:r>
        <w:rPr>
          <w:rFonts w:hint="eastAsia"/>
        </w:rPr>
        <w:t>至少开展一次各类次生固体废物中的特征污染物含量检测，数据保存十年以上。</w:t>
      </w:r>
    </w:p>
    <w:bookmarkEnd w:id="154"/>
    <w:p>
      <w:pPr>
        <w:pStyle w:val="105"/>
        <w:spacing w:before="156" w:after="156"/>
      </w:pPr>
      <w:bookmarkStart w:id="155" w:name="_Toc155795924"/>
      <w:bookmarkStart w:id="156" w:name="_Toc153788230"/>
      <w:r>
        <w:rPr>
          <w:rFonts w:hint="eastAsia"/>
        </w:rPr>
        <w:t>噪声</w:t>
      </w:r>
      <w:bookmarkEnd w:id="155"/>
      <w:bookmarkEnd w:id="156"/>
    </w:p>
    <w:p>
      <w:pPr>
        <w:pStyle w:val="165"/>
      </w:pPr>
      <w:bookmarkStart w:id="157" w:name="_Hlk155806046"/>
      <w:r>
        <w:rPr>
          <w:rFonts w:hint="eastAsia"/>
        </w:rPr>
        <w:t>应选用低噪音的设备，并采取合理的降噪、减噪措施，确保设备运转时厂界噪声符合GB 12348的要求。</w:t>
      </w:r>
    </w:p>
    <w:bookmarkEnd w:id="157"/>
    <w:p>
      <w:pPr>
        <w:pStyle w:val="104"/>
        <w:spacing w:before="312" w:after="312"/>
      </w:pPr>
      <w:bookmarkStart w:id="158" w:name="_Toc153788231"/>
      <w:bookmarkStart w:id="159" w:name="_Toc153797206"/>
      <w:bookmarkStart w:id="160" w:name="_Toc153788661"/>
      <w:bookmarkStart w:id="161" w:name="_Toc153788253"/>
      <w:bookmarkStart w:id="162" w:name="_Toc153789263"/>
      <w:bookmarkStart w:id="163" w:name="_Toc155795940"/>
      <w:bookmarkStart w:id="164" w:name="_Toc155795925"/>
      <w:r>
        <w:rPr>
          <w:rFonts w:hint="eastAsia"/>
        </w:rPr>
        <w:t>综合利用产物</w:t>
      </w:r>
      <w:bookmarkEnd w:id="158"/>
      <w:bookmarkEnd w:id="159"/>
      <w:bookmarkEnd w:id="160"/>
      <w:bookmarkEnd w:id="161"/>
      <w:bookmarkEnd w:id="162"/>
      <w:bookmarkEnd w:id="163"/>
      <w:bookmarkEnd w:id="164"/>
    </w:p>
    <w:p>
      <w:pPr>
        <w:pStyle w:val="162"/>
      </w:pPr>
      <w:bookmarkStart w:id="165" w:name="_Toc153788232"/>
      <w:r>
        <w:rPr>
          <w:rFonts w:hint="eastAsia"/>
        </w:rPr>
        <w:t>综合利用产物不应在生态保护红线区域及其他需要特别保护的区域使用，也不应用作与人体直接接触产品的替代原辅料，或流向饮用水、食品、药品、养殖及种植等相关领域。符合国家专用标准和国家、地方许可的除外。</w:t>
      </w:r>
      <w:bookmarkEnd w:id="165"/>
    </w:p>
    <w:p>
      <w:pPr>
        <w:pStyle w:val="162"/>
      </w:pPr>
      <w:bookmarkStart w:id="166" w:name="_Toc153788233"/>
      <w:r>
        <w:rPr>
          <w:rFonts w:hint="eastAsia"/>
        </w:rPr>
        <w:t>采用火法冶炼工艺生产的综合利用产物：</w:t>
      </w:r>
    </w:p>
    <w:p>
      <w:pPr>
        <w:pStyle w:val="174"/>
        <w:numPr>
          <w:ilvl w:val="0"/>
          <w:numId w:val="32"/>
        </w:numPr>
      </w:pPr>
      <w:r>
        <w:rPr>
          <w:rFonts w:hint="eastAsia"/>
        </w:rPr>
        <w:t>按照产品管理时，金属单质、金属化合物或金属合金等产物应符合GB 34330的相关要求。镍铁应符合GB/T 25049、黑铜应符合YS/T 632、冰铜应符合YS/T 921，产品质量标准中未规定的有害成分含量不应超过被替代原料中有害成分限值；</w:t>
      </w:r>
    </w:p>
    <w:p>
      <w:pPr>
        <w:pStyle w:val="174"/>
      </w:pPr>
      <w:bookmarkStart w:id="167" w:name="_Hlk155184762"/>
      <w:r>
        <w:rPr>
          <w:rFonts w:hint="eastAsia"/>
        </w:rPr>
        <w:t>不满足9</w:t>
      </w:r>
      <w:r>
        <w:t>.2a</w:t>
      </w:r>
      <w:r>
        <w:rPr>
          <w:rFonts w:hint="eastAsia"/>
        </w:rPr>
        <w:t>）要求的，</w:t>
      </w:r>
      <w:bookmarkEnd w:id="167"/>
      <w:r>
        <w:rPr>
          <w:rFonts w:hint="eastAsia"/>
        </w:rPr>
        <w:t>在符合管理要求的前提下，应采用“再生回用”或“定向利用”的方式，直接提供给使用其作为替代原辅料的下游工业企业。</w:t>
      </w:r>
      <w:bookmarkEnd w:id="166"/>
    </w:p>
    <w:p>
      <w:pPr>
        <w:pStyle w:val="162"/>
      </w:pPr>
      <w:bookmarkStart w:id="168" w:name="_Toc153788234"/>
      <w:r>
        <w:rPr>
          <w:rFonts w:hint="eastAsia"/>
        </w:rPr>
        <w:t>采用湿法回收工艺生产的综合利用产物：</w:t>
      </w:r>
    </w:p>
    <w:p>
      <w:pPr>
        <w:pStyle w:val="174"/>
        <w:numPr>
          <w:ilvl w:val="0"/>
          <w:numId w:val="33"/>
        </w:numPr>
      </w:pPr>
      <w:r>
        <w:rPr>
          <w:rFonts w:hint="eastAsia"/>
        </w:rPr>
        <w:t>按照产品管理时，电解铜应符合GB/T 467，电解镍应符合GB/T 6516，海绵铜应符合YS/T 1366，电镀用硫酸铜应符合HG/T 3592，硫酸镍应符合HG/T 2824，</w:t>
      </w:r>
      <w:bookmarkStart w:id="169" w:name="_Hlk155959281"/>
      <w:r>
        <w:rPr>
          <w:rFonts w:hint="eastAsia"/>
        </w:rPr>
        <w:t>产品质量标准中未规定的铬、锰、钴、镍、铜、锌、银、镉、钡、汞、铊、铅、砷、氟等有害成分含量（按照HJ/T 299要求制备的浸出液）应低于GB 31573中相关限值，铍含量（按照HJ/T 299要求制备的浸出液）应低于GB 8978中相关限值，钒、硒等其他有害成分不应超过被替代原料中有害成分限值</w:t>
      </w:r>
      <w:bookmarkEnd w:id="169"/>
      <w:r>
        <w:rPr>
          <w:rFonts w:hint="eastAsia"/>
        </w:rPr>
        <w:t>；</w:t>
      </w:r>
    </w:p>
    <w:p>
      <w:pPr>
        <w:pStyle w:val="174"/>
      </w:pPr>
      <w:bookmarkStart w:id="170" w:name="_Hlk155184855"/>
      <w:r>
        <w:rPr>
          <w:rFonts w:hint="eastAsia"/>
        </w:rPr>
        <w:t>不满足9.</w:t>
      </w:r>
      <w:r>
        <w:t>3</w:t>
      </w:r>
      <w:r>
        <w:rPr>
          <w:rFonts w:hint="eastAsia"/>
        </w:rPr>
        <w:t>a）要求的，</w:t>
      </w:r>
      <w:bookmarkEnd w:id="170"/>
      <w:r>
        <w:rPr>
          <w:rFonts w:hint="eastAsia"/>
        </w:rPr>
        <w:t>在符合管理要求的前提下，可采用“再生回用”或“定向利用”的方式，直接提供给使用其作为替代原辅料的下游工业企业。</w:t>
      </w:r>
      <w:bookmarkEnd w:id="168"/>
    </w:p>
    <w:p>
      <w:pPr>
        <w:pStyle w:val="162"/>
      </w:pPr>
      <w:bookmarkStart w:id="171" w:name="_Toc153788235"/>
      <w:r>
        <w:rPr>
          <w:rFonts w:hint="eastAsia"/>
        </w:rPr>
        <w:t>未按照9.2或9.3要求的情形，可按照HJ 1091的相关要求开展环境风险评价，在环境风险可接受前提下确定综合利用产物使用行业及用途。</w:t>
      </w:r>
      <w:bookmarkEnd w:id="171"/>
    </w:p>
    <w:p>
      <w:pPr>
        <w:pStyle w:val="162"/>
      </w:pPr>
      <w:bookmarkStart w:id="172" w:name="_Toc153788236"/>
      <w:r>
        <w:rPr>
          <w:rFonts w:hint="eastAsia"/>
        </w:rPr>
        <w:t>应按照 HJ 1091—2020中8.1规定的监测要求及频次，定期对综合利用产物中的特征污染物或有害杂质进行采样监测，监测指标根据产品质量标准或产物“再生回用”或“定向利用”标准制定。</w:t>
      </w:r>
      <w:bookmarkEnd w:id="172"/>
    </w:p>
    <w:p>
      <w:pPr>
        <w:pStyle w:val="162"/>
      </w:pPr>
      <w:bookmarkStart w:id="173" w:name="_Toc153788237"/>
      <w:r>
        <w:rPr>
          <w:rFonts w:hint="eastAsia"/>
        </w:rPr>
        <w:t>应按照DB 32/T 4370—2022中8.2.1的相关要求，建立综合利用产物的台账记录制度，内容包括综合利用产物生产时间、名称、数量、流向（使用单位及用途）等，并进行月度和年度汇总，数据保存10年以上。</w:t>
      </w:r>
      <w:bookmarkEnd w:id="173"/>
    </w:p>
    <w:p>
      <w:pPr>
        <w:pStyle w:val="162"/>
      </w:pPr>
      <w:bookmarkStart w:id="174" w:name="_Toc153788238"/>
      <w:r>
        <w:rPr>
          <w:rFonts w:hint="eastAsia"/>
        </w:rPr>
        <w:t>综合利用产物进入市场流通前，应按照DB 32/T 4370—2022中8.2.6的相关要求，制作、张贴</w:t>
      </w:r>
      <w:bookmarkStart w:id="175" w:name="_Hlk155186050"/>
      <w:r>
        <w:rPr>
          <w:rFonts w:hint="eastAsia"/>
        </w:rPr>
        <w:t>综合利用标志和使用说明书。</w:t>
      </w:r>
      <w:bookmarkEnd w:id="174"/>
      <w:r>
        <w:rPr>
          <w:rFonts w:hint="eastAsia"/>
        </w:rPr>
        <w:t>综合利用产物按照产品管理时，还应满足国家、地方及行业对产品质量的相关要求。</w:t>
      </w:r>
      <w:bookmarkEnd w:id="175"/>
    </w:p>
    <w:p>
      <w:pPr>
        <w:pStyle w:val="104"/>
        <w:spacing w:before="312" w:after="312"/>
      </w:pPr>
      <w:bookmarkStart w:id="176" w:name="_Toc153789264"/>
      <w:bookmarkStart w:id="177" w:name="_Toc153788239"/>
      <w:bookmarkStart w:id="178" w:name="_Toc153797207"/>
      <w:bookmarkStart w:id="179" w:name="_Toc153788662"/>
      <w:bookmarkStart w:id="180" w:name="_Toc155795926"/>
      <w:bookmarkStart w:id="181" w:name="_Toc155795941"/>
      <w:bookmarkStart w:id="182" w:name="_Toc153788254"/>
      <w:r>
        <w:rPr>
          <w:rFonts w:hint="eastAsia"/>
        </w:rPr>
        <w:t>运行管理</w:t>
      </w:r>
      <w:bookmarkEnd w:id="176"/>
      <w:bookmarkEnd w:id="177"/>
      <w:bookmarkEnd w:id="178"/>
      <w:bookmarkEnd w:id="179"/>
      <w:bookmarkEnd w:id="180"/>
      <w:bookmarkEnd w:id="181"/>
      <w:bookmarkEnd w:id="182"/>
    </w:p>
    <w:p>
      <w:pPr>
        <w:pStyle w:val="105"/>
        <w:spacing w:before="156" w:after="156"/>
      </w:pPr>
      <w:bookmarkStart w:id="183" w:name="_Toc155795927"/>
      <w:bookmarkStart w:id="184" w:name="_Toc153788240"/>
      <w:r>
        <w:rPr>
          <w:rFonts w:hint="eastAsia"/>
        </w:rPr>
        <w:t>一般要求</w:t>
      </w:r>
      <w:bookmarkEnd w:id="183"/>
      <w:bookmarkEnd w:id="184"/>
    </w:p>
    <w:p>
      <w:pPr>
        <w:pStyle w:val="165"/>
      </w:pPr>
      <w:r>
        <w:rPr>
          <w:rFonts w:hint="eastAsia"/>
        </w:rPr>
        <w:t>应具有完备的保障含重金属污泥综合利用活动的规章制度，建立并执行规范的管理和技术人员培训制度，定期开展相关培训。</w:t>
      </w:r>
    </w:p>
    <w:p>
      <w:pPr>
        <w:pStyle w:val="165"/>
      </w:pPr>
      <w:bookmarkStart w:id="185" w:name="_Hlk155186207"/>
      <w:r>
        <w:rPr>
          <w:rFonts w:hint="eastAsia"/>
        </w:rPr>
        <w:t>应按照HJ 1259的相关要求，制定危险废物管理计划，建立危险废物管理台账。含重金属污泥综合利用经营单位应建立危险废物综合利用经营情况记录簿，如实记录危险废物的种类、数量、性质、产生环节、流向、贮存、转移、利用与处置等信息，并在省级危险废物管理信息系统中规范申报。申报数据应与经营情况记录簿、管理计划数据相一致。</w:t>
      </w:r>
    </w:p>
    <w:bookmarkEnd w:id="185"/>
    <w:p>
      <w:pPr>
        <w:pStyle w:val="165"/>
      </w:pPr>
      <w:r>
        <w:rPr>
          <w:rFonts w:hint="eastAsia"/>
        </w:rPr>
        <w:t>应搭建含重金属污泥全流程智能管理平台，综合利用设施的关键过程数据保存10年以上；在含重金属污泥入厂、贮存、综合利用等关键环节安装视频监控设备，视频监控资料保存3个月以上。</w:t>
      </w:r>
    </w:p>
    <w:p>
      <w:pPr>
        <w:pStyle w:val="165"/>
      </w:pPr>
      <w:r>
        <w:rPr>
          <w:rFonts w:hint="eastAsia"/>
        </w:rPr>
        <w:t>应依据《危险废物经营单位编制应急预案指南》并按照DB32/T 3795的要求编制环境应急预案，并定期开展应急演练，每年不少于1次。</w:t>
      </w:r>
    </w:p>
    <w:p>
      <w:pPr>
        <w:pStyle w:val="165"/>
      </w:pPr>
      <w:bookmarkStart w:id="186" w:name="_Hlk155186375"/>
      <w:r>
        <w:rPr>
          <w:rFonts w:hint="eastAsia"/>
        </w:rPr>
        <w:t>企业终止经营活动的，应当对经营设施、场所采取污染防治措施，并对未利用的含重金属污泥做出妥善处理。</w:t>
      </w:r>
    </w:p>
    <w:bookmarkEnd w:id="186"/>
    <w:p>
      <w:pPr>
        <w:pStyle w:val="105"/>
        <w:spacing w:before="156" w:after="156"/>
      </w:pPr>
      <w:bookmarkStart w:id="187" w:name="_Toc153788241"/>
      <w:bookmarkStart w:id="188" w:name="_Toc155795928"/>
      <w:r>
        <w:rPr>
          <w:rFonts w:hint="eastAsia"/>
        </w:rPr>
        <w:t>监测要求</w:t>
      </w:r>
      <w:bookmarkEnd w:id="187"/>
      <w:bookmarkEnd w:id="188"/>
    </w:p>
    <w:p>
      <w:pPr>
        <w:pStyle w:val="165"/>
      </w:pPr>
      <w:r>
        <w:rPr>
          <w:rFonts w:hint="eastAsia"/>
        </w:rPr>
        <w:t>应根据HJ 819、HJ 1208、HJ 1250等的相关要求编制自行监测方案，开展自行监测，保存原始监测记录。</w:t>
      </w:r>
    </w:p>
    <w:p>
      <w:pPr>
        <w:pStyle w:val="165"/>
      </w:pPr>
      <w:r>
        <w:rPr>
          <w:rFonts w:hint="eastAsia"/>
        </w:rPr>
        <w:t>应根据自行监测方案对场址和设施周边的大气、地表水、地下水和土壤开展自行监测，含重金属污泥综合利用过程不应对周边环境造成二次污染。</w:t>
      </w:r>
    </w:p>
    <w:p>
      <w:pPr>
        <w:pStyle w:val="165"/>
      </w:pPr>
      <w:r>
        <w:rPr>
          <w:rFonts w:hint="eastAsia"/>
        </w:rPr>
        <w:t>企业发生事故，可能造成土壤污染的，应依法做好土壤污染状况监测、调查和土壤污染风险评估、风险管控、修复等工作。</w:t>
      </w:r>
    </w:p>
    <w:p>
      <w:pPr>
        <w:pStyle w:val="165"/>
      </w:pPr>
      <w:bookmarkStart w:id="189" w:name="_Hlk155186695"/>
      <w:r>
        <w:rPr>
          <w:rFonts w:hint="eastAsia"/>
        </w:rPr>
        <w:t>企业废水排放口的设置应符合排污许可证以及管理部门的规定。雨水排放口宜安装在线监测系统，监测项目宜包括流量、pH值、化学需氧量、氨氮等；每月有雨水流水排放时应开展一次手工监测，监测指标应包括pH值、化学需氧量、氨氮、总磷、悬浮物及铬、镍、铜、锌、砷、镉、汞、铅等特征污染物。</w:t>
      </w:r>
    </w:p>
    <w:bookmarkEnd w:id="189"/>
    <w:p>
      <w:pPr>
        <w:pStyle w:val="165"/>
      </w:pPr>
      <w:r>
        <w:rPr>
          <w:rFonts w:hint="eastAsia"/>
        </w:rPr>
        <w:t>采用火法冶炼工艺的企业干化、烧结、熔炼等工段产生的烟气应配备在线监测系统，监测指标应包括颗粒物、二氧化硫、氮氧化物等。</w:t>
      </w:r>
    </w:p>
    <w:p>
      <w:pPr>
        <w:pStyle w:val="105"/>
        <w:spacing w:before="156" w:after="156"/>
      </w:pPr>
      <w:bookmarkStart w:id="190" w:name="_Toc153788242"/>
      <w:bookmarkStart w:id="191" w:name="_Toc155795929"/>
      <w:r>
        <w:rPr>
          <w:rFonts w:hint="eastAsia"/>
        </w:rPr>
        <w:t>信息公开</w:t>
      </w:r>
      <w:bookmarkEnd w:id="190"/>
      <w:bookmarkEnd w:id="191"/>
    </w:p>
    <w:p>
      <w:pPr>
        <w:pStyle w:val="165"/>
      </w:pPr>
      <w:r>
        <w:rPr>
          <w:rFonts w:hint="eastAsia"/>
        </w:rPr>
        <w:t>应当按照排污许可证等国家及地方相关规定，定期在全国排污许可证管理信息平台、厂区对外公布的企业信息栏或官方网站上如实公开污染物排放种类、排放浓度和排放量，以及污染防治设施的建设运行情况、排污许可证执行报告、自行监测数据等污染物排放信息，接受社会监督。</w:t>
      </w:r>
    </w:p>
    <w:p>
      <w:pPr>
        <w:pStyle w:val="165"/>
      </w:pPr>
      <w:r>
        <w:rPr>
          <w:rFonts w:hint="eastAsia"/>
        </w:rPr>
        <w:t>应在官方网站或公共媒体上按季度公开综合利用产物相关信息，包括执行的质量标准及污染控制标准、主要有害杂质含量、综合利用产物流向等，按年度公开使用综合利用产物的企业相关信息，包括综合利用产物的来源、接收量、使用量、贮存量、使用方式等。</w:t>
      </w:r>
    </w:p>
    <w:p>
      <w:pPr>
        <w:pStyle w:val="165"/>
      </w:pPr>
      <w:r>
        <w:rPr>
          <w:rFonts w:hint="eastAsia"/>
        </w:rPr>
        <w:t>每年应定期向社会发布企业年度环境报告。</w:t>
      </w:r>
    </w:p>
    <w:bookmarkEnd w:id="30"/>
    <w:p>
      <w:pPr>
        <w:pStyle w:val="165"/>
        <w:sectPr>
          <w:pgSz w:w="11906" w:h="16838"/>
          <w:pgMar w:top="1928" w:right="1134" w:bottom="1134" w:left="1134" w:header="1418" w:footer="1134" w:gutter="284"/>
          <w:pgNumType w:start="1"/>
          <w:cols w:space="425" w:num="1"/>
          <w:formProt w:val="0"/>
          <w:docGrid w:type="lines" w:linePitch="312" w:charSpace="0"/>
        </w:sectPr>
      </w:pPr>
      <w:bookmarkStart w:id="192" w:name="BookMark6"/>
    </w:p>
    <w:p>
      <w:pPr>
        <w:pStyle w:val="63"/>
        <w:spacing w:after="156"/>
      </w:pPr>
      <w:bookmarkStart w:id="193" w:name="_Toc155795942"/>
      <w:bookmarkStart w:id="194" w:name="_Toc153797208"/>
      <w:bookmarkStart w:id="195" w:name="_Toc155795930"/>
      <w:r>
        <w:rPr>
          <w:rFonts w:hint="eastAsia"/>
          <w:spacing w:val="105"/>
        </w:rPr>
        <w:t>参考文</w:t>
      </w:r>
      <w:r>
        <w:rPr>
          <w:rFonts w:hint="eastAsia"/>
        </w:rPr>
        <w:t>献</w:t>
      </w:r>
      <w:bookmarkEnd w:id="193"/>
      <w:bookmarkEnd w:id="194"/>
      <w:bookmarkEnd w:id="195"/>
    </w:p>
    <w:p>
      <w:pPr>
        <w:pStyle w:val="56"/>
        <w:ind w:firstLine="420"/>
      </w:pPr>
      <w:r>
        <w:rPr>
          <w:rFonts w:hint="eastAsia"/>
        </w:rPr>
        <w:t>[1] 《国家危险废物名录（2021年版）》（部令 第15号）</w:t>
      </w:r>
    </w:p>
    <w:p>
      <w:pPr>
        <w:pStyle w:val="56"/>
        <w:ind w:firstLine="420"/>
      </w:pPr>
      <w:r>
        <w:rPr>
          <w:rFonts w:hint="eastAsia"/>
        </w:rPr>
        <w:t>[2] 《危险废物经营单位编制应急预案指南》（国家环境保护总局公告 2007年第48号）</w:t>
      </w:r>
    </w:p>
    <w:p>
      <w:pPr>
        <w:pStyle w:val="56"/>
        <w:ind w:firstLine="420"/>
      </w:pPr>
      <w:r>
        <w:rPr>
          <w:rFonts w:hint="eastAsia"/>
        </w:rPr>
        <w:t>[3] 《“十四五”全国危险废物规范化环境管理评估工作方案》（环办固体〔2021〕20号）</w:t>
      </w:r>
    </w:p>
    <w:p>
      <w:pPr>
        <w:pStyle w:val="56"/>
        <w:ind w:firstLine="420"/>
      </w:pPr>
      <w:r>
        <w:rPr>
          <w:rFonts w:hint="eastAsia"/>
        </w:rPr>
        <w:t>[4] 《“十四五”江苏省危险废物规范化环境管理评估工作方案》（苏环办〔2021〕304号）</w:t>
      </w:r>
    </w:p>
    <w:p>
      <w:pPr>
        <w:pStyle w:val="56"/>
        <w:ind w:firstLine="420"/>
      </w:pPr>
      <w:r>
        <w:rPr>
          <w:rFonts w:hint="eastAsia"/>
        </w:rPr>
        <w:t>[</w:t>
      </w:r>
      <w:r>
        <w:t>5</w:t>
      </w:r>
      <w:r>
        <w:rPr>
          <w:rFonts w:hint="eastAsia"/>
        </w:rPr>
        <w:t>] HJ 2042 危险废物处置工程技术导则</w:t>
      </w:r>
    </w:p>
    <w:p>
      <w:pPr>
        <w:pStyle w:val="56"/>
        <w:ind w:firstLine="420"/>
      </w:pPr>
      <w:r>
        <w:rPr>
          <w:rFonts w:hint="eastAsia"/>
        </w:rPr>
        <w:t>[</w:t>
      </w:r>
      <w:r>
        <w:t>6</w:t>
      </w:r>
      <w:r>
        <w:rPr>
          <w:rFonts w:hint="eastAsia"/>
        </w:rPr>
        <w:t>] DB 32/T 4371 废无机酸综合利用污染控制技术规范</w:t>
      </w:r>
    </w:p>
    <w:bookmarkEnd w:id="192"/>
    <w:p>
      <w:pPr>
        <w:pStyle w:val="56"/>
        <w:ind w:firstLine="0" w:firstLineChars="0"/>
        <w:jc w:val="center"/>
      </w:pPr>
      <w:bookmarkStart w:id="196" w:name="BookMark8"/>
      <w:r>
        <w:drawing>
          <wp:inline distT="0" distB="0" distL="0" distR="0">
            <wp:extent cx="1485900" cy="317500"/>
            <wp:effectExtent l="0" t="0" r="0" b="6350"/>
            <wp:docPr id="1449495947" name="图片 2"/>
            <wp:cNvGraphicFramePr/>
            <a:graphic xmlns:a="http://schemas.openxmlformats.org/drawingml/2006/main">
              <a:graphicData uri="http://schemas.openxmlformats.org/drawingml/2006/picture">
                <pic:pic xmlns:pic="http://schemas.openxmlformats.org/drawingml/2006/picture">
                  <pic:nvPicPr>
                    <pic:cNvPr id="1449495947" name="图片 2"/>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VTQQ/doNTB1t+rn96YDGn2PWCMwIclb411lKYysisHpkxRq8H5bplTDNT6wPFChfiLPwo+BolKbmSNN1v+0rIw==" w:salt="E/E1muEQd/JiaCjLGmXx+A=="/>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97615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5F2"/>
    <w:rsid w:val="000556ED"/>
    <w:rsid w:val="00055FE2"/>
    <w:rsid w:val="0005616F"/>
    <w:rsid w:val="000572F9"/>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04A"/>
    <w:rsid w:val="000A7311"/>
    <w:rsid w:val="000B060F"/>
    <w:rsid w:val="000B1592"/>
    <w:rsid w:val="000B1FF2"/>
    <w:rsid w:val="000B3CDA"/>
    <w:rsid w:val="000B6A0B"/>
    <w:rsid w:val="000B70AE"/>
    <w:rsid w:val="000C0F6C"/>
    <w:rsid w:val="000C11DB"/>
    <w:rsid w:val="000C1492"/>
    <w:rsid w:val="000C2FBD"/>
    <w:rsid w:val="000C4B41"/>
    <w:rsid w:val="000C57D6"/>
    <w:rsid w:val="000C6362"/>
    <w:rsid w:val="000C7666"/>
    <w:rsid w:val="000D0A9C"/>
    <w:rsid w:val="000D1795"/>
    <w:rsid w:val="000D329A"/>
    <w:rsid w:val="000D3CE1"/>
    <w:rsid w:val="000D4B9C"/>
    <w:rsid w:val="000D4EB6"/>
    <w:rsid w:val="000D6E00"/>
    <w:rsid w:val="000D753B"/>
    <w:rsid w:val="000E4C9E"/>
    <w:rsid w:val="000E5866"/>
    <w:rsid w:val="000E6FD7"/>
    <w:rsid w:val="000F0431"/>
    <w:rsid w:val="000F06E1"/>
    <w:rsid w:val="000F0E3C"/>
    <w:rsid w:val="000F19D5"/>
    <w:rsid w:val="000F4AEA"/>
    <w:rsid w:val="000F633F"/>
    <w:rsid w:val="000F67E9"/>
    <w:rsid w:val="00104926"/>
    <w:rsid w:val="00104ACF"/>
    <w:rsid w:val="0011009D"/>
    <w:rsid w:val="00112CB1"/>
    <w:rsid w:val="00113B1E"/>
    <w:rsid w:val="00114AD0"/>
    <w:rsid w:val="0011711C"/>
    <w:rsid w:val="0012059C"/>
    <w:rsid w:val="00124E4F"/>
    <w:rsid w:val="001260B7"/>
    <w:rsid w:val="001265CB"/>
    <w:rsid w:val="001304C7"/>
    <w:rsid w:val="001321C6"/>
    <w:rsid w:val="001325C4"/>
    <w:rsid w:val="00133010"/>
    <w:rsid w:val="001338EE"/>
    <w:rsid w:val="00133A58"/>
    <w:rsid w:val="00133AAE"/>
    <w:rsid w:val="001349CE"/>
    <w:rsid w:val="00135323"/>
    <w:rsid w:val="001356C4"/>
    <w:rsid w:val="00141114"/>
    <w:rsid w:val="00142969"/>
    <w:rsid w:val="001446C2"/>
    <w:rsid w:val="001457E7"/>
    <w:rsid w:val="00145D9D"/>
    <w:rsid w:val="00146388"/>
    <w:rsid w:val="0015133C"/>
    <w:rsid w:val="001529E5"/>
    <w:rsid w:val="00153C7E"/>
    <w:rsid w:val="00154D66"/>
    <w:rsid w:val="00156B25"/>
    <w:rsid w:val="00156E1A"/>
    <w:rsid w:val="00156FBD"/>
    <w:rsid w:val="00157894"/>
    <w:rsid w:val="00157B55"/>
    <w:rsid w:val="00161763"/>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3E5"/>
    <w:rsid w:val="00185090"/>
    <w:rsid w:val="001852C9"/>
    <w:rsid w:val="00190087"/>
    <w:rsid w:val="00190890"/>
    <w:rsid w:val="001913C4"/>
    <w:rsid w:val="0019348F"/>
    <w:rsid w:val="00193A07"/>
    <w:rsid w:val="00194C95"/>
    <w:rsid w:val="00195C34"/>
    <w:rsid w:val="00196EF5"/>
    <w:rsid w:val="00197660"/>
    <w:rsid w:val="001A1A53"/>
    <w:rsid w:val="001A234A"/>
    <w:rsid w:val="001A4CF3"/>
    <w:rsid w:val="001B06E8"/>
    <w:rsid w:val="001B2B14"/>
    <w:rsid w:val="001B2C8B"/>
    <w:rsid w:val="001B71D0"/>
    <w:rsid w:val="001B71EE"/>
    <w:rsid w:val="001C04A8"/>
    <w:rsid w:val="001C2C03"/>
    <w:rsid w:val="001C34BB"/>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1F4"/>
    <w:rsid w:val="001E73AB"/>
    <w:rsid w:val="001F092D"/>
    <w:rsid w:val="001F143A"/>
    <w:rsid w:val="001F1605"/>
    <w:rsid w:val="001F2508"/>
    <w:rsid w:val="001F4816"/>
    <w:rsid w:val="001F4EE9"/>
    <w:rsid w:val="001F69B4"/>
    <w:rsid w:val="001F7196"/>
    <w:rsid w:val="001F77C7"/>
    <w:rsid w:val="00200183"/>
    <w:rsid w:val="00200333"/>
    <w:rsid w:val="0020107D"/>
    <w:rsid w:val="00202AA4"/>
    <w:rsid w:val="002031F7"/>
    <w:rsid w:val="002040E6"/>
    <w:rsid w:val="0020527B"/>
    <w:rsid w:val="00205F2C"/>
    <w:rsid w:val="002068DF"/>
    <w:rsid w:val="00210B15"/>
    <w:rsid w:val="002142EA"/>
    <w:rsid w:val="002204BB"/>
    <w:rsid w:val="0022101D"/>
    <w:rsid w:val="00221B79"/>
    <w:rsid w:val="00221C6B"/>
    <w:rsid w:val="00223B8A"/>
    <w:rsid w:val="00224A76"/>
    <w:rsid w:val="002253A1"/>
    <w:rsid w:val="00225CF8"/>
    <w:rsid w:val="0022794E"/>
    <w:rsid w:val="00232A28"/>
    <w:rsid w:val="00233D64"/>
    <w:rsid w:val="0023482A"/>
    <w:rsid w:val="002359CB"/>
    <w:rsid w:val="00236EE9"/>
    <w:rsid w:val="00243540"/>
    <w:rsid w:val="002445BA"/>
    <w:rsid w:val="0024497B"/>
    <w:rsid w:val="0024515B"/>
    <w:rsid w:val="00246021"/>
    <w:rsid w:val="0024666E"/>
    <w:rsid w:val="00247AB9"/>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C58"/>
    <w:rsid w:val="00276E67"/>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39E5"/>
    <w:rsid w:val="002D42B5"/>
    <w:rsid w:val="002D4F1A"/>
    <w:rsid w:val="002D6EC6"/>
    <w:rsid w:val="002D79AC"/>
    <w:rsid w:val="002E039D"/>
    <w:rsid w:val="002E35F6"/>
    <w:rsid w:val="002E4D5A"/>
    <w:rsid w:val="002E5CE7"/>
    <w:rsid w:val="002E6326"/>
    <w:rsid w:val="002F01EF"/>
    <w:rsid w:val="002F22EC"/>
    <w:rsid w:val="002F30E0"/>
    <w:rsid w:val="002F35E4"/>
    <w:rsid w:val="002F3730"/>
    <w:rsid w:val="002F38E1"/>
    <w:rsid w:val="002F7AF6"/>
    <w:rsid w:val="00300E63"/>
    <w:rsid w:val="00302F5F"/>
    <w:rsid w:val="0030441D"/>
    <w:rsid w:val="003050DA"/>
    <w:rsid w:val="00306063"/>
    <w:rsid w:val="00306D10"/>
    <w:rsid w:val="00313B85"/>
    <w:rsid w:val="00317988"/>
    <w:rsid w:val="003221B4"/>
    <w:rsid w:val="0032258D"/>
    <w:rsid w:val="00322E62"/>
    <w:rsid w:val="00324D13"/>
    <w:rsid w:val="00324D2A"/>
    <w:rsid w:val="00324EDD"/>
    <w:rsid w:val="003253B3"/>
    <w:rsid w:val="00326485"/>
    <w:rsid w:val="003331E4"/>
    <w:rsid w:val="00336C64"/>
    <w:rsid w:val="00337162"/>
    <w:rsid w:val="0034194F"/>
    <w:rsid w:val="00344605"/>
    <w:rsid w:val="003474AA"/>
    <w:rsid w:val="00350D1D"/>
    <w:rsid w:val="00352C83"/>
    <w:rsid w:val="00353F4B"/>
    <w:rsid w:val="003615D2"/>
    <w:rsid w:val="0036276E"/>
    <w:rsid w:val="0036429C"/>
    <w:rsid w:val="00364A53"/>
    <w:rsid w:val="003654CB"/>
    <w:rsid w:val="00365AA9"/>
    <w:rsid w:val="00365F86"/>
    <w:rsid w:val="00365F87"/>
    <w:rsid w:val="00366E89"/>
    <w:rsid w:val="00370431"/>
    <w:rsid w:val="003705F4"/>
    <w:rsid w:val="00370D58"/>
    <w:rsid w:val="00371316"/>
    <w:rsid w:val="00371A44"/>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189E"/>
    <w:rsid w:val="003C358E"/>
    <w:rsid w:val="003C5A43"/>
    <w:rsid w:val="003D0519"/>
    <w:rsid w:val="003D0FF6"/>
    <w:rsid w:val="003D262C"/>
    <w:rsid w:val="003D3DA2"/>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2BE"/>
    <w:rsid w:val="0041477A"/>
    <w:rsid w:val="004167A3"/>
    <w:rsid w:val="004328CB"/>
    <w:rsid w:val="00432DAA"/>
    <w:rsid w:val="00434305"/>
    <w:rsid w:val="00435DF7"/>
    <w:rsid w:val="0044083F"/>
    <w:rsid w:val="00441AE7"/>
    <w:rsid w:val="00445574"/>
    <w:rsid w:val="00445EDF"/>
    <w:rsid w:val="004467FB"/>
    <w:rsid w:val="00452D6B"/>
    <w:rsid w:val="00454484"/>
    <w:rsid w:val="0045517B"/>
    <w:rsid w:val="00463B77"/>
    <w:rsid w:val="00463C7B"/>
    <w:rsid w:val="004644A6"/>
    <w:rsid w:val="004659BD"/>
    <w:rsid w:val="00466D19"/>
    <w:rsid w:val="00470775"/>
    <w:rsid w:val="004746B1"/>
    <w:rsid w:val="0047583F"/>
    <w:rsid w:val="00475DE8"/>
    <w:rsid w:val="00481C44"/>
    <w:rsid w:val="00481DB3"/>
    <w:rsid w:val="00484936"/>
    <w:rsid w:val="00485C89"/>
    <w:rsid w:val="00486063"/>
    <w:rsid w:val="00486BE3"/>
    <w:rsid w:val="004905E4"/>
    <w:rsid w:val="00490A89"/>
    <w:rsid w:val="00490AB4"/>
    <w:rsid w:val="00492F02"/>
    <w:rsid w:val="004939AE"/>
    <w:rsid w:val="004A12DF"/>
    <w:rsid w:val="004A17E6"/>
    <w:rsid w:val="004A1BA8"/>
    <w:rsid w:val="004A4B57"/>
    <w:rsid w:val="004A63FA"/>
    <w:rsid w:val="004B0272"/>
    <w:rsid w:val="004B1802"/>
    <w:rsid w:val="004B1B88"/>
    <w:rsid w:val="004B2427"/>
    <w:rsid w:val="004B2701"/>
    <w:rsid w:val="004B2E1B"/>
    <w:rsid w:val="004B3AA8"/>
    <w:rsid w:val="004B3E93"/>
    <w:rsid w:val="004C1FBC"/>
    <w:rsid w:val="004C29CF"/>
    <w:rsid w:val="004C3F1D"/>
    <w:rsid w:val="004C458D"/>
    <w:rsid w:val="004C7556"/>
    <w:rsid w:val="004C757E"/>
    <w:rsid w:val="004C7A57"/>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284"/>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627"/>
    <w:rsid w:val="005328ED"/>
    <w:rsid w:val="00532AFA"/>
    <w:rsid w:val="00533070"/>
    <w:rsid w:val="00533D04"/>
    <w:rsid w:val="00534804"/>
    <w:rsid w:val="00534BDF"/>
    <w:rsid w:val="005354EA"/>
    <w:rsid w:val="0053585F"/>
    <w:rsid w:val="00535EC4"/>
    <w:rsid w:val="00535ED9"/>
    <w:rsid w:val="0053692B"/>
    <w:rsid w:val="00541853"/>
    <w:rsid w:val="0054331E"/>
    <w:rsid w:val="00543BDA"/>
    <w:rsid w:val="005441CC"/>
    <w:rsid w:val="0054528F"/>
    <w:rsid w:val="005479DA"/>
    <w:rsid w:val="00547BCC"/>
    <w:rsid w:val="0055013B"/>
    <w:rsid w:val="00551F6F"/>
    <w:rsid w:val="00555044"/>
    <w:rsid w:val="00555B76"/>
    <w:rsid w:val="00561475"/>
    <w:rsid w:val="0056487B"/>
    <w:rsid w:val="00564FB9"/>
    <w:rsid w:val="00570A4A"/>
    <w:rsid w:val="00573D9E"/>
    <w:rsid w:val="00574568"/>
    <w:rsid w:val="005801E3"/>
    <w:rsid w:val="00581802"/>
    <w:rsid w:val="005836A8"/>
    <w:rsid w:val="0058409C"/>
    <w:rsid w:val="00584262"/>
    <w:rsid w:val="00584AAA"/>
    <w:rsid w:val="00586630"/>
    <w:rsid w:val="00586BC9"/>
    <w:rsid w:val="00587ADD"/>
    <w:rsid w:val="00591E27"/>
    <w:rsid w:val="00596160"/>
    <w:rsid w:val="005966E2"/>
    <w:rsid w:val="00597007"/>
    <w:rsid w:val="005A0966"/>
    <w:rsid w:val="005A11B7"/>
    <w:rsid w:val="005A260B"/>
    <w:rsid w:val="005A4A1B"/>
    <w:rsid w:val="005A53E3"/>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6DAB"/>
    <w:rsid w:val="005E2335"/>
    <w:rsid w:val="005E308F"/>
    <w:rsid w:val="005E34CA"/>
    <w:rsid w:val="005E3C18"/>
    <w:rsid w:val="005E5554"/>
    <w:rsid w:val="005E6812"/>
    <w:rsid w:val="005E7881"/>
    <w:rsid w:val="005E78E0"/>
    <w:rsid w:val="005F0D9C"/>
    <w:rsid w:val="005F284E"/>
    <w:rsid w:val="005F4712"/>
    <w:rsid w:val="00600ECE"/>
    <w:rsid w:val="006015CE"/>
    <w:rsid w:val="00604784"/>
    <w:rsid w:val="0060529F"/>
    <w:rsid w:val="00606419"/>
    <w:rsid w:val="00607814"/>
    <w:rsid w:val="00607D29"/>
    <w:rsid w:val="00612952"/>
    <w:rsid w:val="00614CC1"/>
    <w:rsid w:val="00615A9D"/>
    <w:rsid w:val="00617387"/>
    <w:rsid w:val="006205D6"/>
    <w:rsid w:val="006252D8"/>
    <w:rsid w:val="006259BC"/>
    <w:rsid w:val="0062636B"/>
    <w:rsid w:val="00626AA0"/>
    <w:rsid w:val="00632182"/>
    <w:rsid w:val="00632AE0"/>
    <w:rsid w:val="00633C17"/>
    <w:rsid w:val="00634D9E"/>
    <w:rsid w:val="00636E3E"/>
    <w:rsid w:val="006379F7"/>
    <w:rsid w:val="00637E4D"/>
    <w:rsid w:val="00640620"/>
    <w:rsid w:val="00641A1F"/>
    <w:rsid w:val="00645904"/>
    <w:rsid w:val="00651ACB"/>
    <w:rsid w:val="00651C47"/>
    <w:rsid w:val="00652AB2"/>
    <w:rsid w:val="0065396E"/>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3DA"/>
    <w:rsid w:val="00691D96"/>
    <w:rsid w:val="00693134"/>
    <w:rsid w:val="006942B3"/>
    <w:rsid w:val="00695D22"/>
    <w:rsid w:val="006A07AA"/>
    <w:rsid w:val="006A25E5"/>
    <w:rsid w:val="006A2B46"/>
    <w:rsid w:val="006A336D"/>
    <w:rsid w:val="006A37B9"/>
    <w:rsid w:val="006B2672"/>
    <w:rsid w:val="006B4060"/>
    <w:rsid w:val="006B54BF"/>
    <w:rsid w:val="006B5F44"/>
    <w:rsid w:val="006B5F90"/>
    <w:rsid w:val="006B62E4"/>
    <w:rsid w:val="006C1928"/>
    <w:rsid w:val="006C1BBA"/>
    <w:rsid w:val="006C2079"/>
    <w:rsid w:val="006C5A62"/>
    <w:rsid w:val="006C5C6E"/>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68"/>
    <w:rsid w:val="006F6284"/>
    <w:rsid w:val="007002C5"/>
    <w:rsid w:val="00700401"/>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364"/>
    <w:rsid w:val="00746800"/>
    <w:rsid w:val="007501A8"/>
    <w:rsid w:val="00750D61"/>
    <w:rsid w:val="00750EE1"/>
    <w:rsid w:val="007521CA"/>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0267"/>
    <w:rsid w:val="00793D5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42C8"/>
    <w:rsid w:val="007D6518"/>
    <w:rsid w:val="007D76BD"/>
    <w:rsid w:val="007E0BF1"/>
    <w:rsid w:val="007F0ED8"/>
    <w:rsid w:val="007F0F63"/>
    <w:rsid w:val="007F75CE"/>
    <w:rsid w:val="008013A4"/>
    <w:rsid w:val="008027CE"/>
    <w:rsid w:val="00802F42"/>
    <w:rsid w:val="00804383"/>
    <w:rsid w:val="00804BB7"/>
    <w:rsid w:val="00804D41"/>
    <w:rsid w:val="00807E8B"/>
    <w:rsid w:val="00810257"/>
    <w:rsid w:val="008104F5"/>
    <w:rsid w:val="00811072"/>
    <w:rsid w:val="00811369"/>
    <w:rsid w:val="00813841"/>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9DD"/>
    <w:rsid w:val="008A6F81"/>
    <w:rsid w:val="008A769A"/>
    <w:rsid w:val="008B0C9C"/>
    <w:rsid w:val="008B166D"/>
    <w:rsid w:val="008B17F4"/>
    <w:rsid w:val="008B3615"/>
    <w:rsid w:val="008B4AC4"/>
    <w:rsid w:val="008B50C8"/>
    <w:rsid w:val="008B5281"/>
    <w:rsid w:val="008B7E05"/>
    <w:rsid w:val="008C1797"/>
    <w:rsid w:val="008C219C"/>
    <w:rsid w:val="008C475E"/>
    <w:rsid w:val="008C566B"/>
    <w:rsid w:val="008C619A"/>
    <w:rsid w:val="008D0CE8"/>
    <w:rsid w:val="008D2D1D"/>
    <w:rsid w:val="008D3A4A"/>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FD5"/>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1381"/>
    <w:rsid w:val="00976152"/>
    <w:rsid w:val="00977010"/>
    <w:rsid w:val="00977D02"/>
    <w:rsid w:val="009809BB"/>
    <w:rsid w:val="009810ED"/>
    <w:rsid w:val="009824D3"/>
    <w:rsid w:val="0098364B"/>
    <w:rsid w:val="009911AF"/>
    <w:rsid w:val="009914DC"/>
    <w:rsid w:val="00991875"/>
    <w:rsid w:val="00991F92"/>
    <w:rsid w:val="00992985"/>
    <w:rsid w:val="00993889"/>
    <w:rsid w:val="0099551B"/>
    <w:rsid w:val="009979DA"/>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604"/>
    <w:rsid w:val="009C27F1"/>
    <w:rsid w:val="009C3152"/>
    <w:rsid w:val="009C4CFA"/>
    <w:rsid w:val="009C5070"/>
    <w:rsid w:val="009D112C"/>
    <w:rsid w:val="009D47FA"/>
    <w:rsid w:val="009D4C5B"/>
    <w:rsid w:val="009D50D2"/>
    <w:rsid w:val="009D6BCA"/>
    <w:rsid w:val="009E0A99"/>
    <w:rsid w:val="009E0F62"/>
    <w:rsid w:val="009E4A58"/>
    <w:rsid w:val="009E4FCB"/>
    <w:rsid w:val="009E5A2D"/>
    <w:rsid w:val="009E5AB2"/>
    <w:rsid w:val="009E6219"/>
    <w:rsid w:val="009F03B3"/>
    <w:rsid w:val="00A0096C"/>
    <w:rsid w:val="00A01757"/>
    <w:rsid w:val="00A028C0"/>
    <w:rsid w:val="00A02BAE"/>
    <w:rsid w:val="00A03C42"/>
    <w:rsid w:val="00A04C85"/>
    <w:rsid w:val="00A06A6B"/>
    <w:rsid w:val="00A07E47"/>
    <w:rsid w:val="00A1200B"/>
    <w:rsid w:val="00A129D0"/>
    <w:rsid w:val="00A12C33"/>
    <w:rsid w:val="00A138BA"/>
    <w:rsid w:val="00A14C8E"/>
    <w:rsid w:val="00A153D9"/>
    <w:rsid w:val="00A15F09"/>
    <w:rsid w:val="00A169B6"/>
    <w:rsid w:val="00A2271D"/>
    <w:rsid w:val="00A237D5"/>
    <w:rsid w:val="00A24335"/>
    <w:rsid w:val="00A26C31"/>
    <w:rsid w:val="00A30EFC"/>
    <w:rsid w:val="00A31984"/>
    <w:rsid w:val="00A32D73"/>
    <w:rsid w:val="00A3367B"/>
    <w:rsid w:val="00A3597D"/>
    <w:rsid w:val="00A36DD1"/>
    <w:rsid w:val="00A4006C"/>
    <w:rsid w:val="00A40091"/>
    <w:rsid w:val="00A4030F"/>
    <w:rsid w:val="00A41C79"/>
    <w:rsid w:val="00A41CB5"/>
    <w:rsid w:val="00A42CDF"/>
    <w:rsid w:val="00A43FFC"/>
    <w:rsid w:val="00A4452E"/>
    <w:rsid w:val="00A4472C"/>
    <w:rsid w:val="00A44E69"/>
    <w:rsid w:val="00A4661E"/>
    <w:rsid w:val="00A55BD6"/>
    <w:rsid w:val="00A55D50"/>
    <w:rsid w:val="00A57142"/>
    <w:rsid w:val="00A626B9"/>
    <w:rsid w:val="00A648CD"/>
    <w:rsid w:val="00A6537A"/>
    <w:rsid w:val="00A67866"/>
    <w:rsid w:val="00A67A93"/>
    <w:rsid w:val="00A70B07"/>
    <w:rsid w:val="00A723F8"/>
    <w:rsid w:val="00A76355"/>
    <w:rsid w:val="00A77CCB"/>
    <w:rsid w:val="00A82D03"/>
    <w:rsid w:val="00A83D8D"/>
    <w:rsid w:val="00A8446B"/>
    <w:rsid w:val="00A8473F"/>
    <w:rsid w:val="00A862D6"/>
    <w:rsid w:val="00A8715E"/>
    <w:rsid w:val="00A910DC"/>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518E"/>
    <w:rsid w:val="00AB58BD"/>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AD0"/>
    <w:rsid w:val="00AE5EB4"/>
    <w:rsid w:val="00AE678C"/>
    <w:rsid w:val="00AF0C18"/>
    <w:rsid w:val="00AF47C5"/>
    <w:rsid w:val="00AF5398"/>
    <w:rsid w:val="00B0146D"/>
    <w:rsid w:val="00B049AF"/>
    <w:rsid w:val="00B07242"/>
    <w:rsid w:val="00B10534"/>
    <w:rsid w:val="00B113DB"/>
    <w:rsid w:val="00B11D8A"/>
    <w:rsid w:val="00B12981"/>
    <w:rsid w:val="00B136FC"/>
    <w:rsid w:val="00B147DD"/>
    <w:rsid w:val="00B156FD"/>
    <w:rsid w:val="00B21F61"/>
    <w:rsid w:val="00B261F1"/>
    <w:rsid w:val="00B265BC"/>
    <w:rsid w:val="00B31481"/>
    <w:rsid w:val="00B31FB1"/>
    <w:rsid w:val="00B33952"/>
    <w:rsid w:val="00B33C5E"/>
    <w:rsid w:val="00B342F4"/>
    <w:rsid w:val="00B34369"/>
    <w:rsid w:val="00B34DC2"/>
    <w:rsid w:val="00B378E5"/>
    <w:rsid w:val="00B4252E"/>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557"/>
    <w:rsid w:val="00BA11E2"/>
    <w:rsid w:val="00BA263B"/>
    <w:rsid w:val="00BA42B2"/>
    <w:rsid w:val="00BA58D4"/>
    <w:rsid w:val="00BA5B9E"/>
    <w:rsid w:val="00BA7C9A"/>
    <w:rsid w:val="00BB203B"/>
    <w:rsid w:val="00BB5F8F"/>
    <w:rsid w:val="00BB5FDD"/>
    <w:rsid w:val="00BB657A"/>
    <w:rsid w:val="00BC04B8"/>
    <w:rsid w:val="00BC1A4E"/>
    <w:rsid w:val="00BC4790"/>
    <w:rsid w:val="00BC5DC7"/>
    <w:rsid w:val="00BC6B8B"/>
    <w:rsid w:val="00BC73D8"/>
    <w:rsid w:val="00BD52D7"/>
    <w:rsid w:val="00BD5AD2"/>
    <w:rsid w:val="00BE22F3"/>
    <w:rsid w:val="00BE5B52"/>
    <w:rsid w:val="00BE7B8D"/>
    <w:rsid w:val="00BF0993"/>
    <w:rsid w:val="00BF10A9"/>
    <w:rsid w:val="00BF1703"/>
    <w:rsid w:val="00BF1CD7"/>
    <w:rsid w:val="00BF231C"/>
    <w:rsid w:val="00BF51E5"/>
    <w:rsid w:val="00BF5FBC"/>
    <w:rsid w:val="00BF74A6"/>
    <w:rsid w:val="00C013AD"/>
    <w:rsid w:val="00C04904"/>
    <w:rsid w:val="00C056B3"/>
    <w:rsid w:val="00C103E5"/>
    <w:rsid w:val="00C13319"/>
    <w:rsid w:val="00C13EE9"/>
    <w:rsid w:val="00C20206"/>
    <w:rsid w:val="00C21540"/>
    <w:rsid w:val="00C21906"/>
    <w:rsid w:val="00C21BFA"/>
    <w:rsid w:val="00C22148"/>
    <w:rsid w:val="00C24C8D"/>
    <w:rsid w:val="00C25C23"/>
    <w:rsid w:val="00C25FE2"/>
    <w:rsid w:val="00C26B53"/>
    <w:rsid w:val="00C279B2"/>
    <w:rsid w:val="00C33E50"/>
    <w:rsid w:val="00C34C20"/>
    <w:rsid w:val="00C35A3E"/>
    <w:rsid w:val="00C42130"/>
    <w:rsid w:val="00C423A4"/>
    <w:rsid w:val="00C44BF5"/>
    <w:rsid w:val="00C521D6"/>
    <w:rsid w:val="00C525EC"/>
    <w:rsid w:val="00C52A81"/>
    <w:rsid w:val="00C55232"/>
    <w:rsid w:val="00C553A4"/>
    <w:rsid w:val="00C55A06"/>
    <w:rsid w:val="00C55D03"/>
    <w:rsid w:val="00C601BC"/>
    <w:rsid w:val="00C6329F"/>
    <w:rsid w:val="00C63340"/>
    <w:rsid w:val="00C643F9"/>
    <w:rsid w:val="00C64E95"/>
    <w:rsid w:val="00C702FB"/>
    <w:rsid w:val="00C70388"/>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0A8B"/>
    <w:rsid w:val="00CA2D1B"/>
    <w:rsid w:val="00CA375D"/>
    <w:rsid w:val="00CA415E"/>
    <w:rsid w:val="00CA4233"/>
    <w:rsid w:val="00CA662A"/>
    <w:rsid w:val="00CA7AFD"/>
    <w:rsid w:val="00CA7C3C"/>
    <w:rsid w:val="00CB0189"/>
    <w:rsid w:val="00CB0BA2"/>
    <w:rsid w:val="00CB1A42"/>
    <w:rsid w:val="00CB1B0C"/>
    <w:rsid w:val="00CB2C0B"/>
    <w:rsid w:val="00CB34B9"/>
    <w:rsid w:val="00CB517D"/>
    <w:rsid w:val="00CB693D"/>
    <w:rsid w:val="00CC038D"/>
    <w:rsid w:val="00CC08DB"/>
    <w:rsid w:val="00CC321D"/>
    <w:rsid w:val="00CC39FF"/>
    <w:rsid w:val="00CC3C2F"/>
    <w:rsid w:val="00CC4AC8"/>
    <w:rsid w:val="00CC5233"/>
    <w:rsid w:val="00CC5DE6"/>
    <w:rsid w:val="00CC6E4E"/>
    <w:rsid w:val="00CC6FE4"/>
    <w:rsid w:val="00CC6FE8"/>
    <w:rsid w:val="00CC7202"/>
    <w:rsid w:val="00CD01BF"/>
    <w:rsid w:val="00CD2808"/>
    <w:rsid w:val="00CD28BF"/>
    <w:rsid w:val="00CD4092"/>
    <w:rsid w:val="00CD4A20"/>
    <w:rsid w:val="00CD50A1"/>
    <w:rsid w:val="00CD519E"/>
    <w:rsid w:val="00CD561D"/>
    <w:rsid w:val="00CE0C4F"/>
    <w:rsid w:val="00CE30EA"/>
    <w:rsid w:val="00CF048A"/>
    <w:rsid w:val="00CF155A"/>
    <w:rsid w:val="00CF2947"/>
    <w:rsid w:val="00CF2B1D"/>
    <w:rsid w:val="00CF686F"/>
    <w:rsid w:val="00CF6E60"/>
    <w:rsid w:val="00CF7BCA"/>
    <w:rsid w:val="00D0051C"/>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2887"/>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24AC"/>
    <w:rsid w:val="00D53314"/>
    <w:rsid w:val="00D62B4B"/>
    <w:rsid w:val="00D66846"/>
    <w:rsid w:val="00D675FB"/>
    <w:rsid w:val="00D71F25"/>
    <w:rsid w:val="00D72A9C"/>
    <w:rsid w:val="00D77031"/>
    <w:rsid w:val="00D83B69"/>
    <w:rsid w:val="00D84941"/>
    <w:rsid w:val="00D84FA1"/>
    <w:rsid w:val="00D851F0"/>
    <w:rsid w:val="00D86DB7"/>
    <w:rsid w:val="00D908AD"/>
    <w:rsid w:val="00D923FD"/>
    <w:rsid w:val="00D926D0"/>
    <w:rsid w:val="00D93030"/>
    <w:rsid w:val="00D93F42"/>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097F"/>
    <w:rsid w:val="00DC0E46"/>
    <w:rsid w:val="00DC3067"/>
    <w:rsid w:val="00DC30A8"/>
    <w:rsid w:val="00DC370B"/>
    <w:rsid w:val="00DC5B90"/>
    <w:rsid w:val="00DD00FF"/>
    <w:rsid w:val="00DD0619"/>
    <w:rsid w:val="00DD07FB"/>
    <w:rsid w:val="00DD1E0F"/>
    <w:rsid w:val="00DD25C6"/>
    <w:rsid w:val="00DD4FE5"/>
    <w:rsid w:val="00DD54B0"/>
    <w:rsid w:val="00DD57EE"/>
    <w:rsid w:val="00DD6BCC"/>
    <w:rsid w:val="00DE0A4B"/>
    <w:rsid w:val="00DE2410"/>
    <w:rsid w:val="00DE247F"/>
    <w:rsid w:val="00DE2939"/>
    <w:rsid w:val="00DE29E1"/>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7052"/>
    <w:rsid w:val="00E502C1"/>
    <w:rsid w:val="00E502DD"/>
    <w:rsid w:val="00E5037C"/>
    <w:rsid w:val="00E50D3A"/>
    <w:rsid w:val="00E51387"/>
    <w:rsid w:val="00E51E68"/>
    <w:rsid w:val="00E52EFD"/>
    <w:rsid w:val="00E5408A"/>
    <w:rsid w:val="00E56800"/>
    <w:rsid w:val="00E60C63"/>
    <w:rsid w:val="00E62FF9"/>
    <w:rsid w:val="00E635D6"/>
    <w:rsid w:val="00E639BC"/>
    <w:rsid w:val="00E664CC"/>
    <w:rsid w:val="00E70296"/>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A69"/>
    <w:rsid w:val="00EA457B"/>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4409"/>
    <w:rsid w:val="00EE54A6"/>
    <w:rsid w:val="00EE613F"/>
    <w:rsid w:val="00EE6619"/>
    <w:rsid w:val="00EE7295"/>
    <w:rsid w:val="00EE7869"/>
    <w:rsid w:val="00EF054A"/>
    <w:rsid w:val="00EF3235"/>
    <w:rsid w:val="00EF5ECC"/>
    <w:rsid w:val="00EF731A"/>
    <w:rsid w:val="00EF7E72"/>
    <w:rsid w:val="00F0127C"/>
    <w:rsid w:val="00F06D37"/>
    <w:rsid w:val="00F07B9D"/>
    <w:rsid w:val="00F11586"/>
    <w:rsid w:val="00F1183B"/>
    <w:rsid w:val="00F11C9F"/>
    <w:rsid w:val="00F12263"/>
    <w:rsid w:val="00F1409D"/>
    <w:rsid w:val="00F14214"/>
    <w:rsid w:val="00F14700"/>
    <w:rsid w:val="00F157A9"/>
    <w:rsid w:val="00F25BB6"/>
    <w:rsid w:val="00F26B7E"/>
    <w:rsid w:val="00F27A3B"/>
    <w:rsid w:val="00F31585"/>
    <w:rsid w:val="00F33817"/>
    <w:rsid w:val="00F420D5"/>
    <w:rsid w:val="00F451EA"/>
    <w:rsid w:val="00F45447"/>
    <w:rsid w:val="00F456C6"/>
    <w:rsid w:val="00F4577B"/>
    <w:rsid w:val="00F46496"/>
    <w:rsid w:val="00F474D0"/>
    <w:rsid w:val="00F50179"/>
    <w:rsid w:val="00F51078"/>
    <w:rsid w:val="00F515EE"/>
    <w:rsid w:val="00F52695"/>
    <w:rsid w:val="00F56511"/>
    <w:rsid w:val="00F6194E"/>
    <w:rsid w:val="00F623AC"/>
    <w:rsid w:val="00F63331"/>
    <w:rsid w:val="00F6412A"/>
    <w:rsid w:val="00F65893"/>
    <w:rsid w:val="00F66A4A"/>
    <w:rsid w:val="00F71E22"/>
    <w:rsid w:val="00F72142"/>
    <w:rsid w:val="00F72AE7"/>
    <w:rsid w:val="00F81141"/>
    <w:rsid w:val="00F833BA"/>
    <w:rsid w:val="00F84FD0"/>
    <w:rsid w:val="00F859A8"/>
    <w:rsid w:val="00F85E91"/>
    <w:rsid w:val="00F86D87"/>
    <w:rsid w:val="00F9108B"/>
    <w:rsid w:val="00F91349"/>
    <w:rsid w:val="00F93A8A"/>
    <w:rsid w:val="00F95248"/>
    <w:rsid w:val="00F956A9"/>
    <w:rsid w:val="00F963ED"/>
    <w:rsid w:val="00F966CF"/>
    <w:rsid w:val="00F96CAE"/>
    <w:rsid w:val="00F97C99"/>
    <w:rsid w:val="00FA4DAC"/>
    <w:rsid w:val="00FA662D"/>
    <w:rsid w:val="00FA70F7"/>
    <w:rsid w:val="00FA73B1"/>
    <w:rsid w:val="00FB0CB9"/>
    <w:rsid w:val="00FB231D"/>
    <w:rsid w:val="00FB3938"/>
    <w:rsid w:val="00FB45F1"/>
    <w:rsid w:val="00FB4A72"/>
    <w:rsid w:val="00FB54E8"/>
    <w:rsid w:val="00FB7054"/>
    <w:rsid w:val="00FB71E8"/>
    <w:rsid w:val="00FC17B7"/>
    <w:rsid w:val="00FC2CB7"/>
    <w:rsid w:val="00FC4090"/>
    <w:rsid w:val="00FC55B4"/>
    <w:rsid w:val="00FC7063"/>
    <w:rsid w:val="00FD00E6"/>
    <w:rsid w:val="00FD09A1"/>
    <w:rsid w:val="00FD1AB5"/>
    <w:rsid w:val="00FD2A7C"/>
    <w:rsid w:val="00FD59EB"/>
    <w:rsid w:val="00FD7299"/>
    <w:rsid w:val="00FE1FBE"/>
    <w:rsid w:val="00FE3901"/>
    <w:rsid w:val="00FE39D3"/>
    <w:rsid w:val="00FE4BCE"/>
    <w:rsid w:val="00FE54AE"/>
    <w:rsid w:val="00FE576A"/>
    <w:rsid w:val="00FE7E79"/>
    <w:rsid w:val="00FF2DAF"/>
    <w:rsid w:val="00FF3E7D"/>
    <w:rsid w:val="00FF5B99"/>
    <w:rsid w:val="00FF730C"/>
    <w:rsid w:val="00FF73F4"/>
    <w:rsid w:val="00FF7CE4"/>
    <w:rsid w:val="00FF7DAE"/>
    <w:rsid w:val="00FF7E39"/>
    <w:rsid w:val="1CA13E5E"/>
    <w:rsid w:val="719D6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qFormat="1"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4B5577E14564AABA56AC2E76ABBE188"/>
        <w:style w:val=""/>
        <w:category>
          <w:name w:val="常规"/>
          <w:gallery w:val="placeholder"/>
        </w:category>
        <w:types>
          <w:type w:val="bbPlcHdr"/>
        </w:types>
        <w:behaviors>
          <w:behavior w:val="content"/>
        </w:behaviors>
        <w:description w:val=""/>
        <w:guid w:val="{83EF0041-B898-45AD-9318-8877AD442F0B}"/>
      </w:docPartPr>
      <w:docPartBody>
        <w:p>
          <w:pPr>
            <w:pStyle w:val="5"/>
          </w:pPr>
          <w:r>
            <w:rPr>
              <w:rStyle w:val="4"/>
              <w:rFonts w:hint="eastAsia"/>
            </w:rPr>
            <w:t>单击或点击此处输入文字。</w:t>
          </w:r>
        </w:p>
      </w:docPartBody>
    </w:docPart>
    <w:docPart>
      <w:docPartPr>
        <w:name w:val="1F1D12491E2D4FEFA68A42581BC98FEC"/>
        <w:style w:val=""/>
        <w:category>
          <w:name w:val="常规"/>
          <w:gallery w:val="placeholder"/>
        </w:category>
        <w:types>
          <w:type w:val="bbPlcHdr"/>
        </w:types>
        <w:behaviors>
          <w:behavior w:val="content"/>
        </w:behaviors>
        <w:description w:val=""/>
        <w:guid w:val="{A8F2C49D-B13A-47DD-969F-83B4A82B0DBA}"/>
      </w:docPartPr>
      <w:docPartBody>
        <w:p>
          <w:pPr>
            <w:pStyle w:val="6"/>
          </w:pPr>
          <w:r>
            <w:rPr>
              <w:rStyle w:val="4"/>
              <w:rFonts w:hint="eastAsia"/>
            </w:rPr>
            <w:t>选择一项。</w:t>
          </w:r>
        </w:p>
      </w:docPartBody>
    </w:docPart>
    <w:docPart>
      <w:docPartPr>
        <w:name w:val="19A5866C1145493C9705243EF1751B34"/>
        <w:style w:val=""/>
        <w:category>
          <w:name w:val="常规"/>
          <w:gallery w:val="placeholder"/>
        </w:category>
        <w:types>
          <w:type w:val="bbPlcHdr"/>
        </w:types>
        <w:behaviors>
          <w:behavior w:val="content"/>
        </w:behaviors>
        <w:description w:val=""/>
        <w:guid w:val="{BE43C7A4-0707-49D8-AC93-72DEC45F0AB0}"/>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536"/>
    <w:rsid w:val="00020509"/>
    <w:rsid w:val="00053FC4"/>
    <w:rsid w:val="000B1628"/>
    <w:rsid w:val="000D3F0D"/>
    <w:rsid w:val="00105AE3"/>
    <w:rsid w:val="00130F3F"/>
    <w:rsid w:val="001A4E98"/>
    <w:rsid w:val="001F414E"/>
    <w:rsid w:val="003814D7"/>
    <w:rsid w:val="00582AE3"/>
    <w:rsid w:val="005E55E2"/>
    <w:rsid w:val="006971C9"/>
    <w:rsid w:val="006D4529"/>
    <w:rsid w:val="00707B86"/>
    <w:rsid w:val="00710159"/>
    <w:rsid w:val="007A085D"/>
    <w:rsid w:val="007A7FAD"/>
    <w:rsid w:val="00801C7B"/>
    <w:rsid w:val="008F1DD3"/>
    <w:rsid w:val="009636A7"/>
    <w:rsid w:val="00A0021F"/>
    <w:rsid w:val="00A15DA3"/>
    <w:rsid w:val="00AA5A0B"/>
    <w:rsid w:val="00AC424D"/>
    <w:rsid w:val="00AF7B08"/>
    <w:rsid w:val="00B03FFF"/>
    <w:rsid w:val="00BD2709"/>
    <w:rsid w:val="00C07536"/>
    <w:rsid w:val="00C61EA0"/>
    <w:rsid w:val="00C979E2"/>
    <w:rsid w:val="00CC6E25"/>
    <w:rsid w:val="00CF180A"/>
    <w:rsid w:val="00DA71A9"/>
    <w:rsid w:val="00DC3A1F"/>
    <w:rsid w:val="00DE4270"/>
    <w:rsid w:val="00E74014"/>
    <w:rsid w:val="00E77478"/>
    <w:rsid w:val="00ED2B1C"/>
    <w:rsid w:val="00F24D0E"/>
    <w:rsid w:val="00F41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94B5577E14564AABA56AC2E76ABBE18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F1D12491E2D4FEFA68A42581BC98FE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9A5866C1145493C9705243EF1751B34"/>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21ED65-04FA-4C8C-8B68-C66DC4F345F3}">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Pages>
  <Words>1187</Words>
  <Characters>6767</Characters>
  <Lines>56</Lines>
  <Paragraphs>15</Paragraphs>
  <TotalTime>351</TotalTime>
  <ScaleCrop>false</ScaleCrop>
  <LinksUpToDate>false</LinksUpToDate>
  <CharactersWithSpaces>7939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2024-01-11T01:22:00Z</dcterms:created>
  <dc:creator>FANGYAN</dc:creator>
  <cp:lastModifiedBy>mmme</cp:lastModifiedBy>
  <cp:lastPrinted>2024-01-15T08:21:00Z</cp:lastPrinted>
  <dcterms:modified xsi:type="dcterms:W3CDTF">2024-01-23T09:41:42Z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2052-12.1.0.16250</vt:lpwstr>
  </property>
  <property fmtid="{D5CDD505-2E9C-101B-9397-08002B2CF9AE}" pid="15" name="ICV">
    <vt:lpwstr>14B6DBB4FB9E4D1CA3D96FCCF44AD21C_12</vt:lpwstr>
  </property>
</Properties>
</file>