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00</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15471536"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wbHpdOsBAACzAwAADgAAAAAAAAABACAAAAAnAQAAZHJzL2Uyb0RvYy54bWxQSwUGAAAAAAYA&#10;BgBZAQAAhA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农业生产经营主体质量安全信用等级</w:t>
      </w:r>
    </w:p>
    <w:p>
      <w:pPr>
        <w:pStyle w:val="198"/>
        <w:framePr w:h="6974" w:hRule="exact" w:wrap="around" w:x="1419" w:anchorLock="1"/>
      </w:pPr>
      <w:r>
        <w:t>评价规范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Evaluation </w:t>
      </w:r>
      <w:r>
        <w:rPr>
          <w:rFonts w:hint="eastAsia" w:ascii="黑体" w:hAnsi="黑体" w:eastAsia="黑体"/>
          <w:szCs w:val="28"/>
        </w:rPr>
        <w:t>s</w:t>
      </w:r>
      <w:r>
        <w:rPr>
          <w:rFonts w:ascii="黑体" w:hAnsi="黑体" w:eastAsia="黑体"/>
          <w:szCs w:val="28"/>
        </w:rPr>
        <w:t>pecification of quality and safety credit rating of agricultural production and operation entities</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34611971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AQUKo/qAQAAswMAAA4AAAAAAAAAAQAgAAAAJgEAAGRycy9lMm9Eb2MueG1sUEsFBgAAAAAGAAYA&#10;WQEAAIIFAAAAAA==&#10;">
                <v:fill on="f" focussize="0,0"/>
                <v:stroke color="#000000" joinstyle="round"/>
                <v:imagedata o:title=""/>
                <o:lock v:ext="edit" aspectratio="f"/>
                <w10:anchorlock/>
              </v:line>
            </w:pict>
          </mc:Fallback>
        </mc:AlternateContent>
      </w:r>
    </w:p>
    <w:p>
      <w:pPr>
        <w:pStyle w:val="92"/>
        <w:spacing w:after="468"/>
      </w:pPr>
      <w:bookmarkStart w:id="21" w:name="BookMark1"/>
      <w:bookmarkStart w:id="22" w:name="_Toc153963981"/>
      <w:bookmarkStart w:id="23" w:name="_Toc138674113"/>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"_Toc155722396" </w:instrText>
      </w:r>
      <w:r>
        <w:fldChar w:fldCharType="separate"/>
      </w:r>
      <w:r>
        <w:rPr>
          <w:rStyle w:val="33"/>
        </w:rPr>
        <w:t>前言</w:t>
      </w:r>
      <w:r>
        <w:tab/>
      </w:r>
      <w:r>
        <w:fldChar w:fldCharType="begin"/>
      </w:r>
      <w:r>
        <w:instrText xml:space="preserve"> PAGEREF _Toc155722396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"_Toc155722397" </w:instrText>
      </w:r>
      <w:r>
        <w:fldChar w:fldCharType="separate"/>
      </w:r>
      <w:r>
        <w:rPr>
          <w:rStyle w:val="33"/>
        </w:rPr>
        <w:t>1  范围</w:t>
      </w:r>
      <w:r>
        <w:tab/>
      </w:r>
      <w:r>
        <w:fldChar w:fldCharType="begin"/>
      </w:r>
      <w:r>
        <w:instrText xml:space="preserve"> PAGEREF _Toc155722397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"_Toc155722398" </w:instrText>
      </w:r>
      <w:r>
        <w:fldChar w:fldCharType="separate"/>
      </w:r>
      <w:r>
        <w:rPr>
          <w:rStyle w:val="33"/>
        </w:rPr>
        <w:t>2  规范性引用文件</w:t>
      </w:r>
      <w:r>
        <w:tab/>
      </w:r>
      <w:r>
        <w:fldChar w:fldCharType="begin"/>
      </w:r>
      <w:r>
        <w:instrText xml:space="preserve"> PAGEREF _Toc155722398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"_Toc155722399" </w:instrText>
      </w:r>
      <w:r>
        <w:fldChar w:fldCharType="separate"/>
      </w:r>
      <w:r>
        <w:rPr>
          <w:rStyle w:val="33"/>
        </w:rPr>
        <w:t>3  术语和定义</w:t>
      </w:r>
      <w:r>
        <w:tab/>
      </w:r>
      <w:r>
        <w:fldChar w:fldCharType="begin"/>
      </w:r>
      <w:r>
        <w:instrText xml:space="preserve"> PAGEREF _Toc155722399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"_Toc155722400" </w:instrText>
      </w:r>
      <w:r>
        <w:fldChar w:fldCharType="separate"/>
      </w:r>
      <w:r>
        <w:rPr>
          <w:rStyle w:val="33"/>
        </w:rPr>
        <w:t>4  评价原则</w:t>
      </w:r>
      <w:r>
        <w:tab/>
      </w:r>
      <w:r>
        <w:fldChar w:fldCharType="begin"/>
      </w:r>
      <w:r>
        <w:instrText xml:space="preserve"> PAGEREF _Toc155722400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"_Toc155722401" </w:instrText>
      </w:r>
      <w:r>
        <w:fldChar w:fldCharType="separate"/>
      </w:r>
      <w:r>
        <w:rPr>
          <w:rStyle w:val="33"/>
        </w:rPr>
        <w:t>5  评价指标</w:t>
      </w:r>
      <w:r>
        <w:tab/>
      </w:r>
      <w:r>
        <w:fldChar w:fldCharType="begin"/>
      </w:r>
      <w:r>
        <w:instrText xml:space="preserve"> PAGEREF _Toc155722401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"_Toc155722402" </w:instrText>
      </w:r>
      <w:r>
        <w:fldChar w:fldCharType="separate"/>
      </w:r>
      <w:r>
        <w:rPr>
          <w:rStyle w:val="33"/>
        </w:rPr>
        <w:t>6  等级评分</w:t>
      </w:r>
      <w:r>
        <w:tab/>
      </w:r>
      <w:r>
        <w:fldChar w:fldCharType="begin"/>
      </w:r>
      <w:r>
        <w:instrText xml:space="preserve"> PAGEREF _Toc155722402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"_Toc155722403" </w:instrText>
      </w:r>
      <w:r>
        <w:fldChar w:fldCharType="separate"/>
      </w:r>
      <w:r>
        <w:rPr>
          <w:rStyle w:val="33"/>
        </w:rPr>
        <w:t>7  等级划分</w:t>
      </w:r>
      <w:r>
        <w:tab/>
      </w:r>
      <w:r>
        <w:fldChar w:fldCharType="begin"/>
      </w:r>
      <w:r>
        <w:instrText xml:space="preserve"> PAGEREF _Toc155722403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"_Toc155722404" </w:instrText>
      </w:r>
      <w:r>
        <w:fldChar w:fldCharType="separate"/>
      </w:r>
      <w:r>
        <w:rPr>
          <w:rStyle w:val="33"/>
          <w:kern w:val="21"/>
        </w:rPr>
        <w:t>附录A</w:t>
      </w:r>
      <w:r>
        <w:rPr>
          <w:rStyle w:val="33"/>
        </w:rPr>
        <w:t>（规范性）  农业生产经营主体质量安全信用等级评分</w:t>
      </w:r>
      <w:r>
        <w:tab/>
      </w:r>
      <w:r>
        <w:fldChar w:fldCharType="begin"/>
      </w:r>
      <w:r>
        <w:instrText xml:space="preserve"> PAGEREF _Toc155722404 \h </w:instrText>
      </w:r>
      <w:r>
        <w:fldChar w:fldCharType="separate"/>
      </w:r>
      <w:r>
        <w:t>4</w:t>
      </w:r>
      <w:r>
        <w:fldChar w:fldCharType="end"/>
      </w:r>
      <w:r>
        <w:fldChar w:fldCharType="end"/>
      </w:r>
    </w:p>
    <w:p>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before="900" w:after="468"/>
      </w:pPr>
      <w:bookmarkStart w:id="24" w:name="_Toc155722396"/>
      <w:bookmarkStart w:id="25" w:name="BookMark2"/>
      <w:r>
        <w:rPr>
          <w:spacing w:val="320"/>
        </w:rPr>
        <w:t>前</w:t>
      </w:r>
      <w:r>
        <w:t>言</w:t>
      </w:r>
      <w:bookmarkEnd w:id="22"/>
      <w:bookmarkEnd w:id="23"/>
      <w:bookmarkEnd w:id="24"/>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rPr>
          <w:rFonts w:hint="eastAsia"/>
          <w:lang w:eastAsia="zh-CN"/>
        </w:rPr>
      </w:pPr>
      <w:r>
        <w:rPr>
          <w:rFonts w:hint="eastAsia"/>
        </w:rPr>
        <w:t>本文件由江苏省林业局提出</w:t>
      </w:r>
      <w:r>
        <w:rPr>
          <w:rFonts w:hint="eastAsia"/>
          <w:lang w:eastAsia="zh-CN"/>
        </w:rPr>
        <w:t>。</w:t>
      </w:r>
    </w:p>
    <w:p>
      <w:pPr>
        <w:pStyle w:val="57"/>
        <w:ind w:firstLine="420"/>
      </w:pPr>
      <w:r>
        <w:rPr>
          <w:rFonts w:hint="eastAsia"/>
          <w:lang w:val="en-US" w:eastAsia="zh-CN"/>
        </w:rPr>
        <w:t>本文件由</w:t>
      </w:r>
      <w:r>
        <w:rPr>
          <w:rFonts w:hint="eastAsia"/>
        </w:rPr>
        <w:t>江苏省农产品质量安全标准化技术委员会归口。</w:t>
      </w:r>
    </w:p>
    <w:p>
      <w:pPr>
        <w:pStyle w:val="57"/>
        <w:ind w:firstLine="420"/>
      </w:pPr>
      <w:r>
        <w:rPr>
          <w:rFonts w:hint="eastAsia"/>
        </w:rPr>
        <w:t>本文件起草单位：南京林业大学、南京市产品质量监督检验院（南京市质量发展与先进技术应用研究院）、南京晓庄学院、淮安市淮安区农业技术推广中心、南京市江宁区农业农村局、淮安市洪泽区农业技术推广中心、淮安市洪泽区农业农村局、淮安市淮安区植保植检站。</w:t>
      </w:r>
    </w:p>
    <w:p>
      <w:pPr>
        <w:pStyle w:val="57"/>
        <w:ind w:firstLine="420"/>
      </w:pPr>
      <w:r>
        <w:rPr>
          <w:rFonts w:hint="eastAsia"/>
        </w:rPr>
        <w:t>本文件主要起草人：林海峰、杨青、朱南、王芳、高玉侠、王丹、崔光彩、葛冰洋、张建辉、夏丽华、边晋、张能静、李骏慧、周莹、张芮。</w:t>
      </w:r>
    </w:p>
    <w:p>
      <w:pPr>
        <w:pStyle w:val="57"/>
        <w:ind w:firstLine="420"/>
      </w:pPr>
    </w:p>
    <w:p>
      <w:pPr>
        <w:pStyle w:val="57"/>
        <w:ind w:firstLine="420"/>
        <w:sectPr>
          <w:pgSz w:w="11906" w:h="16838"/>
          <w:pgMar w:top="1928" w:right="1134" w:bottom="1134" w:left="1134" w:header="1418" w:footer="1134" w:gutter="284"/>
          <w:pgNumType w:fmt="upperRoman"/>
          <w:cols w:space="425" w:num="1"/>
          <w:formProt w:val="0"/>
          <w:docGrid w:type="lines" w:linePitch="312" w:charSpace="0"/>
        </w:sectPr>
      </w:pPr>
      <w:bookmarkStart w:id="75" w:name="_GoBack"/>
      <w:bookmarkEnd w:id="75"/>
    </w:p>
    <w:bookmarkEnd w:id="25"/>
    <w:p>
      <w:pPr>
        <w:spacing w:line="20" w:lineRule="exact"/>
        <w:jc w:val="center"/>
        <w:rPr>
          <w:rFonts w:ascii="黑体" w:hAnsi="黑体" w:eastAsia="黑体"/>
          <w:sz w:val="32"/>
          <w:szCs w:val="32"/>
        </w:rPr>
      </w:pPr>
      <w:bookmarkStart w:id="26" w:name="BookMark4"/>
    </w:p>
    <w:p>
      <w:pPr>
        <w:spacing w:line="20" w:lineRule="exact"/>
        <w:jc w:val="center"/>
        <w:rPr>
          <w:rFonts w:ascii="黑体" w:hAnsi="黑体" w:eastAsia="黑体"/>
          <w:sz w:val="32"/>
          <w:szCs w:val="32"/>
        </w:rPr>
      </w:pPr>
    </w:p>
    <w:sdt>
      <w:sdtPr>
        <w:tag w:val="NEW_STAND_NAME"/>
        <w:id w:val="595910757"/>
        <w:lock w:val="sdtLocked"/>
        <w:placeholder>
          <w:docPart w:val="0048839F283B431899392DC8B19E26AB"/>
        </w:placeholder>
      </w:sdtPr>
      <w:sdtContent>
        <w:p>
          <w:pPr>
            <w:pStyle w:val="178"/>
            <w:spacing w:before="3" w:beforeLines="1" w:after="3" w:afterLines="1"/>
          </w:pPr>
          <w:bookmarkStart w:id="27" w:name="NEW_STAND_NAME"/>
          <w:r>
            <w:rPr>
              <w:rFonts w:hint="eastAsia"/>
            </w:rPr>
            <w:t>农业生产经营主体质量安全信用等级</w:t>
          </w:r>
        </w:p>
        <w:p>
          <w:pPr>
            <w:pStyle w:val="178"/>
            <w:spacing w:before="3" w:beforeLines="1" w:after="680"/>
          </w:pPr>
          <w:r>
            <w:rPr>
              <w:rFonts w:hint="eastAsia"/>
            </w:rPr>
            <w:t>评价规范</w:t>
          </w:r>
        </w:p>
      </w:sdtContent>
    </w:sdt>
    <w:bookmarkEnd w:id="27"/>
    <w:p>
      <w:pPr>
        <w:pStyle w:val="105"/>
        <w:spacing w:before="312" w:after="312"/>
      </w:pPr>
      <w:bookmarkStart w:id="28" w:name="_Toc97191423"/>
      <w:bookmarkStart w:id="29" w:name="_Toc155722397"/>
      <w:bookmarkStart w:id="30" w:name="_Toc17233325"/>
      <w:bookmarkStart w:id="31" w:name="_Toc153963983"/>
      <w:bookmarkStart w:id="32" w:name="_Toc24884218"/>
      <w:bookmarkStart w:id="33" w:name="_Toc138674115"/>
      <w:bookmarkStart w:id="34" w:name="_Toc17233333"/>
      <w:bookmarkStart w:id="35" w:name="_Toc26718930"/>
      <w:bookmarkStart w:id="36" w:name="_Toc26648465"/>
      <w:bookmarkStart w:id="37" w:name="_Toc26986771"/>
      <w:bookmarkStart w:id="38" w:name="_Toc24884211"/>
      <w:bookmarkStart w:id="39" w:name="_Toc26986530"/>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pPr>
        <w:pStyle w:val="231"/>
      </w:pPr>
      <w:bookmarkStart w:id="40" w:name="_Toc17233334"/>
      <w:bookmarkStart w:id="41" w:name="_Toc24884219"/>
      <w:bookmarkStart w:id="42" w:name="_Toc26648466"/>
      <w:bookmarkStart w:id="43" w:name="_Toc17233326"/>
      <w:bookmarkStart w:id="44" w:name="_Toc24884212"/>
      <w:r>
        <w:rPr>
          <w:rFonts w:hint="eastAsia"/>
        </w:rPr>
        <w:t>本文件规定了农业生产经营主体质量安全信用等级的</w:t>
      </w:r>
      <w:r>
        <w:rPr>
          <w:rFonts w:hint="eastAsia"/>
          <w:color w:val="000000"/>
        </w:rPr>
        <w:t>评价原则、评价指标、等级评价和等级划分</w:t>
      </w:r>
      <w:r>
        <w:rPr>
          <w:rFonts w:hint="eastAsia"/>
        </w:rPr>
        <w:t>。</w:t>
      </w:r>
    </w:p>
    <w:p>
      <w:pPr>
        <w:pStyle w:val="57"/>
        <w:ind w:firstLine="420"/>
      </w:pPr>
      <w:r>
        <w:rPr>
          <w:rFonts w:hint="eastAsia"/>
        </w:rPr>
        <w:t>本文件适用于对农业生产经营主体开展质量安全信用等级评价。</w:t>
      </w:r>
    </w:p>
    <w:p>
      <w:pPr>
        <w:pStyle w:val="105"/>
        <w:spacing w:before="312" w:after="312"/>
      </w:pPr>
      <w:bookmarkStart w:id="45" w:name="_Toc138674116"/>
      <w:bookmarkStart w:id="46" w:name="_Toc26718931"/>
      <w:bookmarkStart w:id="47" w:name="_Toc153963984"/>
      <w:bookmarkStart w:id="48" w:name="_Toc155722398"/>
      <w:bookmarkStart w:id="49" w:name="_Toc26986531"/>
      <w:bookmarkStart w:id="50" w:name="_Toc97191424"/>
      <w:bookmarkStart w:id="51" w:name="_Toc26986772"/>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57C855F1DE5740689015BCF1EA58420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1"/>
        <w:rPr>
          <w:rFonts w:hAnsi="宋体" w:cs="宋体"/>
        </w:rPr>
      </w:pPr>
      <w:r>
        <w:rPr>
          <w:rFonts w:hint="eastAsia" w:hAnsi="宋体" w:cs="宋体"/>
        </w:rPr>
        <w:t>GB/T 19000  质量管理体系  基础和术语</w:t>
      </w:r>
    </w:p>
    <w:p>
      <w:pPr>
        <w:pStyle w:val="231"/>
        <w:rPr>
          <w:rFonts w:hAnsi="宋体" w:cs="宋体"/>
        </w:rPr>
      </w:pPr>
      <w:r>
        <w:rPr>
          <w:rFonts w:hint="eastAsia" w:hAnsi="宋体" w:cs="宋体"/>
        </w:rPr>
        <w:t>GB/T 22116  企业信用等级表示方法</w:t>
      </w:r>
    </w:p>
    <w:p>
      <w:pPr>
        <w:pStyle w:val="231"/>
        <w:rPr>
          <w:rFonts w:hAnsi="宋体" w:cs="宋体"/>
        </w:rPr>
      </w:pPr>
      <w:r>
        <w:rPr>
          <w:rFonts w:hint="eastAsia" w:hAnsi="宋体" w:cs="宋体"/>
        </w:rPr>
        <w:t>GB/T 22117  信用  基本术语</w:t>
      </w:r>
    </w:p>
    <w:p>
      <w:pPr>
        <w:pStyle w:val="231"/>
        <w:rPr>
          <w:rFonts w:hAnsi="宋体" w:cs="宋体"/>
        </w:rPr>
      </w:pPr>
      <w:r>
        <w:rPr>
          <w:rFonts w:hint="eastAsia" w:hAnsi="宋体" w:cs="宋体"/>
        </w:rPr>
        <w:t>GB/T 23791  企业质量信用等级划分通则</w:t>
      </w:r>
    </w:p>
    <w:p>
      <w:pPr>
        <w:pStyle w:val="231"/>
        <w:rPr>
          <w:rFonts w:hAnsi="宋体"/>
        </w:rPr>
      </w:pPr>
      <w:bookmarkStart w:id="52" w:name="_Toc138674117"/>
      <w:bookmarkStart w:id="53" w:name="_Toc153963985"/>
      <w:bookmarkStart w:id="54" w:name="_Toc155722399"/>
      <w:bookmarkStart w:id="55" w:name="_Toc97191425"/>
      <w:r>
        <w:rPr>
          <w:rFonts w:hint="eastAsia" w:hAnsi="宋体" w:cs="宋体"/>
        </w:rPr>
        <w:t>GB/T 24421.1—2023  服务业组织标准化工作指南  第1部分：总</w:t>
      </w:r>
      <w:r>
        <w:rPr>
          <w:rFonts w:hint="eastAsia" w:hAnsi="宋体"/>
        </w:rPr>
        <w:t>则</w:t>
      </w:r>
    </w:p>
    <w:p>
      <w:pPr>
        <w:pStyle w:val="105"/>
        <w:spacing w:before="312" w:after="312"/>
      </w:pPr>
      <w:r>
        <w:rPr>
          <w:rFonts w:hint="eastAsia"/>
          <w:szCs w:val="21"/>
        </w:rPr>
        <w:t>术语和定义</w:t>
      </w:r>
      <w:bookmarkEnd w:id="52"/>
      <w:bookmarkEnd w:id="53"/>
      <w:bookmarkEnd w:id="54"/>
      <w:bookmarkEnd w:id="55"/>
    </w:p>
    <w:sdt>
      <w:sdtPr>
        <w:rPr>
          <w:rFonts w:ascii="Times New Roman"/>
        </w:rPr>
        <w:id w:val="-1909835108"/>
        <w:placeholder>
          <w:docPart w:val="F0917641B8B44C9C9C5041EDCCE8BA6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57"/>
            <w:ind w:firstLine="420"/>
            <w:rPr>
              <w:rFonts w:ascii="Times New Roman"/>
            </w:rPr>
          </w:pPr>
          <w:bookmarkStart w:id="56" w:name="_Toc26986532"/>
          <w:bookmarkEnd w:id="56"/>
          <w:r>
            <w:rPr>
              <w:rFonts w:ascii="Times New Roman"/>
            </w:rPr>
            <w:t>GB/T 19000、GB/T 22116、GB/T 22117、GB/T 23791和GB/T 24421.1-2003界定的以及下列术语和定义适用于本文件。</w:t>
          </w:r>
        </w:p>
      </w:sdtContent>
    </w:sdt>
    <w:p>
      <w:pPr>
        <w:pStyle w:val="106"/>
        <w:spacing w:before="156" w:after="156"/>
        <w:ind w:left="0"/>
      </w:pPr>
    </w:p>
    <w:p>
      <w:pPr>
        <w:pStyle w:val="106"/>
        <w:numPr>
          <w:ilvl w:val="0"/>
          <w:numId w:val="0"/>
        </w:numPr>
        <w:spacing w:before="156" w:after="156"/>
        <w:ind w:left="425"/>
        <w:rPr>
          <w:rFonts w:ascii="Times New Roman"/>
        </w:rPr>
      </w:pPr>
      <w:r>
        <w:rPr>
          <w:rFonts w:hint="eastAsia"/>
        </w:rPr>
        <w:t xml:space="preserve">质量安全信用评价 </w:t>
      </w:r>
      <w:r>
        <w:rPr>
          <w:rFonts w:hint="eastAsia" w:hAnsi="黑体" w:cs="黑体"/>
        </w:rPr>
        <w:t>safety of quality credit assessment</w:t>
      </w:r>
    </w:p>
    <w:p>
      <w:pPr>
        <w:pStyle w:val="57"/>
        <w:ind w:firstLine="420"/>
      </w:pPr>
      <w:r>
        <w:rPr>
          <w:rFonts w:hint="eastAsia"/>
        </w:rPr>
        <w:t>以统计方法确定科学的指标体系和量化标准，对生产经营主体的质量安全信用程度进行客观公正的分析和判断，并运用明确的文字符号来标明等级的一种经济活动。</w:t>
      </w:r>
    </w:p>
    <w:p>
      <w:pPr>
        <w:pStyle w:val="106"/>
        <w:spacing w:before="156" w:after="156"/>
        <w:ind w:left="0"/>
      </w:pPr>
    </w:p>
    <w:p>
      <w:pPr>
        <w:pStyle w:val="106"/>
        <w:numPr>
          <w:ilvl w:val="0"/>
          <w:numId w:val="0"/>
        </w:numPr>
        <w:spacing w:before="156" w:after="156"/>
        <w:ind w:left="425"/>
      </w:pPr>
      <w:r>
        <w:rPr>
          <w:rFonts w:hint="eastAsia"/>
        </w:rPr>
        <w:t xml:space="preserve">农业生产经营主体 </w:t>
      </w:r>
      <w:r>
        <w:t xml:space="preserve"> </w:t>
      </w:r>
      <w:r>
        <w:rPr>
          <w:rFonts w:hint="eastAsia" w:hAnsi="黑体" w:cs="黑体"/>
        </w:rPr>
        <w:t>agricultural production and operation entity</w:t>
      </w:r>
    </w:p>
    <w:p>
      <w:pPr>
        <w:pStyle w:val="57"/>
        <w:ind w:firstLine="420"/>
      </w:pPr>
      <w:r>
        <w:rPr>
          <w:rFonts w:hint="eastAsia"/>
        </w:rPr>
        <w:t>依法登记注册或备案，从事种植业、畜牧业和渔业等食用农产品生产、经营以及其他与农产品质量安全相关活动的组织和个人。</w:t>
      </w:r>
    </w:p>
    <w:p>
      <w:pPr>
        <w:pStyle w:val="106"/>
        <w:spacing w:before="156" w:after="156"/>
        <w:ind w:left="0"/>
      </w:pPr>
    </w:p>
    <w:p>
      <w:pPr>
        <w:pStyle w:val="106"/>
        <w:numPr>
          <w:ilvl w:val="0"/>
          <w:numId w:val="0"/>
        </w:numPr>
        <w:spacing w:before="156" w:after="156"/>
        <w:ind w:left="425"/>
      </w:pPr>
      <w:r>
        <w:rPr>
          <w:rFonts w:hint="eastAsia"/>
        </w:rPr>
        <w:t xml:space="preserve">农业生产经营主体质量安全信用 </w:t>
      </w:r>
      <w:r>
        <w:rPr>
          <w:rFonts w:hint="eastAsia" w:hAnsi="黑体" w:cs="黑体"/>
        </w:rPr>
        <w:t>quality and safety credit rating of agricultural production and operation entity</w:t>
      </w:r>
    </w:p>
    <w:p>
      <w:pPr>
        <w:pStyle w:val="231"/>
        <w:rPr>
          <w:rFonts w:hAnsi="宋体"/>
        </w:rPr>
      </w:pPr>
      <w:r>
        <w:rPr>
          <w:rFonts w:hint="eastAsia"/>
        </w:rPr>
        <w:t>农业生产经营主体</w:t>
      </w:r>
      <w:r>
        <w:rPr>
          <w:rFonts w:hint="eastAsia" w:hAnsi="宋体"/>
        </w:rPr>
        <w:t>取得并保持对其质量安全信任的能力。</w:t>
      </w:r>
    </w:p>
    <w:p>
      <w:pPr>
        <w:pStyle w:val="233"/>
      </w:pPr>
      <w:r>
        <w:rPr>
          <w:rFonts w:hint="eastAsia"/>
        </w:rPr>
        <w:t>这种能力由农业生产经营主体在遵守相关法律法规和规章、执行标准以及兑现质量安全承诺（或履行质量安全约定）的基础上，在生命周期内满足顾客的需求和期望来实现。</w:t>
      </w:r>
    </w:p>
    <w:p>
      <w:pPr>
        <w:pStyle w:val="105"/>
        <w:spacing w:before="312" w:after="312"/>
      </w:pPr>
      <w:bookmarkStart w:id="57" w:name="_Toc153963986"/>
      <w:bookmarkStart w:id="58" w:name="_Toc138674118"/>
      <w:bookmarkStart w:id="59" w:name="_Toc155722400"/>
      <w:r>
        <w:rPr>
          <w:rFonts w:hint="eastAsia"/>
        </w:rPr>
        <w:t>评价原则</w:t>
      </w:r>
      <w:bookmarkEnd w:id="57"/>
      <w:bookmarkEnd w:id="58"/>
      <w:bookmarkEnd w:id="59"/>
    </w:p>
    <w:p>
      <w:pPr>
        <w:pStyle w:val="106"/>
        <w:spacing w:before="156" w:after="156"/>
        <w:ind w:left="0"/>
      </w:pPr>
      <w:r>
        <w:rPr>
          <w:rFonts w:hint="eastAsia"/>
        </w:rPr>
        <w:t>农业生产经营主体质量安全信用等级分类</w:t>
      </w:r>
    </w:p>
    <w:p>
      <w:pPr>
        <w:pStyle w:val="231"/>
      </w:pPr>
      <w:r>
        <w:rPr>
          <w:rFonts w:hint="eastAsia"/>
        </w:rPr>
        <w:t>农业生产经营主体质量安全信用等级从高到低分为A、B、C、D四个等级。</w:t>
      </w:r>
    </w:p>
    <w:p>
      <w:pPr>
        <w:pStyle w:val="106"/>
        <w:spacing w:before="156" w:after="156"/>
        <w:ind w:left="0"/>
      </w:pPr>
      <w:r>
        <w:rPr>
          <w:rFonts w:hint="eastAsia"/>
        </w:rPr>
        <w:t>农业生产经营主体质量安全信用等级划分依据</w:t>
      </w:r>
    </w:p>
    <w:p>
      <w:pPr>
        <w:pStyle w:val="231"/>
      </w:pPr>
      <w:r>
        <w:rPr>
          <w:rFonts w:hint="eastAsia"/>
        </w:rPr>
        <w:t>农业生产经营主体质量安全信用等级的划分应依据3年内农业生产经营主体在质量安全信用方面的表现来确定，包括农业生产经营主体质量安全信用意愿、质量安全提供能力、质量安全保障能力的表现结果等方面。</w:t>
      </w:r>
    </w:p>
    <w:p>
      <w:pPr>
        <w:pStyle w:val="105"/>
        <w:spacing w:before="312" w:after="312"/>
      </w:pPr>
      <w:bookmarkStart w:id="60" w:name="_Toc155722401"/>
      <w:bookmarkStart w:id="61" w:name="_Toc153963987"/>
      <w:bookmarkStart w:id="62" w:name="_Toc138674119"/>
      <w:r>
        <w:rPr>
          <w:rFonts w:hint="eastAsia"/>
        </w:rPr>
        <w:t>评价指标</w:t>
      </w:r>
      <w:bookmarkEnd w:id="60"/>
      <w:bookmarkEnd w:id="61"/>
      <w:bookmarkEnd w:id="62"/>
    </w:p>
    <w:p>
      <w:pPr>
        <w:pStyle w:val="57"/>
        <w:ind w:firstLine="420"/>
      </w:pPr>
      <w:r>
        <w:rPr>
          <w:rFonts w:hint="eastAsia"/>
        </w:rPr>
        <w:t>农业生产主体质量安全信用评价指标共包含6个一级指标和2</w:t>
      </w:r>
      <w:r>
        <w:t>7</w:t>
      </w:r>
      <w:r>
        <w:rPr>
          <w:rFonts w:hint="eastAsia"/>
        </w:rPr>
        <w:t>个二级指标,具体内容见表1。</w:t>
      </w:r>
    </w:p>
    <w:p>
      <w:pPr>
        <w:pStyle w:val="113"/>
        <w:spacing w:before="156" w:after="156"/>
      </w:pPr>
      <w:r>
        <w:rPr>
          <w:rFonts w:hint="eastAsia"/>
        </w:rPr>
        <w:t>农业生产经营主体质量安全信用评价指标</w:t>
      </w:r>
    </w:p>
    <w:tbl>
      <w:tblPr>
        <w:tblStyle w:val="28"/>
        <w:tblW w:w="506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3109"/>
        <w:gridCol w:w="63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0" w:hRule="atLeast"/>
          <w:tblHeader/>
          <w:jc w:val="center"/>
        </w:trPr>
        <w:tc>
          <w:tcPr>
            <w:tcW w:w="1637" w:type="pct"/>
            <w:shd w:val="clear" w:color="auto" w:fill="auto"/>
            <w:vAlign w:val="center"/>
          </w:tcPr>
          <w:p>
            <w:pPr>
              <w:pStyle w:val="179"/>
            </w:pPr>
            <w:r>
              <w:rPr>
                <w:rFonts w:hint="eastAsia"/>
              </w:rPr>
              <w:t>一级指标</w:t>
            </w:r>
          </w:p>
        </w:tc>
        <w:tc>
          <w:tcPr>
            <w:tcW w:w="3363" w:type="pct"/>
            <w:vAlign w:val="center"/>
          </w:tcPr>
          <w:p>
            <w:pPr>
              <w:pStyle w:val="179"/>
            </w:pPr>
            <w:r>
              <w:rPr>
                <w:rFonts w:hint="eastAsia"/>
              </w:rPr>
              <w:t>二级指标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restart"/>
            <w:shd w:val="clear" w:color="auto" w:fill="auto"/>
            <w:vAlign w:val="center"/>
          </w:tcPr>
          <w:p>
            <w:pPr>
              <w:pStyle w:val="179"/>
            </w:pPr>
            <w:r>
              <w:rPr>
                <w:rFonts w:hint="eastAsia"/>
              </w:rPr>
              <w:t>基本素质</w:t>
            </w:r>
          </w:p>
        </w:tc>
        <w:tc>
          <w:tcPr>
            <w:tcW w:w="3363" w:type="pct"/>
            <w:vAlign w:val="center"/>
          </w:tcPr>
          <w:p>
            <w:pPr>
              <w:pStyle w:val="179"/>
            </w:pPr>
            <w:r>
              <w:rPr>
                <w:rFonts w:hint="eastAsia"/>
              </w:rPr>
              <w:t>营业收入/万元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注册信息（注册和登记信息等情况）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文化建设（质量安全宣传及培训等情况）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制度建设（质量安全内控制度等情况）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restart"/>
            <w:shd w:val="clear" w:color="auto" w:fill="auto"/>
            <w:vAlign w:val="center"/>
          </w:tcPr>
          <w:p>
            <w:pPr>
              <w:pStyle w:val="179"/>
            </w:pPr>
            <w:r>
              <w:rPr>
                <w:rFonts w:hint="eastAsia"/>
              </w:rPr>
              <w:t>财务状况</w:t>
            </w:r>
          </w:p>
        </w:tc>
        <w:tc>
          <w:tcPr>
            <w:tcW w:w="3363" w:type="pct"/>
            <w:vAlign w:val="center"/>
          </w:tcPr>
          <w:p>
            <w:pPr>
              <w:pStyle w:val="179"/>
            </w:pPr>
            <w:r>
              <w:rPr>
                <w:rFonts w:hint="eastAsia"/>
              </w:rPr>
              <w:t>资产负债率（%）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营业收入增长率（%）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总资产周转率（%）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应收账款周转率（次）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rPr>
                <w:b/>
                <w:bCs/>
              </w:rPr>
            </w:pPr>
            <w:r>
              <w:rPr>
                <w:rFonts w:hint="eastAsia"/>
              </w:rPr>
              <w:t>净资产收益率（%）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销售（营业）利润率（%）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总资产报酬率（%）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存货周转率（%）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restart"/>
            <w:shd w:val="clear" w:color="auto" w:fill="auto"/>
            <w:vAlign w:val="center"/>
          </w:tcPr>
          <w:p>
            <w:pPr>
              <w:pStyle w:val="179"/>
            </w:pPr>
            <w:r>
              <w:rPr>
                <w:rFonts w:hint="eastAsia"/>
              </w:rPr>
              <w:t>信誉记录</w:t>
            </w:r>
          </w:p>
        </w:tc>
        <w:tc>
          <w:tcPr>
            <w:tcW w:w="3363" w:type="pct"/>
            <w:vAlign w:val="center"/>
          </w:tcPr>
          <w:p>
            <w:pPr>
              <w:pStyle w:val="179"/>
            </w:pPr>
            <w:r>
              <w:rPr>
                <w:rFonts w:hint="eastAsia"/>
              </w:rPr>
              <w:t>年内不合格次数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被举报次数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2年内的历史违约次数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年度内所受奖励与惩罚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restart"/>
            <w:shd w:val="clear" w:color="auto" w:fill="auto"/>
            <w:vAlign w:val="center"/>
          </w:tcPr>
          <w:p>
            <w:pPr>
              <w:pStyle w:val="179"/>
            </w:pPr>
            <w:r>
              <w:rPr>
                <w:rFonts w:hint="eastAsia"/>
              </w:rPr>
              <w:t>质量控制水平</w:t>
            </w:r>
          </w:p>
        </w:tc>
        <w:tc>
          <w:tcPr>
            <w:tcW w:w="3363" w:type="pct"/>
            <w:vAlign w:val="center"/>
          </w:tcPr>
          <w:p>
            <w:pPr>
              <w:pStyle w:val="179"/>
            </w:pPr>
            <w:r>
              <w:rPr>
                <w:rFonts w:hint="eastAsia"/>
              </w:rPr>
              <w:t>自检情况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原料控制能力强弱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生产销售记录是否真实完整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有无相关认证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产品生产可追溯程度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restart"/>
            <w:shd w:val="clear" w:color="auto" w:fill="auto"/>
            <w:vAlign w:val="center"/>
          </w:tcPr>
          <w:p>
            <w:pPr>
              <w:pStyle w:val="179"/>
            </w:pPr>
            <w:r>
              <w:rPr>
                <w:rFonts w:hint="eastAsia"/>
              </w:rPr>
              <w:t>投入品管理</w:t>
            </w:r>
          </w:p>
        </w:tc>
        <w:tc>
          <w:tcPr>
            <w:tcW w:w="3363" w:type="pct"/>
            <w:vAlign w:val="center"/>
          </w:tcPr>
          <w:p>
            <w:pPr>
              <w:pStyle w:val="179"/>
            </w:pPr>
            <w:r>
              <w:rPr>
                <w:rFonts w:hint="eastAsia"/>
              </w:rPr>
              <w:t>连续2年购买投入品索证索票并保存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连续2年投入品使用记录真实完整并保存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1637" w:type="pct"/>
            <w:vMerge w:val="restart"/>
            <w:shd w:val="clear" w:color="auto" w:fill="auto"/>
            <w:vAlign w:val="center"/>
          </w:tcPr>
          <w:p>
            <w:pPr>
              <w:pStyle w:val="179"/>
            </w:pPr>
            <w:r>
              <w:rPr>
                <w:rFonts w:hint="eastAsia"/>
              </w:rPr>
              <w:t>产业经济环境</w:t>
            </w:r>
          </w:p>
        </w:tc>
        <w:tc>
          <w:tcPr>
            <w:tcW w:w="3363" w:type="pct"/>
            <w:vAlign w:val="center"/>
          </w:tcPr>
          <w:p>
            <w:pPr>
              <w:pStyle w:val="179"/>
            </w:pPr>
            <w:r>
              <w:rPr>
                <w:rFonts w:hint="eastAsia"/>
              </w:rPr>
              <w:t>产业政策（生产经营符合当地农业政策）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税收政策（执行国家税收政策情况）</w:t>
            </w:r>
          </w:p>
        </w:tc>
      </w:tr>
    </w:tbl>
    <w:p>
      <w:pPr>
        <w:pStyle w:val="113"/>
        <w:numPr>
          <w:ilvl w:val="0"/>
          <w:numId w:val="0"/>
        </w:numPr>
        <w:spacing w:before="156" w:after="156"/>
      </w:pPr>
      <w:bookmarkStart w:id="63" w:name="_Toc138674120"/>
      <w:bookmarkStart w:id="64" w:name="_Toc153963988"/>
      <w:bookmarkStart w:id="65" w:name="_Toc406072210"/>
      <w:bookmarkStart w:id="66" w:name="_Toc155722402"/>
      <w:r>
        <w:rPr>
          <w:rFonts w:hint="eastAsia"/>
        </w:rPr>
        <w:t>表1</w:t>
      </w:r>
      <w:r>
        <w:t xml:space="preserve">  </w:t>
      </w:r>
      <w:r>
        <w:rPr>
          <w:rFonts w:hint="eastAsia"/>
        </w:rPr>
        <w:t>农业生产经营主体质量安全信用评价指标（续）</w:t>
      </w:r>
    </w:p>
    <w:tbl>
      <w:tblPr>
        <w:tblStyle w:val="28"/>
        <w:tblW w:w="506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3109"/>
        <w:gridCol w:w="63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637" w:type="pct"/>
            <w:shd w:val="clear" w:color="auto" w:fill="auto"/>
            <w:vAlign w:val="center"/>
          </w:tcPr>
          <w:p>
            <w:pPr>
              <w:pStyle w:val="179"/>
            </w:pPr>
            <w:r>
              <w:rPr>
                <w:rFonts w:hint="eastAsia"/>
              </w:rPr>
              <w:t>一级指标</w:t>
            </w:r>
          </w:p>
        </w:tc>
        <w:tc>
          <w:tcPr>
            <w:tcW w:w="3363" w:type="pct"/>
            <w:vAlign w:val="center"/>
          </w:tcPr>
          <w:p>
            <w:pPr>
              <w:pStyle w:val="179"/>
            </w:pPr>
            <w:r>
              <w:rPr>
                <w:rFonts w:hint="eastAsia"/>
              </w:rPr>
              <w:t>二级指标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637" w:type="pct"/>
            <w:vMerge w:val="restart"/>
            <w:shd w:val="clear" w:color="auto" w:fill="auto"/>
            <w:vAlign w:val="center"/>
          </w:tcPr>
          <w:p>
            <w:pPr>
              <w:pStyle w:val="179"/>
            </w:pPr>
            <w:r>
              <w:rPr>
                <w:rFonts w:hint="eastAsia"/>
              </w:rPr>
              <w:t>产业经济环境</w:t>
            </w:r>
          </w:p>
        </w:tc>
        <w:tc>
          <w:tcPr>
            <w:tcW w:w="3363" w:type="pct"/>
            <w:vAlign w:val="center"/>
          </w:tcPr>
          <w:p>
            <w:pPr>
              <w:pStyle w:val="179"/>
            </w:pPr>
            <w:r>
              <w:rPr>
                <w:rFonts w:hint="eastAsia"/>
              </w:rPr>
              <w:t>各项惠农政策（按国家规定申请惠农项目支持）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637" w:type="pct"/>
            <w:vMerge w:val="continue"/>
            <w:shd w:val="clear" w:color="auto" w:fill="auto"/>
            <w:vAlign w:val="center"/>
          </w:tcPr>
          <w:p>
            <w:pPr>
              <w:pStyle w:val="179"/>
            </w:pPr>
          </w:p>
        </w:tc>
        <w:tc>
          <w:tcPr>
            <w:tcW w:w="3363" w:type="pct"/>
            <w:vAlign w:val="center"/>
          </w:tcPr>
          <w:p>
            <w:pPr>
              <w:pStyle w:val="179"/>
            </w:pPr>
            <w:r>
              <w:rPr>
                <w:rFonts w:hint="eastAsia"/>
              </w:rPr>
              <w:t>发展是否受到政府支持</w:t>
            </w:r>
          </w:p>
        </w:tc>
      </w:tr>
    </w:tbl>
    <w:p>
      <w:pPr>
        <w:pStyle w:val="57"/>
        <w:ind w:firstLine="420"/>
      </w:pPr>
    </w:p>
    <w:p>
      <w:pPr>
        <w:pStyle w:val="105"/>
        <w:spacing w:before="312" w:after="312"/>
      </w:pPr>
      <w:r>
        <w:rPr>
          <w:rFonts w:hint="eastAsia"/>
        </w:rPr>
        <w:t>等级</w:t>
      </w:r>
      <w:bookmarkEnd w:id="63"/>
      <w:bookmarkEnd w:id="64"/>
      <w:bookmarkEnd w:id="65"/>
      <w:r>
        <w:rPr>
          <w:rFonts w:hint="eastAsia"/>
        </w:rPr>
        <w:t>评分</w:t>
      </w:r>
      <w:bookmarkEnd w:id="66"/>
    </w:p>
    <w:p>
      <w:pPr>
        <w:pStyle w:val="231"/>
      </w:pPr>
      <w:r>
        <w:rPr>
          <w:rFonts w:hint="eastAsia"/>
        </w:rPr>
        <w:t>农业生产经营主体质量安全信用评价指标的分值应符合附录A中表</w:t>
      </w:r>
      <w:r>
        <w:t>A.1</w:t>
      </w:r>
      <w:r>
        <w:rPr>
          <w:rFonts w:hint="eastAsia"/>
        </w:rPr>
        <w:t>的要求；农业生产经营主体质量安全信用等级评分应符合附录A中表</w:t>
      </w:r>
      <w:r>
        <w:t>A</w:t>
      </w:r>
      <w:r>
        <w:rPr>
          <w:rFonts w:hint="eastAsia"/>
        </w:rPr>
        <w:t>.</w:t>
      </w:r>
      <w:r>
        <w:t>2</w:t>
      </w:r>
      <w:r>
        <w:rPr>
          <w:rFonts w:hint="eastAsia"/>
        </w:rPr>
        <w:t>的要求。</w:t>
      </w:r>
    </w:p>
    <w:p>
      <w:pPr>
        <w:pStyle w:val="105"/>
        <w:spacing w:before="312" w:after="312"/>
      </w:pPr>
      <w:bookmarkStart w:id="67" w:name="_Toc406072211"/>
      <w:bookmarkStart w:id="68" w:name="_Toc155722403"/>
      <w:bookmarkStart w:id="69" w:name="_Toc138674121"/>
      <w:bookmarkStart w:id="70" w:name="_Toc153963989"/>
      <w:r>
        <w:rPr>
          <w:rFonts w:hint="eastAsia"/>
        </w:rPr>
        <w:t>等级划分</w:t>
      </w:r>
      <w:bookmarkEnd w:id="67"/>
      <w:bookmarkEnd w:id="68"/>
      <w:bookmarkEnd w:id="69"/>
      <w:bookmarkEnd w:id="70"/>
    </w:p>
    <w:p>
      <w:pPr>
        <w:pStyle w:val="106"/>
        <w:spacing w:before="156" w:after="156"/>
        <w:ind w:left="0"/>
      </w:pPr>
      <w:r>
        <w:rPr>
          <w:rFonts w:hint="eastAsia"/>
        </w:rPr>
        <w:t>基本等级的划分</w:t>
      </w:r>
    </w:p>
    <w:p>
      <w:pPr>
        <w:pStyle w:val="231"/>
      </w:pPr>
      <w:r>
        <w:rPr>
          <w:rFonts w:hint="eastAsia"/>
        </w:rPr>
        <w:t>根据质量安全信用等级评价指标的评分结果，确定农业生产经营主体A、B、C、D四个等级划分，其中：</w:t>
      </w:r>
    </w:p>
    <w:p>
      <w:pPr>
        <w:pStyle w:val="175"/>
        <w:numPr>
          <w:ilvl w:val="0"/>
          <w:numId w:val="35"/>
        </w:numPr>
      </w:pPr>
      <w:r>
        <w:rPr>
          <w:rFonts w:hint="eastAsia"/>
        </w:rPr>
        <w:t>A：</w:t>
      </w:r>
      <w:r>
        <w:t>90</w:t>
      </w:r>
      <w:r>
        <w:rPr>
          <w:rFonts w:hint="eastAsia"/>
        </w:rPr>
        <w:t>分（含</w:t>
      </w:r>
      <w:r>
        <w:t>90</w:t>
      </w:r>
      <w:r>
        <w:rPr>
          <w:rFonts w:hint="eastAsia"/>
        </w:rPr>
        <w:t>分）至100分；</w:t>
      </w:r>
    </w:p>
    <w:p>
      <w:pPr>
        <w:pStyle w:val="175"/>
      </w:pPr>
      <w:r>
        <w:rPr>
          <w:rFonts w:hint="eastAsia"/>
        </w:rPr>
        <w:t>B：</w:t>
      </w:r>
      <w:r>
        <w:t>75</w:t>
      </w:r>
      <w:r>
        <w:rPr>
          <w:rFonts w:hint="eastAsia"/>
        </w:rPr>
        <w:t>分（含7</w:t>
      </w:r>
      <w:r>
        <w:t>5</w:t>
      </w:r>
      <w:r>
        <w:rPr>
          <w:rFonts w:hint="eastAsia"/>
        </w:rPr>
        <w:t>分）至</w:t>
      </w:r>
      <w:r>
        <w:t>90</w:t>
      </w:r>
      <w:r>
        <w:rPr>
          <w:rFonts w:hint="eastAsia"/>
        </w:rPr>
        <w:t>分；</w:t>
      </w:r>
    </w:p>
    <w:p>
      <w:pPr>
        <w:pStyle w:val="175"/>
      </w:pPr>
      <w:r>
        <w:rPr>
          <w:rFonts w:hint="eastAsia"/>
        </w:rPr>
        <w:t>C：</w:t>
      </w:r>
      <w:r>
        <w:t>60</w:t>
      </w:r>
      <w:r>
        <w:rPr>
          <w:rFonts w:hint="eastAsia"/>
        </w:rPr>
        <w:t>分（含</w:t>
      </w:r>
      <w:r>
        <w:t>60</w:t>
      </w:r>
      <w:r>
        <w:rPr>
          <w:rFonts w:hint="eastAsia"/>
        </w:rPr>
        <w:t>分）至</w:t>
      </w:r>
      <w:r>
        <w:t>75</w:t>
      </w:r>
      <w:r>
        <w:rPr>
          <w:rFonts w:hint="eastAsia"/>
        </w:rPr>
        <w:t>分；</w:t>
      </w:r>
    </w:p>
    <w:p>
      <w:pPr>
        <w:pStyle w:val="175"/>
      </w:pPr>
      <w:r>
        <w:rPr>
          <w:rFonts w:hint="eastAsia"/>
        </w:rPr>
        <w:t>D：</w:t>
      </w:r>
      <w:r>
        <w:t>60</w:t>
      </w:r>
      <w:r>
        <w:rPr>
          <w:rFonts w:hint="eastAsia"/>
        </w:rPr>
        <w:t>分以下。</w:t>
      </w:r>
    </w:p>
    <w:p>
      <w:pPr>
        <w:pStyle w:val="106"/>
        <w:spacing w:before="156" w:after="156"/>
        <w:ind w:left="0"/>
      </w:pPr>
      <w:r>
        <w:rPr>
          <w:rFonts w:hint="eastAsia"/>
        </w:rPr>
        <w:t>D等的特殊划分规定</w:t>
      </w:r>
    </w:p>
    <w:p>
      <w:pPr>
        <w:pStyle w:val="231"/>
      </w:pPr>
      <w:r>
        <w:rPr>
          <w:rFonts w:hint="eastAsia"/>
        </w:rPr>
        <w:t>当农业生产经营主体发生下列行为之一时，可划分为D等：</w:t>
      </w:r>
    </w:p>
    <w:p>
      <w:pPr>
        <w:pStyle w:val="175"/>
        <w:numPr>
          <w:ilvl w:val="0"/>
          <w:numId w:val="36"/>
        </w:numPr>
      </w:pPr>
      <w:r>
        <w:rPr>
          <w:rFonts w:hint="eastAsia"/>
        </w:rPr>
        <w:t>在3年内有严重违法、违规行为，导致被有关部门撤销相关行政许可、取消资质、吊销/撤销营业执照或移送司法机关；</w:t>
      </w:r>
    </w:p>
    <w:p>
      <w:pPr>
        <w:pStyle w:val="175"/>
      </w:pPr>
      <w:r>
        <w:rPr>
          <w:rFonts w:hint="eastAsia"/>
        </w:rPr>
        <w:t>在3年内发生重大质量安全事故或连续发生质量事故，给社会（或）顾客造成重大人身危害或经济损失；</w:t>
      </w:r>
    </w:p>
    <w:p>
      <w:pPr>
        <w:pStyle w:val="175"/>
      </w:pPr>
      <w:r>
        <w:rPr>
          <w:rFonts w:hint="eastAsia"/>
        </w:rPr>
        <w:t>具有其他严重违法违规情节的。</w:t>
      </w:r>
    </w:p>
    <w:p>
      <w:pPr>
        <w:pStyle w:val="57"/>
        <w:ind w:firstLine="420"/>
      </w:pPr>
    </w:p>
    <w:p>
      <w:pPr>
        <w:pStyle w:val="57"/>
        <w:ind w:firstLine="420"/>
      </w:pPr>
    </w:p>
    <w:p>
      <w:pPr>
        <w:pStyle w:val="57"/>
        <w:ind w:firstLine="420"/>
      </w:pPr>
    </w:p>
    <w:p>
      <w:pPr>
        <w:pStyle w:val="57"/>
        <w:ind w:firstLine="420"/>
        <w:sectPr>
          <w:pgSz w:w="11906" w:h="16838"/>
          <w:pgMar w:top="1928" w:right="1134" w:bottom="1134" w:left="1134" w:header="1418" w:footer="1134" w:gutter="284"/>
          <w:pgNumType w:start="1"/>
          <w:cols w:space="425" w:num="1"/>
          <w:formProt w:val="0"/>
          <w:docGrid w:type="lines" w:linePitch="312" w:charSpace="0"/>
        </w:sectPr>
      </w:pPr>
    </w:p>
    <w:bookmarkEnd w:id="26"/>
    <w:p>
      <w:pPr>
        <w:pStyle w:val="199"/>
      </w:pPr>
      <w:bookmarkStart w:id="71" w:name="BookMark5"/>
    </w:p>
    <w:p>
      <w:pPr>
        <w:pStyle w:val="200"/>
      </w:pPr>
    </w:p>
    <w:p>
      <w:pPr>
        <w:pStyle w:val="77"/>
        <w:spacing w:after="156"/>
        <w:rPr>
          <w:kern w:val="21"/>
        </w:rPr>
      </w:pPr>
      <w:r>
        <w:br w:type="textWrapping"/>
      </w:r>
      <w:bookmarkStart w:id="72" w:name="_Toc155722404"/>
      <w:r>
        <w:rPr>
          <w:rFonts w:hint="eastAsia"/>
        </w:rPr>
        <w:t>（规范性）</w:t>
      </w:r>
      <w:r>
        <w:br w:type="textWrapping"/>
      </w:r>
      <w:r>
        <w:rPr>
          <w:rFonts w:hint="eastAsia"/>
        </w:rPr>
        <w:t>农业生产经营主体质量安全信用等级评分</w:t>
      </w:r>
      <w:bookmarkEnd w:id="72"/>
    </w:p>
    <w:p>
      <w:pPr>
        <w:pStyle w:val="79"/>
        <w:spacing w:before="156" w:after="156"/>
      </w:pPr>
      <w:r>
        <w:rPr>
          <w:rFonts w:hint="eastAsia"/>
        </w:rPr>
        <w:t>评价指标的赋分表</w:t>
      </w:r>
    </w:p>
    <w:p>
      <w:pPr>
        <w:pStyle w:val="57"/>
        <w:ind w:firstLine="420"/>
      </w:pPr>
      <w:r>
        <w:rPr>
          <w:rFonts w:hint="eastAsia"/>
        </w:rPr>
        <w:t>农业生产经营主体质量安全信用评价指标的分值应符合表</w:t>
      </w:r>
      <w:r>
        <w:t>A.1</w:t>
      </w:r>
      <w:r>
        <w:rPr>
          <w:rFonts w:hint="eastAsia"/>
        </w:rPr>
        <w:t>的要求。</w:t>
      </w:r>
    </w:p>
    <w:p>
      <w:pPr>
        <w:pStyle w:val="78"/>
        <w:spacing w:before="156" w:after="156"/>
        <w:ind w:left="0"/>
      </w:pPr>
      <w:r>
        <w:rPr>
          <w:rFonts w:hint="eastAsia"/>
        </w:rPr>
        <w:t>农业生产经营主体质量安全信用评价指标的赋分表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1276"/>
        <w:gridCol w:w="4252"/>
        <w:gridCol w:w="18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12" w:space="0"/>
              <w:left w:val="single" w:color="auto" w:sz="12" w:space="0"/>
              <w:bottom w:val="single" w:color="auto" w:sz="8" w:space="0"/>
            </w:tcBorders>
            <w:shd w:val="clear" w:color="auto" w:fill="auto"/>
            <w:vAlign w:val="center"/>
          </w:tcPr>
          <w:p>
            <w:pPr>
              <w:pStyle w:val="179"/>
              <w:rPr>
                <w:rFonts w:hAnsi="宋体" w:cs="宋体"/>
              </w:rPr>
            </w:pPr>
            <w:bookmarkStart w:id="73" w:name="_Hlk155690456"/>
            <w:r>
              <w:rPr>
                <w:rFonts w:hint="eastAsia" w:hAnsi="宋体" w:cs="宋体"/>
              </w:rPr>
              <w:t>一级指标</w:t>
            </w:r>
          </w:p>
        </w:tc>
        <w:tc>
          <w:tcPr>
            <w:tcW w:w="1276" w:type="dxa"/>
            <w:tcBorders>
              <w:top w:val="single" w:color="auto" w:sz="12" w:space="0"/>
              <w:bottom w:val="single" w:color="auto" w:sz="8" w:space="0"/>
            </w:tcBorders>
            <w:shd w:val="clear" w:color="auto" w:fill="auto"/>
            <w:vAlign w:val="center"/>
          </w:tcPr>
          <w:p>
            <w:pPr>
              <w:pStyle w:val="179"/>
              <w:rPr>
                <w:rFonts w:hAnsi="宋体" w:cs="宋体"/>
              </w:rPr>
            </w:pPr>
            <w:r>
              <w:rPr>
                <w:rFonts w:hint="eastAsia" w:hAnsi="宋体" w:cs="宋体"/>
              </w:rPr>
              <w:t>指标分值</w:t>
            </w:r>
          </w:p>
        </w:tc>
        <w:tc>
          <w:tcPr>
            <w:tcW w:w="4252" w:type="dxa"/>
            <w:tcBorders>
              <w:top w:val="single" w:color="auto" w:sz="12" w:space="0"/>
              <w:bottom w:val="single" w:color="auto" w:sz="8" w:space="0"/>
            </w:tcBorders>
            <w:shd w:val="clear" w:color="auto" w:fill="auto"/>
            <w:vAlign w:val="center"/>
          </w:tcPr>
          <w:p>
            <w:pPr>
              <w:pStyle w:val="179"/>
              <w:rPr>
                <w:rFonts w:hAnsi="宋体" w:cs="宋体"/>
              </w:rPr>
            </w:pPr>
            <w:r>
              <w:rPr>
                <w:rFonts w:hint="eastAsia" w:hAnsi="宋体" w:cs="宋体"/>
              </w:rPr>
              <w:t>二级指标</w:t>
            </w:r>
          </w:p>
        </w:tc>
        <w:tc>
          <w:tcPr>
            <w:tcW w:w="1831" w:type="dxa"/>
            <w:tcBorders>
              <w:top w:val="single" w:color="auto" w:sz="12" w:space="0"/>
              <w:bottom w:val="single" w:color="auto" w:sz="8" w:space="0"/>
              <w:right w:val="single" w:color="auto" w:sz="12" w:space="0"/>
            </w:tcBorders>
            <w:shd w:val="clear" w:color="auto" w:fill="auto"/>
            <w:vAlign w:val="center"/>
          </w:tcPr>
          <w:p>
            <w:pPr>
              <w:pStyle w:val="179"/>
              <w:rPr>
                <w:rFonts w:hAnsi="宋体" w:cs="宋体"/>
              </w:rPr>
            </w:pPr>
            <w:r>
              <w:rPr>
                <w:rFonts w:hint="eastAsia" w:hAnsi="宋体" w:cs="宋体"/>
              </w:rPr>
              <w:t>指标分值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tcBorders>
              <w:top w:val="single" w:color="auto" w:sz="8" w:space="0"/>
              <w:left w:val="single" w:color="auto" w:sz="12" w:space="0"/>
            </w:tcBorders>
            <w:shd w:val="clear" w:color="auto" w:fill="auto"/>
            <w:vAlign w:val="center"/>
          </w:tcPr>
          <w:p>
            <w:pPr>
              <w:pStyle w:val="179"/>
              <w:rPr>
                <w:rFonts w:hAnsi="宋体" w:cs="宋体"/>
              </w:rPr>
            </w:pPr>
            <w:r>
              <w:rPr>
                <w:rFonts w:hint="eastAsia" w:hAnsi="宋体" w:cs="宋体"/>
              </w:rPr>
              <w:t>基本素质</w:t>
            </w:r>
          </w:p>
        </w:tc>
        <w:tc>
          <w:tcPr>
            <w:tcW w:w="1276" w:type="dxa"/>
            <w:vMerge w:val="restart"/>
            <w:tcBorders>
              <w:top w:val="single" w:color="auto" w:sz="8" w:space="0"/>
            </w:tcBorders>
            <w:shd w:val="clear" w:color="auto" w:fill="auto"/>
            <w:vAlign w:val="center"/>
          </w:tcPr>
          <w:p>
            <w:pPr>
              <w:pStyle w:val="179"/>
              <w:rPr>
                <w:rFonts w:hAnsi="宋体" w:cs="宋体"/>
              </w:rPr>
            </w:pPr>
            <w:r>
              <w:rPr>
                <w:rFonts w:hint="eastAsia" w:hAnsi="宋体" w:cs="宋体"/>
              </w:rPr>
              <w:t>10</w:t>
            </w:r>
          </w:p>
        </w:tc>
        <w:tc>
          <w:tcPr>
            <w:tcW w:w="4252" w:type="dxa"/>
            <w:tcBorders>
              <w:top w:val="single" w:color="auto" w:sz="8" w:space="0"/>
            </w:tcBorders>
            <w:shd w:val="clear" w:color="auto" w:fill="auto"/>
            <w:vAlign w:val="center"/>
          </w:tcPr>
          <w:p>
            <w:pPr>
              <w:pStyle w:val="179"/>
              <w:rPr>
                <w:rFonts w:hAnsi="宋体" w:cs="宋体"/>
              </w:rPr>
            </w:pPr>
            <w:r>
              <w:rPr>
                <w:rFonts w:hint="eastAsia" w:hAnsi="宋体" w:cs="宋体"/>
              </w:rPr>
              <w:t>营业收入/万元</w:t>
            </w:r>
          </w:p>
        </w:tc>
        <w:tc>
          <w:tcPr>
            <w:tcW w:w="1831" w:type="dxa"/>
            <w:tcBorders>
              <w:top w:val="single" w:color="auto" w:sz="8" w:space="0"/>
              <w:right w:val="single" w:color="auto" w:sz="12" w:space="0"/>
            </w:tcBorders>
            <w:shd w:val="clear" w:color="auto" w:fill="auto"/>
            <w:vAlign w:val="center"/>
          </w:tcPr>
          <w:p>
            <w:pPr>
              <w:pStyle w:val="179"/>
              <w:rPr>
                <w:rFonts w:hAnsi="宋体" w:cs="宋体"/>
              </w:rPr>
            </w:pPr>
            <w:r>
              <w:rPr>
                <w:rFonts w:hint="eastAsia" w:hAnsi="宋体" w:cs="宋体"/>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注册信息（注册和登记信息等情况）</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文化建设（质量安全宣传及培训等情况）</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制度建设（质量安全内控制度等情况）</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tcBorders>
              <w:left w:val="single" w:color="auto" w:sz="12" w:space="0"/>
            </w:tcBorders>
            <w:shd w:val="clear" w:color="auto" w:fill="auto"/>
            <w:vAlign w:val="center"/>
          </w:tcPr>
          <w:p>
            <w:pPr>
              <w:pStyle w:val="179"/>
              <w:rPr>
                <w:rFonts w:hAnsi="宋体" w:cs="宋体"/>
              </w:rPr>
            </w:pPr>
            <w:r>
              <w:rPr>
                <w:rFonts w:hint="eastAsia" w:hAnsi="宋体" w:cs="宋体"/>
              </w:rPr>
              <w:t>财务状况</w:t>
            </w:r>
          </w:p>
        </w:tc>
        <w:tc>
          <w:tcPr>
            <w:tcW w:w="1276" w:type="dxa"/>
            <w:vMerge w:val="restart"/>
            <w:shd w:val="clear" w:color="auto" w:fill="auto"/>
            <w:vAlign w:val="center"/>
          </w:tcPr>
          <w:p>
            <w:pPr>
              <w:pStyle w:val="179"/>
              <w:rPr>
                <w:rFonts w:hAnsi="宋体" w:cs="宋体"/>
              </w:rPr>
            </w:pPr>
            <w:r>
              <w:rPr>
                <w:rFonts w:hint="eastAsia" w:hAnsi="宋体" w:cs="宋体"/>
              </w:rPr>
              <w:t>10</w:t>
            </w:r>
          </w:p>
        </w:tc>
        <w:tc>
          <w:tcPr>
            <w:tcW w:w="4252" w:type="dxa"/>
            <w:shd w:val="clear" w:color="auto" w:fill="auto"/>
            <w:vAlign w:val="center"/>
          </w:tcPr>
          <w:p>
            <w:pPr>
              <w:pStyle w:val="179"/>
              <w:rPr>
                <w:rFonts w:hAnsi="宋体" w:cs="宋体"/>
              </w:rPr>
            </w:pPr>
            <w:r>
              <w:rPr>
                <w:rFonts w:hint="eastAsia" w:hAnsi="宋体" w:cs="宋体"/>
              </w:rPr>
              <w:t>资产负债率（%）</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营业收入增长率（%）</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总资产周转率（%）</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应收账款周转率（次）</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b/>
                <w:bCs/>
              </w:rPr>
            </w:pPr>
            <w:r>
              <w:rPr>
                <w:rFonts w:hint="eastAsia" w:hAnsi="宋体" w:cs="宋体"/>
              </w:rPr>
              <w:t>净资产收益率（%）</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销售（营业）利润率（%）</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总资产报酬率（%）</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存货周转率（%）</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tcBorders>
              <w:left w:val="single" w:color="auto" w:sz="12" w:space="0"/>
            </w:tcBorders>
            <w:shd w:val="clear" w:color="auto" w:fill="auto"/>
            <w:vAlign w:val="center"/>
          </w:tcPr>
          <w:p>
            <w:pPr>
              <w:pStyle w:val="179"/>
              <w:rPr>
                <w:rFonts w:hAnsi="宋体" w:cs="宋体"/>
              </w:rPr>
            </w:pPr>
            <w:r>
              <w:rPr>
                <w:rFonts w:hint="eastAsia" w:hAnsi="宋体" w:cs="宋体"/>
              </w:rPr>
              <w:t>信誉记录</w:t>
            </w:r>
          </w:p>
        </w:tc>
        <w:tc>
          <w:tcPr>
            <w:tcW w:w="1276" w:type="dxa"/>
            <w:vMerge w:val="restart"/>
            <w:shd w:val="clear" w:color="auto" w:fill="auto"/>
            <w:vAlign w:val="center"/>
          </w:tcPr>
          <w:p>
            <w:pPr>
              <w:pStyle w:val="179"/>
              <w:rPr>
                <w:rFonts w:hAnsi="宋体" w:cs="宋体"/>
              </w:rPr>
            </w:pPr>
            <w:r>
              <w:rPr>
                <w:rFonts w:hint="eastAsia" w:hAnsi="宋体" w:cs="宋体"/>
              </w:rPr>
              <w:t>30</w:t>
            </w:r>
          </w:p>
        </w:tc>
        <w:tc>
          <w:tcPr>
            <w:tcW w:w="4252" w:type="dxa"/>
            <w:shd w:val="clear" w:color="auto" w:fill="auto"/>
            <w:vAlign w:val="center"/>
          </w:tcPr>
          <w:p>
            <w:pPr>
              <w:pStyle w:val="179"/>
              <w:rPr>
                <w:rFonts w:hAnsi="宋体" w:cs="宋体"/>
              </w:rPr>
            </w:pPr>
            <w:r>
              <w:rPr>
                <w:rFonts w:hint="eastAsia" w:hAnsi="宋体" w:cs="宋体"/>
              </w:rPr>
              <w:t>年内不合格次数</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被举报次数</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2年内的历史违约次数</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年度内所受奖励与惩罚</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tcBorders>
              <w:left w:val="single" w:color="auto" w:sz="12" w:space="0"/>
            </w:tcBorders>
            <w:shd w:val="clear" w:color="auto" w:fill="auto"/>
            <w:vAlign w:val="center"/>
          </w:tcPr>
          <w:p>
            <w:pPr>
              <w:pStyle w:val="179"/>
              <w:rPr>
                <w:rFonts w:hAnsi="宋体" w:cs="宋体"/>
              </w:rPr>
            </w:pPr>
            <w:r>
              <w:rPr>
                <w:rFonts w:hint="eastAsia" w:hAnsi="宋体" w:cs="宋体"/>
              </w:rPr>
              <w:t>质量控制水平</w:t>
            </w:r>
          </w:p>
        </w:tc>
        <w:tc>
          <w:tcPr>
            <w:tcW w:w="1276" w:type="dxa"/>
            <w:vMerge w:val="restart"/>
            <w:shd w:val="clear" w:color="auto" w:fill="auto"/>
            <w:vAlign w:val="center"/>
          </w:tcPr>
          <w:p>
            <w:pPr>
              <w:pStyle w:val="179"/>
              <w:rPr>
                <w:rFonts w:hAnsi="宋体" w:cs="宋体"/>
              </w:rPr>
            </w:pPr>
            <w:r>
              <w:rPr>
                <w:rFonts w:hint="eastAsia" w:hAnsi="宋体" w:cs="宋体"/>
              </w:rPr>
              <w:t>30</w:t>
            </w:r>
          </w:p>
        </w:tc>
        <w:tc>
          <w:tcPr>
            <w:tcW w:w="4252" w:type="dxa"/>
            <w:shd w:val="clear" w:color="auto" w:fill="auto"/>
            <w:vAlign w:val="center"/>
          </w:tcPr>
          <w:p>
            <w:pPr>
              <w:pStyle w:val="179"/>
              <w:rPr>
                <w:rFonts w:hAnsi="宋体" w:cs="宋体"/>
              </w:rPr>
            </w:pPr>
            <w:r>
              <w:rPr>
                <w:rFonts w:hint="eastAsia" w:hAnsi="宋体" w:cs="宋体"/>
              </w:rPr>
              <w:t>自检情况</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原料控制能力强弱</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生产销售记录是否真实完整</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有无相关认证</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产品生产可追溯程度</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tcBorders>
              <w:left w:val="single" w:color="auto" w:sz="12" w:space="0"/>
            </w:tcBorders>
            <w:shd w:val="clear" w:color="auto" w:fill="auto"/>
            <w:vAlign w:val="center"/>
          </w:tcPr>
          <w:p>
            <w:pPr>
              <w:pStyle w:val="179"/>
              <w:rPr>
                <w:rFonts w:hAnsi="宋体" w:cs="宋体"/>
              </w:rPr>
            </w:pPr>
            <w:r>
              <w:rPr>
                <w:rFonts w:hint="eastAsia" w:hAnsi="宋体" w:cs="宋体"/>
              </w:rPr>
              <w:t>投入品管理</w:t>
            </w:r>
          </w:p>
        </w:tc>
        <w:tc>
          <w:tcPr>
            <w:tcW w:w="1276" w:type="dxa"/>
            <w:vMerge w:val="restart"/>
            <w:shd w:val="clear" w:color="auto" w:fill="auto"/>
            <w:vAlign w:val="center"/>
          </w:tcPr>
          <w:p>
            <w:pPr>
              <w:pStyle w:val="179"/>
              <w:rPr>
                <w:rFonts w:hAnsi="宋体" w:cs="宋体"/>
              </w:rPr>
            </w:pPr>
            <w:r>
              <w:rPr>
                <w:rFonts w:hint="eastAsia" w:hAnsi="宋体" w:cs="宋体"/>
              </w:rPr>
              <w:t>15</w:t>
            </w:r>
          </w:p>
        </w:tc>
        <w:tc>
          <w:tcPr>
            <w:tcW w:w="4252" w:type="dxa"/>
            <w:shd w:val="clear" w:color="auto" w:fill="auto"/>
            <w:vAlign w:val="center"/>
          </w:tcPr>
          <w:p>
            <w:pPr>
              <w:pStyle w:val="179"/>
              <w:rPr>
                <w:rFonts w:hAnsi="宋体" w:cs="宋体"/>
              </w:rPr>
            </w:pPr>
            <w:r>
              <w:rPr>
                <w:rFonts w:hint="eastAsia" w:hAnsi="宋体" w:cs="宋体"/>
              </w:rPr>
              <w:t>连续2年购买投入品索证索票并保存</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连续2年投入品使用记录真实完整并保存</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tcBorders>
              <w:left w:val="single" w:color="auto" w:sz="12" w:space="0"/>
            </w:tcBorders>
            <w:shd w:val="clear" w:color="auto" w:fill="auto"/>
            <w:vAlign w:val="center"/>
          </w:tcPr>
          <w:p>
            <w:pPr>
              <w:pStyle w:val="179"/>
              <w:rPr>
                <w:rFonts w:hAnsi="宋体" w:cs="宋体"/>
              </w:rPr>
            </w:pPr>
            <w:r>
              <w:rPr>
                <w:rFonts w:hint="eastAsia" w:hAnsi="宋体" w:cs="宋体"/>
              </w:rPr>
              <w:t>产业经济环境</w:t>
            </w:r>
          </w:p>
        </w:tc>
        <w:tc>
          <w:tcPr>
            <w:tcW w:w="1276" w:type="dxa"/>
            <w:vMerge w:val="restart"/>
            <w:shd w:val="clear" w:color="auto" w:fill="auto"/>
            <w:vAlign w:val="center"/>
          </w:tcPr>
          <w:p>
            <w:pPr>
              <w:pStyle w:val="179"/>
              <w:rPr>
                <w:rFonts w:hAnsi="宋体" w:cs="宋体"/>
              </w:rPr>
            </w:pPr>
            <w:r>
              <w:rPr>
                <w:rFonts w:hint="eastAsia" w:hAnsi="宋体" w:cs="宋体"/>
              </w:rPr>
              <w:t>5</w:t>
            </w:r>
          </w:p>
        </w:tc>
        <w:tc>
          <w:tcPr>
            <w:tcW w:w="4252" w:type="dxa"/>
            <w:shd w:val="clear" w:color="auto" w:fill="auto"/>
            <w:vAlign w:val="center"/>
          </w:tcPr>
          <w:p>
            <w:pPr>
              <w:pStyle w:val="179"/>
              <w:rPr>
                <w:rFonts w:hAnsi="宋体" w:cs="宋体"/>
              </w:rPr>
            </w:pPr>
            <w:r>
              <w:rPr>
                <w:rFonts w:hint="eastAsia" w:hAnsi="宋体" w:cs="宋体"/>
              </w:rPr>
              <w:t>产业政策（生产经营符合当地农业政策）</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税收政策（执行国家税收政策情况）</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各项惠农政策（按国家规定申请惠农项目支持）</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left w:val="single" w:color="auto" w:sz="12" w:space="0"/>
            </w:tcBorders>
            <w:shd w:val="clear" w:color="auto" w:fill="auto"/>
            <w:vAlign w:val="center"/>
          </w:tcPr>
          <w:p>
            <w:pPr>
              <w:pStyle w:val="179"/>
              <w:rPr>
                <w:rFonts w:hAnsi="宋体" w:cs="宋体"/>
              </w:rPr>
            </w:pPr>
          </w:p>
        </w:tc>
        <w:tc>
          <w:tcPr>
            <w:tcW w:w="1276" w:type="dxa"/>
            <w:vMerge w:val="continue"/>
            <w:shd w:val="clear" w:color="auto" w:fill="auto"/>
            <w:vAlign w:val="center"/>
          </w:tcPr>
          <w:p>
            <w:pPr>
              <w:pStyle w:val="179"/>
              <w:rPr>
                <w:rFonts w:hAnsi="宋体" w:cs="宋体"/>
              </w:rPr>
            </w:pPr>
          </w:p>
        </w:tc>
        <w:tc>
          <w:tcPr>
            <w:tcW w:w="4252" w:type="dxa"/>
            <w:shd w:val="clear" w:color="auto" w:fill="auto"/>
            <w:vAlign w:val="center"/>
          </w:tcPr>
          <w:p>
            <w:pPr>
              <w:pStyle w:val="179"/>
              <w:rPr>
                <w:rFonts w:hAnsi="宋体" w:cs="宋体"/>
              </w:rPr>
            </w:pPr>
            <w:r>
              <w:rPr>
                <w:rFonts w:hint="eastAsia" w:hAnsi="宋体" w:cs="宋体"/>
              </w:rPr>
              <w:t>发展是否受到政府支持</w:t>
            </w:r>
          </w:p>
        </w:tc>
        <w:tc>
          <w:tcPr>
            <w:tcW w:w="1831" w:type="dxa"/>
            <w:tcBorders>
              <w:right w:val="single" w:color="auto" w:sz="12" w:space="0"/>
            </w:tcBorders>
            <w:shd w:val="clear" w:color="auto" w:fill="auto"/>
            <w:vAlign w:val="center"/>
          </w:tcPr>
          <w:p>
            <w:pPr>
              <w:pStyle w:val="179"/>
              <w:rPr>
                <w:rFonts w:hAnsi="宋体" w:cs="宋体"/>
              </w:rPr>
            </w:pPr>
            <w:r>
              <w:rPr>
                <w:rFonts w:hint="eastAsia" w:hAnsi="宋体" w:cs="宋体"/>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left w:val="single" w:color="auto" w:sz="12" w:space="0"/>
              <w:bottom w:val="single" w:color="auto" w:sz="12" w:space="0"/>
            </w:tcBorders>
            <w:shd w:val="clear" w:color="auto" w:fill="auto"/>
            <w:vAlign w:val="center"/>
          </w:tcPr>
          <w:p>
            <w:pPr>
              <w:pStyle w:val="179"/>
              <w:rPr>
                <w:rFonts w:hAnsi="宋体" w:cs="宋体"/>
              </w:rPr>
            </w:pPr>
            <w:r>
              <w:rPr>
                <w:rFonts w:hint="eastAsia" w:hAnsi="宋体" w:cs="宋体"/>
              </w:rPr>
              <w:t>合计</w:t>
            </w:r>
          </w:p>
        </w:tc>
        <w:tc>
          <w:tcPr>
            <w:tcW w:w="7359" w:type="dxa"/>
            <w:gridSpan w:val="3"/>
            <w:tcBorders>
              <w:bottom w:val="single" w:color="auto" w:sz="12" w:space="0"/>
              <w:right w:val="single" w:color="auto" w:sz="12" w:space="0"/>
            </w:tcBorders>
            <w:shd w:val="clear" w:color="auto" w:fill="auto"/>
            <w:vAlign w:val="center"/>
          </w:tcPr>
          <w:p>
            <w:pPr>
              <w:pStyle w:val="179"/>
              <w:rPr>
                <w:rFonts w:hAnsi="宋体" w:cs="宋体"/>
              </w:rPr>
            </w:pPr>
            <w:r>
              <w:rPr>
                <w:rFonts w:hint="eastAsia" w:hAnsi="宋体" w:cs="宋体"/>
              </w:rPr>
              <w:t>100</w:t>
            </w:r>
          </w:p>
        </w:tc>
      </w:tr>
      <w:bookmarkEnd w:id="73"/>
    </w:tbl>
    <w:p>
      <w:pPr>
        <w:pStyle w:val="79"/>
        <w:numPr>
          <w:ilvl w:val="0"/>
          <w:numId w:val="0"/>
        </w:numPr>
        <w:spacing w:before="156" w:after="156"/>
        <w:ind w:left="141"/>
      </w:pPr>
    </w:p>
    <w:p>
      <w:pPr>
        <w:pStyle w:val="79"/>
        <w:numPr>
          <w:ilvl w:val="0"/>
          <w:numId w:val="0"/>
        </w:numPr>
        <w:spacing w:before="156" w:after="156"/>
        <w:ind w:left="141"/>
      </w:pPr>
    </w:p>
    <w:p>
      <w:pPr>
        <w:pStyle w:val="79"/>
        <w:spacing w:before="156" w:after="156"/>
      </w:pPr>
      <w:r>
        <w:rPr>
          <w:rFonts w:hint="eastAsia"/>
        </w:rPr>
        <w:t>评分形式</w:t>
      </w:r>
    </w:p>
    <w:p>
      <w:pPr>
        <w:pStyle w:val="57"/>
        <w:ind w:firstLine="420"/>
      </w:pPr>
      <w:r>
        <w:rPr>
          <w:rFonts w:hint="eastAsia"/>
        </w:rPr>
        <w:t>农业生产经营主体质量安全信用的评分应符合表</w:t>
      </w:r>
      <w:r>
        <w:t>A.2</w:t>
      </w:r>
      <w:r>
        <w:rPr>
          <w:rFonts w:hint="eastAsia"/>
        </w:rPr>
        <w:t>的要求。</w:t>
      </w:r>
    </w:p>
    <w:p>
      <w:pPr>
        <w:pStyle w:val="78"/>
        <w:numPr>
          <w:ilvl w:val="0"/>
          <w:numId w:val="0"/>
        </w:numPr>
        <w:spacing w:before="156" w:after="156"/>
        <w:ind w:left="2551"/>
        <w:jc w:val="both"/>
      </w:pPr>
      <w:r>
        <w:rPr>
          <w:rFonts w:hint="eastAsia"/>
        </w:rPr>
        <w:t>表A</w:t>
      </w:r>
      <w:r>
        <w:t xml:space="preserve">.2 </w:t>
      </w:r>
      <w:r>
        <w:rPr>
          <w:rFonts w:hint="eastAsia"/>
        </w:rPr>
        <w:t>农业生产经营主体质量安全信用评分表</w:t>
      </w:r>
    </w:p>
    <w:tbl>
      <w:tblPr>
        <w:tblStyle w:val="28"/>
        <w:tblW w:w="96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1192"/>
        <w:gridCol w:w="521"/>
        <w:gridCol w:w="1943"/>
        <w:gridCol w:w="765"/>
        <w:gridCol w:w="1207"/>
        <w:gridCol w:w="1178"/>
        <w:gridCol w:w="1179"/>
        <w:gridCol w:w="794"/>
        <w:gridCol w:w="8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blHeader/>
          <w:jc w:val="center"/>
        </w:trPr>
        <w:tc>
          <w:tcPr>
            <w:tcW w:w="1192" w:type="dxa"/>
            <w:vMerge w:val="restart"/>
            <w:shd w:val="clear" w:color="auto" w:fill="auto"/>
            <w:vAlign w:val="center"/>
          </w:tcPr>
          <w:p>
            <w:pPr>
              <w:pStyle w:val="179"/>
              <w:rPr>
                <w:rFonts w:hAnsi="宋体" w:cs="宋体"/>
                <w:szCs w:val="18"/>
              </w:rPr>
            </w:pPr>
            <w:r>
              <w:rPr>
                <w:rFonts w:hint="eastAsia" w:hAnsi="宋体" w:cs="宋体"/>
                <w:szCs w:val="18"/>
              </w:rPr>
              <w:t>一级指标</w:t>
            </w:r>
          </w:p>
        </w:tc>
        <w:tc>
          <w:tcPr>
            <w:tcW w:w="521" w:type="dxa"/>
            <w:vMerge w:val="restart"/>
            <w:shd w:val="clear" w:color="auto" w:fill="auto"/>
            <w:vAlign w:val="center"/>
          </w:tcPr>
          <w:p>
            <w:pPr>
              <w:pStyle w:val="179"/>
              <w:rPr>
                <w:rFonts w:hAnsi="宋体" w:cs="宋体"/>
                <w:szCs w:val="18"/>
              </w:rPr>
            </w:pPr>
            <w:r>
              <w:rPr>
                <w:rFonts w:hint="eastAsia" w:hAnsi="宋体" w:cs="宋体"/>
                <w:szCs w:val="18"/>
              </w:rPr>
              <w:t>指标分值</w:t>
            </w:r>
          </w:p>
        </w:tc>
        <w:tc>
          <w:tcPr>
            <w:tcW w:w="1943" w:type="dxa"/>
            <w:vMerge w:val="restart"/>
            <w:shd w:val="clear" w:color="auto" w:fill="auto"/>
            <w:vAlign w:val="center"/>
          </w:tcPr>
          <w:p>
            <w:pPr>
              <w:pStyle w:val="179"/>
              <w:rPr>
                <w:rFonts w:hAnsi="宋体" w:cs="宋体"/>
                <w:szCs w:val="18"/>
              </w:rPr>
            </w:pPr>
            <w:r>
              <w:rPr>
                <w:rFonts w:hint="eastAsia" w:hAnsi="宋体" w:cs="宋体"/>
                <w:szCs w:val="18"/>
              </w:rPr>
              <w:t>二级指标</w:t>
            </w:r>
          </w:p>
        </w:tc>
        <w:tc>
          <w:tcPr>
            <w:tcW w:w="5123" w:type="dxa"/>
            <w:gridSpan w:val="5"/>
            <w:shd w:val="clear" w:color="auto" w:fill="auto"/>
            <w:vAlign w:val="center"/>
          </w:tcPr>
          <w:p>
            <w:pPr>
              <w:pStyle w:val="179"/>
              <w:rPr>
                <w:rFonts w:hAnsi="宋体" w:cs="宋体"/>
                <w:szCs w:val="18"/>
              </w:rPr>
            </w:pPr>
            <w:r>
              <w:rPr>
                <w:rFonts w:hint="eastAsia" w:hAnsi="宋体" w:cs="宋体"/>
                <w:szCs w:val="18"/>
              </w:rPr>
              <w:t>信用评分（R）</w:t>
            </w:r>
          </w:p>
        </w:tc>
        <w:tc>
          <w:tcPr>
            <w:tcW w:w="823" w:type="dxa"/>
            <w:vMerge w:val="restart"/>
            <w:shd w:val="clear" w:color="auto" w:fill="auto"/>
            <w:vAlign w:val="center"/>
          </w:tcPr>
          <w:p>
            <w:pPr>
              <w:pStyle w:val="179"/>
              <w:rPr>
                <w:rFonts w:hAnsi="宋体" w:cs="宋体"/>
                <w:szCs w:val="18"/>
              </w:rPr>
            </w:pPr>
            <w:r>
              <w:rPr>
                <w:rFonts w:hint="eastAsia" w:hAnsi="宋体" w:cs="宋体"/>
                <w:szCs w:val="18"/>
              </w:rPr>
              <w:t>指标分值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vMerge w:val="continue"/>
            <w:shd w:val="clear" w:color="auto" w:fill="auto"/>
            <w:vAlign w:val="center"/>
          </w:tcPr>
          <w:p>
            <w:pPr>
              <w:pStyle w:val="179"/>
              <w:rPr>
                <w:rFonts w:hAnsi="宋体" w:cs="宋体"/>
                <w:szCs w:val="18"/>
              </w:rPr>
            </w:pPr>
          </w:p>
        </w:tc>
        <w:tc>
          <w:tcPr>
            <w:tcW w:w="765" w:type="dxa"/>
            <w:shd w:val="clear" w:color="auto" w:fill="auto"/>
            <w:vAlign w:val="center"/>
          </w:tcPr>
          <w:p>
            <w:pPr>
              <w:pStyle w:val="179"/>
              <w:rPr>
                <w:rFonts w:hAnsi="宋体" w:cs="宋体"/>
                <w:szCs w:val="18"/>
              </w:rPr>
            </w:pPr>
            <w:r>
              <w:rPr>
                <w:rFonts w:hint="eastAsia" w:hAnsi="宋体" w:cs="宋体"/>
                <w:szCs w:val="18"/>
              </w:rPr>
              <w:t>20%</w:t>
            </w:r>
          </w:p>
        </w:tc>
        <w:tc>
          <w:tcPr>
            <w:tcW w:w="1207" w:type="dxa"/>
            <w:shd w:val="clear" w:color="auto" w:fill="auto"/>
            <w:vAlign w:val="center"/>
          </w:tcPr>
          <w:p>
            <w:pPr>
              <w:pStyle w:val="179"/>
              <w:rPr>
                <w:rFonts w:hAnsi="宋体" w:cs="宋体"/>
                <w:szCs w:val="18"/>
              </w:rPr>
            </w:pPr>
            <w:r>
              <w:rPr>
                <w:rFonts w:hint="eastAsia" w:hAnsi="宋体" w:cs="宋体"/>
                <w:szCs w:val="18"/>
              </w:rPr>
              <w:t>40%</w:t>
            </w:r>
          </w:p>
        </w:tc>
        <w:tc>
          <w:tcPr>
            <w:tcW w:w="1178" w:type="dxa"/>
            <w:shd w:val="clear" w:color="auto" w:fill="auto"/>
            <w:vAlign w:val="center"/>
          </w:tcPr>
          <w:p>
            <w:pPr>
              <w:pStyle w:val="179"/>
              <w:rPr>
                <w:rFonts w:hAnsi="宋体" w:cs="宋体"/>
                <w:szCs w:val="18"/>
              </w:rPr>
            </w:pPr>
            <w:r>
              <w:rPr>
                <w:rFonts w:hint="eastAsia" w:hAnsi="宋体" w:cs="宋体"/>
                <w:szCs w:val="18"/>
              </w:rPr>
              <w:t>60%</w:t>
            </w:r>
          </w:p>
        </w:tc>
        <w:tc>
          <w:tcPr>
            <w:tcW w:w="1179" w:type="dxa"/>
            <w:shd w:val="clear" w:color="auto" w:fill="auto"/>
            <w:vAlign w:val="center"/>
          </w:tcPr>
          <w:p>
            <w:pPr>
              <w:pStyle w:val="179"/>
              <w:rPr>
                <w:rFonts w:hAnsi="宋体" w:cs="宋体"/>
                <w:szCs w:val="18"/>
              </w:rPr>
            </w:pPr>
            <w:r>
              <w:rPr>
                <w:rFonts w:hint="eastAsia" w:hAnsi="宋体" w:cs="宋体"/>
                <w:szCs w:val="18"/>
              </w:rPr>
              <w:t>80%</w:t>
            </w:r>
          </w:p>
        </w:tc>
        <w:tc>
          <w:tcPr>
            <w:tcW w:w="794" w:type="dxa"/>
            <w:shd w:val="clear" w:color="auto" w:fill="auto"/>
            <w:vAlign w:val="center"/>
          </w:tcPr>
          <w:p>
            <w:pPr>
              <w:pStyle w:val="179"/>
              <w:rPr>
                <w:rFonts w:hAnsi="宋体" w:cs="宋体"/>
                <w:szCs w:val="18"/>
              </w:rPr>
            </w:pPr>
            <w:r>
              <w:rPr>
                <w:rFonts w:hint="eastAsia" w:hAnsi="宋体" w:cs="宋体"/>
                <w:szCs w:val="18"/>
              </w:rPr>
              <w:t>100%</w:t>
            </w:r>
          </w:p>
        </w:tc>
        <w:tc>
          <w:tcPr>
            <w:tcW w:w="823" w:type="dxa"/>
            <w:vMerge w:val="continue"/>
            <w:shd w:val="clear" w:color="auto" w:fill="auto"/>
            <w:vAlign w:val="center"/>
          </w:tcPr>
          <w:p>
            <w:pPr>
              <w:pStyle w:val="179"/>
              <w:rPr>
                <w:rFonts w:hAnsi="宋体" w:cs="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restart"/>
            <w:shd w:val="clear" w:color="auto" w:fill="auto"/>
            <w:vAlign w:val="center"/>
          </w:tcPr>
          <w:p>
            <w:pPr>
              <w:pStyle w:val="179"/>
              <w:rPr>
                <w:rFonts w:hAnsi="宋体" w:cs="宋体"/>
                <w:szCs w:val="18"/>
              </w:rPr>
            </w:pPr>
            <w:r>
              <w:rPr>
                <w:rFonts w:hint="eastAsia" w:hAnsi="宋体" w:cs="宋体"/>
                <w:szCs w:val="18"/>
              </w:rPr>
              <w:t>基本素质</w:t>
            </w:r>
          </w:p>
        </w:tc>
        <w:tc>
          <w:tcPr>
            <w:tcW w:w="521" w:type="dxa"/>
            <w:vMerge w:val="restart"/>
            <w:shd w:val="clear" w:color="auto" w:fill="auto"/>
            <w:vAlign w:val="center"/>
          </w:tcPr>
          <w:p>
            <w:pPr>
              <w:pStyle w:val="179"/>
              <w:rPr>
                <w:rFonts w:hAnsi="宋体" w:cs="宋体"/>
                <w:szCs w:val="18"/>
              </w:rPr>
            </w:pPr>
            <w:r>
              <w:rPr>
                <w:rFonts w:hint="eastAsia" w:hAnsi="宋体" w:cs="宋体"/>
                <w:szCs w:val="18"/>
              </w:rPr>
              <w:t>10</w:t>
            </w:r>
          </w:p>
        </w:tc>
        <w:tc>
          <w:tcPr>
            <w:tcW w:w="1943" w:type="dxa"/>
            <w:shd w:val="clear" w:color="auto" w:fill="auto"/>
            <w:vAlign w:val="center"/>
          </w:tcPr>
          <w:p>
            <w:pPr>
              <w:pStyle w:val="179"/>
              <w:rPr>
                <w:rFonts w:hAnsi="宋体" w:cs="宋体"/>
                <w:szCs w:val="18"/>
              </w:rPr>
            </w:pPr>
            <w:r>
              <w:rPr>
                <w:rFonts w:hint="eastAsia" w:hAnsi="宋体" w:cs="宋体"/>
                <w:szCs w:val="18"/>
              </w:rPr>
              <w:t>规模（营业收入/万元）</w:t>
            </w:r>
          </w:p>
        </w:tc>
        <w:tc>
          <w:tcPr>
            <w:tcW w:w="765" w:type="dxa"/>
            <w:shd w:val="clear" w:color="auto" w:fill="auto"/>
            <w:vAlign w:val="center"/>
          </w:tcPr>
          <w:p>
            <w:pPr>
              <w:pStyle w:val="179"/>
              <w:rPr>
                <w:rFonts w:hAnsi="宋体" w:cs="宋体"/>
                <w:szCs w:val="18"/>
              </w:rPr>
            </w:pPr>
            <w:r>
              <w:rPr>
                <w:rFonts w:hint="eastAsia" w:hAnsi="宋体" w:cs="宋体"/>
                <w:szCs w:val="18"/>
              </w:rPr>
              <w:t>R＜5</w:t>
            </w:r>
          </w:p>
        </w:tc>
        <w:tc>
          <w:tcPr>
            <w:tcW w:w="1207" w:type="dxa"/>
            <w:shd w:val="clear" w:color="auto" w:fill="auto"/>
            <w:vAlign w:val="center"/>
          </w:tcPr>
          <w:p>
            <w:pPr>
              <w:pStyle w:val="179"/>
              <w:rPr>
                <w:rFonts w:hAnsi="宋体" w:cs="宋体"/>
                <w:szCs w:val="18"/>
              </w:rPr>
            </w:pPr>
            <w:r>
              <w:rPr>
                <w:rFonts w:hint="eastAsia" w:hAnsi="宋体" w:cs="宋体"/>
                <w:szCs w:val="18"/>
              </w:rPr>
              <w:t>5≤R＜50</w:t>
            </w:r>
          </w:p>
        </w:tc>
        <w:tc>
          <w:tcPr>
            <w:tcW w:w="1178" w:type="dxa"/>
            <w:shd w:val="clear" w:color="auto" w:fill="auto"/>
            <w:vAlign w:val="center"/>
          </w:tcPr>
          <w:p>
            <w:pPr>
              <w:pStyle w:val="179"/>
              <w:rPr>
                <w:rFonts w:hAnsi="宋体" w:cs="宋体"/>
                <w:szCs w:val="18"/>
              </w:rPr>
            </w:pPr>
            <w:r>
              <w:rPr>
                <w:rFonts w:hint="eastAsia" w:hAnsi="宋体" w:cs="宋体"/>
                <w:szCs w:val="18"/>
              </w:rPr>
              <w:t>50≤R＜100</w:t>
            </w:r>
          </w:p>
        </w:tc>
        <w:tc>
          <w:tcPr>
            <w:tcW w:w="1179" w:type="dxa"/>
            <w:shd w:val="clear" w:color="auto" w:fill="auto"/>
            <w:vAlign w:val="center"/>
          </w:tcPr>
          <w:p>
            <w:pPr>
              <w:pStyle w:val="179"/>
              <w:rPr>
                <w:rFonts w:hAnsi="宋体" w:cs="宋体"/>
                <w:szCs w:val="18"/>
              </w:rPr>
            </w:pPr>
            <w:r>
              <w:rPr>
                <w:rFonts w:hint="eastAsia" w:hAnsi="宋体" w:cs="宋体"/>
                <w:szCs w:val="18"/>
              </w:rPr>
              <w:t>100≤R＜200</w:t>
            </w:r>
          </w:p>
        </w:tc>
        <w:tc>
          <w:tcPr>
            <w:tcW w:w="794" w:type="dxa"/>
            <w:shd w:val="clear" w:color="auto" w:fill="auto"/>
            <w:vAlign w:val="center"/>
          </w:tcPr>
          <w:p>
            <w:pPr>
              <w:pStyle w:val="179"/>
              <w:rPr>
                <w:rFonts w:hAnsi="宋体" w:cs="宋体"/>
                <w:szCs w:val="18"/>
              </w:rPr>
            </w:pPr>
            <w:r>
              <w:rPr>
                <w:rFonts w:hint="eastAsia" w:hAnsi="宋体" w:cs="宋体"/>
                <w:szCs w:val="18"/>
              </w:rPr>
              <w:t>R≥200</w:t>
            </w:r>
          </w:p>
        </w:tc>
        <w:tc>
          <w:tcPr>
            <w:tcW w:w="823" w:type="dxa"/>
            <w:shd w:val="clear" w:color="auto" w:fill="auto"/>
            <w:vAlign w:val="center"/>
          </w:tcPr>
          <w:p>
            <w:pPr>
              <w:pStyle w:val="179"/>
              <w:rPr>
                <w:rFonts w:hAnsi="宋体" w:cs="宋体"/>
                <w:szCs w:val="18"/>
              </w:rPr>
            </w:pPr>
            <w:r>
              <w:rPr>
                <w:rFonts w:hint="eastAsia" w:hAnsi="宋体" w:cs="宋体"/>
                <w:szCs w:val="18"/>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注册信息</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种养大户</w:t>
            </w:r>
          </w:p>
        </w:tc>
        <w:tc>
          <w:tcPr>
            <w:tcW w:w="1178" w:type="dxa"/>
            <w:shd w:val="clear" w:color="auto" w:fill="auto"/>
            <w:vAlign w:val="center"/>
          </w:tcPr>
          <w:p>
            <w:pPr>
              <w:pStyle w:val="179"/>
              <w:rPr>
                <w:rFonts w:hAnsi="宋体" w:cs="宋体"/>
                <w:szCs w:val="18"/>
              </w:rPr>
            </w:pPr>
            <w:r>
              <w:rPr>
                <w:rFonts w:hint="eastAsia" w:hAnsi="宋体" w:cs="宋体"/>
                <w:szCs w:val="18"/>
              </w:rPr>
              <w:t>家庭农场</w:t>
            </w:r>
          </w:p>
        </w:tc>
        <w:tc>
          <w:tcPr>
            <w:tcW w:w="1179" w:type="dxa"/>
            <w:shd w:val="clear" w:color="auto" w:fill="auto"/>
            <w:vAlign w:val="center"/>
          </w:tcPr>
          <w:p>
            <w:pPr>
              <w:pStyle w:val="179"/>
              <w:rPr>
                <w:rFonts w:hAnsi="宋体" w:cs="宋体"/>
                <w:szCs w:val="18"/>
              </w:rPr>
            </w:pPr>
            <w:r>
              <w:rPr>
                <w:rFonts w:hint="eastAsia" w:hAnsi="宋体" w:cs="宋体"/>
                <w:szCs w:val="18"/>
              </w:rPr>
              <w:t>合作社</w:t>
            </w:r>
          </w:p>
        </w:tc>
        <w:tc>
          <w:tcPr>
            <w:tcW w:w="794" w:type="dxa"/>
            <w:shd w:val="clear" w:color="auto" w:fill="auto"/>
            <w:vAlign w:val="center"/>
          </w:tcPr>
          <w:p>
            <w:pPr>
              <w:pStyle w:val="179"/>
              <w:rPr>
                <w:rFonts w:hAnsi="宋体" w:cs="宋体"/>
                <w:szCs w:val="18"/>
              </w:rPr>
            </w:pPr>
            <w:r>
              <w:rPr>
                <w:rFonts w:hint="eastAsia" w:hAnsi="宋体" w:cs="宋体"/>
                <w:szCs w:val="18"/>
              </w:rPr>
              <w:t>农业企业</w:t>
            </w:r>
          </w:p>
        </w:tc>
        <w:tc>
          <w:tcPr>
            <w:tcW w:w="823" w:type="dxa"/>
            <w:shd w:val="clear" w:color="auto" w:fill="auto"/>
            <w:vAlign w:val="center"/>
          </w:tcPr>
          <w:p>
            <w:pPr>
              <w:pStyle w:val="179"/>
              <w:rPr>
                <w:rFonts w:hAnsi="宋体" w:cs="宋体"/>
                <w:szCs w:val="18"/>
              </w:rPr>
            </w:pPr>
            <w:r>
              <w:rPr>
                <w:rFonts w:hint="eastAsia" w:hAnsi="宋体" w:cs="宋体"/>
                <w:szCs w:val="18"/>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文化建设</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较差</w:t>
            </w:r>
          </w:p>
        </w:tc>
        <w:tc>
          <w:tcPr>
            <w:tcW w:w="1178" w:type="dxa"/>
            <w:shd w:val="clear" w:color="auto" w:fill="auto"/>
            <w:vAlign w:val="center"/>
          </w:tcPr>
          <w:p>
            <w:pPr>
              <w:pStyle w:val="179"/>
              <w:rPr>
                <w:rFonts w:hAnsi="宋体" w:cs="宋体"/>
                <w:szCs w:val="18"/>
              </w:rPr>
            </w:pPr>
            <w:r>
              <w:rPr>
                <w:rFonts w:hint="eastAsia" w:hAnsi="宋体" w:cs="宋体"/>
                <w:szCs w:val="18"/>
              </w:rPr>
              <w:t>一般</w:t>
            </w:r>
          </w:p>
        </w:tc>
        <w:tc>
          <w:tcPr>
            <w:tcW w:w="1179" w:type="dxa"/>
            <w:shd w:val="clear" w:color="auto" w:fill="auto"/>
            <w:vAlign w:val="center"/>
          </w:tcPr>
          <w:p>
            <w:pPr>
              <w:pStyle w:val="179"/>
              <w:rPr>
                <w:rFonts w:hAnsi="宋体" w:cs="宋体"/>
                <w:szCs w:val="18"/>
              </w:rPr>
            </w:pPr>
            <w:r>
              <w:rPr>
                <w:rFonts w:hint="eastAsia" w:hAnsi="宋体" w:cs="宋体"/>
                <w:szCs w:val="18"/>
              </w:rPr>
              <w:t>良好</w:t>
            </w:r>
          </w:p>
        </w:tc>
        <w:tc>
          <w:tcPr>
            <w:tcW w:w="794" w:type="dxa"/>
            <w:shd w:val="clear" w:color="auto" w:fill="auto"/>
            <w:vAlign w:val="center"/>
          </w:tcPr>
          <w:p>
            <w:pPr>
              <w:pStyle w:val="179"/>
              <w:rPr>
                <w:rFonts w:hAnsi="宋体" w:cs="宋体"/>
                <w:szCs w:val="18"/>
              </w:rPr>
            </w:pPr>
            <w:r>
              <w:rPr>
                <w:rFonts w:hint="eastAsia" w:hAnsi="宋体" w:cs="宋体"/>
                <w:szCs w:val="18"/>
              </w:rPr>
              <w:t>优秀</w:t>
            </w:r>
          </w:p>
        </w:tc>
        <w:tc>
          <w:tcPr>
            <w:tcW w:w="823" w:type="dxa"/>
            <w:shd w:val="clear" w:color="auto" w:fill="auto"/>
            <w:vAlign w:val="center"/>
          </w:tcPr>
          <w:p>
            <w:pPr>
              <w:pStyle w:val="179"/>
              <w:rPr>
                <w:rFonts w:hAnsi="宋体" w:cs="宋体"/>
                <w:szCs w:val="18"/>
              </w:rPr>
            </w:pPr>
            <w:r>
              <w:rPr>
                <w:rFonts w:hint="eastAsia" w:hAnsi="宋体" w:cs="宋体"/>
                <w:szCs w:val="18"/>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规章制度是否健全</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较差</w:t>
            </w:r>
          </w:p>
        </w:tc>
        <w:tc>
          <w:tcPr>
            <w:tcW w:w="1178" w:type="dxa"/>
            <w:shd w:val="clear" w:color="auto" w:fill="auto"/>
            <w:vAlign w:val="center"/>
          </w:tcPr>
          <w:p>
            <w:pPr>
              <w:pStyle w:val="179"/>
              <w:rPr>
                <w:rFonts w:hAnsi="宋体" w:cs="宋体"/>
                <w:szCs w:val="18"/>
              </w:rPr>
            </w:pPr>
            <w:r>
              <w:rPr>
                <w:rFonts w:hint="eastAsia" w:hAnsi="宋体" w:cs="宋体"/>
                <w:szCs w:val="18"/>
              </w:rPr>
              <w:t>一般</w:t>
            </w:r>
          </w:p>
        </w:tc>
        <w:tc>
          <w:tcPr>
            <w:tcW w:w="1179" w:type="dxa"/>
            <w:shd w:val="clear" w:color="auto" w:fill="auto"/>
            <w:vAlign w:val="center"/>
          </w:tcPr>
          <w:p>
            <w:pPr>
              <w:pStyle w:val="179"/>
              <w:rPr>
                <w:rFonts w:hAnsi="宋体" w:cs="宋体"/>
                <w:szCs w:val="18"/>
              </w:rPr>
            </w:pPr>
            <w:r>
              <w:rPr>
                <w:rFonts w:hint="eastAsia" w:hAnsi="宋体" w:cs="宋体"/>
                <w:szCs w:val="18"/>
              </w:rPr>
              <w:t>良好</w:t>
            </w:r>
          </w:p>
        </w:tc>
        <w:tc>
          <w:tcPr>
            <w:tcW w:w="794" w:type="dxa"/>
            <w:shd w:val="clear" w:color="auto" w:fill="auto"/>
            <w:vAlign w:val="center"/>
          </w:tcPr>
          <w:p>
            <w:pPr>
              <w:pStyle w:val="179"/>
              <w:rPr>
                <w:rFonts w:hAnsi="宋体" w:cs="宋体"/>
                <w:szCs w:val="18"/>
              </w:rPr>
            </w:pPr>
            <w:r>
              <w:rPr>
                <w:rFonts w:hint="eastAsia" w:hAnsi="宋体" w:cs="宋体"/>
                <w:szCs w:val="18"/>
              </w:rPr>
              <w:t>优秀</w:t>
            </w:r>
          </w:p>
        </w:tc>
        <w:tc>
          <w:tcPr>
            <w:tcW w:w="823" w:type="dxa"/>
            <w:shd w:val="clear" w:color="auto" w:fill="auto"/>
            <w:vAlign w:val="center"/>
          </w:tcPr>
          <w:p>
            <w:pPr>
              <w:pStyle w:val="179"/>
              <w:rPr>
                <w:rFonts w:hAnsi="宋体" w:cs="宋体"/>
                <w:szCs w:val="18"/>
              </w:rPr>
            </w:pPr>
            <w:r>
              <w:rPr>
                <w:rFonts w:hint="eastAsia" w:hAnsi="宋体" w:cs="宋体"/>
                <w:szCs w:val="18"/>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restart"/>
            <w:shd w:val="clear" w:color="auto" w:fill="auto"/>
            <w:vAlign w:val="center"/>
          </w:tcPr>
          <w:p>
            <w:pPr>
              <w:pStyle w:val="179"/>
              <w:rPr>
                <w:rFonts w:hAnsi="宋体" w:cs="宋体"/>
                <w:szCs w:val="18"/>
              </w:rPr>
            </w:pPr>
            <w:r>
              <w:rPr>
                <w:rFonts w:hint="eastAsia" w:hAnsi="宋体" w:cs="宋体"/>
                <w:szCs w:val="18"/>
              </w:rPr>
              <w:t>财务状况</w:t>
            </w:r>
          </w:p>
        </w:tc>
        <w:tc>
          <w:tcPr>
            <w:tcW w:w="521" w:type="dxa"/>
            <w:vMerge w:val="restart"/>
            <w:shd w:val="clear" w:color="auto" w:fill="auto"/>
            <w:vAlign w:val="center"/>
          </w:tcPr>
          <w:p>
            <w:pPr>
              <w:pStyle w:val="179"/>
              <w:rPr>
                <w:rFonts w:hAnsi="宋体" w:cs="宋体"/>
                <w:szCs w:val="18"/>
              </w:rPr>
            </w:pPr>
            <w:r>
              <w:rPr>
                <w:rFonts w:hint="eastAsia" w:hAnsi="宋体" w:cs="宋体"/>
                <w:szCs w:val="18"/>
              </w:rPr>
              <w:t>10</w:t>
            </w:r>
          </w:p>
        </w:tc>
        <w:tc>
          <w:tcPr>
            <w:tcW w:w="1943" w:type="dxa"/>
            <w:shd w:val="clear" w:color="auto" w:fill="auto"/>
            <w:vAlign w:val="center"/>
          </w:tcPr>
          <w:p>
            <w:pPr>
              <w:pStyle w:val="179"/>
              <w:rPr>
                <w:rFonts w:hAnsi="宋体" w:cs="宋体"/>
                <w:szCs w:val="18"/>
              </w:rPr>
            </w:pPr>
            <w:r>
              <w:rPr>
                <w:rFonts w:hint="eastAsia" w:hAnsi="宋体" w:cs="宋体"/>
                <w:szCs w:val="18"/>
              </w:rPr>
              <w:t>资产负债率（%）</w:t>
            </w:r>
          </w:p>
        </w:tc>
        <w:tc>
          <w:tcPr>
            <w:tcW w:w="765" w:type="dxa"/>
            <w:shd w:val="clear" w:color="auto" w:fill="auto"/>
            <w:vAlign w:val="center"/>
          </w:tcPr>
          <w:p>
            <w:pPr>
              <w:pStyle w:val="179"/>
              <w:rPr>
                <w:rFonts w:hAnsi="宋体" w:cs="宋体"/>
                <w:szCs w:val="18"/>
              </w:rPr>
            </w:pPr>
            <w:r>
              <w:rPr>
                <w:rFonts w:hint="eastAsia" w:hAnsi="宋体" w:cs="宋体"/>
                <w:szCs w:val="18"/>
              </w:rPr>
              <w:t>R≥89</w:t>
            </w:r>
          </w:p>
        </w:tc>
        <w:tc>
          <w:tcPr>
            <w:tcW w:w="1207" w:type="dxa"/>
            <w:shd w:val="clear" w:color="auto" w:fill="auto"/>
            <w:vAlign w:val="center"/>
          </w:tcPr>
          <w:p>
            <w:pPr>
              <w:pStyle w:val="179"/>
              <w:rPr>
                <w:rFonts w:hAnsi="宋体" w:cs="宋体"/>
                <w:spacing w:val="-8"/>
                <w:szCs w:val="18"/>
              </w:rPr>
            </w:pPr>
            <w:r>
              <w:rPr>
                <w:rFonts w:hint="eastAsia" w:hAnsi="宋体" w:cs="宋体"/>
                <w:spacing w:val="-8"/>
                <w:szCs w:val="18"/>
              </w:rPr>
              <w:t>74</w:t>
            </w:r>
            <w:r>
              <w:rPr>
                <w:rFonts w:hint="eastAsia" w:hAnsi="宋体" w:cs="宋体"/>
                <w:szCs w:val="18"/>
              </w:rPr>
              <w:t>≤R＜</w:t>
            </w:r>
            <w:r>
              <w:rPr>
                <w:rFonts w:hint="eastAsia" w:hAnsi="宋体" w:cs="宋体"/>
                <w:spacing w:val="-8"/>
                <w:szCs w:val="18"/>
              </w:rPr>
              <w:t>89</w:t>
            </w:r>
          </w:p>
        </w:tc>
        <w:tc>
          <w:tcPr>
            <w:tcW w:w="1178" w:type="dxa"/>
            <w:shd w:val="clear" w:color="auto" w:fill="auto"/>
            <w:vAlign w:val="center"/>
          </w:tcPr>
          <w:p>
            <w:pPr>
              <w:pStyle w:val="179"/>
              <w:rPr>
                <w:rFonts w:hAnsi="宋体" w:cs="宋体"/>
                <w:spacing w:val="-8"/>
                <w:szCs w:val="18"/>
              </w:rPr>
            </w:pPr>
            <w:r>
              <w:rPr>
                <w:rFonts w:hint="eastAsia" w:hAnsi="宋体" w:cs="宋体"/>
                <w:spacing w:val="-8"/>
                <w:szCs w:val="18"/>
              </w:rPr>
              <w:t>64≤R＜74</w:t>
            </w:r>
          </w:p>
        </w:tc>
        <w:tc>
          <w:tcPr>
            <w:tcW w:w="1179" w:type="dxa"/>
            <w:shd w:val="clear" w:color="auto" w:fill="auto"/>
            <w:vAlign w:val="center"/>
          </w:tcPr>
          <w:p>
            <w:pPr>
              <w:pStyle w:val="179"/>
              <w:rPr>
                <w:rFonts w:hAnsi="宋体" w:cs="宋体"/>
                <w:spacing w:val="-8"/>
                <w:szCs w:val="18"/>
              </w:rPr>
            </w:pPr>
            <w:r>
              <w:rPr>
                <w:rFonts w:hint="eastAsia" w:hAnsi="宋体" w:cs="宋体"/>
                <w:spacing w:val="-8"/>
                <w:szCs w:val="18"/>
              </w:rPr>
              <w:t>54≤R＜64</w:t>
            </w:r>
          </w:p>
        </w:tc>
        <w:tc>
          <w:tcPr>
            <w:tcW w:w="794" w:type="dxa"/>
            <w:shd w:val="clear" w:color="auto" w:fill="auto"/>
            <w:vAlign w:val="center"/>
          </w:tcPr>
          <w:p>
            <w:pPr>
              <w:pStyle w:val="179"/>
              <w:rPr>
                <w:rFonts w:hAnsi="宋体" w:cs="宋体"/>
                <w:szCs w:val="18"/>
              </w:rPr>
            </w:pPr>
            <w:r>
              <w:rPr>
                <w:rFonts w:hint="eastAsia" w:hAnsi="宋体" w:cs="宋体"/>
                <w:szCs w:val="18"/>
              </w:rPr>
              <w:t>R＜54</w:t>
            </w:r>
          </w:p>
        </w:tc>
        <w:tc>
          <w:tcPr>
            <w:tcW w:w="823" w:type="dxa"/>
            <w:shd w:val="clear" w:color="auto" w:fill="auto"/>
            <w:vAlign w:val="center"/>
          </w:tcPr>
          <w:p>
            <w:pPr>
              <w:pStyle w:val="179"/>
              <w:rPr>
                <w:rFonts w:hAnsi="宋体" w:cs="宋体"/>
                <w:szCs w:val="18"/>
              </w:rPr>
            </w:pPr>
            <w:r>
              <w:rPr>
                <w:rFonts w:hint="eastAsia" w:hAnsi="宋体" w:cs="宋体"/>
                <w:szCs w:val="18"/>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营业收入增长率（%）</w:t>
            </w:r>
          </w:p>
        </w:tc>
        <w:tc>
          <w:tcPr>
            <w:tcW w:w="765" w:type="dxa"/>
            <w:shd w:val="clear" w:color="auto" w:fill="auto"/>
            <w:vAlign w:val="center"/>
          </w:tcPr>
          <w:p>
            <w:pPr>
              <w:pStyle w:val="179"/>
              <w:rPr>
                <w:rFonts w:hAnsi="宋体" w:cs="宋体"/>
                <w:szCs w:val="18"/>
              </w:rPr>
            </w:pPr>
            <w:r>
              <w:rPr>
                <w:rFonts w:hint="eastAsia" w:hAnsi="宋体" w:cs="宋体"/>
                <w:szCs w:val="18"/>
              </w:rPr>
              <w:t>R＜-14</w:t>
            </w:r>
          </w:p>
        </w:tc>
        <w:tc>
          <w:tcPr>
            <w:tcW w:w="1207" w:type="dxa"/>
            <w:shd w:val="clear" w:color="auto" w:fill="auto"/>
            <w:vAlign w:val="center"/>
          </w:tcPr>
          <w:p>
            <w:pPr>
              <w:pStyle w:val="179"/>
              <w:rPr>
                <w:rFonts w:hAnsi="宋体" w:cs="宋体"/>
                <w:spacing w:val="-8"/>
                <w:szCs w:val="18"/>
              </w:rPr>
            </w:pPr>
            <w:r>
              <w:rPr>
                <w:rFonts w:hint="eastAsia" w:hAnsi="宋体" w:cs="宋体"/>
                <w:spacing w:val="-8"/>
                <w:szCs w:val="18"/>
              </w:rPr>
              <w:t>-14≤R＜-4</w:t>
            </w:r>
          </w:p>
        </w:tc>
        <w:tc>
          <w:tcPr>
            <w:tcW w:w="1178" w:type="dxa"/>
            <w:shd w:val="clear" w:color="auto" w:fill="auto"/>
            <w:vAlign w:val="center"/>
          </w:tcPr>
          <w:p>
            <w:pPr>
              <w:pStyle w:val="179"/>
              <w:rPr>
                <w:rFonts w:hAnsi="宋体" w:cs="宋体"/>
                <w:spacing w:val="-8"/>
                <w:szCs w:val="18"/>
              </w:rPr>
            </w:pPr>
            <w:r>
              <w:rPr>
                <w:rFonts w:hint="eastAsia" w:hAnsi="宋体" w:cs="宋体"/>
                <w:spacing w:val="-8"/>
                <w:szCs w:val="18"/>
              </w:rPr>
              <w:t>-4≤R＜6</w:t>
            </w:r>
          </w:p>
        </w:tc>
        <w:tc>
          <w:tcPr>
            <w:tcW w:w="1179" w:type="dxa"/>
            <w:shd w:val="clear" w:color="auto" w:fill="auto"/>
            <w:vAlign w:val="center"/>
          </w:tcPr>
          <w:p>
            <w:pPr>
              <w:pStyle w:val="179"/>
              <w:rPr>
                <w:rFonts w:hAnsi="宋体" w:cs="宋体"/>
                <w:spacing w:val="-8"/>
                <w:szCs w:val="18"/>
              </w:rPr>
            </w:pPr>
            <w:r>
              <w:rPr>
                <w:rFonts w:hint="eastAsia" w:hAnsi="宋体" w:cs="宋体"/>
                <w:spacing w:val="-8"/>
                <w:szCs w:val="18"/>
              </w:rPr>
              <w:t>6≤R＜12</w:t>
            </w:r>
          </w:p>
        </w:tc>
        <w:tc>
          <w:tcPr>
            <w:tcW w:w="794" w:type="dxa"/>
            <w:shd w:val="clear" w:color="auto" w:fill="auto"/>
            <w:vAlign w:val="center"/>
          </w:tcPr>
          <w:p>
            <w:pPr>
              <w:pStyle w:val="179"/>
              <w:rPr>
                <w:rFonts w:hAnsi="宋体" w:cs="宋体"/>
                <w:szCs w:val="18"/>
              </w:rPr>
            </w:pPr>
            <w:r>
              <w:rPr>
                <w:rFonts w:hint="eastAsia" w:hAnsi="宋体" w:cs="宋体"/>
                <w:szCs w:val="18"/>
              </w:rPr>
              <w:t>R≥12</w:t>
            </w:r>
          </w:p>
        </w:tc>
        <w:tc>
          <w:tcPr>
            <w:tcW w:w="823" w:type="dxa"/>
            <w:shd w:val="clear" w:color="auto" w:fill="auto"/>
            <w:vAlign w:val="center"/>
          </w:tcPr>
          <w:p>
            <w:pPr>
              <w:pStyle w:val="179"/>
              <w:rPr>
                <w:rFonts w:hAnsi="宋体" w:cs="宋体"/>
                <w:szCs w:val="18"/>
              </w:rPr>
            </w:pPr>
            <w:r>
              <w:rPr>
                <w:rFonts w:hint="eastAsia" w:hAnsi="宋体" w:cs="宋体"/>
                <w:szCs w:val="18"/>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总资产周转率（%）</w:t>
            </w:r>
          </w:p>
        </w:tc>
        <w:tc>
          <w:tcPr>
            <w:tcW w:w="765" w:type="dxa"/>
            <w:shd w:val="clear" w:color="auto" w:fill="auto"/>
            <w:vAlign w:val="center"/>
          </w:tcPr>
          <w:p>
            <w:pPr>
              <w:pStyle w:val="179"/>
              <w:rPr>
                <w:rFonts w:hAnsi="宋体" w:cs="宋体"/>
                <w:szCs w:val="18"/>
              </w:rPr>
            </w:pPr>
            <w:r>
              <w:rPr>
                <w:rFonts w:hint="eastAsia" w:hAnsi="宋体" w:cs="宋体"/>
                <w:szCs w:val="18"/>
              </w:rPr>
              <w:t>R＜0.2</w:t>
            </w:r>
          </w:p>
        </w:tc>
        <w:tc>
          <w:tcPr>
            <w:tcW w:w="1207" w:type="dxa"/>
            <w:shd w:val="clear" w:color="auto" w:fill="auto"/>
            <w:vAlign w:val="center"/>
          </w:tcPr>
          <w:p>
            <w:pPr>
              <w:pStyle w:val="179"/>
              <w:rPr>
                <w:rFonts w:hAnsi="宋体" w:cs="宋体"/>
                <w:spacing w:val="-8"/>
                <w:szCs w:val="18"/>
              </w:rPr>
            </w:pPr>
            <w:r>
              <w:rPr>
                <w:rFonts w:hint="eastAsia" w:hAnsi="宋体" w:cs="宋体"/>
                <w:spacing w:val="-8"/>
                <w:szCs w:val="18"/>
              </w:rPr>
              <w:t>0.2≤R＜0.4</w:t>
            </w:r>
          </w:p>
        </w:tc>
        <w:tc>
          <w:tcPr>
            <w:tcW w:w="1178" w:type="dxa"/>
            <w:shd w:val="clear" w:color="auto" w:fill="auto"/>
            <w:vAlign w:val="center"/>
          </w:tcPr>
          <w:p>
            <w:pPr>
              <w:pStyle w:val="179"/>
              <w:rPr>
                <w:rFonts w:hAnsi="宋体" w:cs="宋体"/>
                <w:spacing w:val="-8"/>
                <w:szCs w:val="18"/>
              </w:rPr>
            </w:pPr>
            <w:r>
              <w:rPr>
                <w:rFonts w:hint="eastAsia" w:hAnsi="宋体" w:cs="宋体"/>
                <w:spacing w:val="-8"/>
                <w:szCs w:val="18"/>
              </w:rPr>
              <w:t>0.4≤R＜0.8</w:t>
            </w:r>
          </w:p>
        </w:tc>
        <w:tc>
          <w:tcPr>
            <w:tcW w:w="1179" w:type="dxa"/>
            <w:shd w:val="clear" w:color="auto" w:fill="auto"/>
            <w:vAlign w:val="center"/>
          </w:tcPr>
          <w:p>
            <w:pPr>
              <w:pStyle w:val="179"/>
              <w:rPr>
                <w:rFonts w:hAnsi="宋体" w:cs="宋体"/>
                <w:spacing w:val="-8"/>
                <w:szCs w:val="18"/>
              </w:rPr>
            </w:pPr>
            <w:r>
              <w:rPr>
                <w:rFonts w:hint="eastAsia" w:hAnsi="宋体" w:cs="宋体"/>
                <w:spacing w:val="-8"/>
                <w:szCs w:val="18"/>
              </w:rPr>
              <w:t>0.8≤R＜1.2</w:t>
            </w:r>
          </w:p>
        </w:tc>
        <w:tc>
          <w:tcPr>
            <w:tcW w:w="794" w:type="dxa"/>
            <w:shd w:val="clear" w:color="auto" w:fill="auto"/>
            <w:vAlign w:val="center"/>
          </w:tcPr>
          <w:p>
            <w:pPr>
              <w:pStyle w:val="179"/>
              <w:rPr>
                <w:rFonts w:hAnsi="宋体" w:cs="宋体"/>
                <w:szCs w:val="18"/>
              </w:rPr>
            </w:pPr>
            <w:r>
              <w:rPr>
                <w:rFonts w:hint="eastAsia" w:hAnsi="宋体" w:cs="宋体"/>
                <w:szCs w:val="18"/>
              </w:rPr>
              <w:t>R≥1.2</w:t>
            </w:r>
          </w:p>
        </w:tc>
        <w:tc>
          <w:tcPr>
            <w:tcW w:w="823" w:type="dxa"/>
            <w:shd w:val="clear" w:color="auto" w:fill="auto"/>
            <w:vAlign w:val="center"/>
          </w:tcPr>
          <w:p>
            <w:pPr>
              <w:pStyle w:val="179"/>
              <w:rPr>
                <w:rFonts w:hAnsi="宋体" w:cs="宋体"/>
                <w:szCs w:val="18"/>
              </w:rPr>
            </w:pPr>
            <w:r>
              <w:rPr>
                <w:rFonts w:hint="eastAsia" w:hAnsi="宋体" w:cs="宋体"/>
                <w:szCs w:val="18"/>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应收账款周转率（次）</w:t>
            </w:r>
          </w:p>
        </w:tc>
        <w:tc>
          <w:tcPr>
            <w:tcW w:w="765" w:type="dxa"/>
            <w:shd w:val="clear" w:color="auto" w:fill="auto"/>
            <w:vAlign w:val="center"/>
          </w:tcPr>
          <w:p>
            <w:pPr>
              <w:pStyle w:val="179"/>
              <w:rPr>
                <w:rFonts w:hAnsi="宋体" w:cs="宋体"/>
                <w:szCs w:val="18"/>
              </w:rPr>
            </w:pPr>
            <w:r>
              <w:rPr>
                <w:rFonts w:hint="eastAsia" w:hAnsi="宋体" w:cs="宋体"/>
                <w:szCs w:val="18"/>
              </w:rPr>
              <w:t>R＜3.5</w:t>
            </w:r>
          </w:p>
        </w:tc>
        <w:tc>
          <w:tcPr>
            <w:tcW w:w="1207" w:type="dxa"/>
            <w:shd w:val="clear" w:color="auto" w:fill="auto"/>
            <w:vAlign w:val="center"/>
          </w:tcPr>
          <w:p>
            <w:pPr>
              <w:pStyle w:val="179"/>
              <w:rPr>
                <w:rFonts w:hAnsi="宋体" w:cs="宋体"/>
                <w:spacing w:val="-8"/>
                <w:szCs w:val="18"/>
              </w:rPr>
            </w:pPr>
            <w:r>
              <w:rPr>
                <w:rFonts w:hint="eastAsia" w:hAnsi="宋体" w:cs="宋体"/>
                <w:spacing w:val="-8"/>
                <w:szCs w:val="18"/>
              </w:rPr>
              <w:t>3.5≤R＜5.3</w:t>
            </w:r>
          </w:p>
        </w:tc>
        <w:tc>
          <w:tcPr>
            <w:tcW w:w="1178" w:type="dxa"/>
            <w:shd w:val="clear" w:color="auto" w:fill="auto"/>
            <w:vAlign w:val="center"/>
          </w:tcPr>
          <w:p>
            <w:pPr>
              <w:pStyle w:val="179"/>
              <w:rPr>
                <w:rFonts w:hAnsi="宋体" w:cs="宋体"/>
                <w:spacing w:val="-8"/>
                <w:szCs w:val="18"/>
              </w:rPr>
            </w:pPr>
            <w:r>
              <w:rPr>
                <w:rFonts w:hint="eastAsia" w:hAnsi="宋体" w:cs="宋体"/>
                <w:spacing w:val="-8"/>
                <w:szCs w:val="18"/>
              </w:rPr>
              <w:t>5.3≤R＜9.5</w:t>
            </w:r>
          </w:p>
        </w:tc>
        <w:tc>
          <w:tcPr>
            <w:tcW w:w="1179" w:type="dxa"/>
            <w:shd w:val="clear" w:color="auto" w:fill="auto"/>
            <w:vAlign w:val="center"/>
          </w:tcPr>
          <w:p>
            <w:pPr>
              <w:pStyle w:val="179"/>
              <w:rPr>
                <w:rFonts w:hAnsi="宋体" w:cs="宋体"/>
                <w:spacing w:val="-8"/>
                <w:szCs w:val="18"/>
              </w:rPr>
            </w:pPr>
            <w:r>
              <w:rPr>
                <w:rFonts w:hint="eastAsia" w:hAnsi="宋体" w:cs="宋体"/>
                <w:spacing w:val="-8"/>
                <w:szCs w:val="18"/>
              </w:rPr>
              <w:t>9.5≤R＜14.9</w:t>
            </w:r>
          </w:p>
        </w:tc>
        <w:tc>
          <w:tcPr>
            <w:tcW w:w="794" w:type="dxa"/>
            <w:shd w:val="clear" w:color="auto" w:fill="auto"/>
            <w:vAlign w:val="center"/>
          </w:tcPr>
          <w:p>
            <w:pPr>
              <w:pStyle w:val="179"/>
              <w:rPr>
                <w:rFonts w:hAnsi="宋体" w:cs="宋体"/>
                <w:szCs w:val="18"/>
              </w:rPr>
            </w:pPr>
            <w:r>
              <w:rPr>
                <w:rFonts w:hint="eastAsia" w:hAnsi="宋体" w:cs="宋体"/>
                <w:szCs w:val="18"/>
              </w:rPr>
              <w:t>R≥14.9</w:t>
            </w:r>
          </w:p>
        </w:tc>
        <w:tc>
          <w:tcPr>
            <w:tcW w:w="823" w:type="dxa"/>
            <w:shd w:val="clear" w:color="auto" w:fill="auto"/>
            <w:vAlign w:val="center"/>
          </w:tcPr>
          <w:p>
            <w:pPr>
              <w:pStyle w:val="179"/>
              <w:rPr>
                <w:rFonts w:hAnsi="宋体" w:cs="宋体"/>
                <w:szCs w:val="18"/>
              </w:rPr>
            </w:pPr>
            <w:r>
              <w:rPr>
                <w:rFonts w:hint="eastAsia" w:hAnsi="宋体" w:cs="宋体"/>
                <w:szCs w:val="18"/>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净资产收益率（%）</w:t>
            </w:r>
          </w:p>
        </w:tc>
        <w:tc>
          <w:tcPr>
            <w:tcW w:w="765" w:type="dxa"/>
            <w:shd w:val="clear" w:color="auto" w:fill="auto"/>
            <w:vAlign w:val="center"/>
          </w:tcPr>
          <w:p>
            <w:pPr>
              <w:pStyle w:val="179"/>
              <w:rPr>
                <w:rFonts w:hAnsi="宋体" w:cs="宋体"/>
                <w:szCs w:val="18"/>
              </w:rPr>
            </w:pPr>
            <w:r>
              <w:rPr>
                <w:rFonts w:hint="eastAsia" w:hAnsi="宋体" w:cs="宋体"/>
                <w:szCs w:val="18"/>
              </w:rPr>
              <w:t>R＜-9.2</w:t>
            </w:r>
          </w:p>
        </w:tc>
        <w:tc>
          <w:tcPr>
            <w:tcW w:w="1207" w:type="dxa"/>
            <w:shd w:val="clear" w:color="auto" w:fill="auto"/>
            <w:vAlign w:val="center"/>
          </w:tcPr>
          <w:p>
            <w:pPr>
              <w:pStyle w:val="179"/>
              <w:rPr>
                <w:rFonts w:hAnsi="宋体" w:cs="宋体"/>
                <w:spacing w:val="-8"/>
                <w:szCs w:val="18"/>
              </w:rPr>
            </w:pPr>
            <w:r>
              <w:rPr>
                <w:rFonts w:hint="eastAsia" w:hAnsi="宋体" w:cs="宋体"/>
                <w:spacing w:val="-8"/>
                <w:szCs w:val="18"/>
              </w:rPr>
              <w:t>-9.2≤R＜-3.2</w:t>
            </w:r>
          </w:p>
        </w:tc>
        <w:tc>
          <w:tcPr>
            <w:tcW w:w="1178" w:type="dxa"/>
            <w:shd w:val="clear" w:color="auto" w:fill="auto"/>
            <w:vAlign w:val="center"/>
          </w:tcPr>
          <w:p>
            <w:pPr>
              <w:pStyle w:val="179"/>
              <w:rPr>
                <w:rFonts w:hAnsi="宋体" w:cs="宋体"/>
                <w:spacing w:val="-8"/>
                <w:szCs w:val="18"/>
              </w:rPr>
            </w:pPr>
            <w:r>
              <w:rPr>
                <w:rFonts w:hint="eastAsia" w:hAnsi="宋体" w:cs="宋体"/>
                <w:spacing w:val="-8"/>
                <w:szCs w:val="18"/>
              </w:rPr>
              <w:t>-3.2≤R＜3.1</w:t>
            </w:r>
          </w:p>
        </w:tc>
        <w:tc>
          <w:tcPr>
            <w:tcW w:w="1179" w:type="dxa"/>
            <w:shd w:val="clear" w:color="auto" w:fill="auto"/>
            <w:vAlign w:val="center"/>
          </w:tcPr>
          <w:p>
            <w:pPr>
              <w:pStyle w:val="179"/>
              <w:rPr>
                <w:rFonts w:hAnsi="宋体" w:cs="宋体"/>
                <w:spacing w:val="-8"/>
                <w:szCs w:val="18"/>
              </w:rPr>
            </w:pPr>
            <w:r>
              <w:rPr>
                <w:rFonts w:hint="eastAsia" w:hAnsi="宋体" w:cs="宋体"/>
                <w:spacing w:val="-8"/>
                <w:szCs w:val="18"/>
              </w:rPr>
              <w:t>3.1≤R＜8.1</w:t>
            </w:r>
          </w:p>
        </w:tc>
        <w:tc>
          <w:tcPr>
            <w:tcW w:w="794" w:type="dxa"/>
            <w:shd w:val="clear" w:color="auto" w:fill="auto"/>
            <w:vAlign w:val="center"/>
          </w:tcPr>
          <w:p>
            <w:pPr>
              <w:pStyle w:val="179"/>
              <w:rPr>
                <w:rFonts w:hAnsi="宋体" w:cs="宋体"/>
                <w:szCs w:val="18"/>
              </w:rPr>
            </w:pPr>
            <w:r>
              <w:rPr>
                <w:rFonts w:hint="eastAsia" w:hAnsi="宋体" w:cs="宋体"/>
                <w:szCs w:val="18"/>
              </w:rPr>
              <w:t xml:space="preserve">R≥8.1 </w:t>
            </w:r>
          </w:p>
        </w:tc>
        <w:tc>
          <w:tcPr>
            <w:tcW w:w="823" w:type="dxa"/>
            <w:shd w:val="clear" w:color="auto" w:fill="auto"/>
            <w:vAlign w:val="center"/>
          </w:tcPr>
          <w:p>
            <w:pPr>
              <w:pStyle w:val="179"/>
              <w:rPr>
                <w:rFonts w:hAnsi="宋体" w:cs="宋体"/>
                <w:szCs w:val="18"/>
              </w:rPr>
            </w:pPr>
            <w:r>
              <w:rPr>
                <w:rFonts w:hint="eastAsia" w:hAnsi="宋体" w:cs="宋体"/>
                <w:szCs w:val="18"/>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销售（营业）利润率（%）</w:t>
            </w:r>
          </w:p>
        </w:tc>
        <w:tc>
          <w:tcPr>
            <w:tcW w:w="765" w:type="dxa"/>
            <w:shd w:val="clear" w:color="auto" w:fill="auto"/>
            <w:vAlign w:val="center"/>
          </w:tcPr>
          <w:p>
            <w:pPr>
              <w:pStyle w:val="179"/>
              <w:rPr>
                <w:rFonts w:hAnsi="宋体" w:cs="宋体"/>
                <w:szCs w:val="18"/>
              </w:rPr>
            </w:pPr>
            <w:r>
              <w:rPr>
                <w:rFonts w:hint="eastAsia" w:hAnsi="宋体" w:cs="宋体"/>
                <w:szCs w:val="18"/>
              </w:rPr>
              <w:t>R＜-4.5</w:t>
            </w:r>
          </w:p>
        </w:tc>
        <w:tc>
          <w:tcPr>
            <w:tcW w:w="1207" w:type="dxa"/>
            <w:shd w:val="clear" w:color="auto" w:fill="auto"/>
            <w:vAlign w:val="center"/>
          </w:tcPr>
          <w:p>
            <w:pPr>
              <w:pStyle w:val="179"/>
              <w:rPr>
                <w:rFonts w:hAnsi="宋体" w:cs="宋体"/>
                <w:spacing w:val="-8"/>
                <w:szCs w:val="18"/>
              </w:rPr>
            </w:pPr>
            <w:r>
              <w:rPr>
                <w:rFonts w:hint="eastAsia" w:hAnsi="宋体" w:cs="宋体"/>
                <w:spacing w:val="-8"/>
                <w:szCs w:val="18"/>
              </w:rPr>
              <w:t>-4.5≤R＜2.4</w:t>
            </w:r>
          </w:p>
        </w:tc>
        <w:tc>
          <w:tcPr>
            <w:tcW w:w="1178" w:type="dxa"/>
            <w:shd w:val="clear" w:color="auto" w:fill="auto"/>
            <w:vAlign w:val="center"/>
          </w:tcPr>
          <w:p>
            <w:pPr>
              <w:pStyle w:val="179"/>
              <w:rPr>
                <w:rFonts w:hAnsi="宋体" w:cs="宋体"/>
                <w:spacing w:val="-8"/>
                <w:szCs w:val="18"/>
              </w:rPr>
            </w:pPr>
            <w:r>
              <w:rPr>
                <w:rFonts w:hint="eastAsia" w:hAnsi="宋体" w:cs="宋体"/>
                <w:spacing w:val="-8"/>
                <w:szCs w:val="18"/>
              </w:rPr>
              <w:t>2.4≤R＜7.6</w:t>
            </w:r>
          </w:p>
        </w:tc>
        <w:tc>
          <w:tcPr>
            <w:tcW w:w="1179" w:type="dxa"/>
            <w:shd w:val="clear" w:color="auto" w:fill="auto"/>
            <w:vAlign w:val="center"/>
          </w:tcPr>
          <w:p>
            <w:pPr>
              <w:pStyle w:val="179"/>
              <w:rPr>
                <w:rFonts w:hAnsi="宋体" w:cs="宋体"/>
                <w:spacing w:val="-8"/>
                <w:szCs w:val="18"/>
              </w:rPr>
            </w:pPr>
            <w:r>
              <w:rPr>
                <w:rFonts w:hint="eastAsia" w:hAnsi="宋体" w:cs="宋体"/>
                <w:spacing w:val="-8"/>
                <w:szCs w:val="18"/>
              </w:rPr>
              <w:t>7.6≤R＜13.9</w:t>
            </w:r>
          </w:p>
        </w:tc>
        <w:tc>
          <w:tcPr>
            <w:tcW w:w="794" w:type="dxa"/>
            <w:shd w:val="clear" w:color="auto" w:fill="auto"/>
            <w:vAlign w:val="center"/>
          </w:tcPr>
          <w:p>
            <w:pPr>
              <w:pStyle w:val="179"/>
              <w:rPr>
                <w:rFonts w:hAnsi="宋体" w:cs="宋体"/>
                <w:szCs w:val="18"/>
              </w:rPr>
            </w:pPr>
            <w:r>
              <w:rPr>
                <w:rFonts w:hint="eastAsia" w:hAnsi="宋体" w:cs="宋体"/>
                <w:szCs w:val="18"/>
              </w:rPr>
              <w:t>R≥13.9</w:t>
            </w:r>
          </w:p>
        </w:tc>
        <w:tc>
          <w:tcPr>
            <w:tcW w:w="823" w:type="dxa"/>
            <w:shd w:val="clear" w:color="auto" w:fill="auto"/>
            <w:vAlign w:val="center"/>
          </w:tcPr>
          <w:p>
            <w:pPr>
              <w:pStyle w:val="179"/>
              <w:rPr>
                <w:rFonts w:hAnsi="宋体" w:cs="宋体"/>
                <w:szCs w:val="18"/>
              </w:rPr>
            </w:pPr>
            <w:r>
              <w:rPr>
                <w:rFonts w:hint="eastAsia" w:hAnsi="宋体" w:cs="宋体"/>
                <w:szCs w:val="18"/>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总资产报酬率（%）</w:t>
            </w:r>
          </w:p>
        </w:tc>
        <w:tc>
          <w:tcPr>
            <w:tcW w:w="765" w:type="dxa"/>
            <w:shd w:val="clear" w:color="auto" w:fill="auto"/>
            <w:vAlign w:val="center"/>
          </w:tcPr>
          <w:p>
            <w:pPr>
              <w:pStyle w:val="179"/>
              <w:rPr>
                <w:rFonts w:hAnsi="宋体" w:cs="宋体"/>
                <w:szCs w:val="18"/>
              </w:rPr>
            </w:pPr>
            <w:r>
              <w:rPr>
                <w:rFonts w:hint="eastAsia" w:hAnsi="宋体" w:cs="宋体"/>
                <w:szCs w:val="18"/>
              </w:rPr>
              <w:t>R＜-8.8</w:t>
            </w:r>
          </w:p>
        </w:tc>
        <w:tc>
          <w:tcPr>
            <w:tcW w:w="1207" w:type="dxa"/>
            <w:shd w:val="clear" w:color="auto" w:fill="auto"/>
            <w:vAlign w:val="center"/>
          </w:tcPr>
          <w:p>
            <w:pPr>
              <w:pStyle w:val="179"/>
              <w:rPr>
                <w:rFonts w:hAnsi="宋体" w:cs="宋体"/>
                <w:spacing w:val="-8"/>
                <w:szCs w:val="18"/>
              </w:rPr>
            </w:pPr>
            <w:r>
              <w:rPr>
                <w:rFonts w:hint="eastAsia" w:hAnsi="宋体" w:cs="宋体"/>
                <w:spacing w:val="-8"/>
                <w:szCs w:val="18"/>
              </w:rPr>
              <w:t>-8.8≤R＜-2.9</w:t>
            </w:r>
          </w:p>
        </w:tc>
        <w:tc>
          <w:tcPr>
            <w:tcW w:w="1178" w:type="dxa"/>
            <w:shd w:val="clear" w:color="auto" w:fill="auto"/>
            <w:vAlign w:val="center"/>
          </w:tcPr>
          <w:p>
            <w:pPr>
              <w:pStyle w:val="179"/>
              <w:rPr>
                <w:rFonts w:hAnsi="宋体" w:cs="宋体"/>
                <w:spacing w:val="-8"/>
                <w:szCs w:val="18"/>
              </w:rPr>
            </w:pPr>
            <w:r>
              <w:rPr>
                <w:rFonts w:hint="eastAsia" w:hAnsi="宋体" w:cs="宋体"/>
                <w:spacing w:val="-8"/>
                <w:szCs w:val="18"/>
              </w:rPr>
              <w:t>-2.9≤R＜2</w:t>
            </w:r>
          </w:p>
        </w:tc>
        <w:tc>
          <w:tcPr>
            <w:tcW w:w="1179" w:type="dxa"/>
            <w:shd w:val="clear" w:color="auto" w:fill="auto"/>
            <w:vAlign w:val="center"/>
          </w:tcPr>
          <w:p>
            <w:pPr>
              <w:pStyle w:val="179"/>
              <w:rPr>
                <w:rFonts w:hAnsi="宋体" w:cs="宋体"/>
                <w:spacing w:val="-8"/>
                <w:szCs w:val="18"/>
              </w:rPr>
            </w:pPr>
            <w:r>
              <w:rPr>
                <w:rFonts w:hint="eastAsia" w:hAnsi="宋体" w:cs="宋体"/>
                <w:spacing w:val="-8"/>
                <w:szCs w:val="18"/>
              </w:rPr>
              <w:t>2≤R＜6.3</w:t>
            </w:r>
          </w:p>
        </w:tc>
        <w:tc>
          <w:tcPr>
            <w:tcW w:w="794" w:type="dxa"/>
            <w:shd w:val="clear" w:color="auto" w:fill="auto"/>
            <w:vAlign w:val="center"/>
          </w:tcPr>
          <w:p>
            <w:pPr>
              <w:pStyle w:val="179"/>
              <w:rPr>
                <w:rFonts w:hAnsi="宋体" w:cs="宋体"/>
                <w:szCs w:val="18"/>
              </w:rPr>
            </w:pPr>
            <w:r>
              <w:rPr>
                <w:rFonts w:hint="eastAsia" w:hAnsi="宋体" w:cs="宋体"/>
                <w:szCs w:val="18"/>
              </w:rPr>
              <w:t>R≥6.3</w:t>
            </w:r>
          </w:p>
        </w:tc>
        <w:tc>
          <w:tcPr>
            <w:tcW w:w="823" w:type="dxa"/>
            <w:shd w:val="clear" w:color="auto" w:fill="auto"/>
            <w:vAlign w:val="center"/>
          </w:tcPr>
          <w:p>
            <w:pPr>
              <w:pStyle w:val="179"/>
              <w:rPr>
                <w:rFonts w:hAnsi="宋体" w:cs="宋体"/>
                <w:szCs w:val="18"/>
              </w:rPr>
            </w:pPr>
            <w:r>
              <w:rPr>
                <w:rFonts w:hint="eastAsia" w:hAnsi="宋体" w:cs="宋体"/>
                <w:szCs w:val="18"/>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存货周转率（%）</w:t>
            </w:r>
          </w:p>
        </w:tc>
        <w:tc>
          <w:tcPr>
            <w:tcW w:w="765" w:type="dxa"/>
            <w:shd w:val="clear" w:color="auto" w:fill="auto"/>
            <w:vAlign w:val="center"/>
          </w:tcPr>
          <w:p>
            <w:pPr>
              <w:pStyle w:val="179"/>
              <w:rPr>
                <w:rFonts w:hAnsi="宋体" w:cs="宋体"/>
                <w:szCs w:val="18"/>
              </w:rPr>
            </w:pPr>
            <w:r>
              <w:rPr>
                <w:rFonts w:hint="eastAsia" w:hAnsi="宋体" w:cs="宋体"/>
                <w:szCs w:val="18"/>
              </w:rPr>
              <w:t>R＜1.5</w:t>
            </w:r>
          </w:p>
        </w:tc>
        <w:tc>
          <w:tcPr>
            <w:tcW w:w="1207" w:type="dxa"/>
            <w:shd w:val="clear" w:color="auto" w:fill="auto"/>
            <w:vAlign w:val="center"/>
          </w:tcPr>
          <w:p>
            <w:pPr>
              <w:pStyle w:val="179"/>
              <w:rPr>
                <w:rFonts w:hAnsi="宋体" w:cs="宋体"/>
                <w:spacing w:val="-8"/>
                <w:szCs w:val="18"/>
              </w:rPr>
            </w:pPr>
            <w:r>
              <w:rPr>
                <w:rFonts w:hint="eastAsia" w:hAnsi="宋体" w:cs="宋体"/>
                <w:spacing w:val="-8"/>
                <w:szCs w:val="18"/>
              </w:rPr>
              <w:t>1.5≤R＜2.2</w:t>
            </w:r>
          </w:p>
        </w:tc>
        <w:tc>
          <w:tcPr>
            <w:tcW w:w="1178" w:type="dxa"/>
            <w:shd w:val="clear" w:color="auto" w:fill="auto"/>
            <w:vAlign w:val="center"/>
          </w:tcPr>
          <w:p>
            <w:pPr>
              <w:pStyle w:val="179"/>
              <w:rPr>
                <w:rFonts w:hAnsi="宋体" w:cs="宋体"/>
                <w:spacing w:val="-8"/>
                <w:szCs w:val="18"/>
              </w:rPr>
            </w:pPr>
            <w:r>
              <w:rPr>
                <w:rFonts w:hint="eastAsia" w:hAnsi="宋体" w:cs="宋体"/>
                <w:spacing w:val="-8"/>
                <w:szCs w:val="18"/>
              </w:rPr>
              <w:t>2.2≤R＜3.2</w:t>
            </w:r>
          </w:p>
        </w:tc>
        <w:tc>
          <w:tcPr>
            <w:tcW w:w="1179" w:type="dxa"/>
            <w:shd w:val="clear" w:color="auto" w:fill="auto"/>
            <w:vAlign w:val="center"/>
          </w:tcPr>
          <w:p>
            <w:pPr>
              <w:pStyle w:val="179"/>
              <w:rPr>
                <w:rFonts w:hAnsi="宋体" w:cs="宋体"/>
                <w:spacing w:val="-8"/>
                <w:szCs w:val="18"/>
              </w:rPr>
            </w:pPr>
            <w:r>
              <w:rPr>
                <w:rFonts w:hint="eastAsia" w:hAnsi="宋体" w:cs="宋体"/>
                <w:spacing w:val="-8"/>
                <w:szCs w:val="18"/>
              </w:rPr>
              <w:t>3.2≤R＜7.1</w:t>
            </w:r>
          </w:p>
        </w:tc>
        <w:tc>
          <w:tcPr>
            <w:tcW w:w="794" w:type="dxa"/>
            <w:shd w:val="clear" w:color="auto" w:fill="auto"/>
            <w:vAlign w:val="center"/>
          </w:tcPr>
          <w:p>
            <w:pPr>
              <w:pStyle w:val="179"/>
              <w:rPr>
                <w:rFonts w:hAnsi="宋体" w:cs="宋体"/>
                <w:szCs w:val="18"/>
              </w:rPr>
            </w:pPr>
            <w:r>
              <w:rPr>
                <w:rFonts w:hint="eastAsia" w:hAnsi="宋体" w:cs="宋体"/>
                <w:szCs w:val="18"/>
              </w:rPr>
              <w:t>R≥7.1</w:t>
            </w:r>
          </w:p>
        </w:tc>
        <w:tc>
          <w:tcPr>
            <w:tcW w:w="823" w:type="dxa"/>
            <w:shd w:val="clear" w:color="auto" w:fill="auto"/>
            <w:vAlign w:val="center"/>
          </w:tcPr>
          <w:p>
            <w:pPr>
              <w:pStyle w:val="179"/>
              <w:rPr>
                <w:rFonts w:hAnsi="宋体" w:cs="宋体"/>
                <w:szCs w:val="18"/>
              </w:rPr>
            </w:pPr>
            <w:r>
              <w:rPr>
                <w:rFonts w:hint="eastAsia" w:hAnsi="宋体" w:cs="宋体"/>
                <w:szCs w:val="18"/>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restart"/>
            <w:shd w:val="clear" w:color="auto" w:fill="auto"/>
            <w:vAlign w:val="center"/>
          </w:tcPr>
          <w:p>
            <w:pPr>
              <w:pStyle w:val="179"/>
              <w:rPr>
                <w:rFonts w:hAnsi="宋体" w:cs="宋体"/>
                <w:szCs w:val="18"/>
              </w:rPr>
            </w:pPr>
            <w:r>
              <w:rPr>
                <w:rFonts w:hint="eastAsia" w:hAnsi="宋体" w:cs="宋体"/>
                <w:szCs w:val="18"/>
              </w:rPr>
              <w:t>信誉记录</w:t>
            </w:r>
          </w:p>
        </w:tc>
        <w:tc>
          <w:tcPr>
            <w:tcW w:w="521" w:type="dxa"/>
            <w:vMerge w:val="restart"/>
            <w:shd w:val="clear" w:color="auto" w:fill="auto"/>
            <w:vAlign w:val="center"/>
          </w:tcPr>
          <w:p>
            <w:pPr>
              <w:pStyle w:val="179"/>
              <w:rPr>
                <w:rFonts w:hAnsi="宋体" w:cs="宋体"/>
                <w:szCs w:val="18"/>
              </w:rPr>
            </w:pPr>
            <w:r>
              <w:rPr>
                <w:rFonts w:hint="eastAsia" w:hAnsi="宋体" w:cs="宋体"/>
                <w:szCs w:val="18"/>
              </w:rPr>
              <w:t>30</w:t>
            </w:r>
          </w:p>
        </w:tc>
        <w:tc>
          <w:tcPr>
            <w:tcW w:w="1943" w:type="dxa"/>
            <w:shd w:val="clear" w:color="auto" w:fill="auto"/>
            <w:vAlign w:val="center"/>
          </w:tcPr>
          <w:p>
            <w:pPr>
              <w:pStyle w:val="179"/>
              <w:rPr>
                <w:rFonts w:hAnsi="宋体" w:cs="宋体"/>
                <w:szCs w:val="18"/>
              </w:rPr>
            </w:pPr>
            <w:r>
              <w:rPr>
                <w:rFonts w:hint="eastAsia" w:hAnsi="宋体" w:cs="宋体"/>
                <w:szCs w:val="18"/>
              </w:rPr>
              <w:t>年内不合格次数</w:t>
            </w:r>
          </w:p>
        </w:tc>
        <w:tc>
          <w:tcPr>
            <w:tcW w:w="765" w:type="dxa"/>
            <w:shd w:val="clear" w:color="auto" w:fill="auto"/>
            <w:vAlign w:val="center"/>
          </w:tcPr>
          <w:p>
            <w:pPr>
              <w:pStyle w:val="179"/>
              <w:rPr>
                <w:rFonts w:hAnsi="宋体" w:cs="宋体"/>
                <w:szCs w:val="18"/>
              </w:rPr>
            </w:pPr>
            <w:r>
              <w:rPr>
                <w:rFonts w:hint="eastAsia" w:hAnsi="宋体" w:cs="宋体"/>
                <w:szCs w:val="18"/>
              </w:rPr>
              <w:t>R≥5</w:t>
            </w:r>
          </w:p>
        </w:tc>
        <w:tc>
          <w:tcPr>
            <w:tcW w:w="1207" w:type="dxa"/>
            <w:shd w:val="clear" w:color="auto" w:fill="auto"/>
            <w:vAlign w:val="center"/>
          </w:tcPr>
          <w:p>
            <w:pPr>
              <w:pStyle w:val="179"/>
              <w:rPr>
                <w:rFonts w:hAnsi="宋体" w:cs="宋体"/>
                <w:szCs w:val="18"/>
              </w:rPr>
            </w:pPr>
            <w:r>
              <w:rPr>
                <w:rFonts w:hint="eastAsia" w:hAnsi="宋体" w:cs="宋体"/>
                <w:szCs w:val="18"/>
              </w:rPr>
              <w:t>3或4</w:t>
            </w:r>
          </w:p>
        </w:tc>
        <w:tc>
          <w:tcPr>
            <w:tcW w:w="1178" w:type="dxa"/>
            <w:shd w:val="clear" w:color="auto" w:fill="auto"/>
            <w:vAlign w:val="center"/>
          </w:tcPr>
          <w:p>
            <w:pPr>
              <w:pStyle w:val="179"/>
              <w:rPr>
                <w:rFonts w:hAnsi="宋体" w:cs="宋体"/>
                <w:szCs w:val="18"/>
              </w:rPr>
            </w:pPr>
            <w:r>
              <w:rPr>
                <w:rFonts w:hint="eastAsia" w:hAnsi="宋体" w:cs="宋体"/>
                <w:szCs w:val="18"/>
              </w:rPr>
              <w:t>2</w:t>
            </w:r>
          </w:p>
        </w:tc>
        <w:tc>
          <w:tcPr>
            <w:tcW w:w="1179" w:type="dxa"/>
            <w:shd w:val="clear" w:color="auto" w:fill="auto"/>
            <w:vAlign w:val="center"/>
          </w:tcPr>
          <w:p>
            <w:pPr>
              <w:pStyle w:val="179"/>
              <w:rPr>
                <w:rFonts w:hAnsi="宋体" w:cs="宋体"/>
                <w:szCs w:val="18"/>
              </w:rPr>
            </w:pPr>
            <w:r>
              <w:rPr>
                <w:rFonts w:hint="eastAsia" w:hAnsi="宋体" w:cs="宋体"/>
                <w:szCs w:val="18"/>
              </w:rPr>
              <w:t>1</w:t>
            </w:r>
          </w:p>
        </w:tc>
        <w:tc>
          <w:tcPr>
            <w:tcW w:w="794" w:type="dxa"/>
            <w:shd w:val="clear" w:color="auto" w:fill="auto"/>
            <w:vAlign w:val="center"/>
          </w:tcPr>
          <w:p>
            <w:pPr>
              <w:pStyle w:val="179"/>
              <w:rPr>
                <w:rFonts w:hAnsi="宋体" w:cs="宋体"/>
                <w:szCs w:val="18"/>
              </w:rPr>
            </w:pPr>
            <w:r>
              <w:rPr>
                <w:rFonts w:hint="eastAsia" w:hAnsi="宋体" w:cs="宋体"/>
                <w:szCs w:val="18"/>
              </w:rPr>
              <w:t>0</w:t>
            </w:r>
          </w:p>
        </w:tc>
        <w:tc>
          <w:tcPr>
            <w:tcW w:w="823" w:type="dxa"/>
            <w:shd w:val="clear" w:color="auto" w:fill="auto"/>
            <w:vAlign w:val="center"/>
          </w:tcPr>
          <w:p>
            <w:pPr>
              <w:pStyle w:val="179"/>
              <w:rPr>
                <w:rFonts w:hAnsi="宋体" w:cs="宋体"/>
                <w:szCs w:val="18"/>
              </w:rPr>
            </w:pPr>
            <w:r>
              <w:rPr>
                <w:rFonts w:hint="eastAsia" w:hAnsi="宋体" w:cs="宋体"/>
                <w:szCs w:val="18"/>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被举报次数</w:t>
            </w:r>
          </w:p>
        </w:tc>
        <w:tc>
          <w:tcPr>
            <w:tcW w:w="765" w:type="dxa"/>
            <w:shd w:val="clear" w:color="auto" w:fill="auto"/>
            <w:vAlign w:val="center"/>
          </w:tcPr>
          <w:p>
            <w:pPr>
              <w:pStyle w:val="179"/>
              <w:rPr>
                <w:rFonts w:hAnsi="宋体" w:cs="宋体"/>
                <w:szCs w:val="18"/>
              </w:rPr>
            </w:pPr>
            <w:r>
              <w:rPr>
                <w:rFonts w:hint="eastAsia" w:hAnsi="宋体" w:cs="宋体"/>
                <w:szCs w:val="18"/>
              </w:rPr>
              <w:t>R≥5</w:t>
            </w:r>
          </w:p>
        </w:tc>
        <w:tc>
          <w:tcPr>
            <w:tcW w:w="1207" w:type="dxa"/>
            <w:shd w:val="clear" w:color="auto" w:fill="auto"/>
            <w:vAlign w:val="center"/>
          </w:tcPr>
          <w:p>
            <w:pPr>
              <w:pStyle w:val="179"/>
              <w:rPr>
                <w:rFonts w:hAnsi="宋体" w:cs="宋体"/>
                <w:szCs w:val="18"/>
              </w:rPr>
            </w:pPr>
            <w:r>
              <w:rPr>
                <w:rFonts w:hint="eastAsia" w:hAnsi="宋体" w:cs="宋体"/>
                <w:szCs w:val="18"/>
              </w:rPr>
              <w:t>3或4</w:t>
            </w:r>
          </w:p>
        </w:tc>
        <w:tc>
          <w:tcPr>
            <w:tcW w:w="1178" w:type="dxa"/>
            <w:shd w:val="clear" w:color="auto" w:fill="auto"/>
            <w:vAlign w:val="center"/>
          </w:tcPr>
          <w:p>
            <w:pPr>
              <w:pStyle w:val="179"/>
              <w:rPr>
                <w:rFonts w:hAnsi="宋体" w:cs="宋体"/>
                <w:szCs w:val="18"/>
              </w:rPr>
            </w:pPr>
            <w:r>
              <w:rPr>
                <w:rFonts w:hint="eastAsia" w:hAnsi="宋体" w:cs="宋体"/>
                <w:szCs w:val="18"/>
              </w:rPr>
              <w:t>2</w:t>
            </w:r>
          </w:p>
        </w:tc>
        <w:tc>
          <w:tcPr>
            <w:tcW w:w="1179" w:type="dxa"/>
            <w:shd w:val="clear" w:color="auto" w:fill="auto"/>
            <w:vAlign w:val="center"/>
          </w:tcPr>
          <w:p>
            <w:pPr>
              <w:pStyle w:val="179"/>
              <w:rPr>
                <w:rFonts w:hAnsi="宋体" w:cs="宋体"/>
                <w:szCs w:val="18"/>
              </w:rPr>
            </w:pPr>
            <w:r>
              <w:rPr>
                <w:rFonts w:hint="eastAsia" w:hAnsi="宋体" w:cs="宋体"/>
                <w:szCs w:val="18"/>
              </w:rPr>
              <w:t>1</w:t>
            </w:r>
          </w:p>
        </w:tc>
        <w:tc>
          <w:tcPr>
            <w:tcW w:w="794" w:type="dxa"/>
            <w:shd w:val="clear" w:color="auto" w:fill="auto"/>
            <w:vAlign w:val="center"/>
          </w:tcPr>
          <w:p>
            <w:pPr>
              <w:pStyle w:val="179"/>
              <w:rPr>
                <w:rFonts w:hAnsi="宋体" w:cs="宋体"/>
                <w:szCs w:val="18"/>
              </w:rPr>
            </w:pPr>
            <w:r>
              <w:rPr>
                <w:rFonts w:hint="eastAsia" w:hAnsi="宋体" w:cs="宋体"/>
                <w:szCs w:val="18"/>
              </w:rPr>
              <w:t>0</w:t>
            </w:r>
          </w:p>
        </w:tc>
        <w:tc>
          <w:tcPr>
            <w:tcW w:w="823" w:type="dxa"/>
            <w:shd w:val="clear" w:color="auto" w:fill="auto"/>
            <w:vAlign w:val="center"/>
          </w:tcPr>
          <w:p>
            <w:pPr>
              <w:pStyle w:val="179"/>
              <w:rPr>
                <w:rFonts w:hAnsi="宋体" w:cs="宋体"/>
                <w:szCs w:val="18"/>
              </w:rPr>
            </w:pPr>
            <w:r>
              <w:rPr>
                <w:rFonts w:hint="eastAsia" w:hAnsi="宋体" w:cs="宋体"/>
                <w:szCs w:val="18"/>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2年内的历史违约次数</w:t>
            </w:r>
          </w:p>
        </w:tc>
        <w:tc>
          <w:tcPr>
            <w:tcW w:w="765" w:type="dxa"/>
            <w:shd w:val="clear" w:color="auto" w:fill="auto"/>
            <w:vAlign w:val="center"/>
          </w:tcPr>
          <w:p>
            <w:pPr>
              <w:pStyle w:val="179"/>
              <w:rPr>
                <w:rFonts w:hAnsi="宋体" w:cs="宋体"/>
                <w:szCs w:val="18"/>
              </w:rPr>
            </w:pPr>
            <w:r>
              <w:rPr>
                <w:rFonts w:hint="eastAsia" w:hAnsi="宋体" w:cs="宋体"/>
                <w:szCs w:val="18"/>
              </w:rPr>
              <w:t>R≥5</w:t>
            </w:r>
          </w:p>
        </w:tc>
        <w:tc>
          <w:tcPr>
            <w:tcW w:w="1207" w:type="dxa"/>
            <w:shd w:val="clear" w:color="auto" w:fill="auto"/>
            <w:vAlign w:val="center"/>
          </w:tcPr>
          <w:p>
            <w:pPr>
              <w:pStyle w:val="179"/>
              <w:rPr>
                <w:rFonts w:hAnsi="宋体" w:cs="宋体"/>
                <w:szCs w:val="18"/>
              </w:rPr>
            </w:pPr>
            <w:r>
              <w:rPr>
                <w:rFonts w:hint="eastAsia" w:hAnsi="宋体" w:cs="宋体"/>
                <w:szCs w:val="18"/>
              </w:rPr>
              <w:t>3或4</w:t>
            </w:r>
          </w:p>
        </w:tc>
        <w:tc>
          <w:tcPr>
            <w:tcW w:w="1178" w:type="dxa"/>
            <w:shd w:val="clear" w:color="auto" w:fill="auto"/>
            <w:vAlign w:val="center"/>
          </w:tcPr>
          <w:p>
            <w:pPr>
              <w:pStyle w:val="179"/>
              <w:rPr>
                <w:rFonts w:hAnsi="宋体" w:cs="宋体"/>
                <w:szCs w:val="18"/>
              </w:rPr>
            </w:pPr>
            <w:r>
              <w:rPr>
                <w:rFonts w:hint="eastAsia" w:hAnsi="宋体" w:cs="宋体"/>
                <w:szCs w:val="18"/>
              </w:rPr>
              <w:t>2</w:t>
            </w:r>
          </w:p>
        </w:tc>
        <w:tc>
          <w:tcPr>
            <w:tcW w:w="1179" w:type="dxa"/>
            <w:shd w:val="clear" w:color="auto" w:fill="auto"/>
            <w:vAlign w:val="center"/>
          </w:tcPr>
          <w:p>
            <w:pPr>
              <w:pStyle w:val="179"/>
              <w:rPr>
                <w:rFonts w:hAnsi="宋体" w:cs="宋体"/>
                <w:szCs w:val="18"/>
              </w:rPr>
            </w:pPr>
            <w:r>
              <w:rPr>
                <w:rFonts w:hint="eastAsia" w:hAnsi="宋体" w:cs="宋体"/>
                <w:szCs w:val="18"/>
              </w:rPr>
              <w:t>1</w:t>
            </w:r>
          </w:p>
        </w:tc>
        <w:tc>
          <w:tcPr>
            <w:tcW w:w="794" w:type="dxa"/>
            <w:shd w:val="clear" w:color="auto" w:fill="auto"/>
            <w:vAlign w:val="center"/>
          </w:tcPr>
          <w:p>
            <w:pPr>
              <w:pStyle w:val="179"/>
              <w:rPr>
                <w:rFonts w:hAnsi="宋体" w:cs="宋体"/>
                <w:szCs w:val="18"/>
              </w:rPr>
            </w:pPr>
            <w:r>
              <w:rPr>
                <w:rFonts w:hint="eastAsia" w:hAnsi="宋体" w:cs="宋体"/>
                <w:szCs w:val="18"/>
              </w:rPr>
              <w:t>0</w:t>
            </w:r>
          </w:p>
        </w:tc>
        <w:tc>
          <w:tcPr>
            <w:tcW w:w="823" w:type="dxa"/>
            <w:shd w:val="clear" w:color="auto" w:fill="auto"/>
            <w:vAlign w:val="center"/>
          </w:tcPr>
          <w:p>
            <w:pPr>
              <w:pStyle w:val="179"/>
              <w:rPr>
                <w:rFonts w:hAnsi="宋体" w:cs="宋体"/>
                <w:szCs w:val="18"/>
              </w:rPr>
            </w:pPr>
            <w:r>
              <w:rPr>
                <w:rFonts w:hint="eastAsia" w:hAnsi="宋体" w:cs="宋体"/>
                <w:szCs w:val="18"/>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年度内所受奖励与惩罚</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较差</w:t>
            </w:r>
          </w:p>
        </w:tc>
        <w:tc>
          <w:tcPr>
            <w:tcW w:w="1178" w:type="dxa"/>
            <w:shd w:val="clear" w:color="auto" w:fill="auto"/>
            <w:vAlign w:val="center"/>
          </w:tcPr>
          <w:p>
            <w:pPr>
              <w:pStyle w:val="179"/>
              <w:rPr>
                <w:rFonts w:hAnsi="宋体" w:cs="宋体"/>
                <w:szCs w:val="18"/>
              </w:rPr>
            </w:pPr>
            <w:r>
              <w:rPr>
                <w:rFonts w:hint="eastAsia" w:hAnsi="宋体" w:cs="宋体"/>
                <w:szCs w:val="18"/>
              </w:rPr>
              <w:t>一般</w:t>
            </w:r>
          </w:p>
        </w:tc>
        <w:tc>
          <w:tcPr>
            <w:tcW w:w="1179" w:type="dxa"/>
            <w:shd w:val="clear" w:color="auto" w:fill="auto"/>
            <w:vAlign w:val="center"/>
          </w:tcPr>
          <w:p>
            <w:pPr>
              <w:pStyle w:val="179"/>
              <w:rPr>
                <w:rFonts w:hAnsi="宋体" w:cs="宋体"/>
                <w:szCs w:val="18"/>
              </w:rPr>
            </w:pPr>
            <w:r>
              <w:rPr>
                <w:rFonts w:hint="eastAsia" w:hAnsi="宋体" w:cs="宋体"/>
                <w:szCs w:val="18"/>
              </w:rPr>
              <w:t>良好</w:t>
            </w:r>
          </w:p>
        </w:tc>
        <w:tc>
          <w:tcPr>
            <w:tcW w:w="794" w:type="dxa"/>
            <w:shd w:val="clear" w:color="auto" w:fill="auto"/>
            <w:vAlign w:val="center"/>
          </w:tcPr>
          <w:p>
            <w:pPr>
              <w:pStyle w:val="179"/>
              <w:rPr>
                <w:rFonts w:hAnsi="宋体" w:cs="宋体"/>
                <w:szCs w:val="18"/>
              </w:rPr>
            </w:pPr>
            <w:r>
              <w:rPr>
                <w:rFonts w:hint="eastAsia" w:hAnsi="宋体" w:cs="宋体"/>
                <w:szCs w:val="18"/>
              </w:rPr>
              <w:t>优秀</w:t>
            </w:r>
          </w:p>
        </w:tc>
        <w:tc>
          <w:tcPr>
            <w:tcW w:w="823" w:type="dxa"/>
            <w:shd w:val="clear" w:color="auto" w:fill="auto"/>
            <w:vAlign w:val="center"/>
          </w:tcPr>
          <w:p>
            <w:pPr>
              <w:pStyle w:val="179"/>
              <w:rPr>
                <w:rFonts w:hAnsi="宋体" w:cs="宋体"/>
                <w:szCs w:val="18"/>
              </w:rPr>
            </w:pPr>
            <w:r>
              <w:rPr>
                <w:rFonts w:hint="eastAsia" w:hAnsi="宋体" w:cs="宋体"/>
                <w:szCs w:val="18"/>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restart"/>
            <w:shd w:val="clear" w:color="auto" w:fill="auto"/>
            <w:vAlign w:val="center"/>
          </w:tcPr>
          <w:p>
            <w:pPr>
              <w:pStyle w:val="179"/>
              <w:rPr>
                <w:rFonts w:hAnsi="宋体" w:cs="宋体"/>
                <w:szCs w:val="18"/>
              </w:rPr>
            </w:pPr>
            <w:r>
              <w:rPr>
                <w:rFonts w:hint="eastAsia" w:hAnsi="宋体" w:cs="宋体"/>
                <w:szCs w:val="18"/>
              </w:rPr>
              <w:t>质量控制水平</w:t>
            </w:r>
          </w:p>
        </w:tc>
        <w:tc>
          <w:tcPr>
            <w:tcW w:w="521" w:type="dxa"/>
            <w:vMerge w:val="restart"/>
            <w:shd w:val="clear" w:color="auto" w:fill="auto"/>
            <w:vAlign w:val="center"/>
          </w:tcPr>
          <w:p>
            <w:pPr>
              <w:pStyle w:val="179"/>
              <w:rPr>
                <w:rFonts w:hAnsi="宋体" w:cs="宋体"/>
                <w:szCs w:val="18"/>
              </w:rPr>
            </w:pPr>
            <w:r>
              <w:rPr>
                <w:rFonts w:hint="eastAsia" w:hAnsi="宋体" w:cs="宋体"/>
                <w:szCs w:val="18"/>
              </w:rPr>
              <w:t>30</w:t>
            </w:r>
          </w:p>
        </w:tc>
        <w:tc>
          <w:tcPr>
            <w:tcW w:w="1943" w:type="dxa"/>
            <w:shd w:val="clear" w:color="auto" w:fill="auto"/>
            <w:vAlign w:val="center"/>
          </w:tcPr>
          <w:p>
            <w:pPr>
              <w:pStyle w:val="179"/>
              <w:rPr>
                <w:rFonts w:hAnsi="宋体" w:cs="宋体"/>
                <w:szCs w:val="18"/>
              </w:rPr>
            </w:pPr>
            <w:r>
              <w:rPr>
                <w:rFonts w:hint="eastAsia" w:hAnsi="宋体" w:cs="宋体"/>
                <w:szCs w:val="18"/>
              </w:rPr>
              <w:t>自检情况</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较差</w:t>
            </w:r>
          </w:p>
        </w:tc>
        <w:tc>
          <w:tcPr>
            <w:tcW w:w="1178" w:type="dxa"/>
            <w:shd w:val="clear" w:color="auto" w:fill="auto"/>
            <w:vAlign w:val="center"/>
          </w:tcPr>
          <w:p>
            <w:pPr>
              <w:pStyle w:val="179"/>
              <w:rPr>
                <w:rFonts w:hAnsi="宋体" w:cs="宋体"/>
                <w:szCs w:val="18"/>
              </w:rPr>
            </w:pPr>
            <w:r>
              <w:rPr>
                <w:rFonts w:hint="eastAsia" w:hAnsi="宋体" w:cs="宋体"/>
                <w:szCs w:val="18"/>
              </w:rPr>
              <w:t>一般</w:t>
            </w:r>
          </w:p>
        </w:tc>
        <w:tc>
          <w:tcPr>
            <w:tcW w:w="1179" w:type="dxa"/>
            <w:shd w:val="clear" w:color="auto" w:fill="auto"/>
            <w:vAlign w:val="center"/>
          </w:tcPr>
          <w:p>
            <w:pPr>
              <w:pStyle w:val="179"/>
              <w:rPr>
                <w:rFonts w:hAnsi="宋体" w:cs="宋体"/>
                <w:szCs w:val="18"/>
              </w:rPr>
            </w:pPr>
            <w:r>
              <w:rPr>
                <w:rFonts w:hint="eastAsia" w:hAnsi="宋体" w:cs="宋体"/>
                <w:szCs w:val="18"/>
              </w:rPr>
              <w:t>良好</w:t>
            </w:r>
          </w:p>
        </w:tc>
        <w:tc>
          <w:tcPr>
            <w:tcW w:w="794" w:type="dxa"/>
            <w:shd w:val="clear" w:color="auto" w:fill="auto"/>
            <w:vAlign w:val="center"/>
          </w:tcPr>
          <w:p>
            <w:pPr>
              <w:pStyle w:val="179"/>
              <w:rPr>
                <w:rFonts w:hAnsi="宋体" w:cs="宋体"/>
                <w:szCs w:val="18"/>
              </w:rPr>
            </w:pPr>
            <w:r>
              <w:rPr>
                <w:rFonts w:hint="eastAsia" w:hAnsi="宋体" w:cs="宋体"/>
                <w:szCs w:val="18"/>
              </w:rPr>
              <w:t>优秀</w:t>
            </w:r>
          </w:p>
        </w:tc>
        <w:tc>
          <w:tcPr>
            <w:tcW w:w="823" w:type="dxa"/>
            <w:shd w:val="clear" w:color="auto" w:fill="auto"/>
            <w:vAlign w:val="center"/>
          </w:tcPr>
          <w:p>
            <w:pPr>
              <w:pStyle w:val="179"/>
              <w:rPr>
                <w:rFonts w:hAnsi="宋体" w:cs="宋体"/>
                <w:szCs w:val="18"/>
              </w:rPr>
            </w:pPr>
            <w:r>
              <w:rPr>
                <w:rFonts w:hint="eastAsia" w:hAnsi="宋体" w:cs="宋体"/>
                <w:szCs w:val="18"/>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原料控制能力强弱</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较差</w:t>
            </w:r>
          </w:p>
        </w:tc>
        <w:tc>
          <w:tcPr>
            <w:tcW w:w="1178" w:type="dxa"/>
            <w:shd w:val="clear" w:color="auto" w:fill="auto"/>
            <w:vAlign w:val="center"/>
          </w:tcPr>
          <w:p>
            <w:pPr>
              <w:pStyle w:val="179"/>
              <w:rPr>
                <w:rFonts w:hAnsi="宋体" w:cs="宋体"/>
                <w:szCs w:val="18"/>
              </w:rPr>
            </w:pPr>
            <w:r>
              <w:rPr>
                <w:rFonts w:hint="eastAsia" w:hAnsi="宋体" w:cs="宋体"/>
                <w:szCs w:val="18"/>
              </w:rPr>
              <w:t>一般</w:t>
            </w:r>
          </w:p>
        </w:tc>
        <w:tc>
          <w:tcPr>
            <w:tcW w:w="1179" w:type="dxa"/>
            <w:shd w:val="clear" w:color="auto" w:fill="auto"/>
            <w:vAlign w:val="center"/>
          </w:tcPr>
          <w:p>
            <w:pPr>
              <w:pStyle w:val="179"/>
              <w:rPr>
                <w:rFonts w:hAnsi="宋体" w:cs="宋体"/>
                <w:szCs w:val="18"/>
              </w:rPr>
            </w:pPr>
            <w:r>
              <w:rPr>
                <w:rFonts w:hint="eastAsia" w:hAnsi="宋体" w:cs="宋体"/>
                <w:szCs w:val="18"/>
              </w:rPr>
              <w:t>良好</w:t>
            </w:r>
          </w:p>
        </w:tc>
        <w:tc>
          <w:tcPr>
            <w:tcW w:w="794" w:type="dxa"/>
            <w:shd w:val="clear" w:color="auto" w:fill="auto"/>
            <w:vAlign w:val="center"/>
          </w:tcPr>
          <w:p>
            <w:pPr>
              <w:pStyle w:val="179"/>
              <w:rPr>
                <w:rFonts w:hAnsi="宋体" w:cs="宋体"/>
                <w:szCs w:val="18"/>
              </w:rPr>
            </w:pPr>
            <w:r>
              <w:rPr>
                <w:rFonts w:hint="eastAsia" w:hAnsi="宋体" w:cs="宋体"/>
                <w:szCs w:val="18"/>
              </w:rPr>
              <w:t>优秀</w:t>
            </w:r>
          </w:p>
        </w:tc>
        <w:tc>
          <w:tcPr>
            <w:tcW w:w="823" w:type="dxa"/>
            <w:shd w:val="clear" w:color="auto" w:fill="auto"/>
            <w:vAlign w:val="center"/>
          </w:tcPr>
          <w:p>
            <w:pPr>
              <w:pStyle w:val="179"/>
              <w:rPr>
                <w:rFonts w:hAnsi="宋体" w:cs="宋体"/>
                <w:szCs w:val="18"/>
              </w:rPr>
            </w:pPr>
            <w:r>
              <w:rPr>
                <w:rFonts w:hint="eastAsia" w:hAnsi="宋体" w:cs="宋体"/>
                <w:szCs w:val="18"/>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生产销售记录真实完整</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较差</w:t>
            </w:r>
          </w:p>
        </w:tc>
        <w:tc>
          <w:tcPr>
            <w:tcW w:w="1178" w:type="dxa"/>
            <w:shd w:val="clear" w:color="auto" w:fill="auto"/>
            <w:vAlign w:val="center"/>
          </w:tcPr>
          <w:p>
            <w:pPr>
              <w:pStyle w:val="179"/>
              <w:rPr>
                <w:rFonts w:hAnsi="宋体" w:cs="宋体"/>
                <w:szCs w:val="18"/>
              </w:rPr>
            </w:pPr>
            <w:r>
              <w:rPr>
                <w:rFonts w:hint="eastAsia" w:hAnsi="宋体" w:cs="宋体"/>
                <w:szCs w:val="18"/>
              </w:rPr>
              <w:t>一般</w:t>
            </w:r>
          </w:p>
        </w:tc>
        <w:tc>
          <w:tcPr>
            <w:tcW w:w="1179" w:type="dxa"/>
            <w:shd w:val="clear" w:color="auto" w:fill="auto"/>
            <w:vAlign w:val="center"/>
          </w:tcPr>
          <w:p>
            <w:pPr>
              <w:pStyle w:val="179"/>
              <w:rPr>
                <w:rFonts w:hAnsi="宋体" w:cs="宋体"/>
                <w:szCs w:val="18"/>
              </w:rPr>
            </w:pPr>
            <w:r>
              <w:rPr>
                <w:rFonts w:hint="eastAsia" w:hAnsi="宋体" w:cs="宋体"/>
                <w:szCs w:val="18"/>
              </w:rPr>
              <w:t>良好</w:t>
            </w:r>
          </w:p>
        </w:tc>
        <w:tc>
          <w:tcPr>
            <w:tcW w:w="794" w:type="dxa"/>
            <w:shd w:val="clear" w:color="auto" w:fill="auto"/>
            <w:vAlign w:val="center"/>
          </w:tcPr>
          <w:p>
            <w:pPr>
              <w:pStyle w:val="179"/>
              <w:rPr>
                <w:rFonts w:hAnsi="宋体" w:cs="宋体"/>
                <w:szCs w:val="18"/>
              </w:rPr>
            </w:pPr>
            <w:r>
              <w:rPr>
                <w:rFonts w:hint="eastAsia" w:hAnsi="宋体" w:cs="宋体"/>
                <w:szCs w:val="18"/>
              </w:rPr>
              <w:t>优秀</w:t>
            </w:r>
          </w:p>
        </w:tc>
        <w:tc>
          <w:tcPr>
            <w:tcW w:w="823" w:type="dxa"/>
            <w:shd w:val="clear" w:color="auto" w:fill="auto"/>
            <w:vAlign w:val="center"/>
          </w:tcPr>
          <w:p>
            <w:pPr>
              <w:pStyle w:val="179"/>
              <w:rPr>
                <w:rFonts w:hAnsi="宋体" w:cs="宋体"/>
                <w:szCs w:val="18"/>
              </w:rPr>
            </w:pPr>
            <w:r>
              <w:rPr>
                <w:rFonts w:hint="eastAsia" w:hAnsi="宋体" w:cs="宋体"/>
                <w:szCs w:val="18"/>
              </w:rPr>
              <w:t>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有无相关认证</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w:t>
            </w:r>
          </w:p>
        </w:tc>
        <w:tc>
          <w:tcPr>
            <w:tcW w:w="1178" w:type="dxa"/>
            <w:shd w:val="clear" w:color="auto" w:fill="auto"/>
            <w:vAlign w:val="center"/>
          </w:tcPr>
          <w:p>
            <w:pPr>
              <w:pStyle w:val="179"/>
              <w:rPr>
                <w:rFonts w:hAnsi="宋体" w:cs="宋体"/>
                <w:szCs w:val="18"/>
              </w:rPr>
            </w:pPr>
            <w:r>
              <w:rPr>
                <w:rFonts w:hint="eastAsia" w:hAnsi="宋体" w:cs="宋体"/>
                <w:szCs w:val="18"/>
              </w:rPr>
              <w:t>有但未使用</w:t>
            </w:r>
          </w:p>
        </w:tc>
        <w:tc>
          <w:tcPr>
            <w:tcW w:w="1179" w:type="dxa"/>
            <w:shd w:val="clear" w:color="auto" w:fill="auto"/>
            <w:vAlign w:val="center"/>
          </w:tcPr>
          <w:p>
            <w:pPr>
              <w:pStyle w:val="179"/>
              <w:rPr>
                <w:rFonts w:hAnsi="宋体" w:cs="宋体"/>
                <w:szCs w:val="18"/>
              </w:rPr>
            </w:pPr>
            <w:r>
              <w:rPr>
                <w:rFonts w:hint="eastAsia" w:hAnsi="宋体" w:cs="宋体"/>
                <w:szCs w:val="18"/>
              </w:rPr>
              <w:t>/</w:t>
            </w:r>
          </w:p>
        </w:tc>
        <w:tc>
          <w:tcPr>
            <w:tcW w:w="794" w:type="dxa"/>
            <w:shd w:val="clear" w:color="auto" w:fill="auto"/>
            <w:vAlign w:val="center"/>
          </w:tcPr>
          <w:p>
            <w:pPr>
              <w:pStyle w:val="179"/>
              <w:rPr>
                <w:rFonts w:hAnsi="宋体" w:cs="宋体"/>
                <w:szCs w:val="18"/>
              </w:rPr>
            </w:pPr>
            <w:r>
              <w:rPr>
                <w:rFonts w:hint="eastAsia" w:hAnsi="宋体" w:cs="宋体"/>
                <w:szCs w:val="18"/>
              </w:rPr>
              <w:t>有并使用</w:t>
            </w:r>
          </w:p>
        </w:tc>
        <w:tc>
          <w:tcPr>
            <w:tcW w:w="823" w:type="dxa"/>
            <w:shd w:val="clear" w:color="auto" w:fill="auto"/>
            <w:vAlign w:val="center"/>
          </w:tcPr>
          <w:p>
            <w:pPr>
              <w:pStyle w:val="179"/>
              <w:rPr>
                <w:rFonts w:hAnsi="宋体" w:cs="宋体"/>
                <w:szCs w:val="18"/>
              </w:rPr>
            </w:pPr>
            <w:r>
              <w:rPr>
                <w:rFonts w:hint="eastAsia" w:hAnsi="宋体" w:cs="宋体"/>
                <w:szCs w:val="18"/>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产品生产可追溯程度</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较差</w:t>
            </w:r>
          </w:p>
        </w:tc>
        <w:tc>
          <w:tcPr>
            <w:tcW w:w="1178" w:type="dxa"/>
            <w:shd w:val="clear" w:color="auto" w:fill="auto"/>
            <w:vAlign w:val="center"/>
          </w:tcPr>
          <w:p>
            <w:pPr>
              <w:pStyle w:val="179"/>
              <w:rPr>
                <w:rFonts w:hAnsi="宋体" w:cs="宋体"/>
                <w:szCs w:val="18"/>
              </w:rPr>
            </w:pPr>
            <w:r>
              <w:rPr>
                <w:rFonts w:hint="eastAsia" w:hAnsi="宋体" w:cs="宋体"/>
                <w:szCs w:val="18"/>
              </w:rPr>
              <w:t>一般</w:t>
            </w:r>
          </w:p>
        </w:tc>
        <w:tc>
          <w:tcPr>
            <w:tcW w:w="1179" w:type="dxa"/>
            <w:shd w:val="clear" w:color="auto" w:fill="auto"/>
            <w:vAlign w:val="center"/>
          </w:tcPr>
          <w:p>
            <w:pPr>
              <w:pStyle w:val="179"/>
              <w:rPr>
                <w:rFonts w:hAnsi="宋体" w:cs="宋体"/>
                <w:szCs w:val="18"/>
              </w:rPr>
            </w:pPr>
            <w:r>
              <w:rPr>
                <w:rFonts w:hint="eastAsia" w:hAnsi="宋体" w:cs="宋体"/>
                <w:szCs w:val="18"/>
              </w:rPr>
              <w:t>良好</w:t>
            </w:r>
          </w:p>
        </w:tc>
        <w:tc>
          <w:tcPr>
            <w:tcW w:w="794" w:type="dxa"/>
            <w:shd w:val="clear" w:color="auto" w:fill="auto"/>
            <w:vAlign w:val="center"/>
          </w:tcPr>
          <w:p>
            <w:pPr>
              <w:pStyle w:val="179"/>
              <w:rPr>
                <w:rFonts w:hAnsi="宋体" w:cs="宋体"/>
                <w:szCs w:val="18"/>
              </w:rPr>
            </w:pPr>
            <w:r>
              <w:rPr>
                <w:rFonts w:hint="eastAsia" w:hAnsi="宋体" w:cs="宋体"/>
                <w:szCs w:val="18"/>
              </w:rPr>
              <w:t>优秀</w:t>
            </w:r>
          </w:p>
        </w:tc>
        <w:tc>
          <w:tcPr>
            <w:tcW w:w="823" w:type="dxa"/>
            <w:shd w:val="clear" w:color="auto" w:fill="auto"/>
            <w:vAlign w:val="center"/>
          </w:tcPr>
          <w:p>
            <w:pPr>
              <w:pStyle w:val="179"/>
              <w:rPr>
                <w:rFonts w:hAnsi="宋体" w:cs="宋体"/>
                <w:szCs w:val="18"/>
              </w:rPr>
            </w:pPr>
            <w:r>
              <w:rPr>
                <w:rFonts w:hint="eastAsia" w:hAnsi="宋体" w:cs="宋体"/>
                <w:szCs w:val="18"/>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restart"/>
            <w:shd w:val="clear" w:color="auto" w:fill="auto"/>
            <w:vAlign w:val="center"/>
          </w:tcPr>
          <w:p>
            <w:pPr>
              <w:pStyle w:val="179"/>
              <w:rPr>
                <w:rFonts w:hAnsi="宋体" w:cs="宋体"/>
                <w:szCs w:val="18"/>
              </w:rPr>
            </w:pPr>
            <w:r>
              <w:rPr>
                <w:rFonts w:hint="eastAsia" w:hAnsi="宋体" w:cs="宋体"/>
                <w:szCs w:val="18"/>
              </w:rPr>
              <w:t>投入品管理</w:t>
            </w:r>
          </w:p>
        </w:tc>
        <w:tc>
          <w:tcPr>
            <w:tcW w:w="521" w:type="dxa"/>
            <w:vMerge w:val="restart"/>
            <w:shd w:val="clear" w:color="auto" w:fill="auto"/>
            <w:vAlign w:val="center"/>
          </w:tcPr>
          <w:p>
            <w:pPr>
              <w:pStyle w:val="179"/>
              <w:rPr>
                <w:rFonts w:hAnsi="宋体" w:cs="宋体"/>
                <w:szCs w:val="18"/>
              </w:rPr>
            </w:pPr>
            <w:r>
              <w:rPr>
                <w:rFonts w:hint="eastAsia" w:hAnsi="宋体" w:cs="宋体"/>
                <w:szCs w:val="18"/>
              </w:rPr>
              <w:t>15</w:t>
            </w:r>
          </w:p>
        </w:tc>
        <w:tc>
          <w:tcPr>
            <w:tcW w:w="1943" w:type="dxa"/>
            <w:shd w:val="clear" w:color="auto" w:fill="auto"/>
            <w:vAlign w:val="center"/>
          </w:tcPr>
          <w:p>
            <w:pPr>
              <w:pStyle w:val="179"/>
              <w:spacing w:line="240" w:lineRule="exact"/>
              <w:rPr>
                <w:rFonts w:hAnsi="宋体" w:cs="宋体"/>
                <w:szCs w:val="18"/>
              </w:rPr>
            </w:pPr>
            <w:r>
              <w:rPr>
                <w:rFonts w:hint="eastAsia" w:hAnsi="宋体" w:cs="宋体"/>
                <w:szCs w:val="18"/>
              </w:rPr>
              <w:t>连续2年购买投入品索证索票并保存</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较差</w:t>
            </w:r>
          </w:p>
        </w:tc>
        <w:tc>
          <w:tcPr>
            <w:tcW w:w="1178" w:type="dxa"/>
            <w:shd w:val="clear" w:color="auto" w:fill="auto"/>
            <w:vAlign w:val="center"/>
          </w:tcPr>
          <w:p>
            <w:pPr>
              <w:pStyle w:val="179"/>
              <w:rPr>
                <w:rFonts w:hAnsi="宋体" w:cs="宋体"/>
                <w:szCs w:val="18"/>
              </w:rPr>
            </w:pPr>
            <w:r>
              <w:rPr>
                <w:rFonts w:hint="eastAsia" w:hAnsi="宋体" w:cs="宋体"/>
                <w:szCs w:val="18"/>
              </w:rPr>
              <w:t>一般</w:t>
            </w:r>
          </w:p>
        </w:tc>
        <w:tc>
          <w:tcPr>
            <w:tcW w:w="1179" w:type="dxa"/>
            <w:shd w:val="clear" w:color="auto" w:fill="auto"/>
            <w:vAlign w:val="center"/>
          </w:tcPr>
          <w:p>
            <w:pPr>
              <w:pStyle w:val="179"/>
              <w:rPr>
                <w:rFonts w:hAnsi="宋体" w:cs="宋体"/>
                <w:szCs w:val="18"/>
              </w:rPr>
            </w:pPr>
            <w:r>
              <w:rPr>
                <w:rFonts w:hint="eastAsia" w:hAnsi="宋体" w:cs="宋体"/>
                <w:szCs w:val="18"/>
              </w:rPr>
              <w:t>良好</w:t>
            </w:r>
          </w:p>
        </w:tc>
        <w:tc>
          <w:tcPr>
            <w:tcW w:w="794" w:type="dxa"/>
            <w:shd w:val="clear" w:color="auto" w:fill="auto"/>
            <w:vAlign w:val="center"/>
          </w:tcPr>
          <w:p>
            <w:pPr>
              <w:pStyle w:val="179"/>
              <w:rPr>
                <w:rFonts w:hAnsi="宋体" w:cs="宋体"/>
                <w:szCs w:val="18"/>
              </w:rPr>
            </w:pPr>
            <w:r>
              <w:rPr>
                <w:rFonts w:hint="eastAsia" w:hAnsi="宋体" w:cs="宋体"/>
                <w:szCs w:val="18"/>
              </w:rPr>
              <w:t>优秀</w:t>
            </w:r>
          </w:p>
        </w:tc>
        <w:tc>
          <w:tcPr>
            <w:tcW w:w="823" w:type="dxa"/>
            <w:shd w:val="clear" w:color="auto" w:fill="auto"/>
            <w:vAlign w:val="center"/>
          </w:tcPr>
          <w:p>
            <w:pPr>
              <w:pStyle w:val="179"/>
              <w:rPr>
                <w:rFonts w:hAnsi="宋体" w:cs="宋体"/>
                <w:szCs w:val="18"/>
              </w:rPr>
            </w:pPr>
            <w:r>
              <w:rPr>
                <w:rFonts w:hint="eastAsia" w:hAnsi="宋体" w:cs="宋体"/>
                <w:szCs w:val="18"/>
              </w:rPr>
              <w:t>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spacing w:line="240" w:lineRule="exact"/>
              <w:rPr>
                <w:rFonts w:hAnsi="宋体" w:cs="宋体"/>
                <w:szCs w:val="18"/>
              </w:rPr>
            </w:pPr>
            <w:r>
              <w:rPr>
                <w:rFonts w:hint="eastAsia" w:hAnsi="宋体" w:cs="宋体"/>
                <w:szCs w:val="18"/>
              </w:rPr>
              <w:t>连续2年投入品使用记录真实完整并保存</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较差</w:t>
            </w:r>
          </w:p>
        </w:tc>
        <w:tc>
          <w:tcPr>
            <w:tcW w:w="1178" w:type="dxa"/>
            <w:shd w:val="clear" w:color="auto" w:fill="auto"/>
            <w:vAlign w:val="center"/>
          </w:tcPr>
          <w:p>
            <w:pPr>
              <w:pStyle w:val="179"/>
              <w:rPr>
                <w:rFonts w:hAnsi="宋体" w:cs="宋体"/>
                <w:szCs w:val="18"/>
              </w:rPr>
            </w:pPr>
            <w:r>
              <w:rPr>
                <w:rFonts w:hint="eastAsia" w:hAnsi="宋体" w:cs="宋体"/>
                <w:szCs w:val="18"/>
              </w:rPr>
              <w:t>一般</w:t>
            </w:r>
          </w:p>
        </w:tc>
        <w:tc>
          <w:tcPr>
            <w:tcW w:w="1179" w:type="dxa"/>
            <w:shd w:val="clear" w:color="auto" w:fill="auto"/>
            <w:vAlign w:val="center"/>
          </w:tcPr>
          <w:p>
            <w:pPr>
              <w:pStyle w:val="179"/>
              <w:rPr>
                <w:rFonts w:hAnsi="宋体" w:cs="宋体"/>
                <w:szCs w:val="18"/>
              </w:rPr>
            </w:pPr>
            <w:r>
              <w:rPr>
                <w:rFonts w:hint="eastAsia" w:hAnsi="宋体" w:cs="宋体"/>
                <w:szCs w:val="18"/>
              </w:rPr>
              <w:t>良好</w:t>
            </w:r>
          </w:p>
        </w:tc>
        <w:tc>
          <w:tcPr>
            <w:tcW w:w="794" w:type="dxa"/>
            <w:shd w:val="clear" w:color="auto" w:fill="auto"/>
            <w:vAlign w:val="center"/>
          </w:tcPr>
          <w:p>
            <w:pPr>
              <w:pStyle w:val="179"/>
              <w:rPr>
                <w:rFonts w:hAnsi="宋体" w:cs="宋体"/>
                <w:szCs w:val="18"/>
              </w:rPr>
            </w:pPr>
            <w:r>
              <w:rPr>
                <w:rFonts w:hint="eastAsia" w:hAnsi="宋体" w:cs="宋体"/>
                <w:szCs w:val="18"/>
              </w:rPr>
              <w:t>优秀</w:t>
            </w:r>
          </w:p>
        </w:tc>
        <w:tc>
          <w:tcPr>
            <w:tcW w:w="823" w:type="dxa"/>
            <w:shd w:val="clear" w:color="auto" w:fill="auto"/>
            <w:vAlign w:val="center"/>
          </w:tcPr>
          <w:p>
            <w:pPr>
              <w:pStyle w:val="179"/>
              <w:rPr>
                <w:rFonts w:hAnsi="宋体" w:cs="宋体"/>
                <w:szCs w:val="18"/>
              </w:rPr>
            </w:pPr>
            <w:r>
              <w:rPr>
                <w:rFonts w:hint="eastAsia" w:hAnsi="宋体" w:cs="宋体"/>
                <w:szCs w:val="18"/>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restart"/>
            <w:shd w:val="clear" w:color="auto" w:fill="auto"/>
            <w:vAlign w:val="center"/>
          </w:tcPr>
          <w:p>
            <w:pPr>
              <w:pStyle w:val="179"/>
              <w:rPr>
                <w:rFonts w:hAnsi="宋体" w:cs="宋体"/>
                <w:szCs w:val="18"/>
              </w:rPr>
            </w:pPr>
            <w:r>
              <w:rPr>
                <w:rFonts w:hint="eastAsia" w:hAnsi="宋体" w:cs="宋体"/>
                <w:szCs w:val="18"/>
              </w:rPr>
              <w:t>产业经济环境</w:t>
            </w:r>
          </w:p>
        </w:tc>
        <w:tc>
          <w:tcPr>
            <w:tcW w:w="521" w:type="dxa"/>
            <w:vMerge w:val="restart"/>
            <w:shd w:val="clear" w:color="auto" w:fill="auto"/>
            <w:vAlign w:val="center"/>
          </w:tcPr>
          <w:p>
            <w:pPr>
              <w:pStyle w:val="179"/>
              <w:rPr>
                <w:rFonts w:hAnsi="宋体" w:cs="宋体"/>
                <w:szCs w:val="18"/>
              </w:rPr>
            </w:pPr>
            <w:r>
              <w:rPr>
                <w:rFonts w:hint="eastAsia" w:hAnsi="宋体" w:cs="宋体"/>
                <w:szCs w:val="18"/>
              </w:rPr>
              <w:t>5</w:t>
            </w:r>
          </w:p>
        </w:tc>
        <w:tc>
          <w:tcPr>
            <w:tcW w:w="1943" w:type="dxa"/>
            <w:shd w:val="clear" w:color="auto" w:fill="auto"/>
            <w:vAlign w:val="center"/>
          </w:tcPr>
          <w:p>
            <w:pPr>
              <w:pStyle w:val="179"/>
              <w:rPr>
                <w:rFonts w:hAnsi="宋体" w:cs="宋体"/>
                <w:szCs w:val="18"/>
              </w:rPr>
            </w:pPr>
            <w:r>
              <w:rPr>
                <w:rFonts w:hint="eastAsia" w:hAnsi="宋体" w:cs="宋体"/>
                <w:szCs w:val="18"/>
              </w:rPr>
              <w:t>产业政策</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较差</w:t>
            </w:r>
          </w:p>
        </w:tc>
        <w:tc>
          <w:tcPr>
            <w:tcW w:w="1178" w:type="dxa"/>
            <w:shd w:val="clear" w:color="auto" w:fill="auto"/>
            <w:vAlign w:val="center"/>
          </w:tcPr>
          <w:p>
            <w:pPr>
              <w:pStyle w:val="179"/>
              <w:rPr>
                <w:rFonts w:hAnsi="宋体" w:cs="宋体"/>
                <w:szCs w:val="18"/>
              </w:rPr>
            </w:pPr>
            <w:r>
              <w:rPr>
                <w:rFonts w:hint="eastAsia" w:hAnsi="宋体" w:cs="宋体"/>
                <w:szCs w:val="18"/>
              </w:rPr>
              <w:t>一般</w:t>
            </w:r>
          </w:p>
        </w:tc>
        <w:tc>
          <w:tcPr>
            <w:tcW w:w="1179" w:type="dxa"/>
            <w:shd w:val="clear" w:color="auto" w:fill="auto"/>
            <w:vAlign w:val="center"/>
          </w:tcPr>
          <w:p>
            <w:pPr>
              <w:pStyle w:val="179"/>
              <w:rPr>
                <w:rFonts w:hAnsi="宋体" w:cs="宋体"/>
                <w:szCs w:val="18"/>
              </w:rPr>
            </w:pPr>
            <w:r>
              <w:rPr>
                <w:rFonts w:hint="eastAsia" w:hAnsi="宋体" w:cs="宋体"/>
                <w:szCs w:val="18"/>
              </w:rPr>
              <w:t>良好</w:t>
            </w:r>
          </w:p>
        </w:tc>
        <w:tc>
          <w:tcPr>
            <w:tcW w:w="794" w:type="dxa"/>
            <w:shd w:val="clear" w:color="auto" w:fill="auto"/>
            <w:vAlign w:val="center"/>
          </w:tcPr>
          <w:p>
            <w:pPr>
              <w:pStyle w:val="179"/>
              <w:rPr>
                <w:rFonts w:hAnsi="宋体" w:cs="宋体"/>
                <w:szCs w:val="18"/>
              </w:rPr>
            </w:pPr>
            <w:r>
              <w:rPr>
                <w:rFonts w:hint="eastAsia" w:hAnsi="宋体" w:cs="宋体"/>
                <w:szCs w:val="18"/>
              </w:rPr>
              <w:t>优秀</w:t>
            </w:r>
          </w:p>
        </w:tc>
        <w:tc>
          <w:tcPr>
            <w:tcW w:w="823" w:type="dxa"/>
            <w:shd w:val="clear" w:color="auto" w:fill="auto"/>
            <w:vAlign w:val="center"/>
          </w:tcPr>
          <w:p>
            <w:pPr>
              <w:pStyle w:val="179"/>
              <w:rPr>
                <w:rFonts w:hAnsi="宋体" w:cs="宋体"/>
                <w:szCs w:val="18"/>
              </w:rPr>
            </w:pPr>
            <w:r>
              <w:rPr>
                <w:rFonts w:hint="eastAsia" w:hAnsi="宋体" w:cs="宋体"/>
                <w:szCs w:val="18"/>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税收政策</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较差</w:t>
            </w:r>
          </w:p>
        </w:tc>
        <w:tc>
          <w:tcPr>
            <w:tcW w:w="1178" w:type="dxa"/>
            <w:shd w:val="clear" w:color="auto" w:fill="auto"/>
            <w:vAlign w:val="center"/>
          </w:tcPr>
          <w:p>
            <w:pPr>
              <w:pStyle w:val="179"/>
              <w:rPr>
                <w:rFonts w:hAnsi="宋体" w:cs="宋体"/>
                <w:szCs w:val="18"/>
              </w:rPr>
            </w:pPr>
            <w:r>
              <w:rPr>
                <w:rFonts w:hint="eastAsia" w:hAnsi="宋体" w:cs="宋体"/>
                <w:szCs w:val="18"/>
              </w:rPr>
              <w:t>一般</w:t>
            </w:r>
          </w:p>
        </w:tc>
        <w:tc>
          <w:tcPr>
            <w:tcW w:w="1179" w:type="dxa"/>
            <w:shd w:val="clear" w:color="auto" w:fill="auto"/>
            <w:vAlign w:val="center"/>
          </w:tcPr>
          <w:p>
            <w:pPr>
              <w:pStyle w:val="179"/>
              <w:rPr>
                <w:rFonts w:hAnsi="宋体" w:cs="宋体"/>
                <w:szCs w:val="18"/>
              </w:rPr>
            </w:pPr>
            <w:r>
              <w:rPr>
                <w:rFonts w:hint="eastAsia" w:hAnsi="宋体" w:cs="宋体"/>
                <w:szCs w:val="18"/>
              </w:rPr>
              <w:t>良好</w:t>
            </w:r>
          </w:p>
        </w:tc>
        <w:tc>
          <w:tcPr>
            <w:tcW w:w="794" w:type="dxa"/>
            <w:shd w:val="clear" w:color="auto" w:fill="auto"/>
            <w:vAlign w:val="center"/>
          </w:tcPr>
          <w:p>
            <w:pPr>
              <w:pStyle w:val="179"/>
              <w:rPr>
                <w:rFonts w:hAnsi="宋体" w:cs="宋体"/>
                <w:szCs w:val="18"/>
              </w:rPr>
            </w:pPr>
            <w:r>
              <w:rPr>
                <w:rFonts w:hint="eastAsia" w:hAnsi="宋体" w:cs="宋体"/>
                <w:szCs w:val="18"/>
              </w:rPr>
              <w:t>优秀</w:t>
            </w:r>
          </w:p>
        </w:tc>
        <w:tc>
          <w:tcPr>
            <w:tcW w:w="823" w:type="dxa"/>
            <w:shd w:val="clear" w:color="auto" w:fill="auto"/>
            <w:vAlign w:val="center"/>
          </w:tcPr>
          <w:p>
            <w:pPr>
              <w:pStyle w:val="179"/>
              <w:rPr>
                <w:rFonts w:hAnsi="宋体" w:cs="宋体"/>
                <w:szCs w:val="18"/>
              </w:rPr>
            </w:pPr>
            <w:r>
              <w:rPr>
                <w:rFonts w:hint="eastAsia" w:hAnsi="宋体" w:cs="宋体"/>
                <w:szCs w:val="18"/>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各项惠农政策</w:t>
            </w:r>
          </w:p>
        </w:tc>
        <w:tc>
          <w:tcPr>
            <w:tcW w:w="765" w:type="dxa"/>
            <w:shd w:val="clear" w:color="auto" w:fill="auto"/>
            <w:vAlign w:val="center"/>
          </w:tcPr>
          <w:p>
            <w:pPr>
              <w:pStyle w:val="179"/>
              <w:rPr>
                <w:rFonts w:hAnsi="宋体" w:cs="宋体"/>
                <w:szCs w:val="18"/>
              </w:rPr>
            </w:pPr>
            <w:r>
              <w:rPr>
                <w:rFonts w:hint="eastAsia" w:hAnsi="宋体" w:cs="宋体"/>
                <w:szCs w:val="18"/>
              </w:rPr>
              <w:t>无</w:t>
            </w:r>
          </w:p>
        </w:tc>
        <w:tc>
          <w:tcPr>
            <w:tcW w:w="1207" w:type="dxa"/>
            <w:shd w:val="clear" w:color="auto" w:fill="auto"/>
            <w:vAlign w:val="center"/>
          </w:tcPr>
          <w:p>
            <w:pPr>
              <w:pStyle w:val="179"/>
              <w:rPr>
                <w:rFonts w:hAnsi="宋体" w:cs="宋体"/>
                <w:szCs w:val="18"/>
              </w:rPr>
            </w:pPr>
            <w:r>
              <w:rPr>
                <w:rFonts w:hint="eastAsia" w:hAnsi="宋体" w:cs="宋体"/>
                <w:szCs w:val="18"/>
              </w:rPr>
              <w:t>较差</w:t>
            </w:r>
          </w:p>
        </w:tc>
        <w:tc>
          <w:tcPr>
            <w:tcW w:w="1178" w:type="dxa"/>
            <w:shd w:val="clear" w:color="auto" w:fill="auto"/>
            <w:vAlign w:val="center"/>
          </w:tcPr>
          <w:p>
            <w:pPr>
              <w:pStyle w:val="179"/>
              <w:rPr>
                <w:rFonts w:hAnsi="宋体" w:cs="宋体"/>
                <w:szCs w:val="18"/>
              </w:rPr>
            </w:pPr>
            <w:r>
              <w:rPr>
                <w:rFonts w:hint="eastAsia" w:hAnsi="宋体" w:cs="宋体"/>
                <w:szCs w:val="18"/>
              </w:rPr>
              <w:t>一般</w:t>
            </w:r>
          </w:p>
        </w:tc>
        <w:tc>
          <w:tcPr>
            <w:tcW w:w="1179" w:type="dxa"/>
            <w:shd w:val="clear" w:color="auto" w:fill="auto"/>
            <w:vAlign w:val="center"/>
          </w:tcPr>
          <w:p>
            <w:pPr>
              <w:pStyle w:val="179"/>
              <w:rPr>
                <w:rFonts w:hAnsi="宋体" w:cs="宋体"/>
                <w:szCs w:val="18"/>
              </w:rPr>
            </w:pPr>
            <w:r>
              <w:rPr>
                <w:rFonts w:hint="eastAsia" w:hAnsi="宋体" w:cs="宋体"/>
                <w:szCs w:val="18"/>
              </w:rPr>
              <w:t>良好</w:t>
            </w:r>
          </w:p>
        </w:tc>
        <w:tc>
          <w:tcPr>
            <w:tcW w:w="794" w:type="dxa"/>
            <w:shd w:val="clear" w:color="auto" w:fill="auto"/>
            <w:vAlign w:val="center"/>
          </w:tcPr>
          <w:p>
            <w:pPr>
              <w:pStyle w:val="179"/>
              <w:rPr>
                <w:rFonts w:hAnsi="宋体" w:cs="宋体"/>
                <w:szCs w:val="18"/>
              </w:rPr>
            </w:pPr>
            <w:r>
              <w:rPr>
                <w:rFonts w:hint="eastAsia" w:hAnsi="宋体" w:cs="宋体"/>
                <w:szCs w:val="18"/>
              </w:rPr>
              <w:t>优秀</w:t>
            </w:r>
          </w:p>
        </w:tc>
        <w:tc>
          <w:tcPr>
            <w:tcW w:w="823" w:type="dxa"/>
            <w:shd w:val="clear" w:color="auto" w:fill="auto"/>
            <w:vAlign w:val="center"/>
          </w:tcPr>
          <w:p>
            <w:pPr>
              <w:pStyle w:val="179"/>
              <w:rPr>
                <w:rFonts w:hAnsi="宋体" w:cs="宋体"/>
                <w:szCs w:val="18"/>
              </w:rPr>
            </w:pPr>
            <w:r>
              <w:rPr>
                <w:rFonts w:hint="eastAsia" w:hAnsi="宋体" w:cs="宋体"/>
                <w:szCs w:val="18"/>
              </w:rPr>
              <w:t>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vMerge w:val="continue"/>
            <w:shd w:val="clear" w:color="auto" w:fill="auto"/>
            <w:vAlign w:val="center"/>
          </w:tcPr>
          <w:p>
            <w:pPr>
              <w:pStyle w:val="179"/>
              <w:rPr>
                <w:rFonts w:hAnsi="宋体" w:cs="宋体"/>
                <w:szCs w:val="18"/>
              </w:rPr>
            </w:pPr>
          </w:p>
        </w:tc>
        <w:tc>
          <w:tcPr>
            <w:tcW w:w="521" w:type="dxa"/>
            <w:vMerge w:val="continue"/>
            <w:shd w:val="clear" w:color="auto" w:fill="auto"/>
            <w:vAlign w:val="center"/>
          </w:tcPr>
          <w:p>
            <w:pPr>
              <w:pStyle w:val="179"/>
              <w:rPr>
                <w:rFonts w:hAnsi="宋体" w:cs="宋体"/>
                <w:szCs w:val="18"/>
              </w:rPr>
            </w:pPr>
          </w:p>
        </w:tc>
        <w:tc>
          <w:tcPr>
            <w:tcW w:w="1943" w:type="dxa"/>
            <w:shd w:val="clear" w:color="auto" w:fill="auto"/>
            <w:vAlign w:val="center"/>
          </w:tcPr>
          <w:p>
            <w:pPr>
              <w:pStyle w:val="179"/>
              <w:rPr>
                <w:rFonts w:hAnsi="宋体" w:cs="宋体"/>
                <w:szCs w:val="18"/>
              </w:rPr>
            </w:pPr>
            <w:r>
              <w:rPr>
                <w:rFonts w:hint="eastAsia" w:hAnsi="宋体" w:cs="宋体"/>
                <w:szCs w:val="18"/>
              </w:rPr>
              <w:t>发展是否受到政府支持</w:t>
            </w:r>
          </w:p>
        </w:tc>
        <w:tc>
          <w:tcPr>
            <w:tcW w:w="765" w:type="dxa"/>
            <w:shd w:val="clear" w:color="auto" w:fill="auto"/>
            <w:vAlign w:val="center"/>
          </w:tcPr>
          <w:p>
            <w:pPr>
              <w:pStyle w:val="179"/>
              <w:rPr>
                <w:rFonts w:hAnsi="宋体" w:cs="宋体"/>
                <w:szCs w:val="18"/>
              </w:rPr>
            </w:pPr>
            <w:r>
              <w:rPr>
                <w:rFonts w:hint="eastAsia" w:hAnsi="宋体" w:cs="宋体"/>
                <w:szCs w:val="18"/>
              </w:rPr>
              <w:t>不支持</w:t>
            </w:r>
          </w:p>
        </w:tc>
        <w:tc>
          <w:tcPr>
            <w:tcW w:w="1207" w:type="dxa"/>
            <w:shd w:val="clear" w:color="auto" w:fill="auto"/>
            <w:vAlign w:val="center"/>
          </w:tcPr>
          <w:p>
            <w:pPr>
              <w:pStyle w:val="179"/>
              <w:rPr>
                <w:rFonts w:hAnsi="宋体" w:cs="宋体"/>
                <w:szCs w:val="18"/>
              </w:rPr>
            </w:pPr>
            <w:r>
              <w:rPr>
                <w:rFonts w:hint="eastAsia" w:hAnsi="宋体" w:cs="宋体"/>
                <w:szCs w:val="18"/>
              </w:rPr>
              <w:t>可支持</w:t>
            </w:r>
          </w:p>
        </w:tc>
        <w:tc>
          <w:tcPr>
            <w:tcW w:w="1178" w:type="dxa"/>
            <w:shd w:val="clear" w:color="auto" w:fill="auto"/>
            <w:vAlign w:val="center"/>
          </w:tcPr>
          <w:p>
            <w:pPr>
              <w:pStyle w:val="179"/>
              <w:rPr>
                <w:rFonts w:hAnsi="宋体" w:cs="宋体"/>
                <w:szCs w:val="18"/>
              </w:rPr>
            </w:pPr>
            <w:r>
              <w:rPr>
                <w:rFonts w:hint="eastAsia" w:hAnsi="宋体" w:cs="宋体"/>
                <w:szCs w:val="18"/>
              </w:rPr>
              <w:t>支持</w:t>
            </w:r>
          </w:p>
        </w:tc>
        <w:tc>
          <w:tcPr>
            <w:tcW w:w="1179" w:type="dxa"/>
            <w:shd w:val="clear" w:color="auto" w:fill="auto"/>
            <w:vAlign w:val="center"/>
          </w:tcPr>
          <w:p>
            <w:pPr>
              <w:pStyle w:val="179"/>
              <w:rPr>
                <w:rFonts w:hAnsi="宋体" w:cs="宋体"/>
                <w:szCs w:val="18"/>
              </w:rPr>
            </w:pPr>
            <w:r>
              <w:rPr>
                <w:rFonts w:hint="eastAsia" w:hAnsi="宋体" w:cs="宋体"/>
                <w:szCs w:val="18"/>
              </w:rPr>
              <w:t>大力支持</w:t>
            </w:r>
          </w:p>
        </w:tc>
        <w:tc>
          <w:tcPr>
            <w:tcW w:w="794" w:type="dxa"/>
            <w:shd w:val="clear" w:color="auto" w:fill="auto"/>
            <w:vAlign w:val="center"/>
          </w:tcPr>
          <w:p>
            <w:pPr>
              <w:pStyle w:val="179"/>
              <w:rPr>
                <w:rFonts w:hAnsi="宋体" w:cs="宋体"/>
                <w:szCs w:val="18"/>
              </w:rPr>
            </w:pPr>
            <w:r>
              <w:rPr>
                <w:rFonts w:hint="eastAsia" w:hAnsi="宋体" w:cs="宋体"/>
                <w:szCs w:val="18"/>
              </w:rPr>
              <w:t>重点支持</w:t>
            </w:r>
          </w:p>
        </w:tc>
        <w:tc>
          <w:tcPr>
            <w:tcW w:w="823" w:type="dxa"/>
            <w:shd w:val="clear" w:color="auto" w:fill="auto"/>
            <w:vAlign w:val="center"/>
          </w:tcPr>
          <w:p>
            <w:pPr>
              <w:pStyle w:val="179"/>
              <w:rPr>
                <w:rFonts w:hAnsi="宋体" w:cs="宋体"/>
                <w:szCs w:val="18"/>
              </w:rPr>
            </w:pPr>
            <w:r>
              <w:rPr>
                <w:rFonts w:hint="eastAsia" w:hAnsi="宋体" w:cs="宋体"/>
                <w:szCs w:val="18"/>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92" w:type="dxa"/>
            <w:shd w:val="clear" w:color="auto" w:fill="auto"/>
            <w:vAlign w:val="center"/>
          </w:tcPr>
          <w:p>
            <w:pPr>
              <w:pStyle w:val="179"/>
              <w:rPr>
                <w:rFonts w:hAnsi="宋体" w:cs="宋体"/>
                <w:szCs w:val="18"/>
              </w:rPr>
            </w:pPr>
            <w:r>
              <w:rPr>
                <w:rFonts w:hint="eastAsia" w:hAnsi="宋体" w:cs="宋体"/>
                <w:szCs w:val="18"/>
              </w:rPr>
              <w:t>合计</w:t>
            </w:r>
          </w:p>
        </w:tc>
        <w:tc>
          <w:tcPr>
            <w:tcW w:w="521" w:type="dxa"/>
            <w:shd w:val="clear" w:color="auto" w:fill="auto"/>
            <w:vAlign w:val="center"/>
          </w:tcPr>
          <w:p>
            <w:pPr>
              <w:pStyle w:val="179"/>
              <w:rPr>
                <w:rFonts w:hAnsi="宋体" w:cs="宋体"/>
                <w:szCs w:val="18"/>
              </w:rPr>
            </w:pPr>
            <w:r>
              <w:rPr>
                <w:rFonts w:hint="eastAsia" w:hAnsi="宋体" w:cs="宋体"/>
                <w:szCs w:val="18"/>
              </w:rPr>
              <w:t>100</w:t>
            </w:r>
          </w:p>
        </w:tc>
        <w:tc>
          <w:tcPr>
            <w:tcW w:w="7889" w:type="dxa"/>
            <w:gridSpan w:val="7"/>
            <w:shd w:val="clear" w:color="auto" w:fill="auto"/>
            <w:vAlign w:val="center"/>
          </w:tcPr>
          <w:p>
            <w:pPr>
              <w:pStyle w:val="179"/>
              <w:rPr>
                <w:rFonts w:hAnsi="宋体" w:cs="宋体"/>
                <w:szCs w:val="18"/>
              </w:rPr>
            </w:pPr>
            <w:r>
              <w:rPr>
                <w:rFonts w:hint="eastAsia" w:hAnsi="宋体" w:cs="宋体"/>
                <w:szCs w:val="18"/>
              </w:rPr>
              <w:t>注：总分100分，A≥90分；75分≤B＜90分；60分≤C＜75分；D＜60分。</w:t>
            </w:r>
          </w:p>
        </w:tc>
      </w:tr>
    </w:tbl>
    <w:p>
      <w:pPr>
        <w:pStyle w:val="57"/>
        <w:ind w:firstLine="0" w:firstLineChars="0"/>
      </w:pPr>
    </w:p>
    <w:p>
      <w:pPr>
        <w:pStyle w:val="199"/>
      </w:pPr>
    </w:p>
    <w:p>
      <w:pPr>
        <w:pStyle w:val="200"/>
      </w:pPr>
    </w:p>
    <w:p>
      <w:pPr>
        <w:pStyle w:val="200"/>
        <w:numPr>
          <w:ilvl w:val="0"/>
          <w:numId w:val="0"/>
        </w:numPr>
        <w:ind w:left="425"/>
        <w:jc w:val="both"/>
      </w:pPr>
    </w:p>
    <w:bookmarkEnd w:id="71"/>
    <w:p>
      <w:pPr>
        <w:pStyle w:val="57"/>
        <w:ind w:firstLine="0" w:firstLineChars="0"/>
        <w:jc w:val="center"/>
      </w:pPr>
      <w:bookmarkStart w:id="74" w:name="BookMark8"/>
      <w:r>
        <w:drawing>
          <wp:inline distT="0" distB="0" distL="0" distR="0">
            <wp:extent cx="1485900" cy="317500"/>
            <wp:effectExtent l="0" t="0" r="0" b="6350"/>
            <wp:docPr id="1180135541" name="图片 1"/>
            <wp:cNvGraphicFramePr/>
            <a:graphic xmlns:a="http://schemas.openxmlformats.org/drawingml/2006/main">
              <a:graphicData uri="http://schemas.openxmlformats.org/drawingml/2006/picture">
                <pic:pic xmlns:pic="http://schemas.openxmlformats.org/drawingml/2006/picture">
                  <pic:nvPicPr>
                    <pic:cNvPr id="1180135541" name="图片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4"/>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Wingdings">
    <w:panose1 w:val="05000000000000000000"/>
    <w:charset w:val="00"/>
    <w:family w:val="decorative"/>
    <w:pitch w:val="default"/>
    <w:sig w:usb0="00000000" w:usb1="00000000" w:usb2="00000000" w:usb3="00000000" w:csb0="80000000"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instrText xml:space="preserve"> STYLEREF  标准文件_文件编号  \* MERGEFORMAT </w:instrText>
    </w:r>
    <w:r>
      <w:fldChar w:fldCharType="separate"/>
    </w:r>
    <w:r>
      <w:t>DB 32/T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4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42"/>
      <w:suff w:val="nothing"/>
      <w:lvlText w:val="%1.%2.%3.%4.%5　"/>
      <w:lvlJc w:val="left"/>
      <w:pPr>
        <w:ind w:left="0" w:firstLine="0"/>
      </w:pPr>
      <w:rPr>
        <w:rFonts w:hint="eastAsia" w:ascii="黑体" w:hAnsi="Times New Roman" w:eastAsia="黑体"/>
        <w:b w:val="0"/>
        <w:i w:val="0"/>
        <w:sz w:val="21"/>
      </w:rPr>
    </w:lvl>
    <w:lvl w:ilvl="5" w:tentative="0">
      <w:start w:val="1"/>
      <w:numFmt w:val="decimal"/>
      <w:pStyle w:val="24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2827D5B"/>
    <w:multiLevelType w:val="multilevel"/>
    <w:tmpl w:val="22827D5B"/>
    <w:lvl w:ilvl="0" w:tentative="0">
      <w:start w:val="1"/>
      <w:numFmt w:val="none"/>
      <w:pStyle w:val="23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2">
    <w:nsid w:val="2A8F7113"/>
    <w:multiLevelType w:val="multilevel"/>
    <w:tmpl w:val="2A8F7113"/>
    <w:lvl w:ilvl="0" w:tentative="0">
      <w:start w:val="1"/>
      <w:numFmt w:val="upperLetter"/>
      <w:pStyle w:val="248"/>
      <w:suff w:val="space"/>
      <w:lvlText w:val="%1"/>
      <w:lvlJc w:val="left"/>
      <w:pPr>
        <w:ind w:left="623" w:hanging="425"/>
      </w:pPr>
      <w:rPr>
        <w:rFonts w:hint="eastAsia"/>
      </w:rPr>
    </w:lvl>
    <w:lvl w:ilvl="1" w:tentative="0">
      <w:start w:val="1"/>
      <w:numFmt w:val="decimal"/>
      <w:pStyle w:val="24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3">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3827"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141"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1"/>
  </w:num>
  <w:num w:numId="6">
    <w:abstractNumId w:val="16"/>
  </w:num>
  <w:num w:numId="7">
    <w:abstractNumId w:val="8"/>
  </w:num>
  <w:num w:numId="8">
    <w:abstractNumId w:val="3"/>
  </w:num>
  <w:num w:numId="9">
    <w:abstractNumId w:val="9"/>
  </w:num>
  <w:num w:numId="10">
    <w:abstractNumId w:val="19"/>
  </w:num>
  <w:num w:numId="11">
    <w:abstractNumId w:val="28"/>
  </w:num>
  <w:num w:numId="12">
    <w:abstractNumId w:val="14"/>
  </w:num>
  <w:num w:numId="13">
    <w:abstractNumId w:val="15"/>
  </w:num>
  <w:num w:numId="14">
    <w:abstractNumId w:val="7"/>
  </w:num>
  <w:num w:numId="15">
    <w:abstractNumId w:val="22"/>
  </w:num>
  <w:num w:numId="16">
    <w:abstractNumId w:val="24"/>
  </w:num>
  <w:num w:numId="17">
    <w:abstractNumId w:val="20"/>
  </w:num>
  <w:num w:numId="18">
    <w:abstractNumId w:val="32"/>
  </w:num>
  <w:num w:numId="19">
    <w:abstractNumId w:val="18"/>
  </w:num>
  <w:num w:numId="20">
    <w:abstractNumId w:val="1"/>
  </w:num>
  <w:num w:numId="21">
    <w:abstractNumId w:val="13"/>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7"/>
  </w:num>
  <w:num w:numId="30">
    <w:abstractNumId w:val="27"/>
  </w:num>
  <w:num w:numId="31">
    <w:abstractNumId w:val="25"/>
  </w:num>
  <w:num w:numId="32">
    <w:abstractNumId w:val="11"/>
  </w:num>
  <w:num w:numId="33">
    <w:abstractNumId w:val="10"/>
  </w:num>
  <w:num w:numId="34">
    <w:abstractNumId w:val="12"/>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OHy0GoeFw2Gg3Wg48/CeW/NycUZzq25xJI15RGFXEDcSWdbuorj2s0uE8iyB6VYI1b2R5LNx4ZGIy1c2YFuBvw==" w:salt="0OoVGMvY2jWS2NofVAhJ/Q=="/>
  <w:defaultTabStop w:val="420"/>
  <w:drawingGridHorizontalSpacing w:val="105"/>
  <w:drawingGridVerticalSpacing w:val="156"/>
  <w:displayHorizontalDrawingGridEvery w:val="0"/>
  <w:displayVerticalDrawingGridEvery w:val="2"/>
  <w:doNotShadeFormData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1F65C1"/>
    <w:rsid w:val="0000040A"/>
    <w:rsid w:val="00000A94"/>
    <w:rsid w:val="00000EA6"/>
    <w:rsid w:val="00001972"/>
    <w:rsid w:val="00001D9A"/>
    <w:rsid w:val="000034A7"/>
    <w:rsid w:val="00007B3A"/>
    <w:rsid w:val="000107E0"/>
    <w:rsid w:val="00011FDE"/>
    <w:rsid w:val="00012FFD"/>
    <w:rsid w:val="00014162"/>
    <w:rsid w:val="00014340"/>
    <w:rsid w:val="00016A9C"/>
    <w:rsid w:val="00022184"/>
    <w:rsid w:val="00022762"/>
    <w:rsid w:val="000238E0"/>
    <w:rsid w:val="000249DB"/>
    <w:rsid w:val="0002595E"/>
    <w:rsid w:val="000303C3"/>
    <w:rsid w:val="00032731"/>
    <w:rsid w:val="000331D3"/>
    <w:rsid w:val="000346A5"/>
    <w:rsid w:val="000359C3"/>
    <w:rsid w:val="00035A7D"/>
    <w:rsid w:val="000361B4"/>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C2F"/>
    <w:rsid w:val="00083D2C"/>
    <w:rsid w:val="00086AA1"/>
    <w:rsid w:val="00087A77"/>
    <w:rsid w:val="00090CA6"/>
    <w:rsid w:val="00092B8A"/>
    <w:rsid w:val="00092FB0"/>
    <w:rsid w:val="000934C5"/>
    <w:rsid w:val="00093D25"/>
    <w:rsid w:val="00093DAB"/>
    <w:rsid w:val="00094204"/>
    <w:rsid w:val="00094D73"/>
    <w:rsid w:val="00096D63"/>
    <w:rsid w:val="000A0B60"/>
    <w:rsid w:val="000A0EB8"/>
    <w:rsid w:val="000A19FC"/>
    <w:rsid w:val="000A296B"/>
    <w:rsid w:val="000A3D3A"/>
    <w:rsid w:val="000A7311"/>
    <w:rsid w:val="000B060F"/>
    <w:rsid w:val="000B1592"/>
    <w:rsid w:val="000B1FF2"/>
    <w:rsid w:val="000B3CDA"/>
    <w:rsid w:val="000B6A0B"/>
    <w:rsid w:val="000C0F6C"/>
    <w:rsid w:val="000C11DB"/>
    <w:rsid w:val="000C1492"/>
    <w:rsid w:val="000C275E"/>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7F1B"/>
    <w:rsid w:val="00113B1E"/>
    <w:rsid w:val="0011711C"/>
    <w:rsid w:val="001178BC"/>
    <w:rsid w:val="0012059C"/>
    <w:rsid w:val="00124E4F"/>
    <w:rsid w:val="001260B7"/>
    <w:rsid w:val="001265CB"/>
    <w:rsid w:val="00127CF1"/>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2DC6"/>
    <w:rsid w:val="0015379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A5B"/>
    <w:rsid w:val="001852C9"/>
    <w:rsid w:val="00190087"/>
    <w:rsid w:val="001913C4"/>
    <w:rsid w:val="0019348F"/>
    <w:rsid w:val="00193A07"/>
    <w:rsid w:val="00194C95"/>
    <w:rsid w:val="00194F06"/>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D51"/>
    <w:rsid w:val="001E1A5C"/>
    <w:rsid w:val="001E1B6A"/>
    <w:rsid w:val="001E2484"/>
    <w:rsid w:val="001E3CC4"/>
    <w:rsid w:val="001E4882"/>
    <w:rsid w:val="001E73AB"/>
    <w:rsid w:val="001F092D"/>
    <w:rsid w:val="001F143A"/>
    <w:rsid w:val="001F1605"/>
    <w:rsid w:val="001F2508"/>
    <w:rsid w:val="001F4816"/>
    <w:rsid w:val="001F4EE9"/>
    <w:rsid w:val="001F65C1"/>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27A68"/>
    <w:rsid w:val="00233D64"/>
    <w:rsid w:val="0023482A"/>
    <w:rsid w:val="002359CB"/>
    <w:rsid w:val="00243540"/>
    <w:rsid w:val="0024497B"/>
    <w:rsid w:val="0024515B"/>
    <w:rsid w:val="00246021"/>
    <w:rsid w:val="0024666E"/>
    <w:rsid w:val="00247F52"/>
    <w:rsid w:val="00250B25"/>
    <w:rsid w:val="00250BBE"/>
    <w:rsid w:val="002515C2"/>
    <w:rsid w:val="0025194F"/>
    <w:rsid w:val="002571ED"/>
    <w:rsid w:val="0026148A"/>
    <w:rsid w:val="00262696"/>
    <w:rsid w:val="00263C12"/>
    <w:rsid w:val="00263D25"/>
    <w:rsid w:val="002643C3"/>
    <w:rsid w:val="00264A0C"/>
    <w:rsid w:val="00266EEB"/>
    <w:rsid w:val="00267EF4"/>
    <w:rsid w:val="00270CB8"/>
    <w:rsid w:val="00272A73"/>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69B"/>
    <w:rsid w:val="00313B85"/>
    <w:rsid w:val="0031453E"/>
    <w:rsid w:val="00317757"/>
    <w:rsid w:val="00317988"/>
    <w:rsid w:val="003221B4"/>
    <w:rsid w:val="0032249C"/>
    <w:rsid w:val="0032258D"/>
    <w:rsid w:val="00322E62"/>
    <w:rsid w:val="00324D13"/>
    <w:rsid w:val="00324D2A"/>
    <w:rsid w:val="00324EDD"/>
    <w:rsid w:val="003272BB"/>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857"/>
    <w:rsid w:val="00392AD7"/>
    <w:rsid w:val="003938D9"/>
    <w:rsid w:val="00394376"/>
    <w:rsid w:val="003943FF"/>
    <w:rsid w:val="00395700"/>
    <w:rsid w:val="003974EB"/>
    <w:rsid w:val="00397CC5"/>
    <w:rsid w:val="003A1582"/>
    <w:rsid w:val="003A4077"/>
    <w:rsid w:val="003B09AD"/>
    <w:rsid w:val="003B0EBE"/>
    <w:rsid w:val="003B1F18"/>
    <w:rsid w:val="003B5BF0"/>
    <w:rsid w:val="003B60BF"/>
    <w:rsid w:val="003B6BE3"/>
    <w:rsid w:val="003C010C"/>
    <w:rsid w:val="003C082A"/>
    <w:rsid w:val="003C0A6C"/>
    <w:rsid w:val="003C14F8"/>
    <w:rsid w:val="003C245B"/>
    <w:rsid w:val="003C5A43"/>
    <w:rsid w:val="003D0519"/>
    <w:rsid w:val="003D0FF6"/>
    <w:rsid w:val="003D262C"/>
    <w:rsid w:val="003D47EF"/>
    <w:rsid w:val="003D6D61"/>
    <w:rsid w:val="003D79C6"/>
    <w:rsid w:val="003E091D"/>
    <w:rsid w:val="003E1C53"/>
    <w:rsid w:val="003E2A69"/>
    <w:rsid w:val="003E2D49"/>
    <w:rsid w:val="003E2FD4"/>
    <w:rsid w:val="003E49F6"/>
    <w:rsid w:val="003E660F"/>
    <w:rsid w:val="003F0841"/>
    <w:rsid w:val="003F23D3"/>
    <w:rsid w:val="003F3F08"/>
    <w:rsid w:val="003F49F1"/>
    <w:rsid w:val="003F4B45"/>
    <w:rsid w:val="003F6272"/>
    <w:rsid w:val="00400E72"/>
    <w:rsid w:val="00401400"/>
    <w:rsid w:val="00404869"/>
    <w:rsid w:val="00405884"/>
    <w:rsid w:val="00407A3E"/>
    <w:rsid w:val="00407D39"/>
    <w:rsid w:val="0041477A"/>
    <w:rsid w:val="00414859"/>
    <w:rsid w:val="004167A3"/>
    <w:rsid w:val="00432DAA"/>
    <w:rsid w:val="00434305"/>
    <w:rsid w:val="00435DF7"/>
    <w:rsid w:val="0044083F"/>
    <w:rsid w:val="00441AE7"/>
    <w:rsid w:val="00444EDB"/>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38B"/>
    <w:rsid w:val="00492F02"/>
    <w:rsid w:val="004939AE"/>
    <w:rsid w:val="004967AC"/>
    <w:rsid w:val="004A0838"/>
    <w:rsid w:val="004A12DF"/>
    <w:rsid w:val="004A17E6"/>
    <w:rsid w:val="004A1BA8"/>
    <w:rsid w:val="004A4B57"/>
    <w:rsid w:val="004A63FA"/>
    <w:rsid w:val="004B0272"/>
    <w:rsid w:val="004B2701"/>
    <w:rsid w:val="004B2E1B"/>
    <w:rsid w:val="004B3758"/>
    <w:rsid w:val="004B3AA8"/>
    <w:rsid w:val="004B3E93"/>
    <w:rsid w:val="004C1FBC"/>
    <w:rsid w:val="004C3F1D"/>
    <w:rsid w:val="004C458D"/>
    <w:rsid w:val="004C7556"/>
    <w:rsid w:val="004C7E8B"/>
    <w:rsid w:val="004C7E9D"/>
    <w:rsid w:val="004C7F67"/>
    <w:rsid w:val="004D076D"/>
    <w:rsid w:val="004D0EF1"/>
    <w:rsid w:val="004D2253"/>
    <w:rsid w:val="004D4406"/>
    <w:rsid w:val="004D6FED"/>
    <w:rsid w:val="004D71A2"/>
    <w:rsid w:val="004D724E"/>
    <w:rsid w:val="004D7AF7"/>
    <w:rsid w:val="004D7C42"/>
    <w:rsid w:val="004E0465"/>
    <w:rsid w:val="004E0973"/>
    <w:rsid w:val="004E127B"/>
    <w:rsid w:val="004E1C0A"/>
    <w:rsid w:val="004E2B06"/>
    <w:rsid w:val="004E30C5"/>
    <w:rsid w:val="004E4AA5"/>
    <w:rsid w:val="004E4AEE"/>
    <w:rsid w:val="004E59E3"/>
    <w:rsid w:val="004E67C0"/>
    <w:rsid w:val="004F391A"/>
    <w:rsid w:val="004F3CFB"/>
    <w:rsid w:val="004F6456"/>
    <w:rsid w:val="004F696E"/>
    <w:rsid w:val="004F6C71"/>
    <w:rsid w:val="004F76AB"/>
    <w:rsid w:val="005007E0"/>
    <w:rsid w:val="00501139"/>
    <w:rsid w:val="0050363E"/>
    <w:rsid w:val="005039BC"/>
    <w:rsid w:val="005043BB"/>
    <w:rsid w:val="00504A3D"/>
    <w:rsid w:val="00505767"/>
    <w:rsid w:val="005073F0"/>
    <w:rsid w:val="00510A7B"/>
    <w:rsid w:val="00512F6E"/>
    <w:rsid w:val="00513038"/>
    <w:rsid w:val="00514174"/>
    <w:rsid w:val="00516088"/>
    <w:rsid w:val="005169E7"/>
    <w:rsid w:val="00516B0B"/>
    <w:rsid w:val="0052145A"/>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C19"/>
    <w:rsid w:val="00551F6F"/>
    <w:rsid w:val="00555044"/>
    <w:rsid w:val="00557496"/>
    <w:rsid w:val="00561475"/>
    <w:rsid w:val="00563AD5"/>
    <w:rsid w:val="0056487B"/>
    <w:rsid w:val="00564FB9"/>
    <w:rsid w:val="00573D9E"/>
    <w:rsid w:val="005801E3"/>
    <w:rsid w:val="00581802"/>
    <w:rsid w:val="005836A8"/>
    <w:rsid w:val="0058409C"/>
    <w:rsid w:val="00584262"/>
    <w:rsid w:val="00586630"/>
    <w:rsid w:val="00587ADD"/>
    <w:rsid w:val="00591E27"/>
    <w:rsid w:val="0059555A"/>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3B0"/>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6F19"/>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6C2"/>
    <w:rsid w:val="00636E3E"/>
    <w:rsid w:val="006379F7"/>
    <w:rsid w:val="00637E4D"/>
    <w:rsid w:val="00640620"/>
    <w:rsid w:val="00641A1F"/>
    <w:rsid w:val="00645904"/>
    <w:rsid w:val="00651ACB"/>
    <w:rsid w:val="00651C3B"/>
    <w:rsid w:val="00651C47"/>
    <w:rsid w:val="00652AB2"/>
    <w:rsid w:val="00653FED"/>
    <w:rsid w:val="00654EC0"/>
    <w:rsid w:val="0065525B"/>
    <w:rsid w:val="00655D4F"/>
    <w:rsid w:val="0065673A"/>
    <w:rsid w:val="00656D29"/>
    <w:rsid w:val="006640E5"/>
    <w:rsid w:val="006646F1"/>
    <w:rsid w:val="00664929"/>
    <w:rsid w:val="00664F62"/>
    <w:rsid w:val="006655E1"/>
    <w:rsid w:val="00672060"/>
    <w:rsid w:val="00672BFD"/>
    <w:rsid w:val="006770F4"/>
    <w:rsid w:val="00677162"/>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3E6D"/>
    <w:rsid w:val="006B2672"/>
    <w:rsid w:val="006B54BF"/>
    <w:rsid w:val="006B5F44"/>
    <w:rsid w:val="006B5F90"/>
    <w:rsid w:val="006B62E4"/>
    <w:rsid w:val="006C1BBA"/>
    <w:rsid w:val="006C2079"/>
    <w:rsid w:val="006C2806"/>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4A5D"/>
    <w:rsid w:val="00707669"/>
    <w:rsid w:val="00711CBA"/>
    <w:rsid w:val="00711FB5"/>
    <w:rsid w:val="00712A01"/>
    <w:rsid w:val="00714F58"/>
    <w:rsid w:val="00722FBF"/>
    <w:rsid w:val="00722FC2"/>
    <w:rsid w:val="00724879"/>
    <w:rsid w:val="00724E1B"/>
    <w:rsid w:val="00725949"/>
    <w:rsid w:val="007278BC"/>
    <w:rsid w:val="00727FA2"/>
    <w:rsid w:val="007307E0"/>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536"/>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501"/>
    <w:rsid w:val="007C1E8B"/>
    <w:rsid w:val="007C2D89"/>
    <w:rsid w:val="007C4593"/>
    <w:rsid w:val="007C5309"/>
    <w:rsid w:val="007C6069"/>
    <w:rsid w:val="007D06C4"/>
    <w:rsid w:val="007D1352"/>
    <w:rsid w:val="007D2508"/>
    <w:rsid w:val="007D346A"/>
    <w:rsid w:val="007D6518"/>
    <w:rsid w:val="007D76BD"/>
    <w:rsid w:val="007E0BF1"/>
    <w:rsid w:val="007E35B0"/>
    <w:rsid w:val="007F0ED8"/>
    <w:rsid w:val="007F0F63"/>
    <w:rsid w:val="007F30CE"/>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04D"/>
    <w:rsid w:val="00843C13"/>
    <w:rsid w:val="008454F8"/>
    <w:rsid w:val="0085173A"/>
    <w:rsid w:val="00856316"/>
    <w:rsid w:val="008603CE"/>
    <w:rsid w:val="008620FC"/>
    <w:rsid w:val="008627A5"/>
    <w:rsid w:val="00863E05"/>
    <w:rsid w:val="00865ACA"/>
    <w:rsid w:val="00865D28"/>
    <w:rsid w:val="00865F85"/>
    <w:rsid w:val="00867C10"/>
    <w:rsid w:val="00870439"/>
    <w:rsid w:val="00870458"/>
    <w:rsid w:val="00870DA1"/>
    <w:rsid w:val="008809B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AAB"/>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F90"/>
    <w:rsid w:val="008F70BD"/>
    <w:rsid w:val="008F788F"/>
    <w:rsid w:val="008F7EA2"/>
    <w:rsid w:val="00902722"/>
    <w:rsid w:val="009027BC"/>
    <w:rsid w:val="009062E6"/>
    <w:rsid w:val="00911BE5"/>
    <w:rsid w:val="00913CA9"/>
    <w:rsid w:val="009145AE"/>
    <w:rsid w:val="009146CE"/>
    <w:rsid w:val="00914CA7"/>
    <w:rsid w:val="00915C3E"/>
    <w:rsid w:val="009161A8"/>
    <w:rsid w:val="00920092"/>
    <w:rsid w:val="009245F5"/>
    <w:rsid w:val="009249EC"/>
    <w:rsid w:val="009273B3"/>
    <w:rsid w:val="009305B5"/>
    <w:rsid w:val="009318EC"/>
    <w:rsid w:val="009429D5"/>
    <w:rsid w:val="00942BF1"/>
    <w:rsid w:val="00945180"/>
    <w:rsid w:val="00945428"/>
    <w:rsid w:val="0094607B"/>
    <w:rsid w:val="00950F3A"/>
    <w:rsid w:val="00953604"/>
    <w:rsid w:val="0095496B"/>
    <w:rsid w:val="00955088"/>
    <w:rsid w:val="009610DC"/>
    <w:rsid w:val="00961490"/>
    <w:rsid w:val="0096381A"/>
    <w:rsid w:val="00965E04"/>
    <w:rsid w:val="009674AD"/>
    <w:rsid w:val="00970CDC"/>
    <w:rsid w:val="00977010"/>
    <w:rsid w:val="00977D02"/>
    <w:rsid w:val="009809BB"/>
    <w:rsid w:val="0098364B"/>
    <w:rsid w:val="00985693"/>
    <w:rsid w:val="0098746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4AC"/>
    <w:rsid w:val="009E4A58"/>
    <w:rsid w:val="009E5A2D"/>
    <w:rsid w:val="009E5AB2"/>
    <w:rsid w:val="009E6219"/>
    <w:rsid w:val="009F03B3"/>
    <w:rsid w:val="00A0096C"/>
    <w:rsid w:val="00A01757"/>
    <w:rsid w:val="00A028C0"/>
    <w:rsid w:val="00A02BAE"/>
    <w:rsid w:val="00A063ED"/>
    <w:rsid w:val="00A06A6B"/>
    <w:rsid w:val="00A07E47"/>
    <w:rsid w:val="00A1299C"/>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07C"/>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FD1"/>
    <w:rsid w:val="00A9295B"/>
    <w:rsid w:val="00A93B09"/>
    <w:rsid w:val="00A94247"/>
    <w:rsid w:val="00A952D7"/>
    <w:rsid w:val="00A963F7"/>
    <w:rsid w:val="00A96AD8"/>
    <w:rsid w:val="00AA052C"/>
    <w:rsid w:val="00AA1E45"/>
    <w:rsid w:val="00AA31E7"/>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72C8"/>
    <w:rsid w:val="00AD0AEF"/>
    <w:rsid w:val="00AD11B7"/>
    <w:rsid w:val="00AD1A94"/>
    <w:rsid w:val="00AD1C05"/>
    <w:rsid w:val="00AD4126"/>
    <w:rsid w:val="00AD421C"/>
    <w:rsid w:val="00AD44FA"/>
    <w:rsid w:val="00AE070A"/>
    <w:rsid w:val="00AE101C"/>
    <w:rsid w:val="00AE37E5"/>
    <w:rsid w:val="00AE5EB4"/>
    <w:rsid w:val="00AF0C18"/>
    <w:rsid w:val="00AF1AA6"/>
    <w:rsid w:val="00AF47C5"/>
    <w:rsid w:val="00AF5398"/>
    <w:rsid w:val="00B049AF"/>
    <w:rsid w:val="00B07242"/>
    <w:rsid w:val="00B10534"/>
    <w:rsid w:val="00B113DB"/>
    <w:rsid w:val="00B11D8A"/>
    <w:rsid w:val="00B12033"/>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064F"/>
    <w:rsid w:val="00B72880"/>
    <w:rsid w:val="00B758BF"/>
    <w:rsid w:val="00B77EC8"/>
    <w:rsid w:val="00B8020E"/>
    <w:rsid w:val="00B827A6"/>
    <w:rsid w:val="00B831CE"/>
    <w:rsid w:val="00B86677"/>
    <w:rsid w:val="00B87131"/>
    <w:rsid w:val="00B9381D"/>
    <w:rsid w:val="00B939B1"/>
    <w:rsid w:val="00B96D40"/>
    <w:rsid w:val="00B97386"/>
    <w:rsid w:val="00BA263B"/>
    <w:rsid w:val="00BA42B2"/>
    <w:rsid w:val="00BA58D4"/>
    <w:rsid w:val="00BA5B9E"/>
    <w:rsid w:val="00BA7C9A"/>
    <w:rsid w:val="00BB203B"/>
    <w:rsid w:val="00BB5F8F"/>
    <w:rsid w:val="00BB657A"/>
    <w:rsid w:val="00BC1A4E"/>
    <w:rsid w:val="00BC392C"/>
    <w:rsid w:val="00BC4790"/>
    <w:rsid w:val="00BC5DC7"/>
    <w:rsid w:val="00BC6B8B"/>
    <w:rsid w:val="00BC73D8"/>
    <w:rsid w:val="00BC7A49"/>
    <w:rsid w:val="00BD1082"/>
    <w:rsid w:val="00BD52D7"/>
    <w:rsid w:val="00BD5AD2"/>
    <w:rsid w:val="00BE22F3"/>
    <w:rsid w:val="00BE5B52"/>
    <w:rsid w:val="00BE7B8D"/>
    <w:rsid w:val="00BF0993"/>
    <w:rsid w:val="00BF10A9"/>
    <w:rsid w:val="00BF1703"/>
    <w:rsid w:val="00BF231C"/>
    <w:rsid w:val="00BF51E5"/>
    <w:rsid w:val="00BF74A6"/>
    <w:rsid w:val="00C013AD"/>
    <w:rsid w:val="00C02C23"/>
    <w:rsid w:val="00C04904"/>
    <w:rsid w:val="00C056B3"/>
    <w:rsid w:val="00C103E5"/>
    <w:rsid w:val="00C13319"/>
    <w:rsid w:val="00C13EE9"/>
    <w:rsid w:val="00C21540"/>
    <w:rsid w:val="00C21906"/>
    <w:rsid w:val="00C21BFA"/>
    <w:rsid w:val="00C22148"/>
    <w:rsid w:val="00C24C8D"/>
    <w:rsid w:val="00C25FE2"/>
    <w:rsid w:val="00C26B53"/>
    <w:rsid w:val="00C279B2"/>
    <w:rsid w:val="00C30036"/>
    <w:rsid w:val="00C302BA"/>
    <w:rsid w:val="00C333D0"/>
    <w:rsid w:val="00C338CF"/>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041"/>
    <w:rsid w:val="00C86D6F"/>
    <w:rsid w:val="00C87BF6"/>
    <w:rsid w:val="00C905FC"/>
    <w:rsid w:val="00C92881"/>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3B3"/>
    <w:rsid w:val="00CD2808"/>
    <w:rsid w:val="00CD28BF"/>
    <w:rsid w:val="00CD4092"/>
    <w:rsid w:val="00CD4A20"/>
    <w:rsid w:val="00CD50A1"/>
    <w:rsid w:val="00CD519E"/>
    <w:rsid w:val="00CD561D"/>
    <w:rsid w:val="00CE0C4F"/>
    <w:rsid w:val="00CE166F"/>
    <w:rsid w:val="00CE30EA"/>
    <w:rsid w:val="00CF048A"/>
    <w:rsid w:val="00CF155A"/>
    <w:rsid w:val="00CF165E"/>
    <w:rsid w:val="00CF2947"/>
    <w:rsid w:val="00CF686F"/>
    <w:rsid w:val="00CF6E60"/>
    <w:rsid w:val="00CF7BCA"/>
    <w:rsid w:val="00D008FD"/>
    <w:rsid w:val="00D0321C"/>
    <w:rsid w:val="00D035EC"/>
    <w:rsid w:val="00D06AB1"/>
    <w:rsid w:val="00D072ED"/>
    <w:rsid w:val="00D07A16"/>
    <w:rsid w:val="00D07C11"/>
    <w:rsid w:val="00D1067E"/>
    <w:rsid w:val="00D10F50"/>
    <w:rsid w:val="00D11272"/>
    <w:rsid w:val="00D126F5"/>
    <w:rsid w:val="00D13341"/>
    <w:rsid w:val="00D1489E"/>
    <w:rsid w:val="00D20737"/>
    <w:rsid w:val="00D21E81"/>
    <w:rsid w:val="00D223DE"/>
    <w:rsid w:val="00D25E37"/>
    <w:rsid w:val="00D2661A"/>
    <w:rsid w:val="00D273FD"/>
    <w:rsid w:val="00D27582"/>
    <w:rsid w:val="00D27EC4"/>
    <w:rsid w:val="00D32719"/>
    <w:rsid w:val="00D33333"/>
    <w:rsid w:val="00D33457"/>
    <w:rsid w:val="00D33AA2"/>
    <w:rsid w:val="00D352A2"/>
    <w:rsid w:val="00D35F97"/>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29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E2A"/>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2244"/>
    <w:rsid w:val="00E44A83"/>
    <w:rsid w:val="00E502C1"/>
    <w:rsid w:val="00E502DD"/>
    <w:rsid w:val="00E50D3A"/>
    <w:rsid w:val="00E51387"/>
    <w:rsid w:val="00E51E68"/>
    <w:rsid w:val="00E52EFD"/>
    <w:rsid w:val="00E53B7D"/>
    <w:rsid w:val="00E5408A"/>
    <w:rsid w:val="00E56800"/>
    <w:rsid w:val="00E60C63"/>
    <w:rsid w:val="00E62BE7"/>
    <w:rsid w:val="00E62FF9"/>
    <w:rsid w:val="00E635D6"/>
    <w:rsid w:val="00E639BC"/>
    <w:rsid w:val="00E664CC"/>
    <w:rsid w:val="00E70388"/>
    <w:rsid w:val="00E70F92"/>
    <w:rsid w:val="00E745AD"/>
    <w:rsid w:val="00E74C54"/>
    <w:rsid w:val="00E77A03"/>
    <w:rsid w:val="00E81ECC"/>
    <w:rsid w:val="00E822E8"/>
    <w:rsid w:val="00E82554"/>
    <w:rsid w:val="00E82606"/>
    <w:rsid w:val="00E83E8E"/>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986"/>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374F"/>
    <w:rsid w:val="00F1409D"/>
    <w:rsid w:val="00F14214"/>
    <w:rsid w:val="00F157A9"/>
    <w:rsid w:val="00F161E0"/>
    <w:rsid w:val="00F25518"/>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5E9F"/>
    <w:rsid w:val="00FB7054"/>
    <w:rsid w:val="00FC17B7"/>
    <w:rsid w:val="00FC2CB7"/>
    <w:rsid w:val="00FC4090"/>
    <w:rsid w:val="00FC55B4"/>
    <w:rsid w:val="00FD00E6"/>
    <w:rsid w:val="00FD09A1"/>
    <w:rsid w:val="00FD2A7C"/>
    <w:rsid w:val="00FD42F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0081BE8"/>
    <w:rsid w:val="34837B3B"/>
    <w:rsid w:val="3DB334D8"/>
    <w:rsid w:val="43FB438A"/>
    <w:rsid w:val="67A0097C"/>
    <w:rsid w:val="7923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7"/>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autoRedefine/>
    <w:semiHidden/>
    <w:unhideWhenUsed/>
    <w:qFormat/>
    <w:uiPriority w:val="99"/>
    <w:rPr>
      <w:sz w:val="18"/>
      <w:szCs w:val="18"/>
    </w:rPr>
  </w:style>
  <w:style w:type="paragraph" w:styleId="18">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字符"/>
    <w:link w:val="2"/>
    <w:autoRedefine/>
    <w:qFormat/>
    <w:uiPriority w:val="0"/>
    <w:rPr>
      <w:b/>
      <w:bCs/>
      <w:kern w:val="44"/>
      <w:sz w:val="44"/>
      <w:szCs w:val="44"/>
    </w:rPr>
  </w:style>
  <w:style w:type="character" w:customStyle="1" w:styleId="36">
    <w:name w:val="标题 2 字符"/>
    <w:link w:val="3"/>
    <w:autoRedefine/>
    <w:qFormat/>
    <w:uiPriority w:val="0"/>
    <w:rPr>
      <w:rFonts w:ascii="Arial" w:hAnsi="Arial" w:eastAsia="黑体"/>
      <w:b/>
      <w:bCs/>
      <w:kern w:val="2"/>
      <w:sz w:val="32"/>
      <w:szCs w:val="32"/>
    </w:rPr>
  </w:style>
  <w:style w:type="character" w:customStyle="1" w:styleId="37">
    <w:name w:val="标题 3 字符"/>
    <w:link w:val="4"/>
    <w:autoRedefine/>
    <w:qFormat/>
    <w:uiPriority w:val="0"/>
    <w:rPr>
      <w:b/>
      <w:bCs/>
      <w:kern w:val="2"/>
      <w:sz w:val="32"/>
      <w:szCs w:val="32"/>
    </w:rPr>
  </w:style>
  <w:style w:type="character" w:customStyle="1" w:styleId="38">
    <w:name w:val="标题 4 字符"/>
    <w:link w:val="5"/>
    <w:autoRedefine/>
    <w:qFormat/>
    <w:uiPriority w:val="0"/>
    <w:rPr>
      <w:rFonts w:ascii="Arial" w:hAnsi="Arial" w:eastAsia="黑体"/>
      <w:b/>
      <w:bCs/>
      <w:kern w:val="2"/>
      <w:sz w:val="28"/>
      <w:szCs w:val="28"/>
    </w:rPr>
  </w:style>
  <w:style w:type="character" w:customStyle="1" w:styleId="39">
    <w:name w:val="标题 5 字符"/>
    <w:link w:val="6"/>
    <w:autoRedefine/>
    <w:qFormat/>
    <w:uiPriority w:val="0"/>
    <w:rPr>
      <w:b/>
      <w:bCs/>
      <w:kern w:val="2"/>
      <w:sz w:val="28"/>
      <w:szCs w:val="28"/>
    </w:rPr>
  </w:style>
  <w:style w:type="character" w:customStyle="1" w:styleId="40">
    <w:name w:val="标题 6 字符"/>
    <w:link w:val="7"/>
    <w:autoRedefine/>
    <w:qFormat/>
    <w:uiPriority w:val="0"/>
    <w:rPr>
      <w:rFonts w:ascii="Arial" w:hAnsi="Arial" w:eastAsia="黑体"/>
      <w:b/>
      <w:bCs/>
      <w:kern w:val="2"/>
      <w:sz w:val="24"/>
      <w:szCs w:val="24"/>
    </w:rPr>
  </w:style>
  <w:style w:type="character" w:customStyle="1" w:styleId="41">
    <w:name w:val="标题 7 字符"/>
    <w:link w:val="8"/>
    <w:autoRedefine/>
    <w:qFormat/>
    <w:uiPriority w:val="0"/>
    <w:rPr>
      <w:b/>
      <w:bCs/>
      <w:kern w:val="2"/>
      <w:sz w:val="24"/>
      <w:szCs w:val="24"/>
    </w:rPr>
  </w:style>
  <w:style w:type="character" w:customStyle="1" w:styleId="42">
    <w:name w:val="标题 8 字符"/>
    <w:link w:val="9"/>
    <w:autoRedefine/>
    <w:qFormat/>
    <w:uiPriority w:val="0"/>
    <w:rPr>
      <w:rFonts w:ascii="Arial" w:hAnsi="Arial" w:eastAsia="黑体"/>
      <w:kern w:val="2"/>
      <w:sz w:val="24"/>
      <w:szCs w:val="24"/>
    </w:rPr>
  </w:style>
  <w:style w:type="character" w:customStyle="1" w:styleId="43">
    <w:name w:val="标题 9 字符"/>
    <w:link w:val="10"/>
    <w:autoRedefine/>
    <w:uiPriority w:val="0"/>
    <w:rPr>
      <w:rFonts w:ascii="Arial" w:hAnsi="Arial" w:eastAsia="黑体"/>
      <w:kern w:val="2"/>
      <w:sz w:val="21"/>
      <w:szCs w:val="21"/>
    </w:rPr>
  </w:style>
  <w:style w:type="character" w:customStyle="1" w:styleId="44">
    <w:name w:val="页眉 字符"/>
    <w:link w:val="19"/>
    <w:autoRedefine/>
    <w:qFormat/>
    <w:uiPriority w:val="99"/>
    <w:rPr>
      <w:kern w:val="2"/>
      <w:sz w:val="18"/>
      <w:szCs w:val="18"/>
    </w:rPr>
  </w:style>
  <w:style w:type="character" w:customStyle="1" w:styleId="45">
    <w:name w:val="页脚 字符"/>
    <w:link w:val="18"/>
    <w:autoRedefine/>
    <w:qFormat/>
    <w:uiPriority w:val="99"/>
    <w:rPr>
      <w:rFonts w:ascii="宋体"/>
      <w:kern w:val="2"/>
      <w:sz w:val="18"/>
      <w:szCs w:val="18"/>
    </w:rPr>
  </w:style>
  <w:style w:type="character" w:customStyle="1" w:styleId="46">
    <w:name w:val="批注框文本 字符"/>
    <w:link w:val="17"/>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autoRedefine/>
    <w:qFormat/>
    <w:uiPriority w:val="29"/>
    <w:rPr>
      <w:i/>
      <w:iCs/>
      <w:color w:val="000000"/>
      <w:kern w:val="2"/>
      <w:sz w:val="21"/>
      <w:szCs w:val="21"/>
    </w:rPr>
  </w:style>
  <w:style w:type="character" w:customStyle="1" w:styleId="49">
    <w:name w:val="标题 字符"/>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uiPriority w:val="0"/>
    <w:pPr>
      <w:spacing w:line="0" w:lineRule="atLeast"/>
    </w:pPr>
    <w:rPr>
      <w:rFonts w:ascii="黑体" w:hAnsi="宋体" w:eastAsia="黑体"/>
    </w:rPr>
  </w:style>
  <w:style w:type="paragraph" w:customStyle="1" w:styleId="56">
    <w:name w:val="标准文件_标准正文"/>
    <w:basedOn w:val="1"/>
    <w:next w:val="57"/>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uiPriority w:val="0"/>
    <w:pPr>
      <w:spacing w:line="310" w:lineRule="exact"/>
      <w:jc w:val="right"/>
    </w:pPr>
    <w:rPr>
      <w:rFonts w:ascii="黑体" w:eastAsia="黑体"/>
      <w:kern w:val="0"/>
      <w:sz w:val="28"/>
    </w:rPr>
  </w:style>
  <w:style w:type="paragraph" w:customStyle="1" w:styleId="70">
    <w:name w:val="标准文件_封面标准分类号"/>
    <w:basedOn w:val="1"/>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autoRedefine/>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autoRedefine/>
    <w:qFormat/>
    <w:uiPriority w:val="0"/>
    <w:rPr>
      <w:kern w:val="2"/>
      <w:sz w:val="21"/>
      <w:szCs w:val="21"/>
    </w:rPr>
  </w:style>
  <w:style w:type="paragraph" w:customStyle="1" w:styleId="88">
    <w:name w:val="标准文件_附录章标题"/>
    <w:next w:val="57"/>
    <w:autoRedefine/>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pPr>
  </w:style>
  <w:style w:type="paragraph" w:customStyle="1" w:styleId="95">
    <w:name w:val="标准文件_三级条标题"/>
    <w:basedOn w:val="66"/>
    <w:next w:val="57"/>
    <w:autoRedefine/>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autoRedefine/>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ind w:left="425"/>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uiPriority w:val="0"/>
    <w:pPr>
      <w:adjustRightInd/>
      <w:spacing w:line="240" w:lineRule="auto"/>
      <w:jc w:val="left"/>
    </w:pPr>
  </w:style>
  <w:style w:type="paragraph" w:customStyle="1" w:styleId="146">
    <w:name w:val="目录 51"/>
    <w:basedOn w:val="1"/>
    <w:next w:val="1"/>
    <w:autoRedefine/>
    <w:semiHidden/>
    <w:uiPriority w:val="0"/>
    <w:pPr>
      <w:spacing w:line="240" w:lineRule="auto"/>
    </w:pPr>
    <w:rPr>
      <w:rFonts w:ascii="宋体" w:hAnsi="宋体"/>
    </w:rPr>
  </w:style>
  <w:style w:type="paragraph" w:customStyle="1" w:styleId="147">
    <w:name w:val="目录 61"/>
    <w:basedOn w:val="1"/>
    <w:next w:val="1"/>
    <w:autoRedefine/>
    <w:semiHidden/>
    <w:uiPriority w:val="0"/>
    <w:pPr>
      <w:adjustRightInd/>
      <w:spacing w:line="240" w:lineRule="auto"/>
      <w:jc w:val="left"/>
    </w:pPr>
  </w:style>
  <w:style w:type="paragraph" w:customStyle="1" w:styleId="148">
    <w:name w:val="目录 71"/>
    <w:basedOn w:val="147"/>
    <w:autoRedefine/>
    <w:semiHidden/>
    <w:uiPriority w:val="0"/>
    <w:pPr>
      <w:ind w:left="1260"/>
    </w:pPr>
  </w:style>
  <w:style w:type="paragraph" w:customStyle="1" w:styleId="149">
    <w:name w:val="目录 81"/>
    <w:basedOn w:val="148"/>
    <w:autoRedefine/>
    <w:semiHidden/>
    <w:uiPriority w:val="0"/>
    <w:pPr>
      <w:ind w:left="1470"/>
    </w:pPr>
  </w:style>
  <w:style w:type="paragraph" w:customStyle="1" w:styleId="150">
    <w:name w:val="目录 91"/>
    <w:basedOn w:val="149"/>
    <w:autoRedefine/>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Lines="0" w:afterLines="0"/>
      <w:outlineLvl w:val="9"/>
    </w:pPr>
    <w:rPr>
      <w:rFonts w:ascii="宋体" w:eastAsia="宋体"/>
    </w:rPr>
  </w:style>
  <w:style w:type="paragraph" w:customStyle="1" w:styleId="164">
    <w:name w:val="标准文件_五级无标题"/>
    <w:basedOn w:val="104"/>
    <w:autoRedefine/>
    <w:qFormat/>
    <w:uiPriority w:val="0"/>
    <w:pPr>
      <w:spacing w:beforeLines="0" w:afterLines="0"/>
      <w:outlineLvl w:val="9"/>
    </w:pPr>
    <w:rPr>
      <w:rFonts w:ascii="宋体" w:eastAsia="宋体"/>
    </w:rPr>
  </w:style>
  <w:style w:type="paragraph" w:customStyle="1" w:styleId="165">
    <w:name w:val="标准文件_三级无标题"/>
    <w:basedOn w:val="95"/>
    <w:autoRedefine/>
    <w:qFormat/>
    <w:uiPriority w:val="0"/>
    <w:pPr>
      <w:spacing w:beforeLines="0" w:afterLines="0"/>
      <w:outlineLvl w:val="9"/>
    </w:pPr>
    <w:rPr>
      <w:rFonts w:ascii="宋体" w:eastAsia="宋体"/>
    </w:rPr>
  </w:style>
  <w:style w:type="paragraph" w:customStyle="1" w:styleId="166">
    <w:name w:val="标准文件_二级无标题"/>
    <w:basedOn w:val="66"/>
    <w:autoRedefine/>
    <w:qFormat/>
    <w:uiPriority w:val="0"/>
    <w:pPr>
      <w:spacing w:beforeLines="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frame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Lines="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Lines="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Lines="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Lines="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Lines="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Lines="0" w:afterLines="0" w:line="276" w:lineRule="auto"/>
    </w:pPr>
    <w:rPr>
      <w:rFonts w:ascii="宋体" w:eastAsia="宋体"/>
    </w:rPr>
  </w:style>
  <w:style w:type="paragraph" w:customStyle="1" w:styleId="219">
    <w:name w:val="标准文件_引言三级无标题"/>
    <w:basedOn w:val="203"/>
    <w:autoRedefine/>
    <w:qFormat/>
    <w:uiPriority w:val="0"/>
    <w:pPr>
      <w:spacing w:beforeLines="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Lines="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Lines="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paragraph" w:customStyle="1" w:styleId="231">
    <w:name w:val="段"/>
    <w:link w:val="232"/>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link w:val="231"/>
    <w:autoRedefine/>
    <w:qFormat/>
    <w:uiPriority w:val="0"/>
    <w:rPr>
      <w:rFonts w:ascii="宋体" w:hAnsi="Times New Roman"/>
      <w:sz w:val="21"/>
    </w:rPr>
  </w:style>
  <w:style w:type="paragraph" w:customStyle="1" w:styleId="233">
    <w:name w:val="注：（正文）"/>
    <w:basedOn w:val="1"/>
    <w:next w:val="231"/>
    <w:autoRedefine/>
    <w:qFormat/>
    <w:uiPriority w:val="0"/>
    <w:pPr>
      <w:numPr>
        <w:ilvl w:val="0"/>
        <w:numId w:val="32"/>
      </w:numPr>
      <w:autoSpaceDE w:val="0"/>
      <w:autoSpaceDN w:val="0"/>
      <w:adjustRightInd/>
      <w:spacing w:line="240" w:lineRule="auto"/>
    </w:pPr>
    <w:rPr>
      <w:rFonts w:ascii="宋体" w:hAnsi="Times New Roman"/>
      <w:kern w:val="0"/>
      <w:sz w:val="18"/>
      <w:szCs w:val="18"/>
    </w:rPr>
  </w:style>
  <w:style w:type="paragraph" w:customStyle="1" w:styleId="234">
    <w:name w:val="列项——（一级）"/>
    <w:autoRedefine/>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235">
    <w:name w:val="列项●（二级）"/>
    <w:autoRedefine/>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36">
    <w:name w:val="列项◆（三级）"/>
    <w:basedOn w:val="1"/>
    <w:autoRedefine/>
    <w:qFormat/>
    <w:uiPriority w:val="0"/>
    <w:pPr>
      <w:tabs>
        <w:tab w:val="left" w:pos="1678"/>
      </w:tabs>
      <w:adjustRightInd/>
      <w:spacing w:line="240" w:lineRule="auto"/>
      <w:ind w:left="1678" w:hanging="414"/>
    </w:pPr>
    <w:rPr>
      <w:rFonts w:ascii="宋体" w:hAnsi="Times New Roman"/>
    </w:rPr>
  </w:style>
  <w:style w:type="paragraph" w:customStyle="1" w:styleId="237">
    <w:name w:val="数字编号列项（二级）"/>
    <w:autoRedefine/>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238">
    <w:name w:val="字母编号列项（一级）"/>
    <w:autoRedefine/>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239">
    <w:name w:val="一级条标题"/>
    <w:next w:val="231"/>
    <w:autoRedefine/>
    <w:qFormat/>
    <w:uiPriority w:val="0"/>
    <w:pPr>
      <w:numPr>
        <w:ilvl w:val="1"/>
        <w:numId w:val="33"/>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章标题"/>
    <w:next w:val="231"/>
    <w:autoRedefine/>
    <w:qFormat/>
    <w:uiPriority w:val="0"/>
    <w:pPr>
      <w:numPr>
        <w:ilvl w:val="0"/>
        <w:numId w:val="33"/>
      </w:numPr>
      <w:spacing w:beforeLines="100" w:afterLines="100"/>
      <w:jc w:val="both"/>
      <w:outlineLvl w:val="1"/>
    </w:pPr>
    <w:rPr>
      <w:rFonts w:ascii="黑体" w:hAnsi="Times New Roman" w:eastAsia="黑体" w:cs="Times New Roman"/>
      <w:sz w:val="21"/>
      <w:lang w:val="en-US" w:eastAsia="zh-CN" w:bidi="ar-SA"/>
    </w:rPr>
  </w:style>
  <w:style w:type="paragraph" w:customStyle="1" w:styleId="241">
    <w:name w:val="二级条标题"/>
    <w:basedOn w:val="239"/>
    <w:next w:val="231"/>
    <w:autoRedefine/>
    <w:qFormat/>
    <w:uiPriority w:val="0"/>
    <w:pPr>
      <w:numPr>
        <w:ilvl w:val="2"/>
      </w:numPr>
      <w:spacing w:before="50" w:after="50"/>
      <w:outlineLvl w:val="3"/>
    </w:pPr>
  </w:style>
  <w:style w:type="paragraph" w:customStyle="1" w:styleId="242">
    <w:name w:val="四级条标题"/>
    <w:basedOn w:val="1"/>
    <w:next w:val="231"/>
    <w:qFormat/>
    <w:uiPriority w:val="0"/>
    <w:pPr>
      <w:widowControl/>
      <w:numPr>
        <w:ilvl w:val="4"/>
        <w:numId w:val="33"/>
      </w:numPr>
      <w:adjustRightInd/>
      <w:spacing w:beforeLines="50" w:afterLines="50" w:line="240" w:lineRule="auto"/>
      <w:jc w:val="left"/>
      <w:outlineLvl w:val="5"/>
    </w:pPr>
    <w:rPr>
      <w:rFonts w:ascii="黑体" w:hAnsi="Times New Roman" w:eastAsia="黑体"/>
      <w:kern w:val="0"/>
    </w:rPr>
  </w:style>
  <w:style w:type="paragraph" w:customStyle="1" w:styleId="243">
    <w:name w:val="五级条标题"/>
    <w:basedOn w:val="242"/>
    <w:next w:val="231"/>
    <w:autoRedefine/>
    <w:qFormat/>
    <w:uiPriority w:val="0"/>
    <w:pPr>
      <w:numPr>
        <w:ilvl w:val="5"/>
      </w:numPr>
      <w:outlineLvl w:val="6"/>
    </w:pPr>
  </w:style>
  <w:style w:type="paragraph" w:customStyle="1" w:styleId="244">
    <w:name w:val="附录标识"/>
    <w:basedOn w:val="1"/>
    <w:next w:val="231"/>
    <w:qFormat/>
    <w:uiPriority w:val="0"/>
    <w:pPr>
      <w:keepNext/>
      <w:widowControl/>
      <w:shd w:val="clear" w:color="FFFFFF" w:fill="FFFFFF"/>
      <w:tabs>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45">
    <w:name w:val="附录二级条标题"/>
    <w:basedOn w:val="1"/>
    <w:next w:val="231"/>
    <w:autoRedefine/>
    <w:qFormat/>
    <w:uiPriority w:val="0"/>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hAnsi="Times New Roman" w:eastAsia="黑体"/>
      <w:kern w:val="21"/>
      <w:szCs w:val="20"/>
    </w:rPr>
  </w:style>
  <w:style w:type="paragraph" w:customStyle="1" w:styleId="246">
    <w:name w:val="附录三级条标题"/>
    <w:basedOn w:val="245"/>
    <w:next w:val="231"/>
    <w:autoRedefine/>
    <w:qFormat/>
    <w:uiPriority w:val="0"/>
    <w:pPr>
      <w:outlineLvl w:val="4"/>
    </w:pPr>
  </w:style>
  <w:style w:type="paragraph" w:customStyle="1" w:styleId="247">
    <w:name w:val="附录四级条标题"/>
    <w:basedOn w:val="246"/>
    <w:next w:val="231"/>
    <w:autoRedefine/>
    <w:qFormat/>
    <w:uiPriority w:val="0"/>
    <w:pPr>
      <w:outlineLvl w:val="5"/>
    </w:pPr>
  </w:style>
  <w:style w:type="paragraph" w:customStyle="1" w:styleId="248">
    <w:name w:val="附录图标号"/>
    <w:basedOn w:val="1"/>
    <w:autoRedefine/>
    <w:qFormat/>
    <w:uiPriority w:val="0"/>
    <w:pPr>
      <w:keepNext/>
      <w:pageBreakBefore/>
      <w:widowControl/>
      <w:numPr>
        <w:ilvl w:val="0"/>
        <w:numId w:val="34"/>
      </w:numPr>
      <w:adjustRightInd/>
      <w:spacing w:line="14" w:lineRule="exact"/>
      <w:ind w:left="0" w:firstLine="363"/>
      <w:jc w:val="center"/>
      <w:outlineLvl w:val="0"/>
    </w:pPr>
    <w:rPr>
      <w:rFonts w:ascii="Times New Roman" w:hAnsi="Times New Roman"/>
      <w:color w:val="FFFFFF"/>
      <w:szCs w:val="24"/>
    </w:rPr>
  </w:style>
  <w:style w:type="paragraph" w:customStyle="1" w:styleId="249">
    <w:name w:val="附录图标题"/>
    <w:basedOn w:val="1"/>
    <w:next w:val="231"/>
    <w:autoRedefine/>
    <w:qFormat/>
    <w:uiPriority w:val="0"/>
    <w:pPr>
      <w:numPr>
        <w:ilvl w:val="1"/>
        <w:numId w:val="34"/>
      </w:numPr>
      <w:tabs>
        <w:tab w:val="left" w:pos="363"/>
      </w:tabs>
      <w:adjustRightInd/>
      <w:spacing w:beforeLines="50" w:afterLines="50" w:line="240" w:lineRule="auto"/>
      <w:ind w:left="0" w:firstLine="0"/>
      <w:jc w:val="center"/>
    </w:pPr>
    <w:rPr>
      <w:rFonts w:ascii="黑体" w:hAnsi="Times New Roman" w:eastAsia="黑体"/>
    </w:rPr>
  </w:style>
  <w:style w:type="paragraph" w:customStyle="1" w:styleId="250">
    <w:name w:val="附录五级条标题"/>
    <w:basedOn w:val="247"/>
    <w:next w:val="231"/>
    <w:autoRedefine/>
    <w:qFormat/>
    <w:uiPriority w:val="0"/>
    <w:pPr>
      <w:outlineLvl w:val="6"/>
    </w:pPr>
  </w:style>
  <w:style w:type="paragraph" w:customStyle="1" w:styleId="251">
    <w:name w:val="附录章标题"/>
    <w:next w:val="231"/>
    <w:autoRedefine/>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52">
    <w:name w:val="附录一级条标题"/>
    <w:basedOn w:val="251"/>
    <w:next w:val="231"/>
    <w:autoRedefine/>
    <w:qFormat/>
    <w:uiPriority w:val="0"/>
    <w:pPr>
      <w:autoSpaceDN w:val="0"/>
      <w:spacing w:beforeLines="50" w:afterLines="50"/>
      <w:outlineLvl w:val="2"/>
    </w:pPr>
  </w:style>
  <w:style w:type="paragraph" w:customStyle="1" w:styleId="253">
    <w:name w:val="修订1"/>
    <w:autoRedefine/>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048839F283B431899392DC8B19E26AB"/>
        <w:style w:val=""/>
        <w:category>
          <w:name w:val="常规"/>
          <w:gallery w:val="placeholder"/>
        </w:category>
        <w:types>
          <w:type w:val="bbPlcHdr"/>
        </w:types>
        <w:behaviors>
          <w:behavior w:val="content"/>
        </w:behaviors>
        <w:description w:val=""/>
        <w:guid w:val="{9640F38C-8B6E-4FCC-83B9-EF4EF8F9F4BB}"/>
      </w:docPartPr>
      <w:docPartBody>
        <w:p>
          <w:pPr>
            <w:pStyle w:val="5"/>
          </w:pPr>
          <w:r>
            <w:rPr>
              <w:rStyle w:val="4"/>
              <w:rFonts w:hint="eastAsia"/>
            </w:rPr>
            <w:t>单击或点击此处输入文字。</w:t>
          </w:r>
        </w:p>
      </w:docPartBody>
    </w:docPart>
    <w:docPart>
      <w:docPartPr>
        <w:name w:val="57C855F1DE5740689015BCF1EA584208"/>
        <w:style w:val=""/>
        <w:category>
          <w:name w:val="常规"/>
          <w:gallery w:val="placeholder"/>
        </w:category>
        <w:types>
          <w:type w:val="bbPlcHdr"/>
        </w:types>
        <w:behaviors>
          <w:behavior w:val="content"/>
        </w:behaviors>
        <w:description w:val=""/>
        <w:guid w:val="{A9F89B31-547A-4E9D-B73B-366242C1CAA4}"/>
      </w:docPartPr>
      <w:docPartBody>
        <w:p>
          <w:pPr>
            <w:pStyle w:val="6"/>
          </w:pPr>
          <w:r>
            <w:rPr>
              <w:rStyle w:val="4"/>
              <w:rFonts w:hint="eastAsia"/>
            </w:rPr>
            <w:t>选择一项。</w:t>
          </w:r>
        </w:p>
      </w:docPartBody>
    </w:docPart>
    <w:docPart>
      <w:docPartPr>
        <w:name w:val="F0917641B8B44C9C9C5041EDCCE8BA68"/>
        <w:style w:val=""/>
        <w:category>
          <w:name w:val="常规"/>
          <w:gallery w:val="placeholder"/>
        </w:category>
        <w:types>
          <w:type w:val="bbPlcHdr"/>
        </w:types>
        <w:behaviors>
          <w:behavior w:val="content"/>
        </w:behaviors>
        <w:description w:val=""/>
        <w:guid w:val="{566DAE0C-C760-40E8-B17A-5154BB857F0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64F"/>
    <w:rsid w:val="00176C02"/>
    <w:rsid w:val="00421B3B"/>
    <w:rsid w:val="00472841"/>
    <w:rsid w:val="004C10E0"/>
    <w:rsid w:val="005351B2"/>
    <w:rsid w:val="00565B36"/>
    <w:rsid w:val="006245FC"/>
    <w:rsid w:val="00692B53"/>
    <w:rsid w:val="00697826"/>
    <w:rsid w:val="006E4BA8"/>
    <w:rsid w:val="0073607B"/>
    <w:rsid w:val="0080050F"/>
    <w:rsid w:val="0092763F"/>
    <w:rsid w:val="00957360"/>
    <w:rsid w:val="00A2664F"/>
    <w:rsid w:val="00A63DFD"/>
    <w:rsid w:val="00A653C6"/>
    <w:rsid w:val="00A666DA"/>
    <w:rsid w:val="00A70AF8"/>
    <w:rsid w:val="00A82B8A"/>
    <w:rsid w:val="00B525B9"/>
    <w:rsid w:val="00B73B2F"/>
    <w:rsid w:val="00B81D27"/>
    <w:rsid w:val="00DD524D"/>
    <w:rsid w:val="00EA06CA"/>
    <w:rsid w:val="00F1277C"/>
    <w:rsid w:val="00F50426"/>
    <w:rsid w:val="00F54B47"/>
    <w:rsid w:val="00F72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048839F283B431899392DC8B19E26A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7C855F1DE5740689015BCF1EA584208"/>
    <w:autoRedefin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0917641B8B44C9C9C5041EDCCE8BA6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30C7C3-9035-4EFD-8424-581FC024E727}">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(x86)\StandardEditor\template\地方标准.dotx</Template>
  <Company>PCMI</Company>
  <Pages>8</Pages>
  <Words>798</Words>
  <Characters>4551</Characters>
  <Lines>37</Lines>
  <Paragraphs>10</Paragraphs>
  <TotalTime>40</TotalTime>
  <ScaleCrop>false</ScaleCrop>
  <LinksUpToDate>false</LinksUpToDate>
  <CharactersWithSpaces>5339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2024-01-09T11:45:00Z</dcterms:created>
  <dc:creator>nan ding</dc:creator>
  <dc:description>&lt;config cover="true" show_menu="true" version="1.0.0" doctype="SDKXY"&gt;_x000d_
&lt;/config&gt;</dc:description>
  <cp:lastModifiedBy>mmme</cp:lastModifiedBy>
  <cp:lastPrinted>2020-08-30T10:00:00Z</cp:lastPrinted>
  <dcterms:modified xsi:type="dcterms:W3CDTF">2024-01-29T05:38:39Z</dcterms:modified>
  <dc:title>地方标准</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5240B55830DE4E3E82BE38C066081391_12</vt:lpwstr>
  </property>
</Properties>
</file>