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rPr>
          <w:sz w:val="21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7" w:h="16839"/>
          <w:pgMar w:top="567" w:right="851" w:bottom="1361" w:left="1418" w:header="0" w:footer="0" w:gutter="0"/>
          <w:pgNumType w:start="1"/>
          <w:cols w:space="425" w:num="1"/>
          <w:titlePg/>
          <w:docGrid w:type="lines" w:linePitch="312" w:charSpace="0"/>
        </w:sectPr>
      </w:pPr>
      <w:bookmarkStart w:id="0" w:name="SectionMark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0"/>
                <wp:effectExtent l="14605" t="10795" r="7620" b="8255"/>
                <wp:wrapSquare wrapText="bothSides"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700pt;height:0pt;width:482pt;mso-wrap-distance-bottom:0pt;mso-wrap-distance-left:9pt;mso-wrap-distance-right:9pt;mso-wrap-distance-top:0pt;z-index:251668480;mso-width-relative:page;mso-height-relative:page;" filled="f" stroked="t" coordsize="21600,21600" o:gfxdata="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r0iU/VAAAACgEA&#10;AA8AAAAAAAAAAQAgAAAAIgAAAGRycy9kb3ducmV2LnhtbFBLAQIUABQAAAAIAIdO4kAt1GjR5AEA&#10;AK0DAAAOAAAAAAAAAAEAIAAAACQBAABkcnMvZTJvRG9jLnhtbFBLBQYAAAAABgAGAFkBAAB6BQAA&#10;AAA=&#10;">
                <v:fill on="f" focussize="0,0"/>
                <v:stroke weight="1pt" color="#080000" joinstyle="round"/>
                <v:imagedata o:title=""/>
                <o:lock v:ext="edit" aspectratio="f"/>
                <w10:wrap type="square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14605" t="13970" r="7620" b="14605"/>
                <wp:wrapSquare wrapText="bothSides"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79pt;height:0pt;width:482pt;mso-wrap-distance-bottom:0pt;mso-wrap-distance-left:9pt;mso-wrap-distance-right:9pt;mso-wrap-distance-top:0pt;z-index:251667456;mso-width-relative:page;mso-height-relative:page;" filled="f" stroked="t" coordsize="21600,21600" o:gfxdata="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TueDHWAAAACAEA&#10;AA8AAAAAAAAAAQAgAAAAIgAAAGRycy9kb3ducmV2LnhtbFBLAQIUABQAAAAIAIdO4kD4Q+UZ4wEA&#10;AK0DAAAOAAAAAAAAAAEAIAAAACUBAABkcnMvZTJvRG9jLnhtbFBLBQYAAAAABgAGAFkBAAB6BQAA&#10;AAA=&#10;">
                <v:fill on="f" focussize="0,0"/>
                <v:stroke weight="1pt" color="#080000" joinstyle="round"/>
                <v:imagedata o:title=""/>
                <o:lock v:ext="edit" aspectratio="f"/>
                <w10:wrap type="square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635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1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江苏省市场监督管理局   </w:t>
                            </w:r>
                            <w:r>
                              <w:rPr>
                                <w:rStyle w:val="28"/>
                                <w:rFonts w:ascii="Times New Roman"/>
                              </w:rPr>
                              <w:t>发布</w:t>
                            </w:r>
                          </w:p>
                          <w:p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717.2pt;height:28.6pt;width:481.9pt;mso-position-horizontal-relative:margin;mso-position-vertical-relative:margin;z-index:251666432;mso-width-relative:page;mso-height-relative:page;" fillcolor="#FFFFFF" filled="t" stroked="f" coordsize="21600,21600" o:gfxdata="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VYG69gA&#10;AAAKAQAADwAAAAAAAAABACAAAAAiAAAAZHJzL2Rvd25yZXYueG1sUEsBAhQAFAAAAAgAh07iQKlM&#10;j/4fAgAALgQAAA4AAAAAAAAAAQAgAAAAJwEAAGRycy9lMm9Eb2MueG1sUEsFBgAAAAAGAAYAWQEA&#10;ALg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1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江苏省市场监督管理局   </w:t>
                      </w:r>
                      <w:r>
                        <w:rPr>
                          <w:rStyle w:val="28"/>
                          <w:rFonts w:ascii="Times New Roman"/>
                        </w:rPr>
                        <w:t>发布</w:t>
                      </w:r>
                    </w:p>
                    <w:p/>
                  </w:txbxContent>
                </v:textbox>
                <w10:anchorlock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635" t="0" r="0" b="317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8"/>
                            </w:pPr>
                            <w:r>
                              <w:rPr>
                                <w:rFonts w:hint="eastAsia"/>
                              </w:rPr>
                              <w:t>××××-××-××实施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2.9pt;margin-top:674.3pt;height:24.6pt;width:159pt;mso-position-horizontal-relative:margin;mso-position-vertical-relative:margin;z-index:251665408;mso-width-relative:page;mso-height-relative:page;" fillcolor="#FFFFFF" filled="t" stroked="f" coordsize="21600,21600" o:gfxdata="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C/arX&#10;2gAAAA0BAAAPAAAAAAAAAAEAIAAAACIAAABkcnMvZG93bnJldi54bWxQSwECFAAUAAAACACHTuJA&#10;NmbcFR8CAAAuBAAADgAAAAAAAAABACAAAAApAQAAZHJzL2Uyb0RvYy54bWxQSwUGAAAAAAYABgBZ&#10;AQAAu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8"/>
                      </w:pPr>
                      <w:r>
                        <w:rPr>
                          <w:rFonts w:hint="eastAsia"/>
                        </w:rPr>
                        <w:t>××××-××-××实施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4445" b="317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0"/>
                            </w:pPr>
                            <w:r>
                              <w:rPr>
                                <w:rFonts w:hint="eastAsia"/>
                              </w:rPr>
                              <w:t>××××-××-××发布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674.3pt;height:24.6pt;width:159pt;mso-position-horizontal-relative:margin;mso-position-vertical-relative:margin;z-index:251664384;mso-width-relative:page;mso-height-relative:page;" fillcolor="#FFFFFF" filled="t" stroked="f" coordsize="21600,21600" o:gfxdata="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82yojY&#10;AAAACgEAAA8AAAAAAAAAAQAgAAAAIgAAAGRycy9kb3ducmV2LnhtbFBLAQIUABQAAAAIAIdO4kDa&#10;4yaTIAIAAC4EAAAOAAAAAAAAAAEAIAAAACcBAABkcnMvZTJvRG9jLnhtbFBLBQYAAAAABgAGAFkB&#10;AAC5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0"/>
                      </w:pPr>
                      <w:r>
                        <w:rPr>
                          <w:rFonts w:hint="eastAsia"/>
                        </w:rPr>
                        <w:t>××××-××-××发布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4445" r="0" b="63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156" w:beforeLines="50" w:line="240" w:lineRule="auto"/>
                              <w:jc w:val="center"/>
                              <w:rPr>
                                <w:rFonts w:eastAsia="黑体" w:asciiTheme="minorHAnsi" w:hAnsiTheme="minorHAnsi" w:cstheme="minorBidi"/>
                                <w:spacing w:val="24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eastAsia="黑体" w:asciiTheme="minorHAnsi" w:hAnsiTheme="minorHAnsi" w:cstheme="minorBidi"/>
                                <w:spacing w:val="24"/>
                                <w:sz w:val="52"/>
                                <w:szCs w:val="52"/>
                              </w:rPr>
                              <w:t>水稻病虫害全程简约化绿色防控技术规程</w:t>
                            </w:r>
                          </w:p>
                          <w:p>
                            <w:pPr>
                              <w:pStyle w:val="3"/>
                              <w:spacing w:before="156" w:beforeLines="50" w:line="400" w:lineRule="exact"/>
                              <w:jc w:val="center"/>
                              <w:rPr>
                                <w:rFonts w:ascii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/>
                                <w:spacing w:val="-18"/>
                              </w:rPr>
                              <w:t>Simplified rules of green prevention and control of rice diseases and pests in the whole process</w:t>
                            </w:r>
                            <w:r>
                              <w:rPr>
                                <w:rFonts w:hint="eastAsia" w:ascii="Times New Roman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8"/>
                              </w:rPr>
                              <w:t xml:space="preserve">  </w:t>
                            </w:r>
                          </w:p>
                          <w:p>
                            <w:pPr>
                              <w:pStyle w:val="34"/>
                            </w:pPr>
                          </w:p>
                          <w:p>
                            <w:pPr>
                              <w:pStyle w:val="35"/>
                            </w:pPr>
                          </w:p>
                          <w:p>
                            <w:pPr>
                              <w:pStyle w:val="35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  <w:sz w:val="36"/>
                                <w:szCs w:val="36"/>
                              </w:rPr>
                              <w:t>（</w:t>
                            </w:r>
                            <w:r>
                              <w:rPr>
                                <w:rFonts w:hint="eastAsia" w:ascii="Times New Roman"/>
                                <w:sz w:val="36"/>
                                <w:szCs w:val="36"/>
                              </w:rPr>
                              <w:t>报批</w:t>
                            </w:r>
                            <w:r>
                              <w:rPr>
                                <w:rFonts w:ascii="Times New Roman"/>
                                <w:sz w:val="36"/>
                                <w:szCs w:val="36"/>
                              </w:rPr>
                              <w:t>稿）</w:t>
                            </w:r>
                          </w:p>
                          <w:p>
                            <w:pPr>
                              <w:pStyle w:val="3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286.25pt;height:368.6pt;width:470pt;mso-position-horizontal-relative:margin;mso-position-vertical-relative:margin;z-index:251663360;mso-width-relative:page;mso-height-relative:page;" fillcolor="#FFFFFF" filled="t" stroked="f" coordsize="21600,21600" o:gfxdata="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UV59x&#10;2AAAAAkBAAAPAAAAAAAAAAEAIAAAACIAAABkcnMvZG93bnJldi54bWxQSwECFAAUAAAACACHTuJA&#10;v0tO2SECAAAvBAAADgAAAAAAAAABACAAAAAnAQAAZHJzL2Uyb0RvYy54bWxQSwUGAAAAAAYABgBZ&#10;AQAAu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156" w:beforeLines="50" w:line="240" w:lineRule="auto"/>
                        <w:jc w:val="center"/>
                        <w:rPr>
                          <w:rFonts w:eastAsia="黑体" w:asciiTheme="minorHAnsi" w:hAnsiTheme="minorHAnsi" w:cstheme="minorBidi"/>
                          <w:spacing w:val="24"/>
                          <w:sz w:val="52"/>
                          <w:szCs w:val="52"/>
                        </w:rPr>
                      </w:pPr>
                      <w:r>
                        <w:rPr>
                          <w:rFonts w:hint="eastAsia" w:eastAsia="黑体" w:asciiTheme="minorHAnsi" w:hAnsiTheme="minorHAnsi" w:cstheme="minorBidi"/>
                          <w:spacing w:val="24"/>
                          <w:sz w:val="52"/>
                          <w:szCs w:val="52"/>
                        </w:rPr>
                        <w:t>水稻病虫害全程简约化绿色防控技术规程</w:t>
                      </w:r>
                    </w:p>
                    <w:p>
                      <w:pPr>
                        <w:pStyle w:val="3"/>
                        <w:spacing w:before="156" w:beforeLines="50" w:line="400" w:lineRule="exact"/>
                        <w:jc w:val="center"/>
                        <w:rPr>
                          <w:rFonts w:ascii="Times New Roman"/>
                          <w:b/>
                          <w:bCs/>
                        </w:rPr>
                      </w:pPr>
                      <w:r>
                        <w:rPr>
                          <w:rFonts w:ascii="Times New Roman"/>
                          <w:spacing w:val="-18"/>
                        </w:rPr>
                        <w:t>Simplified rules of green prevention and control of rice diseases and pests in the whole process</w:t>
                      </w:r>
                      <w:r>
                        <w:rPr>
                          <w:rFonts w:hint="eastAsia" w:ascii="Times New Roman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8"/>
                        </w:rPr>
                        <w:t xml:space="preserve">  </w:t>
                      </w:r>
                    </w:p>
                    <w:p>
                      <w:pPr>
                        <w:pStyle w:val="34"/>
                      </w:pPr>
                    </w:p>
                    <w:p>
                      <w:pPr>
                        <w:pStyle w:val="35"/>
                      </w:pPr>
                    </w:p>
                    <w:p>
                      <w:pPr>
                        <w:pStyle w:val="35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  <w:sz w:val="36"/>
                          <w:szCs w:val="36"/>
                        </w:rPr>
                        <w:t>（</w:t>
                      </w:r>
                      <w:r>
                        <w:rPr>
                          <w:rFonts w:hint="eastAsia" w:ascii="Times New Roman"/>
                          <w:sz w:val="36"/>
                          <w:szCs w:val="36"/>
                        </w:rPr>
                        <w:t>报批</w:t>
                      </w:r>
                      <w:r>
                        <w:rPr>
                          <w:rFonts w:ascii="Times New Roman"/>
                          <w:sz w:val="36"/>
                          <w:szCs w:val="36"/>
                        </w:rPr>
                        <w:t>稿）</w:t>
                      </w:r>
                    </w:p>
                    <w:p>
                      <w:pPr>
                        <w:pStyle w:val="3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254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1"/>
                            </w:pPr>
                            <w:r>
                              <w:t xml:space="preserve">DB32/T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××××—××××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10.35pt;height:67.75pt;width:456.9pt;mso-position-horizontal-relative:margin;mso-position-vertical-relative:margin;z-index:251662336;mso-width-relative:page;mso-height-relative:page;" fillcolor="#FFFFFF" filled="t" stroked="f" coordsize="21600,21600" o:gfxdata="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UBpPvY&#10;AAAACAEAAA8AAAAAAAAAAQAgAAAAIgAAAGRycy9kb3ducmV2LnhtbFBLAQIUABQAAAAIAIdO4kAR&#10;xBGyIAIAAC4EAAAOAAAAAAAAAAEAIAAAACcBAABkcnMvZTJvRG9jLnhtbFBLBQYAAAAABgAGAFkB&#10;AAC5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1"/>
                      </w:pPr>
                      <w:r>
                        <w:t xml:space="preserve">DB32/T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××××—××××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posOffset>2549525</wp:posOffset>
                </wp:positionH>
                <wp:positionV relativeFrom="margin">
                  <wp:posOffset>107315</wp:posOffset>
                </wp:positionV>
                <wp:extent cx="3175000" cy="720090"/>
                <wp:effectExtent l="1905" t="635" r="4445" b="317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3"/>
                            </w:pPr>
                            <w:r>
                              <w:t>DB32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0.75pt;margin-top:8.45pt;height:56.7pt;width:250pt;mso-position-horizontal-relative:margin;mso-position-vertical-relative:margin;z-index:251661312;mso-width-relative:page;mso-height-relative:page;" fillcolor="#FFFFFF" filled="t" stroked="f" coordsize="21600,21600" o:gfxdata="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ElZOzzY&#10;AAAACgEAAA8AAAAAAAAAAQAgAAAAIgAAAGRycy9kb3ducmV2LnhtbFBLAQIUABQAAAAIAIdO4kC3&#10;QqTSIAIAAC4EAAAOAAAAAAAAAAEAIAAAACcBAABkcnMvZTJvRG9jLnhtbFBLBQYAAAAABgAGAFkB&#10;AAC5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3"/>
                      </w:pPr>
                      <w:r>
                        <w:t>DB32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7"/>
                            </w:pPr>
                            <w:r>
                              <w:rPr>
                                <w:rFonts w:hint="eastAsia"/>
                              </w:rPr>
                              <w:t>江苏省地方标准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79.6pt;height:30.8pt;width:481.9pt;mso-position-horizontal-relative:margin;mso-position-vertical-relative:margin;z-index:251660288;mso-width-relative:page;mso-height-relative:page;" fillcolor="#FFFFFF" filled="t" stroked="f" coordsize="21600,21600" o:gfxdata="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DkcF1wAA&#10;AAgBAAAPAAAAAAAAAAEAIAAAACIAAABkcnMvZG93bnJldi54bWxQSwECFAAUAAAACACHTuJAC8xF&#10;ER8CAAAuBAAADgAAAAAAAAABACAAAAAmAQAAZHJzL2Uyb0RvYy54bWxQSwUGAAAAAAYABgBZAQAA&#10;tw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7"/>
                      </w:pPr>
                      <w:r>
                        <w:rPr>
                          <w:rFonts w:hint="eastAsia"/>
                        </w:rPr>
                        <w:t>江苏省地方标准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-66675</wp:posOffset>
                </wp:positionH>
                <wp:positionV relativeFrom="margin">
                  <wp:posOffset>198120</wp:posOffset>
                </wp:positionV>
                <wp:extent cx="2540000" cy="657860"/>
                <wp:effectExtent l="0" t="0" r="0" b="317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9"/>
                            </w:pPr>
                            <w:r>
                              <w:t>ICS 65.020.20</w:t>
                            </w:r>
                          </w:p>
                          <w:p>
                            <w:pPr>
                              <w:pStyle w:val="39"/>
                            </w:pPr>
                            <w:r>
                              <w:t>CCS B 16</w:t>
                            </w:r>
                          </w:p>
                          <w:p>
                            <w:pPr>
                              <w:pStyle w:val="39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25pt;margin-top:15.6pt;height:51.8pt;width:200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cwPVZ&#10;2QAAAAoBAAAPAAAAAAAAAAEAIAAAACIAAABkcnMvZG93bnJldi54bWxQSwECFAAUAAAACACHTuJA&#10;0xcQUiACAAAuBAAADgAAAAAAAAABACAAAAAoAQAAZHJzL2Uyb0RvYy54bWxQSwUGAAAAAAYABgBZ&#10;AQAAu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9"/>
                      </w:pPr>
                      <w:r>
                        <w:t>ICS 65.020.20</w:t>
                      </w:r>
                    </w:p>
                    <w:p>
                      <w:pPr>
                        <w:pStyle w:val="39"/>
                      </w:pPr>
                      <w:r>
                        <w:t>CCS B 16</w:t>
                      </w:r>
                    </w:p>
                    <w:p>
                      <w:pPr>
                        <w:pStyle w:val="39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0"/>
    <w:p>
      <w:pPr>
        <w:pStyle w:val="27"/>
        <w:numPr>
          <w:ilvl w:val="0"/>
          <w:numId w:val="2"/>
        </w:numPr>
        <w:rPr>
          <w:rFonts w:hAnsi="黑体"/>
          <w:szCs w:val="32"/>
        </w:rPr>
      </w:pPr>
      <w:bookmarkStart w:id="1" w:name="SectionMark2"/>
      <w:r>
        <w:rPr>
          <w:rFonts w:hAnsi="黑体"/>
          <w:szCs w:val="32"/>
        </w:rPr>
        <w:t>前    言</w:t>
      </w:r>
    </w:p>
    <w:p>
      <w:pPr>
        <w:spacing w:line="320" w:lineRule="exact"/>
        <w:ind w:firstLine="420" w:firstLineChars="200"/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本</w:t>
      </w:r>
      <w:r>
        <w:rPr>
          <w:rFonts w:hint="eastAsia" w:ascii="Times New Roman" w:hAnsi="Times New Roman" w:eastAsia="宋体" w:cs="Times New Roman"/>
          <w:szCs w:val="20"/>
        </w:rPr>
        <w:t>文件</w:t>
      </w:r>
      <w:r>
        <w:rPr>
          <w:rFonts w:ascii="Times New Roman" w:hAnsi="Times New Roman" w:eastAsia="宋体" w:cs="Times New Roman"/>
          <w:szCs w:val="20"/>
        </w:rPr>
        <w:t>按GB/T1.1-2020</w:t>
      </w:r>
      <w:r>
        <w:rPr>
          <w:rFonts w:hint="eastAsia" w:ascii="Times New Roman" w:hAnsi="Times New Roman" w:eastAsia="宋体" w:cs="Times New Roman"/>
          <w:szCs w:val="20"/>
        </w:rPr>
        <w:t>《</w:t>
      </w:r>
      <w:r>
        <w:rPr>
          <w:rFonts w:ascii="Times New Roman" w:hAnsi="Times New Roman" w:eastAsia="宋体" w:cs="Times New Roman"/>
          <w:szCs w:val="20"/>
        </w:rPr>
        <w:t>标准化工作导则 第1部分：标准</w:t>
      </w:r>
      <w:r>
        <w:rPr>
          <w:rFonts w:hint="eastAsia" w:ascii="Times New Roman" w:hAnsi="Times New Roman" w:eastAsia="宋体" w:cs="Times New Roman"/>
          <w:szCs w:val="20"/>
        </w:rPr>
        <w:t>化文件</w:t>
      </w:r>
      <w:r>
        <w:rPr>
          <w:rFonts w:ascii="Times New Roman" w:hAnsi="Times New Roman" w:eastAsia="宋体" w:cs="Times New Roman"/>
          <w:szCs w:val="20"/>
        </w:rPr>
        <w:t>的结构和</w:t>
      </w:r>
      <w:r>
        <w:rPr>
          <w:rFonts w:hint="eastAsia" w:ascii="Times New Roman" w:hAnsi="Times New Roman" w:eastAsia="宋体" w:cs="Times New Roman"/>
          <w:szCs w:val="20"/>
        </w:rPr>
        <w:t>起草规则》</w:t>
      </w:r>
      <w:r>
        <w:rPr>
          <w:rFonts w:ascii="Times New Roman" w:hAnsi="Times New Roman" w:eastAsia="宋体" w:cs="Times New Roman"/>
          <w:szCs w:val="20"/>
        </w:rPr>
        <w:t>的规定编写。</w:t>
      </w:r>
    </w:p>
    <w:p>
      <w:pPr>
        <w:pStyle w:val="15"/>
        <w:rPr>
          <w:rFonts w:hint="eastAsia" w:ascii="Times New Roman"/>
        </w:rPr>
      </w:pPr>
      <w:r>
        <w:rPr>
          <w:rFonts w:hint="eastAsia" w:ascii="Times New Roman"/>
          <w:lang w:val="en-US" w:eastAsia="zh-CN"/>
        </w:rPr>
        <w:t>请注意</w:t>
      </w:r>
      <w:r>
        <w:rPr>
          <w:rFonts w:hint="eastAsia" w:ascii="Times New Roman"/>
        </w:rPr>
        <w:t>本文件的某些内容可能涉及专利。本文件的发布机构不承担识别专利的责任。</w:t>
      </w:r>
    </w:p>
    <w:p>
      <w:pPr>
        <w:pStyle w:val="15"/>
        <w:rPr>
          <w:rFonts w:hint="eastAsia" w:ascii="Times New Roman"/>
        </w:rPr>
      </w:pPr>
      <w:r>
        <w:rPr>
          <w:rFonts w:hint="eastAsia" w:ascii="Times New Roman"/>
        </w:rPr>
        <w:t>本文件由江苏省农作物标准化技术委员</w:t>
      </w:r>
      <w:r>
        <w:rPr>
          <w:rFonts w:hint="eastAsia" w:ascii="Times New Roman"/>
          <w:lang w:val="en-US" w:eastAsia="zh-CN"/>
        </w:rPr>
        <w:t>会</w:t>
      </w:r>
      <w:bookmarkStart w:id="6" w:name="_GoBack"/>
      <w:bookmarkEnd w:id="6"/>
      <w:r>
        <w:rPr>
          <w:rFonts w:hint="eastAsia" w:ascii="Times New Roman"/>
          <w:lang w:val="en-US" w:eastAsia="zh-CN"/>
        </w:rPr>
        <w:t>提出并</w:t>
      </w:r>
      <w:r>
        <w:rPr>
          <w:rFonts w:hint="eastAsia" w:ascii="Times New Roman"/>
        </w:rPr>
        <w:t>归口。</w:t>
      </w:r>
    </w:p>
    <w:p>
      <w:pPr>
        <w:pStyle w:val="15"/>
        <w:rPr>
          <w:rFonts w:hint="eastAsia" w:ascii="Times New Roman"/>
        </w:rPr>
      </w:pPr>
      <w:r>
        <w:rPr>
          <w:rFonts w:hint="eastAsia" w:ascii="Times New Roman"/>
        </w:rPr>
        <w:t>本文件起草单位：江苏省植物保护植物检疫站、</w:t>
      </w:r>
      <w:r>
        <w:rPr>
          <w:rFonts w:hint="eastAsia" w:ascii="Times New Roman"/>
          <w:lang w:val="en-US" w:eastAsia="zh-CN"/>
        </w:rPr>
        <w:t>江苏省农业科学院、</w:t>
      </w:r>
      <w:r>
        <w:rPr>
          <w:rFonts w:hint="eastAsia" w:ascii="Times New Roman"/>
        </w:rPr>
        <w:t>镇江市植保植检站</w:t>
      </w:r>
      <w:r>
        <w:rPr>
          <w:rFonts w:hint="eastAsia" w:ascii="Times New Roman"/>
          <w:lang w:eastAsia="zh-CN"/>
        </w:rPr>
        <w:t>、</w:t>
      </w:r>
      <w:r>
        <w:rPr>
          <w:rFonts w:hint="eastAsia" w:ascii="Times New Roman"/>
          <w:lang w:val="en-US" w:eastAsia="zh-CN"/>
        </w:rPr>
        <w:t>江苏丘陵地区镇江农业科学研究所</w:t>
      </w:r>
      <w:r>
        <w:rPr>
          <w:rFonts w:hint="eastAsia" w:ascii="Times New Roman"/>
        </w:rPr>
        <w:t>。</w:t>
      </w:r>
    </w:p>
    <w:p>
      <w:pPr>
        <w:ind w:firstLine="420"/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本</w:t>
      </w:r>
      <w:r>
        <w:rPr>
          <w:rFonts w:hint="eastAsia" w:ascii="Times New Roman" w:hAnsi="Times New Roman" w:eastAsia="宋体" w:cs="Times New Roman"/>
          <w:szCs w:val="20"/>
        </w:rPr>
        <w:t>文件</w:t>
      </w:r>
      <w:r>
        <w:rPr>
          <w:rFonts w:ascii="Times New Roman" w:hAnsi="Times New Roman" w:eastAsia="宋体" w:cs="Times New Roman"/>
          <w:szCs w:val="20"/>
        </w:rPr>
        <w:t>起草人：朱凤、</w:t>
      </w:r>
      <w:r>
        <w:rPr>
          <w:rFonts w:hint="eastAsia" w:ascii="Times New Roman" w:hAnsi="Times New Roman" w:eastAsia="宋体" w:cs="Times New Roman"/>
          <w:szCs w:val="20"/>
        </w:rPr>
        <w:t>喻俊杰、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刘永锋、余向阳、</w:t>
      </w:r>
      <w:r>
        <w:rPr>
          <w:rFonts w:hint="eastAsia" w:ascii="Times New Roman" w:hAnsi="Times New Roman" w:eastAsia="宋体" w:cs="Times New Roman"/>
          <w:szCs w:val="20"/>
        </w:rPr>
        <w:t>周晨、何东兵、侯毅平、张国、张明、张海波、朱阿秀、李艳红、卢毅、周斌、王茂涛、杨荣明、田子华</w:t>
      </w:r>
      <w:r>
        <w:rPr>
          <w:rFonts w:ascii="Times New Roman" w:hAnsi="Times New Roman" w:eastAsia="宋体" w:cs="Times New Roman"/>
          <w:szCs w:val="20"/>
        </w:rPr>
        <w:t>。</w:t>
      </w:r>
    </w:p>
    <w:p>
      <w:pPr>
        <w:ind w:firstLine="420"/>
        <w:rPr>
          <w:szCs w:val="20"/>
        </w:rPr>
      </w:pPr>
    </w:p>
    <w:bookmarkEnd w:id="1"/>
    <w:p>
      <w:pPr>
        <w:widowControl/>
        <w:jc w:val="center"/>
        <w:rPr>
          <w:szCs w:val="20"/>
        </w:rPr>
      </w:pPr>
      <w:bookmarkStart w:id="2" w:name="_Hlk153806554"/>
    </w:p>
    <w:p>
      <w:pPr>
        <w:widowControl/>
        <w:jc w:val="left"/>
        <w:rPr>
          <w:szCs w:val="20"/>
        </w:rPr>
      </w:pPr>
      <w:r>
        <w:rPr>
          <w:szCs w:val="20"/>
        </w:rPr>
        <w:br w:type="page"/>
      </w:r>
    </w:p>
    <w:p>
      <w:pPr>
        <w:widowControl/>
        <w:jc w:val="center"/>
        <w:rPr>
          <w:rFonts w:ascii="黑体" w:hAnsi="黑体" w:eastAsia="黑体" w:cs="方正小标宋_GBK"/>
          <w:color w:val="000000"/>
          <w:kern w:val="0"/>
          <w:sz w:val="32"/>
          <w:szCs w:val="32"/>
          <w:lang w:bidi="ar"/>
        </w:rPr>
      </w:pPr>
      <w:bookmarkStart w:id="3" w:name="_Hlk154328910"/>
      <w:bookmarkStart w:id="4" w:name="_Hlk154414587"/>
      <w:r>
        <w:rPr>
          <w:rFonts w:ascii="黑体" w:hAnsi="黑体" w:eastAsia="黑体" w:cs="方正小标宋_GBK"/>
          <w:color w:val="000000"/>
          <w:kern w:val="0"/>
          <w:sz w:val="32"/>
          <w:szCs w:val="32"/>
          <w:lang w:bidi="ar"/>
        </w:rPr>
        <w:t>水稻病虫害</w:t>
      </w:r>
      <w:r>
        <w:rPr>
          <w:rFonts w:hint="eastAsia" w:ascii="黑体" w:hAnsi="黑体" w:eastAsia="黑体" w:cs="方正小标宋_GBK"/>
          <w:color w:val="000000"/>
          <w:kern w:val="0"/>
          <w:sz w:val="32"/>
          <w:szCs w:val="32"/>
          <w:lang w:bidi="ar"/>
        </w:rPr>
        <w:t>全程简约化</w:t>
      </w:r>
      <w:r>
        <w:rPr>
          <w:rFonts w:ascii="黑体" w:hAnsi="黑体" w:eastAsia="黑体" w:cs="方正小标宋_GBK"/>
          <w:color w:val="000000"/>
          <w:kern w:val="0"/>
          <w:sz w:val="32"/>
          <w:szCs w:val="32"/>
          <w:lang w:bidi="ar"/>
        </w:rPr>
        <w:t>绿色防控</w:t>
      </w:r>
      <w:bookmarkEnd w:id="3"/>
      <w:r>
        <w:rPr>
          <w:rFonts w:ascii="黑体" w:hAnsi="黑体" w:eastAsia="黑体" w:cs="方正小标宋_GBK"/>
          <w:color w:val="000000"/>
          <w:kern w:val="0"/>
          <w:sz w:val="32"/>
          <w:szCs w:val="32"/>
          <w:lang w:bidi="ar"/>
        </w:rPr>
        <w:t>技术</w:t>
      </w:r>
      <w:bookmarkEnd w:id="4"/>
      <w:r>
        <w:rPr>
          <w:rFonts w:ascii="黑体" w:hAnsi="黑体" w:eastAsia="黑体" w:cs="方正小标宋_GBK"/>
          <w:color w:val="000000"/>
          <w:kern w:val="0"/>
          <w:sz w:val="32"/>
          <w:szCs w:val="32"/>
          <w:lang w:bidi="ar"/>
        </w:rPr>
        <w:t>规</w:t>
      </w:r>
      <w:bookmarkEnd w:id="2"/>
      <w:r>
        <w:rPr>
          <w:rFonts w:hint="eastAsia" w:ascii="黑体" w:hAnsi="黑体" w:eastAsia="黑体" w:cs="方正小标宋_GBK"/>
          <w:color w:val="000000"/>
          <w:kern w:val="0"/>
          <w:sz w:val="32"/>
          <w:szCs w:val="32"/>
          <w:lang w:bidi="ar"/>
        </w:rPr>
        <w:t>程</w:t>
      </w:r>
    </w:p>
    <w:p>
      <w:pPr>
        <w:spacing w:before="312" w:beforeLines="100" w:after="312" w:afterLines="100"/>
        <w:outlineLvl w:val="1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1  范围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本</w:t>
      </w:r>
      <w:r>
        <w:rPr>
          <w:rFonts w:hint="eastAsia" w:ascii="Times New Roman" w:hAnsi="Times New Roman" w:eastAsia="宋体" w:cs="Times New Roman"/>
          <w:szCs w:val="21"/>
        </w:rPr>
        <w:t>文件</w:t>
      </w:r>
      <w:r>
        <w:rPr>
          <w:rFonts w:ascii="Times New Roman" w:hAnsi="Times New Roman" w:eastAsia="宋体" w:cs="Times New Roman"/>
          <w:szCs w:val="21"/>
        </w:rPr>
        <w:t>规定了</w:t>
      </w:r>
      <w:r>
        <w:rPr>
          <w:rFonts w:hint="eastAsia" w:ascii="Times New Roman" w:hAnsi="Times New Roman" w:eastAsia="宋体" w:cs="Times New Roman"/>
          <w:szCs w:val="21"/>
        </w:rPr>
        <w:t>水稻</w:t>
      </w:r>
      <w:r>
        <w:rPr>
          <w:rFonts w:hint="eastAsia" w:ascii="Times New Roman" w:hAnsi="Times New Roman" w:eastAsia="宋体" w:cs="Times New Roman"/>
          <w:szCs w:val="24"/>
          <w:lang w:val="en-US" w:eastAsia="zh-CN"/>
        </w:rPr>
        <w:t>主要病虫害种类、</w:t>
      </w:r>
      <w:r>
        <w:rPr>
          <w:rFonts w:hint="eastAsia" w:ascii="Times New Roman" w:hAnsi="Times New Roman" w:eastAsia="宋体" w:cs="Times New Roman"/>
          <w:szCs w:val="21"/>
        </w:rPr>
        <w:t>病虫害全程简约化绿色防控</w:t>
      </w:r>
      <w:r>
        <w:rPr>
          <w:rFonts w:hint="eastAsia" w:ascii="Times New Roman" w:hAnsi="Times New Roman" w:eastAsia="宋体" w:cs="Times New Roman"/>
          <w:szCs w:val="24"/>
          <w:lang w:val="en-US" w:eastAsia="zh-CN"/>
        </w:rPr>
        <w:t>技术措施及档案管理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本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文件</w:t>
      </w:r>
      <w:r>
        <w:rPr>
          <w:rFonts w:ascii="Times New Roman" w:hAnsi="Times New Roman" w:eastAsia="宋体" w:cs="Times New Roman"/>
          <w:szCs w:val="21"/>
        </w:rPr>
        <w:t>适用于各稻作区</w:t>
      </w:r>
      <w:r>
        <w:rPr>
          <w:rFonts w:hint="eastAsia" w:ascii="Times New Roman" w:hAnsi="Times New Roman" w:eastAsia="宋体" w:cs="Times New Roman"/>
          <w:szCs w:val="21"/>
        </w:rPr>
        <w:t>的病虫害全程简约化绿色防控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spacing w:before="312" w:beforeLines="100" w:after="312" w:afterLines="100"/>
        <w:outlineLvl w:val="1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2  规范性引用文件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下列文件</w:t>
      </w:r>
      <w:r>
        <w:rPr>
          <w:rFonts w:hint="eastAsia" w:ascii="Times New Roman" w:hAnsi="Times New Roman" w:eastAsia="宋体" w:cs="Times New Roman"/>
          <w:szCs w:val="21"/>
        </w:rPr>
        <w:t>中的内容通过文中的规范性引用而构成本文件必不可少的条款。其中，注日期的引用文件，仅该日期对应的版本适用于本文件；不注日期的引用文件，其最新版本（包括所有的修改单）适用于本文件。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bookmarkStart w:id="5" w:name="_Hlk154414890"/>
      <w:r>
        <w:rPr>
          <w:rFonts w:hint="eastAsia" w:ascii="Times New Roman" w:hAnsi="Times New Roman" w:eastAsia="宋体" w:cs="Times New Roman"/>
          <w:szCs w:val="21"/>
        </w:rPr>
        <w:t>GB/T 8321（所有部分） 农药合理使用准则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NY /T 1276-2007 农药安全使用规范总则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NY/T 2156-</w:t>
      </w:r>
      <w:r>
        <w:rPr>
          <w:rFonts w:ascii="Times New Roman" w:hAnsi="Times New Roman" w:eastAsia="宋体" w:cs="Times New Roman"/>
          <w:szCs w:val="21"/>
        </w:rPr>
        <w:t xml:space="preserve">2012 </w:t>
      </w:r>
      <w:r>
        <w:rPr>
          <w:rFonts w:hint="eastAsia" w:ascii="Times New Roman" w:hAnsi="Times New Roman" w:eastAsia="宋体" w:cs="Times New Roman"/>
          <w:szCs w:val="21"/>
        </w:rPr>
        <w:t>水稻主要病害防治技术规程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NY</w:t>
      </w:r>
      <w:r>
        <w:rPr>
          <w:rFonts w:hint="eastAsia" w:ascii="Times New Roman" w:hAnsi="Times New Roman" w:eastAsia="宋体" w:cs="Times New Roman"/>
          <w:szCs w:val="21"/>
        </w:rPr>
        <w:t>/T 2737（所有部分）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稻纵卷叶螟和稻飞虱防治技术规程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NY</w:t>
      </w:r>
      <w:r>
        <w:rPr>
          <w:rFonts w:hint="eastAsia" w:ascii="Times New Roman" w:hAnsi="Times New Roman" w:eastAsia="宋体" w:cs="Times New Roman"/>
          <w:szCs w:val="21"/>
        </w:rPr>
        <w:t>/T</w:t>
      </w:r>
      <w:r>
        <w:rPr>
          <w:rFonts w:ascii="Times New Roman" w:hAnsi="Times New Roman" w:eastAsia="宋体" w:cs="Times New Roman"/>
          <w:szCs w:val="21"/>
        </w:rPr>
        <w:t xml:space="preserve"> 2385</w:t>
      </w:r>
      <w:r>
        <w:rPr>
          <w:rFonts w:hint="eastAsia" w:ascii="Times New Roman" w:hAnsi="Times New Roman" w:eastAsia="宋体" w:cs="Times New Roman"/>
          <w:szCs w:val="21"/>
        </w:rPr>
        <w:t>-</w:t>
      </w:r>
      <w:r>
        <w:rPr>
          <w:rFonts w:ascii="Times New Roman" w:hAnsi="Times New Roman" w:eastAsia="宋体" w:cs="Times New Roman"/>
          <w:szCs w:val="21"/>
        </w:rPr>
        <w:t xml:space="preserve">2013 </w:t>
      </w:r>
      <w:r>
        <w:rPr>
          <w:rFonts w:hint="eastAsia" w:ascii="Times New Roman" w:hAnsi="Times New Roman" w:eastAsia="宋体" w:cs="Times New Roman"/>
          <w:szCs w:val="21"/>
        </w:rPr>
        <w:t>水稻条纹叶枯病防治技术规程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fldChar w:fldCharType="begin"/>
      </w:r>
      <w:r>
        <w:instrText xml:space="preserve"> HYPERLINK "https://www.so.com/link?m=bFpAqv9O4SC+ufJSnC1LjSre5+z9Ot37YWtKsPsptbpRpHrZPEOdueMcDBZ+BQo7uxaiqXQIGYXf89xldXBTOrAebIu//Hs7DvPR52t3ACincGrGT4CJZRHSi7YJUhVHZ6GffyhHT+MUBS6ACVQiiXKzd0LIplUwePW36lqNWS0U=" \t "https://www.so.com/_blank" </w:instrText>
      </w:r>
      <w:r>
        <w:fldChar w:fldCharType="separate"/>
      </w:r>
      <w:r>
        <w:rPr>
          <w:rFonts w:hint="eastAsia" w:ascii="Times New Roman" w:hAnsi="Times New Roman" w:eastAsia="宋体" w:cs="Times New Roman"/>
          <w:szCs w:val="24"/>
        </w:rPr>
        <w:t>NY/T 3686-2020</w:t>
      </w:r>
      <w:r>
        <w:rPr>
          <w:rFonts w:hint="eastAsia"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Cs w:val="24"/>
        </w:rPr>
        <w:t>昆虫性信息素防治技术规程 水稻鳞翅目害虫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NY</w:t>
      </w:r>
      <w:r>
        <w:rPr>
          <w:rFonts w:hint="eastAsia" w:ascii="Times New Roman" w:hAnsi="Times New Roman" w:eastAsia="宋体" w:cs="Times New Roman"/>
          <w:szCs w:val="21"/>
        </w:rPr>
        <w:t>/T</w:t>
      </w:r>
      <w:r>
        <w:rPr>
          <w:rFonts w:ascii="Times New Roman" w:hAnsi="Times New Roman" w:eastAsia="宋体" w:cs="Times New Roman"/>
          <w:szCs w:val="21"/>
        </w:rPr>
        <w:t xml:space="preserve"> 3542.1</w:t>
      </w:r>
      <w:r>
        <w:rPr>
          <w:rFonts w:hint="eastAsia" w:ascii="Times New Roman" w:hAnsi="Times New Roman" w:eastAsia="宋体" w:cs="Times New Roman"/>
          <w:szCs w:val="21"/>
        </w:rPr>
        <w:t>-</w:t>
      </w:r>
      <w:r>
        <w:rPr>
          <w:rFonts w:ascii="Times New Roman" w:hAnsi="Times New Roman" w:eastAsia="宋体" w:cs="Times New Roman"/>
          <w:szCs w:val="21"/>
        </w:rPr>
        <w:t xml:space="preserve">2020 </w:t>
      </w:r>
      <w:r>
        <w:rPr>
          <w:rFonts w:hint="eastAsia" w:ascii="Times New Roman" w:hAnsi="Times New Roman" w:eastAsia="宋体" w:cs="Times New Roman"/>
          <w:szCs w:val="21"/>
        </w:rPr>
        <w:t>释放赤眼蜂防治害虫技术规程 第1部分：水稻田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SC/T1135</w:t>
      </w:r>
      <w:r>
        <w:rPr>
          <w:rFonts w:hint="eastAsia" w:ascii="Times New Roman" w:hAnsi="Times New Roman" w:eastAsia="宋体" w:cs="Times New Roman"/>
          <w:szCs w:val="21"/>
        </w:rPr>
        <w:t>（所有部分）</w:t>
      </w:r>
      <w:r>
        <w:rPr>
          <w:rFonts w:ascii="Times New Roman" w:hAnsi="Times New Roman" w:eastAsia="宋体" w:cs="Times New Roman"/>
          <w:szCs w:val="21"/>
        </w:rPr>
        <w:t xml:space="preserve">稻渔综合种养技术规范 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DB32/T 3168-2017 水稻恶苗病防治技术规范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 xml:space="preserve">B32/T 3625-2019 </w:t>
      </w:r>
      <w:r>
        <w:rPr>
          <w:rFonts w:hint="eastAsia" w:ascii="Times New Roman" w:hAnsi="Times New Roman" w:eastAsia="宋体" w:cs="Times New Roman"/>
          <w:szCs w:val="21"/>
        </w:rPr>
        <w:t>稻田绿色控草技术规程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B32/T 3784</w:t>
      </w:r>
      <w:r>
        <w:rPr>
          <w:rFonts w:hint="eastAsia" w:ascii="Times New Roman" w:hAnsi="Times New Roman" w:eastAsia="宋体" w:cs="Times New Roman"/>
          <w:szCs w:val="21"/>
        </w:rPr>
        <w:t>-</w:t>
      </w:r>
      <w:r>
        <w:rPr>
          <w:rFonts w:ascii="Times New Roman" w:hAnsi="Times New Roman" w:eastAsia="宋体" w:cs="Times New Roman"/>
          <w:szCs w:val="21"/>
        </w:rPr>
        <w:t xml:space="preserve">2020 </w:t>
      </w:r>
      <w:r>
        <w:rPr>
          <w:rFonts w:hint="eastAsia" w:ascii="Times New Roman" w:hAnsi="Times New Roman" w:eastAsia="宋体" w:cs="Times New Roman"/>
          <w:szCs w:val="21"/>
        </w:rPr>
        <w:t>种子处理防治水稻病虫害技术规程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DB32/T 4015-2021 </w:t>
      </w:r>
      <w:r>
        <w:rPr>
          <w:rFonts w:hint="eastAsia" w:ascii="Times New Roman" w:hAnsi="Times New Roman" w:eastAsia="宋体" w:cs="Times New Roman"/>
          <w:szCs w:val="21"/>
        </w:rPr>
        <w:t>送嫁药防治水稻二化螟技术规程</w:t>
      </w:r>
    </w:p>
    <w:bookmarkEnd w:id="5"/>
    <w:p>
      <w:pPr>
        <w:adjustRightInd w:val="0"/>
        <w:snapToGrid w:val="0"/>
        <w:spacing w:before="312" w:beforeLines="100" w:after="312" w:afterLines="100"/>
        <w:outlineLvl w:val="1"/>
        <w:rPr>
          <w:rFonts w:ascii="Times New Roman" w:hAnsi="Times New Roman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3</w:t>
      </w:r>
      <w:r>
        <w:rPr>
          <w:rFonts w:hint="eastAsia" w:ascii="黑体" w:hAnsi="黑体" w:eastAsia="黑体" w:cs="Times New Roman"/>
          <w:szCs w:val="21"/>
        </w:rPr>
        <w:t xml:space="preserve"> </w:t>
      </w:r>
      <w:r>
        <w:rPr>
          <w:rFonts w:ascii="Times New Roman" w:hAnsi="Times New Roman" w:eastAsia="黑体" w:cs="Times New Roman"/>
          <w:szCs w:val="21"/>
        </w:rPr>
        <w:t>术语和定义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ascii="黑体" w:hAnsi="黑体" w:eastAsia="黑体" w:cs="Times New Roman"/>
          <w:szCs w:val="20"/>
        </w:rPr>
      </w:pPr>
      <w:r>
        <w:rPr>
          <w:rFonts w:hint="eastAsia" w:ascii="Times New Roman" w:hAnsi="Times New Roman" w:eastAsia="宋体" w:cs="Times New Roman"/>
          <w:kern w:val="0"/>
          <w:szCs w:val="20"/>
        </w:rPr>
        <w:t>下列术语和定义适用于本文件。</w:t>
      </w:r>
    </w:p>
    <w:p>
      <w:pPr>
        <w:widowControl/>
        <w:adjustRightInd w:val="0"/>
        <w:snapToGrid w:val="0"/>
        <w:spacing w:before="156" w:beforeLines="50" w:after="156" w:afterLines="50"/>
        <w:jc w:val="left"/>
        <w:outlineLvl w:val="2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3.1</w:t>
      </w:r>
      <w:r>
        <w:rPr>
          <w:rFonts w:hint="eastAsia" w:ascii="黑体" w:hAnsi="黑体" w:eastAsia="黑体" w:cs="Times New Roman"/>
          <w:szCs w:val="21"/>
        </w:rPr>
        <w:t xml:space="preserve"> </w:t>
      </w:r>
    </w:p>
    <w:p>
      <w:pPr>
        <w:widowControl/>
        <w:adjustRightInd w:val="0"/>
        <w:snapToGrid w:val="0"/>
        <w:spacing w:before="156" w:beforeLines="50" w:after="156" w:afterLines="50"/>
        <w:ind w:left="420" w:leftChars="200"/>
        <w:jc w:val="left"/>
        <w:outlineLvl w:val="2"/>
        <w:rPr>
          <w:rFonts w:ascii="Times New Roman" w:hAnsi="Times New Roman" w:eastAsia="黑体" w:cs="Times New Roman"/>
          <w:kern w:val="0"/>
          <w:szCs w:val="21"/>
        </w:rPr>
      </w:pPr>
      <w:r>
        <w:rPr>
          <w:rFonts w:hint="eastAsia" w:ascii="Times New Roman" w:hAnsi="Times New Roman" w:eastAsia="黑体" w:cs="Times New Roman"/>
          <w:kern w:val="0"/>
          <w:szCs w:val="20"/>
        </w:rPr>
        <w:t>全程简约化</w:t>
      </w:r>
      <w:r>
        <w:rPr>
          <w:rFonts w:ascii="Times New Roman" w:hAnsi="Times New Roman" w:eastAsia="黑体" w:cs="Times New Roman"/>
          <w:kern w:val="0"/>
          <w:szCs w:val="20"/>
        </w:rPr>
        <w:t xml:space="preserve"> Simplified rules</w:t>
      </w:r>
      <w:r>
        <w:t xml:space="preserve"> </w:t>
      </w:r>
      <w:r>
        <w:rPr>
          <w:rFonts w:ascii="Times New Roman" w:hAnsi="Times New Roman" w:eastAsia="黑体" w:cs="Times New Roman"/>
          <w:kern w:val="0"/>
          <w:szCs w:val="20"/>
        </w:rPr>
        <w:t>in the whole process</w:t>
      </w:r>
    </w:p>
    <w:p>
      <w:pPr>
        <w:widowControl/>
        <w:autoSpaceDE w:val="0"/>
        <w:autoSpaceDN w:val="0"/>
        <w:adjustRightInd w:val="0"/>
        <w:snapToGrid w:val="0"/>
        <w:ind w:firstLine="420" w:firstLineChars="200"/>
        <w:rPr>
          <w:rFonts w:ascii="Times New Roman" w:hAnsi="Times New Roman" w:eastAsia="宋体" w:cs="Times New Roman"/>
          <w:kern w:val="0"/>
          <w:szCs w:val="20"/>
        </w:rPr>
      </w:pPr>
      <w:r>
        <w:rPr>
          <w:rFonts w:hint="eastAsia" w:ascii="Times New Roman" w:hAnsi="Times New Roman" w:eastAsia="宋体" w:cs="Times New Roman"/>
          <w:kern w:val="0"/>
          <w:szCs w:val="20"/>
        </w:rPr>
        <w:t>在水稻各生育期，协调运用生态调控、理化诱控、生物防治和科学用药等措施，增强技术集成，减少施药次数及防控成本。</w:t>
      </w:r>
    </w:p>
    <w:p>
      <w:pPr>
        <w:widowControl/>
        <w:autoSpaceDE w:val="0"/>
        <w:autoSpaceDN w:val="0"/>
        <w:adjustRightInd w:val="0"/>
        <w:snapToGrid w:val="0"/>
        <w:spacing w:before="312" w:beforeLines="100" w:after="312" w:afterLines="100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 xml:space="preserve">4 </w:t>
      </w:r>
      <w:r>
        <w:rPr>
          <w:rFonts w:hint="eastAsia" w:ascii="Times New Roman" w:hAnsi="Times New Roman" w:eastAsia="黑体" w:cs="Times New Roman"/>
          <w:szCs w:val="21"/>
        </w:rPr>
        <w:t>主要病虫害种类</w:t>
      </w:r>
    </w:p>
    <w:p>
      <w:pPr>
        <w:widowControl/>
        <w:autoSpaceDE w:val="0"/>
        <w:autoSpaceDN w:val="0"/>
        <w:adjustRightInd w:val="0"/>
        <w:snapToGrid w:val="0"/>
        <w:ind w:firstLine="420"/>
        <w:rPr>
          <w:rFonts w:ascii="Times New Roman" w:hAnsi="Times New Roman" w:eastAsia="宋体" w:cs="Times New Roman"/>
          <w:kern w:val="0"/>
        </w:rPr>
      </w:pPr>
      <w:r>
        <w:rPr>
          <w:rFonts w:hint="eastAsia" w:ascii="Times New Roman" w:hAnsi="Times New Roman" w:eastAsia="宋体" w:cs="Times New Roman"/>
          <w:kern w:val="0"/>
        </w:rPr>
        <w:t>分为一类病虫害、二类病虫害、三类病虫害，具体病虫害种类见附录A。</w:t>
      </w:r>
    </w:p>
    <w:p>
      <w:pPr>
        <w:adjustRightInd w:val="0"/>
        <w:snapToGrid w:val="0"/>
        <w:spacing w:before="312" w:beforeLines="100" w:after="312" w:afterLines="100"/>
        <w:outlineLvl w:val="1"/>
        <w:rPr>
          <w:rFonts w:ascii="Times New Roman" w:hAnsi="Times New Roman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</w:t>
      </w:r>
      <w:r>
        <w:rPr>
          <w:rFonts w:ascii="Times New Roman" w:hAnsi="Times New Roman" w:eastAsia="黑体" w:cs="Times New Roman"/>
          <w:szCs w:val="21"/>
        </w:rPr>
        <w:t>技术措施</w:t>
      </w:r>
    </w:p>
    <w:p>
      <w:pPr>
        <w:adjustRightInd w:val="0"/>
        <w:snapToGrid w:val="0"/>
        <w:spacing w:before="156" w:beforeLines="50" w:after="156" w:afterLines="50"/>
        <w:outlineLvl w:val="1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 xml:space="preserve">5.1 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检验</w:t>
      </w:r>
      <w:r>
        <w:rPr>
          <w:rFonts w:hint="eastAsia" w:ascii="Times New Roman" w:hAnsi="Times New Roman" w:eastAsia="黑体" w:cs="Times New Roman"/>
          <w:szCs w:val="21"/>
        </w:rPr>
        <w:t>检疫</w:t>
      </w:r>
    </w:p>
    <w:p>
      <w:pPr>
        <w:adjustRightInd w:val="0"/>
        <w:snapToGrid w:val="0"/>
        <w:spacing w:before="156" w:beforeLines="50" w:after="156" w:afterLines="50"/>
        <w:ind w:firstLine="420" w:firstLineChars="200"/>
        <w:jc w:val="left"/>
        <w:outlineLvl w:val="2"/>
        <w:rPr>
          <w:rFonts w:hint="eastAsia" w:ascii="Times New Roman" w:hAnsi="Times New Roman" w:eastAsia="宋体" w:cs="Times New Roman"/>
          <w:bCs/>
          <w:szCs w:val="24"/>
          <w:highlight w:val="red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水稻种子生产经营者应按照《植物检疫条例》规定办理产地检疫和调运检疫，种子不细菌性条斑病等检疫性病虫。</w:t>
      </w:r>
    </w:p>
    <w:p>
      <w:pPr>
        <w:adjustRightInd w:val="0"/>
        <w:snapToGrid w:val="0"/>
        <w:spacing w:before="156" w:beforeLines="50" w:after="156" w:afterLines="50"/>
        <w:jc w:val="left"/>
        <w:outlineLvl w:val="2"/>
        <w:rPr>
          <w:rFonts w:ascii="Times New Roman" w:hAnsi="Times New Roman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5.2</w:t>
      </w:r>
      <w:r>
        <w:rPr>
          <w:rFonts w:hint="eastAsia" w:ascii="Times New Roman" w:hAnsi="Times New Roman" w:eastAsia="黑体" w:cs="Times New Roman"/>
          <w:szCs w:val="21"/>
        </w:rPr>
        <w:t xml:space="preserve"> 播种前管理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5.2.1</w:t>
      </w:r>
      <w:r>
        <w:rPr>
          <w:rFonts w:hint="eastAsia" w:ascii="黑体" w:hAnsi="黑体" w:eastAsia="黑体" w:cs="Times New Roman"/>
          <w:szCs w:val="21"/>
        </w:rPr>
        <w:t>品种选择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根据</w:t>
      </w:r>
      <w:r>
        <w:rPr>
          <w:rFonts w:hint="eastAsia" w:ascii="Times New Roman" w:hAnsi="Times New Roman" w:eastAsia="宋体" w:cs="Times New Roman"/>
          <w:szCs w:val="21"/>
        </w:rPr>
        <w:t>当地</w:t>
      </w:r>
      <w:r>
        <w:rPr>
          <w:rFonts w:ascii="Times New Roman" w:hAnsi="Times New Roman" w:eastAsia="宋体" w:cs="Times New Roman"/>
          <w:szCs w:val="21"/>
        </w:rPr>
        <w:t>水稻主要病虫害发生情况，</w:t>
      </w:r>
      <w:r>
        <w:rPr>
          <w:rFonts w:hint="eastAsia" w:ascii="Times New Roman" w:hAnsi="Times New Roman" w:eastAsia="宋体" w:cs="Times New Roman"/>
          <w:szCs w:val="21"/>
        </w:rPr>
        <w:t>选择经审定，</w:t>
      </w:r>
      <w:r>
        <w:rPr>
          <w:rFonts w:ascii="Times New Roman" w:hAnsi="Times New Roman" w:eastAsia="宋体" w:cs="Times New Roman"/>
          <w:szCs w:val="21"/>
        </w:rPr>
        <w:t>适宜当地种植，对主要病虫害抗性较</w:t>
      </w:r>
      <w:r>
        <w:rPr>
          <w:rFonts w:hint="eastAsia" w:ascii="Times New Roman" w:hAnsi="Times New Roman" w:eastAsia="宋体" w:cs="Times New Roman"/>
          <w:szCs w:val="21"/>
        </w:rPr>
        <w:t>强、高产、优质</w:t>
      </w:r>
      <w:r>
        <w:rPr>
          <w:rFonts w:ascii="Times New Roman" w:hAnsi="Times New Roman" w:eastAsia="宋体" w:cs="Times New Roman"/>
          <w:szCs w:val="21"/>
        </w:rPr>
        <w:t>的</w:t>
      </w:r>
      <w:r>
        <w:rPr>
          <w:rFonts w:hint="eastAsia" w:ascii="Times New Roman" w:hAnsi="Times New Roman" w:eastAsia="宋体" w:cs="Times New Roman"/>
          <w:szCs w:val="21"/>
        </w:rPr>
        <w:t>水稻</w:t>
      </w:r>
      <w:r>
        <w:rPr>
          <w:rFonts w:ascii="Times New Roman" w:hAnsi="Times New Roman" w:eastAsia="宋体" w:cs="Times New Roman"/>
          <w:szCs w:val="21"/>
        </w:rPr>
        <w:t>品种。</w:t>
      </w:r>
    </w:p>
    <w:p>
      <w:pPr>
        <w:adjustRightInd w:val="0"/>
        <w:snapToGrid w:val="0"/>
        <w:spacing w:before="156" w:beforeLines="50" w:after="156" w:afterLines="50"/>
        <w:rPr>
          <w:rFonts w:ascii="Times New Roman" w:hAnsi="Times New Roman" w:eastAsia="宋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 xml:space="preserve">5.2.2 </w:t>
      </w:r>
      <w:r>
        <w:rPr>
          <w:rFonts w:hint="eastAsia" w:ascii="黑体" w:hAnsi="黑体" w:eastAsia="黑体" w:cs="Times New Roman"/>
          <w:szCs w:val="21"/>
        </w:rPr>
        <w:t>种子处理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4"/>
        </w:rPr>
        <w:t>种子处理</w:t>
      </w:r>
      <w:r>
        <w:rPr>
          <w:rFonts w:hint="eastAsia" w:ascii="Times New Roman" w:hAnsi="Times New Roman" w:eastAsia="宋体" w:cs="Times New Roman"/>
          <w:szCs w:val="24"/>
          <w:lang w:val="en-US" w:eastAsia="zh-CN"/>
        </w:rPr>
        <w:t>按</w:t>
      </w:r>
      <w:r>
        <w:rPr>
          <w:rFonts w:ascii="Times New Roman" w:hAnsi="Times New Roman" w:eastAsia="宋体" w:cs="Times New Roman"/>
          <w:szCs w:val="24"/>
        </w:rPr>
        <w:t>DB32/T 3784-2020</w:t>
      </w:r>
      <w:r>
        <w:rPr>
          <w:rFonts w:hint="eastAsia" w:ascii="Times New Roman" w:hAnsi="Times New Roman" w:eastAsia="宋体" w:cs="Times New Roman"/>
          <w:szCs w:val="24"/>
          <w:lang w:val="en-US" w:eastAsia="zh-CN"/>
        </w:rPr>
        <w:t>进行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>
      <w:pPr>
        <w:adjustRightInd w:val="0"/>
        <w:snapToGrid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 xml:space="preserve">5.2.3 </w:t>
      </w:r>
      <w:r>
        <w:rPr>
          <w:rFonts w:hint="eastAsia" w:ascii="黑体" w:hAnsi="黑体" w:eastAsia="黑体" w:cs="Times New Roman"/>
          <w:szCs w:val="21"/>
        </w:rPr>
        <w:t>生态调控</w:t>
      </w:r>
    </w:p>
    <w:p>
      <w:pPr>
        <w:adjustRightInd w:val="0"/>
        <w:snapToGrid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5</w:t>
      </w:r>
      <w:r>
        <w:rPr>
          <w:rFonts w:ascii="黑体" w:hAnsi="黑体" w:eastAsia="黑体" w:cs="Times New Roman"/>
          <w:szCs w:val="21"/>
        </w:rPr>
        <w:t xml:space="preserve">.2.3.1 </w:t>
      </w:r>
      <w:r>
        <w:rPr>
          <w:rFonts w:hint="eastAsia" w:ascii="黑体" w:hAnsi="黑体" w:eastAsia="黑体" w:cs="Times New Roman"/>
          <w:szCs w:val="21"/>
        </w:rPr>
        <w:t>生态控草</w:t>
      </w:r>
    </w:p>
    <w:p>
      <w:pPr>
        <w:adjustRightInd w:val="0"/>
        <w:snapToGrid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5</w:t>
      </w:r>
      <w:r>
        <w:rPr>
          <w:rFonts w:ascii="黑体" w:hAnsi="黑体" w:eastAsia="黑体" w:cs="Times New Roman"/>
          <w:szCs w:val="21"/>
        </w:rPr>
        <w:t>.2.3.1.1</w:t>
      </w:r>
      <w:r>
        <w:rPr>
          <w:rFonts w:hint="eastAsia" w:ascii="黑体" w:hAnsi="黑体" w:eastAsia="黑体" w:cs="Times New Roman"/>
          <w:szCs w:val="21"/>
        </w:rPr>
        <w:t>耕翻及灌水诱杀</w:t>
      </w:r>
    </w:p>
    <w:p>
      <w:pPr>
        <w:adjustRightInd w:val="0"/>
        <w:snapToGrid w:val="0"/>
        <w:ind w:firstLine="43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对上年杂草发生严重或杂草稻发生较重田块，在夏熟作物收获后，宜及时打碎和淹埋夏熟残杆，耕翻并灌水，诱发杂草稻种子早出苗，保水</w:t>
      </w:r>
      <w:r>
        <w:rPr>
          <w:rFonts w:ascii="Times New Roman" w:hAnsi="Times New Roman" w:eastAsia="宋体" w:cs="Times New Roman"/>
          <w:szCs w:val="24"/>
        </w:rPr>
        <w:t>15</w:t>
      </w:r>
      <w:r>
        <w:rPr>
          <w:rFonts w:hint="eastAsia" w:ascii="Times New Roman" w:hAnsi="Times New Roman" w:eastAsia="宋体" w:cs="Times New Roman"/>
          <w:szCs w:val="24"/>
        </w:rPr>
        <w:t>d</w:t>
      </w:r>
      <w:r>
        <w:rPr>
          <w:rFonts w:ascii="Times New Roman" w:hAnsi="Times New Roman" w:eastAsia="宋体" w:cs="Times New Roman"/>
          <w:szCs w:val="24"/>
        </w:rPr>
        <w:t>后再次耕翻。</w:t>
      </w:r>
    </w:p>
    <w:p>
      <w:pPr>
        <w:adjustRightInd w:val="0"/>
        <w:snapToGrid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5</w:t>
      </w:r>
      <w:r>
        <w:rPr>
          <w:rFonts w:ascii="黑体" w:hAnsi="黑体" w:eastAsia="黑体" w:cs="Times New Roman"/>
          <w:szCs w:val="21"/>
        </w:rPr>
        <w:t xml:space="preserve">.2.3.1.2 </w:t>
      </w:r>
      <w:r>
        <w:rPr>
          <w:rFonts w:hint="eastAsia" w:ascii="黑体" w:hAnsi="黑体" w:eastAsia="黑体" w:cs="Times New Roman"/>
          <w:szCs w:val="21"/>
        </w:rPr>
        <w:t>清除草种</w:t>
      </w:r>
    </w:p>
    <w:p>
      <w:pPr>
        <w:adjustRightInd w:val="0"/>
        <w:snapToGrid w:val="0"/>
        <w:ind w:firstLine="437"/>
        <w:rPr>
          <w:rFonts w:ascii="Times New Roman" w:hAnsi="Times New Roman" w:eastAsia="宋体" w:cs="Times New Roman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szCs w:val="24"/>
          <w:highlight w:val="none"/>
          <w:lang w:val="en-US" w:eastAsia="zh-CN"/>
        </w:rPr>
        <w:t>草种清除按</w:t>
      </w:r>
      <w:r>
        <w:rPr>
          <w:rFonts w:hint="eastAsia" w:ascii="Times New Roman" w:hAnsi="Times New Roman" w:eastAsia="宋体" w:cs="Times New Roman"/>
          <w:szCs w:val="21"/>
          <w:highlight w:val="none"/>
        </w:rPr>
        <w:t>D</w:t>
      </w:r>
      <w:r>
        <w:rPr>
          <w:rFonts w:ascii="Times New Roman" w:hAnsi="Times New Roman" w:eastAsia="宋体" w:cs="Times New Roman"/>
          <w:szCs w:val="21"/>
          <w:highlight w:val="none"/>
        </w:rPr>
        <w:t>B32/T 3625-2019</w:t>
      </w:r>
      <w:r>
        <w:rPr>
          <w:rFonts w:hint="eastAsia" w:ascii="Times New Roman" w:hAnsi="Times New Roman" w:eastAsia="宋体" w:cs="Times New Roman"/>
          <w:szCs w:val="21"/>
          <w:highlight w:val="none"/>
          <w:lang w:val="en-US" w:eastAsia="zh-CN"/>
        </w:rPr>
        <w:t>执行</w:t>
      </w:r>
      <w:r>
        <w:rPr>
          <w:rFonts w:hint="eastAsia" w:ascii="Times New Roman" w:hAnsi="Times New Roman" w:eastAsia="宋体" w:cs="Times New Roman"/>
          <w:szCs w:val="21"/>
          <w:highlight w:val="none"/>
        </w:rPr>
        <w:t>，可使用“截流”“网捞”措施，清除田埂、路边等“四边”杂草。</w:t>
      </w:r>
    </w:p>
    <w:p>
      <w:pPr>
        <w:adjustRightInd w:val="0"/>
        <w:snapToGrid w:val="0"/>
        <w:spacing w:before="156" w:beforeLines="50" w:after="156" w:afterLines="50"/>
        <w:rPr>
          <w:rFonts w:ascii="Times New Roman" w:hAnsi="Times New Roman" w:eastAsia="宋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 xml:space="preserve">5.2.3.2 </w:t>
      </w:r>
      <w:r>
        <w:rPr>
          <w:rFonts w:hint="eastAsia" w:ascii="黑体" w:hAnsi="黑体" w:eastAsia="黑体" w:cs="Times New Roman"/>
          <w:szCs w:val="21"/>
        </w:rPr>
        <w:t>灌水灭蛹</w:t>
      </w:r>
    </w:p>
    <w:p>
      <w:pPr>
        <w:ind w:firstLine="437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结合5.2.3.1.1措施，越冬代螟虫化蛹高峰期耕翻田块，灌深水浸没稻桩7 d</w:t>
      </w:r>
      <w:r>
        <w:rPr>
          <w:rFonts w:ascii="Times New Roman" w:hAnsi="Times New Roman" w:eastAsia="宋体" w:cs="Times New Roman"/>
          <w:szCs w:val="24"/>
        </w:rPr>
        <w:t>～</w:t>
      </w:r>
      <w:r>
        <w:rPr>
          <w:rFonts w:hint="eastAsia" w:ascii="Times New Roman" w:hAnsi="Times New Roman" w:eastAsia="宋体" w:cs="Times New Roman"/>
          <w:szCs w:val="21"/>
        </w:rPr>
        <w:t>10 d，降低虫源基数。</w:t>
      </w:r>
    </w:p>
    <w:p>
      <w:pPr>
        <w:widowControl/>
        <w:spacing w:before="156" w:beforeLines="50" w:after="156" w:afterLines="50"/>
        <w:jc w:val="left"/>
        <w:outlineLvl w:val="3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黑体" w:hAnsi="黑体" w:eastAsia="黑体" w:cs="Times New Roman"/>
          <w:kern w:val="0"/>
          <w:szCs w:val="20"/>
        </w:rPr>
        <w:t>5.2.3.3 生物多样性</w:t>
      </w:r>
      <w:r>
        <w:rPr>
          <w:rFonts w:hint="eastAsia" w:ascii="黑体" w:hAnsi="黑体" w:eastAsia="黑体" w:cs="Times New Roman"/>
          <w:kern w:val="0"/>
          <w:szCs w:val="20"/>
        </w:rPr>
        <w:t>利用</w:t>
      </w:r>
    </w:p>
    <w:p>
      <w:pPr>
        <w:widowControl/>
        <w:autoSpaceDE w:val="0"/>
        <w:autoSpaceDN w:val="0"/>
        <w:ind w:firstLine="420" w:firstLineChars="200"/>
        <w:rPr>
          <w:rFonts w:ascii="Times New Roman" w:hAnsi="Times New Roman" w:eastAsia="宋体" w:cs="Times New Roman"/>
          <w:kern w:val="0"/>
          <w:szCs w:val="20"/>
        </w:rPr>
      </w:pPr>
      <w:r>
        <w:rPr>
          <w:rFonts w:ascii="Times New Roman" w:hAnsi="Times New Roman" w:eastAsia="宋体" w:cs="Times New Roman"/>
          <w:kern w:val="0"/>
          <w:szCs w:val="20"/>
        </w:rPr>
        <w:t>田埂种植芝麻</w:t>
      </w:r>
      <w:r>
        <w:rPr>
          <w:rFonts w:hint="eastAsia" w:ascii="Times New Roman" w:hAnsi="Times New Roman" w:eastAsia="宋体" w:cs="Times New Roman"/>
          <w:kern w:val="0"/>
          <w:szCs w:val="20"/>
        </w:rPr>
        <w:t>、</w:t>
      </w:r>
      <w:r>
        <w:rPr>
          <w:rFonts w:ascii="Times New Roman" w:hAnsi="Times New Roman" w:eastAsia="宋体" w:cs="Times New Roman"/>
          <w:kern w:val="0"/>
          <w:szCs w:val="20"/>
        </w:rPr>
        <w:t>大豆</w:t>
      </w:r>
      <w:r>
        <w:rPr>
          <w:rFonts w:hint="eastAsia" w:ascii="Times New Roman" w:hAnsi="Times New Roman" w:eastAsia="宋体" w:cs="Times New Roman"/>
          <w:kern w:val="0"/>
          <w:szCs w:val="20"/>
        </w:rPr>
        <w:t>或</w:t>
      </w:r>
      <w:r>
        <w:rPr>
          <w:rFonts w:ascii="Times New Roman" w:hAnsi="Times New Roman" w:eastAsia="宋体" w:cs="Times New Roman"/>
          <w:kern w:val="0"/>
          <w:szCs w:val="20"/>
        </w:rPr>
        <w:t>向日葵</w:t>
      </w:r>
      <w:r>
        <w:rPr>
          <w:rFonts w:hint="eastAsia" w:ascii="Times New Roman" w:hAnsi="Times New Roman" w:eastAsia="宋体" w:cs="Times New Roman"/>
          <w:kern w:val="0"/>
          <w:szCs w:val="20"/>
        </w:rPr>
        <w:t>、百日菊、</w:t>
      </w:r>
      <w:r>
        <w:rPr>
          <w:rFonts w:ascii="Times New Roman" w:hAnsi="Times New Roman" w:eastAsia="宋体" w:cs="Times New Roman"/>
          <w:kern w:val="0"/>
          <w:szCs w:val="20"/>
        </w:rPr>
        <w:t>黄秋葵等显花作物</w:t>
      </w:r>
      <w:r>
        <w:rPr>
          <w:rFonts w:hint="eastAsia" w:ascii="Times New Roman" w:hAnsi="Times New Roman" w:eastAsia="宋体" w:cs="Times New Roman"/>
          <w:kern w:val="0"/>
          <w:szCs w:val="20"/>
        </w:rPr>
        <w:t>，或</w:t>
      </w:r>
      <w:r>
        <w:rPr>
          <w:rFonts w:ascii="Times New Roman" w:hAnsi="Times New Roman" w:eastAsia="宋体" w:cs="Times New Roman"/>
          <w:szCs w:val="24"/>
        </w:rPr>
        <w:t>田块间插花种植</w:t>
      </w:r>
      <w:r>
        <w:rPr>
          <w:rFonts w:hint="eastAsia" w:ascii="Times New Roman" w:hAnsi="Times New Roman" w:eastAsia="宋体" w:cs="Times New Roman"/>
          <w:szCs w:val="24"/>
        </w:rPr>
        <w:t>茭白</w:t>
      </w:r>
      <w:r>
        <w:rPr>
          <w:rFonts w:ascii="Times New Roman" w:hAnsi="Times New Roman" w:eastAsia="宋体" w:cs="Times New Roman"/>
          <w:szCs w:val="24"/>
        </w:rPr>
        <w:t>，保护和</w:t>
      </w:r>
      <w:r>
        <w:rPr>
          <w:rFonts w:hint="eastAsia" w:ascii="Times New Roman" w:hAnsi="Times New Roman" w:eastAsia="宋体" w:cs="Times New Roman"/>
          <w:szCs w:val="24"/>
        </w:rPr>
        <w:t>涵养天敌</w:t>
      </w:r>
      <w:r>
        <w:rPr>
          <w:rFonts w:ascii="Times New Roman" w:hAnsi="Times New Roman" w:eastAsia="宋体" w:cs="Times New Roman"/>
          <w:kern w:val="0"/>
          <w:szCs w:val="20"/>
        </w:rPr>
        <w:t>。</w:t>
      </w:r>
    </w:p>
    <w:p>
      <w:pPr>
        <w:widowControl/>
        <w:spacing w:before="156" w:beforeLines="50" w:after="156" w:afterLines="50"/>
        <w:jc w:val="left"/>
        <w:outlineLvl w:val="3"/>
        <w:rPr>
          <w:rFonts w:ascii="黑体" w:hAnsi="黑体" w:eastAsia="黑体" w:cs="Times New Roman"/>
          <w:kern w:val="0"/>
          <w:szCs w:val="20"/>
        </w:rPr>
      </w:pPr>
      <w:r>
        <w:rPr>
          <w:rFonts w:ascii="黑体" w:hAnsi="黑体" w:eastAsia="黑体" w:cs="Times New Roman"/>
          <w:szCs w:val="21"/>
        </w:rPr>
        <w:t xml:space="preserve">5.2.3.4 </w:t>
      </w:r>
      <w:r>
        <w:rPr>
          <w:rFonts w:hint="eastAsia" w:ascii="黑体" w:hAnsi="黑体" w:eastAsia="黑体" w:cs="Times New Roman"/>
          <w:szCs w:val="21"/>
        </w:rPr>
        <w:t>植物诱控</w:t>
      </w:r>
    </w:p>
    <w:p>
      <w:pPr>
        <w:widowControl/>
        <w:autoSpaceDE w:val="0"/>
        <w:autoSpaceDN w:val="0"/>
        <w:ind w:firstLine="420" w:firstLineChars="200"/>
        <w:rPr>
          <w:rFonts w:ascii="Times New Roman" w:hAnsi="Times New Roman" w:eastAsia="宋体" w:cs="Times New Roman"/>
          <w:kern w:val="0"/>
          <w:szCs w:val="20"/>
        </w:rPr>
      </w:pPr>
      <w:r>
        <w:rPr>
          <w:rFonts w:ascii="Times New Roman" w:hAnsi="Times New Roman" w:eastAsia="宋体" w:cs="Times New Roman"/>
          <w:szCs w:val="24"/>
        </w:rPr>
        <w:t>田埂</w:t>
      </w:r>
      <w:r>
        <w:rPr>
          <w:rFonts w:hint="eastAsia" w:ascii="Times New Roman" w:hAnsi="Times New Roman" w:eastAsia="宋体" w:cs="Times New Roman"/>
          <w:szCs w:val="24"/>
        </w:rPr>
        <w:t>、沟渠</w:t>
      </w:r>
      <w:r>
        <w:rPr>
          <w:rFonts w:ascii="Times New Roman" w:hAnsi="Times New Roman" w:eastAsia="宋体" w:cs="Times New Roman"/>
          <w:szCs w:val="24"/>
        </w:rPr>
        <w:t>边种植诱虫植物香根草，诱杀螟虫</w:t>
      </w:r>
      <w:r>
        <w:rPr>
          <w:rFonts w:hint="eastAsia" w:ascii="Times New Roman" w:hAnsi="Times New Roman" w:eastAsia="宋体" w:cs="Times New Roman"/>
          <w:szCs w:val="24"/>
        </w:rPr>
        <w:t>。</w:t>
      </w:r>
      <w:r>
        <w:rPr>
          <w:rFonts w:ascii="Times New Roman" w:hAnsi="Times New Roman" w:eastAsia="宋体" w:cs="Times New Roman"/>
          <w:szCs w:val="24"/>
        </w:rPr>
        <w:t>香根草种植距离，</w:t>
      </w:r>
      <w:r>
        <w:rPr>
          <w:rFonts w:ascii="Times New Roman" w:hAnsi="Times New Roman" w:eastAsia="宋体" w:cs="Times New Roman"/>
          <w:szCs w:val="21"/>
        </w:rPr>
        <w:t>丛间距3 m</w:t>
      </w:r>
      <w:r>
        <w:rPr>
          <w:rFonts w:ascii="Times New Roman" w:hAnsi="Times New Roman" w:eastAsia="宋体" w:cs="Times New Roman"/>
          <w:szCs w:val="24"/>
        </w:rPr>
        <w:t>～</w:t>
      </w:r>
      <w:r>
        <w:rPr>
          <w:rFonts w:ascii="Times New Roman" w:hAnsi="Times New Roman" w:eastAsia="宋体" w:cs="Times New Roman"/>
          <w:szCs w:val="21"/>
        </w:rPr>
        <w:t>5 m，每丛5株</w:t>
      </w:r>
      <w:r>
        <w:rPr>
          <w:rFonts w:ascii="Times New Roman" w:hAnsi="Times New Roman" w:eastAsia="宋体" w:cs="Times New Roman"/>
          <w:szCs w:val="24"/>
        </w:rPr>
        <w:t>～</w:t>
      </w:r>
      <w:r>
        <w:rPr>
          <w:rFonts w:ascii="Times New Roman" w:hAnsi="Times New Roman" w:eastAsia="宋体" w:cs="Times New Roman"/>
          <w:szCs w:val="21"/>
        </w:rPr>
        <w:t>10株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留出</w:t>
      </w:r>
      <w:r>
        <w:rPr>
          <w:rFonts w:hint="eastAsia" w:ascii="Times New Roman" w:hAnsi="Times New Roman" w:eastAsia="宋体" w:cs="Times New Roman"/>
          <w:szCs w:val="21"/>
        </w:rPr>
        <w:t>自走式喷杆喷雾机等</w:t>
      </w:r>
      <w:r>
        <w:rPr>
          <w:rFonts w:ascii="Times New Roman" w:hAnsi="Times New Roman" w:eastAsia="宋体" w:cs="Times New Roman"/>
          <w:szCs w:val="21"/>
        </w:rPr>
        <w:t>机器下田空白地区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>
      <w:pPr>
        <w:widowControl/>
        <w:spacing w:before="156" w:beforeLines="50" w:after="156" w:afterLines="50"/>
        <w:jc w:val="left"/>
        <w:outlineLvl w:val="3"/>
        <w:rPr>
          <w:rFonts w:ascii="黑体" w:hAnsi="黑体" w:eastAsia="黑体" w:cs="Times New Roman"/>
          <w:kern w:val="0"/>
          <w:szCs w:val="20"/>
        </w:rPr>
      </w:pPr>
      <w:r>
        <w:rPr>
          <w:rFonts w:ascii="黑体" w:hAnsi="黑体" w:eastAsia="黑体" w:cs="Times New Roman"/>
          <w:szCs w:val="21"/>
        </w:rPr>
        <w:t xml:space="preserve">5.2.3.5 </w:t>
      </w:r>
      <w:r>
        <w:rPr>
          <w:rFonts w:hint="eastAsia" w:ascii="黑体" w:hAnsi="黑体" w:eastAsia="黑体" w:cs="Times New Roman"/>
          <w:kern w:val="0"/>
          <w:szCs w:val="20"/>
        </w:rPr>
        <w:t>稻田综合</w:t>
      </w:r>
      <w:r>
        <w:rPr>
          <w:rFonts w:ascii="黑体" w:hAnsi="黑体" w:eastAsia="黑体" w:cs="Times New Roman"/>
          <w:kern w:val="0"/>
          <w:szCs w:val="20"/>
        </w:rPr>
        <w:t>种养</w:t>
      </w:r>
    </w:p>
    <w:p>
      <w:pPr>
        <w:ind w:firstLine="420" w:firstLineChars="200"/>
        <w:rPr>
          <w:rFonts w:ascii="Times New Roman" w:hAnsi="Times New Roman" w:eastAsia="宋体" w:cs="Times New Roman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Cs w:val="21"/>
          <w:highlight w:val="none"/>
        </w:rPr>
        <w:t>稻田综合种养</w:t>
      </w:r>
      <w:r>
        <w:rPr>
          <w:rFonts w:hint="eastAsia" w:ascii="Times New Roman" w:hAnsi="Times New Roman" w:eastAsia="宋体" w:cs="Times New Roman"/>
          <w:szCs w:val="21"/>
          <w:highlight w:val="none"/>
          <w:lang w:val="en-US" w:eastAsia="zh-CN"/>
        </w:rPr>
        <w:t>按</w:t>
      </w:r>
      <w:r>
        <w:rPr>
          <w:rFonts w:ascii="Times New Roman" w:hAnsi="Times New Roman" w:eastAsia="宋体" w:cs="Times New Roman"/>
          <w:szCs w:val="21"/>
          <w:highlight w:val="none"/>
        </w:rPr>
        <w:t>SC/T1135</w:t>
      </w:r>
      <w:r>
        <w:rPr>
          <w:rFonts w:hint="eastAsia" w:ascii="Times New Roman" w:hAnsi="Times New Roman" w:eastAsia="宋体" w:cs="Times New Roman"/>
          <w:szCs w:val="21"/>
          <w:highlight w:val="none"/>
          <w:lang w:val="en-US" w:eastAsia="zh-CN"/>
        </w:rPr>
        <w:t>执行</w:t>
      </w:r>
      <w:r>
        <w:rPr>
          <w:rFonts w:hint="eastAsia" w:ascii="Times New Roman" w:hAnsi="Times New Roman" w:eastAsia="宋体" w:cs="Times New Roman"/>
          <w:szCs w:val="21"/>
          <w:highlight w:val="none"/>
        </w:rPr>
        <w:t>。</w:t>
      </w:r>
      <w:r>
        <w:rPr>
          <w:rFonts w:ascii="Times New Roman" w:hAnsi="Times New Roman" w:eastAsia="宋体" w:cs="Times New Roman"/>
          <w:szCs w:val="24"/>
          <w:highlight w:val="none"/>
        </w:rPr>
        <w:t xml:space="preserve"> </w:t>
      </w:r>
    </w:p>
    <w:p>
      <w:pPr>
        <w:widowControl/>
        <w:autoSpaceDE w:val="0"/>
        <w:autoSpaceDN w:val="0"/>
        <w:adjustRightInd w:val="0"/>
        <w:snapToGrid w:val="0"/>
        <w:spacing w:before="156" w:beforeLines="50" w:after="156" w:afterLines="50"/>
        <w:rPr>
          <w:rFonts w:ascii="黑体" w:hAnsi="黑体" w:eastAsia="黑体" w:cs="Times New Roman"/>
          <w:kern w:val="0"/>
          <w:szCs w:val="21"/>
        </w:rPr>
      </w:pPr>
      <w:r>
        <w:rPr>
          <w:rFonts w:ascii="黑体" w:hAnsi="黑体" w:eastAsia="黑体" w:cs="Times New Roman"/>
          <w:kern w:val="0"/>
          <w:szCs w:val="21"/>
        </w:rPr>
        <w:t>5</w:t>
      </w:r>
      <w:r>
        <w:rPr>
          <w:rFonts w:hint="eastAsia" w:ascii="黑体" w:hAnsi="黑体" w:eastAsia="黑体" w:cs="Times New Roman"/>
          <w:kern w:val="0"/>
          <w:szCs w:val="21"/>
        </w:rPr>
        <w:t>.3 秧苗期及移栽期病虫害防控</w:t>
      </w:r>
    </w:p>
    <w:p>
      <w:pPr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 xml:space="preserve">5.3.1 </w:t>
      </w:r>
      <w:r>
        <w:rPr>
          <w:rFonts w:hint="eastAsia" w:ascii="黑体" w:hAnsi="黑体" w:eastAsia="黑体" w:cs="Times New Roman"/>
          <w:szCs w:val="21"/>
        </w:rPr>
        <w:t>无纺布（防虫网）覆盖育秧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4"/>
        </w:rPr>
        <w:t>宜</w:t>
      </w:r>
      <w:r>
        <w:rPr>
          <w:rFonts w:ascii="Times New Roman" w:hAnsi="Times New Roman" w:eastAsia="宋体" w:cs="Times New Roman"/>
          <w:szCs w:val="21"/>
        </w:rPr>
        <w:t>采用工厂化集中育秧方式，</w:t>
      </w:r>
      <w:r>
        <w:rPr>
          <w:rFonts w:hint="eastAsia" w:ascii="Times New Roman" w:hAnsi="Times New Roman" w:eastAsia="宋体" w:cs="Times New Roman"/>
          <w:szCs w:val="21"/>
        </w:rPr>
        <w:t>培育健壮秧苗。</w:t>
      </w:r>
      <w:r>
        <w:rPr>
          <w:rFonts w:ascii="Times New Roman" w:hAnsi="Times New Roman" w:eastAsia="宋体" w:cs="Times New Roman"/>
          <w:szCs w:val="21"/>
        </w:rPr>
        <w:t>秧</w:t>
      </w:r>
      <w:r>
        <w:rPr>
          <w:rFonts w:hint="eastAsia" w:ascii="Times New Roman" w:hAnsi="Times New Roman" w:eastAsia="宋体" w:cs="Times New Roman"/>
          <w:szCs w:val="21"/>
        </w:rPr>
        <w:t>苗</w:t>
      </w:r>
      <w:r>
        <w:rPr>
          <w:rFonts w:ascii="Times New Roman" w:hAnsi="Times New Roman" w:eastAsia="宋体" w:cs="Times New Roman"/>
          <w:szCs w:val="21"/>
        </w:rPr>
        <w:t>期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按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Y/T 2385</w:t>
      </w:r>
      <w:r>
        <w:rPr>
          <w:rFonts w:hint="eastAsia" w:ascii="Times New Roman" w:hAnsi="Times New Roman" w:eastAsia="宋体" w:cs="Times New Roman"/>
          <w:szCs w:val="21"/>
        </w:rPr>
        <w:t>-</w:t>
      </w:r>
      <w:r>
        <w:rPr>
          <w:rFonts w:ascii="Times New Roman" w:hAnsi="Times New Roman" w:eastAsia="宋体" w:cs="Times New Roman"/>
          <w:szCs w:val="21"/>
        </w:rPr>
        <w:t>2013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的要求</w:t>
      </w:r>
      <w:r>
        <w:rPr>
          <w:rFonts w:ascii="Times New Roman" w:hAnsi="Times New Roman" w:eastAsia="宋体" w:cs="Times New Roman"/>
          <w:szCs w:val="21"/>
        </w:rPr>
        <w:t>覆盖无纺布（防虫网），阻断一代灰飞虱秧田期传毒及</w:t>
      </w:r>
      <w:r>
        <w:rPr>
          <w:rFonts w:hint="eastAsia" w:ascii="Times New Roman" w:hAnsi="Times New Roman" w:eastAsia="宋体" w:cs="Times New Roman"/>
          <w:szCs w:val="21"/>
        </w:rPr>
        <w:t>越冬代</w:t>
      </w:r>
      <w:r>
        <w:rPr>
          <w:rFonts w:ascii="Times New Roman" w:hAnsi="Times New Roman" w:eastAsia="宋体" w:cs="Times New Roman"/>
          <w:szCs w:val="21"/>
        </w:rPr>
        <w:t>螟虫产卵。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3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2</w:t>
      </w:r>
      <w:r>
        <w:rPr>
          <w:rFonts w:hint="eastAsia" w:ascii="黑体" w:hAnsi="黑体" w:eastAsia="黑体" w:cs="Times New Roman"/>
          <w:szCs w:val="21"/>
        </w:rPr>
        <w:t xml:space="preserve"> 带药移栽</w:t>
      </w:r>
    </w:p>
    <w:p>
      <w:pPr>
        <w:spacing w:before="156" w:beforeLines="50" w:after="156" w:afterLines="50"/>
        <w:ind w:firstLine="420"/>
        <w:rPr>
          <w:rFonts w:ascii="Times New Roman" w:hAnsi="Times New Roman" w:eastAsia="宋体" w:cs="Times New Roman"/>
          <w:bCs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种子处理时如未按照</w:t>
      </w:r>
      <w:r>
        <w:rPr>
          <w:rFonts w:hint="eastAsia" w:ascii="Times New Roman" w:hAnsi="Times New Roman" w:eastAsia="宋体" w:cs="Times New Roman"/>
          <w:bCs/>
          <w:szCs w:val="24"/>
        </w:rPr>
        <w:t>DB32/T 3784-</w:t>
      </w:r>
      <w:r>
        <w:rPr>
          <w:rFonts w:ascii="Times New Roman" w:hAnsi="Times New Roman" w:eastAsia="宋体" w:cs="Times New Roman"/>
          <w:bCs/>
          <w:szCs w:val="24"/>
        </w:rPr>
        <w:t>2020</w:t>
      </w:r>
      <w:r>
        <w:rPr>
          <w:rFonts w:hint="eastAsia" w:ascii="Times New Roman" w:hAnsi="Times New Roman" w:eastAsia="宋体" w:cs="Times New Roman"/>
          <w:bCs/>
          <w:szCs w:val="24"/>
        </w:rPr>
        <w:t>要求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处理</w:t>
      </w:r>
      <w:r>
        <w:rPr>
          <w:rFonts w:hint="eastAsia" w:ascii="Times New Roman" w:hAnsi="Times New Roman" w:eastAsia="宋体" w:cs="Times New Roman"/>
          <w:bCs/>
          <w:szCs w:val="24"/>
        </w:rPr>
        <w:t>，使用长效控制药剂拌种的秧田，秧苗移栽前1</w:t>
      </w:r>
      <w:r>
        <w:rPr>
          <w:rFonts w:ascii="Times New Roman" w:hAnsi="Times New Roman" w:eastAsia="宋体" w:cs="Times New Roman"/>
          <w:bCs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Cs/>
          <w:szCs w:val="24"/>
        </w:rPr>
        <w:t>d~2</w:t>
      </w:r>
      <w:r>
        <w:rPr>
          <w:rFonts w:ascii="Times New Roman" w:hAnsi="Times New Roman" w:eastAsia="宋体" w:cs="Times New Roman"/>
          <w:bCs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Cs/>
          <w:szCs w:val="24"/>
        </w:rPr>
        <w:t>d，针对水稻生长前期病虫，苗床喷施高效、低毒、低残留农药，减少大田前期病虫防治，药剂品种可参照附录B。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3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3</w:t>
      </w:r>
      <w:r>
        <w:rPr>
          <w:rFonts w:hint="eastAsia" w:ascii="黑体" w:hAnsi="黑体" w:eastAsia="黑体" w:cs="Times New Roman"/>
          <w:szCs w:val="21"/>
        </w:rPr>
        <w:t xml:space="preserve"> 杂草化除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3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3.1</w:t>
      </w:r>
      <w:r>
        <w:rPr>
          <w:rFonts w:hint="eastAsia" w:ascii="黑体" w:hAnsi="黑体" w:eastAsia="黑体" w:cs="Times New Roman"/>
          <w:szCs w:val="21"/>
        </w:rPr>
        <w:t xml:space="preserve"> 机插、移栽及抛秧田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5</w:t>
      </w:r>
      <w:r>
        <w:rPr>
          <w:rFonts w:ascii="黑体" w:hAnsi="黑体" w:eastAsia="黑体" w:cs="Times New Roman"/>
          <w:szCs w:val="21"/>
        </w:rPr>
        <w:t xml:space="preserve">.3.3.1.1 </w:t>
      </w:r>
      <w:r>
        <w:rPr>
          <w:rFonts w:hint="eastAsia" w:ascii="黑体" w:hAnsi="黑体" w:eastAsia="黑体" w:cs="Times New Roman"/>
          <w:szCs w:val="21"/>
        </w:rPr>
        <w:t>苗床除草</w:t>
      </w:r>
    </w:p>
    <w:p>
      <w:pPr>
        <w:widowControl/>
        <w:autoSpaceDE w:val="0"/>
        <w:autoSpaceDN w:val="0"/>
        <w:spacing w:before="156" w:beforeLines="50" w:after="156" w:afterLines="50"/>
        <w:ind w:firstLine="420" w:firstLineChars="200"/>
        <w:rPr>
          <w:rFonts w:ascii="黑体" w:hAnsi="黑体" w:eastAsia="黑体" w:cs="Times New Roman"/>
          <w:szCs w:val="21"/>
        </w:rPr>
      </w:pPr>
      <w:r>
        <w:rPr>
          <w:rFonts w:hint="eastAsia" w:ascii="Times New Roman" w:hAnsi="Times New Roman" w:eastAsia="宋体" w:cs="Times New Roman"/>
          <w:bCs/>
          <w:szCs w:val="24"/>
        </w:rPr>
        <w:t>在水稻1</w:t>
      </w:r>
      <w:r>
        <w:rPr>
          <w:rFonts w:ascii="Times New Roman" w:hAnsi="Times New Roman" w:eastAsia="宋体" w:cs="Times New Roman"/>
          <w:bCs/>
          <w:szCs w:val="24"/>
        </w:rPr>
        <w:t>.5</w:t>
      </w:r>
      <w:r>
        <w:rPr>
          <w:rFonts w:hint="eastAsia" w:ascii="Times New Roman" w:hAnsi="Times New Roman" w:eastAsia="宋体" w:cs="Times New Roman"/>
          <w:bCs/>
          <w:szCs w:val="24"/>
        </w:rPr>
        <w:t>叶~</w:t>
      </w:r>
      <w:r>
        <w:rPr>
          <w:rFonts w:ascii="Times New Roman" w:hAnsi="Times New Roman" w:eastAsia="宋体" w:cs="Times New Roman"/>
          <w:bCs/>
          <w:szCs w:val="24"/>
        </w:rPr>
        <w:t>2.5</w:t>
      </w:r>
      <w:r>
        <w:rPr>
          <w:rFonts w:hint="eastAsia" w:ascii="Times New Roman" w:hAnsi="Times New Roman" w:eastAsia="宋体" w:cs="Times New Roman"/>
          <w:bCs/>
          <w:szCs w:val="24"/>
        </w:rPr>
        <w:t>叶期，根据苗床草相选择药剂开展防治，药剂品种可参照附录</w:t>
      </w:r>
      <w:r>
        <w:rPr>
          <w:rFonts w:ascii="Times New Roman" w:hAnsi="Times New Roman" w:eastAsia="宋体" w:cs="Times New Roman"/>
          <w:bCs/>
          <w:szCs w:val="24"/>
        </w:rPr>
        <w:t>C</w:t>
      </w:r>
      <w:r>
        <w:rPr>
          <w:rFonts w:hint="eastAsia" w:ascii="Times New Roman" w:hAnsi="Times New Roman" w:eastAsia="宋体" w:cs="Times New Roman"/>
          <w:bCs/>
          <w:szCs w:val="24"/>
        </w:rPr>
        <w:t>。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3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3.1.2</w:t>
      </w:r>
      <w:r>
        <w:rPr>
          <w:rFonts w:hint="eastAsia" w:ascii="黑体" w:hAnsi="黑体" w:eastAsia="黑体" w:cs="Times New Roman"/>
          <w:szCs w:val="21"/>
        </w:rPr>
        <w:t xml:space="preserve"> 封闭处理</w:t>
      </w:r>
    </w:p>
    <w:p>
      <w:pPr>
        <w:widowControl/>
        <w:autoSpaceDE w:val="0"/>
        <w:autoSpaceDN w:val="0"/>
        <w:adjustRightInd w:val="0"/>
        <w:snapToGrid w:val="0"/>
        <w:spacing w:before="156" w:beforeLines="50" w:after="156" w:afterLines="50"/>
        <w:ind w:firstLine="210" w:firstLineChars="100"/>
        <w:rPr>
          <w:rFonts w:ascii="Times New Roman" w:hAnsi="Times New Roman" w:eastAsia="宋体" w:cs="Times New Roman"/>
          <w:bCs/>
          <w:szCs w:val="24"/>
        </w:rPr>
      </w:pPr>
      <w:r>
        <w:rPr>
          <w:rFonts w:ascii="黑体" w:hAnsi="黑体" w:eastAsia="黑体" w:cs="Times New Roman"/>
          <w:kern w:val="0"/>
          <w:szCs w:val="21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4"/>
        </w:rPr>
        <w:t>机插秧田，在上水整地平田时喷施药剂</w:t>
      </w:r>
      <w:r>
        <w:rPr>
          <w:rFonts w:ascii="Times New Roman" w:hAnsi="Times New Roman" w:eastAsia="宋体" w:cs="Times New Roman"/>
          <w:bCs/>
          <w:szCs w:val="24"/>
        </w:rPr>
        <w:t>，自然落干后栽插</w:t>
      </w:r>
      <w:r>
        <w:rPr>
          <w:rFonts w:hint="eastAsia" w:ascii="Times New Roman" w:hAnsi="Times New Roman" w:eastAsia="宋体" w:cs="Times New Roman"/>
          <w:bCs/>
          <w:szCs w:val="24"/>
        </w:rPr>
        <w:t>，</w:t>
      </w:r>
      <w:r>
        <w:rPr>
          <w:rFonts w:ascii="Times New Roman" w:hAnsi="Times New Roman" w:eastAsia="宋体" w:cs="Times New Roman"/>
          <w:bCs/>
          <w:szCs w:val="24"/>
        </w:rPr>
        <w:t>或在栽插后5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d</w:t>
      </w:r>
      <w:r>
        <w:rPr>
          <w:rFonts w:ascii="Times New Roman" w:hAnsi="Times New Roman" w:eastAsia="宋体" w:cs="Times New Roman"/>
          <w:bCs/>
          <w:szCs w:val="24"/>
        </w:rPr>
        <w:t>~7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bCs/>
          <w:szCs w:val="24"/>
        </w:rPr>
        <w:t>，</w:t>
      </w:r>
      <w:r>
        <w:rPr>
          <w:rFonts w:ascii="Times New Roman" w:hAnsi="Times New Roman" w:eastAsia="宋体" w:cs="Times New Roman"/>
          <w:bCs/>
          <w:szCs w:val="24"/>
        </w:rPr>
        <w:t>选用药剂拌细湿土或拌肥料均匀撒施</w:t>
      </w:r>
      <w:r>
        <w:rPr>
          <w:rFonts w:hint="eastAsia" w:ascii="Times New Roman" w:hAnsi="Times New Roman" w:eastAsia="宋体" w:cs="Times New Roman"/>
          <w:bCs/>
          <w:szCs w:val="24"/>
        </w:rPr>
        <w:t>；人工移栽及抛秧田，在水稻移栽后</w:t>
      </w:r>
      <w:r>
        <w:rPr>
          <w:rFonts w:ascii="Times New Roman" w:hAnsi="Times New Roman" w:eastAsia="宋体" w:cs="Times New Roman"/>
          <w:bCs/>
          <w:szCs w:val="24"/>
        </w:rPr>
        <w:t>5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d</w:t>
      </w:r>
      <w:r>
        <w:rPr>
          <w:rFonts w:ascii="Times New Roman" w:hAnsi="Times New Roman" w:eastAsia="宋体" w:cs="Times New Roman"/>
          <w:bCs/>
          <w:szCs w:val="24"/>
        </w:rPr>
        <w:t>~7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d</w:t>
      </w:r>
      <w:r>
        <w:rPr>
          <w:rFonts w:ascii="Times New Roman" w:hAnsi="Times New Roman" w:eastAsia="宋体" w:cs="Times New Roman"/>
          <w:bCs/>
          <w:szCs w:val="24"/>
        </w:rPr>
        <w:t>，选用药剂拌潮细土或拌肥料均匀撒施，药后保水3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d</w:t>
      </w:r>
      <w:r>
        <w:rPr>
          <w:rFonts w:ascii="Times New Roman" w:hAnsi="Times New Roman" w:eastAsia="宋体" w:cs="Times New Roman"/>
          <w:bCs/>
          <w:szCs w:val="24"/>
        </w:rPr>
        <w:t>~5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bCs/>
          <w:szCs w:val="24"/>
        </w:rPr>
        <w:t>；药剂品种可参照附录</w:t>
      </w:r>
      <w:r>
        <w:rPr>
          <w:rFonts w:ascii="Times New Roman" w:hAnsi="Times New Roman" w:eastAsia="宋体" w:cs="Times New Roman"/>
          <w:bCs/>
          <w:szCs w:val="24"/>
        </w:rPr>
        <w:t>C</w:t>
      </w:r>
      <w:r>
        <w:rPr>
          <w:rFonts w:hint="eastAsia" w:ascii="Times New Roman" w:hAnsi="Times New Roman" w:eastAsia="宋体" w:cs="Times New Roman"/>
          <w:bCs/>
          <w:szCs w:val="24"/>
        </w:rPr>
        <w:t>。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kern w:val="0"/>
          <w:szCs w:val="21"/>
        </w:rPr>
      </w:pPr>
      <w:r>
        <w:rPr>
          <w:rFonts w:hint="eastAsia" w:ascii="黑体" w:hAnsi="黑体" w:eastAsia="黑体" w:cs="Times New Roman"/>
          <w:kern w:val="0"/>
          <w:szCs w:val="21"/>
        </w:rPr>
        <w:t>5</w:t>
      </w:r>
      <w:r>
        <w:rPr>
          <w:rFonts w:ascii="黑体" w:hAnsi="黑体" w:eastAsia="黑体" w:cs="Times New Roman"/>
          <w:kern w:val="0"/>
          <w:szCs w:val="21"/>
        </w:rPr>
        <w:t xml:space="preserve">.3.3.1.3 </w:t>
      </w:r>
      <w:r>
        <w:rPr>
          <w:rFonts w:hint="eastAsia" w:ascii="黑体" w:hAnsi="黑体" w:eastAsia="黑体" w:cs="Times New Roman"/>
          <w:kern w:val="0"/>
          <w:szCs w:val="21"/>
        </w:rPr>
        <w:t>茎叶处理</w:t>
      </w:r>
    </w:p>
    <w:p>
      <w:pPr>
        <w:widowControl/>
        <w:autoSpaceDE w:val="0"/>
        <w:autoSpaceDN w:val="0"/>
        <w:spacing w:before="156" w:beforeLines="50" w:after="156" w:afterLines="50"/>
        <w:ind w:firstLine="420"/>
        <w:rPr>
          <w:rFonts w:ascii="Times New Roman" w:hAnsi="Times New Roman" w:eastAsia="宋体" w:cs="Times New Roman"/>
          <w:bCs/>
          <w:szCs w:val="24"/>
        </w:rPr>
      </w:pPr>
      <w:r>
        <w:rPr>
          <w:rFonts w:hint="eastAsia" w:ascii="Times New Roman" w:hAnsi="Times New Roman" w:eastAsia="宋体" w:cs="Times New Roman"/>
          <w:bCs/>
          <w:szCs w:val="24"/>
        </w:rPr>
        <w:t>机插秧田，移栽后</w:t>
      </w:r>
      <w:r>
        <w:rPr>
          <w:rFonts w:ascii="Times New Roman" w:hAnsi="Times New Roman" w:eastAsia="宋体" w:cs="Times New Roman"/>
          <w:bCs/>
          <w:szCs w:val="24"/>
        </w:rPr>
        <w:t>20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d</w:t>
      </w:r>
      <w:r>
        <w:rPr>
          <w:rFonts w:ascii="Times New Roman" w:hAnsi="Times New Roman" w:eastAsia="宋体" w:cs="Times New Roman"/>
          <w:bCs/>
          <w:szCs w:val="24"/>
        </w:rPr>
        <w:t>左右（一年生禾本科杂草3叶期左右），根据田间残留草相，选择茎叶处理除草剂进行叶面喷雾</w:t>
      </w:r>
      <w:r>
        <w:rPr>
          <w:rFonts w:hint="eastAsia" w:ascii="Times New Roman" w:hAnsi="Times New Roman" w:eastAsia="宋体" w:cs="Times New Roman"/>
          <w:bCs/>
          <w:szCs w:val="24"/>
        </w:rPr>
        <w:t>；人工移栽及抛秧田，水稻移栽后</w:t>
      </w:r>
      <w:r>
        <w:rPr>
          <w:rFonts w:ascii="Times New Roman" w:hAnsi="Times New Roman" w:eastAsia="宋体" w:cs="Times New Roman"/>
          <w:bCs/>
          <w:szCs w:val="24"/>
        </w:rPr>
        <w:t>25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d</w:t>
      </w:r>
      <w:r>
        <w:rPr>
          <w:rFonts w:ascii="Times New Roman" w:hAnsi="Times New Roman" w:eastAsia="宋体" w:cs="Times New Roman"/>
          <w:bCs/>
          <w:szCs w:val="24"/>
        </w:rPr>
        <w:t>左右，根据田间草相，选择对路药剂进行茎叶喷雾处理</w:t>
      </w:r>
      <w:r>
        <w:rPr>
          <w:rFonts w:hint="eastAsia" w:ascii="Times New Roman" w:hAnsi="Times New Roman" w:eastAsia="宋体" w:cs="Times New Roman"/>
          <w:bCs/>
          <w:szCs w:val="24"/>
        </w:rPr>
        <w:t>；药剂品种可参照附录</w:t>
      </w:r>
      <w:r>
        <w:rPr>
          <w:rFonts w:ascii="Times New Roman" w:hAnsi="Times New Roman" w:eastAsia="宋体" w:cs="Times New Roman"/>
          <w:bCs/>
          <w:szCs w:val="24"/>
        </w:rPr>
        <w:t>C</w:t>
      </w:r>
      <w:r>
        <w:rPr>
          <w:rFonts w:hint="eastAsia" w:ascii="Times New Roman" w:hAnsi="Times New Roman" w:eastAsia="宋体" w:cs="Times New Roman"/>
          <w:bCs/>
          <w:szCs w:val="24"/>
        </w:rPr>
        <w:t>。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3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3.2</w:t>
      </w:r>
      <w:r>
        <w:rPr>
          <w:rFonts w:hint="eastAsia" w:ascii="黑体" w:hAnsi="黑体" w:eastAsia="黑体" w:cs="Times New Roman"/>
          <w:szCs w:val="21"/>
        </w:rPr>
        <w:t xml:space="preserve"> 直播稻田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5</w:t>
      </w:r>
      <w:r>
        <w:rPr>
          <w:rFonts w:ascii="黑体" w:hAnsi="黑体" w:eastAsia="黑体" w:cs="Times New Roman"/>
          <w:szCs w:val="21"/>
        </w:rPr>
        <w:t xml:space="preserve">.3.3.2.1 </w:t>
      </w:r>
      <w:r>
        <w:rPr>
          <w:rFonts w:hint="eastAsia" w:ascii="黑体" w:hAnsi="黑体" w:eastAsia="黑体" w:cs="Times New Roman"/>
          <w:szCs w:val="21"/>
        </w:rPr>
        <w:t>封闭处理</w:t>
      </w:r>
    </w:p>
    <w:p>
      <w:pPr>
        <w:widowControl/>
        <w:autoSpaceDE w:val="0"/>
        <w:autoSpaceDN w:val="0"/>
        <w:spacing w:before="156" w:beforeLines="50" w:after="156" w:afterLines="50"/>
        <w:ind w:firstLine="420"/>
        <w:rPr>
          <w:rFonts w:ascii="Times New Roman" w:hAnsi="Times New Roman" w:eastAsia="宋体" w:cs="Times New Roman"/>
          <w:bCs/>
          <w:szCs w:val="24"/>
        </w:rPr>
      </w:pPr>
      <w:r>
        <w:rPr>
          <w:rFonts w:hint="eastAsia" w:ascii="Times New Roman" w:hAnsi="Times New Roman" w:eastAsia="宋体" w:cs="Times New Roman"/>
          <w:bCs/>
          <w:szCs w:val="24"/>
        </w:rPr>
        <w:t>水直播稻田，在催芽稻种播后</w:t>
      </w:r>
      <w:r>
        <w:rPr>
          <w:rFonts w:ascii="Times New Roman" w:hAnsi="Times New Roman" w:eastAsia="宋体" w:cs="Times New Roman"/>
          <w:bCs/>
          <w:szCs w:val="24"/>
        </w:rPr>
        <w:t>2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d</w:t>
      </w:r>
      <w:r>
        <w:rPr>
          <w:rFonts w:ascii="Times New Roman" w:hAnsi="Times New Roman" w:eastAsia="宋体" w:cs="Times New Roman"/>
          <w:bCs/>
          <w:szCs w:val="24"/>
        </w:rPr>
        <w:t>~3</w:t>
      </w:r>
      <w:r>
        <w:rPr>
          <w:rFonts w:hint="eastAsia" w:ascii="Times New Roman" w:hAnsi="Times New Roman" w:eastAsia="宋体" w:cs="Times New Roman"/>
          <w:bCs/>
          <w:szCs w:val="24"/>
          <w:lang w:val="en-US" w:eastAsia="zh-CN"/>
        </w:rPr>
        <w:t>d</w:t>
      </w:r>
      <w:r>
        <w:rPr>
          <w:rFonts w:ascii="Times New Roman" w:hAnsi="Times New Roman" w:eastAsia="宋体" w:cs="Times New Roman"/>
          <w:bCs/>
          <w:szCs w:val="24"/>
        </w:rPr>
        <w:t>，</w:t>
      </w:r>
      <w:r>
        <w:rPr>
          <w:rFonts w:hint="eastAsia" w:ascii="Times New Roman" w:hAnsi="Times New Roman" w:eastAsia="宋体" w:cs="Times New Roman"/>
          <w:bCs/>
          <w:szCs w:val="24"/>
        </w:rPr>
        <w:t>选用药剂</w:t>
      </w:r>
      <w:r>
        <w:rPr>
          <w:rFonts w:ascii="Times New Roman" w:hAnsi="Times New Roman" w:eastAsia="宋体" w:cs="Times New Roman"/>
          <w:bCs/>
          <w:szCs w:val="24"/>
        </w:rPr>
        <w:t>加水均匀喷雾进行土壤封闭</w:t>
      </w:r>
      <w:r>
        <w:rPr>
          <w:rFonts w:hint="eastAsia" w:ascii="Times New Roman" w:hAnsi="Times New Roman" w:eastAsia="宋体" w:cs="Times New Roman"/>
          <w:bCs/>
          <w:szCs w:val="24"/>
        </w:rPr>
        <w:t>；旱直播稻田，在播种并窨水落干后，选用药剂</w:t>
      </w:r>
      <w:r>
        <w:rPr>
          <w:rFonts w:ascii="Times New Roman" w:hAnsi="Times New Roman" w:eastAsia="宋体" w:cs="Times New Roman"/>
          <w:bCs/>
          <w:szCs w:val="24"/>
        </w:rPr>
        <w:t>加水均匀喷雾，进行土壤封闭处理</w:t>
      </w:r>
      <w:r>
        <w:rPr>
          <w:rFonts w:hint="eastAsia" w:ascii="Times New Roman" w:hAnsi="Times New Roman" w:eastAsia="宋体" w:cs="Times New Roman"/>
          <w:bCs/>
          <w:szCs w:val="24"/>
        </w:rPr>
        <w:t>；药剂品种可参照附录</w:t>
      </w:r>
      <w:r>
        <w:rPr>
          <w:rFonts w:ascii="Times New Roman" w:hAnsi="Times New Roman" w:eastAsia="宋体" w:cs="Times New Roman"/>
          <w:bCs/>
          <w:szCs w:val="24"/>
        </w:rPr>
        <w:t>C</w:t>
      </w:r>
      <w:r>
        <w:rPr>
          <w:rFonts w:hint="eastAsia" w:ascii="Times New Roman" w:hAnsi="Times New Roman" w:eastAsia="宋体" w:cs="Times New Roman"/>
          <w:bCs/>
          <w:szCs w:val="24"/>
        </w:rPr>
        <w:t>。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5</w:t>
      </w:r>
      <w:r>
        <w:rPr>
          <w:rFonts w:ascii="黑体" w:hAnsi="黑体" w:eastAsia="黑体" w:cs="Times New Roman"/>
          <w:szCs w:val="21"/>
        </w:rPr>
        <w:t xml:space="preserve">.3.3.2.2 </w:t>
      </w:r>
      <w:r>
        <w:rPr>
          <w:rFonts w:hint="eastAsia" w:ascii="黑体" w:hAnsi="黑体" w:eastAsia="黑体" w:cs="Times New Roman"/>
          <w:szCs w:val="21"/>
        </w:rPr>
        <w:t>茎叶处理</w:t>
      </w:r>
    </w:p>
    <w:p>
      <w:pPr>
        <w:widowControl/>
        <w:autoSpaceDE w:val="0"/>
        <w:autoSpaceDN w:val="0"/>
        <w:spacing w:before="156" w:beforeLines="50" w:after="156" w:afterLines="50"/>
        <w:ind w:firstLine="420"/>
        <w:rPr>
          <w:rFonts w:ascii="Times New Roman" w:hAnsi="Times New Roman" w:eastAsia="宋体" w:cs="Times New Roman"/>
          <w:bCs/>
          <w:szCs w:val="24"/>
        </w:rPr>
      </w:pPr>
      <w:r>
        <w:rPr>
          <w:rFonts w:hint="eastAsia" w:ascii="Times New Roman" w:hAnsi="Times New Roman" w:eastAsia="宋体" w:cs="Times New Roman"/>
          <w:bCs/>
          <w:szCs w:val="24"/>
        </w:rPr>
        <w:t>水直播稻田及旱直播稻田，在水稻播种后</w:t>
      </w:r>
      <w:r>
        <w:rPr>
          <w:rFonts w:ascii="Times New Roman" w:hAnsi="Times New Roman" w:eastAsia="宋体" w:cs="Times New Roman"/>
          <w:bCs/>
          <w:szCs w:val="24"/>
        </w:rPr>
        <w:t>20天（一年生禾本科杂草3叶期左右），根据田间草相选择对路药剂</w:t>
      </w:r>
      <w:r>
        <w:rPr>
          <w:rFonts w:hint="eastAsia" w:ascii="Times New Roman" w:hAnsi="Times New Roman" w:eastAsia="宋体" w:cs="Times New Roman"/>
          <w:bCs/>
          <w:szCs w:val="24"/>
        </w:rPr>
        <w:t>进行茎叶喷雾处理；药剂品种可参照附录</w:t>
      </w:r>
      <w:r>
        <w:rPr>
          <w:rFonts w:ascii="Times New Roman" w:hAnsi="Times New Roman" w:eastAsia="宋体" w:cs="Times New Roman"/>
          <w:bCs/>
          <w:szCs w:val="24"/>
        </w:rPr>
        <w:t>C</w:t>
      </w:r>
      <w:r>
        <w:rPr>
          <w:rFonts w:hint="eastAsia" w:ascii="Times New Roman" w:hAnsi="Times New Roman" w:eastAsia="宋体" w:cs="Times New Roman"/>
          <w:bCs/>
          <w:szCs w:val="24"/>
        </w:rPr>
        <w:t>。</w:t>
      </w:r>
    </w:p>
    <w:p>
      <w:pPr>
        <w:widowControl/>
        <w:autoSpaceDE w:val="0"/>
        <w:autoSpaceDN w:val="0"/>
        <w:adjustRightInd w:val="0"/>
        <w:snapToGrid w:val="0"/>
        <w:spacing w:before="156" w:beforeLines="50" w:after="156" w:afterLines="50"/>
        <w:rPr>
          <w:rFonts w:ascii="黑体" w:hAnsi="黑体" w:eastAsia="黑体" w:cs="Times New Roman"/>
          <w:kern w:val="0"/>
          <w:szCs w:val="21"/>
        </w:rPr>
      </w:pPr>
      <w:r>
        <w:rPr>
          <w:rFonts w:ascii="黑体" w:hAnsi="黑体" w:eastAsia="黑体" w:cs="Times New Roman"/>
          <w:kern w:val="0"/>
          <w:szCs w:val="21"/>
        </w:rPr>
        <w:t>5</w:t>
      </w:r>
      <w:r>
        <w:rPr>
          <w:rFonts w:hint="eastAsia" w:ascii="黑体" w:hAnsi="黑体" w:eastAsia="黑体" w:cs="Times New Roman"/>
          <w:kern w:val="0"/>
          <w:szCs w:val="21"/>
        </w:rPr>
        <w:t>.</w:t>
      </w:r>
      <w:r>
        <w:rPr>
          <w:rFonts w:ascii="黑体" w:hAnsi="黑体" w:eastAsia="黑体" w:cs="Times New Roman"/>
          <w:kern w:val="0"/>
          <w:szCs w:val="21"/>
        </w:rPr>
        <w:t>4</w:t>
      </w:r>
      <w:r>
        <w:rPr>
          <w:rFonts w:hint="eastAsia" w:ascii="黑体" w:hAnsi="黑体" w:eastAsia="黑体" w:cs="Times New Roman"/>
          <w:kern w:val="0"/>
          <w:szCs w:val="21"/>
        </w:rPr>
        <w:t xml:space="preserve"> 分蘖期、拔节孕穗期及破口抽穗期病虫害防控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kern w:val="0"/>
          <w:szCs w:val="21"/>
        </w:rPr>
      </w:pPr>
      <w:r>
        <w:rPr>
          <w:rFonts w:ascii="黑体" w:hAnsi="黑体" w:eastAsia="黑体" w:cs="Times New Roman"/>
          <w:kern w:val="0"/>
          <w:szCs w:val="21"/>
        </w:rPr>
        <w:t>5</w:t>
      </w:r>
      <w:r>
        <w:rPr>
          <w:rFonts w:hint="eastAsia" w:ascii="黑体" w:hAnsi="黑体" w:eastAsia="黑体" w:cs="Times New Roman"/>
          <w:kern w:val="0"/>
          <w:szCs w:val="21"/>
        </w:rPr>
        <w:t>.</w:t>
      </w:r>
      <w:r>
        <w:rPr>
          <w:rFonts w:ascii="黑体" w:hAnsi="黑体" w:eastAsia="黑体" w:cs="Times New Roman"/>
          <w:kern w:val="0"/>
          <w:szCs w:val="21"/>
        </w:rPr>
        <w:t>4</w:t>
      </w:r>
      <w:r>
        <w:rPr>
          <w:rFonts w:hint="eastAsia" w:ascii="黑体" w:hAnsi="黑体" w:eastAsia="黑体" w:cs="Times New Roman"/>
          <w:kern w:val="0"/>
          <w:szCs w:val="21"/>
        </w:rPr>
        <w:t>.1 理化诱控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kern w:val="0"/>
          <w:szCs w:val="21"/>
        </w:rPr>
      </w:pPr>
      <w:r>
        <w:rPr>
          <w:rFonts w:ascii="黑体" w:hAnsi="黑体" w:eastAsia="黑体" w:cs="Times New Roman"/>
          <w:kern w:val="0"/>
          <w:szCs w:val="21"/>
        </w:rPr>
        <w:t>5</w:t>
      </w:r>
      <w:r>
        <w:rPr>
          <w:rFonts w:hint="eastAsia" w:ascii="黑体" w:hAnsi="黑体" w:eastAsia="黑体" w:cs="Times New Roman"/>
          <w:kern w:val="0"/>
          <w:szCs w:val="21"/>
        </w:rPr>
        <w:t>.</w:t>
      </w:r>
      <w:r>
        <w:rPr>
          <w:rFonts w:ascii="黑体" w:hAnsi="黑体" w:eastAsia="黑体" w:cs="Times New Roman"/>
          <w:kern w:val="0"/>
          <w:szCs w:val="21"/>
        </w:rPr>
        <w:t>4</w:t>
      </w:r>
      <w:r>
        <w:rPr>
          <w:rFonts w:hint="eastAsia" w:ascii="黑体" w:hAnsi="黑体" w:eastAsia="黑体" w:cs="Times New Roman"/>
          <w:kern w:val="0"/>
          <w:szCs w:val="21"/>
        </w:rPr>
        <w:t>.1</w:t>
      </w:r>
      <w:r>
        <w:rPr>
          <w:rFonts w:ascii="黑体" w:hAnsi="黑体" w:eastAsia="黑体" w:cs="Times New Roman"/>
          <w:kern w:val="0"/>
          <w:szCs w:val="21"/>
        </w:rPr>
        <w:t>.1</w:t>
      </w:r>
      <w:r>
        <w:rPr>
          <w:rFonts w:hint="eastAsia" w:ascii="黑体" w:hAnsi="黑体" w:eastAsia="黑体" w:cs="Times New Roman"/>
          <w:kern w:val="0"/>
          <w:szCs w:val="21"/>
        </w:rPr>
        <w:t xml:space="preserve"> 灯光诱杀</w:t>
      </w:r>
    </w:p>
    <w:p>
      <w:pPr>
        <w:widowControl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szCs w:val="24"/>
        </w:rPr>
      </w:pPr>
      <w:r>
        <w:rPr>
          <w:rFonts w:hint="eastAsia" w:ascii="黑体" w:hAnsi="黑体" w:eastAsia="黑体" w:cs="Times New Roman"/>
          <w:kern w:val="0"/>
          <w:szCs w:val="21"/>
        </w:rPr>
        <w:t xml:space="preserve">  </w:t>
      </w:r>
      <w:r>
        <w:rPr>
          <w:rFonts w:hint="eastAsia" w:ascii="Times New Roman" w:hAnsi="Times New Roman" w:eastAsia="宋体" w:cs="Times New Roman"/>
          <w:szCs w:val="24"/>
        </w:rPr>
        <w:t xml:space="preserve">  稻田综合种养区域，平均每</w:t>
      </w:r>
      <w:r>
        <w:rPr>
          <w:rFonts w:ascii="Times New Roman" w:hAnsi="Times New Roman" w:eastAsia="宋体" w:cs="Times New Roman"/>
          <w:szCs w:val="24"/>
        </w:rPr>
        <w:t>15×</w:t>
      </w:r>
      <w:r>
        <w:rPr>
          <w:rFonts w:hint="eastAsia" w:ascii="Times New Roman" w:hAnsi="Times New Roman" w:eastAsia="宋体" w:cs="Times New Roman"/>
          <w:szCs w:val="24"/>
        </w:rPr>
        <w:t>667m</w:t>
      </w:r>
      <w:r>
        <w:rPr>
          <w:rFonts w:hint="eastAsia" w:ascii="Times New Roman" w:hAnsi="Times New Roman" w:eastAsia="宋体" w:cs="Times New Roman"/>
          <w:szCs w:val="24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4"/>
        </w:rPr>
        <w:t>放一盏太阳能杀虫灯连片设置，诱杀螟虫、稻飞虱、稻叶蝉、稻纵卷叶螟等。杀虫灯装置高度以高出水稻0.3</w:t>
      </w:r>
      <w:r>
        <w:rPr>
          <w:rFonts w:ascii="Times New Roman" w:hAnsi="Times New Roman" w:eastAsia="宋体" w:cs="Times New Roman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Cs w:val="24"/>
        </w:rPr>
        <w:t>m</w:t>
      </w:r>
      <w:r>
        <w:rPr>
          <w:rFonts w:ascii="Times New Roman" w:hAnsi="Times New Roman" w:eastAsia="宋体" w:cs="Times New Roman"/>
          <w:szCs w:val="24"/>
        </w:rPr>
        <w:t>～</w:t>
      </w:r>
      <w:r>
        <w:rPr>
          <w:rFonts w:hint="eastAsia" w:ascii="Times New Roman" w:hAnsi="Times New Roman" w:eastAsia="宋体" w:cs="Times New Roman"/>
          <w:szCs w:val="24"/>
        </w:rPr>
        <w:t>0.5</w:t>
      </w:r>
      <w:r>
        <w:rPr>
          <w:rFonts w:ascii="Times New Roman" w:hAnsi="Times New Roman" w:eastAsia="宋体" w:cs="Times New Roman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Cs w:val="24"/>
        </w:rPr>
        <w:t>m为宜（</w:t>
      </w:r>
      <w:r>
        <w:rPr>
          <w:rFonts w:ascii="Times New Roman" w:hAnsi="Times New Roman" w:eastAsia="宋体" w:cs="Times New Roman"/>
          <w:szCs w:val="24"/>
        </w:rPr>
        <w:t>接虫口的对地距离</w:t>
      </w:r>
      <w:r>
        <w:rPr>
          <w:rFonts w:hint="eastAsia" w:ascii="Times New Roman" w:hAnsi="Times New Roman" w:eastAsia="宋体" w:cs="Times New Roman"/>
          <w:szCs w:val="24"/>
        </w:rPr>
        <w:t>）。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5.4.1.2 性诱诱杀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在田间稻纵卷叶螟、大螟、二化螟等鳞翅目害虫成虫发蛾期，使用昆虫性信息素诱捕器诱杀成虫，诱捕器产品类型、安装方法和放置数量符合</w:t>
      </w:r>
      <w:r>
        <w:fldChar w:fldCharType="begin"/>
      </w:r>
      <w:r>
        <w:instrText xml:space="preserve"> HYPERLINK "https://www.so.com/link?m=bFpAqv9O4SC+ufJSnC1LjSre5+z9Ot37YWtKsPsptbpRpHrZPEOdueMcDBZ+BQo7uxaiqXQIGYXf89xldXBTOrAebIu//Hs7DvPR52t3ACincGrGT4CJZRHSi7YJUhVHZ6GffyhHT+MUBS6ACVQiiXKzd0LIplUwePW36lqNWS0U=" \t "https://www.so.com/_blank" </w:instrText>
      </w:r>
      <w:r>
        <w:fldChar w:fldCharType="separate"/>
      </w:r>
      <w:r>
        <w:rPr>
          <w:rFonts w:hint="eastAsia" w:ascii="Times New Roman" w:hAnsi="Times New Roman" w:eastAsia="宋体" w:cs="Times New Roman"/>
          <w:szCs w:val="24"/>
        </w:rPr>
        <w:t>NY/T 3686-2020</w:t>
      </w:r>
      <w:r>
        <w:rPr>
          <w:rFonts w:hint="eastAsia" w:ascii="Times New Roman" w:hAnsi="Times New Roman" w:eastAsia="宋体" w:cs="Times New Roman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szCs w:val="24"/>
        </w:rPr>
        <w:t>的要求。</w:t>
      </w:r>
    </w:p>
    <w:p>
      <w:pPr>
        <w:widowControl/>
        <w:autoSpaceDE w:val="0"/>
        <w:autoSpaceDN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 xml:space="preserve">5.4.1.3 </w:t>
      </w:r>
      <w:r>
        <w:rPr>
          <w:rFonts w:hint="eastAsia" w:ascii="黑体" w:hAnsi="黑体" w:eastAsia="黑体" w:cs="Times New Roman"/>
          <w:szCs w:val="21"/>
        </w:rPr>
        <w:t>食</w:t>
      </w:r>
      <w:r>
        <w:rPr>
          <w:rFonts w:ascii="黑体" w:hAnsi="黑体" w:eastAsia="黑体" w:cs="Times New Roman"/>
          <w:szCs w:val="21"/>
        </w:rPr>
        <w:t>诱诱杀</w:t>
      </w:r>
    </w:p>
    <w:p>
      <w:pPr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在田间稻纵卷叶螟和螟虫发蛾高峰期</w:t>
      </w:r>
      <w:r>
        <w:rPr>
          <w:rFonts w:ascii="Times New Roman" w:hAnsi="Times New Roman" w:eastAsia="宋体" w:cs="Times New Roman"/>
          <w:szCs w:val="24"/>
        </w:rPr>
        <w:t>，</w:t>
      </w:r>
      <w:r>
        <w:rPr>
          <w:rFonts w:hint="eastAsia" w:ascii="Times New Roman" w:hAnsi="Times New Roman" w:eastAsia="宋体" w:cs="Times New Roman"/>
          <w:szCs w:val="24"/>
        </w:rPr>
        <w:t>安装食饵诱捕器</w:t>
      </w:r>
      <w:r>
        <w:rPr>
          <w:rFonts w:ascii="Times New Roman" w:hAnsi="Times New Roman" w:eastAsia="宋体" w:cs="Times New Roman"/>
          <w:szCs w:val="24"/>
        </w:rPr>
        <w:t>。每667 m²放</w:t>
      </w:r>
      <w:r>
        <w:rPr>
          <w:rFonts w:hint="eastAsia" w:ascii="Times New Roman" w:hAnsi="Times New Roman" w:eastAsia="宋体" w:cs="Times New Roman"/>
          <w:szCs w:val="24"/>
        </w:rPr>
        <w:t>1个</w:t>
      </w:r>
      <w:r>
        <w:rPr>
          <w:rFonts w:ascii="Times New Roman" w:hAnsi="Times New Roman" w:eastAsia="宋体" w:cs="Times New Roman"/>
          <w:szCs w:val="24"/>
        </w:rPr>
        <w:t>～</w:t>
      </w:r>
      <w:r>
        <w:rPr>
          <w:rFonts w:hint="eastAsia" w:ascii="Times New Roman" w:hAnsi="Times New Roman" w:eastAsia="宋体" w:cs="Times New Roman"/>
          <w:szCs w:val="24"/>
        </w:rPr>
        <w:t>2</w:t>
      </w:r>
      <w:r>
        <w:rPr>
          <w:rFonts w:ascii="Times New Roman" w:hAnsi="Times New Roman" w:eastAsia="宋体" w:cs="Times New Roman"/>
          <w:szCs w:val="24"/>
        </w:rPr>
        <w:t>个</w:t>
      </w:r>
      <w:r>
        <w:rPr>
          <w:rFonts w:hint="eastAsia" w:ascii="Times New Roman" w:hAnsi="Times New Roman" w:eastAsia="宋体" w:cs="Times New Roman"/>
          <w:szCs w:val="24"/>
        </w:rPr>
        <w:t>食饵</w:t>
      </w:r>
      <w:r>
        <w:rPr>
          <w:rFonts w:ascii="Times New Roman" w:hAnsi="Times New Roman" w:eastAsia="宋体" w:cs="Times New Roman"/>
          <w:szCs w:val="24"/>
        </w:rPr>
        <w:t>诱捕器</w:t>
      </w:r>
      <w:r>
        <w:rPr>
          <w:rFonts w:hint="eastAsia" w:ascii="Times New Roman" w:hAnsi="Times New Roman" w:eastAsia="宋体" w:cs="Times New Roman"/>
          <w:szCs w:val="24"/>
        </w:rPr>
        <w:t>，</w:t>
      </w:r>
      <w:r>
        <w:rPr>
          <w:rFonts w:ascii="Times New Roman" w:hAnsi="Times New Roman" w:eastAsia="宋体" w:cs="Times New Roman"/>
          <w:szCs w:val="24"/>
        </w:rPr>
        <w:t>诱捕器</w:t>
      </w:r>
      <w:r>
        <w:rPr>
          <w:rFonts w:hint="eastAsia" w:ascii="Times New Roman" w:hAnsi="Times New Roman" w:eastAsia="宋体" w:cs="Times New Roman"/>
          <w:szCs w:val="24"/>
        </w:rPr>
        <w:t>放置</w:t>
      </w:r>
      <w:r>
        <w:rPr>
          <w:rFonts w:ascii="Times New Roman" w:hAnsi="Times New Roman" w:eastAsia="宋体" w:cs="Times New Roman"/>
          <w:szCs w:val="24"/>
        </w:rPr>
        <w:t>高度</w:t>
      </w:r>
      <w:r>
        <w:rPr>
          <w:rFonts w:hint="eastAsia" w:ascii="Times New Roman" w:hAnsi="Times New Roman" w:eastAsia="宋体" w:cs="Times New Roman"/>
          <w:szCs w:val="24"/>
        </w:rPr>
        <w:t>为</w:t>
      </w:r>
      <w:r>
        <w:rPr>
          <w:rFonts w:ascii="Times New Roman" w:hAnsi="Times New Roman" w:eastAsia="宋体" w:cs="Times New Roman"/>
          <w:szCs w:val="24"/>
        </w:rPr>
        <w:t>苗期离地面50</w:t>
      </w:r>
      <w:r>
        <w:rPr>
          <w:rFonts w:hint="eastAsia" w:ascii="Times New Roman" w:hAnsi="Times New Roman" w:eastAsia="宋体" w:cs="Times New Roman"/>
          <w:szCs w:val="24"/>
        </w:rPr>
        <w:t>cm</w:t>
      </w:r>
      <w:r>
        <w:rPr>
          <w:rFonts w:ascii="Times New Roman" w:hAnsi="Times New Roman" w:eastAsia="宋体" w:cs="Times New Roman"/>
          <w:szCs w:val="24"/>
        </w:rPr>
        <w:t>，生长期诱捕器底部与</w:t>
      </w:r>
      <w:r>
        <w:rPr>
          <w:rFonts w:hint="eastAsia" w:ascii="Times New Roman" w:hAnsi="Times New Roman" w:eastAsia="宋体" w:cs="Times New Roman"/>
          <w:szCs w:val="24"/>
        </w:rPr>
        <w:t>水稻</w:t>
      </w:r>
      <w:r>
        <w:rPr>
          <w:rFonts w:ascii="Times New Roman" w:hAnsi="Times New Roman" w:eastAsia="宋体" w:cs="Times New Roman"/>
          <w:szCs w:val="24"/>
        </w:rPr>
        <w:t>叶冠面齐平</w:t>
      </w:r>
      <w:r>
        <w:rPr>
          <w:rFonts w:hint="eastAsia" w:ascii="Times New Roman" w:hAnsi="Times New Roman" w:eastAsia="宋体" w:cs="Times New Roman"/>
          <w:szCs w:val="24"/>
        </w:rPr>
        <w:t>。根据不同厂家诱芯使用要求，及时更换1次诱芯，诱捕器重复使用，诱捕器内蛾子及时清理。养蜂区慎用。</w:t>
      </w:r>
    </w:p>
    <w:p>
      <w:pPr>
        <w:adjustRightInd w:val="0"/>
        <w:snapToGrid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5.</w:t>
      </w:r>
      <w:r>
        <w:rPr>
          <w:rFonts w:hint="eastAsia" w:ascii="黑体" w:hAnsi="黑体" w:eastAsia="黑体" w:cs="Times New Roman"/>
          <w:szCs w:val="21"/>
        </w:rPr>
        <w:t>4</w:t>
      </w:r>
      <w:r>
        <w:rPr>
          <w:rFonts w:ascii="黑体" w:hAnsi="黑体" w:eastAsia="黑体" w:cs="Times New Roman"/>
          <w:szCs w:val="21"/>
        </w:rPr>
        <w:t>.2 生</w:t>
      </w:r>
      <w:r>
        <w:rPr>
          <w:rFonts w:hint="eastAsia" w:ascii="黑体" w:hAnsi="黑体" w:eastAsia="黑体" w:cs="Times New Roman"/>
          <w:szCs w:val="21"/>
        </w:rPr>
        <w:t>物</w:t>
      </w:r>
      <w:r>
        <w:rPr>
          <w:rFonts w:ascii="黑体" w:hAnsi="黑体" w:eastAsia="黑体" w:cs="Times New Roman"/>
          <w:szCs w:val="21"/>
        </w:rPr>
        <w:t>防治</w:t>
      </w:r>
    </w:p>
    <w:p>
      <w:pPr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5.</w:t>
      </w:r>
      <w:r>
        <w:rPr>
          <w:rFonts w:hint="eastAsia" w:ascii="黑体" w:hAnsi="黑体" w:eastAsia="黑体" w:cs="Times New Roman"/>
          <w:szCs w:val="21"/>
        </w:rPr>
        <w:t>4</w:t>
      </w:r>
      <w:r>
        <w:rPr>
          <w:rFonts w:ascii="黑体" w:hAnsi="黑体" w:eastAsia="黑体" w:cs="Times New Roman"/>
          <w:szCs w:val="21"/>
        </w:rPr>
        <w:t>.2.1 释放</w:t>
      </w:r>
      <w:r>
        <w:rPr>
          <w:rFonts w:hint="eastAsia" w:ascii="黑体" w:hAnsi="黑体" w:eastAsia="黑体" w:cs="Times New Roman"/>
          <w:szCs w:val="21"/>
        </w:rPr>
        <w:t>天敌</w:t>
      </w:r>
    </w:p>
    <w:p>
      <w:pPr>
        <w:widowControl/>
        <w:autoSpaceDE w:val="0"/>
        <w:autoSpaceDN w:val="0"/>
        <w:adjustRightInd w:val="0"/>
        <w:snapToGrid w:val="0"/>
        <w:ind w:firstLine="420" w:firstLineChars="200"/>
        <w:rPr>
          <w:rFonts w:ascii="Times New Roman" w:hAnsi="Times New Roman" w:eastAsia="宋体" w:cs="Times New Roman"/>
          <w:kern w:val="0"/>
          <w:szCs w:val="20"/>
          <w:highlight w:val="none"/>
        </w:rPr>
      </w:pPr>
      <w:r>
        <w:rPr>
          <w:rFonts w:hint="eastAsia" w:ascii="Times New Roman" w:hAnsi="Times New Roman" w:eastAsia="宋体" w:cs="Times New Roman"/>
          <w:kern w:val="0"/>
          <w:szCs w:val="20"/>
          <w:highlight w:val="none"/>
          <w:lang w:val="en-US" w:eastAsia="zh-CN"/>
        </w:rPr>
        <w:t>按照</w:t>
      </w:r>
      <w:r>
        <w:rPr>
          <w:rFonts w:hint="eastAsia" w:ascii="Times New Roman" w:hAnsi="Times New Roman" w:eastAsia="宋体" w:cs="Times New Roman"/>
          <w:kern w:val="0"/>
          <w:szCs w:val="20"/>
          <w:highlight w:val="none"/>
        </w:rPr>
        <w:t>N</w:t>
      </w:r>
      <w:r>
        <w:rPr>
          <w:rFonts w:ascii="Times New Roman" w:hAnsi="Times New Roman" w:eastAsia="宋体" w:cs="Times New Roman"/>
          <w:kern w:val="0"/>
          <w:szCs w:val="20"/>
          <w:highlight w:val="none"/>
        </w:rPr>
        <w:t>Y/T 3542.1</w:t>
      </w:r>
      <w:r>
        <w:rPr>
          <w:rFonts w:hint="eastAsia" w:ascii="Times New Roman" w:hAnsi="Times New Roman" w:eastAsia="宋体" w:cs="Times New Roman"/>
          <w:kern w:val="0"/>
          <w:szCs w:val="20"/>
          <w:highlight w:val="none"/>
        </w:rPr>
        <w:t>-</w:t>
      </w:r>
      <w:r>
        <w:rPr>
          <w:rFonts w:ascii="Times New Roman" w:hAnsi="Times New Roman" w:eastAsia="宋体" w:cs="Times New Roman"/>
          <w:kern w:val="0"/>
          <w:szCs w:val="20"/>
          <w:highlight w:val="none"/>
        </w:rPr>
        <w:t>2020</w:t>
      </w:r>
      <w:r>
        <w:rPr>
          <w:rFonts w:hint="eastAsia" w:ascii="Times New Roman" w:hAnsi="Times New Roman" w:eastAsia="宋体" w:cs="Times New Roman"/>
          <w:kern w:val="0"/>
          <w:szCs w:val="20"/>
          <w:highlight w:val="none"/>
          <w:lang w:val="en-US" w:eastAsia="zh-CN"/>
        </w:rPr>
        <w:t>的要求</w:t>
      </w:r>
      <w:r>
        <w:rPr>
          <w:rFonts w:ascii="Times New Roman" w:hAnsi="Times New Roman" w:eastAsia="宋体" w:cs="Times New Roman"/>
          <w:kern w:val="0"/>
          <w:szCs w:val="20"/>
          <w:highlight w:val="none"/>
        </w:rPr>
        <w:t>，</w:t>
      </w:r>
      <w:r>
        <w:rPr>
          <w:rFonts w:hint="eastAsia" w:ascii="Times New Roman" w:hAnsi="Times New Roman" w:eastAsia="宋体" w:cs="Times New Roman"/>
          <w:kern w:val="0"/>
          <w:szCs w:val="20"/>
          <w:highlight w:val="none"/>
        </w:rPr>
        <w:t>释放稻螟赤眼蜂等寄生蜂，防治</w:t>
      </w:r>
      <w:r>
        <w:rPr>
          <w:rFonts w:ascii="Times New Roman" w:hAnsi="Times New Roman" w:eastAsia="宋体" w:cs="Times New Roman"/>
          <w:kern w:val="0"/>
          <w:szCs w:val="20"/>
          <w:highlight w:val="none"/>
        </w:rPr>
        <w:t>稻纵卷叶螟、螟虫</w:t>
      </w:r>
      <w:r>
        <w:rPr>
          <w:rFonts w:hint="eastAsia" w:ascii="Times New Roman" w:hAnsi="Times New Roman" w:eastAsia="宋体" w:cs="Times New Roman"/>
          <w:kern w:val="0"/>
          <w:szCs w:val="20"/>
          <w:highlight w:val="none"/>
        </w:rPr>
        <w:t>等鳞翅目害虫</w:t>
      </w:r>
      <w:r>
        <w:rPr>
          <w:rFonts w:ascii="Times New Roman" w:hAnsi="Times New Roman" w:eastAsia="宋体" w:cs="Times New Roman"/>
          <w:kern w:val="0"/>
          <w:szCs w:val="20"/>
          <w:highlight w:val="none"/>
        </w:rPr>
        <w:t>。</w:t>
      </w:r>
    </w:p>
    <w:p>
      <w:pPr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5.</w:t>
      </w:r>
      <w:r>
        <w:rPr>
          <w:rFonts w:hint="eastAsia" w:ascii="黑体" w:hAnsi="黑体" w:eastAsia="黑体" w:cs="Times New Roman"/>
          <w:szCs w:val="21"/>
        </w:rPr>
        <w:t>4</w:t>
      </w:r>
      <w:r>
        <w:rPr>
          <w:rFonts w:ascii="黑体" w:hAnsi="黑体" w:eastAsia="黑体" w:cs="Times New Roman"/>
          <w:szCs w:val="21"/>
        </w:rPr>
        <w:t>.</w:t>
      </w:r>
      <w:r>
        <w:rPr>
          <w:rFonts w:hint="eastAsia" w:ascii="黑体" w:hAnsi="黑体" w:eastAsia="黑体" w:cs="Times New Roman"/>
          <w:szCs w:val="21"/>
        </w:rPr>
        <w:t>2</w:t>
      </w:r>
      <w:r>
        <w:rPr>
          <w:rFonts w:ascii="黑体" w:hAnsi="黑体" w:eastAsia="黑体" w:cs="Times New Roman"/>
          <w:szCs w:val="21"/>
        </w:rPr>
        <w:t>.2 生物农药防治</w:t>
      </w:r>
    </w:p>
    <w:p>
      <w:pPr>
        <w:adjustRightInd w:val="0"/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kern w:val="0"/>
          <w:szCs w:val="20"/>
        </w:rPr>
        <w:t>在准确预报的前提下，充分考虑防治指标、生物农药对有害生物控制作用和稻田生态平衡状态，</w:t>
      </w:r>
      <w:r>
        <w:rPr>
          <w:rFonts w:hint="eastAsia" w:ascii="Times New Roman" w:hAnsi="Times New Roman" w:eastAsia="宋体" w:cs="Times New Roman"/>
          <w:kern w:val="0"/>
          <w:szCs w:val="20"/>
        </w:rPr>
        <w:t>结合水稻生长情况，</w:t>
      </w:r>
      <w:r>
        <w:rPr>
          <w:rFonts w:ascii="Times New Roman" w:hAnsi="Times New Roman" w:eastAsia="宋体" w:cs="Times New Roman"/>
          <w:kern w:val="0"/>
          <w:szCs w:val="20"/>
        </w:rPr>
        <w:t>确定采取生物农药进行防治</w:t>
      </w:r>
      <w:r>
        <w:rPr>
          <w:rFonts w:hint="eastAsia" w:ascii="Times New Roman" w:hAnsi="Times New Roman" w:eastAsia="宋体" w:cs="Times New Roman"/>
          <w:kern w:val="0"/>
          <w:szCs w:val="20"/>
        </w:rPr>
        <w:t>，</w:t>
      </w:r>
      <w:r>
        <w:rPr>
          <w:rFonts w:ascii="Times New Roman" w:hAnsi="Times New Roman" w:eastAsia="宋体" w:cs="Times New Roman"/>
          <w:kern w:val="0"/>
          <w:szCs w:val="20"/>
        </w:rPr>
        <w:t>具体</w:t>
      </w:r>
      <w:r>
        <w:rPr>
          <w:rFonts w:hint="eastAsia" w:ascii="Times New Roman" w:hAnsi="Times New Roman" w:eastAsia="宋体" w:cs="Times New Roman"/>
          <w:kern w:val="0"/>
          <w:szCs w:val="20"/>
        </w:rPr>
        <w:t>参考</w:t>
      </w:r>
      <w:r>
        <w:rPr>
          <w:rFonts w:ascii="Times New Roman" w:hAnsi="Times New Roman" w:eastAsia="宋体" w:cs="Times New Roman"/>
          <w:kern w:val="0"/>
          <w:szCs w:val="20"/>
        </w:rPr>
        <w:t>附录B生物</w:t>
      </w:r>
      <w:r>
        <w:rPr>
          <w:rFonts w:hint="eastAsia" w:ascii="Times New Roman" w:hAnsi="Times New Roman" w:eastAsia="宋体" w:cs="Times New Roman"/>
          <w:kern w:val="0"/>
          <w:szCs w:val="20"/>
        </w:rPr>
        <w:t>源</w:t>
      </w:r>
      <w:r>
        <w:rPr>
          <w:rFonts w:ascii="Times New Roman" w:hAnsi="Times New Roman" w:eastAsia="宋体" w:cs="Times New Roman"/>
          <w:kern w:val="0"/>
          <w:szCs w:val="20"/>
        </w:rPr>
        <w:t>农药。</w:t>
      </w:r>
    </w:p>
    <w:p>
      <w:pPr>
        <w:adjustRightInd w:val="0"/>
        <w:snapToGrid w:val="0"/>
        <w:spacing w:before="156" w:beforeLines="50" w:after="156" w:afterLines="50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5</w:t>
      </w:r>
      <w:r>
        <w:rPr>
          <w:rFonts w:hint="eastAsia" w:ascii="黑体" w:hAnsi="黑体" w:eastAsia="黑体" w:cs="Times New Roman"/>
          <w:szCs w:val="21"/>
        </w:rPr>
        <w:t>.</w:t>
      </w:r>
      <w:r>
        <w:rPr>
          <w:rFonts w:ascii="黑体" w:hAnsi="黑体" w:eastAsia="黑体" w:cs="Times New Roman"/>
          <w:szCs w:val="21"/>
        </w:rPr>
        <w:t>4.3</w:t>
      </w:r>
      <w:r>
        <w:rPr>
          <w:rFonts w:hint="eastAsia" w:ascii="黑体" w:hAnsi="黑体" w:eastAsia="黑体" w:cs="Times New Roman"/>
          <w:szCs w:val="21"/>
        </w:rPr>
        <w:t xml:space="preserve"> 科学用药</w:t>
      </w:r>
    </w:p>
    <w:p>
      <w:pPr>
        <w:adjustRightInd w:val="0"/>
        <w:snapToGrid w:val="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kern w:val="0"/>
          <w:szCs w:val="21"/>
        </w:rPr>
        <w:t>在准确预报的前提下，</w:t>
      </w:r>
      <w:r>
        <w:rPr>
          <w:rFonts w:hint="eastAsia" w:ascii="Times New Roman" w:hAnsi="Times New Roman" w:eastAsia="宋体" w:cs="Times New Roman"/>
          <w:kern w:val="0"/>
          <w:szCs w:val="21"/>
        </w:rPr>
        <w:t>在</w:t>
      </w:r>
      <w:r>
        <w:rPr>
          <w:rFonts w:ascii="Times New Roman" w:hAnsi="Times New Roman" w:eastAsia="宋体" w:cs="Times New Roman"/>
          <w:kern w:val="0"/>
          <w:szCs w:val="21"/>
        </w:rPr>
        <w:t>水稻生长中后期，主要病虫达到防治指标</w:t>
      </w:r>
      <w:r>
        <w:rPr>
          <w:rFonts w:hint="eastAsia" w:ascii="Times New Roman" w:hAnsi="Times New Roman" w:eastAsia="宋体" w:cs="Times New Roman"/>
          <w:kern w:val="0"/>
          <w:szCs w:val="21"/>
        </w:rPr>
        <w:t>（参考表1）</w:t>
      </w:r>
      <w:r>
        <w:rPr>
          <w:rFonts w:ascii="Times New Roman" w:hAnsi="Times New Roman" w:eastAsia="宋体" w:cs="Times New Roman"/>
          <w:kern w:val="0"/>
          <w:szCs w:val="21"/>
        </w:rPr>
        <w:t>时，采取化学防治。常用药剂品种优先选用附录B</w:t>
      </w:r>
      <w:r>
        <w:rPr>
          <w:rFonts w:hint="eastAsia" w:ascii="Times New Roman" w:hAnsi="Times New Roman" w:eastAsia="宋体" w:cs="Times New Roman"/>
          <w:kern w:val="0"/>
          <w:szCs w:val="21"/>
        </w:rPr>
        <w:t>所推荐的化学药剂，使用符合</w:t>
      </w:r>
      <w:r>
        <w:rPr>
          <w:rFonts w:hint="eastAsia" w:ascii="Times New Roman" w:hAnsi="Times New Roman" w:eastAsia="宋体" w:cs="Times New Roman"/>
          <w:szCs w:val="21"/>
        </w:rPr>
        <w:t>GB/T 8321（所有部分）、N</w:t>
      </w:r>
      <w:r>
        <w:rPr>
          <w:rFonts w:ascii="Times New Roman" w:hAnsi="Times New Roman" w:eastAsia="宋体" w:cs="Times New Roman"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</w:rPr>
        <w:t>/T 1276-</w:t>
      </w:r>
      <w:r>
        <w:rPr>
          <w:rFonts w:ascii="Times New Roman" w:hAnsi="Times New Roman" w:eastAsia="宋体" w:cs="Times New Roman"/>
          <w:szCs w:val="21"/>
        </w:rPr>
        <w:t>2007</w:t>
      </w:r>
      <w:r>
        <w:rPr>
          <w:rFonts w:hint="eastAsia" w:ascii="Times New Roman" w:hAnsi="Times New Roman" w:eastAsia="宋体" w:cs="Times New Roman"/>
          <w:szCs w:val="21"/>
        </w:rPr>
        <w:t>、N</w:t>
      </w:r>
      <w:r>
        <w:rPr>
          <w:rFonts w:ascii="Times New Roman" w:hAnsi="Times New Roman" w:eastAsia="宋体" w:cs="Times New Roman"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</w:rPr>
        <w:t>/T</w:t>
      </w:r>
      <w:r>
        <w:rPr>
          <w:rFonts w:hint="eastAsia"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156</w:t>
      </w:r>
      <w:r>
        <w:rPr>
          <w:rFonts w:hint="eastAsia" w:ascii="Times New Roman" w:hAnsi="Times New Roman" w:eastAsia="宋体" w:cs="Times New Roman"/>
          <w:kern w:val="0"/>
          <w:szCs w:val="21"/>
        </w:rPr>
        <w:t>-</w:t>
      </w:r>
      <w:r>
        <w:rPr>
          <w:rFonts w:ascii="Times New Roman" w:hAnsi="Times New Roman" w:eastAsia="宋体" w:cs="Times New Roman"/>
          <w:kern w:val="0"/>
          <w:szCs w:val="21"/>
        </w:rPr>
        <w:t>2012</w:t>
      </w:r>
      <w:r>
        <w:rPr>
          <w:rFonts w:hint="eastAsia" w:ascii="Times New Roman" w:hAnsi="Times New Roman" w:eastAsia="宋体" w:cs="Times New Roman"/>
          <w:kern w:val="0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</w:rPr>
        <w:t>/T</w:t>
      </w:r>
      <w:r>
        <w:rPr>
          <w:rFonts w:ascii="Times New Roman" w:hAnsi="Times New Roman" w:eastAsia="宋体" w:cs="Times New Roman"/>
          <w:szCs w:val="21"/>
        </w:rPr>
        <w:t>2737</w:t>
      </w:r>
      <w:r>
        <w:rPr>
          <w:rFonts w:hint="eastAsia" w:ascii="Times New Roman" w:hAnsi="Times New Roman" w:eastAsia="宋体" w:cs="Times New Roman"/>
          <w:szCs w:val="21"/>
        </w:rPr>
        <w:t>（所有部分）、D</w:t>
      </w:r>
      <w:r>
        <w:rPr>
          <w:rFonts w:ascii="Times New Roman" w:hAnsi="Times New Roman" w:eastAsia="宋体" w:cs="Times New Roman"/>
          <w:szCs w:val="21"/>
        </w:rPr>
        <w:t>B32/T4015</w:t>
      </w:r>
      <w:r>
        <w:rPr>
          <w:rFonts w:hint="eastAsia" w:ascii="Times New Roman" w:hAnsi="Times New Roman" w:eastAsia="宋体" w:cs="Times New Roman"/>
          <w:szCs w:val="21"/>
        </w:rPr>
        <w:t>-</w:t>
      </w:r>
      <w:r>
        <w:rPr>
          <w:rFonts w:ascii="Times New Roman" w:hAnsi="Times New Roman" w:eastAsia="宋体" w:cs="Times New Roman"/>
          <w:szCs w:val="21"/>
        </w:rPr>
        <w:t>2021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表1 主要病虫防治指标</w:t>
      </w:r>
    </w:p>
    <w:tbl>
      <w:tblPr>
        <w:tblStyle w:val="8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7"/>
        <w:gridCol w:w="5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主要病虫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防治指标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条纹叶枯病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和黑条矮缩病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带毒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灰飞虱百穴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虫量15头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苗叶稻瘟病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田间出现发病中心或急性病斑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纹枯病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拔节期前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病穴率5%，拔节期后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病穴率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白叶枯病或细菌性条斑病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田间出现发病中心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穗稻瘟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破口初期开展第一次用药防治，穗期多阴雨，于齐穗期开展第二次防治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稻曲病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于破口前7天左右用药预防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二化螟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二代卵孵高峰后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d穴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枯鞘率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稻纵卷叶螟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五（3）、六（4）代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百穴虫卵量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60头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白背飞虱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五（2）代百穴虫量5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头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58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褐飞虱</w:t>
            </w:r>
          </w:p>
        </w:tc>
        <w:tc>
          <w:tcPr>
            <w:tcW w:w="593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五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代百穴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虫量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300头，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六（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代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百穴虫量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1000头</w:t>
            </w:r>
          </w:p>
        </w:tc>
      </w:tr>
    </w:tbl>
    <w:p>
      <w:pPr>
        <w:adjustRightInd w:val="0"/>
        <w:snapToGrid w:val="0"/>
        <w:spacing w:before="312" w:beforeLines="100" w:after="312" w:afterLines="100"/>
        <w:rPr>
          <w:rFonts w:hint="default" w:ascii="Times New Roman" w:hAnsi="Times New Roman" w:eastAsia="黑体" w:cs="Times New Roman"/>
          <w:szCs w:val="21"/>
          <w:lang w:val="en-US" w:eastAsia="zh-CN"/>
        </w:rPr>
      </w:pPr>
      <w:r>
        <w:rPr>
          <w:rFonts w:hint="eastAsia" w:ascii="黑体" w:hAnsi="黑体" w:eastAsia="黑体" w:cs="Times New Roman"/>
          <w:szCs w:val="21"/>
          <w:lang w:val="en-US" w:eastAsia="zh-CN"/>
        </w:rPr>
        <w:t>6</w:t>
      </w:r>
      <w:r>
        <w:rPr>
          <w:rFonts w:ascii="黑体" w:hAnsi="黑体" w:eastAsia="黑体" w:cs="Times New Roman"/>
          <w:szCs w:val="21"/>
        </w:rPr>
        <w:t xml:space="preserve"> 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档案管理</w:t>
      </w:r>
    </w:p>
    <w:p>
      <w:pPr>
        <w:adjustRightInd w:val="0"/>
        <w:snapToGrid w:val="0"/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详细记录防控过程中的病虫发生情况、</w:t>
      </w:r>
      <w:r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  <w:t>绿色</w:t>
      </w:r>
      <w:r>
        <w:rPr>
          <w:rFonts w:ascii="Times New Roman" w:hAnsi="Times New Roman" w:eastAsia="宋体" w:cs="Times New Roman"/>
          <w:kern w:val="0"/>
          <w:szCs w:val="21"/>
        </w:rPr>
        <w:t>防控措施等，并归档妥善保存，保存时间不少于2</w:t>
      </w:r>
      <w:r>
        <w:rPr>
          <w:rFonts w:hint="eastAsia" w:ascii="Times New Roman" w:hAnsi="Times New Roman" w:eastAsia="宋体" w:cs="Times New Roman"/>
          <w:kern w:val="0"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</w:p>
    <w:p>
      <w:pPr>
        <w:widowControl/>
        <w:jc w:val="left"/>
        <w:rPr>
          <w:rFonts w:ascii="Times New Roman" w:hAnsi="Times New Roman" w:eastAsia="黑体" w:cs="Times New Roman"/>
          <w:szCs w:val="24"/>
        </w:rPr>
      </w:pPr>
      <w:r>
        <w:rPr>
          <w:rFonts w:ascii="Times New Roman" w:hAnsi="Times New Roman" w:eastAsia="黑体" w:cs="Times New Roman"/>
          <w:szCs w:val="24"/>
        </w:rPr>
        <w:br w:type="page"/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  <w:r>
        <w:rPr>
          <w:rFonts w:ascii="Times New Roman" w:hAnsi="Times New Roman" w:eastAsia="黑体" w:cs="Times New Roman"/>
          <w:szCs w:val="24"/>
        </w:rPr>
        <w:t>附 录</w:t>
      </w:r>
      <w:r>
        <w:rPr>
          <w:rFonts w:hint="eastAsia" w:ascii="Times New Roman" w:hAnsi="Times New Roman" w:eastAsia="黑体" w:cs="Times New Roman"/>
          <w:szCs w:val="24"/>
        </w:rPr>
        <w:t xml:space="preserve"> A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  <w:r>
        <w:rPr>
          <w:rFonts w:ascii="Times New Roman" w:hAnsi="Times New Roman" w:eastAsia="黑体" w:cs="Times New Roman"/>
          <w:szCs w:val="24"/>
        </w:rPr>
        <w:t>（资料性）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kern w:val="0"/>
          <w:szCs w:val="21"/>
        </w:rPr>
      </w:pPr>
      <w:r>
        <w:rPr>
          <w:rFonts w:ascii="Times New Roman" w:hAnsi="Times New Roman" w:eastAsia="黑体" w:cs="Times New Roman"/>
          <w:szCs w:val="24"/>
        </w:rPr>
        <w:t>水稻</w:t>
      </w:r>
      <w:r>
        <w:rPr>
          <w:rFonts w:hint="eastAsia" w:ascii="Times New Roman" w:hAnsi="Times New Roman" w:eastAsia="黑体" w:cs="Times New Roman"/>
          <w:szCs w:val="24"/>
        </w:rPr>
        <w:t>主要病虫害种类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kern w:val="0"/>
          <w:szCs w:val="21"/>
        </w:rPr>
      </w:pPr>
      <w:r>
        <w:rPr>
          <w:rFonts w:ascii="黑体" w:hAnsi="黑体" w:eastAsia="黑体" w:cs="Times New Roman"/>
          <w:kern w:val="21"/>
          <w:szCs w:val="20"/>
        </w:rPr>
        <w:t>表</w:t>
      </w:r>
      <w:r>
        <w:rPr>
          <w:rFonts w:hint="eastAsia" w:ascii="黑体" w:hAnsi="黑体" w:eastAsia="黑体" w:cs="Times New Roman"/>
          <w:kern w:val="21"/>
          <w:szCs w:val="20"/>
        </w:rPr>
        <w:t xml:space="preserve">A.1 </w:t>
      </w:r>
      <w:r>
        <w:rPr>
          <w:rFonts w:ascii="Times New Roman" w:hAnsi="Times New Roman" w:eastAsia="黑体" w:cs="Times New Roman"/>
          <w:szCs w:val="24"/>
        </w:rPr>
        <w:t>水稻</w:t>
      </w:r>
      <w:r>
        <w:rPr>
          <w:rFonts w:hint="eastAsia" w:ascii="Times New Roman" w:hAnsi="Times New Roman" w:eastAsia="黑体" w:cs="Times New Roman"/>
          <w:szCs w:val="24"/>
        </w:rPr>
        <w:t>主要病虫害种类</w:t>
      </w:r>
    </w:p>
    <w:tbl>
      <w:tblPr>
        <w:tblStyle w:val="9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Times New Roman"/>
                <w:kern w:val="21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1"/>
                <w:sz w:val="21"/>
                <w:szCs w:val="21"/>
              </w:rPr>
              <w:t>病虫害类别</w:t>
            </w:r>
          </w:p>
        </w:tc>
        <w:tc>
          <w:tcPr>
            <w:tcW w:w="6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Times New Roman"/>
                <w:kern w:val="21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1"/>
                <w:sz w:val="21"/>
                <w:szCs w:val="21"/>
              </w:rPr>
              <w:t>病虫害种类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>
            <w:pPr>
              <w:tabs>
                <w:tab w:val="left" w:pos="36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21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1"/>
                <w:sz w:val="21"/>
                <w:szCs w:val="21"/>
              </w:rPr>
              <w:t>一类病虫害</w:t>
            </w:r>
          </w:p>
        </w:tc>
        <w:tc>
          <w:tcPr>
            <w:tcW w:w="6316" w:type="dxa"/>
            <w:vAlign w:val="center"/>
          </w:tcPr>
          <w:p>
            <w:pPr>
              <w:tabs>
                <w:tab w:val="left" w:pos="360"/>
              </w:tabs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 w:cs="Times New Roman"/>
                <w:kern w:val="21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稻飞虱（褐飞虱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Nilaparvata lugens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 xml:space="preserve">和白背飞虱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Sogatella fiircifera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、稻纵卷叶螟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 xml:space="preserve"> Cnaphalocrocis medinalis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、二化螟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Chilo suppressalis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、稻瘟病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 xml:space="preserve">Magnaporthe 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1"/>
                <w:szCs w:val="21"/>
              </w:rPr>
              <w:t>oryzae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>
            <w:pPr>
              <w:tabs>
                <w:tab w:val="left" w:pos="36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21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1"/>
                <w:sz w:val="21"/>
                <w:szCs w:val="21"/>
              </w:rPr>
              <w:t>二类病虫害</w:t>
            </w:r>
          </w:p>
        </w:tc>
        <w:tc>
          <w:tcPr>
            <w:tcW w:w="6316" w:type="dxa"/>
            <w:vAlign w:val="center"/>
          </w:tcPr>
          <w:p>
            <w:pPr>
              <w:tabs>
                <w:tab w:val="left" w:pos="360"/>
              </w:tabs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 w:cs="Times New Roman"/>
                <w:kern w:val="21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大螟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Sesamia inferen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s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、纹枯病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Rhizoctonia solani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、稗草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 xml:space="preserve">Echinochloa 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Beauv.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、千金子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 xml:space="preserve"> Leptochloa chinensis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、水苋菜属杂草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Ammannia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>
            <w:pPr>
              <w:tabs>
                <w:tab w:val="left" w:pos="360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21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1"/>
                <w:sz w:val="21"/>
                <w:szCs w:val="21"/>
              </w:rPr>
              <w:t>三类病虫害</w:t>
            </w:r>
          </w:p>
        </w:tc>
        <w:tc>
          <w:tcPr>
            <w:tcW w:w="6316" w:type="dxa"/>
            <w:vAlign w:val="center"/>
          </w:tcPr>
          <w:p>
            <w:pPr>
              <w:tabs>
                <w:tab w:val="left" w:pos="360"/>
              </w:tabs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 w:cs="Times New Roman"/>
                <w:kern w:val="21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灰飞虱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Laodelphax striatellus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、恶苗病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Fusarium moniliforme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、稻曲病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Ustilaginoidea virens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、白叶枯病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Xanthomonas oryzae</w:t>
            </w:r>
            <w:r>
              <w:rPr>
                <w:rFonts w:ascii="Times New Roman" w:hAnsi="Times New Roman" w:eastAsia="宋体" w:cs="Times New Roman"/>
                <w:iCs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iCs/>
                <w:kern w:val="0"/>
                <w:sz w:val="21"/>
                <w:szCs w:val="21"/>
              </w:rPr>
              <w:t>pv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.oryzae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、鸭舌草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Monochoria vaginalis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、莎草属杂草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Cyperus rotundus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、节节菜属杂草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>Rotala indices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 xml:space="preserve">、杂草稻 </w:t>
            </w:r>
            <w:r>
              <w:rPr>
                <w:rFonts w:ascii="Times New Roman" w:hAnsi="Times New Roman" w:eastAsia="宋体" w:cs="Times New Roman"/>
                <w:i/>
                <w:kern w:val="0"/>
                <w:sz w:val="21"/>
                <w:szCs w:val="21"/>
              </w:rPr>
              <w:t xml:space="preserve">Oryza Sativa </w:t>
            </w:r>
          </w:p>
        </w:tc>
      </w:tr>
    </w:tbl>
    <w:p>
      <w:pPr>
        <w:tabs>
          <w:tab w:val="left" w:pos="360"/>
        </w:tabs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kern w:val="21"/>
          <w:szCs w:val="20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</w:p>
    <w:p>
      <w:pPr>
        <w:widowControl/>
        <w:jc w:val="left"/>
        <w:rPr>
          <w:rFonts w:ascii="Times New Roman" w:hAnsi="Times New Roman" w:eastAsia="黑体" w:cs="Times New Roman"/>
          <w:szCs w:val="24"/>
        </w:rPr>
      </w:pPr>
      <w:r>
        <w:rPr>
          <w:rFonts w:ascii="Times New Roman" w:hAnsi="Times New Roman" w:eastAsia="黑体" w:cs="Times New Roman"/>
          <w:szCs w:val="24"/>
        </w:rPr>
        <w:br w:type="page"/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  <w:r>
        <w:rPr>
          <w:rFonts w:ascii="Times New Roman" w:hAnsi="Times New Roman" w:eastAsia="黑体" w:cs="Times New Roman"/>
          <w:szCs w:val="24"/>
        </w:rPr>
        <w:t>附 录</w:t>
      </w:r>
      <w:r>
        <w:rPr>
          <w:rFonts w:hint="eastAsia" w:ascii="Times New Roman" w:hAnsi="Times New Roman" w:eastAsia="黑体" w:cs="Times New Roman"/>
          <w:szCs w:val="24"/>
        </w:rPr>
        <w:t xml:space="preserve"> </w:t>
      </w:r>
      <w:r>
        <w:rPr>
          <w:rFonts w:ascii="Times New Roman" w:hAnsi="Times New Roman" w:eastAsia="黑体" w:cs="Times New Roman"/>
          <w:szCs w:val="24"/>
        </w:rPr>
        <w:t>B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  <w:r>
        <w:rPr>
          <w:rFonts w:ascii="Times New Roman" w:hAnsi="Times New Roman" w:eastAsia="黑体" w:cs="Times New Roman"/>
          <w:szCs w:val="24"/>
        </w:rPr>
        <w:t>（资料性）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kern w:val="0"/>
          <w:szCs w:val="21"/>
        </w:rPr>
      </w:pPr>
      <w:r>
        <w:rPr>
          <w:rFonts w:ascii="Times New Roman" w:hAnsi="Times New Roman" w:eastAsia="黑体" w:cs="Times New Roman"/>
          <w:szCs w:val="24"/>
        </w:rPr>
        <w:t>水稻病虫害绿色防控农药</w:t>
      </w:r>
    </w:p>
    <w:p>
      <w:pPr>
        <w:tabs>
          <w:tab w:val="left" w:pos="360"/>
        </w:tabs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kern w:val="21"/>
          <w:szCs w:val="20"/>
        </w:rPr>
      </w:pPr>
      <w:r>
        <w:rPr>
          <w:rFonts w:ascii="黑体" w:hAnsi="黑体" w:eastAsia="黑体" w:cs="Times New Roman"/>
          <w:kern w:val="21"/>
          <w:szCs w:val="20"/>
        </w:rPr>
        <w:t>表B</w:t>
      </w:r>
      <w:r>
        <w:rPr>
          <w:rFonts w:hint="eastAsia" w:ascii="黑体" w:hAnsi="黑体" w:eastAsia="黑体" w:cs="Times New Roman"/>
          <w:kern w:val="21"/>
          <w:szCs w:val="20"/>
        </w:rPr>
        <w:t xml:space="preserve">.1 </w:t>
      </w:r>
      <w:r>
        <w:rPr>
          <w:rFonts w:ascii="黑体" w:hAnsi="黑体" w:eastAsia="黑体" w:cs="Times New Roman"/>
          <w:kern w:val="21"/>
          <w:szCs w:val="20"/>
        </w:rPr>
        <w:t>水稻病虫害绿色防控农药推荐表</w:t>
      </w:r>
    </w:p>
    <w:tbl>
      <w:tblPr>
        <w:tblStyle w:val="8"/>
        <w:tblW w:w="95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586"/>
        <w:gridCol w:w="2801"/>
        <w:gridCol w:w="1027"/>
        <w:gridCol w:w="1914"/>
      </w:tblGrid>
      <w:tr>
        <w:trPr>
          <w:jc w:val="center"/>
        </w:trPr>
        <w:tc>
          <w:tcPr>
            <w:tcW w:w="12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防治对象</w:t>
            </w:r>
          </w:p>
        </w:tc>
        <w:tc>
          <w:tcPr>
            <w:tcW w:w="258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生物源农药每667 m²用量</w:t>
            </w:r>
          </w:p>
        </w:tc>
        <w:tc>
          <w:tcPr>
            <w:tcW w:w="280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firstLine="360" w:firstLineChars="200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化学农药每667 m²用量</w:t>
            </w:r>
          </w:p>
        </w:tc>
        <w:tc>
          <w:tcPr>
            <w:tcW w:w="102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使用方法</w:t>
            </w:r>
          </w:p>
        </w:tc>
        <w:tc>
          <w:tcPr>
            <w:tcW w:w="19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firstLine="360" w:firstLineChars="200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注意事项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螟虫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16000 IU/mg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苏云金杆菌悬浮剂150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～180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80亿孢子/mL金龟子绿僵菌 CQMa421 可分散油悬浮剂60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90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或等量有效成分的其他剂型。</w:t>
            </w: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20% 氯虫苯甲酰胺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</w:rPr>
              <w:t xml:space="preserve">悬浮剂10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</w:rPr>
              <w:t>mL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或20%甲维·甲虫肼悬浮剂30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40 mL或20%氰虫·甲虫肼悬浮剂30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40 mL或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26％甲氧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·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茚虫威悬浮剂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 mL～12 mL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或等量有效成分的其他剂型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。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喷雾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卵孵盛期至低龄幼虫盛期对稻株均匀喷雾。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每667 m²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用水量30 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 L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稻纵卷叶螟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100 亿孢子/毫升短稳杆菌悬浮剂600倍液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700倍液或15%多杀·茚虫威悬浮剂12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16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mL或16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000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IU/mL苏云金杆菌可湿性粉剂200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300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g或2.5%甲维·苏云金可湿性粉剂20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40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g或30 亿 PIB/mL甘蓝夜蛾核型多角体病毒悬浮剂30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50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mL或5%苏云·茚虫威悬浮剂60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80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mL或1%苦皮藤素水乳剂30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40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mL或80 亿孢子/mL金龟子绿僵菌 CQMa421 可分散油悬浮剂60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90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mL或60 g/L乙基多杀菌素悬浮剂20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30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，或等量有效成分的其他剂型。</w:t>
            </w: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33%阿维·抑食肼可湿性粉剂25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g或40%甲氧·茚虫威悬浮剂10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mL或25%甲维·茚虫威水分散粒剂7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g或25%阿维·茚虫威悬浮剂8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10 mL或10%四氯虫酰胺悬浮剂10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20 mL或200克/L氯虫苯甲酰胺悬浮剂5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10 mL或35%氯虫苯甲酰胺水分散粒剂4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g或6%阿维·氯苯酰悬浮剂45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50 mL，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或等量有效成分的其他剂型。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喷雾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生物农药要在下午4点以后施药，均匀细喷雾。每667 m²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用水量30 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 L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白背飞虱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pacing w:val="2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20"/>
                <w:sz w:val="18"/>
                <w:szCs w:val="18"/>
              </w:rPr>
              <w:t>80亿孢子/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hint="eastAsia" w:ascii="Times New Roman" w:hAnsi="Times New Roman" w:eastAsia="宋体" w:cs="Times New Roman"/>
                <w:spacing w:val="20"/>
                <w:sz w:val="18"/>
                <w:szCs w:val="18"/>
              </w:rPr>
              <w:t>金龟子绿僵菌CQMa421可分散油悬浮剂60</w:t>
            </w:r>
            <w:r>
              <w:rPr>
                <w:rFonts w:ascii="Times New Roman" w:hAnsi="Times New Roman" w:eastAsia="宋体" w:cs="Times New Roman"/>
                <w:spacing w:val="2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pacing w:val="20"/>
                <w:sz w:val="18"/>
                <w:szCs w:val="18"/>
              </w:rPr>
              <w:t>90</w:t>
            </w:r>
            <w:r>
              <w:rPr>
                <w:rFonts w:ascii="Times New Roman" w:hAnsi="Times New Roman" w:eastAsia="宋体" w:cs="Times New Roman"/>
                <w:spacing w:val="2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20"/>
                <w:sz w:val="18"/>
                <w:szCs w:val="18"/>
              </w:rPr>
              <w:t>mL。</w:t>
            </w: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10%三氟苯嘧啶悬浮剂10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mL或70%吡蚜·呋虫胺水分散粒剂6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g～8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g或25%吡蚜·噻嗪酮悬浮剂30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mL或25%吡蚜酮悬浮剂20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mL～24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mL或30%吡蚜·异丙威可湿性粉剂30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g或50%烯啶虫胺可溶粒剂2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g或70%烯啶·噻嗪酮水分散粒剂20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g～24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g或63%噻嗪·呋虫胺水分散粒剂15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g或20%呋虫胺水分散粒剂30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g～37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g或30%吡蚜·噻虫胺悬浮剂15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g～25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g或35%噻虫·吡蚜酮水分散粒剂2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g，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或等量有效成分的其他剂型。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喷雾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每667 m²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用水量30 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 L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褐飞虱</w:t>
            </w:r>
          </w:p>
        </w:tc>
        <w:tc>
          <w:tcPr>
            <w:tcW w:w="25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80 亿孢子/mL金龟子绿僵菌 CQMa421 可分散油悬浮剂60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mL～90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10%三氟苯嘧啶悬浮剂10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mL或70%吡蚜·呋虫胺水分散粒剂6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g～8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g或30%吡蚜·异丙威可湿性粉剂30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g或50%烯啶虫胺可溶粒剂2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g或20%呋虫胺水分散粒剂30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g～37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g或30%吡蚜·噻虫胺悬浮剂15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g～25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g，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或等量有效成分的其他剂型。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喷雾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当水稻生长后期田间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cm～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5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cm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水层时使用。每667 m²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用水量30 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 L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5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90%敌敌畏乳油300 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mL，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或等量有效成分的其他剂型。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喷雾或毒土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应急用药，褐飞虱失控时使用。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纹枯病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13%井冈·低聚糖悬浮剂40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mL～45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mL或15%井冈·戊唑醇悬浮剂60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mL～80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mL或24%井冈·氟环唑悬浮剂20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mL或12%井冈·蛇床素可溶液剂50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mL～60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mL或10 亿 CFU/g解淀粉芽孢杆菌可湿性粉剂15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g或24%井冈·噻呋可湿性粉剂20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g～25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g或30%申嗪·噻呋悬浮剂8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g～10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g或6%低聚糖素水剂8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mL或24%井冈霉素水剂15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mL～21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mL或16%井冈·噻呋悬浮剂30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mL，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或等量有效成分的其他剂型。</w:t>
            </w: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40%己唑·嘧菌酯悬浮剂8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mL或27.8%噻呋·苯醚甲悬浮剂20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mL～25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mL或48%苯甲·嘧菌酯悬浮剂20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mL或20%噻呋·己唑醇悬浮剂30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mL～35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mL或75%戊唑·嘧菌酯可湿性粉剂10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g～15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g或35%氟唑·嘧菌酯微囊悬浮剂30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mL～50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mL或30%噻呋·戊唑醇悬浮剂12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mL或30%苯甲·嘧菌酯悬浮剂32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mL～54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mL或300 g/L苯甲·丙环唑乳油15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mL或30%丙环·咪鲜胺水乳剂60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mL～80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mL或240 g/L噻呋酰胺悬浮剂20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mL～25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mL或250 g/L嘧菌酯悬浮剂30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mL～60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36％噻呋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·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嘧菌酯悬浮剂20 mL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 mL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或75%肟菌·戊唑醇水分散粒剂10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g～15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g或23%醚菌·氟环唑悬浮剂30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mL～50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mL或19%丙环·嘧菌酯悬浮剂30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mL～50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mL或23%醚菌·氟环唑悬浮剂40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mL～50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mL，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或等量有效成分的其他剂型。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喷雾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生物农药要在下午4点以后施药，均匀细喷雾。每667 m²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用水量30 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 L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pacing w:val="2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20"/>
                <w:sz w:val="18"/>
                <w:szCs w:val="18"/>
              </w:rPr>
              <w:t>稻瘟病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15%井冈·戊唑醇悬浮剂90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mL～110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mL或1000 亿孢子/g枯草芽孢杆菌可湿性粉剂25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g或28%春雷·三环唑可湿性粉剂48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g～57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g或6%春雷霉素可湿性粉剂50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g～65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g或4%春雷·寡聚糖水剂80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mL或0.2%补骨脂种子提取物微乳剂45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mL～60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，或等量有效成分的其他剂型。</w:t>
            </w: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pacing w:val="2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45%三环·嘧菌酯悬浮剂35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mL或40%氟环·稻瘟灵悬浮剂40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mL～80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mL或30%三环唑悬浮剂50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mL～70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mL或20%稻瘟酰胺悬浮剂60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mL～100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mL或30%三环·氟环唑悬浮剂55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mL～66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mL或30%稻瘟·戊唑醇悬浮剂30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mL～45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mL或40%稻瘟·三环唑悬浮剂65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mL～70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mL或10%丙硫唑悬浮剂70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mL～80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mL或9%吡唑醚菌酯微囊悬浮剂56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mL～73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mL，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或等量有效成分的其他剂型。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喷雾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预防穗瘟，在孕穗末期和齐穗期各施药1次。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每667 m²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用水量30 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 L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稻曲病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13%井冈·低聚糖悬浮剂40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mL～45 mL或15%井冈·戊唑醇悬浮剂90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mL～110 mL或10 亿 CFU/g解淀粉芽孢杆菌可湿性粉剂15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g～20 g或24%井冈霉素水剂20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mL～40 mL或16%井冈·噻呋悬浮剂30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mL～40 mL，或2 亿 CFU/mL嗜硫小红卵菌 HNI-1 悬浮剂200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mL，或等量有效成分的其他剂型。</w:t>
            </w: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40%咪铜·氟环唑悬浮剂20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mL或36%丙环·咪鲜胺悬浮剂40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mL～50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mL或25%噻呋·嘧菌酯悬浮剂30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mL或125 g/L氟环唑悬浮剂40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mL～50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mL或19%啶氧·丙环唑悬浮剂53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mL～70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mL，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或等量有效成分的其他剂型。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喷雾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在破口期前7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10 d和齐穗期各施1次药。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每667 m²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用水量30 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 L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白叶枯病、细菌性条斑病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60亿芽孢/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解淀粉芽孢杆菌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X-11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悬浮剂500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g～650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g。</w:t>
            </w:r>
          </w:p>
          <w:p>
            <w:pPr>
              <w:adjustRightInd w:val="0"/>
              <w:snapToGrid w:val="0"/>
              <w:spacing w:line="360" w:lineRule="auto"/>
              <w:ind w:left="180" w:hanging="180" w:hangingChars="100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3%噻霉酮微乳剂60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mL～100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mL或20%噻唑锌悬浮剂100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mL～125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mL，或等量有效成分的其它剂型。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喷雾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发病初期使用，视病情5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d后第二次防治，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每667 m²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用水量30 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L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 L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。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kern w:val="0"/>
          <w:szCs w:val="20"/>
        </w:rPr>
      </w:pPr>
      <w:r>
        <w:rPr>
          <w:rFonts w:ascii="Times New Roman" w:hAnsi="Times New Roman" w:eastAsia="宋体" w:cs="Times New Roman"/>
          <w:kern w:val="0"/>
          <w:szCs w:val="20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  <w:r>
        <w:rPr>
          <w:rFonts w:ascii="Times New Roman" w:hAnsi="Times New Roman" w:eastAsia="宋体" w:cs="Times New Roman"/>
          <w:kern w:val="0"/>
          <w:szCs w:val="20"/>
        </w:rPr>
        <w:br w:type="page"/>
      </w:r>
      <w:r>
        <w:rPr>
          <w:rFonts w:ascii="Times New Roman" w:hAnsi="Times New Roman" w:eastAsia="黑体" w:cs="Times New Roman"/>
          <w:szCs w:val="24"/>
        </w:rPr>
        <w:t>附 录</w:t>
      </w:r>
      <w:r>
        <w:rPr>
          <w:rFonts w:hint="eastAsia" w:ascii="Times New Roman" w:hAnsi="Times New Roman" w:eastAsia="黑体" w:cs="Times New Roman"/>
          <w:szCs w:val="24"/>
        </w:rPr>
        <w:t xml:space="preserve"> </w:t>
      </w:r>
      <w:r>
        <w:rPr>
          <w:rFonts w:ascii="Times New Roman" w:hAnsi="Times New Roman" w:eastAsia="黑体" w:cs="Times New Roman"/>
          <w:szCs w:val="24"/>
        </w:rPr>
        <w:t>C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Cs w:val="24"/>
        </w:rPr>
      </w:pPr>
      <w:r>
        <w:rPr>
          <w:rFonts w:ascii="Times New Roman" w:hAnsi="Times New Roman" w:eastAsia="黑体" w:cs="Times New Roman"/>
          <w:szCs w:val="24"/>
        </w:rPr>
        <w:t>（资料性）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kern w:val="0"/>
          <w:szCs w:val="21"/>
        </w:rPr>
      </w:pPr>
      <w:r>
        <w:rPr>
          <w:rFonts w:ascii="Times New Roman" w:hAnsi="Times New Roman" w:eastAsia="黑体" w:cs="Times New Roman"/>
          <w:szCs w:val="24"/>
        </w:rPr>
        <w:t>水稻</w:t>
      </w:r>
      <w:r>
        <w:rPr>
          <w:rFonts w:hint="eastAsia" w:ascii="Times New Roman" w:hAnsi="Times New Roman" w:eastAsia="黑体" w:cs="Times New Roman"/>
          <w:szCs w:val="24"/>
        </w:rPr>
        <w:t>草</w:t>
      </w:r>
      <w:r>
        <w:rPr>
          <w:rFonts w:ascii="Times New Roman" w:hAnsi="Times New Roman" w:eastAsia="黑体" w:cs="Times New Roman"/>
          <w:szCs w:val="24"/>
        </w:rPr>
        <w:t>害</w:t>
      </w:r>
      <w:r>
        <w:rPr>
          <w:rFonts w:hint="eastAsia" w:ascii="Times New Roman" w:hAnsi="Times New Roman" w:eastAsia="黑体" w:cs="Times New Roman"/>
          <w:szCs w:val="24"/>
        </w:rPr>
        <w:t>化学防除药剂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kern w:val="0"/>
          <w:szCs w:val="21"/>
        </w:rPr>
      </w:pPr>
      <w:r>
        <w:rPr>
          <w:rFonts w:ascii="黑体" w:hAnsi="黑体" w:eastAsia="黑体" w:cs="Times New Roman"/>
          <w:kern w:val="21"/>
          <w:szCs w:val="20"/>
        </w:rPr>
        <w:t>表C</w:t>
      </w:r>
      <w:r>
        <w:rPr>
          <w:rFonts w:hint="eastAsia" w:ascii="黑体" w:hAnsi="黑体" w:eastAsia="黑体" w:cs="Times New Roman"/>
          <w:kern w:val="21"/>
          <w:szCs w:val="20"/>
        </w:rPr>
        <w:t xml:space="preserve">.1 </w:t>
      </w:r>
      <w:r>
        <w:rPr>
          <w:rFonts w:ascii="Times New Roman" w:hAnsi="Times New Roman" w:eastAsia="黑体" w:cs="Times New Roman"/>
          <w:szCs w:val="24"/>
        </w:rPr>
        <w:t>水稻</w:t>
      </w:r>
      <w:r>
        <w:rPr>
          <w:rFonts w:hint="eastAsia" w:ascii="Times New Roman" w:hAnsi="Times New Roman" w:eastAsia="黑体" w:cs="Times New Roman"/>
          <w:szCs w:val="24"/>
        </w:rPr>
        <w:t>草</w:t>
      </w:r>
      <w:r>
        <w:rPr>
          <w:rFonts w:ascii="Times New Roman" w:hAnsi="Times New Roman" w:eastAsia="黑体" w:cs="Times New Roman"/>
          <w:szCs w:val="24"/>
        </w:rPr>
        <w:t>害</w:t>
      </w:r>
      <w:r>
        <w:rPr>
          <w:rFonts w:hint="eastAsia" w:ascii="Times New Roman" w:hAnsi="Times New Roman" w:eastAsia="黑体" w:cs="Times New Roman"/>
          <w:szCs w:val="24"/>
        </w:rPr>
        <w:t>化学防除药剂</w:t>
      </w:r>
      <w:r>
        <w:rPr>
          <w:rFonts w:ascii="黑体" w:hAnsi="黑体" w:eastAsia="黑体" w:cs="Times New Roman"/>
          <w:kern w:val="21"/>
          <w:szCs w:val="20"/>
        </w:rPr>
        <w:t>推荐表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992"/>
        <w:gridCol w:w="1276"/>
        <w:gridCol w:w="2268"/>
        <w:gridCol w:w="1426"/>
        <w:gridCol w:w="1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种植类型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化除方式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防治对象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化学农药每667 m²用量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使用方法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使用时期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机插秧田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苗床除草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禾本科杂草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氰氟草酯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水乳剂6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水稻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1.5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叶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~2.5叶期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阔叶类杂草及莎草科杂草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48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%灭草松水剂1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33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l~200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封闭处理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所有杂草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%苄嘧·丙草胺可湿性粉剂7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g或5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%苄嘧·苯噻酰8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</w:p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上水整地平田时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丙草胺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水乳剂6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 ~80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L（或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2%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噁嗪草酮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大粒剂1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50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200 g）+32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苄嘧磺隆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可湿性粉剂7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.5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g或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噁草酮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可湿性粉剂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拌细湿土或拌肥料均匀撒施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栽插后5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~7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茎叶处理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禾本科杂草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噁唑酰草胺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乳油7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9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氟酮磺草胺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悬浮剂8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12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氯氟吡啶酯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乳油4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氰氟草酯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水乳剂6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移栽后20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阔叶类杂草及莎草科杂草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48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%灭草松水剂1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33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l~200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2甲4氯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钠可溶粉剂8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g或3%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氯氟吡啶酯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乳油4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人工移栽及抛秧田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苗床除草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禾本科杂草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氰氟草酯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水乳剂6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水稻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1.5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叶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~2.5叶期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阔叶类杂草及莎草科杂草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48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%灭草松水剂1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33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l~200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封闭处理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所有杂草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52.5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%吡嘧·苯噻酰可湿性粉剂6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g或5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%苄嘧·苯噻酰5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60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或30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噁草酮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可湿性粉剂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2%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双唑草腈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颗粒剂5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50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700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拌潮细土或拌肥料均匀撒施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移栽后5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~7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开展，药后保水3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~5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茎叶处理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禾本科杂草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噁唑酰草胺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乳油7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氯氟吡啶酯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乳油4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9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氟酮磺草胺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悬浮剂8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12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移栽后25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阔叶类杂草及莎草科杂草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48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%灭草松水剂1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33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l~200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2甲4氯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钠可溶粉剂8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氯氟吡啶酯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乳油4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移栽后25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水直播稻田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封闭处理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所有杂草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丙草胺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110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 ~120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L（含安全剂）+10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苄嘧磺隆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可湿性粉剂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15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25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催芽稻种播后2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~3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茎叶处理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禾本科杂草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噁唑酰草胺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乳油7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氯氟吡啶酯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乳油4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L，上年草害严重田块叶结合使用30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丙草胺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110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 ~120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L（含安全剂）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播种后20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d左右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阔叶类杂草及莎草科杂草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氯氟吡啶酯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乳油4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L或48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%灭草松水剂1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33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l~200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2甲4氯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钠可溶粉剂8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氯氟吡啶酯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乳油4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L，上年草害严重田块叶结合使用30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丙草胺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110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 ~120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L（含安全剂）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旱直播稻田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封闭处理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所有杂草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%噁草·丁草胺乳油1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125或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二甲戊灵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可湿性粉剂8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+60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苄嘧磺隆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水分散粒剂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3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5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播种并窨水落干后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茎叶处理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禾本科杂草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噁唑酰草胺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乳油7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氯氟吡啶酯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乳油4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氰氟草酯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水乳剂6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L，上年草害严重田块叶结合使用30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丙草胺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110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 ~120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L（含安全剂）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播种后20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d左右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阔叶类杂草及莎草科杂草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3%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氯氟吡啶酯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乳油4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 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80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L或48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%灭草松水剂1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33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l~200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2甲4氯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钠可溶粉剂8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100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或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7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氯吡嘧磺隆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水分散粒剂2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.7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g~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4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g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，上年草害严重田块叶结合使用30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%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丙草胺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乳油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110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L ~120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m</w:t>
            </w: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L（含安全剂）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，或等量有效成分的其它剂型。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喷雾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 xml:space="preserve">播种后20 </w:t>
            </w:r>
            <w:r>
              <w:rPr>
                <w:rFonts w:hint="eastAsia" w:ascii="Times New Roman" w:hAnsi="Times New Roman" w:eastAsia="宋体" w:cs="Times New Roman"/>
                <w:spacing w:val="8"/>
                <w:sz w:val="18"/>
                <w:szCs w:val="18"/>
                <w:shd w:val="clear" w:color="auto" w:fill="FFFFFF"/>
              </w:rPr>
              <w:t>d左右</w:t>
            </w:r>
          </w:p>
        </w:tc>
      </w:tr>
    </w:tbl>
    <w:p>
      <w:pPr>
        <w:widowControl/>
        <w:jc w:val="left"/>
        <w:rPr>
          <w:rFonts w:ascii="Times New Roman" w:hAnsi="Times New Roman" w:eastAsia="宋体" w:cs="Times New Roman"/>
          <w:kern w:val="0"/>
          <w:szCs w:val="20"/>
        </w:rPr>
      </w:pP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kern w:val="0"/>
          <w:szCs w:val="20"/>
        </w:rPr>
      </w:pP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kern w:val="0"/>
          <w:szCs w:val="20"/>
        </w:rPr>
      </w:pP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kern w:val="0"/>
          <w:szCs w:val="20"/>
        </w:rPr>
      </w:pP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kern w:val="0"/>
          <w:szCs w:val="20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—————————————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5</w:t>
    </w:r>
    <w:r>
      <w:rPr>
        <w:rStyle w:val="1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ind w:right="240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2</w:t>
    </w:r>
    <w:r>
      <w:rPr>
        <w:rStyle w:val="11"/>
      </w:rPr>
      <w:fldChar w:fldCharType="end"/>
    </w:r>
  </w:p>
  <w:p>
    <w:pPr>
      <w:pStyle w:val="6"/>
      <w:ind w:right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24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t>DB32/T 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4"/>
      <w:suff w:val="nothing"/>
      <w:lvlText w:val="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6"/>
      <w:suff w:val="nothing"/>
      <w:lvlText w:val="%1.%2　"/>
      <w:lvlJc w:val="left"/>
      <w:pPr>
        <w:ind w:left="284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3MmUyZmMwM2I3OTI0MTY5NDE5NTk2OTIxNTY5ZmYifQ=="/>
    <w:docVar w:name="KSO_WPS_MARK_KEY" w:val="6e52b6a4-9f6a-40e8-940f-f436e523a296"/>
  </w:docVars>
  <w:rsids>
    <w:rsidRoot w:val="00542F2B"/>
    <w:rsid w:val="00002D5C"/>
    <w:rsid w:val="000407F0"/>
    <w:rsid w:val="0004205E"/>
    <w:rsid w:val="000462F1"/>
    <w:rsid w:val="00053620"/>
    <w:rsid w:val="000D70BB"/>
    <w:rsid w:val="000F0AF5"/>
    <w:rsid w:val="000F1C34"/>
    <w:rsid w:val="00110631"/>
    <w:rsid w:val="00117D05"/>
    <w:rsid w:val="0012741C"/>
    <w:rsid w:val="00144B88"/>
    <w:rsid w:val="00147DD9"/>
    <w:rsid w:val="001557F5"/>
    <w:rsid w:val="00156306"/>
    <w:rsid w:val="0019734C"/>
    <w:rsid w:val="001A7494"/>
    <w:rsid w:val="001B0FB3"/>
    <w:rsid w:val="001C530D"/>
    <w:rsid w:val="001D1062"/>
    <w:rsid w:val="001F363E"/>
    <w:rsid w:val="00206EF9"/>
    <w:rsid w:val="002116A1"/>
    <w:rsid w:val="0023049F"/>
    <w:rsid w:val="002448EA"/>
    <w:rsid w:val="0026229D"/>
    <w:rsid w:val="00296C4A"/>
    <w:rsid w:val="002A1D43"/>
    <w:rsid w:val="002C3544"/>
    <w:rsid w:val="002F5B15"/>
    <w:rsid w:val="002F77A3"/>
    <w:rsid w:val="003200A3"/>
    <w:rsid w:val="00324A26"/>
    <w:rsid w:val="00325382"/>
    <w:rsid w:val="00352849"/>
    <w:rsid w:val="00364C4D"/>
    <w:rsid w:val="00383F9C"/>
    <w:rsid w:val="003B1164"/>
    <w:rsid w:val="003E793C"/>
    <w:rsid w:val="00403518"/>
    <w:rsid w:val="004036DC"/>
    <w:rsid w:val="0040543D"/>
    <w:rsid w:val="00413AE0"/>
    <w:rsid w:val="00433C2E"/>
    <w:rsid w:val="00447EFE"/>
    <w:rsid w:val="00486561"/>
    <w:rsid w:val="004B0169"/>
    <w:rsid w:val="004B197B"/>
    <w:rsid w:val="004E6637"/>
    <w:rsid w:val="004F58CC"/>
    <w:rsid w:val="00517102"/>
    <w:rsid w:val="00542F2B"/>
    <w:rsid w:val="00547674"/>
    <w:rsid w:val="005709B5"/>
    <w:rsid w:val="0057323B"/>
    <w:rsid w:val="00587C55"/>
    <w:rsid w:val="00590A77"/>
    <w:rsid w:val="005A08C8"/>
    <w:rsid w:val="005A0EAF"/>
    <w:rsid w:val="005C177D"/>
    <w:rsid w:val="005C5E14"/>
    <w:rsid w:val="005D7F4F"/>
    <w:rsid w:val="005E4F64"/>
    <w:rsid w:val="006462DD"/>
    <w:rsid w:val="0064749C"/>
    <w:rsid w:val="006624E3"/>
    <w:rsid w:val="00666FFB"/>
    <w:rsid w:val="006A009B"/>
    <w:rsid w:val="006D4139"/>
    <w:rsid w:val="006E0A48"/>
    <w:rsid w:val="006E265C"/>
    <w:rsid w:val="006F379C"/>
    <w:rsid w:val="007139A0"/>
    <w:rsid w:val="0071609E"/>
    <w:rsid w:val="0073709C"/>
    <w:rsid w:val="00744DFA"/>
    <w:rsid w:val="0075756D"/>
    <w:rsid w:val="007809BD"/>
    <w:rsid w:val="00781A02"/>
    <w:rsid w:val="00782C82"/>
    <w:rsid w:val="00784F93"/>
    <w:rsid w:val="00787F82"/>
    <w:rsid w:val="007B315F"/>
    <w:rsid w:val="007B3DDB"/>
    <w:rsid w:val="007E3A64"/>
    <w:rsid w:val="007E5FDD"/>
    <w:rsid w:val="007F7B6F"/>
    <w:rsid w:val="00800D0D"/>
    <w:rsid w:val="008200CF"/>
    <w:rsid w:val="00825CC5"/>
    <w:rsid w:val="0083194F"/>
    <w:rsid w:val="00853104"/>
    <w:rsid w:val="008A3620"/>
    <w:rsid w:val="008A54CA"/>
    <w:rsid w:val="008A5D4E"/>
    <w:rsid w:val="008B09F3"/>
    <w:rsid w:val="008B3D05"/>
    <w:rsid w:val="008D6883"/>
    <w:rsid w:val="008D7A7B"/>
    <w:rsid w:val="0091044B"/>
    <w:rsid w:val="0092281F"/>
    <w:rsid w:val="0093422B"/>
    <w:rsid w:val="00957FF3"/>
    <w:rsid w:val="00980BB9"/>
    <w:rsid w:val="009816C7"/>
    <w:rsid w:val="00986FFE"/>
    <w:rsid w:val="00991B23"/>
    <w:rsid w:val="009A4C78"/>
    <w:rsid w:val="009A6977"/>
    <w:rsid w:val="009B2066"/>
    <w:rsid w:val="009C3940"/>
    <w:rsid w:val="00A12979"/>
    <w:rsid w:val="00A31382"/>
    <w:rsid w:val="00A3429F"/>
    <w:rsid w:val="00A34511"/>
    <w:rsid w:val="00A42FB7"/>
    <w:rsid w:val="00A56151"/>
    <w:rsid w:val="00A75CF3"/>
    <w:rsid w:val="00A9004E"/>
    <w:rsid w:val="00A939ED"/>
    <w:rsid w:val="00A95F13"/>
    <w:rsid w:val="00AE62E9"/>
    <w:rsid w:val="00AF36EE"/>
    <w:rsid w:val="00B00D4C"/>
    <w:rsid w:val="00B02B60"/>
    <w:rsid w:val="00B47360"/>
    <w:rsid w:val="00B52036"/>
    <w:rsid w:val="00B650F4"/>
    <w:rsid w:val="00B8472E"/>
    <w:rsid w:val="00B90239"/>
    <w:rsid w:val="00B93766"/>
    <w:rsid w:val="00BA03F8"/>
    <w:rsid w:val="00BA7E7A"/>
    <w:rsid w:val="00BB6B77"/>
    <w:rsid w:val="00BC7A3C"/>
    <w:rsid w:val="00BE15A3"/>
    <w:rsid w:val="00BF7CFA"/>
    <w:rsid w:val="00C00599"/>
    <w:rsid w:val="00C12D18"/>
    <w:rsid w:val="00C2580F"/>
    <w:rsid w:val="00C54DF4"/>
    <w:rsid w:val="00C76E05"/>
    <w:rsid w:val="00C84F71"/>
    <w:rsid w:val="00C8678A"/>
    <w:rsid w:val="00C92874"/>
    <w:rsid w:val="00CA7A24"/>
    <w:rsid w:val="00CC5022"/>
    <w:rsid w:val="00CE27B4"/>
    <w:rsid w:val="00D23534"/>
    <w:rsid w:val="00D347F9"/>
    <w:rsid w:val="00D82F44"/>
    <w:rsid w:val="00D94427"/>
    <w:rsid w:val="00DA61FB"/>
    <w:rsid w:val="00DA72FC"/>
    <w:rsid w:val="00DB08BF"/>
    <w:rsid w:val="00DB2840"/>
    <w:rsid w:val="00DB5F42"/>
    <w:rsid w:val="00DC02FE"/>
    <w:rsid w:val="00DC3F95"/>
    <w:rsid w:val="00DC7354"/>
    <w:rsid w:val="00DE2BEA"/>
    <w:rsid w:val="00DE6CFD"/>
    <w:rsid w:val="00E05CAD"/>
    <w:rsid w:val="00E12843"/>
    <w:rsid w:val="00E1669D"/>
    <w:rsid w:val="00E34FC2"/>
    <w:rsid w:val="00E364B3"/>
    <w:rsid w:val="00E46D0F"/>
    <w:rsid w:val="00E756BB"/>
    <w:rsid w:val="00E761DB"/>
    <w:rsid w:val="00E83B92"/>
    <w:rsid w:val="00E84574"/>
    <w:rsid w:val="00E86229"/>
    <w:rsid w:val="00EA2C9B"/>
    <w:rsid w:val="00EB083C"/>
    <w:rsid w:val="00EB4BE2"/>
    <w:rsid w:val="00EC3ECA"/>
    <w:rsid w:val="00ED7C17"/>
    <w:rsid w:val="00ED7D86"/>
    <w:rsid w:val="00F23E0A"/>
    <w:rsid w:val="00F24DEE"/>
    <w:rsid w:val="00F41FF0"/>
    <w:rsid w:val="00F43ED7"/>
    <w:rsid w:val="00F50B58"/>
    <w:rsid w:val="00F61824"/>
    <w:rsid w:val="00F936A8"/>
    <w:rsid w:val="00FB23EE"/>
    <w:rsid w:val="00FD2D55"/>
    <w:rsid w:val="01750C56"/>
    <w:rsid w:val="03281112"/>
    <w:rsid w:val="095764B1"/>
    <w:rsid w:val="09C340D7"/>
    <w:rsid w:val="0D523C59"/>
    <w:rsid w:val="0DE3229A"/>
    <w:rsid w:val="0F4470B9"/>
    <w:rsid w:val="0F9D66C2"/>
    <w:rsid w:val="100C7239"/>
    <w:rsid w:val="106875CB"/>
    <w:rsid w:val="10DD3B9E"/>
    <w:rsid w:val="11063D48"/>
    <w:rsid w:val="121B0E3D"/>
    <w:rsid w:val="1977008B"/>
    <w:rsid w:val="1C1552CA"/>
    <w:rsid w:val="1C4A65CD"/>
    <w:rsid w:val="1CE64FB0"/>
    <w:rsid w:val="1D26794D"/>
    <w:rsid w:val="1DCD66F4"/>
    <w:rsid w:val="1DDE5881"/>
    <w:rsid w:val="1F00357C"/>
    <w:rsid w:val="1FF00A6A"/>
    <w:rsid w:val="215D400B"/>
    <w:rsid w:val="285A12A4"/>
    <w:rsid w:val="2A82208C"/>
    <w:rsid w:val="2ACC3A59"/>
    <w:rsid w:val="2B597F39"/>
    <w:rsid w:val="2C253E19"/>
    <w:rsid w:val="2D6D32EE"/>
    <w:rsid w:val="2DB23FF4"/>
    <w:rsid w:val="2DE42CB0"/>
    <w:rsid w:val="2E7A3645"/>
    <w:rsid w:val="30D630E0"/>
    <w:rsid w:val="30E33F4F"/>
    <w:rsid w:val="3299733E"/>
    <w:rsid w:val="341B2ED6"/>
    <w:rsid w:val="371B42F4"/>
    <w:rsid w:val="387937E1"/>
    <w:rsid w:val="3DBF40D8"/>
    <w:rsid w:val="3F160DD8"/>
    <w:rsid w:val="3FDF5018"/>
    <w:rsid w:val="43E91A02"/>
    <w:rsid w:val="46B5206F"/>
    <w:rsid w:val="49D7251E"/>
    <w:rsid w:val="4CA504AD"/>
    <w:rsid w:val="4CEE1FF6"/>
    <w:rsid w:val="57870C05"/>
    <w:rsid w:val="5B793987"/>
    <w:rsid w:val="5CA53E33"/>
    <w:rsid w:val="602045A6"/>
    <w:rsid w:val="6098413C"/>
    <w:rsid w:val="664418B3"/>
    <w:rsid w:val="666B3684"/>
    <w:rsid w:val="66D71017"/>
    <w:rsid w:val="6B873BA4"/>
    <w:rsid w:val="6F9B79DC"/>
    <w:rsid w:val="706E7D4A"/>
    <w:rsid w:val="758A2A3D"/>
    <w:rsid w:val="7779735E"/>
    <w:rsid w:val="7793320B"/>
    <w:rsid w:val="78454752"/>
    <w:rsid w:val="78EE649A"/>
    <w:rsid w:val="7A510D9D"/>
    <w:rsid w:val="7D7D4B05"/>
    <w:rsid w:val="7E7E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40"/>
    <w:qFormat/>
    <w:uiPriority w:val="0"/>
    <w:pPr>
      <w:spacing w:line="360" w:lineRule="auto"/>
    </w:pPr>
    <w:rPr>
      <w:rFonts w:ascii="黑体" w:hAnsi="Times New Roman" w:eastAsia="宋体" w:cs="Times New Roman"/>
      <w:sz w:val="28"/>
      <w:szCs w:val="24"/>
    </w:rPr>
  </w:style>
  <w:style w:type="paragraph" w:styleId="4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  <w:rPr>
      <w:rFonts w:ascii="Times New Roman" w:hAnsi="Times New Roman" w:eastAsia="宋体"/>
      <w:sz w:val="18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4">
    <w:name w:val="章标题"/>
    <w:next w:val="15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">
    <w:name w:val="一级条标题"/>
    <w:next w:val="15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7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character" w:customStyle="1" w:styleId="18">
    <w:name w:val="日期 字符"/>
    <w:basedOn w:val="10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9">
    <w:name w:val="页眉 字符"/>
    <w:basedOn w:val="10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字符"/>
    <w:basedOn w:val="10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批注框文本 字符"/>
    <w:basedOn w:val="10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2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24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5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6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7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character" w:customStyle="1" w:styleId="28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29">
    <w:name w:val="发布部门"/>
    <w:next w:val="15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30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31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2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3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34">
    <w:name w:val="封面标准英文名称"/>
    <w:basedOn w:val="13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5">
    <w:name w:val="封面一致性程度标识"/>
    <w:basedOn w:val="34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36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38">
    <w:name w:val="实施日期"/>
    <w:basedOn w:val="30"/>
    <w:qFormat/>
    <w:uiPriority w:val="0"/>
    <w:pPr>
      <w:framePr w:hSpace="0" w:xAlign="right"/>
      <w:jc w:val="right"/>
    </w:pPr>
  </w:style>
  <w:style w:type="paragraph" w:customStyle="1" w:styleId="39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character" w:customStyle="1" w:styleId="40">
    <w:name w:val="正文文本 字符"/>
    <w:basedOn w:val="10"/>
    <w:link w:val="3"/>
    <w:qFormat/>
    <w:uiPriority w:val="0"/>
    <w:rPr>
      <w:rFonts w:ascii="黑体"/>
      <w:kern w:val="2"/>
      <w:sz w:val="28"/>
      <w:szCs w:val="24"/>
    </w:rPr>
  </w:style>
  <w:style w:type="paragraph" w:customStyle="1" w:styleId="41">
    <w:name w:val="其他发布部门"/>
    <w:basedOn w:val="29"/>
    <w:qFormat/>
    <w:uiPriority w:val="0"/>
    <w:pPr>
      <w:framePr w:y="15310"/>
      <w:spacing w:line="0" w:lineRule="atLeast"/>
    </w:pPr>
    <w:rPr>
      <w:rFonts w:ascii="黑体" w:eastAsia="黑体"/>
      <w:b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6311</Words>
  <Characters>8188</Characters>
  <Lines>67</Lines>
  <Paragraphs>19</Paragraphs>
  <TotalTime>25</TotalTime>
  <ScaleCrop>false</ScaleCrop>
  <LinksUpToDate>false</LinksUpToDate>
  <CharactersWithSpaces>8738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2022-09-13T02:29:00Z</dcterms:created>
  <dc:creator>Administrator</dc:creator>
  <cp:lastModifiedBy>20020036</cp:lastModifiedBy>
  <cp:lastPrinted>2022-10-08T02:53:00Z</cp:lastPrinted>
  <dcterms:modified xsi:type="dcterms:W3CDTF">2024-01-11T12:41:54Z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EE26035DC75F4043B0DB3365FC3E7D3C</vt:lpwstr>
  </property>
</Properties>
</file>