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6"/>
        <w:rPr>
          <w:sz w:val="21"/>
        </w:rPr>
        <w:sectPr>
          <w:headerReference r:id="rId4" w:type="first"/>
          <w:footerReference r:id="rId7" w:type="first"/>
          <w:headerReference r:id="rId3" w:type="default"/>
          <w:footerReference r:id="rId5" w:type="default"/>
          <w:footerReference r:id="rId6" w:type="even"/>
          <w:pgSz w:w="11907" w:h="16839"/>
          <w:pgMar w:top="567" w:right="851" w:bottom="1361" w:left="1418" w:header="0" w:footer="0" w:gutter="0"/>
          <w:pgNumType w:start="1"/>
          <w:cols w:space="425" w:num="1"/>
          <w:titlePg/>
          <w:docGrid w:type="lines" w:linePitch="312" w:charSpace="0"/>
        </w:sectPr>
      </w:pPr>
      <w:bookmarkStart w:id="0" w:name="SectionMark0"/>
      <w:r>
        <w:rPr>
          <w:sz w:val="21"/>
        </w:rPr>
        <mc:AlternateContent>
          <mc:Choice Requires="wps">
            <w:drawing>
              <wp:anchor distT="0" distB="0" distL="114300" distR="114300" simplePos="0" relativeHeight="251668480" behindDoc="0" locked="0" layoutInCell="1" allowOverlap="1">
                <wp:simplePos x="0" y="0"/>
                <wp:positionH relativeFrom="column">
                  <wp:posOffset>0</wp:posOffset>
                </wp:positionH>
                <wp:positionV relativeFrom="paragraph">
                  <wp:posOffset>8890000</wp:posOffset>
                </wp:positionV>
                <wp:extent cx="6121400" cy="0"/>
                <wp:effectExtent l="14605" t="10795" r="7620" b="8255"/>
                <wp:wrapSquare wrapText="bothSides"/>
                <wp:docPr id="11" name="直接连接符 11"/>
                <wp:cNvGraphicFramePr/>
                <a:graphic xmlns:a="http://schemas.openxmlformats.org/drawingml/2006/main">
                  <a:graphicData uri="http://schemas.microsoft.com/office/word/2010/wordprocessingShape">
                    <wps:wsp>
                      <wps:cNvCnPr>
                        <a:cxnSpLocks noChangeShapeType="1"/>
                      </wps:cNvCnPr>
                      <wps:spPr bwMode="auto">
                        <a:xfrm>
                          <a:off x="0" y="0"/>
                          <a:ext cx="6121400" cy="0"/>
                        </a:xfrm>
                        <a:prstGeom prst="line">
                          <a:avLst/>
                        </a:prstGeom>
                        <a:noFill/>
                        <a:ln w="12700">
                          <a:solidFill>
                            <a:srgbClr val="080000"/>
                          </a:solidFill>
                          <a:round/>
                        </a:ln>
                      </wps:spPr>
                      <wps:bodyPr/>
                    </wps:wsp>
                  </a:graphicData>
                </a:graphic>
              </wp:anchor>
            </w:drawing>
          </mc:Choice>
          <mc:Fallback>
            <w:pict>
              <v:line id="_x0000_s1026" o:spid="_x0000_s1026" o:spt="20" style="position:absolute;left:0pt;margin-left:0pt;margin-top:700pt;height:0pt;width:482pt;mso-wrap-distance-bottom:0pt;mso-wrap-distance-left:9pt;mso-wrap-distance-right:9pt;mso-wrap-distance-top:0pt;z-index:251668480;mso-width-relative:page;mso-height-relative:page;" filled="f" stroked="t" coordsize="21600,21600" o:gfxdata="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">
                <v:fill on="f" focussize="0,0"/>
                <v:stroke weight="1pt" color="#080000" joinstyle="round"/>
                <v:imagedata o:title=""/>
                <o:lock v:ext="edit" aspectratio="f"/>
                <w10:wrap type="square"/>
              </v:line>
            </w:pict>
          </mc:Fallback>
        </mc:AlternateContent>
      </w:r>
      <w:r>
        <w:rPr>
          <w:sz w:val="21"/>
        </w:rPr>
        <mc:AlternateContent>
          <mc:Choice Requires="wps">
            <w:drawing>
              <wp:anchor distT="0" distB="0" distL="114300" distR="114300" simplePos="0" relativeHeight="251667456" behindDoc="0" locked="0" layoutInCell="1" allowOverlap="1">
                <wp:simplePos x="0" y="0"/>
                <wp:positionH relativeFrom="column">
                  <wp:posOffset>0</wp:posOffset>
                </wp:positionH>
                <wp:positionV relativeFrom="paragraph">
                  <wp:posOffset>2273300</wp:posOffset>
                </wp:positionV>
                <wp:extent cx="6121400" cy="0"/>
                <wp:effectExtent l="14605" t="13970" r="7620" b="14605"/>
                <wp:wrapSquare wrapText="bothSides"/>
                <wp:docPr id="10" name="直接连接符 10"/>
                <wp:cNvGraphicFramePr/>
                <a:graphic xmlns:a="http://schemas.openxmlformats.org/drawingml/2006/main">
                  <a:graphicData uri="http://schemas.microsoft.com/office/word/2010/wordprocessingShape">
                    <wps:wsp>
                      <wps:cNvCnPr>
                        <a:cxnSpLocks noChangeShapeType="1"/>
                      </wps:cNvCnPr>
                      <wps:spPr bwMode="auto">
                        <a:xfrm>
                          <a:off x="0" y="0"/>
                          <a:ext cx="6121400" cy="0"/>
                        </a:xfrm>
                        <a:prstGeom prst="line">
                          <a:avLst/>
                        </a:prstGeom>
                        <a:noFill/>
                        <a:ln w="12700">
                          <a:solidFill>
                            <a:srgbClr val="080000"/>
                          </a:solidFill>
                          <a:round/>
                        </a:ln>
                      </wps:spPr>
                      <wps:bodyPr/>
                    </wps:wsp>
                  </a:graphicData>
                </a:graphic>
              </wp:anchor>
            </w:drawing>
          </mc:Choice>
          <mc:Fallback>
            <w:pict>
              <v:line id="_x0000_s1026" o:spid="_x0000_s1026" o:spt="20" style="position:absolute;left:0pt;margin-left:0pt;margin-top:179pt;height:0pt;width:482pt;mso-wrap-distance-bottom:0pt;mso-wrap-distance-left:9pt;mso-wrap-distance-right:9pt;mso-wrap-distance-top:0pt;z-index:251667456;mso-width-relative:page;mso-height-relative:page;" filled="f" stroked="t" coordsize="21600,21600" o:gfxdata="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">
                <v:fill on="f" focussize="0,0"/>
                <v:stroke weight="1pt" color="#080000" joinstyle="round"/>
                <v:imagedata o:title=""/>
                <o:lock v:ext="edit" aspectratio="f"/>
                <w10:wrap type="square"/>
              </v:line>
            </w:pict>
          </mc:Fallback>
        </mc:AlternateContent>
      </w:r>
      <w:r>
        <w:rPr>
          <w:sz w:val="21"/>
        </w:rPr>
        <mc:AlternateContent>
          <mc:Choice Requires="wps">
            <w:drawing>
              <wp:anchor distT="0" distB="0" distL="114300" distR="114300" simplePos="0" relativeHeight="251666432" behindDoc="0" locked="1" layoutInCell="1" allowOverlap="1">
                <wp:simplePos x="0" y="0"/>
                <wp:positionH relativeFrom="margin">
                  <wp:posOffset>0</wp:posOffset>
                </wp:positionH>
                <wp:positionV relativeFrom="margin">
                  <wp:posOffset>9108440</wp:posOffset>
                </wp:positionV>
                <wp:extent cx="6120130" cy="363220"/>
                <wp:effectExtent l="0" t="635" r="0" b="0"/>
                <wp:wrapNone/>
                <wp:docPr id="9" name="文本框 9"/>
                <wp:cNvGraphicFramePr/>
                <a:graphic xmlns:a="http://schemas.openxmlformats.org/drawingml/2006/main">
                  <a:graphicData uri="http://schemas.microsoft.com/office/word/2010/wordprocessingShape">
                    <wps:wsp>
                      <wps:cNvSpPr txBox="1">
                        <a:spLocks noChangeArrowheads="1"/>
                      </wps:cNvSpPr>
                      <wps:spPr bwMode="auto">
                        <a:xfrm>
                          <a:off x="0" y="0"/>
                          <a:ext cx="6120130" cy="363220"/>
                        </a:xfrm>
                        <a:prstGeom prst="rect">
                          <a:avLst/>
                        </a:prstGeom>
                        <a:solidFill>
                          <a:srgbClr val="FFFFFF"/>
                        </a:solidFill>
                        <a:ln>
                          <a:noFill/>
                        </a:ln>
                      </wps:spPr>
                      <wps:txbx>
                        <w:txbxContent>
                          <w:p>
                            <w:pPr>
                              <w:pStyle w:val="28"/>
                            </w:pPr>
                            <w:r>
                              <w:rPr>
                                <w:rFonts w:ascii="Times New Roman"/>
                              </w:rPr>
                              <w:t>江苏省市场监督管理局   </w:t>
                            </w:r>
                            <w:r>
                              <w:rPr>
                                <w:rStyle w:val="27"/>
                                <w:rFonts w:ascii="Times New Roman"/>
                              </w:rPr>
                              <w:t>发布</w:t>
                            </w:r>
                          </w:p>
                        </w:txbxContent>
                      </wps:txbx>
                      <wps:bodyPr rot="0" vert="horz" wrap="square" lIns="0" tIns="0" rIns="0" bIns="0" anchor="t" anchorCtr="0" upright="1">
                        <a:noAutofit/>
                      </wps:bodyPr>
                    </wps:wsp>
                  </a:graphicData>
                </a:graphic>
              </wp:anchor>
            </w:drawing>
          </mc:Choice>
          <mc:Fallback>
            <w:pict>
              <v:shape id="_x0000_s1026" o:spid="_x0000_s1026" o:spt="202" type="#_x0000_t202" style="position:absolute;left:0pt;margin-left:0pt;margin-top:717.2pt;height:28.6pt;width:481.9pt;mso-position-horizontal-relative:margin;mso-position-vertical-relative:margin;z-index:251666432;mso-width-relative:page;mso-height-relative:page;" fillcolor="#FFFFFF" filled="t" stroked="f" coordsize="21600,21600" o:gfxdata="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">
                <v:fill on="t" focussize="0,0"/>
                <v:stroke on="f"/>
                <v:imagedata o:title=""/>
                <o:lock v:ext="edit" aspectratio="f"/>
                <v:textbox inset="0mm,0mm,0mm,0mm">
                  <w:txbxContent>
                    <w:p>
                      <w:pPr>
                        <w:pStyle w:val="28"/>
                      </w:pPr>
                      <w:r>
                        <w:rPr>
                          <w:rFonts w:ascii="Times New Roman"/>
                        </w:rPr>
                        <w:t>江苏省市场监督管理局   </w:t>
                      </w:r>
                      <w:r>
                        <w:rPr>
                          <w:rStyle w:val="27"/>
                          <w:rFonts w:ascii="Times New Roman"/>
                        </w:rPr>
                        <w:t>发布</w:t>
                      </w:r>
                    </w:p>
                  </w:txbxContent>
                </v:textbox>
                <w10:anchorlock/>
              </v:shape>
            </w:pict>
          </mc:Fallback>
        </mc:AlternateContent>
      </w:r>
      <w:r>
        <w:rPr>
          <w:sz w:val="21"/>
        </w:rPr>
        <mc:AlternateContent>
          <mc:Choice Requires="wps">
            <w:drawing>
              <wp:anchor distT="0" distB="0" distL="114300" distR="114300" simplePos="0" relativeHeight="251665408" behindDoc="0" locked="1" layoutInCell="1" allowOverlap="1">
                <wp:simplePos x="0" y="0"/>
                <wp:positionH relativeFrom="margin">
                  <wp:posOffset>4100830</wp:posOffset>
                </wp:positionH>
                <wp:positionV relativeFrom="margin">
                  <wp:posOffset>8563610</wp:posOffset>
                </wp:positionV>
                <wp:extent cx="2019300" cy="312420"/>
                <wp:effectExtent l="635" t="0" r="0" b="3175"/>
                <wp:wrapNone/>
                <wp:docPr id="8" name="文本框 8"/>
                <wp:cNvGraphicFramePr/>
                <a:graphic xmlns:a="http://schemas.openxmlformats.org/drawingml/2006/main">
                  <a:graphicData uri="http://schemas.microsoft.com/office/word/2010/wordprocessingShape">
                    <wps:wsp>
                      <wps:cNvSpPr txBox="1">
                        <a:spLocks noChangeArrowheads="1"/>
                      </wps:cNvSpPr>
                      <wps:spPr bwMode="auto">
                        <a:xfrm>
                          <a:off x="0" y="0"/>
                          <a:ext cx="2019300" cy="312420"/>
                        </a:xfrm>
                        <a:prstGeom prst="rect">
                          <a:avLst/>
                        </a:prstGeom>
                        <a:solidFill>
                          <a:srgbClr val="FFFFFF"/>
                        </a:solidFill>
                        <a:ln>
                          <a:noFill/>
                        </a:ln>
                      </wps:spPr>
                      <wps:txbx>
                        <w:txbxContent>
                          <w:p>
                            <w:pPr>
                              <w:pStyle w:val="38"/>
                            </w:pPr>
                            <w:r>
                              <w:rPr>
                                <w:rFonts w:hint="eastAsia"/>
                              </w:rPr>
                              <w:t>××××-××-××实施</w:t>
                            </w:r>
                          </w:p>
                        </w:txbxContent>
                      </wps:txbx>
                      <wps:bodyPr rot="0" vert="horz" wrap="square" lIns="0" tIns="0" rIns="0" bIns="0" anchor="t" anchorCtr="0" upright="1">
                        <a:noAutofit/>
                      </wps:bodyPr>
                    </wps:wsp>
                  </a:graphicData>
                </a:graphic>
              </wp:anchor>
            </w:drawing>
          </mc:Choice>
          <mc:Fallback>
            <w:pict>
              <v:shape id="_x0000_s1026" o:spid="_x0000_s1026" o:spt="202" type="#_x0000_t202" style="position:absolute;left:0pt;margin-left:322.9pt;margin-top:674.3pt;height:24.6pt;width:159pt;mso-position-horizontal-relative:margin;mso-position-vertical-relative:margin;z-index:251665408;mso-width-relative:page;mso-height-relative:page;" fillcolor="#FFFFFF" filled="t" stroked="f" coordsize="21600,21600" o:gfxdata="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">
                <v:fill on="t" focussize="0,0"/>
                <v:stroke on="f"/>
                <v:imagedata o:title=""/>
                <o:lock v:ext="edit" aspectratio="f"/>
                <v:textbox inset="0mm,0mm,0mm,0mm">
                  <w:txbxContent>
                    <w:p>
                      <w:pPr>
                        <w:pStyle w:val="38"/>
                      </w:pPr>
                      <w:r>
                        <w:rPr>
                          <w:rFonts w:hint="eastAsia"/>
                        </w:rPr>
                        <w:t>××××-××-××实施</w:t>
                      </w:r>
                    </w:p>
                  </w:txbxContent>
                </v:textbox>
                <w10:anchorlock/>
              </v:shape>
            </w:pict>
          </mc:Fallback>
        </mc:AlternateContent>
      </w:r>
      <w:r>
        <w:rPr>
          <w:sz w:val="21"/>
        </w:rPr>
        <mc:AlternateContent>
          <mc:Choice Requires="wps">
            <w:drawing>
              <wp:anchor distT="0" distB="0" distL="114300" distR="114300" simplePos="0" relativeHeight="251664384" behindDoc="0" locked="1" layoutInCell="1" allowOverlap="1">
                <wp:simplePos x="0" y="0"/>
                <wp:positionH relativeFrom="margin">
                  <wp:posOffset>0</wp:posOffset>
                </wp:positionH>
                <wp:positionV relativeFrom="margin">
                  <wp:posOffset>8563610</wp:posOffset>
                </wp:positionV>
                <wp:extent cx="2019300" cy="312420"/>
                <wp:effectExtent l="0" t="0" r="4445" b="3175"/>
                <wp:wrapNone/>
                <wp:docPr id="7" name="文本框 7"/>
                <wp:cNvGraphicFramePr/>
                <a:graphic xmlns:a="http://schemas.openxmlformats.org/drawingml/2006/main">
                  <a:graphicData uri="http://schemas.microsoft.com/office/word/2010/wordprocessingShape">
                    <wps:wsp>
                      <wps:cNvSpPr txBox="1">
                        <a:spLocks noChangeArrowheads="1"/>
                      </wps:cNvSpPr>
                      <wps:spPr bwMode="auto">
                        <a:xfrm>
                          <a:off x="0" y="0"/>
                          <a:ext cx="2019300" cy="312420"/>
                        </a:xfrm>
                        <a:prstGeom prst="rect">
                          <a:avLst/>
                        </a:prstGeom>
                        <a:solidFill>
                          <a:srgbClr val="FFFFFF"/>
                        </a:solidFill>
                        <a:ln>
                          <a:noFill/>
                        </a:ln>
                      </wps:spPr>
                      <wps:txbx>
                        <w:txbxContent>
                          <w:p>
                            <w:pPr>
                              <w:pStyle w:val="29"/>
                            </w:pPr>
                            <w:r>
                              <w:rPr>
                                <w:rFonts w:hint="eastAsia"/>
                              </w:rPr>
                              <w:t>××××-××-××发布</w:t>
                            </w:r>
                          </w:p>
                        </w:txbxContent>
                      </wps:txbx>
                      <wps:bodyPr rot="0" vert="horz" wrap="square" lIns="0" tIns="0" rIns="0" bIns="0" anchor="t" anchorCtr="0" upright="1">
                        <a:noAutofit/>
                      </wps:bodyPr>
                    </wps:wsp>
                  </a:graphicData>
                </a:graphic>
              </wp:anchor>
            </w:drawing>
          </mc:Choice>
          <mc:Fallback>
            <w:pict>
              <v:shape id="_x0000_s1026" o:spid="_x0000_s1026" o:spt="202" type="#_x0000_t202" style="position:absolute;left:0pt;margin-left:0pt;margin-top:674.3pt;height:24.6pt;width:159pt;mso-position-horizontal-relative:margin;mso-position-vertical-relative:margin;z-index:251664384;mso-width-relative:page;mso-height-relative:page;" fillcolor="#FFFFFF" filled="t" stroked="f" coordsize="21600,21600" o:gfxdata="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">
                <v:fill on="t" focussize="0,0"/>
                <v:stroke on="f"/>
                <v:imagedata o:title=""/>
                <o:lock v:ext="edit" aspectratio="f"/>
                <v:textbox inset="0mm,0mm,0mm,0mm">
                  <w:txbxContent>
                    <w:p>
                      <w:pPr>
                        <w:pStyle w:val="29"/>
                      </w:pPr>
                      <w:r>
                        <w:rPr>
                          <w:rFonts w:hint="eastAsia"/>
                        </w:rPr>
                        <w:t>××××-××-××发布</w:t>
                      </w:r>
                    </w:p>
                  </w:txbxContent>
                </v:textbox>
                <w10:anchorlock/>
              </v:shape>
            </w:pict>
          </mc:Fallback>
        </mc:AlternateContent>
      </w:r>
      <w:bookmarkStart w:id="7" w:name="_GoBack"/>
      <w:bookmarkEnd w:id="7"/>
      <w:r>
        <w:rPr>
          <w:sz w:val="21"/>
        </w:rPr>
        <mc:AlternateContent>
          <mc:Choice Requires="wps">
            <w:drawing>
              <wp:anchor distT="0" distB="0" distL="114300" distR="114300" simplePos="0" relativeHeight="251663360" behindDoc="0" locked="1" layoutInCell="1" allowOverlap="1">
                <wp:simplePos x="0" y="0"/>
                <wp:positionH relativeFrom="margin">
                  <wp:posOffset>0</wp:posOffset>
                </wp:positionH>
                <wp:positionV relativeFrom="margin">
                  <wp:posOffset>3635375</wp:posOffset>
                </wp:positionV>
                <wp:extent cx="5969000" cy="4681220"/>
                <wp:effectExtent l="0" t="4445" r="0" b="635"/>
                <wp:wrapNone/>
                <wp:docPr id="6" name="文本框 6"/>
                <wp:cNvGraphicFramePr/>
                <a:graphic xmlns:a="http://schemas.openxmlformats.org/drawingml/2006/main">
                  <a:graphicData uri="http://schemas.microsoft.com/office/word/2010/wordprocessingShape">
                    <wps:wsp>
                      <wps:cNvSpPr txBox="1">
                        <a:spLocks noChangeArrowheads="1"/>
                      </wps:cNvSpPr>
                      <wps:spPr bwMode="auto">
                        <a:xfrm>
                          <a:off x="0" y="0"/>
                          <a:ext cx="5969000" cy="4681220"/>
                        </a:xfrm>
                        <a:prstGeom prst="rect">
                          <a:avLst/>
                        </a:prstGeom>
                        <a:solidFill>
                          <a:srgbClr val="FFFFFF"/>
                        </a:solidFill>
                        <a:ln>
                          <a:noFill/>
                        </a:ln>
                      </wps:spPr>
                      <wps:txbx>
                        <w:txbxContent>
                          <w:p>
                            <w:pPr>
                              <w:pStyle w:val="3"/>
                              <w:keepNext w:val="0"/>
                              <w:keepLines w:val="0"/>
                              <w:pageBreakBefore w:val="0"/>
                              <w:widowControl w:val="0"/>
                              <w:kinsoku/>
                              <w:wordWrap/>
                              <w:overflowPunct/>
                              <w:topLinePunct w:val="0"/>
                              <w:bidi w:val="0"/>
                              <w:adjustRightInd/>
                              <w:snapToGrid/>
                              <w:spacing w:line="560" w:lineRule="exact"/>
                              <w:jc w:val="center"/>
                              <w:textAlignment w:val="auto"/>
                              <w:rPr>
                                <w:rFonts w:eastAsia="黑体" w:asciiTheme="minorHAnsi" w:hAnsiTheme="minorHAnsi" w:cstheme="minorBidi"/>
                                <w:spacing w:val="24"/>
                                <w:sz w:val="52"/>
                                <w:szCs w:val="52"/>
                              </w:rPr>
                            </w:pPr>
                            <w:r>
                              <w:rPr>
                                <w:rFonts w:hint="eastAsia" w:eastAsia="黑体" w:asciiTheme="minorHAnsi" w:hAnsiTheme="minorHAnsi" w:cstheme="minorBidi"/>
                                <w:spacing w:val="24"/>
                                <w:sz w:val="52"/>
                                <w:szCs w:val="52"/>
                              </w:rPr>
                              <w:t>小麦病虫害防治药剂有效性评价技术规范</w:t>
                            </w:r>
                          </w:p>
                          <w:p>
                            <w:pPr>
                              <w:pStyle w:val="3"/>
                              <w:spacing w:before="156" w:beforeLines="50" w:line="400" w:lineRule="exact"/>
                              <w:jc w:val="center"/>
                              <w:rPr>
                                <w:rFonts w:ascii="Times New Roman"/>
                                <w:spacing w:val="-18"/>
                              </w:rPr>
                            </w:pPr>
                            <w:r>
                              <w:rPr>
                                <w:rFonts w:ascii="Times New Roman"/>
                                <w:spacing w:val="-18"/>
                              </w:rPr>
                              <w:t>Technical</w:t>
                            </w:r>
                            <w:r>
                              <w:rPr>
                                <w:rFonts w:hint="eastAsia" w:ascii="Times New Roman"/>
                                <w:spacing w:val="-18"/>
                                <w:lang w:val="en-US" w:eastAsia="zh-CN"/>
                              </w:rPr>
                              <w:t xml:space="preserve"> </w:t>
                            </w:r>
                            <w:r>
                              <w:rPr>
                                <w:rFonts w:ascii="Times New Roman"/>
                                <w:spacing w:val="-18"/>
                              </w:rPr>
                              <w:t xml:space="preserve"> specifications </w:t>
                            </w:r>
                            <w:r>
                              <w:rPr>
                                <w:rFonts w:hint="eastAsia" w:ascii="Times New Roman"/>
                                <w:spacing w:val="-18"/>
                                <w:lang w:val="en-US" w:eastAsia="zh-CN"/>
                              </w:rPr>
                              <w:t xml:space="preserve"> </w:t>
                            </w:r>
                            <w:r>
                              <w:rPr>
                                <w:rFonts w:ascii="Times New Roman"/>
                                <w:spacing w:val="-18"/>
                              </w:rPr>
                              <w:t xml:space="preserve">for </w:t>
                            </w:r>
                            <w:r>
                              <w:rPr>
                                <w:rFonts w:hint="eastAsia" w:ascii="Times New Roman"/>
                                <w:spacing w:val="-18"/>
                                <w:lang w:val="en-US" w:eastAsia="zh-CN"/>
                              </w:rPr>
                              <w:t xml:space="preserve"> </w:t>
                            </w:r>
                            <w:r>
                              <w:rPr>
                                <w:rFonts w:ascii="Times New Roman"/>
                                <w:spacing w:val="-18"/>
                              </w:rPr>
                              <w:t xml:space="preserve">effectiveness </w:t>
                            </w:r>
                            <w:r>
                              <w:rPr>
                                <w:rFonts w:hint="eastAsia" w:ascii="Times New Roman"/>
                                <w:spacing w:val="-18"/>
                                <w:lang w:val="en-US" w:eastAsia="zh-CN"/>
                              </w:rPr>
                              <w:t xml:space="preserve"> </w:t>
                            </w:r>
                            <w:r>
                              <w:rPr>
                                <w:rFonts w:ascii="Times New Roman"/>
                                <w:spacing w:val="-18"/>
                              </w:rPr>
                              <w:t>evaluation</w:t>
                            </w:r>
                            <w:r>
                              <w:rPr>
                                <w:rFonts w:hint="eastAsia" w:ascii="Times New Roman"/>
                                <w:spacing w:val="-18"/>
                              </w:rPr>
                              <w:t xml:space="preserve"> </w:t>
                            </w:r>
                            <w:r>
                              <w:rPr>
                                <w:rFonts w:hint="eastAsia" w:ascii="Times New Roman"/>
                                <w:spacing w:val="-18"/>
                                <w:lang w:val="en-US" w:eastAsia="zh-CN"/>
                              </w:rPr>
                              <w:t xml:space="preserve"> </w:t>
                            </w:r>
                            <w:r>
                              <w:rPr>
                                <w:rFonts w:ascii="Times New Roman"/>
                                <w:spacing w:val="-18"/>
                              </w:rPr>
                              <w:t xml:space="preserve">of </w:t>
                            </w:r>
                            <w:r>
                              <w:rPr>
                                <w:rFonts w:hint="eastAsia" w:ascii="Times New Roman"/>
                                <w:spacing w:val="-18"/>
                                <w:lang w:val="en-US" w:eastAsia="zh-CN"/>
                              </w:rPr>
                              <w:t xml:space="preserve"> </w:t>
                            </w:r>
                            <w:r>
                              <w:rPr>
                                <w:rFonts w:ascii="Times New Roman"/>
                                <w:spacing w:val="-18"/>
                              </w:rPr>
                              <w:t>pesticide</w:t>
                            </w:r>
                            <w:r>
                              <w:rPr>
                                <w:rFonts w:hint="eastAsia" w:ascii="Times New Roman"/>
                                <w:spacing w:val="-18"/>
                              </w:rPr>
                              <w:t>s</w:t>
                            </w:r>
                            <w:r>
                              <w:rPr>
                                <w:rFonts w:ascii="Times New Roman"/>
                                <w:spacing w:val="-18"/>
                              </w:rPr>
                              <w:t xml:space="preserve"> </w:t>
                            </w:r>
                            <w:r>
                              <w:rPr>
                                <w:rFonts w:hint="eastAsia" w:ascii="Times New Roman"/>
                                <w:spacing w:val="-18"/>
                                <w:lang w:val="en-US" w:eastAsia="zh-CN"/>
                              </w:rPr>
                              <w:t xml:space="preserve"> </w:t>
                            </w:r>
                            <w:r>
                              <w:rPr>
                                <w:rFonts w:ascii="Times New Roman"/>
                                <w:spacing w:val="-18"/>
                              </w:rPr>
                              <w:t xml:space="preserve">for </w:t>
                            </w:r>
                            <w:r>
                              <w:rPr>
                                <w:rFonts w:hint="eastAsia" w:ascii="Times New Roman"/>
                                <w:spacing w:val="-18"/>
                                <w:lang w:val="en-US" w:eastAsia="zh-CN"/>
                              </w:rPr>
                              <w:t xml:space="preserve"> </w:t>
                            </w:r>
                            <w:r>
                              <w:rPr>
                                <w:rFonts w:ascii="Times New Roman"/>
                                <w:spacing w:val="-18"/>
                              </w:rPr>
                              <w:t>controlling</w:t>
                            </w:r>
                          </w:p>
                          <w:p>
                            <w:pPr>
                              <w:pStyle w:val="3"/>
                              <w:spacing w:before="156" w:beforeLines="50" w:line="400" w:lineRule="exact"/>
                              <w:jc w:val="center"/>
                              <w:rPr>
                                <w:rFonts w:ascii="Times New Roman"/>
                                <w:b/>
                                <w:bCs/>
                              </w:rPr>
                            </w:pPr>
                            <w:r>
                              <w:rPr>
                                <w:rFonts w:ascii="Times New Roman"/>
                                <w:spacing w:val="-18"/>
                              </w:rPr>
                              <w:t>Wheat</w:t>
                            </w:r>
                            <w:r>
                              <w:rPr>
                                <w:rFonts w:hint="eastAsia" w:ascii="Times New Roman"/>
                                <w:spacing w:val="-18"/>
                                <w:lang w:val="en-US" w:eastAsia="zh-CN"/>
                              </w:rPr>
                              <w:t xml:space="preserve"> </w:t>
                            </w:r>
                            <w:r>
                              <w:rPr>
                                <w:rFonts w:ascii="Times New Roman"/>
                                <w:spacing w:val="-18"/>
                              </w:rPr>
                              <w:t xml:space="preserve"> diseases and </w:t>
                            </w:r>
                            <w:r>
                              <w:rPr>
                                <w:rFonts w:hint="eastAsia" w:ascii="Times New Roman"/>
                                <w:spacing w:val="-18"/>
                                <w:lang w:val="en-US" w:eastAsia="zh-CN"/>
                              </w:rPr>
                              <w:t xml:space="preserve"> </w:t>
                            </w:r>
                            <w:r>
                              <w:rPr>
                                <w:rFonts w:ascii="Times New Roman"/>
                                <w:spacing w:val="-18"/>
                              </w:rPr>
                              <w:t>insects</w:t>
                            </w:r>
                          </w:p>
                          <w:p>
                            <w:pPr>
                              <w:pStyle w:val="33"/>
                            </w:pPr>
                          </w:p>
                          <w:p>
                            <w:pPr>
                              <w:pStyle w:val="32"/>
                            </w:pPr>
                          </w:p>
                          <w:p>
                            <w:pPr>
                              <w:pStyle w:val="35"/>
                              <w:rPr>
                                <w:rFonts w:ascii="Times New Roman"/>
                              </w:rPr>
                            </w:pPr>
                            <w:r>
                              <w:rPr>
                                <w:rFonts w:ascii="Times New Roman"/>
                                <w:sz w:val="36"/>
                                <w:szCs w:val="36"/>
                              </w:rPr>
                              <w:t>（</w:t>
                            </w:r>
                            <w:r>
                              <w:rPr>
                                <w:rFonts w:hint="eastAsia" w:ascii="Times New Roman"/>
                                <w:sz w:val="36"/>
                                <w:szCs w:val="36"/>
                              </w:rPr>
                              <w:t>报批</w:t>
                            </w:r>
                            <w:r>
                              <w:rPr>
                                <w:rFonts w:ascii="Times New Roman"/>
                                <w:sz w:val="36"/>
                                <w:szCs w:val="36"/>
                              </w:rPr>
                              <w:t>稿）</w:t>
                            </w:r>
                          </w:p>
                          <w:p>
                            <w:pPr>
                              <w:pStyle w:val="31"/>
                            </w:pPr>
                          </w:p>
                        </w:txbxContent>
                      </wps:txbx>
                      <wps:bodyPr rot="0" vert="horz" wrap="square" lIns="0" tIns="0" rIns="0" bIns="0" anchor="t" anchorCtr="0" upright="1">
                        <a:noAutofit/>
                      </wps:bodyPr>
                    </wps:wsp>
                  </a:graphicData>
                </a:graphic>
              </wp:anchor>
            </w:drawing>
          </mc:Choice>
          <mc:Fallback>
            <w:pict>
              <v:shape id="_x0000_s1026" o:spid="_x0000_s1026" o:spt="202" type="#_x0000_t202" style="position:absolute;left:0pt;margin-left:0pt;margin-top:286.25pt;height:368.6pt;width:470pt;mso-position-horizontal-relative:margin;mso-position-vertical-relative:margin;z-index:251663360;mso-width-relative:page;mso-height-relative:page;" fillcolor="#FFFFFF" filled="t" stroked="f" coordsize="21600,21600" o:gfxdata="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">
                <v:fill on="t" focussize="0,0"/>
                <v:stroke on="f"/>
                <v:imagedata o:title=""/>
                <o:lock v:ext="edit" aspectratio="f"/>
                <v:textbox inset="0mm,0mm,0mm,0mm">
                  <w:txbxContent>
                    <w:p>
                      <w:pPr>
                        <w:pStyle w:val="3"/>
                        <w:keepNext w:val="0"/>
                        <w:keepLines w:val="0"/>
                        <w:pageBreakBefore w:val="0"/>
                        <w:widowControl w:val="0"/>
                        <w:kinsoku/>
                        <w:wordWrap/>
                        <w:overflowPunct/>
                        <w:topLinePunct w:val="0"/>
                        <w:bidi w:val="0"/>
                        <w:adjustRightInd/>
                        <w:snapToGrid/>
                        <w:spacing w:line="560" w:lineRule="exact"/>
                        <w:jc w:val="center"/>
                        <w:textAlignment w:val="auto"/>
                        <w:rPr>
                          <w:rFonts w:eastAsia="黑体" w:asciiTheme="minorHAnsi" w:hAnsiTheme="minorHAnsi" w:cstheme="minorBidi"/>
                          <w:spacing w:val="24"/>
                          <w:sz w:val="52"/>
                          <w:szCs w:val="52"/>
                        </w:rPr>
                      </w:pPr>
                      <w:r>
                        <w:rPr>
                          <w:rFonts w:hint="eastAsia" w:eastAsia="黑体" w:asciiTheme="minorHAnsi" w:hAnsiTheme="minorHAnsi" w:cstheme="minorBidi"/>
                          <w:spacing w:val="24"/>
                          <w:sz w:val="52"/>
                          <w:szCs w:val="52"/>
                        </w:rPr>
                        <w:t>小麦病虫害防治药剂有效性评价技术规范</w:t>
                      </w:r>
                    </w:p>
                    <w:p>
                      <w:pPr>
                        <w:pStyle w:val="3"/>
                        <w:spacing w:before="156" w:beforeLines="50" w:line="400" w:lineRule="exact"/>
                        <w:jc w:val="center"/>
                        <w:rPr>
                          <w:rFonts w:ascii="Times New Roman"/>
                          <w:spacing w:val="-18"/>
                        </w:rPr>
                      </w:pPr>
                      <w:r>
                        <w:rPr>
                          <w:rFonts w:ascii="Times New Roman"/>
                          <w:spacing w:val="-18"/>
                        </w:rPr>
                        <w:t>Technical</w:t>
                      </w:r>
                      <w:r>
                        <w:rPr>
                          <w:rFonts w:hint="eastAsia" w:ascii="Times New Roman"/>
                          <w:spacing w:val="-18"/>
                          <w:lang w:val="en-US" w:eastAsia="zh-CN"/>
                        </w:rPr>
                        <w:t xml:space="preserve"> </w:t>
                      </w:r>
                      <w:r>
                        <w:rPr>
                          <w:rFonts w:ascii="Times New Roman"/>
                          <w:spacing w:val="-18"/>
                        </w:rPr>
                        <w:t xml:space="preserve"> specifications </w:t>
                      </w:r>
                      <w:r>
                        <w:rPr>
                          <w:rFonts w:hint="eastAsia" w:ascii="Times New Roman"/>
                          <w:spacing w:val="-18"/>
                          <w:lang w:val="en-US" w:eastAsia="zh-CN"/>
                        </w:rPr>
                        <w:t xml:space="preserve"> </w:t>
                      </w:r>
                      <w:r>
                        <w:rPr>
                          <w:rFonts w:ascii="Times New Roman"/>
                          <w:spacing w:val="-18"/>
                        </w:rPr>
                        <w:t xml:space="preserve">for </w:t>
                      </w:r>
                      <w:r>
                        <w:rPr>
                          <w:rFonts w:hint="eastAsia" w:ascii="Times New Roman"/>
                          <w:spacing w:val="-18"/>
                          <w:lang w:val="en-US" w:eastAsia="zh-CN"/>
                        </w:rPr>
                        <w:t xml:space="preserve"> </w:t>
                      </w:r>
                      <w:r>
                        <w:rPr>
                          <w:rFonts w:ascii="Times New Roman"/>
                          <w:spacing w:val="-18"/>
                        </w:rPr>
                        <w:t xml:space="preserve">effectiveness </w:t>
                      </w:r>
                      <w:r>
                        <w:rPr>
                          <w:rFonts w:hint="eastAsia" w:ascii="Times New Roman"/>
                          <w:spacing w:val="-18"/>
                          <w:lang w:val="en-US" w:eastAsia="zh-CN"/>
                        </w:rPr>
                        <w:t xml:space="preserve"> </w:t>
                      </w:r>
                      <w:r>
                        <w:rPr>
                          <w:rFonts w:ascii="Times New Roman"/>
                          <w:spacing w:val="-18"/>
                        </w:rPr>
                        <w:t>evaluation</w:t>
                      </w:r>
                      <w:r>
                        <w:rPr>
                          <w:rFonts w:hint="eastAsia" w:ascii="Times New Roman"/>
                          <w:spacing w:val="-18"/>
                        </w:rPr>
                        <w:t xml:space="preserve"> </w:t>
                      </w:r>
                      <w:r>
                        <w:rPr>
                          <w:rFonts w:hint="eastAsia" w:ascii="Times New Roman"/>
                          <w:spacing w:val="-18"/>
                          <w:lang w:val="en-US" w:eastAsia="zh-CN"/>
                        </w:rPr>
                        <w:t xml:space="preserve"> </w:t>
                      </w:r>
                      <w:r>
                        <w:rPr>
                          <w:rFonts w:ascii="Times New Roman"/>
                          <w:spacing w:val="-18"/>
                        </w:rPr>
                        <w:t xml:space="preserve">of </w:t>
                      </w:r>
                      <w:r>
                        <w:rPr>
                          <w:rFonts w:hint="eastAsia" w:ascii="Times New Roman"/>
                          <w:spacing w:val="-18"/>
                          <w:lang w:val="en-US" w:eastAsia="zh-CN"/>
                        </w:rPr>
                        <w:t xml:space="preserve"> </w:t>
                      </w:r>
                      <w:r>
                        <w:rPr>
                          <w:rFonts w:ascii="Times New Roman"/>
                          <w:spacing w:val="-18"/>
                        </w:rPr>
                        <w:t>pesticide</w:t>
                      </w:r>
                      <w:r>
                        <w:rPr>
                          <w:rFonts w:hint="eastAsia" w:ascii="Times New Roman"/>
                          <w:spacing w:val="-18"/>
                        </w:rPr>
                        <w:t>s</w:t>
                      </w:r>
                      <w:r>
                        <w:rPr>
                          <w:rFonts w:ascii="Times New Roman"/>
                          <w:spacing w:val="-18"/>
                        </w:rPr>
                        <w:t xml:space="preserve"> </w:t>
                      </w:r>
                      <w:r>
                        <w:rPr>
                          <w:rFonts w:hint="eastAsia" w:ascii="Times New Roman"/>
                          <w:spacing w:val="-18"/>
                          <w:lang w:val="en-US" w:eastAsia="zh-CN"/>
                        </w:rPr>
                        <w:t xml:space="preserve"> </w:t>
                      </w:r>
                      <w:r>
                        <w:rPr>
                          <w:rFonts w:ascii="Times New Roman"/>
                          <w:spacing w:val="-18"/>
                        </w:rPr>
                        <w:t xml:space="preserve">for </w:t>
                      </w:r>
                      <w:r>
                        <w:rPr>
                          <w:rFonts w:hint="eastAsia" w:ascii="Times New Roman"/>
                          <w:spacing w:val="-18"/>
                          <w:lang w:val="en-US" w:eastAsia="zh-CN"/>
                        </w:rPr>
                        <w:t xml:space="preserve"> </w:t>
                      </w:r>
                      <w:r>
                        <w:rPr>
                          <w:rFonts w:ascii="Times New Roman"/>
                          <w:spacing w:val="-18"/>
                        </w:rPr>
                        <w:t>controlling</w:t>
                      </w:r>
                    </w:p>
                    <w:p>
                      <w:pPr>
                        <w:pStyle w:val="3"/>
                        <w:spacing w:before="156" w:beforeLines="50" w:line="400" w:lineRule="exact"/>
                        <w:jc w:val="center"/>
                        <w:rPr>
                          <w:rFonts w:ascii="Times New Roman"/>
                          <w:b/>
                          <w:bCs/>
                        </w:rPr>
                      </w:pPr>
                      <w:r>
                        <w:rPr>
                          <w:rFonts w:ascii="Times New Roman"/>
                          <w:spacing w:val="-18"/>
                        </w:rPr>
                        <w:t>Wheat</w:t>
                      </w:r>
                      <w:r>
                        <w:rPr>
                          <w:rFonts w:hint="eastAsia" w:ascii="Times New Roman"/>
                          <w:spacing w:val="-18"/>
                          <w:lang w:val="en-US" w:eastAsia="zh-CN"/>
                        </w:rPr>
                        <w:t xml:space="preserve"> </w:t>
                      </w:r>
                      <w:r>
                        <w:rPr>
                          <w:rFonts w:ascii="Times New Roman"/>
                          <w:spacing w:val="-18"/>
                        </w:rPr>
                        <w:t xml:space="preserve"> diseases and </w:t>
                      </w:r>
                      <w:r>
                        <w:rPr>
                          <w:rFonts w:hint="eastAsia" w:ascii="Times New Roman"/>
                          <w:spacing w:val="-18"/>
                          <w:lang w:val="en-US" w:eastAsia="zh-CN"/>
                        </w:rPr>
                        <w:t xml:space="preserve"> </w:t>
                      </w:r>
                      <w:r>
                        <w:rPr>
                          <w:rFonts w:ascii="Times New Roman"/>
                          <w:spacing w:val="-18"/>
                        </w:rPr>
                        <w:t>insects</w:t>
                      </w:r>
                    </w:p>
                    <w:p>
                      <w:pPr>
                        <w:pStyle w:val="33"/>
                      </w:pPr>
                    </w:p>
                    <w:p>
                      <w:pPr>
                        <w:pStyle w:val="32"/>
                      </w:pPr>
                    </w:p>
                    <w:p>
                      <w:pPr>
                        <w:pStyle w:val="35"/>
                        <w:rPr>
                          <w:rFonts w:ascii="Times New Roman"/>
                        </w:rPr>
                      </w:pPr>
                      <w:r>
                        <w:rPr>
                          <w:rFonts w:ascii="Times New Roman"/>
                          <w:sz w:val="36"/>
                          <w:szCs w:val="36"/>
                        </w:rPr>
                        <w:t>（</w:t>
                      </w:r>
                      <w:r>
                        <w:rPr>
                          <w:rFonts w:hint="eastAsia" w:ascii="Times New Roman"/>
                          <w:sz w:val="36"/>
                          <w:szCs w:val="36"/>
                        </w:rPr>
                        <w:t>报批</w:t>
                      </w:r>
                      <w:r>
                        <w:rPr>
                          <w:rFonts w:ascii="Times New Roman"/>
                          <w:sz w:val="36"/>
                          <w:szCs w:val="36"/>
                        </w:rPr>
                        <w:t>稿）</w:t>
                      </w:r>
                    </w:p>
                    <w:p>
                      <w:pPr>
                        <w:pStyle w:val="31"/>
                      </w:pPr>
                    </w:p>
                  </w:txbxContent>
                </v:textbox>
                <w10:anchorlock/>
              </v:shape>
            </w:pict>
          </mc:Fallback>
        </mc:AlternateContent>
      </w:r>
      <w:r>
        <w:rPr>
          <w:sz w:val="21"/>
        </w:rPr>
        <mc:AlternateContent>
          <mc:Choice Requires="wps">
            <w:drawing>
              <wp:anchor distT="0" distB="0" distL="114300" distR="114300" simplePos="0" relativeHeight="251662336" behindDoc="0" locked="1" layoutInCell="1" allowOverlap="1">
                <wp:simplePos x="0" y="0"/>
                <wp:positionH relativeFrom="margin">
                  <wp:posOffset>0</wp:posOffset>
                </wp:positionH>
                <wp:positionV relativeFrom="margin">
                  <wp:posOffset>1401445</wp:posOffset>
                </wp:positionV>
                <wp:extent cx="5802630" cy="860425"/>
                <wp:effectExtent l="0" t="0" r="2540" b="0"/>
                <wp:wrapNone/>
                <wp:docPr id="5" name="文本框 5"/>
                <wp:cNvGraphicFramePr/>
                <a:graphic xmlns:a="http://schemas.openxmlformats.org/drawingml/2006/main">
                  <a:graphicData uri="http://schemas.microsoft.com/office/word/2010/wordprocessingShape">
                    <wps:wsp>
                      <wps:cNvSpPr txBox="1">
                        <a:spLocks noChangeArrowheads="1"/>
                      </wps:cNvSpPr>
                      <wps:spPr bwMode="auto">
                        <a:xfrm>
                          <a:off x="0" y="0"/>
                          <a:ext cx="5802630" cy="860425"/>
                        </a:xfrm>
                        <a:prstGeom prst="rect">
                          <a:avLst/>
                        </a:prstGeom>
                        <a:solidFill>
                          <a:srgbClr val="FFFFFF"/>
                        </a:solidFill>
                        <a:ln>
                          <a:noFill/>
                        </a:ln>
                      </wps:spPr>
                      <wps:txbx>
                        <w:txbxContent>
                          <w:p>
                            <w:pPr>
                              <w:pStyle w:val="30"/>
                            </w:pPr>
                            <w:r>
                              <w:t xml:space="preserve">DB32/ </w:t>
                            </w:r>
                            <w:r>
                              <w:rPr>
                                <w:rFonts w:hint="eastAsia"/>
                              </w:rPr>
                              <w:t xml:space="preserve"> </w:t>
                            </w:r>
                            <w:r>
                              <w:t>××××—××××</w:t>
                            </w:r>
                          </w:p>
                        </w:txbxContent>
                      </wps:txbx>
                      <wps:bodyPr rot="0" vert="horz" wrap="square" lIns="0" tIns="0" rIns="0" bIns="0" anchor="t" anchorCtr="0" upright="1">
                        <a:noAutofit/>
                      </wps:bodyPr>
                    </wps:wsp>
                  </a:graphicData>
                </a:graphic>
              </wp:anchor>
            </w:drawing>
          </mc:Choice>
          <mc:Fallback>
            <w:pict>
              <v:shape id="_x0000_s1026" o:spid="_x0000_s1026" o:spt="202" type="#_x0000_t202" style="position:absolute;left:0pt;margin-left:0pt;margin-top:110.35pt;height:67.75pt;width:456.9pt;mso-position-horizontal-relative:margin;mso-position-vertical-relative:margin;z-index:251662336;mso-width-relative:page;mso-height-relative:page;" fillcolor="#FFFFFF" filled="t" stroked="f" coordsize="21600,21600" o:gfxdata="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">
                <v:fill on="t" focussize="0,0"/>
                <v:stroke on="f"/>
                <v:imagedata o:title=""/>
                <o:lock v:ext="edit" aspectratio="f"/>
                <v:textbox inset="0mm,0mm,0mm,0mm">
                  <w:txbxContent>
                    <w:p>
                      <w:pPr>
                        <w:pStyle w:val="30"/>
                      </w:pPr>
                      <w:r>
                        <w:t xml:space="preserve">DB32/ </w:t>
                      </w:r>
                      <w:r>
                        <w:rPr>
                          <w:rFonts w:hint="eastAsia"/>
                        </w:rPr>
                        <w:t xml:space="preserve"> </w:t>
                      </w:r>
                      <w:r>
                        <w:t>××××—××××</w:t>
                      </w:r>
                    </w:p>
                  </w:txbxContent>
                </v:textbox>
                <w10:anchorlock/>
              </v:shape>
            </w:pict>
          </mc:Fallback>
        </mc:AlternateContent>
      </w:r>
      <w:r>
        <w:rPr>
          <w:sz w:val="21"/>
        </w:rPr>
        <mc:AlternateContent>
          <mc:Choice Requires="wps">
            <w:drawing>
              <wp:anchor distT="0" distB="0" distL="114300" distR="114300" simplePos="0" relativeHeight="251661312" behindDoc="0" locked="1" layoutInCell="1" allowOverlap="1">
                <wp:simplePos x="0" y="0"/>
                <wp:positionH relativeFrom="margin">
                  <wp:posOffset>2549525</wp:posOffset>
                </wp:positionH>
                <wp:positionV relativeFrom="margin">
                  <wp:posOffset>107315</wp:posOffset>
                </wp:positionV>
                <wp:extent cx="3175000" cy="720090"/>
                <wp:effectExtent l="1905" t="635" r="4445" b="3175"/>
                <wp:wrapNone/>
                <wp:docPr id="4" name="文本框 4"/>
                <wp:cNvGraphicFramePr/>
                <a:graphic xmlns:a="http://schemas.openxmlformats.org/drawingml/2006/main">
                  <a:graphicData uri="http://schemas.microsoft.com/office/word/2010/wordprocessingShape">
                    <wps:wsp>
                      <wps:cNvSpPr txBox="1">
                        <a:spLocks noChangeArrowheads="1"/>
                      </wps:cNvSpPr>
                      <wps:spPr bwMode="auto">
                        <a:xfrm>
                          <a:off x="0" y="0"/>
                          <a:ext cx="3175000" cy="720090"/>
                        </a:xfrm>
                        <a:prstGeom prst="rect">
                          <a:avLst/>
                        </a:prstGeom>
                        <a:solidFill>
                          <a:srgbClr val="FFFFFF"/>
                        </a:solidFill>
                        <a:ln>
                          <a:noFill/>
                        </a:ln>
                      </wps:spPr>
                      <wps:txbx>
                        <w:txbxContent>
                          <w:p>
                            <w:pPr>
                              <w:pStyle w:val="18"/>
                            </w:pPr>
                            <w:r>
                              <w:t>DB32</w:t>
                            </w:r>
                          </w:p>
                        </w:txbxContent>
                      </wps:txbx>
                      <wps:bodyPr rot="0" vert="horz" wrap="square" lIns="0" tIns="0" rIns="0" bIns="0" anchor="t" anchorCtr="0" upright="1">
                        <a:noAutofit/>
                      </wps:bodyPr>
                    </wps:wsp>
                  </a:graphicData>
                </a:graphic>
              </wp:anchor>
            </w:drawing>
          </mc:Choice>
          <mc:Fallback>
            <w:pict>
              <v:shape id="_x0000_s1026" o:spid="_x0000_s1026" o:spt="202" type="#_x0000_t202" style="position:absolute;left:0pt;margin-left:200.75pt;margin-top:8.45pt;height:56.7pt;width:250pt;mso-position-horizontal-relative:margin;mso-position-vertical-relative:margin;z-index:251661312;mso-width-relative:page;mso-height-relative:page;" fillcolor="#FFFFFF" filled="t" stroked="f" coordsize="21600,21600" o:gfxdata="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">
                <v:fill on="t" focussize="0,0"/>
                <v:stroke on="f"/>
                <v:imagedata o:title=""/>
                <o:lock v:ext="edit" aspectratio="f"/>
                <v:textbox inset="0mm,0mm,0mm,0mm">
                  <w:txbxContent>
                    <w:p>
                      <w:pPr>
                        <w:pStyle w:val="18"/>
                      </w:pPr>
                      <w:r>
                        <w:t>DB32</w:t>
                      </w:r>
                    </w:p>
                  </w:txbxContent>
                </v:textbox>
                <w10:anchorlock/>
              </v:shape>
            </w:pict>
          </mc:Fallback>
        </mc:AlternateContent>
      </w:r>
      <w:r>
        <w:rPr>
          <w:sz w:val="21"/>
        </w:rPr>
        <mc:AlternateContent>
          <mc:Choice Requires="wps">
            <w:drawing>
              <wp:anchor distT="0" distB="0" distL="114300" distR="114300" simplePos="0" relativeHeight="251660288" behindDoc="0" locked="1" layoutInCell="1" allowOverlap="1">
                <wp:simplePos x="0" y="0"/>
                <wp:positionH relativeFrom="margin">
                  <wp:posOffset>0</wp:posOffset>
                </wp:positionH>
                <wp:positionV relativeFrom="margin">
                  <wp:posOffset>1010920</wp:posOffset>
                </wp:positionV>
                <wp:extent cx="6120130" cy="391160"/>
                <wp:effectExtent l="0" t="0" r="0" b="0"/>
                <wp:wrapNone/>
                <wp:docPr id="3" name="文本框 3"/>
                <wp:cNvGraphicFramePr/>
                <a:graphic xmlns:a="http://schemas.openxmlformats.org/drawingml/2006/main">
                  <a:graphicData uri="http://schemas.microsoft.com/office/word/2010/wordprocessingShape">
                    <wps:wsp>
                      <wps:cNvSpPr txBox="1">
                        <a:spLocks noChangeArrowheads="1"/>
                      </wps:cNvSpPr>
                      <wps:spPr bwMode="auto">
                        <a:xfrm>
                          <a:off x="0" y="0"/>
                          <a:ext cx="6120130" cy="391160"/>
                        </a:xfrm>
                        <a:prstGeom prst="rect">
                          <a:avLst/>
                        </a:prstGeom>
                        <a:solidFill>
                          <a:srgbClr val="FFFFFF"/>
                        </a:solidFill>
                        <a:ln>
                          <a:noFill/>
                        </a:ln>
                      </wps:spPr>
                      <wps:txbx>
                        <w:txbxContent>
                          <w:p>
                            <w:pPr>
                              <w:pStyle w:val="37"/>
                            </w:pPr>
                            <w:r>
                              <w:rPr>
                                <w:rFonts w:hint="eastAsia"/>
                              </w:rPr>
                              <w:t>江苏省地方标准</w:t>
                            </w:r>
                          </w:p>
                        </w:txbxContent>
                      </wps:txbx>
                      <wps:bodyPr rot="0" vert="horz" wrap="square" lIns="0" tIns="0" rIns="0" bIns="0" anchor="t" anchorCtr="0" upright="1">
                        <a:noAutofit/>
                      </wps:bodyPr>
                    </wps:wsp>
                  </a:graphicData>
                </a:graphic>
              </wp:anchor>
            </w:drawing>
          </mc:Choice>
          <mc:Fallback>
            <w:pict>
              <v:shape id="_x0000_s1026" o:spid="_x0000_s1026" o:spt="202" type="#_x0000_t202" style="position:absolute;left:0pt;margin-left:0pt;margin-top:79.6pt;height:30.8pt;width:481.9pt;mso-position-horizontal-relative:margin;mso-position-vertical-relative:margin;z-index:251660288;mso-width-relative:page;mso-height-relative:page;" fillcolor="#FFFFFF" filled="t" stroked="f" coordsize="21600,21600" o:gfxdata="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">
                <v:fill on="t" focussize="0,0"/>
                <v:stroke on="f"/>
                <v:imagedata o:title=""/>
                <o:lock v:ext="edit" aspectratio="f"/>
                <v:textbox inset="0mm,0mm,0mm,0mm">
                  <w:txbxContent>
                    <w:p>
                      <w:pPr>
                        <w:pStyle w:val="37"/>
                      </w:pPr>
                      <w:r>
                        <w:rPr>
                          <w:rFonts w:hint="eastAsia"/>
                        </w:rPr>
                        <w:t>江苏省地方标准</w:t>
                      </w:r>
                    </w:p>
                  </w:txbxContent>
                </v:textbox>
                <w10:anchorlock/>
              </v:shape>
            </w:pict>
          </mc:Fallback>
        </mc:AlternateContent>
      </w:r>
      <w:r>
        <w:rPr>
          <w:sz w:val="21"/>
        </w:rPr>
        <mc:AlternateContent>
          <mc:Choice Requires="wps">
            <w:drawing>
              <wp:anchor distT="0" distB="0" distL="114300" distR="114300" simplePos="0" relativeHeight="251659264" behindDoc="0" locked="1" layoutInCell="1" allowOverlap="1">
                <wp:simplePos x="0" y="0"/>
                <wp:positionH relativeFrom="margin">
                  <wp:posOffset>-66675</wp:posOffset>
                </wp:positionH>
                <wp:positionV relativeFrom="margin">
                  <wp:posOffset>198120</wp:posOffset>
                </wp:positionV>
                <wp:extent cx="2540000" cy="657860"/>
                <wp:effectExtent l="0" t="0" r="0" b="3175"/>
                <wp:wrapNone/>
                <wp:docPr id="2" name="文本框 2"/>
                <wp:cNvGraphicFramePr/>
                <a:graphic xmlns:a="http://schemas.openxmlformats.org/drawingml/2006/main">
                  <a:graphicData uri="http://schemas.microsoft.com/office/word/2010/wordprocessingShape">
                    <wps:wsp>
                      <wps:cNvSpPr txBox="1">
                        <a:spLocks noChangeArrowheads="1"/>
                      </wps:cNvSpPr>
                      <wps:spPr bwMode="auto">
                        <a:xfrm>
                          <a:off x="0" y="0"/>
                          <a:ext cx="2540000" cy="657860"/>
                        </a:xfrm>
                        <a:prstGeom prst="rect">
                          <a:avLst/>
                        </a:prstGeom>
                        <a:solidFill>
                          <a:srgbClr val="FFFFFF"/>
                        </a:solidFill>
                        <a:ln>
                          <a:noFill/>
                        </a:ln>
                      </wps:spPr>
                      <wps:txbx>
                        <w:txbxContent>
                          <w:p>
                            <w:pPr>
                              <w:pStyle w:val="40"/>
                            </w:pPr>
                            <w:r>
                              <w:t>ICS</w:t>
                            </w:r>
                            <w:r>
                              <w:rPr>
                                <w:rFonts w:hint="eastAsia"/>
                              </w:rPr>
                              <w:t xml:space="preserve"> 65.020.30</w:t>
                            </w:r>
                          </w:p>
                          <w:p>
                            <w:pPr>
                              <w:pStyle w:val="40"/>
                            </w:pPr>
                            <w:r>
                              <w:rPr>
                                <w:rFonts w:hint="eastAsia"/>
                              </w:rPr>
                              <w:t xml:space="preserve">CCS </w:t>
                            </w:r>
                            <w:r>
                              <w:t>B</w:t>
                            </w:r>
                            <w:r>
                              <w:rPr>
                                <w:rFonts w:hint="eastAsia"/>
                              </w:rPr>
                              <w:t xml:space="preserve"> 16</w:t>
                            </w:r>
                          </w:p>
                        </w:txbxContent>
                      </wps:txbx>
                      <wps:bodyPr rot="0" vert="horz" wrap="square" lIns="0" tIns="0" rIns="0" bIns="0" anchor="t" anchorCtr="0" upright="1">
                        <a:noAutofit/>
                      </wps:bodyPr>
                    </wps:wsp>
                  </a:graphicData>
                </a:graphic>
              </wp:anchor>
            </w:drawing>
          </mc:Choice>
          <mc:Fallback>
            <w:pict>
              <v:shape id="_x0000_s1026" o:spid="_x0000_s1026" o:spt="202" type="#_x0000_t202" style="position:absolute;left:0pt;margin-left:-5.25pt;margin-top:15.6pt;height:51.8pt;width:200pt;mso-position-horizontal-relative:margin;mso-position-vertical-relative:margin;z-index:251659264;mso-width-relative:page;mso-height-relative:page;" fillcolor="#FFFFFF" filled="t" stroked="f" coordsize="21600,21600" o:gfxdata="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">
                <v:fill on="t" focussize="0,0"/>
                <v:stroke on="f"/>
                <v:imagedata o:title=""/>
                <o:lock v:ext="edit" aspectratio="f"/>
                <v:textbox inset="0mm,0mm,0mm,0mm">
                  <w:txbxContent>
                    <w:p>
                      <w:pPr>
                        <w:pStyle w:val="40"/>
                      </w:pPr>
                      <w:r>
                        <w:t>ICS</w:t>
                      </w:r>
                      <w:r>
                        <w:rPr>
                          <w:rFonts w:hint="eastAsia"/>
                        </w:rPr>
                        <w:t xml:space="preserve"> 65.020.30</w:t>
                      </w:r>
                    </w:p>
                    <w:p>
                      <w:pPr>
                        <w:pStyle w:val="40"/>
                      </w:pPr>
                      <w:r>
                        <w:rPr>
                          <w:rFonts w:hint="eastAsia"/>
                        </w:rPr>
                        <w:t xml:space="preserve">CCS </w:t>
                      </w:r>
                      <w:r>
                        <w:t>B</w:t>
                      </w:r>
                      <w:r>
                        <w:rPr>
                          <w:rFonts w:hint="eastAsia"/>
                        </w:rPr>
                        <w:t xml:space="preserve"> 16</w:t>
                      </w:r>
                    </w:p>
                  </w:txbxContent>
                </v:textbox>
                <w10:anchorlock/>
              </v:shape>
            </w:pict>
          </mc:Fallback>
        </mc:AlternateContent>
      </w:r>
    </w:p>
    <w:bookmarkEnd w:id="0"/>
    <w:p>
      <w:pPr>
        <w:pStyle w:val="22"/>
        <w:rPr>
          <w:rFonts w:ascii="Times New Roman"/>
        </w:rPr>
      </w:pPr>
      <w:bookmarkStart w:id="1" w:name="_Toc471919404"/>
      <w:bookmarkStart w:id="2" w:name="_Toc6392293"/>
      <w:bookmarkStart w:id="3" w:name="_Toc6391527"/>
      <w:bookmarkStart w:id="4" w:name="SectionMark2"/>
      <w:r>
        <w:rPr>
          <w:rFonts w:ascii="Times New Roman"/>
        </w:rPr>
        <w:t>前</w:t>
      </w:r>
      <w:bookmarkStart w:id="5" w:name="BKQY"/>
      <w:r>
        <w:rPr>
          <w:rFonts w:ascii="Times New Roman"/>
        </w:rPr>
        <w:t xml:space="preserve">    言</w:t>
      </w:r>
      <w:bookmarkEnd w:id="1"/>
      <w:bookmarkEnd w:id="2"/>
      <w:bookmarkEnd w:id="3"/>
      <w:bookmarkEnd w:id="5"/>
    </w:p>
    <w:p>
      <w:pPr>
        <w:spacing w:line="320" w:lineRule="exact"/>
        <w:ind w:firstLine="420" w:firstLineChars="200"/>
        <w:rPr>
          <w:rFonts w:ascii="Times New Roman" w:hAnsi="Times New Roman" w:cs="Times New Roman"/>
          <w:szCs w:val="20"/>
        </w:rPr>
      </w:pPr>
      <w:r>
        <w:rPr>
          <w:rFonts w:ascii="Times New Roman" w:hAnsi="Times New Roman" w:cs="Times New Roman"/>
          <w:szCs w:val="20"/>
        </w:rPr>
        <w:t>本文件按照GB/T</w:t>
      </w:r>
      <w:r>
        <w:rPr>
          <w:rFonts w:hint="eastAsia" w:ascii="Times New Roman" w:hAnsi="Times New Roman" w:cs="Times New Roman"/>
          <w:szCs w:val="20"/>
        </w:rPr>
        <w:t xml:space="preserve"> </w:t>
      </w:r>
      <w:r>
        <w:rPr>
          <w:rFonts w:ascii="Times New Roman" w:hAnsi="Times New Roman" w:cs="Times New Roman"/>
          <w:szCs w:val="20"/>
        </w:rPr>
        <w:t>1.1-20</w:t>
      </w:r>
      <w:r>
        <w:rPr>
          <w:rFonts w:hint="eastAsia" w:ascii="Times New Roman" w:hAnsi="Times New Roman" w:cs="Times New Roman"/>
          <w:szCs w:val="20"/>
        </w:rPr>
        <w:t>20</w:t>
      </w:r>
      <w:r>
        <w:rPr>
          <w:rFonts w:ascii="Times New Roman" w:hAnsi="Times New Roman" w:cs="Times New Roman"/>
          <w:szCs w:val="20"/>
        </w:rPr>
        <w:t>《标准化工作导则 第1部分：标准化文件的结构和起草规则》的规定起草。</w:t>
      </w:r>
    </w:p>
    <w:p>
      <w:pPr>
        <w:pStyle w:val="23"/>
        <w:tabs>
          <w:tab w:val="center" w:pos="4201"/>
          <w:tab w:val="right" w:leader="dot" w:pos="9298"/>
        </w:tabs>
        <w:rPr>
          <w:rFonts w:hint="eastAsia" w:ascii="Times New Roman"/>
        </w:rPr>
      </w:pPr>
      <w:r>
        <w:rPr>
          <w:rFonts w:hint="eastAsia" w:ascii="Times New Roman"/>
          <w:lang w:val="en-US" w:eastAsia="zh-CN"/>
        </w:rPr>
        <w:t>请注意</w:t>
      </w:r>
      <w:r>
        <w:rPr>
          <w:rFonts w:hint="eastAsia" w:ascii="Times New Roman"/>
        </w:rPr>
        <w:t>本文件的某些内容可能涉及专利。本文件的发布机构不承担识别专利的责任。</w:t>
      </w:r>
    </w:p>
    <w:p>
      <w:pPr>
        <w:ind w:firstLine="420"/>
        <w:rPr>
          <w:rFonts w:ascii="Times New Roman" w:hAnsi="Times New Roman" w:cs="Times New Roman"/>
          <w:szCs w:val="20"/>
        </w:rPr>
      </w:pPr>
      <w:r>
        <w:rPr>
          <w:rFonts w:ascii="Times New Roman" w:hAnsi="Times New Roman" w:cs="Times New Roman"/>
          <w:szCs w:val="20"/>
        </w:rPr>
        <w:t>本文件由江苏省农作物标准化技术委员会</w:t>
      </w:r>
      <w:r>
        <w:rPr>
          <w:rFonts w:hint="eastAsia" w:ascii="Times New Roman" w:hAnsi="Times New Roman" w:cs="Times New Roman"/>
          <w:szCs w:val="20"/>
          <w:lang w:val="en-US" w:eastAsia="zh-CN"/>
        </w:rPr>
        <w:t>提出并</w:t>
      </w:r>
      <w:r>
        <w:rPr>
          <w:rFonts w:ascii="Times New Roman" w:hAnsi="Times New Roman" w:cs="Times New Roman"/>
          <w:szCs w:val="20"/>
        </w:rPr>
        <w:t>归口。</w:t>
      </w:r>
    </w:p>
    <w:p>
      <w:pPr>
        <w:ind w:firstLine="420" w:firstLineChars="200"/>
        <w:rPr>
          <w:rFonts w:ascii="Times New Roman" w:hAnsi="Times New Roman" w:cs="Times New Roman"/>
          <w:szCs w:val="20"/>
        </w:rPr>
      </w:pPr>
      <w:r>
        <w:rPr>
          <w:rFonts w:ascii="Times New Roman" w:hAnsi="Times New Roman" w:cs="Times New Roman"/>
          <w:szCs w:val="20"/>
        </w:rPr>
        <w:t>本文件起草单位：江苏省植物保护植物检疫站</w:t>
      </w:r>
      <w:r>
        <w:rPr>
          <w:rFonts w:hint="eastAsia" w:ascii="Times New Roman" w:hAnsi="Times New Roman" w:cs="Times New Roman"/>
          <w:szCs w:val="20"/>
          <w:lang w:eastAsia="zh-CN"/>
        </w:rPr>
        <w:t>、</w:t>
      </w:r>
      <w:r>
        <w:rPr>
          <w:rFonts w:hint="eastAsia" w:ascii="Times New Roman" w:hAnsi="Times New Roman" w:cs="Times New Roman"/>
          <w:szCs w:val="20"/>
        </w:rPr>
        <w:t>江苏省农业科学院</w:t>
      </w:r>
      <w:r>
        <w:rPr>
          <w:rFonts w:hint="eastAsia" w:ascii="Times New Roman" w:hAnsi="Times New Roman" w:cs="Times New Roman"/>
          <w:szCs w:val="20"/>
          <w:lang w:eastAsia="zh-CN"/>
        </w:rPr>
        <w:t>、</w:t>
      </w:r>
      <w:r>
        <w:rPr>
          <w:rFonts w:hint="eastAsia" w:ascii="Times New Roman" w:hAnsi="Times New Roman" w:cs="Times New Roman"/>
          <w:szCs w:val="20"/>
          <w:lang w:val="en-US" w:eastAsia="zh-CN"/>
        </w:rPr>
        <w:t>江苏丘陵地区镇江农业科学研究所</w:t>
      </w:r>
      <w:r>
        <w:rPr>
          <w:rFonts w:ascii="Times New Roman" w:hAnsi="Times New Roman" w:cs="Times New Roman"/>
          <w:szCs w:val="20"/>
        </w:rPr>
        <w:t>。</w:t>
      </w:r>
    </w:p>
    <w:p>
      <w:pPr>
        <w:ind w:firstLine="420"/>
        <w:rPr>
          <w:rFonts w:ascii="Times New Roman" w:hAnsi="Times New Roman" w:cs="Times New Roman"/>
          <w:szCs w:val="20"/>
        </w:rPr>
      </w:pPr>
      <w:r>
        <w:rPr>
          <w:rFonts w:ascii="Times New Roman" w:hAnsi="Times New Roman" w:cs="Times New Roman"/>
          <w:szCs w:val="20"/>
        </w:rPr>
        <w:t>本文件起草人：朱凤、</w:t>
      </w:r>
      <w:r>
        <w:rPr>
          <w:rFonts w:hint="eastAsia" w:ascii="Times New Roman" w:hAnsi="Times New Roman" w:cs="Times New Roman"/>
          <w:szCs w:val="20"/>
        </w:rPr>
        <w:t>孙月、陈宏州、徐剑宏、</w:t>
      </w:r>
      <w:r>
        <w:rPr>
          <w:rFonts w:ascii="Times New Roman" w:hAnsi="Times New Roman" w:cs="Times New Roman"/>
          <w:szCs w:val="20"/>
        </w:rPr>
        <w:t>张海波、周晨、杨红福、</w:t>
      </w:r>
      <w:r>
        <w:rPr>
          <w:rFonts w:hint="eastAsia" w:ascii="Times New Roman" w:hAnsi="Times New Roman" w:cs="Times New Roman"/>
          <w:szCs w:val="20"/>
        </w:rPr>
        <w:t>李广森、梁修成、</w:t>
      </w:r>
      <w:r>
        <w:rPr>
          <w:rFonts w:ascii="Times New Roman" w:hAnsi="Times New Roman" w:cs="Times New Roman"/>
          <w:szCs w:val="20"/>
        </w:rPr>
        <w:t>杨荣明、田子华。</w:t>
      </w:r>
    </w:p>
    <w:p>
      <w:pPr>
        <w:ind w:firstLine="420"/>
        <w:rPr>
          <w:rFonts w:ascii="Times New Roman" w:hAnsi="Times New Roman" w:cs="Times New Roman"/>
          <w:szCs w:val="20"/>
        </w:rPr>
      </w:pPr>
    </w:p>
    <w:bookmarkEnd w:id="4"/>
    <w:p>
      <w:pPr>
        <w:spacing w:line="500" w:lineRule="exact"/>
        <w:jc w:val="center"/>
        <w:rPr>
          <w:rFonts w:ascii="Times New Roman" w:hAnsi="Times New Roman" w:cs="Times New Roman"/>
          <w:szCs w:val="20"/>
        </w:rPr>
      </w:pPr>
      <w:bookmarkStart w:id="6" w:name="SectionMark4"/>
    </w:p>
    <w:p>
      <w:pPr>
        <w:spacing w:line="500" w:lineRule="exact"/>
        <w:jc w:val="center"/>
        <w:rPr>
          <w:rFonts w:ascii="Times New Roman" w:hAnsi="Times New Roman" w:cs="Times New Roman"/>
          <w:szCs w:val="20"/>
        </w:rPr>
      </w:pPr>
    </w:p>
    <w:p>
      <w:pPr>
        <w:spacing w:line="500" w:lineRule="exact"/>
        <w:jc w:val="center"/>
        <w:rPr>
          <w:rFonts w:ascii="Times New Roman" w:hAnsi="Times New Roman" w:cs="Times New Roman"/>
          <w:szCs w:val="20"/>
        </w:rPr>
      </w:pPr>
    </w:p>
    <w:p>
      <w:pPr>
        <w:spacing w:line="500" w:lineRule="exact"/>
        <w:jc w:val="center"/>
        <w:rPr>
          <w:rFonts w:ascii="Times New Roman" w:hAnsi="Times New Roman" w:cs="Times New Roman"/>
          <w:szCs w:val="20"/>
        </w:rPr>
      </w:pPr>
    </w:p>
    <w:p>
      <w:pPr>
        <w:spacing w:line="500" w:lineRule="exact"/>
        <w:jc w:val="center"/>
        <w:rPr>
          <w:rFonts w:ascii="Times New Roman" w:hAnsi="Times New Roman" w:cs="Times New Roman"/>
          <w:szCs w:val="20"/>
        </w:rPr>
      </w:pPr>
    </w:p>
    <w:p>
      <w:pPr>
        <w:spacing w:line="500" w:lineRule="exact"/>
        <w:jc w:val="center"/>
        <w:rPr>
          <w:rFonts w:ascii="Times New Roman" w:hAnsi="Times New Roman" w:cs="Times New Roman"/>
          <w:szCs w:val="20"/>
        </w:rPr>
      </w:pPr>
    </w:p>
    <w:p>
      <w:pPr>
        <w:spacing w:line="500" w:lineRule="exact"/>
        <w:jc w:val="center"/>
        <w:rPr>
          <w:rFonts w:ascii="Times New Roman" w:hAnsi="Times New Roman" w:cs="Times New Roman"/>
          <w:szCs w:val="20"/>
        </w:rPr>
      </w:pPr>
    </w:p>
    <w:p>
      <w:pPr>
        <w:spacing w:line="500" w:lineRule="exact"/>
        <w:jc w:val="center"/>
        <w:rPr>
          <w:rFonts w:ascii="Times New Roman" w:hAnsi="Times New Roman" w:cs="Times New Roman"/>
          <w:szCs w:val="20"/>
        </w:rPr>
      </w:pPr>
    </w:p>
    <w:p>
      <w:pPr>
        <w:spacing w:line="500" w:lineRule="exact"/>
        <w:jc w:val="center"/>
        <w:rPr>
          <w:rFonts w:ascii="Times New Roman" w:hAnsi="Times New Roman" w:cs="Times New Roman"/>
          <w:szCs w:val="20"/>
        </w:rPr>
      </w:pPr>
    </w:p>
    <w:p>
      <w:pPr>
        <w:spacing w:line="500" w:lineRule="exact"/>
        <w:jc w:val="center"/>
        <w:rPr>
          <w:rFonts w:ascii="Times New Roman" w:hAnsi="Times New Roman" w:cs="Times New Roman"/>
          <w:szCs w:val="20"/>
        </w:rPr>
      </w:pPr>
    </w:p>
    <w:p>
      <w:pPr>
        <w:spacing w:line="500" w:lineRule="exact"/>
        <w:jc w:val="center"/>
        <w:rPr>
          <w:rFonts w:ascii="Times New Roman" w:hAnsi="Times New Roman" w:cs="Times New Roman"/>
          <w:szCs w:val="20"/>
        </w:rPr>
      </w:pPr>
    </w:p>
    <w:p>
      <w:pPr>
        <w:spacing w:line="500" w:lineRule="exact"/>
        <w:jc w:val="center"/>
        <w:rPr>
          <w:rFonts w:ascii="Times New Roman" w:hAnsi="Times New Roman" w:cs="Times New Roman"/>
          <w:szCs w:val="20"/>
        </w:rPr>
      </w:pPr>
    </w:p>
    <w:p>
      <w:pPr>
        <w:spacing w:line="500" w:lineRule="exact"/>
        <w:jc w:val="center"/>
        <w:rPr>
          <w:rFonts w:ascii="Times New Roman" w:hAnsi="Times New Roman" w:cs="Times New Roman"/>
          <w:szCs w:val="20"/>
        </w:rPr>
      </w:pPr>
    </w:p>
    <w:p>
      <w:pPr>
        <w:spacing w:line="500" w:lineRule="exact"/>
        <w:jc w:val="center"/>
        <w:rPr>
          <w:rFonts w:ascii="Times New Roman" w:hAnsi="Times New Roman" w:cs="Times New Roman"/>
          <w:szCs w:val="20"/>
        </w:rPr>
      </w:pPr>
    </w:p>
    <w:p>
      <w:pPr>
        <w:spacing w:line="500" w:lineRule="exact"/>
        <w:jc w:val="center"/>
        <w:rPr>
          <w:rFonts w:ascii="Times New Roman" w:hAnsi="Times New Roman" w:cs="Times New Roman"/>
          <w:szCs w:val="20"/>
        </w:rPr>
      </w:pPr>
    </w:p>
    <w:p>
      <w:pPr>
        <w:spacing w:line="500" w:lineRule="exact"/>
        <w:jc w:val="center"/>
        <w:rPr>
          <w:rFonts w:ascii="Times New Roman" w:hAnsi="Times New Roman" w:cs="Times New Roman"/>
          <w:szCs w:val="20"/>
        </w:rPr>
      </w:pPr>
    </w:p>
    <w:p>
      <w:pPr>
        <w:spacing w:line="500" w:lineRule="exact"/>
        <w:jc w:val="center"/>
        <w:rPr>
          <w:rFonts w:ascii="Times New Roman" w:hAnsi="Times New Roman" w:cs="Times New Roman"/>
          <w:szCs w:val="20"/>
        </w:rPr>
      </w:pPr>
    </w:p>
    <w:p>
      <w:pPr>
        <w:spacing w:line="500" w:lineRule="exact"/>
        <w:jc w:val="center"/>
        <w:rPr>
          <w:rFonts w:ascii="Times New Roman" w:hAnsi="Times New Roman" w:cs="Times New Roman"/>
          <w:szCs w:val="20"/>
        </w:rPr>
      </w:pPr>
    </w:p>
    <w:p>
      <w:pPr>
        <w:spacing w:line="500" w:lineRule="exact"/>
        <w:jc w:val="center"/>
        <w:rPr>
          <w:rFonts w:ascii="Times New Roman" w:hAnsi="Times New Roman" w:cs="Times New Roman"/>
          <w:szCs w:val="20"/>
        </w:rPr>
      </w:pPr>
    </w:p>
    <w:p>
      <w:pPr>
        <w:spacing w:line="500" w:lineRule="exact"/>
        <w:jc w:val="center"/>
        <w:rPr>
          <w:rFonts w:ascii="Times New Roman" w:hAnsi="Times New Roman" w:cs="Times New Roman"/>
          <w:szCs w:val="20"/>
        </w:rPr>
      </w:pPr>
    </w:p>
    <w:bookmarkEnd w:id="6"/>
    <w:p>
      <w:pPr>
        <w:jc w:val="center"/>
        <w:rPr>
          <w:rFonts w:ascii="Times New Roman" w:hAnsi="Times New Roman" w:eastAsia="黑体" w:cs="Times New Roman"/>
          <w:spacing w:val="24"/>
          <w:sz w:val="32"/>
          <w:szCs w:val="32"/>
        </w:rPr>
      </w:pPr>
      <w:r>
        <w:rPr>
          <w:rFonts w:ascii="Times New Roman" w:hAnsi="Times New Roman" w:cs="Times New Roman"/>
        </w:rPr>
        <w:t xml:space="preserve"> </w:t>
      </w:r>
      <w:r>
        <w:rPr>
          <w:rFonts w:ascii="Times New Roman" w:hAnsi="Times New Roman" w:eastAsia="黑体" w:cs="Times New Roman"/>
          <w:spacing w:val="24"/>
          <w:sz w:val="32"/>
          <w:szCs w:val="32"/>
        </w:rPr>
        <w:t>小麦病虫害防治</w:t>
      </w:r>
      <w:r>
        <w:rPr>
          <w:rFonts w:hint="eastAsia" w:ascii="Times New Roman" w:hAnsi="Times New Roman" w:eastAsia="黑体" w:cs="Times New Roman"/>
          <w:spacing w:val="24"/>
          <w:sz w:val="32"/>
          <w:szCs w:val="32"/>
        </w:rPr>
        <w:t>药剂</w:t>
      </w:r>
      <w:r>
        <w:rPr>
          <w:rFonts w:ascii="Times New Roman" w:hAnsi="Times New Roman" w:eastAsia="黑体" w:cs="Times New Roman"/>
          <w:spacing w:val="24"/>
          <w:sz w:val="32"/>
          <w:szCs w:val="32"/>
        </w:rPr>
        <w:t>有效性评价技术规范</w:t>
      </w:r>
    </w:p>
    <w:p>
      <w:pPr>
        <w:spacing w:before="156" w:beforeLines="50" w:after="156" w:afterLines="50"/>
        <w:rPr>
          <w:rFonts w:ascii="Times New Roman" w:hAnsi="Times New Roman" w:eastAsia="黑体" w:cs="Times New Roman"/>
        </w:rPr>
      </w:pPr>
      <w:r>
        <w:rPr>
          <w:rFonts w:ascii="Times New Roman" w:hAnsi="Times New Roman" w:eastAsia="黑体" w:cs="Times New Roman"/>
        </w:rPr>
        <w:t>1 范围</w:t>
      </w:r>
    </w:p>
    <w:p>
      <w:pPr>
        <w:ind w:firstLine="420" w:firstLineChars="200"/>
        <w:rPr>
          <w:rFonts w:ascii="Times New Roman" w:hAnsi="Times New Roman" w:eastAsia="宋体" w:cs="Times New Roman"/>
        </w:rPr>
      </w:pPr>
      <w:r>
        <w:rPr>
          <w:rFonts w:ascii="Times New Roman" w:hAnsi="Times New Roman" w:eastAsia="宋体" w:cs="Times New Roman"/>
        </w:rPr>
        <w:t>本文件规定了</w:t>
      </w:r>
      <w:r>
        <w:rPr>
          <w:rFonts w:hint="eastAsia" w:ascii="Times New Roman" w:hAnsi="Times New Roman" w:eastAsia="宋体" w:cs="Times New Roman"/>
        </w:rPr>
        <w:t>防治小麦</w:t>
      </w:r>
      <w:r>
        <w:rPr>
          <w:rFonts w:ascii="Times New Roman" w:hAnsi="Times New Roman" w:eastAsia="宋体" w:cs="Times New Roman"/>
        </w:rPr>
        <w:t>重大病虫害药剂有效性的监测、调查及评价。</w:t>
      </w:r>
    </w:p>
    <w:p>
      <w:pPr>
        <w:ind w:firstLine="420" w:firstLineChars="200"/>
        <w:rPr>
          <w:rFonts w:ascii="Times New Roman" w:hAnsi="Times New Roman" w:eastAsia="宋体" w:cs="Times New Roman"/>
        </w:rPr>
      </w:pPr>
      <w:r>
        <w:rPr>
          <w:rFonts w:ascii="Times New Roman" w:hAnsi="Times New Roman" w:eastAsia="宋体" w:cs="Times New Roman"/>
        </w:rPr>
        <w:t>本</w:t>
      </w:r>
      <w:r>
        <w:rPr>
          <w:rFonts w:hint="eastAsia" w:ascii="Times New Roman" w:hAnsi="Times New Roman" w:eastAsia="宋体" w:cs="Times New Roman"/>
        </w:rPr>
        <w:t>文件</w:t>
      </w:r>
      <w:r>
        <w:rPr>
          <w:rFonts w:ascii="Times New Roman" w:hAnsi="Times New Roman" w:eastAsia="宋体" w:cs="Times New Roman"/>
        </w:rPr>
        <w:t>适用于小麦主要病虫害防治用药有效性的评价。</w:t>
      </w:r>
    </w:p>
    <w:p>
      <w:pPr>
        <w:spacing w:before="312" w:beforeLines="100" w:after="312" w:afterLines="100"/>
        <w:rPr>
          <w:rFonts w:ascii="Times New Roman" w:hAnsi="Times New Roman" w:eastAsia="黑体" w:cs="Times New Roman"/>
        </w:rPr>
      </w:pPr>
      <w:r>
        <w:rPr>
          <w:rFonts w:ascii="Times New Roman" w:hAnsi="Times New Roman" w:eastAsia="黑体" w:cs="Times New Roman"/>
        </w:rPr>
        <w:t>2 规范性引用文件</w:t>
      </w:r>
    </w:p>
    <w:p>
      <w:pPr>
        <w:ind w:firstLine="420" w:firstLineChars="200"/>
        <w:rPr>
          <w:rFonts w:ascii="Times New Roman" w:hAnsi="Times New Roman" w:cs="Times New Roman"/>
          <w:szCs w:val="21"/>
        </w:rPr>
      </w:pPr>
      <w:r>
        <w:rPr>
          <w:rFonts w:ascii="Times New Roman" w:hAnsi="Times New Roman" w:cs="Times New Roman"/>
          <w:szCs w:val="21"/>
        </w:rPr>
        <w:t>下列文件中的内容通过文中的规范性引用而构成本文件必不可少的条款。其中，注日期的引用文件，仅该日期对应的版本适用于本文件；不注日期的引用文件，其最新版本（包括所有的修改单）适用于本文件。</w:t>
      </w:r>
    </w:p>
    <w:p>
      <w:pPr>
        <w:ind w:firstLine="420" w:firstLineChars="200"/>
        <w:jc w:val="left"/>
        <w:rPr>
          <w:rFonts w:ascii="Times New Roman" w:hAnsi="Times New Roman" w:cs="Times New Roman"/>
          <w:szCs w:val="21"/>
        </w:rPr>
      </w:pPr>
      <w:r>
        <w:rPr>
          <w:rFonts w:ascii="Times New Roman" w:hAnsi="Times New Roman" w:cs="Times New Roman"/>
          <w:szCs w:val="21"/>
        </w:rPr>
        <w:t>GB/T 8321（所有部分）农药合理使用准则</w:t>
      </w:r>
    </w:p>
    <w:p>
      <w:pPr>
        <w:ind w:firstLine="420" w:firstLineChars="200"/>
        <w:jc w:val="left"/>
        <w:rPr>
          <w:rFonts w:ascii="Times New Roman" w:hAnsi="Times New Roman" w:cs="Times New Roman"/>
          <w:szCs w:val="21"/>
        </w:rPr>
      </w:pPr>
      <w:r>
        <w:fldChar w:fldCharType="begin"/>
      </w:r>
      <w:r>
        <w:instrText xml:space="preserve"> HYPERLINK "http://www.eshian.com/standards/10254.html" \t "http://www.eshian.com/sat/standard/standardlist/_blank" </w:instrText>
      </w:r>
      <w:r>
        <w:fldChar w:fldCharType="separate"/>
      </w:r>
      <w:r>
        <w:rPr>
          <w:rFonts w:ascii="Times New Roman" w:hAnsi="Times New Roman" w:cs="Times New Roman"/>
          <w:szCs w:val="21"/>
        </w:rPr>
        <w:t>GB/T 17980.108-2004 </w:t>
      </w:r>
      <w:r>
        <w:rPr>
          <w:rFonts w:ascii="Times New Roman" w:hAnsi="Times New Roman" w:cs="Times New Roman"/>
          <w:szCs w:val="21"/>
        </w:rPr>
        <w:fldChar w:fldCharType="end"/>
      </w:r>
      <w:r>
        <w:rPr>
          <w:rFonts w:ascii="Times New Roman" w:hAnsi="Times New Roman" w:cs="Times New Roman"/>
          <w:szCs w:val="21"/>
        </w:rPr>
        <w:t>农药田间药效试验准则（二）第108部分：杀菌剂防治小麦纹枯病</w:t>
      </w:r>
    </w:p>
    <w:p>
      <w:pPr>
        <w:ind w:firstLine="420" w:firstLineChars="200"/>
        <w:jc w:val="left"/>
        <w:rPr>
          <w:rFonts w:ascii="Times New Roman" w:hAnsi="Times New Roman" w:cs="Times New Roman"/>
          <w:szCs w:val="21"/>
        </w:rPr>
      </w:pPr>
      <w:r>
        <w:rPr>
          <w:rFonts w:ascii="Times New Roman" w:hAnsi="Times New Roman" w:cs="Times New Roman"/>
          <w:szCs w:val="21"/>
        </w:rPr>
        <w:t>GB/T 17980.22-2000 农药田间药效试验准则（一）杀菌剂防治禾谷类白粉病</w:t>
      </w:r>
    </w:p>
    <w:p>
      <w:pPr>
        <w:ind w:firstLine="420" w:firstLineChars="200"/>
        <w:jc w:val="left"/>
        <w:rPr>
          <w:rFonts w:ascii="Times New Roman" w:hAnsi="Times New Roman" w:cs="Times New Roman"/>
          <w:szCs w:val="21"/>
        </w:rPr>
      </w:pPr>
      <w:r>
        <w:rPr>
          <w:rFonts w:ascii="Times New Roman" w:hAnsi="Times New Roman" w:cs="Times New Roman"/>
          <w:szCs w:val="21"/>
        </w:rPr>
        <w:t>GB/T 17980.23-2000 农药田间药效试验准则（一）杀菌剂防治禾谷类锈病（叶锈、条锈、秆锈）</w:t>
      </w:r>
    </w:p>
    <w:p>
      <w:pPr>
        <w:ind w:firstLine="420" w:firstLineChars="200"/>
        <w:jc w:val="left"/>
        <w:rPr>
          <w:rFonts w:ascii="Times New Roman" w:hAnsi="Times New Roman" w:cs="Times New Roman"/>
          <w:szCs w:val="21"/>
        </w:rPr>
      </w:pPr>
      <w:r>
        <w:rPr>
          <w:rFonts w:ascii="Times New Roman" w:hAnsi="Times New Roman" w:cs="Times New Roman"/>
          <w:szCs w:val="21"/>
        </w:rPr>
        <w:t xml:space="preserve">GB/T 17980.79-2004 </w:t>
      </w:r>
      <w:r>
        <w:rPr>
          <w:rFonts w:hint="eastAsia" w:ascii="Times New Roman" w:hAnsi="Times New Roman" w:cs="Times New Roman"/>
          <w:szCs w:val="21"/>
        </w:rPr>
        <w:t>农药</w:t>
      </w:r>
      <w:r>
        <w:rPr>
          <w:rFonts w:ascii="Times New Roman" w:hAnsi="Times New Roman" w:cs="Times New Roman"/>
          <w:szCs w:val="21"/>
        </w:rPr>
        <w:t>田间药效试验准则（二）第79部分：杀虫剂防治小麦蚜虫</w:t>
      </w:r>
    </w:p>
    <w:p>
      <w:pPr>
        <w:ind w:firstLine="420" w:firstLineChars="200"/>
        <w:jc w:val="left"/>
        <w:rPr>
          <w:rFonts w:ascii="Times New Roman" w:hAnsi="Times New Roman" w:cs="Times New Roman"/>
          <w:szCs w:val="21"/>
        </w:rPr>
      </w:pPr>
      <w:r>
        <w:rPr>
          <w:rFonts w:ascii="Times New Roman" w:hAnsi="Times New Roman" w:cs="Times New Roman"/>
          <w:szCs w:val="21"/>
        </w:rPr>
        <w:t>NY /T 1276-2007 农药安全使用规范总则</w:t>
      </w:r>
    </w:p>
    <w:p>
      <w:pPr>
        <w:ind w:firstLine="420" w:firstLineChars="200"/>
        <w:jc w:val="left"/>
        <w:rPr>
          <w:rFonts w:ascii="Times New Roman" w:hAnsi="Times New Roman" w:eastAsia="Helvetica" w:cs="Times New Roman"/>
          <w:color w:val="333333"/>
          <w:sz w:val="16"/>
          <w:szCs w:val="16"/>
          <w:shd w:val="clear" w:color="auto" w:fill="F5F5F5"/>
        </w:rPr>
      </w:pPr>
      <w:r>
        <w:rPr>
          <w:rFonts w:ascii="Times New Roman" w:hAnsi="Times New Roman" w:cs="Times New Roman"/>
          <w:szCs w:val="21"/>
        </w:rPr>
        <w:t xml:space="preserve">NY/T 1464.15-2007 </w:t>
      </w:r>
      <w:r>
        <w:fldChar w:fldCharType="begin"/>
      </w:r>
      <w:r>
        <w:instrText xml:space="preserve"> HYPERLINK "javascript:;" </w:instrText>
      </w:r>
      <w:r>
        <w:fldChar w:fldCharType="separate"/>
      </w:r>
      <w:r>
        <w:rPr>
          <w:rFonts w:ascii="Times New Roman" w:hAnsi="Times New Roman" w:cs="Times New Roman"/>
          <w:szCs w:val="21"/>
        </w:rPr>
        <w:t>农药田间药效试验准则 第15部分：杀菌剂防治小麦赤霉病</w:t>
      </w:r>
      <w:r>
        <w:rPr>
          <w:rFonts w:ascii="Times New Roman" w:hAnsi="Times New Roman" w:cs="Times New Roman"/>
          <w:szCs w:val="21"/>
        </w:rPr>
        <w:fldChar w:fldCharType="end"/>
      </w:r>
    </w:p>
    <w:p>
      <w:pPr>
        <w:spacing w:before="312" w:beforeLines="100" w:after="312" w:afterLines="100"/>
        <w:jc w:val="left"/>
        <w:rPr>
          <w:rFonts w:ascii="Times New Roman" w:hAnsi="Times New Roman" w:eastAsia="黑体" w:cs="Times New Roman"/>
          <w:szCs w:val="20"/>
        </w:rPr>
      </w:pPr>
      <w:r>
        <w:rPr>
          <w:rFonts w:ascii="Times New Roman" w:hAnsi="Times New Roman" w:eastAsia="黑体" w:cs="Times New Roman"/>
          <w:szCs w:val="20"/>
        </w:rPr>
        <w:t>3 术语和定义</w:t>
      </w:r>
    </w:p>
    <w:p>
      <w:pPr>
        <w:ind w:firstLine="420" w:firstLineChars="200"/>
        <w:rPr>
          <w:rFonts w:ascii="Times New Roman" w:hAnsi="Times New Roman" w:eastAsia="宋体" w:cs="Times New Roman"/>
        </w:rPr>
      </w:pPr>
      <w:r>
        <w:rPr>
          <w:rFonts w:ascii="Times New Roman" w:hAnsi="Times New Roman" w:eastAsia="宋体" w:cs="Times New Roman"/>
        </w:rPr>
        <w:t>下列术语和定义适用于本文件。</w:t>
      </w:r>
    </w:p>
    <w:p>
      <w:pPr>
        <w:spacing w:before="156" w:beforeLines="50" w:after="156" w:afterLines="50"/>
        <w:jc w:val="left"/>
        <w:rPr>
          <w:rFonts w:ascii="Times New Roman" w:hAnsi="Times New Roman" w:eastAsia="黑体" w:cs="Times New Roman"/>
          <w:szCs w:val="20"/>
        </w:rPr>
      </w:pPr>
      <w:r>
        <w:rPr>
          <w:rFonts w:hint="eastAsia" w:ascii="Times New Roman" w:hAnsi="Times New Roman" w:eastAsia="黑体" w:cs="Times New Roman"/>
          <w:szCs w:val="20"/>
        </w:rPr>
        <w:t>3.1</w:t>
      </w:r>
    </w:p>
    <w:p>
      <w:pPr>
        <w:spacing w:before="156" w:beforeLines="50" w:after="156" w:afterLines="50"/>
        <w:ind w:firstLine="420" w:firstLineChars="200"/>
        <w:jc w:val="left"/>
        <w:rPr>
          <w:rFonts w:ascii="Times New Roman" w:hAnsi="Times New Roman" w:eastAsia="黑体" w:cs="Times New Roman"/>
          <w:szCs w:val="20"/>
        </w:rPr>
      </w:pPr>
      <w:r>
        <w:rPr>
          <w:rFonts w:ascii="Times New Roman" w:hAnsi="Times New Roman" w:eastAsia="黑体" w:cs="Times New Roman"/>
          <w:szCs w:val="20"/>
        </w:rPr>
        <w:t>农药有效性</w:t>
      </w:r>
      <w:r>
        <w:rPr>
          <w:rFonts w:hint="eastAsia" w:ascii="Times New Roman" w:hAnsi="Times New Roman" w:eastAsia="黑体" w:cs="Times New Roman"/>
          <w:szCs w:val="20"/>
        </w:rPr>
        <w:t>评价</w:t>
      </w:r>
      <w:r>
        <w:rPr>
          <w:rFonts w:hint="eastAsia" w:ascii="Times New Roman" w:eastAsia="黑体"/>
          <w:spacing w:val="0"/>
        </w:rPr>
        <w:t>E</w:t>
      </w:r>
      <w:r>
        <w:rPr>
          <w:rFonts w:ascii="Times New Roman" w:hAnsi="Times New Roman" w:eastAsia="黑体" w:cs="Times New Roman"/>
          <w:szCs w:val="20"/>
        </w:rPr>
        <w:t xml:space="preserve">ffectiveness </w:t>
      </w:r>
      <w:r>
        <w:rPr>
          <w:rFonts w:hint="eastAsia" w:ascii="Times New Roman" w:hAnsi="Times New Roman" w:eastAsia="黑体" w:cs="Times New Roman"/>
          <w:szCs w:val="20"/>
        </w:rPr>
        <w:t>e</w:t>
      </w:r>
      <w:r>
        <w:rPr>
          <w:rFonts w:ascii="Times New Roman"/>
          <w:spacing w:val="0"/>
        </w:rPr>
        <w:t>valuation</w:t>
      </w:r>
      <w:r>
        <w:rPr>
          <w:rFonts w:hint="eastAsia" w:ascii="Times New Roman"/>
          <w:spacing w:val="0"/>
        </w:rPr>
        <w:t xml:space="preserve"> </w:t>
      </w:r>
      <w:r>
        <w:rPr>
          <w:rFonts w:ascii="Times New Roman" w:hAnsi="Times New Roman" w:eastAsia="黑体" w:cs="Times New Roman"/>
          <w:szCs w:val="20"/>
        </w:rPr>
        <w:t>of pesticides</w:t>
      </w:r>
    </w:p>
    <w:p>
      <w:pPr>
        <w:ind w:firstLine="420" w:firstLineChars="200"/>
        <w:rPr>
          <w:rFonts w:ascii="Times New Roman" w:hAnsi="Times New Roman" w:eastAsia="宋体" w:cs="Times New Roman"/>
        </w:rPr>
      </w:pPr>
      <w:r>
        <w:rPr>
          <w:rFonts w:ascii="Times New Roman" w:hAnsi="Times New Roman" w:eastAsia="宋体" w:cs="Times New Roman"/>
        </w:rPr>
        <w:t>某一农药在使用最大登记剂量条件下，对登记对象的防治效果，根据防治效果来评价其有效性，可分为优秀、良好、中等、较差四个等级。</w:t>
      </w:r>
    </w:p>
    <w:p>
      <w:pPr>
        <w:spacing w:before="156" w:beforeLines="50" w:after="156" w:afterLines="50"/>
        <w:jc w:val="left"/>
        <w:rPr>
          <w:rFonts w:ascii="Times New Roman" w:hAnsi="Times New Roman" w:eastAsia="黑体" w:cs="Times New Roman"/>
          <w:szCs w:val="20"/>
        </w:rPr>
      </w:pPr>
      <w:r>
        <w:rPr>
          <w:rFonts w:hint="eastAsia" w:ascii="Times New Roman" w:hAnsi="Times New Roman" w:eastAsia="黑体" w:cs="Times New Roman"/>
          <w:szCs w:val="20"/>
        </w:rPr>
        <w:t xml:space="preserve">3.2 </w:t>
      </w:r>
    </w:p>
    <w:p>
      <w:pPr>
        <w:spacing w:before="156" w:beforeLines="50" w:after="156" w:afterLines="50"/>
        <w:ind w:firstLine="420" w:firstLineChars="200"/>
        <w:jc w:val="left"/>
        <w:rPr>
          <w:rFonts w:ascii="Times New Roman" w:hAnsi="Times New Roman" w:eastAsia="黑体" w:cs="Times New Roman"/>
          <w:szCs w:val="20"/>
          <w:highlight w:val="none"/>
        </w:rPr>
      </w:pPr>
      <w:r>
        <w:rPr>
          <w:rFonts w:hint="eastAsia" w:ascii="Times New Roman" w:hAnsi="Times New Roman" w:eastAsia="黑体" w:cs="Times New Roman"/>
          <w:szCs w:val="20"/>
          <w:highlight w:val="none"/>
        </w:rPr>
        <w:t>杀虫剂速效性、持效性、长效性 Rapid, sustained, and long-term effectiveness of insecticides</w:t>
      </w:r>
    </w:p>
    <w:p>
      <w:pPr>
        <w:ind w:firstLine="420" w:firstLineChars="200"/>
        <w:rPr>
          <w:rFonts w:hint="eastAsia" w:ascii="Times New Roman" w:hAnsi="Times New Roman" w:eastAsia="宋体" w:cs="Times New Roman"/>
          <w:highlight w:val="none"/>
          <w:lang w:eastAsia="zh-CN"/>
        </w:rPr>
      </w:pPr>
      <w:r>
        <w:rPr>
          <w:rFonts w:hint="eastAsia" w:ascii="Times New Roman" w:hAnsi="Times New Roman" w:eastAsia="宋体" w:cs="Times New Roman"/>
          <w:highlight w:val="none"/>
        </w:rPr>
        <w:t>杀虫剂</w:t>
      </w:r>
      <w:r>
        <w:rPr>
          <w:rFonts w:hint="eastAsia" w:ascii="Times New Roman" w:hAnsi="Times New Roman" w:eastAsia="宋体" w:cs="Times New Roman"/>
          <w:highlight w:val="none"/>
          <w:lang w:val="en-US" w:eastAsia="zh-CN"/>
        </w:rPr>
        <w:t>施用后，在不同时间段内能够有效控制害虫为害的能力。依据控制时间的长短，宜根据药后</w:t>
      </w:r>
      <w:r>
        <w:rPr>
          <w:rFonts w:hint="eastAsia" w:ascii="Times New Roman" w:hAnsi="Times New Roman" w:eastAsia="宋体" w:cs="Times New Roman"/>
          <w:highlight w:val="none"/>
        </w:rPr>
        <w:t>3d、7d、14d</w:t>
      </w:r>
      <w:r>
        <w:rPr>
          <w:rFonts w:hint="eastAsia" w:ascii="Times New Roman" w:hAnsi="Times New Roman" w:eastAsia="宋体" w:cs="Times New Roman"/>
          <w:highlight w:val="none"/>
          <w:lang w:val="en-US" w:eastAsia="zh-CN"/>
        </w:rPr>
        <w:t>防治效果，评价杀虫剂的速效性、持效性、长效性</w:t>
      </w:r>
      <w:r>
        <w:rPr>
          <w:rFonts w:hint="eastAsia" w:ascii="Times New Roman" w:hAnsi="Times New Roman" w:eastAsia="宋体" w:cs="Times New Roman"/>
          <w:highlight w:val="none"/>
        </w:rPr>
        <w:t>。</w:t>
      </w:r>
    </w:p>
    <w:p>
      <w:pPr>
        <w:spacing w:before="312" w:beforeLines="100" w:after="312" w:afterLines="100"/>
        <w:jc w:val="left"/>
        <w:rPr>
          <w:rFonts w:ascii="Times New Roman" w:hAnsi="Times New Roman" w:eastAsia="黑体" w:cs="Times New Roman"/>
        </w:rPr>
      </w:pPr>
      <w:r>
        <w:rPr>
          <w:rFonts w:ascii="Times New Roman" w:hAnsi="Times New Roman" w:eastAsia="黑体" w:cs="Times New Roman"/>
          <w:szCs w:val="20"/>
        </w:rPr>
        <w:t>4 监测</w:t>
      </w:r>
    </w:p>
    <w:p>
      <w:pPr>
        <w:spacing w:before="156" w:beforeLines="50" w:after="156" w:afterLines="50"/>
        <w:rPr>
          <w:rFonts w:ascii="Times New Roman" w:hAnsi="Times New Roman" w:eastAsia="黑体" w:cs="Times New Roman"/>
        </w:rPr>
      </w:pPr>
      <w:r>
        <w:rPr>
          <w:rFonts w:ascii="Times New Roman" w:hAnsi="Times New Roman" w:eastAsia="黑体" w:cs="Times New Roman"/>
        </w:rPr>
        <w:t>4.</w:t>
      </w:r>
      <w:r>
        <w:rPr>
          <w:rFonts w:hint="eastAsia" w:ascii="Times New Roman" w:hAnsi="Times New Roman" w:eastAsia="黑体" w:cs="Times New Roman"/>
        </w:rPr>
        <w:t>1</w:t>
      </w:r>
      <w:r>
        <w:rPr>
          <w:rFonts w:ascii="Times New Roman" w:hAnsi="Times New Roman" w:eastAsia="黑体" w:cs="Times New Roman"/>
        </w:rPr>
        <w:t xml:space="preserve"> 监测</w:t>
      </w:r>
      <w:r>
        <w:rPr>
          <w:rFonts w:hint="eastAsia" w:ascii="Times New Roman" w:hAnsi="Times New Roman" w:eastAsia="黑体" w:cs="Times New Roman"/>
        </w:rPr>
        <w:t>单位</w:t>
      </w:r>
    </w:p>
    <w:p>
      <w:pPr>
        <w:spacing w:before="156" w:beforeLines="50" w:after="156" w:afterLines="50"/>
        <w:ind w:firstLine="452" w:firstLineChars="200"/>
        <w:rPr>
          <w:rFonts w:hint="eastAsia" w:ascii="宋体" w:hAnsi="宋体" w:eastAsia="宋体" w:cs="宋体"/>
          <w:spacing w:val="8"/>
          <w:szCs w:val="21"/>
          <w:highlight w:val="none"/>
          <w:shd w:val="clear" w:color="auto" w:fill="FFFFFF"/>
          <w:lang w:eastAsia="zh-CN"/>
        </w:rPr>
      </w:pPr>
      <w:r>
        <w:rPr>
          <w:rFonts w:hint="eastAsia" w:ascii="宋体" w:hAnsi="宋体" w:eastAsia="宋体" w:cs="宋体"/>
          <w:spacing w:val="8"/>
          <w:szCs w:val="21"/>
          <w:highlight w:val="none"/>
          <w:shd w:val="clear" w:color="auto" w:fill="FFFFFF"/>
        </w:rPr>
        <w:t>经有关行业部门、协会认定，有一定生态区域代表性的科研、推广机构或社会组织</w:t>
      </w:r>
      <w:r>
        <w:rPr>
          <w:rFonts w:hint="eastAsia" w:ascii="宋体" w:hAnsi="宋体" w:eastAsia="宋体" w:cs="宋体"/>
          <w:spacing w:val="8"/>
          <w:szCs w:val="21"/>
          <w:highlight w:val="none"/>
          <w:shd w:val="clear" w:color="auto" w:fill="FFFFFF"/>
          <w:lang w:eastAsia="zh-CN"/>
        </w:rPr>
        <w:t>。</w:t>
      </w:r>
      <w:r>
        <w:rPr>
          <w:rFonts w:hint="eastAsia" w:ascii="宋体" w:hAnsi="宋体" w:eastAsia="宋体" w:cs="宋体"/>
          <w:spacing w:val="8"/>
          <w:szCs w:val="21"/>
          <w:highlight w:val="none"/>
          <w:shd w:val="clear" w:color="auto" w:fill="FFFFFF"/>
        </w:rPr>
        <w:t>具有有效性监测资质的法人或法人授权单位</w:t>
      </w:r>
      <w:r>
        <w:rPr>
          <w:rFonts w:hint="eastAsia" w:ascii="宋体" w:hAnsi="宋体" w:eastAsia="宋体" w:cs="宋体"/>
          <w:spacing w:val="8"/>
          <w:szCs w:val="21"/>
          <w:highlight w:val="none"/>
          <w:shd w:val="clear" w:color="auto" w:fill="FFFFFF"/>
          <w:lang w:val="en-US" w:eastAsia="zh-CN"/>
        </w:rPr>
        <w:t>为宜</w:t>
      </w:r>
      <w:r>
        <w:rPr>
          <w:rFonts w:hint="eastAsia" w:ascii="宋体" w:hAnsi="宋体" w:eastAsia="宋体" w:cs="宋体"/>
          <w:spacing w:val="8"/>
          <w:szCs w:val="21"/>
          <w:highlight w:val="none"/>
          <w:shd w:val="clear" w:color="auto" w:fill="FFFFFF"/>
        </w:rPr>
        <w:t>。</w:t>
      </w:r>
    </w:p>
    <w:p>
      <w:pPr>
        <w:spacing w:before="156" w:beforeLines="50" w:after="156" w:afterLines="50"/>
        <w:rPr>
          <w:rFonts w:ascii="Times New Roman" w:hAnsi="Times New Roman" w:eastAsia="黑体" w:cs="Times New Roman"/>
        </w:rPr>
      </w:pPr>
      <w:r>
        <w:rPr>
          <w:rFonts w:ascii="Times New Roman" w:hAnsi="Times New Roman" w:eastAsia="黑体" w:cs="Times New Roman"/>
        </w:rPr>
        <w:t>4.</w:t>
      </w:r>
      <w:r>
        <w:rPr>
          <w:rFonts w:hint="eastAsia" w:ascii="Times New Roman" w:hAnsi="Times New Roman" w:eastAsia="黑体" w:cs="Times New Roman"/>
        </w:rPr>
        <w:t>2</w:t>
      </w:r>
      <w:r>
        <w:rPr>
          <w:rFonts w:ascii="Times New Roman" w:hAnsi="Times New Roman" w:eastAsia="黑体" w:cs="Times New Roman"/>
        </w:rPr>
        <w:t xml:space="preserve"> 监测对象</w:t>
      </w:r>
    </w:p>
    <w:p>
      <w:pPr>
        <w:ind w:firstLine="420" w:firstLineChars="200"/>
        <w:jc w:val="left"/>
        <w:rPr>
          <w:rFonts w:ascii="Times New Roman" w:hAnsi="Times New Roman" w:eastAsia="宋体" w:cs="Times New Roman"/>
          <w:highlight w:val="none"/>
        </w:rPr>
      </w:pPr>
      <w:r>
        <w:rPr>
          <w:rFonts w:hint="eastAsia" w:ascii="Times New Roman" w:hAnsi="Times New Roman" w:eastAsia="宋体" w:cs="Times New Roman"/>
          <w:highlight w:val="none"/>
          <w:lang w:val="en-US" w:eastAsia="zh-CN"/>
        </w:rPr>
        <w:t>用于防治</w:t>
      </w:r>
      <w:r>
        <w:rPr>
          <w:rFonts w:ascii="Times New Roman" w:hAnsi="Times New Roman" w:eastAsia="宋体" w:cs="Times New Roman"/>
          <w:highlight w:val="none"/>
        </w:rPr>
        <w:t>小麦赤霉病、纹枯病、白粉病、锈病</w:t>
      </w:r>
      <w:r>
        <w:rPr>
          <w:rFonts w:ascii="Times New Roman" w:hAnsi="Times New Roman" w:cs="Times New Roman"/>
          <w:szCs w:val="21"/>
          <w:highlight w:val="none"/>
        </w:rPr>
        <w:t>（叶锈、条锈</w:t>
      </w:r>
      <w:r>
        <w:rPr>
          <w:rFonts w:hint="eastAsia" w:ascii="Times New Roman" w:hAnsi="Times New Roman" w:cs="Times New Roman"/>
          <w:szCs w:val="21"/>
          <w:highlight w:val="none"/>
        </w:rPr>
        <w:t>、</w:t>
      </w:r>
      <w:r>
        <w:rPr>
          <w:rFonts w:ascii="Times New Roman" w:hAnsi="Times New Roman" w:cs="Times New Roman"/>
          <w:szCs w:val="21"/>
          <w:highlight w:val="none"/>
        </w:rPr>
        <w:t>秆锈）</w:t>
      </w:r>
      <w:r>
        <w:rPr>
          <w:rFonts w:ascii="Times New Roman" w:hAnsi="Times New Roman" w:eastAsia="宋体" w:cs="Times New Roman"/>
          <w:highlight w:val="none"/>
        </w:rPr>
        <w:t>、蚜虫的药剂。</w:t>
      </w:r>
    </w:p>
    <w:p>
      <w:pPr>
        <w:spacing w:before="156" w:beforeLines="50" w:after="156" w:afterLines="50"/>
        <w:rPr>
          <w:rFonts w:ascii="Times New Roman" w:hAnsi="Times New Roman" w:eastAsia="黑体" w:cs="Times New Roman"/>
        </w:rPr>
      </w:pPr>
      <w:r>
        <w:rPr>
          <w:rFonts w:ascii="Times New Roman" w:hAnsi="Times New Roman" w:eastAsia="黑体" w:cs="Times New Roman"/>
        </w:rPr>
        <w:t>4.</w:t>
      </w:r>
      <w:r>
        <w:rPr>
          <w:rFonts w:hint="eastAsia" w:ascii="Times New Roman" w:hAnsi="Times New Roman" w:eastAsia="黑体" w:cs="Times New Roman"/>
        </w:rPr>
        <w:t>3</w:t>
      </w:r>
      <w:r>
        <w:rPr>
          <w:rFonts w:ascii="Times New Roman" w:hAnsi="Times New Roman" w:eastAsia="黑体" w:cs="Times New Roman"/>
        </w:rPr>
        <w:t xml:space="preserve"> 监测方法</w:t>
      </w:r>
    </w:p>
    <w:p>
      <w:pPr>
        <w:spacing w:before="156" w:beforeLines="50" w:after="156" w:afterLines="50"/>
        <w:rPr>
          <w:rFonts w:ascii="Times New Roman" w:hAnsi="Times New Roman" w:eastAsia="黑体" w:cs="Times New Roman"/>
        </w:rPr>
      </w:pPr>
      <w:r>
        <w:rPr>
          <w:rFonts w:ascii="Times New Roman" w:hAnsi="Times New Roman" w:eastAsia="黑体" w:cs="Times New Roman"/>
        </w:rPr>
        <w:t>4.</w:t>
      </w:r>
      <w:r>
        <w:rPr>
          <w:rFonts w:hint="eastAsia" w:ascii="Times New Roman" w:hAnsi="Times New Roman" w:eastAsia="黑体" w:cs="Times New Roman"/>
        </w:rPr>
        <w:t>3</w:t>
      </w:r>
      <w:r>
        <w:rPr>
          <w:rFonts w:ascii="Times New Roman" w:hAnsi="Times New Roman" w:eastAsia="黑体" w:cs="Times New Roman"/>
        </w:rPr>
        <w:t>.1</w:t>
      </w:r>
      <w:r>
        <w:rPr>
          <w:rFonts w:hint="eastAsia" w:ascii="Times New Roman" w:hAnsi="Times New Roman" w:eastAsia="黑体" w:cs="Times New Roman"/>
        </w:rPr>
        <w:t>小麦</w:t>
      </w:r>
      <w:r>
        <w:rPr>
          <w:rFonts w:ascii="Times New Roman" w:hAnsi="Times New Roman" w:eastAsia="黑体" w:cs="Times New Roman"/>
        </w:rPr>
        <w:t>品种</w:t>
      </w:r>
      <w:r>
        <w:rPr>
          <w:rFonts w:hint="eastAsia" w:ascii="Times New Roman" w:hAnsi="Times New Roman" w:eastAsia="黑体" w:cs="Times New Roman"/>
        </w:rPr>
        <w:t>选择</w:t>
      </w:r>
    </w:p>
    <w:p>
      <w:pPr>
        <w:ind w:firstLine="420" w:firstLineChars="200"/>
        <w:rPr>
          <w:rFonts w:ascii="Times New Roman" w:hAnsi="Times New Roman" w:eastAsia="黑体" w:cs="Times New Roman"/>
        </w:rPr>
      </w:pPr>
      <w:r>
        <w:rPr>
          <w:rFonts w:ascii="Times New Roman" w:hAnsi="Times New Roman" w:eastAsia="宋体" w:cs="Times New Roman"/>
        </w:rPr>
        <w:t>当地常用品种，记录品种名称。</w:t>
      </w:r>
    </w:p>
    <w:p>
      <w:pPr>
        <w:rPr>
          <w:rFonts w:ascii="Times New Roman" w:hAnsi="Times New Roman" w:eastAsia="黑体" w:cs="Times New Roman"/>
        </w:rPr>
      </w:pPr>
      <w:r>
        <w:rPr>
          <w:rFonts w:ascii="Times New Roman" w:hAnsi="Times New Roman" w:eastAsia="黑体" w:cs="Times New Roman"/>
        </w:rPr>
        <w:t>4.</w:t>
      </w:r>
      <w:r>
        <w:rPr>
          <w:rFonts w:hint="eastAsia" w:ascii="Times New Roman" w:hAnsi="Times New Roman" w:eastAsia="黑体" w:cs="Times New Roman"/>
        </w:rPr>
        <w:t>3</w:t>
      </w:r>
      <w:r>
        <w:rPr>
          <w:rFonts w:ascii="Times New Roman" w:hAnsi="Times New Roman" w:eastAsia="黑体" w:cs="Times New Roman"/>
        </w:rPr>
        <w:t>.1 田块选择</w:t>
      </w:r>
    </w:p>
    <w:p>
      <w:pPr>
        <w:ind w:firstLine="410"/>
        <w:rPr>
          <w:rFonts w:ascii="Times New Roman" w:hAnsi="Times New Roman" w:eastAsia="宋体" w:cs="Times New Roman"/>
        </w:rPr>
      </w:pPr>
      <w:r>
        <w:rPr>
          <w:rFonts w:ascii="Times New Roman" w:hAnsi="Times New Roman" w:eastAsia="宋体" w:cs="Times New Roman"/>
        </w:rPr>
        <w:t>选择易受病虫为害，且栽培条件均匀一致，具有代表性的田块，在病虫主要发生季节进行。</w:t>
      </w:r>
      <w:r>
        <w:rPr>
          <w:rFonts w:hint="eastAsia" w:ascii="Times New Roman" w:hAnsi="Times New Roman" w:eastAsia="宋体" w:cs="Times New Roman"/>
        </w:rPr>
        <w:t>病虫害在中等及以上发生田块为宜。</w:t>
      </w:r>
    </w:p>
    <w:p>
      <w:pPr>
        <w:rPr>
          <w:rFonts w:ascii="Times New Roman" w:hAnsi="Times New Roman" w:eastAsia="黑体" w:cs="Times New Roman"/>
        </w:rPr>
      </w:pPr>
      <w:r>
        <w:rPr>
          <w:rFonts w:ascii="Times New Roman" w:hAnsi="Times New Roman" w:eastAsia="黑体" w:cs="Times New Roman"/>
        </w:rPr>
        <w:t>4.</w:t>
      </w:r>
      <w:r>
        <w:rPr>
          <w:rFonts w:hint="eastAsia" w:ascii="Times New Roman" w:hAnsi="Times New Roman" w:eastAsia="黑体" w:cs="Times New Roman"/>
        </w:rPr>
        <w:t>3</w:t>
      </w:r>
      <w:r>
        <w:rPr>
          <w:rFonts w:ascii="Times New Roman" w:hAnsi="Times New Roman" w:eastAsia="黑体" w:cs="Times New Roman"/>
        </w:rPr>
        <w:t>.2 设置</w:t>
      </w:r>
      <w:r>
        <w:rPr>
          <w:rFonts w:hint="eastAsia" w:ascii="Times New Roman" w:hAnsi="Times New Roman" w:eastAsia="黑体" w:cs="Times New Roman"/>
        </w:rPr>
        <w:t>处理</w:t>
      </w:r>
    </w:p>
    <w:p>
      <w:pPr>
        <w:ind w:firstLine="420" w:firstLineChars="200"/>
        <w:rPr>
          <w:rFonts w:ascii="Times New Roman" w:hAnsi="Times New Roman" w:eastAsia="宋体" w:cs="Times New Roman"/>
        </w:rPr>
      </w:pPr>
      <w:r>
        <w:rPr>
          <w:rFonts w:ascii="Times New Roman" w:hAnsi="Times New Roman" w:eastAsia="宋体" w:cs="Times New Roman"/>
        </w:rPr>
        <w:t>每个监测试验确定2个</w:t>
      </w:r>
      <w:r>
        <w:rPr>
          <w:rFonts w:hint="eastAsia" w:ascii="Times New Roman" w:hAnsi="Times New Roman" w:eastAsia="宋体" w:cs="Times New Roman"/>
        </w:rPr>
        <w:t>及以上</w:t>
      </w:r>
      <w:r>
        <w:rPr>
          <w:rFonts w:ascii="Times New Roman" w:hAnsi="Times New Roman" w:eastAsia="宋体" w:cs="Times New Roman"/>
        </w:rPr>
        <w:t>有一定生态区域代表性的试验点。试验药剂和空白对照小区处理采用随机排列的方式</w:t>
      </w:r>
      <w:r>
        <w:rPr>
          <w:rFonts w:hint="eastAsia" w:ascii="Times New Roman" w:hAnsi="Times New Roman" w:eastAsia="宋体" w:cs="Times New Roman"/>
        </w:rPr>
        <w:t>，</w:t>
      </w:r>
      <w:r>
        <w:rPr>
          <w:rFonts w:ascii="Times New Roman" w:hAnsi="Times New Roman" w:eastAsia="宋体" w:cs="Times New Roman"/>
        </w:rPr>
        <w:t>处理间设置隔离</w:t>
      </w:r>
      <w:r>
        <w:rPr>
          <w:rFonts w:hint="eastAsia" w:ascii="Times New Roman" w:hAnsi="Times New Roman" w:eastAsia="宋体" w:cs="Times New Roman"/>
        </w:rPr>
        <w:t>带</w:t>
      </w:r>
      <w:r>
        <w:rPr>
          <w:rFonts w:ascii="Times New Roman" w:hAnsi="Times New Roman" w:eastAsia="宋体" w:cs="Times New Roman"/>
        </w:rPr>
        <w:t>。每个处理小区面积100</w:t>
      </w:r>
      <w:r>
        <w:rPr>
          <w:rFonts w:hint="eastAsia" w:ascii="Times New Roman" w:hAnsi="Times New Roman" w:eastAsia="宋体" w:cs="Times New Roman"/>
        </w:rPr>
        <w:t>m</w:t>
      </w:r>
      <w:r>
        <w:rPr>
          <w:rFonts w:hint="eastAsia" w:ascii="Times New Roman" w:hAnsi="Times New Roman" w:eastAsia="宋体" w:cs="Times New Roman"/>
          <w:sz w:val="24"/>
          <w:szCs w:val="28"/>
          <w:vertAlign w:val="superscript"/>
        </w:rPr>
        <w:t>2</w:t>
      </w:r>
      <w:r>
        <w:rPr>
          <w:rFonts w:ascii="Times New Roman" w:hAnsi="Times New Roman" w:eastAsia="宋体" w:cs="Times New Roman"/>
        </w:rPr>
        <w:t>左右，不设重复。空白对照与药剂处理</w:t>
      </w:r>
      <w:r>
        <w:rPr>
          <w:rFonts w:hint="eastAsia" w:ascii="Times New Roman" w:hAnsi="Times New Roman" w:eastAsia="宋体" w:cs="Times New Roman"/>
        </w:rPr>
        <w:t>区</w:t>
      </w:r>
      <w:r>
        <w:rPr>
          <w:rFonts w:ascii="Times New Roman" w:hAnsi="Times New Roman" w:eastAsia="宋体" w:cs="Times New Roman"/>
        </w:rPr>
        <w:t>除喷施物不同外，其它条件需一致。</w:t>
      </w:r>
    </w:p>
    <w:p>
      <w:pPr>
        <w:rPr>
          <w:rFonts w:ascii="Times New Roman" w:hAnsi="Times New Roman" w:eastAsia="黑体" w:cs="Times New Roman"/>
        </w:rPr>
      </w:pPr>
      <w:r>
        <w:rPr>
          <w:rFonts w:ascii="Times New Roman" w:hAnsi="Times New Roman" w:eastAsia="黑体" w:cs="Times New Roman"/>
        </w:rPr>
        <w:t>4.</w:t>
      </w:r>
      <w:r>
        <w:rPr>
          <w:rFonts w:hint="eastAsia" w:ascii="Times New Roman" w:hAnsi="Times New Roman" w:eastAsia="黑体" w:cs="Times New Roman"/>
        </w:rPr>
        <w:t>3</w:t>
      </w:r>
      <w:r>
        <w:rPr>
          <w:rFonts w:ascii="Times New Roman" w:hAnsi="Times New Roman" w:eastAsia="黑体" w:cs="Times New Roman"/>
        </w:rPr>
        <w:t>.3 药剂</w:t>
      </w:r>
      <w:r>
        <w:rPr>
          <w:rFonts w:hint="eastAsia" w:ascii="Times New Roman" w:hAnsi="Times New Roman" w:eastAsia="黑体" w:cs="Times New Roman"/>
        </w:rPr>
        <w:t>及使用剂量</w:t>
      </w:r>
    </w:p>
    <w:p>
      <w:pPr>
        <w:ind w:firstLine="420" w:firstLineChars="200"/>
        <w:rPr>
          <w:rFonts w:ascii="Times New Roman" w:hAnsi="Times New Roman" w:eastAsia="宋体" w:cs="Times New Roman"/>
        </w:rPr>
      </w:pPr>
      <w:r>
        <w:rPr>
          <w:rFonts w:ascii="Times New Roman" w:hAnsi="Times New Roman" w:eastAsia="宋体" w:cs="Times New Roman"/>
          <w:highlight w:val="none"/>
        </w:rPr>
        <w:t>选择已获得登记许可，并经田间试验示范、省内使用2年以上的主推</w:t>
      </w:r>
      <w:r>
        <w:rPr>
          <w:rFonts w:hint="eastAsia" w:ascii="Times New Roman" w:hAnsi="Times New Roman" w:eastAsia="宋体" w:cs="Times New Roman"/>
          <w:highlight w:val="none"/>
        </w:rPr>
        <w:t>产品</w:t>
      </w:r>
      <w:r>
        <w:rPr>
          <w:rFonts w:ascii="Times New Roman" w:hAnsi="Times New Roman" w:eastAsia="宋体" w:cs="Times New Roman"/>
          <w:highlight w:val="none"/>
        </w:rPr>
        <w:t>，如列入当年度江苏省绿色</w:t>
      </w:r>
      <w:r>
        <w:rPr>
          <w:rFonts w:hint="eastAsia" w:ascii="Times New Roman" w:hAnsi="Times New Roman" w:eastAsia="宋体" w:cs="Times New Roman"/>
          <w:highlight w:val="none"/>
        </w:rPr>
        <w:t>防</w:t>
      </w:r>
      <w:r>
        <w:rPr>
          <w:rFonts w:hint="eastAsia" w:ascii="Times New Roman" w:hAnsi="Times New Roman" w:eastAsia="宋体" w:cs="Times New Roman"/>
          <w:highlight w:val="none"/>
          <w:lang w:val="en-US" w:eastAsia="zh-CN"/>
        </w:rPr>
        <w:t>控</w:t>
      </w:r>
      <w:r>
        <w:rPr>
          <w:rFonts w:ascii="Times New Roman" w:hAnsi="Times New Roman" w:eastAsia="宋体" w:cs="Times New Roman"/>
          <w:highlight w:val="none"/>
        </w:rPr>
        <w:t>产品联合推介目录的农药产品。一般各供</w:t>
      </w:r>
      <w:r>
        <w:rPr>
          <w:rFonts w:ascii="Times New Roman" w:hAnsi="Times New Roman" w:eastAsia="宋体" w:cs="Times New Roman"/>
        </w:rPr>
        <w:t>试药剂处理设最高登记剂量浓度1个。</w:t>
      </w:r>
    </w:p>
    <w:p>
      <w:pPr>
        <w:spacing w:before="156" w:beforeLines="50" w:after="156" w:afterLines="50"/>
        <w:rPr>
          <w:rFonts w:ascii="Times New Roman" w:hAnsi="Times New Roman" w:eastAsia="黑体" w:cs="Times New Roman"/>
        </w:rPr>
      </w:pPr>
      <w:r>
        <w:rPr>
          <w:rFonts w:ascii="Times New Roman" w:hAnsi="Times New Roman" w:eastAsia="黑体" w:cs="Times New Roman"/>
        </w:rPr>
        <w:t>4.</w:t>
      </w:r>
      <w:r>
        <w:rPr>
          <w:rFonts w:hint="eastAsia" w:ascii="Times New Roman" w:hAnsi="Times New Roman" w:eastAsia="黑体" w:cs="Times New Roman"/>
        </w:rPr>
        <w:t>3</w:t>
      </w:r>
      <w:r>
        <w:rPr>
          <w:rFonts w:ascii="Times New Roman" w:hAnsi="Times New Roman" w:eastAsia="黑体" w:cs="Times New Roman"/>
        </w:rPr>
        <w:t>.4 施药方法</w:t>
      </w:r>
    </w:p>
    <w:p>
      <w:pPr>
        <w:rPr>
          <w:rFonts w:ascii="Times New Roman" w:hAnsi="Times New Roman" w:eastAsia="宋体" w:cs="Times New Roman"/>
        </w:rPr>
      </w:pPr>
      <w:r>
        <w:rPr>
          <w:rFonts w:ascii="Times New Roman" w:hAnsi="Times New Roman" w:eastAsia="宋体" w:cs="Times New Roman"/>
        </w:rPr>
        <w:t>4.</w:t>
      </w:r>
      <w:r>
        <w:rPr>
          <w:rFonts w:hint="eastAsia" w:ascii="Times New Roman" w:hAnsi="Times New Roman" w:eastAsia="宋体" w:cs="Times New Roman"/>
        </w:rPr>
        <w:t>3</w:t>
      </w:r>
      <w:r>
        <w:rPr>
          <w:rFonts w:ascii="Times New Roman" w:hAnsi="Times New Roman" w:eastAsia="宋体" w:cs="Times New Roman"/>
        </w:rPr>
        <w:t>.4.1 施药器械</w:t>
      </w:r>
    </w:p>
    <w:p>
      <w:pPr>
        <w:ind w:firstLine="420" w:firstLineChars="200"/>
        <w:rPr>
          <w:rFonts w:ascii="Times New Roman" w:hAnsi="Times New Roman" w:eastAsia="宋体" w:cs="Times New Roman"/>
        </w:rPr>
      </w:pPr>
      <w:r>
        <w:rPr>
          <w:rFonts w:ascii="Times New Roman" w:hAnsi="Times New Roman" w:eastAsia="宋体" w:cs="Times New Roman"/>
        </w:rPr>
        <w:t>同一试验地点采用相同型号</w:t>
      </w:r>
      <w:r>
        <w:rPr>
          <w:rFonts w:hint="eastAsia" w:ascii="Times New Roman" w:hAnsi="Times New Roman" w:eastAsia="宋体" w:cs="Times New Roman"/>
          <w:lang w:val="en-US" w:eastAsia="zh-CN"/>
        </w:rPr>
        <w:t>的</w:t>
      </w:r>
      <w:r>
        <w:rPr>
          <w:rFonts w:ascii="Times New Roman" w:hAnsi="Times New Roman" w:eastAsia="宋体" w:cs="Times New Roman"/>
        </w:rPr>
        <w:t>电动喷雾器和</w:t>
      </w:r>
      <w:r>
        <w:rPr>
          <w:rFonts w:hint="eastAsia" w:ascii="Times New Roman" w:hAnsi="Times New Roman" w:eastAsia="宋体" w:cs="Times New Roman"/>
          <w:lang w:val="en-US" w:eastAsia="zh-CN"/>
        </w:rPr>
        <w:t>其它</w:t>
      </w:r>
      <w:r>
        <w:rPr>
          <w:rFonts w:ascii="Times New Roman" w:hAnsi="Times New Roman" w:eastAsia="宋体" w:cs="Times New Roman"/>
        </w:rPr>
        <w:t>操作</w:t>
      </w:r>
      <w:r>
        <w:rPr>
          <w:rFonts w:hint="eastAsia" w:ascii="Times New Roman" w:hAnsi="Times New Roman" w:eastAsia="宋体" w:cs="Times New Roman"/>
          <w:lang w:val="en-US" w:eastAsia="zh-CN"/>
        </w:rPr>
        <w:t>设备</w:t>
      </w:r>
      <w:r>
        <w:rPr>
          <w:rFonts w:ascii="Times New Roman" w:hAnsi="Times New Roman" w:eastAsia="宋体" w:cs="Times New Roman"/>
        </w:rPr>
        <w:t>。</w:t>
      </w:r>
    </w:p>
    <w:p>
      <w:pPr>
        <w:rPr>
          <w:rFonts w:ascii="Times New Roman" w:hAnsi="Times New Roman" w:eastAsia="宋体" w:cs="Times New Roman"/>
        </w:rPr>
      </w:pPr>
      <w:r>
        <w:rPr>
          <w:rFonts w:ascii="Times New Roman" w:hAnsi="Times New Roman" w:eastAsia="宋体" w:cs="Times New Roman"/>
        </w:rPr>
        <w:t>4.</w:t>
      </w:r>
      <w:r>
        <w:rPr>
          <w:rFonts w:hint="eastAsia" w:ascii="Times New Roman" w:hAnsi="Times New Roman" w:eastAsia="宋体" w:cs="Times New Roman"/>
        </w:rPr>
        <w:t>3</w:t>
      </w:r>
      <w:r>
        <w:rPr>
          <w:rFonts w:ascii="Times New Roman" w:hAnsi="Times New Roman" w:eastAsia="宋体" w:cs="Times New Roman"/>
        </w:rPr>
        <w:t>.4.2施药操作、时间和次数</w:t>
      </w:r>
    </w:p>
    <w:p>
      <w:pPr>
        <w:ind w:firstLine="420" w:firstLineChars="200"/>
        <w:rPr>
          <w:rFonts w:ascii="Times New Roman" w:hAnsi="Times New Roman" w:eastAsia="宋体" w:cs="Times New Roman"/>
          <w:highlight w:val="none"/>
        </w:rPr>
      </w:pPr>
      <w:r>
        <w:rPr>
          <w:rFonts w:ascii="Times New Roman" w:hAnsi="Times New Roman" w:eastAsia="宋体" w:cs="Times New Roman"/>
          <w:highlight w:val="none"/>
        </w:rPr>
        <w:t>施药操作</w:t>
      </w:r>
      <w:r>
        <w:rPr>
          <w:rFonts w:hint="eastAsia" w:ascii="Times New Roman" w:hAnsi="Times New Roman" w:eastAsia="宋体" w:cs="Times New Roman"/>
          <w:highlight w:val="none"/>
          <w:lang w:val="en-US" w:eastAsia="zh-CN"/>
        </w:rPr>
        <w:t>按照</w:t>
      </w:r>
      <w:r>
        <w:rPr>
          <w:rFonts w:ascii="Times New Roman" w:hAnsi="Times New Roman" w:eastAsia="宋体" w:cs="Times New Roman"/>
          <w:highlight w:val="none"/>
        </w:rPr>
        <w:t>GB/T 8321、NY /T 1276-2007相关规定，施药</w:t>
      </w:r>
      <w:r>
        <w:rPr>
          <w:rFonts w:hint="eastAsia" w:ascii="Times New Roman" w:hAnsi="Times New Roman" w:eastAsia="宋体" w:cs="Times New Roman"/>
          <w:highlight w:val="none"/>
          <w:lang w:val="en-US" w:eastAsia="zh-CN"/>
        </w:rPr>
        <w:t>的</w:t>
      </w:r>
      <w:r>
        <w:rPr>
          <w:rFonts w:ascii="Times New Roman" w:hAnsi="Times New Roman" w:eastAsia="宋体" w:cs="Times New Roman"/>
          <w:highlight w:val="none"/>
        </w:rPr>
        <w:t>药量应准确、分布均匀。用水量参照农药标签</w:t>
      </w:r>
      <w:r>
        <w:rPr>
          <w:rFonts w:hint="eastAsia" w:ascii="Times New Roman" w:hAnsi="Times New Roman" w:eastAsia="宋体" w:cs="Times New Roman"/>
          <w:highlight w:val="none"/>
        </w:rPr>
        <w:t>说明书或监测评价协议</w:t>
      </w:r>
      <w:r>
        <w:rPr>
          <w:rFonts w:ascii="Times New Roman" w:hAnsi="Times New Roman" w:eastAsia="宋体" w:cs="Times New Roman"/>
          <w:highlight w:val="none"/>
        </w:rPr>
        <w:t>。记录施药次数和每次施药的日期。施药时间和次数</w:t>
      </w:r>
      <w:r>
        <w:rPr>
          <w:rFonts w:hint="eastAsia" w:ascii="Times New Roman" w:hAnsi="Times New Roman" w:eastAsia="宋体" w:cs="Times New Roman"/>
          <w:highlight w:val="none"/>
          <w:lang w:val="en-US" w:eastAsia="zh-CN"/>
        </w:rPr>
        <w:t>应根据</w:t>
      </w:r>
      <w:r>
        <w:rPr>
          <w:rFonts w:ascii="Times New Roman" w:hAnsi="Times New Roman" w:eastAsia="宋体" w:cs="Times New Roman"/>
          <w:highlight w:val="none"/>
        </w:rPr>
        <w:t>病虫害的种类、防治指标和当地环境条件等</w:t>
      </w:r>
      <w:r>
        <w:rPr>
          <w:rFonts w:hint="eastAsia" w:ascii="Times New Roman" w:hAnsi="Times New Roman" w:eastAsia="宋体" w:cs="Times New Roman"/>
          <w:highlight w:val="none"/>
          <w:lang w:val="en-US" w:eastAsia="zh-CN"/>
        </w:rPr>
        <w:t>因素确定，符合</w:t>
      </w:r>
      <w:r>
        <w:rPr>
          <w:rFonts w:ascii="Times New Roman" w:hAnsi="Times New Roman" w:eastAsia="宋体" w:cs="Times New Roman"/>
          <w:highlight w:val="none"/>
        </w:rPr>
        <w:t>GB/T 17980、NY/T 1464</w:t>
      </w:r>
      <w:r>
        <w:rPr>
          <w:rFonts w:hint="eastAsia" w:ascii="Times New Roman" w:hAnsi="Times New Roman" w:eastAsia="宋体" w:cs="Times New Roman"/>
          <w:highlight w:val="none"/>
          <w:lang w:val="en-US" w:eastAsia="zh-CN"/>
        </w:rPr>
        <w:t>的要求</w:t>
      </w:r>
      <w:r>
        <w:rPr>
          <w:rFonts w:ascii="Times New Roman" w:hAnsi="Times New Roman" w:eastAsia="宋体" w:cs="Times New Roman"/>
          <w:highlight w:val="none"/>
        </w:rPr>
        <w:t>。</w:t>
      </w:r>
    </w:p>
    <w:p>
      <w:pPr>
        <w:spacing w:before="312" w:beforeLines="100" w:after="312" w:afterLines="100"/>
        <w:rPr>
          <w:rFonts w:ascii="Times New Roman" w:hAnsi="Times New Roman" w:eastAsia="黑体" w:cs="Times New Roman"/>
        </w:rPr>
      </w:pPr>
      <w:r>
        <w:rPr>
          <w:rFonts w:ascii="Times New Roman" w:hAnsi="Times New Roman" w:eastAsia="黑体" w:cs="Times New Roman"/>
        </w:rPr>
        <w:t>5 调查</w:t>
      </w:r>
    </w:p>
    <w:p>
      <w:pPr>
        <w:spacing w:before="156" w:beforeLines="50" w:after="156" w:afterLines="50"/>
        <w:rPr>
          <w:rFonts w:ascii="Times New Roman" w:hAnsi="Times New Roman" w:eastAsia="黑体" w:cs="Times New Roman"/>
        </w:rPr>
      </w:pPr>
      <w:r>
        <w:rPr>
          <w:rFonts w:ascii="Times New Roman" w:hAnsi="Times New Roman" w:eastAsia="黑体" w:cs="Times New Roman"/>
        </w:rPr>
        <w:t>5.1 气象资料</w:t>
      </w:r>
    </w:p>
    <w:p>
      <w:pPr>
        <w:ind w:firstLine="420" w:firstLineChars="200"/>
        <w:rPr>
          <w:rFonts w:ascii="Times New Roman" w:hAnsi="Times New Roman" w:eastAsia="宋体" w:cs="Times New Roman"/>
        </w:rPr>
      </w:pPr>
      <w:r>
        <w:rPr>
          <w:rFonts w:ascii="Times New Roman" w:hAnsi="Times New Roman" w:eastAsia="宋体" w:cs="Times New Roman"/>
        </w:rPr>
        <w:t>监测期间，从试验点附近的气象站点或自备的田间小气候记录仪获得降雨、温度等气象资料。</w:t>
      </w:r>
    </w:p>
    <w:p>
      <w:pPr>
        <w:spacing w:before="156" w:beforeLines="50" w:after="156" w:afterLines="50"/>
        <w:rPr>
          <w:rFonts w:ascii="Times New Roman" w:hAnsi="Times New Roman" w:eastAsia="黑体" w:cs="Times New Roman"/>
        </w:rPr>
      </w:pPr>
      <w:r>
        <w:rPr>
          <w:rFonts w:ascii="Times New Roman" w:hAnsi="Times New Roman" w:eastAsia="黑体" w:cs="Times New Roman"/>
        </w:rPr>
        <w:t>5.2 土壤资料</w:t>
      </w:r>
    </w:p>
    <w:p>
      <w:pPr>
        <w:ind w:firstLine="420" w:firstLineChars="200"/>
        <w:rPr>
          <w:rFonts w:ascii="Times New Roman" w:hAnsi="Times New Roman" w:eastAsia="宋体" w:cs="Times New Roman"/>
        </w:rPr>
      </w:pPr>
      <w:r>
        <w:rPr>
          <w:rFonts w:ascii="Times New Roman" w:hAnsi="Times New Roman" w:eastAsia="宋体" w:cs="Times New Roman"/>
        </w:rPr>
        <w:t>记录土壤类型、肥力情况等土壤资料。</w:t>
      </w:r>
    </w:p>
    <w:p>
      <w:pPr>
        <w:spacing w:before="156" w:beforeLines="50" w:after="156" w:afterLines="50"/>
        <w:rPr>
          <w:rFonts w:ascii="Times New Roman" w:hAnsi="Times New Roman" w:eastAsia="黑体" w:cs="Times New Roman"/>
        </w:rPr>
      </w:pPr>
      <w:r>
        <w:rPr>
          <w:rFonts w:ascii="Times New Roman" w:hAnsi="Times New Roman" w:eastAsia="黑体" w:cs="Times New Roman"/>
        </w:rPr>
        <w:t>5.3 病害防效调查</w:t>
      </w:r>
    </w:p>
    <w:p>
      <w:pPr>
        <w:rPr>
          <w:rFonts w:ascii="Times New Roman" w:hAnsi="Times New Roman" w:eastAsia="宋体" w:cs="Times New Roman"/>
        </w:rPr>
      </w:pPr>
      <w:r>
        <w:rPr>
          <w:rFonts w:ascii="Times New Roman" w:hAnsi="Times New Roman" w:eastAsia="宋体" w:cs="Times New Roman"/>
        </w:rPr>
        <w:t>5.3.1 赤霉病</w:t>
      </w:r>
    </w:p>
    <w:p>
      <w:pPr>
        <w:ind w:firstLine="420" w:firstLineChars="200"/>
        <w:rPr>
          <w:rFonts w:ascii="Times New Roman" w:hAnsi="Times New Roman" w:eastAsia="宋体" w:cs="Times New Roman"/>
        </w:rPr>
      </w:pPr>
      <w:r>
        <w:rPr>
          <w:rFonts w:ascii="Times New Roman" w:hAnsi="Times New Roman" w:eastAsia="宋体" w:cs="Times New Roman"/>
        </w:rPr>
        <w:t>调查方法、调查时间和次数、药效计算方法，</w:t>
      </w:r>
      <w:r>
        <w:rPr>
          <w:rFonts w:hint="eastAsia" w:ascii="Times New Roman" w:hAnsi="Times New Roman" w:eastAsia="宋体" w:cs="Times New Roman"/>
          <w:lang w:val="en-US" w:eastAsia="zh-CN"/>
        </w:rPr>
        <w:t>满足</w:t>
      </w:r>
      <w:r>
        <w:rPr>
          <w:rFonts w:ascii="Times New Roman" w:hAnsi="Times New Roman" w:eastAsia="宋体" w:cs="Times New Roman"/>
        </w:rPr>
        <w:t>NY/T 1464.15-2007中</w:t>
      </w:r>
      <w:r>
        <w:rPr>
          <w:rFonts w:hint="eastAsia" w:ascii="Times New Roman" w:hAnsi="Times New Roman" w:eastAsia="宋体" w:cs="Times New Roman"/>
          <w:lang w:val="en-US" w:eastAsia="zh-CN"/>
        </w:rPr>
        <w:t>要求</w:t>
      </w:r>
      <w:r>
        <w:rPr>
          <w:rFonts w:ascii="Times New Roman" w:hAnsi="Times New Roman" w:eastAsia="宋体" w:cs="Times New Roman"/>
        </w:rPr>
        <w:t>。根据病情发展情况和</w:t>
      </w:r>
      <w:r>
        <w:rPr>
          <w:rFonts w:hint="eastAsia" w:ascii="Times New Roman" w:hAnsi="Times New Roman" w:eastAsia="宋体" w:cs="Times New Roman"/>
        </w:rPr>
        <w:t>监测评价协议</w:t>
      </w:r>
      <w:r>
        <w:rPr>
          <w:rFonts w:ascii="Times New Roman" w:hAnsi="Times New Roman" w:eastAsia="宋体" w:cs="Times New Roman"/>
        </w:rPr>
        <w:t>要求确定调查时间和次数，一般在小麦病情稳定</w:t>
      </w:r>
      <w:r>
        <w:rPr>
          <w:rFonts w:hint="eastAsia" w:ascii="Times New Roman" w:hAnsi="Times New Roman" w:eastAsia="宋体" w:cs="Times New Roman"/>
        </w:rPr>
        <w:t>后或</w:t>
      </w:r>
      <w:r>
        <w:rPr>
          <w:rFonts w:ascii="Times New Roman" w:hAnsi="Times New Roman" w:eastAsia="宋体" w:cs="Times New Roman"/>
        </w:rPr>
        <w:t>收获前10d调查。</w:t>
      </w:r>
    </w:p>
    <w:p>
      <w:pPr>
        <w:rPr>
          <w:rFonts w:ascii="Times New Roman" w:hAnsi="Times New Roman" w:eastAsia="宋体" w:cs="Times New Roman"/>
        </w:rPr>
      </w:pPr>
      <w:r>
        <w:rPr>
          <w:rFonts w:ascii="Times New Roman" w:hAnsi="Times New Roman" w:eastAsia="宋体" w:cs="Times New Roman"/>
        </w:rPr>
        <w:t>5.3.2 纹枯病</w:t>
      </w:r>
    </w:p>
    <w:p>
      <w:pPr>
        <w:ind w:firstLine="420" w:firstLineChars="200"/>
        <w:rPr>
          <w:rFonts w:ascii="Times New Roman" w:hAnsi="Times New Roman" w:eastAsia="宋体" w:cs="Times New Roman"/>
        </w:rPr>
      </w:pPr>
      <w:r>
        <w:rPr>
          <w:rFonts w:ascii="Times New Roman" w:hAnsi="Times New Roman" w:eastAsia="宋体" w:cs="Times New Roman"/>
        </w:rPr>
        <w:t>调查方法、调查时间和次数、药效计算方法，按照</w:t>
      </w:r>
      <w:r>
        <w:rPr>
          <w:rFonts w:ascii="Times New Roman" w:hAnsi="Times New Roman" w:cs="Times New Roman"/>
          <w:szCs w:val="21"/>
        </w:rPr>
        <w:t>GB/T 17980.108-2004</w:t>
      </w:r>
      <w:r>
        <w:rPr>
          <w:rFonts w:ascii="Times New Roman" w:hAnsi="Times New Roman" w:eastAsia="宋体" w:cs="Times New Roman"/>
        </w:rPr>
        <w:t>中规定。按</w:t>
      </w:r>
      <w:r>
        <w:rPr>
          <w:rFonts w:hint="eastAsia" w:ascii="Times New Roman" w:hAnsi="Times New Roman" w:eastAsia="宋体" w:cs="Times New Roman"/>
        </w:rPr>
        <w:t>监测评价协议</w:t>
      </w:r>
      <w:r>
        <w:rPr>
          <w:rFonts w:ascii="Times New Roman" w:hAnsi="Times New Roman" w:eastAsia="宋体" w:cs="Times New Roman"/>
        </w:rPr>
        <w:t>要求进行，通常分别</w:t>
      </w:r>
      <w:r>
        <w:rPr>
          <w:rFonts w:hint="eastAsia" w:ascii="Times New Roman" w:hAnsi="Times New Roman" w:eastAsia="宋体" w:cs="Times New Roman"/>
        </w:rPr>
        <w:t>在</w:t>
      </w:r>
      <w:r>
        <w:rPr>
          <w:rFonts w:ascii="Times New Roman" w:hAnsi="Times New Roman" w:eastAsia="宋体" w:cs="Times New Roman"/>
        </w:rPr>
        <w:t>拔节期、枯白穗显症期各调查一次。</w:t>
      </w:r>
    </w:p>
    <w:p>
      <w:pPr>
        <w:rPr>
          <w:rFonts w:ascii="Times New Roman" w:hAnsi="Times New Roman" w:eastAsia="宋体" w:cs="Times New Roman"/>
        </w:rPr>
      </w:pPr>
      <w:r>
        <w:rPr>
          <w:rFonts w:ascii="Times New Roman" w:hAnsi="Times New Roman" w:eastAsia="宋体" w:cs="Times New Roman"/>
        </w:rPr>
        <w:t>5.3.3 白粉病</w:t>
      </w:r>
    </w:p>
    <w:p>
      <w:pPr>
        <w:ind w:firstLine="420" w:firstLineChars="200"/>
        <w:rPr>
          <w:rFonts w:ascii="Times New Roman" w:hAnsi="Times New Roman" w:eastAsia="宋体" w:cs="Times New Roman"/>
        </w:rPr>
      </w:pPr>
      <w:r>
        <w:rPr>
          <w:rFonts w:ascii="Times New Roman" w:hAnsi="Times New Roman" w:eastAsia="宋体" w:cs="Times New Roman"/>
        </w:rPr>
        <w:t>调查方法、调查时间和次数、药效计算方法，按照</w:t>
      </w:r>
      <w:r>
        <w:rPr>
          <w:rFonts w:ascii="Times New Roman" w:hAnsi="Times New Roman" w:cs="Times New Roman"/>
          <w:szCs w:val="21"/>
        </w:rPr>
        <w:t>GB/T 17980.22-2000</w:t>
      </w:r>
      <w:r>
        <w:rPr>
          <w:rFonts w:ascii="Times New Roman" w:hAnsi="Times New Roman" w:eastAsia="宋体" w:cs="Times New Roman"/>
        </w:rPr>
        <w:t>中规定。按照</w:t>
      </w:r>
      <w:r>
        <w:rPr>
          <w:rFonts w:hint="eastAsia" w:ascii="Times New Roman" w:hAnsi="Times New Roman" w:eastAsia="宋体" w:cs="Times New Roman"/>
        </w:rPr>
        <w:t>监测评价协议</w:t>
      </w:r>
      <w:r>
        <w:rPr>
          <w:rFonts w:ascii="Times New Roman" w:hAnsi="Times New Roman" w:eastAsia="宋体" w:cs="Times New Roman"/>
        </w:rPr>
        <w:t>要求进行，第一次喷药处理前，调查并记录病情基数。以后每次</w:t>
      </w:r>
      <w:r>
        <w:rPr>
          <w:rFonts w:hint="eastAsia" w:ascii="Times New Roman" w:hAnsi="Times New Roman" w:eastAsia="宋体" w:cs="Times New Roman"/>
        </w:rPr>
        <w:t>施</w:t>
      </w:r>
      <w:r>
        <w:rPr>
          <w:rFonts w:ascii="Times New Roman" w:hAnsi="Times New Roman" w:eastAsia="宋体" w:cs="Times New Roman"/>
        </w:rPr>
        <w:t>药前进行药效调查，最后一次用药后10</w:t>
      </w:r>
      <w:r>
        <w:rPr>
          <w:rFonts w:hint="eastAsia" w:ascii="Times New Roman" w:hAnsi="Times New Roman" w:eastAsia="宋体" w:cs="Times New Roman"/>
        </w:rPr>
        <w:t>d~</w:t>
      </w:r>
      <w:r>
        <w:rPr>
          <w:rFonts w:ascii="Times New Roman" w:hAnsi="Times New Roman" w:eastAsia="宋体" w:cs="Times New Roman"/>
        </w:rPr>
        <w:t>14d进行最后的药效调查。</w:t>
      </w:r>
    </w:p>
    <w:p>
      <w:pPr>
        <w:jc w:val="left"/>
        <w:rPr>
          <w:rFonts w:ascii="Times New Roman" w:hAnsi="Times New Roman" w:eastAsia="宋体" w:cs="Times New Roman"/>
        </w:rPr>
      </w:pPr>
      <w:r>
        <w:rPr>
          <w:rFonts w:ascii="Times New Roman" w:hAnsi="Times New Roman" w:eastAsia="宋体" w:cs="Times New Roman"/>
        </w:rPr>
        <w:t>5.3.</w:t>
      </w:r>
      <w:r>
        <w:rPr>
          <w:rFonts w:hint="eastAsia" w:ascii="Times New Roman" w:hAnsi="Times New Roman" w:eastAsia="宋体" w:cs="Times New Roman"/>
        </w:rPr>
        <w:t>4</w:t>
      </w:r>
      <w:r>
        <w:rPr>
          <w:rFonts w:ascii="Times New Roman" w:hAnsi="Times New Roman" w:eastAsia="宋体" w:cs="Times New Roman"/>
        </w:rPr>
        <w:t xml:space="preserve"> 锈病</w:t>
      </w:r>
      <w:r>
        <w:rPr>
          <w:rFonts w:ascii="Times New Roman" w:hAnsi="Times New Roman" w:cs="Times New Roman"/>
          <w:szCs w:val="21"/>
        </w:rPr>
        <w:t>（叶锈、条锈</w:t>
      </w:r>
      <w:r>
        <w:rPr>
          <w:rFonts w:hint="eastAsia" w:ascii="Times New Roman" w:hAnsi="Times New Roman" w:cs="Times New Roman"/>
          <w:szCs w:val="21"/>
        </w:rPr>
        <w:t>、</w:t>
      </w:r>
      <w:r>
        <w:rPr>
          <w:rFonts w:ascii="Times New Roman" w:hAnsi="Times New Roman" w:cs="Times New Roman"/>
          <w:szCs w:val="21"/>
        </w:rPr>
        <w:t>秆锈）</w:t>
      </w:r>
    </w:p>
    <w:p>
      <w:pPr>
        <w:ind w:firstLine="420" w:firstLineChars="200"/>
        <w:rPr>
          <w:rFonts w:ascii="Times New Roman" w:hAnsi="Times New Roman" w:eastAsia="宋体" w:cs="Times New Roman"/>
        </w:rPr>
      </w:pPr>
      <w:r>
        <w:rPr>
          <w:rFonts w:ascii="Times New Roman" w:hAnsi="Times New Roman" w:eastAsia="宋体" w:cs="Times New Roman"/>
        </w:rPr>
        <w:t>调查方法、调查时间和次数、药效计算方法，按照GB/T 17980.23-2000中规定。第一次施药前调查病情基数，再次调查要根据病害发展情况、药剂的持效期以及</w:t>
      </w:r>
      <w:r>
        <w:rPr>
          <w:rFonts w:hint="eastAsia" w:ascii="Times New Roman" w:hAnsi="Times New Roman" w:eastAsia="宋体" w:cs="Times New Roman"/>
        </w:rPr>
        <w:t>监测评价协议</w:t>
      </w:r>
      <w:r>
        <w:rPr>
          <w:rFonts w:ascii="Times New Roman" w:hAnsi="Times New Roman" w:eastAsia="宋体" w:cs="Times New Roman"/>
        </w:rPr>
        <w:t>要求决定，通常最后一次调查在末次施药后7</w:t>
      </w:r>
      <w:r>
        <w:rPr>
          <w:rFonts w:hint="eastAsia" w:ascii="Times New Roman" w:hAnsi="Times New Roman" w:eastAsia="宋体" w:cs="Times New Roman"/>
        </w:rPr>
        <w:t>d~</w:t>
      </w:r>
      <w:r>
        <w:rPr>
          <w:rFonts w:ascii="Times New Roman" w:hAnsi="Times New Roman" w:eastAsia="宋体" w:cs="Times New Roman"/>
        </w:rPr>
        <w:t>14d进行</w:t>
      </w:r>
      <w:r>
        <w:rPr>
          <w:rFonts w:hint="eastAsia" w:ascii="Times New Roman" w:hAnsi="Times New Roman" w:eastAsia="宋体" w:cs="Times New Roman"/>
        </w:rPr>
        <w:t>。</w:t>
      </w:r>
    </w:p>
    <w:p>
      <w:pPr>
        <w:ind w:firstLine="420" w:firstLineChars="200"/>
        <w:rPr>
          <w:rFonts w:ascii="Times New Roman" w:hAnsi="Times New Roman" w:eastAsia="宋体" w:cs="Times New Roman"/>
        </w:rPr>
      </w:pPr>
    </w:p>
    <w:p>
      <w:pPr>
        <w:spacing w:before="156" w:beforeLines="50" w:after="156" w:afterLines="50"/>
        <w:rPr>
          <w:rFonts w:ascii="Times New Roman" w:hAnsi="Times New Roman" w:eastAsia="黑体" w:cs="Times New Roman"/>
        </w:rPr>
      </w:pPr>
      <w:r>
        <w:rPr>
          <w:rFonts w:ascii="Times New Roman" w:hAnsi="Times New Roman" w:eastAsia="黑体" w:cs="Times New Roman"/>
        </w:rPr>
        <w:t>5.4 虫害防效调查</w:t>
      </w:r>
    </w:p>
    <w:p>
      <w:pPr>
        <w:ind w:firstLine="420" w:firstLineChars="200"/>
        <w:rPr>
          <w:rFonts w:ascii="Times New Roman" w:hAnsi="Times New Roman" w:eastAsia="宋体" w:cs="Times New Roman"/>
        </w:rPr>
      </w:pPr>
      <w:r>
        <w:rPr>
          <w:rFonts w:hint="eastAsia" w:ascii="Times New Roman" w:hAnsi="Times New Roman" w:eastAsia="宋体" w:cs="Times New Roman"/>
        </w:rPr>
        <w:t>主要调查</w:t>
      </w:r>
      <w:r>
        <w:rPr>
          <w:rFonts w:ascii="Times New Roman" w:hAnsi="Times New Roman" w:eastAsia="宋体" w:cs="Times New Roman"/>
        </w:rPr>
        <w:t>蚜虫</w:t>
      </w:r>
      <w:r>
        <w:rPr>
          <w:rFonts w:hint="eastAsia" w:ascii="Times New Roman" w:hAnsi="Times New Roman" w:eastAsia="宋体" w:cs="Times New Roman"/>
        </w:rPr>
        <w:t>。</w:t>
      </w:r>
      <w:r>
        <w:rPr>
          <w:rFonts w:ascii="Times New Roman" w:hAnsi="Times New Roman" w:eastAsia="宋体" w:cs="Times New Roman"/>
        </w:rPr>
        <w:t>调查方法、药效计算方法，按照</w:t>
      </w:r>
      <w:r>
        <w:rPr>
          <w:rFonts w:ascii="Times New Roman" w:hAnsi="Times New Roman" w:cs="Times New Roman"/>
          <w:szCs w:val="21"/>
        </w:rPr>
        <w:t>GB/T 17980.79-2004</w:t>
      </w:r>
      <w:r>
        <w:rPr>
          <w:rFonts w:ascii="Times New Roman" w:hAnsi="Times New Roman" w:eastAsia="宋体" w:cs="Times New Roman"/>
        </w:rPr>
        <w:t xml:space="preserve">中规定。施药前调查蚜虫基数，施药后 </w:t>
      </w:r>
      <w:r>
        <w:rPr>
          <w:rFonts w:hint="eastAsia" w:ascii="Times New Roman" w:hAnsi="Times New Roman" w:eastAsia="宋体" w:cs="Times New Roman"/>
        </w:rPr>
        <w:t>3d</w:t>
      </w:r>
      <w:r>
        <w:rPr>
          <w:rFonts w:ascii="Times New Roman" w:hAnsi="Times New Roman" w:eastAsia="宋体" w:cs="Times New Roman"/>
        </w:rPr>
        <w:t>、</w:t>
      </w:r>
      <w:r>
        <w:rPr>
          <w:rFonts w:hint="eastAsia" w:ascii="Times New Roman" w:hAnsi="Times New Roman" w:eastAsia="宋体" w:cs="Times New Roman"/>
        </w:rPr>
        <w:t>7d</w:t>
      </w:r>
      <w:r>
        <w:rPr>
          <w:rFonts w:ascii="Times New Roman" w:hAnsi="Times New Roman" w:eastAsia="宋体" w:cs="Times New Roman"/>
        </w:rPr>
        <w:t>、</w:t>
      </w:r>
      <w:r>
        <w:rPr>
          <w:rFonts w:hint="eastAsia" w:ascii="Times New Roman" w:hAnsi="Times New Roman" w:eastAsia="宋体" w:cs="Times New Roman"/>
        </w:rPr>
        <w:t>14</w:t>
      </w:r>
      <w:r>
        <w:rPr>
          <w:rFonts w:ascii="Times New Roman" w:hAnsi="Times New Roman" w:eastAsia="宋体" w:cs="Times New Roman"/>
        </w:rPr>
        <w:t xml:space="preserve"> d各调查一次。</w:t>
      </w:r>
    </w:p>
    <w:p>
      <w:pPr>
        <w:spacing w:before="312" w:beforeLines="100" w:after="312" w:afterLines="100"/>
        <w:rPr>
          <w:rFonts w:ascii="Times New Roman" w:hAnsi="Times New Roman" w:eastAsia="黑体" w:cs="Times New Roman"/>
        </w:rPr>
      </w:pPr>
      <w:r>
        <w:rPr>
          <w:rFonts w:ascii="Times New Roman" w:hAnsi="Times New Roman" w:eastAsia="黑体" w:cs="Times New Roman"/>
        </w:rPr>
        <w:t>6 评价</w:t>
      </w:r>
    </w:p>
    <w:p>
      <w:pPr>
        <w:spacing w:before="156" w:beforeLines="50" w:after="156" w:afterLines="50"/>
        <w:ind w:firstLine="420" w:firstLineChars="200"/>
        <w:rPr>
          <w:rFonts w:ascii="Times New Roman" w:hAnsi="Times New Roman" w:eastAsia="宋体" w:cs="Times New Roman"/>
        </w:rPr>
      </w:pPr>
      <w:r>
        <w:rPr>
          <w:rFonts w:ascii="Times New Roman" w:hAnsi="Times New Roman" w:eastAsia="宋体" w:cs="Times New Roman"/>
        </w:rPr>
        <w:t>杀菌剂按表1规定执行，根据病指防效评价其有效性</w:t>
      </w:r>
      <w:r>
        <w:rPr>
          <w:rFonts w:hint="eastAsia" w:ascii="Times New Roman" w:hAnsi="Times New Roman" w:eastAsia="宋体" w:cs="Times New Roman"/>
        </w:rPr>
        <w:t>（多次调查的计算</w:t>
      </w:r>
      <w:r>
        <w:rPr>
          <w:rFonts w:ascii="Times New Roman" w:hAnsi="Times New Roman" w:eastAsia="宋体" w:cs="Times New Roman"/>
        </w:rPr>
        <w:t>病指防效</w:t>
      </w:r>
      <w:r>
        <w:rPr>
          <w:rFonts w:hint="eastAsia" w:ascii="Times New Roman" w:hAnsi="Times New Roman" w:eastAsia="宋体" w:cs="Times New Roman"/>
        </w:rPr>
        <w:t>平均数）</w:t>
      </w:r>
      <w:r>
        <w:rPr>
          <w:rFonts w:ascii="Times New Roman" w:hAnsi="Times New Roman" w:eastAsia="宋体" w:cs="Times New Roman"/>
        </w:rPr>
        <w:t>；杀虫剂按表2规定执行，</w:t>
      </w:r>
      <w:r>
        <w:rPr>
          <w:rFonts w:hint="eastAsia" w:ascii="Times New Roman" w:hAnsi="Times New Roman" w:eastAsia="宋体" w:cs="Times New Roman"/>
        </w:rPr>
        <w:t>从速效性、持效性、长效性三方面进行综合评价。</w:t>
      </w:r>
    </w:p>
    <w:p>
      <w:pPr>
        <w:spacing w:before="156" w:beforeLines="50" w:after="156" w:afterLines="50"/>
        <w:jc w:val="center"/>
        <w:rPr>
          <w:rFonts w:ascii="Times New Roman" w:hAnsi="Times New Roman" w:eastAsia="宋体" w:cs="Times New Roman"/>
        </w:rPr>
      </w:pPr>
      <w:r>
        <w:rPr>
          <w:rFonts w:ascii="Times New Roman" w:hAnsi="Times New Roman" w:eastAsia="宋体" w:cs="Times New Roman"/>
        </w:rPr>
        <w:t>表1 杀菌剂有效性评价</w:t>
      </w:r>
      <w:r>
        <w:rPr>
          <w:rFonts w:hint="eastAsia" w:ascii="Times New Roman" w:hAnsi="Times New Roman" w:eastAsia="宋体" w:cs="Times New Roman"/>
        </w:rPr>
        <w:t>指标</w:t>
      </w:r>
    </w:p>
    <w:tbl>
      <w:tblPr>
        <w:tblStyle w:val="8"/>
        <w:tblW w:w="870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15"/>
        <w:gridCol w:w="3882"/>
        <w:gridCol w:w="300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15" w:type="dxa"/>
            <w:shd w:val="clear" w:color="auto" w:fill="auto"/>
            <w:vAlign w:val="center"/>
          </w:tcPr>
          <w:p>
            <w:pPr>
              <w:jc w:val="center"/>
              <w:rPr>
                <w:rFonts w:ascii="Times New Roman" w:hAnsi="Times New Roman" w:cs="Times New Roman"/>
                <w:sz w:val="18"/>
                <w:szCs w:val="21"/>
              </w:rPr>
            </w:pPr>
            <w:r>
              <w:rPr>
                <w:rFonts w:ascii="Times New Roman" w:hAnsi="Times New Roman" w:cs="Times New Roman"/>
                <w:sz w:val="18"/>
                <w:szCs w:val="21"/>
              </w:rPr>
              <w:t>病害种类</w:t>
            </w:r>
          </w:p>
        </w:tc>
        <w:tc>
          <w:tcPr>
            <w:tcW w:w="3882" w:type="dxa"/>
            <w:shd w:val="clear" w:color="auto" w:fill="auto"/>
            <w:vAlign w:val="center"/>
          </w:tcPr>
          <w:p>
            <w:pPr>
              <w:jc w:val="center"/>
              <w:rPr>
                <w:rFonts w:ascii="Times New Roman" w:hAnsi="Times New Roman" w:cs="Times New Roman"/>
                <w:sz w:val="18"/>
                <w:szCs w:val="21"/>
              </w:rPr>
            </w:pPr>
            <w:r>
              <w:rPr>
                <w:rFonts w:ascii="Times New Roman" w:hAnsi="Times New Roman" w:cs="Times New Roman"/>
                <w:sz w:val="18"/>
                <w:szCs w:val="21"/>
              </w:rPr>
              <w:t>病指防效</w:t>
            </w:r>
          </w:p>
        </w:tc>
        <w:tc>
          <w:tcPr>
            <w:tcW w:w="3006" w:type="dxa"/>
            <w:shd w:val="clear" w:color="auto" w:fill="auto"/>
            <w:vAlign w:val="center"/>
          </w:tcPr>
          <w:p>
            <w:pPr>
              <w:jc w:val="center"/>
              <w:rPr>
                <w:rFonts w:ascii="Times New Roman" w:hAnsi="Times New Roman" w:cs="Times New Roman"/>
                <w:sz w:val="18"/>
                <w:szCs w:val="21"/>
              </w:rPr>
            </w:pPr>
            <w:r>
              <w:rPr>
                <w:rFonts w:ascii="Times New Roman" w:hAnsi="Times New Roman" w:cs="Times New Roman"/>
                <w:sz w:val="18"/>
                <w:szCs w:val="21"/>
              </w:rPr>
              <w:t>评价等级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15" w:type="dxa"/>
            <w:vMerge w:val="restart"/>
            <w:shd w:val="clear" w:color="auto" w:fill="auto"/>
            <w:vAlign w:val="center"/>
          </w:tcPr>
          <w:p>
            <w:pPr>
              <w:jc w:val="center"/>
              <w:rPr>
                <w:rFonts w:ascii="Times New Roman" w:hAnsi="Times New Roman" w:cs="Times New Roman"/>
                <w:sz w:val="18"/>
                <w:szCs w:val="21"/>
              </w:rPr>
            </w:pPr>
            <w:r>
              <w:rPr>
                <w:rFonts w:hint="eastAsia" w:ascii="Times New Roman" w:hAnsi="Times New Roman" w:cs="Times New Roman"/>
                <w:sz w:val="18"/>
                <w:szCs w:val="21"/>
              </w:rPr>
              <w:t>赤霉病、白粉病、</w:t>
            </w:r>
          </w:p>
          <w:p>
            <w:pPr>
              <w:jc w:val="center"/>
              <w:rPr>
                <w:rFonts w:ascii="Times New Roman" w:hAnsi="Times New Roman" w:cs="Times New Roman"/>
                <w:sz w:val="18"/>
                <w:szCs w:val="21"/>
              </w:rPr>
            </w:pPr>
            <w:r>
              <w:rPr>
                <w:rFonts w:hint="eastAsia" w:ascii="Times New Roman" w:hAnsi="Times New Roman" w:cs="Times New Roman"/>
                <w:sz w:val="18"/>
                <w:szCs w:val="21"/>
              </w:rPr>
              <w:t>锈病</w:t>
            </w:r>
          </w:p>
        </w:tc>
        <w:tc>
          <w:tcPr>
            <w:tcW w:w="3882" w:type="dxa"/>
            <w:shd w:val="clear" w:color="auto" w:fill="auto"/>
            <w:vAlign w:val="center"/>
          </w:tcPr>
          <w:p>
            <w:pPr>
              <w:jc w:val="center"/>
              <w:rPr>
                <w:rFonts w:ascii="Times New Roman" w:hAnsi="Times New Roman" w:cs="Times New Roman"/>
                <w:sz w:val="18"/>
                <w:szCs w:val="21"/>
              </w:rPr>
            </w:pPr>
            <w:r>
              <w:rPr>
                <w:rFonts w:ascii="Times New Roman" w:hAnsi="Times New Roman" w:cs="Times New Roman"/>
                <w:sz w:val="18"/>
                <w:szCs w:val="21"/>
              </w:rPr>
              <w:t>≥90%</w:t>
            </w:r>
          </w:p>
        </w:tc>
        <w:tc>
          <w:tcPr>
            <w:tcW w:w="3006" w:type="dxa"/>
            <w:shd w:val="clear" w:color="auto" w:fill="auto"/>
          </w:tcPr>
          <w:p>
            <w:pPr>
              <w:jc w:val="center"/>
              <w:rPr>
                <w:rFonts w:ascii="Times New Roman" w:hAnsi="Times New Roman" w:cs="Times New Roman"/>
                <w:sz w:val="18"/>
                <w:szCs w:val="21"/>
              </w:rPr>
            </w:pPr>
            <w:r>
              <w:rPr>
                <w:rFonts w:ascii="Times New Roman" w:hAnsi="Times New Roman" w:cs="Times New Roman"/>
                <w:sz w:val="18"/>
                <w:szCs w:val="21"/>
              </w:rPr>
              <w:t>优秀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15" w:type="dxa"/>
            <w:vMerge w:val="continue"/>
            <w:shd w:val="clear" w:color="auto" w:fill="auto"/>
            <w:vAlign w:val="center"/>
          </w:tcPr>
          <w:p>
            <w:pPr>
              <w:jc w:val="center"/>
              <w:rPr>
                <w:rFonts w:ascii="Times New Roman" w:hAnsi="Times New Roman" w:cs="Times New Roman"/>
                <w:sz w:val="18"/>
                <w:szCs w:val="21"/>
              </w:rPr>
            </w:pPr>
          </w:p>
        </w:tc>
        <w:tc>
          <w:tcPr>
            <w:tcW w:w="3882" w:type="dxa"/>
            <w:shd w:val="clear" w:color="auto" w:fill="auto"/>
            <w:vAlign w:val="center"/>
          </w:tcPr>
          <w:p>
            <w:pPr>
              <w:jc w:val="center"/>
              <w:rPr>
                <w:rFonts w:ascii="Times New Roman" w:hAnsi="Times New Roman" w:cs="Times New Roman"/>
                <w:sz w:val="18"/>
                <w:szCs w:val="21"/>
              </w:rPr>
            </w:pPr>
            <w:r>
              <w:rPr>
                <w:rFonts w:ascii="Times New Roman" w:hAnsi="Times New Roman" w:cs="Times New Roman"/>
                <w:sz w:val="18"/>
                <w:szCs w:val="21"/>
              </w:rPr>
              <w:t>≥80%,&lt;90%</w:t>
            </w:r>
          </w:p>
        </w:tc>
        <w:tc>
          <w:tcPr>
            <w:tcW w:w="3006" w:type="dxa"/>
            <w:shd w:val="clear" w:color="auto" w:fill="auto"/>
          </w:tcPr>
          <w:p>
            <w:pPr>
              <w:jc w:val="center"/>
              <w:rPr>
                <w:rFonts w:ascii="Times New Roman" w:hAnsi="Times New Roman" w:cs="Times New Roman"/>
                <w:sz w:val="18"/>
                <w:szCs w:val="21"/>
              </w:rPr>
            </w:pPr>
            <w:r>
              <w:rPr>
                <w:rFonts w:ascii="Times New Roman" w:hAnsi="Times New Roman" w:cs="Times New Roman"/>
                <w:sz w:val="18"/>
                <w:szCs w:val="21"/>
              </w:rPr>
              <w:t>良好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15" w:type="dxa"/>
            <w:vMerge w:val="continue"/>
            <w:shd w:val="clear" w:color="auto" w:fill="auto"/>
            <w:vAlign w:val="center"/>
          </w:tcPr>
          <w:p>
            <w:pPr>
              <w:jc w:val="center"/>
              <w:rPr>
                <w:rFonts w:ascii="Times New Roman" w:hAnsi="Times New Roman" w:cs="Times New Roman"/>
                <w:sz w:val="18"/>
                <w:szCs w:val="21"/>
              </w:rPr>
            </w:pPr>
          </w:p>
        </w:tc>
        <w:tc>
          <w:tcPr>
            <w:tcW w:w="3882" w:type="dxa"/>
            <w:shd w:val="clear" w:color="auto" w:fill="auto"/>
            <w:vAlign w:val="center"/>
          </w:tcPr>
          <w:p>
            <w:pPr>
              <w:jc w:val="center"/>
              <w:rPr>
                <w:rFonts w:ascii="Times New Roman" w:hAnsi="Times New Roman" w:cs="Times New Roman"/>
                <w:sz w:val="18"/>
                <w:szCs w:val="21"/>
              </w:rPr>
            </w:pPr>
            <w:r>
              <w:rPr>
                <w:rFonts w:ascii="Times New Roman" w:hAnsi="Times New Roman" w:cs="Times New Roman"/>
                <w:sz w:val="18"/>
                <w:szCs w:val="21"/>
              </w:rPr>
              <w:t>≥70%,&lt;80%</w:t>
            </w:r>
          </w:p>
        </w:tc>
        <w:tc>
          <w:tcPr>
            <w:tcW w:w="3006" w:type="dxa"/>
            <w:shd w:val="clear" w:color="auto" w:fill="auto"/>
            <w:vAlign w:val="center"/>
          </w:tcPr>
          <w:p>
            <w:pPr>
              <w:jc w:val="center"/>
              <w:rPr>
                <w:rFonts w:ascii="Times New Roman" w:hAnsi="Times New Roman" w:cs="Times New Roman"/>
                <w:sz w:val="18"/>
                <w:szCs w:val="21"/>
              </w:rPr>
            </w:pPr>
            <w:r>
              <w:rPr>
                <w:rFonts w:ascii="Times New Roman" w:hAnsi="Times New Roman" w:cs="Times New Roman"/>
                <w:sz w:val="18"/>
                <w:szCs w:val="21"/>
              </w:rPr>
              <w:t>中等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15" w:type="dxa"/>
            <w:vMerge w:val="continue"/>
            <w:shd w:val="clear" w:color="auto" w:fill="auto"/>
            <w:vAlign w:val="center"/>
          </w:tcPr>
          <w:p>
            <w:pPr>
              <w:jc w:val="center"/>
              <w:rPr>
                <w:rFonts w:ascii="Times New Roman" w:hAnsi="Times New Roman" w:cs="Times New Roman"/>
                <w:sz w:val="18"/>
                <w:szCs w:val="21"/>
              </w:rPr>
            </w:pPr>
          </w:p>
        </w:tc>
        <w:tc>
          <w:tcPr>
            <w:tcW w:w="3882" w:type="dxa"/>
            <w:shd w:val="clear" w:color="auto" w:fill="auto"/>
            <w:vAlign w:val="center"/>
          </w:tcPr>
          <w:p>
            <w:pPr>
              <w:jc w:val="center"/>
              <w:rPr>
                <w:rFonts w:ascii="Times New Roman" w:hAnsi="Times New Roman" w:cs="Times New Roman"/>
                <w:sz w:val="18"/>
                <w:szCs w:val="21"/>
              </w:rPr>
            </w:pPr>
            <w:r>
              <w:rPr>
                <w:rFonts w:ascii="Times New Roman" w:hAnsi="Times New Roman" w:cs="Times New Roman"/>
                <w:sz w:val="18"/>
                <w:szCs w:val="21"/>
              </w:rPr>
              <w:t>&lt;70%</w:t>
            </w:r>
          </w:p>
        </w:tc>
        <w:tc>
          <w:tcPr>
            <w:tcW w:w="3006" w:type="dxa"/>
            <w:shd w:val="clear" w:color="auto" w:fill="auto"/>
            <w:vAlign w:val="center"/>
          </w:tcPr>
          <w:p>
            <w:pPr>
              <w:jc w:val="center"/>
              <w:rPr>
                <w:rFonts w:ascii="Times New Roman" w:hAnsi="Times New Roman" w:cs="Times New Roman"/>
                <w:sz w:val="18"/>
                <w:szCs w:val="21"/>
              </w:rPr>
            </w:pPr>
            <w:r>
              <w:rPr>
                <w:rFonts w:hint="eastAsia" w:ascii="Times New Roman" w:hAnsi="Times New Roman" w:cs="Times New Roman"/>
                <w:sz w:val="18"/>
                <w:szCs w:val="21"/>
              </w:rPr>
              <w:t>较差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15" w:type="dxa"/>
            <w:vMerge w:val="restart"/>
            <w:shd w:val="clear" w:color="auto" w:fill="auto"/>
            <w:vAlign w:val="center"/>
          </w:tcPr>
          <w:p>
            <w:pPr>
              <w:jc w:val="center"/>
              <w:rPr>
                <w:rFonts w:ascii="Times New Roman" w:hAnsi="Times New Roman" w:cs="Times New Roman"/>
                <w:sz w:val="18"/>
                <w:szCs w:val="21"/>
              </w:rPr>
            </w:pPr>
            <w:r>
              <w:rPr>
                <w:rFonts w:ascii="Times New Roman" w:hAnsi="Times New Roman" w:cs="Times New Roman"/>
                <w:sz w:val="18"/>
                <w:szCs w:val="21"/>
              </w:rPr>
              <w:t>纹枯病</w:t>
            </w:r>
          </w:p>
        </w:tc>
        <w:tc>
          <w:tcPr>
            <w:tcW w:w="3882" w:type="dxa"/>
            <w:shd w:val="clear" w:color="auto" w:fill="auto"/>
            <w:vAlign w:val="center"/>
          </w:tcPr>
          <w:p>
            <w:pPr>
              <w:jc w:val="center"/>
              <w:rPr>
                <w:rFonts w:ascii="Times New Roman" w:hAnsi="Times New Roman" w:cs="Times New Roman"/>
                <w:sz w:val="18"/>
                <w:szCs w:val="21"/>
              </w:rPr>
            </w:pPr>
            <w:r>
              <w:rPr>
                <w:rFonts w:ascii="Times New Roman" w:hAnsi="Times New Roman" w:cs="Times New Roman"/>
                <w:sz w:val="18"/>
                <w:szCs w:val="21"/>
              </w:rPr>
              <w:t>≥85%</w:t>
            </w:r>
          </w:p>
        </w:tc>
        <w:tc>
          <w:tcPr>
            <w:tcW w:w="3006" w:type="dxa"/>
            <w:shd w:val="clear" w:color="auto" w:fill="auto"/>
          </w:tcPr>
          <w:p>
            <w:pPr>
              <w:jc w:val="center"/>
              <w:rPr>
                <w:rFonts w:ascii="Times New Roman" w:hAnsi="Times New Roman" w:cs="Times New Roman"/>
                <w:sz w:val="18"/>
                <w:szCs w:val="21"/>
              </w:rPr>
            </w:pPr>
            <w:r>
              <w:rPr>
                <w:rFonts w:ascii="Times New Roman" w:hAnsi="Times New Roman" w:cs="Times New Roman"/>
                <w:sz w:val="18"/>
                <w:szCs w:val="21"/>
              </w:rPr>
              <w:t>优秀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15" w:type="dxa"/>
            <w:vMerge w:val="continue"/>
            <w:shd w:val="clear" w:color="auto" w:fill="auto"/>
            <w:vAlign w:val="center"/>
          </w:tcPr>
          <w:p>
            <w:pPr>
              <w:jc w:val="center"/>
              <w:rPr>
                <w:rFonts w:ascii="Times New Roman" w:hAnsi="Times New Roman" w:cs="Times New Roman"/>
                <w:sz w:val="18"/>
                <w:szCs w:val="21"/>
              </w:rPr>
            </w:pPr>
          </w:p>
        </w:tc>
        <w:tc>
          <w:tcPr>
            <w:tcW w:w="3882" w:type="dxa"/>
            <w:shd w:val="clear" w:color="auto" w:fill="auto"/>
            <w:vAlign w:val="center"/>
          </w:tcPr>
          <w:p>
            <w:pPr>
              <w:jc w:val="center"/>
              <w:rPr>
                <w:rFonts w:ascii="Times New Roman" w:hAnsi="Times New Roman" w:cs="Times New Roman"/>
                <w:sz w:val="18"/>
                <w:szCs w:val="21"/>
              </w:rPr>
            </w:pPr>
            <w:r>
              <w:rPr>
                <w:rFonts w:ascii="Times New Roman" w:hAnsi="Times New Roman" w:cs="Times New Roman"/>
                <w:sz w:val="18"/>
                <w:szCs w:val="21"/>
              </w:rPr>
              <w:t>≥75%,&lt;85%</w:t>
            </w:r>
          </w:p>
        </w:tc>
        <w:tc>
          <w:tcPr>
            <w:tcW w:w="3006" w:type="dxa"/>
            <w:shd w:val="clear" w:color="auto" w:fill="auto"/>
          </w:tcPr>
          <w:p>
            <w:pPr>
              <w:jc w:val="center"/>
              <w:rPr>
                <w:rFonts w:ascii="Times New Roman" w:hAnsi="Times New Roman" w:cs="Times New Roman"/>
                <w:sz w:val="18"/>
                <w:szCs w:val="21"/>
              </w:rPr>
            </w:pPr>
            <w:r>
              <w:rPr>
                <w:rFonts w:ascii="Times New Roman" w:hAnsi="Times New Roman" w:cs="Times New Roman"/>
                <w:sz w:val="18"/>
                <w:szCs w:val="21"/>
              </w:rPr>
              <w:t>良好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15" w:type="dxa"/>
            <w:vMerge w:val="continue"/>
            <w:shd w:val="clear" w:color="auto" w:fill="auto"/>
            <w:vAlign w:val="center"/>
          </w:tcPr>
          <w:p>
            <w:pPr>
              <w:jc w:val="center"/>
              <w:rPr>
                <w:rFonts w:ascii="Times New Roman" w:hAnsi="Times New Roman" w:cs="Times New Roman"/>
                <w:sz w:val="18"/>
                <w:szCs w:val="21"/>
              </w:rPr>
            </w:pPr>
          </w:p>
        </w:tc>
        <w:tc>
          <w:tcPr>
            <w:tcW w:w="3882" w:type="dxa"/>
            <w:shd w:val="clear" w:color="auto" w:fill="auto"/>
            <w:vAlign w:val="center"/>
          </w:tcPr>
          <w:p>
            <w:pPr>
              <w:jc w:val="center"/>
              <w:rPr>
                <w:rFonts w:ascii="Times New Roman" w:hAnsi="Times New Roman" w:cs="Times New Roman"/>
                <w:sz w:val="18"/>
                <w:szCs w:val="21"/>
              </w:rPr>
            </w:pPr>
            <w:r>
              <w:rPr>
                <w:rFonts w:ascii="Times New Roman" w:hAnsi="Times New Roman" w:cs="Times New Roman"/>
                <w:sz w:val="18"/>
                <w:szCs w:val="21"/>
              </w:rPr>
              <w:t>≥60%,&lt;7</w:t>
            </w:r>
            <w:r>
              <w:rPr>
                <w:rFonts w:hint="eastAsia" w:ascii="Times New Roman" w:hAnsi="Times New Roman" w:cs="Times New Roman"/>
                <w:sz w:val="18"/>
                <w:szCs w:val="21"/>
              </w:rPr>
              <w:t>5</w:t>
            </w:r>
            <w:r>
              <w:rPr>
                <w:rFonts w:ascii="Times New Roman" w:hAnsi="Times New Roman" w:cs="Times New Roman"/>
                <w:sz w:val="18"/>
                <w:szCs w:val="21"/>
              </w:rPr>
              <w:t>%</w:t>
            </w:r>
          </w:p>
        </w:tc>
        <w:tc>
          <w:tcPr>
            <w:tcW w:w="3006" w:type="dxa"/>
            <w:shd w:val="clear" w:color="auto" w:fill="auto"/>
            <w:vAlign w:val="center"/>
          </w:tcPr>
          <w:p>
            <w:pPr>
              <w:jc w:val="center"/>
              <w:rPr>
                <w:rFonts w:ascii="Times New Roman" w:hAnsi="Times New Roman" w:cs="Times New Roman"/>
                <w:sz w:val="18"/>
                <w:szCs w:val="21"/>
              </w:rPr>
            </w:pPr>
            <w:r>
              <w:rPr>
                <w:rFonts w:ascii="Times New Roman" w:hAnsi="Times New Roman" w:cs="Times New Roman"/>
                <w:sz w:val="18"/>
                <w:szCs w:val="21"/>
              </w:rPr>
              <w:t>中等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15" w:type="dxa"/>
            <w:vMerge w:val="continue"/>
            <w:shd w:val="clear" w:color="auto" w:fill="auto"/>
            <w:vAlign w:val="center"/>
          </w:tcPr>
          <w:p>
            <w:pPr>
              <w:jc w:val="center"/>
              <w:rPr>
                <w:rFonts w:ascii="Times New Roman" w:hAnsi="Times New Roman" w:cs="Times New Roman"/>
                <w:sz w:val="18"/>
                <w:szCs w:val="21"/>
              </w:rPr>
            </w:pPr>
          </w:p>
        </w:tc>
        <w:tc>
          <w:tcPr>
            <w:tcW w:w="3882" w:type="dxa"/>
            <w:shd w:val="clear" w:color="auto" w:fill="auto"/>
            <w:vAlign w:val="center"/>
          </w:tcPr>
          <w:p>
            <w:pPr>
              <w:jc w:val="center"/>
              <w:rPr>
                <w:rFonts w:ascii="Times New Roman" w:hAnsi="Times New Roman" w:cs="Times New Roman"/>
                <w:sz w:val="18"/>
                <w:szCs w:val="21"/>
              </w:rPr>
            </w:pPr>
            <w:r>
              <w:rPr>
                <w:rFonts w:ascii="Times New Roman" w:hAnsi="Times New Roman" w:cs="Times New Roman"/>
                <w:sz w:val="18"/>
                <w:szCs w:val="21"/>
              </w:rPr>
              <w:t>&lt;60%</w:t>
            </w:r>
          </w:p>
        </w:tc>
        <w:tc>
          <w:tcPr>
            <w:tcW w:w="3006" w:type="dxa"/>
            <w:shd w:val="clear" w:color="auto" w:fill="auto"/>
            <w:vAlign w:val="center"/>
          </w:tcPr>
          <w:p>
            <w:pPr>
              <w:jc w:val="center"/>
              <w:rPr>
                <w:rFonts w:ascii="Times New Roman" w:hAnsi="Times New Roman" w:cs="Times New Roman"/>
                <w:sz w:val="18"/>
                <w:szCs w:val="21"/>
              </w:rPr>
            </w:pPr>
            <w:r>
              <w:rPr>
                <w:rFonts w:ascii="Times New Roman" w:hAnsi="Times New Roman" w:cs="Times New Roman"/>
                <w:sz w:val="18"/>
                <w:szCs w:val="21"/>
              </w:rPr>
              <w:t>较差</w:t>
            </w:r>
          </w:p>
        </w:tc>
      </w:tr>
    </w:tbl>
    <w:p>
      <w:pPr>
        <w:spacing w:before="156" w:beforeLines="50" w:after="156" w:afterLines="50"/>
        <w:rPr>
          <w:rFonts w:ascii="Times New Roman" w:hAnsi="Times New Roman" w:eastAsia="黑体" w:cs="Times New Roman"/>
        </w:rPr>
      </w:pPr>
    </w:p>
    <w:p>
      <w:pPr>
        <w:spacing w:before="156" w:beforeLines="50" w:after="156" w:afterLines="50"/>
        <w:jc w:val="center"/>
        <w:rPr>
          <w:rFonts w:ascii="Times New Roman" w:hAnsi="Times New Roman" w:eastAsia="宋体" w:cs="Times New Roman"/>
        </w:rPr>
      </w:pPr>
      <w:r>
        <w:rPr>
          <w:rFonts w:ascii="Times New Roman" w:hAnsi="Times New Roman" w:eastAsia="宋体" w:cs="Times New Roman"/>
        </w:rPr>
        <w:t>表2 杀虫剂有效性评价</w:t>
      </w:r>
      <w:r>
        <w:rPr>
          <w:rFonts w:hint="eastAsia" w:ascii="Times New Roman" w:hAnsi="Times New Roman" w:eastAsia="宋体" w:cs="Times New Roman"/>
        </w:rPr>
        <w:t>指标</w:t>
      </w:r>
    </w:p>
    <w:tbl>
      <w:tblPr>
        <w:tblStyle w:val="8"/>
        <w:tblW w:w="882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9"/>
        <w:gridCol w:w="1162"/>
        <w:gridCol w:w="525"/>
        <w:gridCol w:w="1138"/>
        <w:gridCol w:w="575"/>
        <w:gridCol w:w="1187"/>
        <w:gridCol w:w="675"/>
        <w:gridCol w:w="1086"/>
        <w:gridCol w:w="147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09" w:type="dxa"/>
            <w:vMerge w:val="restart"/>
            <w:shd w:val="clear" w:color="auto" w:fill="auto"/>
            <w:vAlign w:val="center"/>
          </w:tcPr>
          <w:p>
            <w:pPr>
              <w:jc w:val="center"/>
              <w:rPr>
                <w:rFonts w:ascii="Times New Roman" w:hAnsi="Times New Roman" w:cs="Times New Roman"/>
                <w:sz w:val="18"/>
                <w:szCs w:val="21"/>
              </w:rPr>
            </w:pPr>
            <w:r>
              <w:rPr>
                <w:rFonts w:ascii="Times New Roman" w:hAnsi="Times New Roman" w:cs="Times New Roman"/>
                <w:sz w:val="18"/>
                <w:szCs w:val="21"/>
              </w:rPr>
              <w:t>虫害种类</w:t>
            </w:r>
          </w:p>
        </w:tc>
        <w:tc>
          <w:tcPr>
            <w:tcW w:w="5262" w:type="dxa"/>
            <w:gridSpan w:val="6"/>
            <w:shd w:val="clear" w:color="auto" w:fill="auto"/>
            <w:vAlign w:val="center"/>
          </w:tcPr>
          <w:p>
            <w:pPr>
              <w:jc w:val="center"/>
              <w:rPr>
                <w:rFonts w:ascii="Times New Roman" w:hAnsi="Times New Roman" w:cs="Times New Roman"/>
                <w:sz w:val="18"/>
                <w:szCs w:val="21"/>
              </w:rPr>
            </w:pPr>
            <w:r>
              <w:rPr>
                <w:rFonts w:ascii="Times New Roman" w:hAnsi="Times New Roman" w:cs="Times New Roman"/>
                <w:sz w:val="18"/>
                <w:szCs w:val="21"/>
              </w:rPr>
              <w:t>杀虫效果</w:t>
            </w:r>
          </w:p>
        </w:tc>
        <w:tc>
          <w:tcPr>
            <w:tcW w:w="2558" w:type="dxa"/>
            <w:gridSpan w:val="2"/>
            <w:vAlign w:val="center"/>
          </w:tcPr>
          <w:p>
            <w:pPr>
              <w:jc w:val="center"/>
              <w:rPr>
                <w:rFonts w:ascii="Times New Roman" w:hAnsi="Times New Roman" w:cs="Times New Roman"/>
                <w:sz w:val="18"/>
                <w:szCs w:val="21"/>
              </w:rPr>
            </w:pPr>
            <w:r>
              <w:rPr>
                <w:rFonts w:ascii="Times New Roman" w:hAnsi="Times New Roman" w:cs="Times New Roman"/>
                <w:sz w:val="18"/>
                <w:szCs w:val="21"/>
              </w:rPr>
              <w:t>杀虫效果评价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09" w:type="dxa"/>
            <w:vMerge w:val="continue"/>
            <w:shd w:val="clear" w:color="auto" w:fill="auto"/>
            <w:vAlign w:val="center"/>
          </w:tcPr>
          <w:p>
            <w:pPr>
              <w:jc w:val="center"/>
              <w:rPr>
                <w:rFonts w:ascii="Times New Roman" w:hAnsi="Times New Roman" w:cs="Times New Roman"/>
                <w:sz w:val="18"/>
                <w:szCs w:val="21"/>
              </w:rPr>
            </w:pPr>
          </w:p>
        </w:tc>
        <w:tc>
          <w:tcPr>
            <w:tcW w:w="1687" w:type="dxa"/>
            <w:gridSpan w:val="2"/>
            <w:shd w:val="clear" w:color="auto" w:fill="auto"/>
            <w:vAlign w:val="center"/>
          </w:tcPr>
          <w:p>
            <w:pPr>
              <w:jc w:val="center"/>
              <w:rPr>
                <w:rFonts w:ascii="Times New Roman" w:hAnsi="Times New Roman" w:cs="Times New Roman"/>
                <w:sz w:val="18"/>
                <w:szCs w:val="21"/>
              </w:rPr>
            </w:pPr>
            <w:r>
              <w:rPr>
                <w:rFonts w:ascii="Times New Roman" w:hAnsi="Times New Roman" w:cs="Times New Roman"/>
                <w:sz w:val="18"/>
                <w:szCs w:val="21"/>
              </w:rPr>
              <w:t>速效性（药后</w:t>
            </w:r>
            <w:r>
              <w:rPr>
                <w:rFonts w:hint="eastAsia" w:ascii="Times New Roman" w:hAnsi="Times New Roman" w:cs="Times New Roman"/>
                <w:sz w:val="18"/>
                <w:szCs w:val="21"/>
              </w:rPr>
              <w:t>3</w:t>
            </w:r>
            <w:r>
              <w:rPr>
                <w:rFonts w:ascii="Times New Roman" w:hAnsi="Times New Roman" w:cs="Times New Roman"/>
                <w:sz w:val="18"/>
                <w:szCs w:val="21"/>
              </w:rPr>
              <w:t>d）</w:t>
            </w:r>
          </w:p>
        </w:tc>
        <w:tc>
          <w:tcPr>
            <w:tcW w:w="1713" w:type="dxa"/>
            <w:gridSpan w:val="2"/>
            <w:vAlign w:val="center"/>
          </w:tcPr>
          <w:p>
            <w:pPr>
              <w:jc w:val="center"/>
              <w:rPr>
                <w:rFonts w:ascii="Times New Roman" w:hAnsi="Times New Roman" w:cs="Times New Roman"/>
                <w:sz w:val="18"/>
                <w:szCs w:val="21"/>
              </w:rPr>
            </w:pPr>
            <w:r>
              <w:rPr>
                <w:rFonts w:ascii="Times New Roman" w:hAnsi="Times New Roman" w:cs="Times New Roman"/>
                <w:sz w:val="18"/>
                <w:szCs w:val="21"/>
              </w:rPr>
              <w:t>持效性（药后</w:t>
            </w:r>
            <w:r>
              <w:rPr>
                <w:rFonts w:hint="eastAsia" w:ascii="Times New Roman" w:hAnsi="Times New Roman" w:cs="Times New Roman"/>
                <w:sz w:val="18"/>
                <w:szCs w:val="21"/>
              </w:rPr>
              <w:t>7</w:t>
            </w:r>
            <w:r>
              <w:rPr>
                <w:rFonts w:ascii="Times New Roman" w:hAnsi="Times New Roman" w:cs="Times New Roman"/>
                <w:sz w:val="18"/>
                <w:szCs w:val="21"/>
              </w:rPr>
              <w:t>d）</w:t>
            </w:r>
          </w:p>
        </w:tc>
        <w:tc>
          <w:tcPr>
            <w:tcW w:w="1862" w:type="dxa"/>
            <w:gridSpan w:val="2"/>
            <w:vAlign w:val="center"/>
          </w:tcPr>
          <w:p>
            <w:pPr>
              <w:jc w:val="center"/>
              <w:rPr>
                <w:rFonts w:ascii="Times New Roman" w:hAnsi="Times New Roman" w:cs="Times New Roman"/>
                <w:sz w:val="18"/>
                <w:szCs w:val="21"/>
              </w:rPr>
            </w:pPr>
            <w:r>
              <w:rPr>
                <w:rFonts w:ascii="Times New Roman" w:hAnsi="Times New Roman" w:cs="Times New Roman"/>
                <w:sz w:val="18"/>
                <w:szCs w:val="21"/>
              </w:rPr>
              <w:t>长效性（药后</w:t>
            </w:r>
            <w:r>
              <w:rPr>
                <w:rFonts w:hint="eastAsia" w:ascii="Times New Roman" w:hAnsi="Times New Roman" w:cs="Times New Roman"/>
                <w:sz w:val="18"/>
                <w:szCs w:val="21"/>
              </w:rPr>
              <w:t>14</w:t>
            </w:r>
            <w:r>
              <w:rPr>
                <w:rFonts w:ascii="Times New Roman" w:hAnsi="Times New Roman" w:cs="Times New Roman"/>
                <w:sz w:val="18"/>
                <w:szCs w:val="21"/>
              </w:rPr>
              <w:t>d）</w:t>
            </w:r>
          </w:p>
        </w:tc>
        <w:tc>
          <w:tcPr>
            <w:tcW w:w="1086" w:type="dxa"/>
            <w:vAlign w:val="center"/>
          </w:tcPr>
          <w:p>
            <w:pPr>
              <w:jc w:val="center"/>
              <w:rPr>
                <w:rFonts w:ascii="Times New Roman" w:hAnsi="Times New Roman" w:cs="Times New Roman"/>
                <w:sz w:val="18"/>
                <w:szCs w:val="21"/>
              </w:rPr>
            </w:pPr>
            <w:r>
              <w:rPr>
                <w:rFonts w:ascii="Times New Roman" w:hAnsi="Times New Roman" w:cs="Times New Roman"/>
                <w:sz w:val="18"/>
                <w:szCs w:val="21"/>
              </w:rPr>
              <w:t>“+”个数</w:t>
            </w:r>
          </w:p>
        </w:tc>
        <w:tc>
          <w:tcPr>
            <w:tcW w:w="1472" w:type="dxa"/>
            <w:shd w:val="clear" w:color="auto" w:fill="auto"/>
            <w:vAlign w:val="center"/>
          </w:tcPr>
          <w:p>
            <w:pPr>
              <w:jc w:val="center"/>
              <w:rPr>
                <w:rFonts w:ascii="Times New Roman" w:hAnsi="Times New Roman" w:cs="Times New Roman"/>
                <w:sz w:val="18"/>
                <w:szCs w:val="21"/>
              </w:rPr>
            </w:pPr>
            <w:r>
              <w:rPr>
                <w:rFonts w:ascii="Times New Roman" w:hAnsi="Times New Roman" w:cs="Times New Roman"/>
                <w:sz w:val="18"/>
                <w:szCs w:val="21"/>
              </w:rPr>
              <w:t>评价等级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09" w:type="dxa"/>
            <w:vMerge w:val="restart"/>
            <w:shd w:val="clear" w:color="auto" w:fill="auto"/>
            <w:vAlign w:val="center"/>
          </w:tcPr>
          <w:p>
            <w:pPr>
              <w:jc w:val="center"/>
              <w:rPr>
                <w:rFonts w:ascii="Times New Roman" w:hAnsi="Times New Roman" w:cs="Times New Roman"/>
                <w:sz w:val="18"/>
                <w:szCs w:val="21"/>
              </w:rPr>
            </w:pPr>
            <w:r>
              <w:rPr>
                <w:rFonts w:ascii="Times New Roman" w:hAnsi="Times New Roman" w:cs="Times New Roman"/>
                <w:sz w:val="18"/>
                <w:szCs w:val="21"/>
              </w:rPr>
              <w:t>蚜虫</w:t>
            </w:r>
          </w:p>
        </w:tc>
        <w:tc>
          <w:tcPr>
            <w:tcW w:w="1162" w:type="dxa"/>
            <w:shd w:val="clear" w:color="auto" w:fill="auto"/>
            <w:vAlign w:val="center"/>
          </w:tcPr>
          <w:p>
            <w:pPr>
              <w:jc w:val="center"/>
              <w:rPr>
                <w:rFonts w:ascii="Times New Roman" w:hAnsi="Times New Roman" w:cs="Times New Roman"/>
                <w:sz w:val="18"/>
                <w:szCs w:val="21"/>
              </w:rPr>
            </w:pPr>
            <w:r>
              <w:rPr>
                <w:rFonts w:ascii="Times New Roman" w:hAnsi="Times New Roman" w:cs="Times New Roman"/>
                <w:sz w:val="18"/>
                <w:szCs w:val="21"/>
              </w:rPr>
              <w:t>≥90%</w:t>
            </w:r>
          </w:p>
        </w:tc>
        <w:tc>
          <w:tcPr>
            <w:tcW w:w="525" w:type="dxa"/>
            <w:vAlign w:val="center"/>
          </w:tcPr>
          <w:p>
            <w:pPr>
              <w:jc w:val="center"/>
              <w:rPr>
                <w:rFonts w:ascii="Times New Roman" w:hAnsi="Times New Roman" w:cs="Times New Roman"/>
                <w:sz w:val="18"/>
                <w:szCs w:val="21"/>
              </w:rPr>
            </w:pPr>
            <w:r>
              <w:rPr>
                <w:rFonts w:ascii="Times New Roman" w:hAnsi="Times New Roman" w:cs="Times New Roman"/>
                <w:sz w:val="18"/>
                <w:szCs w:val="21"/>
              </w:rPr>
              <w:t>+++</w:t>
            </w:r>
          </w:p>
        </w:tc>
        <w:tc>
          <w:tcPr>
            <w:tcW w:w="1138" w:type="dxa"/>
            <w:shd w:val="clear" w:color="auto" w:fill="auto"/>
            <w:vAlign w:val="center"/>
          </w:tcPr>
          <w:p>
            <w:pPr>
              <w:jc w:val="center"/>
              <w:rPr>
                <w:rFonts w:ascii="Times New Roman" w:hAnsi="Times New Roman" w:cs="Times New Roman"/>
                <w:sz w:val="18"/>
                <w:szCs w:val="21"/>
              </w:rPr>
            </w:pPr>
            <w:r>
              <w:rPr>
                <w:rFonts w:ascii="Times New Roman" w:hAnsi="Times New Roman" w:cs="Times New Roman"/>
                <w:sz w:val="18"/>
                <w:szCs w:val="21"/>
              </w:rPr>
              <w:t>≥90%</w:t>
            </w:r>
          </w:p>
        </w:tc>
        <w:tc>
          <w:tcPr>
            <w:tcW w:w="575" w:type="dxa"/>
            <w:vAlign w:val="center"/>
          </w:tcPr>
          <w:p>
            <w:pPr>
              <w:jc w:val="center"/>
              <w:rPr>
                <w:rFonts w:ascii="Times New Roman" w:hAnsi="Times New Roman" w:cs="Times New Roman"/>
                <w:sz w:val="18"/>
                <w:szCs w:val="21"/>
              </w:rPr>
            </w:pPr>
            <w:r>
              <w:rPr>
                <w:rFonts w:ascii="Times New Roman" w:hAnsi="Times New Roman" w:cs="Times New Roman"/>
                <w:sz w:val="18"/>
                <w:szCs w:val="21"/>
              </w:rPr>
              <w:t>+++</w:t>
            </w:r>
          </w:p>
        </w:tc>
        <w:tc>
          <w:tcPr>
            <w:tcW w:w="1187" w:type="dxa"/>
            <w:shd w:val="clear" w:color="auto" w:fill="auto"/>
            <w:vAlign w:val="center"/>
          </w:tcPr>
          <w:p>
            <w:pPr>
              <w:jc w:val="center"/>
              <w:rPr>
                <w:rFonts w:ascii="Times New Roman" w:hAnsi="Times New Roman" w:cs="Times New Roman"/>
                <w:sz w:val="18"/>
                <w:szCs w:val="21"/>
              </w:rPr>
            </w:pPr>
            <w:r>
              <w:rPr>
                <w:rFonts w:ascii="Times New Roman" w:hAnsi="Times New Roman" w:cs="Times New Roman"/>
                <w:sz w:val="18"/>
                <w:szCs w:val="21"/>
              </w:rPr>
              <w:t>≥90%</w:t>
            </w:r>
          </w:p>
        </w:tc>
        <w:tc>
          <w:tcPr>
            <w:tcW w:w="675" w:type="dxa"/>
            <w:vAlign w:val="center"/>
          </w:tcPr>
          <w:p>
            <w:pPr>
              <w:jc w:val="center"/>
              <w:rPr>
                <w:rFonts w:ascii="Times New Roman" w:hAnsi="Times New Roman" w:cs="Times New Roman"/>
                <w:sz w:val="18"/>
                <w:szCs w:val="21"/>
              </w:rPr>
            </w:pPr>
            <w:r>
              <w:rPr>
                <w:rFonts w:ascii="Times New Roman" w:hAnsi="Times New Roman" w:cs="Times New Roman"/>
                <w:sz w:val="18"/>
                <w:szCs w:val="21"/>
              </w:rPr>
              <w:t>+++</w:t>
            </w:r>
          </w:p>
        </w:tc>
        <w:tc>
          <w:tcPr>
            <w:tcW w:w="1086" w:type="dxa"/>
            <w:vAlign w:val="center"/>
          </w:tcPr>
          <w:p>
            <w:pPr>
              <w:jc w:val="center"/>
              <w:rPr>
                <w:rFonts w:ascii="Times New Roman" w:hAnsi="Times New Roman" w:cs="Times New Roman"/>
                <w:sz w:val="18"/>
                <w:szCs w:val="21"/>
              </w:rPr>
            </w:pPr>
            <w:r>
              <w:rPr>
                <w:rFonts w:ascii="Times New Roman" w:hAnsi="Times New Roman" w:cs="Times New Roman"/>
                <w:sz w:val="18"/>
                <w:szCs w:val="21"/>
              </w:rPr>
              <w:t>7-9</w:t>
            </w:r>
          </w:p>
        </w:tc>
        <w:tc>
          <w:tcPr>
            <w:tcW w:w="1472" w:type="dxa"/>
            <w:shd w:val="clear" w:color="auto" w:fill="auto"/>
            <w:vAlign w:val="center"/>
          </w:tcPr>
          <w:p>
            <w:pPr>
              <w:jc w:val="center"/>
              <w:rPr>
                <w:rFonts w:ascii="Times New Roman" w:hAnsi="Times New Roman" w:cs="Times New Roman"/>
                <w:sz w:val="18"/>
                <w:szCs w:val="21"/>
              </w:rPr>
            </w:pPr>
            <w:r>
              <w:rPr>
                <w:rFonts w:ascii="Times New Roman" w:hAnsi="Times New Roman" w:cs="Times New Roman"/>
                <w:sz w:val="18"/>
                <w:szCs w:val="21"/>
              </w:rPr>
              <w:t>优秀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09" w:type="dxa"/>
            <w:vMerge w:val="continue"/>
            <w:shd w:val="clear" w:color="auto" w:fill="auto"/>
            <w:vAlign w:val="center"/>
          </w:tcPr>
          <w:p>
            <w:pPr>
              <w:jc w:val="center"/>
              <w:rPr>
                <w:rFonts w:ascii="Times New Roman" w:hAnsi="Times New Roman" w:cs="Times New Roman"/>
                <w:sz w:val="18"/>
                <w:szCs w:val="21"/>
              </w:rPr>
            </w:pPr>
          </w:p>
        </w:tc>
        <w:tc>
          <w:tcPr>
            <w:tcW w:w="1162" w:type="dxa"/>
            <w:shd w:val="clear" w:color="auto" w:fill="auto"/>
            <w:vAlign w:val="center"/>
          </w:tcPr>
          <w:p>
            <w:pPr>
              <w:jc w:val="center"/>
              <w:rPr>
                <w:rFonts w:ascii="Times New Roman" w:hAnsi="Times New Roman" w:cs="Times New Roman"/>
                <w:sz w:val="18"/>
                <w:szCs w:val="21"/>
              </w:rPr>
            </w:pPr>
            <w:r>
              <w:rPr>
                <w:rFonts w:ascii="Times New Roman" w:hAnsi="Times New Roman" w:cs="Times New Roman"/>
                <w:sz w:val="18"/>
                <w:szCs w:val="21"/>
              </w:rPr>
              <w:t>≥80%,&lt;90%</w:t>
            </w:r>
          </w:p>
        </w:tc>
        <w:tc>
          <w:tcPr>
            <w:tcW w:w="525" w:type="dxa"/>
            <w:vAlign w:val="center"/>
          </w:tcPr>
          <w:p>
            <w:pPr>
              <w:jc w:val="center"/>
              <w:rPr>
                <w:rFonts w:ascii="Times New Roman" w:hAnsi="Times New Roman" w:cs="Times New Roman"/>
                <w:sz w:val="18"/>
                <w:szCs w:val="21"/>
              </w:rPr>
            </w:pPr>
            <w:r>
              <w:rPr>
                <w:rFonts w:ascii="Times New Roman" w:hAnsi="Times New Roman" w:cs="Times New Roman"/>
                <w:sz w:val="18"/>
                <w:szCs w:val="21"/>
              </w:rPr>
              <w:t>++</w:t>
            </w:r>
          </w:p>
        </w:tc>
        <w:tc>
          <w:tcPr>
            <w:tcW w:w="1138" w:type="dxa"/>
            <w:shd w:val="clear" w:color="auto" w:fill="auto"/>
            <w:vAlign w:val="center"/>
          </w:tcPr>
          <w:p>
            <w:pPr>
              <w:jc w:val="center"/>
              <w:rPr>
                <w:rFonts w:ascii="Times New Roman" w:hAnsi="Times New Roman" w:cs="Times New Roman"/>
                <w:sz w:val="18"/>
                <w:szCs w:val="21"/>
              </w:rPr>
            </w:pPr>
            <w:r>
              <w:rPr>
                <w:rFonts w:ascii="Times New Roman" w:hAnsi="Times New Roman" w:cs="Times New Roman"/>
                <w:sz w:val="18"/>
                <w:szCs w:val="21"/>
              </w:rPr>
              <w:t>≥80%,&lt;90%</w:t>
            </w:r>
          </w:p>
        </w:tc>
        <w:tc>
          <w:tcPr>
            <w:tcW w:w="575" w:type="dxa"/>
            <w:vAlign w:val="center"/>
          </w:tcPr>
          <w:p>
            <w:pPr>
              <w:jc w:val="center"/>
              <w:rPr>
                <w:rFonts w:ascii="Times New Roman" w:hAnsi="Times New Roman" w:cs="Times New Roman"/>
                <w:sz w:val="18"/>
                <w:szCs w:val="21"/>
              </w:rPr>
            </w:pPr>
            <w:r>
              <w:rPr>
                <w:rFonts w:ascii="Times New Roman" w:hAnsi="Times New Roman" w:cs="Times New Roman"/>
                <w:sz w:val="18"/>
                <w:szCs w:val="21"/>
              </w:rPr>
              <w:t>++</w:t>
            </w:r>
          </w:p>
        </w:tc>
        <w:tc>
          <w:tcPr>
            <w:tcW w:w="1187" w:type="dxa"/>
            <w:shd w:val="clear" w:color="auto" w:fill="auto"/>
            <w:vAlign w:val="center"/>
          </w:tcPr>
          <w:p>
            <w:pPr>
              <w:jc w:val="center"/>
              <w:rPr>
                <w:rFonts w:ascii="Times New Roman" w:hAnsi="Times New Roman" w:cs="Times New Roman"/>
                <w:sz w:val="18"/>
                <w:szCs w:val="21"/>
              </w:rPr>
            </w:pPr>
            <w:r>
              <w:rPr>
                <w:rFonts w:ascii="Times New Roman" w:hAnsi="Times New Roman" w:cs="Times New Roman"/>
                <w:sz w:val="18"/>
                <w:szCs w:val="21"/>
              </w:rPr>
              <w:t>≥80%,&lt;90%</w:t>
            </w:r>
          </w:p>
        </w:tc>
        <w:tc>
          <w:tcPr>
            <w:tcW w:w="675" w:type="dxa"/>
            <w:vAlign w:val="center"/>
          </w:tcPr>
          <w:p>
            <w:pPr>
              <w:jc w:val="center"/>
              <w:rPr>
                <w:rFonts w:ascii="Times New Roman" w:hAnsi="Times New Roman" w:cs="Times New Roman"/>
                <w:sz w:val="18"/>
                <w:szCs w:val="21"/>
              </w:rPr>
            </w:pPr>
            <w:r>
              <w:rPr>
                <w:rFonts w:ascii="Times New Roman" w:hAnsi="Times New Roman" w:cs="Times New Roman"/>
                <w:sz w:val="18"/>
                <w:szCs w:val="21"/>
              </w:rPr>
              <w:t>++</w:t>
            </w:r>
          </w:p>
        </w:tc>
        <w:tc>
          <w:tcPr>
            <w:tcW w:w="1086" w:type="dxa"/>
            <w:vAlign w:val="center"/>
          </w:tcPr>
          <w:p>
            <w:pPr>
              <w:jc w:val="center"/>
              <w:rPr>
                <w:rFonts w:ascii="Times New Roman" w:hAnsi="Times New Roman" w:cs="Times New Roman"/>
                <w:sz w:val="18"/>
                <w:szCs w:val="21"/>
              </w:rPr>
            </w:pPr>
            <w:r>
              <w:rPr>
                <w:rFonts w:ascii="Times New Roman" w:hAnsi="Times New Roman" w:cs="Times New Roman"/>
                <w:sz w:val="18"/>
                <w:szCs w:val="21"/>
              </w:rPr>
              <w:t>5-6</w:t>
            </w:r>
          </w:p>
        </w:tc>
        <w:tc>
          <w:tcPr>
            <w:tcW w:w="1472" w:type="dxa"/>
            <w:shd w:val="clear" w:color="auto" w:fill="auto"/>
            <w:vAlign w:val="center"/>
          </w:tcPr>
          <w:p>
            <w:pPr>
              <w:jc w:val="center"/>
              <w:rPr>
                <w:rFonts w:ascii="Times New Roman" w:hAnsi="Times New Roman" w:cs="Times New Roman"/>
                <w:sz w:val="18"/>
                <w:szCs w:val="21"/>
              </w:rPr>
            </w:pPr>
            <w:r>
              <w:rPr>
                <w:rFonts w:ascii="Times New Roman" w:hAnsi="Times New Roman" w:cs="Times New Roman"/>
                <w:sz w:val="18"/>
                <w:szCs w:val="21"/>
              </w:rPr>
              <w:t>良好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09" w:type="dxa"/>
            <w:vMerge w:val="continue"/>
            <w:shd w:val="clear" w:color="auto" w:fill="auto"/>
            <w:vAlign w:val="center"/>
          </w:tcPr>
          <w:p>
            <w:pPr>
              <w:jc w:val="center"/>
              <w:rPr>
                <w:rFonts w:ascii="Times New Roman" w:hAnsi="Times New Roman" w:cs="Times New Roman"/>
                <w:sz w:val="18"/>
                <w:szCs w:val="21"/>
              </w:rPr>
            </w:pPr>
          </w:p>
        </w:tc>
        <w:tc>
          <w:tcPr>
            <w:tcW w:w="1162" w:type="dxa"/>
            <w:shd w:val="clear" w:color="auto" w:fill="auto"/>
            <w:vAlign w:val="center"/>
          </w:tcPr>
          <w:p>
            <w:pPr>
              <w:jc w:val="center"/>
              <w:rPr>
                <w:rFonts w:ascii="Times New Roman" w:hAnsi="Times New Roman" w:cs="Times New Roman"/>
                <w:sz w:val="18"/>
                <w:szCs w:val="21"/>
              </w:rPr>
            </w:pPr>
            <w:r>
              <w:rPr>
                <w:rFonts w:ascii="Times New Roman" w:hAnsi="Times New Roman" w:cs="Times New Roman"/>
                <w:sz w:val="18"/>
                <w:szCs w:val="21"/>
              </w:rPr>
              <w:t>≥70%,&lt;80%</w:t>
            </w:r>
          </w:p>
        </w:tc>
        <w:tc>
          <w:tcPr>
            <w:tcW w:w="525" w:type="dxa"/>
            <w:vAlign w:val="center"/>
          </w:tcPr>
          <w:p>
            <w:pPr>
              <w:jc w:val="center"/>
              <w:rPr>
                <w:rFonts w:ascii="Times New Roman" w:hAnsi="Times New Roman" w:cs="Times New Roman"/>
                <w:sz w:val="18"/>
                <w:szCs w:val="21"/>
              </w:rPr>
            </w:pPr>
            <w:r>
              <w:rPr>
                <w:rFonts w:ascii="Times New Roman" w:hAnsi="Times New Roman" w:cs="Times New Roman"/>
                <w:sz w:val="18"/>
                <w:szCs w:val="21"/>
              </w:rPr>
              <w:t>+</w:t>
            </w:r>
          </w:p>
        </w:tc>
        <w:tc>
          <w:tcPr>
            <w:tcW w:w="1138" w:type="dxa"/>
            <w:shd w:val="clear" w:color="auto" w:fill="auto"/>
            <w:vAlign w:val="center"/>
          </w:tcPr>
          <w:p>
            <w:pPr>
              <w:jc w:val="center"/>
              <w:rPr>
                <w:rFonts w:ascii="Times New Roman" w:hAnsi="Times New Roman" w:cs="Times New Roman"/>
                <w:sz w:val="18"/>
                <w:szCs w:val="21"/>
              </w:rPr>
            </w:pPr>
            <w:r>
              <w:rPr>
                <w:rFonts w:ascii="Times New Roman" w:hAnsi="Times New Roman" w:cs="Times New Roman"/>
                <w:sz w:val="18"/>
                <w:szCs w:val="21"/>
              </w:rPr>
              <w:t>≥70%,&lt;80%</w:t>
            </w:r>
          </w:p>
        </w:tc>
        <w:tc>
          <w:tcPr>
            <w:tcW w:w="575" w:type="dxa"/>
            <w:vAlign w:val="center"/>
          </w:tcPr>
          <w:p>
            <w:pPr>
              <w:jc w:val="center"/>
              <w:rPr>
                <w:rFonts w:ascii="Times New Roman" w:hAnsi="Times New Roman" w:cs="Times New Roman"/>
                <w:sz w:val="18"/>
                <w:szCs w:val="21"/>
              </w:rPr>
            </w:pPr>
            <w:r>
              <w:rPr>
                <w:rFonts w:ascii="Times New Roman" w:hAnsi="Times New Roman" w:cs="Times New Roman"/>
                <w:sz w:val="18"/>
                <w:szCs w:val="21"/>
              </w:rPr>
              <w:t>+</w:t>
            </w:r>
          </w:p>
        </w:tc>
        <w:tc>
          <w:tcPr>
            <w:tcW w:w="1187" w:type="dxa"/>
            <w:shd w:val="clear" w:color="auto" w:fill="auto"/>
            <w:vAlign w:val="center"/>
          </w:tcPr>
          <w:p>
            <w:pPr>
              <w:jc w:val="center"/>
              <w:rPr>
                <w:rFonts w:ascii="Times New Roman" w:hAnsi="Times New Roman" w:cs="Times New Roman"/>
                <w:sz w:val="18"/>
                <w:szCs w:val="21"/>
              </w:rPr>
            </w:pPr>
            <w:r>
              <w:rPr>
                <w:rFonts w:ascii="Times New Roman" w:hAnsi="Times New Roman" w:cs="Times New Roman"/>
                <w:sz w:val="18"/>
                <w:szCs w:val="21"/>
              </w:rPr>
              <w:t>≥70%,&lt;80%</w:t>
            </w:r>
          </w:p>
        </w:tc>
        <w:tc>
          <w:tcPr>
            <w:tcW w:w="675" w:type="dxa"/>
            <w:vAlign w:val="center"/>
          </w:tcPr>
          <w:p>
            <w:pPr>
              <w:jc w:val="center"/>
              <w:rPr>
                <w:rFonts w:ascii="Times New Roman" w:hAnsi="Times New Roman" w:cs="Times New Roman"/>
                <w:sz w:val="18"/>
                <w:szCs w:val="21"/>
              </w:rPr>
            </w:pPr>
            <w:r>
              <w:rPr>
                <w:rFonts w:ascii="Times New Roman" w:hAnsi="Times New Roman" w:cs="Times New Roman"/>
                <w:sz w:val="18"/>
                <w:szCs w:val="21"/>
              </w:rPr>
              <w:t>+</w:t>
            </w:r>
          </w:p>
        </w:tc>
        <w:tc>
          <w:tcPr>
            <w:tcW w:w="1086" w:type="dxa"/>
            <w:vAlign w:val="center"/>
          </w:tcPr>
          <w:p>
            <w:pPr>
              <w:jc w:val="center"/>
              <w:rPr>
                <w:rFonts w:ascii="Times New Roman" w:hAnsi="Times New Roman" w:cs="Times New Roman"/>
                <w:sz w:val="18"/>
                <w:szCs w:val="21"/>
              </w:rPr>
            </w:pPr>
            <w:r>
              <w:rPr>
                <w:rFonts w:ascii="Times New Roman" w:hAnsi="Times New Roman" w:cs="Times New Roman"/>
                <w:sz w:val="18"/>
                <w:szCs w:val="21"/>
              </w:rPr>
              <w:t>3-4</w:t>
            </w:r>
          </w:p>
        </w:tc>
        <w:tc>
          <w:tcPr>
            <w:tcW w:w="1472" w:type="dxa"/>
            <w:shd w:val="clear" w:color="auto" w:fill="auto"/>
            <w:vAlign w:val="center"/>
          </w:tcPr>
          <w:p>
            <w:pPr>
              <w:jc w:val="center"/>
              <w:rPr>
                <w:rFonts w:ascii="Times New Roman" w:hAnsi="Times New Roman" w:cs="Times New Roman"/>
                <w:sz w:val="18"/>
                <w:szCs w:val="21"/>
              </w:rPr>
            </w:pPr>
            <w:r>
              <w:rPr>
                <w:rFonts w:ascii="Times New Roman" w:hAnsi="Times New Roman" w:cs="Times New Roman"/>
                <w:sz w:val="18"/>
                <w:szCs w:val="21"/>
              </w:rPr>
              <w:t>中等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09" w:type="dxa"/>
            <w:vMerge w:val="continue"/>
            <w:shd w:val="clear" w:color="auto" w:fill="auto"/>
            <w:vAlign w:val="center"/>
          </w:tcPr>
          <w:p>
            <w:pPr>
              <w:jc w:val="center"/>
              <w:rPr>
                <w:rFonts w:ascii="Times New Roman" w:hAnsi="Times New Roman" w:cs="Times New Roman"/>
                <w:sz w:val="18"/>
                <w:szCs w:val="21"/>
              </w:rPr>
            </w:pPr>
          </w:p>
        </w:tc>
        <w:tc>
          <w:tcPr>
            <w:tcW w:w="1162" w:type="dxa"/>
            <w:shd w:val="clear" w:color="auto" w:fill="auto"/>
            <w:vAlign w:val="center"/>
          </w:tcPr>
          <w:p>
            <w:pPr>
              <w:jc w:val="center"/>
              <w:rPr>
                <w:rFonts w:ascii="Times New Roman" w:hAnsi="Times New Roman" w:cs="Times New Roman"/>
                <w:sz w:val="18"/>
                <w:szCs w:val="21"/>
              </w:rPr>
            </w:pPr>
            <w:r>
              <w:rPr>
                <w:rFonts w:ascii="Times New Roman" w:hAnsi="Times New Roman" w:cs="Times New Roman"/>
                <w:sz w:val="18"/>
                <w:szCs w:val="21"/>
              </w:rPr>
              <w:t>&lt;70%</w:t>
            </w:r>
          </w:p>
        </w:tc>
        <w:tc>
          <w:tcPr>
            <w:tcW w:w="525" w:type="dxa"/>
            <w:vAlign w:val="center"/>
          </w:tcPr>
          <w:p>
            <w:pPr>
              <w:jc w:val="center"/>
              <w:rPr>
                <w:rFonts w:ascii="Times New Roman" w:hAnsi="Times New Roman" w:cs="Times New Roman"/>
                <w:sz w:val="18"/>
                <w:szCs w:val="21"/>
              </w:rPr>
            </w:pPr>
          </w:p>
        </w:tc>
        <w:tc>
          <w:tcPr>
            <w:tcW w:w="1138" w:type="dxa"/>
            <w:shd w:val="clear" w:color="auto" w:fill="auto"/>
            <w:vAlign w:val="center"/>
          </w:tcPr>
          <w:p>
            <w:pPr>
              <w:jc w:val="center"/>
              <w:rPr>
                <w:rFonts w:ascii="Times New Roman" w:hAnsi="Times New Roman" w:cs="Times New Roman"/>
                <w:sz w:val="18"/>
                <w:szCs w:val="21"/>
              </w:rPr>
            </w:pPr>
            <w:r>
              <w:rPr>
                <w:rFonts w:ascii="Times New Roman" w:hAnsi="Times New Roman" w:cs="Times New Roman"/>
                <w:sz w:val="18"/>
                <w:szCs w:val="21"/>
              </w:rPr>
              <w:t>&lt;70%</w:t>
            </w:r>
          </w:p>
        </w:tc>
        <w:tc>
          <w:tcPr>
            <w:tcW w:w="575" w:type="dxa"/>
            <w:vAlign w:val="center"/>
          </w:tcPr>
          <w:p>
            <w:pPr>
              <w:jc w:val="center"/>
              <w:rPr>
                <w:rFonts w:ascii="Times New Roman" w:hAnsi="Times New Roman" w:cs="Times New Roman"/>
                <w:sz w:val="18"/>
                <w:szCs w:val="21"/>
              </w:rPr>
            </w:pPr>
          </w:p>
        </w:tc>
        <w:tc>
          <w:tcPr>
            <w:tcW w:w="1187" w:type="dxa"/>
            <w:shd w:val="clear" w:color="auto" w:fill="auto"/>
            <w:vAlign w:val="center"/>
          </w:tcPr>
          <w:p>
            <w:pPr>
              <w:jc w:val="center"/>
              <w:rPr>
                <w:rFonts w:ascii="Times New Roman" w:hAnsi="Times New Roman" w:cs="Times New Roman"/>
                <w:sz w:val="18"/>
                <w:szCs w:val="21"/>
              </w:rPr>
            </w:pPr>
            <w:r>
              <w:rPr>
                <w:rFonts w:ascii="Times New Roman" w:hAnsi="Times New Roman" w:cs="Times New Roman"/>
                <w:sz w:val="18"/>
                <w:szCs w:val="21"/>
              </w:rPr>
              <w:t>&lt;70%</w:t>
            </w:r>
          </w:p>
        </w:tc>
        <w:tc>
          <w:tcPr>
            <w:tcW w:w="675" w:type="dxa"/>
            <w:vAlign w:val="center"/>
          </w:tcPr>
          <w:p>
            <w:pPr>
              <w:jc w:val="center"/>
              <w:rPr>
                <w:rFonts w:ascii="Times New Roman" w:hAnsi="Times New Roman" w:cs="Times New Roman"/>
                <w:sz w:val="18"/>
                <w:szCs w:val="21"/>
              </w:rPr>
            </w:pPr>
          </w:p>
        </w:tc>
        <w:tc>
          <w:tcPr>
            <w:tcW w:w="1086" w:type="dxa"/>
            <w:vAlign w:val="center"/>
          </w:tcPr>
          <w:p>
            <w:pPr>
              <w:jc w:val="center"/>
              <w:rPr>
                <w:rFonts w:ascii="Times New Roman" w:hAnsi="Times New Roman" w:cs="Times New Roman"/>
                <w:sz w:val="18"/>
                <w:szCs w:val="21"/>
              </w:rPr>
            </w:pPr>
            <w:r>
              <w:rPr>
                <w:rFonts w:ascii="Times New Roman" w:hAnsi="Times New Roman" w:cs="Times New Roman"/>
                <w:sz w:val="18"/>
                <w:szCs w:val="21"/>
              </w:rPr>
              <w:t>&lt;3</w:t>
            </w:r>
          </w:p>
        </w:tc>
        <w:tc>
          <w:tcPr>
            <w:tcW w:w="1472" w:type="dxa"/>
            <w:shd w:val="clear" w:color="auto" w:fill="auto"/>
            <w:vAlign w:val="center"/>
          </w:tcPr>
          <w:p>
            <w:pPr>
              <w:jc w:val="center"/>
              <w:rPr>
                <w:rFonts w:ascii="Times New Roman" w:hAnsi="Times New Roman" w:cs="Times New Roman"/>
                <w:sz w:val="18"/>
                <w:szCs w:val="21"/>
              </w:rPr>
            </w:pPr>
            <w:r>
              <w:rPr>
                <w:rFonts w:ascii="Times New Roman" w:hAnsi="Times New Roman" w:cs="Times New Roman"/>
                <w:sz w:val="18"/>
                <w:szCs w:val="21"/>
              </w:rPr>
              <w:t>较差</w:t>
            </w:r>
          </w:p>
        </w:tc>
      </w:tr>
    </w:tbl>
    <w:p>
      <w:pPr>
        <w:adjustRightInd w:val="0"/>
        <w:snapToGrid w:val="0"/>
        <w:spacing w:before="312" w:beforeLines="100" w:after="312" w:afterLines="100"/>
        <w:rPr>
          <w:rFonts w:ascii="Times New Roman" w:hAnsi="Times New Roman" w:eastAsia="黑体" w:cs="Times New Roman"/>
          <w:szCs w:val="21"/>
        </w:rPr>
      </w:pPr>
      <w:r>
        <w:rPr>
          <w:rFonts w:ascii="黑体" w:hAnsi="黑体" w:eastAsia="黑体" w:cs="Times New Roman"/>
          <w:szCs w:val="21"/>
        </w:rPr>
        <w:t xml:space="preserve">7 </w:t>
      </w:r>
      <w:r>
        <w:rPr>
          <w:rFonts w:ascii="Times New Roman" w:hAnsi="Times New Roman" w:eastAsia="黑体" w:cs="Times New Roman"/>
          <w:szCs w:val="21"/>
        </w:rPr>
        <w:t>记录</w:t>
      </w:r>
    </w:p>
    <w:p>
      <w:pPr>
        <w:adjustRightInd w:val="0"/>
        <w:snapToGrid w:val="0"/>
        <w:spacing w:line="360" w:lineRule="auto"/>
        <w:ind w:firstLine="420" w:firstLineChars="200"/>
        <w:rPr>
          <w:rFonts w:ascii="Times New Roman" w:hAnsi="Times New Roman" w:eastAsia="宋体" w:cs="Times New Roman"/>
          <w:szCs w:val="24"/>
        </w:rPr>
      </w:pPr>
      <w:r>
        <w:rPr>
          <w:rFonts w:ascii="Times New Roman" w:hAnsi="Times New Roman" w:eastAsia="宋体" w:cs="Times New Roman"/>
          <w:szCs w:val="21"/>
        </w:rPr>
        <w:t>建立台账，做好各项</w:t>
      </w:r>
      <w:r>
        <w:rPr>
          <w:rFonts w:hint="eastAsia" w:ascii="Times New Roman" w:hAnsi="Times New Roman" w:eastAsia="宋体" w:cs="Times New Roman"/>
          <w:szCs w:val="21"/>
        </w:rPr>
        <w:t>用药</w:t>
      </w:r>
      <w:r>
        <w:rPr>
          <w:rFonts w:ascii="Times New Roman" w:hAnsi="Times New Roman" w:eastAsia="宋体" w:cs="Times New Roman"/>
          <w:szCs w:val="21"/>
        </w:rPr>
        <w:t>措施记录，记录好用药品种</w:t>
      </w:r>
      <w:r>
        <w:rPr>
          <w:rFonts w:hint="eastAsia" w:ascii="Times New Roman" w:hAnsi="Times New Roman" w:eastAsia="宋体" w:cs="Times New Roman"/>
          <w:szCs w:val="21"/>
        </w:rPr>
        <w:t>（商品名及通用名）</w:t>
      </w:r>
      <w:r>
        <w:rPr>
          <w:rFonts w:ascii="Times New Roman" w:hAnsi="Times New Roman" w:eastAsia="宋体" w:cs="Times New Roman"/>
          <w:szCs w:val="21"/>
        </w:rPr>
        <w:t>、</w:t>
      </w:r>
      <w:r>
        <w:rPr>
          <w:rFonts w:hint="eastAsia" w:ascii="Times New Roman" w:hAnsi="Times New Roman" w:eastAsia="宋体" w:cs="Times New Roman"/>
          <w:szCs w:val="21"/>
        </w:rPr>
        <w:t>农药登记证号、</w:t>
      </w:r>
      <w:r>
        <w:rPr>
          <w:rFonts w:ascii="Times New Roman" w:hAnsi="Times New Roman" w:eastAsia="宋体" w:cs="Times New Roman"/>
          <w:szCs w:val="21"/>
        </w:rPr>
        <w:t>剂量及时间、农事操作等。记录保存时间不少于2</w:t>
      </w:r>
      <w:r>
        <w:rPr>
          <w:rFonts w:hint="eastAsia" w:ascii="Times New Roman" w:hAnsi="Times New Roman" w:eastAsia="宋体" w:cs="Times New Roman"/>
          <w:szCs w:val="21"/>
        </w:rPr>
        <w:t>y</w:t>
      </w:r>
      <w:r>
        <w:rPr>
          <w:rFonts w:ascii="Times New Roman" w:hAnsi="Times New Roman" w:eastAsia="宋体" w:cs="Times New Roman"/>
          <w:szCs w:val="21"/>
        </w:rPr>
        <w:t>。</w:t>
      </w:r>
    </w:p>
    <w:p>
      <w:pPr>
        <w:adjustRightInd w:val="0"/>
        <w:snapToGrid w:val="0"/>
        <w:spacing w:line="360" w:lineRule="auto"/>
        <w:jc w:val="center"/>
        <w:rPr>
          <w:rFonts w:ascii="Times New Roman" w:hAnsi="Times New Roman" w:eastAsia="宋体" w:cs="Times New Roman"/>
          <w:szCs w:val="24"/>
        </w:rPr>
      </w:pPr>
    </w:p>
    <w:p>
      <w:pPr>
        <w:adjustRightInd w:val="0"/>
        <w:snapToGrid w:val="0"/>
        <w:spacing w:line="360" w:lineRule="auto"/>
        <w:jc w:val="center"/>
        <w:rPr>
          <w:rFonts w:ascii="Times New Roman" w:hAnsi="Times New Roman" w:eastAsia="宋体" w:cs="Times New Roman"/>
          <w:szCs w:val="24"/>
        </w:rPr>
      </w:pPr>
    </w:p>
    <w:p>
      <w:pPr>
        <w:adjustRightInd w:val="0"/>
        <w:snapToGrid w:val="0"/>
        <w:spacing w:line="360" w:lineRule="auto"/>
        <w:jc w:val="center"/>
        <w:rPr>
          <w:rFonts w:ascii="Times New Roman" w:hAnsi="Times New Roman" w:eastAsia="宋体" w:cs="Times New Roman"/>
          <w:szCs w:val="24"/>
        </w:rPr>
      </w:pPr>
    </w:p>
    <w:p>
      <w:pPr>
        <w:adjustRightInd w:val="0"/>
        <w:snapToGrid w:val="0"/>
        <w:spacing w:line="360" w:lineRule="auto"/>
        <w:jc w:val="center"/>
        <w:rPr>
          <w:rFonts w:ascii="Times New Roman" w:hAnsi="Times New Roman" w:eastAsia="宋体" w:cs="Times New Roman"/>
          <w:szCs w:val="24"/>
        </w:rPr>
      </w:pPr>
    </w:p>
    <w:p>
      <w:pPr>
        <w:adjustRightInd w:val="0"/>
        <w:snapToGrid w:val="0"/>
        <w:spacing w:line="360" w:lineRule="auto"/>
        <w:jc w:val="center"/>
        <w:rPr>
          <w:rFonts w:ascii="Times New Roman" w:hAnsi="Times New Roman" w:eastAsia="宋体" w:cs="Times New Roman"/>
        </w:rPr>
      </w:pPr>
      <w:r>
        <w:rPr>
          <w:rFonts w:ascii="Times New Roman" w:hAnsi="Times New Roman" w:eastAsia="宋体" w:cs="Times New Roman"/>
          <w:szCs w:val="24"/>
        </w:rPr>
        <w:t>—————————————</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Helvetica">
    <w:altName w:val="Arial"/>
    <w:panose1 w:val="020B0604020202020204"/>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rPr>
        <w:rStyle w:val="12"/>
      </w:rPr>
    </w:pPr>
    <w:r>
      <w:rPr>
        <w:rStyle w:val="12"/>
      </w:rPr>
      <w:fldChar w:fldCharType="begin"/>
    </w:r>
    <w:r>
      <w:rPr>
        <w:rStyle w:val="12"/>
      </w:rPr>
      <w:instrText xml:space="preserve">PAGE  </w:instrText>
    </w:r>
    <w:r>
      <w:rPr>
        <w:rStyle w:val="12"/>
      </w:rPr>
      <w:fldChar w:fldCharType="separate"/>
    </w:r>
    <w:r>
      <w:rPr>
        <w:rStyle w:val="12"/>
      </w:rPr>
      <w:t>7</w:t>
    </w:r>
    <w:r>
      <w:rPr>
        <w:rStyle w:val="12"/>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framePr w:wrap="around" w:vAnchor="text" w:hAnchor="margin" w:xAlign="right" w:y="1"/>
      <w:ind w:right="240"/>
      <w:rPr>
        <w:rStyle w:val="12"/>
      </w:rPr>
    </w:pPr>
    <w:r>
      <w:rPr>
        <w:rStyle w:val="12"/>
      </w:rPr>
      <w:fldChar w:fldCharType="begin"/>
    </w:r>
    <w:r>
      <w:rPr>
        <w:rStyle w:val="12"/>
      </w:rPr>
      <w:instrText xml:space="preserve">PAGE  </w:instrText>
    </w:r>
    <w:r>
      <w:rPr>
        <w:rStyle w:val="12"/>
      </w:rPr>
      <w:fldChar w:fldCharType="separate"/>
    </w:r>
    <w:r>
      <w:rPr>
        <w:rStyle w:val="12"/>
      </w:rPr>
      <w:t>2</w:t>
    </w:r>
    <w:r>
      <w:rPr>
        <w:rStyle w:val="12"/>
      </w:rPr>
      <w:fldChar w:fldCharType="end"/>
    </w:r>
  </w:p>
  <w:p>
    <w:pPr>
      <w:pStyle w:val="5"/>
      <w:ind w:right="24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ind w:right="24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0"/>
    </w:pPr>
    <w:r>
      <w:t>DB32/T ××××—××××</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1"/>
    </w:pPr>
    <w: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841678E"/>
    <w:multiLevelType w:val="multilevel"/>
    <w:tmpl w:val="0841678E"/>
    <w:lvl w:ilvl="0" w:tentative="0">
      <w:start w:val="1"/>
      <w:numFmt w:val="decimal"/>
      <w:pStyle w:val="42"/>
      <w:lvlText w:val="%1."/>
      <w:lvlJc w:val="left"/>
      <w:pPr>
        <w:tabs>
          <w:tab w:val="left" w:pos="720"/>
        </w:tabs>
        <w:ind w:left="720" w:hanging="720"/>
      </w:pPr>
    </w:lvl>
    <w:lvl w:ilvl="1" w:tentative="0">
      <w:start w:val="1"/>
      <w:numFmt w:val="decimal"/>
      <w:lvlText w:val="%2."/>
      <w:lvlJc w:val="left"/>
      <w:pPr>
        <w:tabs>
          <w:tab w:val="left" w:pos="1440"/>
        </w:tabs>
        <w:ind w:left="1440" w:hanging="720"/>
      </w:pPr>
    </w:lvl>
    <w:lvl w:ilvl="2" w:tentative="0">
      <w:start w:val="1"/>
      <w:numFmt w:val="decimal"/>
      <w:lvlText w:val="%3."/>
      <w:lvlJc w:val="left"/>
      <w:pPr>
        <w:tabs>
          <w:tab w:val="left" w:pos="2160"/>
        </w:tabs>
        <w:ind w:left="2160" w:hanging="720"/>
      </w:pPr>
    </w:lvl>
    <w:lvl w:ilvl="3" w:tentative="0">
      <w:start w:val="1"/>
      <w:numFmt w:val="decimal"/>
      <w:lvlText w:val="%4."/>
      <w:lvlJc w:val="left"/>
      <w:pPr>
        <w:tabs>
          <w:tab w:val="left" w:pos="2880"/>
        </w:tabs>
        <w:ind w:left="2880" w:hanging="720"/>
      </w:pPr>
    </w:lvl>
    <w:lvl w:ilvl="4" w:tentative="0">
      <w:start w:val="1"/>
      <w:numFmt w:val="decimal"/>
      <w:lvlText w:val="%5."/>
      <w:lvlJc w:val="left"/>
      <w:pPr>
        <w:tabs>
          <w:tab w:val="left" w:pos="3600"/>
        </w:tabs>
        <w:ind w:left="3600" w:hanging="720"/>
      </w:pPr>
    </w:lvl>
    <w:lvl w:ilvl="5" w:tentative="0">
      <w:start w:val="1"/>
      <w:numFmt w:val="decimal"/>
      <w:lvlText w:val="%6."/>
      <w:lvlJc w:val="left"/>
      <w:pPr>
        <w:tabs>
          <w:tab w:val="left" w:pos="4320"/>
        </w:tabs>
        <w:ind w:left="4320" w:hanging="720"/>
      </w:pPr>
    </w:lvl>
    <w:lvl w:ilvl="6" w:tentative="0">
      <w:start w:val="1"/>
      <w:numFmt w:val="decimal"/>
      <w:lvlText w:val="%7."/>
      <w:lvlJc w:val="left"/>
      <w:pPr>
        <w:tabs>
          <w:tab w:val="left" w:pos="5040"/>
        </w:tabs>
        <w:ind w:left="5040" w:hanging="720"/>
      </w:pPr>
    </w:lvl>
    <w:lvl w:ilvl="7" w:tentative="0">
      <w:start w:val="1"/>
      <w:numFmt w:val="decimal"/>
      <w:lvlText w:val="%8."/>
      <w:lvlJc w:val="left"/>
      <w:pPr>
        <w:tabs>
          <w:tab w:val="left" w:pos="5760"/>
        </w:tabs>
        <w:ind w:left="5760" w:hanging="720"/>
      </w:pPr>
    </w:lvl>
    <w:lvl w:ilvl="8" w:tentative="0">
      <w:start w:val="1"/>
      <w:numFmt w:val="decimal"/>
      <w:lvlText w:val="%9."/>
      <w:lvlJc w:val="left"/>
      <w:pPr>
        <w:tabs>
          <w:tab w:val="left" w:pos="6480"/>
        </w:tabs>
        <w:ind w:left="6480" w:hanging="7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mVmNDNkOWUxODQ5YzRjYzI2Mjk0ZTQ4NGE4MDc3ZDUifQ=="/>
    <w:docVar w:name="KSO_WPS_MARK_KEY" w:val="ef32e9b4-396c-49e1-9fbb-1476418ee4da"/>
  </w:docVars>
  <w:rsids>
    <w:rsidRoot w:val="005D4C13"/>
    <w:rsid w:val="00026BEF"/>
    <w:rsid w:val="00034ADF"/>
    <w:rsid w:val="00045906"/>
    <w:rsid w:val="000571E3"/>
    <w:rsid w:val="00057DE7"/>
    <w:rsid w:val="000724C6"/>
    <w:rsid w:val="00075B78"/>
    <w:rsid w:val="00083B04"/>
    <w:rsid w:val="00092A2E"/>
    <w:rsid w:val="00095D71"/>
    <w:rsid w:val="000A256E"/>
    <w:rsid w:val="000B6DFA"/>
    <w:rsid w:val="000C4008"/>
    <w:rsid w:val="000E0C4E"/>
    <w:rsid w:val="000E10F4"/>
    <w:rsid w:val="000E7088"/>
    <w:rsid w:val="000E7CF6"/>
    <w:rsid w:val="00113289"/>
    <w:rsid w:val="001136C4"/>
    <w:rsid w:val="0012035E"/>
    <w:rsid w:val="00120F63"/>
    <w:rsid w:val="00124C54"/>
    <w:rsid w:val="00137211"/>
    <w:rsid w:val="00141BC7"/>
    <w:rsid w:val="00142A72"/>
    <w:rsid w:val="00145F2A"/>
    <w:rsid w:val="00146757"/>
    <w:rsid w:val="00146F4F"/>
    <w:rsid w:val="001606DE"/>
    <w:rsid w:val="001674C1"/>
    <w:rsid w:val="00183868"/>
    <w:rsid w:val="00195928"/>
    <w:rsid w:val="001B1A76"/>
    <w:rsid w:val="001B2092"/>
    <w:rsid w:val="001B565C"/>
    <w:rsid w:val="001B66CA"/>
    <w:rsid w:val="001C4626"/>
    <w:rsid w:val="001C5C79"/>
    <w:rsid w:val="001D0968"/>
    <w:rsid w:val="001D1131"/>
    <w:rsid w:val="001D4024"/>
    <w:rsid w:val="001F2CBC"/>
    <w:rsid w:val="002140A6"/>
    <w:rsid w:val="00221DDE"/>
    <w:rsid w:val="00235BA1"/>
    <w:rsid w:val="00242038"/>
    <w:rsid w:val="00244926"/>
    <w:rsid w:val="00251F02"/>
    <w:rsid w:val="002662E0"/>
    <w:rsid w:val="00277044"/>
    <w:rsid w:val="00285D84"/>
    <w:rsid w:val="002D66BF"/>
    <w:rsid w:val="002D6DDE"/>
    <w:rsid w:val="002E2C20"/>
    <w:rsid w:val="002F04D3"/>
    <w:rsid w:val="002F5650"/>
    <w:rsid w:val="003034E4"/>
    <w:rsid w:val="003125A9"/>
    <w:rsid w:val="003150DD"/>
    <w:rsid w:val="00352978"/>
    <w:rsid w:val="00352C1A"/>
    <w:rsid w:val="0035745B"/>
    <w:rsid w:val="00373C9E"/>
    <w:rsid w:val="00387521"/>
    <w:rsid w:val="00387BA1"/>
    <w:rsid w:val="003A3FF5"/>
    <w:rsid w:val="003A5D16"/>
    <w:rsid w:val="003B18EB"/>
    <w:rsid w:val="003B217F"/>
    <w:rsid w:val="003E05A3"/>
    <w:rsid w:val="003E3798"/>
    <w:rsid w:val="003F090D"/>
    <w:rsid w:val="003F40FA"/>
    <w:rsid w:val="00400DCB"/>
    <w:rsid w:val="004035AF"/>
    <w:rsid w:val="004110A8"/>
    <w:rsid w:val="00415810"/>
    <w:rsid w:val="00435964"/>
    <w:rsid w:val="004543F4"/>
    <w:rsid w:val="00456B42"/>
    <w:rsid w:val="00472BDC"/>
    <w:rsid w:val="00476ABB"/>
    <w:rsid w:val="004777E6"/>
    <w:rsid w:val="0048787A"/>
    <w:rsid w:val="0049519E"/>
    <w:rsid w:val="004A5D84"/>
    <w:rsid w:val="004C2E51"/>
    <w:rsid w:val="004C3385"/>
    <w:rsid w:val="004D39BF"/>
    <w:rsid w:val="004D499D"/>
    <w:rsid w:val="004D6DAB"/>
    <w:rsid w:val="004F2FB7"/>
    <w:rsid w:val="004F38EA"/>
    <w:rsid w:val="00504000"/>
    <w:rsid w:val="00515FA3"/>
    <w:rsid w:val="00523B47"/>
    <w:rsid w:val="00540535"/>
    <w:rsid w:val="00543F6A"/>
    <w:rsid w:val="005506D5"/>
    <w:rsid w:val="00551A1E"/>
    <w:rsid w:val="00552C65"/>
    <w:rsid w:val="005720E8"/>
    <w:rsid w:val="0057498A"/>
    <w:rsid w:val="0057556F"/>
    <w:rsid w:val="005823EF"/>
    <w:rsid w:val="005B4E73"/>
    <w:rsid w:val="005B7225"/>
    <w:rsid w:val="005C25A3"/>
    <w:rsid w:val="005D2943"/>
    <w:rsid w:val="005D4C13"/>
    <w:rsid w:val="00602CE3"/>
    <w:rsid w:val="006045E8"/>
    <w:rsid w:val="00604CB1"/>
    <w:rsid w:val="00606988"/>
    <w:rsid w:val="006252DD"/>
    <w:rsid w:val="006452A2"/>
    <w:rsid w:val="0065386F"/>
    <w:rsid w:val="00662CEB"/>
    <w:rsid w:val="00675B44"/>
    <w:rsid w:val="00681C3D"/>
    <w:rsid w:val="00687801"/>
    <w:rsid w:val="00687899"/>
    <w:rsid w:val="006A103E"/>
    <w:rsid w:val="006A2EB6"/>
    <w:rsid w:val="006C6A66"/>
    <w:rsid w:val="006D7666"/>
    <w:rsid w:val="006E02D3"/>
    <w:rsid w:val="006F1B1B"/>
    <w:rsid w:val="00720872"/>
    <w:rsid w:val="00722929"/>
    <w:rsid w:val="00722E45"/>
    <w:rsid w:val="00727EE0"/>
    <w:rsid w:val="00727EF8"/>
    <w:rsid w:val="00742DC0"/>
    <w:rsid w:val="007501AC"/>
    <w:rsid w:val="007514BB"/>
    <w:rsid w:val="00763023"/>
    <w:rsid w:val="00774CF0"/>
    <w:rsid w:val="00776662"/>
    <w:rsid w:val="00777FA3"/>
    <w:rsid w:val="0078373F"/>
    <w:rsid w:val="00796A65"/>
    <w:rsid w:val="007A328E"/>
    <w:rsid w:val="007A559D"/>
    <w:rsid w:val="007B109A"/>
    <w:rsid w:val="007C73CA"/>
    <w:rsid w:val="007D4D93"/>
    <w:rsid w:val="007D5C25"/>
    <w:rsid w:val="007D6C84"/>
    <w:rsid w:val="007F1341"/>
    <w:rsid w:val="008331AE"/>
    <w:rsid w:val="00836A2D"/>
    <w:rsid w:val="00837AFF"/>
    <w:rsid w:val="00843AD6"/>
    <w:rsid w:val="00845190"/>
    <w:rsid w:val="00861504"/>
    <w:rsid w:val="008672C4"/>
    <w:rsid w:val="008672CA"/>
    <w:rsid w:val="008701F8"/>
    <w:rsid w:val="00883033"/>
    <w:rsid w:val="00885F8E"/>
    <w:rsid w:val="008928BE"/>
    <w:rsid w:val="008A44DD"/>
    <w:rsid w:val="008A44FF"/>
    <w:rsid w:val="008A7A2C"/>
    <w:rsid w:val="008B4641"/>
    <w:rsid w:val="008B7925"/>
    <w:rsid w:val="008C7C7F"/>
    <w:rsid w:val="008E2636"/>
    <w:rsid w:val="0091094B"/>
    <w:rsid w:val="00912256"/>
    <w:rsid w:val="00912460"/>
    <w:rsid w:val="00925CB5"/>
    <w:rsid w:val="00925D37"/>
    <w:rsid w:val="009303C9"/>
    <w:rsid w:val="00933374"/>
    <w:rsid w:val="00945EB8"/>
    <w:rsid w:val="00950158"/>
    <w:rsid w:val="0095254D"/>
    <w:rsid w:val="00954FF3"/>
    <w:rsid w:val="00961653"/>
    <w:rsid w:val="009A7983"/>
    <w:rsid w:val="009C6FC0"/>
    <w:rsid w:val="009D7933"/>
    <w:rsid w:val="009D7D49"/>
    <w:rsid w:val="009E1434"/>
    <w:rsid w:val="009E4C61"/>
    <w:rsid w:val="009E521B"/>
    <w:rsid w:val="00A03F1E"/>
    <w:rsid w:val="00A11745"/>
    <w:rsid w:val="00A27CEA"/>
    <w:rsid w:val="00A34220"/>
    <w:rsid w:val="00A44AE9"/>
    <w:rsid w:val="00A517F1"/>
    <w:rsid w:val="00A54351"/>
    <w:rsid w:val="00A6048D"/>
    <w:rsid w:val="00A72B05"/>
    <w:rsid w:val="00A73221"/>
    <w:rsid w:val="00A82464"/>
    <w:rsid w:val="00A92C2A"/>
    <w:rsid w:val="00A96569"/>
    <w:rsid w:val="00AC3080"/>
    <w:rsid w:val="00AE0EF1"/>
    <w:rsid w:val="00AE73B0"/>
    <w:rsid w:val="00B02A71"/>
    <w:rsid w:val="00B02F7E"/>
    <w:rsid w:val="00B10877"/>
    <w:rsid w:val="00B338AA"/>
    <w:rsid w:val="00B36F6F"/>
    <w:rsid w:val="00B71F65"/>
    <w:rsid w:val="00B72E06"/>
    <w:rsid w:val="00B80E84"/>
    <w:rsid w:val="00B9280D"/>
    <w:rsid w:val="00B95739"/>
    <w:rsid w:val="00BA1F82"/>
    <w:rsid w:val="00BA5D5B"/>
    <w:rsid w:val="00BB64B8"/>
    <w:rsid w:val="00BC4DA6"/>
    <w:rsid w:val="00BD0C4B"/>
    <w:rsid w:val="00BE0D7B"/>
    <w:rsid w:val="00BE0D81"/>
    <w:rsid w:val="00BF3F33"/>
    <w:rsid w:val="00BF41DE"/>
    <w:rsid w:val="00C25C71"/>
    <w:rsid w:val="00C27808"/>
    <w:rsid w:val="00C32112"/>
    <w:rsid w:val="00C37BF1"/>
    <w:rsid w:val="00C401E3"/>
    <w:rsid w:val="00C42D9D"/>
    <w:rsid w:val="00C61601"/>
    <w:rsid w:val="00C8434A"/>
    <w:rsid w:val="00C90AC5"/>
    <w:rsid w:val="00C9497A"/>
    <w:rsid w:val="00CC0E04"/>
    <w:rsid w:val="00CC13D0"/>
    <w:rsid w:val="00CD1D7D"/>
    <w:rsid w:val="00CD203C"/>
    <w:rsid w:val="00CD2FC4"/>
    <w:rsid w:val="00CF3E1C"/>
    <w:rsid w:val="00D10BAA"/>
    <w:rsid w:val="00D16242"/>
    <w:rsid w:val="00D175C6"/>
    <w:rsid w:val="00D23DF6"/>
    <w:rsid w:val="00D52694"/>
    <w:rsid w:val="00D63552"/>
    <w:rsid w:val="00D72B11"/>
    <w:rsid w:val="00D761E1"/>
    <w:rsid w:val="00D773EF"/>
    <w:rsid w:val="00D94FC1"/>
    <w:rsid w:val="00DB0967"/>
    <w:rsid w:val="00DB7269"/>
    <w:rsid w:val="00DC4E58"/>
    <w:rsid w:val="00DC68E2"/>
    <w:rsid w:val="00DD597C"/>
    <w:rsid w:val="00DD6AA2"/>
    <w:rsid w:val="00DD7F6C"/>
    <w:rsid w:val="00E27D64"/>
    <w:rsid w:val="00E3086E"/>
    <w:rsid w:val="00E36778"/>
    <w:rsid w:val="00E85946"/>
    <w:rsid w:val="00E86755"/>
    <w:rsid w:val="00EB091D"/>
    <w:rsid w:val="00EC1211"/>
    <w:rsid w:val="00ED2094"/>
    <w:rsid w:val="00EE63AF"/>
    <w:rsid w:val="00F07523"/>
    <w:rsid w:val="00F10E7A"/>
    <w:rsid w:val="00F159CE"/>
    <w:rsid w:val="00F22480"/>
    <w:rsid w:val="00F55513"/>
    <w:rsid w:val="00F55C3C"/>
    <w:rsid w:val="00F72371"/>
    <w:rsid w:val="00F80F83"/>
    <w:rsid w:val="00FA27FF"/>
    <w:rsid w:val="00FA6961"/>
    <w:rsid w:val="00FA7883"/>
    <w:rsid w:val="00FD73F8"/>
    <w:rsid w:val="00FE3D36"/>
    <w:rsid w:val="00FF17F4"/>
    <w:rsid w:val="012B32CB"/>
    <w:rsid w:val="026F3B97"/>
    <w:rsid w:val="02E8066E"/>
    <w:rsid w:val="037C0A84"/>
    <w:rsid w:val="04804CCE"/>
    <w:rsid w:val="048E7480"/>
    <w:rsid w:val="04983E5B"/>
    <w:rsid w:val="05CB64F8"/>
    <w:rsid w:val="062449FC"/>
    <w:rsid w:val="06D575E9"/>
    <w:rsid w:val="06DA6C7D"/>
    <w:rsid w:val="07123A08"/>
    <w:rsid w:val="071C29C5"/>
    <w:rsid w:val="078A65D6"/>
    <w:rsid w:val="07E41F56"/>
    <w:rsid w:val="09AF2373"/>
    <w:rsid w:val="0BB3749C"/>
    <w:rsid w:val="0C4C3EA9"/>
    <w:rsid w:val="0DE03A12"/>
    <w:rsid w:val="0EE075CC"/>
    <w:rsid w:val="0EE20AF5"/>
    <w:rsid w:val="0F7F1B37"/>
    <w:rsid w:val="111A2FDE"/>
    <w:rsid w:val="13367661"/>
    <w:rsid w:val="13F44FA5"/>
    <w:rsid w:val="14763522"/>
    <w:rsid w:val="14B10AC0"/>
    <w:rsid w:val="160556C7"/>
    <w:rsid w:val="189D783A"/>
    <w:rsid w:val="18A93526"/>
    <w:rsid w:val="1B18300D"/>
    <w:rsid w:val="1B4E427B"/>
    <w:rsid w:val="1BD848C2"/>
    <w:rsid w:val="1C590456"/>
    <w:rsid w:val="1C7F7983"/>
    <w:rsid w:val="1DC94065"/>
    <w:rsid w:val="1FBF6B4D"/>
    <w:rsid w:val="20452C91"/>
    <w:rsid w:val="20684BD2"/>
    <w:rsid w:val="213C4110"/>
    <w:rsid w:val="21B55BF5"/>
    <w:rsid w:val="21D968E0"/>
    <w:rsid w:val="23FE3883"/>
    <w:rsid w:val="25FA09E2"/>
    <w:rsid w:val="262E354C"/>
    <w:rsid w:val="273B094A"/>
    <w:rsid w:val="28BF040C"/>
    <w:rsid w:val="2975309F"/>
    <w:rsid w:val="2A111E36"/>
    <w:rsid w:val="2A391FD8"/>
    <w:rsid w:val="2B3109E2"/>
    <w:rsid w:val="2DC86BB5"/>
    <w:rsid w:val="2F715851"/>
    <w:rsid w:val="2FAA2B11"/>
    <w:rsid w:val="30575617"/>
    <w:rsid w:val="30F63CF5"/>
    <w:rsid w:val="319C46DB"/>
    <w:rsid w:val="335334BF"/>
    <w:rsid w:val="35366BF5"/>
    <w:rsid w:val="36FD4B8B"/>
    <w:rsid w:val="374B76FC"/>
    <w:rsid w:val="38A722E3"/>
    <w:rsid w:val="38DB4ABC"/>
    <w:rsid w:val="391B4A7F"/>
    <w:rsid w:val="39316051"/>
    <w:rsid w:val="39691347"/>
    <w:rsid w:val="39801F45"/>
    <w:rsid w:val="39E76710"/>
    <w:rsid w:val="3BEB24E7"/>
    <w:rsid w:val="3E191B2F"/>
    <w:rsid w:val="3EE8169A"/>
    <w:rsid w:val="403910DF"/>
    <w:rsid w:val="40A92971"/>
    <w:rsid w:val="41E05837"/>
    <w:rsid w:val="41FE4C53"/>
    <w:rsid w:val="424741EF"/>
    <w:rsid w:val="430D368B"/>
    <w:rsid w:val="449D072C"/>
    <w:rsid w:val="44C52C8C"/>
    <w:rsid w:val="44F47EB3"/>
    <w:rsid w:val="4589261F"/>
    <w:rsid w:val="467B1712"/>
    <w:rsid w:val="49321282"/>
    <w:rsid w:val="49A75E76"/>
    <w:rsid w:val="4A3A450F"/>
    <w:rsid w:val="4A413C1A"/>
    <w:rsid w:val="4A6056CC"/>
    <w:rsid w:val="4B7D0C82"/>
    <w:rsid w:val="4BFC00AC"/>
    <w:rsid w:val="4D8D15E2"/>
    <w:rsid w:val="52352B08"/>
    <w:rsid w:val="52354064"/>
    <w:rsid w:val="5256246F"/>
    <w:rsid w:val="54467046"/>
    <w:rsid w:val="547C13F3"/>
    <w:rsid w:val="54C605F4"/>
    <w:rsid w:val="560B2842"/>
    <w:rsid w:val="57B31165"/>
    <w:rsid w:val="582231EC"/>
    <w:rsid w:val="582A592B"/>
    <w:rsid w:val="59194823"/>
    <w:rsid w:val="59B166C6"/>
    <w:rsid w:val="5B82798F"/>
    <w:rsid w:val="5EA81BD9"/>
    <w:rsid w:val="5F9A19AB"/>
    <w:rsid w:val="5FF07613"/>
    <w:rsid w:val="613C489A"/>
    <w:rsid w:val="61572D1F"/>
    <w:rsid w:val="62D60F4C"/>
    <w:rsid w:val="62D64101"/>
    <w:rsid w:val="657E167B"/>
    <w:rsid w:val="683D62C8"/>
    <w:rsid w:val="692844CB"/>
    <w:rsid w:val="6D7E0B5E"/>
    <w:rsid w:val="708B5A6B"/>
    <w:rsid w:val="70B34FC2"/>
    <w:rsid w:val="71D92CBD"/>
    <w:rsid w:val="722C6DDA"/>
    <w:rsid w:val="724F0CE8"/>
    <w:rsid w:val="72F77E6A"/>
    <w:rsid w:val="73C10375"/>
    <w:rsid w:val="73EF4D18"/>
    <w:rsid w:val="74F729E4"/>
    <w:rsid w:val="753F5076"/>
    <w:rsid w:val="76852F5D"/>
    <w:rsid w:val="77A15918"/>
    <w:rsid w:val="795D7DE4"/>
    <w:rsid w:val="7A4D7D42"/>
    <w:rsid w:val="7A85352B"/>
    <w:rsid w:val="7ABF737F"/>
    <w:rsid w:val="7AC67A1D"/>
    <w:rsid w:val="7BA63759"/>
    <w:rsid w:val="7C596A1E"/>
    <w:rsid w:val="7D1843D9"/>
    <w:rsid w:val="7FD10F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0"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qFormat="1" w:unhideWhenUsed="0" w:uiPriority="0" w:semiHidden="0"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10">
    <w:name w:val="Default Paragraph Font"/>
    <w:semiHidden/>
    <w:unhideWhenUsed/>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46"/>
    <w:semiHidden/>
    <w:unhideWhenUsed/>
    <w:qFormat/>
    <w:uiPriority w:val="99"/>
    <w:pPr>
      <w:jc w:val="left"/>
    </w:pPr>
  </w:style>
  <w:style w:type="paragraph" w:styleId="3">
    <w:name w:val="Body Text"/>
    <w:basedOn w:val="1"/>
    <w:link w:val="41"/>
    <w:qFormat/>
    <w:uiPriority w:val="0"/>
    <w:pPr>
      <w:spacing w:line="360" w:lineRule="auto"/>
    </w:pPr>
    <w:rPr>
      <w:rFonts w:ascii="黑体" w:hAnsi="Times New Roman" w:eastAsia="宋体" w:cs="Times New Roman"/>
      <w:sz w:val="28"/>
      <w:szCs w:val="24"/>
    </w:rPr>
  </w:style>
  <w:style w:type="paragraph" w:styleId="4">
    <w:name w:val="Balloon Text"/>
    <w:basedOn w:val="1"/>
    <w:link w:val="45"/>
    <w:semiHidden/>
    <w:unhideWhenUsed/>
    <w:qFormat/>
    <w:uiPriority w:val="99"/>
    <w:rPr>
      <w:sz w:val="18"/>
      <w:szCs w:val="18"/>
    </w:rPr>
  </w:style>
  <w:style w:type="paragraph" w:styleId="5">
    <w:name w:val="footer"/>
    <w:basedOn w:val="1"/>
    <w:link w:val="17"/>
    <w:unhideWhenUsed/>
    <w:qFormat/>
    <w:uiPriority w:val="0"/>
    <w:pPr>
      <w:tabs>
        <w:tab w:val="center" w:pos="4153"/>
        <w:tab w:val="right" w:pos="8306"/>
      </w:tabs>
      <w:snapToGrid w:val="0"/>
      <w:jc w:val="left"/>
    </w:pPr>
    <w:rPr>
      <w:sz w:val="18"/>
      <w:szCs w:val="18"/>
    </w:rPr>
  </w:style>
  <w:style w:type="paragraph" w:styleId="6">
    <w:name w:val="header"/>
    <w:basedOn w:val="1"/>
    <w:link w:val="16"/>
    <w:unhideWhenUsed/>
    <w:qFormat/>
    <w:uiPriority w:val="0"/>
    <w:pPr>
      <w:pBdr>
        <w:bottom w:val="single" w:color="auto" w:sz="6" w:space="1"/>
      </w:pBdr>
      <w:tabs>
        <w:tab w:val="center" w:pos="4153"/>
        <w:tab w:val="right" w:pos="8306"/>
      </w:tabs>
      <w:snapToGrid w:val="0"/>
      <w:jc w:val="center"/>
    </w:pPr>
    <w:rPr>
      <w:sz w:val="18"/>
      <w:szCs w:val="18"/>
    </w:rPr>
  </w:style>
  <w:style w:type="paragraph" w:styleId="7">
    <w:name w:val="annotation subject"/>
    <w:basedOn w:val="2"/>
    <w:next w:val="2"/>
    <w:link w:val="47"/>
    <w:semiHidden/>
    <w:unhideWhenUsed/>
    <w:qFormat/>
    <w:uiPriority w:val="99"/>
    <w:rPr>
      <w:b/>
      <w:bCs/>
    </w:rPr>
  </w:style>
  <w:style w:type="table" w:styleId="9">
    <w:name w:val="Table Grid"/>
    <w:basedOn w:val="8"/>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1">
    <w:name w:val="Strong"/>
    <w:basedOn w:val="10"/>
    <w:qFormat/>
    <w:uiPriority w:val="22"/>
    <w:rPr>
      <w:b/>
    </w:rPr>
  </w:style>
  <w:style w:type="character" w:styleId="12">
    <w:name w:val="page number"/>
    <w:qFormat/>
    <w:uiPriority w:val="0"/>
    <w:rPr>
      <w:rFonts w:ascii="Times New Roman" w:hAnsi="Times New Roman" w:eastAsia="宋体"/>
      <w:sz w:val="18"/>
    </w:rPr>
  </w:style>
  <w:style w:type="character" w:styleId="13">
    <w:name w:val="FollowedHyperlink"/>
    <w:qFormat/>
    <w:uiPriority w:val="0"/>
    <w:rPr>
      <w:color w:val="800080"/>
      <w:u w:val="single"/>
    </w:rPr>
  </w:style>
  <w:style w:type="character" w:styleId="14">
    <w:name w:val="Hyperlink"/>
    <w:basedOn w:val="10"/>
    <w:semiHidden/>
    <w:unhideWhenUsed/>
    <w:qFormat/>
    <w:uiPriority w:val="99"/>
    <w:rPr>
      <w:color w:val="0000FF"/>
      <w:u w:val="single"/>
    </w:rPr>
  </w:style>
  <w:style w:type="character" w:styleId="15">
    <w:name w:val="annotation reference"/>
    <w:basedOn w:val="10"/>
    <w:semiHidden/>
    <w:unhideWhenUsed/>
    <w:qFormat/>
    <w:uiPriority w:val="99"/>
    <w:rPr>
      <w:sz w:val="21"/>
      <w:szCs w:val="21"/>
    </w:rPr>
  </w:style>
  <w:style w:type="character" w:customStyle="1" w:styleId="16">
    <w:name w:val="页眉 字符"/>
    <w:basedOn w:val="10"/>
    <w:link w:val="6"/>
    <w:qFormat/>
    <w:uiPriority w:val="99"/>
    <w:rPr>
      <w:sz w:val="18"/>
      <w:szCs w:val="18"/>
    </w:rPr>
  </w:style>
  <w:style w:type="character" w:customStyle="1" w:styleId="17">
    <w:name w:val="页脚 字符"/>
    <w:basedOn w:val="10"/>
    <w:link w:val="5"/>
    <w:qFormat/>
    <w:uiPriority w:val="99"/>
    <w:rPr>
      <w:sz w:val="18"/>
      <w:szCs w:val="18"/>
    </w:rPr>
  </w:style>
  <w:style w:type="paragraph" w:customStyle="1" w:styleId="18">
    <w:name w:val="标准标志"/>
    <w:next w:val="1"/>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19">
    <w:name w:val="标准书脚_奇数页"/>
    <w:qFormat/>
    <w:uiPriority w:val="0"/>
    <w:pPr>
      <w:spacing w:before="120"/>
      <w:jc w:val="right"/>
    </w:pPr>
    <w:rPr>
      <w:rFonts w:ascii="Times New Roman" w:hAnsi="Times New Roman" w:eastAsia="宋体" w:cs="Times New Roman"/>
      <w:sz w:val="18"/>
      <w:lang w:val="en-US" w:eastAsia="zh-CN" w:bidi="ar-SA"/>
    </w:rPr>
  </w:style>
  <w:style w:type="paragraph" w:customStyle="1" w:styleId="20">
    <w:name w:val="标准书眉_奇数页"/>
    <w:next w:val="1"/>
    <w:qFormat/>
    <w:uiPriority w:val="0"/>
    <w:pPr>
      <w:tabs>
        <w:tab w:val="center" w:pos="4154"/>
        <w:tab w:val="right" w:pos="8306"/>
      </w:tabs>
      <w:spacing w:after="120"/>
      <w:jc w:val="right"/>
    </w:pPr>
    <w:rPr>
      <w:rFonts w:ascii="Times New Roman" w:hAnsi="Times New Roman" w:eastAsia="宋体" w:cs="Times New Roman"/>
      <w:sz w:val="21"/>
      <w:lang w:val="en-US" w:eastAsia="zh-CN" w:bidi="ar-SA"/>
    </w:rPr>
  </w:style>
  <w:style w:type="paragraph" w:customStyle="1" w:styleId="21">
    <w:name w:val="标准书眉一"/>
    <w:qFormat/>
    <w:uiPriority w:val="0"/>
    <w:pPr>
      <w:jc w:val="both"/>
    </w:pPr>
    <w:rPr>
      <w:rFonts w:ascii="Times New Roman" w:hAnsi="Times New Roman" w:eastAsia="宋体" w:cs="Times New Roman"/>
      <w:lang w:val="en-US" w:eastAsia="zh-CN" w:bidi="ar-SA"/>
    </w:rPr>
  </w:style>
  <w:style w:type="paragraph" w:customStyle="1" w:styleId="22">
    <w:name w:val="前言、引言标题"/>
    <w:next w:val="23"/>
    <w:qFormat/>
    <w:uiPriority w:val="0"/>
    <w:pPr>
      <w:shd w:val="clear" w:color="FFFFFF" w:fill="FFFFFF"/>
      <w:spacing w:before="640" w:after="560"/>
      <w:jc w:val="center"/>
      <w:outlineLvl w:val="0"/>
    </w:pPr>
    <w:rPr>
      <w:rFonts w:ascii="黑体" w:hAnsi="Times New Roman" w:eastAsia="黑体" w:cs="Times New Roman"/>
      <w:sz w:val="32"/>
      <w:lang w:val="en-US" w:eastAsia="zh-CN" w:bidi="ar-SA"/>
    </w:rPr>
  </w:style>
  <w:style w:type="paragraph" w:customStyle="1" w:styleId="23">
    <w:name w:val="段"/>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24">
    <w:name w:val="章标题"/>
    <w:next w:val="23"/>
    <w:link w:val="44"/>
    <w:qFormat/>
    <w:uiPriority w:val="0"/>
    <w:pPr>
      <w:spacing w:before="50" w:beforeLines="50" w:after="50" w:afterLines="50"/>
      <w:jc w:val="both"/>
      <w:outlineLvl w:val="1"/>
    </w:pPr>
    <w:rPr>
      <w:rFonts w:ascii="黑体" w:hAnsi="Times New Roman" w:eastAsia="黑体" w:cs="Times New Roman"/>
      <w:sz w:val="21"/>
      <w:lang w:val="en-US" w:eastAsia="zh-CN" w:bidi="ar-SA"/>
    </w:rPr>
  </w:style>
  <w:style w:type="paragraph" w:customStyle="1" w:styleId="25">
    <w:name w:val="一级条标题"/>
    <w:next w:val="23"/>
    <w:link w:val="43"/>
    <w:qFormat/>
    <w:uiPriority w:val="0"/>
    <w:pPr>
      <w:outlineLvl w:val="2"/>
    </w:pPr>
    <w:rPr>
      <w:rFonts w:ascii="Times New Roman" w:hAnsi="Times New Roman" w:eastAsia="黑体" w:cs="Times New Roman"/>
      <w:sz w:val="21"/>
      <w:lang w:val="en-US" w:eastAsia="zh-CN" w:bidi="ar-SA"/>
    </w:rPr>
  </w:style>
  <w:style w:type="paragraph" w:customStyle="1" w:styleId="26">
    <w:name w:val="二级条标题"/>
    <w:basedOn w:val="25"/>
    <w:next w:val="23"/>
    <w:qFormat/>
    <w:uiPriority w:val="0"/>
    <w:pPr>
      <w:tabs>
        <w:tab w:val="left" w:pos="360"/>
      </w:tabs>
      <w:outlineLvl w:val="3"/>
    </w:pPr>
  </w:style>
  <w:style w:type="character" w:customStyle="1" w:styleId="27">
    <w:name w:val="发布"/>
    <w:qFormat/>
    <w:uiPriority w:val="0"/>
    <w:rPr>
      <w:rFonts w:ascii="黑体" w:eastAsia="黑体"/>
      <w:spacing w:val="22"/>
      <w:w w:val="100"/>
      <w:position w:val="3"/>
      <w:sz w:val="28"/>
    </w:rPr>
  </w:style>
  <w:style w:type="paragraph" w:customStyle="1" w:styleId="28">
    <w:name w:val="发布部门"/>
    <w:next w:val="23"/>
    <w:qFormat/>
    <w:uiPriority w:val="0"/>
    <w:pPr>
      <w:framePr w:w="7433" w:h="585" w:hRule="exact" w:hSpace="180" w:vSpace="180" w:wrap="around" w:vAnchor="margin" w:hAnchor="margin" w:xAlign="center" w:y="14401" w:anchorLock="1"/>
      <w:jc w:val="center"/>
    </w:pPr>
    <w:rPr>
      <w:rFonts w:ascii="宋体" w:hAnsi="Times New Roman" w:eastAsia="宋体" w:cs="Times New Roman"/>
      <w:b/>
      <w:spacing w:val="20"/>
      <w:w w:val="135"/>
      <w:sz w:val="36"/>
      <w:lang w:val="en-US" w:eastAsia="zh-CN" w:bidi="ar-SA"/>
    </w:rPr>
  </w:style>
  <w:style w:type="paragraph" w:customStyle="1" w:styleId="29">
    <w:name w:val="发布日期"/>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30">
    <w:name w:val="封面标准号1"/>
    <w:qFormat/>
    <w:uiPriority w:val="0"/>
    <w:pPr>
      <w:widowControl w:val="0"/>
      <w:kinsoku w:val="0"/>
      <w:overflowPunct w:val="0"/>
      <w:autoSpaceDE w:val="0"/>
      <w:autoSpaceDN w:val="0"/>
      <w:spacing w:before="308"/>
      <w:jc w:val="right"/>
      <w:textAlignment w:val="center"/>
    </w:pPr>
    <w:rPr>
      <w:rFonts w:ascii="Times New Roman" w:hAnsi="Times New Roman" w:eastAsia="宋体" w:cs="Times New Roman"/>
      <w:sz w:val="28"/>
      <w:lang w:val="en-US" w:eastAsia="zh-CN" w:bidi="ar-SA"/>
    </w:rPr>
  </w:style>
  <w:style w:type="paragraph" w:customStyle="1" w:styleId="31">
    <w:name w:val="封面标准文稿编辑信息"/>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32">
    <w:name w:val="封面标准文稿类别"/>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33">
    <w:name w:val="封面标准英文名称"/>
    <w:basedOn w:val="34"/>
    <w:qFormat/>
    <w:uiPriority w:val="0"/>
    <w:pPr>
      <w:widowControl w:val="0"/>
      <w:spacing w:before="370" w:line="400" w:lineRule="exact"/>
      <w:jc w:val="center"/>
    </w:pPr>
    <w:rPr>
      <w:rFonts w:ascii="Times New Roman" w:hAnsi="Times New Roman" w:eastAsia="宋体" w:cs="Times New Roman"/>
      <w:sz w:val="28"/>
      <w:lang w:val="en-US" w:eastAsia="zh-CN" w:bidi="ar-SA"/>
    </w:rPr>
  </w:style>
  <w:style w:type="paragraph" w:customStyle="1" w:styleId="34">
    <w:name w:val="封面标准名称"/>
    <w:qFormat/>
    <w:uiPriority w:val="0"/>
    <w:pPr>
      <w:framePr w:w="9639" w:h="6917" w:hRule="exact" w:wrap="around" w:vAnchor="page" w:hAnchor="page" w:xAlign="center" w:y="6408"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35">
    <w:name w:val="封面一致性程度标识"/>
    <w:basedOn w:val="33"/>
    <w:qFormat/>
    <w:uiPriority w:val="0"/>
    <w:pPr>
      <w:spacing w:before="440" w:line="400" w:lineRule="exact"/>
      <w:jc w:val="center"/>
    </w:pPr>
    <w:rPr>
      <w:rFonts w:ascii="宋体" w:hAnsi="Times New Roman" w:eastAsia="宋体" w:cs="Times New Roman"/>
      <w:sz w:val="28"/>
      <w:lang w:val="en-US" w:eastAsia="zh-CN" w:bidi="ar-SA"/>
    </w:rPr>
  </w:style>
  <w:style w:type="paragraph" w:customStyle="1" w:styleId="36">
    <w:name w:val="封面正文"/>
    <w:qFormat/>
    <w:uiPriority w:val="0"/>
    <w:pPr>
      <w:jc w:val="both"/>
    </w:pPr>
    <w:rPr>
      <w:rFonts w:ascii="Times New Roman" w:hAnsi="Times New Roman" w:eastAsia="宋体" w:cs="Times New Roman"/>
      <w:lang w:val="en-US" w:eastAsia="zh-CN" w:bidi="ar-SA"/>
    </w:rPr>
  </w:style>
  <w:style w:type="paragraph" w:customStyle="1" w:styleId="37">
    <w:name w:val="其他标准称谓"/>
    <w:qFormat/>
    <w:uiPriority w:val="0"/>
    <w:pPr>
      <w:spacing w:line="0" w:lineRule="atLeast"/>
      <w:jc w:val="distribute"/>
    </w:pPr>
    <w:rPr>
      <w:rFonts w:ascii="黑体" w:hAnsi="宋体" w:eastAsia="黑体" w:cs="Times New Roman"/>
      <w:sz w:val="52"/>
      <w:lang w:val="en-US" w:eastAsia="zh-CN" w:bidi="ar-SA"/>
    </w:rPr>
  </w:style>
  <w:style w:type="paragraph" w:customStyle="1" w:styleId="38">
    <w:name w:val="实施日期"/>
    <w:basedOn w:val="29"/>
    <w:qFormat/>
    <w:uiPriority w:val="0"/>
    <w:pPr>
      <w:framePr w:hSpace="0" w:xAlign="right"/>
      <w:jc w:val="right"/>
    </w:pPr>
  </w:style>
  <w:style w:type="paragraph" w:customStyle="1" w:styleId="39">
    <w:name w:val="图表脚注"/>
    <w:next w:val="23"/>
    <w:qFormat/>
    <w:uiPriority w:val="0"/>
    <w:pPr>
      <w:ind w:left="300" w:leftChars="200" w:hanging="100" w:hangingChars="100"/>
      <w:jc w:val="both"/>
    </w:pPr>
    <w:rPr>
      <w:rFonts w:ascii="宋体" w:hAnsi="Times New Roman" w:eastAsia="宋体" w:cs="Times New Roman"/>
      <w:sz w:val="18"/>
      <w:lang w:val="en-US" w:eastAsia="zh-CN" w:bidi="ar-SA"/>
    </w:rPr>
  </w:style>
  <w:style w:type="paragraph" w:customStyle="1" w:styleId="40">
    <w:name w:val="文献分类号"/>
    <w:qFormat/>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character" w:customStyle="1" w:styleId="41">
    <w:name w:val="正文文本 字符"/>
    <w:basedOn w:val="10"/>
    <w:link w:val="3"/>
    <w:qFormat/>
    <w:uiPriority w:val="0"/>
    <w:rPr>
      <w:rFonts w:ascii="黑体" w:hAnsi="Times New Roman" w:eastAsia="宋体" w:cs="Times New Roman"/>
      <w:sz w:val="28"/>
      <w:szCs w:val="24"/>
    </w:rPr>
  </w:style>
  <w:style w:type="paragraph" w:customStyle="1" w:styleId="42">
    <w:name w:val="正文表标题"/>
    <w:next w:val="23"/>
    <w:qFormat/>
    <w:uiPriority w:val="0"/>
    <w:pPr>
      <w:numPr>
        <w:ilvl w:val="0"/>
        <w:numId w:val="1"/>
      </w:numPr>
      <w:jc w:val="center"/>
    </w:pPr>
    <w:rPr>
      <w:rFonts w:ascii="黑体" w:hAnsi="Times New Roman" w:eastAsia="黑体" w:cs="Times New Roman"/>
      <w:sz w:val="21"/>
      <w:lang w:val="en-US" w:eastAsia="zh-CN" w:bidi="ar-SA"/>
    </w:rPr>
  </w:style>
  <w:style w:type="character" w:customStyle="1" w:styleId="43">
    <w:name w:val="一级条标题 Char"/>
    <w:link w:val="25"/>
    <w:qFormat/>
    <w:uiPriority w:val="0"/>
    <w:rPr>
      <w:rFonts w:ascii="Times New Roman" w:hAnsi="Times New Roman" w:eastAsia="黑体" w:cs="Times New Roman"/>
      <w:kern w:val="0"/>
      <w:szCs w:val="20"/>
    </w:rPr>
  </w:style>
  <w:style w:type="character" w:customStyle="1" w:styleId="44">
    <w:name w:val="章标题 Char"/>
    <w:link w:val="24"/>
    <w:qFormat/>
    <w:uiPriority w:val="0"/>
    <w:rPr>
      <w:rFonts w:ascii="黑体" w:hAnsi="Times New Roman" w:eastAsia="黑体" w:cs="Times New Roman"/>
      <w:kern w:val="0"/>
      <w:szCs w:val="20"/>
    </w:rPr>
  </w:style>
  <w:style w:type="character" w:customStyle="1" w:styleId="45">
    <w:name w:val="批注框文本 字符"/>
    <w:basedOn w:val="10"/>
    <w:link w:val="4"/>
    <w:semiHidden/>
    <w:qFormat/>
    <w:uiPriority w:val="99"/>
    <w:rPr>
      <w:sz w:val="18"/>
      <w:szCs w:val="18"/>
    </w:rPr>
  </w:style>
  <w:style w:type="character" w:customStyle="1" w:styleId="46">
    <w:name w:val="批注文字 字符"/>
    <w:basedOn w:val="10"/>
    <w:link w:val="2"/>
    <w:semiHidden/>
    <w:qFormat/>
    <w:uiPriority w:val="99"/>
  </w:style>
  <w:style w:type="character" w:customStyle="1" w:styleId="47">
    <w:name w:val="批注主题 字符"/>
    <w:basedOn w:val="46"/>
    <w:link w:val="7"/>
    <w:semiHidden/>
    <w:qFormat/>
    <w:uiPriority w:val="99"/>
    <w:rPr>
      <w:b/>
      <w:bCs/>
    </w:rPr>
  </w:style>
  <w:style w:type="paragraph" w:customStyle="1" w:styleId="48">
    <w:name w:val="修订1"/>
    <w:hidden/>
    <w:semiHidden/>
    <w:qFormat/>
    <w:uiPriority w:val="99"/>
    <w:rPr>
      <w:rFonts w:asciiTheme="minorHAnsi" w:hAnsiTheme="minorHAnsi" w:eastAsiaTheme="minorEastAsia" w:cstheme="minorBidi"/>
      <w:kern w:val="2"/>
      <w:sz w:val="21"/>
      <w:szCs w:val="22"/>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6</Pages>
  <Words>2076</Words>
  <Characters>2602</Characters>
  <Lines>21</Lines>
  <Paragraphs>5</Paragraphs>
  <TotalTime>2</TotalTime>
  <ScaleCrop>false</ScaleCrop>
  <LinksUpToDate>false</LinksUpToDate>
  <CharactersWithSpaces>2670</CharactersWithSpaces>
  <Application>WPS Office_12.1.0.16120_F1E327BC-269C-435d-A152-05C5408002CA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2021-06-24T11:38:00Z</dcterms:created>
  <dc:creator>WLH</dc:creator>
  <cp:lastModifiedBy>mmme</cp:lastModifiedBy>
  <cp:lastPrinted>2023-03-20T00:58:00Z</cp:lastPrinted>
  <dcterms:modified xsi:type="dcterms:W3CDTF">2024-01-15T02:55:44Z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FD3F4BF92BE940EDBA983DF08EECA62F</vt:lpwstr>
  </property>
</Properties>
</file>