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30"/>
              <w:framePr w:wrap="notBeside" w:vAnchor="page" w:hAnchor="page" w:x="1372" w:y="568"/>
            </w:pPr>
            <w:r>
              <w:rPr>
                <w:rFonts w:hint="eastAsia"/>
              </w:rPr>
              <w:t>65.061.01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B91</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32</w:t>
            </w:r>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t>江苏省</w:t>
      </w:r>
      <w:r>
        <w:rPr>
          <w:rFonts w:hint="eastAsia" w:ascii="黑体" w:hAnsi="黑体" w:eastAsia="黑体"/>
          <w:b w:val="0"/>
          <w:bCs w:val="0"/>
          <w:w w:val="100"/>
          <w:sz w:val="48"/>
          <w:szCs w:val="48"/>
        </w:rPr>
        <w:t>地方标准</w:t>
      </w:r>
    </w:p>
    <w:bookmarkEnd w:id="0"/>
    <w:p>
      <w:pPr>
        <w:pStyle w:val="195"/>
        <w:framePr/>
        <w:rPr>
          <w:lang w:val="fr-FR"/>
        </w:rPr>
      </w:pPr>
      <w:r>
        <w:rPr>
          <w:lang w:val="fr-FR"/>
        </w:rPr>
        <w:t>DB</w:t>
      </w:r>
      <w:r>
        <w:rPr>
          <w:sz w:val="15"/>
          <w:szCs w:val="15"/>
          <w:lang w:val="fr-FR"/>
        </w:rPr>
        <w:t xml:space="preserve"> </w:t>
      </w:r>
      <w:r>
        <w:t>32/T</w:t>
      </w:r>
      <w:r>
        <w:rPr>
          <w:lang w:val="fr-FR"/>
        </w:rPr>
        <w:t xml:space="preserve"> </w:t>
      </w:r>
      <w:r>
        <w:fldChar w:fldCharType="begin">
          <w:ffData>
            <w:name w:val="NSTD_CODE_F"/>
            <w:enabled/>
            <w:calcOnExit w:val="0"/>
            <w:textInput>
              <w:default w:val="XXXX"/>
            </w:textInput>
          </w:ffData>
        </w:fldChar>
      </w:r>
      <w:bookmarkStart w:id="1" w:name="NSTD_CODE_F"/>
      <w:r>
        <w:rPr>
          <w:lang w:val="fr-FR"/>
        </w:rPr>
        <w:instrText xml:space="preserve"> FORMTEXT </w:instrText>
      </w:r>
      <w:r>
        <w:fldChar w:fldCharType="separate"/>
      </w:r>
      <w:r>
        <w:rPr>
          <w:lang w:val="fr-FR"/>
        </w:rPr>
        <w:t>XXXX</w:t>
      </w:r>
      <w:r>
        <w:fldChar w:fldCharType="end"/>
      </w:r>
      <w:bookmarkEnd w:id="1"/>
      <w:r>
        <w:rPr>
          <w:rFonts w:hAnsi="黑体"/>
          <w:lang w:val="fr-FR"/>
        </w:rPr>
        <w:t>—</w:t>
      </w:r>
      <w:r>
        <w:fldChar w:fldCharType="begin">
          <w:ffData>
            <w:name w:val="NSTD_CODE_B"/>
            <w:enabled/>
            <w:calcOnExit w:val="0"/>
            <w:textInput>
              <w:default w:val="XXXX"/>
            </w:textInput>
          </w:ffData>
        </w:fldChar>
      </w:r>
      <w:bookmarkStart w:id="2" w:name="NSTD_CODE_B"/>
      <w:r>
        <w:rPr>
          <w:lang w:val="fr-FR"/>
        </w:rPr>
        <w:instrText xml:space="preserve"> FORMTEXT </w:instrText>
      </w:r>
      <w:r>
        <w:fldChar w:fldCharType="separate"/>
      </w:r>
      <w:r>
        <w:rPr>
          <w:lang w:val="fr-FR"/>
        </w:rPr>
        <w:t>XXXX</w:t>
      </w:r>
      <w:r>
        <w:fldChar w:fldCharType="end"/>
      </w:r>
      <w:bookmarkEnd w:id="2"/>
    </w:p>
    <w:p>
      <w:pPr>
        <w:pStyle w:val="196"/>
        <w:framePr/>
        <w:rPr>
          <w:rFonts w:hAnsi="黑体"/>
        </w:rPr>
      </w:pP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rPr>
          <w:rFonts w:hint="eastAsia"/>
        </w:rPr>
        <w:t>设施蔬菜园区农业机械配置规范</w:t>
      </w:r>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t>Specification for agricultural machinery configuration in facility vegetable parks</w:t>
      </w: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rFonts w:hint="eastAsia"/>
          <w:sz w:val="24"/>
          <w:szCs w:val="28"/>
        </w:rPr>
        <w:t>（报批稿）</w:t>
      </w:r>
    </w:p>
    <w:p>
      <w:pPr>
        <w:pStyle w:val="125"/>
        <w:framePr w:w="9639" w:h="6974" w:hRule="exact" w:wrap="around" w:vAnchor="page" w:hAnchor="page" w:x="1419" w:y="6408" w:anchorLock="1"/>
        <w:spacing w:before="180" w:line="240" w:lineRule="atLeast"/>
        <w:textAlignment w:val="bottom"/>
        <w:rPr>
          <w:sz w:val="21"/>
          <w:szCs w:val="28"/>
        </w:rPr>
      </w:pPr>
    </w:p>
    <w:p>
      <w:pPr>
        <w:pStyle w:val="125"/>
        <w:framePr w:w="9639" w:h="6974" w:hRule="exact" w:wrap="around" w:vAnchor="page" w:hAnchor="page" w:x="1419" w:y="6408" w:anchorLock="1"/>
        <w:spacing w:before="720" w:beforeLines="300" w:after="72" w:afterLines="30" w:line="240" w:lineRule="auto"/>
        <w:textAlignment w:val="bottom"/>
        <w:rPr>
          <w:b/>
          <w:sz w:val="21"/>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实施</w:t>
      </w:r>
    </w:p>
    <w:p>
      <w:pPr>
        <w:pStyle w:val="151"/>
        <w:framePr w:h="584" w:hRule="exact" w:hSpace="181" w:vSpace="181" w:wrap="around" w:y="15027"/>
        <w:rPr>
          <w:rFonts w:hAnsi="黑体"/>
        </w:rPr>
      </w:pPr>
      <w:r>
        <w:rPr>
          <w:rFonts w:hint="eastAsia" w:hAnsi="黑体"/>
          <w:w w:val="100"/>
          <w:sz w:val="28"/>
        </w:rPr>
        <w:t>江苏省</w:t>
      </w:r>
      <w:r>
        <w:rPr>
          <w:rFonts w:hAnsi="黑体"/>
          <w:w w:val="100"/>
          <w:sz w:val="28"/>
        </w:rPr>
        <w:t>市场监督管理局</w:t>
      </w:r>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9"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本文件由江苏省农业农村厅提出。</w:t>
      </w:r>
    </w:p>
    <w:p>
      <w:pPr>
        <w:pStyle w:val="56"/>
        <w:ind w:firstLine="420"/>
      </w:pPr>
      <w:r>
        <w:rPr>
          <w:rFonts w:hint="eastAsia"/>
        </w:rPr>
        <w:t>本文件由江苏省农机标准化专业技术委员会归口。</w:t>
      </w:r>
    </w:p>
    <w:p>
      <w:pPr>
        <w:pStyle w:val="56"/>
        <w:ind w:firstLine="420"/>
      </w:pPr>
      <w:r>
        <w:rPr>
          <w:rFonts w:hint="eastAsia"/>
        </w:rPr>
        <w:t>本文件起草单位：江苏省农机具开发应用中心、农业农村部南京农业机械化研究所。</w:t>
      </w:r>
    </w:p>
    <w:p>
      <w:pPr>
        <w:pStyle w:val="56"/>
        <w:ind w:firstLine="420"/>
      </w:pPr>
      <w:r>
        <w:rPr>
          <w:rFonts w:hint="eastAsia"/>
        </w:rPr>
        <w:t>本文件主要起草人：於锋、孙龙霞、马诗珉、周学剑、葛迅一、蔡国芳、胡双燕、朱虹、钱士程、沈启扬。</w:t>
      </w:r>
    </w:p>
    <w:p>
      <w:pPr>
        <w:pStyle w:val="56"/>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9"/>
    <w:p>
      <w:pPr>
        <w:spacing w:line="20" w:lineRule="exact"/>
        <w:jc w:val="center"/>
        <w:rPr>
          <w:rFonts w:ascii="黑体" w:hAnsi="黑体" w:eastAsia="黑体"/>
          <w:sz w:val="32"/>
          <w:szCs w:val="32"/>
        </w:rPr>
      </w:pPr>
      <w:bookmarkStart w:id="10" w:name="BookMark4"/>
    </w:p>
    <w:p>
      <w:pPr>
        <w:spacing w:line="20" w:lineRule="exact"/>
        <w:jc w:val="center"/>
        <w:rPr>
          <w:rFonts w:ascii="黑体" w:hAnsi="黑体" w:eastAsia="黑体"/>
          <w:sz w:val="32"/>
          <w:szCs w:val="32"/>
        </w:rPr>
      </w:pPr>
    </w:p>
    <w:sdt>
      <w:sdtPr>
        <w:tag w:val="NEW_STAND_NAME"/>
        <w:id w:val="595910757"/>
        <w:lock w:val="sdtLocked"/>
        <w:placeholder>
          <w:docPart w:val="9F09FD4AB5D94D7A84F88D58253FF242"/>
        </w:placeholder>
      </w:sdtPr>
      <w:sdtContent>
        <w:p>
          <w:pPr>
            <w:pStyle w:val="177"/>
            <w:spacing w:before="0" w:beforeLines="0" w:after="686" w:afterLines="220"/>
          </w:pPr>
          <w:bookmarkStart w:id="11" w:name="NEW_STAND_NAME"/>
          <w:r>
            <w:rPr>
              <w:rFonts w:hint="eastAsia"/>
            </w:rPr>
            <w:t>设施蔬菜园区农业机械配置规范</w:t>
          </w:r>
        </w:p>
      </w:sdtContent>
    </w:sdt>
    <w:bookmarkEnd w:id="11"/>
    <w:p>
      <w:pPr>
        <w:pStyle w:val="104"/>
        <w:spacing w:before="312" w:after="312"/>
      </w:pPr>
      <w:bookmarkStart w:id="12" w:name="_Toc26986771"/>
      <w:bookmarkStart w:id="13" w:name="_Toc24884211"/>
      <w:bookmarkStart w:id="14" w:name="_Toc24884218"/>
      <w:bookmarkStart w:id="15" w:name="_Toc17233325"/>
      <w:bookmarkStart w:id="16" w:name="_Toc17233333"/>
      <w:bookmarkStart w:id="17" w:name="_Toc26986530"/>
      <w:bookmarkStart w:id="18" w:name="_Toc26648465"/>
      <w:bookmarkStart w:id="19" w:name="_Toc26718930"/>
      <w:r>
        <w:rPr>
          <w:rFonts w:hint="eastAsia"/>
        </w:rPr>
        <w:t>范围</w:t>
      </w:r>
      <w:bookmarkEnd w:id="12"/>
      <w:bookmarkEnd w:id="13"/>
      <w:bookmarkEnd w:id="14"/>
      <w:bookmarkEnd w:id="15"/>
      <w:bookmarkEnd w:id="16"/>
      <w:bookmarkEnd w:id="17"/>
      <w:bookmarkEnd w:id="18"/>
      <w:bookmarkEnd w:id="19"/>
    </w:p>
    <w:p>
      <w:pPr>
        <w:pStyle w:val="56"/>
        <w:ind w:firstLine="420"/>
      </w:pPr>
      <w:bookmarkStart w:id="20" w:name="_Toc24884219"/>
      <w:bookmarkStart w:id="21" w:name="_Toc24884212"/>
      <w:bookmarkStart w:id="22" w:name="_Toc26648466"/>
      <w:bookmarkStart w:id="23" w:name="_Toc17233326"/>
      <w:bookmarkStart w:id="24" w:name="_Toc17233334"/>
      <w:r>
        <w:rPr>
          <w:rFonts w:hint="eastAsia"/>
        </w:rPr>
        <w:t>本文件规定了设施蔬菜园区（以下简称园区）选配农业机械（含农机具和设备）的基本要求、耕整地环节、种植环节、田间管理环节、采收运输环节、收获后处理环节等过程中的选配规范。</w:t>
      </w:r>
    </w:p>
    <w:p>
      <w:pPr>
        <w:pStyle w:val="56"/>
        <w:ind w:firstLine="420"/>
      </w:pPr>
      <w:r>
        <w:rPr>
          <w:rFonts w:hint="eastAsia"/>
        </w:rPr>
        <w:t>本文件适用于设施蔬菜园区蔬菜生产的农业机械配置。</w:t>
      </w:r>
    </w:p>
    <w:p>
      <w:pPr>
        <w:pStyle w:val="104"/>
        <w:spacing w:before="312" w:after="312"/>
      </w:pPr>
      <w:bookmarkStart w:id="25" w:name="_Toc26986531"/>
      <w:bookmarkStart w:id="26" w:name="_Toc26718931"/>
      <w:bookmarkStart w:id="27" w:name="_Toc26986772"/>
      <w:r>
        <w:rPr>
          <w:rFonts w:hint="eastAsia"/>
        </w:rPr>
        <w:t>规范性引用文件</w:t>
      </w:r>
      <w:bookmarkEnd w:id="20"/>
      <w:bookmarkEnd w:id="21"/>
      <w:bookmarkEnd w:id="22"/>
      <w:bookmarkEnd w:id="23"/>
      <w:bookmarkEnd w:id="24"/>
      <w:bookmarkEnd w:id="25"/>
      <w:bookmarkEnd w:id="26"/>
      <w:bookmarkEnd w:id="27"/>
    </w:p>
    <w:sdt>
      <w:sdtPr>
        <w:rPr>
          <w:rFonts w:hint="eastAsia"/>
        </w:rPr>
        <w:id w:val="715848253"/>
        <w:placeholder>
          <w:docPart w:val="B22C426E213A46A8A0A45E8FD51C15D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pPr>
      <w:r>
        <w:rPr>
          <w:rFonts w:hint="eastAsia"/>
        </w:rPr>
        <w:t>GB 10395.1</w:t>
      </w:r>
      <w:r>
        <w:t xml:space="preserve"> </w:t>
      </w:r>
      <w:r>
        <w:rPr>
          <w:rFonts w:hint="eastAsia" w:hAnsi="宋体"/>
        </w:rPr>
        <w:t>农林机械</w:t>
      </w:r>
      <w:r>
        <w:rPr>
          <w:rFonts w:hint="eastAsia"/>
        </w:rPr>
        <w:t xml:space="preserve"> </w:t>
      </w:r>
      <w:r>
        <w:rPr>
          <w:rFonts w:hint="eastAsia" w:hAnsi="宋体"/>
        </w:rPr>
        <w:t>安全</w:t>
      </w:r>
      <w:r>
        <w:rPr>
          <w:rFonts w:hint="eastAsia"/>
        </w:rPr>
        <w:t xml:space="preserve"> </w:t>
      </w:r>
      <w:r>
        <w:rPr>
          <w:rFonts w:hint="eastAsia" w:hAnsi="宋体"/>
        </w:rPr>
        <w:t>第1部分：总则</w:t>
      </w:r>
    </w:p>
    <w:p>
      <w:pPr>
        <w:pStyle w:val="231"/>
      </w:pPr>
      <w:r>
        <w:rPr>
          <w:rFonts w:hint="eastAsia" w:hAnsi="宋体"/>
        </w:rPr>
        <w:t>G</w:t>
      </w:r>
      <w:r>
        <w:rPr>
          <w:rFonts w:hint="eastAsia"/>
        </w:rPr>
        <w:t xml:space="preserve">B </w:t>
      </w:r>
      <w:r>
        <w:rPr>
          <w:rFonts w:hint="eastAsia" w:hAnsi="宋体"/>
        </w:rPr>
        <w:t>1</w:t>
      </w:r>
      <w:r>
        <w:rPr>
          <w:rFonts w:hint="eastAsia"/>
        </w:rPr>
        <w:t xml:space="preserve">0396 </w:t>
      </w:r>
      <w:r>
        <w:rPr>
          <w:rFonts w:hint="eastAsia" w:hAnsi="宋体"/>
        </w:rPr>
        <w:t>农林拖拉机和机械、草坪和园艺动力机械</w:t>
      </w:r>
      <w:r>
        <w:rPr>
          <w:rFonts w:hint="eastAsia"/>
        </w:rPr>
        <w:t xml:space="preserve"> </w:t>
      </w:r>
      <w:r>
        <w:rPr>
          <w:rFonts w:hint="eastAsia" w:hAnsi="宋体"/>
        </w:rPr>
        <w:t>安全标志和危险图形</w:t>
      </w:r>
      <w:r>
        <w:rPr>
          <w:rFonts w:hint="eastAsia"/>
        </w:rPr>
        <w:t xml:space="preserve"> </w:t>
      </w:r>
      <w:r>
        <w:rPr>
          <w:rFonts w:hint="eastAsia" w:hAnsi="宋体"/>
        </w:rPr>
        <w:t>总则</w:t>
      </w:r>
    </w:p>
    <w:p>
      <w:pPr>
        <w:pStyle w:val="56"/>
        <w:ind w:firstLine="420"/>
        <w:rPr>
          <w:rFonts w:hAnsi="宋体"/>
        </w:rPr>
      </w:pPr>
      <w:r>
        <w:rPr>
          <w:rFonts w:hint="eastAsia"/>
        </w:rPr>
        <w:t>DB32/T 3350</w:t>
      </w:r>
      <w:r>
        <w:t xml:space="preserve"> </w:t>
      </w:r>
      <w:r>
        <w:rPr>
          <w:rFonts w:hint="eastAsia" w:hAnsi="宋体"/>
        </w:rPr>
        <w:t>蔬菜机械化耕整地作业技术规范</w:t>
      </w:r>
    </w:p>
    <w:p>
      <w:pPr>
        <w:pStyle w:val="231"/>
        <w:tabs>
          <w:tab w:val="center" w:pos="4201"/>
          <w:tab w:val="right" w:leader="dot" w:pos="9298"/>
        </w:tabs>
        <w:rPr>
          <w:rFonts w:hAnsi="宋体"/>
        </w:rPr>
      </w:pPr>
      <w:r>
        <w:rPr>
          <w:rFonts w:hint="eastAsia"/>
        </w:rPr>
        <w:t>NY/T 3486</w:t>
      </w:r>
      <w:r>
        <w:rPr>
          <w:rFonts w:hint="eastAsia" w:ascii="Calibri" w:hAnsi="Calibri"/>
        </w:rPr>
        <w:t xml:space="preserve"> 蔬菜移栽机 作业质量</w:t>
      </w:r>
    </w:p>
    <w:p>
      <w:pPr>
        <w:pStyle w:val="104"/>
        <w:spacing w:before="312" w:after="312"/>
      </w:pPr>
      <w:r>
        <w:rPr>
          <w:rFonts w:hint="eastAsia"/>
          <w:szCs w:val="21"/>
        </w:rPr>
        <w:t>术语和定义</w:t>
      </w:r>
    </w:p>
    <w:sdt>
      <w:sdtPr>
        <w:id w:val="-1909835108"/>
        <w:placeholder>
          <w:docPart w:val="1A92258498C54C28B8B575D6F4A1765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28" w:name="_Toc26986532"/>
          <w:bookmarkEnd w:id="28"/>
          <w:r>
            <w:t>本文件没有需要界定的术语和定义。</w:t>
          </w:r>
        </w:p>
      </w:sdtContent>
    </w:sdt>
    <w:p>
      <w:pPr>
        <w:pStyle w:val="104"/>
        <w:spacing w:before="312" w:after="312"/>
        <w:rPr>
          <w:szCs w:val="21"/>
        </w:rPr>
      </w:pPr>
      <w:r>
        <w:rPr>
          <w:rFonts w:hint="eastAsia"/>
        </w:rPr>
        <w:t>基本要求</w:t>
      </w:r>
    </w:p>
    <w:p>
      <w:pPr>
        <w:pStyle w:val="105"/>
        <w:spacing w:before="156" w:after="156"/>
      </w:pPr>
      <w:r>
        <w:rPr>
          <w:rFonts w:hint="eastAsia"/>
        </w:rPr>
        <w:t>园区设施</w:t>
      </w:r>
    </w:p>
    <w:p>
      <w:pPr>
        <w:pStyle w:val="165"/>
      </w:pPr>
      <w:r>
        <w:rPr>
          <w:rFonts w:hint="eastAsia"/>
        </w:rPr>
        <w:t>道路、过桥、沟渠等园区基础设施应满足农业机械通行要求，其中过桥的宽度应不小于 3 m。</w:t>
      </w:r>
    </w:p>
    <w:p>
      <w:pPr>
        <w:pStyle w:val="165"/>
      </w:pPr>
      <w:r>
        <w:rPr>
          <w:rFonts w:hint="eastAsia"/>
        </w:rPr>
        <w:t xml:space="preserve">连栋温室、钢架塑料大棚、日光温室等园区生产设施跨度应不小于 8 m，肩高应不小于 1.8 m（日光温室除外），横梁高度应不小于 2.0 m，棚门宽度应不小于 </w:t>
      </w:r>
      <w:r>
        <w:t>1.8</w:t>
      </w:r>
      <w:r>
        <w:rPr>
          <w:rFonts w:hint="eastAsia"/>
        </w:rPr>
        <w:t xml:space="preserve"> m、高度应不小于 2.0 m。灌溉系统应不影响农业机械行走及作业。</w:t>
      </w:r>
    </w:p>
    <w:p>
      <w:pPr>
        <w:pStyle w:val="105"/>
        <w:spacing w:before="156" w:after="156"/>
      </w:pPr>
      <w:r>
        <w:rPr>
          <w:rFonts w:hint="eastAsia"/>
        </w:rPr>
        <w:t>农业机械</w:t>
      </w:r>
    </w:p>
    <w:p>
      <w:pPr>
        <w:pStyle w:val="56"/>
        <w:ind w:firstLine="420"/>
      </w:pPr>
      <w:r>
        <w:rPr>
          <w:rFonts w:hint="eastAsia"/>
          <w:lang w:val="en-US" w:eastAsia="zh-CN"/>
        </w:rPr>
        <w:t>所</w:t>
      </w:r>
      <w:r>
        <w:rPr>
          <w:rFonts w:hint="eastAsia"/>
        </w:rPr>
        <w:t>配</w:t>
      </w:r>
      <w:r>
        <w:rPr>
          <w:rFonts w:hint="eastAsia"/>
          <w:lang w:val="en-US" w:eastAsia="zh-CN"/>
        </w:rPr>
        <w:t>备的</w:t>
      </w:r>
      <w:r>
        <w:rPr>
          <w:rFonts w:hint="eastAsia"/>
        </w:rPr>
        <w:t>农业机械应是按标准生产并经检验合格的定型产品，产品安全性、可靠性符合 GB 10395.1、GB</w:t>
      </w:r>
      <w:r>
        <w:t xml:space="preserve"> </w:t>
      </w:r>
      <w:r>
        <w:rPr>
          <w:rFonts w:hint="eastAsia"/>
        </w:rPr>
        <w:t>10396</w:t>
      </w:r>
      <w:r>
        <w:t xml:space="preserve"> </w:t>
      </w:r>
      <w:r>
        <w:rPr>
          <w:rFonts w:hint="eastAsia"/>
        </w:rPr>
        <w:t>和农机产品标准要求。</w:t>
      </w:r>
    </w:p>
    <w:p>
      <w:pPr>
        <w:pStyle w:val="105"/>
        <w:spacing w:before="156" w:after="156"/>
      </w:pPr>
      <w:r>
        <w:rPr>
          <w:rFonts w:hint="eastAsia"/>
        </w:rPr>
        <w:t>人员</w:t>
      </w:r>
    </w:p>
    <w:p>
      <w:pPr>
        <w:pStyle w:val="56"/>
        <w:ind w:firstLine="420"/>
      </w:pPr>
      <w:r>
        <w:rPr>
          <w:rFonts w:hint="eastAsia"/>
        </w:rPr>
        <w:t>园区应配备农业机械操作人员和作业辅助人员，宜配备维修人员，通过技术培训掌握农机安全操作使用和蔬菜生产技术。</w:t>
      </w:r>
    </w:p>
    <w:p>
      <w:pPr>
        <w:pStyle w:val="105"/>
        <w:spacing w:before="156" w:after="156"/>
      </w:pPr>
      <w:r>
        <w:rPr>
          <w:rFonts w:hint="eastAsia"/>
        </w:rPr>
        <w:t>选配原则</w:t>
      </w:r>
    </w:p>
    <w:p>
      <w:pPr>
        <w:pStyle w:val="56"/>
        <w:ind w:firstLine="420"/>
      </w:pPr>
      <w:r>
        <w:rPr>
          <w:rFonts w:hint="eastAsia"/>
        </w:rPr>
        <w:t>选配的数量应与蔬菜生产规模及农业机械作业效率相适应，结构尺寸应与园区设施相适应，作业性能应与蔬菜品种及种植农艺相适应，配置的各农业机械作业参数（轮（履带）距、作业幅宽、垄距、行距、沟距等）应互相适应，农业机械配置种类参考附录A。园区宜每年对所配置的机具进行一次评估，根据情况进行装备提档升级，补充先进适用机具。</w:t>
      </w:r>
    </w:p>
    <w:p>
      <w:pPr>
        <w:pStyle w:val="105"/>
        <w:spacing w:before="156" w:after="156"/>
      </w:pPr>
      <w:r>
        <w:rPr>
          <w:rFonts w:hint="eastAsia"/>
        </w:rPr>
        <w:t>动力配置</w:t>
      </w:r>
    </w:p>
    <w:p>
      <w:pPr>
        <w:pStyle w:val="56"/>
        <w:ind w:firstLine="420"/>
      </w:pPr>
      <w:r>
        <w:rPr>
          <w:rFonts w:hint="eastAsia"/>
        </w:rPr>
        <w:t xml:space="preserve">园区应根据设施条件、配套机具、挂接方式及其作业要求，配置用于牵引或驱动配套作业农业机械的动力机械，宜选配轮式拖拉机、履带式拖拉机，功率不小于 </w:t>
      </w:r>
      <w:r>
        <w:t>29.4</w:t>
      </w:r>
      <w:r>
        <w:rPr>
          <w:rFonts w:hint="eastAsia"/>
        </w:rPr>
        <w:t xml:space="preserve"> kW，有条件园区可选用电动智能农用动力机械。</w:t>
      </w:r>
    </w:p>
    <w:p>
      <w:pPr>
        <w:pStyle w:val="104"/>
        <w:spacing w:before="312" w:after="312"/>
      </w:pPr>
      <w:r>
        <w:rPr>
          <w:rFonts w:hint="eastAsia"/>
        </w:rPr>
        <w:t>耕整地环节</w:t>
      </w:r>
    </w:p>
    <w:p>
      <w:pPr>
        <w:pStyle w:val="105"/>
        <w:spacing w:before="156" w:after="156"/>
      </w:pPr>
      <w:r>
        <w:rPr>
          <w:rFonts w:hint="eastAsia"/>
        </w:rPr>
        <w:t>净园机械</w:t>
      </w:r>
    </w:p>
    <w:p>
      <w:pPr>
        <w:pStyle w:val="56"/>
        <w:ind w:firstLine="420"/>
      </w:pPr>
      <w:r>
        <w:rPr>
          <w:rFonts w:hint="eastAsia"/>
        </w:rPr>
        <w:t>用于前茬残茬和杂草的清除或处理作业。根据设施条件、前茬残留物种类及其处理方式、配套动力大小和挂接方式等要求进行配置。宜选配秸秆粉碎还田机、灭茬机、残膜回收机等。</w:t>
      </w:r>
    </w:p>
    <w:p>
      <w:pPr>
        <w:pStyle w:val="105"/>
        <w:spacing w:before="156" w:after="156"/>
      </w:pPr>
      <w:r>
        <w:rPr>
          <w:rFonts w:hint="eastAsia"/>
        </w:rPr>
        <w:t>施基肥机械</w:t>
      </w:r>
    </w:p>
    <w:p>
      <w:pPr>
        <w:pStyle w:val="56"/>
        <w:ind w:firstLine="420"/>
      </w:pPr>
      <w:r>
        <w:rPr>
          <w:rFonts w:hint="eastAsia"/>
        </w:rPr>
        <w:t>用于基肥撒施作业。根据设施条件、肥料种类及其撒施方式等要求进行配置，宜选配有机肥撒肥机、复合肥撒肥机、厩肥撒施机。有机肥撒肥机肥箱容积不小于 400 L，复合肥撒肥机肥箱容积不小于 100 L，厩肥撒施机肥箱容积不小于 1000 L。</w:t>
      </w:r>
    </w:p>
    <w:p>
      <w:pPr>
        <w:pStyle w:val="105"/>
        <w:spacing w:before="156" w:after="156"/>
      </w:pPr>
      <w:r>
        <w:rPr>
          <w:rFonts w:hint="eastAsia"/>
        </w:rPr>
        <w:t>耕地机械</w:t>
      </w:r>
    </w:p>
    <w:p>
      <w:pPr>
        <w:pStyle w:val="56"/>
        <w:ind w:firstLine="420"/>
      </w:pPr>
      <w:r>
        <w:rPr>
          <w:rFonts w:hint="eastAsia"/>
        </w:rPr>
        <w:t>用于翻转土层、松碎土壤、肥料翻入土层等作业。根据土壤类型、耕作深度、平整度、设施结构和配套动力等要求进行配置，宜选配铧式犁、旋耕机、深松机、微型耕耘机。旋耕机耕深不小于 12</w:t>
      </w:r>
      <w:r>
        <w:t>0</w:t>
      </w:r>
      <w:r>
        <w:rPr>
          <w:rFonts w:hint="eastAsia"/>
        </w:rPr>
        <w:t xml:space="preserve"> mm，深松机作业深度不小于 3</w:t>
      </w:r>
      <w:r>
        <w:t>0</w:t>
      </w:r>
      <w:r>
        <w:rPr>
          <w:rFonts w:hint="eastAsia"/>
        </w:rPr>
        <w:t>0 mm。耕地后宜用平地机进行地表平整和修整。</w:t>
      </w:r>
    </w:p>
    <w:p>
      <w:pPr>
        <w:pStyle w:val="105"/>
        <w:spacing w:before="156" w:after="156"/>
      </w:pPr>
      <w:r>
        <w:rPr>
          <w:rFonts w:hint="eastAsia"/>
        </w:rPr>
        <w:t>整地机械</w:t>
      </w:r>
    </w:p>
    <w:p>
      <w:pPr>
        <w:pStyle w:val="56"/>
        <w:ind w:firstLine="420"/>
      </w:pPr>
      <w:r>
        <w:rPr>
          <w:rFonts w:hint="eastAsia"/>
        </w:rPr>
        <w:t>用于开沟、起垄、压实、铺膜等作业，根据蔬菜品种、种植方式、农艺要求以及土壤类型、配套动力等要求进行配置，宜选配开沟机、起垄机、铺膜机、起垄铺膜机。起垄高度不小于 15</w:t>
      </w:r>
      <w:r>
        <w:t>0</w:t>
      </w:r>
      <w:r>
        <w:rPr>
          <w:rFonts w:hint="eastAsia"/>
        </w:rPr>
        <w:t xml:space="preserve"> mm，开沟深度不小于 15</w:t>
      </w:r>
      <w:r>
        <w:t>0</w:t>
      </w:r>
      <w:r>
        <w:rPr>
          <w:rFonts w:hint="eastAsia"/>
        </w:rPr>
        <w:t xml:space="preserve"> mm，其他耕整地作业质量符合 DB32/T 3350要求。</w:t>
      </w:r>
    </w:p>
    <w:p>
      <w:pPr>
        <w:pStyle w:val="104"/>
        <w:spacing w:before="312" w:after="312"/>
      </w:pPr>
      <w:r>
        <w:rPr>
          <w:rFonts w:hint="eastAsia"/>
        </w:rPr>
        <w:t>种植环节</w:t>
      </w:r>
    </w:p>
    <w:p>
      <w:pPr>
        <w:pStyle w:val="105"/>
        <w:spacing w:before="156" w:after="156"/>
      </w:pPr>
      <w:r>
        <w:rPr>
          <w:rFonts w:hint="eastAsia"/>
        </w:rPr>
        <w:t>直播机械</w:t>
      </w:r>
    </w:p>
    <w:p>
      <w:pPr>
        <w:pStyle w:val="56"/>
        <w:ind w:firstLine="420"/>
      </w:pPr>
      <w:r>
        <w:rPr>
          <w:rFonts w:hint="eastAsia"/>
        </w:rPr>
        <w:t>用于直播类蔬菜种子田间播种作业。根据蔬菜种子形态大小、种植农艺以及配套动力等要求进行配置，宜选配精密直播机（自走式或悬挂式）、旋耕起垄播种机。机具播种行距、株距、穴粒数等参数可调，播种深度 0</w:t>
      </w:r>
      <w:r>
        <w:t xml:space="preserve">cm </w:t>
      </w:r>
      <w:r>
        <w:rPr>
          <w:rFonts w:ascii="Times New Roman"/>
        </w:rPr>
        <w:t xml:space="preserve">~ </w:t>
      </w:r>
      <w:r>
        <w:rPr>
          <w:rFonts w:hint="eastAsia"/>
        </w:rPr>
        <w:t>3 cm，漏播率不大于 15%。萝卜种植可选配种子编织机，根茎类种植可选配根（块）茎种子播种机。</w:t>
      </w:r>
    </w:p>
    <w:p>
      <w:pPr>
        <w:pStyle w:val="105"/>
        <w:spacing w:before="156" w:after="156"/>
      </w:pPr>
      <w:r>
        <w:rPr>
          <w:rFonts w:hint="eastAsia"/>
        </w:rPr>
        <w:t>穴盘育苗播种机械</w:t>
      </w:r>
    </w:p>
    <w:p>
      <w:pPr>
        <w:pStyle w:val="56"/>
        <w:ind w:firstLine="420"/>
      </w:pPr>
      <w:r>
        <w:rPr>
          <w:rFonts w:hint="eastAsia"/>
        </w:rPr>
        <w:t>用于移栽类蔬菜穴盘育苗播种作业。根据种子形状大小、穴盘规格、育苗农艺等要求配置机具，宜选配穴盘育苗播种设备或穴盘育苗播种流水线。作业效率不小于 200 盘/h。</w:t>
      </w:r>
    </w:p>
    <w:p>
      <w:pPr>
        <w:pStyle w:val="105"/>
        <w:spacing w:before="156" w:after="156"/>
      </w:pPr>
      <w:r>
        <w:rPr>
          <w:rFonts w:hint="eastAsia"/>
        </w:rPr>
        <w:t>移栽机械</w:t>
      </w:r>
    </w:p>
    <w:p>
      <w:pPr>
        <w:pStyle w:val="56"/>
        <w:ind w:firstLine="420"/>
      </w:pPr>
      <w:r>
        <w:rPr>
          <w:rFonts w:hint="eastAsia"/>
        </w:rPr>
        <w:t>用于移栽类蔬菜田间定植作业。根据耕整地情况、种植规模、农艺要求和配套动力等要求进行配置，宜选配自走式蔬菜移栽机、悬挂式蔬菜移栽机，有条件园区可选配自动取苗蔬菜移栽机。行距、株距、移栽深度等参数可调，移栽合格率不小于 90%，其他移栽机作业质量符合 NY/T 3486</w:t>
      </w:r>
      <w:r>
        <w:t xml:space="preserve"> </w:t>
      </w:r>
      <w:r>
        <w:rPr>
          <w:rFonts w:hint="eastAsia"/>
        </w:rPr>
        <w:t>要求。</w:t>
      </w:r>
    </w:p>
    <w:p>
      <w:pPr>
        <w:pStyle w:val="104"/>
        <w:spacing w:before="312" w:after="312"/>
      </w:pPr>
      <w:r>
        <w:rPr>
          <w:rFonts w:hint="eastAsia"/>
        </w:rPr>
        <w:t>田间管理环节</w:t>
      </w:r>
    </w:p>
    <w:p>
      <w:pPr>
        <w:pStyle w:val="105"/>
        <w:spacing w:before="156" w:after="156"/>
      </w:pPr>
      <w:r>
        <w:rPr>
          <w:rFonts w:hint="eastAsia"/>
        </w:rPr>
        <w:t>灌溉（追肥）机械</w:t>
      </w:r>
    </w:p>
    <w:p>
      <w:pPr>
        <w:pStyle w:val="56"/>
        <w:ind w:firstLine="420"/>
      </w:pPr>
      <w:r>
        <w:rPr>
          <w:rFonts w:hint="eastAsia"/>
        </w:rPr>
        <w:t>用于灌溉、水溶性肥料和营养素撒施作业。根据园区设施、灌溉和施肥等要求进行配置，宜选配微喷灌设备、滴灌设备或水肥一体设备。</w:t>
      </w:r>
    </w:p>
    <w:p>
      <w:pPr>
        <w:pStyle w:val="105"/>
        <w:spacing w:before="156" w:after="156"/>
      </w:pPr>
      <w:r>
        <w:rPr>
          <w:rFonts w:hint="eastAsia"/>
        </w:rPr>
        <w:t>环境调控机械</w:t>
      </w:r>
    </w:p>
    <w:p>
      <w:pPr>
        <w:pStyle w:val="165"/>
      </w:pPr>
      <w:r>
        <w:rPr>
          <w:rFonts w:hint="eastAsia"/>
        </w:rPr>
        <w:t>用于调节设施内温度、湿度。宜选配通风设备、加温设备（含热风炉）、卷帘设备、湿帘降温设备、除湿设备等。</w:t>
      </w:r>
    </w:p>
    <w:p>
      <w:pPr>
        <w:pStyle w:val="165"/>
      </w:pPr>
      <w:r>
        <w:rPr>
          <w:rFonts w:hint="eastAsia"/>
        </w:rPr>
        <w:t>用于调节设施内光照度。宜选配适宜的补光设备、调光设备。</w:t>
      </w:r>
    </w:p>
    <w:p>
      <w:pPr>
        <w:pStyle w:val="165"/>
      </w:pPr>
      <w:r>
        <w:rPr>
          <w:rFonts w:hint="eastAsia"/>
        </w:rPr>
        <w:t>用于调节设施内二氧化碳浓度。宜选配二氧化碳发生器。</w:t>
      </w:r>
    </w:p>
    <w:p>
      <w:pPr>
        <w:pStyle w:val="165"/>
      </w:pPr>
      <w:r>
        <w:rPr>
          <w:rFonts w:hint="eastAsia"/>
        </w:rPr>
        <w:t>用于监控设施内蔬菜生长情况。宜配置环境控制成套设备，有条件园区可配置设施蔬菜栽培物联网系统。</w:t>
      </w:r>
    </w:p>
    <w:p>
      <w:pPr>
        <w:pStyle w:val="105"/>
        <w:spacing w:before="156" w:after="156"/>
      </w:pPr>
      <w:r>
        <w:rPr>
          <w:rFonts w:hint="eastAsia"/>
        </w:rPr>
        <w:t>植保机械</w:t>
      </w:r>
    </w:p>
    <w:p>
      <w:pPr>
        <w:pStyle w:val="56"/>
        <w:ind w:firstLine="420"/>
      </w:pPr>
      <w:r>
        <w:rPr>
          <w:rFonts w:hint="eastAsia"/>
        </w:rPr>
        <w:t>用于病虫草害防控、杀灭菌农药喷洒、叶面肥或营养素撒施等作业。根据蔬菜品种、生产季节、生产方式、植保类型、植保频次、设施条件等要求进行配置，化学防治宜选配电动喷雾器、动力喷雾机等；物理防治宜选配杀虫灯、臭氧发生器、性诱捕器、粘虫板等。</w:t>
      </w:r>
    </w:p>
    <w:p>
      <w:pPr>
        <w:pStyle w:val="105"/>
        <w:spacing w:before="156" w:after="156"/>
      </w:pPr>
      <w:r>
        <w:rPr>
          <w:rFonts w:hint="eastAsia"/>
        </w:rPr>
        <w:t>植株调整机械</w:t>
      </w:r>
    </w:p>
    <w:p>
      <w:pPr>
        <w:pStyle w:val="56"/>
        <w:ind w:firstLine="420"/>
      </w:pPr>
      <w:r>
        <w:rPr>
          <w:rFonts w:hint="eastAsia"/>
        </w:rPr>
        <w:t>用于蔬菜植株或藤蔓的修剪、整理、固定等作业。根据蔬菜品种、生长管理以及设施条件等要求配置，宜选配修剪机、农用升降作业平台、吊蔓器具等。</w:t>
      </w:r>
    </w:p>
    <w:p>
      <w:pPr>
        <w:pStyle w:val="104"/>
        <w:spacing w:before="312" w:after="312"/>
      </w:pPr>
      <w:r>
        <w:rPr>
          <w:rFonts w:hint="eastAsia"/>
        </w:rPr>
        <w:t>采收运输环节</w:t>
      </w:r>
    </w:p>
    <w:p>
      <w:pPr>
        <w:pStyle w:val="105"/>
        <w:spacing w:before="156" w:after="156"/>
      </w:pPr>
      <w:r>
        <w:rPr>
          <w:rFonts w:hint="eastAsia"/>
        </w:rPr>
        <w:t>采收机械</w:t>
      </w:r>
    </w:p>
    <w:p>
      <w:pPr>
        <w:pStyle w:val="56"/>
        <w:ind w:firstLine="420"/>
      </w:pPr>
      <w:r>
        <w:rPr>
          <w:rFonts w:hint="eastAsia"/>
        </w:rPr>
        <w:t>用于蔬菜可食用部分收获作业。根据蔬菜品种、种植农艺、采收部位、采收方式及其可食用部分商品性等进行配置，宜选配叶菜采收机（含甘蓝类收获机）、果类收获机、根（茎）类收获机、农用升降作业平台，机具动力宜采用电动</w:t>
      </w:r>
      <w:r>
        <w:rPr>
          <w:rFonts w:hint="eastAsia"/>
          <w:lang w:val="en-US" w:eastAsia="zh-CN"/>
        </w:rPr>
        <w:t>方</w:t>
      </w:r>
      <w:r>
        <w:rPr>
          <w:rFonts w:hint="eastAsia"/>
        </w:rPr>
        <w:t>式。有条件园区可选配果蔬采摘机器人</w:t>
      </w:r>
      <w:r>
        <w:rPr>
          <w:rFonts w:hint="eastAsia" w:hAnsi="宋体"/>
        </w:rPr>
        <w:t>。</w:t>
      </w:r>
    </w:p>
    <w:p>
      <w:pPr>
        <w:pStyle w:val="105"/>
        <w:spacing w:before="156" w:after="156"/>
      </w:pPr>
      <w:r>
        <w:rPr>
          <w:rFonts w:hint="eastAsia"/>
        </w:rPr>
        <w:t>运输机械</w:t>
      </w:r>
      <w:bookmarkStart w:id="31" w:name="_GoBack"/>
      <w:bookmarkEnd w:id="31"/>
    </w:p>
    <w:p>
      <w:pPr>
        <w:pStyle w:val="56"/>
        <w:ind w:firstLine="420"/>
      </w:pPr>
      <w:r>
        <w:rPr>
          <w:rFonts w:hint="eastAsia"/>
        </w:rPr>
        <w:t>用于蔬菜收获后田间搬运和道路运输作业，根据蔬菜品种、种植农艺、可食用部分商品性要求、行走方式等要求进行配置，宜选配专用蔬菜采收搬运机、轨道运输机、农用电动三轮车等。</w:t>
      </w:r>
    </w:p>
    <w:p>
      <w:pPr>
        <w:pStyle w:val="104"/>
        <w:spacing w:before="312" w:after="312"/>
      </w:pPr>
      <w:r>
        <w:rPr>
          <w:rFonts w:hint="eastAsia"/>
        </w:rPr>
        <w:t>收获后处理环节</w:t>
      </w:r>
    </w:p>
    <w:p>
      <w:pPr>
        <w:pStyle w:val="56"/>
        <w:ind w:firstLine="420"/>
      </w:pPr>
      <w:r>
        <w:rPr>
          <w:rFonts w:hint="eastAsia"/>
        </w:rPr>
        <w:t>用于蔬菜可食用部分收获后整理、分级、清洗、包装、预冷、保鲜等作业，根据蔬菜品种、可食用部分商品性要求、处理数量和处理效率等要求进行配置，根据需要选配果蔬清洗机（含整理机）、果蔬分级机、果蔬初加工成套设备、果蔬冷藏保鲜设备等。</w:t>
      </w:r>
    </w:p>
    <w:p>
      <w:pPr>
        <w:pStyle w:val="56"/>
        <w:ind w:firstLine="420"/>
      </w:pPr>
    </w:p>
    <w:p>
      <w:pPr>
        <w:pStyle w:val="56"/>
        <w:ind w:firstLine="420"/>
      </w:pPr>
    </w:p>
    <w:p>
      <w:pPr>
        <w:pStyle w:val="56"/>
        <w:ind w:firstLine="420"/>
      </w:pPr>
    </w:p>
    <w:p>
      <w:pPr>
        <w:pStyle w:val="56"/>
        <w:ind w:firstLine="420"/>
      </w:pPr>
    </w:p>
    <w:p>
      <w:pPr>
        <w:pStyle w:val="56"/>
        <w:ind w:firstLine="420"/>
        <w:sectPr>
          <w:pgSz w:w="11906" w:h="16838"/>
          <w:pgMar w:top="2410" w:right="1134" w:bottom="1134" w:left="1134" w:header="1418" w:footer="1134" w:gutter="284"/>
          <w:pgNumType w:start="1"/>
          <w:cols w:space="425" w:num="1"/>
          <w:formProt w:val="0"/>
          <w:docGrid w:type="lines" w:linePitch="312" w:charSpace="0"/>
        </w:sectPr>
      </w:pPr>
    </w:p>
    <w:bookmarkEnd w:id="10"/>
    <w:p>
      <w:pPr>
        <w:pStyle w:val="198"/>
        <w:rPr>
          <w:vanish w:val="0"/>
        </w:rPr>
      </w:pPr>
      <w:bookmarkStart w:id="29" w:name="BookMark5"/>
    </w:p>
    <w:p>
      <w:pPr>
        <w:pStyle w:val="199"/>
        <w:rPr>
          <w:vanish w:val="0"/>
        </w:rPr>
      </w:pPr>
    </w:p>
    <w:p>
      <w:pPr>
        <w:pStyle w:val="76"/>
        <w:spacing w:before="78" w:after="156"/>
      </w:pPr>
      <w:r>
        <w:br w:type="textWrapping"/>
      </w:r>
      <w:r>
        <w:rPr>
          <w:rFonts w:hint="eastAsia"/>
        </w:rPr>
        <w:t>（资料性）</w:t>
      </w:r>
      <w:r>
        <w:br w:type="textWrapping"/>
      </w:r>
      <w:r>
        <w:rPr>
          <w:rFonts w:hint="eastAsia"/>
        </w:rPr>
        <w:t>设施蔬菜园区农业机械配置表</w:t>
      </w:r>
    </w:p>
    <w:p>
      <w:pPr>
        <w:pStyle w:val="56"/>
        <w:ind w:firstLine="420"/>
      </w:pPr>
      <w:r>
        <w:rPr>
          <w:rFonts w:hint="eastAsia"/>
        </w:rPr>
        <w:t>设施蔬菜园区农业机械配置见表A</w:t>
      </w:r>
      <w:r>
        <w:t>.1</w:t>
      </w:r>
      <w:r>
        <w:rPr>
          <w:rFonts w:hint="eastAsia"/>
        </w:rPr>
        <w:t>。</w:t>
      </w:r>
    </w:p>
    <w:p>
      <w:pPr>
        <w:pStyle w:val="77"/>
        <w:spacing w:before="156" w:after="156"/>
      </w:pPr>
      <w:r>
        <w:rPr>
          <w:rFonts w:hint="eastAsia"/>
        </w:rPr>
        <w:t>设施蔬菜园区农业机械配置表</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845"/>
        <w:gridCol w:w="1728"/>
        <w:gridCol w:w="5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377" w:type="pct"/>
            <w:tcBorders>
              <w:top w:val="single" w:color="auto" w:sz="4" w:space="0"/>
              <w:left w:val="single" w:color="auto" w:sz="4" w:space="0"/>
              <w:bottom w:val="single" w:color="auto" w:sz="4" w:space="0"/>
              <w:right w:val="single" w:color="auto" w:sz="4" w:space="0"/>
            </w:tcBorders>
            <w:vAlign w:val="center"/>
          </w:tcPr>
          <w:p>
            <w:pPr>
              <w:pStyle w:val="235"/>
              <w:spacing w:beforeLines="0" w:afterLines="0"/>
              <w:jc w:val="center"/>
              <w:rPr>
                <w:rFonts w:hint="eastAsia" w:hAnsi="黑体"/>
              </w:rPr>
            </w:pPr>
            <w:r>
              <w:rPr>
                <w:rFonts w:hint="eastAsia" w:hAnsi="黑体"/>
              </w:rPr>
              <w:t>序号</w:t>
            </w:r>
          </w:p>
        </w:tc>
        <w:tc>
          <w:tcPr>
            <w:tcW w:w="964" w:type="pct"/>
            <w:tcBorders>
              <w:top w:val="single" w:color="auto" w:sz="4" w:space="0"/>
              <w:left w:val="single" w:color="auto" w:sz="4" w:space="0"/>
              <w:bottom w:val="single" w:color="auto" w:sz="4" w:space="0"/>
              <w:right w:val="single" w:color="auto" w:sz="4" w:space="0"/>
            </w:tcBorders>
            <w:vAlign w:val="center"/>
          </w:tcPr>
          <w:p>
            <w:pPr>
              <w:pStyle w:val="235"/>
              <w:spacing w:beforeLines="0" w:afterLines="0"/>
              <w:jc w:val="center"/>
            </w:pPr>
            <w:r>
              <w:rPr>
                <w:rFonts w:hint="eastAsia" w:hAnsi="黑体"/>
              </w:rPr>
              <w:t>作业环节</w:t>
            </w:r>
          </w:p>
        </w:tc>
        <w:tc>
          <w:tcPr>
            <w:tcW w:w="903" w:type="pct"/>
            <w:tcBorders>
              <w:top w:val="single" w:color="auto" w:sz="4" w:space="0"/>
              <w:left w:val="single" w:color="auto" w:sz="4" w:space="0"/>
              <w:bottom w:val="single" w:color="auto" w:sz="4" w:space="0"/>
              <w:right w:val="single" w:color="auto" w:sz="4" w:space="0"/>
            </w:tcBorders>
            <w:vAlign w:val="center"/>
          </w:tcPr>
          <w:p>
            <w:pPr>
              <w:pStyle w:val="235"/>
              <w:spacing w:beforeLines="0" w:afterLines="0"/>
              <w:jc w:val="center"/>
            </w:pPr>
            <w:r>
              <w:rPr>
                <w:rFonts w:hint="eastAsia" w:hAnsi="黑体"/>
              </w:rPr>
              <w:t>农业机械种类</w:t>
            </w:r>
          </w:p>
        </w:tc>
        <w:tc>
          <w:tcPr>
            <w:tcW w:w="2756" w:type="pct"/>
            <w:tcBorders>
              <w:top w:val="single" w:color="auto" w:sz="4" w:space="0"/>
              <w:left w:val="single" w:color="auto" w:sz="4" w:space="0"/>
              <w:bottom w:val="single" w:color="auto" w:sz="4" w:space="0"/>
              <w:right w:val="single" w:color="auto" w:sz="4" w:space="0"/>
            </w:tcBorders>
            <w:vAlign w:val="center"/>
          </w:tcPr>
          <w:p>
            <w:pPr>
              <w:pStyle w:val="235"/>
              <w:spacing w:beforeLines="0" w:afterLines="0"/>
              <w:jc w:val="center"/>
            </w:pPr>
            <w:r>
              <w:rPr>
                <w:rFonts w:hint="eastAsia" w:hAnsi="黑体"/>
              </w:rPr>
              <w:t>可选配农业机械名称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7" w:type="pct"/>
            <w:vMerge w:val="restart"/>
            <w:tcBorders>
              <w:top w:val="nil"/>
              <w:left w:val="single" w:color="auto" w:sz="4" w:space="0"/>
              <w:right w:val="single" w:color="auto" w:sz="4" w:space="0"/>
            </w:tcBorders>
            <w:vAlign w:val="center"/>
          </w:tcPr>
          <w:p>
            <w:pPr>
              <w:pStyle w:val="236"/>
              <w:rPr>
                <w:rFonts w:hint="eastAsia" w:hAnsi="宋体"/>
                <w:sz w:val="18"/>
                <w:szCs w:val="18"/>
              </w:rPr>
            </w:pPr>
            <w:r>
              <w:rPr>
                <w:rFonts w:hint="eastAsia" w:hAnsi="宋体"/>
                <w:sz w:val="18"/>
                <w:szCs w:val="18"/>
              </w:rPr>
              <w:t>1</w:t>
            </w:r>
          </w:p>
        </w:tc>
        <w:tc>
          <w:tcPr>
            <w:tcW w:w="964" w:type="pct"/>
            <w:vMerge w:val="restart"/>
            <w:tcBorders>
              <w:top w:val="nil"/>
              <w:left w:val="single" w:color="auto" w:sz="4" w:space="0"/>
              <w:bottom w:val="single" w:color="auto" w:sz="4" w:space="0"/>
              <w:right w:val="single" w:color="auto" w:sz="4" w:space="0"/>
            </w:tcBorders>
            <w:vAlign w:val="center"/>
          </w:tcPr>
          <w:p>
            <w:pPr>
              <w:pStyle w:val="236"/>
              <w:rPr>
                <w:rFonts w:hAnsi="宋体"/>
                <w:sz w:val="18"/>
                <w:szCs w:val="18"/>
              </w:rPr>
            </w:pPr>
            <w:r>
              <w:rPr>
                <w:rFonts w:hint="eastAsia" w:hAnsi="宋体"/>
                <w:sz w:val="18"/>
                <w:szCs w:val="18"/>
              </w:rPr>
              <w:t>耕整地</w:t>
            </w: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农用动力机械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轮式拖拉机、履带式拖拉机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377" w:type="pct"/>
            <w:vMerge w:val="continue"/>
            <w:tcBorders>
              <w:left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净园机械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秸秆粉碎还田机、灭茬机、残膜回收机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377" w:type="pct"/>
            <w:vMerge w:val="continue"/>
            <w:tcBorders>
              <w:left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施基肥机械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有机肥撒肥机、复合肥撒肥机、厩肥撒施机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377" w:type="pct"/>
            <w:vMerge w:val="continue"/>
            <w:tcBorders>
              <w:left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耕地机械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铧式犁、旋耕机、深松机、微型耕耘机、平地机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377" w:type="pct"/>
            <w:vMerge w:val="continue"/>
            <w:tcBorders>
              <w:left w:val="single" w:color="auto" w:sz="4" w:space="0"/>
              <w:bottom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整地机械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开沟机、起垄机、铺膜机、起垄铺膜机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377" w:type="pct"/>
            <w:vMerge w:val="restart"/>
            <w:tcBorders>
              <w:top w:val="nil"/>
              <w:left w:val="single" w:color="auto" w:sz="4" w:space="0"/>
              <w:right w:val="single" w:color="auto" w:sz="4" w:space="0"/>
            </w:tcBorders>
            <w:vAlign w:val="center"/>
          </w:tcPr>
          <w:p>
            <w:pPr>
              <w:pStyle w:val="236"/>
              <w:rPr>
                <w:rFonts w:hint="eastAsia" w:hAnsi="宋体"/>
                <w:sz w:val="18"/>
                <w:szCs w:val="18"/>
              </w:rPr>
            </w:pPr>
            <w:r>
              <w:rPr>
                <w:rFonts w:hint="eastAsia" w:hAnsi="宋体"/>
                <w:sz w:val="18"/>
                <w:szCs w:val="18"/>
              </w:rPr>
              <w:t>2</w:t>
            </w:r>
          </w:p>
        </w:tc>
        <w:tc>
          <w:tcPr>
            <w:tcW w:w="964" w:type="pct"/>
            <w:vMerge w:val="restart"/>
            <w:tcBorders>
              <w:top w:val="nil"/>
              <w:left w:val="single" w:color="auto" w:sz="4" w:space="0"/>
              <w:bottom w:val="single" w:color="auto" w:sz="4" w:space="0"/>
              <w:right w:val="single" w:color="auto" w:sz="4" w:space="0"/>
            </w:tcBorders>
            <w:vAlign w:val="center"/>
          </w:tcPr>
          <w:p>
            <w:pPr>
              <w:pStyle w:val="236"/>
              <w:rPr>
                <w:rFonts w:hAnsi="宋体"/>
                <w:sz w:val="18"/>
                <w:szCs w:val="18"/>
              </w:rPr>
            </w:pPr>
            <w:r>
              <w:rPr>
                <w:rFonts w:hint="eastAsia" w:hAnsi="宋体"/>
                <w:sz w:val="18"/>
                <w:szCs w:val="18"/>
              </w:rPr>
              <w:t>种植</w:t>
            </w: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直播机械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精密直播机（自走式或悬挂式）、旋耕起垄播种机、种子编织机，根（块）茎种子播种机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377" w:type="pct"/>
            <w:vMerge w:val="continue"/>
            <w:tcBorders>
              <w:left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穴盘育苗播种机械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穴盘育苗播种设备机、穴盘育苗播种流水线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7" w:type="pct"/>
            <w:vMerge w:val="continue"/>
            <w:tcBorders>
              <w:left w:val="single" w:color="auto" w:sz="4" w:space="0"/>
              <w:bottom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移栽机械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自走式蔬菜移栽机、悬挂式蔬菜移栽机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377" w:type="pct"/>
            <w:vMerge w:val="restart"/>
            <w:tcBorders>
              <w:top w:val="nil"/>
              <w:left w:val="single" w:color="auto" w:sz="4" w:space="0"/>
              <w:right w:val="single" w:color="auto" w:sz="4" w:space="0"/>
            </w:tcBorders>
            <w:vAlign w:val="center"/>
          </w:tcPr>
          <w:p>
            <w:pPr>
              <w:pStyle w:val="236"/>
              <w:rPr>
                <w:rFonts w:hint="eastAsia" w:hAnsi="宋体"/>
                <w:sz w:val="18"/>
                <w:szCs w:val="18"/>
              </w:rPr>
            </w:pPr>
            <w:r>
              <w:rPr>
                <w:rFonts w:hint="eastAsia" w:hAnsi="宋体"/>
                <w:sz w:val="18"/>
                <w:szCs w:val="18"/>
              </w:rPr>
              <w:t>3</w:t>
            </w:r>
          </w:p>
        </w:tc>
        <w:tc>
          <w:tcPr>
            <w:tcW w:w="964" w:type="pct"/>
            <w:vMerge w:val="restart"/>
            <w:tcBorders>
              <w:top w:val="nil"/>
              <w:left w:val="single" w:color="auto" w:sz="4" w:space="0"/>
              <w:bottom w:val="single" w:color="auto" w:sz="4" w:space="0"/>
              <w:right w:val="single" w:color="auto" w:sz="4" w:space="0"/>
            </w:tcBorders>
            <w:vAlign w:val="center"/>
          </w:tcPr>
          <w:p>
            <w:pPr>
              <w:pStyle w:val="236"/>
              <w:rPr>
                <w:rFonts w:hAnsi="宋体"/>
                <w:sz w:val="18"/>
                <w:szCs w:val="18"/>
              </w:rPr>
            </w:pPr>
            <w:r>
              <w:rPr>
                <w:rFonts w:hint="eastAsia" w:hAnsi="宋体"/>
                <w:sz w:val="18"/>
                <w:szCs w:val="18"/>
              </w:rPr>
              <w:t>田间管理</w:t>
            </w: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灌溉（追肥）机械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微喷灌设备、滴灌设备或水肥一体设备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77" w:type="pct"/>
            <w:vMerge w:val="continue"/>
            <w:tcBorders>
              <w:left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vMerge w:val="restart"/>
            <w:tcBorders>
              <w:top w:val="nil"/>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环境调控机械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通风设备、加温设备（含热风炉）、卷帘设备、湿帘降温设备、除湿设备等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377" w:type="pct"/>
            <w:vMerge w:val="continue"/>
            <w:tcBorders>
              <w:left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补光设备、调光设备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377" w:type="pct"/>
            <w:vMerge w:val="continue"/>
            <w:tcBorders>
              <w:left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二氧化碳发生器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377" w:type="pct"/>
            <w:vMerge w:val="continue"/>
            <w:tcBorders>
              <w:left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环境控制成套设备，有条件园区可配置设施蔬菜栽培物联网系统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7" w:type="pct"/>
            <w:vMerge w:val="continue"/>
            <w:tcBorders>
              <w:left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vMerge w:val="restart"/>
            <w:tcBorders>
              <w:top w:val="nil"/>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植保机械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电动喷雾器、动力喷雾机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7" w:type="pct"/>
            <w:vMerge w:val="continue"/>
            <w:tcBorders>
              <w:left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杀虫灯、臭氧发生器、性诱捕器、黏虫板等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77" w:type="pct"/>
            <w:vMerge w:val="continue"/>
            <w:tcBorders>
              <w:left w:val="single" w:color="auto" w:sz="4" w:space="0"/>
              <w:bottom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植株调整机械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修剪机、农用升降作业平台、吊蔓器具等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377" w:type="pct"/>
            <w:vMerge w:val="restart"/>
            <w:tcBorders>
              <w:top w:val="nil"/>
              <w:left w:val="single" w:color="auto" w:sz="4" w:space="0"/>
              <w:right w:val="single" w:color="auto" w:sz="4" w:space="0"/>
            </w:tcBorders>
            <w:vAlign w:val="center"/>
          </w:tcPr>
          <w:p>
            <w:pPr>
              <w:pStyle w:val="236"/>
              <w:rPr>
                <w:rFonts w:hint="eastAsia" w:hAnsi="宋体"/>
                <w:sz w:val="18"/>
                <w:szCs w:val="18"/>
              </w:rPr>
            </w:pPr>
            <w:r>
              <w:rPr>
                <w:rFonts w:hint="eastAsia" w:hAnsi="宋体"/>
                <w:sz w:val="18"/>
                <w:szCs w:val="18"/>
              </w:rPr>
              <w:t>4</w:t>
            </w:r>
          </w:p>
        </w:tc>
        <w:tc>
          <w:tcPr>
            <w:tcW w:w="964" w:type="pct"/>
            <w:vMerge w:val="restart"/>
            <w:tcBorders>
              <w:top w:val="nil"/>
              <w:left w:val="single" w:color="auto" w:sz="4" w:space="0"/>
              <w:bottom w:val="single" w:color="auto" w:sz="4" w:space="0"/>
              <w:right w:val="single" w:color="auto" w:sz="4" w:space="0"/>
            </w:tcBorders>
            <w:vAlign w:val="center"/>
          </w:tcPr>
          <w:p>
            <w:pPr>
              <w:pStyle w:val="236"/>
              <w:rPr>
                <w:rFonts w:hAnsi="宋体"/>
                <w:sz w:val="18"/>
                <w:szCs w:val="18"/>
              </w:rPr>
            </w:pPr>
            <w:r>
              <w:rPr>
                <w:rFonts w:hint="eastAsia" w:hAnsi="宋体"/>
                <w:sz w:val="18"/>
                <w:szCs w:val="18"/>
              </w:rPr>
              <w:t>采收运输</w:t>
            </w: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采收机械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叶菜采收机（含甘蓝类收获机）、果类收获机、根（茎）类收获机、农用升降作业平台、果蔬采摘机器人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377" w:type="pct"/>
            <w:vMerge w:val="continue"/>
            <w:tcBorders>
              <w:left w:val="single" w:color="auto" w:sz="4" w:space="0"/>
              <w:bottom w:val="single" w:color="auto" w:sz="4" w:space="0"/>
              <w:right w:val="single" w:color="auto" w:sz="4" w:space="0"/>
            </w:tcBorders>
            <w:vAlign w:val="center"/>
          </w:tcPr>
          <w:p>
            <w:pPr>
              <w:pStyle w:val="236"/>
              <w:rPr>
                <w:rFonts w:hAnsi="宋体"/>
                <w:sz w:val="18"/>
                <w:szCs w:val="18"/>
              </w:rPr>
            </w:pPr>
          </w:p>
        </w:tc>
        <w:tc>
          <w:tcPr>
            <w:tcW w:w="964" w:type="pct"/>
            <w:vMerge w:val="continue"/>
            <w:tcBorders>
              <w:top w:val="nil"/>
              <w:left w:val="single" w:color="auto" w:sz="4" w:space="0"/>
              <w:bottom w:val="single" w:color="auto" w:sz="4" w:space="0"/>
              <w:right w:val="single" w:color="auto" w:sz="4" w:space="0"/>
            </w:tcBorders>
            <w:vAlign w:val="center"/>
          </w:tcPr>
          <w:p>
            <w:pPr>
              <w:widowControl/>
              <w:spacing w:beforeAutospacing="1" w:afterAutospacing="1"/>
              <w:jc w:val="left"/>
              <w:rPr>
                <w:rFonts w:ascii="宋体" w:hAnsi="宋体"/>
                <w:kern w:val="21"/>
                <w:sz w:val="18"/>
                <w:szCs w:val="18"/>
              </w:rPr>
            </w:pP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运输机械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专用蔬菜采收搬运机、轨道运输机、农用电动三轮车等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377" w:type="pct"/>
            <w:tcBorders>
              <w:top w:val="single" w:color="auto" w:sz="4" w:space="0"/>
              <w:left w:val="single" w:color="auto" w:sz="4" w:space="0"/>
              <w:bottom w:val="single" w:color="auto" w:sz="4" w:space="0"/>
              <w:right w:val="single" w:color="auto" w:sz="4" w:space="0"/>
            </w:tcBorders>
            <w:vAlign w:val="center"/>
          </w:tcPr>
          <w:p>
            <w:pPr>
              <w:pStyle w:val="236"/>
              <w:rPr>
                <w:rFonts w:hint="eastAsia" w:hAnsi="宋体"/>
                <w:sz w:val="18"/>
                <w:szCs w:val="18"/>
              </w:rPr>
            </w:pPr>
            <w:r>
              <w:rPr>
                <w:rFonts w:hint="eastAsia" w:hAnsi="宋体"/>
                <w:sz w:val="18"/>
                <w:szCs w:val="18"/>
              </w:rPr>
              <w:t>5</w:t>
            </w:r>
          </w:p>
        </w:tc>
        <w:tc>
          <w:tcPr>
            <w:tcW w:w="964" w:type="pct"/>
            <w:tcBorders>
              <w:top w:val="single" w:color="auto" w:sz="4" w:space="0"/>
              <w:left w:val="single" w:color="auto" w:sz="4" w:space="0"/>
              <w:bottom w:val="single" w:color="auto" w:sz="4" w:space="0"/>
              <w:right w:val="single" w:color="auto" w:sz="4" w:space="0"/>
            </w:tcBorders>
            <w:vAlign w:val="center"/>
          </w:tcPr>
          <w:p>
            <w:pPr>
              <w:pStyle w:val="236"/>
              <w:rPr>
                <w:rFonts w:hAnsi="宋体"/>
                <w:sz w:val="18"/>
                <w:szCs w:val="18"/>
              </w:rPr>
            </w:pPr>
            <w:r>
              <w:rPr>
                <w:rFonts w:hint="eastAsia" w:hAnsi="宋体"/>
                <w:sz w:val="18"/>
                <w:szCs w:val="18"/>
              </w:rPr>
              <w:t>收获后处理</w:t>
            </w:r>
          </w:p>
        </w:tc>
        <w:tc>
          <w:tcPr>
            <w:tcW w:w="903"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收获后处理机械</w:t>
            </w:r>
          </w:p>
        </w:tc>
        <w:tc>
          <w:tcPr>
            <w:tcW w:w="2756" w:type="pct"/>
            <w:tcBorders>
              <w:top w:val="single" w:color="auto" w:sz="4" w:space="0"/>
              <w:left w:val="single" w:color="auto" w:sz="4" w:space="0"/>
              <w:bottom w:val="single" w:color="auto" w:sz="4" w:space="0"/>
              <w:right w:val="single" w:color="auto" w:sz="4" w:space="0"/>
            </w:tcBorders>
            <w:vAlign w:val="center"/>
          </w:tcPr>
          <w:p>
            <w:pPr>
              <w:pStyle w:val="237"/>
              <w:rPr>
                <w:rFonts w:hAnsi="宋体"/>
                <w:sz w:val="18"/>
                <w:szCs w:val="18"/>
              </w:rPr>
            </w:pPr>
            <w:r>
              <w:rPr>
                <w:rFonts w:hint="eastAsia" w:hAnsi="宋体"/>
                <w:sz w:val="18"/>
                <w:szCs w:val="18"/>
              </w:rPr>
              <w:t>果蔬清洗机（含整理机）、果蔬分级机、果蔬初加工成套设备、果蔬冷藏保鲜设备等</w:t>
            </w:r>
          </w:p>
        </w:tc>
      </w:tr>
      <w:bookmarkEnd w:id="29"/>
    </w:tbl>
    <w:p>
      <w:pPr>
        <w:pStyle w:val="56"/>
        <w:ind w:firstLine="0" w:firstLineChars="0"/>
        <w:jc w:val="center"/>
      </w:pPr>
      <w:bookmarkStart w:id="30" w:name="BookMark8"/>
    </w:p>
    <w:p>
      <w:pPr>
        <w:pStyle w:val="56"/>
        <w:ind w:firstLine="0" w:firstLineChars="0"/>
        <w:jc w:val="center"/>
      </w:pPr>
    </w:p>
    <w:p>
      <w:pPr>
        <w:pStyle w:val="56"/>
        <w:ind w:firstLine="0" w:firstLineChars="0"/>
        <w:jc w:val="center"/>
      </w:pPr>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NWIwNzExYTNjYmNhYTcxMTlkOTQyZTRhNzYwNGIifQ=="/>
  </w:docVars>
  <w:rsids>
    <w:rsidRoot w:val="00F6388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D43"/>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16C6"/>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58D"/>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A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590"/>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DF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BA9"/>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2F9C"/>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F08"/>
    <w:rsid w:val="006D04EA"/>
    <w:rsid w:val="006D16C4"/>
    <w:rsid w:val="006D3E96"/>
    <w:rsid w:val="006D4515"/>
    <w:rsid w:val="006D4BB1"/>
    <w:rsid w:val="006D6593"/>
    <w:rsid w:val="006E23EA"/>
    <w:rsid w:val="006F03A8"/>
    <w:rsid w:val="006F2ACA"/>
    <w:rsid w:val="006F2ADC"/>
    <w:rsid w:val="006F2BFE"/>
    <w:rsid w:val="006F31E9"/>
    <w:rsid w:val="006F457C"/>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6FED"/>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1D4A"/>
    <w:rsid w:val="00B049AF"/>
    <w:rsid w:val="00B07242"/>
    <w:rsid w:val="00B10534"/>
    <w:rsid w:val="00B113DB"/>
    <w:rsid w:val="00B11D8A"/>
    <w:rsid w:val="00B12981"/>
    <w:rsid w:val="00B147DD"/>
    <w:rsid w:val="00B156FD"/>
    <w:rsid w:val="00B21F61"/>
    <w:rsid w:val="00B22A94"/>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969"/>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4D5"/>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AC2"/>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16E3"/>
    <w:rsid w:val="00F33817"/>
    <w:rsid w:val="00F420D5"/>
    <w:rsid w:val="00F451EA"/>
    <w:rsid w:val="00F45447"/>
    <w:rsid w:val="00F456C6"/>
    <w:rsid w:val="00F4577B"/>
    <w:rsid w:val="00F46496"/>
    <w:rsid w:val="00F474D0"/>
    <w:rsid w:val="00F50179"/>
    <w:rsid w:val="00F515EE"/>
    <w:rsid w:val="00F56511"/>
    <w:rsid w:val="00F6194E"/>
    <w:rsid w:val="00F623AC"/>
    <w:rsid w:val="00F6388E"/>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5A5F49"/>
    <w:rsid w:val="079C0106"/>
    <w:rsid w:val="0A975339"/>
    <w:rsid w:val="0B2F34DE"/>
    <w:rsid w:val="1B18764C"/>
    <w:rsid w:val="213E6866"/>
    <w:rsid w:val="263537A8"/>
    <w:rsid w:val="2F9257C7"/>
    <w:rsid w:val="39A46823"/>
    <w:rsid w:val="4654337F"/>
    <w:rsid w:val="4B4734B2"/>
    <w:rsid w:val="4F310701"/>
    <w:rsid w:val="591C2557"/>
    <w:rsid w:val="5F24793A"/>
    <w:rsid w:val="5FF3214D"/>
    <w:rsid w:val="62CC4571"/>
    <w:rsid w:val="642B3519"/>
    <w:rsid w:val="65F8567D"/>
    <w:rsid w:val="66B617C0"/>
    <w:rsid w:val="71DB1782"/>
    <w:rsid w:val="73EB6821"/>
    <w:rsid w:val="76516E0F"/>
    <w:rsid w:val="78CA2EA9"/>
    <w:rsid w:val="7FEB1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autoRedefine/>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rFonts w:ascii="Times New Roman" w:hAnsi="Times New Roman" w:eastAsia="宋体" w:cs="Times New Roman"/>
      <w:b/>
      <w:bCs/>
      <w:kern w:val="44"/>
      <w:sz w:val="44"/>
      <w:szCs w:val="44"/>
    </w:rPr>
  </w:style>
  <w:style w:type="character" w:customStyle="1" w:styleId="35">
    <w:name w:val="标题 2 字符"/>
    <w:link w:val="3"/>
    <w:autoRedefine/>
    <w:qFormat/>
    <w:uiPriority w:val="0"/>
    <w:rPr>
      <w:rFonts w:ascii="Arial" w:hAnsi="Arial" w:eastAsia="黑体" w:cs="Times New Roman"/>
      <w:b/>
      <w:bCs/>
      <w:sz w:val="32"/>
      <w:szCs w:val="32"/>
    </w:rPr>
  </w:style>
  <w:style w:type="character" w:customStyle="1" w:styleId="36">
    <w:name w:val="标题 3 字符"/>
    <w:link w:val="4"/>
    <w:autoRedefine/>
    <w:qFormat/>
    <w:uiPriority w:val="0"/>
    <w:rPr>
      <w:rFonts w:ascii="Times New Roman" w:hAnsi="Times New Roman" w:eastAsia="宋体" w:cs="Times New Roman"/>
      <w:b/>
      <w:bCs/>
      <w:sz w:val="32"/>
      <w:szCs w:val="32"/>
    </w:rPr>
  </w:style>
  <w:style w:type="character" w:customStyle="1" w:styleId="37">
    <w:name w:val="标题 4 字符"/>
    <w:link w:val="5"/>
    <w:autoRedefine/>
    <w:qFormat/>
    <w:uiPriority w:val="0"/>
    <w:rPr>
      <w:rFonts w:ascii="Arial" w:hAnsi="Arial" w:eastAsia="黑体" w:cs="Times New Roman"/>
      <w:b/>
      <w:bCs/>
      <w:sz w:val="28"/>
      <w:szCs w:val="28"/>
    </w:rPr>
  </w:style>
  <w:style w:type="character" w:customStyle="1" w:styleId="38">
    <w:name w:val="标题 5 字符"/>
    <w:link w:val="6"/>
    <w:autoRedefine/>
    <w:qFormat/>
    <w:uiPriority w:val="0"/>
    <w:rPr>
      <w:rFonts w:ascii="Times New Roman" w:hAnsi="Times New Roman" w:eastAsia="宋体" w:cs="Times New Roman"/>
      <w:b/>
      <w:bCs/>
      <w:sz w:val="28"/>
      <w:szCs w:val="28"/>
    </w:rPr>
  </w:style>
  <w:style w:type="character" w:customStyle="1" w:styleId="39">
    <w:name w:val="标题 6 字符"/>
    <w:link w:val="7"/>
    <w:autoRedefine/>
    <w:qFormat/>
    <w:uiPriority w:val="0"/>
    <w:rPr>
      <w:rFonts w:ascii="Arial" w:hAnsi="Arial" w:eastAsia="黑体" w:cs="Times New Roman"/>
      <w:b/>
      <w:bCs/>
      <w:sz w:val="24"/>
      <w:szCs w:val="24"/>
    </w:rPr>
  </w:style>
  <w:style w:type="character" w:customStyle="1" w:styleId="40">
    <w:name w:val="标题 7 字符"/>
    <w:link w:val="8"/>
    <w:autoRedefine/>
    <w:qFormat/>
    <w:uiPriority w:val="0"/>
    <w:rPr>
      <w:rFonts w:ascii="Times New Roman" w:hAnsi="Times New Roman" w:eastAsia="宋体" w:cs="Times New Roman"/>
      <w:b/>
      <w:bCs/>
      <w:sz w:val="24"/>
      <w:szCs w:val="24"/>
    </w:rPr>
  </w:style>
  <w:style w:type="character" w:customStyle="1" w:styleId="41">
    <w:name w:val="标题 8 字符"/>
    <w:link w:val="9"/>
    <w:autoRedefine/>
    <w:qFormat/>
    <w:uiPriority w:val="0"/>
    <w:rPr>
      <w:rFonts w:ascii="Arial" w:hAnsi="Arial" w:eastAsia="黑体" w:cs="Times New Roman"/>
      <w:sz w:val="24"/>
      <w:szCs w:val="24"/>
    </w:rPr>
  </w:style>
  <w:style w:type="character" w:customStyle="1" w:styleId="42">
    <w:name w:val="标题 9 字符"/>
    <w:link w:val="10"/>
    <w:autoRedefine/>
    <w:qFormat/>
    <w:uiPriority w:val="0"/>
    <w:rPr>
      <w:rFonts w:ascii="Arial" w:hAnsi="Arial" w:eastAsia="黑体" w:cs="Times New Roman"/>
      <w:szCs w:val="21"/>
    </w:rPr>
  </w:style>
  <w:style w:type="character" w:customStyle="1" w:styleId="43">
    <w:name w:val="页眉 字符"/>
    <w:link w:val="18"/>
    <w:autoRedefine/>
    <w:qFormat/>
    <w:uiPriority w:val="99"/>
    <w:rPr>
      <w:rFonts w:ascii="Times New Roman" w:hAnsi="Times New Roman" w:eastAsia="宋体" w:cs="Times New Roman"/>
      <w:sz w:val="18"/>
      <w:szCs w:val="18"/>
    </w:rPr>
  </w:style>
  <w:style w:type="character" w:customStyle="1" w:styleId="44">
    <w:name w:val="页脚 字符"/>
    <w:link w:val="17"/>
    <w:autoRedefine/>
    <w:qFormat/>
    <w:uiPriority w:val="99"/>
    <w:rPr>
      <w:rFonts w:ascii="宋体" w:hAnsi="Times New Roman" w:eastAsia="宋体" w:cs="Times New Roman"/>
      <w:sz w:val="18"/>
      <w:szCs w:val="18"/>
    </w:rPr>
  </w:style>
  <w:style w:type="character" w:customStyle="1" w:styleId="45">
    <w:name w:val="批注框文本 字符"/>
    <w:link w:val="16"/>
    <w:autoRedefine/>
    <w:semiHidden/>
    <w:qFormat/>
    <w:uiPriority w:val="99"/>
    <w:rPr>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rPr>
  </w:style>
  <w:style w:type="character" w:customStyle="1" w:styleId="48">
    <w:name w:val="标题 字符"/>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pPr>
  </w:style>
  <w:style w:type="paragraph" w:customStyle="1" w:styleId="91">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hAnsi="Times New Roman"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正文1"/>
    <w:uiPriority w:val="0"/>
    <w:pPr>
      <w:jc w:val="both"/>
    </w:pPr>
    <w:rPr>
      <w:rFonts w:ascii="Times New Roman" w:hAnsi="Times New Roman" w:eastAsia="宋体" w:cs="Times New Roman"/>
      <w:kern w:val="2"/>
      <w:sz w:val="21"/>
      <w:szCs w:val="21"/>
      <w:lang w:val="en-US" w:eastAsia="zh-CN" w:bidi="ar-SA"/>
    </w:rPr>
  </w:style>
  <w:style w:type="paragraph" w:customStyle="1" w:styleId="231">
    <w:name w:val="段"/>
    <w:basedOn w:val="1"/>
    <w:uiPriority w:val="0"/>
    <w:pPr>
      <w:widowControl/>
      <w:autoSpaceDE w:val="0"/>
      <w:autoSpaceDN w:val="0"/>
      <w:adjustRightInd/>
      <w:spacing w:line="240" w:lineRule="auto"/>
      <w:ind w:firstLine="420" w:firstLineChars="200"/>
      <w:jc w:val="left"/>
    </w:pPr>
    <w:rPr>
      <w:rFonts w:ascii="宋体" w:hAnsi="Times New Roman"/>
      <w:kern w:val="0"/>
    </w:rPr>
  </w:style>
  <w:style w:type="paragraph" w:customStyle="1" w:styleId="232">
    <w:name w:val="章标题"/>
    <w:basedOn w:val="1"/>
    <w:next w:val="231"/>
    <w:uiPriority w:val="0"/>
    <w:pPr>
      <w:widowControl/>
      <w:adjustRightInd/>
      <w:spacing w:beforeLines="100" w:afterLines="100" w:line="240" w:lineRule="auto"/>
      <w:ind w:left="210"/>
      <w:outlineLvl w:val="1"/>
    </w:pPr>
    <w:rPr>
      <w:rFonts w:ascii="黑体" w:hAnsi="Times New Roman" w:eastAsia="黑体"/>
      <w:kern w:val="0"/>
    </w:rPr>
  </w:style>
  <w:style w:type="paragraph" w:customStyle="1" w:styleId="233">
    <w:name w:val="一级条标题"/>
    <w:basedOn w:val="1"/>
    <w:next w:val="231"/>
    <w:uiPriority w:val="0"/>
    <w:pPr>
      <w:widowControl/>
      <w:adjustRightInd/>
      <w:spacing w:beforeLines="50" w:afterLines="50" w:line="240" w:lineRule="auto"/>
      <w:ind w:left="710"/>
      <w:jc w:val="left"/>
      <w:outlineLvl w:val="2"/>
    </w:pPr>
    <w:rPr>
      <w:rFonts w:ascii="黑体" w:hAnsi="Times New Roman" w:eastAsia="黑体"/>
      <w:kern w:val="0"/>
    </w:rPr>
  </w:style>
  <w:style w:type="paragraph" w:customStyle="1" w:styleId="234">
    <w:name w:val="二级无"/>
    <w:basedOn w:val="1"/>
    <w:uiPriority w:val="0"/>
    <w:pPr>
      <w:widowControl/>
      <w:adjustRightInd/>
      <w:spacing w:line="240" w:lineRule="auto"/>
      <w:ind w:left="568"/>
      <w:jc w:val="left"/>
      <w:outlineLvl w:val="3"/>
    </w:pPr>
    <w:rPr>
      <w:rFonts w:ascii="宋体" w:hAnsi="Times New Roman"/>
      <w:kern w:val="0"/>
    </w:rPr>
  </w:style>
  <w:style w:type="paragraph" w:customStyle="1" w:styleId="235">
    <w:name w:val="附录五级条标题"/>
    <w:basedOn w:val="1"/>
    <w:next w:val="1"/>
    <w:uiPriority w:val="0"/>
    <w:pPr>
      <w:widowControl/>
      <w:wordWrap w:val="0"/>
      <w:overflowPunct w:val="0"/>
      <w:autoSpaceDE w:val="0"/>
      <w:autoSpaceDN w:val="0"/>
      <w:adjustRightInd/>
      <w:spacing w:beforeLines="50" w:afterLines="50" w:line="240" w:lineRule="auto"/>
      <w:textAlignment w:val="baseline"/>
      <w:outlineLvl w:val="6"/>
    </w:pPr>
    <w:rPr>
      <w:rFonts w:ascii="黑体" w:hAnsi="Times New Roman" w:eastAsia="黑体"/>
      <w:kern w:val="21"/>
    </w:rPr>
  </w:style>
  <w:style w:type="paragraph" w:customStyle="1" w:styleId="236">
    <w:name w:val="附录一级无"/>
    <w:basedOn w:val="1"/>
    <w:uiPriority w:val="0"/>
    <w:pPr>
      <w:widowControl/>
      <w:wordWrap w:val="0"/>
      <w:overflowPunct w:val="0"/>
      <w:autoSpaceDE w:val="0"/>
      <w:autoSpaceDN w:val="0"/>
      <w:adjustRightInd/>
      <w:spacing w:line="240" w:lineRule="auto"/>
      <w:jc w:val="center"/>
      <w:textAlignment w:val="baseline"/>
      <w:outlineLvl w:val="2"/>
    </w:pPr>
    <w:rPr>
      <w:rFonts w:ascii="宋体" w:hAnsi="Times New Roman"/>
      <w:kern w:val="21"/>
    </w:rPr>
  </w:style>
  <w:style w:type="paragraph" w:customStyle="1" w:styleId="237">
    <w:name w:val="附录五级无"/>
    <w:basedOn w:val="235"/>
    <w:uiPriority w:val="0"/>
    <w:pPr>
      <w:spacing w:beforeLines="0" w:afterLines="0"/>
      <w:jc w:val="left"/>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F09FD4AB5D94D7A84F88D58253FF242"/>
        <w:style w:val=""/>
        <w:category>
          <w:name w:val="常规"/>
          <w:gallery w:val="placeholder"/>
        </w:category>
        <w:types>
          <w:type w:val="bbPlcHdr"/>
        </w:types>
        <w:behaviors>
          <w:behavior w:val="content"/>
        </w:behaviors>
        <w:description w:val=""/>
        <w:guid w:val="{8160D33E-92A9-44E5-9ABF-269F5C2E7D2F}"/>
      </w:docPartPr>
      <w:docPartBody>
        <w:p>
          <w:pPr>
            <w:pStyle w:val="5"/>
          </w:pPr>
          <w:r>
            <w:rPr>
              <w:rStyle w:val="4"/>
              <w:rFonts w:hint="eastAsia"/>
            </w:rPr>
            <w:t>单击或点击此处输入文字。</w:t>
          </w:r>
        </w:p>
      </w:docPartBody>
    </w:docPart>
    <w:docPart>
      <w:docPartPr>
        <w:name w:val="B22C426E213A46A8A0A45E8FD51C15D5"/>
        <w:style w:val=""/>
        <w:category>
          <w:name w:val="常规"/>
          <w:gallery w:val="placeholder"/>
        </w:category>
        <w:types>
          <w:type w:val="bbPlcHdr"/>
        </w:types>
        <w:behaviors>
          <w:behavior w:val="content"/>
        </w:behaviors>
        <w:description w:val=""/>
        <w:guid w:val="{9E2140F7-5B0F-4BBF-B93A-DDAFB6576B57}"/>
      </w:docPartPr>
      <w:docPartBody>
        <w:p>
          <w:pPr>
            <w:pStyle w:val="6"/>
          </w:pPr>
          <w:r>
            <w:rPr>
              <w:rStyle w:val="4"/>
              <w:rFonts w:hint="eastAsia"/>
            </w:rPr>
            <w:t>选择一项。</w:t>
          </w:r>
        </w:p>
      </w:docPartBody>
    </w:docPart>
    <w:docPart>
      <w:docPartPr>
        <w:name w:val="1A92258498C54C28B8B575D6F4A1765E"/>
        <w:style w:val=""/>
        <w:category>
          <w:name w:val="常规"/>
          <w:gallery w:val="placeholder"/>
        </w:category>
        <w:types>
          <w:type w:val="bbPlcHdr"/>
        </w:types>
        <w:behaviors>
          <w:behavior w:val="content"/>
        </w:behaviors>
        <w:description w:val=""/>
        <w:guid w:val="{61737E25-5ED9-44F6-A5CC-9F2541D036C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F51"/>
    <w:rsid w:val="0009199A"/>
    <w:rsid w:val="00176E07"/>
    <w:rsid w:val="005727D9"/>
    <w:rsid w:val="00882BDA"/>
    <w:rsid w:val="00882D39"/>
    <w:rsid w:val="00981F92"/>
    <w:rsid w:val="00DB5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F09FD4AB5D94D7A84F88D58253FF24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22C426E213A46A8A0A45E8FD51C15D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A92258498C54C28B8B575D6F4A1765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F17B0D-6718-44E2-99B8-BB822044DF8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574</Words>
  <Characters>3277</Characters>
  <Lines>27</Lines>
  <Paragraphs>7</Paragraphs>
  <TotalTime>76</TotalTime>
  <ScaleCrop>false</ScaleCrop>
  <LinksUpToDate>false</LinksUpToDate>
  <CharactersWithSpaces>3844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2024-01-05T00:56:00Z</dcterms:created>
  <dc:creator>DELL</dc:creator>
  <dc:description>&lt;config cover="true" show_menu="true" version="1.0.0" doctype="SDKXY"&gt;_x000d_
&lt;/config&gt;</dc:description>
  <cp:lastModifiedBy>Lokum</cp:lastModifiedBy>
  <cp:lastPrinted>2020-08-30T10:00:00Z</cp:lastPrinted>
  <dcterms:modified xsi:type="dcterms:W3CDTF">2024-01-16T01:43:12Z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ED31111A38E54942ADFB672F729FB91F_12</vt:lpwstr>
  </property>
</Properties>
</file>