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35.040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P 55</w:t>
            </w:r>
          </w:p>
        </w:tc>
      </w:tr>
    </w:tbl>
    <w:p>
      <w:pPr>
        <w:spacing w:line="240" w:lineRule="auto"/>
        <w:rPr>
          <w:rFonts w:ascii="黑体" w:hAnsi="黑体" w:eastAsia="黑体"/>
          <w:kern w:val="0"/>
          <w:sz w:val="10"/>
          <w:szCs w:val="10"/>
        </w:rPr>
      </w:pPr>
      <w:r>
        <mc:AlternateContent>
          <mc:Choice Requires="wps">
            <w:drawing>
              <wp:anchor distT="0" distB="0" distL="114300" distR="114300" simplePos="0" relativeHeight="251663360" behindDoc="0" locked="0" layoutInCell="1" allowOverlap="1">
                <wp:simplePos x="0" y="0"/>
                <wp:positionH relativeFrom="column">
                  <wp:posOffset>-165735</wp:posOffset>
                </wp:positionH>
                <wp:positionV relativeFrom="paragraph">
                  <wp:posOffset>2462530</wp:posOffset>
                </wp:positionV>
                <wp:extent cx="6121400" cy="0"/>
                <wp:effectExtent l="0" t="9525" r="0" b="9525"/>
                <wp:wrapNone/>
                <wp:docPr id="9" name="直接连接符 9"/>
                <wp:cNvGraphicFramePr/>
                <a:graphic xmlns:a="http://schemas.openxmlformats.org/drawingml/2006/main">
                  <a:graphicData uri="http://schemas.microsoft.com/office/word/2010/wordprocessingShape">
                    <wps:wsp>
                      <wps:cNvCnPr/>
                      <wps:spPr>
                        <a:xfrm>
                          <a:off x="0" y="0"/>
                          <a:ext cx="6121400" cy="0"/>
                        </a:xfrm>
                        <a:prstGeom prst="line">
                          <a:avLst/>
                        </a:prstGeom>
                        <a:ln w="1905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3.05pt;margin-top:193.9pt;height:0pt;width:482pt;z-index:251663360;mso-width-relative:page;mso-height-relative:page;" filled="f" stroked="t" coordsize="21600,21600" o:gfxdata="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EFmw22AAAAAsBAAAPAAAAAAAAAAEAIAAAACIAAABkcnMvZG93bnJldi54bWxQSwECFAAU&#10;AAAACACHTuJAj3uMDfEBAADnAwAADgAAAAAAAAABACAAAAAnAQAAZHJzL2Uyb0RvYy54bWxQSwUG&#10;AAAAAAYABgBZAQAAigUAAAAA&#10;">
                <v:fill on="f" focussize="0,0"/>
                <v:stroke weight="1.5pt" color="#000000" joinstyle="round"/>
                <v:imagedata o:title=""/>
                <o:lock v:ext="edit" aspectratio="f"/>
              </v:line>
            </w:pict>
          </mc:Fallback>
        </mc:AlternateContent>
      </w:r>
    </w:p>
    <w:p>
      <w:pPr>
        <w:pStyle w:val="54"/>
        <w:framePr w:w="9639" w:h="6976" w:hRule="exact" w:hSpace="0" w:vSpace="0" w:wrap="around" w:hAnchor="page" w:y="6408"/>
        <w:jc w:val="center"/>
        <w:rPr>
          <w:rFonts w:ascii="黑体" w:hAnsi="黑体" w:eastAsia="黑体"/>
          <w:b w:val="0"/>
          <w:bCs w:val="0"/>
          <w:w w:val="100"/>
        </w:rPr>
      </w:pPr>
    </w:p>
    <w:p>
      <w:pPr>
        <w:pStyle w:val="201"/>
        <w:framePr w:h="6974" w:hRule="exact" w:wrap="around" w:x="1419" w:anchorLock="1"/>
      </w:pPr>
      <w:r>
        <w:rPr>
          <w:rFonts w:hint="eastAsia"/>
        </w:rPr>
        <w:t>数字孪生水网建设总体技术指南</w:t>
      </w:r>
    </w:p>
    <w:p>
      <w:pPr>
        <w:framePr w:w="9639" w:h="6974" w:hRule="exact" w:wrap="around" w:vAnchor="page" w:hAnchor="page" w:x="1419" w:y="6408" w:anchorLock="1"/>
        <w:ind w:left="-1418"/>
      </w:pPr>
    </w:p>
    <w:p>
      <w:pPr>
        <w:pStyle w:val="129"/>
        <w:framePr w:w="9639" w:h="6974" w:hRule="exact" w:wrap="around" w:vAnchor="page" w:hAnchor="page" w:x="1419" w:y="6408" w:anchorLock="1"/>
        <w:textAlignment w:val="bottom"/>
        <w:rPr>
          <w:rFonts w:eastAsia="黑体"/>
          <w:szCs w:val="28"/>
        </w:rPr>
      </w:pPr>
      <w:r>
        <w:rPr>
          <w:rFonts w:eastAsia="黑体"/>
          <w:szCs w:val="28"/>
        </w:rPr>
        <w:t>General technical guidelines of the digital twin water network construction</w:t>
      </w:r>
    </w:p>
    <w:p>
      <w:pPr>
        <w:pStyle w:val="129"/>
        <w:framePr w:w="9639" w:h="6974" w:hRule="exact" w:wrap="around" w:vAnchor="page" w:hAnchor="page" w:x="1419" w:y="6408" w:anchorLock="1"/>
        <w:textAlignment w:val="bottom"/>
        <w:rPr>
          <w:rFonts w:eastAsia="黑体"/>
          <w:szCs w:val="28"/>
        </w:rPr>
      </w:pPr>
    </w:p>
    <w:p>
      <w:pPr>
        <w:pStyle w:val="129"/>
        <w:framePr w:w="9639" w:h="6974" w:hRule="exact" w:wrap="around" w:vAnchor="page" w:hAnchor="page" w:x="1419" w:y="6408" w:anchorLock="1"/>
        <w:numPr>
          <w:ilvl w:val="6"/>
          <w:numId w:val="0"/>
        </w:numPr>
        <w:adjustRightInd w:val="0"/>
        <w:snapToGrid w:val="0"/>
        <w:spacing w:line="240" w:lineRule="auto"/>
        <w:rPr>
          <w:rFonts w:ascii="黑体" w:eastAsia="黑体"/>
          <w:sz w:val="32"/>
          <w:szCs w:val="32"/>
        </w:rPr>
      </w:pPr>
      <w:r>
        <w:rPr>
          <w:rFonts w:hint="eastAsia" w:ascii="黑体" w:eastAsia="黑体"/>
          <w:sz w:val="32"/>
          <w:szCs w:val="32"/>
        </w:rPr>
        <w:t>（报批稿）</w:t>
      </w:r>
    </w:p>
    <w:p>
      <w:pPr>
        <w:pStyle w:val="129"/>
        <w:framePr w:w="9639" w:h="6974" w:hRule="exact" w:wrap="around" w:vAnchor="page" w:hAnchor="page" w:x="1419" w:y="6408" w:anchorLock="1"/>
        <w:spacing w:before="180" w:line="240" w:lineRule="atLeast"/>
        <w:textAlignment w:val="bottom"/>
        <w:rPr>
          <w:sz w:val="21"/>
          <w:szCs w:val="28"/>
        </w:rPr>
      </w:pPr>
    </w:p>
    <w:p>
      <w:pPr>
        <w:pStyle w:val="129"/>
        <w:framePr w:w="9639" w:h="6974" w:hRule="exact" w:wrap="around" w:vAnchor="page" w:hAnchor="page" w:x="1419" w:y="6408" w:anchorLock="1"/>
        <w:spacing w:before="720" w:beforeLines="300" w:after="72" w:afterLines="30" w:line="240" w:lineRule="auto"/>
        <w:textAlignment w:val="bottom"/>
        <w:rPr>
          <w:b/>
          <w:sz w:val="21"/>
          <w:szCs w:val="28"/>
        </w:rPr>
      </w:pPr>
    </w:p>
    <w:p>
      <w:pPr>
        <w:pStyle w:val="197"/>
        <w:framePr w:wrap="around" w:y="14176"/>
      </w:pPr>
      <w:r>
        <w:t>2023 - XX - XX发布</w:t>
      </w:r>
    </w:p>
    <w:p>
      <w:pPr>
        <w:pStyle w:val="198"/>
        <w:framePr w:wrap="around" w:y="14176"/>
      </w:pPr>
      <w:r>
        <w:t>2023 - XX - XX实施</w:t>
      </w:r>
    </w:p>
    <w:p>
      <w:pPr>
        <w:pStyle w:val="155"/>
        <w:framePr w:h="584" w:hRule="exact" w:hSpace="181" w:vSpace="181" w:wrap="around" w:vAnchor="page" w:hAnchor="page" w:x="2406" w:y="15183"/>
        <w:rPr>
          <w:rFonts w:hAnsi="黑体"/>
        </w:rPr>
      </w:pPr>
      <w:r>
        <w:rPr>
          <w:rFonts w:hint="eastAsia" w:hAnsi="黑体"/>
          <w:w w:val="100"/>
          <w:sz w:val="28"/>
        </w:rPr>
        <w:t>江苏省市场监督管理局</w:t>
      </w:r>
      <w:r>
        <w:rPr>
          <w:rFonts w:ascii="Times New Roman"/>
          <w:w w:val="100"/>
          <w:sz w:val="28"/>
        </w:rPr>
        <w:t>  </w:t>
      </w:r>
      <w:r>
        <w:rPr>
          <w:rStyle w:val="233"/>
          <w:rFonts w:hint="eastAsia" w:hAnsi="黑体"/>
          <w:position w:val="0"/>
        </w:rPr>
        <w:t>发</w:t>
      </w:r>
      <w:r>
        <w:rPr>
          <w:rStyle w:val="233"/>
          <w:rFonts w:hint="eastAsia" w:hAnsi="黑体"/>
          <w:spacing w:val="0"/>
          <w:position w:val="0"/>
        </w:rPr>
        <w:t>布</w:t>
      </w:r>
    </w:p>
    <w:p>
      <w:pPr>
        <w:rPr>
          <w:rFonts w:ascii="宋体" w:hAnsi="宋体"/>
          <w:sz w:val="28"/>
          <w:szCs w:val="28"/>
        </w:rPr>
        <w:sectPr>
          <w:headerReference r:id="rId6" w:type="first"/>
          <w:footerReference r:id="rId9" w:type="first"/>
          <w:headerReference r:id="rId5" w:type="default"/>
          <w:footerReference r:id="rId7" w:type="default"/>
          <w:footerReference r:id="rId8" w:type="even"/>
          <w:type w:val="continuous"/>
          <w:pgSz w:w="11906" w:h="16838"/>
          <w:pgMar w:top="-338" w:right="1134" w:bottom="1021" w:left="1134" w:header="0" w:footer="0" w:gutter="284"/>
          <w:cols w:space="425" w:num="1"/>
          <w:titlePg/>
          <w:docGrid w:linePitch="312" w:charSpace="0"/>
        </w:sectPr>
      </w:pPr>
      <w:r>
        <mc:AlternateContent>
          <mc:Choice Requires="wps">
            <w:drawing>
              <wp:anchor distT="0" distB="0" distL="114935" distR="114935" simplePos="0" relativeHeight="251662336" behindDoc="0" locked="1" layoutInCell="1" allowOverlap="1">
                <wp:simplePos x="0" y="0"/>
                <wp:positionH relativeFrom="margin">
                  <wp:posOffset>211455</wp:posOffset>
                </wp:positionH>
                <wp:positionV relativeFrom="margin">
                  <wp:posOffset>1995170</wp:posOffset>
                </wp:positionV>
                <wp:extent cx="5802630" cy="690245"/>
                <wp:effectExtent l="0" t="0" r="0" b="0"/>
                <wp:wrapNone/>
                <wp:docPr id="4" name="文本框 4"/>
                <wp:cNvGraphicFramePr/>
                <a:graphic xmlns:a="http://schemas.openxmlformats.org/drawingml/2006/main">
                  <a:graphicData uri="http://schemas.microsoft.com/office/word/2010/wordprocessingShape">
                    <wps:wsp>
                      <wps:cNvSpPr txBox="1"/>
                      <wps:spPr>
                        <a:xfrm>
                          <a:off x="0" y="0"/>
                          <a:ext cx="5802630" cy="690245"/>
                        </a:xfrm>
                        <a:prstGeom prst="rect">
                          <a:avLst/>
                        </a:prstGeom>
                        <a:noFill/>
                        <a:ln>
                          <a:noFill/>
                        </a:ln>
                        <a:effectLst/>
                      </wps:spPr>
                      <wps:txbx>
                        <w:txbxContent>
                          <w:p>
                            <w:pPr>
                              <w:kinsoku w:val="0"/>
                              <w:wordWrap w:val="0"/>
                              <w:overflowPunct w:val="0"/>
                              <w:autoSpaceDE w:val="0"/>
                              <w:autoSpaceDN w:val="0"/>
                              <w:spacing w:before="308"/>
                              <w:ind w:right="280"/>
                              <w:jc w:val="right"/>
                              <w:textAlignment w:val="center"/>
                              <w:rPr>
                                <w:rFonts w:ascii="Times New Roman" w:hAnsi="Times New Roman" w:eastAsia="黑体"/>
                                <w:b/>
                                <w:sz w:val="28"/>
                                <w:szCs w:val="22"/>
                              </w:rPr>
                            </w:pPr>
                            <w:r>
                              <w:rPr>
                                <w:rFonts w:ascii="Times New Roman" w:hAnsi="Times New Roman" w:eastAsia="黑体"/>
                                <w:b/>
                                <w:sz w:val="28"/>
                                <w:szCs w:val="22"/>
                              </w:rPr>
                              <w:t>DB32/T</w:t>
                            </w:r>
                            <w:r>
                              <w:rPr>
                                <w:rFonts w:ascii="Times New Roman" w:hAnsi="Times New Roman" w:eastAsia="黑体"/>
                                <w:b/>
                                <w:sz w:val="28"/>
                                <w:szCs w:val="28"/>
                              </w:rPr>
                              <w:t>××××</w:t>
                            </w:r>
                            <w:r>
                              <w:rPr>
                                <w:rFonts w:ascii="Times New Roman" w:hAnsi="Times New Roman" w:eastAsia="黑体"/>
                                <w:b/>
                                <w:sz w:val="28"/>
                                <w:szCs w:val="22"/>
                              </w:rPr>
                              <w:t>—</w:t>
                            </w:r>
                            <w:r>
                              <w:rPr>
                                <w:rFonts w:ascii="Times New Roman" w:hAnsi="Times New Roman" w:eastAsia="黑体"/>
                                <w:b/>
                                <w:sz w:val="28"/>
                                <w:szCs w:val="28"/>
                              </w:rPr>
                              <w:t>2023</w:t>
                            </w:r>
                          </w:p>
                          <w:p>
                            <w:pPr>
                              <w:kinsoku w:val="0"/>
                              <w:overflowPunct w:val="0"/>
                              <w:autoSpaceDE w:val="0"/>
                              <w:autoSpaceDN w:val="0"/>
                              <w:spacing w:before="308"/>
                              <w:jc w:val="right"/>
                              <w:textAlignment w:val="center"/>
                              <w:rPr>
                                <w:rFonts w:ascii="Arial" w:hAnsi="Arial" w:eastAsia="黑体" w:cs="Arial"/>
                                <w:bCs/>
                                <w:sz w:val="28"/>
                                <w:szCs w:val="22"/>
                              </w:rPr>
                            </w:pPr>
                          </w:p>
                          <w:p>
                            <w:pPr>
                              <w:pStyle w:val="239"/>
                              <w:numPr>
                                <w:ilvl w:val="1"/>
                                <w:numId w:val="0"/>
                              </w:numPr>
                              <w:wordWrap w:val="0"/>
                              <w:spacing w:before="100" w:beforeAutospacing="1"/>
                              <w:ind w:left="4047"/>
                              <w:rPr>
                                <w:rFonts w:ascii="黑体" w:eastAsia="黑体" w:cs="黑体"/>
                              </w:rPr>
                            </w:pPr>
                          </w:p>
                        </w:txbxContent>
                      </wps:txbx>
                      <wps:bodyPr lIns="0" tIns="0" rIns="0" bIns="0" upright="1"/>
                    </wps:wsp>
                  </a:graphicData>
                </a:graphic>
              </wp:anchor>
            </w:drawing>
          </mc:Choice>
          <mc:Fallback>
            <w:pict>
              <v:shape id="_x0000_s1026" o:spid="_x0000_s1026" o:spt="202" type="#_x0000_t202" style="position:absolute;left:0pt;margin-left:16.65pt;margin-top:157.1pt;height:54.35pt;width:456.9pt;mso-position-horizontal-relative:margin;mso-position-vertical-relative:margin;z-index:251662336;mso-width-relative:page;mso-height-relative:page;" filled="f" stroked="f" coordsize="21600,21600" o:gfxdata="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Kb6fU2gAAAAoBAAAPAAAAAAAAAAEAIAAAACIAAABkcnMvZG93bnJldi54&#10;bWxQSwECFAAUAAAACACHTuJAxhBdEL8BAACAAwAADgAAAAAAAAABACAAAAApAQAAZHJzL2Uyb0Rv&#10;Yy54bWxQSwUGAAAAAAYABgBZAQAAWgUAAAAA&#10;">
                <v:fill on="f" focussize="0,0"/>
                <v:stroke on="f"/>
                <v:imagedata o:title=""/>
                <o:lock v:ext="edit" aspectratio="f"/>
                <v:textbox inset="0mm,0mm,0mm,0mm">
                  <w:txbxContent>
                    <w:p>
                      <w:pPr>
                        <w:kinsoku w:val="0"/>
                        <w:wordWrap w:val="0"/>
                        <w:overflowPunct w:val="0"/>
                        <w:autoSpaceDE w:val="0"/>
                        <w:autoSpaceDN w:val="0"/>
                        <w:spacing w:before="308"/>
                        <w:ind w:right="280"/>
                        <w:jc w:val="right"/>
                        <w:textAlignment w:val="center"/>
                        <w:rPr>
                          <w:rFonts w:ascii="Times New Roman" w:hAnsi="Times New Roman" w:eastAsia="黑体"/>
                          <w:b/>
                          <w:sz w:val="28"/>
                          <w:szCs w:val="22"/>
                        </w:rPr>
                      </w:pPr>
                      <w:r>
                        <w:rPr>
                          <w:rFonts w:ascii="Times New Roman" w:hAnsi="Times New Roman" w:eastAsia="黑体"/>
                          <w:b/>
                          <w:sz w:val="28"/>
                          <w:szCs w:val="22"/>
                        </w:rPr>
                        <w:t>DB32/T</w:t>
                      </w:r>
                      <w:r>
                        <w:rPr>
                          <w:rFonts w:ascii="Times New Roman" w:hAnsi="Times New Roman" w:eastAsia="黑体"/>
                          <w:b/>
                          <w:sz w:val="28"/>
                          <w:szCs w:val="28"/>
                        </w:rPr>
                        <w:t>××××</w:t>
                      </w:r>
                      <w:r>
                        <w:rPr>
                          <w:rFonts w:ascii="Times New Roman" w:hAnsi="Times New Roman" w:eastAsia="黑体"/>
                          <w:b/>
                          <w:sz w:val="28"/>
                          <w:szCs w:val="22"/>
                        </w:rPr>
                        <w:t>—</w:t>
                      </w:r>
                      <w:r>
                        <w:rPr>
                          <w:rFonts w:ascii="Times New Roman" w:hAnsi="Times New Roman" w:eastAsia="黑体"/>
                          <w:b/>
                          <w:sz w:val="28"/>
                          <w:szCs w:val="28"/>
                        </w:rPr>
                        <w:t>2023</w:t>
                      </w:r>
                    </w:p>
                    <w:p>
                      <w:pPr>
                        <w:kinsoku w:val="0"/>
                        <w:overflowPunct w:val="0"/>
                        <w:autoSpaceDE w:val="0"/>
                        <w:autoSpaceDN w:val="0"/>
                        <w:spacing w:before="308"/>
                        <w:jc w:val="right"/>
                        <w:textAlignment w:val="center"/>
                        <w:rPr>
                          <w:rFonts w:ascii="Arial" w:hAnsi="Arial" w:eastAsia="黑体" w:cs="Arial"/>
                          <w:bCs/>
                          <w:sz w:val="28"/>
                          <w:szCs w:val="22"/>
                        </w:rPr>
                      </w:pPr>
                    </w:p>
                    <w:p>
                      <w:pPr>
                        <w:pStyle w:val="239"/>
                        <w:numPr>
                          <w:ilvl w:val="1"/>
                          <w:numId w:val="0"/>
                        </w:numPr>
                        <w:wordWrap w:val="0"/>
                        <w:spacing w:before="100" w:beforeAutospacing="1"/>
                        <w:ind w:left="4047"/>
                        <w:rPr>
                          <w:rFonts w:ascii="黑体" w:eastAsia="黑体" w:cs="黑体"/>
                        </w:rPr>
                      </w:pP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-191135</wp:posOffset>
                </wp:positionH>
                <wp:positionV relativeFrom="margin">
                  <wp:posOffset>1540510</wp:posOffset>
                </wp:positionV>
                <wp:extent cx="6148070" cy="480060"/>
                <wp:effectExtent l="0" t="0" r="11430" b="254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148070" cy="480060"/>
                        </a:xfrm>
                        <a:prstGeom prst="rect">
                          <a:avLst/>
                        </a:prstGeom>
                        <a:solidFill>
                          <a:srgbClr val="FFFFFF"/>
                        </a:solidFill>
                        <a:ln>
                          <a:noFill/>
                        </a:ln>
                        <a:effectLst/>
                      </wps:spPr>
                      <wps:txbx>
                        <w:txbxContent>
                          <w:p>
                            <w:pPr>
                              <w:pStyle w:val="154"/>
                              <w:rPr>
                                <w:w w:val="130"/>
                                <w:sz w:val="48"/>
                                <w:szCs w:val="48"/>
                              </w:rPr>
                            </w:pPr>
                            <w:r>
                              <w:rPr>
                                <w:rFonts w:hint="eastAsia"/>
                                <w:w w:val="120"/>
                                <w:kern w:val="2"/>
                                <w:szCs w:val="22"/>
                              </w:rPr>
                              <w:t>江苏省地方标准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5.05pt;margin-top:121.3pt;height:37.8pt;width:484.1pt;mso-position-horizontal-relative:margin;mso-position-vertical-relative:margin;z-index:251661312;mso-width-relative:page;mso-height-relative:page;" fillcolor="#FFFFFF" filled="t" stroked="f" coordsize="21600,21600" o:gfxdata="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FTazNzaAAAACwEAAA8AAAAAAAAAAQAgAAAAIgAAAGRycy9kb3ducmV2LnhtbFBLAQIUABQAAAAI&#10;AIdO4kBOJa9ZJAIAADwEAAAOAAAAAAAAAAEAIAAAACkBAABkcnMvZTJvRG9jLnhtbFBLBQYAAAAA&#10;BgAGAFkBAAC/BQAAAAA=&#10;">
                <v:fill on="t" focussize="0,0"/>
                <v:stroke on="f"/>
                <v:imagedata o:title=""/>
                <o:lock v:ext="edit" aspectratio="f"/>
                <v:textbox inset="0mm,0mm,0mm,0mm">
                  <w:txbxContent>
                    <w:p>
                      <w:pPr>
                        <w:pStyle w:val="154"/>
                        <w:rPr>
                          <w:w w:val="130"/>
                          <w:sz w:val="48"/>
                          <w:szCs w:val="48"/>
                        </w:rPr>
                      </w:pPr>
                      <w:r>
                        <w:rPr>
                          <w:rFonts w:hint="eastAsia"/>
                          <w:w w:val="120"/>
                          <w:kern w:val="2"/>
                          <w:szCs w:val="22"/>
                        </w:rPr>
                        <w:t>江苏省地方标准</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2259965</wp:posOffset>
                </wp:positionH>
                <wp:positionV relativeFrom="margin">
                  <wp:posOffset>616585</wp:posOffset>
                </wp:positionV>
                <wp:extent cx="3489325" cy="814070"/>
                <wp:effectExtent l="0" t="0" r="3175" b="1143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3489325" cy="814070"/>
                        </a:xfrm>
                        <a:prstGeom prst="rect">
                          <a:avLst/>
                        </a:prstGeom>
                        <a:solidFill>
                          <a:srgbClr val="FFFFFF"/>
                        </a:solidFill>
                        <a:ln>
                          <a:noFill/>
                        </a:ln>
                        <a:effectLst/>
                      </wps:spPr>
                      <wps:txbx>
                        <w:txbxContent>
                          <w:p>
                            <w:pPr>
                              <w:pStyle w:val="53"/>
                            </w:pPr>
                            <w:r>
                              <w:t>DB32</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77.95pt;margin-top:48.55pt;height:64.1pt;width:274.75pt;mso-position-horizontal-relative:margin;mso-position-vertical-relative:margin;z-index:251660288;mso-width-relative:page;mso-height-relative:page;" fillcolor="#FFFFFF" filled="t" stroked="f" coordsize="21600,21600" o:gfxdata="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4LvtPaAAAACgEAAA8AAAAAAAAAAQAgAAAAIgAAAGRycy9kb3ducmV2LnhtbFBLAQIUABQA&#10;AAAIAIdO4kD/4KuNJwIAADwEAAAOAAAAAAAAAAEAIAAAACkBAABkcnMvZTJvRG9jLnhtbFBLBQYA&#10;AAAABgAGAFkBAADCBQAAAAA=&#10;">
                <v:fill on="t" focussize="0,0"/>
                <v:stroke on="f"/>
                <v:imagedata o:title=""/>
                <o:lock v:ext="edit" aspectratio="f"/>
                <v:textbox inset="0mm,0mm,0mm,0mm">
                  <w:txbxContent>
                    <w:p>
                      <w:pPr>
                        <w:pStyle w:val="53"/>
                      </w:pPr>
                      <w:r>
                        <w:t>DB32</w:t>
                      </w:r>
                    </w:p>
                  </w:txbxContent>
                </v:textbox>
                <w10:anchorlock/>
              </v:shape>
            </w:pict>
          </mc:Fallback>
        </mc:AlternateContent>
      </w:r>
      <w:r>
        <w:rPr>
          <w:rFonts w:hint="eastAsia" w:ascii="宋体" w:hAnsi="宋体"/>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5926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5"/>
        <w:spacing w:after="468"/>
        <w:rPr>
          <w:spacing w:val="320"/>
        </w:rPr>
        <w:sectPr>
          <w:headerReference r:id="rId10" w:type="default"/>
          <w:footerReference r:id="rId12" w:type="default"/>
          <w:headerReference r:id="rId11" w:type="even"/>
          <w:pgSz w:w="11906" w:h="16838"/>
          <w:pgMar w:top="2410" w:right="1134" w:bottom="1134" w:left="1134" w:header="1418" w:footer="1134" w:gutter="284"/>
          <w:pgNumType w:start="1"/>
          <w:cols w:space="425" w:num="1"/>
          <w:formProt w:val="0"/>
          <w:docGrid w:type="lines" w:linePitch="312" w:charSpace="0"/>
        </w:sectPr>
      </w:pPr>
      <w:bookmarkStart w:id="0" w:name="BookMark1"/>
    </w:p>
    <w:p>
      <w:pPr>
        <w:pStyle w:val="95"/>
        <w:spacing w:after="468"/>
      </w:pPr>
      <w:r>
        <w:rPr>
          <w:rFonts w:hint="eastAsia"/>
          <w:spacing w:val="320"/>
        </w:rPr>
        <w:t>目</w:t>
      </w:r>
      <w:r>
        <w:rPr>
          <w:rFonts w:hint="eastAsia"/>
        </w:rPr>
        <w:t>次</w:t>
      </w:r>
    </w:p>
    <w:p>
      <w:pPr>
        <w:pStyle w:val="21"/>
        <w:tabs>
          <w:tab w:val="right" w:leader="dot" w:pos="9354"/>
        </w:tabs>
      </w:pPr>
      <w:r>
        <w:rPr>
          <w:rFonts w:ascii="Times New Roman" w:hAnsi="Times New Roman"/>
          <w:sz w:val="24"/>
        </w:rPr>
        <w:fldChar w:fldCharType="begin"/>
      </w:r>
      <w:r>
        <w:rPr>
          <w:rFonts w:ascii="Times New Roman" w:hAnsi="Times New Roman"/>
          <w:sz w:val="24"/>
        </w:rPr>
        <w:instrText xml:space="preserve"> TOC \o "1-1" \h \t "</w:instrText>
      </w:r>
      <w:r>
        <w:rPr>
          <w:rFonts w:hint="eastAsia" w:ascii="Times New Roman" w:hAnsi="Times New Roman"/>
          <w:sz w:val="24"/>
        </w:rPr>
        <w:instrText xml:space="preserve">标准文件</w:instrText>
      </w:r>
      <w:r>
        <w:rPr>
          <w:rFonts w:ascii="Times New Roman" w:hAnsi="Times New Roman"/>
          <w:sz w:val="24"/>
        </w:rPr>
        <w:instrText xml:space="preserve">_</w:instrText>
      </w:r>
      <w:r>
        <w:rPr>
          <w:rFonts w:hint="eastAsia" w:ascii="Times New Roman" w:hAnsi="Times New Roman"/>
          <w:sz w:val="24"/>
        </w:rPr>
        <w:instrText xml:space="preserve">一级条标题</w:instrText>
      </w:r>
      <w:r>
        <w:rPr>
          <w:rFonts w:ascii="Times New Roman" w:hAnsi="Times New Roman"/>
          <w:sz w:val="24"/>
        </w:rPr>
        <w:instrText xml:space="preserve">,2,</w:instrText>
      </w:r>
      <w:r>
        <w:rPr>
          <w:rFonts w:hint="eastAsia" w:ascii="Times New Roman" w:hAnsi="Times New Roman"/>
          <w:sz w:val="24"/>
        </w:rPr>
        <w:instrText xml:space="preserve">标准文件</w:instrText>
      </w:r>
      <w:r>
        <w:rPr>
          <w:rFonts w:ascii="Times New Roman" w:hAnsi="Times New Roman"/>
          <w:sz w:val="24"/>
        </w:rPr>
        <w:instrText xml:space="preserve">_</w:instrText>
      </w:r>
      <w:r>
        <w:rPr>
          <w:rFonts w:hint="eastAsia" w:ascii="Times New Roman" w:hAnsi="Times New Roman"/>
          <w:sz w:val="24"/>
        </w:rPr>
        <w:instrText xml:space="preserve">附录一级条标题</w:instrText>
      </w:r>
      <w:r>
        <w:rPr>
          <w:rFonts w:ascii="Times New Roman" w:hAnsi="Times New Roman"/>
          <w:sz w:val="24"/>
        </w:rPr>
        <w:instrText xml:space="preserve">,2," </w:instrText>
      </w:r>
      <w:r>
        <w:rPr>
          <w:rFonts w:ascii="Times New Roman" w:hAnsi="Times New Roman"/>
          <w:sz w:val="24"/>
        </w:rPr>
        <w:fldChar w:fldCharType="separate"/>
      </w:r>
      <w:r>
        <w:fldChar w:fldCharType="begin"/>
      </w:r>
      <w:r>
        <w:instrText xml:space="preserve"> HYPERLINK \l "_Toc7023" </w:instrText>
      </w:r>
      <w:r>
        <w:fldChar w:fldCharType="separate"/>
      </w:r>
      <w:r>
        <w:rPr>
          <w:rFonts w:ascii="Times New Roman"/>
        </w:rPr>
        <w:t>前言</w:t>
      </w:r>
      <w:r>
        <w:tab/>
      </w:r>
      <w:r>
        <w:rPr>
          <w:rFonts w:ascii="Times New Roman" w:hAnsi="Times New Roman"/>
        </w:rPr>
        <w:fldChar w:fldCharType="begin"/>
      </w:r>
      <w:r>
        <w:rPr>
          <w:rFonts w:ascii="Times New Roman" w:hAnsi="Times New Roman"/>
        </w:rPr>
        <w:instrText xml:space="preserve"> PAGEREF _Toc7023 \h </w:instrText>
      </w:r>
      <w:r>
        <w:rPr>
          <w:rFonts w:ascii="Times New Roman" w:hAnsi="Times New Roman"/>
        </w:rPr>
        <w:fldChar w:fldCharType="separate"/>
      </w:r>
      <w:r>
        <w:rPr>
          <w:rFonts w:ascii="Times New Roman" w:hAnsi="Times New Roman"/>
        </w:rPr>
        <w:t>III</w:t>
      </w:r>
      <w:r>
        <w:rPr>
          <w:rFonts w:ascii="Times New Roman" w:hAnsi="Times New Roman"/>
        </w:rPr>
        <w:fldChar w:fldCharType="end"/>
      </w:r>
      <w:r>
        <w:rPr>
          <w:rFonts w:ascii="Times New Roman" w:hAnsi="Times New Roman"/>
        </w:rPr>
        <w:fldChar w:fldCharType="end"/>
      </w:r>
    </w:p>
    <w:p>
      <w:pPr>
        <w:pStyle w:val="21"/>
        <w:tabs>
          <w:tab w:val="right" w:leader="dot" w:pos="9354"/>
        </w:tabs>
      </w:pPr>
      <w:r>
        <w:fldChar w:fldCharType="begin"/>
      </w:r>
      <w:r>
        <w:instrText xml:space="preserve"> HYPERLINK \l "_Toc20702" </w:instrText>
      </w:r>
      <w:r>
        <w:fldChar w:fldCharType="separate"/>
      </w:r>
      <w:r>
        <w:rPr>
          <w:rFonts w:ascii="Times New Roman"/>
        </w:rPr>
        <w:t xml:space="preserve">1 </w:t>
      </w:r>
      <w:r>
        <w:rPr>
          <w:rFonts w:hint="eastAsia" w:ascii="Times New Roman"/>
        </w:rPr>
        <w:t xml:space="preserve"> </w:t>
      </w:r>
      <w:r>
        <w:rPr>
          <w:rFonts w:ascii="Times New Roman"/>
        </w:rPr>
        <w:t>范围</w:t>
      </w:r>
      <w:r>
        <w:tab/>
      </w:r>
      <w:r>
        <w:rPr>
          <w:rFonts w:ascii="Times New Roman" w:hAnsi="Times New Roman"/>
        </w:rPr>
        <w:fldChar w:fldCharType="begin"/>
      </w:r>
      <w:r>
        <w:rPr>
          <w:rFonts w:ascii="Times New Roman" w:hAnsi="Times New Roman"/>
        </w:rPr>
        <w:instrText xml:space="preserve"> PAGEREF _Toc20702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21"/>
        <w:tabs>
          <w:tab w:val="right" w:leader="dot" w:pos="9354"/>
        </w:tabs>
      </w:pPr>
      <w:r>
        <w:fldChar w:fldCharType="begin"/>
      </w:r>
      <w:r>
        <w:instrText xml:space="preserve"> HYPERLINK \l "_Toc32651" </w:instrText>
      </w:r>
      <w:r>
        <w:fldChar w:fldCharType="separate"/>
      </w:r>
      <w:r>
        <w:rPr>
          <w:rFonts w:ascii="Times New Roman"/>
        </w:rPr>
        <w:t xml:space="preserve">2 </w:t>
      </w:r>
      <w:r>
        <w:rPr>
          <w:rFonts w:hint="eastAsia" w:ascii="Times New Roman"/>
        </w:rPr>
        <w:t xml:space="preserve"> </w:t>
      </w:r>
      <w:r>
        <w:rPr>
          <w:rFonts w:ascii="Times New Roman"/>
        </w:rPr>
        <w:t>规范性引用文件</w:t>
      </w:r>
      <w:r>
        <w:tab/>
      </w:r>
      <w:r>
        <w:fldChar w:fldCharType="begin"/>
      </w:r>
      <w:r>
        <w:instrText xml:space="preserve"> PAGEREF _Toc32651 \h </w:instrText>
      </w:r>
      <w:r>
        <w:fldChar w:fldCharType="separate"/>
      </w:r>
      <w:r>
        <w:t>1</w:t>
      </w:r>
      <w:r>
        <w:fldChar w:fldCharType="end"/>
      </w:r>
      <w:r>
        <w:fldChar w:fldCharType="end"/>
      </w:r>
    </w:p>
    <w:p>
      <w:pPr>
        <w:pStyle w:val="21"/>
        <w:tabs>
          <w:tab w:val="right" w:leader="dot" w:pos="9354"/>
        </w:tabs>
      </w:pPr>
      <w:r>
        <w:fldChar w:fldCharType="begin"/>
      </w:r>
      <w:r>
        <w:instrText xml:space="preserve"> HYPERLINK \l "_Toc32327" </w:instrText>
      </w:r>
      <w:r>
        <w:fldChar w:fldCharType="separate"/>
      </w:r>
      <w:r>
        <w:rPr>
          <w:rFonts w:ascii="Times New Roman"/>
        </w:rPr>
        <w:t xml:space="preserve">3 </w:t>
      </w:r>
      <w:r>
        <w:rPr>
          <w:rFonts w:hint="eastAsia" w:ascii="Times New Roman"/>
        </w:rPr>
        <w:t xml:space="preserve"> </w:t>
      </w:r>
      <w:r>
        <w:rPr>
          <w:rFonts w:ascii="Times New Roman"/>
        </w:rPr>
        <w:t>术语和定义</w:t>
      </w:r>
      <w:r>
        <w:tab/>
      </w:r>
      <w:r>
        <w:fldChar w:fldCharType="begin"/>
      </w:r>
      <w:r>
        <w:instrText xml:space="preserve"> PAGEREF _Toc32327 \h </w:instrText>
      </w:r>
      <w:r>
        <w:fldChar w:fldCharType="separate"/>
      </w:r>
      <w:r>
        <w:t>1</w:t>
      </w:r>
      <w:r>
        <w:fldChar w:fldCharType="end"/>
      </w:r>
      <w:r>
        <w:fldChar w:fldCharType="end"/>
      </w:r>
    </w:p>
    <w:p>
      <w:pPr>
        <w:pStyle w:val="21"/>
        <w:tabs>
          <w:tab w:val="right" w:leader="dot" w:pos="9354"/>
        </w:tabs>
      </w:pPr>
      <w:r>
        <w:fldChar w:fldCharType="begin"/>
      </w:r>
      <w:r>
        <w:instrText xml:space="preserve"> HYPERLINK \l "_Toc30312" </w:instrText>
      </w:r>
      <w:r>
        <w:fldChar w:fldCharType="separate"/>
      </w:r>
      <w:r>
        <w:rPr>
          <w:rFonts w:ascii="Times New Roman"/>
        </w:rPr>
        <w:t xml:space="preserve">4 </w:t>
      </w:r>
      <w:r>
        <w:rPr>
          <w:rFonts w:hint="eastAsia" w:ascii="Times New Roman"/>
        </w:rPr>
        <w:t xml:space="preserve"> 缩略语</w:t>
      </w:r>
      <w:r>
        <w:tab/>
      </w:r>
      <w:r>
        <w:fldChar w:fldCharType="begin"/>
      </w:r>
      <w:r>
        <w:instrText xml:space="preserve"> PAGEREF _Toc30312 \h </w:instrText>
      </w:r>
      <w:r>
        <w:fldChar w:fldCharType="separate"/>
      </w:r>
      <w:r>
        <w:t>2</w:t>
      </w:r>
      <w:r>
        <w:fldChar w:fldCharType="end"/>
      </w:r>
      <w:r>
        <w:fldChar w:fldCharType="end"/>
      </w:r>
    </w:p>
    <w:p>
      <w:pPr>
        <w:pStyle w:val="21"/>
        <w:tabs>
          <w:tab w:val="right" w:leader="dot" w:pos="9354"/>
        </w:tabs>
      </w:pPr>
      <w:r>
        <w:fldChar w:fldCharType="begin"/>
      </w:r>
      <w:r>
        <w:instrText xml:space="preserve"> HYPERLINK \l "_Toc2067" </w:instrText>
      </w:r>
      <w:r>
        <w:fldChar w:fldCharType="separate"/>
      </w:r>
      <w:r>
        <w:rPr>
          <w:rFonts w:hint="eastAsia" w:ascii="Times New Roman"/>
        </w:rPr>
        <w:t>5</w:t>
      </w:r>
      <w:r>
        <w:rPr>
          <w:rFonts w:ascii="Times New Roman"/>
        </w:rPr>
        <w:t xml:space="preserve"> </w:t>
      </w:r>
      <w:r>
        <w:rPr>
          <w:rFonts w:hint="eastAsia" w:ascii="Times New Roman"/>
        </w:rPr>
        <w:t xml:space="preserve"> </w:t>
      </w:r>
      <w:r>
        <w:rPr>
          <w:rFonts w:ascii="Times New Roman"/>
        </w:rPr>
        <w:t>总体要求</w:t>
      </w:r>
      <w:r>
        <w:tab/>
      </w:r>
      <w:r>
        <w:fldChar w:fldCharType="begin"/>
      </w:r>
      <w:r>
        <w:instrText xml:space="preserve"> PAGEREF _Toc2067 \h </w:instrText>
      </w:r>
      <w:r>
        <w:fldChar w:fldCharType="separate"/>
      </w:r>
      <w:r>
        <w:t>2</w:t>
      </w:r>
      <w:r>
        <w:fldChar w:fldCharType="end"/>
      </w:r>
      <w:r>
        <w:fldChar w:fldCharType="end"/>
      </w:r>
    </w:p>
    <w:p>
      <w:pPr>
        <w:pStyle w:val="21"/>
        <w:tabs>
          <w:tab w:val="right" w:leader="dot" w:pos="9354"/>
        </w:tabs>
      </w:pPr>
      <w:r>
        <w:fldChar w:fldCharType="begin"/>
      </w:r>
      <w:r>
        <w:instrText xml:space="preserve"> HYPERLINK \l "_Toc21131" </w:instrText>
      </w:r>
      <w:r>
        <w:fldChar w:fldCharType="separate"/>
      </w:r>
      <w:r>
        <w:rPr>
          <w:rFonts w:hint="eastAsia" w:ascii="Times New Roman"/>
        </w:rPr>
        <w:t>6</w:t>
      </w:r>
      <w:r>
        <w:rPr>
          <w:rFonts w:ascii="Times New Roman"/>
        </w:rPr>
        <w:t xml:space="preserve"> </w:t>
      </w:r>
      <w:r>
        <w:rPr>
          <w:rFonts w:hint="eastAsia" w:ascii="Times New Roman"/>
        </w:rPr>
        <w:t xml:space="preserve"> </w:t>
      </w:r>
      <w:r>
        <w:rPr>
          <w:rFonts w:ascii="Times New Roman"/>
        </w:rPr>
        <w:t>信息</w:t>
      </w:r>
      <w:r>
        <w:rPr>
          <w:rFonts w:hint="eastAsia" w:ascii="Times New Roman"/>
        </w:rPr>
        <w:t>化</w:t>
      </w:r>
      <w:r>
        <w:rPr>
          <w:rFonts w:ascii="Times New Roman"/>
        </w:rPr>
        <w:t>基础设施</w:t>
      </w:r>
      <w:r>
        <w:tab/>
      </w:r>
      <w:r>
        <w:fldChar w:fldCharType="begin"/>
      </w:r>
      <w:r>
        <w:instrText xml:space="preserve"> PAGEREF _Toc21131 \h </w:instrText>
      </w:r>
      <w:r>
        <w:fldChar w:fldCharType="separate"/>
      </w:r>
      <w:r>
        <w:t>3</w:t>
      </w:r>
      <w:r>
        <w:fldChar w:fldCharType="end"/>
      </w:r>
      <w:r>
        <w:fldChar w:fldCharType="end"/>
      </w:r>
    </w:p>
    <w:p>
      <w:pPr>
        <w:pStyle w:val="21"/>
        <w:tabs>
          <w:tab w:val="right" w:leader="dot" w:pos="9354"/>
        </w:tabs>
      </w:pPr>
      <w:r>
        <w:fldChar w:fldCharType="begin"/>
      </w:r>
      <w:r>
        <w:instrText xml:space="preserve"> HYPERLINK \l "_Toc17560" </w:instrText>
      </w:r>
      <w:r>
        <w:fldChar w:fldCharType="separate"/>
      </w:r>
      <w:r>
        <w:rPr>
          <w:rFonts w:hint="eastAsia" w:ascii="Times New Roman"/>
        </w:rPr>
        <w:t>7</w:t>
      </w:r>
      <w:r>
        <w:rPr>
          <w:rFonts w:ascii="Times New Roman"/>
        </w:rPr>
        <w:t xml:space="preserve"> </w:t>
      </w:r>
      <w:r>
        <w:rPr>
          <w:rFonts w:hint="eastAsia" w:ascii="Times New Roman"/>
        </w:rPr>
        <w:t xml:space="preserve"> </w:t>
      </w:r>
      <w:r>
        <w:rPr>
          <w:rFonts w:ascii="Times New Roman"/>
        </w:rPr>
        <w:t>数据底板</w:t>
      </w:r>
      <w:r>
        <w:tab/>
      </w:r>
      <w:r>
        <w:fldChar w:fldCharType="begin"/>
      </w:r>
      <w:r>
        <w:instrText xml:space="preserve"> PAGEREF _Toc17560 \h </w:instrText>
      </w:r>
      <w:r>
        <w:fldChar w:fldCharType="separate"/>
      </w:r>
      <w:r>
        <w:t>3</w:t>
      </w:r>
      <w:r>
        <w:fldChar w:fldCharType="end"/>
      </w:r>
      <w:r>
        <w:fldChar w:fldCharType="end"/>
      </w:r>
    </w:p>
    <w:p>
      <w:pPr>
        <w:pStyle w:val="21"/>
        <w:tabs>
          <w:tab w:val="right" w:leader="dot" w:pos="9354"/>
        </w:tabs>
      </w:pPr>
      <w:r>
        <w:fldChar w:fldCharType="begin"/>
      </w:r>
      <w:r>
        <w:instrText xml:space="preserve"> HYPERLINK \l "_Toc27406" </w:instrText>
      </w:r>
      <w:r>
        <w:fldChar w:fldCharType="separate"/>
      </w:r>
      <w:r>
        <w:rPr>
          <w:rFonts w:hint="eastAsia" w:ascii="Times New Roman"/>
        </w:rPr>
        <w:t>8</w:t>
      </w:r>
      <w:r>
        <w:rPr>
          <w:rFonts w:ascii="Times New Roman"/>
        </w:rPr>
        <w:t xml:space="preserve"> </w:t>
      </w:r>
      <w:r>
        <w:rPr>
          <w:rFonts w:hint="eastAsia" w:ascii="Times New Roman"/>
        </w:rPr>
        <w:t xml:space="preserve"> </w:t>
      </w:r>
      <w:r>
        <w:rPr>
          <w:rFonts w:ascii="Times New Roman"/>
        </w:rPr>
        <w:t>模型平台</w:t>
      </w:r>
      <w:r>
        <w:tab/>
      </w:r>
      <w:r>
        <w:fldChar w:fldCharType="begin"/>
      </w:r>
      <w:r>
        <w:instrText xml:space="preserve"> PAGEREF _Toc27406 \h </w:instrText>
      </w:r>
      <w:r>
        <w:fldChar w:fldCharType="separate"/>
      </w:r>
      <w:r>
        <w:t>5</w:t>
      </w:r>
      <w:r>
        <w:fldChar w:fldCharType="end"/>
      </w:r>
      <w:r>
        <w:fldChar w:fldCharType="end"/>
      </w:r>
    </w:p>
    <w:p>
      <w:pPr>
        <w:pStyle w:val="21"/>
        <w:tabs>
          <w:tab w:val="right" w:leader="dot" w:pos="9354"/>
        </w:tabs>
      </w:pPr>
      <w:r>
        <w:fldChar w:fldCharType="begin"/>
      </w:r>
      <w:r>
        <w:instrText xml:space="preserve"> HYPERLINK \l "_Toc10562" </w:instrText>
      </w:r>
      <w:r>
        <w:fldChar w:fldCharType="separate"/>
      </w:r>
      <w:r>
        <w:rPr>
          <w:rFonts w:hint="eastAsia" w:ascii="Times New Roman"/>
        </w:rPr>
        <w:t>9</w:t>
      </w:r>
      <w:r>
        <w:rPr>
          <w:rFonts w:ascii="Times New Roman"/>
        </w:rPr>
        <w:t xml:space="preserve"> </w:t>
      </w:r>
      <w:r>
        <w:rPr>
          <w:rFonts w:hint="eastAsia" w:ascii="Times New Roman"/>
        </w:rPr>
        <w:t xml:space="preserve"> </w:t>
      </w:r>
      <w:r>
        <w:rPr>
          <w:rFonts w:ascii="Times New Roman"/>
        </w:rPr>
        <w:t>知识平台</w:t>
      </w:r>
      <w:r>
        <w:tab/>
      </w:r>
      <w:r>
        <w:fldChar w:fldCharType="begin"/>
      </w:r>
      <w:r>
        <w:instrText xml:space="preserve"> PAGEREF _Toc10562 \h </w:instrText>
      </w:r>
      <w:r>
        <w:fldChar w:fldCharType="separate"/>
      </w:r>
      <w:r>
        <w:t>7</w:t>
      </w:r>
      <w:r>
        <w:fldChar w:fldCharType="end"/>
      </w:r>
      <w:r>
        <w:fldChar w:fldCharType="end"/>
      </w:r>
    </w:p>
    <w:p>
      <w:pPr>
        <w:pStyle w:val="21"/>
        <w:tabs>
          <w:tab w:val="right" w:leader="dot" w:pos="9354"/>
        </w:tabs>
      </w:pPr>
      <w:r>
        <w:fldChar w:fldCharType="begin"/>
      </w:r>
      <w:r>
        <w:instrText xml:space="preserve"> HYPERLINK \l "_Toc6050" </w:instrText>
      </w:r>
      <w:r>
        <w:fldChar w:fldCharType="separate"/>
      </w:r>
      <w:r>
        <w:rPr>
          <w:rFonts w:hint="eastAsia" w:ascii="Times New Roman"/>
        </w:rPr>
        <w:t>10</w:t>
      </w:r>
      <w:r>
        <w:rPr>
          <w:rFonts w:ascii="Times New Roman"/>
        </w:rPr>
        <w:t xml:space="preserve"> </w:t>
      </w:r>
      <w:r>
        <w:rPr>
          <w:rFonts w:hint="eastAsia" w:ascii="Times New Roman"/>
        </w:rPr>
        <w:t>业务应用场景</w:t>
      </w:r>
      <w:r>
        <w:tab/>
      </w:r>
      <w:r>
        <w:fldChar w:fldCharType="begin"/>
      </w:r>
      <w:r>
        <w:instrText xml:space="preserve"> PAGEREF _Toc6050 \h </w:instrText>
      </w:r>
      <w:r>
        <w:fldChar w:fldCharType="separate"/>
      </w:r>
      <w:r>
        <w:t>8</w:t>
      </w:r>
      <w:r>
        <w:fldChar w:fldCharType="end"/>
      </w:r>
      <w:r>
        <w:fldChar w:fldCharType="end"/>
      </w:r>
    </w:p>
    <w:p>
      <w:pPr>
        <w:pStyle w:val="21"/>
        <w:tabs>
          <w:tab w:val="right" w:leader="dot" w:pos="9354"/>
        </w:tabs>
      </w:pPr>
      <w:r>
        <w:fldChar w:fldCharType="begin"/>
      </w:r>
      <w:r>
        <w:instrText xml:space="preserve"> HYPERLINK \l "_Toc1298" </w:instrText>
      </w:r>
      <w:r>
        <w:fldChar w:fldCharType="separate"/>
      </w:r>
      <w:r>
        <w:rPr>
          <w:rFonts w:hint="eastAsia" w:ascii="Times New Roman"/>
        </w:rPr>
        <w:t>11</w:t>
      </w:r>
      <w:r>
        <w:rPr>
          <w:rFonts w:ascii="Times New Roman"/>
        </w:rPr>
        <w:t xml:space="preserve"> 共建共享</w:t>
      </w:r>
      <w:r>
        <w:tab/>
      </w:r>
      <w:r>
        <w:rPr>
          <w:rFonts w:ascii="Times New Roman" w:hAnsi="Times New Roman"/>
        </w:rPr>
        <w:fldChar w:fldCharType="begin"/>
      </w:r>
      <w:r>
        <w:rPr>
          <w:rFonts w:ascii="Times New Roman" w:hAnsi="Times New Roman"/>
        </w:rPr>
        <w:instrText xml:space="preserve"> PAGEREF _Toc1298 \h </w:instrText>
      </w:r>
      <w:r>
        <w:rPr>
          <w:rFonts w:ascii="Times New Roman" w:hAnsi="Times New Roman"/>
        </w:rPr>
        <w:fldChar w:fldCharType="separate"/>
      </w:r>
      <w:r>
        <w:rPr>
          <w:rFonts w:ascii="Times New Roman" w:hAnsi="Times New Roman"/>
        </w:rPr>
        <w:t>9</w:t>
      </w:r>
      <w:r>
        <w:rPr>
          <w:rFonts w:ascii="Times New Roman" w:hAnsi="Times New Roman"/>
        </w:rPr>
        <w:fldChar w:fldCharType="end"/>
      </w:r>
      <w:r>
        <w:rPr>
          <w:rFonts w:ascii="Times New Roman" w:hAnsi="Times New Roman"/>
        </w:rPr>
        <w:fldChar w:fldCharType="end"/>
      </w:r>
    </w:p>
    <w:p>
      <w:pPr>
        <w:pStyle w:val="21"/>
        <w:tabs>
          <w:tab w:val="right" w:leader="dot" w:pos="9354"/>
        </w:tabs>
      </w:pPr>
      <w:r>
        <w:fldChar w:fldCharType="begin"/>
      </w:r>
      <w:r>
        <w:instrText xml:space="preserve"> HYPERLINK \l "_Toc27131" </w:instrText>
      </w:r>
      <w:r>
        <w:fldChar w:fldCharType="separate"/>
      </w:r>
      <w:r>
        <w:rPr>
          <w:rFonts w:hint="eastAsia" w:ascii="Times New Roman"/>
        </w:rPr>
        <w:t>参考文献</w:t>
      </w:r>
      <w:r>
        <w:tab/>
      </w:r>
      <w:r>
        <w:rPr>
          <w:rFonts w:ascii="Times New Roman" w:hAnsi="Times New Roman"/>
        </w:rPr>
        <w:fldChar w:fldCharType="begin"/>
      </w:r>
      <w:r>
        <w:rPr>
          <w:rFonts w:ascii="Times New Roman" w:hAnsi="Times New Roman"/>
        </w:rPr>
        <w:instrText xml:space="preserve"> PAGEREF _Toc27131 \h </w:instrText>
      </w:r>
      <w:r>
        <w:rPr>
          <w:rFonts w:ascii="Times New Roman" w:hAnsi="Times New Roman"/>
        </w:rPr>
        <w:fldChar w:fldCharType="separate"/>
      </w:r>
      <w:r>
        <w:rPr>
          <w:rFonts w:ascii="Times New Roman" w:hAnsi="Times New Roman"/>
        </w:rPr>
        <w:t>10</w:t>
      </w:r>
      <w:r>
        <w:rPr>
          <w:rFonts w:ascii="Times New Roman" w:hAnsi="Times New Roman"/>
        </w:rPr>
        <w:fldChar w:fldCharType="end"/>
      </w:r>
      <w:r>
        <w:rPr>
          <w:rFonts w:ascii="Times New Roman" w:hAnsi="Times New Roman"/>
        </w:rPr>
        <w:fldChar w:fldCharType="end"/>
      </w:r>
    </w:p>
    <w:p>
      <w:pPr>
        <w:pStyle w:val="95"/>
        <w:spacing w:after="468"/>
        <w:sectPr>
          <w:headerReference r:id="rId13" w:type="default"/>
          <w:footerReference r:id="rId14" w:type="default"/>
          <w:pgSz w:w="11906" w:h="16838"/>
          <w:pgMar w:top="2410" w:right="1134" w:bottom="1134" w:left="1134" w:header="1418" w:footer="1134" w:gutter="284"/>
          <w:pgNumType w:fmt="upperRoman" w:start="1"/>
          <w:cols w:space="425" w:num="1"/>
          <w:formProt w:val="0"/>
          <w:docGrid w:type="lines" w:linePitch="312" w:charSpace="0"/>
        </w:sectPr>
      </w:pPr>
      <w:r>
        <w:rPr>
          <w:rFonts w:ascii="Times New Roman" w:hAnsi="Times New Roman"/>
        </w:rPr>
        <w:fldChar w:fldCharType="end"/>
      </w:r>
    </w:p>
    <w:bookmarkEnd w:id="0"/>
    <w:p>
      <w:pPr>
        <w:pStyle w:val="93"/>
        <w:numPr>
          <w:ilvl w:val="0"/>
          <w:numId w:val="0"/>
        </w:numPr>
        <w:spacing w:after="468"/>
        <w:rPr>
          <w:rFonts w:hAnsi="Calibri"/>
          <w:spacing w:val="320"/>
          <w:kern w:val="2"/>
          <w:szCs w:val="21"/>
        </w:rPr>
        <w:sectPr>
          <w:headerReference r:id="rId15" w:type="default"/>
          <w:footerReference r:id="rId16" w:type="default"/>
          <w:pgSz w:w="11906" w:h="16838"/>
          <w:pgMar w:top="2410" w:right="1134" w:bottom="1134" w:left="1134" w:header="1418" w:footer="1134" w:gutter="284"/>
          <w:pgNumType w:fmt="upperRoman"/>
          <w:cols w:space="425" w:num="1"/>
          <w:formProt w:val="0"/>
          <w:docGrid w:type="lines" w:linePitch="312" w:charSpace="0"/>
        </w:sectPr>
      </w:pPr>
      <w:bookmarkStart w:id="1" w:name="_Toc2464"/>
      <w:bookmarkStart w:id="2" w:name="BookMark2"/>
    </w:p>
    <w:p>
      <w:pPr>
        <w:pStyle w:val="93"/>
        <w:numPr>
          <w:ilvl w:val="0"/>
          <w:numId w:val="0"/>
        </w:numPr>
        <w:spacing w:after="468"/>
        <w:rPr>
          <w:rFonts w:hAnsi="Calibri"/>
          <w:spacing w:val="320"/>
          <w:kern w:val="2"/>
          <w:szCs w:val="21"/>
        </w:rPr>
      </w:pPr>
      <w:bookmarkStart w:id="3" w:name="_Toc7023"/>
      <w:r>
        <w:rPr>
          <w:rFonts w:hint="eastAsia" w:hAnsi="Calibri"/>
          <w:spacing w:val="320"/>
          <w:kern w:val="2"/>
          <w:szCs w:val="21"/>
        </w:rPr>
        <w:t>前言</w:t>
      </w:r>
      <w:bookmarkEnd w:id="1"/>
      <w:bookmarkEnd w:id="3"/>
    </w:p>
    <w:p>
      <w:pPr>
        <w:pStyle w:val="60"/>
        <w:spacing w:line="300" w:lineRule="auto"/>
        <w:ind w:firstLine="420"/>
        <w:rPr>
          <w:rFonts w:ascii="Times New Roman"/>
        </w:rPr>
      </w:pPr>
      <w:r>
        <w:rPr>
          <w:rFonts w:hint="eastAsia" w:ascii="Times New Roman"/>
        </w:rPr>
        <w:t>本文件按照</w:t>
      </w:r>
      <w:r>
        <w:rPr>
          <w:rFonts w:ascii="Times New Roman"/>
        </w:rPr>
        <w:t>GB/T 1.1—2020</w:t>
      </w:r>
      <w:r>
        <w:rPr>
          <w:rFonts w:hint="eastAsia" w:ascii="Times New Roman"/>
        </w:rPr>
        <w:t>《标准化工作导则</w:t>
      </w:r>
      <w:r>
        <w:rPr>
          <w:rFonts w:ascii="Times New Roman"/>
        </w:rPr>
        <w:t xml:space="preserve">  </w:t>
      </w:r>
      <w:r>
        <w:rPr>
          <w:rFonts w:hint="eastAsia" w:ascii="Times New Roman"/>
        </w:rPr>
        <w:t>第</w:t>
      </w:r>
      <w:r>
        <w:rPr>
          <w:rFonts w:ascii="Times New Roman"/>
        </w:rPr>
        <w:t>1</w:t>
      </w:r>
      <w:r>
        <w:rPr>
          <w:rFonts w:hint="eastAsia" w:ascii="Times New Roman"/>
        </w:rPr>
        <w:t>部分：标准化文件的结构和起草规则》的规定起草。</w:t>
      </w:r>
    </w:p>
    <w:p>
      <w:pPr>
        <w:pStyle w:val="60"/>
        <w:spacing w:line="300" w:lineRule="auto"/>
        <w:ind w:firstLine="420"/>
        <w:rPr>
          <w:rFonts w:ascii="Times New Roman"/>
        </w:rPr>
      </w:pPr>
      <w:r>
        <w:rPr>
          <w:rFonts w:hint="eastAsia" w:ascii="Times New Roman"/>
        </w:rPr>
        <w:t>请注意本文件的某些内容可能涉及专利。本文件的发布机构不承担识别专利的责任。</w:t>
      </w:r>
    </w:p>
    <w:p>
      <w:pPr>
        <w:pStyle w:val="60"/>
        <w:spacing w:line="300" w:lineRule="auto"/>
        <w:ind w:firstLine="420"/>
        <w:rPr>
          <w:rFonts w:ascii="Times New Roman"/>
        </w:rPr>
      </w:pPr>
      <w:r>
        <w:rPr>
          <w:rFonts w:hint="eastAsia" w:ascii="Times New Roman"/>
        </w:rPr>
        <w:t>本文件由江苏省水利厅提出并归口。</w:t>
      </w:r>
    </w:p>
    <w:p>
      <w:pPr>
        <w:pStyle w:val="60"/>
        <w:spacing w:line="300" w:lineRule="auto"/>
        <w:ind w:firstLine="420"/>
        <w:rPr>
          <w:rFonts w:ascii="Times New Roman"/>
        </w:rPr>
      </w:pPr>
      <w:r>
        <w:rPr>
          <w:rFonts w:hint="eastAsia" w:ascii="Times New Roman"/>
        </w:rPr>
        <w:t>本文件起草单位：江苏省水旱灾害防御调度指挥中心、水利部交通运输部国家能源局南京水利科学研究院、河海大学、无锡市防汛防旱指挥部办公室、南京中禹智慧水利研究院有限公司、北京金水信息技术发展有限公司。</w:t>
      </w:r>
    </w:p>
    <w:p>
      <w:pPr>
        <w:pStyle w:val="60"/>
        <w:spacing w:line="300" w:lineRule="auto"/>
        <w:ind w:firstLine="420"/>
        <w:rPr>
          <w:rFonts w:ascii="Times New Roman"/>
        </w:rPr>
      </w:pPr>
      <w:r>
        <w:rPr>
          <w:rFonts w:hint="eastAsia" w:ascii="Times New Roman"/>
        </w:rPr>
        <w:t>本文件主要起草人：陈静、陈昌仁、范子武、朱跃龙、刘国庆、尤迎华、陶娜麒、宋炜、张小稳、丛小飞、姚璐、鲍建腾、焦野、周春飞、江如春、王子建、唐仁、杨光、黎东洲、乌景秀、廖轶鹏、黄玄、柳杨、巢予恬、左翔、赵杏杏、杨帆、王正怡、贾本有、高瑾瑾、邹明忠、李启顺。</w:t>
      </w:r>
    </w:p>
    <w:p>
      <w:pPr>
        <w:pStyle w:val="60"/>
        <w:spacing w:line="300" w:lineRule="auto"/>
        <w:ind w:firstLine="420"/>
        <w:rPr>
          <w:rFonts w:ascii="Times New Roman"/>
        </w:rPr>
      </w:pPr>
    </w:p>
    <w:p>
      <w:pPr>
        <w:pStyle w:val="60"/>
        <w:spacing w:line="300" w:lineRule="auto"/>
        <w:ind w:firstLine="420"/>
        <w:rPr>
          <w:rFonts w:ascii="Times New Roman"/>
        </w:rPr>
      </w:pPr>
    </w:p>
    <w:p>
      <w:pPr>
        <w:pStyle w:val="60"/>
        <w:ind w:firstLine="420"/>
      </w:pPr>
    </w:p>
    <w:p>
      <w:pPr>
        <w:pStyle w:val="60"/>
        <w:ind w:firstLine="420"/>
      </w:pPr>
    </w:p>
    <w:p>
      <w:pPr>
        <w:pStyle w:val="60"/>
        <w:ind w:firstLine="420"/>
        <w:sectPr>
          <w:headerReference r:id="rId17" w:type="default"/>
          <w:footerReference r:id="rId18" w:type="default"/>
          <w:pgSz w:w="11906" w:h="16838"/>
          <w:pgMar w:top="2410" w:right="1134" w:bottom="1134" w:left="1134" w:header="1418" w:footer="1134" w:gutter="284"/>
          <w:pgNumType w:fmt="upperRoman"/>
          <w:cols w:space="425" w:num="1"/>
          <w:formProt w:val="0"/>
          <w:docGrid w:type="lines" w:linePitch="312" w:charSpace="0"/>
        </w:sectPr>
      </w:pPr>
    </w:p>
    <w:p>
      <w:pPr>
        <w:pStyle w:val="60"/>
        <w:ind w:firstLine="420"/>
      </w:pPr>
    </w:p>
    <w:p>
      <w:pPr>
        <w:pStyle w:val="60"/>
        <w:ind w:firstLine="420"/>
      </w:pPr>
    </w:p>
    <w:p>
      <w:pPr>
        <w:pStyle w:val="60"/>
        <w:ind w:firstLine="420"/>
        <w:sectPr>
          <w:headerReference r:id="rId19" w:type="default"/>
          <w:footerReference r:id="rId20" w:type="default"/>
          <w:pgSz w:w="11906" w:h="16838"/>
          <w:pgMar w:top="2410" w:right="1134" w:bottom="1134" w:left="1134" w:header="1418" w:footer="1134" w:gutter="284"/>
          <w:pgNumType w:fmt="upperRoman"/>
          <w:cols w:space="425" w:num="1"/>
          <w:formProt w:val="0"/>
          <w:docGrid w:type="lines" w:linePitch="312" w:charSpace="0"/>
        </w:sectPr>
      </w:pPr>
    </w:p>
    <w:bookmarkEnd w:id="2"/>
    <w:p>
      <w:pPr>
        <w:spacing w:line="20" w:lineRule="exact"/>
        <w:jc w:val="center"/>
        <w:rPr>
          <w:rFonts w:ascii="黑体" w:hAnsi="黑体" w:eastAsia="黑体"/>
          <w:sz w:val="32"/>
          <w:szCs w:val="32"/>
        </w:rPr>
      </w:pPr>
      <w:bookmarkStart w:id="4" w:name="BookMark4"/>
    </w:p>
    <w:p>
      <w:pPr>
        <w:spacing w:line="20" w:lineRule="exact"/>
        <w:jc w:val="center"/>
        <w:rPr>
          <w:rFonts w:ascii="黑体" w:hAnsi="黑体" w:eastAsia="黑体"/>
          <w:sz w:val="32"/>
          <w:szCs w:val="32"/>
        </w:rPr>
      </w:pPr>
    </w:p>
    <w:sdt>
      <w:sdtPr>
        <w:tag w:val="NEW_STAND_NAME"/>
        <w:id w:val="595910757"/>
        <w:lock w:val="sdtLocked"/>
        <w:placeholder>
          <w:docPart w:val="73FC7875879B4019AC9E632A3F22C227"/>
        </w:placeholder>
      </w:sdtPr>
      <w:sdtContent>
        <w:p>
          <w:pPr>
            <w:pStyle w:val="181"/>
            <w:spacing w:before="0" w:beforeLines="0" w:after="686" w:afterLines="220"/>
          </w:pPr>
          <w:bookmarkStart w:id="5" w:name="NEW_STAND_NAME"/>
          <w:r>
            <w:rPr>
              <w:rFonts w:hint="eastAsia"/>
            </w:rPr>
            <w:t>数字孪生水网建设总体技术指南</w:t>
          </w:r>
        </w:p>
      </w:sdtContent>
    </w:sdt>
    <w:bookmarkEnd w:id="5"/>
    <w:p>
      <w:pPr>
        <w:pStyle w:val="108"/>
        <w:numPr>
          <w:ilvl w:val="0"/>
          <w:numId w:val="0"/>
        </w:numPr>
        <w:spacing w:before="312" w:after="312"/>
        <w:rPr>
          <w:rFonts w:ascii="Times New Roman"/>
        </w:rPr>
      </w:pPr>
      <w:bookmarkStart w:id="6" w:name="_Toc26986771"/>
      <w:bookmarkStart w:id="7" w:name="_Toc24884218"/>
      <w:bookmarkStart w:id="8" w:name="_Toc26648465"/>
      <w:bookmarkStart w:id="9" w:name="_Toc20702"/>
      <w:bookmarkStart w:id="10" w:name="_Toc17233325"/>
      <w:bookmarkStart w:id="11" w:name="_Toc26986530"/>
      <w:bookmarkStart w:id="12" w:name="_Toc19394"/>
      <w:bookmarkStart w:id="13" w:name="_Toc26718930"/>
      <w:bookmarkStart w:id="14" w:name="_Toc17233333"/>
      <w:bookmarkStart w:id="15" w:name="_Toc24884211"/>
      <w:r>
        <w:rPr>
          <w:rFonts w:ascii="Times New Roman"/>
        </w:rPr>
        <w:t>1 范围</w:t>
      </w:r>
      <w:bookmarkEnd w:id="6"/>
      <w:bookmarkEnd w:id="7"/>
      <w:bookmarkEnd w:id="8"/>
      <w:bookmarkEnd w:id="9"/>
      <w:bookmarkEnd w:id="10"/>
      <w:bookmarkEnd w:id="11"/>
      <w:bookmarkEnd w:id="12"/>
      <w:bookmarkEnd w:id="13"/>
      <w:bookmarkEnd w:id="14"/>
      <w:bookmarkEnd w:id="15"/>
    </w:p>
    <w:p>
      <w:pPr>
        <w:pStyle w:val="60"/>
        <w:ind w:firstLine="420"/>
        <w:rPr>
          <w:rFonts w:ascii="Times New Roman"/>
        </w:rPr>
      </w:pPr>
      <w:bookmarkStart w:id="16" w:name="_Toc26648466"/>
      <w:bookmarkStart w:id="17" w:name="_Toc24884212"/>
      <w:bookmarkStart w:id="18" w:name="_Toc17233334"/>
      <w:bookmarkStart w:id="19" w:name="_Toc24884219"/>
      <w:bookmarkStart w:id="20" w:name="_Toc17233326"/>
      <w:r>
        <w:rPr>
          <w:rFonts w:ascii="Times New Roman"/>
        </w:rPr>
        <w:t>本文件</w:t>
      </w:r>
      <w:r>
        <w:rPr>
          <w:rFonts w:hint="eastAsia" w:ascii="Times New Roman"/>
        </w:rPr>
        <w:t>提供</w:t>
      </w:r>
      <w:r>
        <w:rPr>
          <w:rFonts w:ascii="Times New Roman"/>
        </w:rPr>
        <w:t>了数字孪生水网建设中信息</w:t>
      </w:r>
      <w:r>
        <w:rPr>
          <w:rFonts w:hint="eastAsia" w:ascii="Times New Roman"/>
        </w:rPr>
        <w:t>化</w:t>
      </w:r>
      <w:r>
        <w:rPr>
          <w:rFonts w:ascii="Times New Roman"/>
        </w:rPr>
        <w:t>基础设施、数据底板、模型平台、知识平台和共建共享等技术</w:t>
      </w:r>
      <w:r>
        <w:rPr>
          <w:rFonts w:hint="eastAsia" w:ascii="Times New Roman"/>
        </w:rPr>
        <w:t>指南</w:t>
      </w:r>
      <w:r>
        <w:rPr>
          <w:rFonts w:ascii="Times New Roman"/>
        </w:rPr>
        <w:t>。</w:t>
      </w:r>
    </w:p>
    <w:p>
      <w:pPr>
        <w:pStyle w:val="60"/>
        <w:ind w:firstLine="420"/>
        <w:rPr>
          <w:rFonts w:ascii="Times New Roman"/>
        </w:rPr>
      </w:pPr>
      <w:r>
        <w:rPr>
          <w:rFonts w:ascii="Times New Roman"/>
        </w:rPr>
        <w:t>本文件适用于</w:t>
      </w:r>
      <w:r>
        <w:rPr>
          <w:rFonts w:hint="eastAsia" w:ascii="Times New Roman"/>
        </w:rPr>
        <w:t>数字孪生水利建设，支撑水利业务应用</w:t>
      </w:r>
      <w:r>
        <w:rPr>
          <w:rFonts w:ascii="Times New Roman"/>
        </w:rPr>
        <w:t>。</w:t>
      </w:r>
    </w:p>
    <w:p>
      <w:pPr>
        <w:pStyle w:val="108"/>
        <w:numPr>
          <w:ilvl w:val="0"/>
          <w:numId w:val="0"/>
        </w:numPr>
        <w:spacing w:before="312" w:after="312"/>
        <w:rPr>
          <w:rFonts w:ascii="Times New Roman"/>
        </w:rPr>
      </w:pPr>
      <w:bookmarkStart w:id="21" w:name="_Toc26986531"/>
      <w:bookmarkStart w:id="22" w:name="_Toc26718931"/>
      <w:bookmarkStart w:id="23" w:name="_Toc32651"/>
      <w:bookmarkStart w:id="24" w:name="_Toc26986772"/>
      <w:bookmarkStart w:id="25" w:name="_Toc22476"/>
      <w:r>
        <w:rPr>
          <w:rFonts w:ascii="Times New Roman"/>
        </w:rPr>
        <w:t>2 规范性引用文件</w:t>
      </w:r>
      <w:bookmarkEnd w:id="16"/>
      <w:bookmarkEnd w:id="17"/>
      <w:bookmarkEnd w:id="18"/>
      <w:bookmarkEnd w:id="19"/>
      <w:bookmarkEnd w:id="20"/>
      <w:bookmarkEnd w:id="21"/>
      <w:bookmarkEnd w:id="22"/>
      <w:bookmarkEnd w:id="23"/>
      <w:bookmarkEnd w:id="24"/>
      <w:bookmarkEnd w:id="25"/>
    </w:p>
    <w:p>
      <w:pPr>
        <w:pStyle w:val="60"/>
        <w:ind w:firstLine="420"/>
        <w:rPr>
          <w:rFonts w:ascii="Times New Roman"/>
        </w:rPr>
      </w:pPr>
      <w:r>
        <w:rPr>
          <w:rFonts w:ascii="Times New Roman"/>
        </w:rPr>
        <w:t>下列文件中的内容通过文中的规范性引用而构成本文件必不可少的条款。其中，注日期的引用文件，仅该日期对</w:t>
      </w:r>
      <w:r>
        <w:rPr>
          <w:rFonts w:hint="eastAsia" w:ascii="Times New Roman"/>
        </w:rPr>
        <w:t>应</w:t>
      </w:r>
      <w:r>
        <w:rPr>
          <w:rFonts w:ascii="Times New Roman"/>
        </w:rPr>
        <w:t>的版本适用于本文件；不注日期的引用文件，其最新版本（包括所有的修改单）适用于本文件。</w:t>
      </w:r>
    </w:p>
    <w:p>
      <w:pPr>
        <w:pStyle w:val="60"/>
        <w:ind w:firstLine="420"/>
        <w:rPr>
          <w:rFonts w:ascii="Times New Roman"/>
        </w:rPr>
      </w:pPr>
      <w:r>
        <w:rPr>
          <w:rFonts w:ascii="Times New Roman"/>
        </w:rPr>
        <w:t>GB/T 22239  信息安全技术网络安全等级保护基本要求</w:t>
      </w:r>
    </w:p>
    <w:p>
      <w:pPr>
        <w:pStyle w:val="60"/>
        <w:ind w:firstLine="420"/>
        <w:rPr>
          <w:rFonts w:ascii="Times New Roman"/>
        </w:rPr>
      </w:pPr>
      <w:r>
        <w:rPr>
          <w:rFonts w:ascii="Times New Roman"/>
        </w:rPr>
        <w:t>GB/T 22482  水文情报预报规范</w:t>
      </w:r>
    </w:p>
    <w:p>
      <w:pPr>
        <w:pStyle w:val="60"/>
        <w:ind w:firstLine="420"/>
        <w:rPr>
          <w:rFonts w:ascii="Times New Roman"/>
        </w:rPr>
      </w:pPr>
      <w:r>
        <w:rPr>
          <w:rFonts w:ascii="Times New Roman"/>
        </w:rPr>
        <w:t>GB/T 30319  基础地理信息数据库基本规定</w:t>
      </w:r>
    </w:p>
    <w:p>
      <w:pPr>
        <w:pStyle w:val="60"/>
        <w:ind w:firstLine="420"/>
        <w:rPr>
          <w:rFonts w:ascii="Times New Roman"/>
        </w:rPr>
      </w:pPr>
      <w:r>
        <w:rPr>
          <w:rFonts w:ascii="Times New Roman"/>
        </w:rPr>
        <w:t>GB/T 35637  城市测绘基本技术要求</w:t>
      </w:r>
    </w:p>
    <w:p>
      <w:pPr>
        <w:pStyle w:val="60"/>
        <w:ind w:firstLine="420"/>
        <w:rPr>
          <w:rFonts w:ascii="Times New Roman"/>
        </w:rPr>
      </w:pPr>
      <w:r>
        <w:rPr>
          <w:rFonts w:ascii="Times New Roman"/>
        </w:rPr>
        <w:t>GB/T 36625.3  智慧城市 数据融合 第3部分：数据采集规范</w:t>
      </w:r>
    </w:p>
    <w:p>
      <w:pPr>
        <w:pStyle w:val="60"/>
        <w:ind w:firstLine="420"/>
        <w:rPr>
          <w:rFonts w:ascii="Times New Roman"/>
        </w:rPr>
      </w:pPr>
      <w:r>
        <w:rPr>
          <w:rFonts w:ascii="Times New Roman"/>
        </w:rPr>
        <w:t>GB/T 51212  建筑信息模型</w:t>
      </w:r>
      <w:r>
        <w:rPr>
          <w:rFonts w:hint="eastAsia" w:ascii="Times New Roman"/>
        </w:rPr>
        <w:t>应用</w:t>
      </w:r>
      <w:r>
        <w:rPr>
          <w:rFonts w:ascii="Times New Roman"/>
        </w:rPr>
        <w:t>统一标准</w:t>
      </w:r>
    </w:p>
    <w:p>
      <w:pPr>
        <w:pStyle w:val="60"/>
        <w:ind w:firstLine="420"/>
        <w:rPr>
          <w:rFonts w:ascii="Times New Roman"/>
        </w:rPr>
      </w:pPr>
      <w:r>
        <w:rPr>
          <w:rFonts w:ascii="Times New Roman"/>
        </w:rPr>
        <w:t>SL 323  实时雨水情数据库表结构与标识符</w:t>
      </w:r>
    </w:p>
    <w:p>
      <w:pPr>
        <w:pStyle w:val="60"/>
        <w:ind w:firstLine="420"/>
        <w:rPr>
          <w:rFonts w:ascii="Times New Roman"/>
        </w:rPr>
      </w:pPr>
      <w:r>
        <w:rPr>
          <w:rFonts w:ascii="Times New Roman"/>
        </w:rPr>
        <w:t xml:space="preserve">SL/T 701  </w:t>
      </w:r>
      <w:r>
        <w:rPr>
          <w:rFonts w:hint="eastAsia" w:ascii="Times New Roman"/>
        </w:rPr>
        <w:t>水利信息分类与编码总则</w:t>
      </w:r>
    </w:p>
    <w:p>
      <w:pPr>
        <w:pStyle w:val="60"/>
        <w:ind w:firstLine="420"/>
        <w:rPr>
          <w:rFonts w:ascii="Times New Roman"/>
        </w:rPr>
      </w:pPr>
      <w:r>
        <w:rPr>
          <w:rFonts w:ascii="Times New Roman"/>
        </w:rPr>
        <w:t>SL/T 797  水利空间数据交换协议</w:t>
      </w:r>
    </w:p>
    <w:p>
      <w:pPr>
        <w:pStyle w:val="60"/>
        <w:ind w:firstLine="420"/>
        <w:rPr>
          <w:rFonts w:ascii="Times New Roman"/>
        </w:rPr>
      </w:pPr>
      <w:r>
        <w:rPr>
          <w:rFonts w:ascii="Times New Roman"/>
        </w:rPr>
        <w:t>SL/T 803  水利网络安全保护技术规范</w:t>
      </w:r>
    </w:p>
    <w:p>
      <w:pPr>
        <w:pStyle w:val="60"/>
        <w:ind w:firstLine="420"/>
        <w:rPr>
          <w:rFonts w:ascii="Times New Roman"/>
        </w:rPr>
      </w:pPr>
      <w:r>
        <w:rPr>
          <w:rFonts w:ascii="Times New Roman"/>
        </w:rPr>
        <w:t>SL/T 809  水利对象基础数据库表结构及标识符</w:t>
      </w:r>
    </w:p>
    <w:p>
      <w:pPr>
        <w:pStyle w:val="60"/>
        <w:ind w:firstLine="420"/>
        <w:rPr>
          <w:rFonts w:ascii="Times New Roman"/>
        </w:rPr>
      </w:pPr>
      <w:r>
        <w:rPr>
          <w:rFonts w:ascii="Times New Roman"/>
        </w:rPr>
        <w:t xml:space="preserve">DB32/T 3841  </w:t>
      </w:r>
      <w:r>
        <w:rPr>
          <w:rFonts w:hint="eastAsia" w:ascii="Times New Roman"/>
        </w:rPr>
        <w:t>水利工程建筑信息模型设计规范</w:t>
      </w:r>
    </w:p>
    <w:p>
      <w:pPr>
        <w:pStyle w:val="108"/>
        <w:numPr>
          <w:ilvl w:val="0"/>
          <w:numId w:val="0"/>
        </w:numPr>
        <w:spacing w:before="312" w:after="312"/>
        <w:rPr>
          <w:rFonts w:ascii="Times New Roman"/>
        </w:rPr>
      </w:pPr>
      <w:bookmarkStart w:id="26" w:name="_Toc32327"/>
      <w:bookmarkStart w:id="27" w:name="_Toc3786"/>
      <w:r>
        <w:rPr>
          <w:rFonts w:ascii="Times New Roman"/>
          <w:szCs w:val="21"/>
        </w:rPr>
        <w:t>3 术语和定义</w:t>
      </w:r>
      <w:bookmarkEnd w:id="26"/>
      <w:bookmarkEnd w:id="27"/>
    </w:p>
    <w:sdt>
      <w:sdtPr>
        <w:rPr>
          <w:rFonts w:ascii="Times New Roman"/>
        </w:rPr>
        <w:id w:val="-1909835108"/>
        <w:placeholder>
          <w:docPart w:val="DDA01D9EB3F74F93889229080372535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60"/>
            <w:ind w:firstLine="420"/>
            <w:rPr>
              <w:rFonts w:ascii="Times New Roman"/>
            </w:rPr>
          </w:pPr>
          <w:bookmarkStart w:id="28" w:name="_Toc26986532"/>
          <w:bookmarkEnd w:id="28"/>
          <w:r>
            <w:rPr>
              <w:rFonts w:ascii="Times New Roman"/>
            </w:rPr>
            <w:t>下列术语和定义适用于本文件。</w:t>
          </w:r>
        </w:p>
      </w:sdtContent>
    </w:sdt>
    <w:p>
      <w:pPr>
        <w:pStyle w:val="109"/>
        <w:numPr>
          <w:ilvl w:val="0"/>
          <w:numId w:val="0"/>
        </w:numPr>
        <w:spacing w:before="156" w:after="156"/>
        <w:outlineLvl w:val="9"/>
        <w:rPr>
          <w:rFonts w:ascii="Times New Roman"/>
        </w:rPr>
      </w:pPr>
      <w:bookmarkStart w:id="29" w:name="_Toc134695772"/>
      <w:bookmarkEnd w:id="29"/>
      <w:bookmarkStart w:id="30" w:name="_Toc135605986"/>
      <w:bookmarkStart w:id="31" w:name="_Toc15038"/>
      <w:bookmarkStart w:id="32" w:name="_Toc135606122"/>
      <w:bookmarkStart w:id="33" w:name="_Toc8495"/>
      <w:r>
        <w:rPr>
          <w:rFonts w:hint="eastAsia" w:ascii="Times New Roman"/>
        </w:rPr>
        <w:t>3</w:t>
      </w:r>
      <w:r>
        <w:rPr>
          <w:rFonts w:ascii="Times New Roman"/>
        </w:rPr>
        <w:t>.1</w:t>
      </w:r>
      <w:bookmarkEnd w:id="30"/>
      <w:bookmarkEnd w:id="31"/>
      <w:bookmarkEnd w:id="32"/>
      <w:bookmarkStart w:id="34" w:name="_Toc134695773"/>
      <w:bookmarkStart w:id="35" w:name="_Toc135606123"/>
      <w:bookmarkStart w:id="36" w:name="_Toc135605987"/>
      <w:r>
        <w:rPr>
          <w:rFonts w:hint="eastAsia" w:ascii="Times New Roman"/>
        </w:rPr>
        <w:t xml:space="preserve"> </w:t>
      </w:r>
    </w:p>
    <w:p>
      <w:pPr>
        <w:pStyle w:val="109"/>
        <w:numPr>
          <w:ilvl w:val="0"/>
          <w:numId w:val="0"/>
        </w:numPr>
        <w:spacing w:before="0" w:beforeLines="0" w:after="156"/>
        <w:ind w:firstLine="420" w:firstLineChars="200"/>
        <w:outlineLvl w:val="9"/>
        <w:rPr>
          <w:rFonts w:ascii="Times New Roman"/>
        </w:rPr>
      </w:pPr>
      <w:bookmarkStart w:id="37" w:name="_Toc4231"/>
      <w:r>
        <w:rPr>
          <w:rFonts w:ascii="Times New Roman"/>
        </w:rPr>
        <w:t xml:space="preserve">物理水网 </w:t>
      </w:r>
      <w:r>
        <w:rPr>
          <w:rFonts w:hint="eastAsia" w:ascii="Times New Roman"/>
        </w:rPr>
        <w:t>p</w:t>
      </w:r>
      <w:r>
        <w:rPr>
          <w:rFonts w:ascii="Times New Roman"/>
        </w:rPr>
        <w:t xml:space="preserve">hysical </w:t>
      </w:r>
      <w:r>
        <w:rPr>
          <w:rFonts w:hint="eastAsia" w:ascii="Times New Roman"/>
        </w:rPr>
        <w:t>w</w:t>
      </w:r>
      <w:r>
        <w:rPr>
          <w:rFonts w:ascii="Times New Roman"/>
        </w:rPr>
        <w:t xml:space="preserve">ater </w:t>
      </w:r>
      <w:bookmarkEnd w:id="33"/>
      <w:bookmarkEnd w:id="34"/>
      <w:bookmarkEnd w:id="35"/>
      <w:bookmarkEnd w:id="36"/>
      <w:r>
        <w:rPr>
          <w:rFonts w:ascii="Times New Roman"/>
        </w:rPr>
        <w:t>network</w:t>
      </w:r>
      <w:bookmarkEnd w:id="37"/>
    </w:p>
    <w:p>
      <w:pPr>
        <w:pStyle w:val="60"/>
        <w:ind w:firstLine="420"/>
        <w:rPr>
          <w:rFonts w:ascii="Times New Roman"/>
        </w:rPr>
      </w:pPr>
      <w:r>
        <w:rPr>
          <w:rFonts w:ascii="Times New Roman"/>
        </w:rPr>
        <w:t>自然水系及不同时期治水实践过程中形成的水工程体系，以江河湖库、堤防、水闸、泵站等为表现形式的物理实体。</w:t>
      </w:r>
    </w:p>
    <w:p>
      <w:pPr>
        <w:pStyle w:val="109"/>
        <w:numPr>
          <w:ilvl w:val="0"/>
          <w:numId w:val="0"/>
        </w:numPr>
        <w:spacing w:before="156" w:after="156"/>
        <w:outlineLvl w:val="9"/>
        <w:rPr>
          <w:rFonts w:ascii="Times New Roman"/>
        </w:rPr>
      </w:pPr>
      <w:bookmarkStart w:id="38" w:name="_Toc134695774"/>
      <w:bookmarkEnd w:id="38"/>
      <w:bookmarkStart w:id="39" w:name="_Toc3604"/>
      <w:bookmarkStart w:id="40" w:name="_Toc135606124"/>
      <w:bookmarkStart w:id="41" w:name="_Toc135605988"/>
      <w:bookmarkStart w:id="42" w:name="_Toc10702"/>
      <w:r>
        <w:rPr>
          <w:rFonts w:hint="eastAsia" w:ascii="Times New Roman"/>
        </w:rPr>
        <w:t>3</w:t>
      </w:r>
      <w:r>
        <w:rPr>
          <w:rFonts w:ascii="Times New Roman"/>
        </w:rPr>
        <w:t>.2</w:t>
      </w:r>
      <w:bookmarkEnd w:id="39"/>
      <w:bookmarkEnd w:id="40"/>
      <w:bookmarkEnd w:id="41"/>
      <w:bookmarkStart w:id="43" w:name="_Toc134695775"/>
      <w:bookmarkStart w:id="44" w:name="_Toc135606125"/>
      <w:bookmarkStart w:id="45" w:name="_Toc135605989"/>
      <w:r>
        <w:rPr>
          <w:rFonts w:hint="eastAsia" w:ascii="Times New Roman"/>
        </w:rPr>
        <w:t xml:space="preserve"> </w:t>
      </w:r>
    </w:p>
    <w:p>
      <w:pPr>
        <w:pStyle w:val="109"/>
        <w:numPr>
          <w:ilvl w:val="0"/>
          <w:numId w:val="0"/>
        </w:numPr>
        <w:spacing w:before="0" w:beforeLines="0" w:after="156"/>
        <w:ind w:firstLine="420" w:firstLineChars="200"/>
        <w:outlineLvl w:val="9"/>
        <w:rPr>
          <w:rFonts w:ascii="Times New Roman"/>
        </w:rPr>
      </w:pPr>
      <w:bookmarkStart w:id="46" w:name="_Toc30564"/>
      <w:r>
        <w:rPr>
          <w:rFonts w:ascii="Times New Roman"/>
        </w:rPr>
        <w:t xml:space="preserve">数字孪生水网 digital twin water </w:t>
      </w:r>
      <w:bookmarkEnd w:id="42"/>
      <w:bookmarkEnd w:id="43"/>
      <w:bookmarkEnd w:id="44"/>
      <w:bookmarkEnd w:id="45"/>
      <w:r>
        <w:rPr>
          <w:rFonts w:ascii="Times New Roman"/>
        </w:rPr>
        <w:t>network</w:t>
      </w:r>
      <w:bookmarkEnd w:id="46"/>
    </w:p>
    <w:p>
      <w:pPr>
        <w:pStyle w:val="60"/>
        <w:ind w:firstLine="420"/>
        <w:rPr>
          <w:rFonts w:ascii="Times New Roman"/>
        </w:rPr>
      </w:pPr>
      <w:r>
        <w:rPr>
          <w:rFonts w:ascii="Times New Roman"/>
        </w:rPr>
        <w:t>物理水网的时空映射、智能模拟、虚实交互、迭代优化的数字系统。</w:t>
      </w:r>
    </w:p>
    <w:p>
      <w:pPr>
        <w:pStyle w:val="109"/>
        <w:numPr>
          <w:ilvl w:val="0"/>
          <w:numId w:val="0"/>
        </w:numPr>
        <w:spacing w:before="156" w:after="156"/>
        <w:outlineLvl w:val="9"/>
        <w:rPr>
          <w:rFonts w:ascii="Times New Roman"/>
        </w:rPr>
      </w:pPr>
      <w:bookmarkStart w:id="47" w:name="_Toc134695776"/>
      <w:bookmarkEnd w:id="47"/>
      <w:bookmarkStart w:id="48" w:name="_Toc135605990"/>
      <w:bookmarkStart w:id="49" w:name="_Toc135606126"/>
      <w:bookmarkStart w:id="50" w:name="_Toc14714"/>
      <w:bookmarkStart w:id="51" w:name="_Toc24249"/>
      <w:r>
        <w:rPr>
          <w:rFonts w:hint="eastAsia" w:ascii="Times New Roman"/>
        </w:rPr>
        <w:t>3</w:t>
      </w:r>
      <w:r>
        <w:rPr>
          <w:rFonts w:ascii="Times New Roman"/>
        </w:rPr>
        <w:t>.3</w:t>
      </w:r>
      <w:bookmarkEnd w:id="48"/>
      <w:bookmarkEnd w:id="49"/>
      <w:bookmarkEnd w:id="50"/>
      <w:r>
        <w:rPr>
          <w:rFonts w:ascii="Times New Roman"/>
        </w:rPr>
        <w:t xml:space="preserve"> </w:t>
      </w:r>
      <w:bookmarkStart w:id="52" w:name="_Toc135605991"/>
      <w:bookmarkStart w:id="53" w:name="_Toc134695777"/>
      <w:bookmarkStart w:id="54" w:name="_Toc135606127"/>
    </w:p>
    <w:p>
      <w:pPr>
        <w:pStyle w:val="109"/>
        <w:numPr>
          <w:ilvl w:val="0"/>
          <w:numId w:val="0"/>
        </w:numPr>
        <w:spacing w:before="156" w:after="156"/>
        <w:ind w:firstLine="420" w:firstLineChars="200"/>
        <w:outlineLvl w:val="9"/>
        <w:rPr>
          <w:rFonts w:ascii="Times New Roman"/>
        </w:rPr>
      </w:pPr>
      <w:bookmarkStart w:id="55" w:name="_Toc19794"/>
      <w:r>
        <w:rPr>
          <w:rFonts w:ascii="Times New Roman"/>
        </w:rPr>
        <w:t xml:space="preserve">数据底板 data </w:t>
      </w:r>
      <w:bookmarkEnd w:id="51"/>
      <w:bookmarkEnd w:id="52"/>
      <w:bookmarkEnd w:id="53"/>
      <w:bookmarkEnd w:id="54"/>
      <w:r>
        <w:rPr>
          <w:rFonts w:ascii="Times New Roman"/>
        </w:rPr>
        <w:t>base</w:t>
      </w:r>
      <w:bookmarkEnd w:id="55"/>
    </w:p>
    <w:p>
      <w:pPr>
        <w:pStyle w:val="60"/>
        <w:ind w:firstLine="420"/>
        <w:rPr>
          <w:rFonts w:ascii="Times New Roman"/>
        </w:rPr>
      </w:pPr>
      <w:r>
        <w:rPr>
          <w:rFonts w:ascii="Times New Roman"/>
        </w:rPr>
        <w:t>物理水网及所在区域自然地理、社会经济、水利管理活动的</w:t>
      </w:r>
      <w:r>
        <w:rPr>
          <w:rFonts w:hint="eastAsia" w:ascii="Times New Roman"/>
        </w:rPr>
        <w:t>涉水</w:t>
      </w:r>
      <w:r>
        <w:rPr>
          <w:rFonts w:ascii="Times New Roman"/>
        </w:rPr>
        <w:t>信息全要素数字映射。</w:t>
      </w:r>
    </w:p>
    <w:p>
      <w:pPr>
        <w:pStyle w:val="109"/>
        <w:numPr>
          <w:ilvl w:val="0"/>
          <w:numId w:val="0"/>
        </w:numPr>
        <w:spacing w:before="156" w:after="156"/>
        <w:outlineLvl w:val="9"/>
        <w:rPr>
          <w:rFonts w:ascii="Times New Roman"/>
        </w:rPr>
      </w:pPr>
      <w:bookmarkStart w:id="56" w:name="_Toc134695778"/>
      <w:bookmarkEnd w:id="56"/>
      <w:bookmarkStart w:id="57" w:name="_Toc135605992"/>
      <w:bookmarkStart w:id="58" w:name="_Toc18157"/>
      <w:bookmarkStart w:id="59" w:name="_Toc135606128"/>
      <w:bookmarkStart w:id="60" w:name="_Toc26899"/>
      <w:r>
        <w:rPr>
          <w:rFonts w:hint="eastAsia" w:ascii="Times New Roman"/>
        </w:rPr>
        <w:t>3</w:t>
      </w:r>
      <w:r>
        <w:rPr>
          <w:rFonts w:ascii="Times New Roman"/>
        </w:rPr>
        <w:t>.4</w:t>
      </w:r>
      <w:bookmarkEnd w:id="57"/>
      <w:bookmarkEnd w:id="58"/>
      <w:bookmarkEnd w:id="59"/>
      <w:r>
        <w:rPr>
          <w:rFonts w:ascii="Times New Roman"/>
        </w:rPr>
        <w:t xml:space="preserve"> </w:t>
      </w:r>
      <w:bookmarkStart w:id="61" w:name="_Toc135606129"/>
      <w:bookmarkStart w:id="62" w:name="_Toc135605993"/>
      <w:bookmarkStart w:id="63" w:name="_Toc134695779"/>
    </w:p>
    <w:p>
      <w:pPr>
        <w:pStyle w:val="109"/>
        <w:numPr>
          <w:ilvl w:val="0"/>
          <w:numId w:val="0"/>
        </w:numPr>
        <w:spacing w:before="156" w:after="156"/>
        <w:ind w:firstLine="420" w:firstLineChars="200"/>
        <w:outlineLvl w:val="9"/>
        <w:rPr>
          <w:rFonts w:ascii="Times New Roman"/>
        </w:rPr>
      </w:pPr>
      <w:bookmarkStart w:id="64" w:name="_Toc12392"/>
      <w:r>
        <w:rPr>
          <w:rFonts w:ascii="Times New Roman"/>
        </w:rPr>
        <w:t xml:space="preserve">模型平台 model </w:t>
      </w:r>
      <w:bookmarkEnd w:id="60"/>
      <w:bookmarkEnd w:id="61"/>
      <w:bookmarkEnd w:id="62"/>
      <w:bookmarkEnd w:id="63"/>
      <w:r>
        <w:rPr>
          <w:rFonts w:ascii="Times New Roman"/>
        </w:rPr>
        <w:t>platform</w:t>
      </w:r>
      <w:bookmarkEnd w:id="64"/>
    </w:p>
    <w:p>
      <w:pPr>
        <w:pStyle w:val="60"/>
        <w:ind w:firstLine="420"/>
        <w:rPr>
          <w:rFonts w:ascii="Times New Roman"/>
        </w:rPr>
      </w:pPr>
      <w:r>
        <w:rPr>
          <w:rFonts w:ascii="Times New Roman"/>
        </w:rPr>
        <w:t xml:space="preserve">数字孪生水网建设中集成水利专业模型、智能模型、可视化模型等，统一提供定制组装、定向开发、标准服务的核心组件。 </w:t>
      </w:r>
    </w:p>
    <w:p>
      <w:pPr>
        <w:pStyle w:val="109"/>
        <w:numPr>
          <w:ilvl w:val="0"/>
          <w:numId w:val="0"/>
        </w:numPr>
        <w:spacing w:before="156" w:after="156"/>
        <w:outlineLvl w:val="9"/>
        <w:rPr>
          <w:rFonts w:ascii="Times New Roman"/>
        </w:rPr>
      </w:pPr>
      <w:bookmarkStart w:id="65" w:name="_Toc134695780"/>
      <w:bookmarkEnd w:id="65"/>
      <w:bookmarkStart w:id="66" w:name="_Toc135606130"/>
      <w:bookmarkStart w:id="67" w:name="_Toc135605994"/>
      <w:bookmarkStart w:id="68" w:name="_Toc20486"/>
      <w:bookmarkStart w:id="69" w:name="_Toc20065"/>
      <w:r>
        <w:rPr>
          <w:rFonts w:hint="eastAsia" w:ascii="Times New Roman"/>
        </w:rPr>
        <w:t>3</w:t>
      </w:r>
      <w:r>
        <w:rPr>
          <w:rFonts w:ascii="Times New Roman"/>
        </w:rPr>
        <w:t>.5</w:t>
      </w:r>
      <w:bookmarkEnd w:id="66"/>
      <w:bookmarkEnd w:id="67"/>
      <w:bookmarkEnd w:id="68"/>
      <w:r>
        <w:rPr>
          <w:rFonts w:ascii="Times New Roman"/>
        </w:rPr>
        <w:t xml:space="preserve"> </w:t>
      </w:r>
      <w:bookmarkStart w:id="70" w:name="_Toc134695781"/>
      <w:bookmarkStart w:id="71" w:name="_Toc135606131"/>
      <w:bookmarkStart w:id="72" w:name="_Toc135605995"/>
    </w:p>
    <w:p>
      <w:pPr>
        <w:pStyle w:val="109"/>
        <w:numPr>
          <w:ilvl w:val="0"/>
          <w:numId w:val="0"/>
        </w:numPr>
        <w:spacing w:before="156" w:after="156"/>
        <w:ind w:firstLine="420" w:firstLineChars="200"/>
        <w:outlineLvl w:val="9"/>
        <w:rPr>
          <w:rFonts w:ascii="Times New Roman"/>
        </w:rPr>
      </w:pPr>
      <w:bookmarkStart w:id="73" w:name="_Toc45"/>
      <w:r>
        <w:rPr>
          <w:rFonts w:ascii="Times New Roman"/>
        </w:rPr>
        <w:t xml:space="preserve">知识平台 knowledge </w:t>
      </w:r>
      <w:bookmarkEnd w:id="69"/>
      <w:bookmarkEnd w:id="70"/>
      <w:bookmarkEnd w:id="71"/>
      <w:bookmarkEnd w:id="72"/>
      <w:r>
        <w:rPr>
          <w:rFonts w:ascii="Times New Roman"/>
        </w:rPr>
        <w:t>platform</w:t>
      </w:r>
      <w:bookmarkEnd w:id="73"/>
    </w:p>
    <w:p>
      <w:pPr>
        <w:pStyle w:val="60"/>
        <w:ind w:firstLine="420"/>
        <w:rPr>
          <w:rFonts w:ascii="Times New Roman"/>
        </w:rPr>
      </w:pPr>
      <w:r>
        <w:rPr>
          <w:rFonts w:ascii="Times New Roman"/>
        </w:rPr>
        <w:t xml:space="preserve">数字孪生水网建设中集成水利知识库、知识模型和水利知识引擎等，统一提供各类知识服务的核心组件。 </w:t>
      </w:r>
    </w:p>
    <w:p>
      <w:pPr>
        <w:pStyle w:val="109"/>
        <w:numPr>
          <w:ilvl w:val="0"/>
          <w:numId w:val="0"/>
        </w:numPr>
        <w:spacing w:before="156" w:after="156"/>
        <w:outlineLvl w:val="9"/>
        <w:rPr>
          <w:rFonts w:ascii="Times New Roman"/>
        </w:rPr>
      </w:pPr>
      <w:bookmarkStart w:id="74" w:name="_Toc134695782"/>
      <w:bookmarkEnd w:id="74"/>
      <w:bookmarkStart w:id="75" w:name="_Toc6433"/>
      <w:bookmarkStart w:id="76" w:name="_Toc135605996"/>
      <w:bookmarkStart w:id="77" w:name="_Toc135606132"/>
      <w:bookmarkStart w:id="78" w:name="_Toc21078"/>
      <w:r>
        <w:rPr>
          <w:rFonts w:hint="eastAsia" w:ascii="Times New Roman"/>
        </w:rPr>
        <w:t>3</w:t>
      </w:r>
      <w:r>
        <w:rPr>
          <w:rFonts w:ascii="Times New Roman"/>
        </w:rPr>
        <w:t>.6</w:t>
      </w:r>
      <w:bookmarkEnd w:id="75"/>
      <w:bookmarkEnd w:id="76"/>
      <w:bookmarkEnd w:id="77"/>
      <w:bookmarkStart w:id="79" w:name="_Toc134695783"/>
      <w:bookmarkStart w:id="80" w:name="_Toc135605997"/>
      <w:bookmarkStart w:id="81" w:name="_Toc135606133"/>
      <w:r>
        <w:rPr>
          <w:rFonts w:hint="eastAsia" w:ascii="Times New Roman"/>
        </w:rPr>
        <w:t xml:space="preserve"> </w:t>
      </w:r>
    </w:p>
    <w:p>
      <w:pPr>
        <w:pStyle w:val="109"/>
        <w:numPr>
          <w:ilvl w:val="0"/>
          <w:numId w:val="0"/>
        </w:numPr>
        <w:spacing w:before="156" w:after="156"/>
        <w:ind w:firstLine="420" w:firstLineChars="200"/>
        <w:outlineLvl w:val="9"/>
        <w:rPr>
          <w:rFonts w:ascii="Times New Roman"/>
        </w:rPr>
      </w:pPr>
      <w:bookmarkStart w:id="82" w:name="_Toc3775"/>
      <w:r>
        <w:rPr>
          <w:rFonts w:hint="eastAsia" w:ascii="Times New Roman"/>
        </w:rPr>
        <w:t>数字孪生水网平台</w:t>
      </w:r>
      <w:r>
        <w:rPr>
          <w:rFonts w:ascii="Times New Roman"/>
        </w:rPr>
        <w:t xml:space="preserve"> </w:t>
      </w:r>
      <w:bookmarkEnd w:id="78"/>
      <w:bookmarkEnd w:id="79"/>
      <w:bookmarkEnd w:id="80"/>
      <w:bookmarkEnd w:id="81"/>
      <w:bookmarkEnd w:id="82"/>
      <w:r>
        <w:rPr>
          <w:rFonts w:ascii="Times New Roman"/>
        </w:rPr>
        <w:t>digital twin water network platform</w:t>
      </w:r>
    </w:p>
    <w:p>
      <w:pPr>
        <w:pStyle w:val="60"/>
        <w:ind w:firstLine="420"/>
        <w:rPr>
          <w:rFonts w:ascii="Times New Roman"/>
        </w:rPr>
      </w:pPr>
      <w:r>
        <w:rPr>
          <w:rFonts w:ascii="Times New Roman"/>
        </w:rPr>
        <w:t>实现水网数据底板、模型平台、知识平台等数字资产的</w:t>
      </w:r>
      <w:r>
        <w:rPr>
          <w:rFonts w:hint="eastAsia" w:ascii="Times New Roman"/>
        </w:rPr>
        <w:t>融合</w:t>
      </w:r>
      <w:r>
        <w:rPr>
          <w:rFonts w:ascii="Times New Roman"/>
        </w:rPr>
        <w:t>、治理、</w:t>
      </w:r>
      <w:r>
        <w:rPr>
          <w:rFonts w:hint="eastAsia" w:ascii="Times New Roman"/>
        </w:rPr>
        <w:t>挖掘</w:t>
      </w:r>
      <w:r>
        <w:rPr>
          <w:rFonts w:ascii="Times New Roman"/>
        </w:rPr>
        <w:t>和</w:t>
      </w:r>
      <w:r>
        <w:rPr>
          <w:rFonts w:hint="eastAsia" w:ascii="Times New Roman"/>
        </w:rPr>
        <w:t>服务</w:t>
      </w:r>
      <w:r>
        <w:rPr>
          <w:rFonts w:ascii="Times New Roman"/>
        </w:rPr>
        <w:t>的共建共享平台。</w:t>
      </w:r>
    </w:p>
    <w:p>
      <w:pPr>
        <w:pStyle w:val="108"/>
        <w:numPr>
          <w:ilvl w:val="0"/>
          <w:numId w:val="0"/>
        </w:numPr>
        <w:spacing w:before="312" w:after="312"/>
        <w:rPr>
          <w:rFonts w:ascii="Times New Roman"/>
        </w:rPr>
      </w:pPr>
      <w:bookmarkStart w:id="83" w:name="_Toc30312"/>
      <w:r>
        <w:rPr>
          <w:rFonts w:ascii="Times New Roman"/>
        </w:rPr>
        <w:t xml:space="preserve">4 </w:t>
      </w:r>
      <w:r>
        <w:rPr>
          <w:rFonts w:hint="eastAsia" w:ascii="Times New Roman"/>
        </w:rPr>
        <w:t>缩略语</w:t>
      </w:r>
      <w:bookmarkEnd w:id="83"/>
    </w:p>
    <w:p>
      <w:pPr>
        <w:pStyle w:val="60"/>
        <w:ind w:firstLine="420"/>
        <w:rPr>
          <w:rFonts w:ascii="Times New Roman"/>
        </w:rPr>
      </w:pPr>
      <w:r>
        <w:rPr>
          <w:rFonts w:hint="eastAsia" w:ascii="Times New Roman"/>
        </w:rPr>
        <w:t>下列缩略语适用于本文件。</w:t>
      </w:r>
    </w:p>
    <w:p>
      <w:pPr>
        <w:pStyle w:val="60"/>
        <w:ind w:firstLine="420"/>
        <w:rPr>
          <w:rFonts w:ascii="Times New Roman"/>
        </w:rPr>
      </w:pPr>
      <w:r>
        <w:rPr>
          <w:rFonts w:hint="eastAsia" w:ascii="Times New Roman"/>
        </w:rPr>
        <w:t>5G：第五代移动通信技术(5th Generation Mobile Communication Technology)</w:t>
      </w:r>
    </w:p>
    <w:p>
      <w:pPr>
        <w:pStyle w:val="60"/>
        <w:ind w:firstLine="420"/>
        <w:rPr>
          <w:rFonts w:ascii="Times New Roman"/>
        </w:rPr>
      </w:pPr>
      <w:r>
        <w:rPr>
          <w:rFonts w:ascii="Times New Roman"/>
        </w:rPr>
        <w:t>IPv6</w:t>
      </w:r>
      <w:r>
        <w:rPr>
          <w:rFonts w:hint="eastAsia" w:ascii="Times New Roman"/>
        </w:rPr>
        <w:t>：互联网协议第6版（</w:t>
      </w:r>
      <w:r>
        <w:rPr>
          <w:rFonts w:hint="eastAsia" w:ascii="Times New Roman"/>
          <w:color w:val="333333"/>
          <w:shd w:val="clear" w:color="auto" w:fill="FFFFFF"/>
        </w:rPr>
        <w:t>Internet Protocol Version 6</w:t>
      </w:r>
      <w:r>
        <w:rPr>
          <w:rFonts w:hint="eastAsia" w:ascii="Times New Roman"/>
        </w:rPr>
        <w:t>）</w:t>
      </w:r>
    </w:p>
    <w:p>
      <w:pPr>
        <w:pStyle w:val="60"/>
        <w:ind w:firstLine="420"/>
        <w:rPr>
          <w:rFonts w:ascii="Times New Roman"/>
          <w:color w:val="333333"/>
          <w:shd w:val="clear" w:color="auto" w:fill="FFFFFF"/>
        </w:rPr>
      </w:pPr>
      <w:r>
        <w:rPr>
          <w:rFonts w:ascii="Times New Roman"/>
        </w:rPr>
        <w:t>SDN</w:t>
      </w:r>
      <w:r>
        <w:rPr>
          <w:rFonts w:hint="eastAsia" w:ascii="Times New Roman"/>
        </w:rPr>
        <w:t>：</w:t>
      </w:r>
      <w:r>
        <w:rPr>
          <w:rFonts w:hint="eastAsia" w:ascii="Times New Roman"/>
          <w:color w:val="333333"/>
          <w:shd w:val="clear" w:color="auto" w:fill="FFFFFF"/>
        </w:rPr>
        <w:t>软件定义网络（Software Defined Network）</w:t>
      </w:r>
    </w:p>
    <w:p>
      <w:pPr>
        <w:pStyle w:val="60"/>
        <w:ind w:firstLine="420"/>
        <w:rPr>
          <w:rFonts w:ascii="Times New Roman"/>
        </w:rPr>
      </w:pPr>
      <w:r>
        <w:rPr>
          <w:rFonts w:ascii="Times New Roman"/>
          <w:color w:val="333333"/>
          <w:shd w:val="clear" w:color="auto" w:fill="FFFFFF"/>
        </w:rPr>
        <w:t>GIS</w:t>
      </w:r>
      <w:r>
        <w:rPr>
          <w:rFonts w:hint="eastAsia" w:ascii="Times New Roman"/>
        </w:rPr>
        <w:t>：</w:t>
      </w:r>
      <w:r>
        <w:rPr>
          <w:rFonts w:ascii="Times New Roman"/>
          <w:color w:val="333333"/>
          <w:shd w:val="clear" w:color="auto" w:fill="FFFFFF"/>
        </w:rPr>
        <w:t xml:space="preserve"> 地理信息系统</w:t>
      </w:r>
      <w:r>
        <w:rPr>
          <w:rFonts w:hint="eastAsia" w:ascii="Times New Roman"/>
          <w:color w:val="333333"/>
          <w:shd w:val="clear" w:color="auto" w:fill="FFFFFF"/>
        </w:rPr>
        <w:t>（Geographic Information System）</w:t>
      </w:r>
    </w:p>
    <w:p>
      <w:pPr>
        <w:pStyle w:val="108"/>
        <w:numPr>
          <w:ilvl w:val="0"/>
          <w:numId w:val="0"/>
        </w:numPr>
        <w:spacing w:before="312" w:after="312"/>
        <w:rPr>
          <w:rFonts w:ascii="Times New Roman"/>
        </w:rPr>
      </w:pPr>
      <w:bookmarkStart w:id="84" w:name="_Toc2067"/>
      <w:bookmarkStart w:id="85" w:name="_Toc10253"/>
      <w:r>
        <w:rPr>
          <w:rFonts w:hint="eastAsia" w:ascii="Times New Roman"/>
        </w:rPr>
        <w:t>5</w:t>
      </w:r>
      <w:r>
        <w:rPr>
          <w:rFonts w:ascii="Times New Roman"/>
        </w:rPr>
        <w:t xml:space="preserve"> 总体要求</w:t>
      </w:r>
      <w:bookmarkEnd w:id="84"/>
      <w:bookmarkEnd w:id="85"/>
    </w:p>
    <w:p>
      <w:pPr>
        <w:pStyle w:val="60"/>
        <w:ind w:firstLine="0" w:firstLineChars="0"/>
        <w:rPr>
          <w:rFonts w:ascii="Times New Roman"/>
        </w:rPr>
      </w:pPr>
      <w:bookmarkStart w:id="86" w:name="_Toc19090"/>
      <w:bookmarkStart w:id="87" w:name="_Toc134695785"/>
      <w:r>
        <w:rPr>
          <w:rFonts w:hint="eastAsia" w:ascii="Times New Roman"/>
        </w:rPr>
        <w:t>5</w:t>
      </w:r>
      <w:r>
        <w:rPr>
          <w:rFonts w:ascii="Times New Roman"/>
        </w:rPr>
        <w:t xml:space="preserve">.1 </w:t>
      </w:r>
      <w:bookmarkEnd w:id="86"/>
      <w:bookmarkEnd w:id="87"/>
      <w:r>
        <w:rPr>
          <w:rFonts w:hint="eastAsia" w:ascii="Times New Roman"/>
        </w:rPr>
        <w:t>数字孪生水网由信息化基础设施、数据底板、模型平台、知识平台四部分构成，支撑水旱灾害防御、水资源管理与调配等业务应用。总体架构见图</w:t>
      </w:r>
      <w:r>
        <w:rPr>
          <w:rFonts w:ascii="Times New Roman"/>
        </w:rPr>
        <w:t>1</w:t>
      </w:r>
      <w:r>
        <w:rPr>
          <w:rFonts w:hint="eastAsia" w:ascii="Times New Roman"/>
        </w:rPr>
        <w:t>。</w:t>
      </w:r>
    </w:p>
    <w:p>
      <w:pPr>
        <w:pStyle w:val="60"/>
        <w:ind w:firstLine="0" w:firstLineChars="0"/>
        <w:rPr>
          <w:rFonts w:ascii="Times New Roman"/>
        </w:rPr>
      </w:pPr>
      <w:r>
        <w:rPr>
          <w:rFonts w:hint="eastAsia" w:ascii="Times New Roman"/>
        </w:rPr>
        <w:t>5.2</w:t>
      </w:r>
      <w:r>
        <w:rPr>
          <w:rFonts w:ascii="Times New Roman"/>
        </w:rPr>
        <w:t xml:space="preserve"> 数字孪生水网建设</w:t>
      </w:r>
      <w:r>
        <w:rPr>
          <w:rFonts w:hint="eastAsia" w:ascii="Times New Roman"/>
        </w:rPr>
        <w:t>宜以数字孪生水网平台为核心，</w:t>
      </w:r>
      <w:r>
        <w:rPr>
          <w:rFonts w:ascii="Times New Roman"/>
        </w:rPr>
        <w:t>实现数据集成</w:t>
      </w:r>
      <w:r>
        <w:rPr>
          <w:rFonts w:hint="eastAsia" w:ascii="Times New Roman"/>
        </w:rPr>
        <w:t>，</w:t>
      </w:r>
      <w:r>
        <w:rPr>
          <w:rFonts w:ascii="Times New Roman"/>
        </w:rPr>
        <w:t>提供资源共享。</w:t>
      </w:r>
    </w:p>
    <w:p>
      <w:pPr>
        <w:pStyle w:val="60"/>
        <w:ind w:firstLine="0" w:firstLineChars="0"/>
        <w:rPr>
          <w:rFonts w:ascii="Times New Roman"/>
        </w:rPr>
      </w:pPr>
      <w:r>
        <w:rPr>
          <w:rFonts w:hint="eastAsia" w:ascii="Times New Roman"/>
        </w:rPr>
        <w:t>5</w:t>
      </w:r>
      <w:r>
        <w:rPr>
          <w:rFonts w:ascii="Times New Roman"/>
        </w:rPr>
        <w:t>.</w:t>
      </w:r>
      <w:r>
        <w:rPr>
          <w:rFonts w:hint="eastAsia" w:ascii="Times New Roman"/>
        </w:rPr>
        <w:t>3</w:t>
      </w:r>
      <w:r>
        <w:rPr>
          <w:rFonts w:ascii="Times New Roman"/>
        </w:rPr>
        <w:t xml:space="preserve"> 数字孪生水网建设宜优先使用国产技术与软硬件产品，与主流软硬件适配</w:t>
      </w:r>
      <w:r>
        <w:rPr>
          <w:rFonts w:hint="eastAsia" w:ascii="Times New Roman"/>
        </w:rPr>
        <w:t>，迭代优化</w:t>
      </w:r>
      <w:r>
        <w:rPr>
          <w:rFonts w:ascii="Times New Roman"/>
        </w:rPr>
        <w:t>。</w:t>
      </w:r>
    </w:p>
    <w:p>
      <w:pPr>
        <w:pStyle w:val="60"/>
        <w:ind w:firstLine="0" w:firstLineChars="0"/>
        <w:rPr>
          <w:rFonts w:ascii="Times New Roman"/>
        </w:rPr>
      </w:pPr>
      <w:r>
        <w:rPr>
          <w:rFonts w:hint="eastAsia" w:ascii="Times New Roman"/>
        </w:rPr>
        <w:t>5</w:t>
      </w:r>
      <w:r>
        <w:rPr>
          <w:rFonts w:ascii="Times New Roman"/>
        </w:rPr>
        <w:t>.</w:t>
      </w:r>
      <w:r>
        <w:rPr>
          <w:rFonts w:hint="eastAsia" w:ascii="Times New Roman"/>
        </w:rPr>
        <w:t>4</w:t>
      </w:r>
      <w:r>
        <w:rPr>
          <w:rFonts w:ascii="Times New Roman"/>
        </w:rPr>
        <w:t xml:space="preserve"> 数据底板、专业模型、知识库</w:t>
      </w:r>
      <w:r>
        <w:rPr>
          <w:rFonts w:hint="eastAsia" w:ascii="Times New Roman"/>
        </w:rPr>
        <w:t>宜</w:t>
      </w:r>
      <w:r>
        <w:rPr>
          <w:rFonts w:ascii="Times New Roman"/>
        </w:rPr>
        <w:t>建立</w:t>
      </w:r>
      <w:r>
        <w:rPr>
          <w:rFonts w:hint="eastAsia" w:ascii="Times New Roman"/>
        </w:rPr>
        <w:t>动态</w:t>
      </w:r>
      <w:r>
        <w:rPr>
          <w:rFonts w:ascii="Times New Roman"/>
        </w:rPr>
        <w:t>更新机制，</w:t>
      </w:r>
      <w:r>
        <w:rPr>
          <w:rFonts w:hint="eastAsia" w:ascii="Times New Roman"/>
        </w:rPr>
        <w:t>保障物理水网与数字孪生水网的实时映射，宜具备数据回溯功能</w:t>
      </w:r>
      <w:r>
        <w:rPr>
          <w:rFonts w:ascii="Times New Roman"/>
        </w:rPr>
        <w:t>。</w:t>
      </w:r>
    </w:p>
    <w:p>
      <w:pPr>
        <w:pStyle w:val="60"/>
        <w:ind w:firstLine="0" w:firstLineChars="0"/>
        <w:rPr>
          <w:rFonts w:ascii="Times New Roman"/>
        </w:rPr>
      </w:pPr>
      <w:r>
        <w:rPr>
          <w:rFonts w:hint="eastAsia" w:ascii="Times New Roman"/>
        </w:rPr>
        <w:t>5</w:t>
      </w:r>
      <w:r>
        <w:rPr>
          <w:rFonts w:ascii="Times New Roman"/>
        </w:rPr>
        <w:t>.</w:t>
      </w:r>
      <w:r>
        <w:rPr>
          <w:rFonts w:hint="eastAsia" w:ascii="Times New Roman"/>
        </w:rPr>
        <w:t>5</w:t>
      </w:r>
      <w:r>
        <w:rPr>
          <w:rFonts w:ascii="Times New Roman"/>
        </w:rPr>
        <w:t xml:space="preserve"> 模型平台模拟计算、渲染效率</w:t>
      </w:r>
      <w:r>
        <w:rPr>
          <w:rFonts w:hint="eastAsia" w:ascii="Times New Roman"/>
        </w:rPr>
        <w:t>宜</w:t>
      </w:r>
      <w:r>
        <w:rPr>
          <w:rFonts w:ascii="Times New Roman"/>
        </w:rPr>
        <w:t>满足实时辅助决策与流畅运行的需求。</w:t>
      </w:r>
    </w:p>
    <w:p>
      <w:pPr>
        <w:pStyle w:val="60"/>
        <w:ind w:firstLine="0" w:firstLineChars="0"/>
        <w:rPr>
          <w:rFonts w:ascii="Times New Roman"/>
        </w:rPr>
      </w:pPr>
      <w:r>
        <w:rPr>
          <w:rFonts w:hint="eastAsia" w:ascii="Times New Roman"/>
        </w:rPr>
        <w:t>5</w:t>
      </w:r>
      <w:r>
        <w:rPr>
          <w:rFonts w:ascii="Times New Roman"/>
        </w:rPr>
        <w:t>.</w:t>
      </w:r>
      <w:r>
        <w:rPr>
          <w:rFonts w:hint="eastAsia" w:ascii="Times New Roman"/>
        </w:rPr>
        <w:t>6</w:t>
      </w:r>
      <w:r>
        <w:rPr>
          <w:rFonts w:ascii="Times New Roman"/>
        </w:rPr>
        <w:t xml:space="preserve"> </w:t>
      </w:r>
      <w:r>
        <w:rPr>
          <w:rFonts w:hint="eastAsia" w:ascii="Times New Roman"/>
        </w:rPr>
        <w:t>针对《</w:t>
      </w:r>
      <w:r>
        <w:rPr>
          <w:rFonts w:ascii="Times New Roman"/>
        </w:rPr>
        <w:t>江苏省骨干河道名录</w:t>
      </w:r>
      <w:r>
        <w:rPr>
          <w:rFonts w:hint="eastAsia" w:ascii="Times New Roman"/>
        </w:rPr>
        <w:t>》</w:t>
      </w:r>
      <w:r>
        <w:rPr>
          <w:rFonts w:ascii="Times New Roman"/>
        </w:rPr>
        <w:t>和</w:t>
      </w:r>
      <w:r>
        <w:rPr>
          <w:rFonts w:hint="eastAsia" w:ascii="Times New Roman"/>
        </w:rPr>
        <w:t>《</w:t>
      </w:r>
      <w:r>
        <w:rPr>
          <w:rFonts w:ascii="Times New Roman"/>
        </w:rPr>
        <w:t>江苏省湖泊保护名录</w:t>
      </w:r>
      <w:r>
        <w:rPr>
          <w:rFonts w:hint="eastAsia" w:ascii="Times New Roman"/>
        </w:rPr>
        <w:t>》中的河道、湖泊数据底板建设，其精度可参照水利部数字孪生流域数据底板地理空间数据规范</w:t>
      </w:r>
      <w:r>
        <w:rPr>
          <w:rFonts w:ascii="Times New Roman"/>
        </w:rPr>
        <w:t>，流域性骨干河道</w:t>
      </w:r>
      <w:r>
        <w:rPr>
          <w:rFonts w:hint="eastAsia" w:ascii="Times New Roman"/>
        </w:rPr>
        <w:t>底板建设精度</w:t>
      </w:r>
      <w:r>
        <w:rPr>
          <w:rFonts w:ascii="Times New Roman"/>
        </w:rPr>
        <w:t>宜达到L3级</w:t>
      </w:r>
      <w:r>
        <w:rPr>
          <w:rFonts w:hint="eastAsia" w:ascii="Times New Roman"/>
        </w:rPr>
        <w:t>；</w:t>
      </w:r>
      <w:r>
        <w:rPr>
          <w:rFonts w:ascii="Times New Roman"/>
        </w:rPr>
        <w:t>省管湖泊、区域骨干河道、跨县重要河道、县域重要河道宜达到L2级及以上</w:t>
      </w:r>
      <w:r>
        <w:rPr>
          <w:rFonts w:hint="eastAsia" w:ascii="Times New Roman"/>
        </w:rPr>
        <w:t>；</w:t>
      </w:r>
      <w:r>
        <w:rPr>
          <w:rFonts w:ascii="Times New Roman"/>
        </w:rPr>
        <w:t>其它河道和湖泊宜达到L1级及以上。</w:t>
      </w:r>
    </w:p>
    <w:p>
      <w:pPr>
        <w:pStyle w:val="60"/>
        <w:ind w:firstLine="0" w:firstLineChars="0"/>
        <w:rPr>
          <w:rFonts w:ascii="Times New Roman"/>
        </w:rPr>
      </w:pPr>
      <w:r>
        <w:rPr>
          <w:rFonts w:hint="eastAsia" w:ascii="Times New Roman"/>
        </w:rPr>
        <w:t>5</w:t>
      </w:r>
      <w:r>
        <w:rPr>
          <w:rFonts w:ascii="Times New Roman"/>
        </w:rPr>
        <w:t>.</w:t>
      </w:r>
      <w:r>
        <w:rPr>
          <w:rFonts w:hint="eastAsia" w:ascii="Times New Roman"/>
        </w:rPr>
        <w:t>7</w:t>
      </w:r>
      <w:r>
        <w:rPr>
          <w:rFonts w:ascii="Times New Roman"/>
        </w:rPr>
        <w:t xml:space="preserve"> 水利工程</w:t>
      </w:r>
      <w:r>
        <w:rPr>
          <w:rFonts w:hint="eastAsia" w:ascii="Times New Roman"/>
        </w:rPr>
        <w:t>建筑信息模型精度</w:t>
      </w:r>
      <w:r>
        <w:rPr>
          <w:rFonts w:ascii="Times New Roman"/>
        </w:rPr>
        <w:t>宜达到</w:t>
      </w:r>
      <w:r>
        <w:rPr>
          <w:rFonts w:hint="eastAsia" w:ascii="Times New Roman"/>
        </w:rPr>
        <w:t xml:space="preserve"> </w:t>
      </w:r>
      <w:r>
        <w:rPr>
          <w:rFonts w:ascii="Times New Roman"/>
        </w:rPr>
        <w:t xml:space="preserve">DB32/T 3841 </w:t>
      </w:r>
      <w:r>
        <w:rPr>
          <w:rFonts w:hint="eastAsia" w:ascii="Times New Roman"/>
        </w:rPr>
        <w:t>中</w:t>
      </w:r>
      <w:r>
        <w:rPr>
          <w:rFonts w:ascii="Times New Roman"/>
        </w:rPr>
        <w:t>LOD200</w:t>
      </w:r>
      <w:r>
        <w:rPr>
          <w:rFonts w:hint="eastAsia" w:ascii="Times New Roman"/>
        </w:rPr>
        <w:t>及以上。</w:t>
      </w:r>
    </w:p>
    <w:p>
      <w:pPr>
        <w:pStyle w:val="60"/>
        <w:ind w:firstLine="0" w:firstLineChars="0"/>
        <w:rPr>
          <w:rFonts w:ascii="Times New Roman"/>
        </w:rPr>
      </w:pPr>
      <w:r>
        <w:rPr>
          <w:rFonts w:hint="eastAsia" w:ascii="Times New Roman"/>
        </w:rPr>
        <w:t>5</w:t>
      </w:r>
      <w:r>
        <w:rPr>
          <w:rFonts w:ascii="Times New Roman"/>
        </w:rPr>
        <w:t>.</w:t>
      </w:r>
      <w:r>
        <w:rPr>
          <w:rFonts w:hint="eastAsia" w:ascii="Times New Roman"/>
        </w:rPr>
        <w:t>8</w:t>
      </w:r>
      <w:r>
        <w:rPr>
          <w:rFonts w:ascii="Times New Roman"/>
        </w:rPr>
        <w:t xml:space="preserve"> 空间基准采用2000国家大地坐标系（CGCS2000）</w:t>
      </w:r>
      <w:r>
        <w:rPr>
          <w:rFonts w:hint="eastAsia" w:ascii="Times New Roman"/>
        </w:rPr>
        <w:t>，在全省范围内采用地理坐标；</w:t>
      </w:r>
      <w:r>
        <w:rPr>
          <w:rFonts w:ascii="Times New Roman"/>
        </w:rPr>
        <w:t>高程基准</w:t>
      </w:r>
      <w:r>
        <w:rPr>
          <w:rFonts w:hint="eastAsia" w:ascii="Times New Roman"/>
        </w:rPr>
        <w:t>采</w:t>
      </w:r>
      <w:r>
        <w:rPr>
          <w:rFonts w:ascii="Times New Roman"/>
        </w:rPr>
        <w:t>用1985国家高程基准</w:t>
      </w:r>
      <w:r>
        <w:rPr>
          <w:rFonts w:hint="eastAsia" w:ascii="Times New Roman"/>
        </w:rPr>
        <w:t>，采用其它高程系应注明换算关系</w:t>
      </w:r>
      <w:r>
        <w:rPr>
          <w:rFonts w:ascii="Times New Roman"/>
        </w:rPr>
        <w:t>。</w:t>
      </w:r>
    </w:p>
    <w:p>
      <w:pPr>
        <w:pStyle w:val="60"/>
        <w:ind w:firstLine="0" w:firstLineChars="0"/>
        <w:jc w:val="center"/>
      </w:pPr>
      <w:r>
        <w:drawing>
          <wp:inline distT="0" distB="0" distL="0" distR="0">
            <wp:extent cx="5247005" cy="2623185"/>
            <wp:effectExtent l="0" t="0" r="0" b="5715"/>
            <wp:docPr id="735244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24495"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271339" cy="2635534"/>
                    </a:xfrm>
                    <a:prstGeom prst="rect">
                      <a:avLst/>
                    </a:prstGeom>
                    <a:noFill/>
                  </pic:spPr>
                </pic:pic>
              </a:graphicData>
            </a:graphic>
          </wp:inline>
        </w:drawing>
      </w:r>
    </w:p>
    <w:p>
      <w:pPr>
        <w:pStyle w:val="118"/>
        <w:numPr>
          <w:ilvl w:val="0"/>
          <w:numId w:val="0"/>
        </w:numPr>
        <w:spacing w:before="0" w:beforeLines="0" w:after="0" w:afterLines="0"/>
        <w:rPr>
          <w:rFonts w:ascii="Times New Roman"/>
          <w:sz w:val="18"/>
        </w:rPr>
      </w:pPr>
      <w:r>
        <w:rPr>
          <w:rFonts w:hint="eastAsia" w:ascii="Times New Roman"/>
          <w:sz w:val="18"/>
        </w:rPr>
        <w:t>图1</w:t>
      </w:r>
      <w:r>
        <w:rPr>
          <w:rFonts w:ascii="Times New Roman"/>
          <w:sz w:val="18"/>
        </w:rPr>
        <w:t xml:space="preserve"> 数字孪生水网总体架构</w:t>
      </w:r>
    </w:p>
    <w:p>
      <w:pPr>
        <w:pStyle w:val="108"/>
        <w:numPr>
          <w:ilvl w:val="0"/>
          <w:numId w:val="0"/>
        </w:numPr>
        <w:spacing w:before="312" w:after="312"/>
        <w:rPr>
          <w:rFonts w:ascii="Times New Roman"/>
        </w:rPr>
      </w:pPr>
      <w:bookmarkStart w:id="88" w:name="_Toc24247"/>
      <w:bookmarkStart w:id="89" w:name="_Toc21131"/>
      <w:r>
        <w:rPr>
          <w:rFonts w:hint="eastAsia" w:ascii="Times New Roman"/>
        </w:rPr>
        <w:t>6</w:t>
      </w:r>
      <w:r>
        <w:rPr>
          <w:rFonts w:ascii="Times New Roman"/>
        </w:rPr>
        <w:t xml:space="preserve"> 信息</w:t>
      </w:r>
      <w:r>
        <w:rPr>
          <w:rFonts w:hint="eastAsia" w:ascii="Times New Roman"/>
        </w:rPr>
        <w:t>化</w:t>
      </w:r>
      <w:r>
        <w:rPr>
          <w:rFonts w:ascii="Times New Roman"/>
        </w:rPr>
        <w:t>基础设施</w:t>
      </w:r>
      <w:bookmarkEnd w:id="88"/>
      <w:bookmarkEnd w:id="89"/>
    </w:p>
    <w:p>
      <w:pPr>
        <w:pStyle w:val="109"/>
        <w:numPr>
          <w:ilvl w:val="0"/>
          <w:numId w:val="0"/>
        </w:numPr>
        <w:spacing w:before="156" w:after="156"/>
        <w:rPr>
          <w:rFonts w:ascii="Times New Roman"/>
        </w:rPr>
      </w:pPr>
      <w:bookmarkStart w:id="90" w:name="_Toc134695787"/>
      <w:bookmarkStart w:id="91" w:name="_Toc15137"/>
      <w:bookmarkStart w:id="92" w:name="_Toc10345"/>
      <w:r>
        <w:rPr>
          <w:rFonts w:hint="eastAsia" w:ascii="Times New Roman"/>
        </w:rPr>
        <w:t>6</w:t>
      </w:r>
      <w:r>
        <w:rPr>
          <w:rFonts w:ascii="Times New Roman"/>
        </w:rPr>
        <w:t>.1 水利感知网</w:t>
      </w:r>
      <w:bookmarkEnd w:id="90"/>
      <w:bookmarkEnd w:id="91"/>
      <w:bookmarkEnd w:id="92"/>
    </w:p>
    <w:p>
      <w:pPr>
        <w:pStyle w:val="169"/>
        <w:numPr>
          <w:ilvl w:val="0"/>
          <w:numId w:val="0"/>
        </w:numPr>
        <w:rPr>
          <w:rFonts w:ascii="Times New Roman"/>
        </w:rPr>
      </w:pPr>
      <w:r>
        <w:rPr>
          <w:rFonts w:hint="eastAsia" w:ascii="Times New Roman" w:eastAsia="黑体"/>
        </w:rPr>
        <w:t>6</w:t>
      </w:r>
      <w:r>
        <w:rPr>
          <w:rFonts w:ascii="Times New Roman" w:eastAsia="黑体"/>
        </w:rPr>
        <w:t>.1.1 目标任务</w:t>
      </w:r>
    </w:p>
    <w:p>
      <w:pPr>
        <w:pStyle w:val="60"/>
        <w:ind w:firstLine="420"/>
        <w:rPr>
          <w:rFonts w:ascii="Times New Roman"/>
        </w:rPr>
      </w:pPr>
      <w:r>
        <w:rPr>
          <w:rFonts w:ascii="Times New Roman"/>
        </w:rPr>
        <w:t>以支撑水利业务需求为目标，明确信息采集范围与监测对象，制定感知站网布设原则，确定气象、水文、水质、水生态、工程运行状态与安全等监测要素。</w:t>
      </w:r>
    </w:p>
    <w:p>
      <w:pPr>
        <w:pStyle w:val="169"/>
        <w:numPr>
          <w:ilvl w:val="0"/>
          <w:numId w:val="0"/>
        </w:numPr>
        <w:rPr>
          <w:rFonts w:ascii="Times New Roman" w:eastAsia="黑体"/>
        </w:rPr>
      </w:pPr>
      <w:r>
        <w:rPr>
          <w:rFonts w:hint="eastAsia" w:ascii="Times New Roman" w:eastAsia="黑体"/>
        </w:rPr>
        <w:t>6</w:t>
      </w:r>
      <w:r>
        <w:rPr>
          <w:rFonts w:ascii="Times New Roman" w:eastAsia="黑体"/>
        </w:rPr>
        <w:t>.1.2 监测手段</w:t>
      </w:r>
    </w:p>
    <w:p>
      <w:pPr>
        <w:pStyle w:val="60"/>
        <w:ind w:firstLine="420"/>
      </w:pPr>
      <w:r>
        <w:t>完善传统监测手段，加强卫星遥感、航空遥感、无人机（船）、机器人和视频识别等</w:t>
      </w:r>
      <w:r>
        <w:rPr>
          <w:rFonts w:hint="eastAsia"/>
        </w:rPr>
        <w:t>“</w:t>
      </w:r>
      <w:r>
        <w:t>空-天-地</w:t>
      </w:r>
      <w:r>
        <w:rPr>
          <w:rFonts w:hint="eastAsia"/>
        </w:rPr>
        <w:t>”一体化</w:t>
      </w:r>
      <w:r>
        <w:t>监测手段</w:t>
      </w:r>
      <w:r>
        <w:rPr>
          <w:rFonts w:hint="eastAsia"/>
        </w:rPr>
        <w:t>应</w:t>
      </w:r>
      <w:r>
        <w:t>用，满足水利业务对数据和信息在空间尺度、时间频次、精度等方面的需求；具备突发涉水事件</w:t>
      </w:r>
      <w:r>
        <w:rPr>
          <w:rFonts w:hint="eastAsia"/>
        </w:rPr>
        <w:t>应</w:t>
      </w:r>
      <w:r>
        <w:t>急处置的现场信息感知能力。</w:t>
      </w:r>
    </w:p>
    <w:p>
      <w:pPr>
        <w:pStyle w:val="109"/>
        <w:numPr>
          <w:ilvl w:val="0"/>
          <w:numId w:val="0"/>
        </w:numPr>
        <w:spacing w:before="156" w:after="156"/>
        <w:rPr>
          <w:rFonts w:ascii="Times New Roman"/>
        </w:rPr>
      </w:pPr>
      <w:bookmarkStart w:id="93" w:name="_Toc30598"/>
      <w:bookmarkStart w:id="94" w:name="_Toc134695788"/>
      <w:bookmarkStart w:id="95" w:name="_Toc11247"/>
      <w:r>
        <w:rPr>
          <w:rFonts w:hint="eastAsia" w:ascii="Times New Roman"/>
        </w:rPr>
        <w:t>6</w:t>
      </w:r>
      <w:r>
        <w:rPr>
          <w:rFonts w:ascii="Times New Roman"/>
        </w:rPr>
        <w:t>.2 水利信息网</w:t>
      </w:r>
      <w:bookmarkEnd w:id="93"/>
      <w:bookmarkEnd w:id="94"/>
      <w:bookmarkEnd w:id="95"/>
    </w:p>
    <w:p>
      <w:pPr>
        <w:pStyle w:val="169"/>
        <w:numPr>
          <w:ilvl w:val="0"/>
          <w:numId w:val="0"/>
        </w:numPr>
        <w:spacing w:before="156" w:beforeLines="50" w:after="156" w:afterLines="50"/>
        <w:ind w:left="284"/>
        <w:rPr>
          <w:rFonts w:ascii="Times New Roman"/>
        </w:rPr>
      </w:pPr>
      <w:r>
        <w:rPr>
          <w:rFonts w:hint="eastAsia" w:ascii="Times New Roman"/>
        </w:rPr>
        <w:t>水利信息网宜包括以下内容和要求。</w:t>
      </w:r>
    </w:p>
    <w:p>
      <w:pPr>
        <w:pStyle w:val="136"/>
        <w:numPr>
          <w:ilvl w:val="0"/>
          <w:numId w:val="0"/>
        </w:numPr>
        <w:ind w:left="851" w:hanging="426"/>
        <w:rPr>
          <w:rFonts w:ascii="Times New Roman"/>
        </w:rPr>
      </w:pPr>
      <w:r>
        <w:rPr>
          <w:rFonts w:ascii="Times New Roman"/>
        </w:rPr>
        <w:t>a</w:t>
      </w:r>
      <w:r>
        <w:rPr>
          <w:rFonts w:hint="eastAsia" w:ascii="Times New Roman"/>
        </w:rPr>
        <w:t>）水利工控网、水利业务网和电子政务网。</w:t>
      </w:r>
    </w:p>
    <w:p>
      <w:pPr>
        <w:pStyle w:val="136"/>
        <w:numPr>
          <w:ilvl w:val="0"/>
          <w:numId w:val="0"/>
        </w:numPr>
        <w:ind w:left="851" w:hanging="426"/>
        <w:rPr>
          <w:rFonts w:ascii="Times New Roman"/>
        </w:rPr>
      </w:pPr>
      <w:r>
        <w:rPr>
          <w:rFonts w:ascii="Times New Roman"/>
        </w:rPr>
        <w:t>b</w:t>
      </w:r>
      <w:r>
        <w:rPr>
          <w:rFonts w:hint="eastAsia" w:ascii="Times New Roman"/>
        </w:rPr>
        <w:t>）支持</w:t>
      </w:r>
      <w:r>
        <w:rPr>
          <w:rFonts w:ascii="Times New Roman"/>
        </w:rPr>
        <w:t>5G</w:t>
      </w:r>
      <w:r>
        <w:rPr>
          <w:rFonts w:hint="eastAsia" w:ascii="Times New Roman"/>
        </w:rPr>
        <w:t>及以上、</w:t>
      </w:r>
      <w:r>
        <w:rPr>
          <w:rFonts w:ascii="Times New Roman"/>
        </w:rPr>
        <w:t>IPv6</w:t>
      </w:r>
      <w:r>
        <w:rPr>
          <w:rFonts w:hint="eastAsia" w:ascii="Times New Roman"/>
        </w:rPr>
        <w:t>、物联网等网络技术，支持基于</w:t>
      </w:r>
      <w:r>
        <w:rPr>
          <w:rFonts w:ascii="Times New Roman"/>
        </w:rPr>
        <w:t>SDN</w:t>
      </w:r>
      <w:r>
        <w:rPr>
          <w:rFonts w:hint="eastAsia" w:ascii="Times New Roman"/>
        </w:rPr>
        <w:t>资源动态调配。</w:t>
      </w:r>
    </w:p>
    <w:p>
      <w:pPr>
        <w:pStyle w:val="136"/>
        <w:numPr>
          <w:ilvl w:val="0"/>
          <w:numId w:val="0"/>
        </w:numPr>
        <w:ind w:left="851" w:hanging="426"/>
        <w:rPr>
          <w:rFonts w:ascii="Times New Roman"/>
        </w:rPr>
      </w:pPr>
      <w:r>
        <w:rPr>
          <w:rFonts w:ascii="Times New Roman"/>
        </w:rPr>
        <w:t>c</w:t>
      </w:r>
      <w:r>
        <w:rPr>
          <w:rFonts w:hint="eastAsia" w:ascii="Times New Roman"/>
        </w:rPr>
        <w:t>）水利工控网宜独立组网、物理隔离、数据推送。</w:t>
      </w:r>
    </w:p>
    <w:p>
      <w:pPr>
        <w:pStyle w:val="109"/>
        <w:numPr>
          <w:ilvl w:val="0"/>
          <w:numId w:val="0"/>
        </w:numPr>
        <w:spacing w:before="156" w:after="156"/>
        <w:rPr>
          <w:rFonts w:ascii="Times New Roman"/>
        </w:rPr>
      </w:pPr>
      <w:bookmarkStart w:id="96" w:name="_Toc14556"/>
      <w:bookmarkStart w:id="97" w:name="_Toc25382"/>
      <w:bookmarkStart w:id="98" w:name="_Toc134695789"/>
      <w:r>
        <w:rPr>
          <w:rFonts w:hint="eastAsia" w:ascii="Times New Roman"/>
        </w:rPr>
        <w:t>6</w:t>
      </w:r>
      <w:r>
        <w:rPr>
          <w:rFonts w:ascii="Times New Roman"/>
        </w:rPr>
        <w:t>.3 水利云资源</w:t>
      </w:r>
      <w:bookmarkEnd w:id="96"/>
      <w:bookmarkEnd w:id="97"/>
      <w:bookmarkEnd w:id="98"/>
    </w:p>
    <w:p>
      <w:pPr>
        <w:pStyle w:val="169"/>
        <w:numPr>
          <w:ilvl w:val="0"/>
          <w:numId w:val="0"/>
        </w:numPr>
        <w:spacing w:before="156" w:beforeLines="50" w:after="156" w:afterLines="50"/>
        <w:ind w:left="284"/>
        <w:rPr>
          <w:rFonts w:ascii="Times New Roman"/>
        </w:rPr>
      </w:pPr>
      <w:r>
        <w:rPr>
          <w:rFonts w:hint="eastAsia" w:ascii="Times New Roman"/>
        </w:rPr>
        <w:t>水利云资源宜包括以下内容和要求。</w:t>
      </w:r>
    </w:p>
    <w:p>
      <w:pPr>
        <w:pStyle w:val="136"/>
        <w:numPr>
          <w:ilvl w:val="0"/>
          <w:numId w:val="0"/>
        </w:numPr>
        <w:ind w:left="851" w:hanging="426"/>
      </w:pPr>
      <w:r>
        <w:rPr>
          <w:rFonts w:ascii="Times New Roman"/>
        </w:rPr>
        <w:t>a）</w:t>
      </w:r>
      <w:r>
        <w:t>存储</w:t>
      </w:r>
      <w:r>
        <w:rPr>
          <w:rFonts w:hint="eastAsia"/>
        </w:rPr>
        <w:t>、</w:t>
      </w:r>
      <w:r>
        <w:t>计算</w:t>
      </w:r>
      <w:r>
        <w:rPr>
          <w:rFonts w:hint="eastAsia"/>
        </w:rPr>
        <w:t>、渲染</w:t>
      </w:r>
      <w:r>
        <w:t>、</w:t>
      </w:r>
      <w:r>
        <w:rPr>
          <w:rFonts w:hint="eastAsia"/>
        </w:rPr>
        <w:t>服务等</w:t>
      </w:r>
      <w:r>
        <w:t>功能</w:t>
      </w:r>
      <w:r>
        <w:rPr>
          <w:rFonts w:hint="eastAsia"/>
        </w:rPr>
        <w:t>。</w:t>
      </w:r>
    </w:p>
    <w:p>
      <w:pPr>
        <w:pStyle w:val="136"/>
        <w:numPr>
          <w:ilvl w:val="0"/>
          <w:numId w:val="0"/>
        </w:numPr>
        <w:ind w:left="851" w:hanging="426"/>
      </w:pPr>
      <w:r>
        <w:rPr>
          <w:rFonts w:ascii="Times New Roman"/>
        </w:rPr>
        <w:t>b）</w:t>
      </w:r>
      <w:r>
        <w:rPr>
          <w:rFonts w:hint="eastAsia"/>
        </w:rPr>
        <w:t>可采取集中式和分布式相结合的方式建设。</w:t>
      </w:r>
    </w:p>
    <w:p>
      <w:pPr>
        <w:pStyle w:val="136"/>
        <w:numPr>
          <w:ilvl w:val="0"/>
          <w:numId w:val="0"/>
        </w:numPr>
        <w:ind w:left="425"/>
      </w:pPr>
      <w:r>
        <w:rPr>
          <w:rFonts w:ascii="Times New Roman"/>
        </w:rPr>
        <w:t>c）</w:t>
      </w:r>
      <w:r>
        <w:rPr>
          <w:rFonts w:hint="eastAsia"/>
        </w:rPr>
        <w:t>宜充分考虑多用户并发的高性能渲染资源配置需求。</w:t>
      </w:r>
    </w:p>
    <w:p>
      <w:pPr>
        <w:pStyle w:val="108"/>
        <w:numPr>
          <w:ilvl w:val="0"/>
          <w:numId w:val="0"/>
        </w:numPr>
        <w:spacing w:before="312" w:after="312"/>
        <w:rPr>
          <w:rFonts w:ascii="Times New Roman"/>
        </w:rPr>
      </w:pPr>
      <w:bookmarkStart w:id="99" w:name="_Toc17560"/>
      <w:bookmarkStart w:id="100" w:name="_Toc3839"/>
      <w:r>
        <w:rPr>
          <w:rFonts w:hint="eastAsia" w:ascii="Times New Roman"/>
        </w:rPr>
        <w:t>7</w:t>
      </w:r>
      <w:r>
        <w:rPr>
          <w:rFonts w:ascii="Times New Roman"/>
        </w:rPr>
        <w:t xml:space="preserve"> 数据底板</w:t>
      </w:r>
      <w:bookmarkEnd w:id="99"/>
      <w:bookmarkEnd w:id="100"/>
    </w:p>
    <w:p>
      <w:pPr>
        <w:pStyle w:val="109"/>
        <w:numPr>
          <w:ilvl w:val="0"/>
          <w:numId w:val="0"/>
        </w:numPr>
        <w:spacing w:before="156" w:after="156"/>
        <w:rPr>
          <w:rFonts w:ascii="Times New Roman"/>
        </w:rPr>
      </w:pPr>
      <w:bookmarkStart w:id="101" w:name="_Toc1302"/>
      <w:bookmarkStart w:id="102" w:name="_Toc26031"/>
      <w:bookmarkStart w:id="103" w:name="_Toc134695791"/>
      <w:r>
        <w:rPr>
          <w:rFonts w:hint="eastAsia" w:ascii="Times New Roman"/>
        </w:rPr>
        <w:t>7</w:t>
      </w:r>
      <w:r>
        <w:rPr>
          <w:rFonts w:ascii="Times New Roman"/>
        </w:rPr>
        <w:t>.1 数据资源</w:t>
      </w:r>
      <w:bookmarkEnd w:id="101"/>
      <w:bookmarkEnd w:id="102"/>
      <w:bookmarkEnd w:id="103"/>
    </w:p>
    <w:p>
      <w:pPr>
        <w:pStyle w:val="69"/>
        <w:numPr>
          <w:ilvl w:val="0"/>
          <w:numId w:val="0"/>
        </w:numPr>
        <w:spacing w:before="156" w:after="156"/>
        <w:rPr>
          <w:rFonts w:ascii="Times New Roman"/>
          <w:b/>
          <w:bCs/>
        </w:rPr>
      </w:pPr>
      <w:r>
        <w:rPr>
          <w:rFonts w:hint="eastAsia" w:ascii="Times New Roman"/>
        </w:rPr>
        <w:t>7</w:t>
      </w:r>
      <w:r>
        <w:rPr>
          <w:rFonts w:ascii="Times New Roman"/>
        </w:rPr>
        <w:t>.1.1 基础数据</w:t>
      </w:r>
    </w:p>
    <w:p>
      <w:pPr>
        <w:pStyle w:val="169"/>
        <w:numPr>
          <w:ilvl w:val="0"/>
          <w:numId w:val="0"/>
        </w:numPr>
        <w:spacing w:before="156" w:beforeLines="50" w:after="156" w:afterLines="50"/>
        <w:ind w:left="284"/>
        <w:rPr>
          <w:rFonts w:ascii="Times New Roman"/>
        </w:rPr>
      </w:pPr>
      <w:r>
        <w:rPr>
          <w:rFonts w:ascii="Times New Roman"/>
        </w:rPr>
        <w:t>基础信息包括以下对象</w:t>
      </w:r>
      <w:r>
        <w:rPr>
          <w:rFonts w:hint="eastAsia" w:ascii="Times New Roman"/>
        </w:rPr>
        <w:t>。</w:t>
      </w:r>
    </w:p>
    <w:p>
      <w:pPr>
        <w:pStyle w:val="178"/>
        <w:numPr>
          <w:ilvl w:val="0"/>
          <w:numId w:val="0"/>
        </w:numPr>
        <w:ind w:left="851" w:hanging="426"/>
        <w:rPr>
          <w:rFonts w:ascii="Times New Roman"/>
        </w:rPr>
      </w:pPr>
      <w:r>
        <w:rPr>
          <w:rFonts w:hint="eastAsia" w:ascii="Times New Roman"/>
        </w:rPr>
        <w:t>a）</w:t>
      </w:r>
      <w:r>
        <w:rPr>
          <w:rFonts w:ascii="Times New Roman"/>
        </w:rPr>
        <w:t>江、河、湖等河网水系及水域空间</w:t>
      </w:r>
      <w:r>
        <w:rPr>
          <w:rFonts w:hint="eastAsia" w:ascii="Times New Roman"/>
        </w:rPr>
        <w:t>。</w:t>
      </w:r>
    </w:p>
    <w:p>
      <w:pPr>
        <w:pStyle w:val="178"/>
        <w:numPr>
          <w:ilvl w:val="0"/>
          <w:numId w:val="0"/>
        </w:numPr>
        <w:ind w:left="851" w:hanging="426"/>
        <w:rPr>
          <w:rFonts w:ascii="Times New Roman"/>
        </w:rPr>
      </w:pPr>
      <w:r>
        <w:rPr>
          <w:rFonts w:ascii="Times New Roman"/>
        </w:rPr>
        <w:t>b</w:t>
      </w:r>
      <w:r>
        <w:rPr>
          <w:rFonts w:hint="eastAsia" w:ascii="Times New Roman"/>
        </w:rPr>
        <w:t>）水库、</w:t>
      </w:r>
      <w:r>
        <w:rPr>
          <w:rFonts w:ascii="Times New Roman"/>
        </w:rPr>
        <w:t>闸、泵、堰、涵洞、堤防、圩区、蓄滞洪区等水利工程</w:t>
      </w:r>
      <w:r>
        <w:rPr>
          <w:rFonts w:hint="eastAsia" w:ascii="Times New Roman"/>
        </w:rPr>
        <w:t>。</w:t>
      </w:r>
    </w:p>
    <w:p>
      <w:pPr>
        <w:pStyle w:val="178"/>
        <w:numPr>
          <w:ilvl w:val="0"/>
          <w:numId w:val="0"/>
        </w:numPr>
        <w:ind w:left="851" w:hanging="426"/>
        <w:rPr>
          <w:rFonts w:ascii="Times New Roman"/>
        </w:rPr>
      </w:pPr>
      <w:r>
        <w:rPr>
          <w:rFonts w:hint="eastAsia" w:ascii="Times New Roman"/>
        </w:rPr>
        <w:t>c）</w:t>
      </w:r>
      <w:r>
        <w:rPr>
          <w:rFonts w:ascii="Times New Roman"/>
        </w:rPr>
        <w:t>供水、排水等管网工程</w:t>
      </w:r>
      <w:r>
        <w:rPr>
          <w:rFonts w:hint="eastAsia" w:ascii="Times New Roman"/>
        </w:rPr>
        <w:t>。</w:t>
      </w:r>
    </w:p>
    <w:p>
      <w:pPr>
        <w:pStyle w:val="178"/>
        <w:numPr>
          <w:ilvl w:val="0"/>
          <w:numId w:val="0"/>
        </w:numPr>
        <w:ind w:left="851" w:hanging="426"/>
        <w:rPr>
          <w:rFonts w:ascii="Times New Roman"/>
        </w:rPr>
      </w:pPr>
      <w:r>
        <w:rPr>
          <w:rFonts w:hint="eastAsia" w:ascii="Times New Roman"/>
        </w:rPr>
        <w:t>d）</w:t>
      </w:r>
      <w:r>
        <w:rPr>
          <w:rFonts w:ascii="Times New Roman"/>
        </w:rPr>
        <w:t>雨情、水情、工情、水质、水资源、水生态、视频监控等水利监测站网。</w:t>
      </w:r>
    </w:p>
    <w:p>
      <w:pPr>
        <w:pStyle w:val="69"/>
        <w:numPr>
          <w:ilvl w:val="0"/>
          <w:numId w:val="0"/>
        </w:numPr>
        <w:spacing w:before="156" w:after="156"/>
        <w:rPr>
          <w:rFonts w:ascii="Times New Roman"/>
        </w:rPr>
      </w:pPr>
      <w:r>
        <w:rPr>
          <w:rFonts w:hint="eastAsia" w:ascii="Times New Roman"/>
        </w:rPr>
        <w:t>7</w:t>
      </w:r>
      <w:r>
        <w:rPr>
          <w:rFonts w:ascii="Times New Roman"/>
        </w:rPr>
        <w:t>.1.2 监测数据</w:t>
      </w:r>
    </w:p>
    <w:p>
      <w:pPr>
        <w:pStyle w:val="60"/>
        <w:ind w:firstLine="420"/>
        <w:rPr>
          <w:rFonts w:ascii="Times New Roman"/>
        </w:rPr>
      </w:pPr>
      <w:r>
        <w:rPr>
          <w:rFonts w:hint="eastAsia" w:ascii="Times New Roman"/>
        </w:rPr>
        <w:t>主要包括</w:t>
      </w:r>
      <w:r>
        <w:t>雨情、水情、工情、水质、取用水、泥沙、地下水、墒情、河势、积淹、灾情、水利工程安全监测、视频、舆情等感知数据。</w:t>
      </w:r>
      <w:r>
        <w:rPr>
          <w:rFonts w:ascii="Times New Roman"/>
        </w:rPr>
        <w:t xml:space="preserve"> </w:t>
      </w:r>
    </w:p>
    <w:p>
      <w:pPr>
        <w:pStyle w:val="69"/>
        <w:numPr>
          <w:ilvl w:val="0"/>
          <w:numId w:val="0"/>
        </w:numPr>
        <w:spacing w:before="156" w:after="156"/>
        <w:rPr>
          <w:rFonts w:ascii="Times New Roman"/>
        </w:rPr>
      </w:pPr>
      <w:r>
        <w:rPr>
          <w:rFonts w:hint="eastAsia" w:ascii="Times New Roman"/>
        </w:rPr>
        <w:t>7</w:t>
      </w:r>
      <w:r>
        <w:rPr>
          <w:rFonts w:ascii="Times New Roman"/>
        </w:rPr>
        <w:t>.1.3 业务管理数据</w:t>
      </w:r>
    </w:p>
    <w:p>
      <w:pPr>
        <w:pStyle w:val="60"/>
        <w:ind w:firstLine="420"/>
      </w:pPr>
      <w:r>
        <w:rPr>
          <w:rFonts w:hint="eastAsia"/>
        </w:rPr>
        <w:t>主要指“</w:t>
      </w:r>
      <w:r>
        <w:rPr>
          <w:rFonts w:ascii="Times New Roman"/>
        </w:rPr>
        <w:t>2+N</w:t>
      </w:r>
      <w:r>
        <w:rPr>
          <w:rFonts w:hint="eastAsia"/>
        </w:rPr>
        <w:t>”</w:t>
      </w:r>
      <w:r>
        <w:t>水利治理管理活动中产生的数据，其中</w:t>
      </w:r>
      <w:r>
        <w:rPr>
          <w:rFonts w:hint="eastAsia"/>
        </w:rPr>
        <w:t>“</w:t>
      </w:r>
      <w:r>
        <w:rPr>
          <w:rFonts w:ascii="Times New Roman"/>
        </w:rPr>
        <w:t>2</w:t>
      </w:r>
      <w:r>
        <w:rPr>
          <w:rFonts w:hint="eastAsia"/>
        </w:rPr>
        <w:t>”</w:t>
      </w:r>
      <w:r>
        <w:t>指水旱灾害防御、水资源管理与调配业务，</w:t>
      </w:r>
      <w:r>
        <w:rPr>
          <w:rFonts w:hint="eastAsia"/>
        </w:rPr>
        <w:t>“</w:t>
      </w:r>
      <w:r>
        <w:rPr>
          <w:rFonts w:ascii="Times New Roman"/>
        </w:rPr>
        <w:t>N</w:t>
      </w:r>
      <w:r>
        <w:rPr>
          <w:rFonts w:hint="eastAsia"/>
        </w:rPr>
        <w:t>”</w:t>
      </w:r>
      <w:r>
        <w:t>指生态河湖监管、水利工程建设与运行管理、水土保持、农村水利水电、节水管理与服务、水行政执法、水利监督、水文管理、水利行政、水利公共服务等其他业务。</w:t>
      </w:r>
    </w:p>
    <w:p>
      <w:pPr>
        <w:pStyle w:val="69"/>
        <w:numPr>
          <w:ilvl w:val="0"/>
          <w:numId w:val="0"/>
        </w:numPr>
        <w:spacing w:before="156" w:after="156"/>
        <w:rPr>
          <w:rFonts w:ascii="Times New Roman"/>
        </w:rPr>
      </w:pPr>
      <w:r>
        <w:rPr>
          <w:rFonts w:hint="eastAsia" w:ascii="Times New Roman"/>
        </w:rPr>
        <w:t>7</w:t>
      </w:r>
      <w:r>
        <w:rPr>
          <w:rFonts w:ascii="Times New Roman"/>
        </w:rPr>
        <w:t>.1.4 跨行业共享数据</w:t>
      </w:r>
    </w:p>
    <w:p>
      <w:pPr>
        <w:pStyle w:val="60"/>
        <w:ind w:firstLine="420"/>
      </w:pPr>
      <w:r>
        <w:t>主要</w:t>
      </w:r>
      <w:r>
        <w:rPr>
          <w:rFonts w:hint="eastAsia"/>
        </w:rPr>
        <w:t>包括公安、自然资源、生态环境、住建、交通、农业农村、气象、大数据管理</w:t>
      </w:r>
      <w:r>
        <w:t>和统计等部门的跨行业数据。</w:t>
      </w:r>
    </w:p>
    <w:p>
      <w:pPr>
        <w:pStyle w:val="69"/>
        <w:numPr>
          <w:ilvl w:val="0"/>
          <w:numId w:val="0"/>
        </w:numPr>
        <w:spacing w:before="156" w:after="156"/>
        <w:rPr>
          <w:rFonts w:ascii="Times New Roman"/>
        </w:rPr>
      </w:pPr>
      <w:r>
        <w:rPr>
          <w:rFonts w:hint="eastAsia" w:ascii="Times New Roman"/>
        </w:rPr>
        <w:t>7</w:t>
      </w:r>
      <w:r>
        <w:rPr>
          <w:rFonts w:ascii="Times New Roman"/>
        </w:rPr>
        <w:t>.1.5 地理空间数据</w:t>
      </w:r>
    </w:p>
    <w:p>
      <w:pPr>
        <w:pStyle w:val="60"/>
        <w:ind w:firstLine="420"/>
        <w:rPr>
          <w:rFonts w:ascii="Times New Roman"/>
        </w:rPr>
      </w:pPr>
      <w:r>
        <w:rPr>
          <w:rFonts w:hint="eastAsia"/>
        </w:rPr>
        <w:t>面向数字孪生水网业务的</w:t>
      </w:r>
      <w:r>
        <w:t>数字正射影像图、数字高程模型、数字线划图、数字表面模型、</w:t>
      </w:r>
      <w:r>
        <w:rPr>
          <w:rFonts w:hint="eastAsia"/>
        </w:rPr>
        <w:t>实景三维、地理实体、倾斜摄影、</w:t>
      </w:r>
      <w:r>
        <w:t>激光点云、水下地形、城市信息模型、水利构筑物建筑信息模型等数据。</w:t>
      </w:r>
    </w:p>
    <w:p>
      <w:pPr>
        <w:pStyle w:val="109"/>
        <w:numPr>
          <w:ilvl w:val="0"/>
          <w:numId w:val="0"/>
        </w:numPr>
        <w:spacing w:before="156" w:after="156"/>
        <w:rPr>
          <w:rFonts w:ascii="Times New Roman"/>
        </w:rPr>
      </w:pPr>
      <w:bookmarkStart w:id="104" w:name="_Toc25113"/>
      <w:bookmarkStart w:id="105" w:name="_Toc134695792"/>
      <w:bookmarkStart w:id="106" w:name="_Toc9341"/>
      <w:r>
        <w:rPr>
          <w:rFonts w:hint="eastAsia" w:ascii="Times New Roman"/>
        </w:rPr>
        <w:t>7</w:t>
      </w:r>
      <w:r>
        <w:rPr>
          <w:rFonts w:ascii="Times New Roman"/>
        </w:rPr>
        <w:t>.2 数据获取</w:t>
      </w:r>
      <w:bookmarkEnd w:id="104"/>
      <w:bookmarkEnd w:id="105"/>
      <w:bookmarkEnd w:id="106"/>
    </w:p>
    <w:p>
      <w:pPr>
        <w:pStyle w:val="169"/>
        <w:numPr>
          <w:ilvl w:val="0"/>
          <w:numId w:val="0"/>
        </w:numPr>
        <w:spacing w:before="156" w:beforeLines="50" w:after="156" w:afterLines="50"/>
        <w:ind w:left="284"/>
        <w:rPr>
          <w:rFonts w:ascii="Times New Roman"/>
        </w:rPr>
      </w:pPr>
      <w:r>
        <w:rPr>
          <w:rFonts w:hint="eastAsia" w:ascii="Times New Roman"/>
        </w:rPr>
        <w:t>宜从以下几种方式中获取数据。</w:t>
      </w:r>
    </w:p>
    <w:p>
      <w:pPr>
        <w:pStyle w:val="136"/>
        <w:numPr>
          <w:ilvl w:val="0"/>
          <w:numId w:val="0"/>
        </w:numPr>
        <w:ind w:firstLine="420" w:firstLineChars="200"/>
        <w:rPr>
          <w:rFonts w:ascii="Times New Roman"/>
        </w:rPr>
      </w:pPr>
      <w:r>
        <w:rPr>
          <w:rFonts w:hint="eastAsia" w:ascii="Times New Roman"/>
        </w:rPr>
        <w:t>a）</w:t>
      </w:r>
      <w:r>
        <w:rPr>
          <w:rFonts w:hint="eastAsia"/>
        </w:rPr>
        <w:t>L1级数据底板共享江苏省级基础测绘数据，</w:t>
      </w:r>
      <w:r>
        <w:rPr>
          <w:rFonts w:ascii="Times New Roman"/>
        </w:rPr>
        <w:t>遵循SL/T 797</w:t>
      </w:r>
      <w:r>
        <w:rPr>
          <w:rFonts w:hint="eastAsia"/>
        </w:rPr>
        <w:t>利用江苏省水利地理信息服务平台数据、洪水风险图、自然灾害综合风险普查等数据资源进行定期更新，重点补充地理空间数据。</w:t>
      </w:r>
    </w:p>
    <w:p>
      <w:pPr>
        <w:pStyle w:val="136"/>
        <w:numPr>
          <w:ilvl w:val="0"/>
          <w:numId w:val="0"/>
        </w:numPr>
        <w:ind w:firstLine="420" w:firstLineChars="200"/>
        <w:rPr>
          <w:rFonts w:ascii="Times New Roman"/>
        </w:rPr>
      </w:pPr>
      <w:r>
        <w:rPr>
          <w:rFonts w:ascii="Times New Roman"/>
        </w:rPr>
        <w:t>b</w:t>
      </w:r>
      <w:r>
        <w:rPr>
          <w:rFonts w:hint="eastAsia" w:ascii="Times New Roman"/>
        </w:rPr>
        <w:t>）</w:t>
      </w:r>
      <w:r>
        <w:t>基础数据主要依据水利普查、水旱灾害风险普查成果或通过</w:t>
      </w:r>
      <w:r>
        <w:rPr>
          <w:rFonts w:hint="eastAsia"/>
        </w:rPr>
        <w:t>调查与测量</w:t>
      </w:r>
      <w:r>
        <w:t>方式获取</w:t>
      </w:r>
      <w:r>
        <w:rPr>
          <w:rFonts w:hint="eastAsia"/>
        </w:rPr>
        <w:t>。</w:t>
      </w:r>
    </w:p>
    <w:p>
      <w:pPr>
        <w:pStyle w:val="136"/>
        <w:numPr>
          <w:ilvl w:val="0"/>
          <w:numId w:val="0"/>
        </w:numPr>
        <w:ind w:firstLine="420" w:firstLineChars="200"/>
        <w:rPr>
          <w:rFonts w:ascii="Times New Roman"/>
          <w:kern w:val="2"/>
        </w:rPr>
      </w:pPr>
      <w:r>
        <w:rPr>
          <w:rFonts w:hint="eastAsia" w:ascii="Times New Roman"/>
        </w:rPr>
        <w:t>c）</w:t>
      </w:r>
      <w:r>
        <w:t>监测数据主要通过对接</w:t>
      </w:r>
      <w:r>
        <w:rPr>
          <w:rFonts w:hint="eastAsia"/>
        </w:rPr>
        <w:t>纵向</w:t>
      </w:r>
      <w:r>
        <w:t>水利部门水</w:t>
      </w:r>
      <w:r>
        <w:rPr>
          <w:rFonts w:ascii="Times New Roman"/>
        </w:rPr>
        <w:t>雨情（SL 323）、水</w:t>
      </w:r>
      <w:r>
        <w:t>质、工情、水资源等数据库及视频平台获取，</w:t>
      </w:r>
      <w:r>
        <w:rPr>
          <w:rFonts w:hint="eastAsia"/>
        </w:rPr>
        <w:t>共享横向局委办数据，</w:t>
      </w:r>
      <w:r>
        <w:t>并进行必要的补充建设</w:t>
      </w:r>
      <w:r>
        <w:rPr>
          <w:rFonts w:hint="eastAsia"/>
        </w:rPr>
        <w:t>。</w:t>
      </w:r>
    </w:p>
    <w:p>
      <w:pPr>
        <w:pStyle w:val="136"/>
        <w:numPr>
          <w:ilvl w:val="0"/>
          <w:numId w:val="0"/>
        </w:numPr>
        <w:ind w:firstLine="420" w:firstLineChars="200"/>
        <w:rPr>
          <w:rFonts w:ascii="Times New Roman"/>
        </w:rPr>
      </w:pPr>
      <w:r>
        <w:rPr>
          <w:rFonts w:hint="eastAsia" w:ascii="Times New Roman"/>
        </w:rPr>
        <w:t>d）</w:t>
      </w:r>
      <w:r>
        <w:t>业务管理数据通过</w:t>
      </w:r>
      <w:r>
        <w:rPr>
          <w:rFonts w:hint="eastAsia"/>
        </w:rPr>
        <w:t>整理对接行业日常管理过程中和业务系统运行过程中产生的数据</w:t>
      </w:r>
      <w:r>
        <w:t>获取</w:t>
      </w:r>
      <w:r>
        <w:rPr>
          <w:rFonts w:hint="eastAsia"/>
        </w:rPr>
        <w:t>。</w:t>
      </w:r>
    </w:p>
    <w:p>
      <w:pPr>
        <w:pStyle w:val="136"/>
        <w:numPr>
          <w:ilvl w:val="0"/>
          <w:numId w:val="0"/>
        </w:numPr>
        <w:ind w:firstLine="420" w:firstLineChars="200"/>
        <w:rPr>
          <w:rFonts w:ascii="Times New Roman"/>
        </w:rPr>
      </w:pPr>
      <w:r>
        <w:rPr>
          <w:rFonts w:ascii="Times New Roman"/>
        </w:rPr>
        <w:t>e</w:t>
      </w:r>
      <w:r>
        <w:rPr>
          <w:rFonts w:hint="eastAsia" w:ascii="Times New Roman"/>
        </w:rPr>
        <w:t>）</w:t>
      </w:r>
      <w:r>
        <w:t>跨行业共享数据通过政务外网共享获取</w:t>
      </w:r>
      <w:r>
        <w:rPr>
          <w:rFonts w:hint="eastAsia"/>
        </w:rPr>
        <w:t>。</w:t>
      </w:r>
    </w:p>
    <w:p>
      <w:pPr>
        <w:pStyle w:val="136"/>
        <w:numPr>
          <w:ilvl w:val="0"/>
          <w:numId w:val="0"/>
        </w:numPr>
        <w:ind w:firstLine="420" w:firstLineChars="200"/>
        <w:rPr>
          <w:rFonts w:ascii="Times New Roman"/>
        </w:rPr>
      </w:pPr>
      <w:r>
        <w:rPr>
          <w:rFonts w:ascii="Times New Roman"/>
        </w:rPr>
        <w:t>f</w:t>
      </w:r>
      <w:r>
        <w:rPr>
          <w:rFonts w:hint="eastAsia" w:ascii="Times New Roman"/>
        </w:rPr>
        <w:t>）</w:t>
      </w:r>
      <w:r>
        <w:t>地理空间数据通过高分遥感影像解译、无人机倾斜摄影</w:t>
      </w:r>
      <w:r>
        <w:rPr>
          <w:rFonts w:hint="eastAsia"/>
        </w:rPr>
        <w:t>、</w:t>
      </w:r>
      <w:r>
        <w:t>工程设计文件提取等方式获取。</w:t>
      </w:r>
    </w:p>
    <w:p>
      <w:pPr>
        <w:pStyle w:val="109"/>
        <w:numPr>
          <w:ilvl w:val="0"/>
          <w:numId w:val="0"/>
        </w:numPr>
        <w:spacing w:before="156" w:after="156"/>
        <w:rPr>
          <w:rFonts w:ascii="Times New Roman"/>
        </w:rPr>
      </w:pPr>
      <w:bookmarkStart w:id="107" w:name="_Toc16306"/>
      <w:bookmarkStart w:id="108" w:name="_Toc134695793"/>
      <w:bookmarkStart w:id="109" w:name="_Toc32255"/>
      <w:r>
        <w:rPr>
          <w:rFonts w:hint="eastAsia" w:ascii="Times New Roman"/>
        </w:rPr>
        <w:t>7.3</w:t>
      </w:r>
      <w:r>
        <w:rPr>
          <w:rFonts w:ascii="Times New Roman"/>
        </w:rPr>
        <w:t xml:space="preserve"> 数据模型</w:t>
      </w:r>
      <w:bookmarkEnd w:id="107"/>
      <w:bookmarkEnd w:id="108"/>
      <w:bookmarkEnd w:id="109"/>
      <w:r>
        <w:rPr>
          <w:rFonts w:ascii="Times New Roman"/>
        </w:rPr>
        <w:t xml:space="preserve"> </w:t>
      </w:r>
    </w:p>
    <w:p>
      <w:pPr>
        <w:pStyle w:val="69"/>
        <w:numPr>
          <w:ilvl w:val="0"/>
          <w:numId w:val="0"/>
        </w:numPr>
        <w:spacing w:before="156" w:after="156"/>
        <w:rPr>
          <w:rFonts w:ascii="Times New Roman"/>
        </w:rPr>
      </w:pPr>
      <w:r>
        <w:rPr>
          <w:rFonts w:hint="eastAsia" w:ascii="Times New Roman"/>
        </w:rPr>
        <w:t>7.3.1</w:t>
      </w:r>
      <w:r>
        <w:rPr>
          <w:rFonts w:ascii="Times New Roman"/>
        </w:rPr>
        <w:t xml:space="preserve"> 水利数据模型 </w:t>
      </w:r>
    </w:p>
    <w:p>
      <w:pPr>
        <w:pStyle w:val="60"/>
        <w:ind w:firstLine="420"/>
        <w:rPr>
          <w:rFonts w:ascii="Times New Roman" w:cs="Calibri"/>
        </w:rPr>
      </w:pPr>
      <w:r>
        <w:t>遵循</w:t>
      </w:r>
      <w:r>
        <w:rPr>
          <w:rFonts w:hint="eastAsia"/>
        </w:rPr>
        <w:t xml:space="preserve"> </w:t>
      </w:r>
      <w:r>
        <w:rPr>
          <w:rFonts w:ascii="Times New Roman"/>
        </w:rPr>
        <w:t>SL/T 701</w:t>
      </w:r>
      <w:r>
        <w:rPr>
          <w:rFonts w:hint="eastAsia" w:ascii="Times New Roman"/>
        </w:rPr>
        <w:t xml:space="preserve"> </w:t>
      </w:r>
      <w:r>
        <w:t>等水利信息分级分类规范，通过关联分析、聚类分析</w:t>
      </w:r>
      <w:r>
        <w:rPr>
          <w:rFonts w:hint="eastAsia"/>
        </w:rPr>
        <w:t>、回归分析</w:t>
      </w:r>
      <w:r>
        <w:t>等数据挖掘技术，构建空间</w:t>
      </w:r>
      <w:r>
        <w:rPr>
          <w:rFonts w:hint="eastAsia"/>
        </w:rPr>
        <w:t>对象</w:t>
      </w:r>
      <w:r>
        <w:t>、</w:t>
      </w:r>
      <w:r>
        <w:rPr>
          <w:rFonts w:hint="eastAsia"/>
        </w:rPr>
        <w:t>属性、</w:t>
      </w:r>
      <w:r>
        <w:t>关系特征</w:t>
      </w:r>
      <w:r>
        <w:rPr>
          <w:rFonts w:hint="eastAsia"/>
        </w:rPr>
        <w:t>和其它语义</w:t>
      </w:r>
      <w:r>
        <w:t>一体化组织的数据模型，形成描述水利信息全貌的模型体系。</w:t>
      </w:r>
    </w:p>
    <w:p>
      <w:pPr>
        <w:pStyle w:val="69"/>
        <w:numPr>
          <w:ilvl w:val="0"/>
          <w:numId w:val="0"/>
        </w:numPr>
        <w:spacing w:before="156" w:after="156"/>
        <w:rPr>
          <w:rFonts w:ascii="Times New Roman"/>
        </w:rPr>
      </w:pPr>
      <w:r>
        <w:rPr>
          <w:rFonts w:hint="eastAsia" w:ascii="Times New Roman"/>
        </w:rPr>
        <w:t>7.3.2</w:t>
      </w:r>
      <w:r>
        <w:rPr>
          <w:rFonts w:ascii="Times New Roman"/>
        </w:rPr>
        <w:t xml:space="preserve"> 水利网格模型 </w:t>
      </w:r>
    </w:p>
    <w:p>
      <w:pPr>
        <w:pStyle w:val="60"/>
        <w:ind w:firstLine="420"/>
      </w:pPr>
      <w:r>
        <w:t>根据行政区划、自然流域、</w:t>
      </w:r>
      <w:r>
        <w:rPr>
          <w:rFonts w:hint="eastAsia"/>
        </w:rPr>
        <w:t>排水分区、</w:t>
      </w:r>
      <w:r>
        <w:t>水资源</w:t>
      </w:r>
      <w:r>
        <w:rPr>
          <w:rFonts w:hint="eastAsia"/>
        </w:rPr>
        <w:t>分</w:t>
      </w:r>
      <w:r>
        <w:t>区</w:t>
      </w:r>
      <w:r>
        <w:rPr>
          <w:rFonts w:hint="eastAsia"/>
        </w:rPr>
        <w:t>、集水单元、圩区单元、河段</w:t>
      </w:r>
      <w:r>
        <w:t>和数值计算等需求构建网格化管理模型，形成一套多元化、精细化、个性化的水利网格化体系。</w:t>
      </w:r>
    </w:p>
    <w:p>
      <w:pPr>
        <w:pStyle w:val="109"/>
        <w:numPr>
          <w:ilvl w:val="0"/>
          <w:numId w:val="0"/>
        </w:numPr>
        <w:spacing w:before="156" w:after="156"/>
        <w:rPr>
          <w:rFonts w:ascii="Times New Roman"/>
        </w:rPr>
      </w:pPr>
      <w:bookmarkStart w:id="110" w:name="_Toc134695794"/>
      <w:bookmarkStart w:id="111" w:name="_Toc18053"/>
      <w:bookmarkStart w:id="112" w:name="_Toc9806"/>
      <w:r>
        <w:rPr>
          <w:rFonts w:hint="eastAsia" w:ascii="Times New Roman"/>
        </w:rPr>
        <w:t>7.4</w:t>
      </w:r>
      <w:r>
        <w:rPr>
          <w:rFonts w:ascii="Times New Roman"/>
        </w:rPr>
        <w:t xml:space="preserve"> 数据引擎</w:t>
      </w:r>
      <w:bookmarkEnd w:id="110"/>
      <w:bookmarkEnd w:id="111"/>
      <w:bookmarkEnd w:id="112"/>
    </w:p>
    <w:p>
      <w:pPr>
        <w:pStyle w:val="69"/>
        <w:numPr>
          <w:ilvl w:val="0"/>
          <w:numId w:val="0"/>
        </w:numPr>
        <w:spacing w:before="156" w:after="156"/>
        <w:rPr>
          <w:rFonts w:ascii="Times New Roman"/>
          <w:color w:val="000000"/>
        </w:rPr>
      </w:pPr>
      <w:r>
        <w:rPr>
          <w:rFonts w:hint="eastAsia" w:ascii="Times New Roman"/>
          <w:color w:val="000000"/>
        </w:rPr>
        <w:t xml:space="preserve">7.4.1 数据融合 </w:t>
      </w:r>
    </w:p>
    <w:p>
      <w:pPr>
        <w:pStyle w:val="60"/>
        <w:ind w:firstLine="420"/>
        <w:rPr>
          <w:rFonts w:ascii="Times New Roman"/>
          <w:color w:val="000000"/>
        </w:rPr>
      </w:pPr>
      <w:r>
        <w:rPr>
          <w:rFonts w:ascii="Times New Roman"/>
          <w:color w:val="000000"/>
        </w:rPr>
        <w:t>按照 GB/T 36625.3 的要求，对多源异构涉水数据，进行数据清洗、格式与类型转换、数据归一化、数据简化等规范化处理。</w:t>
      </w:r>
    </w:p>
    <w:p>
      <w:pPr>
        <w:pStyle w:val="69"/>
        <w:numPr>
          <w:ilvl w:val="0"/>
          <w:numId w:val="0"/>
        </w:numPr>
        <w:spacing w:before="156" w:after="156"/>
        <w:rPr>
          <w:rFonts w:ascii="Times New Roman"/>
          <w:color w:val="000000"/>
        </w:rPr>
      </w:pPr>
      <w:r>
        <w:rPr>
          <w:rFonts w:hint="eastAsia" w:ascii="Times New Roman"/>
          <w:color w:val="000000"/>
        </w:rPr>
        <w:t xml:space="preserve">7.4.2 数据治理 </w:t>
      </w:r>
    </w:p>
    <w:p>
      <w:pPr>
        <w:pStyle w:val="60"/>
        <w:ind w:firstLine="420"/>
        <w:rPr>
          <w:rFonts w:ascii="Times New Roman"/>
          <w:color w:val="000000"/>
        </w:rPr>
      </w:pPr>
      <w:r>
        <w:rPr>
          <w:rFonts w:ascii="Times New Roman"/>
          <w:color w:val="000000"/>
        </w:rPr>
        <w:t>数据治理结合</w:t>
      </w:r>
      <w:r>
        <w:rPr>
          <w:rFonts w:hint="eastAsia" w:ascii="Times New Roman"/>
          <w:color w:val="000000"/>
        </w:rPr>
        <w:t>应</w:t>
      </w:r>
      <w:r>
        <w:rPr>
          <w:rFonts w:ascii="Times New Roman"/>
          <w:color w:val="000000"/>
        </w:rPr>
        <w:t>用场景，综合考虑模型与底板构建和信息展示的数据需求，采用数据标准、元数据管理、数据质量、数据模型管理、数据标签等方法，</w:t>
      </w:r>
      <w:r>
        <w:rPr>
          <w:rFonts w:hint="eastAsia" w:ascii="Times New Roman"/>
          <w:color w:val="000000"/>
        </w:rPr>
        <w:t>遵照</w:t>
      </w:r>
      <w:r>
        <w:rPr>
          <w:rFonts w:ascii="Times New Roman"/>
          <w:color w:val="000000"/>
        </w:rPr>
        <w:t>GB/T 30319</w:t>
      </w:r>
      <w:r>
        <w:rPr>
          <w:rFonts w:hint="eastAsia" w:ascii="Times New Roman"/>
          <w:color w:val="000000"/>
        </w:rPr>
        <w:t>、</w:t>
      </w:r>
      <w:r>
        <w:rPr>
          <w:rFonts w:ascii="Times New Roman"/>
          <w:color w:val="000000"/>
        </w:rPr>
        <w:t>GB/T 35637、GB/T 51212</w:t>
      </w:r>
      <w:r>
        <w:rPr>
          <w:rFonts w:hint="eastAsia" w:ascii="Times New Roman"/>
          <w:color w:val="000000"/>
        </w:rPr>
        <w:t>、SL/T 809</w:t>
      </w:r>
      <w:r>
        <w:rPr>
          <w:rFonts w:ascii="Times New Roman"/>
          <w:color w:val="000000"/>
        </w:rPr>
        <w:t xml:space="preserve"> </w:t>
      </w:r>
      <w:r>
        <w:rPr>
          <w:rFonts w:hint="eastAsia" w:ascii="Times New Roman"/>
          <w:color w:val="000000"/>
        </w:rPr>
        <w:t>等要求，</w:t>
      </w:r>
      <w:r>
        <w:rPr>
          <w:rFonts w:ascii="Times New Roman"/>
          <w:color w:val="000000"/>
        </w:rPr>
        <w:t>对基础数据、监测数据、业务数据、跨行业共享数据和地理空间数据进行比对、质检、关联、标识等治理工作。</w:t>
      </w:r>
    </w:p>
    <w:p>
      <w:pPr>
        <w:pStyle w:val="69"/>
        <w:numPr>
          <w:ilvl w:val="0"/>
          <w:numId w:val="0"/>
        </w:numPr>
        <w:spacing w:before="156" w:after="156"/>
        <w:rPr>
          <w:rFonts w:ascii="Times New Roman"/>
          <w:color w:val="000000"/>
        </w:rPr>
      </w:pPr>
      <w:r>
        <w:rPr>
          <w:rFonts w:hint="eastAsia" w:ascii="Times New Roman"/>
          <w:color w:val="000000"/>
        </w:rPr>
        <w:t xml:space="preserve">7.4.3 数据挖掘 </w:t>
      </w:r>
    </w:p>
    <w:p>
      <w:pPr>
        <w:pStyle w:val="60"/>
        <w:ind w:firstLine="420"/>
        <w:rPr>
          <w:rFonts w:ascii="Times New Roman"/>
          <w:color w:val="000000"/>
        </w:rPr>
      </w:pPr>
      <w:r>
        <w:rPr>
          <w:rFonts w:ascii="Times New Roman"/>
          <w:color w:val="000000"/>
        </w:rPr>
        <w:t>数据挖掘运用统计</w:t>
      </w:r>
      <w:r>
        <w:rPr>
          <w:rFonts w:hint="eastAsia" w:ascii="Times New Roman"/>
          <w:color w:val="000000"/>
        </w:rPr>
        <w:t>分析</w:t>
      </w:r>
      <w:r>
        <w:rPr>
          <w:rFonts w:ascii="Times New Roman"/>
          <w:color w:val="000000"/>
        </w:rPr>
        <w:t>、</w:t>
      </w:r>
      <w:r>
        <w:rPr>
          <w:rFonts w:hint="eastAsia" w:ascii="Times New Roman"/>
          <w:color w:val="000000"/>
        </w:rPr>
        <w:t>机器</w:t>
      </w:r>
      <w:r>
        <w:rPr>
          <w:rFonts w:ascii="Times New Roman"/>
          <w:color w:val="000000"/>
        </w:rPr>
        <w:t>学习、模式识别等方法从数据资源中发现物理水网全要素之间存在的关系、水利治理管理活动全过程的规律，通过图形、图像、地图、动画等方式展现，包括描述性、诊断性、预测性和因果性分析等。</w:t>
      </w:r>
    </w:p>
    <w:p>
      <w:pPr>
        <w:pStyle w:val="69"/>
        <w:numPr>
          <w:ilvl w:val="0"/>
          <w:numId w:val="0"/>
        </w:numPr>
        <w:spacing w:before="156" w:after="156"/>
        <w:rPr>
          <w:rFonts w:ascii="Times New Roman"/>
        </w:rPr>
      </w:pPr>
      <w:r>
        <w:rPr>
          <w:rFonts w:hint="eastAsia" w:ascii="Times New Roman"/>
        </w:rPr>
        <w:t>7</w:t>
      </w:r>
      <w:r>
        <w:rPr>
          <w:rFonts w:ascii="Times New Roman"/>
        </w:rPr>
        <w:t xml:space="preserve">.4.4 数据服务 </w:t>
      </w:r>
    </w:p>
    <w:p>
      <w:pPr>
        <w:pStyle w:val="169"/>
        <w:numPr>
          <w:ilvl w:val="0"/>
          <w:numId w:val="0"/>
        </w:numPr>
        <w:spacing w:before="156" w:beforeLines="50" w:after="156" w:afterLines="50"/>
        <w:ind w:left="284"/>
        <w:rPr>
          <w:rFonts w:ascii="Times New Roman"/>
        </w:rPr>
      </w:pPr>
      <w:r>
        <w:rPr>
          <w:rFonts w:hint="eastAsia" w:ascii="Times New Roman"/>
        </w:rPr>
        <w:t>数据服务主要包含以下方面。</w:t>
      </w:r>
    </w:p>
    <w:p>
      <w:pPr>
        <w:pStyle w:val="60"/>
        <w:ind w:firstLine="420"/>
        <w:rPr>
          <w:rFonts w:ascii="Times New Roman"/>
          <w:color w:val="000000"/>
        </w:rPr>
      </w:pPr>
      <w:r>
        <w:rPr>
          <w:rFonts w:ascii="Times New Roman"/>
          <w:color w:val="000000"/>
        </w:rPr>
        <w:t>a</w:t>
      </w:r>
      <w:r>
        <w:rPr>
          <w:rFonts w:hint="eastAsia" w:ascii="Times New Roman"/>
          <w:color w:val="000000"/>
        </w:rPr>
        <w:t>）水利数据查询服务，提供水利知识库全文检索、全域检索功能，查询数据通过</w:t>
      </w:r>
      <w:r>
        <w:rPr>
          <w:rFonts w:ascii="Times New Roman"/>
          <w:color w:val="000000"/>
        </w:rPr>
        <w:t>Restful API</w:t>
      </w:r>
      <w:r>
        <w:rPr>
          <w:rFonts w:hint="eastAsia" w:ascii="Times New Roman"/>
          <w:color w:val="000000"/>
        </w:rPr>
        <w:t>标准接口进行获取。</w:t>
      </w:r>
    </w:p>
    <w:p>
      <w:pPr>
        <w:pStyle w:val="60"/>
        <w:ind w:firstLine="420"/>
        <w:rPr>
          <w:rFonts w:ascii="Times New Roman"/>
          <w:color w:val="000000"/>
        </w:rPr>
      </w:pPr>
      <w:r>
        <w:rPr>
          <w:rFonts w:ascii="Times New Roman"/>
          <w:color w:val="000000"/>
        </w:rPr>
        <w:t>b</w:t>
      </w:r>
      <w:r>
        <w:rPr>
          <w:rFonts w:hint="eastAsia" w:ascii="Times New Roman"/>
          <w:color w:val="000000"/>
        </w:rPr>
        <w:t>）水利专业服务，提供基础属性信息类、统计分析类、水文信息类、模型结果类、业务信息类等数据服务，定期更新发布数据目录。</w:t>
      </w:r>
    </w:p>
    <w:p>
      <w:pPr>
        <w:pStyle w:val="108"/>
        <w:numPr>
          <w:ilvl w:val="0"/>
          <w:numId w:val="0"/>
        </w:numPr>
        <w:spacing w:before="312" w:after="312"/>
        <w:rPr>
          <w:rFonts w:ascii="Times New Roman"/>
        </w:rPr>
      </w:pPr>
      <w:bookmarkStart w:id="113" w:name="_Toc27406"/>
      <w:bookmarkStart w:id="114" w:name="_Toc6818"/>
      <w:r>
        <w:rPr>
          <w:rFonts w:hint="eastAsia" w:ascii="Times New Roman"/>
        </w:rPr>
        <w:t>8</w:t>
      </w:r>
      <w:r>
        <w:rPr>
          <w:rFonts w:ascii="Times New Roman"/>
        </w:rPr>
        <w:t xml:space="preserve"> 模型平台</w:t>
      </w:r>
      <w:bookmarkEnd w:id="113"/>
      <w:bookmarkEnd w:id="114"/>
      <w:r>
        <w:rPr>
          <w:rFonts w:ascii="Times New Roman"/>
        </w:rPr>
        <w:t xml:space="preserve"> </w:t>
      </w:r>
    </w:p>
    <w:p>
      <w:pPr>
        <w:pStyle w:val="109"/>
        <w:numPr>
          <w:ilvl w:val="0"/>
          <w:numId w:val="0"/>
        </w:numPr>
        <w:spacing w:before="156" w:after="156"/>
        <w:rPr>
          <w:rFonts w:ascii="Times New Roman"/>
        </w:rPr>
      </w:pPr>
      <w:bookmarkStart w:id="115" w:name="_Toc134695796"/>
      <w:bookmarkStart w:id="116" w:name="_Toc3763"/>
      <w:bookmarkStart w:id="117" w:name="_Toc20157"/>
      <w:r>
        <w:rPr>
          <w:rFonts w:hint="eastAsia" w:ascii="Times New Roman"/>
        </w:rPr>
        <w:t>8</w:t>
      </w:r>
      <w:r>
        <w:rPr>
          <w:rFonts w:ascii="Times New Roman"/>
        </w:rPr>
        <w:t xml:space="preserve">.1 </w:t>
      </w:r>
      <w:bookmarkEnd w:id="115"/>
      <w:r>
        <w:rPr>
          <w:rFonts w:ascii="Times New Roman"/>
        </w:rPr>
        <w:t>构建原则</w:t>
      </w:r>
      <w:bookmarkEnd w:id="116"/>
      <w:bookmarkEnd w:id="117"/>
    </w:p>
    <w:p>
      <w:pPr>
        <w:pStyle w:val="60"/>
        <w:ind w:firstLine="420"/>
      </w:pPr>
      <w:r>
        <w:t>模型</w:t>
      </w:r>
      <w:r>
        <w:rPr>
          <w:rFonts w:hint="eastAsia"/>
        </w:rPr>
        <w:t>平台</w:t>
      </w:r>
      <w:r>
        <w:t>宜按照</w:t>
      </w:r>
      <w:r>
        <w:rPr>
          <w:rFonts w:hint="eastAsia"/>
        </w:rPr>
        <w:t>“</w:t>
      </w:r>
      <w:r>
        <w:t>组件化、标准化、通用化</w:t>
      </w:r>
      <w:r>
        <w:rPr>
          <w:rFonts w:hint="eastAsia"/>
        </w:rPr>
        <w:t>”</w:t>
      </w:r>
      <w:r>
        <w:t>思路和共享共用的原则构建，并具备</w:t>
      </w:r>
      <w:r>
        <w:rPr>
          <w:rFonts w:hint="eastAsia"/>
        </w:rPr>
        <w:t>“</w:t>
      </w:r>
      <w:r>
        <w:t>模型构建灵活化、模型业务</w:t>
      </w:r>
      <w:r>
        <w:rPr>
          <w:rFonts w:hint="eastAsia"/>
        </w:rPr>
        <w:t>应用</w:t>
      </w:r>
      <w:r>
        <w:t>标准化、</w:t>
      </w:r>
      <w:r>
        <w:rPr>
          <w:rFonts w:hint="eastAsia"/>
        </w:rPr>
        <w:t>模型</w:t>
      </w:r>
      <w:r>
        <w:t>服务</w:t>
      </w:r>
      <w:r>
        <w:rPr>
          <w:rFonts w:hint="eastAsia"/>
        </w:rPr>
        <w:t>定制化”</w:t>
      </w:r>
      <w:r>
        <w:t>特点。</w:t>
      </w:r>
    </w:p>
    <w:p>
      <w:pPr>
        <w:pStyle w:val="109"/>
        <w:numPr>
          <w:ilvl w:val="0"/>
          <w:numId w:val="0"/>
        </w:numPr>
        <w:spacing w:before="156" w:after="156"/>
        <w:rPr>
          <w:rFonts w:ascii="Times New Roman"/>
        </w:rPr>
      </w:pPr>
      <w:bookmarkStart w:id="118" w:name="_Toc8839"/>
      <w:bookmarkStart w:id="119" w:name="_Toc3394"/>
      <w:r>
        <w:rPr>
          <w:rFonts w:hint="eastAsia" w:ascii="Times New Roman"/>
        </w:rPr>
        <w:t>8</w:t>
      </w:r>
      <w:r>
        <w:rPr>
          <w:rFonts w:ascii="Times New Roman"/>
        </w:rPr>
        <w:t>.2 专业模型</w:t>
      </w:r>
      <w:bookmarkEnd w:id="118"/>
      <w:bookmarkEnd w:id="119"/>
    </w:p>
    <w:p>
      <w:pPr>
        <w:pStyle w:val="69"/>
        <w:numPr>
          <w:ilvl w:val="0"/>
          <w:numId w:val="0"/>
        </w:numPr>
        <w:spacing w:before="156" w:after="156"/>
        <w:rPr>
          <w:rFonts w:ascii="Times New Roman"/>
        </w:rPr>
      </w:pPr>
      <w:r>
        <w:rPr>
          <w:rFonts w:hint="eastAsia" w:ascii="Times New Roman"/>
        </w:rPr>
        <w:t>8.2.1</w:t>
      </w:r>
      <w:r>
        <w:rPr>
          <w:rFonts w:ascii="Times New Roman"/>
        </w:rPr>
        <w:t xml:space="preserve"> </w:t>
      </w:r>
      <w:r>
        <w:rPr>
          <w:rFonts w:hint="eastAsia" w:ascii="Times New Roman"/>
        </w:rPr>
        <w:t>构建内容</w:t>
      </w:r>
    </w:p>
    <w:p>
      <w:pPr>
        <w:pStyle w:val="60"/>
        <w:ind w:firstLine="420"/>
        <w:rPr>
          <w:rFonts w:ascii="Times New Roman"/>
        </w:rPr>
      </w:pPr>
      <w:r>
        <w:rPr>
          <w:rFonts w:hint="eastAsia" w:ascii="Times New Roman"/>
        </w:rPr>
        <w:t>水利专业模型主要包含以下方面。</w:t>
      </w:r>
    </w:p>
    <w:p>
      <w:pPr>
        <w:pStyle w:val="60"/>
        <w:ind w:firstLine="420"/>
        <w:rPr>
          <w:rFonts w:ascii="Times New Roman"/>
        </w:rPr>
      </w:pPr>
      <w:r>
        <w:rPr>
          <w:rFonts w:ascii="Times New Roman"/>
        </w:rPr>
        <w:t>a</w:t>
      </w:r>
      <w:r>
        <w:rPr>
          <w:rFonts w:hint="eastAsia" w:ascii="Times New Roman"/>
        </w:rPr>
        <w:t>）水利机理模型主要涉及水文模型、水资源模型、水质模型、水生态模型、泥沙动力学模型、水土保持模型、水利工程安全模型等，模型宜具有水旱灾害预测预报、洪水演进、水资源优化调度、水环境预测预报、水利工程调度等模拟功能等。</w:t>
      </w:r>
    </w:p>
    <w:p>
      <w:pPr>
        <w:pStyle w:val="60"/>
        <w:ind w:firstLine="420"/>
        <w:rPr>
          <w:rFonts w:ascii="Times New Roman"/>
        </w:rPr>
      </w:pPr>
      <w:r>
        <w:rPr>
          <w:rFonts w:ascii="Times New Roman"/>
        </w:rPr>
        <w:t>b</w:t>
      </w:r>
      <w:r>
        <w:rPr>
          <w:rFonts w:hint="eastAsia" w:ascii="Times New Roman"/>
        </w:rPr>
        <w:t>）水利大数据模型宜基于历史同步监测数据，利用水利专业模型产生数据，补充相似或历史数据不足，基于大数据智能分析技术，加强机理模型与人工智能模型的技术融合，对水文、水动力、水质等过程进行模拟与预测。</w:t>
      </w:r>
    </w:p>
    <w:p>
      <w:pPr>
        <w:pStyle w:val="60"/>
        <w:ind w:firstLine="420"/>
        <w:rPr>
          <w:rFonts w:ascii="Times New Roman"/>
        </w:rPr>
      </w:pPr>
      <w:r>
        <w:rPr>
          <w:rFonts w:ascii="Times New Roman"/>
        </w:rPr>
        <w:t>c</w:t>
      </w:r>
      <w:r>
        <w:rPr>
          <w:rFonts w:hint="eastAsia" w:ascii="Times New Roman"/>
        </w:rPr>
        <w:t>）水利优化决策模型采用智能算法搜索调度目标最优解，实现水利工程多目标优化调度与智能决策。</w:t>
      </w:r>
    </w:p>
    <w:p>
      <w:pPr>
        <w:pStyle w:val="69"/>
        <w:numPr>
          <w:ilvl w:val="0"/>
          <w:numId w:val="0"/>
        </w:numPr>
        <w:spacing w:before="156" w:after="156"/>
        <w:rPr>
          <w:rFonts w:ascii="Times New Roman"/>
        </w:rPr>
      </w:pPr>
      <w:r>
        <w:rPr>
          <w:rFonts w:hint="eastAsia" w:ascii="Times New Roman"/>
        </w:rPr>
        <w:t>8</w:t>
      </w:r>
      <w:r>
        <w:rPr>
          <w:rFonts w:ascii="Times New Roman"/>
        </w:rPr>
        <w:t>.2.2 技术要求</w:t>
      </w:r>
    </w:p>
    <w:p>
      <w:pPr>
        <w:pStyle w:val="169"/>
        <w:numPr>
          <w:ilvl w:val="0"/>
          <w:numId w:val="0"/>
        </w:numPr>
        <w:spacing w:before="156" w:beforeLines="50" w:after="156" w:afterLines="50"/>
        <w:ind w:left="284"/>
        <w:rPr>
          <w:rFonts w:ascii="Times New Roman"/>
        </w:rPr>
      </w:pPr>
      <w:r>
        <w:rPr>
          <w:rFonts w:hint="eastAsia" w:ascii="Times New Roman"/>
        </w:rPr>
        <w:t>专业模型宜符合以下技术要求。</w:t>
      </w:r>
    </w:p>
    <w:p>
      <w:pPr>
        <w:pStyle w:val="60"/>
        <w:ind w:firstLine="420"/>
        <w:rPr>
          <w:rFonts w:ascii="Times New Roman"/>
        </w:rPr>
      </w:pPr>
      <w:r>
        <w:rPr>
          <w:rFonts w:ascii="Times New Roman"/>
        </w:rPr>
        <w:t>a</w:t>
      </w:r>
      <w:r>
        <w:rPr>
          <w:rFonts w:hint="eastAsia" w:ascii="Times New Roman"/>
        </w:rPr>
        <w:t>）专业模型的构建宜充分整合利用已有模型相关研究成果。模型尺度宜根据业务需求确定，确保模型边界封闭，宜从流域、区域、城市、圩区、湖泊、水库等尺度构建模型。</w:t>
      </w:r>
    </w:p>
    <w:p>
      <w:pPr>
        <w:pStyle w:val="60"/>
        <w:ind w:firstLine="420"/>
        <w:rPr>
          <w:rFonts w:ascii="Times New Roman"/>
        </w:rPr>
      </w:pPr>
      <w:r>
        <w:rPr>
          <w:rFonts w:ascii="Times New Roman"/>
        </w:rPr>
        <w:t>b</w:t>
      </w:r>
      <w:r>
        <w:rPr>
          <w:rFonts w:hint="eastAsia" w:ascii="Times New Roman"/>
        </w:rPr>
        <w:t>）机理和大数据模型模拟精度宜达到</w:t>
      </w:r>
      <w:r>
        <w:rPr>
          <w:rFonts w:ascii="Times New Roman"/>
        </w:rPr>
        <w:t>GB/T 22482</w:t>
      </w:r>
      <w:r>
        <w:rPr>
          <w:rFonts w:hint="eastAsia" w:ascii="Times New Roman"/>
        </w:rPr>
        <w:t>乙级及以上水平。</w:t>
      </w:r>
    </w:p>
    <w:p>
      <w:pPr>
        <w:pStyle w:val="60"/>
        <w:ind w:firstLine="420"/>
        <w:rPr>
          <w:rFonts w:ascii="Times New Roman"/>
        </w:rPr>
      </w:pPr>
      <w:r>
        <w:rPr>
          <w:rFonts w:ascii="Times New Roman"/>
        </w:rPr>
        <w:t>c</w:t>
      </w:r>
      <w:r>
        <w:rPr>
          <w:rFonts w:hint="eastAsia" w:ascii="Times New Roman"/>
        </w:rPr>
        <w:t>）水利专业模型可基于自研代码或第三方的水利专业模型构建，</w:t>
      </w:r>
      <w:r>
        <w:rPr>
          <w:rFonts w:hint="eastAsia" w:ascii="Times New Roman"/>
          <w:lang w:eastAsia="zh-CN"/>
        </w:rPr>
        <w:t>应</w:t>
      </w:r>
      <w:r>
        <w:rPr>
          <w:rFonts w:hint="eastAsia" w:ascii="Times New Roman"/>
        </w:rPr>
        <w:t>满足可封装、可部署、可上架、可订阅等技术要求。</w:t>
      </w:r>
      <w:bookmarkStart w:id="152" w:name="_GoBack"/>
      <w:bookmarkEnd w:id="152"/>
    </w:p>
    <w:p>
      <w:pPr>
        <w:pStyle w:val="60"/>
        <w:ind w:firstLine="420"/>
        <w:rPr>
          <w:rFonts w:ascii="Times New Roman"/>
        </w:rPr>
      </w:pPr>
      <w:r>
        <w:rPr>
          <w:rFonts w:ascii="Times New Roman"/>
        </w:rPr>
        <w:t>d</w:t>
      </w:r>
      <w:r>
        <w:rPr>
          <w:rFonts w:hint="eastAsia" w:ascii="Times New Roman"/>
        </w:rPr>
        <w:t>）模型支持在线率定验证，满足实时滚动运行的需求；计算效率宜满足实时辅助决策的需求；模型宜支持模拟计算结果与实况进行对比、分析与校正。</w:t>
      </w:r>
    </w:p>
    <w:p>
      <w:pPr>
        <w:pStyle w:val="109"/>
        <w:numPr>
          <w:ilvl w:val="0"/>
          <w:numId w:val="0"/>
        </w:numPr>
        <w:spacing w:before="156" w:after="156"/>
        <w:rPr>
          <w:rFonts w:ascii="Times New Roman"/>
        </w:rPr>
      </w:pPr>
      <w:bookmarkStart w:id="120" w:name="_Toc4744"/>
      <w:bookmarkStart w:id="121" w:name="_Toc134695797"/>
      <w:bookmarkStart w:id="122" w:name="_Toc22413"/>
      <w:r>
        <w:rPr>
          <w:rFonts w:hint="eastAsia" w:ascii="Times New Roman"/>
        </w:rPr>
        <w:t>8</w:t>
      </w:r>
      <w:r>
        <w:rPr>
          <w:rFonts w:ascii="Times New Roman"/>
        </w:rPr>
        <w:t>.3 智能模型</w:t>
      </w:r>
      <w:bookmarkEnd w:id="120"/>
      <w:bookmarkEnd w:id="121"/>
      <w:bookmarkEnd w:id="122"/>
    </w:p>
    <w:p>
      <w:pPr>
        <w:pStyle w:val="69"/>
        <w:numPr>
          <w:ilvl w:val="0"/>
          <w:numId w:val="0"/>
        </w:numPr>
        <w:spacing w:before="156" w:after="156"/>
        <w:rPr>
          <w:rFonts w:ascii="Times New Roman"/>
        </w:rPr>
      </w:pPr>
      <w:r>
        <w:rPr>
          <w:rFonts w:hint="eastAsia" w:ascii="Times New Roman"/>
        </w:rPr>
        <w:t>8</w:t>
      </w:r>
      <w:r>
        <w:rPr>
          <w:rFonts w:ascii="Times New Roman"/>
        </w:rPr>
        <w:t>.3.1 构建内容</w:t>
      </w:r>
    </w:p>
    <w:p>
      <w:pPr>
        <w:pStyle w:val="60"/>
        <w:ind w:firstLine="420"/>
      </w:pPr>
      <w:r>
        <w:rPr>
          <w:rFonts w:hint="eastAsia"/>
        </w:rPr>
        <w:t>采用人工智能理念和云边协同模式，通过机器学习框架从遥感、视频、语音等数据中提取水利对象特征、模拟关键行为和状态，辅助精准研判与决策。智能模型主要包含以下方面。</w:t>
      </w:r>
    </w:p>
    <w:p>
      <w:pPr>
        <w:pStyle w:val="60"/>
        <w:ind w:firstLine="420"/>
        <w:rPr>
          <w:rFonts w:ascii="Times New Roman"/>
        </w:rPr>
      </w:pPr>
      <w:r>
        <w:rPr>
          <w:rFonts w:ascii="Times New Roman"/>
        </w:rPr>
        <w:t>a</w:t>
      </w:r>
      <w:r>
        <w:rPr>
          <w:rFonts w:hint="eastAsia" w:ascii="Times New Roman"/>
        </w:rPr>
        <w:t>）遥感解译采用机器学习算法训练图像语义分割与提取模型，实现遥感图像中地表水体、岸线、土地利用等特征的提取和自动识别。</w:t>
      </w:r>
    </w:p>
    <w:p>
      <w:pPr>
        <w:pStyle w:val="60"/>
        <w:ind w:firstLine="420"/>
        <w:rPr>
          <w:rFonts w:ascii="Times New Roman"/>
        </w:rPr>
      </w:pPr>
      <w:r>
        <w:rPr>
          <w:rFonts w:hint="eastAsia" w:ascii="Times New Roman"/>
        </w:rPr>
        <w:t>b）视频识别基于深度学习等技术构建对象识别、行为识别、状态识别等模型，实现岸线突变、水尺读数、闸门启闭状态、周界入侵、漂浮物、垃圾堆放、水体颜色等结构化信息提取和自动识别。</w:t>
      </w:r>
    </w:p>
    <w:p>
      <w:pPr>
        <w:pStyle w:val="60"/>
        <w:ind w:firstLine="420"/>
        <w:rPr>
          <w:rFonts w:ascii="Times New Roman"/>
        </w:rPr>
      </w:pPr>
      <w:r>
        <w:rPr>
          <w:rFonts w:hint="eastAsia" w:ascii="Times New Roman"/>
        </w:rPr>
        <w:t>c）语音交互基于自然语言理解等技术，实现信息查询、情景分析、决策建议等多种应用场景中人机智能交互功能。</w:t>
      </w:r>
    </w:p>
    <w:p>
      <w:pPr>
        <w:pStyle w:val="69"/>
        <w:numPr>
          <w:ilvl w:val="0"/>
          <w:numId w:val="0"/>
        </w:numPr>
        <w:spacing w:before="156" w:after="156"/>
        <w:rPr>
          <w:rFonts w:ascii="Times New Roman"/>
        </w:rPr>
      </w:pPr>
      <w:r>
        <w:rPr>
          <w:rFonts w:hint="eastAsia" w:ascii="Times New Roman"/>
        </w:rPr>
        <w:t>8</w:t>
      </w:r>
      <w:r>
        <w:rPr>
          <w:rFonts w:ascii="Times New Roman"/>
        </w:rPr>
        <w:t xml:space="preserve">.3.2 </w:t>
      </w:r>
      <w:r>
        <w:rPr>
          <w:rFonts w:hint="eastAsia" w:ascii="Times New Roman"/>
        </w:rPr>
        <w:t>技术要求</w:t>
      </w:r>
    </w:p>
    <w:p>
      <w:pPr>
        <w:pStyle w:val="60"/>
        <w:ind w:firstLine="420"/>
      </w:pPr>
      <w:r>
        <w:t>智能模型</w:t>
      </w:r>
      <w:r>
        <w:rPr>
          <w:rFonts w:hint="eastAsia"/>
        </w:rPr>
        <w:t>可</w:t>
      </w:r>
      <w:r>
        <w:t>基于</w:t>
      </w:r>
      <w:r>
        <w:rPr>
          <w:rFonts w:hint="eastAsia"/>
        </w:rPr>
        <w:t>通用</w:t>
      </w:r>
      <w:r>
        <w:t>框架的微服务架构搭建，采用主流编程语言开发，基于标准接口对外提供智能模型服务，能够与其他平台或业务系统相互耦合衔接，完成秒级数据交互。</w:t>
      </w:r>
    </w:p>
    <w:p>
      <w:pPr>
        <w:pStyle w:val="109"/>
        <w:numPr>
          <w:ilvl w:val="0"/>
          <w:numId w:val="0"/>
        </w:numPr>
        <w:spacing w:before="156" w:after="156"/>
        <w:rPr>
          <w:rFonts w:ascii="Times New Roman"/>
        </w:rPr>
      </w:pPr>
      <w:bookmarkStart w:id="123" w:name="_Toc3418"/>
      <w:bookmarkStart w:id="124" w:name="_Toc134695798"/>
      <w:bookmarkStart w:id="125" w:name="_Toc24440"/>
      <w:r>
        <w:rPr>
          <w:rFonts w:hint="eastAsia" w:ascii="Times New Roman"/>
        </w:rPr>
        <w:t>8</w:t>
      </w:r>
      <w:r>
        <w:rPr>
          <w:rFonts w:ascii="Times New Roman"/>
        </w:rPr>
        <w:t>.4 可视化模型</w:t>
      </w:r>
      <w:bookmarkEnd w:id="123"/>
      <w:bookmarkEnd w:id="124"/>
      <w:bookmarkEnd w:id="125"/>
    </w:p>
    <w:p>
      <w:pPr>
        <w:pStyle w:val="69"/>
        <w:numPr>
          <w:ilvl w:val="0"/>
          <w:numId w:val="0"/>
        </w:numPr>
        <w:spacing w:before="156" w:after="156"/>
        <w:rPr>
          <w:rFonts w:ascii="Times New Roman"/>
        </w:rPr>
      </w:pPr>
      <w:r>
        <w:rPr>
          <w:rFonts w:hint="eastAsia" w:ascii="Times New Roman"/>
        </w:rPr>
        <w:t>8</w:t>
      </w:r>
      <w:r>
        <w:rPr>
          <w:rFonts w:ascii="Times New Roman"/>
        </w:rPr>
        <w:t xml:space="preserve">.4.1 </w:t>
      </w:r>
      <w:r>
        <w:rPr>
          <w:rFonts w:hint="eastAsia" w:ascii="Times New Roman"/>
        </w:rPr>
        <w:t>构建内容</w:t>
      </w:r>
    </w:p>
    <w:p>
      <w:pPr>
        <w:pStyle w:val="169"/>
        <w:numPr>
          <w:ilvl w:val="0"/>
          <w:numId w:val="0"/>
        </w:numPr>
        <w:spacing w:before="156" w:beforeLines="50" w:after="156" w:afterLines="50"/>
        <w:ind w:left="284"/>
        <w:rPr>
          <w:rFonts w:ascii="Times New Roman"/>
        </w:rPr>
      </w:pPr>
      <w:r>
        <w:rPr>
          <w:rFonts w:hint="eastAsia" w:ascii="Times New Roman"/>
        </w:rPr>
        <w:t>宜</w:t>
      </w:r>
      <w:r>
        <w:rPr>
          <w:rFonts w:ascii="Times New Roman"/>
        </w:rPr>
        <w:t>包括以下方面</w:t>
      </w:r>
      <w:r>
        <w:rPr>
          <w:rFonts w:hint="eastAsia" w:ascii="Times New Roman"/>
        </w:rPr>
        <w:t>。</w:t>
      </w:r>
    </w:p>
    <w:p>
      <w:pPr>
        <w:pStyle w:val="60"/>
        <w:ind w:firstLine="420"/>
        <w:rPr>
          <w:rFonts w:ascii="Times New Roman"/>
        </w:rPr>
      </w:pPr>
      <w:r>
        <w:rPr>
          <w:rFonts w:ascii="Times New Roman"/>
        </w:rPr>
        <w:t>a）自然背景</w:t>
      </w:r>
      <w:r>
        <w:rPr>
          <w:rFonts w:hint="eastAsia" w:ascii="Times New Roman"/>
        </w:rPr>
        <w:t>，</w:t>
      </w:r>
      <w:r>
        <w:rPr>
          <w:rFonts w:ascii="Times New Roman"/>
        </w:rPr>
        <w:t>包括水域、耕地、植被、构筑物、道路等地理实体，以及天气和光照系统</w:t>
      </w:r>
      <w:r>
        <w:rPr>
          <w:rFonts w:hint="eastAsia" w:ascii="Times New Roman"/>
        </w:rPr>
        <w:t>。</w:t>
      </w:r>
    </w:p>
    <w:p>
      <w:pPr>
        <w:pStyle w:val="60"/>
        <w:ind w:firstLine="420"/>
        <w:rPr>
          <w:rFonts w:ascii="Times New Roman"/>
        </w:rPr>
      </w:pPr>
      <w:r>
        <w:rPr>
          <w:rFonts w:ascii="Times New Roman"/>
        </w:rPr>
        <w:t>b）流场动态</w:t>
      </w:r>
      <w:r>
        <w:rPr>
          <w:rFonts w:hint="eastAsia" w:ascii="Times New Roman"/>
        </w:rPr>
        <w:t>，</w:t>
      </w:r>
      <w:r>
        <w:rPr>
          <w:rFonts w:ascii="Times New Roman"/>
        </w:rPr>
        <w:t>包括水流、污染物运移、水生生物生长变化、潮汐、风场、泥沙运动等</w:t>
      </w:r>
      <w:r>
        <w:rPr>
          <w:rFonts w:hint="eastAsia" w:ascii="Times New Roman"/>
        </w:rPr>
        <w:t>。</w:t>
      </w:r>
    </w:p>
    <w:p>
      <w:pPr>
        <w:pStyle w:val="60"/>
        <w:ind w:firstLine="420"/>
        <w:rPr>
          <w:rFonts w:ascii="Times New Roman"/>
        </w:rPr>
      </w:pPr>
      <w:r>
        <w:rPr>
          <w:rFonts w:ascii="Times New Roman"/>
        </w:rPr>
        <w:t>c）水利工程</w:t>
      </w:r>
      <w:r>
        <w:rPr>
          <w:rFonts w:hint="eastAsia" w:ascii="Times New Roman"/>
        </w:rPr>
        <w:t>，</w:t>
      </w:r>
      <w:r>
        <w:rPr>
          <w:rFonts w:ascii="Times New Roman"/>
        </w:rPr>
        <w:t>包括水库、堤防、水闸、泵站、涵洞、圩区、灌区、蓄滞洪区、水电站等</w:t>
      </w:r>
      <w:r>
        <w:rPr>
          <w:rFonts w:hint="eastAsia" w:ascii="Times New Roman"/>
        </w:rPr>
        <w:t>。</w:t>
      </w:r>
    </w:p>
    <w:p>
      <w:pPr>
        <w:pStyle w:val="60"/>
        <w:ind w:firstLine="420"/>
        <w:rPr>
          <w:rFonts w:ascii="Times New Roman"/>
        </w:rPr>
      </w:pPr>
      <w:r>
        <w:rPr>
          <w:rFonts w:ascii="Times New Roman"/>
        </w:rPr>
        <w:t>d）机电设备</w:t>
      </w:r>
      <w:r>
        <w:rPr>
          <w:rFonts w:hint="eastAsia" w:ascii="Times New Roman"/>
        </w:rPr>
        <w:t>，</w:t>
      </w:r>
      <w:r>
        <w:rPr>
          <w:rFonts w:ascii="Times New Roman"/>
        </w:rPr>
        <w:t>包括水泵、电机、启闭机、闸门等主设备、辅助设备及二次系统设备。</w:t>
      </w:r>
    </w:p>
    <w:p>
      <w:pPr>
        <w:pStyle w:val="69"/>
        <w:numPr>
          <w:ilvl w:val="0"/>
          <w:numId w:val="0"/>
        </w:numPr>
        <w:spacing w:before="156" w:after="156"/>
        <w:rPr>
          <w:rFonts w:ascii="Times New Roman"/>
        </w:rPr>
      </w:pPr>
      <w:r>
        <w:rPr>
          <w:rFonts w:hint="eastAsia" w:ascii="Times New Roman"/>
        </w:rPr>
        <w:t>8</w:t>
      </w:r>
      <w:r>
        <w:rPr>
          <w:rFonts w:ascii="Times New Roman"/>
        </w:rPr>
        <w:t xml:space="preserve">.4.2 </w:t>
      </w:r>
      <w:r>
        <w:rPr>
          <w:rFonts w:hint="eastAsia" w:ascii="Times New Roman"/>
        </w:rPr>
        <w:t>技术要求</w:t>
      </w:r>
    </w:p>
    <w:p>
      <w:pPr>
        <w:pStyle w:val="60"/>
        <w:spacing w:before="156" w:after="156"/>
        <w:ind w:firstLine="420" w:firstLineChars="0"/>
        <w:rPr>
          <w:rFonts w:ascii="Times New Roman"/>
        </w:rPr>
      </w:pPr>
      <w:r>
        <w:rPr>
          <w:rFonts w:hint="eastAsia"/>
        </w:rPr>
        <w:t>可视化模型技术要求包含以下方面。</w:t>
      </w:r>
    </w:p>
    <w:p>
      <w:pPr>
        <w:pStyle w:val="169"/>
        <w:numPr>
          <w:ilvl w:val="0"/>
          <w:numId w:val="0"/>
        </w:numPr>
        <w:spacing w:before="156" w:beforeLines="50" w:after="156" w:afterLines="50"/>
        <w:ind w:firstLine="420" w:firstLineChars="200"/>
        <w:rPr>
          <w:rFonts w:ascii="Times New Roman"/>
        </w:rPr>
      </w:pPr>
      <w:r>
        <w:rPr>
          <w:rFonts w:hint="eastAsia" w:ascii="Times New Roman"/>
        </w:rPr>
        <w:t>a）数据格式要求包括但不限于以下方面。</w:t>
      </w:r>
    </w:p>
    <w:p>
      <w:pPr>
        <w:pStyle w:val="60"/>
        <w:ind w:firstLine="420"/>
        <w:rPr>
          <w:rFonts w:ascii="Times New Roman"/>
        </w:rPr>
      </w:pPr>
      <w:r>
        <w:rPr>
          <w:rFonts w:ascii="Times New Roman"/>
        </w:rPr>
        <w:t>1</w:t>
      </w:r>
      <w:r>
        <w:rPr>
          <w:rFonts w:hint="eastAsia" w:ascii="Times New Roman"/>
        </w:rPr>
        <w:t>）地理信息系统数据方面宜支持 DEM、TIF等格式高程数据，J</w:t>
      </w:r>
      <w:r>
        <w:rPr>
          <w:rFonts w:ascii="Times New Roman"/>
        </w:rPr>
        <w:t>PEG</w:t>
      </w:r>
      <w:r>
        <w:rPr>
          <w:rFonts w:hint="eastAsia" w:ascii="Times New Roman"/>
        </w:rPr>
        <w:t>、T</w:t>
      </w:r>
      <w:r>
        <w:rPr>
          <w:rFonts w:ascii="Times New Roman"/>
        </w:rPr>
        <w:t>IF</w:t>
      </w:r>
      <w:r>
        <w:rPr>
          <w:rFonts w:hint="eastAsia" w:ascii="Times New Roman"/>
        </w:rPr>
        <w:t>格式影像数据，S</w:t>
      </w:r>
      <w:r>
        <w:rPr>
          <w:rFonts w:ascii="Times New Roman"/>
        </w:rPr>
        <w:t>HP</w:t>
      </w:r>
      <w:r>
        <w:rPr>
          <w:rFonts w:hint="eastAsia" w:ascii="Times New Roman"/>
        </w:rPr>
        <w:t>格式矢量数据。</w:t>
      </w:r>
    </w:p>
    <w:p>
      <w:pPr>
        <w:pStyle w:val="60"/>
        <w:ind w:firstLine="420"/>
        <w:rPr>
          <w:rFonts w:ascii="Times New Roman"/>
        </w:rPr>
      </w:pPr>
      <w:r>
        <w:rPr>
          <w:rFonts w:hint="eastAsia" w:ascii="Times New Roman"/>
        </w:rPr>
        <w:t>2）人工建模数据方面宜支持F</w:t>
      </w:r>
      <w:r>
        <w:rPr>
          <w:rFonts w:ascii="Times New Roman"/>
        </w:rPr>
        <w:t>BX</w:t>
      </w:r>
      <w:r>
        <w:rPr>
          <w:rFonts w:hint="eastAsia" w:ascii="Times New Roman"/>
        </w:rPr>
        <w:t>、O</w:t>
      </w:r>
      <w:r>
        <w:rPr>
          <w:rFonts w:ascii="Times New Roman"/>
        </w:rPr>
        <w:t>BJ</w:t>
      </w:r>
      <w:r>
        <w:rPr>
          <w:rFonts w:hint="eastAsia" w:ascii="Times New Roman"/>
        </w:rPr>
        <w:t>等格式三维模型数据。</w:t>
      </w:r>
    </w:p>
    <w:p>
      <w:pPr>
        <w:pStyle w:val="60"/>
        <w:ind w:firstLine="420"/>
        <w:rPr>
          <w:rFonts w:ascii="Times New Roman"/>
        </w:rPr>
      </w:pPr>
      <w:r>
        <w:rPr>
          <w:rFonts w:hint="eastAsia" w:ascii="Times New Roman"/>
        </w:rPr>
        <w:t>3）建筑物信息模型数据方面宜支持 DWG、DXF、DWF、DGN、PLN、RVT、STEP 等格式数据。</w:t>
      </w:r>
    </w:p>
    <w:p>
      <w:pPr>
        <w:pStyle w:val="60"/>
        <w:ind w:firstLine="420"/>
        <w:rPr>
          <w:rFonts w:ascii="Times New Roman"/>
        </w:rPr>
      </w:pPr>
      <w:r>
        <w:rPr>
          <w:rFonts w:hint="eastAsia" w:ascii="Times New Roman"/>
        </w:rPr>
        <w:t>4）倾斜摄影数据方面宜支持</w:t>
      </w:r>
      <w:r>
        <w:rPr>
          <w:rFonts w:ascii="Times New Roman"/>
        </w:rPr>
        <w:t>OSGB</w:t>
      </w:r>
      <w:r>
        <w:rPr>
          <w:rFonts w:hint="eastAsia" w:ascii="Times New Roman"/>
        </w:rPr>
        <w:t>、FBX、STL、3DS 等格式数据。</w:t>
      </w:r>
    </w:p>
    <w:p>
      <w:pPr>
        <w:pStyle w:val="60"/>
        <w:ind w:firstLine="420"/>
        <w:rPr>
          <w:rFonts w:ascii="Times New Roman"/>
        </w:rPr>
      </w:pPr>
      <w:r>
        <w:rPr>
          <w:rFonts w:hint="eastAsia" w:ascii="Times New Roman"/>
        </w:rPr>
        <w:t>5）激光点云数据方面宜支持PCD、PLY、TXT、LAS、STL 等格式数据。</w:t>
      </w:r>
    </w:p>
    <w:p>
      <w:pPr>
        <w:pStyle w:val="169"/>
        <w:numPr>
          <w:ilvl w:val="0"/>
          <w:numId w:val="0"/>
        </w:numPr>
        <w:spacing w:before="156" w:beforeLines="50" w:after="156" w:afterLines="50"/>
        <w:ind w:firstLine="420" w:firstLineChars="200"/>
        <w:rPr>
          <w:rFonts w:ascii="Times New Roman"/>
        </w:rPr>
      </w:pPr>
      <w:r>
        <w:rPr>
          <w:rFonts w:ascii="Times New Roman"/>
        </w:rPr>
        <w:t>b</w:t>
      </w:r>
      <w:r>
        <w:rPr>
          <w:rFonts w:hint="eastAsia" w:ascii="Times New Roman"/>
        </w:rPr>
        <w:t>）渲染性能技术要求包括但不限于以下方面。</w:t>
      </w:r>
    </w:p>
    <w:p>
      <w:pPr>
        <w:pStyle w:val="60"/>
        <w:ind w:firstLine="420"/>
        <w:rPr>
          <w:rFonts w:ascii="Times New Roman"/>
        </w:rPr>
      </w:pPr>
      <w:r>
        <w:rPr>
          <w:rFonts w:hint="eastAsia" w:ascii="Times New Roman"/>
        </w:rPr>
        <w:t xml:space="preserve">1）可视化模型。可运用 </w:t>
      </w:r>
      <w:r>
        <w:rPr>
          <w:rFonts w:ascii="Times New Roman"/>
        </w:rPr>
        <w:t>GIS</w:t>
      </w:r>
      <w:r>
        <w:rPr>
          <w:rFonts w:hint="eastAsia" w:ascii="Times New Roman"/>
        </w:rPr>
        <w:t>和游戏引擎渲染展示，且渲染效率流畅不卡顿。</w:t>
      </w:r>
    </w:p>
    <w:p>
      <w:pPr>
        <w:pStyle w:val="60"/>
        <w:ind w:firstLine="420"/>
        <w:rPr>
          <w:rFonts w:ascii="Times New Roman"/>
        </w:rPr>
      </w:pPr>
      <w:r>
        <w:rPr>
          <w:rFonts w:hint="eastAsia" w:ascii="Times New Roman"/>
        </w:rPr>
        <w:t>2）自然背景。全场景初始渲染、单个或多个对象场景切换、场景缩放过程宜达到秒级响应。</w:t>
      </w:r>
    </w:p>
    <w:p>
      <w:pPr>
        <w:pStyle w:val="60"/>
        <w:ind w:firstLine="420"/>
        <w:rPr>
          <w:rFonts w:ascii="Times New Roman"/>
        </w:rPr>
      </w:pPr>
      <w:r>
        <w:rPr>
          <w:rFonts w:hint="eastAsia" w:ascii="Times New Roman"/>
        </w:rPr>
        <w:t>3）流场动态。一维流场渲染宜实现秒级加载，二维流场、三维流场百万级网格单一时刻场景渲染不超过30s。</w:t>
      </w:r>
    </w:p>
    <w:p>
      <w:pPr>
        <w:pStyle w:val="60"/>
        <w:ind w:firstLine="420"/>
        <w:rPr>
          <w:rFonts w:ascii="Times New Roman"/>
        </w:rPr>
      </w:pPr>
      <w:r>
        <w:rPr>
          <w:rFonts w:hint="eastAsia" w:ascii="Times New Roman"/>
        </w:rPr>
        <w:t>4）水利工程。单一场景渲染宜实现秒级加载，监测运管类感知数据驱动信息场景渲染宜实时响应。</w:t>
      </w:r>
    </w:p>
    <w:p>
      <w:pPr>
        <w:pStyle w:val="60"/>
        <w:ind w:firstLine="420"/>
        <w:rPr>
          <w:rFonts w:ascii="Times New Roman"/>
        </w:rPr>
      </w:pPr>
      <w:r>
        <w:rPr>
          <w:rFonts w:hint="eastAsia" w:ascii="Times New Roman"/>
        </w:rPr>
        <w:t>5）机电设备。单一场景渲染宜实现秒级加载，监测运管类感知数据驱动信息场景渲染宜实时响应。</w:t>
      </w:r>
    </w:p>
    <w:p>
      <w:pPr>
        <w:pStyle w:val="169"/>
        <w:numPr>
          <w:ilvl w:val="0"/>
          <w:numId w:val="0"/>
        </w:numPr>
        <w:spacing w:before="156" w:beforeLines="50" w:after="156" w:afterLines="50"/>
        <w:ind w:firstLine="420" w:firstLineChars="200"/>
        <w:rPr>
          <w:rFonts w:ascii="Times New Roman"/>
        </w:rPr>
      </w:pPr>
      <w:r>
        <w:rPr>
          <w:rFonts w:hint="eastAsia" w:ascii="Times New Roman"/>
        </w:rPr>
        <w:t>c）</w:t>
      </w:r>
      <w:r>
        <w:rPr>
          <w:rFonts w:ascii="Times New Roman"/>
        </w:rPr>
        <w:t>业务交互技术要求</w:t>
      </w:r>
      <w:r>
        <w:rPr>
          <w:rFonts w:hint="eastAsia" w:ascii="Times New Roman"/>
        </w:rPr>
        <w:t>包括但不限于以下方面。</w:t>
      </w:r>
    </w:p>
    <w:p>
      <w:pPr>
        <w:pStyle w:val="60"/>
        <w:ind w:firstLine="420"/>
        <w:rPr>
          <w:rFonts w:ascii="Times New Roman"/>
        </w:rPr>
      </w:pPr>
      <w:r>
        <w:rPr>
          <w:rFonts w:ascii="Times New Roman"/>
        </w:rPr>
        <w:t>1）具备标绘业务数据，触发水体运动等特征、工程运行等场景交互与控制等功能</w:t>
      </w:r>
      <w:r>
        <w:rPr>
          <w:rFonts w:hint="eastAsia" w:ascii="Times New Roman"/>
        </w:rPr>
        <w:t>。</w:t>
      </w:r>
    </w:p>
    <w:p>
      <w:pPr>
        <w:pStyle w:val="60"/>
        <w:ind w:firstLine="420"/>
        <w:rPr>
          <w:rFonts w:ascii="Times New Roman"/>
        </w:rPr>
      </w:pPr>
      <w:r>
        <w:rPr>
          <w:rFonts w:ascii="Times New Roman"/>
        </w:rPr>
        <w:t>2）渲染引擎接口宜支持在浏览器或者桌面</w:t>
      </w:r>
      <w:r>
        <w:rPr>
          <w:rFonts w:hint="eastAsia" w:ascii="Times New Roman"/>
        </w:rPr>
        <w:t>应用</w:t>
      </w:r>
      <w:r>
        <w:rPr>
          <w:rFonts w:ascii="Times New Roman"/>
        </w:rPr>
        <w:t>中加载显示，支持流渲染及端渲染模式。</w:t>
      </w:r>
    </w:p>
    <w:p>
      <w:pPr>
        <w:pStyle w:val="108"/>
        <w:numPr>
          <w:ilvl w:val="0"/>
          <w:numId w:val="0"/>
        </w:numPr>
        <w:spacing w:before="312" w:after="312"/>
        <w:rPr>
          <w:rFonts w:ascii="Times New Roman"/>
        </w:rPr>
      </w:pPr>
      <w:bookmarkStart w:id="126" w:name="_Toc21909"/>
      <w:bookmarkStart w:id="127" w:name="_Toc10562"/>
      <w:r>
        <w:rPr>
          <w:rFonts w:hint="eastAsia" w:ascii="Times New Roman"/>
        </w:rPr>
        <w:t>9</w:t>
      </w:r>
      <w:r>
        <w:rPr>
          <w:rFonts w:ascii="Times New Roman"/>
        </w:rPr>
        <w:t xml:space="preserve"> 知识平台</w:t>
      </w:r>
      <w:bookmarkEnd w:id="126"/>
      <w:bookmarkEnd w:id="127"/>
    </w:p>
    <w:p>
      <w:pPr>
        <w:pStyle w:val="109"/>
        <w:numPr>
          <w:ilvl w:val="0"/>
          <w:numId w:val="0"/>
        </w:numPr>
        <w:spacing w:before="156" w:after="156"/>
        <w:rPr>
          <w:rFonts w:ascii="Times New Roman"/>
          <w:b/>
          <w:bCs/>
        </w:rPr>
      </w:pPr>
      <w:bookmarkStart w:id="128" w:name="_Toc18237"/>
      <w:bookmarkStart w:id="129" w:name="_Toc134695800"/>
      <w:bookmarkStart w:id="130" w:name="_Toc9589"/>
      <w:r>
        <w:rPr>
          <w:rFonts w:hint="eastAsia" w:ascii="Times New Roman"/>
        </w:rPr>
        <w:t>9</w:t>
      </w:r>
      <w:r>
        <w:rPr>
          <w:rFonts w:ascii="Times New Roman"/>
        </w:rPr>
        <w:t>.1 知识库</w:t>
      </w:r>
      <w:bookmarkEnd w:id="128"/>
      <w:bookmarkEnd w:id="129"/>
      <w:bookmarkEnd w:id="130"/>
    </w:p>
    <w:p>
      <w:pPr>
        <w:pStyle w:val="69"/>
        <w:numPr>
          <w:ilvl w:val="0"/>
          <w:numId w:val="0"/>
        </w:numPr>
        <w:spacing w:before="156" w:after="156"/>
        <w:rPr>
          <w:rFonts w:ascii="Times New Roman"/>
        </w:rPr>
      </w:pPr>
      <w:r>
        <w:rPr>
          <w:rFonts w:hint="eastAsia" w:ascii="Times New Roman"/>
        </w:rPr>
        <w:t>9</w:t>
      </w:r>
      <w:r>
        <w:rPr>
          <w:rFonts w:ascii="Times New Roman"/>
        </w:rPr>
        <w:t xml:space="preserve">.1.1 </w:t>
      </w:r>
      <w:r>
        <w:rPr>
          <w:rFonts w:hint="eastAsia" w:ascii="Times New Roman"/>
        </w:rPr>
        <w:t>水利对象关联关系</w:t>
      </w:r>
    </w:p>
    <w:p>
      <w:pPr>
        <w:pStyle w:val="60"/>
        <w:ind w:firstLine="420"/>
      </w:pPr>
      <w:r>
        <w:t>水利对象关联关系以知识图谱形式描述江河湖泊、水利工程和水利对象治理管理活动等实体、概念及其关系</w:t>
      </w:r>
      <w:r>
        <w:rPr>
          <w:rFonts w:hint="eastAsia"/>
        </w:rPr>
        <w:t>。</w:t>
      </w:r>
      <w:r>
        <w:t>水利对象关联关系</w:t>
      </w:r>
      <w:r>
        <w:rPr>
          <w:rFonts w:hint="eastAsia"/>
        </w:rPr>
        <w:t>图谱</w:t>
      </w:r>
      <w:r>
        <w:t>包括</w:t>
      </w:r>
      <w:r>
        <w:rPr>
          <w:rFonts w:hint="eastAsia"/>
        </w:rPr>
        <w:t>以下方面。</w:t>
      </w:r>
    </w:p>
    <w:p>
      <w:pPr>
        <w:pStyle w:val="60"/>
        <w:ind w:firstLine="420"/>
        <w:rPr>
          <w:rFonts w:ascii="Times New Roman"/>
        </w:rPr>
      </w:pPr>
      <w:r>
        <w:rPr>
          <w:rFonts w:ascii="Times New Roman"/>
        </w:rPr>
        <w:t>a</w:t>
      </w:r>
      <w:r>
        <w:rPr>
          <w:rFonts w:hint="eastAsia" w:ascii="Times New Roman"/>
        </w:rPr>
        <w:t>）水利物理对象关系图谱，以水利一张图、水利普查和自然灾害风险普查等数据库存储的河湖水系、水利工程设施等物理对象及空间关系，水利业务应用系统数据库中存储的组织机构、人员等涉水社会对象与关系，以及河湖水系、水利工程设施、组织结构与人员之间的非空间关系等信息为主要数据来源，在建立物理对象</w:t>
      </w:r>
      <w:r>
        <w:rPr>
          <w:rFonts w:ascii="Times New Roman"/>
        </w:rPr>
        <w:t>-</w:t>
      </w:r>
      <w:r>
        <w:rPr>
          <w:rFonts w:hint="eastAsia" w:ascii="Times New Roman"/>
        </w:rPr>
        <w:t>关联知识模型的基础上，进行抽取转换、对齐融合等处理后形成图谱。</w:t>
      </w:r>
    </w:p>
    <w:p>
      <w:pPr>
        <w:pStyle w:val="60"/>
        <w:ind w:firstLine="420"/>
        <w:rPr>
          <w:rFonts w:ascii="Times New Roman"/>
        </w:rPr>
      </w:pPr>
      <w:r>
        <w:rPr>
          <w:rFonts w:ascii="Times New Roman"/>
        </w:rPr>
        <w:t>b</w:t>
      </w:r>
      <w:r>
        <w:rPr>
          <w:rFonts w:hint="eastAsia" w:ascii="Times New Roman"/>
        </w:rPr>
        <w:t>）水利学科知识图谱，宜以《汉语主题词表》水利卷、水利百科类图书、水利各专业领域术语规范、业务规程等书籍和文件为主要数据来源，在建立水利学科概念</w:t>
      </w:r>
      <w:r>
        <w:rPr>
          <w:rFonts w:ascii="Times New Roman"/>
        </w:rPr>
        <w:t>-</w:t>
      </w:r>
      <w:r>
        <w:rPr>
          <w:rFonts w:hint="eastAsia" w:ascii="Times New Roman"/>
        </w:rPr>
        <w:t>关系知识模型的基础上，进行抽取转换、对齐融合等处理后形成图谱。</w:t>
      </w:r>
    </w:p>
    <w:p>
      <w:pPr>
        <w:pStyle w:val="69"/>
        <w:numPr>
          <w:ilvl w:val="0"/>
          <w:numId w:val="0"/>
        </w:numPr>
        <w:spacing w:before="156" w:after="156"/>
        <w:rPr>
          <w:rFonts w:ascii="Times New Roman"/>
        </w:rPr>
      </w:pPr>
      <w:r>
        <w:rPr>
          <w:rFonts w:hint="eastAsia" w:ascii="Times New Roman"/>
        </w:rPr>
        <w:t>9</w:t>
      </w:r>
      <w:r>
        <w:rPr>
          <w:rFonts w:ascii="Times New Roman"/>
        </w:rPr>
        <w:t xml:space="preserve">.1.2 </w:t>
      </w:r>
      <w:r>
        <w:rPr>
          <w:rFonts w:hint="eastAsia" w:ascii="Times New Roman"/>
        </w:rPr>
        <w:t>方案</w:t>
      </w:r>
      <w:r>
        <w:rPr>
          <w:rFonts w:ascii="Times New Roman"/>
        </w:rPr>
        <w:t>预案库</w:t>
      </w:r>
    </w:p>
    <w:p>
      <w:pPr>
        <w:pStyle w:val="60"/>
        <w:ind w:firstLine="420"/>
      </w:pPr>
      <w:r>
        <w:rPr>
          <w:rFonts w:hint="eastAsia"/>
        </w:rPr>
        <w:t>以各类预报方案、</w:t>
      </w:r>
      <w:r>
        <w:t>工程调度方案</w:t>
      </w:r>
      <w:r>
        <w:rPr>
          <w:rFonts w:hint="eastAsia"/>
        </w:rPr>
        <w:t>、生态流量保障方案、应急预案以及专家经验等为主要数据源</w:t>
      </w:r>
      <w:r>
        <w:t>，</w:t>
      </w:r>
      <w:r>
        <w:rPr>
          <w:rFonts w:hint="eastAsia"/>
        </w:rPr>
        <w:t>构建方案</w:t>
      </w:r>
      <w:r>
        <w:t>预案图谱，支撑</w:t>
      </w:r>
      <w:r>
        <w:rPr>
          <w:rFonts w:hint="eastAsia"/>
        </w:rPr>
        <w:t>水旱灾害防御、水资源调配与管理、河湖管理、工程建设管理等业务工作</w:t>
      </w:r>
      <w:r>
        <w:t>。</w:t>
      </w:r>
    </w:p>
    <w:p>
      <w:pPr>
        <w:pStyle w:val="69"/>
        <w:numPr>
          <w:ilvl w:val="0"/>
          <w:numId w:val="0"/>
        </w:numPr>
        <w:spacing w:before="156" w:after="156"/>
        <w:rPr>
          <w:rFonts w:ascii="Times New Roman"/>
        </w:rPr>
      </w:pPr>
      <w:r>
        <w:rPr>
          <w:rFonts w:hint="eastAsia" w:ascii="Times New Roman"/>
        </w:rPr>
        <w:t>9</w:t>
      </w:r>
      <w:r>
        <w:rPr>
          <w:rFonts w:ascii="Times New Roman"/>
        </w:rPr>
        <w:t>.1.3 历史场景库</w:t>
      </w:r>
    </w:p>
    <w:p>
      <w:pPr>
        <w:pStyle w:val="60"/>
        <w:ind w:firstLine="420"/>
      </w:pPr>
      <w:r>
        <w:t>以历史</w:t>
      </w:r>
      <w:r>
        <w:rPr>
          <w:rFonts w:hint="eastAsia"/>
        </w:rPr>
        <w:t>洪涝</w:t>
      </w:r>
      <w:r>
        <w:t>、</w:t>
      </w:r>
      <w:r>
        <w:rPr>
          <w:rFonts w:hint="eastAsia"/>
        </w:rPr>
        <w:t>干旱、</w:t>
      </w:r>
      <w:r>
        <w:t>突发水</w:t>
      </w:r>
      <w:r>
        <w:rPr>
          <w:rFonts w:hint="eastAsia"/>
        </w:rPr>
        <w:t>事件</w:t>
      </w:r>
      <w:r>
        <w:t>等为主要数据源，在</w:t>
      </w:r>
      <w:r>
        <w:rPr>
          <w:rFonts w:hint="eastAsia"/>
        </w:rPr>
        <w:t>挖掘</w:t>
      </w:r>
      <w:r>
        <w:t>典型时空属性及特征指标的</w:t>
      </w:r>
      <w:r>
        <w:rPr>
          <w:rFonts w:hint="eastAsia"/>
        </w:rPr>
        <w:t>基础</w:t>
      </w:r>
      <w:r>
        <w:t>上，构建历史场景图谱，</w:t>
      </w:r>
      <w:r>
        <w:rPr>
          <w:rFonts w:hint="eastAsia"/>
        </w:rPr>
        <w:t>支撑洪涝</w:t>
      </w:r>
      <w:r>
        <w:t>、</w:t>
      </w:r>
      <w:r>
        <w:rPr>
          <w:rFonts w:hint="eastAsia"/>
        </w:rPr>
        <w:t>干旱、</w:t>
      </w:r>
      <w:r>
        <w:t>突发水</w:t>
      </w:r>
      <w:r>
        <w:rPr>
          <w:rFonts w:hint="eastAsia"/>
        </w:rPr>
        <w:t>事件等</w:t>
      </w:r>
      <w:r>
        <w:t>场景</w:t>
      </w:r>
      <w:r>
        <w:rPr>
          <w:rFonts w:hint="eastAsia"/>
        </w:rPr>
        <w:t>的应对</w:t>
      </w:r>
      <w:r>
        <w:t>。</w:t>
      </w:r>
    </w:p>
    <w:p>
      <w:pPr>
        <w:pStyle w:val="69"/>
        <w:numPr>
          <w:ilvl w:val="0"/>
          <w:numId w:val="0"/>
        </w:numPr>
        <w:spacing w:before="156" w:after="156"/>
        <w:rPr>
          <w:rFonts w:ascii="Times New Roman"/>
        </w:rPr>
      </w:pPr>
      <w:r>
        <w:rPr>
          <w:rFonts w:hint="eastAsia" w:ascii="Times New Roman"/>
        </w:rPr>
        <w:t>9</w:t>
      </w:r>
      <w:r>
        <w:rPr>
          <w:rFonts w:ascii="Times New Roman"/>
        </w:rPr>
        <w:t>.1.4 业务规则库</w:t>
      </w:r>
    </w:p>
    <w:p>
      <w:pPr>
        <w:pStyle w:val="60"/>
        <w:ind w:firstLine="420"/>
      </w:pPr>
      <w:r>
        <w:t>以相关法律法规、规章制度、技术标准、管理办法、规范规程等为主要数据源，构建业务规则</w:t>
      </w:r>
      <w:r>
        <w:rPr>
          <w:rFonts w:hint="eastAsia"/>
        </w:rPr>
        <w:t>图谱</w:t>
      </w:r>
      <w:r>
        <w:t>，</w:t>
      </w:r>
      <w:r>
        <w:rPr>
          <w:rFonts w:hint="eastAsia"/>
        </w:rPr>
        <w:t>支撑业务场景的规则适配，规范和约束水利业务管理行为。</w:t>
      </w:r>
    </w:p>
    <w:p>
      <w:pPr>
        <w:pStyle w:val="109"/>
        <w:numPr>
          <w:ilvl w:val="0"/>
          <w:numId w:val="0"/>
        </w:numPr>
        <w:spacing w:before="156" w:after="156"/>
        <w:rPr>
          <w:rFonts w:ascii="Times New Roman"/>
        </w:rPr>
      </w:pPr>
      <w:bookmarkStart w:id="131" w:name="_Toc134695801"/>
      <w:bookmarkStart w:id="132" w:name="_Toc27029"/>
      <w:bookmarkStart w:id="133" w:name="_Toc30187"/>
      <w:r>
        <w:rPr>
          <w:rFonts w:hint="eastAsia" w:ascii="Times New Roman"/>
        </w:rPr>
        <w:t>9</w:t>
      </w:r>
      <w:r>
        <w:rPr>
          <w:rFonts w:ascii="Times New Roman"/>
        </w:rPr>
        <w:t>.2 知识模型</w:t>
      </w:r>
      <w:bookmarkEnd w:id="131"/>
      <w:bookmarkEnd w:id="132"/>
      <w:bookmarkEnd w:id="133"/>
    </w:p>
    <w:p>
      <w:pPr>
        <w:pStyle w:val="60"/>
        <w:ind w:firstLine="420"/>
        <w:rPr>
          <w:rFonts w:ascii="Times New Roman"/>
        </w:rPr>
      </w:pPr>
      <w:r>
        <w:rPr>
          <w:rFonts w:hint="eastAsia"/>
        </w:rPr>
        <w:t>面向水旱灾害防御和水资源管理与调配等业务主题，确定水利对象集，通过业务属性挖掘出对象之间的关联关系，</w:t>
      </w:r>
      <w:r>
        <w:t>构建</w:t>
      </w:r>
      <w:r>
        <w:rPr>
          <w:rFonts w:hint="eastAsia"/>
        </w:rPr>
        <w:t>实体关系、水利概念、专家经验、规则预案、历史场景、模型方案等知识模型</w:t>
      </w:r>
      <w:r>
        <w:t>。</w:t>
      </w:r>
    </w:p>
    <w:p>
      <w:pPr>
        <w:pStyle w:val="109"/>
        <w:numPr>
          <w:ilvl w:val="0"/>
          <w:numId w:val="0"/>
        </w:numPr>
        <w:spacing w:before="156" w:after="156"/>
        <w:rPr>
          <w:rFonts w:ascii="Times New Roman"/>
        </w:rPr>
      </w:pPr>
      <w:bookmarkStart w:id="134" w:name="_Toc134695802"/>
      <w:bookmarkStart w:id="135" w:name="_Toc25276"/>
      <w:bookmarkStart w:id="136" w:name="_Toc30434"/>
      <w:r>
        <w:rPr>
          <w:rFonts w:hint="eastAsia" w:ascii="Times New Roman"/>
        </w:rPr>
        <w:t>9</w:t>
      </w:r>
      <w:r>
        <w:rPr>
          <w:rFonts w:ascii="Times New Roman"/>
        </w:rPr>
        <w:t>.3 知识引擎</w:t>
      </w:r>
      <w:bookmarkEnd w:id="134"/>
      <w:bookmarkEnd w:id="135"/>
      <w:bookmarkEnd w:id="136"/>
    </w:p>
    <w:p>
      <w:pPr>
        <w:pStyle w:val="69"/>
        <w:numPr>
          <w:ilvl w:val="0"/>
          <w:numId w:val="0"/>
        </w:numPr>
        <w:spacing w:before="156" w:after="156"/>
        <w:rPr>
          <w:rFonts w:ascii="Times New Roman"/>
        </w:rPr>
      </w:pPr>
      <w:r>
        <w:rPr>
          <w:rFonts w:hint="eastAsia" w:ascii="Times New Roman"/>
        </w:rPr>
        <w:t>9</w:t>
      </w:r>
      <w:r>
        <w:rPr>
          <w:rFonts w:ascii="Times New Roman"/>
        </w:rPr>
        <w:t>.3.1 知识抽取</w:t>
      </w:r>
    </w:p>
    <w:p>
      <w:pPr>
        <w:pStyle w:val="60"/>
        <w:ind w:firstLine="420"/>
        <w:rPr>
          <w:rFonts w:ascii="Times New Roman" w:cs="Calibri"/>
        </w:rPr>
      </w:pPr>
      <w:r>
        <w:t>通过主题挖掘、远程监督、事理因果关系提取等多种手段，从海量异构数据资源中抽取出实体及其关联关系，将知识模型进行实例化。</w:t>
      </w:r>
    </w:p>
    <w:p>
      <w:pPr>
        <w:pStyle w:val="69"/>
        <w:numPr>
          <w:ilvl w:val="0"/>
          <w:numId w:val="0"/>
        </w:numPr>
        <w:spacing w:before="156" w:after="156"/>
        <w:rPr>
          <w:rFonts w:ascii="Times New Roman"/>
        </w:rPr>
      </w:pPr>
      <w:r>
        <w:rPr>
          <w:rFonts w:hint="eastAsia" w:ascii="Times New Roman"/>
        </w:rPr>
        <w:t>9</w:t>
      </w:r>
      <w:r>
        <w:rPr>
          <w:rFonts w:ascii="Times New Roman"/>
        </w:rPr>
        <w:t>.3.2 知识融合</w:t>
      </w:r>
    </w:p>
    <w:p>
      <w:pPr>
        <w:pStyle w:val="60"/>
        <w:ind w:firstLine="420"/>
        <w:rPr>
          <w:rFonts w:ascii="Times New Roman"/>
        </w:rPr>
      </w:pPr>
      <w:r>
        <w:t>消除已抽取知识的歧义和重复实体，解决知识重复、语义指向不明等问题，包括本体匹配与</w:t>
      </w:r>
      <w:r>
        <w:rPr>
          <w:rFonts w:hint="eastAsia"/>
        </w:rPr>
        <w:t>实体</w:t>
      </w:r>
      <w:r>
        <w:t>匹配。本体</w:t>
      </w:r>
      <w:r>
        <w:rPr>
          <w:rFonts w:hint="eastAsia"/>
        </w:rPr>
        <w:t>匹配</w:t>
      </w:r>
      <w:r>
        <w:t>主要采用本体映射、本体集成等方法，实体匹配主要采用相似度计算、基于规则和基于学习的实体匹配等方法。</w:t>
      </w:r>
    </w:p>
    <w:p>
      <w:pPr>
        <w:pStyle w:val="69"/>
        <w:numPr>
          <w:ilvl w:val="0"/>
          <w:numId w:val="0"/>
        </w:numPr>
        <w:spacing w:before="156" w:after="156"/>
        <w:rPr>
          <w:rFonts w:ascii="Times New Roman"/>
        </w:rPr>
      </w:pPr>
      <w:r>
        <w:rPr>
          <w:rFonts w:hint="eastAsia" w:ascii="Times New Roman"/>
        </w:rPr>
        <w:t>9</w:t>
      </w:r>
      <w:r>
        <w:rPr>
          <w:rFonts w:ascii="Times New Roman"/>
        </w:rPr>
        <w:t>.3.3 知识推理</w:t>
      </w:r>
    </w:p>
    <w:p>
      <w:pPr>
        <w:pStyle w:val="60"/>
        <w:ind w:firstLine="420"/>
        <w:rPr>
          <w:rFonts w:ascii="Times New Roman"/>
        </w:rPr>
      </w:pPr>
      <w:r>
        <w:t>通过基于演绎的推理法、基于归纳的推理法和基于图挖掘的算法等，对图谱已有的知识进行推理以获得新的知识，对知识图谱进行补全和质量检测等。</w:t>
      </w:r>
    </w:p>
    <w:p>
      <w:pPr>
        <w:pStyle w:val="69"/>
        <w:numPr>
          <w:ilvl w:val="0"/>
          <w:numId w:val="0"/>
        </w:numPr>
        <w:spacing w:before="156" w:after="156"/>
        <w:rPr>
          <w:rFonts w:ascii="Times New Roman"/>
        </w:rPr>
      </w:pPr>
      <w:r>
        <w:rPr>
          <w:rFonts w:hint="eastAsia" w:ascii="Times New Roman"/>
        </w:rPr>
        <w:t>9</w:t>
      </w:r>
      <w:r>
        <w:rPr>
          <w:rFonts w:ascii="Times New Roman"/>
        </w:rPr>
        <w:t>.3.4 知识更新</w:t>
      </w:r>
    </w:p>
    <w:p>
      <w:pPr>
        <w:pStyle w:val="60"/>
        <w:ind w:firstLine="420"/>
        <w:rPr>
          <w:rFonts w:ascii="Times New Roman"/>
        </w:rPr>
      </w:pPr>
      <w:r>
        <w:t>在水利实体关系、属性、活动和规律等发生变化时，对知识进行扩充或删改等操作。</w:t>
      </w:r>
    </w:p>
    <w:p>
      <w:pPr>
        <w:pStyle w:val="69"/>
        <w:numPr>
          <w:ilvl w:val="0"/>
          <w:numId w:val="0"/>
        </w:numPr>
        <w:spacing w:before="156" w:after="156"/>
        <w:rPr>
          <w:rFonts w:ascii="Times New Roman"/>
        </w:rPr>
      </w:pPr>
      <w:r>
        <w:rPr>
          <w:rFonts w:hint="eastAsia" w:ascii="Times New Roman"/>
        </w:rPr>
        <w:t>9</w:t>
      </w:r>
      <w:r>
        <w:rPr>
          <w:rFonts w:ascii="Times New Roman"/>
        </w:rPr>
        <w:t xml:space="preserve">.3.5 </w:t>
      </w:r>
      <w:r>
        <w:rPr>
          <w:rFonts w:hint="eastAsia" w:ascii="Times New Roman"/>
        </w:rPr>
        <w:t>知识应用</w:t>
      </w:r>
    </w:p>
    <w:p>
      <w:pPr>
        <w:pStyle w:val="60"/>
        <w:ind w:firstLine="420"/>
        <w:rPr>
          <w:rFonts w:ascii="Times New Roman" w:cs="Calibri"/>
        </w:rPr>
      </w:pPr>
      <w:r>
        <w:rPr>
          <w:rFonts w:hint="eastAsia"/>
        </w:rPr>
        <w:t>宜提供主流开发语言</w:t>
      </w:r>
      <w:r>
        <w:rPr>
          <w:rFonts w:ascii="Times New Roman"/>
        </w:rPr>
        <w:t>Java</w:t>
      </w:r>
      <w:r>
        <w:t>、</w:t>
      </w:r>
      <w:r>
        <w:rPr>
          <w:rFonts w:ascii="Times New Roman"/>
        </w:rPr>
        <w:t>Python</w:t>
      </w:r>
      <w:r>
        <w:rPr>
          <w:rFonts w:hint="eastAsia"/>
        </w:rPr>
        <w:t>的图引擎，支撑业务应用系统开发对接集成。</w:t>
      </w:r>
    </w:p>
    <w:p>
      <w:pPr>
        <w:pStyle w:val="108"/>
        <w:numPr>
          <w:ilvl w:val="0"/>
          <w:numId w:val="0"/>
        </w:numPr>
        <w:spacing w:before="312" w:after="312"/>
        <w:rPr>
          <w:rFonts w:ascii="Times New Roman"/>
        </w:rPr>
      </w:pPr>
      <w:bookmarkStart w:id="137" w:name="_Toc17708"/>
      <w:bookmarkStart w:id="138" w:name="_Toc134695803"/>
      <w:bookmarkStart w:id="139" w:name="_Toc6050"/>
      <w:bookmarkStart w:id="140" w:name="_Toc15920"/>
      <w:r>
        <w:rPr>
          <w:rFonts w:hint="eastAsia" w:ascii="Times New Roman"/>
        </w:rPr>
        <w:t>10</w:t>
      </w:r>
      <w:r>
        <w:rPr>
          <w:rFonts w:ascii="Times New Roman"/>
        </w:rPr>
        <w:t xml:space="preserve"> </w:t>
      </w:r>
      <w:r>
        <w:rPr>
          <w:rFonts w:hint="eastAsia" w:ascii="Times New Roman"/>
        </w:rPr>
        <w:t>业务应用场景</w:t>
      </w:r>
      <w:bookmarkEnd w:id="137"/>
      <w:bookmarkEnd w:id="138"/>
      <w:bookmarkEnd w:id="139"/>
    </w:p>
    <w:p>
      <w:pPr>
        <w:pStyle w:val="169"/>
        <w:numPr>
          <w:ilvl w:val="0"/>
          <w:numId w:val="0"/>
        </w:numPr>
        <w:spacing w:before="156" w:beforeLines="50" w:after="156" w:afterLines="50"/>
        <w:ind w:left="284"/>
        <w:rPr>
          <w:rFonts w:ascii="Times New Roman"/>
        </w:rPr>
      </w:pPr>
      <w:r>
        <w:rPr>
          <w:rFonts w:hint="eastAsia" w:ascii="Times New Roman"/>
        </w:rPr>
        <w:t>业务应用场景包括但不限于以下方面。</w:t>
      </w:r>
    </w:p>
    <w:p>
      <w:pPr>
        <w:pStyle w:val="136"/>
        <w:numPr>
          <w:ilvl w:val="0"/>
          <w:numId w:val="0"/>
        </w:numPr>
        <w:ind w:firstLine="420" w:firstLineChars="200"/>
        <w:rPr>
          <w:rFonts w:ascii="Times New Roman"/>
        </w:rPr>
      </w:pPr>
      <w:r>
        <w:rPr>
          <w:rFonts w:ascii="Times New Roman"/>
        </w:rPr>
        <w:t>a）水旱灾害防御</w:t>
      </w:r>
      <w:r>
        <w:rPr>
          <w:rFonts w:hint="eastAsia" w:ascii="Times New Roman"/>
        </w:rPr>
        <w:t>，包括防汛指挥决策、水工程</w:t>
      </w:r>
      <w:r>
        <w:rPr>
          <w:rFonts w:ascii="Times New Roman"/>
        </w:rPr>
        <w:t>预报</w:t>
      </w:r>
      <w:r>
        <w:rPr>
          <w:rFonts w:hint="eastAsia" w:ascii="Times New Roman"/>
        </w:rPr>
        <w:t>预警</w:t>
      </w:r>
      <w:r>
        <w:rPr>
          <w:rFonts w:ascii="Times New Roman"/>
        </w:rPr>
        <w:t>调度、</w:t>
      </w:r>
      <w:r>
        <w:rPr>
          <w:rFonts w:hint="eastAsia" w:ascii="Times New Roman"/>
        </w:rPr>
        <w:t>特大暴雨城市防洪避险、水库塘坝防洪预警、长江崩岸监测预警等。</w:t>
      </w:r>
    </w:p>
    <w:p>
      <w:pPr>
        <w:pStyle w:val="136"/>
        <w:numPr>
          <w:ilvl w:val="0"/>
          <w:numId w:val="0"/>
        </w:numPr>
        <w:ind w:firstLine="420" w:firstLineChars="200"/>
        <w:rPr>
          <w:rFonts w:ascii="Times New Roman"/>
        </w:rPr>
      </w:pPr>
      <w:r>
        <w:rPr>
          <w:rFonts w:hint="eastAsia" w:ascii="Times New Roman"/>
        </w:rPr>
        <w:t>b</w:t>
      </w:r>
      <w:r>
        <w:rPr>
          <w:rFonts w:ascii="Times New Roman"/>
        </w:rPr>
        <w:t>）水资源调配</w:t>
      </w:r>
      <w:r>
        <w:rPr>
          <w:rFonts w:hint="eastAsia" w:ascii="Times New Roman"/>
        </w:rPr>
        <w:t>，包括</w:t>
      </w:r>
      <w:r>
        <w:rPr>
          <w:rFonts w:ascii="Times New Roman"/>
        </w:rPr>
        <w:t>江水北调、</w:t>
      </w:r>
      <w:r>
        <w:rPr>
          <w:rFonts w:hint="eastAsia" w:ascii="Times New Roman"/>
        </w:rPr>
        <w:t>江水东引、</w:t>
      </w:r>
      <w:r>
        <w:rPr>
          <w:rFonts w:ascii="Times New Roman"/>
        </w:rPr>
        <w:t>引江济太、</w:t>
      </w:r>
      <w:r>
        <w:rPr>
          <w:rFonts w:hint="eastAsia" w:ascii="Times New Roman"/>
        </w:rPr>
        <w:t>河湖互济、水源地应急调度等。</w:t>
      </w:r>
    </w:p>
    <w:p>
      <w:pPr>
        <w:pStyle w:val="136"/>
        <w:numPr>
          <w:ilvl w:val="0"/>
          <w:numId w:val="0"/>
        </w:numPr>
        <w:ind w:firstLine="420" w:firstLineChars="200"/>
        <w:rPr>
          <w:rFonts w:ascii="Times New Roman"/>
        </w:rPr>
      </w:pPr>
      <w:r>
        <w:rPr>
          <w:rFonts w:ascii="Times New Roman"/>
        </w:rPr>
        <w:t>c）河湖管理</w:t>
      </w:r>
      <w:r>
        <w:rPr>
          <w:rFonts w:hint="eastAsia" w:ascii="Times New Roman"/>
        </w:rPr>
        <w:t>，包括</w:t>
      </w:r>
      <w:r>
        <w:rPr>
          <w:rFonts w:ascii="Times New Roman"/>
        </w:rPr>
        <w:t>水域及其岸线保护管理、</w:t>
      </w:r>
      <w:r>
        <w:rPr>
          <w:rFonts w:hint="eastAsia" w:ascii="Times New Roman"/>
        </w:rPr>
        <w:t>太湖治理、</w:t>
      </w:r>
      <w:r>
        <w:rPr>
          <w:rFonts w:ascii="Times New Roman"/>
        </w:rPr>
        <w:t>河湖健康评价、水</w:t>
      </w:r>
      <w:r>
        <w:rPr>
          <w:rFonts w:hint="eastAsia" w:ascii="Times New Roman"/>
        </w:rPr>
        <w:t>生态</w:t>
      </w:r>
      <w:r>
        <w:rPr>
          <w:rFonts w:ascii="Times New Roman"/>
        </w:rPr>
        <w:t>修复、河长</w:t>
      </w:r>
      <w:r>
        <w:rPr>
          <w:rFonts w:hint="eastAsia" w:ascii="Times New Roman"/>
        </w:rPr>
        <w:t>巡河等。</w:t>
      </w:r>
    </w:p>
    <w:p>
      <w:pPr>
        <w:pStyle w:val="136"/>
        <w:numPr>
          <w:ilvl w:val="0"/>
          <w:numId w:val="0"/>
        </w:numPr>
        <w:ind w:firstLine="420" w:firstLineChars="200"/>
        <w:rPr>
          <w:rFonts w:ascii="Times New Roman"/>
        </w:rPr>
      </w:pPr>
      <w:r>
        <w:rPr>
          <w:rFonts w:ascii="Times New Roman"/>
        </w:rPr>
        <w:t>d）农村水利与水土保持</w:t>
      </w:r>
      <w:r>
        <w:rPr>
          <w:rFonts w:hint="eastAsia" w:ascii="Times New Roman"/>
        </w:rPr>
        <w:t>，包括灌区建管、</w:t>
      </w:r>
      <w:r>
        <w:rPr>
          <w:rFonts w:ascii="Times New Roman"/>
        </w:rPr>
        <w:t>河道疏浚、水土保持</w:t>
      </w:r>
      <w:r>
        <w:rPr>
          <w:rFonts w:hint="eastAsia" w:ascii="Times New Roman"/>
        </w:rPr>
        <w:t>等。</w:t>
      </w:r>
    </w:p>
    <w:p>
      <w:pPr>
        <w:pStyle w:val="136"/>
        <w:numPr>
          <w:ilvl w:val="0"/>
          <w:numId w:val="0"/>
        </w:numPr>
        <w:ind w:firstLine="420" w:firstLineChars="200"/>
        <w:rPr>
          <w:rFonts w:ascii="Times New Roman"/>
        </w:rPr>
      </w:pPr>
      <w:r>
        <w:rPr>
          <w:rFonts w:ascii="Times New Roman"/>
        </w:rPr>
        <w:t>e）水利工程建设</w:t>
      </w:r>
      <w:r>
        <w:rPr>
          <w:rFonts w:hint="eastAsia" w:ascii="Times New Roman"/>
        </w:rPr>
        <w:t>，包括</w:t>
      </w:r>
      <w:r>
        <w:rPr>
          <w:rFonts w:ascii="Times New Roman"/>
        </w:rPr>
        <w:t>规划设计、建设管理</w:t>
      </w:r>
      <w:r>
        <w:rPr>
          <w:rFonts w:hint="eastAsia" w:ascii="Times New Roman"/>
        </w:rPr>
        <w:t>等。</w:t>
      </w:r>
    </w:p>
    <w:p>
      <w:pPr>
        <w:pStyle w:val="136"/>
        <w:numPr>
          <w:ilvl w:val="0"/>
          <w:numId w:val="0"/>
        </w:numPr>
        <w:ind w:firstLine="420" w:firstLineChars="200"/>
        <w:rPr>
          <w:rFonts w:ascii="Times New Roman"/>
        </w:rPr>
      </w:pPr>
      <w:r>
        <w:rPr>
          <w:rFonts w:ascii="Times New Roman"/>
        </w:rPr>
        <w:t>f）水利工程运行</w:t>
      </w:r>
      <w:r>
        <w:rPr>
          <w:rFonts w:hint="eastAsia" w:ascii="Times New Roman"/>
        </w:rPr>
        <w:t>，包括</w:t>
      </w:r>
      <w:r>
        <w:rPr>
          <w:rFonts w:ascii="Times New Roman"/>
        </w:rPr>
        <w:t>水利工程</w:t>
      </w:r>
      <w:r>
        <w:rPr>
          <w:rFonts w:hint="eastAsia" w:ascii="Times New Roman"/>
        </w:rPr>
        <w:t>划界确权、维修养护、标准化创建等。</w:t>
      </w:r>
    </w:p>
    <w:p>
      <w:pPr>
        <w:pStyle w:val="136"/>
        <w:numPr>
          <w:ilvl w:val="0"/>
          <w:numId w:val="0"/>
        </w:numPr>
        <w:ind w:firstLine="420" w:firstLineChars="200"/>
        <w:rPr>
          <w:rFonts w:ascii="Times New Roman"/>
        </w:rPr>
      </w:pPr>
      <w:r>
        <w:rPr>
          <w:rFonts w:ascii="Times New Roman"/>
        </w:rPr>
        <w:t>g）水行政执法</w:t>
      </w:r>
      <w:r>
        <w:rPr>
          <w:rFonts w:hint="eastAsia" w:ascii="Times New Roman"/>
        </w:rPr>
        <w:t>，包括</w:t>
      </w:r>
      <w:r>
        <w:rPr>
          <w:rFonts w:ascii="Times New Roman"/>
        </w:rPr>
        <w:t>涉水违法查处、水事矛盾调查、河道采砂管理</w:t>
      </w:r>
      <w:r>
        <w:rPr>
          <w:rFonts w:hint="eastAsia" w:ascii="Times New Roman"/>
        </w:rPr>
        <w:t>等。</w:t>
      </w:r>
    </w:p>
    <w:p>
      <w:pPr>
        <w:pStyle w:val="136"/>
        <w:numPr>
          <w:ilvl w:val="0"/>
          <w:numId w:val="0"/>
        </w:numPr>
        <w:ind w:firstLine="420" w:firstLineChars="200"/>
        <w:rPr>
          <w:rFonts w:ascii="Times New Roman"/>
        </w:rPr>
      </w:pPr>
      <w:r>
        <w:rPr>
          <w:rFonts w:ascii="Times New Roman"/>
        </w:rPr>
        <w:t>h）水资源与节水管理</w:t>
      </w:r>
      <w:r>
        <w:rPr>
          <w:rFonts w:hint="eastAsia" w:ascii="Times New Roman"/>
        </w:rPr>
        <w:t>，包括</w:t>
      </w:r>
      <w:r>
        <w:rPr>
          <w:rFonts w:ascii="Times New Roman"/>
        </w:rPr>
        <w:t>水资源管理、</w:t>
      </w:r>
      <w:r>
        <w:rPr>
          <w:rFonts w:hint="eastAsia" w:ascii="Times New Roman"/>
        </w:rPr>
        <w:t>水源地管理、</w:t>
      </w:r>
      <w:r>
        <w:rPr>
          <w:rFonts w:ascii="Times New Roman"/>
        </w:rPr>
        <w:t>节约用水管理</w:t>
      </w:r>
      <w:r>
        <w:rPr>
          <w:rFonts w:hint="eastAsia" w:ascii="Times New Roman"/>
        </w:rPr>
        <w:t>等。</w:t>
      </w:r>
    </w:p>
    <w:p>
      <w:pPr>
        <w:pStyle w:val="136"/>
        <w:numPr>
          <w:ilvl w:val="0"/>
          <w:numId w:val="0"/>
        </w:numPr>
        <w:ind w:firstLine="420" w:firstLineChars="200"/>
        <w:rPr>
          <w:rFonts w:ascii="Times New Roman"/>
        </w:rPr>
      </w:pPr>
      <w:r>
        <w:rPr>
          <w:rFonts w:ascii="Times New Roman"/>
        </w:rPr>
        <w:t>i）水文系统管理</w:t>
      </w:r>
      <w:r>
        <w:rPr>
          <w:rFonts w:hint="eastAsia" w:ascii="Times New Roman"/>
        </w:rPr>
        <w:t>，包括</w:t>
      </w:r>
      <w:r>
        <w:rPr>
          <w:rFonts w:ascii="Times New Roman"/>
        </w:rPr>
        <w:t>水文站网规划建设</w:t>
      </w:r>
      <w:r>
        <w:rPr>
          <w:rFonts w:hint="eastAsia" w:ascii="Times New Roman"/>
        </w:rPr>
        <w:t>、水文预报、水情服务等。</w:t>
      </w:r>
    </w:p>
    <w:p>
      <w:pPr>
        <w:pStyle w:val="136"/>
        <w:numPr>
          <w:ilvl w:val="0"/>
          <w:numId w:val="0"/>
        </w:numPr>
        <w:ind w:firstLine="420" w:firstLineChars="200"/>
        <w:rPr>
          <w:rFonts w:ascii="Times New Roman"/>
        </w:rPr>
      </w:pPr>
      <w:r>
        <w:rPr>
          <w:rFonts w:ascii="Times New Roman"/>
        </w:rPr>
        <w:t>j）政务管理与服务</w:t>
      </w:r>
      <w:r>
        <w:rPr>
          <w:rFonts w:hint="eastAsia" w:ascii="Times New Roman"/>
        </w:rPr>
        <w:t>，包括行政许可、办公自动化、门户网站等。</w:t>
      </w:r>
    </w:p>
    <w:p>
      <w:pPr>
        <w:pStyle w:val="108"/>
        <w:numPr>
          <w:ilvl w:val="0"/>
          <w:numId w:val="0"/>
        </w:numPr>
        <w:spacing w:before="312" w:after="312"/>
        <w:rPr>
          <w:rFonts w:ascii="Times New Roman"/>
        </w:rPr>
      </w:pPr>
      <w:bookmarkStart w:id="141" w:name="_Toc1298"/>
      <w:r>
        <w:rPr>
          <w:rFonts w:hint="eastAsia" w:ascii="Times New Roman"/>
        </w:rPr>
        <w:t>11</w:t>
      </w:r>
      <w:r>
        <w:rPr>
          <w:rFonts w:ascii="Times New Roman"/>
        </w:rPr>
        <w:t xml:space="preserve"> 共建共享</w:t>
      </w:r>
      <w:bookmarkEnd w:id="140"/>
      <w:bookmarkEnd w:id="141"/>
    </w:p>
    <w:p>
      <w:pPr>
        <w:pStyle w:val="109"/>
        <w:numPr>
          <w:ilvl w:val="0"/>
          <w:numId w:val="0"/>
        </w:numPr>
        <w:spacing w:before="156" w:after="156"/>
        <w:rPr>
          <w:rFonts w:ascii="Times New Roman"/>
        </w:rPr>
      </w:pPr>
      <w:bookmarkStart w:id="142" w:name="_Toc24877"/>
      <w:bookmarkStart w:id="143" w:name="_Toc4297"/>
      <w:r>
        <w:rPr>
          <w:rFonts w:ascii="Times New Roman"/>
        </w:rPr>
        <w:t>1</w:t>
      </w:r>
      <w:r>
        <w:rPr>
          <w:rFonts w:hint="eastAsia" w:ascii="Times New Roman"/>
        </w:rPr>
        <w:t>1</w:t>
      </w:r>
      <w:r>
        <w:rPr>
          <w:rFonts w:ascii="Times New Roman"/>
        </w:rPr>
        <w:t xml:space="preserve">.1 </w:t>
      </w:r>
      <w:r>
        <w:rPr>
          <w:rFonts w:hint="eastAsia" w:ascii="Times New Roman"/>
        </w:rPr>
        <w:t>共享方式</w:t>
      </w:r>
      <w:bookmarkEnd w:id="142"/>
      <w:bookmarkEnd w:id="143"/>
    </w:p>
    <w:p>
      <w:pPr>
        <w:pStyle w:val="60"/>
        <w:ind w:firstLine="420"/>
      </w:pPr>
      <w:r>
        <w:t>宜</w:t>
      </w:r>
      <w:r>
        <w:rPr>
          <w:rFonts w:hint="eastAsia"/>
        </w:rPr>
        <w:t>利用</w:t>
      </w:r>
      <w:r>
        <w:t>江苏省</w:t>
      </w:r>
      <w:r>
        <w:rPr>
          <w:rFonts w:hint="eastAsia"/>
        </w:rPr>
        <w:t>数字孪生水网平台，实现</w:t>
      </w:r>
      <w:r>
        <w:t>数据</w:t>
      </w:r>
      <w:r>
        <w:rPr>
          <w:rFonts w:hint="eastAsia"/>
        </w:rPr>
        <w:t>底板</w:t>
      </w:r>
      <w:r>
        <w:t>、模型</w:t>
      </w:r>
      <w:r>
        <w:rPr>
          <w:rFonts w:hint="eastAsia"/>
        </w:rPr>
        <w:t>平台</w:t>
      </w:r>
      <w:r>
        <w:t>和知识</w:t>
      </w:r>
      <w:r>
        <w:rPr>
          <w:rFonts w:hint="eastAsia"/>
        </w:rPr>
        <w:t>平台的各类服务横向</w:t>
      </w:r>
      <w:r>
        <w:t>跨部门、</w:t>
      </w:r>
      <w:r>
        <w:rPr>
          <w:rFonts w:hint="eastAsia"/>
        </w:rPr>
        <w:t>纵向</w:t>
      </w:r>
      <w:r>
        <w:t>跨</w:t>
      </w:r>
      <w:r>
        <w:rPr>
          <w:rFonts w:hint="eastAsia"/>
        </w:rPr>
        <w:t>省、市（县）的共建</w:t>
      </w:r>
      <w:r>
        <w:t>共享</w:t>
      </w:r>
      <w:r>
        <w:rPr>
          <w:rFonts w:hint="eastAsia"/>
        </w:rPr>
        <w:t>。数字孪生水网平台可部署于水利专网和政务外网，也可以分节点部署，各级应用节点可申请相应权限和使用资源。</w:t>
      </w:r>
    </w:p>
    <w:p>
      <w:pPr>
        <w:pStyle w:val="109"/>
        <w:numPr>
          <w:ilvl w:val="0"/>
          <w:numId w:val="0"/>
        </w:numPr>
        <w:spacing w:before="156" w:after="156"/>
        <w:rPr>
          <w:rFonts w:ascii="Times New Roman"/>
        </w:rPr>
      </w:pPr>
      <w:bookmarkStart w:id="144" w:name="_Toc18498"/>
      <w:bookmarkStart w:id="145" w:name="_Toc24845"/>
      <w:r>
        <w:rPr>
          <w:rFonts w:hint="eastAsia" w:ascii="Times New Roman"/>
        </w:rPr>
        <w:t>11</w:t>
      </w:r>
      <w:r>
        <w:rPr>
          <w:rFonts w:ascii="Times New Roman"/>
        </w:rPr>
        <w:t xml:space="preserve">.2 </w:t>
      </w:r>
      <w:r>
        <w:rPr>
          <w:rFonts w:hint="eastAsia" w:ascii="Times New Roman"/>
        </w:rPr>
        <w:t>数据共享</w:t>
      </w:r>
      <w:bookmarkEnd w:id="144"/>
      <w:bookmarkEnd w:id="145"/>
    </w:p>
    <w:p>
      <w:pPr>
        <w:pStyle w:val="60"/>
        <w:ind w:firstLine="420"/>
      </w:pPr>
      <w:r>
        <w:rPr>
          <w:rFonts w:hint="eastAsia"/>
        </w:rPr>
        <w:t>省、市、县各级数据底板建设成果</w:t>
      </w:r>
      <w:r>
        <w:t>宜</w:t>
      </w:r>
      <w:r>
        <w:rPr>
          <w:rFonts w:hint="eastAsia"/>
        </w:rPr>
        <w:t>自下而上</w:t>
      </w:r>
      <w:r>
        <w:t>向</w:t>
      </w:r>
      <w:r>
        <w:rPr>
          <w:rFonts w:hint="eastAsia"/>
        </w:rPr>
        <w:t>数字孪生水网平台</w:t>
      </w:r>
      <w:r>
        <w:t>汇聚</w:t>
      </w:r>
      <w:r>
        <w:rPr>
          <w:rFonts w:hint="eastAsia"/>
        </w:rPr>
        <w:t>；数字孪生水网平台提供数据服务。</w:t>
      </w:r>
    </w:p>
    <w:p>
      <w:pPr>
        <w:pStyle w:val="109"/>
        <w:numPr>
          <w:ilvl w:val="0"/>
          <w:numId w:val="0"/>
        </w:numPr>
        <w:spacing w:before="156" w:after="156"/>
        <w:rPr>
          <w:rFonts w:ascii="Times New Roman"/>
        </w:rPr>
      </w:pPr>
      <w:bookmarkStart w:id="146" w:name="_Toc11797"/>
      <w:bookmarkStart w:id="147" w:name="_Toc19949"/>
      <w:r>
        <w:rPr>
          <w:rFonts w:ascii="Times New Roman"/>
        </w:rPr>
        <w:t>1</w:t>
      </w:r>
      <w:r>
        <w:rPr>
          <w:rFonts w:hint="eastAsia" w:ascii="Times New Roman"/>
        </w:rPr>
        <w:t>1</w:t>
      </w:r>
      <w:r>
        <w:rPr>
          <w:rFonts w:ascii="Times New Roman"/>
        </w:rPr>
        <w:t xml:space="preserve">.3 </w:t>
      </w:r>
      <w:bookmarkEnd w:id="146"/>
      <w:r>
        <w:rPr>
          <w:rFonts w:hint="eastAsia" w:ascii="Times New Roman"/>
        </w:rPr>
        <w:t>模型服务</w:t>
      </w:r>
      <w:bookmarkEnd w:id="147"/>
    </w:p>
    <w:p>
      <w:pPr>
        <w:pStyle w:val="136"/>
        <w:numPr>
          <w:ilvl w:val="0"/>
          <w:numId w:val="0"/>
        </w:numPr>
        <w:ind w:firstLine="420" w:firstLineChars="200"/>
        <w:rPr>
          <w:rFonts w:ascii="Times New Roman"/>
        </w:rPr>
      </w:pPr>
      <w:r>
        <w:rPr>
          <w:rFonts w:hint="eastAsia" w:ascii="Times New Roman"/>
        </w:rPr>
        <w:t>通过</w:t>
      </w:r>
      <w:r>
        <w:rPr>
          <w:rFonts w:hint="eastAsia"/>
        </w:rPr>
        <w:t>数字孪生水网平台</w:t>
      </w:r>
      <w:r>
        <w:rPr>
          <w:rFonts w:hint="eastAsia" w:ascii="Times New Roman"/>
        </w:rPr>
        <w:t>提供各类模型服务，主要包含以下方面。</w:t>
      </w:r>
    </w:p>
    <w:p>
      <w:pPr>
        <w:pStyle w:val="136"/>
        <w:numPr>
          <w:ilvl w:val="0"/>
          <w:numId w:val="0"/>
        </w:numPr>
        <w:ind w:firstLine="420" w:firstLineChars="200"/>
        <w:rPr>
          <w:rFonts w:ascii="Times New Roman"/>
        </w:rPr>
      </w:pPr>
      <w:r>
        <w:rPr>
          <w:rFonts w:hint="eastAsia" w:ascii="Times New Roman"/>
        </w:rPr>
        <w:t>a）提供模型在线开发、封装、接口开发、上下架、权限审批等功能。</w:t>
      </w:r>
    </w:p>
    <w:p>
      <w:pPr>
        <w:pStyle w:val="136"/>
        <w:numPr>
          <w:ilvl w:val="0"/>
          <w:numId w:val="0"/>
        </w:numPr>
        <w:ind w:firstLine="420" w:firstLineChars="200"/>
        <w:rPr>
          <w:rFonts w:ascii="Times New Roman"/>
        </w:rPr>
      </w:pPr>
      <w:r>
        <w:rPr>
          <w:rFonts w:ascii="Times New Roman"/>
        </w:rPr>
        <w:t>b</w:t>
      </w:r>
      <w:r>
        <w:rPr>
          <w:rFonts w:hint="eastAsia" w:ascii="Times New Roman"/>
        </w:rPr>
        <w:t>）提供通用模型服务、专业模型定制、场景管理等能力。</w:t>
      </w:r>
    </w:p>
    <w:p>
      <w:pPr>
        <w:pStyle w:val="136"/>
        <w:numPr>
          <w:ilvl w:val="0"/>
          <w:numId w:val="0"/>
        </w:numPr>
        <w:ind w:firstLine="420" w:firstLineChars="200"/>
        <w:rPr>
          <w:rFonts w:ascii="Times New Roman"/>
        </w:rPr>
      </w:pPr>
      <w:r>
        <w:rPr>
          <w:rFonts w:hint="eastAsia" w:ascii="Times New Roman"/>
        </w:rPr>
        <w:t>c）提供模型计算服务。</w:t>
      </w:r>
    </w:p>
    <w:p>
      <w:pPr>
        <w:pStyle w:val="109"/>
        <w:numPr>
          <w:ilvl w:val="0"/>
          <w:numId w:val="0"/>
        </w:numPr>
        <w:spacing w:before="156" w:after="156"/>
        <w:rPr>
          <w:rFonts w:ascii="Times New Roman"/>
        </w:rPr>
      </w:pPr>
      <w:bookmarkStart w:id="148" w:name="_Toc17626"/>
      <w:r>
        <w:rPr>
          <w:rFonts w:ascii="Times New Roman"/>
        </w:rPr>
        <w:t>1</w:t>
      </w:r>
      <w:r>
        <w:rPr>
          <w:rFonts w:hint="eastAsia" w:ascii="Times New Roman"/>
        </w:rPr>
        <w:t>1</w:t>
      </w:r>
      <w:r>
        <w:rPr>
          <w:rFonts w:ascii="Times New Roman"/>
        </w:rPr>
        <w:t xml:space="preserve">.4 </w:t>
      </w:r>
      <w:r>
        <w:rPr>
          <w:rFonts w:hint="eastAsia" w:ascii="Times New Roman"/>
        </w:rPr>
        <w:t>知识共用</w:t>
      </w:r>
      <w:bookmarkEnd w:id="148"/>
    </w:p>
    <w:p>
      <w:pPr>
        <w:pStyle w:val="136"/>
        <w:numPr>
          <w:ilvl w:val="0"/>
          <w:numId w:val="0"/>
        </w:numPr>
        <w:ind w:firstLine="420" w:firstLineChars="200"/>
        <w:rPr>
          <w:rFonts w:ascii="Times New Roman"/>
        </w:rPr>
      </w:pPr>
      <w:r>
        <w:rPr>
          <w:rFonts w:hint="eastAsia"/>
        </w:rPr>
        <w:t>数字孪生水网平台</w:t>
      </w:r>
      <w:r>
        <w:rPr>
          <w:rFonts w:hint="eastAsia" w:ascii="Times New Roman"/>
        </w:rPr>
        <w:t>提供通用的知识库存储与知识图谱构建工具。</w:t>
      </w:r>
    </w:p>
    <w:p>
      <w:pPr>
        <w:pStyle w:val="109"/>
        <w:numPr>
          <w:ilvl w:val="0"/>
          <w:numId w:val="0"/>
        </w:numPr>
        <w:spacing w:before="156" w:after="156"/>
        <w:rPr>
          <w:rFonts w:ascii="Times New Roman"/>
        </w:rPr>
      </w:pPr>
      <w:bookmarkStart w:id="149" w:name="_Toc25523"/>
      <w:bookmarkStart w:id="150" w:name="_Toc2933"/>
      <w:r>
        <w:rPr>
          <w:rFonts w:ascii="Times New Roman"/>
        </w:rPr>
        <w:t>1</w:t>
      </w:r>
      <w:r>
        <w:rPr>
          <w:rFonts w:hint="eastAsia" w:ascii="Times New Roman"/>
        </w:rPr>
        <w:t>1</w:t>
      </w:r>
      <w:r>
        <w:rPr>
          <w:rFonts w:ascii="Times New Roman"/>
        </w:rPr>
        <w:t>.</w:t>
      </w:r>
      <w:r>
        <w:rPr>
          <w:rFonts w:hint="eastAsia" w:ascii="Times New Roman"/>
        </w:rPr>
        <w:t>5</w:t>
      </w:r>
      <w:r>
        <w:rPr>
          <w:rFonts w:ascii="Times New Roman"/>
        </w:rPr>
        <w:t xml:space="preserve"> 保障措施</w:t>
      </w:r>
      <w:bookmarkEnd w:id="149"/>
      <w:bookmarkEnd w:id="150"/>
    </w:p>
    <w:p>
      <w:pPr>
        <w:pStyle w:val="169"/>
        <w:numPr>
          <w:ilvl w:val="0"/>
          <w:numId w:val="0"/>
        </w:numPr>
        <w:spacing w:before="156" w:beforeLines="50" w:after="156" w:afterLines="50"/>
        <w:ind w:left="425"/>
      </w:pPr>
      <w:r>
        <w:rPr>
          <w:rFonts w:hint="eastAsia" w:ascii="Times New Roman"/>
        </w:rPr>
        <w:t>保障措施包括但不限于以下内容。</w:t>
      </w:r>
    </w:p>
    <w:p>
      <w:pPr>
        <w:pStyle w:val="136"/>
        <w:numPr>
          <w:ilvl w:val="0"/>
          <w:numId w:val="0"/>
        </w:numPr>
        <w:ind w:firstLine="420" w:firstLineChars="200"/>
        <w:rPr>
          <w:rFonts w:ascii="Times New Roman"/>
        </w:rPr>
      </w:pPr>
      <w:r>
        <w:rPr>
          <w:rFonts w:hint="eastAsia" w:ascii="Times New Roman"/>
        </w:rPr>
        <w:t>a</w:t>
      </w:r>
      <w:r>
        <w:rPr>
          <w:rFonts w:ascii="Times New Roman"/>
        </w:rPr>
        <w:t>）数据底板、模型平台</w:t>
      </w:r>
      <w:r>
        <w:rPr>
          <w:rFonts w:hint="eastAsia" w:ascii="Times New Roman"/>
        </w:rPr>
        <w:t>和</w:t>
      </w:r>
      <w:r>
        <w:rPr>
          <w:rFonts w:ascii="Times New Roman"/>
        </w:rPr>
        <w:t>知识平台等资源服务共享目录</w:t>
      </w:r>
      <w:r>
        <w:rPr>
          <w:rFonts w:hint="eastAsia" w:ascii="Times New Roman"/>
        </w:rPr>
        <w:t>定期更新。</w:t>
      </w:r>
    </w:p>
    <w:p>
      <w:pPr>
        <w:pStyle w:val="136"/>
        <w:numPr>
          <w:ilvl w:val="0"/>
          <w:numId w:val="0"/>
        </w:numPr>
        <w:ind w:firstLine="420" w:firstLineChars="200"/>
        <w:rPr>
          <w:rFonts w:ascii="Times New Roman"/>
        </w:rPr>
      </w:pPr>
      <w:r>
        <w:rPr>
          <w:rFonts w:ascii="Times New Roman"/>
        </w:rPr>
        <w:t>b）</w:t>
      </w:r>
      <w:r>
        <w:rPr>
          <w:rFonts w:hint="eastAsia" w:ascii="Times New Roman"/>
        </w:rPr>
        <w:t>数字孪生水网建设单位宜遵循</w:t>
      </w:r>
      <w:r>
        <w:rPr>
          <w:rFonts w:ascii="Times New Roman"/>
        </w:rPr>
        <w:t>GB/T 22239</w:t>
      </w:r>
      <w:r>
        <w:rPr>
          <w:rFonts w:hint="eastAsia" w:ascii="Times New Roman"/>
        </w:rPr>
        <w:t>、</w:t>
      </w:r>
      <w:r>
        <w:rPr>
          <w:rFonts w:ascii="Times New Roman"/>
        </w:rPr>
        <w:t>SL/T 803</w:t>
      </w:r>
      <w:r>
        <w:rPr>
          <w:rFonts w:hint="eastAsia" w:ascii="Times New Roman"/>
        </w:rPr>
        <w:t>的要求，加强网络和信息安全建设与保障。</w:t>
      </w:r>
    </w:p>
    <w:bookmarkEnd w:id="4"/>
    <w:p>
      <w:pPr>
        <w:sectPr>
          <w:headerReference r:id="rId21" w:type="default"/>
          <w:footerReference r:id="rId22" w:type="default"/>
          <w:pgSz w:w="11906" w:h="16838"/>
          <w:pgMar w:top="2268" w:right="1134" w:bottom="1134" w:left="1134" w:header="1418" w:footer="850" w:gutter="284"/>
          <w:pgNumType w:start="1"/>
          <w:cols w:space="425" w:num="1"/>
          <w:formProt w:val="0"/>
          <w:docGrid w:type="lines" w:linePitch="312" w:charSpace="0"/>
        </w:sectPr>
      </w:pPr>
    </w:p>
    <w:p>
      <w:pPr>
        <w:pStyle w:val="108"/>
        <w:numPr>
          <w:ilvl w:val="0"/>
          <w:numId w:val="0"/>
        </w:numPr>
        <w:spacing w:before="312" w:after="312"/>
        <w:jc w:val="center"/>
        <w:rPr>
          <w:rFonts w:ascii="Times New Roman"/>
        </w:rPr>
      </w:pPr>
      <w:bookmarkStart w:id="151" w:name="_Toc27131"/>
      <w:r>
        <w:rPr>
          <w:rFonts w:hint="eastAsia" w:ascii="Times New Roman"/>
        </w:rPr>
        <w:t>参考文献</w:t>
      </w:r>
      <w:bookmarkEnd w:id="151"/>
    </w:p>
    <w:p>
      <w:pPr>
        <w:pStyle w:val="60"/>
        <w:ind w:firstLine="420"/>
        <w:rPr>
          <w:rFonts w:ascii="Times New Roman"/>
        </w:rPr>
      </w:pPr>
      <w:r>
        <w:rPr>
          <w:rFonts w:ascii="Times New Roman"/>
        </w:rPr>
        <w:t>[1]</w:t>
      </w:r>
      <w:r>
        <w:rPr>
          <w:rFonts w:hint="eastAsia" w:ascii="Times New Roman"/>
        </w:rPr>
        <w:t>《数字孪生流域共建共享管理办法（试行）》</w:t>
      </w:r>
    </w:p>
    <w:p>
      <w:pPr>
        <w:pStyle w:val="60"/>
        <w:ind w:firstLine="420"/>
        <w:rPr>
          <w:rFonts w:ascii="Times New Roman"/>
        </w:rPr>
      </w:pPr>
      <w:r>
        <w:rPr>
          <w:rFonts w:hint="eastAsia" w:ascii="Times New Roman"/>
        </w:rPr>
        <w:t>[</w:t>
      </w:r>
      <w:r>
        <w:rPr>
          <w:rFonts w:ascii="Times New Roman"/>
        </w:rPr>
        <w:t>2]</w:t>
      </w:r>
      <w:r>
        <w:rPr>
          <w:rFonts w:hint="eastAsia" w:ascii="Times New Roman"/>
        </w:rPr>
        <w:t>《数字孪生流域建设技术大纲（试行）》</w:t>
      </w:r>
    </w:p>
    <w:p>
      <w:pPr>
        <w:pStyle w:val="60"/>
        <w:ind w:firstLine="420"/>
        <w:rPr>
          <w:rFonts w:ascii="Times New Roman"/>
        </w:rPr>
      </w:pPr>
      <w:r>
        <w:rPr>
          <w:rFonts w:hint="eastAsia" w:ascii="Times New Roman"/>
        </w:rPr>
        <w:t>[</w:t>
      </w:r>
      <w:r>
        <w:rPr>
          <w:rFonts w:ascii="Times New Roman"/>
        </w:rPr>
        <w:t>3]</w:t>
      </w:r>
      <w:r>
        <w:rPr>
          <w:rFonts w:hint="eastAsia" w:ascii="Times New Roman"/>
        </w:rPr>
        <w:t>《</w:t>
      </w:r>
      <w:r>
        <w:rPr>
          <w:rFonts w:ascii="Times New Roman"/>
        </w:rPr>
        <w:t>数字孪生流域数据底板地理空间数据规范</w:t>
      </w:r>
      <w:r>
        <w:rPr>
          <w:rFonts w:hint="eastAsia" w:ascii="Times New Roman"/>
        </w:rPr>
        <w:t>（试行）》</w:t>
      </w:r>
    </w:p>
    <w:p>
      <w:pPr>
        <w:pStyle w:val="60"/>
        <w:ind w:firstLine="420"/>
        <w:rPr>
          <w:rFonts w:ascii="Times New Roman"/>
        </w:rPr>
      </w:pPr>
      <w:r>
        <w:rPr>
          <w:rFonts w:hint="eastAsia" w:ascii="Times New Roman"/>
        </w:rPr>
        <w:t>[</w:t>
      </w:r>
      <w:r>
        <w:rPr>
          <w:rFonts w:ascii="Times New Roman"/>
        </w:rPr>
        <w:t>4]</w:t>
      </w:r>
      <w:r>
        <w:rPr>
          <w:rFonts w:hint="eastAsia" w:ascii="Times New Roman"/>
        </w:rPr>
        <w:t>《数字孪生水网建设技术导则（试行）》</w:t>
      </w:r>
    </w:p>
    <w:p>
      <w:pPr>
        <w:pStyle w:val="60"/>
        <w:ind w:firstLine="420"/>
        <w:rPr>
          <w:rFonts w:ascii="Times New Roman"/>
        </w:rPr>
      </w:pPr>
      <w:r>
        <w:rPr>
          <w:rFonts w:hint="eastAsia" w:ascii="Times New Roman"/>
        </w:rPr>
        <w:t>[</w:t>
      </w:r>
      <w:r>
        <w:rPr>
          <w:rFonts w:ascii="Times New Roman"/>
        </w:rPr>
        <w:t>5]</w:t>
      </w:r>
      <w:r>
        <w:rPr>
          <w:rFonts w:hint="eastAsia" w:ascii="Times New Roman"/>
        </w:rPr>
        <w:t>《数字孪生水利工程建设技术导则（试行）》</w:t>
      </w:r>
    </w:p>
    <w:p>
      <w:pPr>
        <w:pStyle w:val="60"/>
        <w:ind w:firstLine="420"/>
        <w:rPr>
          <w:rFonts w:ascii="Times New Roman"/>
        </w:rPr>
      </w:pPr>
      <w:r>
        <w:rPr>
          <w:rFonts w:hint="eastAsia" w:ascii="Times New Roman"/>
        </w:rPr>
        <w:t>[</w:t>
      </w:r>
      <w:r>
        <w:rPr>
          <w:rFonts w:ascii="Times New Roman"/>
        </w:rPr>
        <w:t>6]</w:t>
      </w:r>
      <w:r>
        <w:rPr>
          <w:rFonts w:hint="eastAsia" w:ascii="Times New Roman"/>
        </w:rPr>
        <w:t>《</w:t>
      </w:r>
      <w:r>
        <w:rPr>
          <w:rFonts w:ascii="Times New Roman"/>
        </w:rPr>
        <w:t>江苏省骨干河道名录</w:t>
      </w:r>
      <w:r>
        <w:rPr>
          <w:rFonts w:hint="eastAsia" w:ascii="Times New Roman"/>
        </w:rPr>
        <w:t>》</w:t>
      </w:r>
    </w:p>
    <w:p>
      <w:pPr>
        <w:pStyle w:val="60"/>
        <w:ind w:firstLine="420"/>
        <w:rPr>
          <w:rFonts w:ascii="Times New Roman"/>
        </w:rPr>
      </w:pPr>
      <w:r>
        <w:rPr>
          <w:rFonts w:hint="eastAsia" w:ascii="Times New Roman"/>
        </w:rPr>
        <w:t>[</w:t>
      </w:r>
      <w:r>
        <w:rPr>
          <w:rFonts w:ascii="Times New Roman"/>
        </w:rPr>
        <w:t>7]</w:t>
      </w:r>
      <w:r>
        <w:rPr>
          <w:rFonts w:hint="eastAsia" w:ascii="Times New Roman"/>
        </w:rPr>
        <w:t>《</w:t>
      </w:r>
      <w:r>
        <w:rPr>
          <w:rFonts w:ascii="Times New Roman"/>
        </w:rPr>
        <w:t>江苏省湖泊保护名录</w:t>
      </w:r>
      <w:r>
        <w:rPr>
          <w:rFonts w:hint="eastAsia" w:ascii="Times New Roman"/>
        </w:rPr>
        <w:t>》</w:t>
      </w:r>
    </w:p>
    <w:p>
      <w:pPr>
        <w:pStyle w:val="60"/>
        <w:ind w:firstLine="420"/>
        <w:rPr>
          <w:rFonts w:ascii="Times New Roman"/>
        </w:rPr>
      </w:pPr>
    </w:p>
    <w:p>
      <w:pPr>
        <w:pStyle w:val="60"/>
        <w:ind w:firstLine="420"/>
        <w:rPr>
          <w:rFonts w:ascii="Times New Roman"/>
        </w:rPr>
      </w:pPr>
    </w:p>
    <w:p>
      <w:pPr>
        <w:pStyle w:val="60"/>
        <w:ind w:firstLine="420"/>
        <w:rPr>
          <w:rFonts w:ascii="Times New Roman"/>
        </w:rPr>
      </w:pPr>
    </w:p>
    <w:p>
      <w:pPr>
        <w:pStyle w:val="60"/>
        <w:ind w:firstLine="420"/>
        <w:rPr>
          <w:rFonts w:ascii="Times New Roman"/>
        </w:rPr>
      </w:pPr>
    </w:p>
    <w:p>
      <w:pPr>
        <w:ind w:firstLine="420"/>
      </w:pPr>
    </w:p>
    <w:p>
      <w:pPr>
        <w:ind w:firstLine="420"/>
      </w:pPr>
    </w:p>
    <w:p>
      <w:pPr>
        <w:ind w:firstLine="480"/>
        <w:jc w:val="left"/>
      </w:pPr>
    </w:p>
    <w:sectPr>
      <w:pgSz w:w="11906" w:h="16838"/>
      <w:pgMar w:top="2268" w:right="1134" w:bottom="1134" w:left="1134" w:header="1418" w:footer="850"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r>
      <w:rPr>
        <w:sz w:val="2"/>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rPr>
        <w:sz w:val="21"/>
        <w:szCs w:val="22"/>
      </w:rPr>
    </w:pPr>
    <w:r>
      <w:rPr>
        <w:sz w:val="21"/>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6"/>
                            <w:rPr>
                              <w:rFonts w:ascii="Times New Roman"/>
                            </w:rPr>
                          </w:pPr>
                          <w:r>
                            <w:rPr>
                              <w:rFonts w:ascii="Times New Roman"/>
                              <w:sz w:val="21"/>
                              <w:szCs w:val="22"/>
                            </w:rPr>
                            <w:fldChar w:fldCharType="begin"/>
                          </w:r>
                          <w:r>
                            <w:rPr>
                              <w:rFonts w:ascii="Times New Roman"/>
                              <w:sz w:val="21"/>
                              <w:szCs w:val="22"/>
                            </w:rPr>
                            <w:instrText xml:space="preserve">PAGE   \* MERGEFORMAT</w:instrText>
                          </w:r>
                          <w:r>
                            <w:rPr>
                              <w:rFonts w:ascii="Times New Roman"/>
                              <w:sz w:val="21"/>
                              <w:szCs w:val="22"/>
                            </w:rPr>
                            <w:fldChar w:fldCharType="separate"/>
                          </w:r>
                          <w:r>
                            <w:rPr>
                              <w:rFonts w:ascii="Times New Roman"/>
                              <w:sz w:val="21"/>
                              <w:szCs w:val="22"/>
                              <w:lang w:val="zh-CN"/>
                            </w:rPr>
                            <w:t>1</w:t>
                          </w:r>
                          <w:r>
                            <w:rPr>
                              <w:rFonts w:ascii="Times New Roman"/>
                              <w:sz w:val="21"/>
                              <w:szCs w:val="2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56"/>
                      <w:rPr>
                        <w:rFonts w:ascii="Times New Roman"/>
                      </w:rPr>
                    </w:pPr>
                    <w:r>
                      <w:rPr>
                        <w:rFonts w:ascii="Times New Roman"/>
                        <w:sz w:val="21"/>
                        <w:szCs w:val="22"/>
                      </w:rPr>
                      <w:fldChar w:fldCharType="begin"/>
                    </w:r>
                    <w:r>
                      <w:rPr>
                        <w:rFonts w:ascii="Times New Roman"/>
                        <w:sz w:val="21"/>
                        <w:szCs w:val="22"/>
                      </w:rPr>
                      <w:instrText xml:space="preserve">PAGE   \* MERGEFORMAT</w:instrText>
                    </w:r>
                    <w:r>
                      <w:rPr>
                        <w:rFonts w:ascii="Times New Roman"/>
                        <w:sz w:val="21"/>
                        <w:szCs w:val="22"/>
                      </w:rPr>
                      <w:fldChar w:fldCharType="separate"/>
                    </w:r>
                    <w:r>
                      <w:rPr>
                        <w:rFonts w:ascii="Times New Roman"/>
                        <w:sz w:val="21"/>
                        <w:szCs w:val="22"/>
                        <w:lang w:val="zh-CN"/>
                      </w:rPr>
                      <w:t>1</w:t>
                    </w:r>
                    <w:r>
                      <w:rPr>
                        <w:rFonts w:ascii="Times New Roman"/>
                        <w:sz w:val="21"/>
                        <w:szCs w:val="2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b/>
      </w:rPr>
      <w:t>错误！文档中没有指定样式的文字。</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rPr>
        <w:rFonts w:ascii="Times New Roman"/>
      </w:rPr>
      <w:t>DB32/T</w:t>
    </w:r>
    <w:r>
      <w:rPr>
        <w:rFonts w:ascii="Times New Roman"/>
        <w:kern w:val="2"/>
      </w:rPr>
      <w:t>××××</w:t>
    </w:r>
    <w:r>
      <w:rPr>
        <w:rFonts w:ascii="Arial" w:hAnsi="Arial" w:cs="Arial"/>
      </w:rPr>
      <w:t>—</w:t>
    </w:r>
    <w:r>
      <w:rPr>
        <w:rFonts w:hint="eastAsia" w:ascii="Times New Roman"/>
        <w:kern w:val="2"/>
      </w:rPr>
      <w:t>2023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rPr>
        <w:rFonts w:ascii="Times New Roman"/>
      </w:rPr>
      <w:t>DB32/T</w:t>
    </w:r>
    <w:r>
      <w:rPr>
        <w:rFonts w:ascii="Times New Roman"/>
        <w:kern w:val="2"/>
      </w:rPr>
      <w:t>××××</w:t>
    </w:r>
    <w:r>
      <w:rPr>
        <w:rFonts w:ascii="Arial" w:hAnsi="Arial" w:cs="Arial"/>
      </w:rPr>
      <w:t>—</w:t>
    </w:r>
    <w:r>
      <w:rPr>
        <w:rFonts w:hint="eastAsia" w:ascii="Times New Roman"/>
        <w:kern w:val="2"/>
      </w:rPr>
      <w:t>2023</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rPr>
        <w:rFonts w:ascii="Times New Roman"/>
      </w:rPr>
      <w:t>DB32/T</w:t>
    </w:r>
    <w:r>
      <w:rPr>
        <w:rFonts w:ascii="Times New Roman"/>
        <w:kern w:val="2"/>
      </w:rPr>
      <w:t>××××</w:t>
    </w:r>
    <w:r>
      <w:rPr>
        <w:rFonts w:ascii="Arial" w:hAnsi="Arial" w:cs="Arial"/>
      </w:rPr>
      <w:t>—</w:t>
    </w:r>
    <w:r>
      <w:rPr>
        <w:rFonts w:hint="eastAsia" w:ascii="Times New Roman"/>
        <w:kern w:val="2"/>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lang w:val="en-US"/>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28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425"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lmMzM4ODk4OWM3Y2Y3MDBjMTY0ZmI4YWE1YzkzODQifQ=="/>
  </w:docVars>
  <w:rsids>
    <w:rsidRoot w:val="008153E6"/>
    <w:rsid w:val="0000040A"/>
    <w:rsid w:val="00000A94"/>
    <w:rsid w:val="00001972"/>
    <w:rsid w:val="00001D9A"/>
    <w:rsid w:val="00004DF6"/>
    <w:rsid w:val="00007B3A"/>
    <w:rsid w:val="000107E0"/>
    <w:rsid w:val="00011FDE"/>
    <w:rsid w:val="00012FFD"/>
    <w:rsid w:val="000137B5"/>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C46"/>
    <w:rsid w:val="0004796A"/>
    <w:rsid w:val="00047F28"/>
    <w:rsid w:val="00050299"/>
    <w:rsid w:val="000503AA"/>
    <w:rsid w:val="000506A1"/>
    <w:rsid w:val="000515DD"/>
    <w:rsid w:val="00051D2C"/>
    <w:rsid w:val="0005265A"/>
    <w:rsid w:val="000539DD"/>
    <w:rsid w:val="00053BD3"/>
    <w:rsid w:val="000556ED"/>
    <w:rsid w:val="00055FE2"/>
    <w:rsid w:val="0005616F"/>
    <w:rsid w:val="00060C2E"/>
    <w:rsid w:val="00061033"/>
    <w:rsid w:val="000619E9"/>
    <w:rsid w:val="000622D4"/>
    <w:rsid w:val="0006357D"/>
    <w:rsid w:val="00063D19"/>
    <w:rsid w:val="00067F1E"/>
    <w:rsid w:val="0007053B"/>
    <w:rsid w:val="00071CC0"/>
    <w:rsid w:val="00073C8C"/>
    <w:rsid w:val="00077B64"/>
    <w:rsid w:val="00080A1C"/>
    <w:rsid w:val="00082317"/>
    <w:rsid w:val="00083D2C"/>
    <w:rsid w:val="00086AA1"/>
    <w:rsid w:val="00087A77"/>
    <w:rsid w:val="0009016C"/>
    <w:rsid w:val="00090CA6"/>
    <w:rsid w:val="00091D12"/>
    <w:rsid w:val="00091EE2"/>
    <w:rsid w:val="00092B8A"/>
    <w:rsid w:val="00092FB0"/>
    <w:rsid w:val="000934C5"/>
    <w:rsid w:val="00093D25"/>
    <w:rsid w:val="00093DAB"/>
    <w:rsid w:val="000946AE"/>
    <w:rsid w:val="00094D73"/>
    <w:rsid w:val="00096D63"/>
    <w:rsid w:val="000A0B60"/>
    <w:rsid w:val="000A0EB8"/>
    <w:rsid w:val="000A19FC"/>
    <w:rsid w:val="000A296B"/>
    <w:rsid w:val="000A7311"/>
    <w:rsid w:val="000B060F"/>
    <w:rsid w:val="000B1592"/>
    <w:rsid w:val="000B1FF2"/>
    <w:rsid w:val="000B3CDA"/>
    <w:rsid w:val="000B4A50"/>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FA2"/>
    <w:rsid w:val="000E4C9E"/>
    <w:rsid w:val="000E59F1"/>
    <w:rsid w:val="000E6FD7"/>
    <w:rsid w:val="000F06E1"/>
    <w:rsid w:val="000F0E3C"/>
    <w:rsid w:val="000F19D5"/>
    <w:rsid w:val="000F4AEA"/>
    <w:rsid w:val="000F5908"/>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5996"/>
    <w:rsid w:val="00140DE7"/>
    <w:rsid w:val="00141114"/>
    <w:rsid w:val="00142969"/>
    <w:rsid w:val="001446C2"/>
    <w:rsid w:val="001457E7"/>
    <w:rsid w:val="00145BF3"/>
    <w:rsid w:val="00145D9D"/>
    <w:rsid w:val="00146388"/>
    <w:rsid w:val="001529E5"/>
    <w:rsid w:val="00153C7E"/>
    <w:rsid w:val="0015694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6AB"/>
    <w:rsid w:val="00183461"/>
    <w:rsid w:val="001852C9"/>
    <w:rsid w:val="00190087"/>
    <w:rsid w:val="00190D91"/>
    <w:rsid w:val="001913C4"/>
    <w:rsid w:val="0019348F"/>
    <w:rsid w:val="00193A07"/>
    <w:rsid w:val="00194C95"/>
    <w:rsid w:val="00195C34"/>
    <w:rsid w:val="00196EF5"/>
    <w:rsid w:val="001A1A53"/>
    <w:rsid w:val="001A234A"/>
    <w:rsid w:val="001A4CF3"/>
    <w:rsid w:val="001B06E8"/>
    <w:rsid w:val="001B3459"/>
    <w:rsid w:val="001B71D0"/>
    <w:rsid w:val="001B71EE"/>
    <w:rsid w:val="001B7F76"/>
    <w:rsid w:val="001C04A8"/>
    <w:rsid w:val="001C2C03"/>
    <w:rsid w:val="001C42F7"/>
    <w:rsid w:val="001C49E5"/>
    <w:rsid w:val="001C680C"/>
    <w:rsid w:val="001C6923"/>
    <w:rsid w:val="001C7FEA"/>
    <w:rsid w:val="001D0499"/>
    <w:rsid w:val="001D0BBE"/>
    <w:rsid w:val="001D0ED4"/>
    <w:rsid w:val="001D212F"/>
    <w:rsid w:val="001D29D7"/>
    <w:rsid w:val="001D2DE7"/>
    <w:rsid w:val="001D411C"/>
    <w:rsid w:val="001E1B6A"/>
    <w:rsid w:val="001E2484"/>
    <w:rsid w:val="001E384B"/>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17"/>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A60"/>
    <w:rsid w:val="002565AF"/>
    <w:rsid w:val="0026148A"/>
    <w:rsid w:val="00262696"/>
    <w:rsid w:val="00263D25"/>
    <w:rsid w:val="002643C3"/>
    <w:rsid w:val="00264A0C"/>
    <w:rsid w:val="00266C51"/>
    <w:rsid w:val="00266EEB"/>
    <w:rsid w:val="00267CD0"/>
    <w:rsid w:val="00267EF4"/>
    <w:rsid w:val="00270CB8"/>
    <w:rsid w:val="00271E9F"/>
    <w:rsid w:val="00272B08"/>
    <w:rsid w:val="00281BB8"/>
    <w:rsid w:val="00281E9E"/>
    <w:rsid w:val="00282405"/>
    <w:rsid w:val="00285085"/>
    <w:rsid w:val="00285170"/>
    <w:rsid w:val="00285361"/>
    <w:rsid w:val="002876F5"/>
    <w:rsid w:val="00290DE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6AC"/>
    <w:rsid w:val="002B5779"/>
    <w:rsid w:val="002B7318"/>
    <w:rsid w:val="002B7332"/>
    <w:rsid w:val="002B7F51"/>
    <w:rsid w:val="002C09E7"/>
    <w:rsid w:val="002C1E06"/>
    <w:rsid w:val="002C1E1C"/>
    <w:rsid w:val="002C3F07"/>
    <w:rsid w:val="002C5206"/>
    <w:rsid w:val="002C5278"/>
    <w:rsid w:val="002C7EBB"/>
    <w:rsid w:val="002D06C1"/>
    <w:rsid w:val="002D3DA0"/>
    <w:rsid w:val="002D42B5"/>
    <w:rsid w:val="002D4F1A"/>
    <w:rsid w:val="002D6EC6"/>
    <w:rsid w:val="002D79AC"/>
    <w:rsid w:val="002E039D"/>
    <w:rsid w:val="002E4D5A"/>
    <w:rsid w:val="002E6326"/>
    <w:rsid w:val="002E7E59"/>
    <w:rsid w:val="002F30E0"/>
    <w:rsid w:val="002F35E4"/>
    <w:rsid w:val="002F3730"/>
    <w:rsid w:val="002F38E1"/>
    <w:rsid w:val="002F7AF6"/>
    <w:rsid w:val="00300E63"/>
    <w:rsid w:val="00302F5F"/>
    <w:rsid w:val="0030441D"/>
    <w:rsid w:val="00306063"/>
    <w:rsid w:val="00306468"/>
    <w:rsid w:val="00306D02"/>
    <w:rsid w:val="00313B85"/>
    <w:rsid w:val="00317988"/>
    <w:rsid w:val="003221B4"/>
    <w:rsid w:val="0032258D"/>
    <w:rsid w:val="00322E62"/>
    <w:rsid w:val="00324D13"/>
    <w:rsid w:val="00324D2A"/>
    <w:rsid w:val="00324EDD"/>
    <w:rsid w:val="0033019D"/>
    <w:rsid w:val="003331E4"/>
    <w:rsid w:val="00336C64"/>
    <w:rsid w:val="00337162"/>
    <w:rsid w:val="0034194F"/>
    <w:rsid w:val="00343A45"/>
    <w:rsid w:val="00344605"/>
    <w:rsid w:val="003474AA"/>
    <w:rsid w:val="00350D1D"/>
    <w:rsid w:val="00352C83"/>
    <w:rsid w:val="0035681E"/>
    <w:rsid w:val="003615D2"/>
    <w:rsid w:val="0036429C"/>
    <w:rsid w:val="00364A53"/>
    <w:rsid w:val="003654CB"/>
    <w:rsid w:val="00365AA9"/>
    <w:rsid w:val="00365F86"/>
    <w:rsid w:val="00365F87"/>
    <w:rsid w:val="00366E89"/>
    <w:rsid w:val="003705F4"/>
    <w:rsid w:val="00370D58"/>
    <w:rsid w:val="00371316"/>
    <w:rsid w:val="00376384"/>
    <w:rsid w:val="00376713"/>
    <w:rsid w:val="00381815"/>
    <w:rsid w:val="003819AF"/>
    <w:rsid w:val="003820E9"/>
    <w:rsid w:val="00382DE7"/>
    <w:rsid w:val="00384FFC"/>
    <w:rsid w:val="003872FC"/>
    <w:rsid w:val="00387ADC"/>
    <w:rsid w:val="00390020"/>
    <w:rsid w:val="003903D6"/>
    <w:rsid w:val="00390EE6"/>
    <w:rsid w:val="0039118F"/>
    <w:rsid w:val="00392AD7"/>
    <w:rsid w:val="00392D82"/>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4403"/>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63B"/>
    <w:rsid w:val="0041477A"/>
    <w:rsid w:val="004167A3"/>
    <w:rsid w:val="004254BC"/>
    <w:rsid w:val="004324B8"/>
    <w:rsid w:val="00432DAA"/>
    <w:rsid w:val="00434305"/>
    <w:rsid w:val="00435DF7"/>
    <w:rsid w:val="0044083F"/>
    <w:rsid w:val="00441AE7"/>
    <w:rsid w:val="00443E69"/>
    <w:rsid w:val="00445574"/>
    <w:rsid w:val="00445C74"/>
    <w:rsid w:val="004464A2"/>
    <w:rsid w:val="004467FB"/>
    <w:rsid w:val="00452D6B"/>
    <w:rsid w:val="00454484"/>
    <w:rsid w:val="0045517B"/>
    <w:rsid w:val="00463B77"/>
    <w:rsid w:val="00463C7B"/>
    <w:rsid w:val="004644A6"/>
    <w:rsid w:val="00464DB2"/>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360D"/>
    <w:rsid w:val="004A467C"/>
    <w:rsid w:val="004A4B57"/>
    <w:rsid w:val="004A63FA"/>
    <w:rsid w:val="004B0272"/>
    <w:rsid w:val="004B2701"/>
    <w:rsid w:val="004B2E1B"/>
    <w:rsid w:val="004B3AA8"/>
    <w:rsid w:val="004B3E93"/>
    <w:rsid w:val="004C1615"/>
    <w:rsid w:val="004C1FBC"/>
    <w:rsid w:val="004C3F1D"/>
    <w:rsid w:val="004C458D"/>
    <w:rsid w:val="004C7556"/>
    <w:rsid w:val="004C76AA"/>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FFE"/>
    <w:rsid w:val="004F391A"/>
    <w:rsid w:val="004F3C00"/>
    <w:rsid w:val="004F3CFB"/>
    <w:rsid w:val="004F4518"/>
    <w:rsid w:val="004F6456"/>
    <w:rsid w:val="004F696E"/>
    <w:rsid w:val="004F6C71"/>
    <w:rsid w:val="00501139"/>
    <w:rsid w:val="0050350B"/>
    <w:rsid w:val="0050363E"/>
    <w:rsid w:val="005039BC"/>
    <w:rsid w:val="005043BB"/>
    <w:rsid w:val="00504A3D"/>
    <w:rsid w:val="00504BAF"/>
    <w:rsid w:val="00505767"/>
    <w:rsid w:val="005073F0"/>
    <w:rsid w:val="00510942"/>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47D4A"/>
    <w:rsid w:val="0055013B"/>
    <w:rsid w:val="00551F6F"/>
    <w:rsid w:val="00552E7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5C2"/>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687C"/>
    <w:rsid w:val="005E7881"/>
    <w:rsid w:val="005E78E0"/>
    <w:rsid w:val="005F0D9C"/>
    <w:rsid w:val="005F284E"/>
    <w:rsid w:val="005F4712"/>
    <w:rsid w:val="006015CE"/>
    <w:rsid w:val="00604784"/>
    <w:rsid w:val="00606419"/>
    <w:rsid w:val="00607D29"/>
    <w:rsid w:val="00612952"/>
    <w:rsid w:val="00614CC1"/>
    <w:rsid w:val="00615A9D"/>
    <w:rsid w:val="00617387"/>
    <w:rsid w:val="00617A79"/>
    <w:rsid w:val="006205D6"/>
    <w:rsid w:val="006252D8"/>
    <w:rsid w:val="006259BC"/>
    <w:rsid w:val="0062636B"/>
    <w:rsid w:val="00632182"/>
    <w:rsid w:val="00632AE0"/>
    <w:rsid w:val="00633837"/>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7AD"/>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18CF"/>
    <w:rsid w:val="006A25E5"/>
    <w:rsid w:val="006A2B46"/>
    <w:rsid w:val="006A336D"/>
    <w:rsid w:val="006A37B9"/>
    <w:rsid w:val="006A57E1"/>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16D"/>
    <w:rsid w:val="006F2ACA"/>
    <w:rsid w:val="006F2ADC"/>
    <w:rsid w:val="006F2BFE"/>
    <w:rsid w:val="006F31E9"/>
    <w:rsid w:val="006F37F6"/>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49C"/>
    <w:rsid w:val="00737796"/>
    <w:rsid w:val="0074165C"/>
    <w:rsid w:val="0074182A"/>
    <w:rsid w:val="00742C35"/>
    <w:rsid w:val="007432CA"/>
    <w:rsid w:val="007439EB"/>
    <w:rsid w:val="00743CB4"/>
    <w:rsid w:val="00743F0A"/>
    <w:rsid w:val="007444E8"/>
    <w:rsid w:val="0074548E"/>
    <w:rsid w:val="00745773"/>
    <w:rsid w:val="00745AE0"/>
    <w:rsid w:val="00746800"/>
    <w:rsid w:val="007501A8"/>
    <w:rsid w:val="00750D61"/>
    <w:rsid w:val="00750EE1"/>
    <w:rsid w:val="00752B4D"/>
    <w:rsid w:val="00755402"/>
    <w:rsid w:val="00756B26"/>
    <w:rsid w:val="00756EDF"/>
    <w:rsid w:val="007600E3"/>
    <w:rsid w:val="00765C43"/>
    <w:rsid w:val="00765EFB"/>
    <w:rsid w:val="007670A6"/>
    <w:rsid w:val="007671CA"/>
    <w:rsid w:val="00767C61"/>
    <w:rsid w:val="0077008A"/>
    <w:rsid w:val="00773C1F"/>
    <w:rsid w:val="00774DA4"/>
    <w:rsid w:val="00775019"/>
    <w:rsid w:val="00776599"/>
    <w:rsid w:val="0078114B"/>
    <w:rsid w:val="00781AAC"/>
    <w:rsid w:val="00781DD2"/>
    <w:rsid w:val="00783ECF"/>
    <w:rsid w:val="0078413A"/>
    <w:rsid w:val="007959E8"/>
    <w:rsid w:val="00795E9C"/>
    <w:rsid w:val="007A0521"/>
    <w:rsid w:val="007A164A"/>
    <w:rsid w:val="007A2E12"/>
    <w:rsid w:val="007A3404"/>
    <w:rsid w:val="007A3475"/>
    <w:rsid w:val="007A41C8"/>
    <w:rsid w:val="007A54CE"/>
    <w:rsid w:val="007A6FD9"/>
    <w:rsid w:val="007A7607"/>
    <w:rsid w:val="007A7FFA"/>
    <w:rsid w:val="007B04EB"/>
    <w:rsid w:val="007B0D4F"/>
    <w:rsid w:val="007B5A3D"/>
    <w:rsid w:val="007B5B95"/>
    <w:rsid w:val="007B68EA"/>
    <w:rsid w:val="007B7453"/>
    <w:rsid w:val="007C1E8B"/>
    <w:rsid w:val="007C1E94"/>
    <w:rsid w:val="007C2D89"/>
    <w:rsid w:val="007C4593"/>
    <w:rsid w:val="007C5309"/>
    <w:rsid w:val="007C6069"/>
    <w:rsid w:val="007C637E"/>
    <w:rsid w:val="007D06C4"/>
    <w:rsid w:val="007D1352"/>
    <w:rsid w:val="007D2508"/>
    <w:rsid w:val="007D2C81"/>
    <w:rsid w:val="007D346A"/>
    <w:rsid w:val="007D58C3"/>
    <w:rsid w:val="007D6518"/>
    <w:rsid w:val="007D76BD"/>
    <w:rsid w:val="007E0BF1"/>
    <w:rsid w:val="007F0ED8"/>
    <w:rsid w:val="007F0F63"/>
    <w:rsid w:val="007F75CE"/>
    <w:rsid w:val="008013A4"/>
    <w:rsid w:val="008027CE"/>
    <w:rsid w:val="00802814"/>
    <w:rsid w:val="00802F42"/>
    <w:rsid w:val="00804383"/>
    <w:rsid w:val="00804424"/>
    <w:rsid w:val="00804BB7"/>
    <w:rsid w:val="00804D41"/>
    <w:rsid w:val="00810257"/>
    <w:rsid w:val="008104F5"/>
    <w:rsid w:val="00811072"/>
    <w:rsid w:val="00811369"/>
    <w:rsid w:val="008118D3"/>
    <w:rsid w:val="00814F1F"/>
    <w:rsid w:val="008153E6"/>
    <w:rsid w:val="00815419"/>
    <w:rsid w:val="008163C8"/>
    <w:rsid w:val="008164A1"/>
    <w:rsid w:val="00817325"/>
    <w:rsid w:val="008209E6"/>
    <w:rsid w:val="00820D79"/>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3E0B"/>
    <w:rsid w:val="00856316"/>
    <w:rsid w:val="008603CE"/>
    <w:rsid w:val="008617EB"/>
    <w:rsid w:val="008620FC"/>
    <w:rsid w:val="008627A5"/>
    <w:rsid w:val="00863E05"/>
    <w:rsid w:val="00865ACA"/>
    <w:rsid w:val="00865D28"/>
    <w:rsid w:val="00865F85"/>
    <w:rsid w:val="0086675D"/>
    <w:rsid w:val="00867C10"/>
    <w:rsid w:val="00870439"/>
    <w:rsid w:val="00870DA1"/>
    <w:rsid w:val="00883F93"/>
    <w:rsid w:val="00884DB3"/>
    <w:rsid w:val="00885A9D"/>
    <w:rsid w:val="00886055"/>
    <w:rsid w:val="00886299"/>
    <w:rsid w:val="008864F6"/>
    <w:rsid w:val="0089049D"/>
    <w:rsid w:val="008928C9"/>
    <w:rsid w:val="008930CB"/>
    <w:rsid w:val="008938DC"/>
    <w:rsid w:val="00893B8B"/>
    <w:rsid w:val="00893FD1"/>
    <w:rsid w:val="00894836"/>
    <w:rsid w:val="00895172"/>
    <w:rsid w:val="00895680"/>
    <w:rsid w:val="00896733"/>
    <w:rsid w:val="00896DFF"/>
    <w:rsid w:val="0089762C"/>
    <w:rsid w:val="008A1893"/>
    <w:rsid w:val="008A3215"/>
    <w:rsid w:val="008A3FBD"/>
    <w:rsid w:val="008A57E6"/>
    <w:rsid w:val="008A6F81"/>
    <w:rsid w:val="008A769A"/>
    <w:rsid w:val="008B0C9C"/>
    <w:rsid w:val="008B166D"/>
    <w:rsid w:val="008B17F4"/>
    <w:rsid w:val="008B3615"/>
    <w:rsid w:val="008B4AC4"/>
    <w:rsid w:val="008B50C8"/>
    <w:rsid w:val="008B5281"/>
    <w:rsid w:val="008B7E05"/>
    <w:rsid w:val="008C060D"/>
    <w:rsid w:val="008C1797"/>
    <w:rsid w:val="008C219C"/>
    <w:rsid w:val="008C475E"/>
    <w:rsid w:val="008C4C3B"/>
    <w:rsid w:val="008C5872"/>
    <w:rsid w:val="008C5DE4"/>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6BA"/>
    <w:rsid w:val="008E4BB6"/>
    <w:rsid w:val="008E5518"/>
    <w:rsid w:val="008E6A84"/>
    <w:rsid w:val="008F0CDC"/>
    <w:rsid w:val="008F17A3"/>
    <w:rsid w:val="008F1ED3"/>
    <w:rsid w:val="008F23A5"/>
    <w:rsid w:val="008F4C29"/>
    <w:rsid w:val="008F70BD"/>
    <w:rsid w:val="008F788F"/>
    <w:rsid w:val="008F7EA2"/>
    <w:rsid w:val="00900D71"/>
    <w:rsid w:val="00902722"/>
    <w:rsid w:val="009027BC"/>
    <w:rsid w:val="009062E6"/>
    <w:rsid w:val="00911BE5"/>
    <w:rsid w:val="00913CA9"/>
    <w:rsid w:val="009145AE"/>
    <w:rsid w:val="009146CE"/>
    <w:rsid w:val="00914CA7"/>
    <w:rsid w:val="00915C3E"/>
    <w:rsid w:val="009161A8"/>
    <w:rsid w:val="009245F5"/>
    <w:rsid w:val="009249EC"/>
    <w:rsid w:val="009267CC"/>
    <w:rsid w:val="009273B3"/>
    <w:rsid w:val="009305B5"/>
    <w:rsid w:val="0093164C"/>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5D37"/>
    <w:rsid w:val="009911AF"/>
    <w:rsid w:val="00991875"/>
    <w:rsid w:val="00991F92"/>
    <w:rsid w:val="00992985"/>
    <w:rsid w:val="00993889"/>
    <w:rsid w:val="0099551B"/>
    <w:rsid w:val="00995A7D"/>
    <w:rsid w:val="00996451"/>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1B57"/>
    <w:rsid w:val="009C27F1"/>
    <w:rsid w:val="009C3152"/>
    <w:rsid w:val="009C4CFA"/>
    <w:rsid w:val="009C5070"/>
    <w:rsid w:val="009D112C"/>
    <w:rsid w:val="009D278F"/>
    <w:rsid w:val="009D3DAB"/>
    <w:rsid w:val="009D47FA"/>
    <w:rsid w:val="009D4C5B"/>
    <w:rsid w:val="009D50D2"/>
    <w:rsid w:val="009D6BCA"/>
    <w:rsid w:val="009E0F62"/>
    <w:rsid w:val="009E4A58"/>
    <w:rsid w:val="009E5A2D"/>
    <w:rsid w:val="009E5AB2"/>
    <w:rsid w:val="009E6219"/>
    <w:rsid w:val="009F03B3"/>
    <w:rsid w:val="00A00420"/>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2B6"/>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CBA"/>
    <w:rsid w:val="00A52A9B"/>
    <w:rsid w:val="00A559E4"/>
    <w:rsid w:val="00A55BD6"/>
    <w:rsid w:val="00A55D50"/>
    <w:rsid w:val="00A57142"/>
    <w:rsid w:val="00A57480"/>
    <w:rsid w:val="00A648CD"/>
    <w:rsid w:val="00A650E1"/>
    <w:rsid w:val="00A6537A"/>
    <w:rsid w:val="00A67866"/>
    <w:rsid w:val="00A70B07"/>
    <w:rsid w:val="00A723F8"/>
    <w:rsid w:val="00A77CCB"/>
    <w:rsid w:val="00A816E8"/>
    <w:rsid w:val="00A83395"/>
    <w:rsid w:val="00A83D8D"/>
    <w:rsid w:val="00A8446B"/>
    <w:rsid w:val="00A8473F"/>
    <w:rsid w:val="00A862D6"/>
    <w:rsid w:val="00A86E9A"/>
    <w:rsid w:val="00A8715E"/>
    <w:rsid w:val="00A9295B"/>
    <w:rsid w:val="00A93B09"/>
    <w:rsid w:val="00A94247"/>
    <w:rsid w:val="00A952D7"/>
    <w:rsid w:val="00A9616B"/>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D8D"/>
    <w:rsid w:val="00AE37E5"/>
    <w:rsid w:val="00AE5EB4"/>
    <w:rsid w:val="00AE6D40"/>
    <w:rsid w:val="00AF0C18"/>
    <w:rsid w:val="00AF470B"/>
    <w:rsid w:val="00AF47C5"/>
    <w:rsid w:val="00AF5398"/>
    <w:rsid w:val="00B049AF"/>
    <w:rsid w:val="00B07242"/>
    <w:rsid w:val="00B10534"/>
    <w:rsid w:val="00B113DB"/>
    <w:rsid w:val="00B11D8A"/>
    <w:rsid w:val="00B12981"/>
    <w:rsid w:val="00B147DD"/>
    <w:rsid w:val="00B149D4"/>
    <w:rsid w:val="00B156FD"/>
    <w:rsid w:val="00B21F61"/>
    <w:rsid w:val="00B25FF1"/>
    <w:rsid w:val="00B261F1"/>
    <w:rsid w:val="00B265BC"/>
    <w:rsid w:val="00B31FB1"/>
    <w:rsid w:val="00B33952"/>
    <w:rsid w:val="00B33C5E"/>
    <w:rsid w:val="00B342F4"/>
    <w:rsid w:val="00B34369"/>
    <w:rsid w:val="00B34B64"/>
    <w:rsid w:val="00B34DC2"/>
    <w:rsid w:val="00B3538D"/>
    <w:rsid w:val="00B378E5"/>
    <w:rsid w:val="00B4346D"/>
    <w:rsid w:val="00B440F4"/>
    <w:rsid w:val="00B447A5"/>
    <w:rsid w:val="00B4654C"/>
    <w:rsid w:val="00B47293"/>
    <w:rsid w:val="00B50E50"/>
    <w:rsid w:val="00B52120"/>
    <w:rsid w:val="00B54ABC"/>
    <w:rsid w:val="00B54DDE"/>
    <w:rsid w:val="00B56FBE"/>
    <w:rsid w:val="00B57233"/>
    <w:rsid w:val="00B60ACF"/>
    <w:rsid w:val="00B6109B"/>
    <w:rsid w:val="00B62B58"/>
    <w:rsid w:val="00B65149"/>
    <w:rsid w:val="00B66567"/>
    <w:rsid w:val="00B66F52"/>
    <w:rsid w:val="00B66FE5"/>
    <w:rsid w:val="00B72880"/>
    <w:rsid w:val="00B758BF"/>
    <w:rsid w:val="00B77E82"/>
    <w:rsid w:val="00B77EC8"/>
    <w:rsid w:val="00B827A6"/>
    <w:rsid w:val="00B831CE"/>
    <w:rsid w:val="00B86677"/>
    <w:rsid w:val="00B87131"/>
    <w:rsid w:val="00B9028E"/>
    <w:rsid w:val="00B939B1"/>
    <w:rsid w:val="00B96D40"/>
    <w:rsid w:val="00B97386"/>
    <w:rsid w:val="00BA23AF"/>
    <w:rsid w:val="00BA263B"/>
    <w:rsid w:val="00BA42B2"/>
    <w:rsid w:val="00BA58D4"/>
    <w:rsid w:val="00BA5B9E"/>
    <w:rsid w:val="00BA7C9A"/>
    <w:rsid w:val="00BB11E8"/>
    <w:rsid w:val="00BB5F8F"/>
    <w:rsid w:val="00BB657A"/>
    <w:rsid w:val="00BC1A4E"/>
    <w:rsid w:val="00BC5C46"/>
    <w:rsid w:val="00BC5DC7"/>
    <w:rsid w:val="00BC6B8B"/>
    <w:rsid w:val="00BC7270"/>
    <w:rsid w:val="00BC73D8"/>
    <w:rsid w:val="00BD3F4C"/>
    <w:rsid w:val="00BD52D7"/>
    <w:rsid w:val="00BD5AD2"/>
    <w:rsid w:val="00BE22F3"/>
    <w:rsid w:val="00BE5B52"/>
    <w:rsid w:val="00BE7B8D"/>
    <w:rsid w:val="00BF0993"/>
    <w:rsid w:val="00BF0A59"/>
    <w:rsid w:val="00BF10A9"/>
    <w:rsid w:val="00BF1703"/>
    <w:rsid w:val="00BF231C"/>
    <w:rsid w:val="00BF51E5"/>
    <w:rsid w:val="00BF74A6"/>
    <w:rsid w:val="00C013AD"/>
    <w:rsid w:val="00C04904"/>
    <w:rsid w:val="00C04B30"/>
    <w:rsid w:val="00C056B3"/>
    <w:rsid w:val="00C101CD"/>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2AC5"/>
    <w:rsid w:val="00C442AD"/>
    <w:rsid w:val="00C44BF5"/>
    <w:rsid w:val="00C521D6"/>
    <w:rsid w:val="00C5265B"/>
    <w:rsid w:val="00C55232"/>
    <w:rsid w:val="00C553A4"/>
    <w:rsid w:val="00C55A06"/>
    <w:rsid w:val="00C55D03"/>
    <w:rsid w:val="00C601BC"/>
    <w:rsid w:val="00C6329F"/>
    <w:rsid w:val="00C63340"/>
    <w:rsid w:val="00C643F9"/>
    <w:rsid w:val="00C64E95"/>
    <w:rsid w:val="00C71372"/>
    <w:rsid w:val="00C71678"/>
    <w:rsid w:val="00C72410"/>
    <w:rsid w:val="00C7287F"/>
    <w:rsid w:val="00C775D9"/>
    <w:rsid w:val="00C80CB8"/>
    <w:rsid w:val="00C816FB"/>
    <w:rsid w:val="00C819F8"/>
    <w:rsid w:val="00C8248C"/>
    <w:rsid w:val="00C84E33"/>
    <w:rsid w:val="00C86D6F"/>
    <w:rsid w:val="00C905FC"/>
    <w:rsid w:val="00C92D03"/>
    <w:rsid w:val="00C9319C"/>
    <w:rsid w:val="00C9435D"/>
    <w:rsid w:val="00C94DF2"/>
    <w:rsid w:val="00C96741"/>
    <w:rsid w:val="00CA2D1B"/>
    <w:rsid w:val="00CA375D"/>
    <w:rsid w:val="00CA3D14"/>
    <w:rsid w:val="00CA662A"/>
    <w:rsid w:val="00CA7AFD"/>
    <w:rsid w:val="00CA7C3C"/>
    <w:rsid w:val="00CB0189"/>
    <w:rsid w:val="00CB0BA2"/>
    <w:rsid w:val="00CB0F3F"/>
    <w:rsid w:val="00CB1A42"/>
    <w:rsid w:val="00CB1B0C"/>
    <w:rsid w:val="00CB2C0B"/>
    <w:rsid w:val="00CB3C62"/>
    <w:rsid w:val="00CB488A"/>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129"/>
    <w:rsid w:val="00CF048A"/>
    <w:rsid w:val="00CF155A"/>
    <w:rsid w:val="00CF2947"/>
    <w:rsid w:val="00CF686F"/>
    <w:rsid w:val="00CF6E60"/>
    <w:rsid w:val="00CF7BCA"/>
    <w:rsid w:val="00D008FD"/>
    <w:rsid w:val="00D02F1F"/>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6E2A"/>
    <w:rsid w:val="00D27582"/>
    <w:rsid w:val="00D27EC4"/>
    <w:rsid w:val="00D32719"/>
    <w:rsid w:val="00D33333"/>
    <w:rsid w:val="00D33457"/>
    <w:rsid w:val="00D352A2"/>
    <w:rsid w:val="00D4162B"/>
    <w:rsid w:val="00D424F8"/>
    <w:rsid w:val="00D4514F"/>
    <w:rsid w:val="00D451E2"/>
    <w:rsid w:val="00D45E89"/>
    <w:rsid w:val="00D45E8D"/>
    <w:rsid w:val="00D463F3"/>
    <w:rsid w:val="00D466AE"/>
    <w:rsid w:val="00D4734F"/>
    <w:rsid w:val="00D51BF3"/>
    <w:rsid w:val="00D55808"/>
    <w:rsid w:val="00D55E81"/>
    <w:rsid w:val="00D567CC"/>
    <w:rsid w:val="00D56AAB"/>
    <w:rsid w:val="00D62E1A"/>
    <w:rsid w:val="00D66846"/>
    <w:rsid w:val="00D675FB"/>
    <w:rsid w:val="00D67F42"/>
    <w:rsid w:val="00D71F25"/>
    <w:rsid w:val="00D72A9C"/>
    <w:rsid w:val="00D76FA6"/>
    <w:rsid w:val="00D77031"/>
    <w:rsid w:val="00D83F49"/>
    <w:rsid w:val="00D84941"/>
    <w:rsid w:val="00D84FA1"/>
    <w:rsid w:val="00D851F0"/>
    <w:rsid w:val="00D86DB7"/>
    <w:rsid w:val="00D926D0"/>
    <w:rsid w:val="00D93030"/>
    <w:rsid w:val="00D94E11"/>
    <w:rsid w:val="00D950E1"/>
    <w:rsid w:val="00D952A6"/>
    <w:rsid w:val="00D9725C"/>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C5FAB"/>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C95"/>
    <w:rsid w:val="00DF44DE"/>
    <w:rsid w:val="00DF51C1"/>
    <w:rsid w:val="00DF5F11"/>
    <w:rsid w:val="00DF67F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0BCD"/>
    <w:rsid w:val="00E822E8"/>
    <w:rsid w:val="00E82554"/>
    <w:rsid w:val="00E82606"/>
    <w:rsid w:val="00E846C8"/>
    <w:rsid w:val="00E84957"/>
    <w:rsid w:val="00E84A55"/>
    <w:rsid w:val="00E85BFF"/>
    <w:rsid w:val="00E8742E"/>
    <w:rsid w:val="00E90391"/>
    <w:rsid w:val="00E906C2"/>
    <w:rsid w:val="00E9311F"/>
    <w:rsid w:val="00E934D1"/>
    <w:rsid w:val="00E94AF0"/>
    <w:rsid w:val="00E95D13"/>
    <w:rsid w:val="00E95DD3"/>
    <w:rsid w:val="00E969D5"/>
    <w:rsid w:val="00E96F0A"/>
    <w:rsid w:val="00EA58D1"/>
    <w:rsid w:val="00EA61BC"/>
    <w:rsid w:val="00EA681A"/>
    <w:rsid w:val="00EA735B"/>
    <w:rsid w:val="00EB17DE"/>
    <w:rsid w:val="00EB1E69"/>
    <w:rsid w:val="00EB2086"/>
    <w:rsid w:val="00EB4673"/>
    <w:rsid w:val="00EB5EDF"/>
    <w:rsid w:val="00EB60FE"/>
    <w:rsid w:val="00EB74DB"/>
    <w:rsid w:val="00EC068A"/>
    <w:rsid w:val="00EC2CC0"/>
    <w:rsid w:val="00EC5359"/>
    <w:rsid w:val="00EC562A"/>
    <w:rsid w:val="00ED067A"/>
    <w:rsid w:val="00ED08E1"/>
    <w:rsid w:val="00ED2B50"/>
    <w:rsid w:val="00ED6705"/>
    <w:rsid w:val="00EE0350"/>
    <w:rsid w:val="00EE0719"/>
    <w:rsid w:val="00EE0E80"/>
    <w:rsid w:val="00EE54A6"/>
    <w:rsid w:val="00EE613F"/>
    <w:rsid w:val="00EE7295"/>
    <w:rsid w:val="00EE7869"/>
    <w:rsid w:val="00EF054A"/>
    <w:rsid w:val="00EF0CB5"/>
    <w:rsid w:val="00EF3235"/>
    <w:rsid w:val="00EF7E72"/>
    <w:rsid w:val="00F02DBE"/>
    <w:rsid w:val="00F06D37"/>
    <w:rsid w:val="00F07B9D"/>
    <w:rsid w:val="00F11586"/>
    <w:rsid w:val="00F1183B"/>
    <w:rsid w:val="00F11C9F"/>
    <w:rsid w:val="00F12263"/>
    <w:rsid w:val="00F1409D"/>
    <w:rsid w:val="00F14214"/>
    <w:rsid w:val="00F14EDD"/>
    <w:rsid w:val="00F157A9"/>
    <w:rsid w:val="00F25BB6"/>
    <w:rsid w:val="00F26B7E"/>
    <w:rsid w:val="00F27A3B"/>
    <w:rsid w:val="00F33817"/>
    <w:rsid w:val="00F35AB5"/>
    <w:rsid w:val="00F420D5"/>
    <w:rsid w:val="00F451EA"/>
    <w:rsid w:val="00F45447"/>
    <w:rsid w:val="00F456C6"/>
    <w:rsid w:val="00F4577B"/>
    <w:rsid w:val="00F46496"/>
    <w:rsid w:val="00F474D0"/>
    <w:rsid w:val="00F50179"/>
    <w:rsid w:val="00F515EE"/>
    <w:rsid w:val="00F54125"/>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D57"/>
    <w:rsid w:val="00FE3901"/>
    <w:rsid w:val="00FE39D3"/>
    <w:rsid w:val="00FE4BCE"/>
    <w:rsid w:val="00FE54AE"/>
    <w:rsid w:val="00FE576A"/>
    <w:rsid w:val="00FE7E79"/>
    <w:rsid w:val="00FF3E7D"/>
    <w:rsid w:val="00FF5B99"/>
    <w:rsid w:val="00FF730C"/>
    <w:rsid w:val="00FF73F4"/>
    <w:rsid w:val="00FF7CE4"/>
    <w:rsid w:val="00FF7E39"/>
    <w:rsid w:val="0112382E"/>
    <w:rsid w:val="0194438C"/>
    <w:rsid w:val="02902A6D"/>
    <w:rsid w:val="034539FD"/>
    <w:rsid w:val="04F96FF0"/>
    <w:rsid w:val="06AC0092"/>
    <w:rsid w:val="088A58D8"/>
    <w:rsid w:val="096B1B3E"/>
    <w:rsid w:val="09905E87"/>
    <w:rsid w:val="0A7669ED"/>
    <w:rsid w:val="0A8A6DA1"/>
    <w:rsid w:val="0AC27E84"/>
    <w:rsid w:val="0BDA11FD"/>
    <w:rsid w:val="0D474670"/>
    <w:rsid w:val="0D660F9A"/>
    <w:rsid w:val="0D921D8F"/>
    <w:rsid w:val="0DBF3AF7"/>
    <w:rsid w:val="0E2608EE"/>
    <w:rsid w:val="0E296235"/>
    <w:rsid w:val="0EB209A7"/>
    <w:rsid w:val="0EE81D5F"/>
    <w:rsid w:val="0F553D02"/>
    <w:rsid w:val="0F8266D9"/>
    <w:rsid w:val="0FD35650"/>
    <w:rsid w:val="0FEC2245"/>
    <w:rsid w:val="10014FAA"/>
    <w:rsid w:val="1057554F"/>
    <w:rsid w:val="114333A1"/>
    <w:rsid w:val="11C6709D"/>
    <w:rsid w:val="12435D4E"/>
    <w:rsid w:val="12B37438"/>
    <w:rsid w:val="13451652"/>
    <w:rsid w:val="14575AE1"/>
    <w:rsid w:val="169074B5"/>
    <w:rsid w:val="16DC22CD"/>
    <w:rsid w:val="1AA650CC"/>
    <w:rsid w:val="1C2F10F1"/>
    <w:rsid w:val="1DE0508C"/>
    <w:rsid w:val="1DE63A32"/>
    <w:rsid w:val="1EE937D9"/>
    <w:rsid w:val="1FB75686"/>
    <w:rsid w:val="1FF7642F"/>
    <w:rsid w:val="203463AE"/>
    <w:rsid w:val="205E2961"/>
    <w:rsid w:val="212C3E51"/>
    <w:rsid w:val="219F63D1"/>
    <w:rsid w:val="229974D4"/>
    <w:rsid w:val="22AD2D70"/>
    <w:rsid w:val="239C52BE"/>
    <w:rsid w:val="23BB4545"/>
    <w:rsid w:val="23F01166"/>
    <w:rsid w:val="23F374B2"/>
    <w:rsid w:val="24E8227A"/>
    <w:rsid w:val="25095830"/>
    <w:rsid w:val="2561205F"/>
    <w:rsid w:val="25DB4517"/>
    <w:rsid w:val="26345F01"/>
    <w:rsid w:val="26346A66"/>
    <w:rsid w:val="2689185B"/>
    <w:rsid w:val="26AA013C"/>
    <w:rsid w:val="26BD5525"/>
    <w:rsid w:val="26DE799C"/>
    <w:rsid w:val="273B3040"/>
    <w:rsid w:val="27C9321A"/>
    <w:rsid w:val="281A4C75"/>
    <w:rsid w:val="290F6381"/>
    <w:rsid w:val="2A133E00"/>
    <w:rsid w:val="2AC84BEB"/>
    <w:rsid w:val="2B8A1EA0"/>
    <w:rsid w:val="2C271DE5"/>
    <w:rsid w:val="2CC64092"/>
    <w:rsid w:val="2D04156B"/>
    <w:rsid w:val="2D872B3B"/>
    <w:rsid w:val="2E9D638E"/>
    <w:rsid w:val="2FDE0A0C"/>
    <w:rsid w:val="2FF10740"/>
    <w:rsid w:val="307B4C03"/>
    <w:rsid w:val="31BE5A57"/>
    <w:rsid w:val="32FA790B"/>
    <w:rsid w:val="335334BF"/>
    <w:rsid w:val="335A484E"/>
    <w:rsid w:val="337B3428"/>
    <w:rsid w:val="33C341A1"/>
    <w:rsid w:val="347E3F43"/>
    <w:rsid w:val="35E8378E"/>
    <w:rsid w:val="35E90DEE"/>
    <w:rsid w:val="36545C9A"/>
    <w:rsid w:val="36F17277"/>
    <w:rsid w:val="3764173A"/>
    <w:rsid w:val="379C5435"/>
    <w:rsid w:val="37A238A8"/>
    <w:rsid w:val="37D746BF"/>
    <w:rsid w:val="38934A8A"/>
    <w:rsid w:val="390C261A"/>
    <w:rsid w:val="391D4D35"/>
    <w:rsid w:val="39276F80"/>
    <w:rsid w:val="39557F91"/>
    <w:rsid w:val="3A3E019C"/>
    <w:rsid w:val="3C261771"/>
    <w:rsid w:val="3C383C10"/>
    <w:rsid w:val="3D402D06"/>
    <w:rsid w:val="3DCB0822"/>
    <w:rsid w:val="3ECA6D2C"/>
    <w:rsid w:val="3EDE27D7"/>
    <w:rsid w:val="3EE43827"/>
    <w:rsid w:val="3FCC0881"/>
    <w:rsid w:val="3FFA0F4B"/>
    <w:rsid w:val="40CB56E0"/>
    <w:rsid w:val="40FC5196"/>
    <w:rsid w:val="410A340F"/>
    <w:rsid w:val="411A1543"/>
    <w:rsid w:val="41824C33"/>
    <w:rsid w:val="41CC63D8"/>
    <w:rsid w:val="425D3A13"/>
    <w:rsid w:val="4339464F"/>
    <w:rsid w:val="43E3619A"/>
    <w:rsid w:val="44095C00"/>
    <w:rsid w:val="444255B6"/>
    <w:rsid w:val="44B00772"/>
    <w:rsid w:val="45941E41"/>
    <w:rsid w:val="45FE217C"/>
    <w:rsid w:val="46276812"/>
    <w:rsid w:val="47040901"/>
    <w:rsid w:val="47F33E24"/>
    <w:rsid w:val="47F60B91"/>
    <w:rsid w:val="499F5FF1"/>
    <w:rsid w:val="4A2D016F"/>
    <w:rsid w:val="4A2D0B53"/>
    <w:rsid w:val="4A565917"/>
    <w:rsid w:val="4BD016F9"/>
    <w:rsid w:val="4BD05175"/>
    <w:rsid w:val="4BED5E07"/>
    <w:rsid w:val="4C3D00B7"/>
    <w:rsid w:val="4C4A5008"/>
    <w:rsid w:val="4CD72B64"/>
    <w:rsid w:val="4D0E24D9"/>
    <w:rsid w:val="4D31441A"/>
    <w:rsid w:val="4D9E1AAF"/>
    <w:rsid w:val="4DA929B3"/>
    <w:rsid w:val="4E2875CB"/>
    <w:rsid w:val="4E791BD4"/>
    <w:rsid w:val="502B0F3D"/>
    <w:rsid w:val="5187285A"/>
    <w:rsid w:val="52524C16"/>
    <w:rsid w:val="52C61160"/>
    <w:rsid w:val="536410A5"/>
    <w:rsid w:val="537312E8"/>
    <w:rsid w:val="538A6632"/>
    <w:rsid w:val="53BF0089"/>
    <w:rsid w:val="53E67D0C"/>
    <w:rsid w:val="54A43723"/>
    <w:rsid w:val="556C2493"/>
    <w:rsid w:val="561F3061"/>
    <w:rsid w:val="56F97D56"/>
    <w:rsid w:val="57283E05"/>
    <w:rsid w:val="573404E9"/>
    <w:rsid w:val="576733ED"/>
    <w:rsid w:val="57F82F94"/>
    <w:rsid w:val="58313520"/>
    <w:rsid w:val="58474AF1"/>
    <w:rsid w:val="58562F86"/>
    <w:rsid w:val="597C317F"/>
    <w:rsid w:val="598A2EE8"/>
    <w:rsid w:val="59D6612D"/>
    <w:rsid w:val="59DE3233"/>
    <w:rsid w:val="5B0647F0"/>
    <w:rsid w:val="5B1F1D55"/>
    <w:rsid w:val="5B525323"/>
    <w:rsid w:val="5B7756EE"/>
    <w:rsid w:val="5BED3C02"/>
    <w:rsid w:val="5C4557EC"/>
    <w:rsid w:val="5CDC1CAC"/>
    <w:rsid w:val="5CDF354A"/>
    <w:rsid w:val="5CED5FBE"/>
    <w:rsid w:val="5DA0717E"/>
    <w:rsid w:val="5DC81BE5"/>
    <w:rsid w:val="5E053485"/>
    <w:rsid w:val="5E6261E1"/>
    <w:rsid w:val="5EC56770"/>
    <w:rsid w:val="5EFD415C"/>
    <w:rsid w:val="5FAB4614"/>
    <w:rsid w:val="603040BD"/>
    <w:rsid w:val="603E67DA"/>
    <w:rsid w:val="611539DF"/>
    <w:rsid w:val="61167757"/>
    <w:rsid w:val="615A5895"/>
    <w:rsid w:val="61C84EF5"/>
    <w:rsid w:val="61FA2010"/>
    <w:rsid w:val="61FE26C5"/>
    <w:rsid w:val="623B56C7"/>
    <w:rsid w:val="62B40FD5"/>
    <w:rsid w:val="646F7485"/>
    <w:rsid w:val="64746A45"/>
    <w:rsid w:val="65AE7F5E"/>
    <w:rsid w:val="65B01F28"/>
    <w:rsid w:val="67FB3202"/>
    <w:rsid w:val="685F7C35"/>
    <w:rsid w:val="68FB170C"/>
    <w:rsid w:val="69076303"/>
    <w:rsid w:val="697274F4"/>
    <w:rsid w:val="69782D5D"/>
    <w:rsid w:val="69C73CE4"/>
    <w:rsid w:val="69CA0A8A"/>
    <w:rsid w:val="69E952DB"/>
    <w:rsid w:val="6AA06A0F"/>
    <w:rsid w:val="6B7E6624"/>
    <w:rsid w:val="6BC56001"/>
    <w:rsid w:val="6C05633C"/>
    <w:rsid w:val="6C783084"/>
    <w:rsid w:val="6C8B2DA7"/>
    <w:rsid w:val="6E4B6C92"/>
    <w:rsid w:val="6F103A37"/>
    <w:rsid w:val="6F6F4C02"/>
    <w:rsid w:val="6FB16FC8"/>
    <w:rsid w:val="6FE67489"/>
    <w:rsid w:val="70AE3508"/>
    <w:rsid w:val="71216B0E"/>
    <w:rsid w:val="71E17F5A"/>
    <w:rsid w:val="722F7F17"/>
    <w:rsid w:val="73516370"/>
    <w:rsid w:val="73ED4C8A"/>
    <w:rsid w:val="745F3BD7"/>
    <w:rsid w:val="74732A9E"/>
    <w:rsid w:val="753D4E5A"/>
    <w:rsid w:val="7568637B"/>
    <w:rsid w:val="758111EB"/>
    <w:rsid w:val="76D67314"/>
    <w:rsid w:val="77291B3A"/>
    <w:rsid w:val="78A84CE1"/>
    <w:rsid w:val="7B6C6499"/>
    <w:rsid w:val="7B744F44"/>
    <w:rsid w:val="7B7B52BD"/>
    <w:rsid w:val="7B930A13"/>
    <w:rsid w:val="7BCD518A"/>
    <w:rsid w:val="7C1A5EF5"/>
    <w:rsid w:val="7C695075"/>
    <w:rsid w:val="7C947A56"/>
    <w:rsid w:val="7C9712F4"/>
    <w:rsid w:val="7CA12173"/>
    <w:rsid w:val="7CE309DD"/>
    <w:rsid w:val="7D0F532E"/>
    <w:rsid w:val="7D957F29"/>
    <w:rsid w:val="7DBE3EF7"/>
    <w:rsid w:val="7E3C2153"/>
    <w:rsid w:val="7F211349"/>
    <w:rsid w:val="7F6C1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autoRedefine/>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9"/>
    <w:autoRedefine/>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autoRedefine/>
    <w:semiHidden/>
    <w:unhideWhenUsed/>
    <w:qFormat/>
    <w:uiPriority w:val="1"/>
  </w:style>
  <w:style w:type="table" w:default="1" w:styleId="29">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6"/>
    <w:autoRedefine/>
    <w:unhideWhenUsed/>
    <w:qFormat/>
    <w:uiPriority w:val="99"/>
    <w:pPr>
      <w:jc w:val="left"/>
    </w:pPr>
  </w:style>
  <w:style w:type="paragraph" w:styleId="14">
    <w:name w:val="Body Text"/>
    <w:basedOn w:val="1"/>
    <w:link w:val="90"/>
    <w:autoRedefine/>
    <w:qFormat/>
    <w:uiPriority w:val="0"/>
    <w:pPr>
      <w:spacing w:after="120"/>
    </w:pPr>
  </w:style>
  <w:style w:type="paragraph" w:styleId="15">
    <w:name w:val="Body Text Indent"/>
    <w:basedOn w:val="1"/>
    <w:next w:val="1"/>
    <w:link w:val="235"/>
    <w:autoRedefine/>
    <w:unhideWhenUsed/>
    <w:qFormat/>
    <w:uiPriority w:val="99"/>
    <w:pPr>
      <w:adjustRightInd/>
      <w:spacing w:line="360" w:lineRule="exact"/>
      <w:ind w:left="420" w:firstLine="1188"/>
    </w:pPr>
    <w:rPr>
      <w:rFonts w:cs="Calibri"/>
    </w:r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9"/>
    <w:autoRedefine/>
    <w:semiHidden/>
    <w:unhideWhenUsed/>
    <w:qFormat/>
    <w:uiPriority w:val="99"/>
    <w:rPr>
      <w:sz w:val="18"/>
      <w:szCs w:val="18"/>
    </w:rPr>
  </w:style>
  <w:style w:type="paragraph" w:styleId="19">
    <w:name w:val="footer"/>
    <w:basedOn w:val="1"/>
    <w:link w:val="48"/>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7"/>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7"/>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autoRedefine/>
    <w:semiHidden/>
    <w:unhideWhenUsed/>
    <w:qFormat/>
    <w:uiPriority w:val="99"/>
    <w:rPr>
      <w:sz w:val="21"/>
      <w:szCs w:val="21"/>
    </w:rPr>
  </w:style>
  <w:style w:type="character" w:styleId="37">
    <w:name w:val="footnote reference"/>
    <w:autoRedefine/>
    <w:semiHidden/>
    <w:qFormat/>
    <w:uiPriority w:val="0"/>
    <w:rPr>
      <w:rFonts w:ascii="宋体" w:hAnsi="宋体" w:eastAsia="宋体" w:cs="Times New Roman"/>
      <w:spacing w:val="0"/>
      <w:sz w:val="18"/>
      <w:vertAlign w:val="superscript"/>
    </w:rPr>
  </w:style>
  <w:style w:type="character" w:customStyle="1" w:styleId="38">
    <w:name w:val="标题 1 Char"/>
    <w:link w:val="2"/>
    <w:autoRedefine/>
    <w:qFormat/>
    <w:uiPriority w:val="99"/>
    <w:rPr>
      <w:rFonts w:ascii="Times New Roman" w:hAnsi="Times New Roman" w:eastAsia="宋体" w:cs="Times New Roman"/>
      <w:b/>
      <w:bCs/>
      <w:kern w:val="44"/>
      <w:sz w:val="44"/>
      <w:szCs w:val="44"/>
    </w:rPr>
  </w:style>
  <w:style w:type="character" w:customStyle="1" w:styleId="39">
    <w:name w:val="标题 2 Char"/>
    <w:link w:val="3"/>
    <w:autoRedefine/>
    <w:qFormat/>
    <w:uiPriority w:val="99"/>
    <w:rPr>
      <w:rFonts w:ascii="Arial" w:hAnsi="Arial" w:eastAsia="黑体" w:cs="Times New Roman"/>
      <w:b/>
      <w:bCs/>
      <w:sz w:val="32"/>
      <w:szCs w:val="32"/>
    </w:rPr>
  </w:style>
  <w:style w:type="character" w:customStyle="1" w:styleId="40">
    <w:name w:val="标题 3 Char"/>
    <w:link w:val="4"/>
    <w:autoRedefine/>
    <w:qFormat/>
    <w:uiPriority w:val="0"/>
    <w:rPr>
      <w:rFonts w:ascii="Times New Roman" w:hAnsi="Times New Roman" w:eastAsia="宋体" w:cs="Times New Roman"/>
      <w:b/>
      <w:bCs/>
      <w:sz w:val="32"/>
      <w:szCs w:val="32"/>
    </w:rPr>
  </w:style>
  <w:style w:type="character" w:customStyle="1" w:styleId="41">
    <w:name w:val="标题 4 Char"/>
    <w:link w:val="5"/>
    <w:autoRedefine/>
    <w:qFormat/>
    <w:uiPriority w:val="0"/>
    <w:rPr>
      <w:rFonts w:ascii="Arial" w:hAnsi="Arial" w:eastAsia="黑体" w:cs="Times New Roman"/>
      <w:b/>
      <w:bCs/>
      <w:sz w:val="28"/>
      <w:szCs w:val="28"/>
    </w:rPr>
  </w:style>
  <w:style w:type="character" w:customStyle="1" w:styleId="42">
    <w:name w:val="标题 5 Char"/>
    <w:link w:val="6"/>
    <w:autoRedefine/>
    <w:qFormat/>
    <w:uiPriority w:val="0"/>
    <w:rPr>
      <w:rFonts w:ascii="Times New Roman" w:hAnsi="Times New Roman" w:eastAsia="宋体" w:cs="Times New Roman"/>
      <w:b/>
      <w:bCs/>
      <w:sz w:val="28"/>
      <w:szCs w:val="28"/>
    </w:rPr>
  </w:style>
  <w:style w:type="character" w:customStyle="1" w:styleId="43">
    <w:name w:val="标题 6 Char"/>
    <w:link w:val="7"/>
    <w:autoRedefine/>
    <w:qFormat/>
    <w:uiPriority w:val="0"/>
    <w:rPr>
      <w:rFonts w:ascii="Arial" w:hAnsi="Arial" w:eastAsia="黑体" w:cs="Times New Roman"/>
      <w:b/>
      <w:bCs/>
      <w:sz w:val="24"/>
      <w:szCs w:val="24"/>
    </w:rPr>
  </w:style>
  <w:style w:type="character" w:customStyle="1" w:styleId="44">
    <w:name w:val="标题 7 Char"/>
    <w:link w:val="8"/>
    <w:autoRedefine/>
    <w:qFormat/>
    <w:uiPriority w:val="0"/>
    <w:rPr>
      <w:rFonts w:ascii="Times New Roman" w:hAnsi="Times New Roman" w:eastAsia="宋体" w:cs="Times New Roman"/>
      <w:b/>
      <w:bCs/>
      <w:sz w:val="24"/>
      <w:szCs w:val="24"/>
    </w:rPr>
  </w:style>
  <w:style w:type="character" w:customStyle="1" w:styleId="45">
    <w:name w:val="标题 8 Char"/>
    <w:link w:val="9"/>
    <w:autoRedefine/>
    <w:qFormat/>
    <w:uiPriority w:val="0"/>
    <w:rPr>
      <w:rFonts w:ascii="Arial" w:hAnsi="Arial" w:eastAsia="黑体" w:cs="Times New Roman"/>
      <w:sz w:val="24"/>
      <w:szCs w:val="24"/>
    </w:rPr>
  </w:style>
  <w:style w:type="character" w:customStyle="1" w:styleId="46">
    <w:name w:val="标题 9 Char"/>
    <w:link w:val="10"/>
    <w:autoRedefine/>
    <w:qFormat/>
    <w:uiPriority w:val="0"/>
    <w:rPr>
      <w:rFonts w:ascii="Arial" w:hAnsi="Arial" w:eastAsia="黑体" w:cs="Times New Roman"/>
      <w:szCs w:val="21"/>
    </w:rPr>
  </w:style>
  <w:style w:type="character" w:customStyle="1" w:styleId="47">
    <w:name w:val="页眉 Char"/>
    <w:link w:val="20"/>
    <w:autoRedefine/>
    <w:qFormat/>
    <w:uiPriority w:val="99"/>
    <w:rPr>
      <w:rFonts w:ascii="Times New Roman" w:hAnsi="Times New Roman" w:eastAsia="宋体" w:cs="Times New Roman"/>
      <w:sz w:val="18"/>
      <w:szCs w:val="18"/>
    </w:rPr>
  </w:style>
  <w:style w:type="character" w:customStyle="1" w:styleId="48">
    <w:name w:val="页脚 Char"/>
    <w:link w:val="19"/>
    <w:autoRedefine/>
    <w:qFormat/>
    <w:uiPriority w:val="99"/>
    <w:rPr>
      <w:rFonts w:ascii="宋体" w:hAnsi="Times New Roman" w:eastAsia="宋体" w:cs="Times New Roman"/>
      <w:sz w:val="18"/>
      <w:szCs w:val="18"/>
    </w:rPr>
  </w:style>
  <w:style w:type="character" w:customStyle="1" w:styleId="49">
    <w:name w:val="批注框文本 Char"/>
    <w:link w:val="18"/>
    <w:autoRedefine/>
    <w:semiHidden/>
    <w:qFormat/>
    <w:uiPriority w:val="99"/>
    <w:rPr>
      <w:sz w:val="18"/>
      <w:szCs w:val="18"/>
    </w:rPr>
  </w:style>
  <w:style w:type="paragraph" w:styleId="50">
    <w:name w:val="Quote"/>
    <w:basedOn w:val="1"/>
    <w:next w:val="1"/>
    <w:link w:val="51"/>
    <w:autoRedefine/>
    <w:qFormat/>
    <w:uiPriority w:val="29"/>
    <w:rPr>
      <w:i/>
      <w:iCs/>
      <w:color w:val="000000"/>
    </w:rPr>
  </w:style>
  <w:style w:type="character" w:customStyle="1" w:styleId="51">
    <w:name w:val="引用 Char"/>
    <w:link w:val="50"/>
    <w:autoRedefine/>
    <w:qFormat/>
    <w:uiPriority w:val="29"/>
    <w:rPr>
      <w:i/>
      <w:iCs/>
      <w:color w:val="000000"/>
    </w:rPr>
  </w:style>
  <w:style w:type="character" w:customStyle="1" w:styleId="52">
    <w:name w:val="标题 Char"/>
    <w:link w:val="27"/>
    <w:autoRedefine/>
    <w:qFormat/>
    <w:uiPriority w:val="0"/>
    <w:rPr>
      <w:rFonts w:ascii="Arial" w:hAnsi="Arial" w:eastAsia="宋体" w:cs="Arial"/>
      <w:b/>
      <w:bCs/>
      <w:sz w:val="32"/>
      <w:szCs w:val="32"/>
    </w:rPr>
  </w:style>
  <w:style w:type="paragraph" w:customStyle="1" w:styleId="53">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autoRedefine/>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autoRedefine/>
    <w:qFormat/>
    <w:uiPriority w:val="0"/>
    <w:pPr>
      <w:spacing w:line="0" w:lineRule="atLeast"/>
    </w:pPr>
    <w:rPr>
      <w:rFonts w:ascii="黑体" w:hAnsi="宋体" w:eastAsia="黑体"/>
    </w:rPr>
  </w:style>
  <w:style w:type="paragraph" w:customStyle="1" w:styleId="59">
    <w:name w:val="标准文件_标准正文"/>
    <w:basedOn w:val="1"/>
    <w:next w:val="60"/>
    <w:autoRedefine/>
    <w:qFormat/>
    <w:uiPriority w:val="0"/>
    <w:pPr>
      <w:snapToGrid w:val="0"/>
      <w:ind w:firstLine="200" w:firstLineChars="200"/>
    </w:pPr>
    <w:rPr>
      <w:kern w:val="0"/>
    </w:rPr>
  </w:style>
  <w:style w:type="paragraph" w:customStyle="1" w:styleId="60">
    <w:name w:val="标准文件_段"/>
    <w:link w:val="188"/>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autoRedefine/>
    <w:qFormat/>
    <w:uiPriority w:val="0"/>
    <w:pPr>
      <w:adjustRightInd/>
      <w:snapToGrid/>
      <w:ind w:firstLine="0" w:firstLineChars="0"/>
    </w:pPr>
    <w:rPr>
      <w:rFonts w:ascii="宋体" w:hAnsi="宋体"/>
      <w:kern w:val="2"/>
    </w:rPr>
  </w:style>
  <w:style w:type="paragraph" w:customStyle="1" w:styleId="62">
    <w:name w:val="标准文件_标准部门"/>
    <w:basedOn w:val="1"/>
    <w:autoRedefine/>
    <w:qFormat/>
    <w:uiPriority w:val="0"/>
    <w:pPr>
      <w:jc w:val="center"/>
    </w:pPr>
    <w:rPr>
      <w:rFonts w:ascii="黑体" w:eastAsia="黑体"/>
      <w:kern w:val="0"/>
      <w:sz w:val="44"/>
    </w:rPr>
  </w:style>
  <w:style w:type="paragraph" w:customStyle="1" w:styleId="63">
    <w:name w:val="标准文件_标准代替"/>
    <w:basedOn w:val="1"/>
    <w:next w:val="1"/>
    <w:autoRedefine/>
    <w:qFormat/>
    <w:uiPriority w:val="0"/>
    <w:pPr>
      <w:spacing w:line="310" w:lineRule="exact"/>
      <w:jc w:val="right"/>
    </w:pPr>
    <w:rPr>
      <w:rFonts w:ascii="宋体" w:hAnsi="宋体"/>
      <w:kern w:val="0"/>
    </w:rPr>
  </w:style>
  <w:style w:type="paragraph" w:customStyle="1" w:styleId="64">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autoRedefine/>
    <w:qFormat/>
    <w:uiPriority w:val="0"/>
    <w:pPr>
      <w:jc w:val="left"/>
    </w:pPr>
  </w:style>
  <w:style w:type="paragraph" w:customStyle="1" w:styleId="67">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8">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autoRedefine/>
    <w:qFormat/>
    <w:uiPriority w:val="0"/>
    <w:rPr>
      <w:rFonts w:ascii="黑体" w:eastAsia="黑体"/>
      <w:spacing w:val="0"/>
      <w:w w:val="100"/>
      <w:position w:val="3"/>
      <w:sz w:val="28"/>
    </w:rPr>
  </w:style>
  <w:style w:type="paragraph" w:customStyle="1" w:styleId="71">
    <w:name w:val="标准文件_方框数字列项"/>
    <w:basedOn w:val="60"/>
    <w:autoRedefine/>
    <w:qFormat/>
    <w:uiPriority w:val="0"/>
    <w:pPr>
      <w:numPr>
        <w:ilvl w:val="0"/>
        <w:numId w:val="3"/>
      </w:numPr>
      <w:ind w:firstLine="0" w:firstLineChars="0"/>
    </w:pPr>
  </w:style>
  <w:style w:type="paragraph" w:customStyle="1" w:styleId="72">
    <w:name w:val="标准文件_封面标准编号"/>
    <w:basedOn w:val="1"/>
    <w:next w:val="63"/>
    <w:autoRedefine/>
    <w:qFormat/>
    <w:uiPriority w:val="0"/>
    <w:pPr>
      <w:spacing w:line="310" w:lineRule="exact"/>
      <w:jc w:val="right"/>
    </w:pPr>
    <w:rPr>
      <w:rFonts w:ascii="黑体" w:eastAsia="黑体"/>
      <w:kern w:val="0"/>
      <w:sz w:val="28"/>
    </w:rPr>
  </w:style>
  <w:style w:type="paragraph" w:customStyle="1" w:styleId="73">
    <w:name w:val="标准文件_封面标准分类号"/>
    <w:basedOn w:val="1"/>
    <w:autoRedefine/>
    <w:qFormat/>
    <w:uiPriority w:val="0"/>
    <w:rPr>
      <w:rFonts w:ascii="黑体" w:eastAsia="黑体"/>
      <w:b/>
      <w:kern w:val="0"/>
      <w:sz w:val="28"/>
    </w:rPr>
  </w:style>
  <w:style w:type="paragraph" w:customStyle="1" w:styleId="74">
    <w:name w:val="标准文件_封面标准名称"/>
    <w:basedOn w:val="1"/>
    <w:autoRedefine/>
    <w:qFormat/>
    <w:uiPriority w:val="0"/>
    <w:pPr>
      <w:spacing w:line="240" w:lineRule="auto"/>
      <w:jc w:val="center"/>
    </w:pPr>
    <w:rPr>
      <w:rFonts w:ascii="黑体" w:eastAsia="黑体"/>
      <w:kern w:val="0"/>
      <w:sz w:val="52"/>
    </w:rPr>
  </w:style>
  <w:style w:type="paragraph" w:customStyle="1" w:styleId="75">
    <w:name w:val="标准文件_封面标准英文名称"/>
    <w:basedOn w:val="1"/>
    <w:autoRedefine/>
    <w:qFormat/>
    <w:uiPriority w:val="0"/>
    <w:pPr>
      <w:spacing w:line="240" w:lineRule="auto"/>
      <w:jc w:val="center"/>
    </w:pPr>
    <w:rPr>
      <w:rFonts w:ascii="黑体" w:eastAsia="黑体"/>
      <w:b/>
      <w:sz w:val="28"/>
    </w:rPr>
  </w:style>
  <w:style w:type="paragraph" w:customStyle="1" w:styleId="76">
    <w:name w:val="标准文件_封面发布日期"/>
    <w:basedOn w:val="1"/>
    <w:autoRedefine/>
    <w:qFormat/>
    <w:uiPriority w:val="0"/>
    <w:pPr>
      <w:spacing w:line="310" w:lineRule="exact"/>
    </w:pPr>
    <w:rPr>
      <w:rFonts w:ascii="黑体" w:eastAsia="黑体"/>
      <w:kern w:val="0"/>
      <w:sz w:val="28"/>
    </w:rPr>
  </w:style>
  <w:style w:type="paragraph" w:customStyle="1" w:styleId="77">
    <w:name w:val="标准文件_封面密级"/>
    <w:basedOn w:val="1"/>
    <w:autoRedefine/>
    <w:qFormat/>
    <w:uiPriority w:val="0"/>
    <w:rPr>
      <w:rFonts w:eastAsia="黑体"/>
      <w:sz w:val="32"/>
    </w:rPr>
  </w:style>
  <w:style w:type="paragraph" w:customStyle="1" w:styleId="78">
    <w:name w:val="标准文件_封面实施日期"/>
    <w:basedOn w:val="1"/>
    <w:autoRedefine/>
    <w:qFormat/>
    <w:uiPriority w:val="0"/>
    <w:pPr>
      <w:spacing w:line="310" w:lineRule="exact"/>
      <w:jc w:val="right"/>
    </w:pPr>
    <w:rPr>
      <w:rFonts w:ascii="黑体" w:eastAsia="黑体"/>
      <w:sz w:val="28"/>
    </w:rPr>
  </w:style>
  <w:style w:type="paragraph" w:customStyle="1" w:styleId="79">
    <w:name w:val="标准文件_封面抬头"/>
    <w:basedOn w:val="60"/>
    <w:autoRedefine/>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Char"/>
    <w:link w:val="14"/>
    <w:qFormat/>
    <w:uiPriority w:val="0"/>
    <w:rPr>
      <w:rFonts w:ascii="Times New Roman" w:hAnsi="Times New Roman" w:eastAsia="宋体" w:cs="Times New Roman"/>
      <w:szCs w:val="20"/>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pPr>
  </w:style>
  <w:style w:type="paragraph" w:customStyle="1" w:styleId="95">
    <w:name w:val="标准文件_目录标题"/>
    <w:basedOn w:val="1"/>
    <w:qFormat/>
    <w:uiPriority w:val="0"/>
    <w:pPr>
      <w:spacing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ind w:left="0" w:firstLine="200"/>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Char"/>
    <w:link w:val="23"/>
    <w:semiHidden/>
    <w:qFormat/>
    <w:uiPriority w:val="0"/>
    <w:rPr>
      <w:rFonts w:ascii="宋体" w:hAnsi="Times New Roman" w:eastAsia="宋体" w:cs="Times New Roman"/>
      <w:sz w:val="18"/>
      <w:szCs w:val="18"/>
    </w:rPr>
  </w:style>
  <w:style w:type="paragraph" w:customStyle="1" w:styleId="104">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ind w:left="783"/>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left="1271" w:hanging="420" w:firstLineChars="0"/>
    </w:pPr>
  </w:style>
  <w:style w:type="paragraph" w:customStyle="1" w:styleId="192">
    <w:name w:val="标准文件_三级项2"/>
    <w:basedOn w:val="60"/>
    <w:qFormat/>
    <w:uiPriority w:val="0"/>
    <w:pPr>
      <w:numPr>
        <w:ilvl w:val="0"/>
        <w:numId w:val="30"/>
      </w:numPr>
      <w:spacing w:line="300" w:lineRule="exact"/>
      <w:ind w:left="1276" w:hanging="425" w:firstLineChars="0"/>
    </w:pPr>
    <w:rPr>
      <w:rFonts w:ascii="Times New Roman"/>
    </w:rPr>
  </w:style>
  <w:style w:type="paragraph" w:customStyle="1" w:styleId="193">
    <w:name w:val="标准文件_一级项2"/>
    <w:basedOn w:val="60"/>
    <w:qFormat/>
    <w:uiPriority w:val="0"/>
    <w:pPr>
      <w:numPr>
        <w:ilvl w:val="0"/>
        <w:numId w:val="31"/>
      </w:numPr>
      <w:spacing w:line="300" w:lineRule="exact"/>
      <w:ind w:left="1271" w:hanging="420"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frame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next w:val="60"/>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paragraph" w:customStyle="1" w:styleId="234">
    <w:name w:val="段"/>
    <w:basedOn w:val="1"/>
    <w:qFormat/>
    <w:uiPriority w:val="0"/>
    <w:pPr>
      <w:widowControl/>
      <w:autoSpaceDE w:val="0"/>
      <w:autoSpaceDN w:val="0"/>
      <w:adjustRightInd/>
      <w:spacing w:line="240" w:lineRule="auto"/>
      <w:ind w:firstLine="420" w:firstLineChars="200"/>
    </w:pPr>
    <w:rPr>
      <w:rFonts w:ascii="宋体" w:hAnsi="宋体" w:cs="宋体"/>
      <w:kern w:val="0"/>
    </w:rPr>
  </w:style>
  <w:style w:type="character" w:customStyle="1" w:styleId="235">
    <w:name w:val="正文文本缩进 Char"/>
    <w:basedOn w:val="31"/>
    <w:link w:val="15"/>
    <w:uiPriority w:val="99"/>
    <w:rPr>
      <w:rFonts w:cs="Calibri"/>
      <w:kern w:val="2"/>
      <w:sz w:val="21"/>
      <w:szCs w:val="21"/>
    </w:rPr>
  </w:style>
  <w:style w:type="character" w:customStyle="1" w:styleId="236">
    <w:name w:val="批注文字 Char"/>
    <w:basedOn w:val="31"/>
    <w:link w:val="13"/>
    <w:uiPriority w:val="99"/>
    <w:rPr>
      <w:kern w:val="2"/>
      <w:sz w:val="21"/>
      <w:szCs w:val="21"/>
    </w:rPr>
  </w:style>
  <w:style w:type="character" w:customStyle="1" w:styleId="237">
    <w:name w:val="批注主题 Char"/>
    <w:basedOn w:val="236"/>
    <w:link w:val="28"/>
    <w:semiHidden/>
    <w:qFormat/>
    <w:uiPriority w:val="99"/>
    <w:rPr>
      <w:b/>
      <w:bCs/>
      <w:kern w:val="2"/>
      <w:sz w:val="21"/>
      <w:szCs w:val="21"/>
    </w:rPr>
  </w:style>
  <w:style w:type="paragraph" w:customStyle="1" w:styleId="238">
    <w:name w:val="修订1"/>
    <w:hidden/>
    <w:semiHidden/>
    <w:qFormat/>
    <w:uiPriority w:val="99"/>
    <w:rPr>
      <w:rFonts w:ascii="Calibri" w:hAnsi="Calibri" w:eastAsia="宋体" w:cs="Times New Roman"/>
      <w:kern w:val="2"/>
      <w:sz w:val="21"/>
      <w:szCs w:val="21"/>
      <w:lang w:val="en-US" w:eastAsia="zh-CN" w:bidi="ar-SA"/>
    </w:rPr>
  </w:style>
  <w:style w:type="paragraph" w:customStyle="1" w:styleId="239">
    <w:name w:val="封面标准号1"/>
    <w:qFormat/>
    <w:uiPriority w:val="0"/>
    <w:pPr>
      <w:widowControl w:val="0"/>
      <w:kinsoku w:val="0"/>
      <w:overflowPunct w:val="0"/>
      <w:autoSpaceDE w:val="0"/>
      <w:autoSpaceDN w:val="0"/>
      <w:spacing w:before="308"/>
      <w:ind w:left="4047"/>
      <w:jc w:val="right"/>
      <w:textAlignment w:val="center"/>
    </w:pPr>
    <w:rPr>
      <w:rFonts w:ascii="Times New Roman" w:hAnsi="Times New Roman" w:eastAsia="宋体" w:cs="Times New Roman"/>
      <w:sz w:val="28"/>
      <w:szCs w:val="28"/>
      <w:lang w:val="en-US" w:eastAsia="zh-CN" w:bidi="ar-SA"/>
    </w:rPr>
  </w:style>
  <w:style w:type="paragraph" w:customStyle="1" w:styleId="240">
    <w:name w:val="修订2"/>
    <w:hidden/>
    <w:unhideWhenUsed/>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3FC7875879B4019AC9E632A3F22C227"/>
        <w:style w:val=""/>
        <w:category>
          <w:name w:val="常规"/>
          <w:gallery w:val="placeholder"/>
        </w:category>
        <w:types>
          <w:type w:val="bbPlcHdr"/>
        </w:types>
        <w:behaviors>
          <w:behavior w:val="content"/>
        </w:behaviors>
        <w:description w:val=""/>
        <w:guid w:val="{CF70C166-8AD8-4A3E-B74A-7C0512E3292E}"/>
      </w:docPartPr>
      <w:docPartBody>
        <w:p>
          <w:pPr>
            <w:pStyle w:val="5"/>
          </w:pPr>
          <w:r>
            <w:rPr>
              <w:rStyle w:val="4"/>
              <w:rFonts w:hint="eastAsia"/>
            </w:rPr>
            <w:t>单击或点击此处输入文字。</w:t>
          </w:r>
        </w:p>
      </w:docPartBody>
    </w:docPart>
    <w:docPart>
      <w:docPartPr>
        <w:name w:val="DDA01D9EB3F74F938892290803725355"/>
        <w:style w:val=""/>
        <w:category>
          <w:name w:val="常规"/>
          <w:gallery w:val="placeholder"/>
        </w:category>
        <w:types>
          <w:type w:val="bbPlcHdr"/>
        </w:types>
        <w:behaviors>
          <w:behavior w:val="content"/>
        </w:behaviors>
        <w:description w:val=""/>
        <w:guid w:val="{F4599B25-3631-48DA-BC76-B27E3E071B61}"/>
      </w:docPartPr>
      <w:docPartBody>
        <w:p>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980"/>
    <w:rsid w:val="000447C0"/>
    <w:rsid w:val="000A5A6F"/>
    <w:rsid w:val="000B635D"/>
    <w:rsid w:val="001D73AA"/>
    <w:rsid w:val="002E6D39"/>
    <w:rsid w:val="003650B8"/>
    <w:rsid w:val="004003CA"/>
    <w:rsid w:val="004011F4"/>
    <w:rsid w:val="00415DB1"/>
    <w:rsid w:val="00466FC4"/>
    <w:rsid w:val="00493BAB"/>
    <w:rsid w:val="00585A55"/>
    <w:rsid w:val="005F1DEC"/>
    <w:rsid w:val="006057E7"/>
    <w:rsid w:val="006B34AD"/>
    <w:rsid w:val="006C6852"/>
    <w:rsid w:val="007976D1"/>
    <w:rsid w:val="00804DCC"/>
    <w:rsid w:val="0084242A"/>
    <w:rsid w:val="00877169"/>
    <w:rsid w:val="008B3724"/>
    <w:rsid w:val="008C7E20"/>
    <w:rsid w:val="00923413"/>
    <w:rsid w:val="00935FEF"/>
    <w:rsid w:val="00962CD5"/>
    <w:rsid w:val="00964285"/>
    <w:rsid w:val="009A30FD"/>
    <w:rsid w:val="00A47216"/>
    <w:rsid w:val="00A84285"/>
    <w:rsid w:val="00AB00D8"/>
    <w:rsid w:val="00B32A8A"/>
    <w:rsid w:val="00BC2C12"/>
    <w:rsid w:val="00BE74C6"/>
    <w:rsid w:val="00BF4482"/>
    <w:rsid w:val="00CA5E43"/>
    <w:rsid w:val="00CC0765"/>
    <w:rsid w:val="00CF1844"/>
    <w:rsid w:val="00E570BD"/>
    <w:rsid w:val="00E8380C"/>
    <w:rsid w:val="00EC1A80"/>
    <w:rsid w:val="00EF34A6"/>
    <w:rsid w:val="00F52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73FC7875879B4019AC9E632A3F22C22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DA01D9EB3F74F93889229080372535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BC684C-6D43-42F6-9790-E936D749F48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16</Pages>
  <Words>1360</Words>
  <Characters>7757</Characters>
  <Lines>64</Lines>
  <Paragraphs>18</Paragraphs>
  <TotalTime>72</TotalTime>
  <ScaleCrop>false</ScaleCrop>
  <LinksUpToDate>false</LinksUpToDate>
  <CharactersWithSpaces>9099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2023-08-10T09:51:00Z</dcterms:created>
  <dc:creator>Lenovo</dc:creator>
  <dc:description>&lt;config cover="true" show_menu="true" version="1.0.0" doctype="SDKXY"&gt;_x000d_
&lt;/config&gt;</dc:description>
  <cp:lastModifiedBy>WPS_1602468567</cp:lastModifiedBy>
  <cp:lastPrinted>2024-01-10T06:24:17Z</cp:lastPrinted>
  <dcterms:modified xsi:type="dcterms:W3CDTF">2024-01-10T06:24:28Z</dcterms:modified>
  <dc:title>地方标准</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0E07238E04F6438FA13F9A26B83BF471</vt:lpwstr>
  </property>
</Properties>
</file>