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4"/>
        <w:framePr w:wrap="around"/>
      </w:pPr>
      <w:r>
        <w:rPr>
          <w:rFonts w:ascii="Times New Roman"/>
        </w:rPr>
        <w:t>ICS</w:t>
      </w:r>
      <w:r>
        <w:rPr>
          <w:rFonts w:hint="eastAsia" w:ascii="MS Mincho" w:hAnsi="MS Mincho" w:eastAsia="MS Mincho" w:cs="MS Mincho"/>
        </w:rPr>
        <w:t> </w:t>
      </w:r>
      <w:r>
        <w:rPr>
          <w:rFonts w:hAnsi="黑体"/>
        </w:rPr>
        <w:t>27.140</w:t>
      </w:r>
    </w:p>
    <w:p>
      <w:pPr>
        <w:pStyle w:val="144"/>
        <w:framePr w:wrap="around"/>
      </w:pPr>
      <w:r>
        <w:rPr>
          <w:rFonts w:hint="eastAsia"/>
        </w:rPr>
        <w:t xml:space="preserve">CCS </w:t>
      </w:r>
      <w:r>
        <w:rPr>
          <w:rFonts w:hint="eastAsia" w:hAnsi="黑体"/>
        </w:rPr>
        <w:t>P 55</w:t>
      </w:r>
    </w:p>
    <w:tbl>
      <w:tblPr>
        <w:tblStyle w:val="5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pPr>
              <w:pStyle w:val="144"/>
              <w:framePr w:wrap="around"/>
            </w:pPr>
            <w:r>
              <w:pict>
                <v:rect id="BAH" o:spid="_x0000_s1040" o:spt="1" style="position:absolute;left:0pt;margin-left:-5.25pt;margin-top:0pt;height:15.6pt;width:68.25pt;z-index:-251652096;mso-width-relative:page;mso-height-relative:page;" stroked="f" coordsize="21600,21600">
                  <v:path/>
                  <v:fill focussize="0,0"/>
                  <v:stroke on="f"/>
                  <v:imagedata o:title=""/>
                  <o:lock v:ext="edit"/>
                </v:rect>
              </w:pict>
            </w:r>
          </w:p>
        </w:tc>
      </w:tr>
    </w:tbl>
    <w:p>
      <w:pPr>
        <w:pStyle w:val="130"/>
        <w:framePr w:wrap="around"/>
      </w:pPr>
      <w:r>
        <w:t>DB</w:t>
      </w:r>
      <w:bookmarkStart w:id="0" w:name="c3"/>
      <w:r>
        <w:fldChar w:fldCharType="begin">
          <w:ffData>
            <w:name w:val="c3"/>
            <w:enabled/>
            <w:calcOnExit w:val="0"/>
            <w:textInput>
              <w:maxLength w:val="2"/>
            </w:textInput>
          </w:ffData>
        </w:fldChar>
      </w:r>
      <w:r>
        <w:instrText xml:space="preserve"> FORMTEXT </w:instrText>
      </w:r>
      <w:r>
        <w:fldChar w:fldCharType="separate"/>
      </w:r>
      <w:r>
        <w:rPr>
          <w:rFonts w:hint="eastAsia"/>
        </w:rPr>
        <w:t>32</w:t>
      </w:r>
      <w:r>
        <w:fldChar w:fldCharType="end"/>
      </w:r>
      <w:bookmarkEnd w:id="0"/>
    </w:p>
    <w:p>
      <w:pPr>
        <w:pStyle w:val="131"/>
        <w:framePr w:wrap="around"/>
      </w:pPr>
      <w:bookmarkStart w:id="1" w:name="c4"/>
      <w:r>
        <w:fldChar w:fldCharType="begin">
          <w:ffData>
            <w:name w:val="c4"/>
            <w:enabled/>
            <w:calcOnExit w:val="0"/>
            <w:textInput/>
          </w:ffData>
        </w:fldChar>
      </w:r>
      <w:r>
        <w:instrText xml:space="preserve"> FORMTEXT </w:instrText>
      </w:r>
      <w:r>
        <w:fldChar w:fldCharType="separate"/>
      </w:r>
      <w:r>
        <w:rPr>
          <w:rFonts w:hint="eastAsia"/>
        </w:rPr>
        <w:t>江苏省</w:t>
      </w:r>
      <w:r>
        <w:fldChar w:fldCharType="end"/>
      </w:r>
      <w:bookmarkEnd w:id="1"/>
      <w:r>
        <w:rPr>
          <w:rFonts w:hint="eastAsia"/>
        </w:rPr>
        <w:t>地方标准</w:t>
      </w:r>
    </w:p>
    <w:p>
      <w:pPr>
        <w:pStyle w:val="68"/>
        <w:framePr w:wrap="around"/>
        <w:rPr>
          <w:rFonts w:hAnsi="黑体"/>
        </w:rPr>
      </w:pPr>
      <w:r>
        <w:rPr>
          <w:rFonts w:ascii="Times New Roman"/>
        </w:rPr>
        <w:t xml:space="preserve">DB </w:t>
      </w:r>
      <w:bookmarkStart w:id="2" w:name="StdNo0"/>
      <w:r>
        <w:rPr>
          <w:rFonts w:hAnsi="黑体"/>
        </w:rPr>
        <w:fldChar w:fldCharType="begin">
          <w:ffData>
            <w:name w:val="StdNo0"/>
            <w:enabled/>
            <w:calcOnExit w:val="0"/>
            <w:textInput>
              <w:default w:val="XX"/>
              <w:maxLength w:val="2"/>
            </w:textInput>
          </w:ffData>
        </w:fldChar>
      </w:r>
      <w:r>
        <w:rPr>
          <w:rFonts w:hAnsi="黑体"/>
        </w:rPr>
        <w:instrText xml:space="preserve"> FORMTEXT </w:instrText>
      </w:r>
      <w:r>
        <w:rPr>
          <w:rFonts w:hAnsi="黑体"/>
        </w:rPr>
        <w:fldChar w:fldCharType="separate"/>
      </w:r>
      <w:r>
        <w:rPr>
          <w:rFonts w:hint="eastAsia" w:hAnsi="黑体"/>
        </w:rPr>
        <w:t>32</w:t>
      </w:r>
      <w:r>
        <w:rPr>
          <w:rFonts w:hAnsi="黑体"/>
        </w:rPr>
        <w:fldChar w:fldCharType="end"/>
      </w:r>
      <w:bookmarkEnd w:id="2"/>
      <w:r>
        <w:rPr>
          <w:rFonts w:hAnsi="黑体"/>
        </w:rPr>
        <w:t>/</w:t>
      </w:r>
      <w:r>
        <w:rPr>
          <w:rFonts w:hint="eastAsia" w:hAnsi="黑体"/>
        </w:rPr>
        <w:t>T</w:t>
      </w:r>
      <w:r>
        <w:rPr>
          <w:rFonts w:hAnsi="黑体"/>
        </w:rPr>
        <w:t xml:space="preserve"> </w:t>
      </w:r>
      <w:bookmarkStart w:id="3"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fldChar w:fldCharType="separate"/>
      </w:r>
      <w:r>
        <w:rPr>
          <w:rFonts w:hAnsi="黑体"/>
        </w:rPr>
        <w:t>     </w:t>
      </w:r>
      <w:r>
        <w:rPr>
          <w:rFonts w:hAnsi="黑体"/>
        </w:rPr>
        <w:fldChar w:fldCharType="end"/>
      </w:r>
      <w:bookmarkEnd w:id="3"/>
      <w:r>
        <w:rPr>
          <w:rFonts w:hAnsi="黑体"/>
        </w:rPr>
        <w:t>—</w:t>
      </w:r>
      <w:bookmarkStart w:id="4"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fldChar w:fldCharType="separate"/>
      </w:r>
      <w:r>
        <w:rPr>
          <w:rFonts w:hAnsi="黑体"/>
        </w:rPr>
        <w:t>XXXX</w:t>
      </w:r>
      <w:r>
        <w:rPr>
          <w:rFonts w:hAnsi="黑体"/>
        </w:rPr>
        <w:fldChar w:fldCharType="end"/>
      </w:r>
      <w:bookmarkEnd w:id="4"/>
    </w:p>
    <w:tbl>
      <w:tblPr>
        <w:tblStyle w:val="5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97"/>
              <w:framePr w:wrap="around"/>
            </w:pPr>
            <w:bookmarkStart w:id="5" w:name="DT"/>
            <w:r>
              <w:pict>
                <v:rect id="DT" o:spid="_x0000_s1037" o:spt="1" style="position:absolute;left:0pt;margin-left:372.8pt;margin-top:2.7pt;height:18pt;width:90pt;z-index:-251655168;mso-width-relative:page;mso-height-relative:page;" stroked="f" coordsize="21600,21600">
                  <v:path/>
                  <v:fill focussize="0,0"/>
                  <v:stroke on="f"/>
                  <v:imagedata o:title=""/>
                  <o:lock v:ext="edit"/>
                </v:rect>
              </w:pict>
            </w:r>
            <w:r>
              <w:fldChar w:fldCharType="begin">
                <w:ffData>
                  <w:name w:val="DT"/>
                  <w:enabled/>
                  <w:calcOnExit w:val="0"/>
                  <w:textInput/>
                </w:ffData>
              </w:fldChar>
            </w:r>
            <w:r>
              <w:instrText xml:space="preserve"> FORMTEXT </w:instrText>
            </w:r>
            <w:r>
              <w:fldChar w:fldCharType="separate"/>
            </w:r>
            <w:r>
              <w:t>     </w:t>
            </w:r>
            <w:r>
              <w:fldChar w:fldCharType="end"/>
            </w:r>
            <w:bookmarkEnd w:id="5"/>
          </w:p>
        </w:tc>
      </w:tr>
    </w:tbl>
    <w:p>
      <w:pPr>
        <w:pStyle w:val="68"/>
        <w:framePr w:wrap="around"/>
        <w:rPr>
          <w:rFonts w:hAnsi="黑体"/>
        </w:rPr>
      </w:pPr>
    </w:p>
    <w:p>
      <w:pPr>
        <w:pStyle w:val="68"/>
        <w:framePr w:wrap="around"/>
        <w:rPr>
          <w:rFonts w:hAnsi="黑体"/>
        </w:rPr>
      </w:pPr>
    </w:p>
    <w:p>
      <w:pPr>
        <w:pStyle w:val="99"/>
        <w:framePr w:wrap="around"/>
      </w:pPr>
      <w:bookmarkStart w:id="6"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公路堰筑隧道设计规范</w:t>
      </w:r>
      <w:r>
        <w:fldChar w:fldCharType="end"/>
      </w:r>
      <w:bookmarkEnd w:id="6"/>
    </w:p>
    <w:p>
      <w:pPr>
        <w:pStyle w:val="100"/>
        <w:framePr w:wrap="around"/>
      </w:pPr>
      <w:bookmarkStart w:id="7" w:name="StdEnglishName"/>
      <w:r>
        <w:fldChar w:fldCharType="begin">
          <w:ffData>
            <w:name w:val="StdEnglishName"/>
            <w:enabled/>
            <w:calcOnExit w:val="0"/>
            <w:textInput>
              <w:default w:val="点击此处添加标准英文译名"/>
            </w:textInput>
          </w:ffData>
        </w:fldChar>
      </w:r>
      <w:r>
        <w:instrText xml:space="preserve"> FORMTEXT </w:instrText>
      </w:r>
      <w:r>
        <w:fldChar w:fldCharType="separate"/>
      </w:r>
      <w:r>
        <w:t>Specification for design of road cofferdam tunnels</w:t>
      </w:r>
      <w:r>
        <w:fldChar w:fldCharType="end"/>
      </w:r>
      <w:bookmarkEnd w:id="7"/>
    </w:p>
    <w:tbl>
      <w:tblPr>
        <w:tblStyle w:val="5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102"/>
              <w:framePr w:wrap="around"/>
            </w:pPr>
            <w:r>
              <w:pict>
                <v:rect id="RQ" o:spid="_x0000_s1039" o:spt="1" style="position:absolute;left:0pt;margin-left:173.3pt;margin-top:45.15pt;height:20pt;width:150pt;z-index:-251653120;mso-width-relative:page;mso-height-relative:page;" stroked="f" coordsize="21600,21600">
                  <v:path/>
                  <v:fill focussize="0,0"/>
                  <v:stroke on="f"/>
                  <v:imagedata o:title=""/>
                  <o:lock v:ext="edit"/>
                  <w10:anchorlock/>
                </v:rect>
              </w:pict>
            </w:r>
            <w:r>
              <w:pict>
                <v:rect id="LB" o:spid="_x0000_s1038" o:spt="1" style="position:absolute;left:0pt;margin-left:193.3pt;margin-top:20.15pt;height:24pt;width:100pt;z-index:-251654144;mso-width-relative:page;mso-height-relative:page;" stroked="f" coordsize="21600,21600">
                  <v:path/>
                  <v:fill focussize="0,0"/>
                  <v:stroke on="f"/>
                  <v:imagedata o:title=""/>
                  <o:lock v:ext="edit"/>
                </v:rect>
              </w:pict>
            </w:r>
            <w:r>
              <w:fldChar w:fldCharType="begin">
                <w:ffData>
                  <w:name w:val="LB"/>
                  <w:enabled/>
                  <w:calcOnExit w:val="0"/>
                  <w:ddList>
                    <w:result w:val="5"/>
                    <w:listEntry w:val="文稿版次选择"/>
                    <w:listEntry w:val="（工作组讨论稿）"/>
                    <w:listEntry w:val="（征求意见稿）"/>
                    <w:listEntry w:val="（送审讨论稿）"/>
                    <w:listEntry w:val="（送审稿）"/>
                    <w:listEntry w:val="（报批稿）"/>
                  </w:ddList>
                </w:ffData>
              </w:fldChar>
            </w:r>
            <w:bookmarkStart w:id="8" w:name="LB"/>
            <w:r>
              <w:instrText xml:space="preserve"> FORMDROPDOWN </w:instrText>
            </w:r>
            <w:r>
              <w:fldChar w:fldCharType="separate"/>
            </w:r>
            <w:r>
              <w:fldChar w:fldCharType="end"/>
            </w:r>
            <w:bookmarkEnd w:id="8"/>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103"/>
              <w:framePr w:wrap="around"/>
            </w:pPr>
            <w:bookmarkStart w:id="9" w:name="WCRQ"/>
            <w:r>
              <w:fldChar w:fldCharType="begin">
                <w:ffData>
                  <w:name w:val="WCRQ"/>
                  <w:enabled/>
                  <w:calcOnExit w:val="0"/>
                  <w:textInput/>
                </w:ffData>
              </w:fldChar>
            </w:r>
            <w:r>
              <w:instrText xml:space="preserve"> FORMTEXT </w:instrText>
            </w:r>
            <w:r>
              <w:fldChar w:fldCharType="separate"/>
            </w:r>
            <w:r>
              <w:t>     </w:t>
            </w:r>
            <w:r>
              <w:fldChar w:fldCharType="end"/>
            </w:r>
            <w:bookmarkEnd w:id="9"/>
          </w:p>
        </w:tc>
      </w:tr>
    </w:tbl>
    <w:p>
      <w:pPr>
        <w:pStyle w:val="151"/>
        <w:framePr w:wrap="around" w:hAnchor="page" w:x="1625"/>
      </w:pPr>
      <w:bookmarkStart w:id="10" w:name="FY"/>
      <w:r>
        <w:rPr>
          <w:rFonts w:ascii="黑体"/>
        </w:rPr>
        <w:fldChar w:fldCharType="begin">
          <w:ffData>
            <w:name w:val="F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1" w:name="FD"/>
      <w:r>
        <w:rPr>
          <w:rFonts w:ascii="黑体"/>
        </w:rPr>
        <w:fldChar w:fldCharType="begin">
          <w:ffData>
            <w:name w:val="F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r>
        <w:pict>
          <v:line id="_x0000_s1035" o:spid="_x0000_s1035" o:spt="20" style="position:absolute;left:0pt;margin-left:-18.1pt;margin-top:728.5pt;height:0pt;width:481.9pt;mso-position-vertical-relative:page;z-index:251659264;mso-width-relative:page;mso-height-relative:page;" coordsize="21600,21600">
            <v:path arrowok="t"/>
            <v:fill focussize="0,0"/>
            <v:stroke/>
            <v:imagedata o:title=""/>
            <o:lock v:ext="edit"/>
            <w10:anchorlock/>
          </v:line>
        </w:pict>
      </w:r>
    </w:p>
    <w:p>
      <w:pPr>
        <w:pStyle w:val="152"/>
        <w:framePr w:wrap="around" w:hAnchor="page" w:x="6615" w:y="13949"/>
      </w:pPr>
      <w:r>
        <w:rPr>
          <w:rFonts w:ascii="黑体"/>
        </w:rPr>
        <w:fldChar w:fldCharType="begin">
          <w:ffData>
            <w:name w:val="F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r>
        <w:t xml:space="preserve"> </w:t>
      </w:r>
      <w:r>
        <w:rPr>
          <w:rFonts w:ascii="黑体"/>
        </w:rPr>
        <w:t>-</w:t>
      </w:r>
      <w:r>
        <w:t xml:space="preserve"> </w:t>
      </w:r>
      <w:bookmarkStart w:id="12" w:name="SM"/>
      <w:r>
        <w:rPr>
          <w:rFonts w:ascii="黑体"/>
        </w:rPr>
        <w:fldChar w:fldCharType="begin">
          <w:ffData>
            <w:name w:val="S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bookmarkStart w:id="13" w:name="SD"/>
      <w:r>
        <w:rPr>
          <w:rFonts w:ascii="黑体"/>
        </w:rPr>
        <w:fldChar w:fldCharType="begin">
          <w:ffData>
            <w:name w:val="S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pPr>
        <w:pStyle w:val="132"/>
        <w:framePr w:wrap="around"/>
      </w:pPr>
      <w:bookmarkStart w:id="14" w:name="fm"/>
      <w:r>
        <w:fldChar w:fldCharType="begin">
          <w:ffData>
            <w:name w:val="fm"/>
            <w:enabled/>
            <w:calcOnExit w:val="0"/>
            <w:textInput/>
          </w:ffData>
        </w:fldChar>
      </w:r>
      <w:r>
        <w:instrText xml:space="preserve"> FORMTEXT </w:instrText>
      </w:r>
      <w:r>
        <w:fldChar w:fldCharType="separate"/>
      </w:r>
      <w:r>
        <w:rPr>
          <w:rFonts w:hint="eastAsia"/>
        </w:rPr>
        <w:t>江苏省市场监督管理局</w:t>
      </w:r>
      <w:r>
        <w:fldChar w:fldCharType="end"/>
      </w:r>
      <w:bookmarkEnd w:id="14"/>
      <w:r>
        <w:rPr>
          <w:rFonts w:hint="eastAsia" w:ascii="MS Mincho" w:hAnsi="MS Mincho" w:eastAsia="MS Mincho" w:cs="MS Mincho"/>
        </w:rPr>
        <w:t>   </w:t>
      </w:r>
      <w:r>
        <w:rPr>
          <w:rStyle w:val="94"/>
          <w:rFonts w:hint="eastAsia"/>
        </w:rPr>
        <w:t>发布</w:t>
      </w:r>
    </w:p>
    <w:p>
      <w:pPr>
        <w:pStyle w:val="36"/>
        <w:sectPr>
          <w:headerReference r:id="rId3" w:type="even"/>
          <w:footerReference r:id="rId4" w:type="even"/>
          <w:pgSz w:w="11906" w:h="16838"/>
          <w:pgMar w:top="567" w:right="1134" w:bottom="1134" w:left="1417" w:header="0" w:footer="0" w:gutter="0"/>
          <w:pgNumType w:start="1"/>
          <w:cols w:space="425" w:num="1"/>
          <w:docGrid w:type="lines" w:linePitch="312" w:charSpace="0"/>
        </w:sectPr>
      </w:pPr>
      <w:r>
        <w:pict>
          <v:line id="_x0000_s1036" o:spid="_x0000_s1036" o:spt="20" style="position:absolute;left:0pt;margin-left:-0.05pt;margin-top:184.25pt;height:0pt;width:481.9pt;z-index:251660288;mso-width-relative:page;mso-height-relative:page;" coordsize="21600,21600">
            <v:path arrowok="t"/>
            <v:fill focussize="0,0"/>
            <v:stroke/>
            <v:imagedata o:title=""/>
            <o:lock v:ext="edit"/>
          </v:line>
        </w:pict>
      </w:r>
    </w:p>
    <w:p>
      <w:pPr>
        <w:pStyle w:val="71"/>
      </w:pPr>
      <w:bookmarkStart w:id="15" w:name="_Toc154156031"/>
      <w:r>
        <w:rPr>
          <w:rFonts w:hint="eastAsia"/>
        </w:rPr>
        <w:t>目</w:t>
      </w:r>
      <w:bookmarkStart w:id="16" w:name="BKML"/>
      <w:r>
        <w:rPr>
          <w:rFonts w:hAnsi="黑体"/>
        </w:rPr>
        <w:t>  </w:t>
      </w:r>
      <w:r>
        <w:rPr>
          <w:rFonts w:hint="eastAsia"/>
        </w:rPr>
        <w:t>次</w:t>
      </w:r>
      <w:bookmarkEnd w:id="16"/>
    </w:p>
    <w:p>
      <w:pPr>
        <w:pStyle w:val="32"/>
        <w:spacing w:before="78" w:after="78"/>
        <w:rPr>
          <w:rFonts w:asciiTheme="minorHAnsi" w:hAnsiTheme="minorHAnsi" w:eastAsiaTheme="minorEastAsia" w:cstheme="minorBidi"/>
          <w:szCs w:val="22"/>
        </w:rPr>
      </w:pPr>
      <w:r>
        <w:fldChar w:fldCharType="begin" w:fldLock="1"/>
      </w:r>
      <w:r>
        <w:instrText xml:space="preserve"> </w:instrText>
      </w:r>
      <w:r>
        <w:rPr>
          <w:rFonts w:hint="eastAsia"/>
        </w:rPr>
        <w:instrText xml:space="preserve">TOC \h \z \t"前言、引言标题,1,参考文献、索引标题,1,章标题,1,参考文献,1,附录标识,1,一级条标题, 3" \* MERGEFORMAT</w:instrText>
      </w:r>
      <w:r>
        <w:instrText xml:space="preserve"> </w:instrText>
      </w:r>
      <w:r>
        <w:fldChar w:fldCharType="separate"/>
      </w:r>
      <w:r>
        <w:fldChar w:fldCharType="begin"/>
      </w:r>
      <w:r>
        <w:instrText xml:space="preserve"> HYPERLINK \l "_Toc154179453" </w:instrText>
      </w:r>
      <w:r>
        <w:fldChar w:fldCharType="separate"/>
      </w:r>
      <w:r>
        <w:rPr>
          <w:rStyle w:val="59"/>
          <w:rFonts w:hint="eastAsia"/>
        </w:rPr>
        <w:t>前言</w:t>
      </w:r>
      <w:r>
        <w:tab/>
      </w:r>
      <w:r>
        <w:fldChar w:fldCharType="begin" w:fldLock="1"/>
      </w:r>
      <w:r>
        <w:instrText xml:space="preserve"> PAGEREF _Toc154179453 \h </w:instrText>
      </w:r>
      <w:r>
        <w:fldChar w:fldCharType="separate"/>
      </w:r>
      <w:r>
        <w:t>III</w:t>
      </w:r>
      <w:r>
        <w:fldChar w:fldCharType="end"/>
      </w:r>
      <w:r>
        <w:fldChar w:fldCharType="end"/>
      </w:r>
    </w:p>
    <w:p>
      <w:pPr>
        <w:pStyle w:val="32"/>
        <w:spacing w:before="78" w:after="78"/>
        <w:rPr>
          <w:rFonts w:asciiTheme="minorHAnsi" w:hAnsiTheme="minorHAnsi" w:eastAsiaTheme="minorEastAsia" w:cstheme="minorBidi"/>
          <w:szCs w:val="22"/>
        </w:rPr>
      </w:pPr>
      <w:r>
        <w:fldChar w:fldCharType="begin"/>
      </w:r>
      <w:r>
        <w:instrText xml:space="preserve"> HYPERLINK \l "_Toc154179454" </w:instrText>
      </w:r>
      <w:r>
        <w:fldChar w:fldCharType="separate"/>
      </w:r>
      <w:r>
        <w:rPr>
          <w:rStyle w:val="59"/>
        </w:rPr>
        <w:t>1</w:t>
      </w:r>
      <w:r>
        <w:rPr>
          <w:rStyle w:val="59"/>
          <w:rFonts w:hint="eastAsia"/>
        </w:rPr>
        <w:t>　范围</w:t>
      </w:r>
      <w:r>
        <w:tab/>
      </w:r>
      <w:r>
        <w:fldChar w:fldCharType="begin" w:fldLock="1"/>
      </w:r>
      <w:r>
        <w:instrText xml:space="preserve"> PAGEREF _Toc154179454 \h </w:instrText>
      </w:r>
      <w:r>
        <w:fldChar w:fldCharType="separate"/>
      </w:r>
      <w:r>
        <w:t>1</w:t>
      </w:r>
      <w:r>
        <w:fldChar w:fldCharType="end"/>
      </w:r>
      <w:r>
        <w:fldChar w:fldCharType="end"/>
      </w:r>
    </w:p>
    <w:p>
      <w:pPr>
        <w:pStyle w:val="32"/>
        <w:spacing w:before="78" w:after="78"/>
        <w:rPr>
          <w:rFonts w:asciiTheme="minorHAnsi" w:hAnsiTheme="minorHAnsi" w:eastAsiaTheme="minorEastAsia" w:cstheme="minorBidi"/>
          <w:szCs w:val="22"/>
        </w:rPr>
      </w:pPr>
      <w:r>
        <w:fldChar w:fldCharType="begin"/>
      </w:r>
      <w:r>
        <w:instrText xml:space="preserve"> HYPERLINK \l "_Toc154179455" </w:instrText>
      </w:r>
      <w:r>
        <w:fldChar w:fldCharType="separate"/>
      </w:r>
      <w:r>
        <w:rPr>
          <w:rStyle w:val="59"/>
        </w:rPr>
        <w:t>2</w:t>
      </w:r>
      <w:r>
        <w:rPr>
          <w:rStyle w:val="59"/>
          <w:rFonts w:hint="eastAsia"/>
        </w:rPr>
        <w:t>　规范性引用文件</w:t>
      </w:r>
      <w:r>
        <w:tab/>
      </w:r>
      <w:r>
        <w:fldChar w:fldCharType="begin" w:fldLock="1"/>
      </w:r>
      <w:r>
        <w:instrText xml:space="preserve"> PAGEREF _Toc154179455 \h </w:instrText>
      </w:r>
      <w:r>
        <w:fldChar w:fldCharType="separate"/>
      </w:r>
      <w:r>
        <w:t>1</w:t>
      </w:r>
      <w:r>
        <w:fldChar w:fldCharType="end"/>
      </w:r>
      <w:r>
        <w:fldChar w:fldCharType="end"/>
      </w:r>
    </w:p>
    <w:p>
      <w:pPr>
        <w:pStyle w:val="32"/>
        <w:spacing w:before="78" w:after="78"/>
        <w:rPr>
          <w:rFonts w:asciiTheme="minorHAnsi" w:hAnsiTheme="minorHAnsi" w:eastAsiaTheme="minorEastAsia" w:cstheme="minorBidi"/>
          <w:szCs w:val="22"/>
        </w:rPr>
      </w:pPr>
      <w:r>
        <w:fldChar w:fldCharType="begin"/>
      </w:r>
      <w:r>
        <w:instrText xml:space="preserve"> HYPERLINK \l "_Toc154179456" </w:instrText>
      </w:r>
      <w:r>
        <w:fldChar w:fldCharType="separate"/>
      </w:r>
      <w:r>
        <w:rPr>
          <w:rStyle w:val="59"/>
        </w:rPr>
        <w:t>3</w:t>
      </w:r>
      <w:r>
        <w:rPr>
          <w:rStyle w:val="59"/>
          <w:rFonts w:hint="eastAsia"/>
        </w:rPr>
        <w:t>　术语和定义</w:t>
      </w:r>
      <w:r>
        <w:tab/>
      </w:r>
      <w:r>
        <w:fldChar w:fldCharType="begin" w:fldLock="1"/>
      </w:r>
      <w:r>
        <w:instrText xml:space="preserve"> PAGEREF _Toc154179456 \h </w:instrText>
      </w:r>
      <w:r>
        <w:fldChar w:fldCharType="separate"/>
      </w:r>
      <w:r>
        <w:t>1</w:t>
      </w:r>
      <w:r>
        <w:fldChar w:fldCharType="end"/>
      </w:r>
      <w:r>
        <w:fldChar w:fldCharType="end"/>
      </w:r>
    </w:p>
    <w:p>
      <w:pPr>
        <w:pStyle w:val="32"/>
        <w:spacing w:before="78" w:after="78"/>
        <w:rPr>
          <w:rFonts w:asciiTheme="minorHAnsi" w:hAnsiTheme="minorHAnsi" w:eastAsiaTheme="minorEastAsia" w:cstheme="minorBidi"/>
          <w:szCs w:val="22"/>
        </w:rPr>
      </w:pPr>
      <w:r>
        <w:fldChar w:fldCharType="begin"/>
      </w:r>
      <w:r>
        <w:instrText xml:space="preserve"> HYPERLINK \l "_Toc154179467" </w:instrText>
      </w:r>
      <w:r>
        <w:fldChar w:fldCharType="separate"/>
      </w:r>
      <w:r>
        <w:rPr>
          <w:rStyle w:val="59"/>
        </w:rPr>
        <w:t>4</w:t>
      </w:r>
      <w:r>
        <w:rPr>
          <w:rStyle w:val="59"/>
          <w:rFonts w:hint="eastAsia"/>
        </w:rPr>
        <w:t>　基本规定</w:t>
      </w:r>
      <w:r>
        <w:tab/>
      </w:r>
      <w:r>
        <w:fldChar w:fldCharType="begin" w:fldLock="1"/>
      </w:r>
      <w:r>
        <w:instrText xml:space="preserve"> PAGEREF _Toc154179467 \h </w:instrText>
      </w:r>
      <w:r>
        <w:fldChar w:fldCharType="separate"/>
      </w:r>
      <w:r>
        <w:t>2</w:t>
      </w:r>
      <w:r>
        <w:fldChar w:fldCharType="end"/>
      </w:r>
      <w:r>
        <w:fldChar w:fldCharType="end"/>
      </w:r>
    </w:p>
    <w:p>
      <w:pPr>
        <w:pStyle w:val="32"/>
        <w:spacing w:before="78" w:after="78"/>
        <w:rPr>
          <w:rFonts w:asciiTheme="minorHAnsi" w:hAnsiTheme="minorHAnsi" w:eastAsiaTheme="minorEastAsia" w:cstheme="minorBidi"/>
          <w:szCs w:val="22"/>
        </w:rPr>
      </w:pPr>
      <w:r>
        <w:fldChar w:fldCharType="begin"/>
      </w:r>
      <w:r>
        <w:instrText xml:space="preserve"> HYPERLINK \l "_Toc154179475" </w:instrText>
      </w:r>
      <w:r>
        <w:fldChar w:fldCharType="separate"/>
      </w:r>
      <w:r>
        <w:rPr>
          <w:rStyle w:val="59"/>
        </w:rPr>
        <w:t>5</w:t>
      </w:r>
      <w:r>
        <w:rPr>
          <w:rStyle w:val="59"/>
          <w:rFonts w:hint="eastAsia"/>
        </w:rPr>
        <w:t>　总体设计</w:t>
      </w:r>
      <w:r>
        <w:tab/>
      </w:r>
      <w:r>
        <w:fldChar w:fldCharType="begin" w:fldLock="1"/>
      </w:r>
      <w:r>
        <w:instrText xml:space="preserve"> PAGEREF _Toc154179475 \h </w:instrText>
      </w:r>
      <w:r>
        <w:fldChar w:fldCharType="separate"/>
      </w:r>
      <w:r>
        <w:t>2</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"_Toc154179476" </w:instrText>
      </w:r>
      <w:r>
        <w:fldChar w:fldCharType="separate"/>
      </w:r>
      <w:r>
        <w:rPr>
          <w:rStyle w:val="59"/>
        </w:rPr>
        <w:t>5.1</w:t>
      </w:r>
      <w:r>
        <w:rPr>
          <w:rStyle w:val="59"/>
          <w:rFonts w:hint="eastAsia"/>
        </w:rPr>
        <w:t>　一般规定</w:t>
      </w:r>
      <w:r>
        <w:tab/>
      </w:r>
      <w:r>
        <w:fldChar w:fldCharType="begin" w:fldLock="1"/>
      </w:r>
      <w:r>
        <w:instrText xml:space="preserve"> PAGEREF _Toc154179476 \h </w:instrText>
      </w:r>
      <w:r>
        <w:fldChar w:fldCharType="separate"/>
      </w:r>
      <w:r>
        <w:t>2</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"_Toc154179477" </w:instrText>
      </w:r>
      <w:r>
        <w:fldChar w:fldCharType="separate"/>
      </w:r>
      <w:r>
        <w:rPr>
          <w:rStyle w:val="59"/>
        </w:rPr>
        <w:t>5.2</w:t>
      </w:r>
      <w:r>
        <w:rPr>
          <w:rStyle w:val="59"/>
          <w:rFonts w:hint="eastAsia"/>
        </w:rPr>
        <w:t>　隧道位置选择</w:t>
      </w:r>
      <w:r>
        <w:tab/>
      </w:r>
      <w:r>
        <w:fldChar w:fldCharType="begin" w:fldLock="1"/>
      </w:r>
      <w:r>
        <w:instrText xml:space="preserve"> PAGEREF _Toc154179477 \h </w:instrText>
      </w:r>
      <w:r>
        <w:fldChar w:fldCharType="separate"/>
      </w:r>
      <w:r>
        <w:t>2</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"_Toc154179478" </w:instrText>
      </w:r>
      <w:r>
        <w:fldChar w:fldCharType="separate"/>
      </w:r>
      <w:r>
        <w:rPr>
          <w:rStyle w:val="59"/>
        </w:rPr>
        <w:t>5.3</w:t>
      </w:r>
      <w:r>
        <w:rPr>
          <w:rStyle w:val="59"/>
          <w:rFonts w:hint="eastAsia"/>
        </w:rPr>
        <w:t>　隧道线形设计</w:t>
      </w:r>
      <w:r>
        <w:tab/>
      </w:r>
      <w:r>
        <w:fldChar w:fldCharType="begin" w:fldLock="1"/>
      </w:r>
      <w:r>
        <w:instrText xml:space="preserve"> PAGEREF _Toc154179478 \h </w:instrText>
      </w:r>
      <w:r>
        <w:fldChar w:fldCharType="separate"/>
      </w:r>
      <w:r>
        <w:t>3</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"_Toc154179479" </w:instrText>
      </w:r>
      <w:r>
        <w:fldChar w:fldCharType="separate"/>
      </w:r>
      <w:r>
        <w:rPr>
          <w:rStyle w:val="59"/>
        </w:rPr>
        <w:t>5.4</w:t>
      </w:r>
      <w:r>
        <w:rPr>
          <w:rStyle w:val="59"/>
          <w:rFonts w:hint="eastAsia"/>
        </w:rPr>
        <w:t>　隧道横断面设计</w:t>
      </w:r>
      <w:r>
        <w:tab/>
      </w:r>
      <w:r>
        <w:fldChar w:fldCharType="begin" w:fldLock="1"/>
      </w:r>
      <w:r>
        <w:instrText xml:space="preserve"> PAGEREF _Toc154179479 \h </w:instrText>
      </w:r>
      <w:r>
        <w:fldChar w:fldCharType="separate"/>
      </w:r>
      <w:r>
        <w:t>3</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"_Toc154179480" </w:instrText>
      </w:r>
      <w:r>
        <w:fldChar w:fldCharType="separate"/>
      </w:r>
      <w:r>
        <w:rPr>
          <w:rStyle w:val="59"/>
        </w:rPr>
        <w:t>5.5</w:t>
      </w:r>
      <w:r>
        <w:rPr>
          <w:rStyle w:val="59"/>
          <w:rFonts w:hint="eastAsia"/>
        </w:rPr>
        <w:t>　横通道设计</w:t>
      </w:r>
      <w:r>
        <w:tab/>
      </w:r>
      <w:r>
        <w:fldChar w:fldCharType="begin" w:fldLock="1"/>
      </w:r>
      <w:r>
        <w:instrText xml:space="preserve"> PAGEREF _Toc154179480 \h </w:instrText>
      </w:r>
      <w:r>
        <w:fldChar w:fldCharType="separate"/>
      </w:r>
      <w:r>
        <w:t>3</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"_Toc154179481" </w:instrText>
      </w:r>
      <w:r>
        <w:fldChar w:fldCharType="separate"/>
      </w:r>
      <w:r>
        <w:rPr>
          <w:rStyle w:val="59"/>
        </w:rPr>
        <w:t>5.6</w:t>
      </w:r>
      <w:r>
        <w:rPr>
          <w:rStyle w:val="59"/>
          <w:rFonts w:hint="eastAsia"/>
        </w:rPr>
        <w:t>　设备用房</w:t>
      </w:r>
      <w:r>
        <w:tab/>
      </w:r>
      <w:r>
        <w:fldChar w:fldCharType="begin" w:fldLock="1"/>
      </w:r>
      <w:r>
        <w:instrText xml:space="preserve"> PAGEREF _Toc154179481 \h </w:instrText>
      </w:r>
      <w:r>
        <w:fldChar w:fldCharType="separate"/>
      </w:r>
      <w:r>
        <w:t>3</w:t>
      </w:r>
      <w:r>
        <w:fldChar w:fldCharType="end"/>
      </w:r>
      <w:r>
        <w:fldChar w:fldCharType="end"/>
      </w:r>
    </w:p>
    <w:p>
      <w:pPr>
        <w:pStyle w:val="32"/>
        <w:spacing w:before="78" w:after="78"/>
        <w:rPr>
          <w:rFonts w:asciiTheme="minorHAnsi" w:hAnsiTheme="minorHAnsi" w:eastAsiaTheme="minorEastAsia" w:cstheme="minorBidi"/>
          <w:szCs w:val="22"/>
        </w:rPr>
      </w:pPr>
      <w:r>
        <w:fldChar w:fldCharType="begin"/>
      </w:r>
      <w:r>
        <w:instrText xml:space="preserve"> HYPERLINK \l "_Toc154179482" </w:instrText>
      </w:r>
      <w:r>
        <w:fldChar w:fldCharType="separate"/>
      </w:r>
      <w:r>
        <w:rPr>
          <w:rStyle w:val="59"/>
        </w:rPr>
        <w:t>6</w:t>
      </w:r>
      <w:r>
        <w:rPr>
          <w:rStyle w:val="59"/>
          <w:rFonts w:hint="eastAsia"/>
        </w:rPr>
        <w:t>　结构与防水</w:t>
      </w:r>
      <w:r>
        <w:tab/>
      </w:r>
      <w:r>
        <w:fldChar w:fldCharType="begin" w:fldLock="1"/>
      </w:r>
      <w:r>
        <w:instrText xml:space="preserve"> PAGEREF _Toc154179482 \h </w:instrText>
      </w:r>
      <w:r>
        <w:fldChar w:fldCharType="separate"/>
      </w:r>
      <w:r>
        <w:t>4</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"_Toc154179483" </w:instrText>
      </w:r>
      <w:r>
        <w:fldChar w:fldCharType="separate"/>
      </w:r>
      <w:r>
        <w:rPr>
          <w:rStyle w:val="59"/>
        </w:rPr>
        <w:t>6.1</w:t>
      </w:r>
      <w:r>
        <w:rPr>
          <w:rStyle w:val="59"/>
          <w:rFonts w:hint="eastAsia"/>
        </w:rPr>
        <w:t>　一般规定</w:t>
      </w:r>
      <w:r>
        <w:tab/>
      </w:r>
      <w:r>
        <w:fldChar w:fldCharType="begin" w:fldLock="1"/>
      </w:r>
      <w:r>
        <w:instrText xml:space="preserve"> PAGEREF _Toc154179483 \h </w:instrText>
      </w:r>
      <w:r>
        <w:fldChar w:fldCharType="separate"/>
      </w:r>
      <w:r>
        <w:t>4</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"_Toc154179484" </w:instrText>
      </w:r>
      <w:r>
        <w:fldChar w:fldCharType="separate"/>
      </w:r>
      <w:r>
        <w:rPr>
          <w:rStyle w:val="59"/>
        </w:rPr>
        <w:t>6.2</w:t>
      </w:r>
      <w:r>
        <w:rPr>
          <w:rStyle w:val="59"/>
          <w:rFonts w:hint="eastAsia"/>
        </w:rPr>
        <w:t>　结构计算</w:t>
      </w:r>
      <w:r>
        <w:tab/>
      </w:r>
      <w:r>
        <w:fldChar w:fldCharType="begin" w:fldLock="1"/>
      </w:r>
      <w:r>
        <w:instrText xml:space="preserve"> PAGEREF _Toc154179484 \h </w:instrText>
      </w:r>
      <w:r>
        <w:fldChar w:fldCharType="separate"/>
      </w:r>
      <w:r>
        <w:t>4</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"_Toc154179485" </w:instrText>
      </w:r>
      <w:r>
        <w:fldChar w:fldCharType="separate"/>
      </w:r>
      <w:r>
        <w:rPr>
          <w:rStyle w:val="59"/>
        </w:rPr>
        <w:t>6.3</w:t>
      </w:r>
      <w:r>
        <w:rPr>
          <w:rStyle w:val="59"/>
          <w:rFonts w:hint="eastAsia"/>
        </w:rPr>
        <w:t>　结构抗浮设计</w:t>
      </w:r>
      <w:r>
        <w:tab/>
      </w:r>
      <w:r>
        <w:fldChar w:fldCharType="begin" w:fldLock="1"/>
      </w:r>
      <w:r>
        <w:instrText xml:space="preserve"> PAGEREF _Toc154179485 \h </w:instrText>
      </w:r>
      <w:r>
        <w:fldChar w:fldCharType="separate"/>
      </w:r>
      <w:r>
        <w:t>5</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"_Toc154179486" </w:instrText>
      </w:r>
      <w:r>
        <w:fldChar w:fldCharType="separate"/>
      </w:r>
      <w:r>
        <w:rPr>
          <w:rStyle w:val="59"/>
        </w:rPr>
        <w:t>6.4</w:t>
      </w:r>
      <w:r>
        <w:rPr>
          <w:rStyle w:val="59"/>
          <w:rFonts w:hint="eastAsia"/>
        </w:rPr>
        <w:t>　结构构造</w:t>
      </w:r>
      <w:r>
        <w:tab/>
      </w:r>
      <w:r>
        <w:fldChar w:fldCharType="begin" w:fldLock="1"/>
      </w:r>
      <w:r>
        <w:instrText xml:space="preserve"> PAGEREF _Toc154179486 \h </w:instrText>
      </w:r>
      <w:r>
        <w:fldChar w:fldCharType="separate"/>
      </w:r>
      <w:r>
        <w:t>5</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"_Toc154179487" </w:instrText>
      </w:r>
      <w:r>
        <w:fldChar w:fldCharType="separate"/>
      </w:r>
      <w:r>
        <w:rPr>
          <w:rStyle w:val="59"/>
        </w:rPr>
        <w:t>6.5</w:t>
      </w:r>
      <w:r>
        <w:rPr>
          <w:rStyle w:val="59"/>
          <w:rFonts w:hint="eastAsia"/>
        </w:rPr>
        <w:t>　防水与耐久性设计</w:t>
      </w:r>
      <w:r>
        <w:tab/>
      </w:r>
      <w:r>
        <w:fldChar w:fldCharType="begin" w:fldLock="1"/>
      </w:r>
      <w:r>
        <w:instrText xml:space="preserve"> PAGEREF _Toc154179487 \h </w:instrText>
      </w:r>
      <w:r>
        <w:fldChar w:fldCharType="separate"/>
      </w:r>
      <w:r>
        <w:t>6</w:t>
      </w:r>
      <w:r>
        <w:fldChar w:fldCharType="end"/>
      </w:r>
      <w:r>
        <w:fldChar w:fldCharType="end"/>
      </w:r>
    </w:p>
    <w:p>
      <w:pPr>
        <w:pStyle w:val="32"/>
        <w:spacing w:before="78" w:after="78"/>
        <w:rPr>
          <w:rFonts w:asciiTheme="minorHAnsi" w:hAnsiTheme="minorHAnsi" w:eastAsiaTheme="minorEastAsia" w:cstheme="minorBidi"/>
          <w:szCs w:val="22"/>
        </w:rPr>
      </w:pPr>
      <w:r>
        <w:fldChar w:fldCharType="begin"/>
      </w:r>
      <w:r>
        <w:instrText xml:space="preserve"> HYPERLINK \l "_Toc154179488" </w:instrText>
      </w:r>
      <w:r>
        <w:fldChar w:fldCharType="separate"/>
      </w:r>
      <w:r>
        <w:rPr>
          <w:rStyle w:val="59"/>
        </w:rPr>
        <w:t>7</w:t>
      </w:r>
      <w:r>
        <w:rPr>
          <w:rStyle w:val="59"/>
          <w:rFonts w:hint="eastAsia"/>
        </w:rPr>
        <w:t>　围堰工程</w:t>
      </w:r>
      <w:r>
        <w:tab/>
      </w:r>
      <w:r>
        <w:rPr>
          <w:rFonts w:hint="eastAsia"/>
        </w:rPr>
        <w:t>7</w:t>
      </w:r>
      <w:r>
        <w:rPr>
          <w:rFonts w:hint="eastAsia"/>
        </w:rP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"_Toc154179489" </w:instrText>
      </w:r>
      <w:r>
        <w:fldChar w:fldCharType="separate"/>
      </w:r>
      <w:r>
        <w:rPr>
          <w:rStyle w:val="59"/>
        </w:rPr>
        <w:t>7.1</w:t>
      </w:r>
      <w:r>
        <w:rPr>
          <w:rStyle w:val="59"/>
          <w:rFonts w:hint="eastAsia"/>
        </w:rPr>
        <w:t>　一般规定</w:t>
      </w:r>
      <w:r>
        <w:tab/>
      </w:r>
      <w:r>
        <w:rPr>
          <w:rFonts w:hint="eastAsia"/>
        </w:rPr>
        <w:t>7</w:t>
      </w:r>
      <w:r>
        <w:rPr>
          <w:rFonts w:hint="eastAsia"/>
        </w:rP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"_Toc154179490" </w:instrText>
      </w:r>
      <w:r>
        <w:fldChar w:fldCharType="separate"/>
      </w:r>
      <w:r>
        <w:rPr>
          <w:rStyle w:val="59"/>
        </w:rPr>
        <w:t>7.2</w:t>
      </w:r>
      <w:r>
        <w:rPr>
          <w:rStyle w:val="59"/>
          <w:rFonts w:hint="eastAsia"/>
        </w:rPr>
        <w:t>　围堰选型与布置</w:t>
      </w:r>
      <w:r>
        <w:tab/>
      </w:r>
      <w:r>
        <w:fldChar w:fldCharType="begin" w:fldLock="1"/>
      </w:r>
      <w:r>
        <w:instrText xml:space="preserve"> PAGEREF _Toc154179490 \h </w:instrText>
      </w:r>
      <w:r>
        <w:fldChar w:fldCharType="separate"/>
      </w:r>
      <w:r>
        <w:t>9</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"_Toc154179491" </w:instrText>
      </w:r>
      <w:r>
        <w:fldChar w:fldCharType="separate"/>
      </w:r>
      <w:r>
        <w:rPr>
          <w:rStyle w:val="59"/>
        </w:rPr>
        <w:t>7.3</w:t>
      </w:r>
      <w:r>
        <w:rPr>
          <w:rStyle w:val="59"/>
          <w:rFonts w:hint="eastAsia"/>
        </w:rPr>
        <w:t>　土围堰设计</w:t>
      </w:r>
      <w:r>
        <w:tab/>
      </w:r>
      <w:r>
        <w:fldChar w:fldCharType="begin" w:fldLock="1"/>
      </w:r>
      <w:r>
        <w:instrText xml:space="preserve"> PAGEREF _Toc154179491 \h </w:instrText>
      </w:r>
      <w:r>
        <w:fldChar w:fldCharType="separate"/>
      </w:r>
      <w:r>
        <w:t>10</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"_Toc154179492" </w:instrText>
      </w:r>
      <w:r>
        <w:fldChar w:fldCharType="separate"/>
      </w:r>
      <w:r>
        <w:rPr>
          <w:rStyle w:val="59"/>
        </w:rPr>
        <w:t>7.4</w:t>
      </w:r>
      <w:r>
        <w:rPr>
          <w:rStyle w:val="59"/>
          <w:rFonts w:hint="eastAsia"/>
        </w:rPr>
        <w:t>　钢围堰设计</w:t>
      </w:r>
      <w:r>
        <w:tab/>
      </w:r>
      <w:r>
        <w:fldChar w:fldCharType="begin" w:fldLock="1"/>
      </w:r>
      <w:r>
        <w:instrText xml:space="preserve"> PAGEREF _Toc154179492 \h </w:instrText>
      </w:r>
      <w:r>
        <w:fldChar w:fldCharType="separate"/>
      </w:r>
      <w:r>
        <w:t>1</w:t>
      </w:r>
      <w:r>
        <w:rPr>
          <w:rFonts w:hint="eastAsia"/>
        </w:rPr>
        <w:t>0</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"_Toc154179493" </w:instrText>
      </w:r>
      <w:r>
        <w:fldChar w:fldCharType="separate"/>
      </w:r>
      <w:r>
        <w:rPr>
          <w:rStyle w:val="59"/>
        </w:rPr>
        <w:t>7.5</w:t>
      </w:r>
      <w:r>
        <w:rPr>
          <w:rStyle w:val="59"/>
          <w:rFonts w:hint="eastAsia"/>
        </w:rPr>
        <w:t>　堰基处理</w:t>
      </w:r>
      <w:r>
        <w:tab/>
      </w:r>
      <w:r>
        <w:fldChar w:fldCharType="begin" w:fldLock="1"/>
      </w:r>
      <w:r>
        <w:instrText xml:space="preserve"> PAGEREF _Toc154179493 \h </w:instrText>
      </w:r>
      <w:r>
        <w:fldChar w:fldCharType="separate"/>
      </w:r>
      <w:r>
        <w:t>11</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"_Toc154179494" </w:instrText>
      </w:r>
      <w:r>
        <w:fldChar w:fldCharType="separate"/>
      </w:r>
      <w:r>
        <w:rPr>
          <w:rStyle w:val="59"/>
        </w:rPr>
        <w:t>7.6</w:t>
      </w:r>
      <w:r>
        <w:rPr>
          <w:rStyle w:val="59"/>
          <w:rFonts w:hint="eastAsia"/>
        </w:rPr>
        <w:t>　围堰拆除</w:t>
      </w:r>
      <w:r>
        <w:tab/>
      </w:r>
      <w:r>
        <w:rPr>
          <w:rFonts w:hint="eastAsia"/>
        </w:rPr>
        <w:t>11</w:t>
      </w:r>
      <w:r>
        <w:rPr>
          <w:rFonts w:hint="eastAsia"/>
        </w:rPr>
        <w:fldChar w:fldCharType="end"/>
      </w:r>
    </w:p>
    <w:p>
      <w:pPr>
        <w:pStyle w:val="32"/>
        <w:spacing w:before="78" w:after="78"/>
        <w:rPr>
          <w:rFonts w:asciiTheme="minorHAnsi" w:hAnsiTheme="minorHAnsi" w:eastAsiaTheme="minorEastAsia" w:cstheme="minorBidi"/>
          <w:szCs w:val="22"/>
        </w:rPr>
      </w:pPr>
      <w:r>
        <w:fldChar w:fldCharType="begin"/>
      </w:r>
      <w:r>
        <w:instrText xml:space="preserve"> HYPERLINK \l "_Toc154179495" </w:instrText>
      </w:r>
      <w:r>
        <w:fldChar w:fldCharType="separate"/>
      </w:r>
      <w:r>
        <w:rPr>
          <w:rStyle w:val="59"/>
        </w:rPr>
        <w:t>8</w:t>
      </w:r>
      <w:r>
        <w:rPr>
          <w:rStyle w:val="59"/>
          <w:rFonts w:hint="eastAsia"/>
        </w:rPr>
        <w:t>　基坑工程</w:t>
      </w:r>
      <w:r>
        <w:tab/>
      </w:r>
      <w:r>
        <w:rPr>
          <w:rFonts w:hint="eastAsia"/>
        </w:rPr>
        <w:t>11</w:t>
      </w:r>
      <w:r>
        <w:rPr>
          <w:rFonts w:hint="eastAsia"/>
        </w:rP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"_Toc154179496" </w:instrText>
      </w:r>
      <w:r>
        <w:fldChar w:fldCharType="separate"/>
      </w:r>
      <w:r>
        <w:rPr>
          <w:rStyle w:val="59"/>
        </w:rPr>
        <w:t>8.1</w:t>
      </w:r>
      <w:r>
        <w:rPr>
          <w:rStyle w:val="59"/>
          <w:rFonts w:hint="eastAsia"/>
        </w:rPr>
        <w:t>　一般规定</w:t>
      </w:r>
      <w:r>
        <w:tab/>
      </w:r>
      <w:r>
        <w:rPr>
          <w:rFonts w:hint="eastAsia"/>
        </w:rPr>
        <w:t>11</w:t>
      </w:r>
      <w:r>
        <w:rPr>
          <w:rFonts w:hint="eastAsia"/>
        </w:rP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"_Toc154179497" </w:instrText>
      </w:r>
      <w:r>
        <w:fldChar w:fldCharType="separate"/>
      </w:r>
      <w:r>
        <w:rPr>
          <w:rStyle w:val="59"/>
        </w:rPr>
        <w:t>8.2</w:t>
      </w:r>
      <w:r>
        <w:rPr>
          <w:rStyle w:val="59"/>
          <w:rFonts w:hint="eastAsia"/>
        </w:rPr>
        <w:t>　支护选型与布置</w:t>
      </w:r>
      <w:r>
        <w:tab/>
      </w:r>
      <w:r>
        <w:fldChar w:fldCharType="begin" w:fldLock="1"/>
      </w:r>
      <w:r>
        <w:instrText xml:space="preserve"> PAGEREF _Toc154179497 \h </w:instrText>
      </w:r>
      <w:r>
        <w:fldChar w:fldCharType="separate"/>
      </w:r>
      <w:r>
        <w:t>1</w:t>
      </w:r>
      <w:r>
        <w:rPr>
          <w:rFonts w:hint="eastAsia"/>
        </w:rPr>
        <w:t>2</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"_Toc154179498" </w:instrText>
      </w:r>
      <w:r>
        <w:fldChar w:fldCharType="separate"/>
      </w:r>
      <w:r>
        <w:rPr>
          <w:rStyle w:val="59"/>
        </w:rPr>
        <w:t>8.3</w:t>
      </w:r>
      <w:r>
        <w:rPr>
          <w:rStyle w:val="59"/>
          <w:rFonts w:hint="eastAsia"/>
        </w:rPr>
        <w:t>　地下水控制</w:t>
      </w:r>
      <w:r>
        <w:tab/>
      </w:r>
      <w:r>
        <w:fldChar w:fldCharType="begin" w:fldLock="1"/>
      </w:r>
      <w:r>
        <w:instrText xml:space="preserve"> PAGEREF _Toc154179498 \h </w:instrText>
      </w:r>
      <w:r>
        <w:fldChar w:fldCharType="separate"/>
      </w:r>
      <w:r>
        <w:t>1</w:t>
      </w:r>
      <w:r>
        <w:rPr>
          <w:rFonts w:hint="eastAsia"/>
        </w:rPr>
        <w:t>2</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"_Toc154179499" </w:instrText>
      </w:r>
      <w:r>
        <w:fldChar w:fldCharType="separate"/>
      </w:r>
      <w:r>
        <w:rPr>
          <w:rStyle w:val="59"/>
        </w:rPr>
        <w:t>8.4</w:t>
      </w:r>
      <w:r>
        <w:rPr>
          <w:rStyle w:val="59"/>
          <w:rFonts w:hint="eastAsia"/>
        </w:rPr>
        <w:t>　基坑开挖与回填</w:t>
      </w:r>
      <w:r>
        <w:tab/>
      </w:r>
      <w:r>
        <w:fldChar w:fldCharType="begin" w:fldLock="1"/>
      </w:r>
      <w:r>
        <w:instrText xml:space="preserve"> PAGEREF _Toc154179499 \h </w:instrText>
      </w:r>
      <w:r>
        <w:fldChar w:fldCharType="separate"/>
      </w:r>
      <w:r>
        <w:t>13</w:t>
      </w:r>
      <w:r>
        <w:fldChar w:fldCharType="end"/>
      </w:r>
      <w:r>
        <w:fldChar w:fldCharType="end"/>
      </w:r>
    </w:p>
    <w:p>
      <w:pPr>
        <w:pStyle w:val="32"/>
        <w:spacing w:before="78" w:after="78"/>
        <w:rPr>
          <w:rFonts w:asciiTheme="minorHAnsi" w:hAnsiTheme="minorHAnsi" w:eastAsiaTheme="minorEastAsia" w:cstheme="minorBidi"/>
          <w:szCs w:val="22"/>
        </w:rPr>
      </w:pPr>
      <w:r>
        <w:fldChar w:fldCharType="begin"/>
      </w:r>
      <w:r>
        <w:instrText xml:space="preserve"> HYPERLINK \l "_Toc154179500" </w:instrText>
      </w:r>
      <w:r>
        <w:fldChar w:fldCharType="separate"/>
      </w:r>
      <w:r>
        <w:rPr>
          <w:rStyle w:val="59"/>
        </w:rPr>
        <w:t>9</w:t>
      </w:r>
      <w:r>
        <w:rPr>
          <w:rStyle w:val="59"/>
          <w:rFonts w:hint="eastAsia"/>
        </w:rPr>
        <w:t>　地基与基础</w:t>
      </w:r>
      <w:r>
        <w:tab/>
      </w:r>
      <w:r>
        <w:fldChar w:fldCharType="begin" w:fldLock="1"/>
      </w:r>
      <w:r>
        <w:instrText xml:space="preserve"> PAGEREF _Toc154179500 \h </w:instrText>
      </w:r>
      <w:r>
        <w:fldChar w:fldCharType="separate"/>
      </w:r>
      <w:r>
        <w:t>1</w:t>
      </w:r>
      <w:r>
        <w:rPr>
          <w:rFonts w:hint="eastAsia"/>
        </w:rPr>
        <w:t>3</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"_Toc154179501" </w:instrText>
      </w:r>
      <w:r>
        <w:fldChar w:fldCharType="separate"/>
      </w:r>
      <w:r>
        <w:rPr>
          <w:rStyle w:val="59"/>
        </w:rPr>
        <w:t>9.1</w:t>
      </w:r>
      <w:r>
        <w:rPr>
          <w:rStyle w:val="59"/>
          <w:rFonts w:hint="eastAsia"/>
        </w:rPr>
        <w:t>　一般规定</w:t>
      </w:r>
      <w:r>
        <w:tab/>
      </w:r>
      <w:r>
        <w:fldChar w:fldCharType="begin" w:fldLock="1"/>
      </w:r>
      <w:r>
        <w:instrText xml:space="preserve"> PAGEREF _Toc154179501 \h </w:instrText>
      </w:r>
      <w:r>
        <w:fldChar w:fldCharType="separate"/>
      </w:r>
      <w:r>
        <w:t>1</w:t>
      </w:r>
      <w:r>
        <w:rPr>
          <w:rFonts w:hint="eastAsia"/>
        </w:rPr>
        <w:t>3</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"_Toc154179502" </w:instrText>
      </w:r>
      <w:r>
        <w:fldChar w:fldCharType="separate"/>
      </w:r>
      <w:r>
        <w:rPr>
          <w:rStyle w:val="59"/>
        </w:rPr>
        <w:t>9.2</w:t>
      </w:r>
      <w:r>
        <w:rPr>
          <w:rStyle w:val="59"/>
          <w:rFonts w:hint="eastAsia"/>
        </w:rPr>
        <w:t>　地基计算</w:t>
      </w:r>
      <w:r>
        <w:tab/>
      </w:r>
      <w:r>
        <w:fldChar w:fldCharType="begin" w:fldLock="1"/>
      </w:r>
      <w:r>
        <w:instrText xml:space="preserve"> PAGEREF _Toc154179502 \h </w:instrText>
      </w:r>
      <w:r>
        <w:fldChar w:fldCharType="separate"/>
      </w:r>
      <w:r>
        <w:t>1</w:t>
      </w:r>
      <w:r>
        <w:rPr>
          <w:rFonts w:hint="eastAsia"/>
        </w:rPr>
        <w:t>3</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"_Toc154179503" </w:instrText>
      </w:r>
      <w:r>
        <w:fldChar w:fldCharType="separate"/>
      </w:r>
      <w:r>
        <w:rPr>
          <w:rStyle w:val="59"/>
        </w:rPr>
        <w:t>9.3</w:t>
      </w:r>
      <w:r>
        <w:rPr>
          <w:rStyle w:val="59"/>
          <w:rFonts w:hint="eastAsia"/>
        </w:rPr>
        <w:t>　地基处理</w:t>
      </w:r>
      <w:r>
        <w:tab/>
      </w:r>
      <w:r>
        <w:fldChar w:fldCharType="begin" w:fldLock="1"/>
      </w:r>
      <w:r>
        <w:instrText xml:space="preserve"> PAGEREF _Toc154179503 \h </w:instrText>
      </w:r>
      <w:r>
        <w:fldChar w:fldCharType="separate"/>
      </w:r>
      <w:r>
        <w:t>14</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"_Toc154179504" </w:instrText>
      </w:r>
      <w:r>
        <w:fldChar w:fldCharType="separate"/>
      </w:r>
      <w:r>
        <w:rPr>
          <w:rStyle w:val="59"/>
        </w:rPr>
        <w:t>9.4</w:t>
      </w:r>
      <w:r>
        <w:rPr>
          <w:rStyle w:val="59"/>
          <w:rFonts w:hint="eastAsia"/>
        </w:rPr>
        <w:t>　桩基础</w:t>
      </w:r>
      <w:r>
        <w:tab/>
      </w:r>
      <w:r>
        <w:fldChar w:fldCharType="begin" w:fldLock="1"/>
      </w:r>
      <w:r>
        <w:instrText xml:space="preserve"> PAGEREF _Toc154179504 \h </w:instrText>
      </w:r>
      <w:r>
        <w:fldChar w:fldCharType="separate"/>
      </w:r>
      <w:r>
        <w:t>14</w:t>
      </w:r>
      <w:r>
        <w:fldChar w:fldCharType="end"/>
      </w:r>
      <w:r>
        <w:fldChar w:fldCharType="end"/>
      </w:r>
    </w:p>
    <w:p>
      <w:pPr>
        <w:pStyle w:val="32"/>
        <w:spacing w:before="78" w:after="78"/>
        <w:rPr>
          <w:rFonts w:asciiTheme="minorHAnsi" w:hAnsiTheme="minorHAnsi" w:eastAsiaTheme="minorEastAsia" w:cstheme="minorBidi"/>
          <w:szCs w:val="22"/>
        </w:rPr>
      </w:pPr>
      <w:r>
        <w:fldChar w:fldCharType="begin"/>
      </w:r>
      <w:r>
        <w:instrText xml:space="preserve"> HYPERLINK \l "_Toc154179505" </w:instrText>
      </w:r>
      <w:r>
        <w:fldChar w:fldCharType="separate"/>
      </w:r>
      <w:r>
        <w:rPr>
          <w:rStyle w:val="59"/>
        </w:rPr>
        <w:t>10</w:t>
      </w:r>
      <w:r>
        <w:rPr>
          <w:rStyle w:val="59"/>
          <w:rFonts w:hint="eastAsia"/>
        </w:rPr>
        <w:t>　运营维护设施</w:t>
      </w:r>
      <w:r>
        <w:tab/>
      </w:r>
      <w:r>
        <w:fldChar w:fldCharType="begin" w:fldLock="1"/>
      </w:r>
      <w:r>
        <w:instrText xml:space="preserve"> PAGEREF _Toc154179505 \h </w:instrText>
      </w:r>
      <w:r>
        <w:fldChar w:fldCharType="separate"/>
      </w:r>
      <w:r>
        <w:t>1</w:t>
      </w:r>
      <w:r>
        <w:rPr>
          <w:rFonts w:hint="eastAsia"/>
        </w:rPr>
        <w:t>4</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"_Toc154179506" </w:instrText>
      </w:r>
      <w:r>
        <w:fldChar w:fldCharType="separate"/>
      </w:r>
      <w:r>
        <w:rPr>
          <w:rStyle w:val="59"/>
        </w:rPr>
        <w:t>10.1</w:t>
      </w:r>
      <w:r>
        <w:rPr>
          <w:rStyle w:val="59"/>
          <w:rFonts w:hint="eastAsia"/>
        </w:rPr>
        <w:t>　一般规定</w:t>
      </w:r>
      <w:r>
        <w:tab/>
      </w:r>
      <w:r>
        <w:fldChar w:fldCharType="begin" w:fldLock="1"/>
      </w:r>
      <w:r>
        <w:instrText xml:space="preserve"> PAGEREF _Toc154179506 \h </w:instrText>
      </w:r>
      <w:r>
        <w:fldChar w:fldCharType="separate"/>
      </w:r>
      <w:r>
        <w:t>1</w:t>
      </w:r>
      <w:r>
        <w:rPr>
          <w:rFonts w:hint="eastAsia"/>
        </w:rPr>
        <w:t>4</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"_Toc154179507" </w:instrText>
      </w:r>
      <w:r>
        <w:fldChar w:fldCharType="separate"/>
      </w:r>
      <w:r>
        <w:rPr>
          <w:rStyle w:val="59"/>
        </w:rPr>
        <w:t>10.2</w:t>
      </w:r>
      <w:r>
        <w:rPr>
          <w:rStyle w:val="59"/>
          <w:rFonts w:hint="eastAsia"/>
        </w:rPr>
        <w:t>　通风设施</w:t>
      </w:r>
      <w:r>
        <w:tab/>
      </w:r>
      <w:r>
        <w:fldChar w:fldCharType="begin" w:fldLock="1"/>
      </w:r>
      <w:r>
        <w:instrText xml:space="preserve"> PAGEREF _Toc154179507 \h </w:instrText>
      </w:r>
      <w:r>
        <w:fldChar w:fldCharType="separate"/>
      </w:r>
      <w:r>
        <w:t>15</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"_Toc154179508" </w:instrText>
      </w:r>
      <w:r>
        <w:fldChar w:fldCharType="separate"/>
      </w:r>
      <w:r>
        <w:rPr>
          <w:rStyle w:val="59"/>
        </w:rPr>
        <w:t>10.3</w:t>
      </w:r>
      <w:r>
        <w:rPr>
          <w:rStyle w:val="59"/>
          <w:rFonts w:hint="eastAsia"/>
        </w:rPr>
        <w:t>　照明设施</w:t>
      </w:r>
      <w:r>
        <w:tab/>
      </w:r>
      <w:r>
        <w:fldChar w:fldCharType="begin" w:fldLock="1"/>
      </w:r>
      <w:r>
        <w:instrText xml:space="preserve"> PAGEREF _Toc154179508 \h </w:instrText>
      </w:r>
      <w:r>
        <w:fldChar w:fldCharType="separate"/>
      </w:r>
      <w:r>
        <w:t>1</w:t>
      </w:r>
      <w:r>
        <w:rPr>
          <w:rFonts w:hint="eastAsia"/>
        </w:rPr>
        <w:t>5</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"_Toc154179509" </w:instrText>
      </w:r>
      <w:r>
        <w:fldChar w:fldCharType="separate"/>
      </w:r>
      <w:r>
        <w:rPr>
          <w:rStyle w:val="59"/>
        </w:rPr>
        <w:t>10.4</w:t>
      </w:r>
      <w:r>
        <w:rPr>
          <w:rStyle w:val="59"/>
          <w:rFonts w:hint="eastAsia"/>
        </w:rPr>
        <w:t>　监控设施</w:t>
      </w:r>
      <w:r>
        <w:tab/>
      </w:r>
      <w:r>
        <w:fldChar w:fldCharType="begin" w:fldLock="1"/>
      </w:r>
      <w:r>
        <w:instrText xml:space="preserve"> PAGEREF _Toc154179509 \h </w:instrText>
      </w:r>
      <w:r>
        <w:fldChar w:fldCharType="separate"/>
      </w:r>
      <w:r>
        <w:t>16</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"_Toc154179510" </w:instrText>
      </w:r>
      <w:r>
        <w:fldChar w:fldCharType="separate"/>
      </w:r>
      <w:r>
        <w:rPr>
          <w:rStyle w:val="59"/>
        </w:rPr>
        <w:t>10.5</w:t>
      </w:r>
      <w:r>
        <w:rPr>
          <w:rStyle w:val="59"/>
          <w:rFonts w:hint="eastAsia"/>
        </w:rPr>
        <w:t>　应急通信设施</w:t>
      </w:r>
      <w:r>
        <w:tab/>
      </w:r>
      <w:r>
        <w:fldChar w:fldCharType="begin" w:fldLock="1"/>
      </w:r>
      <w:r>
        <w:instrText xml:space="preserve"> PAGEREF _Toc154179510 \h </w:instrText>
      </w:r>
      <w:r>
        <w:fldChar w:fldCharType="separate"/>
      </w:r>
      <w:r>
        <w:t>16</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"_Toc154179511" </w:instrText>
      </w:r>
      <w:r>
        <w:fldChar w:fldCharType="separate"/>
      </w:r>
      <w:r>
        <w:rPr>
          <w:rStyle w:val="59"/>
        </w:rPr>
        <w:t>10.6</w:t>
      </w:r>
      <w:r>
        <w:rPr>
          <w:rStyle w:val="59"/>
          <w:rFonts w:hint="eastAsia"/>
        </w:rPr>
        <w:t>　火灾检测与报警设施</w:t>
      </w:r>
      <w:r>
        <w:tab/>
      </w:r>
      <w:r>
        <w:fldChar w:fldCharType="begin" w:fldLock="1"/>
      </w:r>
      <w:r>
        <w:instrText xml:space="preserve"> PAGEREF _Toc154179511 \h </w:instrText>
      </w:r>
      <w:r>
        <w:fldChar w:fldCharType="separate"/>
      </w:r>
      <w:r>
        <w:t>1</w:t>
      </w:r>
      <w:r>
        <w:rPr>
          <w:rFonts w:hint="eastAsia"/>
        </w:rPr>
        <w:t>6</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"_Toc154179512" </w:instrText>
      </w:r>
      <w:r>
        <w:fldChar w:fldCharType="separate"/>
      </w:r>
      <w:r>
        <w:rPr>
          <w:rStyle w:val="59"/>
        </w:rPr>
        <w:t>10.7</w:t>
      </w:r>
      <w:r>
        <w:rPr>
          <w:rStyle w:val="59"/>
          <w:rFonts w:hint="eastAsia"/>
        </w:rPr>
        <w:t>　排水设施</w:t>
      </w:r>
      <w:r>
        <w:tab/>
      </w:r>
      <w:r>
        <w:fldChar w:fldCharType="begin" w:fldLock="1"/>
      </w:r>
      <w:r>
        <w:instrText xml:space="preserve"> PAGEREF _Toc154179512 \h </w:instrText>
      </w:r>
      <w:r>
        <w:fldChar w:fldCharType="separate"/>
      </w:r>
      <w:r>
        <w:t>1</w:t>
      </w:r>
      <w:r>
        <w:rPr>
          <w:rFonts w:hint="eastAsia"/>
        </w:rPr>
        <w:t>6</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"_Toc154179513" </w:instrText>
      </w:r>
      <w:r>
        <w:fldChar w:fldCharType="separate"/>
      </w:r>
      <w:r>
        <w:rPr>
          <w:rStyle w:val="59"/>
        </w:rPr>
        <w:t>10.8</w:t>
      </w:r>
      <w:r>
        <w:rPr>
          <w:rStyle w:val="59"/>
          <w:rFonts w:hint="eastAsia"/>
        </w:rPr>
        <w:t>　消防给水设施</w:t>
      </w:r>
      <w:r>
        <w:tab/>
      </w:r>
      <w:r>
        <w:fldChar w:fldCharType="begin" w:fldLock="1"/>
      </w:r>
      <w:r>
        <w:instrText xml:space="preserve"> PAGEREF _Toc154179513 \h </w:instrText>
      </w:r>
      <w:r>
        <w:fldChar w:fldCharType="separate"/>
      </w:r>
      <w:r>
        <w:t>17</w:t>
      </w:r>
      <w:r>
        <w:fldChar w:fldCharType="end"/>
      </w:r>
      <w:r>
        <w:fldChar w:fldCharType="end"/>
      </w:r>
    </w:p>
    <w:p>
      <w:pPr>
        <w:pStyle w:val="22"/>
        <w:ind w:firstLine="210"/>
        <w:rPr>
          <w:rFonts w:asciiTheme="minorHAnsi" w:hAnsiTheme="minorHAnsi" w:eastAsiaTheme="minorEastAsia" w:cstheme="minorBidi"/>
          <w:szCs w:val="22"/>
        </w:rPr>
      </w:pPr>
      <w:r>
        <w:fldChar w:fldCharType="begin"/>
      </w:r>
      <w:r>
        <w:instrText xml:space="preserve"> HYPERLINK \l "_Toc154179514" </w:instrText>
      </w:r>
      <w:r>
        <w:fldChar w:fldCharType="separate"/>
      </w:r>
      <w:r>
        <w:rPr>
          <w:rStyle w:val="59"/>
        </w:rPr>
        <w:t>10.9</w:t>
      </w:r>
      <w:r>
        <w:rPr>
          <w:rStyle w:val="59"/>
          <w:rFonts w:hint="eastAsia"/>
        </w:rPr>
        <w:t>　供配电设施</w:t>
      </w:r>
      <w:r>
        <w:tab/>
      </w:r>
      <w:r>
        <w:fldChar w:fldCharType="begin" w:fldLock="1"/>
      </w:r>
      <w:r>
        <w:instrText xml:space="preserve"> PAGEREF _Toc154179514 \h </w:instrText>
      </w:r>
      <w:r>
        <w:fldChar w:fldCharType="separate"/>
      </w:r>
      <w:r>
        <w:t>17</w:t>
      </w:r>
      <w:r>
        <w:fldChar w:fldCharType="end"/>
      </w:r>
      <w:r>
        <w:fldChar w:fldCharType="end"/>
      </w:r>
    </w:p>
    <w:p>
      <w:pPr>
        <w:pStyle w:val="22"/>
        <w:ind w:firstLine="210"/>
        <w:rPr>
          <w:rStyle w:val="59"/>
        </w:rPr>
      </w:pPr>
      <w:r>
        <w:fldChar w:fldCharType="begin"/>
      </w:r>
      <w:r>
        <w:instrText xml:space="preserve"> HYPERLINK \l "_Toc154179515" </w:instrText>
      </w:r>
      <w:r>
        <w:fldChar w:fldCharType="separate"/>
      </w:r>
      <w:r>
        <w:rPr>
          <w:rStyle w:val="59"/>
        </w:rPr>
        <w:t>10.10</w:t>
      </w:r>
      <w:r>
        <w:rPr>
          <w:rStyle w:val="59"/>
          <w:rFonts w:hint="eastAsia"/>
        </w:rPr>
        <w:t>　接地设施</w:t>
      </w:r>
      <w:r>
        <w:rPr>
          <w:rStyle w:val="59"/>
        </w:rPr>
        <w:tab/>
      </w:r>
      <w:r>
        <w:rPr>
          <w:rStyle w:val="59"/>
        </w:rPr>
        <w:fldChar w:fldCharType="begin" w:fldLock="1"/>
      </w:r>
      <w:r>
        <w:rPr>
          <w:rStyle w:val="59"/>
        </w:rPr>
        <w:instrText xml:space="preserve"> PAGEREF _Toc154179515 \h </w:instrText>
      </w:r>
      <w:r>
        <w:rPr>
          <w:rStyle w:val="59"/>
        </w:rPr>
        <w:fldChar w:fldCharType="separate"/>
      </w:r>
      <w:r>
        <w:rPr>
          <w:rStyle w:val="59"/>
        </w:rPr>
        <w:t>1</w:t>
      </w:r>
      <w:r>
        <w:rPr>
          <w:rStyle w:val="59"/>
          <w:rFonts w:hint="eastAsia"/>
        </w:rPr>
        <w:t>7</w:t>
      </w:r>
      <w:r>
        <w:rPr>
          <w:rStyle w:val="59"/>
        </w:rPr>
        <w:fldChar w:fldCharType="end"/>
      </w:r>
      <w:r>
        <w:rPr>
          <w:rStyle w:val="59"/>
        </w:rPr>
        <w:fldChar w:fldCharType="end"/>
      </w:r>
    </w:p>
    <w:p>
      <w:pPr>
        <w:pStyle w:val="36"/>
      </w:pPr>
      <w:r>
        <w:fldChar w:fldCharType="end"/>
      </w:r>
    </w:p>
    <w:p>
      <w:pPr>
        <w:pStyle w:val="133"/>
      </w:pPr>
      <w:bookmarkStart w:id="17" w:name="_Toc154179453"/>
      <w:r>
        <w:rPr>
          <w:rFonts w:hint="eastAsia"/>
        </w:rPr>
        <w:t>前</w:t>
      </w:r>
      <w:bookmarkStart w:id="18" w:name="BKQY"/>
      <w:r>
        <w:rPr>
          <w:rFonts w:hint="eastAsia" w:ascii="MS Mincho" w:hAnsi="MS Mincho" w:eastAsia="MS Mincho" w:cs="MS Mincho"/>
        </w:rPr>
        <w:t>  </w:t>
      </w:r>
      <w:r>
        <w:rPr>
          <w:rFonts w:hint="eastAsia"/>
        </w:rPr>
        <w:t>言</w:t>
      </w:r>
      <w:bookmarkEnd w:id="15"/>
      <w:bookmarkEnd w:id="17"/>
      <w:bookmarkEnd w:id="18"/>
    </w:p>
    <w:p>
      <w:pPr>
        <w:pStyle w:val="36"/>
      </w:pPr>
      <w:r>
        <w:rPr>
          <w:rFonts w:hint="eastAsia"/>
        </w:rPr>
        <w:t>本文件按照GB/T 1.1—2020《标准化工作导则  第1部分：标准化文件的结构和起草规则》的规定起草。</w:t>
      </w:r>
    </w:p>
    <w:p>
      <w:pPr>
        <w:pStyle w:val="36"/>
      </w:pPr>
      <w:r>
        <w:rPr>
          <w:rFonts w:hint="eastAsia"/>
        </w:rPr>
        <w:t>请注意本文件的某些内容可能涉及专利。本文件的发布机构不承担识别专利的责任。</w:t>
      </w:r>
    </w:p>
    <w:p>
      <w:pPr>
        <w:pStyle w:val="36"/>
      </w:pPr>
      <w:r>
        <w:rPr>
          <w:rFonts w:hint="eastAsia"/>
        </w:rPr>
        <w:t>本文件由江苏省交通运输厅提出、归口并</w:t>
      </w:r>
      <w:r>
        <w:rPr>
          <w:rFonts w:hint="eastAsia"/>
          <w:lang w:val="en-US" w:eastAsia="zh-CN"/>
        </w:rPr>
        <w:t>组织</w:t>
      </w:r>
      <w:bookmarkStart w:id="142" w:name="_GoBack"/>
      <w:bookmarkEnd w:id="142"/>
      <w:r>
        <w:rPr>
          <w:rFonts w:hint="eastAsia"/>
        </w:rPr>
        <w:t>实施。</w:t>
      </w:r>
    </w:p>
    <w:p>
      <w:pPr>
        <w:pStyle w:val="36"/>
      </w:pPr>
      <w:r>
        <w:rPr>
          <w:rFonts w:hint="eastAsia"/>
        </w:rPr>
        <w:t>本文件起草单位：江苏省交通工程建设局、华设设计集团股份有限公司。</w:t>
      </w:r>
    </w:p>
    <w:p>
      <w:pPr>
        <w:pStyle w:val="36"/>
      </w:pPr>
      <w:r>
        <w:rPr>
          <w:rFonts w:hint="eastAsia"/>
        </w:rPr>
        <w:t>本文件主要起草人：蒋振雄、姚宇、方忠强、缪玉玲、夏文俊、刘毅、张德民、孙颖、周欣、王昊平、岳犇、黄飞、张宇、赵硕、温亚楠、贺立新、凌欢语。</w:t>
      </w:r>
    </w:p>
    <w:p>
      <w:pPr>
        <w:pStyle w:val="36"/>
        <w:sectPr>
          <w:headerReference r:id="rId5" w:type="default"/>
          <w:footerReference r:id="rId6" w:type="default"/>
          <w:pgSz w:w="11906" w:h="16838"/>
          <w:pgMar w:top="567" w:right="1134" w:bottom="1134" w:left="1417" w:header="1418" w:footer="1134" w:gutter="0"/>
          <w:pgNumType w:fmt="upperRoman" w:start="1"/>
          <w:cols w:space="425" w:num="1"/>
          <w:formProt w:val="0"/>
          <w:docGrid w:type="lines" w:linePitch="312" w:charSpace="0"/>
        </w:sectPr>
      </w:pPr>
    </w:p>
    <w:p>
      <w:pPr>
        <w:pStyle w:val="71"/>
      </w:pPr>
      <w:r>
        <w:rPr>
          <w:rFonts w:hint="eastAsia"/>
        </w:rPr>
        <w:t>公路堰筑隧道设计规范</w:t>
      </w:r>
    </w:p>
    <w:p>
      <w:pPr>
        <w:pStyle w:val="66"/>
        <w:spacing w:before="312" w:after="312"/>
      </w:pPr>
      <w:bookmarkStart w:id="19" w:name="_Toc154156032"/>
      <w:bookmarkStart w:id="20" w:name="_Toc154179454"/>
      <w:r>
        <w:rPr>
          <w:rFonts w:hint="eastAsia"/>
        </w:rPr>
        <w:t>范围</w:t>
      </w:r>
      <w:bookmarkEnd w:id="19"/>
      <w:bookmarkEnd w:id="20"/>
    </w:p>
    <w:p>
      <w:pPr>
        <w:spacing w:before="156" w:beforeLines="50"/>
        <w:ind w:firstLine="420" w:firstLineChars="200"/>
      </w:pPr>
      <w:r>
        <w:t>本</w:t>
      </w:r>
      <w:r>
        <w:rPr>
          <w:rFonts w:hint="eastAsia"/>
        </w:rPr>
        <w:t>文件</w:t>
      </w:r>
      <w:r>
        <w:t>规定了公路堰筑隧道</w:t>
      </w:r>
      <w:r>
        <w:rPr>
          <w:rFonts w:hint="eastAsia"/>
        </w:rPr>
        <w:t>设计</w:t>
      </w:r>
      <w:r>
        <w:t>的总体设计、结构</w:t>
      </w:r>
      <w:r>
        <w:rPr>
          <w:rFonts w:hint="eastAsia"/>
        </w:rPr>
        <w:t>与防水</w:t>
      </w:r>
      <w:r>
        <w:t>、围堰工程、基坑工程、地基与基础、</w:t>
      </w:r>
      <w:r>
        <w:rPr>
          <w:rFonts w:hint="eastAsia"/>
        </w:rPr>
        <w:t>运营维护</w:t>
      </w:r>
      <w:r>
        <w:t>设施</w:t>
      </w:r>
      <w:r>
        <w:rPr>
          <w:rFonts w:hint="eastAsia"/>
        </w:rPr>
        <w:t>等相关</w:t>
      </w:r>
      <w:r>
        <w:t>要求。</w:t>
      </w:r>
    </w:p>
    <w:p>
      <w:pPr>
        <w:pStyle w:val="36"/>
      </w:pPr>
      <w:r>
        <w:rPr>
          <w:rFonts w:ascii="Times New Roman"/>
        </w:rPr>
        <w:t>本</w:t>
      </w:r>
      <w:r>
        <w:rPr>
          <w:rFonts w:hint="eastAsia" w:ascii="Times New Roman"/>
        </w:rPr>
        <w:t>文件适用于各级新建公路堰筑隧道设计</w:t>
      </w:r>
      <w:r>
        <w:rPr>
          <w:rFonts w:ascii="Times New Roman"/>
        </w:rPr>
        <w:t>。</w:t>
      </w:r>
    </w:p>
    <w:p>
      <w:pPr>
        <w:pStyle w:val="66"/>
        <w:spacing w:before="312" w:after="312"/>
      </w:pPr>
      <w:bookmarkStart w:id="21" w:name="_Toc154179455"/>
      <w:bookmarkStart w:id="22" w:name="_Toc154156033"/>
      <w:r>
        <w:rPr>
          <w:rFonts w:hint="eastAsia"/>
        </w:rPr>
        <w:t>规范性引用文件</w:t>
      </w:r>
      <w:bookmarkEnd w:id="21"/>
      <w:bookmarkEnd w:id="22"/>
    </w:p>
    <w:p>
      <w:pPr>
        <w:spacing w:before="156" w:beforeLines="50"/>
        <w:ind w:firstLine="420" w:firstLineChars="200"/>
      </w:pPr>
      <w:r>
        <w:rPr>
          <w:rFonts w:hint="eastAsia"/>
        </w:rPr>
        <w:t>下列文件中</w:t>
      </w:r>
      <w:r>
        <w:t>的内容通过</w:t>
      </w:r>
      <w:r>
        <w:rPr>
          <w:rFonts w:hint="eastAsia"/>
        </w:rPr>
        <w:t>文中</w:t>
      </w:r>
      <w:r>
        <w:t>的规范性引用而构成本文件必不可少的条款。其中</w:t>
      </w:r>
      <w:r>
        <w:rPr>
          <w:rFonts w:hint="eastAsia"/>
        </w:rPr>
        <w:t>，注日期的引用文件，仅该日期对应的版本适用于本文件；不注日期的引用文件，其最新版本（包括所有的修改单）适用于本文件。</w:t>
      </w:r>
    </w:p>
    <w:p>
      <w:pPr>
        <w:ind w:firstLine="420" w:firstLineChars="200"/>
      </w:pPr>
      <w:r>
        <w:rPr>
          <w:rFonts w:hint="eastAsia"/>
        </w:rPr>
        <w:t>GB 50010  混凝土结构设计规范</w:t>
      </w:r>
    </w:p>
    <w:p>
      <w:pPr>
        <w:ind w:firstLine="420" w:firstLineChars="200"/>
      </w:pPr>
      <w:r>
        <w:rPr>
          <w:rFonts w:hint="eastAsia"/>
        </w:rPr>
        <w:t>GB 50116  火灾自动报警系统设计规范</w:t>
      </w:r>
    </w:p>
    <w:p>
      <w:pPr>
        <w:ind w:firstLine="420" w:firstLineChars="200"/>
      </w:pPr>
      <w:r>
        <w:rPr>
          <w:rFonts w:hint="eastAsia"/>
        </w:rPr>
        <w:t>GB 50286  堤防工程设计规范</w:t>
      </w:r>
    </w:p>
    <w:p>
      <w:pPr>
        <w:ind w:firstLine="420" w:firstLineChars="200"/>
      </w:pPr>
      <w:r>
        <w:rPr>
          <w:rFonts w:hint="eastAsia"/>
        </w:rPr>
        <w:t>GB/T 51295  钢围堰工程技术标准</w:t>
      </w:r>
    </w:p>
    <w:p>
      <w:pPr>
        <w:ind w:firstLine="420" w:firstLineChars="200"/>
      </w:pPr>
      <w:r>
        <w:rPr>
          <w:rFonts w:hint="eastAsia"/>
        </w:rPr>
        <w:t>GB 51309  消防应急照明和疏散指示系统技术标准</w:t>
      </w:r>
    </w:p>
    <w:p>
      <w:pPr>
        <w:ind w:firstLine="420" w:firstLineChars="200"/>
      </w:pPr>
      <w:r>
        <w:rPr>
          <w:rFonts w:hint="eastAsia"/>
        </w:rPr>
        <w:t>GB/T 51336  地下结构抗震设计标准</w:t>
      </w:r>
    </w:p>
    <w:p>
      <w:pPr>
        <w:ind w:firstLine="420" w:firstLineChars="200"/>
      </w:pPr>
      <w:r>
        <w:rPr>
          <w:rFonts w:hint="eastAsia"/>
        </w:rPr>
        <w:t>GB 55001  工程结构通用规范</w:t>
      </w:r>
    </w:p>
    <w:p>
      <w:pPr>
        <w:ind w:firstLine="420" w:firstLineChars="200"/>
      </w:pPr>
      <w:r>
        <w:rPr>
          <w:rFonts w:hint="eastAsia"/>
        </w:rPr>
        <w:t>JGJ 94  建筑桩基技术规范</w:t>
      </w:r>
    </w:p>
    <w:p>
      <w:pPr>
        <w:ind w:firstLine="420" w:firstLineChars="200"/>
      </w:pPr>
      <w:r>
        <w:rPr>
          <w:rFonts w:hint="eastAsia"/>
        </w:rPr>
        <w:t>JGJ 120  建筑基坑支护技术规程</w:t>
      </w:r>
    </w:p>
    <w:p>
      <w:pPr>
        <w:ind w:firstLine="420" w:firstLineChars="200"/>
      </w:pPr>
      <w:r>
        <w:rPr>
          <w:rFonts w:hint="eastAsia"/>
        </w:rPr>
        <w:t>JTG 2120  公路工程结构可靠性设计统一标准</w:t>
      </w:r>
    </w:p>
    <w:p>
      <w:pPr>
        <w:ind w:firstLine="420" w:firstLineChars="200"/>
      </w:pPr>
      <w:r>
        <w:rPr>
          <w:rFonts w:hint="eastAsia"/>
        </w:rPr>
        <w:t>JTG 2232  公路隧道抗震设计规范</w:t>
      </w:r>
    </w:p>
    <w:p>
      <w:pPr>
        <w:ind w:firstLine="420" w:firstLineChars="200"/>
      </w:pPr>
      <w:r>
        <w:rPr>
          <w:rFonts w:hint="eastAsia"/>
        </w:rPr>
        <w:t>JTG/T 3310  公路工程混凝土结构耐久性设计规范</w:t>
      </w:r>
    </w:p>
    <w:p>
      <w:pPr>
        <w:ind w:firstLine="420" w:firstLineChars="200"/>
      </w:pPr>
      <w:r>
        <w:rPr>
          <w:rFonts w:hint="eastAsia"/>
        </w:rPr>
        <w:t>JTG 3363  公路桥涵地基与基础设计规范</w:t>
      </w:r>
    </w:p>
    <w:p>
      <w:pPr>
        <w:ind w:firstLine="420" w:firstLineChars="200"/>
      </w:pPr>
      <w:r>
        <w:rPr>
          <w:rFonts w:hint="eastAsia"/>
        </w:rPr>
        <w:t>JTG D70/2  公路隧道设计规范 第二册 交通工程与附属设施</w:t>
      </w:r>
    </w:p>
    <w:p>
      <w:pPr>
        <w:pStyle w:val="66"/>
        <w:spacing w:before="312" w:after="312"/>
      </w:pPr>
      <w:r>
        <w:rPr>
          <w:rFonts w:hint="eastAsia"/>
        </w:rPr>
        <w:t>术语和定义</w:t>
      </w:r>
    </w:p>
    <w:p>
      <w:pPr>
        <w:spacing w:before="156" w:beforeLines="50"/>
        <w:ind w:firstLine="420" w:firstLineChars="200"/>
      </w:pPr>
      <w:r>
        <w:rPr>
          <w:rFonts w:hint="eastAsia"/>
        </w:rPr>
        <w:t>以下</w:t>
      </w:r>
      <w:r>
        <w:t>术语和定义适用于本</w:t>
      </w:r>
      <w:r>
        <w:rPr>
          <w:rFonts w:hint="eastAsia"/>
        </w:rPr>
        <w:t>文件</w:t>
      </w:r>
      <w:r>
        <w:t>。</w:t>
      </w:r>
    </w:p>
    <w:p>
      <w:pPr>
        <w:pStyle w:val="63"/>
        <w:spacing w:before="156" w:after="156"/>
      </w:pPr>
      <w:bookmarkStart w:id="23" w:name="_Toc154179457"/>
      <w:bookmarkEnd w:id="23"/>
    </w:p>
    <w:p>
      <w:pPr>
        <w:pStyle w:val="63"/>
        <w:numPr>
          <w:ilvl w:val="0"/>
          <w:numId w:val="0"/>
        </w:numPr>
        <w:spacing w:before="156" w:afterLines="0"/>
        <w:ind w:firstLine="420" w:firstLineChars="200"/>
      </w:pPr>
      <w:bookmarkStart w:id="24" w:name="_Toc154179458"/>
      <w:r>
        <w:rPr>
          <w:rFonts w:hint="eastAsia"/>
        </w:rPr>
        <w:t>堰筑隧道</w:t>
      </w:r>
      <w:r>
        <w:t xml:space="preserve"> cofferdam tunnel</w:t>
      </w:r>
      <w:bookmarkEnd w:id="24"/>
    </w:p>
    <w:p>
      <w:pPr>
        <w:ind w:firstLine="420" w:firstLineChars="200"/>
      </w:pPr>
      <w:r>
        <w:rPr>
          <w:rFonts w:hint="eastAsia"/>
        </w:rPr>
        <w:t>设置临时或永久挡水围堰，在围堰内采用明挖法修建的隧道。</w:t>
      </w:r>
    </w:p>
    <w:p>
      <w:pPr>
        <w:pStyle w:val="63"/>
        <w:spacing w:before="156" w:after="156"/>
      </w:pPr>
      <w:bookmarkStart w:id="25" w:name="_Toc154179459"/>
      <w:bookmarkEnd w:id="25"/>
    </w:p>
    <w:p>
      <w:pPr>
        <w:pStyle w:val="63"/>
        <w:numPr>
          <w:ilvl w:val="0"/>
          <w:numId w:val="0"/>
        </w:numPr>
        <w:spacing w:before="156" w:afterLines="0"/>
        <w:ind w:firstLine="420" w:firstLineChars="200"/>
      </w:pPr>
      <w:bookmarkStart w:id="26" w:name="_Toc154179460"/>
      <w:r>
        <w:rPr>
          <w:rFonts w:hint="eastAsia"/>
        </w:rPr>
        <w:t>围堰分期</w:t>
      </w:r>
      <w:r>
        <w:t xml:space="preserve"> periodization of cofferdam</w:t>
      </w:r>
      <w:bookmarkEnd w:id="26"/>
    </w:p>
    <w:p>
      <w:pPr>
        <w:spacing w:before="156" w:beforeLines="50"/>
        <w:ind w:firstLine="420" w:firstLineChars="200"/>
      </w:pPr>
      <w:r>
        <w:rPr>
          <w:rFonts w:hint="eastAsia"/>
        </w:rPr>
        <w:t>为满足水力流通、行洪或航道通行要求设定的围堰施工时段。</w:t>
      </w:r>
    </w:p>
    <w:p>
      <w:pPr>
        <w:pStyle w:val="63"/>
        <w:spacing w:before="156" w:after="156"/>
      </w:pPr>
      <w:bookmarkStart w:id="27" w:name="_Toc154179461"/>
      <w:bookmarkEnd w:id="27"/>
    </w:p>
    <w:p>
      <w:pPr>
        <w:pStyle w:val="63"/>
        <w:numPr>
          <w:ilvl w:val="0"/>
          <w:numId w:val="0"/>
        </w:numPr>
        <w:spacing w:before="156" w:afterLines="0"/>
        <w:ind w:firstLine="420" w:firstLineChars="200"/>
      </w:pPr>
      <w:bookmarkStart w:id="28" w:name="_Toc154179462"/>
      <w:r>
        <w:rPr>
          <w:rFonts w:hint="eastAsia"/>
        </w:rPr>
        <w:t>首仓围堰</w:t>
      </w:r>
      <w:r>
        <w:t>the first cofferdam stage</w:t>
      </w:r>
      <w:bookmarkEnd w:id="28"/>
    </w:p>
    <w:p>
      <w:pPr>
        <w:ind w:firstLine="420" w:firstLineChars="200"/>
      </w:pPr>
      <w:r>
        <w:rPr>
          <w:rFonts w:hint="eastAsia"/>
        </w:rPr>
        <w:t>与水域堤防连接的围堰仓段。</w:t>
      </w:r>
    </w:p>
    <w:p>
      <w:pPr>
        <w:pStyle w:val="63"/>
        <w:spacing w:before="156" w:after="156"/>
      </w:pPr>
      <w:bookmarkStart w:id="29" w:name="_Toc154179463"/>
      <w:bookmarkEnd w:id="29"/>
    </w:p>
    <w:p>
      <w:pPr>
        <w:pStyle w:val="63"/>
        <w:numPr>
          <w:ilvl w:val="0"/>
          <w:numId w:val="0"/>
        </w:numPr>
        <w:spacing w:beforeLines="0" w:afterLines="0"/>
        <w:ind w:firstLine="420" w:firstLineChars="200"/>
      </w:pPr>
      <w:bookmarkStart w:id="30" w:name="_Toc154179464"/>
      <w:r>
        <w:rPr>
          <w:rFonts w:hint="eastAsia"/>
        </w:rPr>
        <w:t>二次围堰the</w:t>
      </w:r>
      <w:r>
        <w:t xml:space="preserve"> secondary perpendicular cofferdam</w:t>
      </w:r>
      <w:bookmarkEnd w:id="30"/>
    </w:p>
    <w:p>
      <w:pPr>
        <w:ind w:firstLine="420" w:firstLineChars="200"/>
      </w:pPr>
      <w:r>
        <w:rPr>
          <w:rFonts w:hint="eastAsia"/>
        </w:rPr>
        <w:t>水中翻交施工时，设置于已建结构上方及两侧的围堰。</w:t>
      </w:r>
    </w:p>
    <w:p>
      <w:pPr>
        <w:pStyle w:val="63"/>
        <w:spacing w:before="156" w:after="156"/>
      </w:pPr>
      <w:bookmarkStart w:id="31" w:name="_Toc154179465"/>
      <w:bookmarkEnd w:id="31"/>
    </w:p>
    <w:p>
      <w:pPr>
        <w:pStyle w:val="63"/>
        <w:numPr>
          <w:ilvl w:val="0"/>
          <w:numId w:val="0"/>
        </w:numPr>
        <w:spacing w:beforeLines="0" w:afterLines="0"/>
        <w:ind w:firstLine="420" w:firstLineChars="200"/>
      </w:pPr>
      <w:bookmarkStart w:id="32" w:name="_Toc154179466"/>
      <w:r>
        <w:rPr>
          <w:rFonts w:hint="eastAsia"/>
        </w:rPr>
        <w:t>回水</w:t>
      </w:r>
      <w:r>
        <w:t xml:space="preserve"> backwater</w:t>
      </w:r>
      <w:bookmarkEnd w:id="32"/>
    </w:p>
    <w:p>
      <w:pPr>
        <w:ind w:firstLine="420" w:firstLineChars="200"/>
      </w:pPr>
      <w:r>
        <w:rPr>
          <w:rFonts w:hint="eastAsia"/>
        </w:rPr>
        <w:t>结构回填后、围堰拆除前，有序恢复水面的过程。</w:t>
      </w:r>
    </w:p>
    <w:p>
      <w:pPr>
        <w:pStyle w:val="66"/>
        <w:spacing w:before="312" w:after="312"/>
      </w:pPr>
      <w:bookmarkStart w:id="33" w:name="_Toc154132502"/>
      <w:bookmarkStart w:id="34" w:name="_Toc154179467"/>
      <w:r>
        <w:t>基本规定</w:t>
      </w:r>
      <w:bookmarkEnd w:id="33"/>
      <w:bookmarkEnd w:id="34"/>
    </w:p>
    <w:p>
      <w:pPr>
        <w:pStyle w:val="63"/>
        <w:spacing w:beforeLines="0" w:afterLines="0"/>
        <w:rPr>
          <w:rFonts w:asciiTheme="minorEastAsia" w:hAnsiTheme="minorEastAsia" w:eastAsiaTheme="minorEastAsia"/>
        </w:rPr>
      </w:pPr>
      <w:bookmarkStart w:id="35" w:name="_Toc154179468"/>
      <w:r>
        <w:rPr>
          <w:rFonts w:hint="eastAsia" w:asciiTheme="minorEastAsia" w:hAnsiTheme="minorEastAsia" w:eastAsiaTheme="minorEastAsia"/>
        </w:rPr>
        <w:t>应考虑航道、水文、堤防等建设条件，对隧址方案进行综合比选，总体线形应满足安全、舒适的要求。</w:t>
      </w:r>
      <w:bookmarkEnd w:id="35"/>
    </w:p>
    <w:p>
      <w:pPr>
        <w:pStyle w:val="63"/>
        <w:spacing w:beforeLines="0" w:afterLines="0"/>
        <w:rPr>
          <w:rFonts w:asciiTheme="minorEastAsia" w:hAnsiTheme="minorEastAsia" w:eastAsiaTheme="minorEastAsia"/>
        </w:rPr>
      </w:pPr>
      <w:bookmarkStart w:id="36" w:name="_Toc154179469"/>
      <w:r>
        <w:rPr>
          <w:rFonts w:hint="eastAsia" w:asciiTheme="minorEastAsia" w:hAnsiTheme="minorEastAsia" w:eastAsiaTheme="minorEastAsia"/>
        </w:rPr>
        <w:t>隧道主体结构应按永久构筑物设计，满足强度、变形、稳定性、耐久性、耐火、防洪、抗浮、</w:t>
      </w:r>
      <w:r>
        <w:rPr>
          <w:rFonts w:asciiTheme="minorEastAsia" w:hAnsiTheme="minorEastAsia" w:eastAsiaTheme="minorEastAsia"/>
        </w:rPr>
        <w:t>防水</w:t>
      </w:r>
      <w:r>
        <w:rPr>
          <w:rFonts w:hint="eastAsia" w:asciiTheme="minorEastAsia" w:hAnsiTheme="minorEastAsia" w:eastAsiaTheme="minorEastAsia"/>
        </w:rPr>
        <w:t>及抗震等要求。</w:t>
      </w:r>
      <w:bookmarkEnd w:id="36"/>
    </w:p>
    <w:p>
      <w:pPr>
        <w:pStyle w:val="63"/>
        <w:spacing w:beforeLines="0" w:afterLines="0"/>
        <w:rPr>
          <w:rFonts w:asciiTheme="minorEastAsia" w:hAnsiTheme="minorEastAsia" w:eastAsiaTheme="minorEastAsia"/>
        </w:rPr>
      </w:pPr>
      <w:bookmarkStart w:id="37" w:name="_Toc154179470"/>
      <w:r>
        <w:rPr>
          <w:rFonts w:asciiTheme="minorEastAsia" w:hAnsiTheme="minorEastAsia" w:eastAsiaTheme="minorEastAsia"/>
        </w:rPr>
        <w:t>防</w:t>
      </w:r>
      <w:r>
        <w:rPr>
          <w:rFonts w:hint="eastAsia" w:asciiTheme="minorEastAsia" w:hAnsiTheme="minorEastAsia" w:eastAsiaTheme="minorEastAsia"/>
        </w:rPr>
        <w:t>排</w:t>
      </w:r>
      <w:r>
        <w:rPr>
          <w:rFonts w:asciiTheme="minorEastAsia" w:hAnsiTheme="minorEastAsia" w:eastAsiaTheme="minorEastAsia"/>
        </w:rPr>
        <w:t>水</w:t>
      </w:r>
      <w:r>
        <w:rPr>
          <w:rFonts w:hint="eastAsia" w:asciiTheme="minorEastAsia" w:hAnsiTheme="minorEastAsia" w:eastAsiaTheme="minorEastAsia"/>
        </w:rPr>
        <w:t>设计</w:t>
      </w:r>
      <w:r>
        <w:rPr>
          <w:rFonts w:asciiTheme="minorEastAsia" w:hAnsiTheme="minorEastAsia" w:eastAsiaTheme="minorEastAsia"/>
        </w:rPr>
        <w:t>应遵循</w:t>
      </w:r>
      <w:r>
        <w:rPr>
          <w:rFonts w:hint="eastAsia" w:asciiTheme="minorEastAsia" w:hAnsiTheme="minorEastAsia" w:eastAsiaTheme="minorEastAsia"/>
        </w:rPr>
        <w:t>“以防为主、堵排截相结合”的</w:t>
      </w:r>
      <w:r>
        <w:rPr>
          <w:rFonts w:asciiTheme="minorEastAsia" w:hAnsiTheme="minorEastAsia" w:eastAsiaTheme="minorEastAsia"/>
        </w:rPr>
        <w:t>原则</w:t>
      </w:r>
      <w:r>
        <w:rPr>
          <w:rFonts w:hint="eastAsia" w:asciiTheme="minorEastAsia" w:hAnsiTheme="minorEastAsia" w:eastAsiaTheme="minorEastAsia"/>
        </w:rPr>
        <w:t>，采用“以混凝土结构自防水为根本、以接缝防水为重点、辅以柔性外包防水层”的综合防水体系</w:t>
      </w:r>
      <w:r>
        <w:rPr>
          <w:rFonts w:asciiTheme="minorEastAsia" w:hAnsiTheme="minorEastAsia" w:eastAsiaTheme="minorEastAsia"/>
        </w:rPr>
        <w:t>。</w:t>
      </w:r>
      <w:bookmarkEnd w:id="37"/>
    </w:p>
    <w:p>
      <w:pPr>
        <w:pStyle w:val="63"/>
        <w:spacing w:beforeLines="0" w:afterLines="0"/>
        <w:rPr>
          <w:rFonts w:asciiTheme="minorEastAsia" w:hAnsiTheme="minorEastAsia" w:eastAsiaTheme="minorEastAsia"/>
        </w:rPr>
      </w:pPr>
      <w:bookmarkStart w:id="38" w:name="_Toc154179471"/>
      <w:r>
        <w:rPr>
          <w:rFonts w:hint="eastAsia" w:asciiTheme="minorEastAsia" w:hAnsiTheme="minorEastAsia" w:eastAsiaTheme="minorEastAsia"/>
        </w:rPr>
        <w:t>围堰</w:t>
      </w:r>
      <w:r>
        <w:rPr>
          <w:rFonts w:asciiTheme="minorEastAsia" w:hAnsiTheme="minorEastAsia" w:eastAsiaTheme="minorEastAsia"/>
        </w:rPr>
        <w:t>工程应遵循安全可靠、就地取材、便于施工</w:t>
      </w:r>
      <w:r>
        <w:rPr>
          <w:rFonts w:hint="eastAsia" w:asciiTheme="minorEastAsia" w:hAnsiTheme="minorEastAsia" w:eastAsiaTheme="minorEastAsia"/>
        </w:rPr>
        <w:t>及拆除</w:t>
      </w:r>
      <w:r>
        <w:rPr>
          <w:rFonts w:asciiTheme="minorEastAsia" w:hAnsiTheme="minorEastAsia" w:eastAsiaTheme="minorEastAsia"/>
        </w:rPr>
        <w:t>的</w:t>
      </w:r>
      <w:r>
        <w:rPr>
          <w:rFonts w:hint="eastAsia" w:asciiTheme="minorEastAsia" w:hAnsiTheme="minorEastAsia" w:eastAsiaTheme="minorEastAsia"/>
        </w:rPr>
        <w:t>设计</w:t>
      </w:r>
      <w:r>
        <w:rPr>
          <w:rFonts w:asciiTheme="minorEastAsia" w:hAnsiTheme="minorEastAsia" w:eastAsiaTheme="minorEastAsia"/>
        </w:rPr>
        <w:t>原则，</w:t>
      </w:r>
      <w:r>
        <w:rPr>
          <w:rFonts w:hint="eastAsia" w:asciiTheme="minorEastAsia" w:hAnsiTheme="minorEastAsia" w:eastAsiaTheme="minorEastAsia"/>
        </w:rPr>
        <w:t>具有抵抗风、浪、流和潮汐等功能，并</w:t>
      </w:r>
      <w:r>
        <w:rPr>
          <w:rFonts w:asciiTheme="minorEastAsia" w:hAnsiTheme="minorEastAsia" w:eastAsiaTheme="minorEastAsia"/>
        </w:rPr>
        <w:t>满足通航、行洪等要求。</w:t>
      </w:r>
      <w:bookmarkEnd w:id="38"/>
    </w:p>
    <w:p>
      <w:pPr>
        <w:pStyle w:val="63"/>
        <w:spacing w:beforeLines="0" w:afterLines="0"/>
        <w:rPr>
          <w:rFonts w:asciiTheme="minorEastAsia" w:hAnsiTheme="minorEastAsia" w:eastAsiaTheme="minorEastAsia"/>
        </w:rPr>
      </w:pPr>
      <w:bookmarkStart w:id="39" w:name="_Toc154179472"/>
      <w:r>
        <w:rPr>
          <w:rFonts w:hint="eastAsia" w:asciiTheme="minorEastAsia" w:hAnsiTheme="minorEastAsia" w:eastAsiaTheme="minorEastAsia"/>
        </w:rPr>
        <w:t>基坑</w:t>
      </w:r>
      <w:r>
        <w:rPr>
          <w:rFonts w:asciiTheme="minorEastAsia" w:hAnsiTheme="minorEastAsia" w:eastAsiaTheme="minorEastAsia"/>
        </w:rPr>
        <w:t>工程</w:t>
      </w:r>
      <w:r>
        <w:rPr>
          <w:rFonts w:hint="eastAsia" w:asciiTheme="minorEastAsia" w:hAnsiTheme="minorEastAsia" w:eastAsiaTheme="minorEastAsia"/>
        </w:rPr>
        <w:t>应</w:t>
      </w:r>
      <w:r>
        <w:rPr>
          <w:rFonts w:asciiTheme="minorEastAsia" w:hAnsiTheme="minorEastAsia" w:eastAsiaTheme="minorEastAsia"/>
        </w:rPr>
        <w:t>保障隧道</w:t>
      </w:r>
      <w:r>
        <w:rPr>
          <w:rFonts w:hint="eastAsia" w:asciiTheme="minorEastAsia" w:hAnsiTheme="minorEastAsia" w:eastAsiaTheme="minorEastAsia"/>
        </w:rPr>
        <w:t>施工及周边环境</w:t>
      </w:r>
      <w:r>
        <w:rPr>
          <w:rFonts w:asciiTheme="minorEastAsia" w:hAnsiTheme="minorEastAsia" w:eastAsiaTheme="minorEastAsia"/>
        </w:rPr>
        <w:t>的安全，并</w:t>
      </w:r>
      <w:r>
        <w:rPr>
          <w:rFonts w:hint="eastAsia" w:asciiTheme="minorEastAsia" w:hAnsiTheme="minorEastAsia" w:eastAsiaTheme="minorEastAsia"/>
        </w:rPr>
        <w:t>为</w:t>
      </w:r>
      <w:r>
        <w:rPr>
          <w:rFonts w:asciiTheme="minorEastAsia" w:hAnsiTheme="minorEastAsia" w:eastAsiaTheme="minorEastAsia"/>
        </w:rPr>
        <w:t>主体结构施工</w:t>
      </w:r>
      <w:r>
        <w:rPr>
          <w:rFonts w:hint="eastAsia" w:asciiTheme="minorEastAsia" w:hAnsiTheme="minorEastAsia" w:eastAsiaTheme="minorEastAsia"/>
        </w:rPr>
        <w:t>预留</w:t>
      </w:r>
      <w:r>
        <w:rPr>
          <w:rFonts w:asciiTheme="minorEastAsia" w:hAnsiTheme="minorEastAsia" w:eastAsiaTheme="minorEastAsia"/>
        </w:rPr>
        <w:t>足够空间。</w:t>
      </w:r>
      <w:bookmarkEnd w:id="39"/>
    </w:p>
    <w:p>
      <w:pPr>
        <w:pStyle w:val="63"/>
        <w:spacing w:beforeLines="0" w:afterLines="0"/>
        <w:rPr>
          <w:rFonts w:asciiTheme="minorEastAsia" w:hAnsiTheme="minorEastAsia" w:eastAsiaTheme="minorEastAsia"/>
        </w:rPr>
      </w:pPr>
      <w:bookmarkStart w:id="40" w:name="_Toc154179473"/>
      <w:r>
        <w:rPr>
          <w:rFonts w:hint="eastAsia" w:asciiTheme="minorEastAsia" w:hAnsiTheme="minorEastAsia" w:eastAsiaTheme="minorEastAsia"/>
        </w:rPr>
        <w:t>地基</w:t>
      </w:r>
      <w:r>
        <w:rPr>
          <w:rFonts w:asciiTheme="minorEastAsia" w:hAnsiTheme="minorEastAsia" w:eastAsiaTheme="minorEastAsia"/>
        </w:rPr>
        <w:t>与基础应</w:t>
      </w:r>
      <w:r>
        <w:rPr>
          <w:rFonts w:hint="eastAsia" w:asciiTheme="minorEastAsia" w:hAnsiTheme="minorEastAsia" w:eastAsiaTheme="minorEastAsia"/>
        </w:rPr>
        <w:t>满足承载力</w:t>
      </w:r>
      <w:r>
        <w:rPr>
          <w:rFonts w:asciiTheme="minorEastAsia" w:hAnsiTheme="minorEastAsia" w:eastAsiaTheme="minorEastAsia"/>
        </w:rPr>
        <w:t>要求，并满足</w:t>
      </w:r>
      <w:r>
        <w:rPr>
          <w:rFonts w:hint="eastAsia" w:asciiTheme="minorEastAsia" w:hAnsiTheme="minorEastAsia" w:eastAsiaTheme="minorEastAsia"/>
        </w:rPr>
        <w:t>设计工作年限内主体结构</w:t>
      </w:r>
      <w:r>
        <w:rPr>
          <w:rFonts w:asciiTheme="minorEastAsia" w:hAnsiTheme="minorEastAsia" w:eastAsiaTheme="minorEastAsia"/>
        </w:rPr>
        <w:t>变形</w:t>
      </w:r>
      <w:r>
        <w:rPr>
          <w:rFonts w:hint="eastAsia" w:asciiTheme="minorEastAsia" w:hAnsiTheme="minorEastAsia" w:eastAsiaTheme="minorEastAsia"/>
        </w:rPr>
        <w:t>控制</w:t>
      </w:r>
      <w:r>
        <w:rPr>
          <w:rFonts w:asciiTheme="minorEastAsia" w:hAnsiTheme="minorEastAsia" w:eastAsiaTheme="minorEastAsia"/>
        </w:rPr>
        <w:t>的要求</w:t>
      </w:r>
      <w:r>
        <w:rPr>
          <w:rFonts w:hint="eastAsia" w:asciiTheme="minorEastAsia" w:hAnsiTheme="minorEastAsia" w:eastAsiaTheme="minorEastAsia"/>
        </w:rPr>
        <w:t>。</w:t>
      </w:r>
      <w:bookmarkEnd w:id="40"/>
    </w:p>
    <w:p>
      <w:pPr>
        <w:pStyle w:val="63"/>
        <w:spacing w:beforeLines="0" w:afterLines="0"/>
        <w:rPr>
          <w:rFonts w:asciiTheme="minorEastAsia" w:hAnsiTheme="minorEastAsia" w:eastAsiaTheme="minorEastAsia"/>
        </w:rPr>
      </w:pPr>
      <w:bookmarkStart w:id="41" w:name="_Toc154179474"/>
      <w:r>
        <w:rPr>
          <w:rFonts w:hint="eastAsia" w:asciiTheme="minorEastAsia" w:hAnsiTheme="minorEastAsia" w:eastAsiaTheme="minorEastAsia"/>
        </w:rPr>
        <w:t>应根据隧道长度、交通量等设置完善的通风、照明、消防、排水、供电及监控等运营管理设施，并做完善的防灾、逃生及救援设计。</w:t>
      </w:r>
      <w:bookmarkEnd w:id="41"/>
    </w:p>
    <w:p>
      <w:pPr>
        <w:pStyle w:val="66"/>
        <w:spacing w:before="312" w:after="312"/>
      </w:pPr>
      <w:bookmarkStart w:id="42" w:name="_Toc154132503"/>
      <w:bookmarkStart w:id="43" w:name="_Toc154179475"/>
      <w:r>
        <w:t>总体设计</w:t>
      </w:r>
      <w:bookmarkEnd w:id="42"/>
      <w:bookmarkEnd w:id="43"/>
    </w:p>
    <w:p>
      <w:pPr>
        <w:pStyle w:val="63"/>
        <w:spacing w:before="156" w:after="156"/>
      </w:pPr>
      <w:bookmarkStart w:id="44" w:name="_Toc154179476"/>
      <w:bookmarkStart w:id="45" w:name="_Toc154132504"/>
      <w:r>
        <w:rPr>
          <w:rFonts w:hint="eastAsia"/>
        </w:rPr>
        <w:t>一般规定</w:t>
      </w:r>
      <w:bookmarkEnd w:id="44"/>
      <w:bookmarkEnd w:id="45"/>
    </w:p>
    <w:p>
      <w:pPr>
        <w:pStyle w:val="84"/>
      </w:pPr>
      <w:r>
        <w:rPr>
          <w:rFonts w:hint="eastAsia"/>
        </w:rPr>
        <w:t>应根据建设</w:t>
      </w:r>
      <w:r>
        <w:t>条件、路网规划、</w:t>
      </w:r>
      <w:r>
        <w:rPr>
          <w:rFonts w:hint="eastAsia"/>
        </w:rPr>
        <w:t>公路等级、交通功能及可持续发展的要求，合理确定堰筑隧道位置、平纵线形指标、</w:t>
      </w:r>
      <w:r>
        <w:t>接线</w:t>
      </w:r>
      <w:r>
        <w:rPr>
          <w:rFonts w:hint="eastAsia"/>
        </w:rPr>
        <w:t>衔接方式和横断面布置等。</w:t>
      </w:r>
    </w:p>
    <w:p>
      <w:pPr>
        <w:pStyle w:val="84"/>
      </w:pPr>
      <w:r>
        <w:rPr>
          <w:rFonts w:hint="eastAsia"/>
        </w:rPr>
        <w:t>总体设计应满足通风、消防、照明、监控、防洪（涝）、安全疏散、环保、节能等要求。</w:t>
      </w:r>
    </w:p>
    <w:p>
      <w:pPr>
        <w:pStyle w:val="84"/>
      </w:pPr>
      <w:r>
        <w:t>隧道</w:t>
      </w:r>
      <w:r>
        <w:rPr>
          <w:rFonts w:hint="eastAsia"/>
        </w:rPr>
        <w:t>风井</w:t>
      </w:r>
      <w:r>
        <w:t>、地面疏散口</w:t>
      </w:r>
      <w:r>
        <w:rPr>
          <w:rFonts w:hint="eastAsia"/>
        </w:rPr>
        <w:t>、敞开段、洞口</w:t>
      </w:r>
      <w:r>
        <w:t>等</w:t>
      </w:r>
      <w:r>
        <w:rPr>
          <w:rFonts w:hint="eastAsia"/>
        </w:rPr>
        <w:t>开孔下缘</w:t>
      </w:r>
      <w:r>
        <w:t>标高</w:t>
      </w:r>
      <w:r>
        <w:rPr>
          <w:rFonts w:hint="eastAsia"/>
        </w:rPr>
        <w:t>应至少高出1</w:t>
      </w:r>
      <w:r>
        <w:t>00</w:t>
      </w:r>
      <w:r>
        <w:rPr>
          <w:rFonts w:hint="eastAsia"/>
        </w:rPr>
        <w:t>年一遇洪水位</w:t>
      </w:r>
      <w:r>
        <w:t>0.5</w:t>
      </w:r>
      <w:r>
        <w:rPr>
          <w:rFonts w:hint="eastAsia"/>
        </w:rPr>
        <w:t xml:space="preserve"> </w:t>
      </w:r>
      <w:r>
        <w:t>m</w:t>
      </w:r>
      <w:r>
        <w:rPr>
          <w:rFonts w:hint="eastAsia"/>
        </w:rPr>
        <w:t>以上，并按3</w:t>
      </w:r>
      <w:r>
        <w:t>00</w:t>
      </w:r>
      <w:r>
        <w:rPr>
          <w:rFonts w:hint="eastAsia"/>
        </w:rPr>
        <w:t>年一遇洪水位校核。无法满足时，应设置防淹设施。</w:t>
      </w:r>
    </w:p>
    <w:p>
      <w:pPr>
        <w:pStyle w:val="63"/>
        <w:spacing w:before="156" w:after="156"/>
      </w:pPr>
      <w:bookmarkStart w:id="46" w:name="_Toc154179477"/>
      <w:bookmarkStart w:id="47" w:name="_Toc154132505"/>
      <w:r>
        <w:t>隧道位置选择</w:t>
      </w:r>
      <w:bookmarkEnd w:id="46"/>
      <w:bookmarkEnd w:id="47"/>
    </w:p>
    <w:p>
      <w:pPr>
        <w:pStyle w:val="84"/>
      </w:pPr>
      <w:r>
        <w:t>隧道位置应</w:t>
      </w:r>
      <w:r>
        <w:rPr>
          <w:rFonts w:hint="eastAsia"/>
        </w:rPr>
        <w:t>根据规划</w:t>
      </w:r>
      <w:r>
        <w:t>、接线、防洪、航运、耕地保护及</w:t>
      </w:r>
      <w:r>
        <w:rPr>
          <w:rFonts w:hint="eastAsia"/>
        </w:rPr>
        <w:t>生态</w:t>
      </w:r>
      <w:r>
        <w:t>环境保护等要求</w:t>
      </w:r>
      <w:r>
        <w:rPr>
          <w:rFonts w:hint="eastAsia"/>
        </w:rPr>
        <w:t>综合确定，并宜满足</w:t>
      </w:r>
      <w:r>
        <w:t>下列</w:t>
      </w:r>
      <w:r>
        <w:rPr>
          <w:rFonts w:hint="eastAsia"/>
        </w:rPr>
        <w:t>要求</w:t>
      </w:r>
      <w:r>
        <w:t>：</w:t>
      </w:r>
    </w:p>
    <w:p>
      <w:pPr>
        <w:pStyle w:val="80"/>
      </w:pPr>
      <w:r>
        <w:t>避开锚地、码头、文物</w:t>
      </w:r>
      <w:r>
        <w:rPr>
          <w:rFonts w:hint="eastAsia"/>
        </w:rPr>
        <w:t>、水源保护地等；</w:t>
      </w:r>
    </w:p>
    <w:p>
      <w:pPr>
        <w:pStyle w:val="80"/>
      </w:pPr>
      <w:r>
        <w:rPr>
          <w:rFonts w:hint="eastAsia"/>
        </w:rPr>
        <w:t>设置在地形平坦、岸线平缓、流速较小的水域，当无法避开穿越深槽、岸线陡变、急弯河道及流速较大的水域时，应采取切实可靠的工程技术措施；</w:t>
      </w:r>
    </w:p>
    <w:p>
      <w:pPr>
        <w:pStyle w:val="80"/>
      </w:pPr>
      <w:r>
        <w:t>选择抗震有利</w:t>
      </w:r>
      <w:r>
        <w:rPr>
          <w:rFonts w:hint="eastAsia"/>
        </w:rPr>
        <w:t>地段，无法</w:t>
      </w:r>
      <w:r>
        <w:t>满足时应采取有效措施。</w:t>
      </w:r>
    </w:p>
    <w:p>
      <w:pPr>
        <w:pStyle w:val="84"/>
      </w:pPr>
      <w:r>
        <w:rPr>
          <w:rFonts w:hint="eastAsia"/>
        </w:rPr>
        <w:t>洞口距岸堤坡脚宜大于</w:t>
      </w:r>
      <w:r>
        <w:t>50</w:t>
      </w:r>
      <w:r>
        <w:rPr>
          <w:rFonts w:hint="eastAsia"/>
        </w:rPr>
        <w:t xml:space="preserve"> </w:t>
      </w:r>
      <w:r>
        <w:t>m</w:t>
      </w:r>
      <w:r>
        <w:rPr>
          <w:rFonts w:hint="eastAsia"/>
        </w:rPr>
        <w:t>。</w:t>
      </w:r>
    </w:p>
    <w:p>
      <w:pPr>
        <w:pStyle w:val="63"/>
        <w:spacing w:before="156" w:after="156"/>
      </w:pPr>
      <w:bookmarkStart w:id="48" w:name="_Toc154132506"/>
      <w:bookmarkStart w:id="49" w:name="_Toc154179478"/>
      <w:r>
        <w:t>隧道线形设计</w:t>
      </w:r>
      <w:bookmarkEnd w:id="48"/>
      <w:bookmarkEnd w:id="49"/>
    </w:p>
    <w:p>
      <w:pPr>
        <w:pStyle w:val="84"/>
      </w:pPr>
      <w:r>
        <w:rPr>
          <w:rFonts w:hint="eastAsia"/>
        </w:rPr>
        <w:t>隧道总体线形应满足安全、舒适、顺畅、快捷的要求，综合考虑</w:t>
      </w:r>
      <w:r>
        <w:t>路线总体走向、地质、地形、</w:t>
      </w:r>
      <w:r>
        <w:rPr>
          <w:rFonts w:hint="eastAsia"/>
        </w:rPr>
        <w:t>航道、岸堤、</w:t>
      </w:r>
      <w:r>
        <w:t>水文、通风和沿线障碍物等因素</w:t>
      </w:r>
      <w:r>
        <w:rPr>
          <w:rFonts w:hint="eastAsia"/>
        </w:rPr>
        <w:t>。</w:t>
      </w:r>
    </w:p>
    <w:p>
      <w:pPr>
        <w:pStyle w:val="84"/>
      </w:pPr>
      <w:r>
        <w:rPr>
          <w:rFonts w:hint="eastAsia"/>
        </w:rPr>
        <w:t>高速公路、一级公路平面线形宜采用直线或不设加宽的曲线，超高值宜小于</w:t>
      </w:r>
      <w:r>
        <w:t>4.0%</w:t>
      </w:r>
      <w:r>
        <w:rPr>
          <w:rFonts w:hint="eastAsia"/>
        </w:rPr>
        <w:t>。隧道轴线与堤防、航道、行洪通道等交角宜大于</w:t>
      </w:r>
      <w:r>
        <w:t>60</w:t>
      </w:r>
      <w:r>
        <w:rPr>
          <w:rFonts w:hint="eastAsia"/>
        </w:rPr>
        <w:t>°。</w:t>
      </w:r>
    </w:p>
    <w:p>
      <w:pPr>
        <w:pStyle w:val="84"/>
      </w:pPr>
      <w:r>
        <w:rPr>
          <w:rFonts w:hint="eastAsia"/>
        </w:rPr>
        <w:t>隧道宜采用浅埋型式，隧道最小覆土厚度宜大于1 m，并满足水利、航道等要求。纵断面线形宜采用“</w:t>
      </w:r>
      <w:r>
        <w:t>V”形或“W”形</w:t>
      </w:r>
      <w:r>
        <w:rPr>
          <w:rFonts w:hint="eastAsia"/>
        </w:rPr>
        <w:t>。</w:t>
      </w:r>
    </w:p>
    <w:p>
      <w:pPr>
        <w:pStyle w:val="63"/>
        <w:spacing w:before="156" w:after="156"/>
      </w:pPr>
      <w:bookmarkStart w:id="50" w:name="_Toc154179479"/>
      <w:bookmarkStart w:id="51" w:name="_Toc154132507"/>
      <w:r>
        <w:t>隧道横断面设计</w:t>
      </w:r>
      <w:bookmarkEnd w:id="50"/>
      <w:bookmarkEnd w:id="51"/>
    </w:p>
    <w:p>
      <w:pPr>
        <w:pStyle w:val="84"/>
      </w:pPr>
      <w:r>
        <w:rPr>
          <w:rFonts w:hint="eastAsia"/>
        </w:rPr>
        <w:t>横断面设计应进行功能分区，并满足行车安全、运营维护、应急救援等需求。</w:t>
      </w:r>
    </w:p>
    <w:p>
      <w:pPr>
        <w:pStyle w:val="84"/>
      </w:pPr>
      <w:r>
        <w:rPr>
          <w:rFonts w:hint="eastAsia"/>
        </w:rPr>
        <w:t>隧道宜采用整幅式横断面。</w:t>
      </w:r>
    </w:p>
    <w:p>
      <w:pPr>
        <w:pStyle w:val="84"/>
      </w:pPr>
      <w:r>
        <w:rPr>
          <w:rFonts w:hint="eastAsia"/>
        </w:rPr>
        <w:t>隧道路面横坡坡率宜采用</w:t>
      </w:r>
      <w:r>
        <w:t>1.5%</w:t>
      </w:r>
      <w:r>
        <w:rPr>
          <w:rFonts w:ascii="Times New Roman"/>
        </w:rPr>
        <w:t>～</w:t>
      </w:r>
      <w:r>
        <w:t>2</w:t>
      </w:r>
      <w:r>
        <w:rPr>
          <w:rFonts w:hint="eastAsia"/>
        </w:rPr>
        <w:t>.</w:t>
      </w:r>
      <w:r>
        <w:t>0%</w:t>
      </w:r>
      <w:r>
        <w:rPr>
          <w:rFonts w:hint="eastAsia"/>
        </w:rPr>
        <w:t>。</w:t>
      </w:r>
      <w:r>
        <w:t>当隧道横坡与路基段横坡有差异时，</w:t>
      </w:r>
      <w:r>
        <w:rPr>
          <w:rFonts w:hint="eastAsia"/>
        </w:rPr>
        <w:t>宜</w:t>
      </w:r>
      <w:r>
        <w:t>在</w:t>
      </w:r>
      <w:r>
        <w:rPr>
          <w:rFonts w:hint="eastAsia"/>
        </w:rPr>
        <w:t>暗埋段以外的</w:t>
      </w:r>
      <w:r>
        <w:t>敞开段</w:t>
      </w:r>
      <w:r>
        <w:rPr>
          <w:rFonts w:hint="eastAsia"/>
        </w:rPr>
        <w:t>或路基段</w:t>
      </w:r>
      <w:r>
        <w:t>完成横坡顺接过渡。</w:t>
      </w:r>
    </w:p>
    <w:p>
      <w:pPr>
        <w:pStyle w:val="84"/>
      </w:pPr>
      <w:r>
        <w:rPr>
          <w:rFonts w:hint="eastAsia"/>
        </w:rPr>
        <w:t>高速公路和一级公路特长隧道、长隧道宜设硬路肩。当不设硬路肩或硬路肩宽度小于2.5 m时，单洞两车道隧道应设紧急停车带，单洞三车道隧道宜设紧急停车带，单洞四车道隧道可不设紧急停车带。</w:t>
      </w:r>
    </w:p>
    <w:p>
      <w:pPr>
        <w:pStyle w:val="84"/>
      </w:pPr>
      <w:r>
        <w:rPr>
          <w:rFonts w:hint="eastAsia"/>
        </w:rPr>
        <w:t>单车道匝道隧道应设硬路肩。</w:t>
      </w:r>
    </w:p>
    <w:p>
      <w:pPr>
        <w:pStyle w:val="84"/>
      </w:pPr>
      <w:r>
        <w:rPr>
          <w:rFonts w:hint="eastAsia"/>
        </w:rPr>
        <w:t>隧道结构内轮廓在满足建筑限界要求的前提下，应充分利用空间，合理布置交通工程与附属设施，并预留施工误差、结构变形等富余量。结构内轮廓与行车限界线最小间距不宜小于1</w:t>
      </w:r>
      <w:r>
        <w:t>00</w:t>
      </w:r>
      <w:r>
        <w:rPr>
          <w:rFonts w:hint="eastAsia"/>
        </w:rPr>
        <w:t>mm，与检修道限界线最小间距不宜小于5</w:t>
      </w:r>
      <w:r>
        <w:t>0</w:t>
      </w:r>
      <w:r>
        <w:rPr>
          <w:rFonts w:hint="eastAsia"/>
        </w:rPr>
        <w:t xml:space="preserve"> mm。</w:t>
      </w:r>
    </w:p>
    <w:p>
      <w:pPr>
        <w:pStyle w:val="84"/>
      </w:pPr>
      <w:r>
        <w:t>特长隧道宜设</w:t>
      </w:r>
      <w:r>
        <w:rPr>
          <w:rFonts w:hint="eastAsia"/>
        </w:rPr>
        <w:t>纵向</w:t>
      </w:r>
      <w:r>
        <w:t>疏散通道</w:t>
      </w:r>
      <w:r>
        <w:rPr>
          <w:rFonts w:hint="eastAsia"/>
        </w:rPr>
        <w:t>，并在两端设置直通地面的疏散口。疏散通道限界</w:t>
      </w:r>
      <w:r>
        <w:t>宽度不</w:t>
      </w:r>
      <w:r>
        <w:rPr>
          <w:rFonts w:hint="eastAsia"/>
        </w:rPr>
        <w:t>应</w:t>
      </w:r>
      <w:r>
        <w:t>小于2.0</w:t>
      </w:r>
      <w:r>
        <w:rPr>
          <w:rFonts w:hint="eastAsia"/>
        </w:rPr>
        <w:t xml:space="preserve"> </w:t>
      </w:r>
      <w:r>
        <w:t>m，</w:t>
      </w:r>
      <w:r>
        <w:rPr>
          <w:rFonts w:hint="eastAsia"/>
        </w:rPr>
        <w:t>限界</w:t>
      </w:r>
      <w:r>
        <w:t>高度不</w:t>
      </w:r>
      <w:r>
        <w:rPr>
          <w:rFonts w:hint="eastAsia"/>
        </w:rPr>
        <w:t>应</w:t>
      </w:r>
      <w:r>
        <w:t>小于2.5</w:t>
      </w:r>
      <w:r>
        <w:rPr>
          <w:rFonts w:hint="eastAsia"/>
        </w:rPr>
        <w:t xml:space="preserve"> </w:t>
      </w:r>
      <w:r>
        <w:t>m。</w:t>
      </w:r>
    </w:p>
    <w:p>
      <w:pPr>
        <w:pStyle w:val="84"/>
      </w:pPr>
      <w:r>
        <w:rPr>
          <w:rFonts w:hint="eastAsia"/>
        </w:rPr>
        <w:t>隧道设置中间管廊</w:t>
      </w:r>
      <w:r>
        <w:t>时，可不设</w:t>
      </w:r>
      <w:r>
        <w:rPr>
          <w:rFonts w:hint="eastAsia"/>
        </w:rPr>
        <w:t>左侧</w:t>
      </w:r>
      <w:r>
        <w:t>检修道。</w:t>
      </w:r>
    </w:p>
    <w:p>
      <w:pPr>
        <w:pStyle w:val="84"/>
      </w:pPr>
      <w:r>
        <w:t>隧道应在侧向宽度内设</w:t>
      </w:r>
      <w:r>
        <w:rPr>
          <w:rFonts w:hint="eastAsia"/>
        </w:rPr>
        <w:t>路面</w:t>
      </w:r>
      <w:r>
        <w:t>排水沟。</w:t>
      </w:r>
    </w:p>
    <w:p>
      <w:pPr>
        <w:pStyle w:val="63"/>
        <w:spacing w:before="156" w:after="156"/>
      </w:pPr>
      <w:bookmarkStart w:id="52" w:name="_Toc154132508"/>
      <w:bookmarkStart w:id="53" w:name="_Toc154179480"/>
      <w:r>
        <w:t>横通</w:t>
      </w:r>
      <w:r>
        <w:rPr>
          <w:rFonts w:hint="eastAsia"/>
        </w:rPr>
        <w:t>道</w:t>
      </w:r>
      <w:r>
        <w:t>设计</w:t>
      </w:r>
      <w:bookmarkEnd w:id="52"/>
      <w:bookmarkEnd w:id="53"/>
    </w:p>
    <w:p>
      <w:pPr>
        <w:pStyle w:val="84"/>
      </w:pPr>
      <w:r>
        <w:rPr>
          <w:rFonts w:hint="eastAsia"/>
        </w:rPr>
        <w:t>隧道双向行车孔之间应设人行横通道，并符合下列规定：</w:t>
      </w:r>
    </w:p>
    <w:p>
      <w:pPr>
        <w:pStyle w:val="80"/>
        <w:numPr>
          <w:ilvl w:val="0"/>
          <w:numId w:val="12"/>
        </w:numPr>
      </w:pPr>
      <w:r>
        <w:rPr>
          <w:rFonts w:hint="eastAsia"/>
        </w:rPr>
        <w:t>限界宽度不应小于</w:t>
      </w:r>
      <w:r>
        <w:t>2.0</w:t>
      </w:r>
      <w:r>
        <w:rPr>
          <w:rFonts w:hint="eastAsia"/>
        </w:rPr>
        <w:t xml:space="preserve"> </w:t>
      </w:r>
      <w:r>
        <w:t>m，限界高度不应小于2.5</w:t>
      </w:r>
      <w:r>
        <w:rPr>
          <w:rFonts w:hint="eastAsia"/>
        </w:rPr>
        <w:t xml:space="preserve"> </w:t>
      </w:r>
      <w:r>
        <w:t>m</w:t>
      </w:r>
      <w:r>
        <w:rPr>
          <w:rFonts w:hint="eastAsia"/>
        </w:rPr>
        <w:t>；</w:t>
      </w:r>
    </w:p>
    <w:p>
      <w:pPr>
        <w:pStyle w:val="80"/>
        <w:numPr>
          <w:ilvl w:val="0"/>
          <w:numId w:val="12"/>
        </w:numPr>
      </w:pPr>
      <w:r>
        <w:rPr>
          <w:rFonts w:hint="eastAsia"/>
        </w:rPr>
        <w:t>设置间距宜为1</w:t>
      </w:r>
      <w:r>
        <w:t>00</w:t>
      </w:r>
      <w:r>
        <w:rPr>
          <w:rFonts w:hint="eastAsia"/>
        </w:rPr>
        <w:t xml:space="preserve"> m</w:t>
      </w:r>
      <w:r>
        <w:rPr>
          <w:rFonts w:ascii="Times New Roman"/>
        </w:rPr>
        <w:t>～</w:t>
      </w:r>
      <w:r>
        <w:t>150</w:t>
      </w:r>
      <w:r>
        <w:rPr>
          <w:rFonts w:hint="eastAsia"/>
        </w:rPr>
        <w:t xml:space="preserve"> </w:t>
      </w:r>
      <w:r>
        <w:t>m，并不应大于350</w:t>
      </w:r>
      <w:r>
        <w:rPr>
          <w:rFonts w:hint="eastAsia"/>
        </w:rPr>
        <w:t xml:space="preserve"> </w:t>
      </w:r>
      <w:r>
        <w:t>m。</w:t>
      </w:r>
    </w:p>
    <w:p>
      <w:pPr>
        <w:pStyle w:val="84"/>
      </w:pPr>
      <w:r>
        <w:rPr>
          <w:rFonts w:hint="eastAsia"/>
        </w:rPr>
        <w:t>长、特长隧道双向行车孔之间应设车行</w:t>
      </w:r>
      <w:r>
        <w:t>横通</w:t>
      </w:r>
      <w:r>
        <w:rPr>
          <w:rFonts w:hint="eastAsia"/>
        </w:rPr>
        <w:t>道，并符合下列规定：</w:t>
      </w:r>
    </w:p>
    <w:p>
      <w:pPr>
        <w:pStyle w:val="80"/>
        <w:numPr>
          <w:ilvl w:val="0"/>
          <w:numId w:val="13"/>
        </w:numPr>
      </w:pPr>
      <w:r>
        <w:t>限界宽度</w:t>
      </w:r>
      <w:r>
        <w:rPr>
          <w:rFonts w:hint="eastAsia"/>
        </w:rPr>
        <w:t>不应小于</w:t>
      </w:r>
      <w:r>
        <w:t>4.5</w:t>
      </w:r>
      <w:r>
        <w:rPr>
          <w:rFonts w:hint="eastAsia"/>
        </w:rPr>
        <w:t xml:space="preserve"> </w:t>
      </w:r>
      <w:r>
        <w:t>m，限界高度应与行车道限界高度一致</w:t>
      </w:r>
      <w:r>
        <w:rPr>
          <w:rFonts w:hint="eastAsia"/>
        </w:rPr>
        <w:t>；</w:t>
      </w:r>
    </w:p>
    <w:p>
      <w:pPr>
        <w:pStyle w:val="80"/>
        <w:numPr>
          <w:ilvl w:val="0"/>
          <w:numId w:val="13"/>
        </w:numPr>
      </w:pPr>
      <w:r>
        <w:t>设置间距宜为750</w:t>
      </w:r>
      <w:r>
        <w:rPr>
          <w:rFonts w:hint="eastAsia"/>
        </w:rPr>
        <w:t xml:space="preserve"> </w:t>
      </w:r>
      <w:r>
        <w:t>m，并不应大于1000</w:t>
      </w:r>
      <w:r>
        <w:rPr>
          <w:rFonts w:hint="eastAsia"/>
        </w:rPr>
        <w:t xml:space="preserve"> </w:t>
      </w:r>
      <w:r>
        <w:t>m；中、短隧道可不设。</w:t>
      </w:r>
    </w:p>
    <w:p>
      <w:pPr>
        <w:pStyle w:val="63"/>
        <w:spacing w:before="156" w:after="156"/>
      </w:pPr>
      <w:bookmarkStart w:id="54" w:name="_Toc154132509"/>
      <w:bookmarkStart w:id="55" w:name="_Toc154179481"/>
      <w:r>
        <w:rPr>
          <w:rFonts w:hint="eastAsia"/>
        </w:rPr>
        <w:t>设备用房</w:t>
      </w:r>
      <w:bookmarkEnd w:id="54"/>
      <w:bookmarkEnd w:id="55"/>
    </w:p>
    <w:p>
      <w:pPr>
        <w:spacing w:before="156" w:beforeLines="50"/>
        <w:ind w:firstLine="210" w:firstLineChars="100"/>
      </w:pPr>
      <w:r>
        <w:t>地下</w:t>
      </w:r>
      <w:r>
        <w:rPr>
          <w:rFonts w:hint="eastAsia"/>
        </w:rPr>
        <w:t>配电房、泵房、风机房等</w:t>
      </w:r>
      <w:r>
        <w:t>设备用房宜与</w:t>
      </w:r>
      <w:r>
        <w:rPr>
          <w:rFonts w:hint="eastAsia"/>
        </w:rPr>
        <w:t>隧道</w:t>
      </w:r>
      <w:r>
        <w:t>结构</w:t>
      </w:r>
      <w:r>
        <w:rPr>
          <w:rFonts w:hint="eastAsia"/>
        </w:rPr>
        <w:t>协同设计</w:t>
      </w:r>
      <w:r>
        <w:t>。</w:t>
      </w:r>
    </w:p>
    <w:p>
      <w:pPr>
        <w:pStyle w:val="66"/>
        <w:spacing w:before="312" w:after="312"/>
      </w:pPr>
      <w:bookmarkStart w:id="56" w:name="_Toc86655593"/>
      <w:bookmarkStart w:id="57" w:name="_Toc154179482"/>
      <w:bookmarkStart w:id="58" w:name="_Toc154132510"/>
      <w:r>
        <w:t>结构</w:t>
      </w:r>
      <w:bookmarkEnd w:id="56"/>
      <w:r>
        <w:rPr>
          <w:rFonts w:hint="eastAsia"/>
        </w:rPr>
        <w:t>与防水</w:t>
      </w:r>
      <w:bookmarkEnd w:id="57"/>
      <w:bookmarkEnd w:id="58"/>
    </w:p>
    <w:p>
      <w:pPr>
        <w:pStyle w:val="63"/>
        <w:spacing w:before="156" w:after="156"/>
      </w:pPr>
      <w:bookmarkStart w:id="59" w:name="_Toc154132511"/>
      <w:bookmarkStart w:id="60" w:name="_Toc154179483"/>
      <w:r>
        <w:rPr>
          <w:rFonts w:hint="eastAsia"/>
        </w:rPr>
        <w:t>一般规定</w:t>
      </w:r>
      <w:bookmarkEnd w:id="59"/>
      <w:bookmarkEnd w:id="60"/>
    </w:p>
    <w:p>
      <w:pPr>
        <w:pStyle w:val="84"/>
      </w:pPr>
      <w:bookmarkStart w:id="61" w:name="_Toc14102116"/>
      <w:r>
        <w:t>主体结构设计应根据</w:t>
      </w:r>
      <w:r>
        <w:rPr>
          <w:rFonts w:hint="eastAsia"/>
        </w:rPr>
        <w:t>地质条件、水文条件、地形地貌和</w:t>
      </w:r>
      <w:r>
        <w:t>环境</w:t>
      </w:r>
      <w:r>
        <w:rPr>
          <w:rFonts w:hint="eastAsia"/>
        </w:rPr>
        <w:t>保护等要求</w:t>
      </w:r>
      <w:r>
        <w:t>，</w:t>
      </w:r>
      <w:r>
        <w:rPr>
          <w:rFonts w:hint="eastAsia"/>
        </w:rPr>
        <w:t>结合隧道埋置深度，</w:t>
      </w:r>
      <w:r>
        <w:t>按照理论计算、工程类比相结合的</w:t>
      </w:r>
      <w:r>
        <w:rPr>
          <w:rFonts w:hint="eastAsia"/>
        </w:rPr>
        <w:t>方式</w:t>
      </w:r>
      <w:r>
        <w:t>选择结构型式。</w:t>
      </w:r>
    </w:p>
    <w:p>
      <w:pPr>
        <w:pStyle w:val="84"/>
      </w:pPr>
      <w:r>
        <w:t>主体结构设计宜采用以概率理论为基础、以分项系数表达的极限状态设计方法。主体结构承载能力极限状态和正常使用极限状态的计算或验算应符合GB 55001和JTG 2120的规定。</w:t>
      </w:r>
    </w:p>
    <w:p>
      <w:pPr>
        <w:pStyle w:val="84"/>
      </w:pPr>
      <w:r>
        <w:rPr>
          <w:rFonts w:hint="eastAsia"/>
        </w:rPr>
        <w:t>主体结构应</w:t>
      </w:r>
      <w:r>
        <w:t>采用现浇钢筋混凝土结构</w:t>
      </w:r>
      <w:r>
        <w:rPr>
          <w:rFonts w:hint="eastAsia"/>
        </w:rPr>
        <w:t>，设计使用年限不应低于</w:t>
      </w:r>
      <w:r>
        <w:t>100</w:t>
      </w:r>
      <w:r>
        <w:rPr>
          <w:rFonts w:hint="eastAsia"/>
        </w:rPr>
        <w:t>年，安全等级一级；</w:t>
      </w:r>
      <w:r>
        <w:t>可更换、修复构件可采用预制</w:t>
      </w:r>
      <w:r>
        <w:rPr>
          <w:rFonts w:hint="eastAsia"/>
        </w:rPr>
        <w:t>结构，设计使用年限不应低于</w:t>
      </w:r>
      <w:r>
        <w:t>30</w:t>
      </w:r>
      <w:r>
        <w:rPr>
          <w:rFonts w:hint="eastAsia"/>
        </w:rPr>
        <w:t>年</w:t>
      </w:r>
      <w:r>
        <w:t>。</w:t>
      </w:r>
    </w:p>
    <w:p>
      <w:pPr>
        <w:pStyle w:val="84"/>
      </w:pPr>
      <w:r>
        <w:t>主体结构设计应区分下列设计状况：</w:t>
      </w:r>
    </w:p>
    <w:p>
      <w:pPr>
        <w:pStyle w:val="80"/>
        <w:numPr>
          <w:ilvl w:val="0"/>
          <w:numId w:val="14"/>
        </w:numPr>
      </w:pPr>
      <w:r>
        <w:t>持久设计状况，适用于主体结构正常使用情况</w:t>
      </w:r>
      <w:r>
        <w:rPr>
          <w:rFonts w:hint="eastAsia"/>
        </w:rPr>
        <w:t>；</w:t>
      </w:r>
    </w:p>
    <w:p>
      <w:pPr>
        <w:pStyle w:val="80"/>
        <w:numPr>
          <w:ilvl w:val="0"/>
          <w:numId w:val="14"/>
        </w:numPr>
      </w:pPr>
      <w:r>
        <w:t>短暂设计状况，适用于主体结构施工和维修等临时情况</w:t>
      </w:r>
      <w:r>
        <w:rPr>
          <w:rFonts w:hint="eastAsia"/>
        </w:rPr>
        <w:t>；</w:t>
      </w:r>
    </w:p>
    <w:p>
      <w:pPr>
        <w:pStyle w:val="80"/>
        <w:numPr>
          <w:ilvl w:val="0"/>
          <w:numId w:val="14"/>
        </w:numPr>
      </w:pPr>
      <w:r>
        <w:t>偶然设计状况，适用于主体结构遭受沉船、锚击、火灾、爆炸、车辆撞击等异常情况</w:t>
      </w:r>
      <w:r>
        <w:rPr>
          <w:rFonts w:hint="eastAsia"/>
        </w:rPr>
        <w:t>；</w:t>
      </w:r>
    </w:p>
    <w:p>
      <w:pPr>
        <w:pStyle w:val="80"/>
        <w:numPr>
          <w:ilvl w:val="0"/>
          <w:numId w:val="14"/>
        </w:numPr>
      </w:pPr>
      <w:r>
        <w:t>地震设计状况，适用于主体结构遭受地震时的情况。</w:t>
      </w:r>
    </w:p>
    <w:p>
      <w:pPr>
        <w:pStyle w:val="84"/>
      </w:pPr>
      <w:r>
        <w:t>主体结构设计选定的设计状况，应涵盖施工和使用过程中的各种不利情况。各种设计状况均应进行承载能力极限状态设计</w:t>
      </w:r>
      <w:r>
        <w:rPr>
          <w:rFonts w:hint="eastAsia"/>
        </w:rPr>
        <w:t>，持久设计状况尚应进行正常使用极限状态设计</w:t>
      </w:r>
      <w:r>
        <w:t>。对每种设计状况，均应考虑各种不同的作用组合，以确定作用控制工况和最不利的效应设计值。</w:t>
      </w:r>
    </w:p>
    <w:p>
      <w:pPr>
        <w:pStyle w:val="84"/>
      </w:pPr>
      <w:r>
        <w:t>应同步进行预留预埋孔洞及构造设计，并合理考虑施工工艺等要求。</w:t>
      </w:r>
    </w:p>
    <w:bookmarkEnd w:id="61"/>
    <w:p>
      <w:pPr>
        <w:pStyle w:val="63"/>
        <w:spacing w:before="156" w:after="156"/>
      </w:pPr>
      <w:bookmarkStart w:id="62" w:name="_Toc154179484"/>
      <w:bookmarkStart w:id="63" w:name="_Toc95570165"/>
      <w:bookmarkStart w:id="64" w:name="_Toc154132512"/>
      <w:bookmarkStart w:id="65" w:name="_Toc86655596"/>
      <w:bookmarkStart w:id="66" w:name="_Toc14102117"/>
      <w:r>
        <w:rPr>
          <w:rFonts w:hint="eastAsia"/>
        </w:rPr>
        <w:t>结构计算</w:t>
      </w:r>
      <w:bookmarkEnd w:id="62"/>
      <w:bookmarkEnd w:id="63"/>
      <w:bookmarkEnd w:id="64"/>
    </w:p>
    <w:p>
      <w:pPr>
        <w:pStyle w:val="84"/>
      </w:pPr>
      <w:r>
        <w:t>主体结构</w:t>
      </w:r>
      <w:r>
        <w:rPr>
          <w:rFonts w:hint="eastAsia"/>
        </w:rPr>
        <w:t>内力和</w:t>
      </w:r>
      <w:r>
        <w:t>变形、裂缝</w:t>
      </w:r>
      <w:r>
        <w:rPr>
          <w:rFonts w:hint="eastAsia"/>
        </w:rPr>
        <w:t>等</w:t>
      </w:r>
      <w:r>
        <w:t>计算或验算</w:t>
      </w:r>
      <w:r>
        <w:rPr>
          <w:rFonts w:hint="eastAsia"/>
        </w:rPr>
        <w:t>及</w:t>
      </w:r>
      <w:r>
        <w:t>构造应</w:t>
      </w:r>
      <w:r>
        <w:rPr>
          <w:rFonts w:hint="eastAsia"/>
        </w:rPr>
        <w:t>符合GB 50010、</w:t>
      </w:r>
      <w:r>
        <w:t>JTG 2232</w:t>
      </w:r>
      <w:r>
        <w:rPr>
          <w:rFonts w:hint="eastAsia"/>
        </w:rPr>
        <w:t>及GB</w:t>
      </w:r>
      <w:r>
        <w:t>/</w:t>
      </w:r>
      <w:r>
        <w:rPr>
          <w:rFonts w:hint="eastAsia"/>
        </w:rPr>
        <w:t>T</w:t>
      </w:r>
      <w:r>
        <w:t xml:space="preserve"> 51336</w:t>
      </w:r>
      <w:r>
        <w:rPr>
          <w:rFonts w:hint="eastAsia"/>
        </w:rPr>
        <w:t>的</w:t>
      </w:r>
      <w:r>
        <w:t>规定</w:t>
      </w:r>
      <w:r>
        <w:rPr>
          <w:rFonts w:hint="eastAsia"/>
        </w:rPr>
        <w:t>。</w:t>
      </w:r>
    </w:p>
    <w:p>
      <w:pPr>
        <w:pStyle w:val="84"/>
      </w:pPr>
      <w:r>
        <w:rPr>
          <w:rFonts w:hint="eastAsia"/>
        </w:rPr>
        <w:t>横断面内力计算应根据覆土厚度、水位高度、地层情况、地面超载分布等因素分段进行计算，并符合下列规定：</w:t>
      </w:r>
    </w:p>
    <w:p>
      <w:pPr>
        <w:pStyle w:val="80"/>
        <w:numPr>
          <w:ilvl w:val="0"/>
          <w:numId w:val="15"/>
        </w:numPr>
      </w:pPr>
      <w:r>
        <w:t>采用荷载-结构法，以支承弹簧模拟基底反力或桩基</w:t>
      </w:r>
      <w:r>
        <w:rPr>
          <w:rFonts w:hint="eastAsia"/>
        </w:rPr>
        <w:t>；</w:t>
      </w:r>
    </w:p>
    <w:p>
      <w:pPr>
        <w:pStyle w:val="80"/>
        <w:numPr>
          <w:ilvl w:val="0"/>
          <w:numId w:val="15"/>
        </w:numPr>
      </w:pPr>
      <w:r>
        <w:t>按照围护结构与主体结构之间的构造形式和结合情况，选用与其受力特征相符的计算模型。</w:t>
      </w:r>
    </w:p>
    <w:p>
      <w:pPr>
        <w:pStyle w:val="84"/>
      </w:pPr>
      <w:r>
        <w:rPr>
          <w:rFonts w:hint="eastAsia"/>
        </w:rPr>
        <w:t>遇到下列情况时，宜按空间受力进行计算：</w:t>
      </w:r>
    </w:p>
    <w:p>
      <w:pPr>
        <w:pStyle w:val="80"/>
        <w:numPr>
          <w:ilvl w:val="0"/>
          <w:numId w:val="16"/>
        </w:numPr>
      </w:pPr>
      <w:r>
        <w:rPr>
          <w:rFonts w:hint="eastAsia"/>
        </w:rPr>
        <w:t>主体结构突变或荷载突变处；</w:t>
      </w:r>
    </w:p>
    <w:p>
      <w:pPr>
        <w:pStyle w:val="80"/>
        <w:numPr>
          <w:ilvl w:val="0"/>
          <w:numId w:val="16"/>
        </w:numPr>
      </w:pPr>
      <w:r>
        <w:rPr>
          <w:rFonts w:hint="eastAsia"/>
        </w:rPr>
        <w:t>与主体结构合设的附属设备用房处；</w:t>
      </w:r>
    </w:p>
    <w:p>
      <w:pPr>
        <w:pStyle w:val="80"/>
        <w:numPr>
          <w:ilvl w:val="0"/>
          <w:numId w:val="16"/>
        </w:numPr>
      </w:pPr>
      <w:r>
        <w:rPr>
          <w:rFonts w:hint="eastAsia"/>
        </w:rPr>
        <w:t>其他空间受力作用明显处。</w:t>
      </w:r>
    </w:p>
    <w:p>
      <w:pPr>
        <w:pStyle w:val="84"/>
      </w:pPr>
      <w:r>
        <w:rPr>
          <w:rFonts w:hint="eastAsia"/>
        </w:rPr>
        <w:t>风机等重大设备预埋件、尺寸较大的预留孔洞、壁龛等应进行局部结构计算。</w:t>
      </w:r>
    </w:p>
    <w:p>
      <w:pPr>
        <w:pStyle w:val="84"/>
      </w:pPr>
      <w:r>
        <w:rPr>
          <w:rFonts w:hint="eastAsia"/>
        </w:rPr>
        <w:t>主体结构、附属设备用房结构构件的最大挠度应按作用的准永久组合，并考虑长期作用的影响进行计算，其计算值不应超过表</w:t>
      </w:r>
      <w:r>
        <w:t>1</w:t>
      </w:r>
      <w:r>
        <w:rPr>
          <w:rFonts w:hint="eastAsia"/>
        </w:rPr>
        <w:t>规定的挠度限值。</w:t>
      </w:r>
      <w:r>
        <w:t>当</w:t>
      </w:r>
      <w:r>
        <w:rPr>
          <w:rFonts w:ascii="Times New Roman"/>
          <w:i/>
        </w:rPr>
        <w:t>L</w:t>
      </w:r>
      <w:r>
        <w:rPr>
          <w:rFonts w:ascii="Times New Roman"/>
          <w:vertAlign w:val="subscript"/>
        </w:rPr>
        <w:t>0</w:t>
      </w:r>
      <w:r>
        <w:rPr>
          <w:rFonts w:hAnsi="宋体"/>
        </w:rPr>
        <w:t>≥</w:t>
      </w:r>
      <w:r>
        <w:t>构件长度时，宜在构件制作时预先起拱，验算时可将计算所得的挠度值减去起拱值，但起拱度需在设计文件中明确。</w:t>
      </w:r>
    </w:p>
    <w:p>
      <w:pPr>
        <w:pStyle w:val="147"/>
        <w:spacing w:beforeLines="0" w:afterLines="0"/>
      </w:pPr>
      <w:r>
        <w:rPr>
          <w:rFonts w:hint="eastAsia"/>
        </w:rPr>
        <w:t>表</w:t>
      </w:r>
      <w:r>
        <w:t xml:space="preserve">1 </w:t>
      </w:r>
      <w:r>
        <w:rPr>
          <w:rFonts w:hint="eastAsia"/>
        </w:rPr>
        <w:t>隧道</w:t>
      </w:r>
      <w:r>
        <w:t>钢筋混凝土</w:t>
      </w:r>
      <w:r>
        <w:rPr>
          <w:rFonts w:hint="eastAsia"/>
        </w:rPr>
        <w:t>结构或</w:t>
      </w:r>
      <w:r>
        <w:t>构件挠度限值</w:t>
      </w:r>
    </w:p>
    <w:tbl>
      <w:tblPr>
        <w:tblStyle w:val="5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346"/>
        <w:gridCol w:w="2703"/>
        <w:gridCol w:w="152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0" w:hRule="atLeast"/>
          <w:tblHeader/>
          <w:jc w:val="center"/>
        </w:trPr>
        <w:tc>
          <w:tcPr>
            <w:tcW w:w="4205" w:type="pct"/>
            <w:gridSpan w:val="2"/>
          </w:tcPr>
          <w:p>
            <w:pPr>
              <w:pStyle w:val="168"/>
            </w:pPr>
            <w:r>
              <w:t>构件类型</w:t>
            </w:r>
          </w:p>
        </w:tc>
        <w:tc>
          <w:tcPr>
            <w:tcW w:w="795" w:type="pct"/>
          </w:tcPr>
          <w:p>
            <w:pPr>
              <w:pStyle w:val="168"/>
            </w:pPr>
            <w:r>
              <w:t>挠度限值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93" w:type="pct"/>
            <w:vMerge w:val="restart"/>
            <w:vAlign w:val="center"/>
          </w:tcPr>
          <w:p>
            <w:pPr>
              <w:pStyle w:val="142"/>
              <w:rPr>
                <w:rFonts w:hAnsi="宋体"/>
              </w:rPr>
            </w:pPr>
            <w:r>
              <w:rPr>
                <w:rFonts w:hAnsi="宋体"/>
              </w:rPr>
              <w:t>顶板（梁）、底板（梁）、楼板（梁）及楼梯构件等</w:t>
            </w:r>
          </w:p>
        </w:tc>
        <w:tc>
          <w:tcPr>
            <w:tcW w:w="1412" w:type="pct"/>
          </w:tcPr>
          <w:p>
            <w:pPr>
              <w:pStyle w:val="142"/>
              <w:ind w:left="0" w:firstLine="0"/>
              <w:jc w:val="center"/>
              <w:rPr>
                <w:rFonts w:hAnsi="宋体"/>
              </w:rPr>
            </w:pPr>
            <w:r>
              <w:rPr>
                <w:rFonts w:hAnsi="宋体"/>
              </w:rPr>
              <w:t>当</w:t>
            </w:r>
            <w:r>
              <w:rPr>
                <w:rFonts w:hAnsi="宋体"/>
                <w:i/>
              </w:rPr>
              <w:t>L</w:t>
            </w:r>
            <w:r>
              <w:rPr>
                <w:rFonts w:hAnsi="宋体"/>
                <w:vertAlign w:val="subscript"/>
              </w:rPr>
              <w:t>0</w:t>
            </w:r>
            <w:r>
              <w:rPr>
                <w:rFonts w:hint="eastAsia" w:hAnsi="宋体"/>
              </w:rPr>
              <w:t>≤</w:t>
            </w:r>
            <w:r>
              <w:rPr>
                <w:rFonts w:hAnsi="宋体"/>
              </w:rPr>
              <w:t>7m时</w:t>
            </w:r>
          </w:p>
        </w:tc>
        <w:tc>
          <w:tcPr>
            <w:tcW w:w="795" w:type="pct"/>
          </w:tcPr>
          <w:p>
            <w:pPr>
              <w:pStyle w:val="168"/>
            </w:pPr>
            <w:r>
              <w:rPr>
                <w:i/>
              </w:rPr>
              <w:t>L</w:t>
            </w:r>
            <w:r>
              <w:rPr>
                <w:vertAlign w:val="subscript"/>
              </w:rPr>
              <w:t>0</w:t>
            </w:r>
            <w:r>
              <w:t>/200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2793" w:type="pct"/>
            <w:vMerge w:val="continue"/>
          </w:tcPr>
          <w:p>
            <w:pPr>
              <w:pStyle w:val="168"/>
            </w:pPr>
          </w:p>
        </w:tc>
        <w:tc>
          <w:tcPr>
            <w:tcW w:w="1412" w:type="pct"/>
          </w:tcPr>
          <w:p>
            <w:pPr>
              <w:pStyle w:val="168"/>
            </w:pPr>
            <w:r>
              <w:t>当7m＜</w:t>
            </w:r>
            <w:r>
              <w:rPr>
                <w:i/>
              </w:rPr>
              <w:t>L</w:t>
            </w:r>
            <w:r>
              <w:rPr>
                <w:vertAlign w:val="subscript"/>
              </w:rPr>
              <w:t>0</w:t>
            </w:r>
            <w:r>
              <w:rPr>
                <w:rFonts w:hint="eastAsia"/>
              </w:rPr>
              <w:t>≤</w:t>
            </w:r>
            <w:r>
              <w:t>9m时</w:t>
            </w:r>
          </w:p>
        </w:tc>
        <w:tc>
          <w:tcPr>
            <w:tcW w:w="795" w:type="pct"/>
          </w:tcPr>
          <w:p>
            <w:pPr>
              <w:pStyle w:val="168"/>
            </w:pPr>
            <w:r>
              <w:rPr>
                <w:i/>
              </w:rPr>
              <w:t>L</w:t>
            </w:r>
            <w:r>
              <w:rPr>
                <w:vertAlign w:val="subscript"/>
              </w:rPr>
              <w:t>0</w:t>
            </w:r>
            <w:r>
              <w:t>/250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2793" w:type="pct"/>
            <w:vMerge w:val="continue"/>
            <w:tcBorders>
              <w:bottom w:val="single" w:color="auto" w:sz="12" w:space="0"/>
            </w:tcBorders>
          </w:tcPr>
          <w:p>
            <w:pPr>
              <w:pStyle w:val="168"/>
            </w:pPr>
          </w:p>
        </w:tc>
        <w:tc>
          <w:tcPr>
            <w:tcW w:w="1412" w:type="pct"/>
            <w:tcBorders>
              <w:bottom w:val="single" w:color="auto" w:sz="12" w:space="0"/>
            </w:tcBorders>
          </w:tcPr>
          <w:p>
            <w:pPr>
              <w:pStyle w:val="168"/>
            </w:pPr>
            <w:r>
              <w:t>当</w:t>
            </w:r>
            <w:r>
              <w:rPr>
                <w:i/>
              </w:rPr>
              <w:t>L</w:t>
            </w:r>
            <w:r>
              <w:rPr>
                <w:vertAlign w:val="subscript"/>
              </w:rPr>
              <w:t>0</w:t>
            </w:r>
            <w:r>
              <w:t>＞9m时</w:t>
            </w:r>
          </w:p>
        </w:tc>
        <w:tc>
          <w:tcPr>
            <w:tcW w:w="795" w:type="pct"/>
            <w:tcBorders>
              <w:bottom w:val="single" w:color="auto" w:sz="12" w:space="0"/>
            </w:tcBorders>
          </w:tcPr>
          <w:p>
            <w:pPr>
              <w:pStyle w:val="168"/>
            </w:pPr>
            <w:r>
              <w:rPr>
                <w:i/>
              </w:rPr>
              <w:t>L</w:t>
            </w:r>
            <w:r>
              <w:rPr>
                <w:vertAlign w:val="subscript"/>
              </w:rPr>
              <w:t>0</w:t>
            </w:r>
            <w:r>
              <w:t>/300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0" w:hRule="atLeast"/>
          <w:jc w:val="center"/>
        </w:trPr>
        <w:tc>
          <w:tcPr>
            <w:tcW w:w="5000" w:type="pct"/>
            <w:gridSpan w:val="3"/>
            <w:tcBorders>
              <w:top w:val="single" w:color="auto" w:sz="12" w:space="0"/>
              <w:bottom w:val="single" w:color="auto" w:sz="12" w:space="0"/>
            </w:tcBorders>
          </w:tcPr>
          <w:p>
            <w:pPr>
              <w:pStyle w:val="168"/>
              <w:ind w:firstLine="360" w:firstLineChars="200"/>
              <w:jc w:val="both"/>
              <w:rPr>
                <w:i/>
              </w:rPr>
            </w:pPr>
            <w:r>
              <w:rPr>
                <w:rFonts w:hint="eastAsia" w:ascii="黑体" w:hAnsi="黑体" w:eastAsia="黑体"/>
              </w:rPr>
              <w:t>注</w:t>
            </w:r>
            <w:r>
              <w:rPr>
                <w:rFonts w:hint="eastAsia"/>
              </w:rPr>
              <w:t>：</w:t>
            </w:r>
            <w:r>
              <w:rPr>
                <w:i/>
              </w:rPr>
              <w:t>L</w:t>
            </w:r>
            <w:r>
              <w:rPr>
                <w:vertAlign w:val="subscript"/>
              </w:rPr>
              <w:t>0</w:t>
            </w:r>
            <w:r>
              <w:rPr>
                <w:rFonts w:hint="eastAsia"/>
              </w:rPr>
              <w:t>为构件的计算跨度。</w:t>
            </w:r>
          </w:p>
        </w:tc>
      </w:tr>
    </w:tbl>
    <w:p>
      <w:pPr>
        <w:pStyle w:val="63"/>
        <w:spacing w:before="156" w:after="156"/>
      </w:pPr>
      <w:bookmarkStart w:id="67" w:name="_Toc154179485"/>
      <w:bookmarkStart w:id="68" w:name="_Toc154132513"/>
      <w:r>
        <w:rPr>
          <w:rFonts w:hint="eastAsia"/>
        </w:rPr>
        <w:t>结构抗浮设计</w:t>
      </w:r>
      <w:bookmarkEnd w:id="67"/>
      <w:bookmarkEnd w:id="68"/>
    </w:p>
    <w:p>
      <w:pPr>
        <w:pStyle w:val="160"/>
        <w:spacing w:before="156" w:after="156" w:line="240" w:lineRule="auto"/>
        <w:ind w:firstLine="210"/>
      </w:pPr>
      <w:r>
        <w:t xml:space="preserve">6.3.1 </w:t>
      </w:r>
      <w:r>
        <w:rPr>
          <w:rFonts w:hint="eastAsia"/>
        </w:rPr>
        <w:t>主体结构在施工和使用阶段应按式（</w:t>
      </w:r>
      <w:r>
        <w:t>1</w:t>
      </w:r>
      <w:r>
        <w:rPr>
          <w:rFonts w:hint="eastAsia"/>
        </w:rPr>
        <w:t>）和</w:t>
      </w:r>
      <w:r>
        <w:t>式</w:t>
      </w:r>
      <w:r>
        <w:rPr>
          <w:rFonts w:hint="eastAsia"/>
        </w:rPr>
        <w:t>（</w:t>
      </w:r>
      <w:r>
        <w:t>2</w:t>
      </w:r>
      <w:r>
        <w:rPr>
          <w:rFonts w:hint="eastAsia"/>
        </w:rPr>
        <w:t>）进行抗浮验算：</w:t>
      </w:r>
    </w:p>
    <w:p>
      <w:pPr>
        <w:pStyle w:val="315"/>
        <w:ind w:left="2692" w:leftChars="1282"/>
        <w:rPr>
          <w:rFonts w:ascii="宋体" w:hAnsi="宋体"/>
        </w:rPr>
      </w:pPr>
      <w:r>
        <w:rPr>
          <w:rFonts w:ascii="宋体" w:hAnsi="宋体"/>
          <w:position w:val="-30"/>
        </w:rPr>
        <w:object>
          <v:shape id="_x0000_i1025" o:spt="75" type="#_x0000_t75" style="height:34.5pt;width:73.5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rFonts w:ascii="宋体" w:hAnsi="宋体"/>
        </w:rPr>
        <w:t xml:space="preserve">                                 （1）</w:t>
      </w:r>
    </w:p>
    <w:p>
      <w:pPr>
        <w:pStyle w:val="315"/>
        <w:rPr>
          <w:rFonts w:ascii="宋体" w:hAnsi="宋体"/>
        </w:rPr>
      </w:pPr>
      <w:r>
        <w:rPr>
          <w:rFonts w:ascii="宋体" w:hAnsi="宋体"/>
          <w:position w:val="-12"/>
        </w:rPr>
        <w:object>
          <v:shape id="_x0000_i1026" o:spt="75" type="#_x0000_t75" style="height:18.75pt;width:55.5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rFonts w:ascii="宋体" w:hAnsi="宋体"/>
        </w:rPr>
        <w:t xml:space="preserve">                                  （2）</w:t>
      </w:r>
    </w:p>
    <w:p>
      <w:pPr>
        <w:ind w:firstLine="420" w:firstLineChars="200"/>
      </w:pPr>
      <w:r>
        <w:t>式中：</w:t>
      </w:r>
    </w:p>
    <w:p>
      <w:pPr>
        <w:ind w:firstLine="420" w:firstLineChars="200"/>
        <w:rPr>
          <w:rFonts w:ascii="宋体" w:hAnsi="宋体"/>
        </w:rPr>
      </w:pPr>
      <w:r>
        <w:rPr>
          <w:i/>
        </w:rPr>
        <w:t>F</w:t>
      </w:r>
      <w:r>
        <w:rPr>
          <w:vertAlign w:val="subscript"/>
        </w:rPr>
        <w:t>f</w:t>
      </w:r>
      <w:r>
        <w:t>——</w:t>
      </w:r>
      <w:r>
        <w:rPr>
          <w:rFonts w:ascii="宋体" w:hAnsi="宋体"/>
        </w:rPr>
        <w:t>浮力设计值（kN）；</w:t>
      </w:r>
    </w:p>
    <w:p>
      <w:pPr>
        <w:ind w:firstLine="420" w:firstLineChars="200"/>
        <w:rPr>
          <w:rFonts w:ascii="宋体" w:hAnsi="宋体"/>
        </w:rPr>
      </w:pPr>
      <w:r>
        <w:rPr>
          <w:i/>
        </w:rPr>
        <w:t>G</w:t>
      </w:r>
      <w:r>
        <w:rPr>
          <w:vertAlign w:val="subscript"/>
        </w:rPr>
        <w:t>k</w:t>
      </w:r>
      <w:r>
        <w:t>——</w:t>
      </w:r>
      <w:r>
        <w:rPr>
          <w:rFonts w:ascii="宋体" w:hAnsi="宋体"/>
        </w:rPr>
        <w:t>隧道自重及其上作用的永久作用标准值之和</w:t>
      </w:r>
      <w:r>
        <w:rPr>
          <w:rFonts w:hint="eastAsia" w:ascii="宋体" w:hAnsi="宋体"/>
        </w:rPr>
        <w:t>（kN）</w:t>
      </w:r>
      <w:r>
        <w:rPr>
          <w:rFonts w:ascii="宋体" w:hAnsi="宋体"/>
        </w:rPr>
        <w:t>，隧道排开水体积V范围内采用总重度，其余采用有效重度；</w:t>
      </w:r>
    </w:p>
    <w:p>
      <w:pPr>
        <w:ind w:firstLine="420" w:firstLineChars="200"/>
        <w:rPr>
          <w:rFonts w:ascii="宋体" w:hAnsi="宋体"/>
        </w:rPr>
      </w:pPr>
      <w:r>
        <w:rPr>
          <w:i/>
        </w:rPr>
        <w:t>γ</w:t>
      </w:r>
      <w:r>
        <w:rPr>
          <w:vertAlign w:val="subscript"/>
        </w:rPr>
        <w:t>f</w:t>
      </w:r>
      <w:r>
        <w:t>——抗</w:t>
      </w:r>
      <w:r>
        <w:rPr>
          <w:rFonts w:ascii="宋体" w:hAnsi="宋体"/>
        </w:rPr>
        <w:t>浮分项系数，施工阶段当底板泄水孔封堵后取为1.05；使用阶段不考虑结构与土体之间摩阻力时取为1.05，考虑结构与土体之间摩阻力时取为1.10；</w:t>
      </w:r>
    </w:p>
    <w:p>
      <w:pPr>
        <w:ind w:firstLine="420" w:firstLineChars="200"/>
      </w:pPr>
      <w:r>
        <w:rPr>
          <w:i/>
        </w:rPr>
        <w:t>n</w:t>
      </w:r>
      <w:r>
        <w:t>——抗拔桩数量；</w:t>
      </w:r>
    </w:p>
    <w:p>
      <w:pPr>
        <w:ind w:firstLine="420" w:firstLineChars="200"/>
      </w:pPr>
      <w:r>
        <w:rPr>
          <w:i/>
        </w:rPr>
        <w:t>R</w:t>
      </w:r>
      <w:r>
        <w:rPr>
          <w:vertAlign w:val="subscript"/>
        </w:rPr>
        <w:t>td</w:t>
      </w:r>
      <w:r>
        <w:t>——桩</w:t>
      </w:r>
      <w:r>
        <w:rPr>
          <w:rFonts w:hint="eastAsia"/>
        </w:rPr>
        <w:t>基</w:t>
      </w:r>
      <w:r>
        <w:t>抗拔承载力容许值；</w:t>
      </w:r>
    </w:p>
    <w:p>
      <w:pPr>
        <w:ind w:firstLine="420" w:firstLineChars="200"/>
        <w:rPr>
          <w:rFonts w:ascii="宋体" w:hAnsi="宋体"/>
        </w:rPr>
      </w:pPr>
      <w:r>
        <w:rPr>
          <w:i/>
        </w:rPr>
        <w:t>γ</w:t>
      </w:r>
      <w:r>
        <w:rPr>
          <w:vertAlign w:val="subscript"/>
        </w:rPr>
        <w:t>b</w:t>
      </w:r>
      <w:r>
        <w:t>——</w:t>
      </w:r>
      <w:r>
        <w:rPr>
          <w:rFonts w:ascii="宋体" w:hAnsi="宋体"/>
        </w:rPr>
        <w:t>浮力作用分项系数，施工阶段当底板设泄水孔时取为0，其余情况取为1.0；</w:t>
      </w:r>
    </w:p>
    <w:p>
      <w:pPr>
        <w:ind w:firstLine="420" w:firstLineChars="200"/>
      </w:pPr>
      <w:r>
        <w:rPr>
          <w:i/>
        </w:rPr>
        <w:t>γ</w:t>
      </w:r>
      <w:r>
        <w:rPr>
          <w:vertAlign w:val="subscript"/>
        </w:rPr>
        <w:t>w</w:t>
      </w:r>
      <w:r>
        <w:t>——水的重度；</w:t>
      </w:r>
    </w:p>
    <w:p>
      <w:pPr>
        <w:ind w:firstLine="420" w:firstLineChars="200"/>
      </w:pPr>
      <w:r>
        <w:rPr>
          <w:i/>
        </w:rPr>
        <w:t>V</w:t>
      </w:r>
      <w:r>
        <w:t>——</w:t>
      </w:r>
      <w:r>
        <w:rPr>
          <w:rFonts w:ascii="宋体" w:hAnsi="宋体"/>
        </w:rPr>
        <w:t>隧道排开水的体积（m</w:t>
      </w:r>
      <w:r>
        <w:rPr>
          <w:rFonts w:ascii="宋体" w:hAnsi="宋体"/>
          <w:vertAlign w:val="superscript"/>
        </w:rPr>
        <w:t>3</w:t>
      </w:r>
      <w:r>
        <w:rPr>
          <w:rFonts w:ascii="宋体" w:hAnsi="宋体"/>
        </w:rPr>
        <w:t>）。</w:t>
      </w:r>
    </w:p>
    <w:p>
      <w:pPr>
        <w:pStyle w:val="63"/>
        <w:spacing w:before="156" w:after="156"/>
      </w:pPr>
      <w:bookmarkStart w:id="69" w:name="_Toc154132514"/>
      <w:bookmarkStart w:id="70" w:name="_Toc95570166"/>
      <w:bookmarkStart w:id="71" w:name="_Toc154179486"/>
      <w:r>
        <w:t>结构</w:t>
      </w:r>
      <w:r>
        <w:rPr>
          <w:rFonts w:hint="eastAsia"/>
        </w:rPr>
        <w:t>构造</w:t>
      </w:r>
      <w:bookmarkEnd w:id="69"/>
      <w:bookmarkEnd w:id="70"/>
      <w:bookmarkEnd w:id="71"/>
    </w:p>
    <w:p>
      <w:pPr>
        <w:pStyle w:val="84"/>
      </w:pPr>
      <w:r>
        <w:rPr>
          <w:rFonts w:hint="eastAsia"/>
        </w:rPr>
        <w:t>根据隧道功能和受力要求，主体结构断面可采用</w:t>
      </w:r>
      <w:r>
        <w:t>矩形</w:t>
      </w:r>
      <w:r>
        <w:rPr>
          <w:rFonts w:hint="eastAsia"/>
        </w:rPr>
        <w:t>、</w:t>
      </w:r>
      <w:r>
        <w:t>折板拱</w:t>
      </w:r>
      <w:r>
        <w:rPr>
          <w:rFonts w:hint="eastAsia"/>
        </w:rPr>
        <w:t>或</w:t>
      </w:r>
      <w:r>
        <w:t>空箱</w:t>
      </w:r>
      <w:r>
        <w:rPr>
          <w:rFonts w:hint="eastAsia"/>
        </w:rPr>
        <w:t>等</w:t>
      </w:r>
      <w:r>
        <w:t>型式</w:t>
      </w:r>
      <w:r>
        <w:rPr>
          <w:rFonts w:hint="eastAsia"/>
        </w:rPr>
        <w:t>。</w:t>
      </w:r>
    </w:p>
    <w:p>
      <w:pPr>
        <w:pStyle w:val="84"/>
      </w:pPr>
      <w:r>
        <w:rPr>
          <w:rFonts w:hint="eastAsia"/>
        </w:rPr>
        <w:t>隧道敞开段主体结构端墙、侧墙高于地面部分应符合下列规定：</w:t>
      </w:r>
    </w:p>
    <w:p>
      <w:pPr>
        <w:pStyle w:val="80"/>
        <w:numPr>
          <w:ilvl w:val="0"/>
          <w:numId w:val="17"/>
        </w:numPr>
      </w:pPr>
      <w:r>
        <w:t>端墙、侧墙出地面高度应满足防洪要求和防水层设置要求，墙顶高于设计洪水位不宜小于0.5m</w:t>
      </w:r>
      <w:r>
        <w:rPr>
          <w:rFonts w:hint="eastAsia"/>
        </w:rPr>
        <w:t>；</w:t>
      </w:r>
    </w:p>
    <w:p>
      <w:pPr>
        <w:pStyle w:val="80"/>
        <w:numPr>
          <w:ilvl w:val="0"/>
          <w:numId w:val="17"/>
        </w:numPr>
      </w:pPr>
      <w:r>
        <w:t>当端墙、侧墙外侧设有道路时，端墙、侧墙高于地面部分应满足防撞要求</w:t>
      </w:r>
      <w:r>
        <w:rPr>
          <w:rFonts w:hint="eastAsia"/>
        </w:rPr>
        <w:t>；</w:t>
      </w:r>
    </w:p>
    <w:p>
      <w:pPr>
        <w:pStyle w:val="80"/>
        <w:numPr>
          <w:ilvl w:val="0"/>
          <w:numId w:val="17"/>
        </w:numPr>
      </w:pPr>
      <w:r>
        <w:t>端墙、侧墙出地面高度应满足防坠落要求，高度</w:t>
      </w:r>
      <w:r>
        <w:rPr>
          <w:rFonts w:hint="eastAsia"/>
        </w:rPr>
        <w:t>值</w:t>
      </w:r>
      <w:r>
        <w:t>不应低于1.1</w:t>
      </w:r>
      <w:r>
        <w:rPr>
          <w:rFonts w:hint="eastAsia"/>
        </w:rPr>
        <w:t xml:space="preserve"> </w:t>
      </w:r>
      <w:r>
        <w:t>m。</w:t>
      </w:r>
    </w:p>
    <w:p>
      <w:pPr>
        <w:pStyle w:val="84"/>
      </w:pPr>
      <w:r>
        <w:rPr>
          <w:rFonts w:hint="eastAsia"/>
        </w:rPr>
        <w:t>主体结构变形缝设置应符合下列规定：</w:t>
      </w:r>
    </w:p>
    <w:p>
      <w:pPr>
        <w:pStyle w:val="80"/>
        <w:numPr>
          <w:ilvl w:val="0"/>
          <w:numId w:val="18"/>
        </w:numPr>
      </w:pPr>
      <w:r>
        <w:t>间距应根据地层条件、结构形式、荷载作用、材料性质和温度变化等因素</w:t>
      </w:r>
      <w:r>
        <w:rPr>
          <w:rFonts w:hint="eastAsia"/>
        </w:rPr>
        <w:t>综合</w:t>
      </w:r>
      <w:r>
        <w:t>确定</w:t>
      </w:r>
      <w:r>
        <w:rPr>
          <w:rFonts w:hint="eastAsia"/>
        </w:rPr>
        <w:t>；</w:t>
      </w:r>
    </w:p>
    <w:p>
      <w:pPr>
        <w:pStyle w:val="80"/>
        <w:numPr>
          <w:ilvl w:val="0"/>
          <w:numId w:val="18"/>
        </w:numPr>
      </w:pPr>
      <w:r>
        <w:t>应避开附属设备用房等</w:t>
      </w:r>
      <w:r>
        <w:rPr>
          <w:rFonts w:hint="eastAsia"/>
        </w:rPr>
        <w:t>结构断面形式发生变化的位置；</w:t>
      </w:r>
    </w:p>
    <w:p>
      <w:pPr>
        <w:pStyle w:val="80"/>
        <w:numPr>
          <w:ilvl w:val="0"/>
          <w:numId w:val="18"/>
        </w:numPr>
      </w:pPr>
      <w:r>
        <w:t>宜避开</w:t>
      </w:r>
      <w:r>
        <w:rPr>
          <w:rFonts w:hint="eastAsia"/>
        </w:rPr>
        <w:t>地层、</w:t>
      </w:r>
      <w:r>
        <w:t>荷载</w:t>
      </w:r>
      <w:r>
        <w:rPr>
          <w:rFonts w:hint="eastAsia"/>
        </w:rPr>
        <w:t>突变</w:t>
      </w:r>
      <w:r>
        <w:t>处。</w:t>
      </w:r>
    </w:p>
    <w:p>
      <w:pPr>
        <w:pStyle w:val="84"/>
      </w:pPr>
      <w:r>
        <w:rPr>
          <w:rFonts w:hint="eastAsia"/>
        </w:rPr>
        <w:t>应</w:t>
      </w:r>
      <w:r>
        <w:t>根据</w:t>
      </w:r>
      <w:r>
        <w:rPr>
          <w:rFonts w:hint="eastAsia"/>
        </w:rPr>
        <w:t>受力</w:t>
      </w:r>
      <w:r>
        <w:t>情况、施工工艺</w:t>
      </w:r>
      <w:r>
        <w:rPr>
          <w:rFonts w:hint="eastAsia"/>
        </w:rPr>
        <w:t>和工序</w:t>
      </w:r>
      <w:r>
        <w:t>、</w:t>
      </w:r>
      <w:r>
        <w:rPr>
          <w:rFonts w:hint="eastAsia"/>
        </w:rPr>
        <w:t>混凝土</w:t>
      </w:r>
      <w:r>
        <w:t>收缩</w:t>
      </w:r>
      <w:r>
        <w:rPr>
          <w:rFonts w:hint="eastAsia"/>
        </w:rPr>
        <w:t>、环境</w:t>
      </w:r>
      <w:r>
        <w:t>温度等设置主体</w:t>
      </w:r>
      <w:r>
        <w:rPr>
          <w:rFonts w:hint="eastAsia"/>
        </w:rPr>
        <w:t>结构</w:t>
      </w:r>
      <w:r>
        <w:t>施工缝。</w:t>
      </w:r>
    </w:p>
    <w:p>
      <w:pPr>
        <w:pStyle w:val="84"/>
      </w:pPr>
      <w:r>
        <w:rPr>
          <w:rFonts w:hint="eastAsia"/>
        </w:rPr>
        <w:t>钢筋</w:t>
      </w:r>
      <w:r>
        <w:t>的锚固</w:t>
      </w:r>
      <w:r>
        <w:rPr>
          <w:rFonts w:hint="eastAsia"/>
        </w:rPr>
        <w:t>与连接</w:t>
      </w:r>
      <w:r>
        <w:t>应</w:t>
      </w:r>
      <w:r>
        <w:rPr>
          <w:rFonts w:hint="eastAsia"/>
        </w:rPr>
        <w:t>符合</w:t>
      </w:r>
      <w:r>
        <w:t>GB 50010的有关</w:t>
      </w:r>
      <w:r>
        <w:rPr>
          <w:rFonts w:hint="eastAsia"/>
        </w:rPr>
        <w:t>规定，并应符合下列规定：</w:t>
      </w:r>
    </w:p>
    <w:p>
      <w:pPr>
        <w:pStyle w:val="80"/>
        <w:numPr>
          <w:ilvl w:val="0"/>
          <w:numId w:val="19"/>
        </w:numPr>
      </w:pPr>
      <w:r>
        <w:t>主体结构顶板与侧墙、底板与侧墙应互相锚固，</w:t>
      </w:r>
      <w:r>
        <w:rPr>
          <w:rFonts w:hint="eastAsia"/>
        </w:rPr>
        <w:t>隔墙主筋应锚入顶、底板，</w:t>
      </w:r>
      <w:r>
        <w:t>锚固长度不应小于抗震锚固长度</w:t>
      </w:r>
      <w:r>
        <w:rPr>
          <w:i/>
        </w:rPr>
        <w:t>L</w:t>
      </w:r>
      <w:r>
        <w:rPr>
          <w:vertAlign w:val="subscript"/>
        </w:rPr>
        <w:t>aE</w:t>
      </w:r>
      <w:r>
        <w:rPr>
          <w:rFonts w:hint="eastAsia"/>
        </w:rPr>
        <w:t>；</w:t>
      </w:r>
    </w:p>
    <w:p>
      <w:pPr>
        <w:pStyle w:val="80"/>
        <w:numPr>
          <w:ilvl w:val="0"/>
          <w:numId w:val="19"/>
        </w:numPr>
      </w:pPr>
      <w:r>
        <w:t>主体结构横向主筋宜采用机械连接或焊接。</w:t>
      </w:r>
    </w:p>
    <w:p>
      <w:pPr>
        <w:pStyle w:val="84"/>
      </w:pPr>
      <w:r>
        <w:rPr>
          <w:rFonts w:hint="eastAsia"/>
        </w:rPr>
        <w:t>主体结构按单向板计算时，板跨厚比不宜大于30。</w:t>
      </w:r>
    </w:p>
    <w:p>
      <w:pPr>
        <w:pStyle w:val="84"/>
      </w:pPr>
      <w:r>
        <w:rPr>
          <w:rFonts w:hint="eastAsia"/>
        </w:rPr>
        <w:t>主体结构</w:t>
      </w:r>
      <w:r>
        <w:t>板、墙宜采用双层双向配筋，</w:t>
      </w:r>
      <w:r>
        <w:rPr>
          <w:rFonts w:hint="eastAsia"/>
        </w:rPr>
        <w:t>隧道横向配筋率不宜小于0.2%，横向受拉侧</w:t>
      </w:r>
      <w:r>
        <w:t>配筋率不宜高于1.5%</w:t>
      </w:r>
      <w:r>
        <w:rPr>
          <w:rFonts w:hint="eastAsia"/>
        </w:rPr>
        <w:t>；隧道纵向分布钢筋配筋率不宜小于0.2%</w:t>
      </w:r>
      <w:r>
        <w:t>；当变形缝间距较大时，宜适当增加纵向配筋率；双层钢筋网之间宜采用拉结筋连接，拉结筋直径不宜小于8</w:t>
      </w:r>
      <w:r>
        <w:rPr>
          <w:rFonts w:hint="eastAsia"/>
        </w:rPr>
        <w:t xml:space="preserve"> </w:t>
      </w:r>
      <w:r>
        <w:t>mm，间距不宜大于500</w:t>
      </w:r>
      <w:r>
        <w:rPr>
          <w:rFonts w:hint="eastAsia"/>
        </w:rPr>
        <w:t xml:space="preserve"> </w:t>
      </w:r>
      <w:r>
        <w:t>mm。</w:t>
      </w:r>
    </w:p>
    <w:p>
      <w:pPr>
        <w:pStyle w:val="84"/>
      </w:pPr>
      <w:r>
        <w:t>混凝土板、墙上</w:t>
      </w:r>
      <w:r>
        <w:rPr>
          <w:rFonts w:hint="eastAsia"/>
        </w:rPr>
        <w:t>预留</w:t>
      </w:r>
      <w:r>
        <w:t>孔洞</w:t>
      </w:r>
      <w:r>
        <w:rPr>
          <w:rFonts w:hint="eastAsia"/>
        </w:rPr>
        <w:t>或壁龛应根据孔洞或壁龛的形状和大小进行补强设计，补强构造应符合国家建筑标准设计图集《混凝土结构施工图平面整体表示方法制图规则和构造详图》（</w:t>
      </w:r>
      <w:r>
        <w:t>22G101</w:t>
      </w:r>
      <w:r>
        <w:rPr>
          <w:rFonts w:hint="eastAsia"/>
        </w:rPr>
        <w:t>）的有关规定。</w:t>
      </w:r>
    </w:p>
    <w:p>
      <w:pPr>
        <w:pStyle w:val="63"/>
        <w:spacing w:before="156" w:after="156"/>
      </w:pPr>
      <w:bookmarkStart w:id="72" w:name="_Toc154179487"/>
      <w:bookmarkStart w:id="73" w:name="_Toc154132515"/>
      <w:r>
        <w:rPr>
          <w:rFonts w:hint="eastAsia"/>
        </w:rPr>
        <w:t>防水与耐久性设计</w:t>
      </w:r>
      <w:bookmarkEnd w:id="72"/>
      <w:bookmarkEnd w:id="73"/>
    </w:p>
    <w:p>
      <w:pPr>
        <w:pStyle w:val="84"/>
      </w:pPr>
      <w:r>
        <w:rPr>
          <w:rFonts w:hint="eastAsia"/>
        </w:rPr>
        <w:t>隧道工程防水等级应为一级。</w:t>
      </w:r>
    </w:p>
    <w:p>
      <w:pPr>
        <w:pStyle w:val="84"/>
      </w:pPr>
      <w:r>
        <w:rPr>
          <w:rFonts w:hint="eastAsia"/>
        </w:rPr>
        <w:t>主体结构应采用防水混凝土，抗渗等级不低于P</w:t>
      </w:r>
      <w:r>
        <w:t>8</w:t>
      </w:r>
      <w:r>
        <w:rPr>
          <w:rFonts w:hint="eastAsia"/>
        </w:rPr>
        <w:t>，并应采取减少开裂的技术措施。</w:t>
      </w:r>
    </w:p>
    <w:p>
      <w:pPr>
        <w:pStyle w:val="84"/>
      </w:pPr>
      <w:r>
        <w:rPr>
          <w:rFonts w:hint="eastAsia"/>
        </w:rPr>
        <w:t>主体结构及接缝防水设防措施应按表2选用。</w:t>
      </w:r>
    </w:p>
    <w:p>
      <w:pPr>
        <w:pStyle w:val="147"/>
        <w:spacing w:before="156" w:after="156"/>
      </w:pPr>
      <w:r>
        <w:t xml:space="preserve">表2 </w:t>
      </w:r>
      <w:r>
        <w:rPr>
          <w:rFonts w:hint="eastAsia"/>
        </w:rPr>
        <w:t>主体</w:t>
      </w:r>
      <w:r>
        <w:t>结构</w:t>
      </w:r>
      <w:r>
        <w:rPr>
          <w:rFonts w:hint="eastAsia"/>
        </w:rPr>
        <w:t>及接缝防水设防要求</w:t>
      </w:r>
    </w:p>
    <w:tbl>
      <w:tblPr>
        <w:tblStyle w:val="5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5253"/>
        <w:gridCol w:w="1417"/>
        <w:gridCol w:w="152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717" w:type="pct"/>
            <w:vAlign w:val="center"/>
          </w:tcPr>
          <w:p>
            <w:pPr>
              <w:pStyle w:val="168"/>
            </w:pPr>
            <w:r>
              <w:t>工程部位</w:t>
            </w:r>
          </w:p>
        </w:tc>
        <w:tc>
          <w:tcPr>
            <w:tcW w:w="2744" w:type="pct"/>
            <w:vAlign w:val="center"/>
          </w:tcPr>
          <w:p>
            <w:pPr>
              <w:pStyle w:val="168"/>
            </w:pPr>
            <w:r>
              <w:t>防水措施</w:t>
            </w:r>
          </w:p>
        </w:tc>
        <w:tc>
          <w:tcPr>
            <w:tcW w:w="1539" w:type="pct"/>
            <w:gridSpan w:val="2"/>
            <w:vAlign w:val="center"/>
          </w:tcPr>
          <w:p>
            <w:pPr>
              <w:pStyle w:val="168"/>
            </w:pPr>
            <w:r>
              <w:t>设防要求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restart"/>
            <w:vAlign w:val="center"/>
          </w:tcPr>
          <w:p>
            <w:pPr>
              <w:pStyle w:val="168"/>
            </w:pPr>
            <w:r>
              <w:rPr>
                <w:rFonts w:hint="eastAsia"/>
              </w:rPr>
              <w:t>主体结构</w:t>
            </w:r>
          </w:p>
        </w:tc>
        <w:tc>
          <w:tcPr>
            <w:tcW w:w="2744" w:type="pct"/>
            <w:vAlign w:val="center"/>
          </w:tcPr>
          <w:p>
            <w:pPr>
              <w:pStyle w:val="168"/>
            </w:pPr>
            <w:r>
              <w:rPr>
                <w:rFonts w:hint="eastAsia"/>
              </w:rPr>
              <w:t>防水混凝土</w:t>
            </w:r>
          </w:p>
        </w:tc>
        <w:tc>
          <w:tcPr>
            <w:tcW w:w="740" w:type="pct"/>
            <w:vMerge w:val="restart"/>
            <w:vAlign w:val="center"/>
          </w:tcPr>
          <w:p>
            <w:pPr>
              <w:pStyle w:val="168"/>
            </w:pPr>
            <w:r>
              <w:rPr>
                <w:rFonts w:hint="eastAsia"/>
              </w:rPr>
              <w:t>不应少于3种</w:t>
            </w:r>
          </w:p>
        </w:tc>
        <w:tc>
          <w:tcPr>
            <w:tcW w:w="799" w:type="pct"/>
            <w:vAlign w:val="center"/>
          </w:tcPr>
          <w:p>
            <w:pPr>
              <w:pStyle w:val="168"/>
            </w:pPr>
            <w:r>
              <w:rPr>
                <w:rFonts w:hint="eastAsia"/>
              </w:rPr>
              <w:t>应选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continue"/>
            <w:vAlign w:val="center"/>
          </w:tcPr>
          <w:p>
            <w:pPr>
              <w:pStyle w:val="168"/>
            </w:pPr>
          </w:p>
        </w:tc>
        <w:tc>
          <w:tcPr>
            <w:tcW w:w="2744" w:type="pct"/>
            <w:vAlign w:val="center"/>
          </w:tcPr>
          <w:p>
            <w:pPr>
              <w:pStyle w:val="168"/>
            </w:pPr>
            <w:r>
              <w:rPr>
                <w:rFonts w:hint="eastAsia"/>
              </w:rPr>
              <w:t>防水卷材</w:t>
            </w:r>
          </w:p>
        </w:tc>
        <w:tc>
          <w:tcPr>
            <w:tcW w:w="740" w:type="pct"/>
            <w:vMerge w:val="continue"/>
            <w:vAlign w:val="center"/>
          </w:tcPr>
          <w:p>
            <w:pPr>
              <w:pStyle w:val="168"/>
            </w:pPr>
          </w:p>
        </w:tc>
        <w:tc>
          <w:tcPr>
            <w:tcW w:w="799" w:type="pct"/>
            <w:vMerge w:val="restart"/>
            <w:vAlign w:val="center"/>
          </w:tcPr>
          <w:p>
            <w:pPr>
              <w:pStyle w:val="168"/>
            </w:pPr>
            <w:r>
              <w:rPr>
                <w:rFonts w:hint="eastAsia"/>
              </w:rPr>
              <w:t>至少选1种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continue"/>
            <w:vAlign w:val="center"/>
          </w:tcPr>
          <w:p>
            <w:pPr>
              <w:pStyle w:val="168"/>
            </w:pPr>
          </w:p>
        </w:tc>
        <w:tc>
          <w:tcPr>
            <w:tcW w:w="2744" w:type="pct"/>
            <w:vAlign w:val="center"/>
          </w:tcPr>
          <w:p>
            <w:pPr>
              <w:pStyle w:val="168"/>
            </w:pPr>
            <w:r>
              <w:rPr>
                <w:rFonts w:hint="eastAsia"/>
              </w:rPr>
              <w:t>防水涂料</w:t>
            </w:r>
          </w:p>
        </w:tc>
        <w:tc>
          <w:tcPr>
            <w:tcW w:w="740" w:type="pct"/>
            <w:vMerge w:val="continue"/>
            <w:vAlign w:val="center"/>
          </w:tcPr>
          <w:p>
            <w:pPr>
              <w:pStyle w:val="168"/>
            </w:pPr>
          </w:p>
        </w:tc>
        <w:tc>
          <w:tcPr>
            <w:tcW w:w="799" w:type="pct"/>
            <w:vMerge w:val="continue"/>
            <w:vAlign w:val="center"/>
          </w:tcPr>
          <w:p>
            <w:pPr>
              <w:pStyle w:val="168"/>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continue"/>
            <w:vAlign w:val="center"/>
          </w:tcPr>
          <w:p>
            <w:pPr>
              <w:pStyle w:val="168"/>
            </w:pPr>
          </w:p>
        </w:tc>
        <w:tc>
          <w:tcPr>
            <w:tcW w:w="2744" w:type="pct"/>
            <w:vAlign w:val="center"/>
          </w:tcPr>
          <w:p>
            <w:pPr>
              <w:pStyle w:val="168"/>
            </w:pPr>
            <w:r>
              <w:rPr>
                <w:rFonts w:hint="eastAsia"/>
              </w:rPr>
              <w:t>水泥基防水材料（防水砂浆或外涂型水泥基渗透结晶防水材料）</w:t>
            </w:r>
          </w:p>
        </w:tc>
        <w:tc>
          <w:tcPr>
            <w:tcW w:w="740" w:type="pct"/>
            <w:vMerge w:val="continue"/>
            <w:vAlign w:val="center"/>
          </w:tcPr>
          <w:p>
            <w:pPr>
              <w:pStyle w:val="168"/>
            </w:pPr>
          </w:p>
        </w:tc>
        <w:tc>
          <w:tcPr>
            <w:tcW w:w="799" w:type="pct"/>
            <w:vAlign w:val="center"/>
          </w:tcPr>
          <w:p>
            <w:pPr>
              <w:pStyle w:val="168"/>
            </w:pPr>
            <w:r>
              <w:rPr>
                <w:rFonts w:hint="eastAsia"/>
              </w:rPr>
              <w:t>可选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restart"/>
            <w:vAlign w:val="center"/>
          </w:tcPr>
          <w:p>
            <w:pPr>
              <w:pStyle w:val="168"/>
            </w:pPr>
            <w:r>
              <w:t>施工缝</w:t>
            </w:r>
          </w:p>
        </w:tc>
        <w:tc>
          <w:tcPr>
            <w:tcW w:w="2744" w:type="pct"/>
            <w:vAlign w:val="center"/>
          </w:tcPr>
          <w:p>
            <w:pPr>
              <w:pStyle w:val="168"/>
            </w:pPr>
            <w:r>
              <w:rPr>
                <w:rFonts w:hint="eastAsia"/>
              </w:rPr>
              <w:t>中埋式止水带</w:t>
            </w:r>
          </w:p>
        </w:tc>
        <w:tc>
          <w:tcPr>
            <w:tcW w:w="740" w:type="pct"/>
            <w:vMerge w:val="restart"/>
            <w:vAlign w:val="center"/>
          </w:tcPr>
          <w:p>
            <w:pPr>
              <w:pStyle w:val="168"/>
            </w:pPr>
            <w:r>
              <w:rPr>
                <w:rFonts w:hint="eastAsia"/>
              </w:rPr>
              <w:t>不应少于</w:t>
            </w:r>
            <w:r>
              <w:t>2</w:t>
            </w:r>
            <w:r>
              <w:rPr>
                <w:rFonts w:hint="eastAsia"/>
              </w:rPr>
              <w:t>种</w:t>
            </w:r>
          </w:p>
        </w:tc>
        <w:tc>
          <w:tcPr>
            <w:tcW w:w="799" w:type="pct"/>
            <w:vAlign w:val="center"/>
          </w:tcPr>
          <w:p>
            <w:pPr>
              <w:pStyle w:val="168"/>
            </w:pPr>
            <w:r>
              <w:t>应选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continue"/>
            <w:vAlign w:val="center"/>
          </w:tcPr>
          <w:p>
            <w:pPr>
              <w:pStyle w:val="168"/>
            </w:pPr>
          </w:p>
        </w:tc>
        <w:tc>
          <w:tcPr>
            <w:tcW w:w="2744" w:type="pct"/>
            <w:vAlign w:val="center"/>
          </w:tcPr>
          <w:p>
            <w:pPr>
              <w:pStyle w:val="168"/>
            </w:pPr>
            <w:r>
              <w:t>遇水膨胀止水胶（条）</w:t>
            </w:r>
          </w:p>
        </w:tc>
        <w:tc>
          <w:tcPr>
            <w:tcW w:w="740" w:type="pct"/>
            <w:vMerge w:val="continue"/>
            <w:vAlign w:val="center"/>
          </w:tcPr>
          <w:p>
            <w:pPr>
              <w:pStyle w:val="168"/>
            </w:pPr>
          </w:p>
        </w:tc>
        <w:tc>
          <w:tcPr>
            <w:tcW w:w="799" w:type="pct"/>
            <w:vMerge w:val="restart"/>
            <w:vAlign w:val="center"/>
          </w:tcPr>
          <w:p>
            <w:pPr>
              <w:pStyle w:val="168"/>
            </w:pPr>
            <w:r>
              <w:rPr>
                <w:rFonts w:hint="eastAsia"/>
              </w:rPr>
              <w:t>宜选1种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continue"/>
            <w:vAlign w:val="center"/>
          </w:tcPr>
          <w:p>
            <w:pPr>
              <w:pStyle w:val="168"/>
            </w:pPr>
          </w:p>
        </w:tc>
        <w:tc>
          <w:tcPr>
            <w:tcW w:w="2744" w:type="pct"/>
            <w:vAlign w:val="center"/>
          </w:tcPr>
          <w:p>
            <w:pPr>
              <w:pStyle w:val="168"/>
            </w:pPr>
            <w:r>
              <w:t>预埋注浆管</w:t>
            </w:r>
          </w:p>
        </w:tc>
        <w:tc>
          <w:tcPr>
            <w:tcW w:w="740" w:type="pct"/>
            <w:vMerge w:val="continue"/>
            <w:vAlign w:val="center"/>
          </w:tcPr>
          <w:p>
            <w:pPr>
              <w:pStyle w:val="168"/>
            </w:pPr>
          </w:p>
        </w:tc>
        <w:tc>
          <w:tcPr>
            <w:tcW w:w="799" w:type="pct"/>
            <w:vMerge w:val="continue"/>
            <w:vAlign w:val="center"/>
          </w:tcPr>
          <w:p>
            <w:pPr>
              <w:pStyle w:val="168"/>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continue"/>
            <w:vAlign w:val="center"/>
          </w:tcPr>
          <w:p>
            <w:pPr>
              <w:pStyle w:val="168"/>
            </w:pPr>
          </w:p>
        </w:tc>
        <w:tc>
          <w:tcPr>
            <w:tcW w:w="2744" w:type="pct"/>
            <w:vAlign w:val="center"/>
          </w:tcPr>
          <w:p>
            <w:pPr>
              <w:pStyle w:val="168"/>
            </w:pPr>
            <w:r>
              <w:rPr>
                <w:rFonts w:hint="eastAsia"/>
              </w:rPr>
              <w:t>混凝土界面处理剂或外涂型</w:t>
            </w:r>
            <w:r>
              <w:t>水泥基渗透结晶型防水涂料</w:t>
            </w:r>
          </w:p>
        </w:tc>
        <w:tc>
          <w:tcPr>
            <w:tcW w:w="740" w:type="pct"/>
            <w:vMerge w:val="continue"/>
            <w:vAlign w:val="center"/>
          </w:tcPr>
          <w:p>
            <w:pPr>
              <w:pStyle w:val="168"/>
            </w:pPr>
          </w:p>
        </w:tc>
        <w:tc>
          <w:tcPr>
            <w:tcW w:w="799" w:type="pct"/>
            <w:vMerge w:val="restart"/>
            <w:vAlign w:val="center"/>
          </w:tcPr>
          <w:p>
            <w:pPr>
              <w:pStyle w:val="168"/>
            </w:pPr>
            <w:r>
              <w:rPr>
                <w:rFonts w:hint="eastAsia"/>
              </w:rPr>
              <w:t>可选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continue"/>
            <w:vAlign w:val="center"/>
          </w:tcPr>
          <w:p>
            <w:pPr>
              <w:pStyle w:val="168"/>
            </w:pPr>
          </w:p>
        </w:tc>
        <w:tc>
          <w:tcPr>
            <w:tcW w:w="2744" w:type="pct"/>
            <w:vAlign w:val="center"/>
          </w:tcPr>
          <w:p>
            <w:pPr>
              <w:pStyle w:val="168"/>
            </w:pPr>
            <w:r>
              <w:rPr>
                <w:rFonts w:hint="eastAsia"/>
              </w:rPr>
              <w:t>外贴式止水带</w:t>
            </w:r>
          </w:p>
        </w:tc>
        <w:tc>
          <w:tcPr>
            <w:tcW w:w="740" w:type="pct"/>
            <w:vMerge w:val="continue"/>
            <w:vAlign w:val="center"/>
          </w:tcPr>
          <w:p>
            <w:pPr>
              <w:pStyle w:val="168"/>
            </w:pPr>
          </w:p>
        </w:tc>
        <w:tc>
          <w:tcPr>
            <w:tcW w:w="799" w:type="pct"/>
            <w:vMerge w:val="continue"/>
            <w:vAlign w:val="center"/>
          </w:tcPr>
          <w:p>
            <w:pPr>
              <w:pStyle w:val="168"/>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restart"/>
            <w:vAlign w:val="center"/>
          </w:tcPr>
          <w:p>
            <w:pPr>
              <w:pStyle w:val="168"/>
            </w:pPr>
            <w:r>
              <w:t>后浇带</w:t>
            </w:r>
          </w:p>
        </w:tc>
        <w:tc>
          <w:tcPr>
            <w:tcW w:w="2744" w:type="pct"/>
            <w:vAlign w:val="center"/>
          </w:tcPr>
          <w:p>
            <w:pPr>
              <w:pStyle w:val="168"/>
            </w:pPr>
            <w:r>
              <w:t>补偿收缩混凝土</w:t>
            </w:r>
          </w:p>
        </w:tc>
        <w:tc>
          <w:tcPr>
            <w:tcW w:w="740" w:type="pct"/>
            <w:vMerge w:val="restart"/>
            <w:vAlign w:val="center"/>
          </w:tcPr>
          <w:p>
            <w:pPr>
              <w:pStyle w:val="168"/>
            </w:pPr>
            <w:r>
              <w:rPr>
                <w:rFonts w:hint="eastAsia"/>
              </w:rPr>
              <w:t>不应少于</w:t>
            </w:r>
            <w:r>
              <w:t>2</w:t>
            </w:r>
            <w:r>
              <w:rPr>
                <w:rFonts w:hint="eastAsia"/>
              </w:rPr>
              <w:t>种</w:t>
            </w:r>
          </w:p>
        </w:tc>
        <w:tc>
          <w:tcPr>
            <w:tcW w:w="799" w:type="pct"/>
            <w:vAlign w:val="center"/>
          </w:tcPr>
          <w:p>
            <w:pPr>
              <w:pStyle w:val="168"/>
            </w:pPr>
            <w:r>
              <w:t>应选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continue"/>
            <w:vAlign w:val="center"/>
          </w:tcPr>
          <w:p>
            <w:pPr>
              <w:pStyle w:val="168"/>
            </w:pPr>
          </w:p>
        </w:tc>
        <w:tc>
          <w:tcPr>
            <w:tcW w:w="2744" w:type="pct"/>
            <w:vAlign w:val="center"/>
          </w:tcPr>
          <w:p>
            <w:pPr>
              <w:pStyle w:val="168"/>
            </w:pPr>
            <w:r>
              <w:rPr>
                <w:rFonts w:hint="eastAsia"/>
              </w:rPr>
              <w:t>中埋式止水带</w:t>
            </w:r>
          </w:p>
        </w:tc>
        <w:tc>
          <w:tcPr>
            <w:tcW w:w="740" w:type="pct"/>
            <w:vMerge w:val="continue"/>
            <w:shd w:val="clear" w:color="auto" w:fill="auto"/>
            <w:vAlign w:val="center"/>
          </w:tcPr>
          <w:p>
            <w:pPr>
              <w:pStyle w:val="168"/>
            </w:pPr>
          </w:p>
        </w:tc>
        <w:tc>
          <w:tcPr>
            <w:tcW w:w="799" w:type="pct"/>
            <w:vMerge w:val="restart"/>
            <w:vAlign w:val="center"/>
          </w:tcPr>
          <w:p>
            <w:pPr>
              <w:pStyle w:val="168"/>
            </w:pPr>
            <w:r>
              <w:rPr>
                <w:rFonts w:hint="eastAsia"/>
              </w:rPr>
              <w:t>宜</w:t>
            </w:r>
            <w:r>
              <w:t>选</w:t>
            </w:r>
            <w:r>
              <w:rPr>
                <w:rFonts w:hint="eastAsia"/>
              </w:rPr>
              <w:t>1</w:t>
            </w:r>
            <w:r>
              <w:t>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continue"/>
            <w:vAlign w:val="center"/>
          </w:tcPr>
          <w:p>
            <w:pPr>
              <w:pStyle w:val="168"/>
            </w:pPr>
          </w:p>
        </w:tc>
        <w:tc>
          <w:tcPr>
            <w:tcW w:w="2744" w:type="pct"/>
            <w:vAlign w:val="center"/>
          </w:tcPr>
          <w:p>
            <w:pPr>
              <w:pStyle w:val="168"/>
            </w:pPr>
            <w:r>
              <w:rPr>
                <w:rFonts w:hint="eastAsia"/>
              </w:rPr>
              <w:t>外贴式止水带</w:t>
            </w:r>
          </w:p>
        </w:tc>
        <w:tc>
          <w:tcPr>
            <w:tcW w:w="740" w:type="pct"/>
            <w:vMerge w:val="continue"/>
            <w:shd w:val="clear" w:color="auto" w:fill="auto"/>
            <w:vAlign w:val="center"/>
          </w:tcPr>
          <w:p>
            <w:pPr>
              <w:pStyle w:val="168"/>
            </w:pPr>
          </w:p>
        </w:tc>
        <w:tc>
          <w:tcPr>
            <w:tcW w:w="799" w:type="pct"/>
            <w:vMerge w:val="continue"/>
            <w:vAlign w:val="center"/>
          </w:tcPr>
          <w:p>
            <w:pPr>
              <w:pStyle w:val="168"/>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continue"/>
            <w:vAlign w:val="center"/>
          </w:tcPr>
          <w:p>
            <w:pPr>
              <w:pStyle w:val="168"/>
            </w:pPr>
          </w:p>
        </w:tc>
        <w:tc>
          <w:tcPr>
            <w:tcW w:w="2744" w:type="pct"/>
            <w:vAlign w:val="center"/>
          </w:tcPr>
          <w:p>
            <w:pPr>
              <w:pStyle w:val="168"/>
            </w:pPr>
            <w:r>
              <w:t>遇水膨胀止水胶（条）</w:t>
            </w:r>
          </w:p>
        </w:tc>
        <w:tc>
          <w:tcPr>
            <w:tcW w:w="740" w:type="pct"/>
            <w:vMerge w:val="continue"/>
            <w:shd w:val="clear" w:color="auto" w:fill="auto"/>
            <w:vAlign w:val="center"/>
          </w:tcPr>
          <w:p>
            <w:pPr>
              <w:pStyle w:val="168"/>
            </w:pPr>
          </w:p>
        </w:tc>
        <w:tc>
          <w:tcPr>
            <w:tcW w:w="799" w:type="pct"/>
            <w:vMerge w:val="restart"/>
            <w:vAlign w:val="center"/>
          </w:tcPr>
          <w:p>
            <w:pPr>
              <w:pStyle w:val="168"/>
            </w:pPr>
            <w:r>
              <w:rPr>
                <w:rFonts w:hint="eastAsia"/>
              </w:rPr>
              <w:t>可选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continue"/>
            <w:vAlign w:val="center"/>
          </w:tcPr>
          <w:p>
            <w:pPr>
              <w:pStyle w:val="168"/>
            </w:pPr>
          </w:p>
        </w:tc>
        <w:tc>
          <w:tcPr>
            <w:tcW w:w="2744" w:type="pct"/>
            <w:vAlign w:val="center"/>
          </w:tcPr>
          <w:p>
            <w:pPr>
              <w:pStyle w:val="168"/>
            </w:pPr>
            <w:r>
              <w:t>预埋注浆管</w:t>
            </w:r>
          </w:p>
        </w:tc>
        <w:tc>
          <w:tcPr>
            <w:tcW w:w="740" w:type="pct"/>
            <w:vMerge w:val="continue"/>
            <w:shd w:val="clear" w:color="auto" w:fill="auto"/>
            <w:vAlign w:val="center"/>
          </w:tcPr>
          <w:p>
            <w:pPr>
              <w:pStyle w:val="168"/>
            </w:pPr>
          </w:p>
        </w:tc>
        <w:tc>
          <w:tcPr>
            <w:tcW w:w="799" w:type="pct"/>
            <w:vMerge w:val="continue"/>
            <w:vAlign w:val="center"/>
          </w:tcPr>
          <w:p>
            <w:pPr>
              <w:pStyle w:val="168"/>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restart"/>
            <w:vAlign w:val="center"/>
          </w:tcPr>
          <w:p>
            <w:pPr>
              <w:pStyle w:val="168"/>
            </w:pPr>
            <w:r>
              <w:t>变形缝</w:t>
            </w:r>
          </w:p>
        </w:tc>
        <w:tc>
          <w:tcPr>
            <w:tcW w:w="2744" w:type="pct"/>
            <w:vAlign w:val="center"/>
          </w:tcPr>
          <w:p>
            <w:pPr>
              <w:pStyle w:val="168"/>
            </w:pPr>
            <w:r>
              <w:rPr>
                <w:rFonts w:hint="eastAsia"/>
              </w:rPr>
              <w:t>中埋式中孔型橡胶止水带</w:t>
            </w:r>
          </w:p>
        </w:tc>
        <w:tc>
          <w:tcPr>
            <w:tcW w:w="740" w:type="pct"/>
            <w:vMerge w:val="restart"/>
            <w:vAlign w:val="center"/>
          </w:tcPr>
          <w:p>
            <w:pPr>
              <w:pStyle w:val="168"/>
            </w:pPr>
            <w:r>
              <w:rPr>
                <w:rFonts w:hint="eastAsia"/>
              </w:rPr>
              <w:t>不应少于3种</w:t>
            </w:r>
          </w:p>
        </w:tc>
        <w:tc>
          <w:tcPr>
            <w:tcW w:w="799" w:type="pct"/>
            <w:vAlign w:val="center"/>
          </w:tcPr>
          <w:p>
            <w:pPr>
              <w:pStyle w:val="168"/>
            </w:pPr>
            <w:r>
              <w:t>应选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continue"/>
            <w:vAlign w:val="center"/>
          </w:tcPr>
          <w:p>
            <w:pPr>
              <w:pStyle w:val="168"/>
            </w:pPr>
          </w:p>
        </w:tc>
        <w:tc>
          <w:tcPr>
            <w:tcW w:w="2744" w:type="pct"/>
            <w:vAlign w:val="center"/>
          </w:tcPr>
          <w:p>
            <w:pPr>
              <w:pStyle w:val="168"/>
            </w:pPr>
            <w:r>
              <w:t>可卸式止水带</w:t>
            </w:r>
          </w:p>
        </w:tc>
        <w:tc>
          <w:tcPr>
            <w:tcW w:w="740" w:type="pct"/>
            <w:vMerge w:val="continue"/>
            <w:vAlign w:val="center"/>
          </w:tcPr>
          <w:p>
            <w:pPr>
              <w:pStyle w:val="168"/>
            </w:pPr>
          </w:p>
        </w:tc>
        <w:tc>
          <w:tcPr>
            <w:tcW w:w="799" w:type="pct"/>
            <w:vMerge w:val="restart"/>
            <w:vAlign w:val="center"/>
          </w:tcPr>
          <w:p>
            <w:pPr>
              <w:pStyle w:val="168"/>
            </w:pPr>
            <w:r>
              <w:rPr>
                <w:rFonts w:hint="eastAsia"/>
              </w:rPr>
              <w:t>至少</w:t>
            </w:r>
            <w:r>
              <w:t>选1种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continue"/>
            <w:vAlign w:val="center"/>
          </w:tcPr>
          <w:p>
            <w:pPr>
              <w:pStyle w:val="168"/>
            </w:pPr>
          </w:p>
        </w:tc>
        <w:tc>
          <w:tcPr>
            <w:tcW w:w="2744" w:type="pct"/>
            <w:vAlign w:val="center"/>
          </w:tcPr>
          <w:p>
            <w:pPr>
              <w:pStyle w:val="168"/>
            </w:pPr>
            <w:r>
              <w:t>外贴式</w:t>
            </w:r>
            <w:r>
              <w:rPr>
                <w:rFonts w:hint="eastAsia"/>
              </w:rPr>
              <w:t>中孔型</w:t>
            </w:r>
            <w:r>
              <w:t>止水带</w:t>
            </w:r>
          </w:p>
        </w:tc>
        <w:tc>
          <w:tcPr>
            <w:tcW w:w="740" w:type="pct"/>
            <w:vMerge w:val="continue"/>
            <w:vAlign w:val="center"/>
          </w:tcPr>
          <w:p>
            <w:pPr>
              <w:pStyle w:val="168"/>
            </w:pPr>
          </w:p>
        </w:tc>
        <w:tc>
          <w:tcPr>
            <w:tcW w:w="799" w:type="pct"/>
            <w:vMerge w:val="continue"/>
            <w:vAlign w:val="center"/>
          </w:tcPr>
          <w:p>
            <w:pPr>
              <w:pStyle w:val="168"/>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continue"/>
            <w:vAlign w:val="center"/>
          </w:tcPr>
          <w:p>
            <w:pPr>
              <w:pStyle w:val="168"/>
            </w:pPr>
          </w:p>
        </w:tc>
        <w:tc>
          <w:tcPr>
            <w:tcW w:w="2744" w:type="pct"/>
            <w:vAlign w:val="center"/>
          </w:tcPr>
          <w:p>
            <w:pPr>
              <w:pStyle w:val="168"/>
            </w:pPr>
            <w:r>
              <w:rPr>
                <w:rFonts w:hint="eastAsia"/>
              </w:rPr>
              <w:t>密封嵌缝材料</w:t>
            </w:r>
          </w:p>
        </w:tc>
        <w:tc>
          <w:tcPr>
            <w:tcW w:w="740" w:type="pct"/>
            <w:vMerge w:val="continue"/>
            <w:vAlign w:val="center"/>
          </w:tcPr>
          <w:p>
            <w:pPr>
              <w:pStyle w:val="168"/>
            </w:pPr>
          </w:p>
        </w:tc>
        <w:tc>
          <w:tcPr>
            <w:tcW w:w="799" w:type="pct"/>
            <w:vMerge w:val="continue"/>
            <w:vAlign w:val="center"/>
          </w:tcPr>
          <w:p>
            <w:pPr>
              <w:pStyle w:val="168"/>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continue"/>
            <w:vAlign w:val="center"/>
          </w:tcPr>
          <w:p>
            <w:pPr>
              <w:pStyle w:val="168"/>
            </w:pPr>
          </w:p>
        </w:tc>
        <w:tc>
          <w:tcPr>
            <w:tcW w:w="2744" w:type="pct"/>
            <w:vAlign w:val="center"/>
          </w:tcPr>
          <w:p>
            <w:pPr>
              <w:pStyle w:val="168"/>
            </w:pPr>
            <w:r>
              <w:rPr>
                <w:rFonts w:hint="eastAsia"/>
              </w:rPr>
              <w:t>外涂（加强）</w:t>
            </w:r>
            <w:r>
              <w:t>防水涂料</w:t>
            </w:r>
          </w:p>
        </w:tc>
        <w:tc>
          <w:tcPr>
            <w:tcW w:w="740" w:type="pct"/>
            <w:vMerge w:val="continue"/>
            <w:vAlign w:val="center"/>
          </w:tcPr>
          <w:p>
            <w:pPr>
              <w:pStyle w:val="168"/>
            </w:pPr>
          </w:p>
        </w:tc>
        <w:tc>
          <w:tcPr>
            <w:tcW w:w="799" w:type="pct"/>
            <w:vMerge w:val="restart"/>
            <w:vAlign w:val="center"/>
          </w:tcPr>
          <w:p>
            <w:pPr>
              <w:pStyle w:val="168"/>
            </w:pPr>
            <w:r>
              <w:rPr>
                <w:rFonts w:hint="eastAsia"/>
              </w:rPr>
              <w:t>宜</w:t>
            </w:r>
            <w:r>
              <w:t>选1种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7" w:type="pct"/>
            <w:vMerge w:val="continue"/>
            <w:tcBorders>
              <w:bottom w:val="single" w:color="auto" w:sz="12" w:space="0"/>
            </w:tcBorders>
            <w:vAlign w:val="center"/>
          </w:tcPr>
          <w:p>
            <w:pPr>
              <w:pStyle w:val="168"/>
            </w:pPr>
          </w:p>
        </w:tc>
        <w:tc>
          <w:tcPr>
            <w:tcW w:w="2744" w:type="pct"/>
            <w:tcBorders>
              <w:bottom w:val="single" w:color="auto" w:sz="12" w:space="0"/>
            </w:tcBorders>
            <w:vAlign w:val="center"/>
          </w:tcPr>
          <w:p>
            <w:pPr>
              <w:pStyle w:val="168"/>
            </w:pPr>
            <w:r>
              <w:rPr>
                <w:rFonts w:hint="eastAsia"/>
              </w:rPr>
              <w:t>外贴（加强）</w:t>
            </w:r>
            <w:r>
              <w:t>防水卷材</w:t>
            </w:r>
          </w:p>
        </w:tc>
        <w:tc>
          <w:tcPr>
            <w:tcW w:w="740" w:type="pct"/>
            <w:vMerge w:val="continue"/>
            <w:tcBorders>
              <w:bottom w:val="single" w:color="auto" w:sz="12" w:space="0"/>
            </w:tcBorders>
            <w:vAlign w:val="center"/>
          </w:tcPr>
          <w:p>
            <w:pPr>
              <w:pStyle w:val="168"/>
            </w:pPr>
          </w:p>
        </w:tc>
        <w:tc>
          <w:tcPr>
            <w:tcW w:w="799" w:type="pct"/>
            <w:vMerge w:val="continue"/>
            <w:tcBorders>
              <w:bottom w:val="single" w:color="auto" w:sz="12" w:space="0"/>
            </w:tcBorders>
            <w:vAlign w:val="center"/>
          </w:tcPr>
          <w:p>
            <w:pPr>
              <w:pStyle w:val="168"/>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4"/>
            <w:tcBorders>
              <w:top w:val="single" w:color="auto" w:sz="12" w:space="0"/>
              <w:bottom w:val="single" w:color="auto" w:sz="12" w:space="0"/>
            </w:tcBorders>
            <w:vAlign w:val="center"/>
          </w:tcPr>
          <w:p>
            <w:pPr>
              <w:ind w:firstLine="360" w:firstLineChars="200"/>
              <w:rPr>
                <w:rFonts w:ascii="宋体" w:hAnsi="宋体"/>
              </w:rPr>
            </w:pPr>
            <w:r>
              <w:rPr>
                <w:rFonts w:hint="eastAsia" w:ascii="黑体" w:hAnsi="黑体" w:eastAsia="黑体"/>
                <w:sz w:val="18"/>
              </w:rPr>
              <w:t>注：</w:t>
            </w:r>
            <w:r>
              <w:rPr>
                <w:rFonts w:hint="eastAsia" w:asciiTheme="minorEastAsia" w:hAnsiTheme="minorEastAsia" w:eastAsiaTheme="minorEastAsia"/>
                <w:sz w:val="18"/>
              </w:rPr>
              <w:t>采用双层防水涂料时，如双层涂料一次性涂刷成型，则视为1种防水设防。</w:t>
            </w:r>
          </w:p>
        </w:tc>
      </w:tr>
    </w:tbl>
    <w:p>
      <w:pPr>
        <w:pStyle w:val="84"/>
        <w:spacing w:before="78" w:after="78"/>
      </w:pPr>
      <w:r>
        <w:rPr>
          <w:rFonts w:hint="eastAsia"/>
        </w:rPr>
        <w:t>一般环境中，隧道结构最大裂缝宽度应符合表</w:t>
      </w:r>
      <w:r>
        <w:t>3</w:t>
      </w:r>
      <w:r>
        <w:rPr>
          <w:rFonts w:hint="eastAsia"/>
        </w:rPr>
        <w:t>的规定；近海或海洋氯化物环境中，隧道结构最大裂缝宽度应符合表</w:t>
      </w:r>
      <w:r>
        <w:t>4</w:t>
      </w:r>
      <w:r>
        <w:rPr>
          <w:rFonts w:hint="eastAsia"/>
        </w:rPr>
        <w:t>的规定。其他环境中最大裂缝宽度限值尚应符合JTG</w:t>
      </w:r>
      <w:r>
        <w:t>/</w:t>
      </w:r>
      <w:r>
        <w:rPr>
          <w:rFonts w:hint="eastAsia"/>
        </w:rPr>
        <w:t>T3310的有关规定。隧道结构最大裂缝宽度计算时，</w:t>
      </w:r>
      <w:r>
        <w:rPr>
          <w:rFonts w:hAnsi="宋体"/>
        </w:rPr>
        <w:t>当保护层的实际厚度</w:t>
      </w:r>
      <w:r>
        <w:rPr>
          <w:rFonts w:hint="eastAsia" w:hAnsi="宋体"/>
        </w:rPr>
        <w:t>大于</w:t>
      </w:r>
      <w:r>
        <w:rPr>
          <w:rFonts w:hAnsi="宋体"/>
        </w:rPr>
        <w:t>30</w:t>
      </w:r>
      <w:r>
        <w:rPr>
          <w:rFonts w:hint="eastAsia" w:hAnsi="宋体"/>
        </w:rPr>
        <w:t xml:space="preserve"> </w:t>
      </w:r>
      <w:r>
        <w:rPr>
          <w:rFonts w:hAnsi="宋体"/>
        </w:rPr>
        <w:t>mm时，</w:t>
      </w:r>
      <w:r>
        <w:rPr>
          <w:rFonts w:hint="eastAsia" w:hAnsi="宋体"/>
        </w:rPr>
        <w:t>保护层厚度</w:t>
      </w:r>
      <w:r>
        <w:rPr>
          <w:rFonts w:hAnsi="宋体"/>
        </w:rPr>
        <w:t>取30</w:t>
      </w:r>
      <w:r>
        <w:rPr>
          <w:rFonts w:hint="eastAsia" w:hAnsi="宋体"/>
        </w:rPr>
        <w:t xml:space="preserve"> </w:t>
      </w:r>
      <w:r>
        <w:rPr>
          <w:rFonts w:hAnsi="宋体"/>
        </w:rPr>
        <w:t>mm</w:t>
      </w:r>
      <w:r>
        <w:rPr>
          <w:rFonts w:hint="eastAsia" w:hAnsi="宋体"/>
        </w:rPr>
        <w:t>。</w:t>
      </w:r>
    </w:p>
    <w:p>
      <w:pPr>
        <w:pStyle w:val="147"/>
        <w:spacing w:before="156" w:after="156"/>
      </w:pPr>
    </w:p>
    <w:p>
      <w:pPr>
        <w:pStyle w:val="36"/>
      </w:pPr>
    </w:p>
    <w:p>
      <w:pPr>
        <w:pStyle w:val="36"/>
      </w:pPr>
    </w:p>
    <w:p>
      <w:pPr>
        <w:pStyle w:val="147"/>
        <w:spacing w:before="156" w:after="156"/>
      </w:pPr>
      <w:r>
        <w:rPr>
          <w:rFonts w:hint="eastAsia"/>
        </w:rPr>
        <w:t>表</w:t>
      </w:r>
      <w:r>
        <w:t xml:space="preserve">3 </w:t>
      </w:r>
      <w:r>
        <w:rPr>
          <w:rFonts w:hint="eastAsia"/>
        </w:rPr>
        <w:t>一般环境中钢筋混凝土构件的最大裂缝宽度限值</w:t>
      </w:r>
    </w:p>
    <w:tbl>
      <w:tblPr>
        <w:tblStyle w:val="50"/>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76"/>
        <w:gridCol w:w="3828"/>
        <w:gridCol w:w="33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tblHeader/>
          <w:jc w:val="center"/>
        </w:trPr>
        <w:tc>
          <w:tcPr>
            <w:tcW w:w="1241" w:type="pct"/>
            <w:tcBorders>
              <w:top w:val="single" w:color="auto" w:sz="12" w:space="0"/>
              <w:left w:val="single" w:color="auto" w:sz="12" w:space="0"/>
            </w:tcBorders>
            <w:vAlign w:val="center"/>
          </w:tcPr>
          <w:p>
            <w:pPr>
              <w:pStyle w:val="160"/>
              <w:spacing w:beforeLines="0" w:afterLines="0" w:line="240" w:lineRule="auto"/>
              <w:ind w:firstLine="0" w:firstLineChars="0"/>
              <w:jc w:val="center"/>
              <w:rPr>
                <w:rFonts w:ascii="宋体" w:hAnsi="宋体"/>
                <w:sz w:val="18"/>
              </w:rPr>
            </w:pPr>
            <w:r>
              <w:rPr>
                <w:rFonts w:ascii="宋体" w:hAnsi="宋体"/>
                <w:sz w:val="18"/>
              </w:rPr>
              <w:t>类别</w:t>
            </w:r>
          </w:p>
        </w:tc>
        <w:tc>
          <w:tcPr>
            <w:tcW w:w="2000" w:type="pct"/>
            <w:tcBorders>
              <w:top w:val="single" w:color="auto" w:sz="12" w:space="0"/>
            </w:tcBorders>
            <w:vAlign w:val="center"/>
          </w:tcPr>
          <w:p>
            <w:pPr>
              <w:pStyle w:val="160"/>
              <w:spacing w:beforeLines="0" w:afterLines="0" w:line="240" w:lineRule="auto"/>
              <w:ind w:firstLine="0" w:firstLineChars="0"/>
              <w:jc w:val="center"/>
              <w:rPr>
                <w:rFonts w:ascii="宋体" w:hAnsi="宋体"/>
                <w:sz w:val="18"/>
              </w:rPr>
            </w:pPr>
            <w:r>
              <w:rPr>
                <w:rFonts w:ascii="宋体" w:hAnsi="宋体"/>
                <w:sz w:val="18"/>
              </w:rPr>
              <w:t>部位</w:t>
            </w:r>
          </w:p>
        </w:tc>
        <w:tc>
          <w:tcPr>
            <w:tcW w:w="1759" w:type="pct"/>
            <w:tcBorders>
              <w:top w:val="single" w:color="auto" w:sz="12" w:space="0"/>
              <w:right w:val="single" w:color="auto" w:sz="12" w:space="0"/>
            </w:tcBorders>
            <w:vAlign w:val="center"/>
          </w:tcPr>
          <w:p>
            <w:pPr>
              <w:pStyle w:val="142"/>
              <w:ind w:left="0" w:firstLine="0"/>
              <w:jc w:val="center"/>
              <w:rPr>
                <w:rFonts w:hAnsi="宋体"/>
              </w:rPr>
            </w:pPr>
            <w:r>
              <w:rPr>
                <w:rFonts w:hAnsi="宋体"/>
              </w:rPr>
              <w:t>最大裂缝宽度</w:t>
            </w:r>
            <w:r>
              <w:rPr>
                <w:rFonts w:hint="eastAsia" w:hAnsi="宋体"/>
              </w:rPr>
              <w:t>限值（mm）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jc w:val="center"/>
        </w:trPr>
        <w:tc>
          <w:tcPr>
            <w:tcW w:w="1241" w:type="pct"/>
            <w:vMerge w:val="restart"/>
            <w:tcBorders>
              <w:left w:val="single" w:color="auto" w:sz="12" w:space="0"/>
            </w:tcBorders>
            <w:vAlign w:val="center"/>
          </w:tcPr>
          <w:p>
            <w:pPr>
              <w:pStyle w:val="160"/>
              <w:spacing w:beforeLines="0" w:afterLines="0" w:line="240" w:lineRule="auto"/>
              <w:ind w:firstLine="0" w:firstLineChars="0"/>
              <w:jc w:val="center"/>
              <w:rPr>
                <w:rFonts w:ascii="宋体" w:hAnsi="宋体"/>
                <w:sz w:val="18"/>
              </w:rPr>
            </w:pPr>
            <w:r>
              <w:rPr>
                <w:rFonts w:hint="eastAsia" w:ascii="宋体" w:hAnsi="宋体"/>
                <w:sz w:val="18"/>
              </w:rPr>
              <w:t>暗埋段</w:t>
            </w:r>
          </w:p>
        </w:tc>
        <w:tc>
          <w:tcPr>
            <w:tcW w:w="2000" w:type="pct"/>
            <w:vAlign w:val="center"/>
          </w:tcPr>
          <w:p>
            <w:pPr>
              <w:pStyle w:val="160"/>
              <w:spacing w:beforeLines="0" w:afterLines="0" w:line="240" w:lineRule="auto"/>
              <w:ind w:firstLine="0" w:firstLineChars="0"/>
              <w:jc w:val="center"/>
              <w:rPr>
                <w:rFonts w:ascii="宋体" w:hAnsi="宋体"/>
                <w:sz w:val="18"/>
              </w:rPr>
            </w:pPr>
            <w:r>
              <w:rPr>
                <w:rFonts w:ascii="宋体" w:hAnsi="宋体"/>
                <w:sz w:val="18"/>
              </w:rPr>
              <w:t>顶板、底板、侧墙</w:t>
            </w:r>
          </w:p>
        </w:tc>
        <w:tc>
          <w:tcPr>
            <w:tcW w:w="1759" w:type="pct"/>
            <w:tcBorders>
              <w:right w:val="single" w:color="auto" w:sz="12" w:space="0"/>
            </w:tcBorders>
            <w:vAlign w:val="center"/>
          </w:tcPr>
          <w:p>
            <w:pPr>
              <w:pStyle w:val="160"/>
              <w:spacing w:beforeLines="0" w:afterLines="0" w:line="240" w:lineRule="auto"/>
              <w:ind w:firstLine="0" w:firstLineChars="0"/>
              <w:jc w:val="center"/>
              <w:rPr>
                <w:rFonts w:ascii="宋体" w:hAnsi="宋体"/>
                <w:sz w:val="18"/>
              </w:rPr>
            </w:pPr>
            <w:r>
              <w:rPr>
                <w:rFonts w:ascii="宋体" w:hAnsi="宋体"/>
                <w:sz w:val="18"/>
              </w:rPr>
              <w:t>0.20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jc w:val="center"/>
        </w:trPr>
        <w:tc>
          <w:tcPr>
            <w:tcW w:w="1241" w:type="pct"/>
            <w:vMerge w:val="continue"/>
            <w:tcBorders>
              <w:left w:val="single" w:color="auto" w:sz="12" w:space="0"/>
            </w:tcBorders>
            <w:vAlign w:val="center"/>
          </w:tcPr>
          <w:p>
            <w:pPr>
              <w:pStyle w:val="160"/>
              <w:spacing w:beforeLines="0" w:afterLines="0" w:line="240" w:lineRule="auto"/>
              <w:ind w:firstLine="0" w:firstLineChars="0"/>
              <w:jc w:val="center"/>
              <w:rPr>
                <w:rFonts w:ascii="宋体" w:hAnsi="宋体"/>
                <w:sz w:val="18"/>
              </w:rPr>
            </w:pPr>
          </w:p>
        </w:tc>
        <w:tc>
          <w:tcPr>
            <w:tcW w:w="2000" w:type="pct"/>
            <w:vAlign w:val="center"/>
          </w:tcPr>
          <w:p>
            <w:pPr>
              <w:pStyle w:val="160"/>
              <w:spacing w:beforeLines="0" w:afterLines="0" w:line="240" w:lineRule="auto"/>
              <w:ind w:firstLine="0" w:firstLineChars="0"/>
              <w:jc w:val="center"/>
              <w:rPr>
                <w:rFonts w:ascii="宋体" w:hAnsi="宋体"/>
                <w:sz w:val="18"/>
              </w:rPr>
            </w:pPr>
            <w:r>
              <w:rPr>
                <w:rFonts w:ascii="宋体" w:hAnsi="宋体"/>
                <w:sz w:val="18"/>
              </w:rPr>
              <w:t>中隔墙、中板</w:t>
            </w:r>
          </w:p>
        </w:tc>
        <w:tc>
          <w:tcPr>
            <w:tcW w:w="1759" w:type="pct"/>
            <w:tcBorders>
              <w:right w:val="single" w:color="auto" w:sz="12" w:space="0"/>
            </w:tcBorders>
            <w:vAlign w:val="center"/>
          </w:tcPr>
          <w:p>
            <w:pPr>
              <w:pStyle w:val="160"/>
              <w:spacing w:beforeLines="0" w:afterLines="0" w:line="240" w:lineRule="auto"/>
              <w:ind w:firstLine="0" w:firstLineChars="0"/>
              <w:jc w:val="center"/>
              <w:rPr>
                <w:rFonts w:ascii="宋体" w:hAnsi="宋体"/>
                <w:sz w:val="18"/>
              </w:rPr>
            </w:pPr>
            <w:r>
              <w:rPr>
                <w:rFonts w:ascii="宋体" w:hAnsi="宋体"/>
                <w:sz w:val="18"/>
              </w:rPr>
              <w:t>0.30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jc w:val="center"/>
        </w:trPr>
        <w:tc>
          <w:tcPr>
            <w:tcW w:w="1241" w:type="pct"/>
            <w:tcBorders>
              <w:left w:val="single" w:color="auto" w:sz="12" w:space="0"/>
              <w:bottom w:val="single" w:color="000000" w:sz="4" w:space="0"/>
            </w:tcBorders>
            <w:vAlign w:val="center"/>
          </w:tcPr>
          <w:p>
            <w:pPr>
              <w:pStyle w:val="160"/>
              <w:spacing w:beforeLines="0" w:afterLines="0" w:line="240" w:lineRule="auto"/>
              <w:ind w:firstLine="0" w:firstLineChars="0"/>
              <w:jc w:val="center"/>
              <w:rPr>
                <w:rFonts w:ascii="宋体" w:hAnsi="宋体"/>
                <w:sz w:val="18"/>
              </w:rPr>
            </w:pPr>
            <w:r>
              <w:rPr>
                <w:rFonts w:hint="eastAsia" w:ascii="宋体" w:hAnsi="宋体"/>
                <w:sz w:val="18"/>
              </w:rPr>
              <w:t>敞开段</w:t>
            </w:r>
          </w:p>
        </w:tc>
        <w:tc>
          <w:tcPr>
            <w:tcW w:w="2000" w:type="pct"/>
            <w:tcBorders>
              <w:bottom w:val="single" w:color="000000" w:sz="4" w:space="0"/>
            </w:tcBorders>
            <w:vAlign w:val="center"/>
          </w:tcPr>
          <w:p>
            <w:pPr>
              <w:pStyle w:val="160"/>
              <w:spacing w:beforeLines="0" w:afterLines="0" w:line="240" w:lineRule="auto"/>
              <w:ind w:firstLine="0" w:firstLineChars="0"/>
              <w:jc w:val="center"/>
              <w:rPr>
                <w:rFonts w:ascii="宋体" w:hAnsi="宋体"/>
                <w:sz w:val="18"/>
              </w:rPr>
            </w:pPr>
            <w:r>
              <w:rPr>
                <w:rFonts w:ascii="宋体" w:hAnsi="宋体"/>
                <w:sz w:val="18"/>
              </w:rPr>
              <w:t>底板、侧墙</w:t>
            </w:r>
          </w:p>
        </w:tc>
        <w:tc>
          <w:tcPr>
            <w:tcW w:w="1759" w:type="pct"/>
            <w:tcBorders>
              <w:bottom w:val="single" w:color="000000" w:sz="4" w:space="0"/>
              <w:right w:val="single" w:color="auto" w:sz="12" w:space="0"/>
            </w:tcBorders>
            <w:vAlign w:val="center"/>
          </w:tcPr>
          <w:p>
            <w:pPr>
              <w:pStyle w:val="160"/>
              <w:spacing w:beforeLines="0" w:afterLines="0" w:line="240" w:lineRule="auto"/>
              <w:ind w:firstLine="0" w:firstLineChars="0"/>
              <w:jc w:val="center"/>
              <w:rPr>
                <w:rFonts w:ascii="宋体" w:hAnsi="宋体"/>
                <w:sz w:val="18"/>
              </w:rPr>
            </w:pPr>
            <w:r>
              <w:rPr>
                <w:rFonts w:ascii="宋体" w:hAnsi="宋体"/>
                <w:sz w:val="18"/>
              </w:rPr>
              <w:t>0.15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jc w:val="center"/>
        </w:trPr>
        <w:tc>
          <w:tcPr>
            <w:tcW w:w="3241" w:type="pct"/>
            <w:gridSpan w:val="2"/>
            <w:tcBorders>
              <w:left w:val="single" w:color="auto" w:sz="12" w:space="0"/>
              <w:bottom w:val="single" w:color="auto" w:sz="12" w:space="0"/>
            </w:tcBorders>
            <w:vAlign w:val="center"/>
          </w:tcPr>
          <w:p>
            <w:pPr>
              <w:pStyle w:val="160"/>
              <w:spacing w:beforeLines="0" w:afterLines="0" w:line="240" w:lineRule="auto"/>
              <w:ind w:firstLine="0" w:firstLineChars="0"/>
              <w:jc w:val="center"/>
              <w:rPr>
                <w:rFonts w:ascii="宋体" w:hAnsi="宋体"/>
                <w:sz w:val="18"/>
              </w:rPr>
            </w:pPr>
            <w:r>
              <w:rPr>
                <w:rFonts w:ascii="宋体" w:hAnsi="宋体"/>
                <w:sz w:val="18"/>
              </w:rPr>
              <w:t>其他构件</w:t>
            </w:r>
          </w:p>
        </w:tc>
        <w:tc>
          <w:tcPr>
            <w:tcW w:w="1759" w:type="pct"/>
            <w:tcBorders>
              <w:bottom w:val="single" w:color="auto" w:sz="12" w:space="0"/>
              <w:right w:val="single" w:color="auto" w:sz="12" w:space="0"/>
            </w:tcBorders>
            <w:vAlign w:val="center"/>
          </w:tcPr>
          <w:p>
            <w:pPr>
              <w:pStyle w:val="160"/>
              <w:spacing w:beforeLines="0" w:afterLines="0" w:line="240" w:lineRule="auto"/>
              <w:ind w:firstLine="0" w:firstLineChars="0"/>
              <w:jc w:val="center"/>
              <w:rPr>
                <w:rFonts w:ascii="宋体" w:hAnsi="宋体"/>
                <w:sz w:val="18"/>
              </w:rPr>
            </w:pPr>
            <w:r>
              <w:rPr>
                <w:rFonts w:ascii="宋体" w:hAnsi="宋体"/>
                <w:sz w:val="18"/>
              </w:rPr>
              <w:t>0.30</w:t>
            </w:r>
          </w:p>
        </w:tc>
      </w:tr>
    </w:tbl>
    <w:p>
      <w:pPr>
        <w:pStyle w:val="147"/>
        <w:spacing w:before="156" w:after="156"/>
      </w:pPr>
      <w:r>
        <w:rPr>
          <w:rFonts w:hint="eastAsia"/>
        </w:rPr>
        <w:t>表</w:t>
      </w:r>
      <w:r>
        <w:t xml:space="preserve">4 </w:t>
      </w:r>
      <w:r>
        <w:rPr>
          <w:rFonts w:hint="eastAsia"/>
        </w:rPr>
        <w:t>近海或海洋氯化物环境中钢筋混凝土构件的最大裂缝宽度限值</w:t>
      </w:r>
    </w:p>
    <w:tbl>
      <w:tblPr>
        <w:tblStyle w:val="50"/>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76"/>
        <w:gridCol w:w="3828"/>
        <w:gridCol w:w="33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tblHeader/>
          <w:jc w:val="center"/>
        </w:trPr>
        <w:tc>
          <w:tcPr>
            <w:tcW w:w="1241" w:type="pct"/>
            <w:tcBorders>
              <w:top w:val="single" w:color="auto" w:sz="12" w:space="0"/>
              <w:left w:val="single" w:color="auto" w:sz="12" w:space="0"/>
            </w:tcBorders>
            <w:vAlign w:val="center"/>
          </w:tcPr>
          <w:p>
            <w:pPr>
              <w:pStyle w:val="160"/>
              <w:spacing w:beforeLines="0" w:afterLines="0" w:line="240" w:lineRule="auto"/>
              <w:ind w:firstLine="0" w:firstLineChars="0"/>
              <w:jc w:val="center"/>
              <w:rPr>
                <w:rFonts w:ascii="宋体" w:hAnsi="宋体"/>
                <w:sz w:val="18"/>
              </w:rPr>
            </w:pPr>
            <w:r>
              <w:rPr>
                <w:rFonts w:ascii="宋体" w:hAnsi="宋体"/>
                <w:sz w:val="18"/>
              </w:rPr>
              <w:t>类别</w:t>
            </w:r>
          </w:p>
        </w:tc>
        <w:tc>
          <w:tcPr>
            <w:tcW w:w="2000" w:type="pct"/>
            <w:tcBorders>
              <w:top w:val="single" w:color="auto" w:sz="12" w:space="0"/>
            </w:tcBorders>
            <w:vAlign w:val="center"/>
          </w:tcPr>
          <w:p>
            <w:pPr>
              <w:pStyle w:val="160"/>
              <w:spacing w:beforeLines="0" w:afterLines="0" w:line="240" w:lineRule="auto"/>
              <w:ind w:firstLine="0" w:firstLineChars="0"/>
              <w:jc w:val="center"/>
              <w:rPr>
                <w:rFonts w:ascii="宋体" w:hAnsi="宋体"/>
                <w:sz w:val="18"/>
              </w:rPr>
            </w:pPr>
            <w:r>
              <w:rPr>
                <w:rFonts w:ascii="宋体" w:hAnsi="宋体"/>
                <w:sz w:val="18"/>
              </w:rPr>
              <w:t>部位</w:t>
            </w:r>
          </w:p>
        </w:tc>
        <w:tc>
          <w:tcPr>
            <w:tcW w:w="1759" w:type="pct"/>
            <w:tcBorders>
              <w:top w:val="single" w:color="auto" w:sz="12" w:space="0"/>
              <w:right w:val="single" w:color="auto" w:sz="12" w:space="0"/>
            </w:tcBorders>
            <w:vAlign w:val="center"/>
          </w:tcPr>
          <w:p>
            <w:pPr>
              <w:pStyle w:val="160"/>
              <w:spacing w:beforeLines="0" w:afterLines="0" w:line="240" w:lineRule="auto"/>
              <w:ind w:firstLine="0" w:firstLineChars="0"/>
              <w:jc w:val="center"/>
              <w:rPr>
                <w:rFonts w:ascii="宋体" w:hAnsi="宋体"/>
                <w:sz w:val="18"/>
              </w:rPr>
            </w:pPr>
            <w:r>
              <w:rPr>
                <w:rFonts w:ascii="宋体" w:hAnsi="宋体"/>
                <w:sz w:val="18"/>
              </w:rPr>
              <w:t>最大裂缝宽度限</w:t>
            </w:r>
            <w:r>
              <w:rPr>
                <w:rFonts w:hint="eastAsia" w:ascii="宋体" w:hAnsi="宋体"/>
                <w:sz w:val="18"/>
              </w:rPr>
              <w:t>值（mm）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jc w:val="center"/>
        </w:trPr>
        <w:tc>
          <w:tcPr>
            <w:tcW w:w="1241" w:type="pct"/>
            <w:vMerge w:val="restart"/>
            <w:tcBorders>
              <w:left w:val="single" w:color="auto" w:sz="12" w:space="0"/>
            </w:tcBorders>
            <w:vAlign w:val="center"/>
          </w:tcPr>
          <w:p>
            <w:pPr>
              <w:pStyle w:val="160"/>
              <w:spacing w:beforeLines="0" w:afterLines="0" w:line="240" w:lineRule="auto"/>
              <w:ind w:firstLine="0" w:firstLineChars="0"/>
              <w:jc w:val="center"/>
              <w:rPr>
                <w:rFonts w:ascii="宋体" w:hAnsi="宋体"/>
                <w:sz w:val="18"/>
              </w:rPr>
            </w:pPr>
            <w:r>
              <w:rPr>
                <w:rFonts w:hint="eastAsia" w:ascii="宋体" w:hAnsi="宋体"/>
                <w:sz w:val="18"/>
              </w:rPr>
              <w:t>暗埋段</w:t>
            </w:r>
          </w:p>
        </w:tc>
        <w:tc>
          <w:tcPr>
            <w:tcW w:w="2000" w:type="pct"/>
            <w:vAlign w:val="center"/>
          </w:tcPr>
          <w:p>
            <w:pPr>
              <w:pStyle w:val="160"/>
              <w:spacing w:beforeLines="0" w:afterLines="0" w:line="240" w:lineRule="auto"/>
              <w:ind w:firstLine="0" w:firstLineChars="0"/>
              <w:jc w:val="center"/>
              <w:rPr>
                <w:rFonts w:ascii="宋体" w:hAnsi="宋体"/>
                <w:sz w:val="18"/>
              </w:rPr>
            </w:pPr>
            <w:r>
              <w:rPr>
                <w:rFonts w:ascii="宋体" w:hAnsi="宋体"/>
                <w:sz w:val="18"/>
              </w:rPr>
              <w:t>顶板、底板、侧墙</w:t>
            </w:r>
          </w:p>
        </w:tc>
        <w:tc>
          <w:tcPr>
            <w:tcW w:w="1759" w:type="pct"/>
            <w:tcBorders>
              <w:right w:val="single" w:color="auto" w:sz="12" w:space="0"/>
            </w:tcBorders>
            <w:vAlign w:val="center"/>
          </w:tcPr>
          <w:p>
            <w:pPr>
              <w:pStyle w:val="160"/>
              <w:spacing w:beforeLines="0" w:afterLines="0" w:line="240" w:lineRule="auto"/>
              <w:ind w:firstLine="0" w:firstLineChars="0"/>
              <w:jc w:val="center"/>
              <w:rPr>
                <w:rFonts w:ascii="宋体" w:hAnsi="宋体"/>
                <w:sz w:val="18"/>
              </w:rPr>
            </w:pPr>
            <w:r>
              <w:rPr>
                <w:rFonts w:ascii="宋体" w:hAnsi="宋体"/>
                <w:sz w:val="18"/>
              </w:rPr>
              <w:t>0.15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jc w:val="center"/>
        </w:trPr>
        <w:tc>
          <w:tcPr>
            <w:tcW w:w="1241" w:type="pct"/>
            <w:vMerge w:val="continue"/>
            <w:tcBorders>
              <w:left w:val="single" w:color="auto" w:sz="12" w:space="0"/>
            </w:tcBorders>
            <w:vAlign w:val="center"/>
          </w:tcPr>
          <w:p>
            <w:pPr>
              <w:pStyle w:val="160"/>
              <w:spacing w:beforeLines="0" w:afterLines="0" w:line="240" w:lineRule="auto"/>
              <w:ind w:firstLine="0" w:firstLineChars="0"/>
              <w:jc w:val="center"/>
              <w:rPr>
                <w:rFonts w:ascii="宋体" w:hAnsi="宋体"/>
                <w:sz w:val="18"/>
              </w:rPr>
            </w:pPr>
          </w:p>
        </w:tc>
        <w:tc>
          <w:tcPr>
            <w:tcW w:w="2000" w:type="pct"/>
            <w:vAlign w:val="center"/>
          </w:tcPr>
          <w:p>
            <w:pPr>
              <w:pStyle w:val="160"/>
              <w:spacing w:beforeLines="0" w:afterLines="0" w:line="240" w:lineRule="auto"/>
              <w:ind w:firstLine="0" w:firstLineChars="0"/>
              <w:jc w:val="center"/>
              <w:rPr>
                <w:rFonts w:ascii="宋体" w:hAnsi="宋体"/>
                <w:sz w:val="18"/>
              </w:rPr>
            </w:pPr>
            <w:r>
              <w:rPr>
                <w:rFonts w:ascii="宋体" w:hAnsi="宋体"/>
                <w:sz w:val="18"/>
              </w:rPr>
              <w:t>中隔墙、中板</w:t>
            </w:r>
          </w:p>
        </w:tc>
        <w:tc>
          <w:tcPr>
            <w:tcW w:w="1759" w:type="pct"/>
            <w:tcBorders>
              <w:right w:val="single" w:color="auto" w:sz="12" w:space="0"/>
            </w:tcBorders>
            <w:vAlign w:val="center"/>
          </w:tcPr>
          <w:p>
            <w:pPr>
              <w:pStyle w:val="160"/>
              <w:spacing w:beforeLines="0" w:afterLines="0" w:line="240" w:lineRule="auto"/>
              <w:ind w:firstLine="0" w:firstLineChars="0"/>
              <w:jc w:val="center"/>
              <w:rPr>
                <w:rFonts w:ascii="宋体" w:hAnsi="宋体"/>
                <w:sz w:val="18"/>
              </w:rPr>
            </w:pPr>
            <w:r>
              <w:rPr>
                <w:rFonts w:ascii="宋体" w:hAnsi="宋体"/>
                <w:sz w:val="18"/>
              </w:rPr>
              <w:t>0.30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jc w:val="center"/>
        </w:trPr>
        <w:tc>
          <w:tcPr>
            <w:tcW w:w="1241" w:type="pct"/>
            <w:tcBorders>
              <w:left w:val="single" w:color="auto" w:sz="12" w:space="0"/>
            </w:tcBorders>
            <w:vAlign w:val="center"/>
          </w:tcPr>
          <w:p>
            <w:pPr>
              <w:pStyle w:val="160"/>
              <w:spacing w:beforeLines="0" w:afterLines="0" w:line="240" w:lineRule="auto"/>
              <w:ind w:firstLine="0" w:firstLineChars="0"/>
              <w:jc w:val="center"/>
              <w:rPr>
                <w:rFonts w:ascii="宋体" w:hAnsi="宋体"/>
                <w:sz w:val="18"/>
              </w:rPr>
            </w:pPr>
            <w:r>
              <w:rPr>
                <w:rFonts w:hint="eastAsia" w:ascii="宋体" w:hAnsi="宋体"/>
                <w:sz w:val="18"/>
              </w:rPr>
              <w:t>敞开段</w:t>
            </w:r>
          </w:p>
        </w:tc>
        <w:tc>
          <w:tcPr>
            <w:tcW w:w="2000" w:type="pct"/>
            <w:vAlign w:val="center"/>
          </w:tcPr>
          <w:p>
            <w:pPr>
              <w:pStyle w:val="160"/>
              <w:spacing w:beforeLines="0" w:afterLines="0" w:line="240" w:lineRule="auto"/>
              <w:ind w:firstLine="0" w:firstLineChars="0"/>
              <w:jc w:val="center"/>
              <w:rPr>
                <w:rFonts w:ascii="宋体" w:hAnsi="宋体"/>
                <w:sz w:val="18"/>
              </w:rPr>
            </w:pPr>
            <w:r>
              <w:rPr>
                <w:rFonts w:ascii="宋体" w:hAnsi="宋体"/>
                <w:sz w:val="18"/>
              </w:rPr>
              <w:t>底板、侧墙</w:t>
            </w:r>
          </w:p>
        </w:tc>
        <w:tc>
          <w:tcPr>
            <w:tcW w:w="1759" w:type="pct"/>
            <w:tcBorders>
              <w:right w:val="single" w:color="auto" w:sz="12" w:space="0"/>
            </w:tcBorders>
            <w:vAlign w:val="center"/>
          </w:tcPr>
          <w:p>
            <w:pPr>
              <w:pStyle w:val="160"/>
              <w:spacing w:beforeLines="0" w:afterLines="0" w:line="240" w:lineRule="auto"/>
              <w:ind w:firstLine="0" w:firstLineChars="0"/>
              <w:jc w:val="center"/>
              <w:rPr>
                <w:rFonts w:ascii="宋体" w:hAnsi="宋体"/>
                <w:sz w:val="18"/>
              </w:rPr>
            </w:pPr>
            <w:r>
              <w:rPr>
                <w:rFonts w:ascii="宋体" w:hAnsi="宋体"/>
                <w:sz w:val="18"/>
              </w:rPr>
              <w:t>0.15</w:t>
            </w:r>
            <w:r>
              <w:rPr>
                <w:rFonts w:hint="eastAsia" w:ascii="宋体" w:hAnsi="宋体"/>
                <w:sz w:val="18"/>
              </w:rPr>
              <w:t>（</w:t>
            </w:r>
            <w:r>
              <w:rPr>
                <w:rFonts w:ascii="宋体" w:hAnsi="宋体"/>
                <w:sz w:val="18"/>
              </w:rPr>
              <w:t>0.10</w:t>
            </w:r>
            <w:r>
              <w:rPr>
                <w:rFonts w:hint="eastAsia" w:ascii="宋体" w:hAnsi="宋体"/>
                <w:sz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jc w:val="center"/>
        </w:trPr>
        <w:tc>
          <w:tcPr>
            <w:tcW w:w="3241" w:type="pct"/>
            <w:gridSpan w:val="2"/>
            <w:tcBorders>
              <w:left w:val="single" w:color="auto" w:sz="12" w:space="0"/>
              <w:bottom w:val="single" w:color="auto" w:sz="12" w:space="0"/>
            </w:tcBorders>
            <w:vAlign w:val="center"/>
          </w:tcPr>
          <w:p>
            <w:pPr>
              <w:pStyle w:val="160"/>
              <w:spacing w:beforeLines="0" w:afterLines="0" w:line="240" w:lineRule="auto"/>
              <w:ind w:firstLine="0" w:firstLineChars="0"/>
              <w:jc w:val="center"/>
              <w:rPr>
                <w:rFonts w:ascii="宋体" w:hAnsi="宋体"/>
                <w:sz w:val="18"/>
              </w:rPr>
            </w:pPr>
            <w:r>
              <w:rPr>
                <w:rFonts w:ascii="宋体" w:hAnsi="宋体"/>
                <w:sz w:val="18"/>
              </w:rPr>
              <w:t>其他构件</w:t>
            </w:r>
          </w:p>
        </w:tc>
        <w:tc>
          <w:tcPr>
            <w:tcW w:w="1759" w:type="pct"/>
            <w:tcBorders>
              <w:bottom w:val="single" w:color="auto" w:sz="12" w:space="0"/>
              <w:right w:val="single" w:color="auto" w:sz="12" w:space="0"/>
            </w:tcBorders>
            <w:vAlign w:val="center"/>
          </w:tcPr>
          <w:p>
            <w:pPr>
              <w:pStyle w:val="160"/>
              <w:spacing w:beforeLines="0" w:afterLines="0" w:line="240" w:lineRule="auto"/>
              <w:ind w:firstLine="0" w:firstLineChars="0"/>
              <w:jc w:val="center"/>
              <w:rPr>
                <w:rFonts w:ascii="宋体" w:hAnsi="宋体"/>
                <w:sz w:val="18"/>
              </w:rPr>
            </w:pPr>
            <w:r>
              <w:rPr>
                <w:rFonts w:ascii="宋体" w:hAnsi="宋体"/>
                <w:sz w:val="18"/>
              </w:rPr>
              <w:t>0.30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exact"/>
          <w:jc w:val="center"/>
        </w:trPr>
        <w:tc>
          <w:tcPr>
            <w:tcW w:w="5000" w:type="pct"/>
            <w:gridSpan w:val="3"/>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rPr>
            </w:pPr>
            <w:r>
              <w:rPr>
                <w:rFonts w:hint="eastAsia" w:ascii="黑体" w:hAnsi="黑体" w:eastAsia="黑体"/>
                <w:sz w:val="18"/>
              </w:rPr>
              <w:t>注：</w:t>
            </w:r>
            <w:r>
              <w:rPr>
                <w:rFonts w:hint="eastAsia" w:ascii="宋体" w:hAnsi="宋体"/>
                <w:sz w:val="18"/>
              </w:rPr>
              <w:t>（）数值在环境作用等级为</w:t>
            </w:r>
            <w:r>
              <w:rPr>
                <w:rFonts w:ascii="宋体" w:hAnsi="宋体"/>
                <w:sz w:val="18"/>
              </w:rPr>
              <w:fldChar w:fldCharType="begin"/>
            </w:r>
            <w:r>
              <w:rPr>
                <w:rFonts w:ascii="宋体" w:hAnsi="宋体"/>
                <w:sz w:val="18"/>
              </w:rPr>
              <w:instrText xml:space="preserve"> </w:instrText>
            </w:r>
            <w:r>
              <w:rPr>
                <w:rFonts w:hint="eastAsia" w:ascii="宋体" w:hAnsi="宋体"/>
                <w:sz w:val="18"/>
              </w:rPr>
              <w:instrText xml:space="preserve">= 3 \* ROMAN</w:instrText>
            </w:r>
            <w:r>
              <w:rPr>
                <w:rFonts w:ascii="宋体" w:hAnsi="宋体"/>
                <w:sz w:val="18"/>
              </w:rPr>
              <w:instrText xml:space="preserve"> </w:instrText>
            </w:r>
            <w:r>
              <w:rPr>
                <w:rFonts w:ascii="宋体" w:hAnsi="宋体"/>
                <w:sz w:val="18"/>
              </w:rPr>
              <w:fldChar w:fldCharType="separate"/>
            </w:r>
            <w:r>
              <w:rPr>
                <w:rFonts w:ascii="宋体" w:hAnsi="宋体"/>
                <w:sz w:val="18"/>
              </w:rPr>
              <w:t>III</w:t>
            </w:r>
            <w:r>
              <w:rPr>
                <w:rFonts w:ascii="宋体" w:hAnsi="宋体"/>
                <w:sz w:val="18"/>
              </w:rPr>
              <w:fldChar w:fldCharType="end"/>
            </w:r>
            <w:r>
              <w:rPr>
                <w:rFonts w:ascii="宋体" w:hAnsi="宋体"/>
                <w:sz w:val="18"/>
              </w:rPr>
              <w:t>-E</w:t>
            </w:r>
            <w:r>
              <w:rPr>
                <w:rFonts w:hint="eastAsia" w:ascii="宋体" w:hAnsi="宋体"/>
                <w:sz w:val="18"/>
              </w:rPr>
              <w:t>、</w:t>
            </w:r>
            <w:r>
              <w:rPr>
                <w:rFonts w:ascii="宋体" w:hAnsi="宋体"/>
                <w:sz w:val="18"/>
              </w:rPr>
              <w:fldChar w:fldCharType="begin"/>
            </w:r>
            <w:r>
              <w:rPr>
                <w:rFonts w:ascii="宋体" w:hAnsi="宋体"/>
                <w:sz w:val="18"/>
              </w:rPr>
              <w:instrText xml:space="preserve"> </w:instrText>
            </w:r>
            <w:r>
              <w:rPr>
                <w:rFonts w:hint="eastAsia" w:ascii="宋体" w:hAnsi="宋体"/>
                <w:sz w:val="18"/>
              </w:rPr>
              <w:instrText xml:space="preserve">= 3 \* ROMAN</w:instrText>
            </w:r>
            <w:r>
              <w:rPr>
                <w:rFonts w:ascii="宋体" w:hAnsi="宋体"/>
                <w:sz w:val="18"/>
              </w:rPr>
              <w:instrText xml:space="preserve"> </w:instrText>
            </w:r>
            <w:r>
              <w:rPr>
                <w:rFonts w:ascii="宋体" w:hAnsi="宋体"/>
                <w:sz w:val="18"/>
              </w:rPr>
              <w:fldChar w:fldCharType="separate"/>
            </w:r>
            <w:r>
              <w:rPr>
                <w:rFonts w:ascii="宋体" w:hAnsi="宋体"/>
                <w:sz w:val="18"/>
              </w:rPr>
              <w:t>III</w:t>
            </w:r>
            <w:r>
              <w:rPr>
                <w:rFonts w:ascii="宋体" w:hAnsi="宋体"/>
                <w:sz w:val="18"/>
              </w:rPr>
              <w:fldChar w:fldCharType="end"/>
            </w:r>
            <w:r>
              <w:rPr>
                <w:rFonts w:ascii="宋体" w:hAnsi="宋体"/>
                <w:sz w:val="18"/>
              </w:rPr>
              <w:t>-F</w:t>
            </w:r>
            <w:r>
              <w:rPr>
                <w:rFonts w:hint="eastAsia" w:ascii="宋体" w:hAnsi="宋体"/>
                <w:sz w:val="18"/>
              </w:rPr>
              <w:t>中采用。</w:t>
            </w:r>
          </w:p>
        </w:tc>
      </w:tr>
    </w:tbl>
    <w:p>
      <w:pPr>
        <w:pStyle w:val="84"/>
      </w:pPr>
      <w:r>
        <w:rPr>
          <w:rFonts w:hint="eastAsia"/>
        </w:rPr>
        <w:t>主体结构构件中受力钢筋的混凝土保护层厚度不应小于钢筋的公称直径，最外层钢筋的混凝土保护层最小厚度应符合表</w:t>
      </w:r>
      <w:r>
        <w:t>5</w:t>
      </w:r>
      <w:r>
        <w:rPr>
          <w:rFonts w:hint="eastAsia"/>
        </w:rPr>
        <w:t>的规定。</w:t>
      </w:r>
    </w:p>
    <w:p>
      <w:pPr>
        <w:pStyle w:val="147"/>
        <w:spacing w:before="156" w:after="156"/>
      </w:pPr>
      <w:r>
        <w:t>表5</w:t>
      </w:r>
      <w:r>
        <w:rPr>
          <w:rFonts w:hint="eastAsia"/>
        </w:rPr>
        <w:t>隧道主体结构</w:t>
      </w:r>
      <w:r>
        <w:t>混凝土保护层的最小厚度</w:t>
      </w:r>
    </w:p>
    <w:tbl>
      <w:tblPr>
        <w:tblStyle w:val="5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50"/>
        <w:gridCol w:w="2127"/>
        <w:gridCol w:w="2127"/>
        <w:gridCol w:w="33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3241" w:type="pct"/>
            <w:gridSpan w:val="3"/>
            <w:vAlign w:val="center"/>
          </w:tcPr>
          <w:p>
            <w:pPr>
              <w:pStyle w:val="168"/>
            </w:pPr>
            <w:r>
              <w:t>结构类别</w:t>
            </w:r>
          </w:p>
        </w:tc>
        <w:tc>
          <w:tcPr>
            <w:tcW w:w="1759" w:type="pct"/>
            <w:vAlign w:val="center"/>
          </w:tcPr>
          <w:p>
            <w:pPr>
              <w:pStyle w:val="168"/>
            </w:pPr>
            <w:r>
              <w:t>混凝土保护层的最小厚度</w:t>
            </w:r>
            <w:r>
              <w:rPr>
                <w:rFonts w:hint="eastAsia"/>
              </w:rPr>
              <w:t>（mm）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30" w:type="pct"/>
            <w:gridSpan w:val="2"/>
            <w:vMerge w:val="restart"/>
            <w:vAlign w:val="center"/>
          </w:tcPr>
          <w:p>
            <w:pPr>
              <w:pStyle w:val="168"/>
            </w:pPr>
            <w:r>
              <w:t>顶、底板（梁）、侧墙、壁柱</w:t>
            </w:r>
          </w:p>
        </w:tc>
        <w:tc>
          <w:tcPr>
            <w:tcW w:w="1111" w:type="pct"/>
            <w:vAlign w:val="center"/>
          </w:tcPr>
          <w:p>
            <w:pPr>
              <w:pStyle w:val="168"/>
            </w:pPr>
            <w:r>
              <w:t>迎土/水面</w:t>
            </w:r>
          </w:p>
        </w:tc>
        <w:tc>
          <w:tcPr>
            <w:tcW w:w="1759" w:type="pct"/>
            <w:vAlign w:val="center"/>
          </w:tcPr>
          <w:p>
            <w:pPr>
              <w:pStyle w:val="168"/>
            </w:pPr>
            <w: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30" w:type="pct"/>
            <w:gridSpan w:val="2"/>
            <w:vMerge w:val="continue"/>
            <w:vAlign w:val="center"/>
          </w:tcPr>
          <w:p>
            <w:pPr>
              <w:pStyle w:val="168"/>
            </w:pPr>
          </w:p>
        </w:tc>
        <w:tc>
          <w:tcPr>
            <w:tcW w:w="1111" w:type="pct"/>
            <w:vAlign w:val="center"/>
          </w:tcPr>
          <w:p>
            <w:pPr>
              <w:pStyle w:val="168"/>
            </w:pPr>
            <w:r>
              <w:t>背土/水面</w:t>
            </w:r>
          </w:p>
        </w:tc>
        <w:tc>
          <w:tcPr>
            <w:tcW w:w="1759" w:type="pct"/>
            <w:vAlign w:val="center"/>
          </w:tcPr>
          <w:p>
            <w:pPr>
              <w:pStyle w:val="168"/>
            </w:pPr>
            <w: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9" w:type="pct"/>
            <w:vMerge w:val="restart"/>
            <w:vAlign w:val="center"/>
          </w:tcPr>
          <w:p>
            <w:pPr>
              <w:pStyle w:val="168"/>
            </w:pPr>
            <w:r>
              <w:t>叠合墙</w:t>
            </w:r>
          </w:p>
        </w:tc>
        <w:tc>
          <w:tcPr>
            <w:tcW w:w="1111" w:type="pct"/>
            <w:vMerge w:val="restart"/>
            <w:vAlign w:val="center"/>
          </w:tcPr>
          <w:p>
            <w:pPr>
              <w:pStyle w:val="168"/>
            </w:pPr>
            <w:r>
              <w:t>地下连续墙</w:t>
            </w:r>
          </w:p>
        </w:tc>
        <w:tc>
          <w:tcPr>
            <w:tcW w:w="1111" w:type="pct"/>
            <w:vAlign w:val="center"/>
          </w:tcPr>
          <w:p>
            <w:pPr>
              <w:pStyle w:val="168"/>
            </w:pPr>
            <w:r>
              <w:t>迎土/水面</w:t>
            </w:r>
          </w:p>
        </w:tc>
        <w:tc>
          <w:tcPr>
            <w:tcW w:w="1759" w:type="pct"/>
            <w:vAlign w:val="center"/>
          </w:tcPr>
          <w:p>
            <w:pPr>
              <w:pStyle w:val="168"/>
            </w:pPr>
            <w:r>
              <w:rPr>
                <w:rFonts w:hint="eastAsia"/>
              </w:rPr>
              <w:t>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9" w:type="pct"/>
            <w:vMerge w:val="continue"/>
            <w:vAlign w:val="center"/>
          </w:tcPr>
          <w:p>
            <w:pPr>
              <w:pStyle w:val="168"/>
            </w:pPr>
          </w:p>
        </w:tc>
        <w:tc>
          <w:tcPr>
            <w:tcW w:w="1111" w:type="pct"/>
            <w:vMerge w:val="continue"/>
            <w:vAlign w:val="center"/>
          </w:tcPr>
          <w:p>
            <w:pPr>
              <w:pStyle w:val="168"/>
            </w:pPr>
          </w:p>
        </w:tc>
        <w:tc>
          <w:tcPr>
            <w:tcW w:w="1111" w:type="pct"/>
            <w:vAlign w:val="center"/>
          </w:tcPr>
          <w:p>
            <w:pPr>
              <w:pStyle w:val="168"/>
            </w:pPr>
            <w:r>
              <w:t>背土/水面</w:t>
            </w:r>
          </w:p>
        </w:tc>
        <w:tc>
          <w:tcPr>
            <w:tcW w:w="1759" w:type="pct"/>
            <w:vAlign w:val="center"/>
          </w:tcPr>
          <w:p>
            <w:pPr>
              <w:pStyle w:val="168"/>
            </w:pPr>
            <w:r>
              <w:rPr>
                <w:rFonts w:hint="eastAsia"/>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9" w:type="pct"/>
            <w:vMerge w:val="continue"/>
            <w:vAlign w:val="center"/>
          </w:tcPr>
          <w:p>
            <w:pPr>
              <w:pStyle w:val="168"/>
            </w:pPr>
          </w:p>
        </w:tc>
        <w:tc>
          <w:tcPr>
            <w:tcW w:w="1111" w:type="pct"/>
            <w:vMerge w:val="restart"/>
            <w:vAlign w:val="center"/>
          </w:tcPr>
          <w:p>
            <w:pPr>
              <w:pStyle w:val="168"/>
            </w:pPr>
            <w:r>
              <w:rPr>
                <w:rFonts w:hint="eastAsia"/>
              </w:rPr>
              <w:t>内衬墙</w:t>
            </w:r>
          </w:p>
        </w:tc>
        <w:tc>
          <w:tcPr>
            <w:tcW w:w="1111" w:type="pct"/>
            <w:vAlign w:val="center"/>
          </w:tcPr>
          <w:p>
            <w:pPr>
              <w:pStyle w:val="168"/>
            </w:pPr>
            <w:r>
              <w:t>迎土/水面</w:t>
            </w:r>
          </w:p>
        </w:tc>
        <w:tc>
          <w:tcPr>
            <w:tcW w:w="1759" w:type="pct"/>
            <w:vAlign w:val="center"/>
          </w:tcPr>
          <w:p>
            <w:pPr>
              <w:pStyle w:val="168"/>
            </w:pPr>
            <w: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9" w:type="pct"/>
            <w:vMerge w:val="continue"/>
            <w:vAlign w:val="center"/>
          </w:tcPr>
          <w:p>
            <w:pPr>
              <w:pStyle w:val="168"/>
            </w:pPr>
          </w:p>
        </w:tc>
        <w:tc>
          <w:tcPr>
            <w:tcW w:w="1111" w:type="pct"/>
            <w:vMerge w:val="continue"/>
            <w:vAlign w:val="center"/>
          </w:tcPr>
          <w:p>
            <w:pPr>
              <w:pStyle w:val="168"/>
            </w:pPr>
          </w:p>
        </w:tc>
        <w:tc>
          <w:tcPr>
            <w:tcW w:w="1111" w:type="pct"/>
            <w:vAlign w:val="center"/>
          </w:tcPr>
          <w:p>
            <w:pPr>
              <w:pStyle w:val="168"/>
            </w:pPr>
            <w:r>
              <w:t>背土/水面</w:t>
            </w:r>
          </w:p>
        </w:tc>
        <w:tc>
          <w:tcPr>
            <w:tcW w:w="1759" w:type="pct"/>
            <w:vAlign w:val="center"/>
          </w:tcPr>
          <w:p>
            <w:pPr>
              <w:pStyle w:val="168"/>
            </w:pPr>
            <w: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9" w:type="pct"/>
            <w:vMerge w:val="restart"/>
            <w:vAlign w:val="center"/>
          </w:tcPr>
          <w:p>
            <w:pPr>
              <w:pStyle w:val="168"/>
            </w:pPr>
            <w:r>
              <w:t>复合墙</w:t>
            </w:r>
          </w:p>
        </w:tc>
        <w:tc>
          <w:tcPr>
            <w:tcW w:w="1111" w:type="pct"/>
            <w:vMerge w:val="restart"/>
            <w:vAlign w:val="center"/>
          </w:tcPr>
          <w:p>
            <w:pPr>
              <w:pStyle w:val="168"/>
            </w:pPr>
            <w:r>
              <w:t>地下连续墙</w:t>
            </w:r>
          </w:p>
        </w:tc>
        <w:tc>
          <w:tcPr>
            <w:tcW w:w="1111" w:type="pct"/>
            <w:vAlign w:val="center"/>
          </w:tcPr>
          <w:p>
            <w:pPr>
              <w:pStyle w:val="168"/>
            </w:pPr>
            <w:r>
              <w:t>迎土/水面</w:t>
            </w:r>
          </w:p>
        </w:tc>
        <w:tc>
          <w:tcPr>
            <w:tcW w:w="1759" w:type="pct"/>
            <w:vAlign w:val="center"/>
          </w:tcPr>
          <w:p>
            <w:pPr>
              <w:pStyle w:val="168"/>
            </w:pPr>
            <w:r>
              <w:rPr>
                <w:rFonts w:hint="eastAsia"/>
              </w:rPr>
              <w:t>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9" w:type="pct"/>
            <w:vMerge w:val="continue"/>
            <w:vAlign w:val="center"/>
          </w:tcPr>
          <w:p>
            <w:pPr>
              <w:pStyle w:val="168"/>
            </w:pPr>
          </w:p>
        </w:tc>
        <w:tc>
          <w:tcPr>
            <w:tcW w:w="1111" w:type="pct"/>
            <w:vMerge w:val="continue"/>
            <w:vAlign w:val="center"/>
          </w:tcPr>
          <w:p>
            <w:pPr>
              <w:pStyle w:val="168"/>
            </w:pPr>
          </w:p>
        </w:tc>
        <w:tc>
          <w:tcPr>
            <w:tcW w:w="1111" w:type="pct"/>
            <w:vAlign w:val="center"/>
          </w:tcPr>
          <w:p>
            <w:pPr>
              <w:pStyle w:val="168"/>
            </w:pPr>
            <w:r>
              <w:t>背土/水面</w:t>
            </w:r>
          </w:p>
        </w:tc>
        <w:tc>
          <w:tcPr>
            <w:tcW w:w="1759" w:type="pct"/>
            <w:vAlign w:val="center"/>
          </w:tcPr>
          <w:p>
            <w:pPr>
              <w:pStyle w:val="168"/>
            </w:pPr>
            <w:r>
              <w:rPr>
                <w:rFonts w:hint="eastAsia"/>
              </w:rPr>
              <w:t>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9" w:type="pct"/>
            <w:vMerge w:val="continue"/>
            <w:vAlign w:val="center"/>
          </w:tcPr>
          <w:p>
            <w:pPr>
              <w:pStyle w:val="168"/>
            </w:pPr>
          </w:p>
        </w:tc>
        <w:tc>
          <w:tcPr>
            <w:tcW w:w="1111" w:type="pct"/>
            <w:vMerge w:val="restart"/>
            <w:vAlign w:val="center"/>
          </w:tcPr>
          <w:p>
            <w:pPr>
              <w:pStyle w:val="168"/>
            </w:pPr>
            <w:r>
              <w:rPr>
                <w:rFonts w:hint="eastAsia"/>
              </w:rPr>
              <w:t>侧墙</w:t>
            </w:r>
          </w:p>
        </w:tc>
        <w:tc>
          <w:tcPr>
            <w:tcW w:w="1111" w:type="pct"/>
            <w:vAlign w:val="center"/>
          </w:tcPr>
          <w:p>
            <w:pPr>
              <w:pStyle w:val="168"/>
            </w:pPr>
            <w:r>
              <w:t>迎土/水面</w:t>
            </w:r>
          </w:p>
        </w:tc>
        <w:tc>
          <w:tcPr>
            <w:tcW w:w="1759" w:type="pct"/>
            <w:vAlign w:val="center"/>
          </w:tcPr>
          <w:p>
            <w:pPr>
              <w:pStyle w:val="168"/>
            </w:pPr>
            <w: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19" w:type="pct"/>
            <w:vMerge w:val="continue"/>
            <w:vAlign w:val="center"/>
          </w:tcPr>
          <w:p>
            <w:pPr>
              <w:pStyle w:val="168"/>
            </w:pPr>
          </w:p>
        </w:tc>
        <w:tc>
          <w:tcPr>
            <w:tcW w:w="1111" w:type="pct"/>
            <w:vMerge w:val="continue"/>
            <w:vAlign w:val="center"/>
          </w:tcPr>
          <w:p>
            <w:pPr>
              <w:pStyle w:val="168"/>
            </w:pPr>
          </w:p>
        </w:tc>
        <w:tc>
          <w:tcPr>
            <w:tcW w:w="1111" w:type="pct"/>
            <w:vAlign w:val="center"/>
          </w:tcPr>
          <w:p>
            <w:pPr>
              <w:pStyle w:val="168"/>
            </w:pPr>
            <w:r>
              <w:t>背土/水面</w:t>
            </w:r>
          </w:p>
        </w:tc>
        <w:tc>
          <w:tcPr>
            <w:tcW w:w="1759" w:type="pct"/>
            <w:vAlign w:val="center"/>
          </w:tcPr>
          <w:p>
            <w:pPr>
              <w:pStyle w:val="168"/>
            </w:pPr>
            <w: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30" w:type="pct"/>
            <w:gridSpan w:val="2"/>
            <w:tcBorders>
              <w:bottom w:val="single" w:color="auto" w:sz="12" w:space="0"/>
            </w:tcBorders>
            <w:vAlign w:val="center"/>
          </w:tcPr>
          <w:p>
            <w:pPr>
              <w:pStyle w:val="168"/>
            </w:pPr>
            <w:r>
              <w:t>中板（梁）、中间柱</w:t>
            </w:r>
          </w:p>
        </w:tc>
        <w:tc>
          <w:tcPr>
            <w:tcW w:w="1111" w:type="pct"/>
            <w:tcBorders>
              <w:bottom w:val="single" w:color="auto" w:sz="12" w:space="0"/>
            </w:tcBorders>
            <w:vAlign w:val="center"/>
          </w:tcPr>
          <w:p>
            <w:pPr>
              <w:pStyle w:val="168"/>
            </w:pPr>
            <w:r>
              <w:t>/</w:t>
            </w:r>
          </w:p>
        </w:tc>
        <w:tc>
          <w:tcPr>
            <w:tcW w:w="1759" w:type="pct"/>
            <w:tcBorders>
              <w:bottom w:val="single" w:color="auto" w:sz="12" w:space="0"/>
            </w:tcBorders>
            <w:vAlign w:val="center"/>
          </w:tcPr>
          <w:p>
            <w:pPr>
              <w:pStyle w:val="168"/>
            </w:pPr>
            <w: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4"/>
            <w:tcBorders>
              <w:top w:val="single" w:color="auto" w:sz="12" w:space="0"/>
              <w:bottom w:val="single" w:color="auto" w:sz="12" w:space="0"/>
            </w:tcBorders>
            <w:vAlign w:val="center"/>
          </w:tcPr>
          <w:p>
            <w:pPr>
              <w:pStyle w:val="173"/>
              <w:spacing w:line="240" w:lineRule="auto"/>
              <w:ind w:firstLine="360"/>
              <w:jc w:val="left"/>
              <w:rPr>
                <w:rFonts w:ascii="宋体" w:hAnsi="宋体"/>
                <w:spacing w:val="0"/>
                <w:kern w:val="2"/>
                <w:szCs w:val="24"/>
              </w:rPr>
            </w:pPr>
            <w:r>
              <w:rPr>
                <w:rFonts w:ascii="黑体" w:hAnsi="黑体" w:eastAsia="黑体"/>
                <w:spacing w:val="0"/>
                <w:kern w:val="2"/>
                <w:szCs w:val="24"/>
              </w:rPr>
              <w:t>注：</w:t>
            </w:r>
            <w:r>
              <w:rPr>
                <w:rFonts w:ascii="宋体" w:hAnsi="宋体"/>
                <w:spacing w:val="0"/>
                <w:kern w:val="2"/>
                <w:szCs w:val="24"/>
              </w:rPr>
              <w:t>在保护层内配置防裂、防剥落的钢筋网片时，网片钢筋的保护层</w:t>
            </w:r>
            <w:r>
              <w:rPr>
                <w:rFonts w:hint="eastAsia" w:ascii="宋体" w:hAnsi="宋体"/>
                <w:spacing w:val="0"/>
                <w:kern w:val="2"/>
                <w:szCs w:val="24"/>
              </w:rPr>
              <w:t>最小</w:t>
            </w:r>
            <w:r>
              <w:rPr>
                <w:rFonts w:ascii="宋体" w:hAnsi="宋体"/>
                <w:spacing w:val="0"/>
                <w:kern w:val="2"/>
                <w:szCs w:val="24"/>
              </w:rPr>
              <w:t>厚度</w:t>
            </w:r>
            <w:r>
              <w:rPr>
                <w:rFonts w:hint="eastAsia" w:ascii="宋体" w:hAnsi="宋体"/>
                <w:spacing w:val="0"/>
                <w:kern w:val="2"/>
                <w:szCs w:val="24"/>
              </w:rPr>
              <w:t>为</w:t>
            </w:r>
            <w:r>
              <w:rPr>
                <w:rFonts w:ascii="宋体" w:hAnsi="宋体"/>
                <w:spacing w:val="0"/>
                <w:kern w:val="2"/>
                <w:szCs w:val="24"/>
              </w:rPr>
              <w:t>25mm。</w:t>
            </w:r>
          </w:p>
        </w:tc>
      </w:tr>
    </w:tbl>
    <w:p>
      <w:pPr>
        <w:pStyle w:val="84"/>
        <w:spacing w:before="120"/>
      </w:pPr>
      <w:r>
        <w:rPr>
          <w:rFonts w:hint="eastAsia"/>
        </w:rPr>
        <w:t>主体结构宜采用同一强度等级的混凝土，混凝土强度等级、配合比（水胶比、胶凝材料和矿物掺和料用量）、氯离子含量、碱含量与硫酸盐含量等耐久性指标应符合JTG</w:t>
      </w:r>
      <w:r>
        <w:t>/</w:t>
      </w:r>
      <w:r>
        <w:rPr>
          <w:rFonts w:hint="eastAsia"/>
        </w:rPr>
        <w:t>T</w:t>
      </w:r>
      <w:r>
        <w:t xml:space="preserve"> </w:t>
      </w:r>
      <w:r>
        <w:rPr>
          <w:rFonts w:hint="eastAsia"/>
        </w:rPr>
        <w:t>3310中的有关规定。</w:t>
      </w:r>
    </w:p>
    <w:bookmarkEnd w:id="65"/>
    <w:bookmarkEnd w:id="66"/>
    <w:p>
      <w:pPr>
        <w:pStyle w:val="66"/>
        <w:spacing w:before="312" w:after="312"/>
      </w:pPr>
      <w:bookmarkStart w:id="74" w:name="_Toc154132516"/>
      <w:bookmarkStart w:id="75" w:name="_Toc154179488"/>
      <w:r>
        <w:t>围堰工程</w:t>
      </w:r>
      <w:bookmarkEnd w:id="74"/>
      <w:bookmarkEnd w:id="75"/>
    </w:p>
    <w:p>
      <w:pPr>
        <w:pStyle w:val="63"/>
        <w:spacing w:before="156" w:after="156"/>
      </w:pPr>
      <w:bookmarkStart w:id="76" w:name="_Toc154179489"/>
      <w:bookmarkStart w:id="77" w:name="_Toc154132517"/>
      <w:r>
        <w:t>一般规定</w:t>
      </w:r>
      <w:bookmarkEnd w:id="76"/>
      <w:bookmarkEnd w:id="77"/>
    </w:p>
    <w:p>
      <w:pPr>
        <w:pStyle w:val="84"/>
      </w:pPr>
      <w:r>
        <w:rPr>
          <w:rFonts w:hint="eastAsia"/>
        </w:rPr>
        <w:t>围堰工程的设计工作年限不应小于基坑、主体结构施工周期。</w:t>
      </w:r>
    </w:p>
    <w:p>
      <w:pPr>
        <w:pStyle w:val="84"/>
      </w:pPr>
      <w:r>
        <w:rPr>
          <w:rFonts w:hint="eastAsia"/>
        </w:rPr>
        <w:t>围堰工程安全等级应根据其设计工作年限、围堰高度按表</w:t>
      </w:r>
      <w:r>
        <w:t>6确定</w:t>
      </w:r>
      <w:r>
        <w:rPr>
          <w:rFonts w:hint="eastAsia"/>
        </w:rPr>
        <w:t>；围堰工程安全等级按表中各因素分别确定的最高级别定级；二、三级围堰在淤泥层厚度大、流速快、波浪高等条件下，需提高一级安全等级；确定围堰安全等级时需按最大围堰高度确定。</w:t>
      </w:r>
    </w:p>
    <w:p>
      <w:pPr>
        <w:pStyle w:val="147"/>
        <w:spacing w:before="156" w:after="156"/>
      </w:pPr>
      <w:r>
        <w:t xml:space="preserve">表6 </w:t>
      </w:r>
      <w:r>
        <w:rPr>
          <w:rFonts w:hint="eastAsia"/>
        </w:rPr>
        <w:t>围堰安全等级划分表</w:t>
      </w:r>
    </w:p>
    <w:tbl>
      <w:tblPr>
        <w:tblStyle w:val="5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408"/>
        <w:gridCol w:w="3444"/>
        <w:gridCol w:w="37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8" w:type="pct"/>
            <w:vAlign w:val="center"/>
          </w:tcPr>
          <w:p>
            <w:pPr>
              <w:pStyle w:val="168"/>
            </w:pPr>
            <w:r>
              <w:t>安全等级</w:t>
            </w:r>
          </w:p>
        </w:tc>
        <w:tc>
          <w:tcPr>
            <w:tcW w:w="1799" w:type="pct"/>
            <w:vAlign w:val="center"/>
          </w:tcPr>
          <w:p>
            <w:pPr>
              <w:pStyle w:val="168"/>
            </w:pPr>
            <w:r>
              <w:rPr>
                <w:rFonts w:hint="eastAsia"/>
              </w:rPr>
              <w:t>设计工作年限</w:t>
            </w:r>
            <w:r>
              <w:t>（年）</w:t>
            </w:r>
          </w:p>
        </w:tc>
        <w:tc>
          <w:tcPr>
            <w:tcW w:w="1943" w:type="pct"/>
            <w:vAlign w:val="center"/>
          </w:tcPr>
          <w:p>
            <w:pPr>
              <w:pStyle w:val="168"/>
            </w:pPr>
            <w:r>
              <w:t>围堰高度</w:t>
            </w:r>
            <w:r>
              <w:rPr>
                <w:i/>
              </w:rPr>
              <w:t>H</w:t>
            </w:r>
            <w:r>
              <w:rPr>
                <w:vertAlign w:val="subscript"/>
              </w:rPr>
              <w:t>c</w:t>
            </w:r>
            <w: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8" w:type="pct"/>
            <w:vAlign w:val="center"/>
          </w:tcPr>
          <w:p>
            <w:pPr>
              <w:pStyle w:val="168"/>
            </w:pPr>
            <w:r>
              <w:t>一级</w:t>
            </w:r>
          </w:p>
        </w:tc>
        <w:tc>
          <w:tcPr>
            <w:tcW w:w="1799" w:type="pct"/>
            <w:vAlign w:val="center"/>
          </w:tcPr>
          <w:p>
            <w:pPr>
              <w:pStyle w:val="168"/>
            </w:pPr>
            <w:r>
              <w:t>＞2</w:t>
            </w:r>
          </w:p>
        </w:tc>
        <w:tc>
          <w:tcPr>
            <w:tcW w:w="1943" w:type="pct"/>
            <w:vAlign w:val="center"/>
          </w:tcPr>
          <w:p>
            <w:pPr>
              <w:pStyle w:val="168"/>
            </w:pPr>
            <w: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8" w:type="pct"/>
            <w:vAlign w:val="center"/>
          </w:tcPr>
          <w:p>
            <w:pPr>
              <w:pStyle w:val="168"/>
            </w:pPr>
            <w:r>
              <w:t>二级</w:t>
            </w:r>
          </w:p>
        </w:tc>
        <w:tc>
          <w:tcPr>
            <w:tcW w:w="3742" w:type="pct"/>
            <w:gridSpan w:val="2"/>
            <w:vAlign w:val="center"/>
          </w:tcPr>
          <w:p>
            <w:pPr>
              <w:pStyle w:val="168"/>
            </w:pPr>
            <w:r>
              <w:t>除一级、三级以外的围堰工程均属二级安全等级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8" w:type="pct"/>
            <w:tcBorders>
              <w:bottom w:val="single" w:color="auto" w:sz="12" w:space="0"/>
            </w:tcBorders>
            <w:vAlign w:val="center"/>
          </w:tcPr>
          <w:p>
            <w:pPr>
              <w:pStyle w:val="168"/>
            </w:pPr>
            <w:r>
              <w:t>三级</w:t>
            </w:r>
          </w:p>
        </w:tc>
        <w:tc>
          <w:tcPr>
            <w:tcW w:w="1799" w:type="pct"/>
            <w:tcBorders>
              <w:bottom w:val="single" w:color="auto" w:sz="12" w:space="0"/>
            </w:tcBorders>
            <w:vAlign w:val="center"/>
          </w:tcPr>
          <w:p>
            <w:pPr>
              <w:pStyle w:val="168"/>
            </w:pPr>
            <w:r>
              <w:t>＜1</w:t>
            </w:r>
          </w:p>
        </w:tc>
        <w:tc>
          <w:tcPr>
            <w:tcW w:w="1943" w:type="pct"/>
            <w:tcBorders>
              <w:bottom w:val="single" w:color="auto" w:sz="12" w:space="0"/>
            </w:tcBorders>
            <w:vAlign w:val="center"/>
          </w:tcPr>
          <w:p>
            <w:pPr>
              <w:pStyle w:val="168"/>
            </w:pPr>
            <w: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3"/>
            <w:tcBorders>
              <w:top w:val="single" w:color="auto" w:sz="12" w:space="0"/>
              <w:bottom w:val="single" w:color="auto" w:sz="12" w:space="0"/>
            </w:tcBorders>
            <w:vAlign w:val="center"/>
          </w:tcPr>
          <w:p>
            <w:pPr>
              <w:pStyle w:val="168"/>
              <w:ind w:firstLine="360" w:firstLineChars="200"/>
              <w:jc w:val="both"/>
            </w:pPr>
            <w:r>
              <w:rPr>
                <w:rFonts w:ascii="黑体" w:hAnsi="黑体" w:eastAsia="黑体"/>
              </w:rPr>
              <w:t>注：</w:t>
            </w:r>
            <w:r>
              <w:rPr>
                <w:rFonts w:hint="eastAsia"/>
              </w:rPr>
              <w:t>围堰高度指堰顶高程至水底的高度。</w:t>
            </w:r>
          </w:p>
        </w:tc>
      </w:tr>
    </w:tbl>
    <w:p>
      <w:pPr>
        <w:pStyle w:val="84"/>
        <w:spacing w:before="120"/>
      </w:pPr>
      <w:r>
        <w:t>水位、风、波浪重现期及设计波高累计频率应结合安全等级、施工季节、气象复杂程度等综合确定，且应符合表7的规定。</w:t>
      </w:r>
    </w:p>
    <w:p>
      <w:pPr>
        <w:pStyle w:val="147"/>
        <w:spacing w:before="156" w:after="156"/>
      </w:pPr>
      <w:r>
        <w:t>表7 围堰工程水位、风、波浪重现期</w:t>
      </w:r>
    </w:p>
    <w:tbl>
      <w:tblPr>
        <w:tblStyle w:val="5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64"/>
        <w:gridCol w:w="2044"/>
        <w:gridCol w:w="2686"/>
        <w:gridCol w:w="28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6" w:type="pct"/>
            <w:tcBorders>
              <w:top w:val="single" w:color="auto" w:sz="12" w:space="0"/>
            </w:tcBorders>
            <w:vAlign w:val="center"/>
          </w:tcPr>
          <w:p>
            <w:pPr>
              <w:pStyle w:val="168"/>
            </w:pPr>
            <w:r>
              <w:t>水位</w:t>
            </w:r>
            <w:r>
              <w:rPr>
                <w:rFonts w:hint="eastAsia"/>
              </w:rPr>
              <w:t>重现期</w:t>
            </w:r>
            <w:r>
              <w:t>(</w:t>
            </w:r>
            <w:r>
              <w:rPr>
                <w:rFonts w:hint="eastAsia"/>
              </w:rPr>
              <w:t>年</w:t>
            </w:r>
            <w:r>
              <w:t>)</w:t>
            </w:r>
          </w:p>
        </w:tc>
        <w:tc>
          <w:tcPr>
            <w:tcW w:w="1068" w:type="pct"/>
            <w:tcBorders>
              <w:top w:val="single" w:color="auto" w:sz="12" w:space="0"/>
            </w:tcBorders>
            <w:vAlign w:val="center"/>
          </w:tcPr>
          <w:p>
            <w:pPr>
              <w:pStyle w:val="168"/>
            </w:pPr>
            <w:r>
              <w:t>风</w:t>
            </w:r>
            <w:r>
              <w:rPr>
                <w:rFonts w:hint="eastAsia"/>
              </w:rPr>
              <w:t>重现期</w:t>
            </w:r>
            <w:r>
              <w:t>(</w:t>
            </w:r>
            <w:r>
              <w:rPr>
                <w:rFonts w:hint="eastAsia"/>
              </w:rPr>
              <w:t>年</w:t>
            </w:r>
            <w:r>
              <w:t>)</w:t>
            </w:r>
          </w:p>
        </w:tc>
        <w:tc>
          <w:tcPr>
            <w:tcW w:w="1403" w:type="pct"/>
            <w:tcBorders>
              <w:top w:val="single" w:color="auto" w:sz="12" w:space="0"/>
            </w:tcBorders>
            <w:vAlign w:val="center"/>
          </w:tcPr>
          <w:p>
            <w:pPr>
              <w:pStyle w:val="168"/>
            </w:pPr>
            <w:r>
              <w:t>波浪</w:t>
            </w:r>
            <w:r>
              <w:rPr>
                <w:rFonts w:hint="eastAsia"/>
              </w:rPr>
              <w:t>重现期</w:t>
            </w:r>
            <w:r>
              <w:t>(</w:t>
            </w:r>
            <w:r>
              <w:rPr>
                <w:rFonts w:hint="eastAsia"/>
              </w:rPr>
              <w:t>年</w:t>
            </w:r>
            <w:r>
              <w:t>)</w:t>
            </w:r>
          </w:p>
        </w:tc>
        <w:tc>
          <w:tcPr>
            <w:tcW w:w="1503" w:type="pct"/>
            <w:tcBorders>
              <w:top w:val="single" w:color="auto" w:sz="12" w:space="0"/>
            </w:tcBorders>
            <w:vAlign w:val="center"/>
          </w:tcPr>
          <w:p>
            <w:pPr>
              <w:pStyle w:val="168"/>
            </w:pPr>
            <w:r>
              <w:t>设计波高累计频率(%)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6" w:type="pct"/>
            <w:vAlign w:val="center"/>
          </w:tcPr>
          <w:p>
            <w:pPr>
              <w:pStyle w:val="168"/>
            </w:pPr>
            <w:r>
              <w:t>20</w:t>
            </w:r>
          </w:p>
        </w:tc>
        <w:tc>
          <w:tcPr>
            <w:tcW w:w="1068" w:type="pct"/>
            <w:vAlign w:val="center"/>
          </w:tcPr>
          <w:p>
            <w:pPr>
              <w:pStyle w:val="168"/>
            </w:pPr>
            <w:r>
              <w:t>20</w:t>
            </w:r>
          </w:p>
        </w:tc>
        <w:tc>
          <w:tcPr>
            <w:tcW w:w="1403" w:type="pct"/>
            <w:vAlign w:val="center"/>
          </w:tcPr>
          <w:p>
            <w:pPr>
              <w:pStyle w:val="168"/>
            </w:pPr>
            <w:r>
              <w:t>20</w:t>
            </w:r>
          </w:p>
        </w:tc>
        <w:tc>
          <w:tcPr>
            <w:tcW w:w="1503" w:type="pct"/>
            <w:vAlign w:val="center"/>
          </w:tcPr>
          <w:p>
            <w:pPr>
              <w:pStyle w:val="168"/>
            </w:pPr>
            <w:r>
              <w:t>5</w:t>
            </w:r>
          </w:p>
        </w:tc>
      </w:tr>
    </w:tbl>
    <w:p>
      <w:pPr>
        <w:pStyle w:val="84"/>
        <w:spacing w:before="120"/>
      </w:pPr>
      <w:r>
        <w:t>堰顶高程应符合下列规定：</w:t>
      </w:r>
    </w:p>
    <w:p>
      <w:pPr>
        <w:pStyle w:val="80"/>
        <w:numPr>
          <w:ilvl w:val="0"/>
          <w:numId w:val="20"/>
        </w:numPr>
        <w:rPr>
          <w:rFonts w:hAnsi="宋体"/>
        </w:rPr>
      </w:pPr>
      <w:r>
        <w:rPr>
          <w:rFonts w:hAnsi="宋体"/>
        </w:rPr>
        <w:t>不低于设计洪水位与波浪爬高及堰顶安全加高之和，波浪计算应符合GB 50286的规定，堰顶安全加高值宜取0.3</w:t>
      </w:r>
      <w:r>
        <w:rPr>
          <w:rFonts w:hint="eastAsia" w:hAnsi="宋体"/>
        </w:rPr>
        <w:t xml:space="preserve"> </w:t>
      </w:r>
      <w:r>
        <w:rPr>
          <w:rFonts w:hAnsi="宋体"/>
        </w:rPr>
        <w:t>m～0.7</w:t>
      </w:r>
      <w:r>
        <w:rPr>
          <w:rFonts w:hint="eastAsia" w:hAnsi="宋体"/>
        </w:rPr>
        <w:t xml:space="preserve"> </w:t>
      </w:r>
      <w:r>
        <w:rPr>
          <w:rFonts w:hAnsi="宋体"/>
        </w:rPr>
        <w:t>m；</w:t>
      </w:r>
    </w:p>
    <w:p>
      <w:pPr>
        <w:pStyle w:val="80"/>
        <w:numPr>
          <w:ilvl w:val="0"/>
          <w:numId w:val="20"/>
        </w:numPr>
        <w:rPr>
          <w:rFonts w:hAnsi="宋体"/>
        </w:rPr>
      </w:pPr>
      <w:r>
        <w:rPr>
          <w:rFonts w:hAnsi="宋体"/>
        </w:rPr>
        <w:t>充分考虑堰体沉降并预留一定的沉降量。</w:t>
      </w:r>
    </w:p>
    <w:p>
      <w:pPr>
        <w:pStyle w:val="84"/>
        <w:spacing w:before="0" w:after="0"/>
        <w:rPr>
          <w:rFonts w:hAnsi="宋体"/>
        </w:rPr>
      </w:pPr>
      <w:r>
        <w:rPr>
          <w:rFonts w:hAnsi="宋体"/>
        </w:rPr>
        <w:t>当围堰迎水侧设置防浪墙时，堰顶高程</w:t>
      </w:r>
      <w:r>
        <w:rPr>
          <w:rFonts w:hint="eastAsia" w:hAnsi="宋体"/>
        </w:rPr>
        <w:t>可取</w:t>
      </w:r>
      <w:r>
        <w:rPr>
          <w:rFonts w:hAnsi="宋体"/>
        </w:rPr>
        <w:t>防浪墙顶高程；堰体高程（不含防浪墙）应高出设计洪水位0.5</w:t>
      </w:r>
      <w:r>
        <w:rPr>
          <w:rFonts w:hint="eastAsia" w:hAnsi="宋体"/>
        </w:rPr>
        <w:t xml:space="preserve"> </w:t>
      </w:r>
      <w:r>
        <w:rPr>
          <w:rFonts w:hAnsi="宋体"/>
        </w:rPr>
        <w:t>m以上；防浪墙高度不宜大于1.2</w:t>
      </w:r>
      <w:r>
        <w:rPr>
          <w:rFonts w:hint="eastAsia" w:hAnsi="宋体"/>
        </w:rPr>
        <w:t xml:space="preserve"> </w:t>
      </w:r>
      <w:r>
        <w:rPr>
          <w:rFonts w:hAnsi="宋体"/>
        </w:rPr>
        <w:t>m。</w:t>
      </w:r>
    </w:p>
    <w:p>
      <w:pPr>
        <w:pStyle w:val="84"/>
      </w:pPr>
      <w:r>
        <w:t>与永久堤防连接的首仓围堰应满足堤防工程设计要求。</w:t>
      </w:r>
    </w:p>
    <w:p>
      <w:pPr>
        <w:pStyle w:val="67"/>
        <w:spacing w:before="100" w:beforeLines="0" w:beforeAutospacing="1" w:after="100" w:afterLines="0" w:afterAutospacing="1"/>
        <w:rPr>
          <w:rFonts w:ascii="宋体" w:hAnsi="宋体" w:eastAsia="宋体"/>
        </w:rPr>
      </w:pPr>
      <w:r>
        <w:rPr>
          <w:rFonts w:ascii="宋体" w:eastAsia="宋体"/>
        </w:rPr>
        <w:t>围堰设计应进行稳定性验算；按承载能力极限状态设计计算结构时，作用基本组合的综合分项</w:t>
      </w:r>
      <w:r>
        <w:rPr>
          <w:rFonts w:ascii="宋体" w:hAnsi="宋体" w:eastAsia="宋体"/>
        </w:rPr>
        <w:t>系数不应小于1.25。安全等级为一级、二级、三级时结构重要性系数</w:t>
      </w:r>
      <w:r>
        <w:rPr>
          <w:rFonts w:hint="eastAsia" w:ascii="宋体" w:hAnsi="宋体" w:eastAsia="宋体"/>
        </w:rPr>
        <w:t>分别</w:t>
      </w:r>
      <w:r>
        <w:rPr>
          <w:rFonts w:ascii="宋体" w:hAnsi="宋体" w:eastAsia="宋体"/>
        </w:rPr>
        <w:t>不应小于1.1、1.0、0.9。</w:t>
      </w:r>
    </w:p>
    <w:p>
      <w:pPr>
        <w:pStyle w:val="84"/>
      </w:pPr>
      <w:r>
        <w:t>围堰上作用的分类应根据实际情况按表8确定。</w:t>
      </w:r>
    </w:p>
    <w:p>
      <w:pPr>
        <w:pStyle w:val="147"/>
        <w:spacing w:before="156" w:after="156"/>
      </w:pPr>
      <w:r>
        <w:t>表8 围堰结构上作用分类</w:t>
      </w:r>
    </w:p>
    <w:tbl>
      <w:tblPr>
        <w:tblStyle w:val="5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2500" w:type="pct"/>
            <w:vAlign w:val="center"/>
          </w:tcPr>
          <w:p>
            <w:pPr>
              <w:pStyle w:val="168"/>
            </w:pPr>
            <w:r>
              <w:t>作用分类</w:t>
            </w:r>
          </w:p>
        </w:tc>
        <w:tc>
          <w:tcPr>
            <w:tcW w:w="2500" w:type="pct"/>
            <w:vAlign w:val="center"/>
          </w:tcPr>
          <w:p>
            <w:pPr>
              <w:pStyle w:val="168"/>
            </w:pPr>
            <w:r>
              <w:t>作用名称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vMerge w:val="restart"/>
            <w:vAlign w:val="center"/>
          </w:tcPr>
          <w:p>
            <w:pPr>
              <w:pStyle w:val="168"/>
            </w:pPr>
            <w:r>
              <w:t>永久作用</w:t>
            </w:r>
          </w:p>
        </w:tc>
        <w:tc>
          <w:tcPr>
            <w:tcW w:w="2500" w:type="pct"/>
            <w:vAlign w:val="center"/>
          </w:tcPr>
          <w:p>
            <w:pPr>
              <w:pStyle w:val="168"/>
            </w:pPr>
            <w:r>
              <w:t>结构自重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vMerge w:val="continue"/>
            <w:vAlign w:val="center"/>
          </w:tcPr>
          <w:p>
            <w:pPr>
              <w:pStyle w:val="168"/>
            </w:pPr>
          </w:p>
        </w:tc>
        <w:tc>
          <w:tcPr>
            <w:tcW w:w="2500" w:type="pct"/>
            <w:vAlign w:val="center"/>
          </w:tcPr>
          <w:p>
            <w:pPr>
              <w:pStyle w:val="168"/>
            </w:pPr>
            <w:r>
              <w:t>土压力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vMerge w:val="continue"/>
            <w:vAlign w:val="center"/>
          </w:tcPr>
          <w:p>
            <w:pPr>
              <w:pStyle w:val="168"/>
            </w:pPr>
          </w:p>
        </w:tc>
        <w:tc>
          <w:tcPr>
            <w:tcW w:w="2500" w:type="pct"/>
            <w:vAlign w:val="center"/>
          </w:tcPr>
          <w:p>
            <w:pPr>
              <w:pStyle w:val="168"/>
            </w:pPr>
            <w:r>
              <w:t>静水压力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vMerge w:val="restart"/>
            <w:vAlign w:val="center"/>
          </w:tcPr>
          <w:p>
            <w:pPr>
              <w:pStyle w:val="168"/>
            </w:pPr>
            <w:r>
              <w:t>可变作用</w:t>
            </w:r>
          </w:p>
        </w:tc>
        <w:tc>
          <w:tcPr>
            <w:tcW w:w="2500" w:type="pct"/>
            <w:vAlign w:val="center"/>
          </w:tcPr>
          <w:p>
            <w:pPr>
              <w:pStyle w:val="168"/>
            </w:pPr>
            <w:r>
              <w:t>施工临时作用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vMerge w:val="continue"/>
            <w:vAlign w:val="center"/>
          </w:tcPr>
          <w:p>
            <w:pPr>
              <w:pStyle w:val="168"/>
            </w:pPr>
          </w:p>
        </w:tc>
        <w:tc>
          <w:tcPr>
            <w:tcW w:w="2500" w:type="pct"/>
            <w:vAlign w:val="center"/>
          </w:tcPr>
          <w:p>
            <w:pPr>
              <w:pStyle w:val="168"/>
            </w:pPr>
            <w:r>
              <w:rPr>
                <w:rFonts w:hint="eastAsia"/>
              </w:rPr>
              <w:t>风荷载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vMerge w:val="continue"/>
            <w:vAlign w:val="center"/>
          </w:tcPr>
          <w:p>
            <w:pPr>
              <w:pStyle w:val="168"/>
            </w:pPr>
          </w:p>
        </w:tc>
        <w:tc>
          <w:tcPr>
            <w:tcW w:w="2500" w:type="pct"/>
            <w:vAlign w:val="center"/>
          </w:tcPr>
          <w:p>
            <w:pPr>
              <w:pStyle w:val="168"/>
            </w:pPr>
            <w:r>
              <w:t>流水压力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vMerge w:val="continue"/>
            <w:vAlign w:val="center"/>
          </w:tcPr>
          <w:p>
            <w:pPr>
              <w:pStyle w:val="168"/>
            </w:pPr>
          </w:p>
        </w:tc>
        <w:tc>
          <w:tcPr>
            <w:tcW w:w="2500" w:type="pct"/>
            <w:vAlign w:val="center"/>
          </w:tcPr>
          <w:p>
            <w:pPr>
              <w:pStyle w:val="168"/>
            </w:pPr>
            <w:r>
              <w:t>波浪力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bottom w:val="single" w:color="auto" w:sz="12" w:space="0"/>
            </w:tcBorders>
            <w:vAlign w:val="center"/>
          </w:tcPr>
          <w:p>
            <w:pPr>
              <w:pStyle w:val="168"/>
            </w:pPr>
            <w:r>
              <w:rPr>
                <w:rFonts w:hint="eastAsia"/>
              </w:rPr>
              <w:t>偶然作用</w:t>
            </w:r>
          </w:p>
        </w:tc>
        <w:tc>
          <w:tcPr>
            <w:tcW w:w="2500" w:type="pct"/>
            <w:tcBorders>
              <w:bottom w:val="single" w:color="auto" w:sz="12" w:space="0"/>
            </w:tcBorders>
            <w:vAlign w:val="center"/>
          </w:tcPr>
          <w:p>
            <w:pPr>
              <w:pStyle w:val="168"/>
            </w:pPr>
            <w:r>
              <w:rPr>
                <w:rFonts w:hint="eastAsia"/>
              </w:rPr>
              <w:t>船舶撞击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2"/>
            <w:tcBorders>
              <w:top w:val="single" w:color="auto" w:sz="12" w:space="0"/>
              <w:bottom w:val="single" w:color="auto" w:sz="12" w:space="0"/>
            </w:tcBorders>
            <w:vAlign w:val="center"/>
          </w:tcPr>
          <w:p>
            <w:pPr>
              <w:pStyle w:val="86"/>
              <w:ind w:left="0" w:firstLine="360" w:firstLineChars="200"/>
            </w:pPr>
            <w:r>
              <w:t>设计中要求考虑的其他作用，可根据其性质分别列入上述作用中</w:t>
            </w:r>
            <w:r>
              <w:rPr>
                <w:rFonts w:hint="eastAsia"/>
              </w:rPr>
              <w:t>；</w:t>
            </w:r>
          </w:p>
          <w:p>
            <w:pPr>
              <w:pStyle w:val="86"/>
              <w:ind w:left="0" w:firstLine="360" w:firstLineChars="200"/>
            </w:pPr>
            <w:r>
              <w:t>表中所列作用本节未加说明者，可按有关现行规范或根据实际情况确定。</w:t>
            </w:r>
          </w:p>
        </w:tc>
      </w:tr>
    </w:tbl>
    <w:p>
      <w:pPr>
        <w:pStyle w:val="84"/>
        <w:spacing w:before="120"/>
      </w:pPr>
      <w:r>
        <w:t>应根据围堰高度、周边环境、地质、水文等条件划分围堰计算剖面，计算剖面按最不利工况进行平面结构计算。必要时</w:t>
      </w:r>
      <w:r>
        <w:rPr>
          <w:rFonts w:hint="eastAsia"/>
        </w:rPr>
        <w:t>应</w:t>
      </w:r>
      <w:r>
        <w:t>采用三维空间结构模型进行计算。</w:t>
      </w:r>
    </w:p>
    <w:p>
      <w:pPr>
        <w:pStyle w:val="84"/>
      </w:pPr>
      <w:r>
        <w:t>围堰填料宜选用隧道开挖料，可根据材料特性直接或经过处理后用于围堰的不同部位填筑。</w:t>
      </w:r>
    </w:p>
    <w:p>
      <w:pPr>
        <w:pStyle w:val="63"/>
        <w:spacing w:before="156" w:after="156"/>
      </w:pPr>
      <w:bookmarkStart w:id="78" w:name="_Toc154132518"/>
      <w:bookmarkStart w:id="79" w:name="_Toc154179490"/>
      <w:r>
        <w:t>围堰选型与布置</w:t>
      </w:r>
      <w:bookmarkEnd w:id="78"/>
      <w:bookmarkEnd w:id="79"/>
    </w:p>
    <w:p>
      <w:pPr>
        <w:pStyle w:val="84"/>
      </w:pPr>
      <w:r>
        <w:rPr>
          <w:rFonts w:hint="eastAsia"/>
        </w:rPr>
        <w:t>应</w:t>
      </w:r>
      <w:r>
        <w:t>根据</w:t>
      </w:r>
      <w:r>
        <w:rPr>
          <w:rFonts w:hint="eastAsia"/>
        </w:rPr>
        <w:t>水域宽度、水深</w:t>
      </w:r>
      <w:r>
        <w:t>、地质条件</w:t>
      </w:r>
      <w:r>
        <w:rPr>
          <w:rFonts w:hint="eastAsia"/>
        </w:rPr>
        <w:t>以及航运、水利、环保、工期等要求，经技术、经济综合比选，确定围堰型式和布置方式。常见的围堰形式见表</w:t>
      </w:r>
      <w:r>
        <w:t>9</w:t>
      </w:r>
      <w:r>
        <w:rPr>
          <w:rFonts w:hint="eastAsia"/>
        </w:rPr>
        <w:t>，有可靠经验时，可采用其他围堰型式，并应满足抗滑移、抗倾覆、抗渗流等要求。</w:t>
      </w:r>
    </w:p>
    <w:p>
      <w:pPr>
        <w:pStyle w:val="147"/>
        <w:spacing w:before="156" w:after="156"/>
      </w:pPr>
      <w:r>
        <w:t xml:space="preserve">表9 </w:t>
      </w:r>
      <w:r>
        <w:rPr>
          <w:rFonts w:hint="eastAsia"/>
        </w:rPr>
        <w:t>常见</w:t>
      </w:r>
      <w:r>
        <w:t>围堰</w:t>
      </w:r>
      <w:r>
        <w:rPr>
          <w:rFonts w:hint="eastAsia"/>
        </w:rPr>
        <w:t>型式</w:t>
      </w:r>
    </w:p>
    <w:tbl>
      <w:tblPr>
        <w:tblStyle w:val="5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80"/>
        <w:gridCol w:w="1640"/>
        <w:gridCol w:w="1801"/>
        <w:gridCol w:w="1285"/>
        <w:gridCol w:w="43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1108" w:type="pct"/>
            <w:gridSpan w:val="2"/>
            <w:vAlign w:val="center"/>
          </w:tcPr>
          <w:p>
            <w:pPr>
              <w:pStyle w:val="168"/>
            </w:pPr>
            <w:r>
              <w:rPr>
                <w:rFonts w:hint="eastAsia"/>
              </w:rPr>
              <w:t>围堰型式</w:t>
            </w:r>
          </w:p>
        </w:tc>
        <w:tc>
          <w:tcPr>
            <w:tcW w:w="941" w:type="pct"/>
            <w:vAlign w:val="center"/>
          </w:tcPr>
          <w:p>
            <w:pPr>
              <w:pStyle w:val="168"/>
            </w:pPr>
            <w:r>
              <w:rPr>
                <w:rFonts w:hint="eastAsia"/>
              </w:rPr>
              <w:t>适用地层</w:t>
            </w:r>
          </w:p>
        </w:tc>
        <w:tc>
          <w:tcPr>
            <w:tcW w:w="671" w:type="pct"/>
            <w:vAlign w:val="center"/>
          </w:tcPr>
          <w:p>
            <w:pPr>
              <w:pStyle w:val="168"/>
            </w:pPr>
            <w:r>
              <w:rPr>
                <w:rFonts w:hint="eastAsia"/>
              </w:rPr>
              <w:t>水深（m）</w:t>
            </w:r>
          </w:p>
        </w:tc>
        <w:tc>
          <w:tcPr>
            <w:tcW w:w="2281" w:type="pct"/>
            <w:vAlign w:val="center"/>
          </w:tcPr>
          <w:p>
            <w:pPr>
              <w:pStyle w:val="168"/>
            </w:pPr>
            <w:r>
              <w:rPr>
                <w:rFonts w:hint="eastAsia"/>
              </w:rPr>
              <w:t>适用条件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 w:type="pct"/>
            <w:gridSpan w:val="2"/>
            <w:vAlign w:val="center"/>
          </w:tcPr>
          <w:p>
            <w:pPr>
              <w:pStyle w:val="168"/>
            </w:pPr>
            <w:r>
              <w:rPr>
                <w:rFonts w:hint="eastAsia"/>
              </w:rPr>
              <w:t>土围堰</w:t>
            </w:r>
          </w:p>
        </w:tc>
        <w:tc>
          <w:tcPr>
            <w:tcW w:w="941" w:type="pct"/>
            <w:vAlign w:val="center"/>
          </w:tcPr>
          <w:p>
            <w:pPr>
              <w:pStyle w:val="168"/>
            </w:pPr>
            <w:r>
              <w:rPr>
                <w:rFonts w:hint="eastAsia"/>
              </w:rPr>
              <w:t>黏性土、砂土、卵砾石及基岩等各类地层</w:t>
            </w:r>
          </w:p>
        </w:tc>
        <w:tc>
          <w:tcPr>
            <w:tcW w:w="671" w:type="pct"/>
            <w:vAlign w:val="center"/>
          </w:tcPr>
          <w:p>
            <w:pPr>
              <w:pStyle w:val="168"/>
            </w:pPr>
            <w:r>
              <w:rPr>
                <w:rFonts w:hint="eastAsia"/>
              </w:rPr>
              <w:t>＜</w:t>
            </w:r>
            <w:r>
              <w:t>10</w:t>
            </w:r>
          </w:p>
        </w:tc>
        <w:tc>
          <w:tcPr>
            <w:tcW w:w="2282" w:type="pct"/>
            <w:vAlign w:val="center"/>
          </w:tcPr>
          <w:p>
            <w:pPr>
              <w:pStyle w:val="168"/>
              <w:ind w:firstLine="360" w:firstLineChars="200"/>
              <w:jc w:val="left"/>
            </w:pPr>
            <w:r>
              <w:rPr>
                <w:rFonts w:hint="eastAsia"/>
              </w:rPr>
              <w:t>适用于水深较小、水流冲刷小的水域，且有黏性土填料来源，如湖泊、小型河流等；地基承载力要求较高，需设置单独的防渗帷幕。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1" w:type="pct"/>
            <w:vMerge w:val="restart"/>
            <w:vAlign w:val="center"/>
          </w:tcPr>
          <w:p>
            <w:pPr>
              <w:pStyle w:val="168"/>
            </w:pPr>
            <w:r>
              <w:rPr>
                <w:rFonts w:hint="eastAsia"/>
              </w:rPr>
              <w:t>钢围堰</w:t>
            </w:r>
          </w:p>
        </w:tc>
        <w:tc>
          <w:tcPr>
            <w:tcW w:w="857" w:type="pct"/>
            <w:vAlign w:val="center"/>
          </w:tcPr>
          <w:p>
            <w:pPr>
              <w:pStyle w:val="168"/>
            </w:pPr>
            <w:r>
              <w:rPr>
                <w:rFonts w:hint="eastAsia"/>
              </w:rPr>
              <w:t>单排钢围堰</w:t>
            </w:r>
          </w:p>
        </w:tc>
        <w:tc>
          <w:tcPr>
            <w:tcW w:w="941" w:type="pct"/>
            <w:vMerge w:val="restart"/>
            <w:vAlign w:val="center"/>
          </w:tcPr>
          <w:p>
            <w:pPr>
              <w:pStyle w:val="168"/>
            </w:pPr>
            <w:r>
              <w:rPr>
                <w:rFonts w:hint="eastAsia"/>
              </w:rPr>
              <w:t>适用于黏性土、软土；密实的砂层、卵砾石及基岩地层中施工难度较大</w:t>
            </w:r>
          </w:p>
        </w:tc>
        <w:tc>
          <w:tcPr>
            <w:tcW w:w="671" w:type="pct"/>
            <w:vAlign w:val="center"/>
          </w:tcPr>
          <w:p>
            <w:pPr>
              <w:pStyle w:val="168"/>
            </w:pPr>
            <w:r>
              <w:rPr>
                <w:rFonts w:hint="eastAsia"/>
              </w:rPr>
              <w:t>＜</w:t>
            </w:r>
            <w:r>
              <w:t>3</w:t>
            </w:r>
          </w:p>
        </w:tc>
        <w:tc>
          <w:tcPr>
            <w:tcW w:w="2281" w:type="pct"/>
            <w:tcBorders>
              <w:bottom w:val="single" w:color="auto" w:sz="4" w:space="0"/>
            </w:tcBorders>
            <w:vAlign w:val="center"/>
          </w:tcPr>
          <w:p>
            <w:pPr>
              <w:pStyle w:val="168"/>
              <w:ind w:firstLine="360" w:firstLineChars="200"/>
              <w:jc w:val="left"/>
            </w:pPr>
            <w:r>
              <w:rPr>
                <w:rFonts w:hint="eastAsia"/>
              </w:rPr>
              <w:t>适用于水深小、水流小的水域，如小型湖泊；桩体可作为防渗帷幕，接头防渗要求高。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1" w:type="pct"/>
            <w:vMerge w:val="continue"/>
            <w:vAlign w:val="center"/>
          </w:tcPr>
          <w:p>
            <w:pPr>
              <w:pStyle w:val="168"/>
            </w:pPr>
          </w:p>
        </w:tc>
        <w:tc>
          <w:tcPr>
            <w:tcW w:w="857" w:type="pct"/>
            <w:vAlign w:val="center"/>
          </w:tcPr>
          <w:p>
            <w:pPr>
              <w:pStyle w:val="168"/>
            </w:pPr>
            <w:r>
              <w:rPr>
                <w:rFonts w:hint="eastAsia"/>
              </w:rPr>
              <w:t>双排钢围堰</w:t>
            </w:r>
          </w:p>
        </w:tc>
        <w:tc>
          <w:tcPr>
            <w:tcW w:w="941" w:type="pct"/>
            <w:vMerge w:val="continue"/>
            <w:vAlign w:val="center"/>
          </w:tcPr>
          <w:p>
            <w:pPr>
              <w:pStyle w:val="168"/>
            </w:pPr>
          </w:p>
        </w:tc>
        <w:tc>
          <w:tcPr>
            <w:tcW w:w="671" w:type="pct"/>
            <w:vAlign w:val="center"/>
          </w:tcPr>
          <w:p>
            <w:pPr>
              <w:pStyle w:val="168"/>
            </w:pPr>
            <w:r>
              <w:t>3～15</w:t>
            </w:r>
          </w:p>
        </w:tc>
        <w:tc>
          <w:tcPr>
            <w:tcW w:w="2281" w:type="pct"/>
            <w:tcBorders>
              <w:top w:val="single" w:color="auto" w:sz="4" w:space="0"/>
              <w:bottom w:val="single" w:color="auto" w:sz="4" w:space="0"/>
            </w:tcBorders>
            <w:vAlign w:val="center"/>
          </w:tcPr>
          <w:p>
            <w:pPr>
              <w:pStyle w:val="168"/>
              <w:ind w:firstLine="360" w:firstLineChars="200"/>
              <w:jc w:val="left"/>
            </w:pPr>
            <w:r>
              <w:rPr>
                <w:rFonts w:hint="eastAsia"/>
              </w:rPr>
              <w:t>适用于水深范围较广、有一定冲刷的水域，如湖泊、河流或近海等；桩体可作为防渗帷幕，接头防渗要求高。</w:t>
            </w:r>
          </w:p>
        </w:tc>
      </w:tr>
    </w:tbl>
    <w:p>
      <w:pPr>
        <w:pStyle w:val="84"/>
      </w:pPr>
      <w:r>
        <w:rPr>
          <w:rFonts w:hint="eastAsia"/>
        </w:rPr>
        <w:t>围堰布置应满足以下要求：</w:t>
      </w:r>
    </w:p>
    <w:p>
      <w:pPr>
        <w:pStyle w:val="80"/>
        <w:numPr>
          <w:ilvl w:val="0"/>
          <w:numId w:val="21"/>
        </w:numPr>
      </w:pPr>
      <w:r>
        <w:t>围堰布置应满足行洪</w:t>
      </w:r>
      <w:r>
        <w:rPr>
          <w:rFonts w:hint="eastAsia"/>
        </w:rPr>
        <w:t>、航运及水环境</w:t>
      </w:r>
      <w:r>
        <w:t>等需求</w:t>
      </w:r>
      <w:r>
        <w:rPr>
          <w:rFonts w:hint="eastAsia"/>
        </w:rPr>
        <w:t>；</w:t>
      </w:r>
    </w:p>
    <w:p>
      <w:pPr>
        <w:pStyle w:val="80"/>
        <w:numPr>
          <w:ilvl w:val="0"/>
          <w:numId w:val="21"/>
        </w:numPr>
      </w:pPr>
      <w:r>
        <w:t>应合理制定围堰分仓分段施工方案，每仓围堰长度应结合工期、水面宽度、防洪等因素进行</w:t>
      </w:r>
      <w:r>
        <w:rPr>
          <w:rFonts w:hint="eastAsia"/>
        </w:rPr>
        <w:t>技术</w:t>
      </w:r>
      <w:r>
        <w:t>经济性比选</w:t>
      </w:r>
      <w:r>
        <w:rPr>
          <w:rFonts w:hint="eastAsia"/>
        </w:rPr>
        <w:t>；</w:t>
      </w:r>
    </w:p>
    <w:p>
      <w:pPr>
        <w:pStyle w:val="80"/>
        <w:numPr>
          <w:ilvl w:val="0"/>
          <w:numId w:val="21"/>
        </w:numPr>
      </w:pPr>
      <w:r>
        <w:rPr>
          <w:rFonts w:hint="eastAsia"/>
        </w:rPr>
        <w:t>横向围堰应避开结构变形缝、设备用房等段落，轴线与隧道轴线尽量正交；</w:t>
      </w:r>
    </w:p>
    <w:p>
      <w:pPr>
        <w:pStyle w:val="80"/>
        <w:numPr>
          <w:ilvl w:val="0"/>
          <w:numId w:val="21"/>
        </w:numPr>
      </w:pPr>
      <w:r>
        <w:t>纵</w:t>
      </w:r>
      <w:r>
        <w:rPr>
          <w:rFonts w:hint="eastAsia"/>
        </w:rPr>
        <w:t>、</w:t>
      </w:r>
      <w:r>
        <w:t>横向围堰</w:t>
      </w:r>
      <w:r>
        <w:rPr>
          <w:rFonts w:hint="eastAsia"/>
        </w:rPr>
        <w:t>及其</w:t>
      </w:r>
      <w:r>
        <w:t>防渗体应形成封闭体系</w:t>
      </w:r>
      <w:r>
        <w:rPr>
          <w:rFonts w:hint="eastAsia"/>
        </w:rPr>
        <w:t>，有效抵挡水体及地下水。</w:t>
      </w:r>
    </w:p>
    <w:p>
      <w:pPr>
        <w:pStyle w:val="84"/>
      </w:pPr>
      <w:r>
        <w:rPr>
          <w:rFonts w:hint="eastAsia"/>
        </w:rPr>
        <w:t>应合理控制围堰与基坑间净距，净距不宜小于2倍基坑开挖深度，并满足施工需要。</w:t>
      </w:r>
    </w:p>
    <w:p>
      <w:pPr>
        <w:pStyle w:val="84"/>
      </w:pPr>
      <w:r>
        <w:rPr>
          <w:rFonts w:hint="eastAsia"/>
        </w:rPr>
        <w:t>二次</w:t>
      </w:r>
      <w:r>
        <w:t>横向</w:t>
      </w:r>
      <w:r>
        <w:rPr>
          <w:rFonts w:hint="eastAsia"/>
        </w:rPr>
        <w:t>围堰内侧</w:t>
      </w:r>
      <w:r>
        <w:t>结构</w:t>
      </w:r>
      <w:r>
        <w:rPr>
          <w:rFonts w:hint="eastAsia"/>
        </w:rPr>
        <w:t>回填距离应满足</w:t>
      </w:r>
      <w:r>
        <w:t>式</w:t>
      </w:r>
      <w:r>
        <w:rPr>
          <w:rFonts w:hint="eastAsia"/>
        </w:rPr>
        <w:t>（</w:t>
      </w:r>
      <w:r>
        <w:t>3</w:t>
      </w:r>
      <w:r>
        <w:rPr>
          <w:rFonts w:hint="eastAsia"/>
        </w:rPr>
        <w:t>）和</w:t>
      </w:r>
      <w:r>
        <w:t>式（4）</w:t>
      </w:r>
      <w:r>
        <w:rPr>
          <w:rFonts w:hint="eastAsia"/>
        </w:rPr>
        <w:t>要求。</w:t>
      </w:r>
      <w:r>
        <w:t>回填</w:t>
      </w:r>
      <w:r>
        <w:rPr>
          <w:rFonts w:hint="eastAsia"/>
        </w:rPr>
        <w:t>如图</w:t>
      </w:r>
      <w:r>
        <w:t>1</w:t>
      </w:r>
      <w:r>
        <w:rPr>
          <w:rFonts w:hint="eastAsia"/>
        </w:rPr>
        <w:t>所示：</w:t>
      </w:r>
    </w:p>
    <w:p>
      <w:pPr>
        <w:pStyle w:val="160"/>
        <w:wordWrap w:val="0"/>
        <w:spacing w:beforeLines="0" w:afterLines="0" w:line="240" w:lineRule="auto"/>
        <w:ind w:firstLine="0" w:firstLineChars="0"/>
        <w:jc w:val="right"/>
        <w:rPr>
          <w:rFonts w:ascii="宋体" w:hAnsi="宋体"/>
        </w:rPr>
      </w:pPr>
      <w:r>
        <w:rPr>
          <w:i/>
        </w:rPr>
        <w:t>L</w:t>
      </w:r>
      <w:r>
        <w:rPr>
          <w:vertAlign w:val="subscript"/>
        </w:rPr>
        <w:t xml:space="preserve">H </w:t>
      </w:r>
      <w:r>
        <w:rPr>
          <w:rFonts w:ascii="宋体" w:hAnsi="宋体"/>
        </w:rPr>
        <w:t>≥</w:t>
      </w:r>
      <w:r>
        <w:t xml:space="preserve"> </w:t>
      </w:r>
      <w:r>
        <w:rPr>
          <w:i/>
        </w:rPr>
        <w:t>cH</w:t>
      </w:r>
      <w:r>
        <w:rPr>
          <w:vertAlign w:val="subscript"/>
        </w:rPr>
        <w:t>1</w:t>
      </w:r>
      <w:r>
        <w:t xml:space="preserve">  </w:t>
      </w:r>
      <w:r>
        <w:rPr>
          <w:rFonts w:ascii="宋体" w:hAnsi="宋体"/>
        </w:rPr>
        <w:t xml:space="preserve">                                   （3）</w:t>
      </w:r>
    </w:p>
    <w:p>
      <w:pPr>
        <w:pStyle w:val="160"/>
        <w:wordWrap w:val="0"/>
        <w:spacing w:beforeLines="0" w:afterLines="0" w:line="240" w:lineRule="auto"/>
        <w:ind w:firstLine="0" w:firstLineChars="0"/>
        <w:jc w:val="right"/>
        <w:rPr>
          <w:rFonts w:ascii="宋体" w:hAnsi="宋体"/>
        </w:rPr>
      </w:pPr>
      <w:r>
        <w:rPr>
          <w:i/>
        </w:rPr>
        <w:t>L</w:t>
      </w:r>
      <w:r>
        <w:rPr>
          <w:vertAlign w:val="subscript"/>
        </w:rPr>
        <w:t xml:space="preserve">H </w:t>
      </w:r>
      <w:r>
        <w:t xml:space="preserve">+ </w:t>
      </w:r>
      <w:r>
        <w:rPr>
          <w:i/>
        </w:rPr>
        <w:t>L</w:t>
      </w:r>
      <w:r>
        <w:rPr>
          <w:vertAlign w:val="subscript"/>
        </w:rPr>
        <w:t xml:space="preserve">V </w:t>
      </w:r>
      <w:r>
        <w:rPr>
          <w:rFonts w:ascii="宋体" w:hAnsi="宋体"/>
        </w:rPr>
        <w:t>≥</w:t>
      </w:r>
      <w:r>
        <w:t xml:space="preserve"> </w:t>
      </w:r>
      <w:r>
        <w:rPr>
          <w:i/>
        </w:rPr>
        <w:t>cH</w:t>
      </w:r>
      <w:r>
        <w:rPr>
          <w:vertAlign w:val="subscript"/>
        </w:rPr>
        <w:t>2</w:t>
      </w:r>
      <w:r>
        <w:t xml:space="preserve">  </w:t>
      </w:r>
      <w:r>
        <w:rPr>
          <w:rFonts w:ascii="宋体" w:hAnsi="宋体"/>
        </w:rPr>
        <w:t xml:space="preserve">                              （4）</w:t>
      </w:r>
    </w:p>
    <w:p>
      <w:pPr>
        <w:ind w:firstLine="420" w:firstLineChars="200"/>
      </w:pPr>
      <w:r>
        <w:t>式中：</w:t>
      </w:r>
    </w:p>
    <w:p>
      <w:pPr>
        <w:ind w:firstLine="420" w:firstLineChars="200"/>
      </w:pPr>
      <w:r>
        <w:rPr>
          <w:i/>
        </w:rPr>
        <w:t>L</w:t>
      </w:r>
      <w:r>
        <w:rPr>
          <w:vertAlign w:val="subscript"/>
        </w:rPr>
        <w:t>H</w:t>
      </w:r>
      <w:r>
        <w:t>——</w:t>
      </w:r>
      <w:r>
        <w:rPr>
          <w:rFonts w:ascii="宋体" w:hAnsi="宋体"/>
        </w:rPr>
        <w:t>结构轮廓线水平长度（m）；</w:t>
      </w:r>
    </w:p>
    <w:p>
      <w:pPr>
        <w:ind w:firstLine="420" w:firstLineChars="200"/>
        <w:rPr>
          <w:rFonts w:ascii="宋体" w:hAnsi="宋体"/>
        </w:rPr>
      </w:pPr>
      <w:r>
        <w:rPr>
          <w:i/>
        </w:rPr>
        <w:t>c</w:t>
      </w:r>
      <w:r>
        <w:t>——</w:t>
      </w:r>
      <w:r>
        <w:rPr>
          <w:rFonts w:ascii="宋体" w:hAnsi="宋体"/>
        </w:rPr>
        <w:t>渗径系数，回填采用黏性土时可取4～5，采用灰土、水泥土时可取3～4；</w:t>
      </w:r>
    </w:p>
    <w:p>
      <w:pPr>
        <w:ind w:firstLine="420" w:firstLineChars="200"/>
        <w:rPr>
          <w:rFonts w:ascii="宋体" w:hAnsi="宋体"/>
        </w:rPr>
      </w:pPr>
      <w:r>
        <w:rPr>
          <w:i/>
        </w:rPr>
        <w:t>H</w:t>
      </w:r>
      <w:r>
        <w:rPr>
          <w:vertAlign w:val="subscript"/>
        </w:rPr>
        <w:t>1</w:t>
      </w:r>
      <w:r>
        <w:t>——</w:t>
      </w:r>
      <w:r>
        <w:rPr>
          <w:rFonts w:ascii="宋体" w:hAnsi="宋体"/>
        </w:rPr>
        <w:t>结构顶板顶计算水头（m）；</w:t>
      </w:r>
    </w:p>
    <w:p>
      <w:pPr>
        <w:ind w:firstLine="420" w:firstLineChars="200"/>
        <w:rPr>
          <w:rFonts w:ascii="宋体" w:hAnsi="宋体"/>
        </w:rPr>
      </w:pPr>
      <w:r>
        <w:rPr>
          <w:i/>
        </w:rPr>
        <w:t>L</w:t>
      </w:r>
      <w:r>
        <w:rPr>
          <w:vertAlign w:val="subscript"/>
        </w:rPr>
        <w:t>V</w:t>
      </w:r>
      <w:r>
        <w:t>——</w:t>
      </w:r>
      <w:r>
        <w:rPr>
          <w:rFonts w:ascii="宋体" w:hAnsi="宋体"/>
        </w:rPr>
        <w:t>结构轮廓线垂直段长度（m）；</w:t>
      </w:r>
    </w:p>
    <w:p>
      <w:pPr>
        <w:ind w:firstLine="420" w:firstLineChars="200"/>
        <w:rPr>
          <w:rFonts w:ascii="宋体" w:hAnsi="宋体"/>
        </w:rPr>
      </w:pPr>
      <w:r>
        <w:rPr>
          <w:i/>
        </w:rPr>
        <w:t>H</w:t>
      </w:r>
      <w:r>
        <w:rPr>
          <w:vertAlign w:val="subscript"/>
        </w:rPr>
        <w:t>2</w:t>
      </w:r>
      <w:r>
        <w:t>——</w:t>
      </w:r>
      <w:r>
        <w:rPr>
          <w:rFonts w:ascii="宋体" w:hAnsi="宋体"/>
        </w:rPr>
        <w:t>结构底板底计算水头（m）。</w:t>
      </w:r>
    </w:p>
    <w:p>
      <w:pPr>
        <w:ind w:firstLine="420" w:firstLineChars="200"/>
        <w:rPr>
          <w:rFonts w:ascii="宋体" w:hAnsi="宋体"/>
        </w:rPr>
      </w:pPr>
    </w:p>
    <w:p>
      <w:pPr>
        <w:spacing w:before="156" w:beforeLines="50"/>
        <w:jc w:val="center"/>
      </w:pPr>
      <w:r>
        <w:rPr>
          <w:kern w:val="44"/>
          <w:szCs w:val="21"/>
        </w:rPr>
        <w:drawing>
          <wp:inline distT="0" distB="0" distL="0" distR="0">
            <wp:extent cx="4498975" cy="1184910"/>
            <wp:effectExtent l="0" t="0" r="0" b="0"/>
            <wp:docPr id="3" name="图片 1431817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31817407"/>
                    <pic:cNvPicPr>
                      <a:picLocks noChangeAspect="1" noChangeArrowheads="1"/>
                    </pic:cNvPicPr>
                  </pic:nvPicPr>
                  <pic:blipFill>
                    <a:blip r:embed="rId12"/>
                    <a:srcRect/>
                    <a:stretch>
                      <a:fillRect/>
                    </a:stretch>
                  </pic:blipFill>
                  <pic:spPr>
                    <a:xfrm>
                      <a:off x="0" y="0"/>
                      <a:ext cx="4498975" cy="1184910"/>
                    </a:xfrm>
                    <a:prstGeom prst="rect">
                      <a:avLst/>
                    </a:prstGeom>
                    <a:noFill/>
                    <a:ln w="9525">
                      <a:noFill/>
                      <a:miter lim="800000"/>
                      <a:headEnd/>
                      <a:tailEnd/>
                    </a:ln>
                  </pic:spPr>
                </pic:pic>
              </a:graphicData>
            </a:graphic>
          </wp:inline>
        </w:drawing>
      </w:r>
    </w:p>
    <w:p>
      <w:pPr>
        <w:pStyle w:val="174"/>
        <w:rPr>
          <w:rFonts w:ascii="宋体" w:hAnsi="宋体" w:eastAsia="宋体"/>
          <w:sz w:val="18"/>
          <w:szCs w:val="18"/>
        </w:rPr>
      </w:pPr>
      <w:r>
        <w:rPr>
          <w:rFonts w:ascii="宋体" w:hAnsi="宋体" w:eastAsia="宋体"/>
          <w:sz w:val="18"/>
          <w:szCs w:val="18"/>
        </w:rPr>
        <w:t>1</w:t>
      </w:r>
      <w:r>
        <w:rPr>
          <w:rFonts w:hint="eastAsia" w:ascii="宋体" w:hAnsi="宋体" w:eastAsia="宋体"/>
          <w:sz w:val="18"/>
          <w:szCs w:val="18"/>
        </w:rPr>
        <w:t>-</w:t>
      </w:r>
      <w:r>
        <w:rPr>
          <w:rFonts w:ascii="宋体" w:hAnsi="宋体" w:eastAsia="宋体"/>
          <w:sz w:val="18"/>
          <w:szCs w:val="18"/>
        </w:rPr>
        <w:t>二次横向围堰；2</w:t>
      </w:r>
      <w:r>
        <w:rPr>
          <w:rFonts w:hint="eastAsia" w:ascii="宋体" w:hAnsi="宋体" w:eastAsia="宋体"/>
          <w:sz w:val="18"/>
          <w:szCs w:val="18"/>
        </w:rPr>
        <w:t>-回填土</w:t>
      </w:r>
      <w:r>
        <w:rPr>
          <w:rFonts w:ascii="宋体" w:hAnsi="宋体" w:eastAsia="宋体"/>
          <w:sz w:val="18"/>
          <w:szCs w:val="18"/>
        </w:rPr>
        <w:t>；3</w:t>
      </w:r>
      <w:r>
        <w:rPr>
          <w:rFonts w:hint="eastAsia" w:ascii="宋体" w:hAnsi="宋体" w:eastAsia="宋体"/>
          <w:sz w:val="18"/>
          <w:szCs w:val="18"/>
        </w:rPr>
        <w:t>-结构</w:t>
      </w:r>
      <w:r>
        <w:rPr>
          <w:rFonts w:ascii="宋体" w:hAnsi="宋体" w:eastAsia="宋体"/>
          <w:sz w:val="18"/>
          <w:szCs w:val="18"/>
        </w:rPr>
        <w:t>顶板；4</w:t>
      </w:r>
      <w:r>
        <w:rPr>
          <w:rFonts w:hint="eastAsia" w:ascii="宋体" w:hAnsi="宋体" w:eastAsia="宋体"/>
          <w:sz w:val="18"/>
          <w:szCs w:val="18"/>
        </w:rPr>
        <w:t>-结构</w:t>
      </w:r>
      <w:r>
        <w:rPr>
          <w:rFonts w:ascii="宋体" w:hAnsi="宋体" w:eastAsia="宋体"/>
          <w:sz w:val="18"/>
          <w:szCs w:val="18"/>
        </w:rPr>
        <w:t>底板；5</w:t>
      </w:r>
      <w:r>
        <w:rPr>
          <w:rFonts w:hint="eastAsia" w:ascii="宋体" w:hAnsi="宋体" w:eastAsia="宋体"/>
          <w:sz w:val="18"/>
          <w:szCs w:val="18"/>
        </w:rPr>
        <w:t>-水位</w:t>
      </w:r>
      <w:r>
        <w:rPr>
          <w:rFonts w:ascii="宋体" w:hAnsi="宋体" w:eastAsia="宋体"/>
          <w:sz w:val="18"/>
          <w:szCs w:val="18"/>
        </w:rPr>
        <w:t>；6</w:t>
      </w:r>
      <w:r>
        <w:rPr>
          <w:rFonts w:hint="eastAsia" w:ascii="宋体" w:hAnsi="宋体" w:eastAsia="宋体"/>
          <w:sz w:val="18"/>
          <w:szCs w:val="18"/>
        </w:rPr>
        <w:t>-回填</w:t>
      </w:r>
      <w:r>
        <w:rPr>
          <w:rFonts w:ascii="宋体" w:hAnsi="宋体" w:eastAsia="宋体"/>
          <w:sz w:val="18"/>
          <w:szCs w:val="18"/>
        </w:rPr>
        <w:t>设计</w:t>
      </w:r>
      <w:r>
        <w:rPr>
          <w:rFonts w:hint="eastAsia" w:ascii="宋体" w:hAnsi="宋体" w:eastAsia="宋体"/>
          <w:sz w:val="18"/>
          <w:szCs w:val="18"/>
        </w:rPr>
        <w:t>高程</w:t>
      </w:r>
    </w:p>
    <w:p>
      <w:pPr>
        <w:pStyle w:val="149"/>
        <w:spacing w:before="156" w:after="156"/>
      </w:pPr>
      <w:r>
        <w:t>图</w:t>
      </w:r>
      <w:r>
        <w:rPr>
          <w:rFonts w:hint="eastAsia"/>
        </w:rPr>
        <w:t>1</w:t>
      </w:r>
      <w:r>
        <w:t>二次横向围堰内侧回填距离验算</w:t>
      </w:r>
    </w:p>
    <w:p>
      <w:pPr>
        <w:pStyle w:val="63"/>
        <w:spacing w:before="156" w:after="156"/>
      </w:pPr>
      <w:bookmarkStart w:id="80" w:name="_Toc154132519"/>
      <w:bookmarkStart w:id="81" w:name="_Toc154179491"/>
      <w:r>
        <w:t>土围堰设计</w:t>
      </w:r>
      <w:bookmarkEnd w:id="80"/>
      <w:bookmarkEnd w:id="81"/>
    </w:p>
    <w:p>
      <w:pPr>
        <w:pStyle w:val="84"/>
      </w:pPr>
      <w:r>
        <w:t>土</w:t>
      </w:r>
      <w:r>
        <w:rPr>
          <w:rFonts w:hint="eastAsia"/>
        </w:rPr>
        <w:t>围堰横断面结构与尺寸应经计算和技术经济比选后确定。</w:t>
      </w:r>
    </w:p>
    <w:p>
      <w:pPr>
        <w:pStyle w:val="84"/>
      </w:pPr>
      <w:r>
        <w:rPr>
          <w:rFonts w:hint="eastAsia"/>
        </w:rPr>
        <w:t>堰体渗流、稳定性验算应</w:t>
      </w:r>
      <w:r>
        <w:t>符合《</w:t>
      </w:r>
      <w:r>
        <w:rPr>
          <w:rFonts w:hint="eastAsia"/>
        </w:rPr>
        <w:t>堤防工程</w:t>
      </w:r>
      <w:r>
        <w:t>设计规范》</w:t>
      </w:r>
      <w:r>
        <w:rPr>
          <w:rFonts w:hint="eastAsia"/>
        </w:rPr>
        <w:t>（G</w:t>
      </w:r>
      <w:r>
        <w:t>B 50286）</w:t>
      </w:r>
      <w:r>
        <w:rPr>
          <w:rFonts w:hint="eastAsia"/>
        </w:rPr>
        <w:t>的规定，</w:t>
      </w:r>
      <w:r>
        <w:t>应考虑</w:t>
      </w:r>
      <w:r>
        <w:rPr>
          <w:rFonts w:hint="eastAsia"/>
        </w:rPr>
        <w:t>围堰</w:t>
      </w:r>
      <w:r>
        <w:t>使用期可能出现的不利条件，并包括以下工况：</w:t>
      </w:r>
    </w:p>
    <w:p>
      <w:pPr>
        <w:pStyle w:val="80"/>
        <w:numPr>
          <w:ilvl w:val="0"/>
          <w:numId w:val="22"/>
        </w:numPr>
      </w:pPr>
      <w:r>
        <w:t>迎水侧高水位，背水侧无水</w:t>
      </w:r>
      <w:r>
        <w:rPr>
          <w:rFonts w:hint="eastAsia"/>
        </w:rPr>
        <w:t>；</w:t>
      </w:r>
    </w:p>
    <w:p>
      <w:pPr>
        <w:pStyle w:val="80"/>
        <w:numPr>
          <w:ilvl w:val="0"/>
          <w:numId w:val="22"/>
        </w:numPr>
      </w:pPr>
      <w:r>
        <w:t>背水侧抽水对堰坡稳定的不利工况</w:t>
      </w:r>
      <w:r>
        <w:rPr>
          <w:rFonts w:hint="eastAsia"/>
        </w:rPr>
        <w:t>；</w:t>
      </w:r>
    </w:p>
    <w:p>
      <w:pPr>
        <w:pStyle w:val="80"/>
        <w:numPr>
          <w:ilvl w:val="0"/>
          <w:numId w:val="22"/>
        </w:numPr>
      </w:pPr>
      <w:r>
        <w:t>水位骤降对迎水侧堰坡稳定的不利工况。</w:t>
      </w:r>
    </w:p>
    <w:p>
      <w:pPr>
        <w:pStyle w:val="84"/>
      </w:pPr>
      <w:r>
        <w:t>筑堰</w:t>
      </w:r>
      <w:r>
        <w:rPr>
          <w:rFonts w:hint="eastAsia"/>
        </w:rPr>
        <w:t>填料宜满足以下要求</w:t>
      </w:r>
      <w:r>
        <w:t>：</w:t>
      </w:r>
    </w:p>
    <w:p>
      <w:pPr>
        <w:pStyle w:val="80"/>
        <w:numPr>
          <w:ilvl w:val="0"/>
          <w:numId w:val="23"/>
        </w:numPr>
      </w:pPr>
      <w:r>
        <w:t>土料宜选用黏粒含量为10%</w:t>
      </w:r>
      <w:r>
        <w:rPr>
          <w:rFonts w:ascii="Times New Roman"/>
        </w:rPr>
        <w:t>～</w:t>
      </w:r>
      <w:r>
        <w:t>35%、塑性指数为10</w:t>
      </w:r>
      <w:r>
        <w:rPr>
          <w:rFonts w:ascii="Times New Roman"/>
        </w:rPr>
        <w:t>～</w:t>
      </w:r>
      <w:r>
        <w:t>17的黏性土，渗透系数不宜大于1×10</w:t>
      </w:r>
      <w:r>
        <w:rPr>
          <w:vertAlign w:val="superscript"/>
        </w:rPr>
        <w:t>-5</w:t>
      </w:r>
      <w:r>
        <w:t>cm/s，且不得含植物根茎、砖瓦垃圾等杂质；填筑土料含水率与最</w:t>
      </w:r>
      <w:r>
        <w:rPr>
          <w:rFonts w:hint="eastAsia"/>
        </w:rPr>
        <w:t>佳</w:t>
      </w:r>
      <w:r>
        <w:t>含水率的允许偏差为±3%</w:t>
      </w:r>
      <w:r>
        <w:rPr>
          <w:rFonts w:hint="eastAsia"/>
        </w:rPr>
        <w:t>；</w:t>
      </w:r>
    </w:p>
    <w:p>
      <w:pPr>
        <w:pStyle w:val="80"/>
        <w:numPr>
          <w:ilvl w:val="0"/>
          <w:numId w:val="23"/>
        </w:numPr>
      </w:pPr>
      <w:r>
        <w:t>不采用淤泥质土、冻土、杂填土、膨胀土等作为筑堰</w:t>
      </w:r>
      <w:r>
        <w:rPr>
          <w:rFonts w:hint="eastAsia"/>
        </w:rPr>
        <w:t>填料；</w:t>
      </w:r>
    </w:p>
    <w:p>
      <w:pPr>
        <w:pStyle w:val="80"/>
        <w:numPr>
          <w:ilvl w:val="0"/>
          <w:numId w:val="23"/>
        </w:numPr>
      </w:pPr>
      <w:r>
        <w:t>垫层及反滤层的砂砾料应为连续级配、水稳性好，反滤砂砾料含泥量宜小于10%。</w:t>
      </w:r>
    </w:p>
    <w:p>
      <w:pPr>
        <w:pStyle w:val="84"/>
      </w:pPr>
      <w:r>
        <w:t>堰体</w:t>
      </w:r>
      <w:r>
        <w:rPr>
          <w:rFonts w:hint="eastAsia"/>
        </w:rPr>
        <w:t>水上</w:t>
      </w:r>
      <w:r>
        <w:t>填筑时，水位以下采用压占法填筑。水位</w:t>
      </w:r>
      <w:r>
        <w:rPr>
          <w:rFonts w:hint="eastAsia"/>
        </w:rPr>
        <w:t>以上</w:t>
      </w:r>
      <w:r>
        <w:t>和干地</w:t>
      </w:r>
      <w:r>
        <w:rPr>
          <w:rFonts w:hint="eastAsia"/>
        </w:rPr>
        <w:t>黏性土</w:t>
      </w:r>
      <w:r>
        <w:t>填筑的压实度不应小于91%。</w:t>
      </w:r>
      <w:r>
        <w:rPr>
          <w:rFonts w:hint="eastAsia"/>
        </w:rPr>
        <w:t>无黏性土</w:t>
      </w:r>
      <w:r>
        <w:t>的填筑碾压标准</w:t>
      </w:r>
      <w:r>
        <w:rPr>
          <w:rFonts w:hint="eastAsia"/>
        </w:rPr>
        <w:t>按</w:t>
      </w:r>
      <w:r>
        <w:t>相对密度</w:t>
      </w:r>
      <w:r>
        <w:rPr>
          <w:rFonts w:hint="eastAsia"/>
        </w:rPr>
        <w:t>确定</w:t>
      </w:r>
      <w:r>
        <w:t>，砂砾石的相对密度不应低于0.75，砂的相对密度不应低于0.7，反滤料的相对密度不应低于0.7</w:t>
      </w:r>
      <w:r>
        <w:rPr>
          <w:rFonts w:hint="eastAsia"/>
        </w:rPr>
        <w:t>。</w:t>
      </w:r>
    </w:p>
    <w:p>
      <w:pPr>
        <w:pStyle w:val="84"/>
      </w:pPr>
      <w:r>
        <w:rPr>
          <w:rFonts w:hint="eastAsia"/>
        </w:rPr>
        <w:t>堰体</w:t>
      </w:r>
      <w:r>
        <w:t>坡率</w:t>
      </w:r>
      <w:r>
        <w:rPr>
          <w:rFonts w:hint="eastAsia"/>
        </w:rPr>
        <w:t>应根据填筑材料、风浪等条件经计算确定，不宜陡于1:</w:t>
      </w:r>
      <w:r>
        <w:t>2</w:t>
      </w:r>
      <w:r>
        <w:rPr>
          <w:rFonts w:hint="eastAsia"/>
        </w:rPr>
        <w:t>；应根据冲刷条件，选择袋装土、预制块或喷混凝土等易于安装拆卸的护面形式。</w:t>
      </w:r>
    </w:p>
    <w:p>
      <w:pPr>
        <w:pStyle w:val="84"/>
      </w:pPr>
      <w:r>
        <w:rPr>
          <w:rFonts w:hint="eastAsia"/>
        </w:rPr>
        <w:t>风浪强烈的水域，围堰临水侧护面及坡脚尚应考虑消浪及防坡脚淘刷。临水侧</w:t>
      </w:r>
      <w:r>
        <w:t>可采用砌石、混凝土等护坡形式</w:t>
      </w:r>
      <w:r>
        <w:rPr>
          <w:rFonts w:hint="eastAsia"/>
        </w:rPr>
        <w:t>，</w:t>
      </w:r>
      <w:r>
        <w:t>护坡与土体之间应设置垫层。</w:t>
      </w:r>
    </w:p>
    <w:p>
      <w:pPr>
        <w:pStyle w:val="84"/>
      </w:pPr>
      <w:r>
        <w:rPr>
          <w:rFonts w:hint="eastAsia"/>
        </w:rPr>
        <w:t>堰顶应设置单向</w:t>
      </w:r>
      <w:r>
        <w:t>2%</w:t>
      </w:r>
      <w:r>
        <w:rPr>
          <w:rFonts w:ascii="Times New Roman"/>
        </w:rPr>
        <w:t>～</w:t>
      </w:r>
      <w:r>
        <w:t>3%的横坡向一侧排水，并设置封闭层防止雨水下渗</w:t>
      </w:r>
      <w:r>
        <w:rPr>
          <w:rFonts w:hint="eastAsia"/>
        </w:rPr>
        <w:t>；坡顶、坡面</w:t>
      </w:r>
      <w:r>
        <w:t>应</w:t>
      </w:r>
      <w:r>
        <w:rPr>
          <w:rFonts w:hint="eastAsia"/>
        </w:rPr>
        <w:t>具备完善的集</w:t>
      </w:r>
      <w:r>
        <w:t>排水</w:t>
      </w:r>
      <w:r>
        <w:rPr>
          <w:rFonts w:hint="eastAsia"/>
        </w:rPr>
        <w:t>系统，坡面宜设置泄水孔，并采取反滤措施</w:t>
      </w:r>
      <w:r>
        <w:t>。</w:t>
      </w:r>
    </w:p>
    <w:p>
      <w:pPr>
        <w:pStyle w:val="63"/>
        <w:spacing w:before="156" w:after="156"/>
      </w:pPr>
      <w:bookmarkStart w:id="82" w:name="_Toc154132520"/>
      <w:bookmarkStart w:id="83" w:name="_Toc154179492"/>
      <w:r>
        <w:t>钢围堰设计</w:t>
      </w:r>
      <w:bookmarkEnd w:id="82"/>
      <w:bookmarkEnd w:id="83"/>
    </w:p>
    <w:p>
      <w:pPr>
        <w:pStyle w:val="84"/>
      </w:pPr>
      <w:r>
        <w:rPr>
          <w:rFonts w:hint="eastAsia"/>
        </w:rPr>
        <w:t>应</w:t>
      </w:r>
      <w:r>
        <w:t>根据建设条件、围堰安全等级及施工要求，选择单排或双排钢围堰</w:t>
      </w:r>
      <w:r>
        <w:rPr>
          <w:rFonts w:hint="eastAsia"/>
        </w:rPr>
        <w:t>。</w:t>
      </w:r>
    </w:p>
    <w:p>
      <w:pPr>
        <w:pStyle w:val="84"/>
      </w:pPr>
      <w:r>
        <w:rPr>
          <w:rFonts w:hint="eastAsia"/>
        </w:rPr>
        <w:t>钢围堰稳定性验算应符合《钢围堰工程技术标准》（G</w:t>
      </w:r>
      <w:r>
        <w:t>B/T 51295</w:t>
      </w:r>
      <w:r>
        <w:rPr>
          <w:rFonts w:hint="eastAsia"/>
        </w:rPr>
        <w:t>）的规定，</w:t>
      </w:r>
      <w:r>
        <w:t>应考虑</w:t>
      </w:r>
      <w:r>
        <w:rPr>
          <w:rFonts w:hint="eastAsia"/>
        </w:rPr>
        <w:t>围堰</w:t>
      </w:r>
      <w:r>
        <w:t>施工期、使用期可能出现的</w:t>
      </w:r>
      <w:r>
        <w:rPr>
          <w:rFonts w:hint="eastAsia"/>
        </w:rPr>
        <w:t>最</w:t>
      </w:r>
      <w:r>
        <w:t>不利条件，并包括以下工况：</w:t>
      </w:r>
    </w:p>
    <w:p>
      <w:pPr>
        <w:pStyle w:val="80"/>
        <w:numPr>
          <w:ilvl w:val="0"/>
          <w:numId w:val="24"/>
        </w:numPr>
      </w:pPr>
      <w:r>
        <w:t>迎水侧为低水位、背水侧无水</w:t>
      </w:r>
      <w:r>
        <w:rPr>
          <w:rFonts w:hint="eastAsia"/>
        </w:rPr>
        <w:t>；</w:t>
      </w:r>
    </w:p>
    <w:p>
      <w:pPr>
        <w:pStyle w:val="80"/>
        <w:numPr>
          <w:ilvl w:val="0"/>
          <w:numId w:val="24"/>
        </w:numPr>
      </w:pPr>
      <w:r>
        <w:t>迎水侧为高水位、背水侧无水</w:t>
      </w:r>
      <w:r>
        <w:rPr>
          <w:rFonts w:hint="eastAsia"/>
        </w:rPr>
        <w:t>；</w:t>
      </w:r>
    </w:p>
    <w:p>
      <w:pPr>
        <w:pStyle w:val="80"/>
        <w:numPr>
          <w:ilvl w:val="0"/>
          <w:numId w:val="24"/>
        </w:numPr>
      </w:pPr>
      <w:r>
        <w:t>迎水侧为高水位、</w:t>
      </w:r>
      <w:r>
        <w:rPr>
          <w:rFonts w:hint="eastAsia"/>
        </w:rPr>
        <w:t>基坑开挖至坑底。</w:t>
      </w:r>
    </w:p>
    <w:p>
      <w:pPr>
        <w:pStyle w:val="84"/>
      </w:pPr>
      <w:r>
        <w:rPr>
          <w:rFonts w:hint="eastAsia"/>
        </w:rPr>
        <w:t>桩体强度及变形计算宜采用数值分析法，采用平面杆系结构弹性支点法进行分析，并充分考虑锁口的咬合程度、施工误差引起的刚度折减，折减系数可按</w:t>
      </w:r>
      <w:r>
        <w:t>0.85</w:t>
      </w:r>
      <w:r>
        <w:rPr>
          <w:rFonts w:hint="eastAsia"/>
        </w:rPr>
        <w:t>考虑。</w:t>
      </w:r>
    </w:p>
    <w:p>
      <w:pPr>
        <w:pStyle w:val="84"/>
      </w:pPr>
      <w:r>
        <w:t>钢</w:t>
      </w:r>
      <w:r>
        <w:rPr>
          <w:rFonts w:hint="eastAsia"/>
        </w:rPr>
        <w:t>拉杆的</w:t>
      </w:r>
      <w:r>
        <w:t>拉力</w:t>
      </w:r>
      <w:r>
        <w:rPr>
          <w:rFonts w:hint="eastAsia"/>
        </w:rPr>
        <w:t>设计</w:t>
      </w:r>
      <w:r>
        <w:t>值应按式</w:t>
      </w:r>
      <w:r>
        <w:rPr>
          <w:rFonts w:hint="eastAsia"/>
        </w:rPr>
        <w:t>（</w:t>
      </w:r>
      <w:r>
        <w:t>5</w:t>
      </w:r>
      <w:r>
        <w:rPr>
          <w:rFonts w:hint="eastAsia"/>
        </w:rPr>
        <w:t>）</w:t>
      </w:r>
      <w:r>
        <w:t>计算</w:t>
      </w:r>
      <w:r>
        <w:rPr>
          <w:rFonts w:hint="eastAsia"/>
        </w:rPr>
        <w:t>：</w:t>
      </w:r>
    </w:p>
    <w:p>
      <w:pPr>
        <w:pStyle w:val="84"/>
        <w:numPr>
          <w:ilvl w:val="0"/>
          <w:numId w:val="0"/>
        </w:numPr>
        <w:wordWrap w:val="0"/>
        <w:ind w:left="2692" w:leftChars="1282"/>
        <w:jc w:val="right"/>
        <w:textAlignment w:val="center"/>
        <w:rPr>
          <w:rFonts w:hAnsi="宋体"/>
        </w:rPr>
      </w:pPr>
      <w:r>
        <w:object>
          <v:shape id="_x0000_i1027" o:spt="75" type="#_x0000_t75" style="height:18.75pt;width:84.7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t xml:space="preserve">                                </w:t>
      </w:r>
      <w:r>
        <w:rPr>
          <w:rFonts w:hint="eastAsia" w:hAnsi="宋体"/>
        </w:rPr>
        <w:t>（</w:t>
      </w:r>
      <w:r>
        <w:rPr>
          <w:rFonts w:hAnsi="宋体"/>
        </w:rPr>
        <w:t>5</w:t>
      </w:r>
      <w:r>
        <w:rPr>
          <w:rFonts w:hint="eastAsia" w:hAnsi="宋体"/>
        </w:rPr>
        <w:t>）</w:t>
      </w:r>
    </w:p>
    <w:p>
      <w:pPr>
        <w:ind w:firstLine="420" w:firstLineChars="200"/>
      </w:pPr>
      <w:r>
        <w:t>式中：</w:t>
      </w:r>
    </w:p>
    <w:p>
      <w:pPr>
        <w:ind w:firstLine="420" w:firstLineChars="200"/>
        <w:rPr>
          <w:rFonts w:ascii="宋体" w:hAnsi="宋体"/>
        </w:rPr>
      </w:pPr>
      <w:r>
        <w:rPr>
          <w:i/>
        </w:rPr>
        <w:t>R</w:t>
      </w:r>
      <w:r>
        <w:rPr>
          <w:vertAlign w:val="subscript"/>
        </w:rPr>
        <w:t>A</w:t>
      </w:r>
      <w:r>
        <w:t>——</w:t>
      </w:r>
      <w:r>
        <w:rPr>
          <w:rFonts w:ascii="宋体" w:hAnsi="宋体"/>
        </w:rPr>
        <w:t>钢拉杆拉力</w:t>
      </w:r>
      <w:r>
        <w:rPr>
          <w:rFonts w:hint="eastAsia" w:ascii="宋体" w:hAnsi="宋体"/>
        </w:rPr>
        <w:t>设计</w:t>
      </w:r>
      <w:r>
        <w:rPr>
          <w:rFonts w:ascii="宋体" w:hAnsi="宋体"/>
        </w:rPr>
        <w:t>值（kN）；</w:t>
      </w:r>
    </w:p>
    <w:p>
      <w:pPr>
        <w:ind w:firstLine="420" w:firstLineChars="200"/>
        <w:rPr>
          <w:rFonts w:ascii="宋体" w:hAnsi="宋体"/>
        </w:rPr>
      </w:pPr>
      <w:r>
        <w:rPr>
          <w:i/>
        </w:rPr>
        <w:t>ξ</w:t>
      </w:r>
      <w:r>
        <w:rPr>
          <w:vertAlign w:val="subscript"/>
        </w:rPr>
        <w:t>R</w:t>
      </w:r>
      <w:r>
        <w:t>——</w:t>
      </w:r>
      <w:r>
        <w:rPr>
          <w:rFonts w:ascii="宋体" w:hAnsi="宋体"/>
        </w:rPr>
        <w:t>钢拉杆受力不均匀系数，宜取1.35；</w:t>
      </w:r>
    </w:p>
    <w:p>
      <w:pPr>
        <w:ind w:firstLine="420" w:firstLineChars="200"/>
        <w:rPr>
          <w:rFonts w:ascii="宋体" w:hAnsi="宋体"/>
        </w:rPr>
      </w:pPr>
      <w:r>
        <w:rPr>
          <w:i/>
        </w:rPr>
        <w:t>R</w:t>
      </w:r>
      <w:r>
        <w:rPr>
          <w:vertAlign w:val="subscript"/>
        </w:rPr>
        <w:t>a</w:t>
      </w:r>
      <w:r>
        <w:t>——</w:t>
      </w:r>
      <w:r>
        <w:rPr>
          <w:rFonts w:ascii="宋体" w:hAnsi="宋体"/>
        </w:rPr>
        <w:t>每米宽围堰墙的钢拉杆拉力标准值（kN/m）；</w:t>
      </w:r>
    </w:p>
    <w:p>
      <w:pPr>
        <w:ind w:firstLine="420" w:firstLineChars="200"/>
        <w:rPr>
          <w:rFonts w:ascii="宋体" w:hAnsi="宋体"/>
        </w:rPr>
      </w:pPr>
      <w:r>
        <w:rPr>
          <w:i/>
        </w:rPr>
        <w:t>l</w:t>
      </w:r>
      <w:r>
        <w:rPr>
          <w:i/>
          <w:vertAlign w:val="subscript"/>
        </w:rPr>
        <w:t>a</w:t>
      </w:r>
      <w:r>
        <w:rPr>
          <w:i/>
        </w:rPr>
        <w:t>——</w:t>
      </w:r>
      <w:r>
        <w:rPr>
          <w:rFonts w:ascii="宋体" w:hAnsi="宋体"/>
        </w:rPr>
        <w:t>钢拉杆间距（m）；</w:t>
      </w:r>
    </w:p>
    <w:p>
      <w:pPr>
        <w:ind w:firstLine="420" w:firstLineChars="200"/>
        <w:rPr>
          <w:rFonts w:ascii="宋体" w:hAnsi="宋体"/>
        </w:rPr>
      </w:pPr>
      <w:r>
        <w:rPr>
          <w:i/>
        </w:rPr>
        <w:t>θ</w:t>
      </w:r>
      <w:r>
        <w:t>——</w:t>
      </w:r>
      <w:r>
        <w:rPr>
          <w:rFonts w:ascii="宋体" w:hAnsi="宋体"/>
        </w:rPr>
        <w:t>钢拉杆与水平面的夹角（°）。</w:t>
      </w:r>
    </w:p>
    <w:p>
      <w:pPr>
        <w:pStyle w:val="84"/>
      </w:pPr>
      <w:r>
        <w:t>钢围堰</w:t>
      </w:r>
      <w:r>
        <w:rPr>
          <w:rFonts w:hint="eastAsia"/>
        </w:rPr>
        <w:t>接口应</w:t>
      </w:r>
      <w:r>
        <w:t>满足防渗要求</w:t>
      </w:r>
      <w:r>
        <w:rPr>
          <w:rFonts w:hint="eastAsia"/>
        </w:rPr>
        <w:t>，</w:t>
      </w:r>
      <w:r>
        <w:t>无法满足防渗要求</w:t>
      </w:r>
      <w:r>
        <w:rPr>
          <w:rFonts w:hint="eastAsia"/>
        </w:rPr>
        <w:t>时</w:t>
      </w:r>
      <w:r>
        <w:t>，</w:t>
      </w:r>
      <w:r>
        <w:rPr>
          <w:rFonts w:hint="eastAsia"/>
        </w:rPr>
        <w:t>应</w:t>
      </w:r>
      <w:r>
        <w:t>对围堰填土和堰基进行防渗处理。</w:t>
      </w:r>
    </w:p>
    <w:p>
      <w:pPr>
        <w:pStyle w:val="84"/>
      </w:pPr>
      <w:r>
        <w:rPr>
          <w:rFonts w:hint="eastAsia"/>
        </w:rPr>
        <w:t>双排钢</w:t>
      </w:r>
      <w:r>
        <w:t>围堰</w:t>
      </w:r>
      <w:r>
        <w:rPr>
          <w:rFonts w:hint="eastAsia"/>
        </w:rPr>
        <w:t>内部填料宜进行压实，并满足以下要求：</w:t>
      </w:r>
    </w:p>
    <w:p>
      <w:pPr>
        <w:pStyle w:val="80"/>
        <w:numPr>
          <w:ilvl w:val="0"/>
          <w:numId w:val="25"/>
        </w:numPr>
      </w:pPr>
      <w:r>
        <w:t>宜选用黏粒含量为10%</w:t>
      </w:r>
      <w:r>
        <w:rPr>
          <w:rFonts w:ascii="Times New Roman"/>
        </w:rPr>
        <w:t>～</w:t>
      </w:r>
      <w:r>
        <w:t>35%、塑性指数为10</w:t>
      </w:r>
      <w:r>
        <w:rPr>
          <w:rFonts w:ascii="Times New Roman"/>
        </w:rPr>
        <w:t>～</w:t>
      </w:r>
      <w:r>
        <w:t>17的粉质黏土，且不得含植物根茎等杂质；填筑土料含水率与最</w:t>
      </w:r>
      <w:r>
        <w:rPr>
          <w:rFonts w:hint="eastAsia"/>
        </w:rPr>
        <w:t>佳</w:t>
      </w:r>
      <w:r>
        <w:t>含水率的允许偏差为±3%</w:t>
      </w:r>
      <w:r>
        <w:rPr>
          <w:rFonts w:hint="eastAsia"/>
        </w:rPr>
        <w:t>；</w:t>
      </w:r>
    </w:p>
    <w:p>
      <w:pPr>
        <w:pStyle w:val="80"/>
        <w:numPr>
          <w:ilvl w:val="0"/>
          <w:numId w:val="25"/>
        </w:numPr>
      </w:pPr>
      <w:r>
        <w:t>缺乏黏性土填料时，可采用中粗砂或其他粗颗粒填料，并采取可靠的防渗措施</w:t>
      </w:r>
      <w:r>
        <w:rPr>
          <w:rFonts w:hint="eastAsia"/>
        </w:rPr>
        <w:t>；</w:t>
      </w:r>
    </w:p>
    <w:p>
      <w:pPr>
        <w:pStyle w:val="80"/>
        <w:numPr>
          <w:ilvl w:val="0"/>
          <w:numId w:val="25"/>
        </w:numPr>
      </w:pPr>
      <w:r>
        <w:t>不应采用淤泥类土、冻土、杂填土、膨胀土等作为筑堰材料。</w:t>
      </w:r>
    </w:p>
    <w:p>
      <w:pPr>
        <w:pStyle w:val="84"/>
      </w:pPr>
      <w:r>
        <w:rPr>
          <w:rFonts w:hint="eastAsia"/>
        </w:rPr>
        <w:t>钢管桩锁口应连接可靠并满足防渗要求，可采用C</w:t>
      </w:r>
      <w:r>
        <w:t>T</w:t>
      </w:r>
      <w:r>
        <w:rPr>
          <w:rFonts w:hint="eastAsia"/>
        </w:rPr>
        <w:t>型、C</w:t>
      </w:r>
      <w:r>
        <w:t>O</w:t>
      </w:r>
      <w:r>
        <w:rPr>
          <w:rFonts w:hint="eastAsia"/>
        </w:rPr>
        <w:t>型等型式。</w:t>
      </w:r>
    </w:p>
    <w:p>
      <w:pPr>
        <w:pStyle w:val="84"/>
      </w:pPr>
      <w:r>
        <w:t>拉杆</w:t>
      </w:r>
      <w:r>
        <w:rPr>
          <w:rFonts w:hint="eastAsia"/>
        </w:rPr>
        <w:t>应</w:t>
      </w:r>
      <w:r>
        <w:t>具有一定的延展性，并根据环境、</w:t>
      </w:r>
      <w:r>
        <w:rPr>
          <w:rFonts w:hint="eastAsia"/>
        </w:rPr>
        <w:t>设计工作</w:t>
      </w:r>
      <w:r>
        <w:t>年限考虑</w:t>
      </w:r>
      <w:r>
        <w:rPr>
          <w:rFonts w:hint="eastAsia"/>
        </w:rPr>
        <w:t>拉杆</w:t>
      </w:r>
      <w:r>
        <w:t>锈蚀量。</w:t>
      </w:r>
    </w:p>
    <w:p>
      <w:pPr>
        <w:pStyle w:val="84"/>
      </w:pPr>
      <w:r>
        <w:rPr>
          <w:rFonts w:hint="eastAsia"/>
        </w:rPr>
        <w:t>堰顶应设置单向2</w:t>
      </w:r>
      <w:r>
        <w:t>%</w:t>
      </w:r>
      <w:r>
        <w:rPr>
          <w:rFonts w:ascii="Times New Roman"/>
        </w:rPr>
        <w:t>～</w:t>
      </w:r>
      <w:r>
        <w:t>3%</w:t>
      </w:r>
      <w:r>
        <w:rPr>
          <w:rFonts w:hint="eastAsia"/>
        </w:rPr>
        <w:t>的横坡向一侧排水，并设置封闭层</w:t>
      </w:r>
      <w:r>
        <w:t>防止雨水下渗</w:t>
      </w:r>
      <w:r>
        <w:rPr>
          <w:rFonts w:hint="eastAsia"/>
        </w:rPr>
        <w:t>。</w:t>
      </w:r>
    </w:p>
    <w:p>
      <w:pPr>
        <w:pStyle w:val="84"/>
      </w:pPr>
      <w:r>
        <w:t>在腐蚀环境下，</w:t>
      </w:r>
      <w:r>
        <w:rPr>
          <w:rFonts w:hint="eastAsia"/>
        </w:rPr>
        <w:t>应</w:t>
      </w:r>
      <w:r>
        <w:t>考虑</w:t>
      </w:r>
      <w:r>
        <w:rPr>
          <w:rFonts w:hint="eastAsia"/>
        </w:rPr>
        <w:t>构件</w:t>
      </w:r>
      <w:r>
        <w:t>磨损和侵蚀的影响</w:t>
      </w:r>
      <w:r>
        <w:rPr>
          <w:rFonts w:hint="eastAsia"/>
        </w:rPr>
        <w:t>，</w:t>
      </w:r>
      <w:r>
        <w:t>可采用预留厚度法、涂覆装法、电防腐蚀等方法。</w:t>
      </w:r>
    </w:p>
    <w:p>
      <w:pPr>
        <w:pStyle w:val="63"/>
        <w:spacing w:before="156" w:after="156"/>
      </w:pPr>
      <w:bookmarkStart w:id="84" w:name="_Toc154179493"/>
      <w:bookmarkStart w:id="85" w:name="_Toc154132521"/>
      <w:r>
        <w:t>堰基处理</w:t>
      </w:r>
      <w:bookmarkEnd w:id="84"/>
      <w:bookmarkEnd w:id="85"/>
    </w:p>
    <w:p>
      <w:pPr>
        <w:pStyle w:val="84"/>
      </w:pPr>
      <w:r>
        <w:t>堰基处理应满足</w:t>
      </w:r>
      <w:r>
        <w:rPr>
          <w:rFonts w:hint="eastAsia"/>
        </w:rPr>
        <w:t>承载力、</w:t>
      </w:r>
      <w:r>
        <w:t>强度、渗流、沉降变形等要求。</w:t>
      </w:r>
    </w:p>
    <w:p>
      <w:pPr>
        <w:pStyle w:val="84"/>
      </w:pPr>
      <w:r>
        <w:t>应探明堰基中的不良地质、暗沟、古河道等</w:t>
      </w:r>
      <w:r>
        <w:rPr>
          <w:rFonts w:hint="eastAsia"/>
        </w:rPr>
        <w:t>。堰基下淤泥厚度小于3 m时，可采用挖除换填处理；厚度较大时，可采用搅拌桩、高压旋喷桩或抛石等处理措施。</w:t>
      </w:r>
    </w:p>
    <w:p>
      <w:pPr>
        <w:pStyle w:val="84"/>
      </w:pPr>
      <w:r>
        <w:t>堰基下透水层应采取</w:t>
      </w:r>
      <w:r>
        <w:rPr>
          <w:rFonts w:hint="eastAsia"/>
        </w:rPr>
        <w:t>防</w:t>
      </w:r>
      <w:r>
        <w:t>渗措施</w:t>
      </w:r>
      <w:r>
        <w:rPr>
          <w:rFonts w:hint="eastAsia"/>
        </w:rPr>
        <w:t>，</w:t>
      </w:r>
      <w:r>
        <w:t>防渗帷幕可采用悬挂式、半封闭式或封闭式等形式，封闭式防渗帷幕进入相对不透水层不应小于1.5</w:t>
      </w:r>
      <w:r>
        <w:rPr>
          <w:rFonts w:hint="eastAsia"/>
        </w:rPr>
        <w:t xml:space="preserve"> </w:t>
      </w:r>
      <w:r>
        <w:t>m。</w:t>
      </w:r>
    </w:p>
    <w:p>
      <w:pPr>
        <w:pStyle w:val="63"/>
        <w:spacing w:before="156" w:after="156"/>
      </w:pPr>
      <w:bookmarkStart w:id="86" w:name="_Toc154132522"/>
      <w:bookmarkStart w:id="87" w:name="_Toc154179494"/>
      <w:r>
        <w:rPr>
          <w:rFonts w:hint="eastAsia"/>
        </w:rPr>
        <w:t>围堰拆除</w:t>
      </w:r>
      <w:bookmarkEnd w:id="86"/>
      <w:bookmarkEnd w:id="87"/>
    </w:p>
    <w:p>
      <w:pPr>
        <w:pStyle w:val="84"/>
      </w:pPr>
      <w:r>
        <w:t>围堰拆除应符合</w:t>
      </w:r>
      <w:r>
        <w:rPr>
          <w:rFonts w:hint="eastAsia"/>
        </w:rPr>
        <w:t>施工进度、</w:t>
      </w:r>
      <w:r>
        <w:t>环境保护及水土保持要求。</w:t>
      </w:r>
    </w:p>
    <w:p>
      <w:pPr>
        <w:pStyle w:val="84"/>
      </w:pPr>
      <w:r>
        <w:t>钢围堰拆除前</w:t>
      </w:r>
      <w:r>
        <w:rPr>
          <w:rFonts w:hint="eastAsia"/>
        </w:rPr>
        <w:t>，应</w:t>
      </w:r>
      <w:r>
        <w:t>清除围堰内侧堰脚处堆土，</w:t>
      </w:r>
      <w:r>
        <w:rPr>
          <w:rFonts w:hint="eastAsia"/>
        </w:rPr>
        <w:t>严格控制回水速率</w:t>
      </w:r>
      <w:r>
        <w:t>，使内外水位保持平衡。</w:t>
      </w:r>
    </w:p>
    <w:p>
      <w:pPr>
        <w:pStyle w:val="66"/>
        <w:spacing w:before="312" w:after="312"/>
      </w:pPr>
      <w:bookmarkStart w:id="88" w:name="_Toc154179495"/>
      <w:bookmarkStart w:id="89" w:name="_Toc154132523"/>
      <w:r>
        <w:t>基坑工程</w:t>
      </w:r>
      <w:bookmarkEnd w:id="88"/>
      <w:bookmarkEnd w:id="89"/>
    </w:p>
    <w:p>
      <w:pPr>
        <w:pStyle w:val="63"/>
        <w:spacing w:before="156" w:after="156"/>
      </w:pPr>
      <w:bookmarkStart w:id="90" w:name="_Toc154179496"/>
      <w:bookmarkStart w:id="91" w:name="_Toc154132524"/>
      <w:r>
        <w:t>一般规定</w:t>
      </w:r>
      <w:bookmarkEnd w:id="90"/>
      <w:bookmarkEnd w:id="91"/>
    </w:p>
    <w:p>
      <w:pPr>
        <w:pStyle w:val="84"/>
      </w:pPr>
      <w:r>
        <w:rPr>
          <w:rFonts w:hint="eastAsia"/>
        </w:rPr>
        <w:t>基坑设计</w:t>
      </w:r>
      <w:r>
        <w:t>应综合考虑地质条件、周边环境、施工季节变化、</w:t>
      </w:r>
      <w:r>
        <w:rPr>
          <w:rFonts w:hint="eastAsia"/>
        </w:rPr>
        <w:t>主体结构</w:t>
      </w:r>
      <w:r>
        <w:t>等因素</w:t>
      </w:r>
      <w:r>
        <w:rPr>
          <w:rFonts w:hint="eastAsia"/>
        </w:rPr>
        <w:t>，</w:t>
      </w:r>
      <w:r>
        <w:t>并与围堰</w:t>
      </w:r>
      <w:r>
        <w:rPr>
          <w:rFonts w:hint="eastAsia"/>
        </w:rPr>
        <w:t>进行统筹设计。</w:t>
      </w:r>
    </w:p>
    <w:p>
      <w:pPr>
        <w:pStyle w:val="84"/>
      </w:pPr>
      <w:r>
        <w:rPr>
          <w:rFonts w:hint="eastAsia"/>
        </w:rPr>
        <w:t>基坑工程</w:t>
      </w:r>
      <w:r>
        <w:t>安全等级</w:t>
      </w:r>
      <w:r>
        <w:rPr>
          <w:rFonts w:hint="eastAsia"/>
        </w:rPr>
        <w:t>应按表</w:t>
      </w:r>
      <w:r>
        <w:t>10</w:t>
      </w:r>
      <w:r>
        <w:rPr>
          <w:rFonts w:hint="eastAsia"/>
        </w:rPr>
        <w:t>划</w:t>
      </w:r>
      <w:r>
        <w:t>分为三级</w:t>
      </w:r>
      <w:r>
        <w:rPr>
          <w:rFonts w:hint="eastAsia"/>
        </w:rPr>
        <w:t>，</w:t>
      </w:r>
      <w:r>
        <w:t>基坑工程安全等级</w:t>
      </w:r>
      <w:r>
        <w:rPr>
          <w:rFonts w:hint="eastAsia"/>
        </w:rPr>
        <w:t>应</w:t>
      </w:r>
      <w:r>
        <w:t>按表中各因素分别确定的最高级别定级</w:t>
      </w:r>
      <w:r>
        <w:rPr>
          <w:rFonts w:hint="eastAsia"/>
        </w:rPr>
        <w:t>。</w:t>
      </w:r>
    </w:p>
    <w:p>
      <w:pPr>
        <w:pStyle w:val="147"/>
        <w:spacing w:before="156" w:after="156"/>
      </w:pPr>
    </w:p>
    <w:p>
      <w:pPr>
        <w:pStyle w:val="147"/>
        <w:spacing w:before="156" w:after="156"/>
      </w:pPr>
      <w:r>
        <w:t>表10 基坑安全等级划分表</w:t>
      </w:r>
    </w:p>
    <w:tbl>
      <w:tblPr>
        <w:tblStyle w:val="5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1558"/>
        <w:gridCol w:w="1700"/>
        <w:gridCol w:w="2508"/>
        <w:gridCol w:w="270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pct"/>
            <w:vAlign w:val="center"/>
          </w:tcPr>
          <w:p>
            <w:pPr>
              <w:pStyle w:val="168"/>
            </w:pPr>
            <w:r>
              <w:t>安全等级</w:t>
            </w:r>
          </w:p>
        </w:tc>
        <w:tc>
          <w:tcPr>
            <w:tcW w:w="814" w:type="pct"/>
            <w:vAlign w:val="center"/>
          </w:tcPr>
          <w:p>
            <w:pPr>
              <w:pStyle w:val="168"/>
            </w:pPr>
            <w:r>
              <w:t>基坑开挖深度</w:t>
            </w:r>
          </w:p>
          <w:p>
            <w:pPr>
              <w:pStyle w:val="168"/>
            </w:pPr>
            <w:r>
              <w:rPr>
                <w:i/>
              </w:rPr>
              <w:t>H</w:t>
            </w:r>
            <w:r>
              <w:rPr>
                <w:vertAlign w:val="subscript"/>
              </w:rPr>
              <w:t>e</w:t>
            </w:r>
            <w:r>
              <w:rPr>
                <w:rFonts w:ascii="宋体" w:hAnsi="宋体"/>
              </w:rPr>
              <w:t>（m）</w:t>
            </w:r>
          </w:p>
        </w:tc>
        <w:tc>
          <w:tcPr>
            <w:tcW w:w="888" w:type="pct"/>
            <w:vAlign w:val="center"/>
          </w:tcPr>
          <w:p>
            <w:pPr>
              <w:pStyle w:val="168"/>
            </w:pPr>
            <w:r>
              <w:t>水头差</w:t>
            </w:r>
          </w:p>
          <w:p>
            <w:pPr>
              <w:pStyle w:val="168"/>
            </w:pPr>
            <w:r>
              <w:rPr>
                <w:i/>
              </w:rPr>
              <w:t>h</w:t>
            </w:r>
            <w:r>
              <w:t>（m）</w:t>
            </w:r>
          </w:p>
        </w:tc>
        <w:tc>
          <w:tcPr>
            <w:tcW w:w="1310" w:type="pct"/>
            <w:vAlign w:val="center"/>
          </w:tcPr>
          <w:p>
            <w:pPr>
              <w:pStyle w:val="168"/>
            </w:pPr>
            <w:r>
              <w:t>与构建筑物（含围堰）的距离</w:t>
            </w:r>
            <w:r>
              <w:rPr>
                <w:i/>
              </w:rPr>
              <w:t>L</w:t>
            </w:r>
            <w:r>
              <w:rPr>
                <w:rFonts w:ascii="宋体" w:hAnsi="宋体"/>
              </w:rPr>
              <w:t>（m）</w:t>
            </w:r>
          </w:p>
        </w:tc>
        <w:tc>
          <w:tcPr>
            <w:tcW w:w="1412" w:type="pct"/>
            <w:vAlign w:val="center"/>
          </w:tcPr>
          <w:p>
            <w:pPr>
              <w:pStyle w:val="168"/>
            </w:pPr>
            <w:r>
              <w:t>开挖深度内软弱土层厚度</w:t>
            </w:r>
          </w:p>
          <w:p>
            <w:pPr>
              <w:pStyle w:val="168"/>
            </w:pPr>
            <w: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pct"/>
            <w:vAlign w:val="center"/>
          </w:tcPr>
          <w:p>
            <w:pPr>
              <w:pStyle w:val="168"/>
            </w:pPr>
            <w:r>
              <w:t>一级</w:t>
            </w:r>
          </w:p>
        </w:tc>
        <w:tc>
          <w:tcPr>
            <w:tcW w:w="814" w:type="pct"/>
            <w:vAlign w:val="center"/>
          </w:tcPr>
          <w:p>
            <w:pPr>
              <w:pStyle w:val="168"/>
            </w:pPr>
            <w:r>
              <w:t>＞12</w:t>
            </w:r>
          </w:p>
        </w:tc>
        <w:tc>
          <w:tcPr>
            <w:tcW w:w="888" w:type="pct"/>
            <w:vAlign w:val="center"/>
          </w:tcPr>
          <w:p>
            <w:pPr>
              <w:pStyle w:val="168"/>
            </w:pPr>
            <w:r>
              <w:t>≥15</w:t>
            </w:r>
          </w:p>
        </w:tc>
        <w:tc>
          <w:tcPr>
            <w:tcW w:w="1310" w:type="pct"/>
            <w:vAlign w:val="center"/>
          </w:tcPr>
          <w:p>
            <w:pPr>
              <w:pStyle w:val="168"/>
            </w:pPr>
            <w:r>
              <w:rPr>
                <w:rFonts w:ascii="宋体" w:hAnsi="宋体"/>
              </w:rPr>
              <w:t>＜</w:t>
            </w:r>
            <w:r>
              <w:rPr>
                <w:i/>
              </w:rPr>
              <w:t>H</w:t>
            </w:r>
            <w:r>
              <w:rPr>
                <w:vertAlign w:val="subscript"/>
              </w:rPr>
              <w:t>e</w:t>
            </w:r>
          </w:p>
        </w:tc>
        <w:tc>
          <w:tcPr>
            <w:tcW w:w="1412" w:type="pct"/>
            <w:vAlign w:val="center"/>
          </w:tcPr>
          <w:p>
            <w:pPr>
              <w:pStyle w:val="168"/>
            </w:pPr>
            <w:r>
              <w:t>＞0.3</w:t>
            </w:r>
            <w:r>
              <w:rPr>
                <w:i/>
              </w:rPr>
              <w:t>H</w:t>
            </w:r>
            <w:r>
              <w:rPr>
                <w:vertAlign w:val="subscript"/>
              </w:rPr>
              <w:t>e</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pct"/>
            <w:vAlign w:val="center"/>
          </w:tcPr>
          <w:p>
            <w:pPr>
              <w:pStyle w:val="168"/>
            </w:pPr>
            <w:r>
              <w:t>二级</w:t>
            </w:r>
          </w:p>
        </w:tc>
        <w:tc>
          <w:tcPr>
            <w:tcW w:w="4425" w:type="pct"/>
            <w:gridSpan w:val="4"/>
            <w:vAlign w:val="center"/>
          </w:tcPr>
          <w:p>
            <w:pPr>
              <w:pStyle w:val="168"/>
            </w:pPr>
            <w:r>
              <w:t>除一级、三级以外的基坑工程均属二级安全等级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pct"/>
            <w:tcBorders>
              <w:bottom w:val="single" w:color="auto" w:sz="12" w:space="0"/>
            </w:tcBorders>
            <w:vAlign w:val="center"/>
          </w:tcPr>
          <w:p>
            <w:pPr>
              <w:pStyle w:val="168"/>
            </w:pPr>
            <w:r>
              <w:t>三级</w:t>
            </w:r>
          </w:p>
        </w:tc>
        <w:tc>
          <w:tcPr>
            <w:tcW w:w="814" w:type="pct"/>
            <w:tcBorders>
              <w:bottom w:val="single" w:color="auto" w:sz="12" w:space="0"/>
            </w:tcBorders>
            <w:vAlign w:val="center"/>
          </w:tcPr>
          <w:p>
            <w:pPr>
              <w:pStyle w:val="168"/>
            </w:pPr>
            <w:r>
              <w:t>＜7</w:t>
            </w:r>
          </w:p>
        </w:tc>
        <w:tc>
          <w:tcPr>
            <w:tcW w:w="888" w:type="pct"/>
            <w:tcBorders>
              <w:bottom w:val="single" w:color="auto" w:sz="12" w:space="0"/>
            </w:tcBorders>
            <w:vAlign w:val="center"/>
          </w:tcPr>
          <w:p>
            <w:pPr>
              <w:pStyle w:val="168"/>
            </w:pPr>
            <w:r>
              <w:t>＜10</w:t>
            </w:r>
          </w:p>
        </w:tc>
        <w:tc>
          <w:tcPr>
            <w:tcW w:w="1310" w:type="pct"/>
            <w:tcBorders>
              <w:bottom w:val="single" w:color="auto" w:sz="12" w:space="0"/>
            </w:tcBorders>
            <w:vAlign w:val="center"/>
          </w:tcPr>
          <w:p>
            <w:pPr>
              <w:pStyle w:val="168"/>
            </w:pPr>
            <w:r>
              <w:t>＞2</w:t>
            </w:r>
            <w:r>
              <w:rPr>
                <w:i/>
              </w:rPr>
              <w:t xml:space="preserve"> H</w:t>
            </w:r>
            <w:r>
              <w:rPr>
                <w:vertAlign w:val="subscript"/>
              </w:rPr>
              <w:t>e</w:t>
            </w:r>
          </w:p>
        </w:tc>
        <w:tc>
          <w:tcPr>
            <w:tcW w:w="1412" w:type="pct"/>
            <w:tcBorders>
              <w:bottom w:val="single" w:color="auto" w:sz="12" w:space="0"/>
            </w:tcBorders>
            <w:vAlign w:val="center"/>
          </w:tcPr>
          <w:p>
            <w:pPr>
              <w:pStyle w:val="168"/>
            </w:pPr>
            <w:r>
              <w:t>＜0.1</w:t>
            </w:r>
            <w:r>
              <w:rPr>
                <w:i/>
              </w:rPr>
              <w:t>H</w:t>
            </w:r>
            <w:r>
              <w:rPr>
                <w:vertAlign w:val="subscript"/>
              </w:rPr>
              <w:t>e</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5"/>
            <w:tcBorders>
              <w:top w:val="single" w:color="auto" w:sz="12" w:space="0"/>
              <w:bottom w:val="single" w:color="auto" w:sz="12" w:space="0"/>
            </w:tcBorders>
            <w:vAlign w:val="center"/>
          </w:tcPr>
          <w:p>
            <w:pPr>
              <w:pStyle w:val="86"/>
              <w:numPr>
                <w:ilvl w:val="0"/>
                <w:numId w:val="26"/>
              </w:numPr>
              <w:ind w:left="0" w:firstLine="360" w:firstLineChars="200"/>
              <w:rPr>
                <w:rFonts w:hAnsi="宋体"/>
              </w:rPr>
            </w:pPr>
            <w:r>
              <w:rPr>
                <w:rFonts w:hAnsi="宋体"/>
              </w:rPr>
              <w:t>基坑开挖深度指</w:t>
            </w:r>
            <w:r>
              <w:rPr>
                <w:rFonts w:hint="eastAsia" w:hAnsi="宋体"/>
              </w:rPr>
              <w:t>河床</w:t>
            </w:r>
            <w:r>
              <w:rPr>
                <w:rFonts w:hAnsi="宋体"/>
              </w:rPr>
              <w:t>标高与基坑开挖底标高的高差；如对水底淤泥采用清淤处理，当清淤范围超出围堰以外时，可将清淤后整平高程作为基坑顶起算标高</w:t>
            </w:r>
            <w:r>
              <w:rPr>
                <w:rFonts w:hint="eastAsia" w:hAnsi="宋体"/>
              </w:rPr>
              <w:t>；</w:t>
            </w:r>
          </w:p>
          <w:p>
            <w:pPr>
              <w:pStyle w:val="86"/>
              <w:ind w:left="0" w:firstLine="360" w:firstLineChars="200"/>
              <w:rPr>
                <w:rFonts w:hAnsi="宋体"/>
              </w:rPr>
            </w:pPr>
            <w:r>
              <w:rPr>
                <w:rFonts w:hAnsi="宋体"/>
              </w:rPr>
              <w:t>水头差指基坑外与基坑内地下水水头高度之差，</w:t>
            </w:r>
            <w:r>
              <w:rPr>
                <w:rFonts w:hint="eastAsia" w:hAnsi="宋体"/>
              </w:rPr>
              <w:t>围护结构外侧</w:t>
            </w:r>
            <w:r>
              <w:rPr>
                <w:rFonts w:hAnsi="宋体"/>
              </w:rPr>
              <w:t>地下水含水层与围堰外水体连通且未有效隔断时，坑外水头高度需按设计洪水的静水位取值，坑内水头高度为降水后的水位</w:t>
            </w:r>
            <w:r>
              <w:rPr>
                <w:rFonts w:hint="eastAsia" w:hAnsi="宋体"/>
              </w:rPr>
              <w:t>；</w:t>
            </w:r>
          </w:p>
          <w:p>
            <w:pPr>
              <w:pStyle w:val="86"/>
              <w:ind w:left="0" w:firstLine="360" w:firstLineChars="200"/>
              <w:rPr>
                <w:rFonts w:hAnsi="宋体"/>
              </w:rPr>
            </w:pPr>
            <w:r>
              <w:rPr>
                <w:rFonts w:hAnsi="宋体"/>
              </w:rPr>
              <w:t>软弱土指淤泥、淤泥质土、</w:t>
            </w:r>
            <w:r>
              <w:rPr>
                <w:rFonts w:hint="eastAsia" w:hAnsi="宋体"/>
              </w:rPr>
              <w:t>松散粉细砂</w:t>
            </w:r>
            <w:r>
              <w:rPr>
                <w:rFonts w:hAnsi="宋体"/>
              </w:rPr>
              <w:t>或新近堆填土。</w:t>
            </w:r>
          </w:p>
        </w:tc>
      </w:tr>
    </w:tbl>
    <w:p>
      <w:pPr>
        <w:pStyle w:val="173"/>
        <w:spacing w:line="240" w:lineRule="auto"/>
        <w:ind w:left="210" w:leftChars="100" w:firstLine="392"/>
        <w:rPr>
          <w:szCs w:val="18"/>
        </w:rPr>
      </w:pPr>
    </w:p>
    <w:p>
      <w:pPr>
        <w:pStyle w:val="84"/>
      </w:pPr>
      <w:r>
        <w:rPr>
          <w:rFonts w:hint="eastAsia"/>
        </w:rPr>
        <w:t>基坑</w:t>
      </w:r>
      <w:r>
        <w:t>支护结构的作用分类应根据支护型式及实际情况按表11合理确定</w:t>
      </w:r>
      <w:r>
        <w:rPr>
          <w:rFonts w:hint="eastAsia"/>
        </w:rPr>
        <w:t>，</w:t>
      </w:r>
      <w:r>
        <w:t>作用基本组合的综合分项系数不应小于</w:t>
      </w:r>
      <w:r>
        <w:rPr>
          <w:rFonts w:hint="eastAsia"/>
        </w:rPr>
        <w:t>1.25，</w:t>
      </w:r>
      <w:r>
        <w:t>安全等级为一级、二级、三级时结构重要性系数</w:t>
      </w:r>
      <w:r>
        <w:rPr>
          <w:rFonts w:hint="eastAsia"/>
        </w:rPr>
        <w:t>分别不应小于</w:t>
      </w:r>
      <w:r>
        <w:t>1.1、1.0、0.9。</w:t>
      </w:r>
    </w:p>
    <w:p>
      <w:pPr>
        <w:pStyle w:val="147"/>
        <w:spacing w:before="156" w:after="156"/>
      </w:pPr>
      <w:r>
        <w:t xml:space="preserve">表11 </w:t>
      </w:r>
      <w:r>
        <w:rPr>
          <w:rFonts w:hint="eastAsia"/>
        </w:rPr>
        <w:t>基坑支护结构</w:t>
      </w:r>
      <w:r>
        <w:t>的作用分类</w:t>
      </w:r>
    </w:p>
    <w:tbl>
      <w:tblPr>
        <w:tblStyle w:val="5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942"/>
        <w:gridCol w:w="662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37" w:type="pct"/>
            <w:vAlign w:val="center"/>
          </w:tcPr>
          <w:p>
            <w:pPr>
              <w:pStyle w:val="168"/>
            </w:pPr>
            <w:r>
              <w:t>作用分类</w:t>
            </w:r>
          </w:p>
        </w:tc>
        <w:tc>
          <w:tcPr>
            <w:tcW w:w="3463" w:type="pct"/>
            <w:vAlign w:val="center"/>
          </w:tcPr>
          <w:p>
            <w:pPr>
              <w:pStyle w:val="168"/>
            </w:pPr>
            <w:r>
              <w:t>作用名称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37" w:type="pct"/>
            <w:vMerge w:val="restart"/>
            <w:vAlign w:val="center"/>
          </w:tcPr>
          <w:p>
            <w:pPr>
              <w:pStyle w:val="168"/>
            </w:pPr>
            <w:r>
              <w:t>永久作用</w:t>
            </w:r>
          </w:p>
        </w:tc>
        <w:tc>
          <w:tcPr>
            <w:tcW w:w="3463" w:type="pct"/>
            <w:vAlign w:val="center"/>
          </w:tcPr>
          <w:p>
            <w:pPr>
              <w:pStyle w:val="168"/>
            </w:pPr>
            <w:r>
              <w:t>土压力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37" w:type="pct"/>
            <w:vMerge w:val="continue"/>
            <w:vAlign w:val="center"/>
          </w:tcPr>
          <w:p>
            <w:pPr>
              <w:pStyle w:val="168"/>
            </w:pPr>
          </w:p>
        </w:tc>
        <w:tc>
          <w:tcPr>
            <w:tcW w:w="3463" w:type="pct"/>
            <w:vAlign w:val="center"/>
          </w:tcPr>
          <w:p>
            <w:pPr>
              <w:pStyle w:val="168"/>
            </w:pPr>
            <w:r>
              <w:t>水压力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37" w:type="pct"/>
            <w:vMerge w:val="continue"/>
            <w:vAlign w:val="center"/>
          </w:tcPr>
          <w:p>
            <w:pPr>
              <w:pStyle w:val="168"/>
            </w:pPr>
          </w:p>
        </w:tc>
        <w:tc>
          <w:tcPr>
            <w:tcW w:w="3463" w:type="pct"/>
            <w:vAlign w:val="center"/>
          </w:tcPr>
          <w:p>
            <w:pPr>
              <w:pStyle w:val="168"/>
            </w:pPr>
            <w:r>
              <w:rPr>
                <w:rFonts w:hint="eastAsia"/>
              </w:rPr>
              <w:t>堰体自重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37" w:type="pct"/>
            <w:vMerge w:val="restart"/>
            <w:vAlign w:val="center"/>
          </w:tcPr>
          <w:p>
            <w:pPr>
              <w:pStyle w:val="168"/>
            </w:pPr>
            <w:r>
              <w:t>可变作用</w:t>
            </w:r>
          </w:p>
        </w:tc>
        <w:tc>
          <w:tcPr>
            <w:tcW w:w="3463" w:type="pct"/>
            <w:vAlign w:val="center"/>
          </w:tcPr>
          <w:p>
            <w:pPr>
              <w:pStyle w:val="168"/>
            </w:pPr>
            <w:r>
              <w:t>材料及设备堆载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37" w:type="pct"/>
            <w:vMerge w:val="continue"/>
            <w:tcBorders>
              <w:bottom w:val="single" w:color="auto" w:sz="12" w:space="0"/>
            </w:tcBorders>
            <w:vAlign w:val="center"/>
          </w:tcPr>
          <w:p>
            <w:pPr>
              <w:pStyle w:val="168"/>
            </w:pPr>
          </w:p>
        </w:tc>
        <w:tc>
          <w:tcPr>
            <w:tcW w:w="3463" w:type="pct"/>
            <w:tcBorders>
              <w:bottom w:val="single" w:color="auto" w:sz="12" w:space="0"/>
            </w:tcBorders>
            <w:vAlign w:val="center"/>
          </w:tcPr>
          <w:p>
            <w:pPr>
              <w:pStyle w:val="168"/>
            </w:pPr>
            <w:r>
              <w:t>施工车辆作用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2"/>
            <w:tcBorders>
              <w:top w:val="single" w:color="auto" w:sz="12" w:space="0"/>
              <w:bottom w:val="single" w:color="auto" w:sz="12" w:space="0"/>
            </w:tcBorders>
            <w:vAlign w:val="center"/>
          </w:tcPr>
          <w:p>
            <w:pPr>
              <w:pStyle w:val="86"/>
              <w:numPr>
                <w:ilvl w:val="0"/>
                <w:numId w:val="27"/>
              </w:numPr>
              <w:ind w:left="0" w:firstLine="360" w:firstLineChars="200"/>
            </w:pPr>
            <w:r>
              <w:t>设计中要求考虑的其他作用，可根据其性质分别列入上述二类作用中</w:t>
            </w:r>
            <w:r>
              <w:rPr>
                <w:rFonts w:hint="eastAsia"/>
              </w:rPr>
              <w:t>；</w:t>
            </w:r>
          </w:p>
          <w:p>
            <w:pPr>
              <w:pStyle w:val="86"/>
              <w:ind w:left="0" w:firstLine="360" w:firstLineChars="200"/>
            </w:pPr>
            <w:r>
              <w:t>表中所列作用本节未加说明者，可按有关现行规范或根据实际情况确定</w:t>
            </w:r>
            <w:r>
              <w:rPr>
                <w:rFonts w:hint="eastAsia"/>
              </w:rPr>
              <w:t>；</w:t>
            </w:r>
          </w:p>
          <w:p>
            <w:pPr>
              <w:pStyle w:val="86"/>
              <w:ind w:left="0" w:firstLine="360" w:firstLineChars="200"/>
            </w:pPr>
            <w:r>
              <w:t>需考虑基坑内外水位组合，取最不利组合设计。</w:t>
            </w:r>
          </w:p>
        </w:tc>
      </w:tr>
    </w:tbl>
    <w:p>
      <w:pPr>
        <w:pStyle w:val="84"/>
      </w:pPr>
      <w:r>
        <w:rPr>
          <w:rFonts w:hint="eastAsia"/>
        </w:rPr>
        <w:t>基坑应进行</w:t>
      </w:r>
      <w:r>
        <w:t>稳定性验算</w:t>
      </w:r>
      <w:r>
        <w:rPr>
          <w:rFonts w:hint="eastAsia"/>
        </w:rPr>
        <w:t>及结构构件计算，并应符合《建筑基坑支护技术规程》（</w:t>
      </w:r>
      <w:r>
        <w:t>JGJ 120</w:t>
      </w:r>
      <w:r>
        <w:rPr>
          <w:rFonts w:hint="eastAsia"/>
        </w:rPr>
        <w:t>）的规定。</w:t>
      </w:r>
    </w:p>
    <w:p>
      <w:pPr>
        <w:pStyle w:val="63"/>
        <w:spacing w:before="156" w:after="156"/>
      </w:pPr>
      <w:bookmarkStart w:id="92" w:name="_Toc154132525"/>
      <w:bookmarkStart w:id="93" w:name="_Toc154179497"/>
      <w:r>
        <w:t>支护选型</w:t>
      </w:r>
      <w:r>
        <w:rPr>
          <w:rFonts w:hint="eastAsia"/>
        </w:rPr>
        <w:t>与</w:t>
      </w:r>
      <w:r>
        <w:t>布置</w:t>
      </w:r>
      <w:bookmarkEnd w:id="92"/>
      <w:bookmarkEnd w:id="93"/>
    </w:p>
    <w:p>
      <w:pPr>
        <w:pStyle w:val="84"/>
      </w:pPr>
      <w:r>
        <w:rPr>
          <w:rFonts w:hint="eastAsia"/>
        </w:rPr>
        <w:t>基坑支护型式有放坡、支撑式结构、桩锚式结构、悬臂式结构等，应根据地层、周边条件、临时堆土场地条件及开挖深度对基坑支护方案进行比选。</w:t>
      </w:r>
    </w:p>
    <w:p>
      <w:pPr>
        <w:pStyle w:val="84"/>
      </w:pPr>
      <w:r>
        <w:rPr>
          <w:rFonts w:hint="eastAsia"/>
        </w:rPr>
        <w:t>基坑应结合主体结构节段和围堰分仓进行分段布置，每个基坑段落应形成封闭的止水系统。每个基坑</w:t>
      </w:r>
      <w:r>
        <w:t>段落</w:t>
      </w:r>
      <w:r>
        <w:rPr>
          <w:rFonts w:hint="eastAsia"/>
        </w:rPr>
        <w:t>的长度不宜超过1个围堰仓段，并应做好纵向坡面防护。</w:t>
      </w:r>
    </w:p>
    <w:p>
      <w:pPr>
        <w:pStyle w:val="84"/>
      </w:pPr>
      <w:r>
        <w:rPr>
          <w:rFonts w:hint="eastAsia"/>
        </w:rPr>
        <w:t>施工便道布置应充分考虑基坑</w:t>
      </w:r>
      <w:r>
        <w:t>安全性及</w:t>
      </w:r>
      <w:r>
        <w:rPr>
          <w:rFonts w:hint="eastAsia"/>
        </w:rPr>
        <w:t>主体结构施工便利性，宜布置在结构两侧。采用</w:t>
      </w:r>
      <w:r>
        <w:t>放坡</w:t>
      </w:r>
      <w:r>
        <w:rPr>
          <w:rFonts w:hint="eastAsia"/>
        </w:rPr>
        <w:t>支护</w:t>
      </w:r>
      <w:r>
        <w:t>宜布置在坡底</w:t>
      </w:r>
      <w:r>
        <w:rPr>
          <w:rFonts w:hint="eastAsia"/>
        </w:rPr>
        <w:t>。</w:t>
      </w:r>
    </w:p>
    <w:p>
      <w:pPr>
        <w:pStyle w:val="84"/>
      </w:pPr>
      <w:r>
        <w:rPr>
          <w:rFonts w:hint="eastAsia"/>
        </w:rPr>
        <w:t>不同支护结构形式应顺接过渡，并保证止水</w:t>
      </w:r>
      <w:r>
        <w:t>可靠</w:t>
      </w:r>
      <w:r>
        <w:rPr>
          <w:rFonts w:hint="eastAsia"/>
        </w:rPr>
        <w:t>。</w:t>
      </w:r>
    </w:p>
    <w:p>
      <w:pPr>
        <w:pStyle w:val="63"/>
        <w:spacing w:before="156" w:after="156"/>
      </w:pPr>
      <w:bookmarkStart w:id="94" w:name="_Toc154132526"/>
      <w:bookmarkStart w:id="95" w:name="_Toc154179498"/>
      <w:r>
        <w:rPr>
          <w:rFonts w:hint="eastAsia"/>
        </w:rPr>
        <w:t>地下水</w:t>
      </w:r>
      <w:r>
        <w:t>控制</w:t>
      </w:r>
      <w:bookmarkEnd w:id="94"/>
      <w:bookmarkEnd w:id="95"/>
    </w:p>
    <w:p>
      <w:pPr>
        <w:pStyle w:val="84"/>
      </w:pPr>
      <w:r>
        <w:t>应加强地下水控制，根据工程地质条件、水文地质条件、水文条件、基坑周边环境要求及支护型式选用截水、降水、集水明排或其组合</w:t>
      </w:r>
      <w:r>
        <w:rPr>
          <w:rFonts w:hint="eastAsia"/>
        </w:rPr>
        <w:t>形式</w:t>
      </w:r>
      <w:r>
        <w:t>。</w:t>
      </w:r>
    </w:p>
    <w:p>
      <w:pPr>
        <w:pStyle w:val="84"/>
      </w:pPr>
      <w:r>
        <w:t>每个基坑分仓止水帷幕应形成闭合，止水帷幕底部应进入到相对不透水层或开挖面以下一定深度</w:t>
      </w:r>
      <w:r>
        <w:rPr>
          <w:rFonts w:hint="eastAsia"/>
        </w:rPr>
        <w:t>，</w:t>
      </w:r>
      <w:r>
        <w:t>可选用水泥土搅拌桩、高压旋喷桩、地下连续墙或咬合式排桩等型式作为止水帷幕。</w:t>
      </w:r>
    </w:p>
    <w:p>
      <w:pPr>
        <w:pStyle w:val="84"/>
      </w:pPr>
      <w:bookmarkStart w:id="96" w:name="_Toc409791991"/>
      <w:r>
        <w:t>降水系统</w:t>
      </w:r>
      <w:r>
        <w:rPr>
          <w:rFonts w:hint="eastAsia"/>
        </w:rPr>
        <w:t>在</w:t>
      </w:r>
      <w:r>
        <w:t>使用期应满足主体结构的施工要求，开挖过程中应始终确保地下水位低于开挖面以下0.5</w:t>
      </w:r>
      <w:r>
        <w:rPr>
          <w:rFonts w:hint="eastAsia"/>
        </w:rPr>
        <w:t xml:space="preserve"> </w:t>
      </w:r>
      <w:r>
        <w:t>m</w:t>
      </w:r>
      <w:r>
        <w:rPr>
          <w:rFonts w:ascii="Times New Roman"/>
        </w:rPr>
        <w:t>～</w:t>
      </w:r>
      <w:r>
        <w:t>1</w:t>
      </w:r>
      <w:r>
        <w:rPr>
          <w:rFonts w:hint="eastAsia"/>
        </w:rPr>
        <w:t xml:space="preserve"> </w:t>
      </w:r>
      <w:r>
        <w:t>m，停止降水的时间应满足主体结构施工期的抗浮要求。</w:t>
      </w:r>
    </w:p>
    <w:bookmarkEnd w:id="96"/>
    <w:p>
      <w:pPr>
        <w:pStyle w:val="84"/>
      </w:pPr>
      <w:r>
        <w:t>对基坑周边地表汇水，可采用明沟排水，沿排水沟宜每隔30</w:t>
      </w:r>
      <w:r>
        <w:rPr>
          <w:rFonts w:hint="eastAsia"/>
        </w:rPr>
        <w:t xml:space="preserve"> </w:t>
      </w:r>
      <w:r>
        <w:t>m</w:t>
      </w:r>
      <w:r>
        <w:rPr>
          <w:rFonts w:ascii="Times New Roman"/>
        </w:rPr>
        <w:t>～</w:t>
      </w:r>
      <w:r>
        <w:t>50</w:t>
      </w:r>
      <w:r>
        <w:rPr>
          <w:rFonts w:hint="eastAsia"/>
        </w:rPr>
        <w:t xml:space="preserve"> </w:t>
      </w:r>
      <w:r>
        <w:t>m设置集水井；集水井的净截面尺寸应根据排水流量确定。</w:t>
      </w:r>
    </w:p>
    <w:p>
      <w:pPr>
        <w:pStyle w:val="84"/>
      </w:pPr>
      <w:r>
        <w:t>基坑</w:t>
      </w:r>
      <w:r>
        <w:rPr>
          <w:rFonts w:hint="eastAsia"/>
        </w:rPr>
        <w:t>放坡开挖</w:t>
      </w:r>
      <w:r>
        <w:t>坡面宜</w:t>
      </w:r>
      <w:r>
        <w:rPr>
          <w:rFonts w:hint="eastAsia"/>
        </w:rPr>
        <w:t>设置泄水孔，并采取反滤措施</w:t>
      </w:r>
      <w:r>
        <w:t>。</w:t>
      </w:r>
    </w:p>
    <w:p>
      <w:pPr>
        <w:pStyle w:val="63"/>
        <w:spacing w:before="156" w:after="156"/>
      </w:pPr>
      <w:bookmarkStart w:id="97" w:name="_Toc154132527"/>
      <w:bookmarkStart w:id="98" w:name="_Toc154179499"/>
      <w:r>
        <w:rPr>
          <w:rFonts w:hint="eastAsia"/>
        </w:rPr>
        <w:t>基坑开挖</w:t>
      </w:r>
      <w:r>
        <w:t>与</w:t>
      </w:r>
      <w:r>
        <w:rPr>
          <w:rFonts w:hint="eastAsia"/>
        </w:rPr>
        <w:t>回填</w:t>
      </w:r>
      <w:bookmarkEnd w:id="97"/>
      <w:bookmarkEnd w:id="98"/>
    </w:p>
    <w:p>
      <w:pPr>
        <w:pStyle w:val="84"/>
      </w:pPr>
      <w:r>
        <w:rPr>
          <w:rFonts w:hint="eastAsia"/>
        </w:rPr>
        <w:t>应在支护结构构件强度达到设计允许值时进行开挖，并符合下列规定：</w:t>
      </w:r>
    </w:p>
    <w:p>
      <w:pPr>
        <w:pStyle w:val="80"/>
        <w:numPr>
          <w:ilvl w:val="0"/>
          <w:numId w:val="28"/>
        </w:numPr>
      </w:pPr>
      <w:r>
        <w:t>应按分层、分段、对称、均衡、适时的原则开挖</w:t>
      </w:r>
      <w:r>
        <w:rPr>
          <w:rFonts w:hint="eastAsia"/>
        </w:rPr>
        <w:t>；</w:t>
      </w:r>
    </w:p>
    <w:p>
      <w:pPr>
        <w:pStyle w:val="80"/>
        <w:numPr>
          <w:ilvl w:val="0"/>
          <w:numId w:val="28"/>
        </w:numPr>
      </w:pPr>
      <w:r>
        <w:t>开挖时，挖土机械不得碰撞或损害已施工完成的结构构件、支撑及防水层</w:t>
      </w:r>
      <w:r>
        <w:rPr>
          <w:rFonts w:hint="eastAsia"/>
        </w:rPr>
        <w:t>；</w:t>
      </w:r>
    </w:p>
    <w:p>
      <w:pPr>
        <w:pStyle w:val="80"/>
        <w:numPr>
          <w:ilvl w:val="0"/>
          <w:numId w:val="28"/>
        </w:numPr>
      </w:pPr>
      <w:r>
        <w:t>对采用支撑的支护结构，开挖到支撑作业面后，应及时进行支撑施工</w:t>
      </w:r>
      <w:r>
        <w:rPr>
          <w:rFonts w:hint="eastAsia"/>
        </w:rPr>
        <w:t>；</w:t>
      </w:r>
    </w:p>
    <w:p>
      <w:pPr>
        <w:pStyle w:val="80"/>
        <w:numPr>
          <w:ilvl w:val="0"/>
          <w:numId w:val="28"/>
        </w:numPr>
      </w:pPr>
      <w:r>
        <w:t>连续开挖区段的长度不宜超过1个围堰仓段，并应做好纵向</w:t>
      </w:r>
      <w:r>
        <w:rPr>
          <w:rFonts w:hint="eastAsia"/>
        </w:rPr>
        <w:t>开挖</w:t>
      </w:r>
      <w:r>
        <w:t>坡面防护。</w:t>
      </w:r>
    </w:p>
    <w:p>
      <w:pPr>
        <w:pStyle w:val="84"/>
      </w:pPr>
      <w:r>
        <w:rPr>
          <w:rFonts w:hint="eastAsia"/>
        </w:rPr>
        <w:t>回填材料选择应满足以下要求：</w:t>
      </w:r>
    </w:p>
    <w:p>
      <w:pPr>
        <w:pStyle w:val="80"/>
        <w:numPr>
          <w:ilvl w:val="0"/>
          <w:numId w:val="29"/>
        </w:numPr>
      </w:pPr>
      <w:r>
        <w:rPr>
          <w:rFonts w:hint="eastAsia"/>
        </w:rPr>
        <w:t>宜采用</w:t>
      </w:r>
      <w:r>
        <w:t>黏性土、灰土、水泥土等</w:t>
      </w:r>
      <w:r>
        <w:rPr>
          <w:rFonts w:hint="eastAsia"/>
        </w:rPr>
        <w:t>易于压实的材料，</w:t>
      </w:r>
      <w:r>
        <w:t>不</w:t>
      </w:r>
      <w:r>
        <w:rPr>
          <w:rFonts w:hint="eastAsia"/>
        </w:rPr>
        <w:t>得含</w:t>
      </w:r>
      <w:r>
        <w:t>淤泥、</w:t>
      </w:r>
      <w:r>
        <w:rPr>
          <w:rFonts w:hint="eastAsia"/>
        </w:rPr>
        <w:t>尖锐物体、灰渣、有机物等杂质；</w:t>
      </w:r>
    </w:p>
    <w:p>
      <w:pPr>
        <w:pStyle w:val="80"/>
        <w:numPr>
          <w:ilvl w:val="0"/>
          <w:numId w:val="29"/>
        </w:numPr>
      </w:pPr>
      <w:r>
        <w:t>水流冲刷较大</w:t>
      </w:r>
      <w:r>
        <w:rPr>
          <w:rFonts w:hint="eastAsia"/>
        </w:rPr>
        <w:t>、通航水域或</w:t>
      </w:r>
      <w:r>
        <w:t>覆土厚度较小时，</w:t>
      </w:r>
      <w:r>
        <w:rPr>
          <w:rFonts w:hint="eastAsia"/>
        </w:rPr>
        <w:t>结构</w:t>
      </w:r>
      <w:r>
        <w:t>顶部及结构外</w:t>
      </w:r>
      <w:r>
        <w:rPr>
          <w:rFonts w:hint="eastAsia"/>
        </w:rPr>
        <w:t>边缘10m范围</w:t>
      </w:r>
      <w:r>
        <w:t>内</w:t>
      </w:r>
      <w:r>
        <w:rPr>
          <w:rFonts w:hint="eastAsia"/>
        </w:rPr>
        <w:t>回填</w:t>
      </w:r>
      <w:r>
        <w:t>可采用钢筋石笼、大块石、浆砌片石或混凝土铺砌等</w:t>
      </w:r>
      <w:r>
        <w:rPr>
          <w:rFonts w:hint="eastAsia"/>
        </w:rPr>
        <w:t>，并应采取可靠措施保护隧道防水层；</w:t>
      </w:r>
    </w:p>
    <w:p>
      <w:pPr>
        <w:pStyle w:val="80"/>
        <w:numPr>
          <w:ilvl w:val="0"/>
          <w:numId w:val="29"/>
        </w:numPr>
      </w:pPr>
      <w:r>
        <w:rPr>
          <w:rFonts w:hint="eastAsia"/>
        </w:rPr>
        <w:t>空间受限时可采用素混凝土、自密实水泥土等材料。</w:t>
      </w:r>
    </w:p>
    <w:p>
      <w:pPr>
        <w:pStyle w:val="84"/>
      </w:pPr>
      <w:r>
        <w:rPr>
          <w:rFonts w:hint="eastAsia"/>
        </w:rPr>
        <w:t>回填施工应满足以下要求：</w:t>
      </w:r>
    </w:p>
    <w:p>
      <w:pPr>
        <w:pStyle w:val="80"/>
        <w:numPr>
          <w:ilvl w:val="0"/>
          <w:numId w:val="30"/>
        </w:numPr>
      </w:pPr>
      <w:r>
        <w:t>结构边线范围及外边缘50</w:t>
      </w:r>
      <w:r>
        <w:rPr>
          <w:rFonts w:hint="eastAsia"/>
        </w:rPr>
        <w:t xml:space="preserve"> </w:t>
      </w:r>
      <w:r>
        <w:t>cm内，应采用人工夯实，其余部位可采用机械回填碾压</w:t>
      </w:r>
      <w:r>
        <w:rPr>
          <w:rFonts w:hint="eastAsia"/>
        </w:rPr>
        <w:t>；</w:t>
      </w:r>
    </w:p>
    <w:p>
      <w:pPr>
        <w:pStyle w:val="80"/>
        <w:numPr>
          <w:ilvl w:val="0"/>
          <w:numId w:val="30"/>
        </w:numPr>
      </w:pPr>
      <w:r>
        <w:t>应对称、分层回填，分层回填厚度宜为250</w:t>
      </w:r>
      <w:r>
        <w:rPr>
          <w:rFonts w:hint="eastAsia"/>
        </w:rPr>
        <w:t xml:space="preserve"> </w:t>
      </w:r>
      <w:r>
        <w:t>mm～300</w:t>
      </w:r>
      <w:r>
        <w:rPr>
          <w:rFonts w:hint="eastAsia"/>
        </w:rPr>
        <w:t xml:space="preserve"> </w:t>
      </w:r>
      <w:r>
        <w:t>mm</w:t>
      </w:r>
      <w:r>
        <w:rPr>
          <w:rFonts w:hint="eastAsia"/>
        </w:rPr>
        <w:t>；</w:t>
      </w:r>
    </w:p>
    <w:p>
      <w:pPr>
        <w:pStyle w:val="80"/>
        <w:numPr>
          <w:ilvl w:val="0"/>
          <w:numId w:val="30"/>
        </w:numPr>
      </w:pPr>
      <w:r>
        <w:t>回填压实度不宜小于90%，隧道结构顶以上存在</w:t>
      </w:r>
      <w:r>
        <w:rPr>
          <w:rFonts w:hint="eastAsia"/>
        </w:rPr>
        <w:t>岸堤</w:t>
      </w:r>
      <w:r>
        <w:t>、二次围堰、道路等构筑物时，应同时满足构筑物对压实度的要求。</w:t>
      </w:r>
    </w:p>
    <w:p>
      <w:pPr>
        <w:pStyle w:val="66"/>
        <w:spacing w:before="312" w:after="312"/>
      </w:pPr>
      <w:bookmarkStart w:id="99" w:name="_Toc154179500"/>
      <w:bookmarkStart w:id="100" w:name="_Toc154132528"/>
      <w:r>
        <w:t>地基与基础</w:t>
      </w:r>
      <w:bookmarkEnd w:id="99"/>
      <w:bookmarkEnd w:id="100"/>
    </w:p>
    <w:p>
      <w:pPr>
        <w:pStyle w:val="63"/>
        <w:spacing w:before="156" w:after="156"/>
      </w:pPr>
      <w:bookmarkStart w:id="101" w:name="_Toc154132529"/>
      <w:bookmarkStart w:id="102" w:name="_Toc154179501"/>
      <w:bookmarkStart w:id="103" w:name="_Toc81213049"/>
      <w:r>
        <w:t>一般规定</w:t>
      </w:r>
      <w:bookmarkEnd w:id="101"/>
      <w:bookmarkEnd w:id="102"/>
      <w:bookmarkEnd w:id="103"/>
    </w:p>
    <w:p>
      <w:pPr>
        <w:pStyle w:val="84"/>
      </w:pPr>
      <w:r>
        <w:t>地基处理与基础设计应坚持因地制宜、就地取材、节约资源的原则。</w:t>
      </w:r>
    </w:p>
    <w:p>
      <w:pPr>
        <w:pStyle w:val="84"/>
      </w:pPr>
      <w:r>
        <w:t>隧道地基与基础设计应进行地基承载力、地基变形验算。当计算不满足要求时，宜采取复合地基、桩基础等地基处理措施。</w:t>
      </w:r>
    </w:p>
    <w:p>
      <w:pPr>
        <w:pStyle w:val="63"/>
        <w:spacing w:before="156" w:after="156"/>
      </w:pPr>
      <w:bookmarkStart w:id="104" w:name="_Toc154132530"/>
      <w:bookmarkStart w:id="105" w:name="_Toc154179502"/>
      <w:r>
        <w:rPr>
          <w:rFonts w:hint="eastAsia"/>
        </w:rPr>
        <w:t>地基计算</w:t>
      </w:r>
      <w:bookmarkEnd w:id="104"/>
      <w:bookmarkEnd w:id="105"/>
    </w:p>
    <w:p>
      <w:pPr>
        <w:pStyle w:val="84"/>
      </w:pPr>
      <w:r>
        <w:rPr>
          <w:rFonts w:hint="eastAsia"/>
        </w:rPr>
        <w:t>堰筑隧道应进行地基承载力验算可参照《公路桥涵地基与基础设计规范》（JTG 3363）</w:t>
      </w:r>
      <w:r>
        <w:t>执行。</w:t>
      </w:r>
    </w:p>
    <w:p>
      <w:pPr>
        <w:pStyle w:val="84"/>
      </w:pPr>
      <w:r>
        <w:t>当隧道主要持力层范围内存在软弱土层时，尚应按照式（6）验算软弱土层上表面地基承载力</w:t>
      </w:r>
      <w:r>
        <w:rPr>
          <w:rFonts w:hint="eastAsia"/>
        </w:rPr>
        <w:t>：</w:t>
      </w:r>
    </w:p>
    <w:p>
      <w:pPr>
        <w:pStyle w:val="315"/>
        <w:ind w:firstLine="360"/>
        <w:rPr>
          <w:rFonts w:ascii="宋体" w:hAnsi="宋体"/>
        </w:rPr>
      </w:pPr>
      <w:r>
        <w:rPr>
          <w:rFonts w:ascii="宋体" w:hAnsi="宋体"/>
          <w:position w:val="-12"/>
        </w:rPr>
        <w:object>
          <v:shape id="_x0000_i1028" o:spt="75" type="#_x0000_t75" style="height:18.75pt;width:160.5pt;" o:ole="t" filled="f" o:preferrelative="t" stroked="f" coordsize="21600,21600">
            <v:path/>
            <v:fill on="f" focussize="0,0"/>
            <v:stroke on="f" joinstyle="miter"/>
            <v:imagedata r:id="rId16" o:title=""/>
            <o:lock v:ext="edit" aspectratio="t"/>
            <w10:wrap type="none"/>
            <w10:anchorlock/>
          </v:shape>
          <o:OLEObject Type="Embed" ProgID="Equation.DSMT4" ShapeID="_x0000_i1028" DrawAspect="Content" ObjectID="_1468075728" r:id="rId15">
            <o:LockedField>false</o:LockedField>
          </o:OLEObject>
        </w:object>
      </w:r>
      <w:r>
        <w:t xml:space="preserve">                         </w:t>
      </w:r>
      <w:r>
        <w:rPr>
          <w:rFonts w:ascii="宋体" w:hAnsi="宋体"/>
        </w:rPr>
        <w:t>（6）</w:t>
      </w:r>
    </w:p>
    <w:p>
      <w:pPr>
        <w:ind w:firstLine="420" w:firstLineChars="200"/>
      </w:pPr>
      <w:r>
        <w:t>式中：</w:t>
      </w:r>
    </w:p>
    <w:p>
      <w:pPr>
        <w:ind w:firstLine="420" w:firstLineChars="200"/>
        <w:rPr>
          <w:rFonts w:ascii="宋体" w:hAnsi="宋体"/>
        </w:rPr>
      </w:pPr>
      <w:r>
        <w:rPr>
          <w:i/>
        </w:rPr>
        <w:t>p</w:t>
      </w:r>
      <w:r>
        <w:rPr>
          <w:vertAlign w:val="subscript"/>
        </w:rPr>
        <w:t>z</w:t>
      </w:r>
      <w:r>
        <w:t>——</w:t>
      </w:r>
      <w:r>
        <w:rPr>
          <w:rFonts w:ascii="宋体" w:hAnsi="宋体"/>
        </w:rPr>
        <w:t>最不利作用频遇值组合条件下软弱土层顶面处压力（kPa）；</w:t>
      </w:r>
    </w:p>
    <w:p>
      <w:pPr>
        <w:ind w:firstLine="420" w:firstLineChars="200"/>
      </w:pPr>
      <w:r>
        <w:rPr>
          <w:i/>
        </w:rPr>
        <w:t>p</w:t>
      </w:r>
      <w:r>
        <w:t>——</w:t>
      </w:r>
      <w:r>
        <w:rPr>
          <w:rFonts w:hint="eastAsia"/>
        </w:rPr>
        <w:t>基底压应力</w:t>
      </w:r>
      <w:r>
        <w:rPr>
          <w:rFonts w:ascii="宋体" w:hAnsi="宋体"/>
        </w:rPr>
        <w:t>（kPa）</w:t>
      </w:r>
      <w:r>
        <w:rPr>
          <w:rFonts w:hint="eastAsia" w:ascii="宋体" w:hAnsi="宋体"/>
        </w:rPr>
        <w:t>，当z/b＞1 时，p采用基底平均压应力，b为矩形基底的宽度；当z/b≤1 时，p为基底压应力图形距最大压应力点b/3</w:t>
      </w:r>
      <w:r>
        <w:t>~</w:t>
      </w:r>
      <w:r>
        <w:rPr>
          <w:rFonts w:hint="eastAsia" w:ascii="宋体" w:hAnsi="宋体"/>
        </w:rPr>
        <w:t>b/4 处的压应力（对梯形图形前后端压应力差值较大时，可采用上述b/4点处的压应力值；反之，则采用上述b/3处压应力值）；</w:t>
      </w:r>
    </w:p>
    <w:p>
      <w:pPr>
        <w:ind w:firstLine="420" w:firstLineChars="200"/>
        <w:rPr>
          <w:rFonts w:ascii="宋体" w:hAnsi="宋体"/>
        </w:rPr>
      </w:pPr>
      <w:r>
        <w:rPr>
          <w:i/>
        </w:rPr>
        <w:t>h</w:t>
      </w:r>
      <w:r>
        <w:t>——</w:t>
      </w:r>
      <w:r>
        <w:rPr>
          <w:rFonts w:ascii="宋体" w:hAnsi="宋体"/>
        </w:rPr>
        <w:t>基础底面埋深（m）；</w:t>
      </w:r>
    </w:p>
    <w:p>
      <w:pPr>
        <w:ind w:firstLine="420" w:firstLineChars="200"/>
        <w:rPr>
          <w:rFonts w:ascii="宋体" w:hAnsi="宋体"/>
        </w:rPr>
      </w:pPr>
      <w:r>
        <w:rPr>
          <w:i/>
        </w:rPr>
        <w:t>z</w:t>
      </w:r>
      <w:r>
        <w:t>——</w:t>
      </w:r>
      <w:r>
        <w:rPr>
          <w:rFonts w:ascii="宋体" w:hAnsi="宋体"/>
        </w:rPr>
        <w:t>基础底面至软弱土层顶距离（m）；</w:t>
      </w:r>
    </w:p>
    <w:p>
      <w:pPr>
        <w:ind w:firstLine="420" w:firstLineChars="200"/>
        <w:rPr>
          <w:rFonts w:ascii="宋体" w:hAnsi="宋体"/>
        </w:rPr>
      </w:pPr>
      <w:r>
        <w:rPr>
          <w:i/>
        </w:rPr>
        <w:t>γ</w:t>
      </w:r>
      <w:r>
        <w:rPr>
          <w:vertAlign w:val="subscript"/>
        </w:rPr>
        <w:t>1</w:t>
      </w:r>
      <w:r>
        <w:t>——</w:t>
      </w:r>
      <w:r>
        <w:rPr>
          <w:rFonts w:ascii="宋体" w:hAnsi="宋体"/>
        </w:rPr>
        <w:t>深度(h+z)范围内各土层的加权平均重度（kN/m</w:t>
      </w:r>
      <w:r>
        <w:rPr>
          <w:rFonts w:ascii="宋体" w:hAnsi="宋体"/>
          <w:vertAlign w:val="superscript"/>
        </w:rPr>
        <w:t>3</w:t>
      </w:r>
      <w:r>
        <w:rPr>
          <w:rFonts w:ascii="宋体" w:hAnsi="宋体"/>
        </w:rPr>
        <w:t>）；</w:t>
      </w:r>
    </w:p>
    <w:p>
      <w:pPr>
        <w:ind w:firstLine="420" w:firstLineChars="200"/>
        <w:rPr>
          <w:rFonts w:ascii="宋体" w:hAnsi="宋体"/>
        </w:rPr>
      </w:pPr>
      <w:r>
        <w:rPr>
          <w:i/>
        </w:rPr>
        <w:t>γ</w:t>
      </w:r>
      <w:r>
        <w:rPr>
          <w:vertAlign w:val="subscript"/>
        </w:rPr>
        <w:t>2</w:t>
      </w:r>
      <w:r>
        <w:t>——</w:t>
      </w:r>
      <w:r>
        <w:rPr>
          <w:rFonts w:ascii="宋体" w:hAnsi="宋体"/>
        </w:rPr>
        <w:t>深度h范围内各土层的加权平均重度（kN/m</w:t>
      </w:r>
      <w:r>
        <w:rPr>
          <w:rFonts w:ascii="宋体" w:hAnsi="宋体"/>
          <w:vertAlign w:val="superscript"/>
        </w:rPr>
        <w:t>3</w:t>
      </w:r>
      <w:r>
        <w:rPr>
          <w:rFonts w:ascii="宋体" w:hAnsi="宋体"/>
        </w:rPr>
        <w:t>）；</w:t>
      </w:r>
    </w:p>
    <w:p>
      <w:pPr>
        <w:ind w:firstLine="420" w:firstLineChars="200"/>
        <w:rPr>
          <w:rFonts w:ascii="宋体" w:hAnsi="宋体"/>
        </w:rPr>
      </w:pPr>
      <w:r>
        <w:rPr>
          <w:i/>
        </w:rPr>
        <w:t>γ</w:t>
      </w:r>
      <w:r>
        <w:rPr>
          <w:i/>
          <w:vertAlign w:val="subscript"/>
        </w:rPr>
        <w:t>R</w:t>
      </w:r>
      <w:r>
        <w:t>——</w:t>
      </w:r>
      <w:r>
        <w:rPr>
          <w:rFonts w:hint="eastAsia"/>
        </w:rPr>
        <w:t>抗力系数，可参照现行JTG 3363取值；</w:t>
      </w:r>
    </w:p>
    <w:p>
      <w:pPr>
        <w:ind w:firstLine="420" w:firstLineChars="200"/>
        <w:rPr>
          <w:rFonts w:ascii="宋体" w:hAnsi="宋体"/>
        </w:rPr>
      </w:pPr>
      <w:r>
        <w:rPr>
          <w:i/>
        </w:rPr>
        <w:t>α</w:t>
      </w:r>
      <w:r>
        <w:t>——</w:t>
      </w:r>
      <w:r>
        <w:rPr>
          <w:rFonts w:ascii="宋体" w:hAnsi="宋体"/>
        </w:rPr>
        <w:t>土中附加应力系数</w:t>
      </w:r>
      <w:r>
        <w:rPr>
          <w:rFonts w:hint="eastAsia"/>
        </w:rPr>
        <w:t>，可参照现行JTG 3363取值</w:t>
      </w:r>
      <w:r>
        <w:rPr>
          <w:rFonts w:ascii="宋体" w:hAnsi="宋体"/>
        </w:rPr>
        <w:t>；</w:t>
      </w:r>
    </w:p>
    <w:p>
      <w:pPr>
        <w:ind w:firstLine="420" w:firstLineChars="200"/>
        <w:rPr>
          <w:rFonts w:ascii="宋体" w:hAnsi="宋体"/>
        </w:rPr>
      </w:pPr>
      <w:r>
        <w:rPr>
          <w:i/>
        </w:rPr>
        <w:t>f</w:t>
      </w:r>
      <w:r>
        <w:rPr>
          <w:vertAlign w:val="subscript"/>
        </w:rPr>
        <w:t>az</w:t>
      </w:r>
      <w:r>
        <w:t>——</w:t>
      </w:r>
      <w:r>
        <w:rPr>
          <w:rFonts w:ascii="宋体" w:hAnsi="宋体"/>
        </w:rPr>
        <w:t>软弱土层顶面处修正后的地基承载力特征值（kPa）。</w:t>
      </w:r>
    </w:p>
    <w:p>
      <w:pPr>
        <w:pStyle w:val="84"/>
      </w:pPr>
      <w:r>
        <w:t>应计算</w:t>
      </w:r>
      <w:r>
        <w:rPr>
          <w:rFonts w:hint="eastAsia"/>
        </w:rPr>
        <w:t>主体结构沉降量，</w:t>
      </w:r>
      <w:r>
        <w:t>按照正常使用极限状态最不利作用</w:t>
      </w:r>
      <w:r>
        <w:rPr>
          <w:rFonts w:hint="eastAsia"/>
        </w:rPr>
        <w:t>标准</w:t>
      </w:r>
      <w:r>
        <w:t>组合</w:t>
      </w:r>
      <w:r>
        <w:rPr>
          <w:rFonts w:hint="eastAsia"/>
        </w:rPr>
        <w:t>计算。</w:t>
      </w:r>
      <w:r>
        <w:t>沉降计算</w:t>
      </w:r>
      <w:r>
        <w:rPr>
          <w:rFonts w:hint="eastAsia"/>
        </w:rPr>
        <w:t>可采用等效作用分层总和法，地基内的应力分布可采用各向同性均质线性变形体理论，并满足相关规范的要求。</w:t>
      </w:r>
    </w:p>
    <w:p>
      <w:pPr>
        <w:pStyle w:val="63"/>
        <w:spacing w:before="156" w:after="156"/>
      </w:pPr>
      <w:bookmarkStart w:id="106" w:name="_Toc154179503"/>
      <w:bookmarkStart w:id="107" w:name="_Toc81213051"/>
      <w:bookmarkStart w:id="108" w:name="_Toc154132531"/>
      <w:r>
        <w:t>地基处理</w:t>
      </w:r>
      <w:bookmarkEnd w:id="106"/>
      <w:bookmarkEnd w:id="107"/>
      <w:bookmarkEnd w:id="108"/>
    </w:p>
    <w:p>
      <w:pPr>
        <w:pStyle w:val="84"/>
      </w:pPr>
      <w:r>
        <w:rPr>
          <w:rFonts w:hint="eastAsia"/>
        </w:rPr>
        <w:t>应根据水文、地质、结构形式以及施工条件等选用合理的地基处理形式。</w:t>
      </w:r>
    </w:p>
    <w:p>
      <w:pPr>
        <w:pStyle w:val="84"/>
      </w:pPr>
      <w:r>
        <w:rPr>
          <w:rFonts w:hint="eastAsia"/>
        </w:rPr>
        <w:t>地基处理应满足隧道结构基底承载力和变形的要求。</w:t>
      </w:r>
    </w:p>
    <w:p>
      <w:pPr>
        <w:pStyle w:val="84"/>
      </w:pPr>
      <w:r>
        <w:rPr>
          <w:rFonts w:hint="eastAsia"/>
        </w:rPr>
        <w:t>基底位于软弱地基上时，可根据土层分布选择以下不同的地基处理形式：</w:t>
      </w:r>
    </w:p>
    <w:p>
      <w:pPr>
        <w:pStyle w:val="80"/>
        <w:numPr>
          <w:ilvl w:val="0"/>
          <w:numId w:val="31"/>
        </w:numPr>
      </w:pPr>
      <w:r>
        <w:t>基底地质条件仅局部不均匀，或仅浅表层3m内存在软弱土层时，可采用换填处理</w:t>
      </w:r>
      <w:r>
        <w:rPr>
          <w:rFonts w:hint="eastAsia"/>
        </w:rPr>
        <w:t>；</w:t>
      </w:r>
    </w:p>
    <w:p>
      <w:pPr>
        <w:pStyle w:val="80"/>
        <w:numPr>
          <w:ilvl w:val="0"/>
          <w:numId w:val="31"/>
        </w:numPr>
      </w:pPr>
      <w:r>
        <w:t>基底浅表3</w:t>
      </w:r>
      <w:r>
        <w:rPr>
          <w:rFonts w:hint="eastAsia"/>
        </w:rPr>
        <w:t xml:space="preserve"> </w:t>
      </w:r>
      <w:r>
        <w:t>m～5</w:t>
      </w:r>
      <w:r>
        <w:rPr>
          <w:rFonts w:hint="eastAsia"/>
        </w:rPr>
        <w:t xml:space="preserve"> </w:t>
      </w:r>
      <w:r>
        <w:t>m存在软弱土层时，可采用水泥土搅拌桩、高压旋喷桩等就地固化处理形式</w:t>
      </w:r>
      <w:r>
        <w:rPr>
          <w:rFonts w:hint="eastAsia"/>
        </w:rPr>
        <w:t>；</w:t>
      </w:r>
    </w:p>
    <w:p>
      <w:pPr>
        <w:pStyle w:val="80"/>
        <w:numPr>
          <w:ilvl w:val="0"/>
          <w:numId w:val="31"/>
        </w:numPr>
      </w:pPr>
      <w:r>
        <w:t>基底浅表软弱土层厚度大于5</w:t>
      </w:r>
      <w:r>
        <w:rPr>
          <w:rFonts w:hint="eastAsia"/>
        </w:rPr>
        <w:t xml:space="preserve"> </w:t>
      </w:r>
      <w:r>
        <w:t>m或下卧软硬交互地层时，可采用桩基础。</w:t>
      </w:r>
    </w:p>
    <w:p>
      <w:pPr>
        <w:pStyle w:val="84"/>
      </w:pPr>
      <w:r>
        <w:rPr>
          <w:rFonts w:hint="eastAsia"/>
        </w:rPr>
        <w:t>隧道穿越可能发生液化的地层时，应分析液化对结构安全及稳定性的不利影响，并采取桩基、土体加固或换填等措施。</w:t>
      </w:r>
    </w:p>
    <w:p>
      <w:pPr>
        <w:pStyle w:val="84"/>
      </w:pPr>
      <w:r>
        <w:rPr>
          <w:rFonts w:hint="eastAsia"/>
        </w:rPr>
        <w:t>隧道结构基底应设强度等级不小于C</w:t>
      </w:r>
      <w:r>
        <w:t>20</w:t>
      </w:r>
      <w:r>
        <w:rPr>
          <w:rFonts w:hint="eastAsia"/>
        </w:rPr>
        <w:t>的混凝土垫层，垫层厚度不宜小于0</w:t>
      </w:r>
      <w:r>
        <w:t>.2</w:t>
      </w:r>
      <w:r>
        <w:rPr>
          <w:rFonts w:hint="eastAsia"/>
        </w:rPr>
        <w:t xml:space="preserve"> m。</w:t>
      </w:r>
    </w:p>
    <w:p>
      <w:pPr>
        <w:pStyle w:val="63"/>
        <w:spacing w:before="156" w:after="156"/>
      </w:pPr>
      <w:bookmarkStart w:id="109" w:name="_Toc154179504"/>
      <w:bookmarkStart w:id="110" w:name="_Toc154132532"/>
      <w:bookmarkStart w:id="111" w:name="_Toc81213052"/>
      <w:r>
        <w:t>桩基础</w:t>
      </w:r>
      <w:bookmarkEnd w:id="109"/>
      <w:bookmarkEnd w:id="110"/>
      <w:bookmarkEnd w:id="111"/>
    </w:p>
    <w:p>
      <w:pPr>
        <w:pStyle w:val="84"/>
      </w:pPr>
      <w:r>
        <w:t>当地基承载力、沉降计算量不满足要求时，可采用承压桩；当结构抗浮不满足要求时，可采用抗拔桩。桩基础设计工作年限</w:t>
      </w:r>
      <w:r>
        <w:rPr>
          <w:rFonts w:hint="eastAsia"/>
        </w:rPr>
        <w:t>应</w:t>
      </w:r>
      <w:r>
        <w:t>与主体结构相同。</w:t>
      </w:r>
    </w:p>
    <w:p>
      <w:pPr>
        <w:pStyle w:val="84"/>
      </w:pPr>
      <w:r>
        <w:t>桩基布置应考虑隧道横向、纵向受力不均匀性，隧道结构内力及变形计算应考虑桩基影响。最不利作用效应标准组合下，桩基承担的荷载不得大于桩基承载力特征值。桩基布置间距不应小于3</w:t>
      </w:r>
      <w:r>
        <w:rPr>
          <w:rFonts w:hint="eastAsia"/>
        </w:rPr>
        <w:t xml:space="preserve"> </w:t>
      </w:r>
      <w:r>
        <w:t>d～4</w:t>
      </w:r>
      <w:r>
        <w:rPr>
          <w:rFonts w:hint="eastAsia"/>
        </w:rPr>
        <w:t xml:space="preserve"> </w:t>
      </w:r>
      <w:r>
        <w:t>d（</w:t>
      </w:r>
      <w:r>
        <w:rPr>
          <w:i/>
        </w:rPr>
        <w:t>d</w:t>
      </w:r>
      <w:r>
        <w:t>表示桩直径或边长，挤土效应明显时取大值），且不宜大于8</w:t>
      </w:r>
      <w:r>
        <w:rPr>
          <w:rFonts w:hint="eastAsia"/>
        </w:rPr>
        <w:t xml:space="preserve"> </w:t>
      </w:r>
      <w:r>
        <w:t>m。</w:t>
      </w:r>
    </w:p>
    <w:p>
      <w:pPr>
        <w:pStyle w:val="84"/>
      </w:pPr>
      <w:r>
        <w:t>桩基与隧道底板连接处应满足冲切承载力要求，当冲切承载力不满足要求时，</w:t>
      </w:r>
      <w:r>
        <w:rPr>
          <w:rFonts w:hint="eastAsia"/>
        </w:rPr>
        <w:t>应采取</w:t>
      </w:r>
      <w:r>
        <w:t>局部增加板厚或采用抗冲切钢筋等措施。</w:t>
      </w:r>
    </w:p>
    <w:p>
      <w:pPr>
        <w:pStyle w:val="84"/>
      </w:pPr>
      <w:r>
        <w:t>桩基承载力验算及桩身结构承载力、裂缝计算应</w:t>
      </w:r>
      <w:r>
        <w:rPr>
          <w:rFonts w:hint="eastAsia"/>
        </w:rPr>
        <w:t>符合</w:t>
      </w:r>
      <w:r>
        <w:t>《建筑桩基技术规范》</w:t>
      </w:r>
      <w:r>
        <w:rPr>
          <w:rFonts w:hint="eastAsia"/>
        </w:rPr>
        <w:t>（JGJ 9</w:t>
      </w:r>
      <w:r>
        <w:t>4</w:t>
      </w:r>
      <w:r>
        <w:rPr>
          <w:rFonts w:hint="eastAsia"/>
        </w:rPr>
        <w:t>）</w:t>
      </w:r>
      <w:r>
        <w:t>的规定。</w:t>
      </w:r>
    </w:p>
    <w:p>
      <w:pPr>
        <w:pStyle w:val="66"/>
        <w:spacing w:before="312" w:after="312"/>
      </w:pPr>
      <w:bookmarkStart w:id="112" w:name="_Toc154179505"/>
      <w:bookmarkStart w:id="113" w:name="_Toc154132533"/>
      <w:r>
        <w:rPr>
          <w:rFonts w:hint="eastAsia"/>
        </w:rPr>
        <w:t>运营维护设施</w:t>
      </w:r>
      <w:bookmarkEnd w:id="112"/>
      <w:bookmarkEnd w:id="113"/>
    </w:p>
    <w:p>
      <w:pPr>
        <w:pStyle w:val="63"/>
        <w:spacing w:before="156" w:after="156"/>
      </w:pPr>
      <w:bookmarkStart w:id="114" w:name="_Toc154132534"/>
      <w:bookmarkStart w:id="115" w:name="_Toc122073833"/>
      <w:bookmarkStart w:id="116" w:name="_Toc154179506"/>
      <w:r>
        <w:rPr>
          <w:rFonts w:hint="eastAsia"/>
        </w:rPr>
        <w:t>一般规定</w:t>
      </w:r>
      <w:bookmarkEnd w:id="114"/>
      <w:bookmarkEnd w:id="115"/>
      <w:bookmarkEnd w:id="116"/>
    </w:p>
    <w:p>
      <w:pPr>
        <w:pStyle w:val="84"/>
      </w:pPr>
      <w:r>
        <w:rPr>
          <w:rFonts w:hint="eastAsia"/>
        </w:rPr>
        <w:t>隧道交通工程及附属设施设计应满足运维、防灾、救援等安全运营需求。</w:t>
      </w:r>
    </w:p>
    <w:p>
      <w:pPr>
        <w:pStyle w:val="84"/>
      </w:pPr>
      <w:r>
        <w:rPr>
          <w:rFonts w:hint="eastAsia"/>
        </w:rPr>
        <w:t>应与隧道接线工程或属地管养模式相协调，以安全、经济、高效、适用为原则。</w:t>
      </w:r>
    </w:p>
    <w:p>
      <w:pPr>
        <w:pStyle w:val="84"/>
      </w:pPr>
      <w:r>
        <w:rPr>
          <w:rFonts w:hint="eastAsia"/>
        </w:rPr>
        <w:t>各类设施的配置规模应根据隧道长度与预测交通量进行总体设计，并据此一次性征用土地，实施基础、地下管线及预留预埋工程等，机电设施可分期实施。</w:t>
      </w:r>
    </w:p>
    <w:p>
      <w:pPr>
        <w:pStyle w:val="84"/>
      </w:pPr>
      <w:r>
        <w:t>隧道</w:t>
      </w:r>
      <w:r>
        <w:rPr>
          <w:rFonts w:hint="eastAsia"/>
        </w:rPr>
        <w:t>运营维护</w:t>
      </w:r>
      <w:r>
        <w:t>设施设计应满足《公路隧道设计规范</w:t>
      </w:r>
      <w:r>
        <w:rPr>
          <w:rFonts w:hint="eastAsia"/>
        </w:rPr>
        <w:t xml:space="preserve"> </w:t>
      </w:r>
      <w:r>
        <w:t>第二册</w:t>
      </w:r>
      <w:r>
        <w:rPr>
          <w:rFonts w:hint="eastAsia"/>
        </w:rPr>
        <w:t xml:space="preserve"> </w:t>
      </w:r>
      <w:r>
        <w:t>交通工程与附属设施》（JTG D70/2）的规定。</w:t>
      </w:r>
    </w:p>
    <w:p>
      <w:pPr>
        <w:pStyle w:val="63"/>
        <w:spacing w:before="156" w:after="156"/>
      </w:pPr>
      <w:bookmarkStart w:id="117" w:name="_Toc154132535"/>
      <w:r>
        <w:rPr>
          <w:rFonts w:hint="eastAsia"/>
        </w:rPr>
        <w:t xml:space="preserve"> </w:t>
      </w:r>
      <w:bookmarkStart w:id="118" w:name="_Toc154179507"/>
      <w:r>
        <w:rPr>
          <w:rFonts w:hint="eastAsia"/>
        </w:rPr>
        <w:t>通风设施</w:t>
      </w:r>
      <w:bookmarkEnd w:id="117"/>
      <w:bookmarkEnd w:id="118"/>
    </w:p>
    <w:p>
      <w:pPr>
        <w:pStyle w:val="84"/>
      </w:pPr>
      <w:r>
        <w:t>通风设计应综合考虑公路等级、隧道长度、交通量、交通条件、平纵线性、环境保护、防灾排烟和运营维护等因素。</w:t>
      </w:r>
    </w:p>
    <w:p>
      <w:pPr>
        <w:pStyle w:val="84"/>
      </w:pPr>
      <w:r>
        <w:t>通风系统应具有满足正常工况、交通阻滞工况、火灾事故工况、养护维修工况下通风排烟的功能。</w:t>
      </w:r>
    </w:p>
    <w:p>
      <w:pPr>
        <w:pStyle w:val="84"/>
      </w:pPr>
      <w:r>
        <w:t>处于环境敏感地带的隧道出入口或通风口，噪声及污染物排放应符合工程项目环境影响评价的相关要求。</w:t>
      </w:r>
    </w:p>
    <w:p>
      <w:pPr>
        <w:pStyle w:val="84"/>
      </w:pPr>
      <w:r>
        <w:rPr>
          <w:rFonts w:hint="eastAsia"/>
        </w:rPr>
        <w:t>隧道</w:t>
      </w:r>
      <w:r>
        <w:t>火灾时，防排烟系统应能及时有效控制和排除烟气</w:t>
      </w:r>
      <w:r>
        <w:rPr>
          <w:rFonts w:hint="eastAsia"/>
        </w:rPr>
        <w:t>、</w:t>
      </w:r>
      <w:r>
        <w:t>减少烟气在</w:t>
      </w:r>
      <w:r>
        <w:rPr>
          <w:rFonts w:hint="eastAsia"/>
        </w:rPr>
        <w:t>隧道</w:t>
      </w:r>
      <w:r>
        <w:t>内影响范围。</w:t>
      </w:r>
    </w:p>
    <w:p>
      <w:pPr>
        <w:pStyle w:val="84"/>
      </w:pPr>
      <w:r>
        <w:rPr>
          <w:rFonts w:hint="eastAsia"/>
        </w:rPr>
        <w:t>隧道</w:t>
      </w:r>
      <w:r>
        <w:t>防排烟系统设计应符合下列规定：</w:t>
      </w:r>
    </w:p>
    <w:p>
      <w:pPr>
        <w:pStyle w:val="80"/>
        <w:numPr>
          <w:ilvl w:val="0"/>
          <w:numId w:val="32"/>
        </w:numPr>
      </w:pPr>
      <w:r>
        <w:rPr>
          <w:rFonts w:hint="eastAsia"/>
        </w:rPr>
        <w:t>隧道</w:t>
      </w:r>
      <w:r>
        <w:t>防排烟系统设计应结合交通状况</w:t>
      </w:r>
      <w:r>
        <w:rPr>
          <w:rFonts w:hint="eastAsia"/>
        </w:rPr>
        <w:t>、</w:t>
      </w:r>
      <w:r>
        <w:t>通风方式和疏散设施等统筹考虑，当与</w:t>
      </w:r>
      <w:r>
        <w:rPr>
          <w:rFonts w:hint="eastAsia"/>
        </w:rPr>
        <w:t>正常</w:t>
      </w:r>
      <w:r>
        <w:t>通风系统合用时，应具备在火灾工况下的快速转换功能，并符合防排烟系统要求</w:t>
      </w:r>
      <w:r>
        <w:rPr>
          <w:rFonts w:hint="eastAsia"/>
        </w:rPr>
        <w:t>；</w:t>
      </w:r>
    </w:p>
    <w:p>
      <w:pPr>
        <w:pStyle w:val="80"/>
        <w:numPr>
          <w:ilvl w:val="0"/>
          <w:numId w:val="32"/>
        </w:numPr>
      </w:pPr>
      <w:r>
        <w:rPr>
          <w:rFonts w:hint="eastAsia"/>
        </w:rPr>
        <w:t>长度</w:t>
      </w:r>
      <w:r>
        <w:t>小于</w:t>
      </w:r>
      <w:r>
        <w:rPr>
          <w:rFonts w:hint="eastAsia"/>
        </w:rPr>
        <w:t xml:space="preserve">3000 </w:t>
      </w:r>
      <w:r>
        <w:t>m的隧道宜采用纵向排烟方式，特长隧道宜采用纵向分段排烟方式或重点排烟方式。</w:t>
      </w:r>
    </w:p>
    <w:p>
      <w:pPr>
        <w:pStyle w:val="84"/>
      </w:pPr>
      <w:r>
        <w:rPr>
          <w:rFonts w:hint="eastAsia"/>
        </w:rPr>
        <w:t>设备</w:t>
      </w:r>
      <w:r>
        <w:t>用房暖通设计应符合表12要求</w:t>
      </w:r>
      <w:r>
        <w:rPr>
          <w:rFonts w:hint="eastAsia"/>
        </w:rPr>
        <w:t>。</w:t>
      </w:r>
    </w:p>
    <w:p>
      <w:pPr>
        <w:pStyle w:val="147"/>
        <w:spacing w:before="156" w:after="156"/>
      </w:pPr>
      <w:r>
        <w:t xml:space="preserve">表12 </w:t>
      </w:r>
      <w:r>
        <w:rPr>
          <w:rFonts w:hint="eastAsia"/>
        </w:rPr>
        <w:t>隧道设备</w:t>
      </w:r>
      <w:r>
        <w:t>用房室内环境标准</w:t>
      </w:r>
    </w:p>
    <w:tbl>
      <w:tblPr>
        <w:tblStyle w:val="5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481"/>
        <w:gridCol w:w="1133"/>
        <w:gridCol w:w="1135"/>
        <w:gridCol w:w="1411"/>
        <w:gridCol w:w="14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2341" w:type="pct"/>
            <w:vMerge w:val="restart"/>
            <w:vAlign w:val="center"/>
          </w:tcPr>
          <w:p>
            <w:pPr>
              <w:jc w:val="center"/>
              <w:rPr>
                <w:rFonts w:ascii="宋体" w:hAnsi="宋体"/>
                <w:sz w:val="18"/>
                <w:szCs w:val="18"/>
              </w:rPr>
            </w:pPr>
            <w:r>
              <w:rPr>
                <w:rFonts w:ascii="宋体" w:hAnsi="宋体"/>
                <w:sz w:val="18"/>
                <w:szCs w:val="18"/>
              </w:rPr>
              <w:t>房间名称</w:t>
            </w:r>
          </w:p>
        </w:tc>
        <w:tc>
          <w:tcPr>
            <w:tcW w:w="1185" w:type="pct"/>
            <w:gridSpan w:val="2"/>
          </w:tcPr>
          <w:p>
            <w:pPr>
              <w:jc w:val="center"/>
              <w:rPr>
                <w:rFonts w:ascii="宋体" w:hAnsi="宋体"/>
                <w:sz w:val="18"/>
                <w:szCs w:val="18"/>
              </w:rPr>
            </w:pPr>
            <w:r>
              <w:rPr>
                <w:rFonts w:ascii="宋体" w:hAnsi="宋体"/>
                <w:sz w:val="18"/>
                <w:szCs w:val="18"/>
              </w:rPr>
              <w:t>计算温度（</w:t>
            </w:r>
            <w:r>
              <w:rPr>
                <w:rFonts w:hint="eastAsia" w:ascii="宋体" w:hAnsi="宋体" w:cs="宋体"/>
                <w:sz w:val="18"/>
                <w:szCs w:val="18"/>
              </w:rPr>
              <w:t>℃</w:t>
            </w:r>
            <w:r>
              <w:rPr>
                <w:rFonts w:ascii="宋体" w:hAnsi="宋体"/>
                <w:sz w:val="18"/>
                <w:szCs w:val="18"/>
              </w:rPr>
              <w:t>）</w:t>
            </w:r>
          </w:p>
        </w:tc>
        <w:tc>
          <w:tcPr>
            <w:tcW w:w="1474" w:type="pct"/>
            <w:gridSpan w:val="2"/>
          </w:tcPr>
          <w:p>
            <w:pPr>
              <w:jc w:val="center"/>
              <w:rPr>
                <w:rFonts w:ascii="宋体" w:hAnsi="宋体"/>
                <w:sz w:val="18"/>
                <w:szCs w:val="18"/>
              </w:rPr>
            </w:pPr>
            <w:r>
              <w:rPr>
                <w:rFonts w:ascii="宋体" w:hAnsi="宋体"/>
                <w:sz w:val="18"/>
                <w:szCs w:val="18"/>
              </w:rPr>
              <w:t>换气次数（次/h）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2341" w:type="pct"/>
            <w:vMerge w:val="continue"/>
          </w:tcPr>
          <w:p>
            <w:pPr>
              <w:jc w:val="center"/>
              <w:rPr>
                <w:rFonts w:ascii="宋体" w:hAnsi="宋体"/>
                <w:sz w:val="18"/>
                <w:szCs w:val="18"/>
              </w:rPr>
            </w:pPr>
          </w:p>
        </w:tc>
        <w:tc>
          <w:tcPr>
            <w:tcW w:w="592" w:type="pct"/>
          </w:tcPr>
          <w:p>
            <w:pPr>
              <w:jc w:val="center"/>
              <w:rPr>
                <w:rFonts w:ascii="宋体" w:hAnsi="宋体"/>
                <w:sz w:val="18"/>
                <w:szCs w:val="18"/>
              </w:rPr>
            </w:pPr>
            <w:r>
              <w:rPr>
                <w:rFonts w:ascii="宋体" w:hAnsi="宋体"/>
                <w:sz w:val="18"/>
                <w:szCs w:val="18"/>
              </w:rPr>
              <w:t>冬季</w:t>
            </w:r>
          </w:p>
        </w:tc>
        <w:tc>
          <w:tcPr>
            <w:tcW w:w="593" w:type="pct"/>
          </w:tcPr>
          <w:p>
            <w:pPr>
              <w:jc w:val="center"/>
              <w:rPr>
                <w:rFonts w:ascii="宋体" w:hAnsi="宋体"/>
                <w:sz w:val="18"/>
                <w:szCs w:val="18"/>
              </w:rPr>
            </w:pPr>
            <w:r>
              <w:rPr>
                <w:rFonts w:ascii="宋体" w:hAnsi="宋体"/>
                <w:sz w:val="18"/>
                <w:szCs w:val="18"/>
              </w:rPr>
              <w:t>夏季</w:t>
            </w:r>
          </w:p>
        </w:tc>
        <w:tc>
          <w:tcPr>
            <w:tcW w:w="737" w:type="pct"/>
          </w:tcPr>
          <w:p>
            <w:pPr>
              <w:jc w:val="center"/>
              <w:rPr>
                <w:rFonts w:ascii="宋体" w:hAnsi="宋体"/>
                <w:sz w:val="18"/>
                <w:szCs w:val="18"/>
              </w:rPr>
            </w:pPr>
            <w:r>
              <w:rPr>
                <w:rFonts w:ascii="宋体" w:hAnsi="宋体"/>
                <w:sz w:val="18"/>
                <w:szCs w:val="18"/>
              </w:rPr>
              <w:t>进风</w:t>
            </w:r>
          </w:p>
        </w:tc>
        <w:tc>
          <w:tcPr>
            <w:tcW w:w="737" w:type="pct"/>
          </w:tcPr>
          <w:p>
            <w:pPr>
              <w:jc w:val="center"/>
              <w:rPr>
                <w:rFonts w:ascii="宋体" w:hAnsi="宋体"/>
                <w:sz w:val="18"/>
                <w:szCs w:val="18"/>
              </w:rPr>
            </w:pPr>
            <w:r>
              <w:rPr>
                <w:rFonts w:ascii="宋体" w:hAnsi="宋体"/>
                <w:sz w:val="18"/>
                <w:szCs w:val="18"/>
              </w:rPr>
              <w:t>排风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41" w:type="pct"/>
          </w:tcPr>
          <w:p>
            <w:pPr>
              <w:jc w:val="center"/>
              <w:rPr>
                <w:rFonts w:ascii="宋体" w:hAnsi="宋体"/>
                <w:sz w:val="18"/>
                <w:szCs w:val="18"/>
              </w:rPr>
            </w:pPr>
            <w:r>
              <w:rPr>
                <w:rFonts w:ascii="宋体" w:hAnsi="宋体"/>
                <w:sz w:val="18"/>
                <w:szCs w:val="18"/>
              </w:rPr>
              <w:t>值班室、休息室、更衣室</w:t>
            </w:r>
          </w:p>
        </w:tc>
        <w:tc>
          <w:tcPr>
            <w:tcW w:w="592" w:type="pct"/>
          </w:tcPr>
          <w:p>
            <w:pPr>
              <w:jc w:val="center"/>
              <w:rPr>
                <w:rFonts w:ascii="宋体" w:hAnsi="宋体"/>
                <w:sz w:val="18"/>
                <w:szCs w:val="18"/>
              </w:rPr>
            </w:pPr>
            <w:r>
              <w:rPr>
                <w:rFonts w:ascii="宋体" w:hAnsi="宋体"/>
                <w:sz w:val="18"/>
                <w:szCs w:val="18"/>
              </w:rPr>
              <w:t>18</w:t>
            </w:r>
          </w:p>
        </w:tc>
        <w:tc>
          <w:tcPr>
            <w:tcW w:w="593" w:type="pct"/>
          </w:tcPr>
          <w:p>
            <w:pPr>
              <w:jc w:val="center"/>
              <w:rPr>
                <w:rFonts w:ascii="宋体" w:hAnsi="宋体"/>
                <w:sz w:val="18"/>
                <w:szCs w:val="18"/>
              </w:rPr>
            </w:pPr>
            <w:r>
              <w:rPr>
                <w:rFonts w:ascii="宋体" w:hAnsi="宋体"/>
                <w:sz w:val="18"/>
                <w:szCs w:val="18"/>
              </w:rPr>
              <w:t>27</w:t>
            </w:r>
          </w:p>
        </w:tc>
        <w:tc>
          <w:tcPr>
            <w:tcW w:w="737" w:type="pct"/>
          </w:tcPr>
          <w:p>
            <w:pPr>
              <w:jc w:val="center"/>
              <w:rPr>
                <w:rFonts w:ascii="宋体" w:hAnsi="宋体"/>
                <w:sz w:val="18"/>
                <w:szCs w:val="18"/>
              </w:rPr>
            </w:pPr>
            <w:r>
              <w:rPr>
                <w:rFonts w:ascii="宋体" w:hAnsi="宋体"/>
                <w:sz w:val="18"/>
                <w:szCs w:val="18"/>
              </w:rPr>
              <w:t>6</w:t>
            </w:r>
          </w:p>
        </w:tc>
        <w:tc>
          <w:tcPr>
            <w:tcW w:w="737" w:type="pct"/>
          </w:tcPr>
          <w:p>
            <w:pPr>
              <w:jc w:val="center"/>
              <w:rPr>
                <w:rFonts w:ascii="宋体" w:hAnsi="宋体"/>
                <w:sz w:val="18"/>
                <w:szCs w:val="18"/>
              </w:rPr>
            </w:pPr>
            <w:r>
              <w:rPr>
                <w:rFonts w:ascii="宋体" w:hAnsi="宋体"/>
                <w:sz w:val="18"/>
                <w:szCs w:val="18"/>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41" w:type="pct"/>
          </w:tcPr>
          <w:p>
            <w:pPr>
              <w:jc w:val="center"/>
              <w:rPr>
                <w:rFonts w:ascii="宋体" w:hAnsi="宋体"/>
                <w:sz w:val="18"/>
                <w:szCs w:val="18"/>
              </w:rPr>
            </w:pPr>
            <w:r>
              <w:rPr>
                <w:rFonts w:ascii="宋体" w:hAnsi="宋体"/>
                <w:sz w:val="18"/>
                <w:szCs w:val="18"/>
              </w:rPr>
              <w:t>控制室、主机房</w:t>
            </w:r>
          </w:p>
        </w:tc>
        <w:tc>
          <w:tcPr>
            <w:tcW w:w="592" w:type="pct"/>
          </w:tcPr>
          <w:p>
            <w:pPr>
              <w:jc w:val="center"/>
              <w:rPr>
                <w:rFonts w:ascii="宋体" w:hAnsi="宋体"/>
                <w:sz w:val="18"/>
                <w:szCs w:val="18"/>
              </w:rPr>
            </w:pPr>
            <w:r>
              <w:rPr>
                <w:rFonts w:ascii="宋体" w:hAnsi="宋体"/>
                <w:sz w:val="18"/>
                <w:szCs w:val="18"/>
              </w:rPr>
              <w:t>18</w:t>
            </w:r>
          </w:p>
        </w:tc>
        <w:tc>
          <w:tcPr>
            <w:tcW w:w="593" w:type="pct"/>
          </w:tcPr>
          <w:p>
            <w:pPr>
              <w:jc w:val="center"/>
              <w:rPr>
                <w:rFonts w:ascii="宋体" w:hAnsi="宋体"/>
                <w:sz w:val="18"/>
                <w:szCs w:val="18"/>
              </w:rPr>
            </w:pPr>
            <w:r>
              <w:rPr>
                <w:rFonts w:ascii="宋体" w:hAnsi="宋体"/>
                <w:sz w:val="18"/>
                <w:szCs w:val="18"/>
              </w:rPr>
              <w:t>24</w:t>
            </w:r>
          </w:p>
        </w:tc>
        <w:tc>
          <w:tcPr>
            <w:tcW w:w="737" w:type="pct"/>
          </w:tcPr>
          <w:p>
            <w:pPr>
              <w:jc w:val="center"/>
              <w:rPr>
                <w:rFonts w:ascii="宋体" w:hAnsi="宋体"/>
                <w:sz w:val="18"/>
                <w:szCs w:val="18"/>
              </w:rPr>
            </w:pPr>
            <w:r>
              <w:rPr>
                <w:rFonts w:ascii="宋体" w:hAnsi="宋体"/>
                <w:sz w:val="18"/>
                <w:szCs w:val="18"/>
              </w:rPr>
              <w:t>6</w:t>
            </w:r>
          </w:p>
        </w:tc>
        <w:tc>
          <w:tcPr>
            <w:tcW w:w="737" w:type="pct"/>
          </w:tcPr>
          <w:p>
            <w:pPr>
              <w:jc w:val="center"/>
              <w:rPr>
                <w:rFonts w:ascii="宋体" w:hAnsi="宋体"/>
                <w:sz w:val="18"/>
                <w:szCs w:val="18"/>
              </w:rPr>
            </w:pPr>
            <w:r>
              <w:rPr>
                <w:rFonts w:ascii="宋体" w:hAnsi="宋体"/>
                <w:sz w:val="18"/>
                <w:szCs w:val="18"/>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41" w:type="pct"/>
          </w:tcPr>
          <w:p>
            <w:pPr>
              <w:jc w:val="center"/>
              <w:rPr>
                <w:rFonts w:ascii="宋体" w:hAnsi="宋体"/>
                <w:sz w:val="18"/>
                <w:szCs w:val="18"/>
              </w:rPr>
            </w:pPr>
            <w:r>
              <w:rPr>
                <w:rFonts w:ascii="宋体" w:hAnsi="宋体"/>
                <w:sz w:val="18"/>
                <w:szCs w:val="18"/>
              </w:rPr>
              <w:t>降压变电所、主变电所、电缆通道</w:t>
            </w:r>
          </w:p>
        </w:tc>
        <w:tc>
          <w:tcPr>
            <w:tcW w:w="592" w:type="pct"/>
          </w:tcPr>
          <w:p>
            <w:pPr>
              <w:jc w:val="center"/>
              <w:rPr>
                <w:rFonts w:ascii="宋体" w:hAnsi="宋体"/>
                <w:sz w:val="18"/>
                <w:szCs w:val="18"/>
              </w:rPr>
            </w:pPr>
            <w:r>
              <w:rPr>
                <w:rFonts w:ascii="宋体" w:hAnsi="宋体"/>
                <w:sz w:val="18"/>
                <w:szCs w:val="18"/>
              </w:rPr>
              <w:t>-</w:t>
            </w:r>
          </w:p>
        </w:tc>
        <w:tc>
          <w:tcPr>
            <w:tcW w:w="593" w:type="pct"/>
          </w:tcPr>
          <w:p>
            <w:pPr>
              <w:jc w:val="center"/>
              <w:rPr>
                <w:rFonts w:ascii="宋体" w:hAnsi="宋体"/>
                <w:sz w:val="18"/>
                <w:szCs w:val="18"/>
              </w:rPr>
            </w:pPr>
            <w:r>
              <w:rPr>
                <w:rFonts w:ascii="宋体" w:hAnsi="宋体"/>
                <w:sz w:val="18"/>
                <w:szCs w:val="18"/>
              </w:rPr>
              <w:t>36</w:t>
            </w:r>
          </w:p>
        </w:tc>
        <w:tc>
          <w:tcPr>
            <w:tcW w:w="1474" w:type="pct"/>
            <w:gridSpan w:val="2"/>
          </w:tcPr>
          <w:p>
            <w:pPr>
              <w:jc w:val="center"/>
              <w:rPr>
                <w:rFonts w:ascii="宋体" w:hAnsi="宋体"/>
                <w:sz w:val="18"/>
                <w:szCs w:val="18"/>
              </w:rPr>
            </w:pPr>
            <w:r>
              <w:rPr>
                <w:rFonts w:ascii="宋体" w:hAnsi="宋体"/>
                <w:sz w:val="18"/>
                <w:szCs w:val="18"/>
              </w:rPr>
              <w:t>按排除余热计算风量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41" w:type="pct"/>
          </w:tcPr>
          <w:p>
            <w:pPr>
              <w:jc w:val="center"/>
              <w:rPr>
                <w:rFonts w:ascii="宋体" w:hAnsi="宋体"/>
                <w:sz w:val="18"/>
                <w:szCs w:val="18"/>
              </w:rPr>
            </w:pPr>
            <w:r>
              <w:rPr>
                <w:rFonts w:ascii="宋体" w:hAnsi="宋体"/>
                <w:sz w:val="18"/>
                <w:szCs w:val="18"/>
              </w:rPr>
              <w:t>检修通道</w:t>
            </w:r>
          </w:p>
        </w:tc>
        <w:tc>
          <w:tcPr>
            <w:tcW w:w="592" w:type="pct"/>
          </w:tcPr>
          <w:p>
            <w:pPr>
              <w:jc w:val="center"/>
              <w:rPr>
                <w:rFonts w:ascii="宋体" w:hAnsi="宋体"/>
                <w:sz w:val="18"/>
                <w:szCs w:val="18"/>
              </w:rPr>
            </w:pPr>
            <w:r>
              <w:rPr>
                <w:rFonts w:ascii="宋体" w:hAnsi="宋体"/>
                <w:sz w:val="18"/>
                <w:szCs w:val="18"/>
              </w:rPr>
              <w:t>-</w:t>
            </w:r>
          </w:p>
        </w:tc>
        <w:tc>
          <w:tcPr>
            <w:tcW w:w="593" w:type="pct"/>
          </w:tcPr>
          <w:p>
            <w:pPr>
              <w:jc w:val="center"/>
              <w:rPr>
                <w:rFonts w:ascii="宋体" w:hAnsi="宋体"/>
                <w:sz w:val="18"/>
                <w:szCs w:val="18"/>
              </w:rPr>
            </w:pPr>
            <w:r>
              <w:rPr>
                <w:rFonts w:ascii="宋体" w:hAnsi="宋体"/>
                <w:sz w:val="18"/>
                <w:szCs w:val="18"/>
              </w:rPr>
              <w:t>-</w:t>
            </w:r>
          </w:p>
        </w:tc>
        <w:tc>
          <w:tcPr>
            <w:tcW w:w="737" w:type="pct"/>
          </w:tcPr>
          <w:p>
            <w:pPr>
              <w:jc w:val="center"/>
              <w:rPr>
                <w:rFonts w:ascii="宋体" w:hAnsi="宋体"/>
                <w:sz w:val="18"/>
                <w:szCs w:val="18"/>
              </w:rPr>
            </w:pPr>
            <w:r>
              <w:rPr>
                <w:rFonts w:ascii="宋体" w:hAnsi="宋体"/>
                <w:sz w:val="18"/>
                <w:szCs w:val="18"/>
              </w:rPr>
              <w:t>1</w:t>
            </w:r>
          </w:p>
        </w:tc>
        <w:tc>
          <w:tcPr>
            <w:tcW w:w="737" w:type="pct"/>
          </w:tcPr>
          <w:p>
            <w:pPr>
              <w:jc w:val="center"/>
              <w:rPr>
                <w:rFonts w:ascii="宋体" w:hAnsi="宋体"/>
                <w:sz w:val="18"/>
                <w:szCs w:val="18"/>
              </w:rPr>
            </w:pPr>
            <w:r>
              <w:rPr>
                <w:rFonts w:ascii="宋体" w:hAnsi="宋体"/>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41" w:type="pct"/>
          </w:tcPr>
          <w:p>
            <w:pPr>
              <w:jc w:val="center"/>
              <w:rPr>
                <w:rFonts w:ascii="宋体" w:hAnsi="宋体"/>
                <w:sz w:val="18"/>
                <w:szCs w:val="18"/>
              </w:rPr>
            </w:pPr>
            <w:r>
              <w:rPr>
                <w:rFonts w:ascii="宋体" w:hAnsi="宋体"/>
                <w:sz w:val="18"/>
                <w:szCs w:val="18"/>
              </w:rPr>
              <w:t>茶水间</w:t>
            </w:r>
          </w:p>
        </w:tc>
        <w:tc>
          <w:tcPr>
            <w:tcW w:w="592" w:type="pct"/>
          </w:tcPr>
          <w:p>
            <w:pPr>
              <w:jc w:val="center"/>
              <w:rPr>
                <w:rFonts w:ascii="宋体" w:hAnsi="宋体"/>
                <w:sz w:val="18"/>
                <w:szCs w:val="18"/>
              </w:rPr>
            </w:pPr>
            <w:r>
              <w:rPr>
                <w:rFonts w:ascii="宋体" w:hAnsi="宋体"/>
                <w:sz w:val="18"/>
                <w:szCs w:val="18"/>
              </w:rPr>
              <w:t>-</w:t>
            </w:r>
          </w:p>
        </w:tc>
        <w:tc>
          <w:tcPr>
            <w:tcW w:w="593" w:type="pct"/>
          </w:tcPr>
          <w:p>
            <w:pPr>
              <w:jc w:val="center"/>
              <w:rPr>
                <w:rFonts w:ascii="宋体" w:hAnsi="宋体"/>
                <w:sz w:val="18"/>
                <w:szCs w:val="18"/>
              </w:rPr>
            </w:pPr>
            <w:r>
              <w:rPr>
                <w:rFonts w:ascii="宋体" w:hAnsi="宋体"/>
                <w:sz w:val="18"/>
                <w:szCs w:val="18"/>
              </w:rPr>
              <w:t>-</w:t>
            </w:r>
          </w:p>
        </w:tc>
        <w:tc>
          <w:tcPr>
            <w:tcW w:w="737" w:type="pct"/>
          </w:tcPr>
          <w:p>
            <w:pPr>
              <w:jc w:val="center"/>
              <w:rPr>
                <w:rFonts w:ascii="宋体" w:hAnsi="宋体"/>
                <w:sz w:val="18"/>
                <w:szCs w:val="18"/>
              </w:rPr>
            </w:pPr>
            <w:r>
              <w:rPr>
                <w:rFonts w:ascii="宋体" w:hAnsi="宋体"/>
                <w:sz w:val="18"/>
                <w:szCs w:val="18"/>
              </w:rPr>
              <w:t>-</w:t>
            </w:r>
          </w:p>
        </w:tc>
        <w:tc>
          <w:tcPr>
            <w:tcW w:w="737" w:type="pct"/>
          </w:tcPr>
          <w:p>
            <w:pPr>
              <w:jc w:val="center"/>
              <w:rPr>
                <w:rFonts w:ascii="宋体" w:hAnsi="宋体"/>
                <w:sz w:val="18"/>
                <w:szCs w:val="18"/>
              </w:rPr>
            </w:pPr>
            <w:r>
              <w:rPr>
                <w:rFonts w:ascii="宋体" w:hAnsi="宋体"/>
                <w:sz w:val="18"/>
                <w:szCs w:val="18"/>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41" w:type="pct"/>
          </w:tcPr>
          <w:p>
            <w:pPr>
              <w:jc w:val="center"/>
              <w:rPr>
                <w:rFonts w:ascii="宋体" w:hAnsi="宋体"/>
                <w:sz w:val="18"/>
                <w:szCs w:val="18"/>
              </w:rPr>
            </w:pPr>
            <w:r>
              <w:rPr>
                <w:rFonts w:ascii="宋体" w:hAnsi="宋体"/>
                <w:sz w:val="18"/>
                <w:szCs w:val="18"/>
              </w:rPr>
              <w:t>污水泵房、废水泵房、消防泵房</w:t>
            </w:r>
          </w:p>
        </w:tc>
        <w:tc>
          <w:tcPr>
            <w:tcW w:w="592" w:type="pct"/>
          </w:tcPr>
          <w:p>
            <w:pPr>
              <w:jc w:val="center"/>
              <w:rPr>
                <w:rFonts w:ascii="宋体" w:hAnsi="宋体"/>
                <w:sz w:val="18"/>
                <w:szCs w:val="18"/>
              </w:rPr>
            </w:pPr>
            <w:r>
              <w:rPr>
                <w:rFonts w:ascii="宋体" w:hAnsi="宋体"/>
                <w:sz w:val="18"/>
                <w:szCs w:val="18"/>
              </w:rPr>
              <w:t>5</w:t>
            </w:r>
          </w:p>
        </w:tc>
        <w:tc>
          <w:tcPr>
            <w:tcW w:w="593" w:type="pct"/>
          </w:tcPr>
          <w:p>
            <w:pPr>
              <w:jc w:val="center"/>
              <w:rPr>
                <w:rFonts w:ascii="宋体" w:hAnsi="宋体"/>
                <w:sz w:val="18"/>
                <w:szCs w:val="18"/>
              </w:rPr>
            </w:pPr>
            <w:r>
              <w:rPr>
                <w:rFonts w:ascii="宋体" w:hAnsi="宋体"/>
                <w:sz w:val="18"/>
                <w:szCs w:val="18"/>
              </w:rPr>
              <w:t>-</w:t>
            </w:r>
          </w:p>
        </w:tc>
        <w:tc>
          <w:tcPr>
            <w:tcW w:w="737" w:type="pct"/>
          </w:tcPr>
          <w:p>
            <w:pPr>
              <w:jc w:val="center"/>
              <w:rPr>
                <w:rFonts w:ascii="宋体" w:hAnsi="宋体"/>
                <w:sz w:val="18"/>
                <w:szCs w:val="18"/>
              </w:rPr>
            </w:pPr>
            <w:r>
              <w:rPr>
                <w:rFonts w:ascii="宋体" w:hAnsi="宋体"/>
                <w:sz w:val="18"/>
                <w:szCs w:val="18"/>
              </w:rPr>
              <w:t>-</w:t>
            </w:r>
          </w:p>
        </w:tc>
        <w:tc>
          <w:tcPr>
            <w:tcW w:w="737" w:type="pct"/>
          </w:tcPr>
          <w:p>
            <w:pPr>
              <w:jc w:val="center"/>
              <w:rPr>
                <w:rFonts w:ascii="宋体" w:hAnsi="宋体"/>
                <w:sz w:val="18"/>
                <w:szCs w:val="18"/>
              </w:rPr>
            </w:pPr>
            <w:r>
              <w:rPr>
                <w:rFonts w:ascii="宋体" w:hAnsi="宋体"/>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41" w:type="pct"/>
          </w:tcPr>
          <w:p>
            <w:pPr>
              <w:jc w:val="center"/>
              <w:rPr>
                <w:rFonts w:ascii="宋体" w:hAnsi="宋体"/>
                <w:sz w:val="18"/>
                <w:szCs w:val="18"/>
              </w:rPr>
            </w:pPr>
            <w:r>
              <w:rPr>
                <w:rFonts w:ascii="宋体" w:hAnsi="宋体"/>
                <w:sz w:val="18"/>
                <w:szCs w:val="18"/>
              </w:rPr>
              <w:t>通风机房</w:t>
            </w:r>
          </w:p>
        </w:tc>
        <w:tc>
          <w:tcPr>
            <w:tcW w:w="592" w:type="pct"/>
          </w:tcPr>
          <w:p>
            <w:pPr>
              <w:jc w:val="center"/>
              <w:rPr>
                <w:rFonts w:ascii="宋体" w:hAnsi="宋体"/>
                <w:sz w:val="18"/>
                <w:szCs w:val="18"/>
              </w:rPr>
            </w:pPr>
            <w:r>
              <w:rPr>
                <w:rFonts w:ascii="宋体" w:hAnsi="宋体"/>
                <w:sz w:val="18"/>
                <w:szCs w:val="18"/>
              </w:rPr>
              <w:t>-</w:t>
            </w:r>
          </w:p>
        </w:tc>
        <w:tc>
          <w:tcPr>
            <w:tcW w:w="593" w:type="pct"/>
          </w:tcPr>
          <w:p>
            <w:pPr>
              <w:jc w:val="center"/>
              <w:rPr>
                <w:rFonts w:ascii="宋体" w:hAnsi="宋体"/>
                <w:sz w:val="18"/>
                <w:szCs w:val="18"/>
              </w:rPr>
            </w:pPr>
            <w:r>
              <w:rPr>
                <w:rFonts w:ascii="宋体" w:hAnsi="宋体"/>
                <w:sz w:val="18"/>
                <w:szCs w:val="18"/>
              </w:rPr>
              <w:t>-</w:t>
            </w:r>
          </w:p>
        </w:tc>
        <w:tc>
          <w:tcPr>
            <w:tcW w:w="737" w:type="pct"/>
          </w:tcPr>
          <w:p>
            <w:pPr>
              <w:jc w:val="center"/>
              <w:rPr>
                <w:rFonts w:ascii="宋体" w:hAnsi="宋体"/>
                <w:sz w:val="18"/>
                <w:szCs w:val="18"/>
              </w:rPr>
            </w:pPr>
            <w:r>
              <w:rPr>
                <w:rFonts w:ascii="宋体" w:hAnsi="宋体"/>
                <w:sz w:val="18"/>
                <w:szCs w:val="18"/>
              </w:rPr>
              <w:t>6</w:t>
            </w:r>
          </w:p>
        </w:tc>
        <w:tc>
          <w:tcPr>
            <w:tcW w:w="737" w:type="pct"/>
          </w:tcPr>
          <w:p>
            <w:pPr>
              <w:jc w:val="center"/>
              <w:rPr>
                <w:rFonts w:ascii="宋体" w:hAnsi="宋体"/>
                <w:sz w:val="18"/>
                <w:szCs w:val="18"/>
              </w:rPr>
            </w:pPr>
            <w:r>
              <w:rPr>
                <w:rFonts w:ascii="宋体" w:hAnsi="宋体"/>
                <w:sz w:val="18"/>
                <w:szCs w:val="18"/>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41" w:type="pct"/>
            <w:tcBorders>
              <w:bottom w:val="single" w:color="auto" w:sz="12" w:space="0"/>
            </w:tcBorders>
          </w:tcPr>
          <w:p>
            <w:pPr>
              <w:jc w:val="center"/>
              <w:rPr>
                <w:rFonts w:ascii="宋体" w:hAnsi="宋体"/>
                <w:sz w:val="18"/>
                <w:szCs w:val="18"/>
              </w:rPr>
            </w:pPr>
            <w:r>
              <w:rPr>
                <w:rFonts w:ascii="宋体" w:hAnsi="宋体"/>
                <w:sz w:val="18"/>
                <w:szCs w:val="18"/>
              </w:rPr>
              <w:t>厕所</w:t>
            </w:r>
          </w:p>
        </w:tc>
        <w:tc>
          <w:tcPr>
            <w:tcW w:w="592" w:type="pct"/>
            <w:tcBorders>
              <w:bottom w:val="single" w:color="auto" w:sz="12" w:space="0"/>
            </w:tcBorders>
          </w:tcPr>
          <w:p>
            <w:pPr>
              <w:jc w:val="center"/>
              <w:rPr>
                <w:rFonts w:ascii="宋体" w:hAnsi="宋体"/>
                <w:sz w:val="18"/>
                <w:szCs w:val="18"/>
              </w:rPr>
            </w:pPr>
            <w:r>
              <w:rPr>
                <w:rFonts w:ascii="宋体" w:hAnsi="宋体"/>
                <w:sz w:val="18"/>
                <w:szCs w:val="18"/>
              </w:rPr>
              <w:t>＞5</w:t>
            </w:r>
          </w:p>
        </w:tc>
        <w:tc>
          <w:tcPr>
            <w:tcW w:w="593" w:type="pct"/>
            <w:tcBorders>
              <w:bottom w:val="single" w:color="auto" w:sz="12" w:space="0"/>
            </w:tcBorders>
          </w:tcPr>
          <w:p>
            <w:pPr>
              <w:jc w:val="center"/>
              <w:rPr>
                <w:rFonts w:ascii="宋体" w:hAnsi="宋体"/>
                <w:sz w:val="18"/>
                <w:szCs w:val="18"/>
              </w:rPr>
            </w:pPr>
            <w:r>
              <w:rPr>
                <w:rFonts w:ascii="宋体" w:hAnsi="宋体"/>
                <w:sz w:val="18"/>
                <w:szCs w:val="18"/>
              </w:rPr>
              <w:t>-</w:t>
            </w:r>
          </w:p>
        </w:tc>
        <w:tc>
          <w:tcPr>
            <w:tcW w:w="737" w:type="pct"/>
            <w:tcBorders>
              <w:bottom w:val="single" w:color="auto" w:sz="12" w:space="0"/>
            </w:tcBorders>
          </w:tcPr>
          <w:p>
            <w:pPr>
              <w:jc w:val="center"/>
              <w:rPr>
                <w:rFonts w:ascii="宋体" w:hAnsi="宋体"/>
                <w:sz w:val="18"/>
                <w:szCs w:val="18"/>
              </w:rPr>
            </w:pPr>
            <w:r>
              <w:rPr>
                <w:rFonts w:ascii="宋体" w:hAnsi="宋体"/>
                <w:sz w:val="18"/>
                <w:szCs w:val="18"/>
              </w:rPr>
              <w:t>-</w:t>
            </w:r>
          </w:p>
        </w:tc>
        <w:tc>
          <w:tcPr>
            <w:tcW w:w="737" w:type="pct"/>
            <w:tcBorders>
              <w:bottom w:val="single" w:color="auto" w:sz="12" w:space="0"/>
            </w:tcBorders>
          </w:tcPr>
          <w:p>
            <w:pPr>
              <w:jc w:val="center"/>
              <w:rPr>
                <w:rFonts w:ascii="宋体" w:hAnsi="宋体"/>
                <w:sz w:val="18"/>
                <w:szCs w:val="18"/>
              </w:rPr>
            </w:pPr>
            <w:r>
              <w:rPr>
                <w:rFonts w:ascii="宋体" w:hAnsi="宋体"/>
                <w:sz w:val="18"/>
                <w:szCs w:val="18"/>
              </w:rPr>
              <w:t>排风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5"/>
            <w:tcBorders>
              <w:top w:val="single" w:color="auto" w:sz="12" w:space="0"/>
              <w:bottom w:val="single" w:color="auto" w:sz="12" w:space="0"/>
            </w:tcBorders>
          </w:tcPr>
          <w:p>
            <w:pPr>
              <w:pStyle w:val="86"/>
              <w:numPr>
                <w:ilvl w:val="0"/>
                <w:numId w:val="33"/>
              </w:numPr>
              <w:ind w:left="0" w:firstLine="360" w:firstLineChars="200"/>
              <w:rPr>
                <w:rFonts w:hAnsi="宋体"/>
              </w:rPr>
            </w:pPr>
            <w:r>
              <w:rPr>
                <w:rFonts w:hAnsi="宋体"/>
              </w:rPr>
              <w:t>当采用空调系统时，新风量每人不应</w:t>
            </w:r>
            <w:r>
              <w:rPr>
                <w:rFonts w:hint="eastAsia" w:hAnsi="宋体"/>
              </w:rPr>
              <w:t>少于30</w:t>
            </w:r>
            <w:r>
              <w:rPr>
                <w:rFonts w:hAnsi="宋体"/>
              </w:rPr>
              <w:t>m</w:t>
            </w:r>
            <w:r>
              <w:rPr>
                <w:rFonts w:hAnsi="宋体"/>
                <w:vertAlign w:val="superscript"/>
              </w:rPr>
              <w:t>3</w:t>
            </w:r>
            <w:r>
              <w:rPr>
                <w:rFonts w:hint="eastAsia" w:hAnsi="宋体"/>
              </w:rPr>
              <w:t>/</w:t>
            </w:r>
            <w:r>
              <w:rPr>
                <w:rFonts w:hAnsi="宋体"/>
              </w:rPr>
              <w:t>h；</w:t>
            </w:r>
          </w:p>
          <w:p>
            <w:pPr>
              <w:pStyle w:val="86"/>
              <w:ind w:left="0" w:firstLine="360" w:firstLineChars="200"/>
              <w:rPr>
                <w:rFonts w:hAnsi="宋体"/>
              </w:rPr>
            </w:pPr>
            <w:r>
              <w:rPr>
                <w:rFonts w:hAnsi="宋体"/>
              </w:rPr>
              <w:t>厕所排风按每坑位100m</w:t>
            </w:r>
            <w:r>
              <w:rPr>
                <w:rFonts w:hAnsi="宋体"/>
                <w:vertAlign w:val="superscript"/>
              </w:rPr>
              <w:t>3</w:t>
            </w:r>
            <w:r>
              <w:rPr>
                <w:rFonts w:hAnsi="宋体"/>
              </w:rPr>
              <w:t>/h计算，且小时换气次数不宜小于10次/h。</w:t>
            </w:r>
          </w:p>
        </w:tc>
      </w:tr>
    </w:tbl>
    <w:p>
      <w:pPr>
        <w:pStyle w:val="63"/>
        <w:spacing w:before="156" w:after="156"/>
      </w:pPr>
      <w:bookmarkStart w:id="119" w:name="_Toc122073835"/>
      <w:bookmarkStart w:id="120" w:name="_Toc154132536"/>
      <w:bookmarkStart w:id="121" w:name="_Toc154179508"/>
      <w:r>
        <w:rPr>
          <w:rFonts w:hint="eastAsia"/>
        </w:rPr>
        <w:t>照明设施</w:t>
      </w:r>
      <w:bookmarkEnd w:id="119"/>
      <w:bookmarkEnd w:id="120"/>
      <w:bookmarkEnd w:id="121"/>
    </w:p>
    <w:p>
      <w:pPr>
        <w:pStyle w:val="84"/>
      </w:pPr>
      <w:r>
        <w:rPr>
          <w:rFonts w:hint="eastAsia"/>
        </w:rPr>
        <w:t>照明设计应满足路面平均亮度、亮度总均匀度、亮度中线纵向均匀度、频闪和诱导性要求，满足道路交通安全要求。</w:t>
      </w:r>
    </w:p>
    <w:p>
      <w:pPr>
        <w:pStyle w:val="84"/>
      </w:pPr>
      <w:r>
        <w:rPr>
          <w:rFonts w:hint="eastAsia"/>
        </w:rPr>
        <w:t>照明设计标准应根据道路等级、平纵线形、隧道断面、车道数、设计交通量、设计速度、洞内装饰、洞口环境等因素确定。</w:t>
      </w:r>
    </w:p>
    <w:p>
      <w:pPr>
        <w:pStyle w:val="84"/>
      </w:pPr>
      <w:r>
        <w:rPr>
          <w:rFonts w:hint="eastAsia"/>
        </w:rPr>
        <w:t>照明设施应包括入口段照明、过渡段照明、中间段照明、出口段照明、洞外引道照明。</w:t>
      </w:r>
    </w:p>
    <w:p>
      <w:pPr>
        <w:pStyle w:val="84"/>
      </w:pPr>
      <w:r>
        <w:rPr>
          <w:rFonts w:hint="eastAsia"/>
        </w:rPr>
        <w:t>长及特长隧道洞口宜设置减光设施，长度取值应根据环境条件、洞口朝向和设计速度而定，减光区域应设置夜间照明。</w:t>
      </w:r>
    </w:p>
    <w:p>
      <w:pPr>
        <w:pStyle w:val="84"/>
      </w:pPr>
      <w:r>
        <w:rPr>
          <w:rFonts w:hint="eastAsia"/>
        </w:rPr>
        <w:t>设计速度</w:t>
      </w:r>
      <w:r>
        <w:t>40km/h</w:t>
      </w:r>
      <w:r>
        <w:rPr>
          <w:rFonts w:hint="eastAsia"/>
        </w:rPr>
        <w:t>以上的隧道，宜协调隧道洞门装饰、洞顶绿化的高度，合理减少天空面积百分比，降低洞口亮度取值标准。</w:t>
      </w:r>
    </w:p>
    <w:p>
      <w:pPr>
        <w:pStyle w:val="84"/>
      </w:pPr>
      <w:r>
        <w:rPr>
          <w:rFonts w:hint="eastAsia"/>
        </w:rPr>
        <w:t>车行区域、人员疏散区域、附属用房应设置应急照明与疏散指示，并满足</w:t>
      </w:r>
      <w:r>
        <w:t>GB 51309</w:t>
      </w:r>
      <w:r>
        <w:rPr>
          <w:rFonts w:hint="eastAsia"/>
        </w:rPr>
        <w:t>相关要求。</w:t>
      </w:r>
    </w:p>
    <w:p>
      <w:pPr>
        <w:pStyle w:val="63"/>
        <w:spacing w:before="156" w:after="156"/>
      </w:pPr>
      <w:bookmarkStart w:id="122" w:name="_Toc154179509"/>
      <w:bookmarkStart w:id="123" w:name="_Toc122073836"/>
      <w:bookmarkStart w:id="124" w:name="_Toc154132537"/>
      <w:r>
        <w:rPr>
          <w:rFonts w:hint="eastAsia"/>
        </w:rPr>
        <w:t>监控设施</w:t>
      </w:r>
      <w:bookmarkEnd w:id="122"/>
      <w:bookmarkEnd w:id="123"/>
      <w:bookmarkEnd w:id="124"/>
    </w:p>
    <w:p>
      <w:pPr>
        <w:pStyle w:val="84"/>
      </w:pPr>
      <w:r>
        <w:rPr>
          <w:rFonts w:hint="eastAsia"/>
        </w:rPr>
        <w:t>交通监控设施应能获取隧道内交通信息、环境信息、积水监测信息、交通设施运行状态信息。</w:t>
      </w:r>
    </w:p>
    <w:p>
      <w:pPr>
        <w:pStyle w:val="84"/>
      </w:pPr>
      <w:r>
        <w:rPr>
          <w:rFonts w:hint="eastAsia"/>
        </w:rPr>
        <w:t>隧道内车行区域和人员疏散区域应实现全区域无盲区视频覆盖，人员疏散区域应具备区域入侵自动侦测功能。</w:t>
      </w:r>
    </w:p>
    <w:p>
      <w:pPr>
        <w:pStyle w:val="84"/>
      </w:pPr>
      <w:r>
        <w:rPr>
          <w:rFonts w:hint="eastAsia"/>
        </w:rPr>
        <w:t>交通控制及诱导设施应能收集和处理交通信息，并传送给中央控制室计算机，同时接收中央控制室计算机传来的有关信息或命令。</w:t>
      </w:r>
    </w:p>
    <w:p>
      <w:pPr>
        <w:pStyle w:val="84"/>
      </w:pPr>
      <w:r>
        <w:rPr>
          <w:rFonts w:hint="eastAsia"/>
        </w:rPr>
        <w:t>隧道交通监控设施宜实现车辆信息识别、车辆动态跟踪和车辆定位功能，在监控中心采用数字化技术实现车辆动态运行轨迹的展示。</w:t>
      </w:r>
    </w:p>
    <w:p>
      <w:pPr>
        <w:pStyle w:val="84"/>
      </w:pPr>
      <w:r>
        <w:rPr>
          <w:rFonts w:hint="eastAsia"/>
        </w:rPr>
        <w:t>隧道内的交通事件宜采用自动检测技术并与报警区域相关的视频、广播、电话等设施实现联动控制。</w:t>
      </w:r>
    </w:p>
    <w:p>
      <w:pPr>
        <w:pStyle w:val="63"/>
        <w:spacing w:before="156" w:after="156"/>
      </w:pPr>
      <w:bookmarkStart w:id="125" w:name="_Toc122073837"/>
      <w:bookmarkStart w:id="126" w:name="_Toc154132538"/>
      <w:bookmarkStart w:id="127" w:name="_Toc154179510"/>
      <w:r>
        <w:rPr>
          <w:rFonts w:hint="eastAsia"/>
        </w:rPr>
        <w:t>应急通信设施</w:t>
      </w:r>
      <w:bookmarkEnd w:id="125"/>
      <w:bookmarkEnd w:id="126"/>
      <w:bookmarkEnd w:id="127"/>
    </w:p>
    <w:p>
      <w:pPr>
        <w:pStyle w:val="84"/>
      </w:pPr>
      <w:r>
        <w:rPr>
          <w:rFonts w:hint="eastAsia"/>
        </w:rPr>
        <w:t>隧道内应设置紧急电话，并满足</w:t>
      </w:r>
      <w:r>
        <w:t>GB</w:t>
      </w:r>
      <w:r>
        <w:rPr>
          <w:rFonts w:hint="eastAsia"/>
        </w:rPr>
        <w:t xml:space="preserve"> </w:t>
      </w:r>
      <w:r>
        <w:t>50116</w:t>
      </w:r>
      <w:r>
        <w:rPr>
          <w:rFonts w:hint="eastAsia"/>
        </w:rPr>
        <w:t>的消防专用电话的相关要求。</w:t>
      </w:r>
    </w:p>
    <w:p>
      <w:pPr>
        <w:pStyle w:val="84"/>
      </w:pPr>
      <w:r>
        <w:rPr>
          <w:rFonts w:hint="eastAsia"/>
        </w:rPr>
        <w:t>隧道内应设置广播设施，长及特长隧道宜具备分区广播功能，并满足</w:t>
      </w:r>
      <w:r>
        <w:t>GB</w:t>
      </w:r>
      <w:r>
        <w:rPr>
          <w:rFonts w:hint="eastAsia"/>
        </w:rPr>
        <w:t xml:space="preserve"> </w:t>
      </w:r>
      <w:r>
        <w:t>50116</w:t>
      </w:r>
      <w:r>
        <w:rPr>
          <w:rFonts w:hint="eastAsia"/>
        </w:rPr>
        <w:t>消防专用广播的相关要求。</w:t>
      </w:r>
    </w:p>
    <w:p>
      <w:pPr>
        <w:pStyle w:val="84"/>
      </w:pPr>
      <w:r>
        <w:rPr>
          <w:rFonts w:hint="eastAsia"/>
        </w:rPr>
        <w:t>隧道内宜设置覆盖全隧道的无线对讲设施，满足日常运维、交通管理指挥、应急救援的需要。</w:t>
      </w:r>
    </w:p>
    <w:p>
      <w:pPr>
        <w:pStyle w:val="84"/>
      </w:pPr>
      <w:r>
        <w:rPr>
          <w:rFonts w:hint="eastAsia"/>
        </w:rPr>
        <w:t>兼具城市道路交通功能的公路隧道，应引入公安、消防无线信号。</w:t>
      </w:r>
    </w:p>
    <w:p>
      <w:pPr>
        <w:pStyle w:val="84"/>
      </w:pPr>
      <w:r>
        <w:t>多匝道隧道或兼具城市道路交通功能的</w:t>
      </w:r>
      <w:r>
        <w:rPr>
          <w:rFonts w:hint="eastAsia"/>
        </w:rPr>
        <w:t>公路</w:t>
      </w:r>
      <w:r>
        <w:t>隧道，应设置车辆导航的相关基础设施。</w:t>
      </w:r>
    </w:p>
    <w:p>
      <w:pPr>
        <w:pStyle w:val="63"/>
        <w:spacing w:before="156" w:after="156"/>
      </w:pPr>
      <w:bookmarkStart w:id="128" w:name="_Toc122073838"/>
      <w:bookmarkStart w:id="129" w:name="_Toc154132539"/>
      <w:bookmarkStart w:id="130" w:name="_Toc154179511"/>
      <w:r>
        <w:rPr>
          <w:rFonts w:hint="eastAsia"/>
        </w:rPr>
        <w:t>火灾检测与报警设施</w:t>
      </w:r>
      <w:bookmarkEnd w:id="128"/>
      <w:bookmarkEnd w:id="129"/>
      <w:bookmarkEnd w:id="130"/>
    </w:p>
    <w:p>
      <w:pPr>
        <w:pStyle w:val="84"/>
      </w:pPr>
      <w:r>
        <w:rPr>
          <w:rFonts w:hint="eastAsia"/>
        </w:rPr>
        <w:t>隧道内应设置火灾自动探测与报警设施，隧道发生火灾时，及时侦测并将火灾发生位置信息上传到隧道管理机构，以声光报警形式通知值班人员。</w:t>
      </w:r>
    </w:p>
    <w:p>
      <w:pPr>
        <w:pStyle w:val="84"/>
      </w:pPr>
      <w:r>
        <w:rPr>
          <w:rFonts w:hint="eastAsia"/>
        </w:rPr>
        <w:t>长及特长隧道车行区域的火灾探测器应采用线型光纤感温探测器、点型红外火焰探测器（或图像型火灾探测器）等两种不同技术路线的探测器组合。</w:t>
      </w:r>
    </w:p>
    <w:p>
      <w:pPr>
        <w:pStyle w:val="84"/>
      </w:pPr>
      <w:r>
        <w:rPr>
          <w:rFonts w:hint="eastAsia"/>
        </w:rPr>
        <w:t>火灾探测报警系统应设有交流电源和蓄电池备用电源，应采用独立供电回路。</w:t>
      </w:r>
    </w:p>
    <w:p>
      <w:pPr>
        <w:pStyle w:val="63"/>
        <w:spacing w:before="156" w:after="156"/>
      </w:pPr>
      <w:bookmarkStart w:id="131" w:name="_Toc154132540"/>
      <w:bookmarkStart w:id="132" w:name="_Toc154179512"/>
      <w:r>
        <w:t>排水设施</w:t>
      </w:r>
      <w:bookmarkEnd w:id="131"/>
      <w:bookmarkEnd w:id="132"/>
    </w:p>
    <w:p>
      <w:pPr>
        <w:pStyle w:val="84"/>
      </w:pPr>
      <w:r>
        <w:rPr>
          <w:rFonts w:hint="eastAsia"/>
        </w:rPr>
        <w:t>排</w:t>
      </w:r>
      <w:r>
        <w:t>水设施应满足以下要求：</w:t>
      </w:r>
    </w:p>
    <w:p>
      <w:pPr>
        <w:pStyle w:val="80"/>
        <w:numPr>
          <w:ilvl w:val="0"/>
          <w:numId w:val="34"/>
        </w:numPr>
      </w:pPr>
      <w:r>
        <w:t>排水应采取分类集中，采用高水高排、低水低排</w:t>
      </w:r>
      <w:r>
        <w:rPr>
          <w:rFonts w:hint="eastAsia"/>
        </w:rPr>
        <w:t>、</w:t>
      </w:r>
      <w:r>
        <w:t>互不连通的</w:t>
      </w:r>
      <w:r>
        <w:rPr>
          <w:rFonts w:hint="eastAsia"/>
        </w:rPr>
        <w:t>方式</w:t>
      </w:r>
      <w:r>
        <w:t>就近排</w:t>
      </w:r>
      <w:r>
        <w:rPr>
          <w:rFonts w:hint="eastAsia"/>
        </w:rPr>
        <w:t>入附近水体；</w:t>
      </w:r>
    </w:p>
    <w:p>
      <w:pPr>
        <w:pStyle w:val="80"/>
        <w:numPr>
          <w:ilvl w:val="0"/>
          <w:numId w:val="34"/>
        </w:numPr>
      </w:pPr>
      <w:r>
        <w:t>隧道与地面道路交接处</w:t>
      </w:r>
      <w:r>
        <w:rPr>
          <w:rFonts w:hint="eastAsia"/>
        </w:rPr>
        <w:t>宜</w:t>
      </w:r>
      <w:r>
        <w:t>设置高出周边路面不小于300</w:t>
      </w:r>
      <w:r>
        <w:rPr>
          <w:rFonts w:hint="eastAsia"/>
        </w:rPr>
        <w:t xml:space="preserve"> </w:t>
      </w:r>
      <w:r>
        <w:t>mm的驼峰；隧道与高架道路交接处应设置截水设施</w:t>
      </w:r>
      <w:r>
        <w:rPr>
          <w:rFonts w:hint="eastAsia"/>
        </w:rPr>
        <w:t>；</w:t>
      </w:r>
    </w:p>
    <w:p>
      <w:pPr>
        <w:pStyle w:val="80"/>
        <w:numPr>
          <w:ilvl w:val="0"/>
          <w:numId w:val="34"/>
        </w:numPr>
      </w:pPr>
      <w:r>
        <w:rPr>
          <w:rFonts w:hint="eastAsia"/>
        </w:rPr>
        <w:t>隧道洞口雨水设计流量，宜按当地</w:t>
      </w:r>
      <w:r>
        <w:t>100年一遇暴雨强度进行计算，暴雨强度应</w:t>
      </w:r>
      <w:r>
        <w:rPr>
          <w:rFonts w:hint="eastAsia"/>
        </w:rPr>
        <w:t>采用当地最新暴雨公式及计算参数；</w:t>
      </w:r>
    </w:p>
    <w:p>
      <w:pPr>
        <w:pStyle w:val="80"/>
        <w:numPr>
          <w:ilvl w:val="0"/>
          <w:numId w:val="34"/>
        </w:numPr>
      </w:pPr>
      <w:r>
        <w:t>冲洗废水、结构</w:t>
      </w:r>
      <w:r>
        <w:rPr>
          <w:rFonts w:hint="eastAsia"/>
        </w:rPr>
        <w:t>渗漏</w:t>
      </w:r>
      <w:r>
        <w:t>水和消防废水应集中合并排放，</w:t>
      </w:r>
      <w:r>
        <w:rPr>
          <w:rFonts w:hint="eastAsia"/>
        </w:rPr>
        <w:t>洞口</w:t>
      </w:r>
      <w:r>
        <w:t>雨水与</w:t>
      </w:r>
      <w:r>
        <w:rPr>
          <w:rFonts w:hint="eastAsia"/>
        </w:rPr>
        <w:t>隧道废</w:t>
      </w:r>
      <w:r>
        <w:t>水应</w:t>
      </w:r>
      <w:r>
        <w:rPr>
          <w:rFonts w:hint="eastAsia"/>
        </w:rPr>
        <w:t>依据</w:t>
      </w:r>
      <w:r>
        <w:t>雨污分流原则</w:t>
      </w:r>
      <w:r>
        <w:rPr>
          <w:rFonts w:hint="eastAsia"/>
        </w:rPr>
        <w:t>进行</w:t>
      </w:r>
      <w:r>
        <w:t>排放</w:t>
      </w:r>
      <w:r>
        <w:rPr>
          <w:rFonts w:hint="eastAsia"/>
        </w:rPr>
        <w:t>；</w:t>
      </w:r>
    </w:p>
    <w:p>
      <w:pPr>
        <w:pStyle w:val="80"/>
        <w:numPr>
          <w:ilvl w:val="0"/>
          <w:numId w:val="34"/>
        </w:numPr>
      </w:pPr>
      <w:r>
        <w:t>排水系统宜采用强排措施，并宜在管道出口采取防倒灌措施</w:t>
      </w:r>
      <w:r>
        <w:rPr>
          <w:rFonts w:hint="eastAsia"/>
        </w:rPr>
        <w:t>；</w:t>
      </w:r>
    </w:p>
    <w:p>
      <w:pPr>
        <w:pStyle w:val="80"/>
        <w:numPr>
          <w:ilvl w:val="0"/>
          <w:numId w:val="34"/>
        </w:numPr>
      </w:pPr>
      <w:bookmarkStart w:id="133" w:name="_Toc154132541"/>
      <w:bookmarkStart w:id="134" w:name="_Toc154179513"/>
      <w:r>
        <w:rPr>
          <w:rFonts w:hint="eastAsia"/>
        </w:rPr>
        <w:t>洞口雨水排水泵站的排水能力不应小于雨水设计流量的1.2倍。</w:t>
      </w:r>
    </w:p>
    <w:p>
      <w:pPr>
        <w:pStyle w:val="63"/>
        <w:spacing w:before="156" w:after="156"/>
      </w:pPr>
      <w:r>
        <w:t>消防给水设施</w:t>
      </w:r>
      <w:bookmarkEnd w:id="133"/>
      <w:bookmarkEnd w:id="134"/>
    </w:p>
    <w:p>
      <w:pPr>
        <w:pStyle w:val="84"/>
      </w:pPr>
      <w:r>
        <w:rPr>
          <w:rFonts w:hint="eastAsia"/>
        </w:rPr>
        <w:t>消火栓</w:t>
      </w:r>
      <w:r>
        <w:t>给水设施</w:t>
      </w:r>
      <w:r>
        <w:rPr>
          <w:rFonts w:hint="eastAsia"/>
        </w:rPr>
        <w:t>应</w:t>
      </w:r>
      <w:r>
        <w:t>满足以下要求：</w:t>
      </w:r>
    </w:p>
    <w:p>
      <w:pPr>
        <w:pStyle w:val="80"/>
        <w:numPr>
          <w:ilvl w:val="0"/>
          <w:numId w:val="35"/>
        </w:numPr>
      </w:pPr>
      <w:r>
        <w:t>给水水源应优先采用城市给水管网供水</w:t>
      </w:r>
      <w:r>
        <w:rPr>
          <w:rFonts w:hint="eastAsia"/>
        </w:rPr>
        <w:t>；</w:t>
      </w:r>
    </w:p>
    <w:p>
      <w:pPr>
        <w:pStyle w:val="80"/>
        <w:numPr>
          <w:ilvl w:val="0"/>
          <w:numId w:val="35"/>
        </w:numPr>
      </w:pPr>
      <w:r>
        <w:t>给水系统应满足隧道内各项用水对水量、水质、水压的要求</w:t>
      </w:r>
      <w:r>
        <w:rPr>
          <w:rFonts w:hint="eastAsia"/>
        </w:rPr>
        <w:t>；</w:t>
      </w:r>
    </w:p>
    <w:p>
      <w:pPr>
        <w:pStyle w:val="80"/>
        <w:numPr>
          <w:ilvl w:val="0"/>
          <w:numId w:val="35"/>
        </w:numPr>
      </w:pPr>
      <w:r>
        <w:t>同一条隧道内的消防用水量应按同一时间内发生一次火灾考虑</w:t>
      </w:r>
      <w:r>
        <w:rPr>
          <w:rFonts w:hint="eastAsia"/>
        </w:rPr>
        <w:t>；</w:t>
      </w:r>
    </w:p>
    <w:p>
      <w:pPr>
        <w:pStyle w:val="80"/>
        <w:numPr>
          <w:ilvl w:val="0"/>
          <w:numId w:val="35"/>
        </w:numPr>
      </w:pPr>
      <w:r>
        <w:t>消火栓栓口压力不应小于0.3</w:t>
      </w:r>
      <w:r>
        <w:rPr>
          <w:rFonts w:hint="eastAsia"/>
        </w:rPr>
        <w:t xml:space="preserve"> </w:t>
      </w:r>
      <w:r>
        <w:t>MPa，栓口压力不宜大于0.5</w:t>
      </w:r>
      <w:r>
        <w:rPr>
          <w:rFonts w:hint="eastAsia"/>
        </w:rPr>
        <w:t xml:space="preserve"> </w:t>
      </w:r>
      <w:r>
        <w:t>MPa，不应大于0.7</w:t>
      </w:r>
      <w:r>
        <w:rPr>
          <w:rFonts w:hint="eastAsia"/>
        </w:rPr>
        <w:t xml:space="preserve"> </w:t>
      </w:r>
      <w:r>
        <w:t>MPa</w:t>
      </w:r>
      <w:r>
        <w:rPr>
          <w:rFonts w:hint="eastAsia"/>
        </w:rPr>
        <w:t>；</w:t>
      </w:r>
    </w:p>
    <w:p>
      <w:pPr>
        <w:pStyle w:val="80"/>
        <w:numPr>
          <w:ilvl w:val="0"/>
          <w:numId w:val="35"/>
        </w:numPr>
      </w:pPr>
      <w:r>
        <w:t>当市政供水管网的水量、水压不能满足消火栓</w:t>
      </w:r>
      <w:r>
        <w:rPr>
          <w:rFonts w:hint="eastAsia"/>
        </w:rPr>
        <w:t>使用</w:t>
      </w:r>
      <w:r>
        <w:t>要求时，应设置消防泵房</w:t>
      </w:r>
      <w:r>
        <w:rPr>
          <w:rFonts w:hint="eastAsia"/>
        </w:rPr>
        <w:t>等设施；</w:t>
      </w:r>
    </w:p>
    <w:p>
      <w:pPr>
        <w:pStyle w:val="80"/>
        <w:numPr>
          <w:ilvl w:val="0"/>
          <w:numId w:val="35"/>
        </w:numPr>
      </w:pPr>
      <w:r>
        <w:t>隧道内消火栓系统用水量不应小于20</w:t>
      </w:r>
      <w:r>
        <w:rPr>
          <w:rFonts w:hint="eastAsia"/>
        </w:rPr>
        <w:t xml:space="preserve"> </w:t>
      </w:r>
      <w:r>
        <w:t>L/S，隧道洞口室外消火栓用水量不应小于30</w:t>
      </w:r>
      <w:r>
        <w:rPr>
          <w:rFonts w:hint="eastAsia"/>
        </w:rPr>
        <w:t xml:space="preserve"> </w:t>
      </w:r>
      <w:r>
        <w:t>L/</w:t>
      </w:r>
      <w:r>
        <w:rPr>
          <w:rFonts w:hint="eastAsia"/>
        </w:rPr>
        <w:t>s</w:t>
      </w:r>
      <w:r>
        <w:t>，火灾持续时间不小于3</w:t>
      </w:r>
      <w:r>
        <w:rPr>
          <w:rFonts w:hint="eastAsia"/>
        </w:rPr>
        <w:t xml:space="preserve"> </w:t>
      </w:r>
      <w:r>
        <w:t>h</w:t>
      </w:r>
      <w:r>
        <w:rPr>
          <w:rFonts w:hint="eastAsia"/>
        </w:rPr>
        <w:t>；</w:t>
      </w:r>
    </w:p>
    <w:p>
      <w:pPr>
        <w:pStyle w:val="80"/>
        <w:numPr>
          <w:ilvl w:val="0"/>
          <w:numId w:val="35"/>
        </w:numPr>
      </w:pPr>
      <w:r>
        <w:t>消火栓给水管网应为环状管网，管网上设置阀门，最近两个阀门之间消火栓数量不应超过5个。</w:t>
      </w:r>
    </w:p>
    <w:p>
      <w:pPr>
        <w:pStyle w:val="84"/>
      </w:pPr>
      <w:r>
        <w:t>泡沫-水喷雾系统设计应满足下列规定：</w:t>
      </w:r>
    </w:p>
    <w:p>
      <w:pPr>
        <w:pStyle w:val="80"/>
        <w:numPr>
          <w:ilvl w:val="0"/>
          <w:numId w:val="36"/>
        </w:numPr>
      </w:pPr>
      <w:r>
        <w:t>喷雾强度大于等于6.5</w:t>
      </w:r>
      <w:r>
        <w:rPr>
          <w:rFonts w:hint="eastAsia"/>
        </w:rPr>
        <w:t xml:space="preserve"> </w:t>
      </w:r>
      <w:r>
        <w:t>L/(min·m</w:t>
      </w:r>
      <w:r>
        <w:rPr>
          <w:vertAlign w:val="superscript"/>
        </w:rPr>
        <w:t>2</w:t>
      </w:r>
      <w:r>
        <w:t>)，最不利点处喷头的工作压力不小于0.35</w:t>
      </w:r>
      <w:r>
        <w:rPr>
          <w:rFonts w:hint="eastAsia"/>
        </w:rPr>
        <w:t xml:space="preserve"> </w:t>
      </w:r>
      <w:r>
        <w:t>MPa，泡沫混合液持续喷射时间不应小于20</w:t>
      </w:r>
      <w:r>
        <w:rPr>
          <w:rFonts w:hint="eastAsia"/>
        </w:rPr>
        <w:t xml:space="preserve"> </w:t>
      </w:r>
      <w:r>
        <w:t>min，喷雾持续时间不应小于60</w:t>
      </w:r>
      <w:r>
        <w:rPr>
          <w:rFonts w:hint="eastAsia"/>
        </w:rPr>
        <w:t xml:space="preserve"> </w:t>
      </w:r>
      <w:r>
        <w:t>min</w:t>
      </w:r>
      <w:r>
        <w:rPr>
          <w:rFonts w:hint="eastAsia"/>
        </w:rPr>
        <w:t>；</w:t>
      </w:r>
    </w:p>
    <w:p>
      <w:pPr>
        <w:pStyle w:val="80"/>
        <w:numPr>
          <w:ilvl w:val="0"/>
          <w:numId w:val="36"/>
        </w:numPr>
      </w:pPr>
      <w:r>
        <w:t>泡沫-水喷雾联用灭火系统用于灭火时，响应时间不应大于45</w:t>
      </w:r>
      <w:r>
        <w:rPr>
          <w:rFonts w:hint="eastAsia"/>
        </w:rPr>
        <w:t xml:space="preserve"> </w:t>
      </w:r>
      <w:r>
        <w:t>s</w:t>
      </w:r>
      <w:r>
        <w:rPr>
          <w:rFonts w:hint="eastAsia"/>
        </w:rPr>
        <w:t>；</w:t>
      </w:r>
    </w:p>
    <w:p>
      <w:pPr>
        <w:pStyle w:val="80"/>
        <w:numPr>
          <w:ilvl w:val="0"/>
          <w:numId w:val="36"/>
        </w:numPr>
      </w:pPr>
      <w:r>
        <w:rPr>
          <w:rFonts w:hint="eastAsia"/>
        </w:rPr>
        <w:t>水喷雾设施应与火灾报警设施联动</w:t>
      </w:r>
      <w:r>
        <w:t>，</w:t>
      </w:r>
      <w:r>
        <w:rPr>
          <w:rFonts w:hint="eastAsia"/>
        </w:rPr>
        <w:t>灭火</w:t>
      </w:r>
      <w:r>
        <w:t>时</w:t>
      </w:r>
      <w:r>
        <w:rPr>
          <w:rFonts w:hint="eastAsia"/>
        </w:rPr>
        <w:t>应</w:t>
      </w:r>
      <w:r>
        <w:t>开启</w:t>
      </w:r>
      <w:r>
        <w:rPr>
          <w:rFonts w:hint="eastAsia"/>
        </w:rPr>
        <w:t>着火点</w:t>
      </w:r>
      <w:r>
        <w:t>相邻的2～3个保护区</w:t>
      </w:r>
      <w:r>
        <w:rPr>
          <w:rFonts w:hint="eastAsia"/>
        </w:rPr>
        <w:t>；</w:t>
      </w:r>
    </w:p>
    <w:p>
      <w:pPr>
        <w:pStyle w:val="80"/>
        <w:numPr>
          <w:ilvl w:val="0"/>
          <w:numId w:val="36"/>
        </w:numPr>
      </w:pPr>
      <w:r>
        <w:t>隧道内喷头宜采用侧式安装的隧道专用远近射程喷头。</w:t>
      </w:r>
    </w:p>
    <w:p>
      <w:pPr>
        <w:pStyle w:val="84"/>
      </w:pPr>
      <w:r>
        <w:t>隧道内灭火器设置应满足</w:t>
      </w:r>
      <w:r>
        <w:rPr>
          <w:rFonts w:hint="eastAsia"/>
        </w:rPr>
        <w:t>现行</w:t>
      </w:r>
      <w:r>
        <w:t>《公路隧道设计规范</w:t>
      </w:r>
      <w:r>
        <w:rPr>
          <w:rFonts w:hint="eastAsia"/>
        </w:rPr>
        <w:t xml:space="preserve"> </w:t>
      </w:r>
      <w:r>
        <w:t>第二册</w:t>
      </w:r>
      <w:r>
        <w:rPr>
          <w:rFonts w:hint="eastAsia"/>
        </w:rPr>
        <w:t xml:space="preserve"> </w:t>
      </w:r>
      <w:r>
        <w:t>交通工程</w:t>
      </w:r>
      <w:r>
        <w:rPr>
          <w:rFonts w:hint="eastAsia"/>
        </w:rPr>
        <w:t>与</w:t>
      </w:r>
      <w:r>
        <w:t>附属设施》</w:t>
      </w:r>
      <w:r>
        <w:rPr>
          <w:rFonts w:hint="eastAsia"/>
        </w:rPr>
        <w:t>（JTG D70/2）的</w:t>
      </w:r>
      <w:r>
        <w:t>相关规定。</w:t>
      </w:r>
      <w:r>
        <w:rPr>
          <w:rFonts w:hint="eastAsia"/>
        </w:rPr>
        <w:t>辅助通道</w:t>
      </w:r>
      <w:r>
        <w:t>内应设置灭火器，灭火器的设计等级按不低于中危险级，灭火器布置间距不应大于50</w:t>
      </w:r>
      <w:r>
        <w:rPr>
          <w:rFonts w:hint="eastAsia"/>
        </w:rPr>
        <w:t xml:space="preserve"> </w:t>
      </w:r>
      <w:r>
        <w:t>m，每处灭火器不应少于2具。</w:t>
      </w:r>
    </w:p>
    <w:p>
      <w:pPr>
        <w:pStyle w:val="63"/>
        <w:spacing w:before="156" w:after="156"/>
      </w:pPr>
      <w:bookmarkStart w:id="135" w:name="_Toc154132542"/>
      <w:bookmarkStart w:id="136" w:name="_Toc154179514"/>
      <w:bookmarkStart w:id="137" w:name="_Toc122073840"/>
      <w:r>
        <w:rPr>
          <w:rFonts w:hint="eastAsia"/>
        </w:rPr>
        <w:t>供配电设施</w:t>
      </w:r>
      <w:bookmarkEnd w:id="135"/>
      <w:bookmarkEnd w:id="136"/>
      <w:bookmarkEnd w:id="137"/>
    </w:p>
    <w:p>
      <w:pPr>
        <w:pStyle w:val="84"/>
      </w:pPr>
      <w:r>
        <w:rPr>
          <w:rFonts w:hint="eastAsia"/>
        </w:rPr>
        <w:t>隧道供配电用房宜设置在地面。</w:t>
      </w:r>
    </w:p>
    <w:p>
      <w:pPr>
        <w:pStyle w:val="84"/>
      </w:pPr>
      <w:r>
        <w:rPr>
          <w:rFonts w:hint="eastAsia"/>
        </w:rPr>
        <w:t>供配电用房至隧道内配电箱、柜，宜采用树干式或放射与树干相结合的混合式配电。当用电负荷容量较大或用电负荷较重要时，宜采用放射式配电。</w:t>
      </w:r>
    </w:p>
    <w:p>
      <w:pPr>
        <w:pStyle w:val="84"/>
      </w:pPr>
      <w:r>
        <w:rPr>
          <w:rFonts w:hint="eastAsia"/>
        </w:rPr>
        <w:t>消防类和兼消防类负荷供电应采用双回路供电，在最末一级配电箱处设置双电源自动切换装置。</w:t>
      </w:r>
    </w:p>
    <w:p>
      <w:pPr>
        <w:pStyle w:val="84"/>
      </w:pPr>
      <w:r>
        <w:rPr>
          <w:rFonts w:hint="eastAsia"/>
        </w:rPr>
        <w:t>消防类和兼消防类用电设备、雨废水泵等相关的供配电设备应实现监控中心的远程直接启动。</w:t>
      </w:r>
    </w:p>
    <w:p>
      <w:pPr>
        <w:pStyle w:val="84"/>
      </w:pPr>
      <w:r>
        <w:rPr>
          <w:rFonts w:hint="eastAsia"/>
        </w:rPr>
        <w:t>地面以下的隧道供配电设施应选用对人体不造成二次伤害的真空或环保气体绝缘的设备，不得采用有窒息、中毒等风险的设备。</w:t>
      </w:r>
    </w:p>
    <w:p>
      <w:pPr>
        <w:pStyle w:val="84"/>
      </w:pPr>
      <w:r>
        <w:rPr>
          <w:rFonts w:hint="eastAsia"/>
        </w:rPr>
        <w:t>隧道供配电设施宜优先采用户内组合式设备、预装式设备、免维护设备。</w:t>
      </w:r>
    </w:p>
    <w:p>
      <w:pPr>
        <w:pStyle w:val="84"/>
      </w:pPr>
      <w:r>
        <w:t>10kV</w:t>
      </w:r>
      <w:r>
        <w:rPr>
          <w:rFonts w:hint="eastAsia"/>
        </w:rPr>
        <w:t>及以上高压电缆在隧道内敷设时，应采用耐火极限不低于</w:t>
      </w:r>
      <w:r>
        <w:t>2</w:t>
      </w:r>
      <w:r>
        <w:rPr>
          <w:rFonts w:hint="eastAsia"/>
        </w:rPr>
        <w:t xml:space="preserve"> </w:t>
      </w:r>
      <w:r>
        <w:t>h</w:t>
      </w:r>
      <w:r>
        <w:rPr>
          <w:rFonts w:hint="eastAsia"/>
        </w:rPr>
        <w:t>的防火分隔体与其他区域分隔。</w:t>
      </w:r>
    </w:p>
    <w:p>
      <w:pPr>
        <w:pStyle w:val="63"/>
        <w:spacing w:before="156" w:after="156"/>
      </w:pPr>
      <w:bookmarkStart w:id="138" w:name="_Toc122073841"/>
      <w:bookmarkStart w:id="139" w:name="_Toc154132543"/>
      <w:bookmarkStart w:id="140" w:name="_Toc154179515"/>
      <w:r>
        <w:rPr>
          <w:rFonts w:hint="eastAsia"/>
        </w:rPr>
        <w:t>接地设施</w:t>
      </w:r>
      <w:bookmarkEnd w:id="138"/>
      <w:bookmarkEnd w:id="139"/>
      <w:bookmarkEnd w:id="140"/>
    </w:p>
    <w:p>
      <w:pPr>
        <w:pStyle w:val="84"/>
      </w:pPr>
      <w:r>
        <w:rPr>
          <w:rFonts w:hint="eastAsia"/>
        </w:rPr>
        <w:t>隧道接地宜优先利用隧道结构的钢筋网作为自然接地体；纵向主筋应设置可靠电气连通的均压措施，均压间距不宜大于</w:t>
      </w:r>
      <w:r>
        <w:t>20</w:t>
      </w:r>
      <w:r>
        <w:rPr>
          <w:rFonts w:hint="eastAsia"/>
        </w:rPr>
        <w:t>m。</w:t>
      </w:r>
    </w:p>
    <w:p>
      <w:pPr>
        <w:pStyle w:val="84"/>
      </w:pPr>
      <w:r>
        <w:rPr>
          <w:rFonts w:hint="eastAsia"/>
        </w:rPr>
        <w:t>电缆通道、电缆沟及隧道侧壁（无电缆沟和电缆通道时）的结构表面应设置外露接地板，且与隧道结构主筋实现可靠电气连通，每两个变形缝之间的接地板不少于</w:t>
      </w:r>
      <w:r>
        <w:t>2</w:t>
      </w:r>
      <w:r>
        <w:rPr>
          <w:rFonts w:hint="eastAsia"/>
        </w:rPr>
        <w:t>处。</w:t>
      </w:r>
    </w:p>
    <w:p>
      <w:pPr>
        <w:pStyle w:val="84"/>
      </w:pPr>
      <w:r>
        <w:rPr>
          <w:rFonts w:hint="eastAsia"/>
        </w:rPr>
        <w:t>电缆通道、电缆沟及隧道侧壁（无电缆沟和电缆通道时）应设置全线贯通的接地干线，接地干线宜选用锈蚀速率较慢的不锈钢、稀土合金、铜及镀铜等材料。</w:t>
      </w:r>
    </w:p>
    <w:p>
      <w:pPr>
        <w:pStyle w:val="84"/>
      </w:pPr>
      <w:r>
        <w:rPr>
          <w:rFonts w:hint="eastAsia"/>
        </w:rPr>
        <w:t>强弱电设备共用同一套接地系统时，接地电阻不应大于</w:t>
      </w:r>
      <w:r>
        <w:t>1</w:t>
      </w:r>
      <w:r>
        <w:rPr>
          <w:rFonts w:ascii="Times New Roman"/>
        </w:rPr>
        <w:t>Ω</w:t>
      </w:r>
      <w:r>
        <w:rPr>
          <w:rFonts w:hint="eastAsia"/>
        </w:rPr>
        <w:t>，如利用隧道钢筋网等自然接地体的接地电阻不满足要求时，应在隧道接地点外补打人工接地极。</w:t>
      </w:r>
    </w:p>
    <w:p>
      <w:pPr>
        <w:pStyle w:val="84"/>
      </w:pPr>
      <w:r>
        <w:rPr>
          <w:rFonts w:hint="eastAsia"/>
        </w:rPr>
        <w:t>主变电站应设置独立接地系统，接地方式满足地方电网相关要求。</w:t>
      </w:r>
    </w:p>
    <w:p>
      <w:pPr>
        <w:pStyle w:val="84"/>
      </w:pPr>
      <w:r>
        <w:rPr>
          <w:rFonts w:hint="eastAsia"/>
        </w:rPr>
        <w:t>与隧道结构浇筑在一起且外露的滑槽、接地板、支架等构件，宜选用不锈钢材质。</w:t>
      </w:r>
    </w:p>
    <w:p>
      <w:pPr>
        <w:pStyle w:val="36"/>
        <w:ind w:firstLine="0" w:firstLineChars="0"/>
        <w:jc w:val="center"/>
      </w:pPr>
      <w:bookmarkStart w:id="141" w:name="BookMark8"/>
      <w:r>
        <w:drawing>
          <wp:inline distT="0" distB="0" distL="0" distR="0">
            <wp:extent cx="1571625" cy="31432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stretch>
                      <a:fillRect/>
                    </a:stretch>
                  </pic:blipFill>
                  <pic:spPr>
                    <a:xfrm>
                      <a:off x="0" y="0"/>
                      <a:ext cx="1587500" cy="317500"/>
                    </a:xfrm>
                    <a:prstGeom prst="rect">
                      <a:avLst/>
                    </a:prstGeom>
                  </pic:spPr>
                </pic:pic>
              </a:graphicData>
            </a:graphic>
          </wp:inline>
        </w:drawing>
      </w:r>
      <w:bookmarkEnd w:id="141"/>
    </w:p>
    <w:sectPr>
      <w:pgSz w:w="11906" w:h="16838"/>
      <w:pgMar w:top="567" w:right="1134" w:bottom="1134" w:left="1417"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Courier New">
    <w:panose1 w:val="02070309020205020404"/>
    <w:charset w:val="00"/>
    <w:family w:val="modern"/>
    <w:pitch w:val="default"/>
    <w:sig w:usb0="E0002EFF" w:usb1="C0007843" w:usb2="00000009" w:usb3="00000000" w:csb0="400001FF" w:csb1="FFFF0000"/>
  </w:font>
  <w:font w:name="TimesNewRomanPS-BoldMT">
    <w:altName w:val="Segoe Print"/>
    <w:panose1 w:val="00000000000000000000"/>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pitch w:val="default"/>
    <w:sig w:usb0="00000000" w:usb1="00000000" w:usb2="00000000" w:usb3="00000000" w:csb0="00000001" w:csb1="00000000"/>
  </w:font>
  <w:font w:name="TimesNewRomanPSMT">
    <w:altName w:val="Times New Roman"/>
    <w:panose1 w:val="00000000000000000000"/>
    <w:charset w:val="00"/>
    <w:family w:val="roman"/>
    <w:pitch w:val="default"/>
    <w:sig w:usb0="00000000" w:usb1="00000000" w:usb2="00000010" w:usb3="00000000" w:csb0="00020001" w:csb1="00000000"/>
  </w:font>
  <w:font w:name="Italic">
    <w:altName w:val="Harlow Solid Italic"/>
    <w:panose1 w:val="00000000000000000000"/>
    <w:charset w:val="00"/>
    <w:family w:val="auto"/>
    <w:pitch w:val="default"/>
    <w:sig w:usb0="00000000" w:usb1="00000000" w:usb2="00000000" w:usb3="00000000" w:csb0="0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9"/>
    </w:pPr>
    <w:r>
      <w:fldChar w:fldCharType="begin"/>
    </w:r>
    <w:r>
      <w:instrText xml:space="preserve"> PAGE  \* MERGEFORMAT </w:instrText>
    </w:r>
    <w:r>
      <w:fldChar w:fldCharType="separate"/>
    </w:r>
    <w: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PAGE  \* MERGEFORMAT </w:instrText>
    </w:r>
    <w:r>
      <w:fldChar w:fldCharType="separate"/>
    </w:r>
    <w:r>
      <w:t>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0"/>
    </w:pPr>
    <w:r>
      <w:t>DB</w:t>
    </w:r>
    <w:r>
      <w:rPr>
        <w:rFonts w:hint="eastAsia"/>
      </w:rPr>
      <w:t>32</w:t>
    </w:r>
    <w:r>
      <w:t>/</w:t>
    </w:r>
    <w:r>
      <w:rPr>
        <w:rFonts w:hint="eastAsia"/>
      </w:rPr>
      <w:t>T</w:t>
    </w:r>
    <w:r>
      <w:t xml:space="preserve">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t>DB</w:t>
    </w:r>
    <w:r>
      <w:rPr>
        <w:rFonts w:hint="eastAsia"/>
      </w:rPr>
      <w:t>32</w:t>
    </w:r>
    <w:r>
      <w:t>/</w:t>
    </w:r>
    <w:r>
      <w:rPr>
        <w:rFonts w:hint="eastAsia"/>
      </w:rPr>
      <w:t>T</w:t>
    </w:r>
    <w:r>
      <w:t xml:space="preserve">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7B18D1"/>
    <w:multiLevelType w:val="multilevel"/>
    <w:tmpl w:val="007B18D1"/>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7DB12BE"/>
    <w:multiLevelType w:val="multilevel"/>
    <w:tmpl w:val="07DB12BE"/>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08EF598D"/>
    <w:multiLevelType w:val="multilevel"/>
    <w:tmpl w:val="08EF598D"/>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0AAA542D"/>
    <w:multiLevelType w:val="multilevel"/>
    <w:tmpl w:val="0AAA542D"/>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0CFF4BBB"/>
    <w:multiLevelType w:val="multilevel"/>
    <w:tmpl w:val="0CFF4BBB"/>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0E19048F"/>
    <w:multiLevelType w:val="multilevel"/>
    <w:tmpl w:val="0E19048F"/>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10484C61"/>
    <w:multiLevelType w:val="multilevel"/>
    <w:tmpl w:val="10484C61"/>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10500633"/>
    <w:multiLevelType w:val="multilevel"/>
    <w:tmpl w:val="1050063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
    <w:nsid w:val="111C0742"/>
    <w:multiLevelType w:val="multilevel"/>
    <w:tmpl w:val="111C0742"/>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17A7205E"/>
    <w:multiLevelType w:val="multilevel"/>
    <w:tmpl w:val="17A7205E"/>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196A3E12"/>
    <w:multiLevelType w:val="multilevel"/>
    <w:tmpl w:val="196A3E12"/>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1FC91163"/>
    <w:multiLevelType w:val="multilevel"/>
    <w:tmpl w:val="1FC91163"/>
    <w:lvl w:ilvl="0" w:tentative="0">
      <w:start w:val="1"/>
      <w:numFmt w:val="decimal"/>
      <w:pStyle w:val="6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67"/>
      <w:suff w:val="nothing"/>
      <w:lvlText w:val="%1.%2.%3　"/>
      <w:lvlJc w:val="left"/>
      <w:pPr>
        <w:ind w:left="0" w:firstLine="0"/>
      </w:pPr>
      <w:rPr>
        <w:rFonts w:hint="eastAsia" w:ascii="黑体" w:hAnsi="Times New Roman" w:eastAsia="黑体"/>
        <w:b w:val="0"/>
        <w:i w:val="0"/>
        <w:sz w:val="21"/>
      </w:rPr>
    </w:lvl>
    <w:lvl w:ilvl="3" w:tentative="0">
      <w:start w:val="1"/>
      <w:numFmt w:val="decimal"/>
      <w:pStyle w:val="72"/>
      <w:suff w:val="nothing"/>
      <w:lvlText w:val="%1.%2.%3.%4　"/>
      <w:lvlJc w:val="left"/>
      <w:pPr>
        <w:ind w:left="0" w:firstLine="0"/>
      </w:pPr>
      <w:rPr>
        <w:rFonts w:hint="eastAsia" w:ascii="黑体" w:hAnsi="Times New Roman" w:eastAsia="黑体"/>
        <w:b w:val="0"/>
        <w:i w:val="0"/>
        <w:sz w:val="21"/>
      </w:rPr>
    </w:lvl>
    <w:lvl w:ilvl="4" w:tentative="0">
      <w:start w:val="1"/>
      <w:numFmt w:val="decimal"/>
      <w:pStyle w:val="76"/>
      <w:suff w:val="nothing"/>
      <w:lvlText w:val="%1.%2.%3.%4.%5　"/>
      <w:lvlJc w:val="left"/>
      <w:pPr>
        <w:ind w:left="0" w:firstLine="0"/>
      </w:pPr>
      <w:rPr>
        <w:rFonts w:hint="eastAsia" w:ascii="黑体" w:hAnsi="Times New Roman" w:eastAsia="黑体"/>
        <w:b w:val="0"/>
        <w:i w:val="0"/>
        <w:sz w:val="21"/>
      </w:rPr>
    </w:lvl>
    <w:lvl w:ilvl="5" w:tentative="0">
      <w:start w:val="1"/>
      <w:numFmt w:val="decimal"/>
      <w:pStyle w:val="7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05E723D"/>
    <w:multiLevelType w:val="multilevel"/>
    <w:tmpl w:val="205E723D"/>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2A8F7113"/>
    <w:multiLevelType w:val="multilevel"/>
    <w:tmpl w:val="2A8F7113"/>
    <w:lvl w:ilvl="0" w:tentative="0">
      <w:start w:val="1"/>
      <w:numFmt w:val="upperLetter"/>
      <w:pStyle w:val="119"/>
      <w:suff w:val="space"/>
      <w:lvlText w:val="%1"/>
      <w:lvlJc w:val="left"/>
      <w:pPr>
        <w:ind w:left="623" w:hanging="425"/>
      </w:pPr>
      <w:rPr>
        <w:rFonts w:hint="eastAsia"/>
      </w:rPr>
    </w:lvl>
    <w:lvl w:ilvl="1" w:tentative="0">
      <w:start w:val="1"/>
      <w:numFmt w:val="decimal"/>
      <w:pStyle w:val="120"/>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4">
    <w:nsid w:val="2C5917C3"/>
    <w:multiLevelType w:val="multilevel"/>
    <w:tmpl w:val="2C5917C3"/>
    <w:lvl w:ilvl="0" w:tentative="0">
      <w:start w:val="1"/>
      <w:numFmt w:val="none"/>
      <w:pStyle w:val="69"/>
      <w:suff w:val="nothing"/>
      <w:lvlText w:val="%1——"/>
      <w:lvlJc w:val="left"/>
      <w:pPr>
        <w:ind w:left="833" w:hanging="408"/>
      </w:pPr>
      <w:rPr>
        <w:rFonts w:hint="eastAsia"/>
      </w:rPr>
    </w:lvl>
    <w:lvl w:ilvl="1" w:tentative="0">
      <w:start w:val="1"/>
      <w:numFmt w:val="bullet"/>
      <w:pStyle w:val="70"/>
      <w:lvlText w:val=""/>
      <w:lvlJc w:val="left"/>
      <w:pPr>
        <w:tabs>
          <w:tab w:val="left" w:pos="760"/>
        </w:tabs>
        <w:ind w:left="1264" w:hanging="413"/>
      </w:pPr>
      <w:rPr>
        <w:rFonts w:hint="default" w:ascii="Symbol" w:hAnsi="Symbol"/>
        <w:color w:val="auto"/>
      </w:rPr>
    </w:lvl>
    <w:lvl w:ilvl="2" w:tentative="0">
      <w:start w:val="1"/>
      <w:numFmt w:val="bullet"/>
      <w:pStyle w:val="81"/>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5">
    <w:nsid w:val="2F1C127E"/>
    <w:multiLevelType w:val="multilevel"/>
    <w:tmpl w:val="2F1C127E"/>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313460A0"/>
    <w:multiLevelType w:val="multilevel"/>
    <w:tmpl w:val="313460A0"/>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36F2243A"/>
    <w:multiLevelType w:val="multilevel"/>
    <w:tmpl w:val="36F2243A"/>
    <w:lvl w:ilvl="0" w:tentative="0">
      <w:start w:val="1"/>
      <w:numFmt w:val="decimal"/>
      <w:pStyle w:val="86"/>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8">
    <w:nsid w:val="3AE7765C"/>
    <w:multiLevelType w:val="multilevel"/>
    <w:tmpl w:val="3AE7765C"/>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3D733618"/>
    <w:multiLevelType w:val="multilevel"/>
    <w:tmpl w:val="3D733618"/>
    <w:lvl w:ilvl="0" w:tentative="0">
      <w:start w:val="1"/>
      <w:numFmt w:val="decimal"/>
      <w:pStyle w:val="38"/>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0">
    <w:nsid w:val="3F090DFD"/>
    <w:multiLevelType w:val="multilevel"/>
    <w:tmpl w:val="3F090DFD"/>
    <w:lvl w:ilvl="0" w:tentative="0">
      <w:start w:val="1"/>
      <w:numFmt w:val="lowerLetter"/>
      <w:pStyle w:val="80"/>
      <w:lvlText w:val="%1)"/>
      <w:lvlJc w:val="left"/>
      <w:pPr>
        <w:tabs>
          <w:tab w:val="left" w:pos="840"/>
        </w:tabs>
        <w:ind w:left="839" w:hanging="419"/>
      </w:pPr>
      <w:rPr>
        <w:rFonts w:hint="eastAsia" w:ascii="宋体" w:eastAsia="宋体"/>
        <w:b w:val="0"/>
        <w:i w:val="0"/>
        <w:sz w:val="21"/>
        <w:szCs w:val="21"/>
      </w:rPr>
    </w:lvl>
    <w:lvl w:ilvl="1" w:tentative="0">
      <w:start w:val="1"/>
      <w:numFmt w:val="decimal"/>
      <w:pStyle w:val="75"/>
      <w:lvlText w:val="%2)"/>
      <w:lvlJc w:val="left"/>
      <w:pPr>
        <w:tabs>
          <w:tab w:val="left" w:pos="1260"/>
        </w:tabs>
        <w:ind w:left="1259" w:hanging="419"/>
      </w:pPr>
      <w:rPr>
        <w:rFonts w:hint="eastAsia"/>
      </w:rPr>
    </w:lvl>
    <w:lvl w:ilvl="2" w:tentative="0">
      <w:start w:val="1"/>
      <w:numFmt w:val="decimal"/>
      <w:pStyle w:val="82"/>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1">
    <w:nsid w:val="3F2521DD"/>
    <w:multiLevelType w:val="multilevel"/>
    <w:tmpl w:val="3F2521DD"/>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2">
    <w:nsid w:val="449C5D34"/>
    <w:multiLevelType w:val="multilevel"/>
    <w:tmpl w:val="449C5D34"/>
    <w:lvl w:ilvl="0" w:tentative="0">
      <w:start w:val="1"/>
      <w:numFmt w:val="lowerLetter"/>
      <w:lvlText w:val="%1)"/>
      <w:lvlJc w:val="left"/>
      <w:pPr>
        <w:tabs>
          <w:tab w:val="left" w:pos="840"/>
        </w:tabs>
        <w:ind w:left="839" w:hanging="419"/>
      </w:pPr>
      <w:rPr>
        <w:rFonts w:hint="eastAsia" w:ascii="宋体" w:hAns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3">
    <w:nsid w:val="452274C7"/>
    <w:multiLevelType w:val="multilevel"/>
    <w:tmpl w:val="452274C7"/>
    <w:lvl w:ilvl="0" w:tentative="0">
      <w:start w:val="1"/>
      <w:numFmt w:val="decimal"/>
      <w:suff w:val="nothing"/>
      <w:lvlText w:val="%1　"/>
      <w:lvlJc w:val="left"/>
      <w:rPr>
        <w:rFonts w:hint="eastAsia" w:ascii="黑体" w:eastAsia="黑体" w:cs="Times New Roman"/>
      </w:rPr>
    </w:lvl>
    <w:lvl w:ilvl="1" w:tentative="0">
      <w:start w:val="1"/>
      <w:numFmt w:val="decimal"/>
      <w:suff w:val="nothing"/>
      <w:lvlText w:val="%1.%2　"/>
      <w:lvlJc w:val="left"/>
      <w:pPr>
        <w:ind w:left="630"/>
      </w:pPr>
      <w:rPr>
        <w:rFonts w:hint="eastAsia" w:ascii="黑体" w:eastAsia="黑体" w:cs="Times New Roman"/>
      </w:rPr>
    </w:lvl>
    <w:lvl w:ilvl="2" w:tentative="0">
      <w:start w:val="1"/>
      <w:numFmt w:val="decimal"/>
      <w:suff w:val="nothing"/>
      <w:lvlText w:val="%1.%2.%3　"/>
      <w:lvlJc w:val="left"/>
      <w:rPr>
        <w:rFonts w:hint="eastAsia" w:ascii="黑体" w:eastAsia="黑体" w:cs="Times New Roman"/>
      </w:rPr>
    </w:lvl>
    <w:lvl w:ilvl="3" w:tentative="0">
      <w:start w:val="1"/>
      <w:numFmt w:val="decimal"/>
      <w:suff w:val="nothing"/>
      <w:lvlText w:val="%1.%2.%3.%4　"/>
      <w:lvlJc w:val="left"/>
      <w:rPr>
        <w:rFonts w:hint="eastAsia" w:ascii="黑体" w:eastAsia="黑体" w:cs="Times New Roman"/>
      </w:rPr>
    </w:lvl>
    <w:lvl w:ilvl="4" w:tentative="0">
      <w:start w:val="1"/>
      <w:numFmt w:val="decimal"/>
      <w:pStyle w:val="243"/>
      <w:suff w:val="nothing"/>
      <w:lvlText w:val="%1.%2.%3.%4.%5　"/>
      <w:lvlJc w:val="left"/>
      <w:rPr>
        <w:rFonts w:hint="eastAsia" w:ascii="黑体" w:eastAsia="黑体" w:cs="Times New Roman"/>
      </w:rPr>
    </w:lvl>
    <w:lvl w:ilvl="5" w:tentative="0">
      <w:start w:val="1"/>
      <w:numFmt w:val="decimal"/>
      <w:pStyle w:val="244"/>
      <w:suff w:val="nothing"/>
      <w:lvlText w:val="%1.%2.%3.%4.%5.%6　"/>
      <w:lvlJc w:val="left"/>
      <w:rPr>
        <w:rFonts w:hint="eastAsia" w:ascii="黑体" w:eastAsia="黑体" w:cs="Times New Roman"/>
      </w:rPr>
    </w:lvl>
    <w:lvl w:ilvl="6" w:tentative="0">
      <w:start w:val="1"/>
      <w:numFmt w:val="decimal"/>
      <w:lvlRestart w:val="0"/>
      <w:pStyle w:val="245"/>
      <w:suff w:val="nothing"/>
      <w:lvlText w:val="表%7　"/>
      <w:lvlJc w:val="left"/>
      <w:rPr>
        <w:rFonts w:hint="eastAsia" w:ascii="黑体" w:eastAsia="黑体" w:cs="Times New Roman"/>
      </w:rPr>
    </w:lvl>
    <w:lvl w:ilvl="7" w:tentative="0">
      <w:start w:val="1"/>
      <w:numFmt w:val="decimal"/>
      <w:lvlRestart w:val="0"/>
      <w:pStyle w:val="246"/>
      <w:suff w:val="nothing"/>
      <w:lvlText w:val="图%8　"/>
      <w:lvlJc w:val="left"/>
      <w:rPr>
        <w:rFonts w:hint="eastAsia" w:ascii="黑体" w:eastAsia="黑体" w:cs="Times New Roman"/>
      </w:rPr>
    </w:lvl>
    <w:lvl w:ilvl="8" w:tentative="0">
      <w:start w:val="1"/>
      <w:numFmt w:val="decimal"/>
      <w:lvlText w:val="%1.%2.%3.%4.%5.%6.%7.%8.%9"/>
      <w:lvlJc w:val="left"/>
      <w:pPr>
        <w:tabs>
          <w:tab w:val="left" w:pos="1584"/>
        </w:tabs>
        <w:ind w:left="1584" w:hanging="1584"/>
      </w:pPr>
      <w:rPr>
        <w:rFonts w:hint="eastAsia" w:cs="Times New Roman"/>
      </w:rPr>
    </w:lvl>
  </w:abstractNum>
  <w:abstractNum w:abstractNumId="24">
    <w:nsid w:val="4F745AF8"/>
    <w:multiLevelType w:val="multilevel"/>
    <w:tmpl w:val="4F745AF8"/>
    <w:lvl w:ilvl="0" w:tentative="0">
      <w:start w:val="40"/>
      <w:numFmt w:val="japaneseCounting"/>
      <w:pStyle w:val="215"/>
      <w:lvlText w:val="第%1"/>
      <w:lvlJc w:val="left"/>
      <w:pPr>
        <w:ind w:left="1700" w:hanging="1140"/>
      </w:pPr>
      <w:rPr>
        <w:rFonts w:hint="default"/>
        <w:color w:val="000000"/>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5">
    <w:nsid w:val="5F3F30D7"/>
    <w:multiLevelType w:val="multilevel"/>
    <w:tmpl w:val="5F3F30D7"/>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6">
    <w:nsid w:val="60956F47"/>
    <w:multiLevelType w:val="multilevel"/>
    <w:tmpl w:val="60956F47"/>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7">
    <w:nsid w:val="60B55DC2"/>
    <w:multiLevelType w:val="multilevel"/>
    <w:tmpl w:val="60B55DC2"/>
    <w:lvl w:ilvl="0" w:tentative="0">
      <w:start w:val="1"/>
      <w:numFmt w:val="upperLetter"/>
      <w:pStyle w:val="107"/>
      <w:lvlText w:val="%1"/>
      <w:lvlJc w:val="left"/>
      <w:pPr>
        <w:tabs>
          <w:tab w:val="left" w:pos="0"/>
        </w:tabs>
        <w:ind w:left="0" w:hanging="425"/>
      </w:pPr>
      <w:rPr>
        <w:rFonts w:hint="eastAsia"/>
      </w:rPr>
    </w:lvl>
    <w:lvl w:ilvl="1" w:tentative="0">
      <w:start w:val="1"/>
      <w:numFmt w:val="decimal"/>
      <w:pStyle w:val="10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8">
    <w:nsid w:val="657D3FBC"/>
    <w:multiLevelType w:val="multilevel"/>
    <w:tmpl w:val="657D3FBC"/>
    <w:lvl w:ilvl="0" w:tentative="0">
      <w:start w:val="1"/>
      <w:numFmt w:val="upperLetter"/>
      <w:pStyle w:val="10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23"/>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24"/>
      <w:suff w:val="nothing"/>
      <w:lvlText w:val="%1.%2.%3　"/>
      <w:lvlJc w:val="left"/>
      <w:pPr>
        <w:ind w:left="0" w:firstLine="0"/>
      </w:pPr>
      <w:rPr>
        <w:rFonts w:hint="eastAsia" w:ascii="黑体" w:hAnsi="Times New Roman" w:eastAsia="黑体"/>
        <w:b w:val="0"/>
        <w:i w:val="0"/>
        <w:sz w:val="21"/>
      </w:rPr>
    </w:lvl>
    <w:lvl w:ilvl="3" w:tentative="0">
      <w:start w:val="1"/>
      <w:numFmt w:val="decimal"/>
      <w:pStyle w:val="109"/>
      <w:suff w:val="nothing"/>
      <w:lvlText w:val="%1.%2.%3.%4　"/>
      <w:lvlJc w:val="left"/>
      <w:pPr>
        <w:ind w:left="0" w:firstLine="0"/>
      </w:pPr>
      <w:rPr>
        <w:rFonts w:hint="eastAsia" w:ascii="黑体" w:hAnsi="Times New Roman" w:eastAsia="黑体"/>
        <w:b w:val="0"/>
        <w:i w:val="0"/>
        <w:sz w:val="21"/>
      </w:rPr>
    </w:lvl>
    <w:lvl w:ilvl="4" w:tentative="0">
      <w:start w:val="1"/>
      <w:numFmt w:val="decimal"/>
      <w:pStyle w:val="114"/>
      <w:suff w:val="nothing"/>
      <w:lvlText w:val="%1.%2.%3.%4.%5　"/>
      <w:lvlJc w:val="left"/>
      <w:pPr>
        <w:ind w:left="0" w:firstLine="0"/>
      </w:pPr>
      <w:rPr>
        <w:rFonts w:hint="eastAsia" w:ascii="黑体" w:hAnsi="Times New Roman" w:eastAsia="黑体"/>
        <w:b w:val="0"/>
        <w:i w:val="0"/>
        <w:sz w:val="21"/>
      </w:rPr>
    </w:lvl>
    <w:lvl w:ilvl="5" w:tentative="0">
      <w:start w:val="1"/>
      <w:numFmt w:val="decimal"/>
      <w:pStyle w:val="117"/>
      <w:suff w:val="nothing"/>
      <w:lvlText w:val="%1.%2.%3.%4.%5.%6　"/>
      <w:lvlJc w:val="left"/>
      <w:pPr>
        <w:ind w:left="0" w:firstLine="0"/>
      </w:pPr>
      <w:rPr>
        <w:rFonts w:hint="eastAsia" w:ascii="黑体" w:hAnsi="Times New Roman" w:eastAsia="黑体"/>
        <w:b w:val="0"/>
        <w:i w:val="0"/>
        <w:sz w:val="21"/>
      </w:rPr>
    </w:lvl>
    <w:lvl w:ilvl="6" w:tentative="0">
      <w:start w:val="1"/>
      <w:numFmt w:val="decimal"/>
      <w:pStyle w:val="12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D6C07CD"/>
    <w:multiLevelType w:val="multilevel"/>
    <w:tmpl w:val="6D6C07CD"/>
    <w:lvl w:ilvl="0" w:tentative="0">
      <w:start w:val="1"/>
      <w:numFmt w:val="lowerLetter"/>
      <w:pStyle w:val="126"/>
      <w:lvlText w:val="%1)"/>
      <w:lvlJc w:val="left"/>
      <w:pPr>
        <w:tabs>
          <w:tab w:val="left" w:pos="839"/>
        </w:tabs>
        <w:ind w:left="839" w:hanging="419"/>
      </w:pPr>
      <w:rPr>
        <w:rFonts w:hint="eastAsia" w:ascii="宋体" w:eastAsia="宋体"/>
        <w:b w:val="0"/>
        <w:i w:val="0"/>
        <w:sz w:val="21"/>
      </w:rPr>
    </w:lvl>
    <w:lvl w:ilvl="1" w:tentative="0">
      <w:start w:val="1"/>
      <w:numFmt w:val="decimal"/>
      <w:pStyle w:val="116"/>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0">
    <w:nsid w:val="76224EF1"/>
    <w:multiLevelType w:val="multilevel"/>
    <w:tmpl w:val="76224EF1"/>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1">
    <w:nsid w:val="7AD04AE5"/>
    <w:multiLevelType w:val="multilevel"/>
    <w:tmpl w:val="7AD04AE5"/>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9"/>
  </w:num>
  <w:num w:numId="2">
    <w:abstractNumId w:val="11"/>
  </w:num>
  <w:num w:numId="3">
    <w:abstractNumId w:val="14"/>
  </w:num>
  <w:num w:numId="4">
    <w:abstractNumId w:val="20"/>
  </w:num>
  <w:num w:numId="5">
    <w:abstractNumId w:val="17"/>
  </w:num>
  <w:num w:numId="6">
    <w:abstractNumId w:val="28"/>
  </w:num>
  <w:num w:numId="7">
    <w:abstractNumId w:val="27"/>
  </w:num>
  <w:num w:numId="8">
    <w:abstractNumId w:val="29"/>
  </w:num>
  <w:num w:numId="9">
    <w:abstractNumId w:val="13"/>
  </w:num>
  <w:num w:numId="10">
    <w:abstractNumId w:val="24"/>
  </w:num>
  <w:num w:numId="11">
    <w:abstractNumId w:val="2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s66P00GFMsCGPdwCFMmXBWwt98w=" w:salt="qtYLltF9PI3UULqgOfLcUA=="/>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VmNDNkOWUxODQ5YzRjYzI2Mjk0ZTQ4NGE4MDc3ZDUifQ=="/>
  </w:docVars>
  <w:rsids>
    <w:rsidRoot w:val="00035925"/>
    <w:rsid w:val="00000244"/>
    <w:rsid w:val="0000185F"/>
    <w:rsid w:val="00003B8E"/>
    <w:rsid w:val="0000586F"/>
    <w:rsid w:val="00013D86"/>
    <w:rsid w:val="00013E02"/>
    <w:rsid w:val="0002143C"/>
    <w:rsid w:val="00025A65"/>
    <w:rsid w:val="00026C31"/>
    <w:rsid w:val="00027280"/>
    <w:rsid w:val="000320A7"/>
    <w:rsid w:val="00035925"/>
    <w:rsid w:val="00045F0F"/>
    <w:rsid w:val="00053942"/>
    <w:rsid w:val="0006562E"/>
    <w:rsid w:val="00067CDF"/>
    <w:rsid w:val="00074FBE"/>
    <w:rsid w:val="00083A09"/>
    <w:rsid w:val="0009005E"/>
    <w:rsid w:val="00092857"/>
    <w:rsid w:val="00095AF2"/>
    <w:rsid w:val="000A20A9"/>
    <w:rsid w:val="000A48B1"/>
    <w:rsid w:val="000B3143"/>
    <w:rsid w:val="000C528B"/>
    <w:rsid w:val="000C6B05"/>
    <w:rsid w:val="000C6DD6"/>
    <w:rsid w:val="000C6EDA"/>
    <w:rsid w:val="000C73D4"/>
    <w:rsid w:val="000D3D4C"/>
    <w:rsid w:val="000D4F51"/>
    <w:rsid w:val="000D718B"/>
    <w:rsid w:val="000D7622"/>
    <w:rsid w:val="000E0C46"/>
    <w:rsid w:val="000F030C"/>
    <w:rsid w:val="000F129C"/>
    <w:rsid w:val="001056DE"/>
    <w:rsid w:val="0010798B"/>
    <w:rsid w:val="001124C0"/>
    <w:rsid w:val="0011461B"/>
    <w:rsid w:val="00116411"/>
    <w:rsid w:val="00116940"/>
    <w:rsid w:val="0013175F"/>
    <w:rsid w:val="00144DFA"/>
    <w:rsid w:val="001512B4"/>
    <w:rsid w:val="00151588"/>
    <w:rsid w:val="00154E1C"/>
    <w:rsid w:val="001620A5"/>
    <w:rsid w:val="00163FCF"/>
    <w:rsid w:val="00164E53"/>
    <w:rsid w:val="0016699D"/>
    <w:rsid w:val="00175159"/>
    <w:rsid w:val="00176208"/>
    <w:rsid w:val="00181432"/>
    <w:rsid w:val="0018211B"/>
    <w:rsid w:val="001840D3"/>
    <w:rsid w:val="001900F8"/>
    <w:rsid w:val="00191258"/>
    <w:rsid w:val="00192680"/>
    <w:rsid w:val="00193037"/>
    <w:rsid w:val="00193A2C"/>
    <w:rsid w:val="0019621C"/>
    <w:rsid w:val="001A288E"/>
    <w:rsid w:val="001B066B"/>
    <w:rsid w:val="001B6DC2"/>
    <w:rsid w:val="001C149C"/>
    <w:rsid w:val="001C21AC"/>
    <w:rsid w:val="001C47BA"/>
    <w:rsid w:val="001C59EA"/>
    <w:rsid w:val="001D0E2E"/>
    <w:rsid w:val="001D406C"/>
    <w:rsid w:val="001D41EE"/>
    <w:rsid w:val="001E0380"/>
    <w:rsid w:val="001E13B1"/>
    <w:rsid w:val="001F28D8"/>
    <w:rsid w:val="001F3A19"/>
    <w:rsid w:val="001F6450"/>
    <w:rsid w:val="002130F6"/>
    <w:rsid w:val="00232277"/>
    <w:rsid w:val="00234467"/>
    <w:rsid w:val="00237D8D"/>
    <w:rsid w:val="00241DA2"/>
    <w:rsid w:val="002426AB"/>
    <w:rsid w:val="00247FEE"/>
    <w:rsid w:val="00250E7D"/>
    <w:rsid w:val="002532FC"/>
    <w:rsid w:val="002565D5"/>
    <w:rsid w:val="002622C0"/>
    <w:rsid w:val="002741B9"/>
    <w:rsid w:val="00274F68"/>
    <w:rsid w:val="002778AE"/>
    <w:rsid w:val="0028043B"/>
    <w:rsid w:val="0028269A"/>
    <w:rsid w:val="00283590"/>
    <w:rsid w:val="00286973"/>
    <w:rsid w:val="002879FF"/>
    <w:rsid w:val="0029328B"/>
    <w:rsid w:val="00293709"/>
    <w:rsid w:val="00294E70"/>
    <w:rsid w:val="002A1924"/>
    <w:rsid w:val="002A7420"/>
    <w:rsid w:val="002B0F12"/>
    <w:rsid w:val="002B1308"/>
    <w:rsid w:val="002B4554"/>
    <w:rsid w:val="002C69E0"/>
    <w:rsid w:val="002C72D8"/>
    <w:rsid w:val="002D11FA"/>
    <w:rsid w:val="002D1B75"/>
    <w:rsid w:val="002D1D93"/>
    <w:rsid w:val="002E0DDF"/>
    <w:rsid w:val="002E2906"/>
    <w:rsid w:val="002E5635"/>
    <w:rsid w:val="002E64C3"/>
    <w:rsid w:val="002E6A2C"/>
    <w:rsid w:val="002F1D8C"/>
    <w:rsid w:val="002F21DA"/>
    <w:rsid w:val="002F23F4"/>
    <w:rsid w:val="002F542C"/>
    <w:rsid w:val="00300467"/>
    <w:rsid w:val="00301F39"/>
    <w:rsid w:val="00302766"/>
    <w:rsid w:val="003104CD"/>
    <w:rsid w:val="00310BDE"/>
    <w:rsid w:val="00314C9C"/>
    <w:rsid w:val="00325926"/>
    <w:rsid w:val="00327148"/>
    <w:rsid w:val="00327A8A"/>
    <w:rsid w:val="00333DBF"/>
    <w:rsid w:val="00336610"/>
    <w:rsid w:val="00341E52"/>
    <w:rsid w:val="00343F73"/>
    <w:rsid w:val="00345060"/>
    <w:rsid w:val="0035323B"/>
    <w:rsid w:val="00357ACC"/>
    <w:rsid w:val="00360299"/>
    <w:rsid w:val="003609D2"/>
    <w:rsid w:val="00363160"/>
    <w:rsid w:val="00363F22"/>
    <w:rsid w:val="00366F22"/>
    <w:rsid w:val="0037032F"/>
    <w:rsid w:val="00375564"/>
    <w:rsid w:val="00383191"/>
    <w:rsid w:val="00386DED"/>
    <w:rsid w:val="003912E7"/>
    <w:rsid w:val="00393947"/>
    <w:rsid w:val="003A2275"/>
    <w:rsid w:val="003A6A4F"/>
    <w:rsid w:val="003A7088"/>
    <w:rsid w:val="003B00DF"/>
    <w:rsid w:val="003B1275"/>
    <w:rsid w:val="003B1778"/>
    <w:rsid w:val="003C11CB"/>
    <w:rsid w:val="003C17FC"/>
    <w:rsid w:val="003C75F3"/>
    <w:rsid w:val="003C78A3"/>
    <w:rsid w:val="003D3656"/>
    <w:rsid w:val="003D7D13"/>
    <w:rsid w:val="003E1867"/>
    <w:rsid w:val="003E5729"/>
    <w:rsid w:val="003F32B9"/>
    <w:rsid w:val="003F4EE0"/>
    <w:rsid w:val="00402153"/>
    <w:rsid w:val="00402FC1"/>
    <w:rsid w:val="00405763"/>
    <w:rsid w:val="004151AF"/>
    <w:rsid w:val="00425082"/>
    <w:rsid w:val="00431DEB"/>
    <w:rsid w:val="00435051"/>
    <w:rsid w:val="00440C27"/>
    <w:rsid w:val="00442C87"/>
    <w:rsid w:val="00446B29"/>
    <w:rsid w:val="00453F9A"/>
    <w:rsid w:val="004554AC"/>
    <w:rsid w:val="004678D0"/>
    <w:rsid w:val="00471E91"/>
    <w:rsid w:val="00474675"/>
    <w:rsid w:val="0047470C"/>
    <w:rsid w:val="00482E61"/>
    <w:rsid w:val="00484923"/>
    <w:rsid w:val="00493F99"/>
    <w:rsid w:val="004A35F9"/>
    <w:rsid w:val="004B24C1"/>
    <w:rsid w:val="004B4BB8"/>
    <w:rsid w:val="004B66A9"/>
    <w:rsid w:val="004C292F"/>
    <w:rsid w:val="004C3624"/>
    <w:rsid w:val="004D30D2"/>
    <w:rsid w:val="004E1629"/>
    <w:rsid w:val="004E7B9C"/>
    <w:rsid w:val="00501221"/>
    <w:rsid w:val="00510280"/>
    <w:rsid w:val="005110A8"/>
    <w:rsid w:val="00513D73"/>
    <w:rsid w:val="00514A43"/>
    <w:rsid w:val="005174E5"/>
    <w:rsid w:val="00522393"/>
    <w:rsid w:val="00522620"/>
    <w:rsid w:val="00525656"/>
    <w:rsid w:val="0053112A"/>
    <w:rsid w:val="00534C02"/>
    <w:rsid w:val="005363DA"/>
    <w:rsid w:val="00536A10"/>
    <w:rsid w:val="0054264B"/>
    <w:rsid w:val="00543786"/>
    <w:rsid w:val="00544F86"/>
    <w:rsid w:val="00545035"/>
    <w:rsid w:val="00546CA0"/>
    <w:rsid w:val="005533D7"/>
    <w:rsid w:val="005703DE"/>
    <w:rsid w:val="00570490"/>
    <w:rsid w:val="0057265C"/>
    <w:rsid w:val="00576350"/>
    <w:rsid w:val="00577C1E"/>
    <w:rsid w:val="0058464E"/>
    <w:rsid w:val="005941EC"/>
    <w:rsid w:val="005A01CB"/>
    <w:rsid w:val="005A58FF"/>
    <w:rsid w:val="005A5EAF"/>
    <w:rsid w:val="005A64C0"/>
    <w:rsid w:val="005B3C11"/>
    <w:rsid w:val="005B44FA"/>
    <w:rsid w:val="005C1C28"/>
    <w:rsid w:val="005C6DB5"/>
    <w:rsid w:val="005E19E7"/>
    <w:rsid w:val="005F3915"/>
    <w:rsid w:val="005F497B"/>
    <w:rsid w:val="0060272A"/>
    <w:rsid w:val="0061716C"/>
    <w:rsid w:val="00622DF8"/>
    <w:rsid w:val="006243A1"/>
    <w:rsid w:val="00632E56"/>
    <w:rsid w:val="00635CBA"/>
    <w:rsid w:val="0064338B"/>
    <w:rsid w:val="00645B68"/>
    <w:rsid w:val="00646542"/>
    <w:rsid w:val="006504F4"/>
    <w:rsid w:val="00654BC9"/>
    <w:rsid w:val="00654D2F"/>
    <w:rsid w:val="006552FD"/>
    <w:rsid w:val="00655D6A"/>
    <w:rsid w:val="00663AF3"/>
    <w:rsid w:val="00666B6C"/>
    <w:rsid w:val="00682682"/>
    <w:rsid w:val="00682702"/>
    <w:rsid w:val="00692368"/>
    <w:rsid w:val="006A2EBC"/>
    <w:rsid w:val="006A5EA0"/>
    <w:rsid w:val="006A783B"/>
    <w:rsid w:val="006A7B33"/>
    <w:rsid w:val="006B4E13"/>
    <w:rsid w:val="006B75DD"/>
    <w:rsid w:val="006C2FAA"/>
    <w:rsid w:val="006C67E0"/>
    <w:rsid w:val="006C7ABA"/>
    <w:rsid w:val="006D0D60"/>
    <w:rsid w:val="006D1122"/>
    <w:rsid w:val="006D3C00"/>
    <w:rsid w:val="006D599D"/>
    <w:rsid w:val="006E3675"/>
    <w:rsid w:val="006E4A7F"/>
    <w:rsid w:val="00704DF6"/>
    <w:rsid w:val="0070651C"/>
    <w:rsid w:val="007132A3"/>
    <w:rsid w:val="00716421"/>
    <w:rsid w:val="00722720"/>
    <w:rsid w:val="00724EFB"/>
    <w:rsid w:val="00731F49"/>
    <w:rsid w:val="00733744"/>
    <w:rsid w:val="007419C3"/>
    <w:rsid w:val="007467A7"/>
    <w:rsid w:val="007469DD"/>
    <w:rsid w:val="0074741B"/>
    <w:rsid w:val="0074759E"/>
    <w:rsid w:val="007478EA"/>
    <w:rsid w:val="0075415C"/>
    <w:rsid w:val="00763502"/>
    <w:rsid w:val="00773B2F"/>
    <w:rsid w:val="007913AB"/>
    <w:rsid w:val="007914F7"/>
    <w:rsid w:val="00792FA8"/>
    <w:rsid w:val="00795B06"/>
    <w:rsid w:val="007A19A3"/>
    <w:rsid w:val="007A5318"/>
    <w:rsid w:val="007A7CB4"/>
    <w:rsid w:val="007B1625"/>
    <w:rsid w:val="007B706E"/>
    <w:rsid w:val="007B71EB"/>
    <w:rsid w:val="007C6205"/>
    <w:rsid w:val="007C686A"/>
    <w:rsid w:val="007C728E"/>
    <w:rsid w:val="007D2C53"/>
    <w:rsid w:val="007D3D60"/>
    <w:rsid w:val="007D7FCA"/>
    <w:rsid w:val="007E1980"/>
    <w:rsid w:val="007E4B76"/>
    <w:rsid w:val="007E5EA8"/>
    <w:rsid w:val="007F0CF1"/>
    <w:rsid w:val="007F12A5"/>
    <w:rsid w:val="007F4CF1"/>
    <w:rsid w:val="007F758D"/>
    <w:rsid w:val="007F7D52"/>
    <w:rsid w:val="00801B07"/>
    <w:rsid w:val="0080654C"/>
    <w:rsid w:val="008071C6"/>
    <w:rsid w:val="00812814"/>
    <w:rsid w:val="008150B7"/>
    <w:rsid w:val="00817A00"/>
    <w:rsid w:val="00820752"/>
    <w:rsid w:val="00821D4A"/>
    <w:rsid w:val="00832F80"/>
    <w:rsid w:val="008356E4"/>
    <w:rsid w:val="00835DB3"/>
    <w:rsid w:val="0083617B"/>
    <w:rsid w:val="008371BD"/>
    <w:rsid w:val="00837E54"/>
    <w:rsid w:val="00844F31"/>
    <w:rsid w:val="008504A8"/>
    <w:rsid w:val="0085282E"/>
    <w:rsid w:val="00863F5A"/>
    <w:rsid w:val="0087198C"/>
    <w:rsid w:val="00872286"/>
    <w:rsid w:val="00872C1F"/>
    <w:rsid w:val="00873B42"/>
    <w:rsid w:val="008856D8"/>
    <w:rsid w:val="00892E82"/>
    <w:rsid w:val="008A0D01"/>
    <w:rsid w:val="008B0B04"/>
    <w:rsid w:val="008B5EBA"/>
    <w:rsid w:val="008C1B58"/>
    <w:rsid w:val="008C2357"/>
    <w:rsid w:val="008C3756"/>
    <w:rsid w:val="008C39AE"/>
    <w:rsid w:val="008C590D"/>
    <w:rsid w:val="008E031B"/>
    <w:rsid w:val="008E0443"/>
    <w:rsid w:val="008E24EC"/>
    <w:rsid w:val="008E7029"/>
    <w:rsid w:val="008E7EF6"/>
    <w:rsid w:val="008F1F98"/>
    <w:rsid w:val="008F6758"/>
    <w:rsid w:val="009026EB"/>
    <w:rsid w:val="009040DD"/>
    <w:rsid w:val="00905B47"/>
    <w:rsid w:val="00906E69"/>
    <w:rsid w:val="0091331C"/>
    <w:rsid w:val="009276FE"/>
    <w:rsid w:val="009279DE"/>
    <w:rsid w:val="00927B66"/>
    <w:rsid w:val="00930116"/>
    <w:rsid w:val="00933DFE"/>
    <w:rsid w:val="00936BB7"/>
    <w:rsid w:val="00936CC0"/>
    <w:rsid w:val="00941940"/>
    <w:rsid w:val="0094212C"/>
    <w:rsid w:val="00946E2C"/>
    <w:rsid w:val="009536D9"/>
    <w:rsid w:val="00954689"/>
    <w:rsid w:val="009555AD"/>
    <w:rsid w:val="009617C9"/>
    <w:rsid w:val="00961C93"/>
    <w:rsid w:val="00963399"/>
    <w:rsid w:val="00965324"/>
    <w:rsid w:val="0097091E"/>
    <w:rsid w:val="009760D3"/>
    <w:rsid w:val="00977132"/>
    <w:rsid w:val="00977A2D"/>
    <w:rsid w:val="00981A4B"/>
    <w:rsid w:val="00982501"/>
    <w:rsid w:val="009877D3"/>
    <w:rsid w:val="00994E8F"/>
    <w:rsid w:val="009951DC"/>
    <w:rsid w:val="009959BB"/>
    <w:rsid w:val="00997158"/>
    <w:rsid w:val="00997D4A"/>
    <w:rsid w:val="009A3A7C"/>
    <w:rsid w:val="009B2ADB"/>
    <w:rsid w:val="009B351D"/>
    <w:rsid w:val="009B603A"/>
    <w:rsid w:val="009C2D0E"/>
    <w:rsid w:val="009C3DAC"/>
    <w:rsid w:val="009C42E0"/>
    <w:rsid w:val="009D2165"/>
    <w:rsid w:val="009D5362"/>
    <w:rsid w:val="009E0F3F"/>
    <w:rsid w:val="009E1415"/>
    <w:rsid w:val="009E6116"/>
    <w:rsid w:val="009F0D99"/>
    <w:rsid w:val="00A02E43"/>
    <w:rsid w:val="00A065F9"/>
    <w:rsid w:val="00A07F34"/>
    <w:rsid w:val="00A22154"/>
    <w:rsid w:val="00A25C38"/>
    <w:rsid w:val="00A30384"/>
    <w:rsid w:val="00A352D1"/>
    <w:rsid w:val="00A36BBE"/>
    <w:rsid w:val="00A4307A"/>
    <w:rsid w:val="00A47EBB"/>
    <w:rsid w:val="00A51CDD"/>
    <w:rsid w:val="00A6730D"/>
    <w:rsid w:val="00A71625"/>
    <w:rsid w:val="00A71B9B"/>
    <w:rsid w:val="00A751C7"/>
    <w:rsid w:val="00A87844"/>
    <w:rsid w:val="00AA038C"/>
    <w:rsid w:val="00AA21B1"/>
    <w:rsid w:val="00AA7A09"/>
    <w:rsid w:val="00AB3B50"/>
    <w:rsid w:val="00AC05B1"/>
    <w:rsid w:val="00AC3A7C"/>
    <w:rsid w:val="00AD3025"/>
    <w:rsid w:val="00AD356C"/>
    <w:rsid w:val="00AE2223"/>
    <w:rsid w:val="00AE2914"/>
    <w:rsid w:val="00AE6D15"/>
    <w:rsid w:val="00AF35F1"/>
    <w:rsid w:val="00B040E6"/>
    <w:rsid w:val="00B04182"/>
    <w:rsid w:val="00B04980"/>
    <w:rsid w:val="00B07AE3"/>
    <w:rsid w:val="00B11430"/>
    <w:rsid w:val="00B1657F"/>
    <w:rsid w:val="00B23522"/>
    <w:rsid w:val="00B353EB"/>
    <w:rsid w:val="00B439C4"/>
    <w:rsid w:val="00B4535E"/>
    <w:rsid w:val="00B52A8C"/>
    <w:rsid w:val="00B636A8"/>
    <w:rsid w:val="00B65C02"/>
    <w:rsid w:val="00B665C6"/>
    <w:rsid w:val="00B72223"/>
    <w:rsid w:val="00B805AF"/>
    <w:rsid w:val="00B869EC"/>
    <w:rsid w:val="00B9271F"/>
    <w:rsid w:val="00B9397A"/>
    <w:rsid w:val="00B9633D"/>
    <w:rsid w:val="00BA27C5"/>
    <w:rsid w:val="00BA2EBE"/>
    <w:rsid w:val="00BA705A"/>
    <w:rsid w:val="00BB0F28"/>
    <w:rsid w:val="00BB458A"/>
    <w:rsid w:val="00BC4C48"/>
    <w:rsid w:val="00BD00D3"/>
    <w:rsid w:val="00BD1659"/>
    <w:rsid w:val="00BD3AA9"/>
    <w:rsid w:val="00BD4A18"/>
    <w:rsid w:val="00BD6DB2"/>
    <w:rsid w:val="00BE11CF"/>
    <w:rsid w:val="00BE21AB"/>
    <w:rsid w:val="00BE55CB"/>
    <w:rsid w:val="00BF617A"/>
    <w:rsid w:val="00C0379D"/>
    <w:rsid w:val="00C03931"/>
    <w:rsid w:val="00C05FE3"/>
    <w:rsid w:val="00C0757E"/>
    <w:rsid w:val="00C158DA"/>
    <w:rsid w:val="00C16B88"/>
    <w:rsid w:val="00C17AD5"/>
    <w:rsid w:val="00C2136D"/>
    <w:rsid w:val="00C214EE"/>
    <w:rsid w:val="00C2314B"/>
    <w:rsid w:val="00C246D0"/>
    <w:rsid w:val="00C24971"/>
    <w:rsid w:val="00C26805"/>
    <w:rsid w:val="00C26BE5"/>
    <w:rsid w:val="00C26E4D"/>
    <w:rsid w:val="00C27909"/>
    <w:rsid w:val="00C27B03"/>
    <w:rsid w:val="00C27E08"/>
    <w:rsid w:val="00C314E1"/>
    <w:rsid w:val="00C34397"/>
    <w:rsid w:val="00C4095D"/>
    <w:rsid w:val="00C47822"/>
    <w:rsid w:val="00C601D2"/>
    <w:rsid w:val="00C657AB"/>
    <w:rsid w:val="00C65BCC"/>
    <w:rsid w:val="00C66970"/>
    <w:rsid w:val="00C74B79"/>
    <w:rsid w:val="00C81B52"/>
    <w:rsid w:val="00C8691C"/>
    <w:rsid w:val="00C974E9"/>
    <w:rsid w:val="00CA168A"/>
    <w:rsid w:val="00CA357E"/>
    <w:rsid w:val="00CA44F9"/>
    <w:rsid w:val="00CA4A69"/>
    <w:rsid w:val="00CB090B"/>
    <w:rsid w:val="00CB3656"/>
    <w:rsid w:val="00CC1216"/>
    <w:rsid w:val="00CC3017"/>
    <w:rsid w:val="00CC3E0C"/>
    <w:rsid w:val="00CC58D3"/>
    <w:rsid w:val="00CC784D"/>
    <w:rsid w:val="00CD7395"/>
    <w:rsid w:val="00D023D5"/>
    <w:rsid w:val="00D0337B"/>
    <w:rsid w:val="00D04CBE"/>
    <w:rsid w:val="00D05745"/>
    <w:rsid w:val="00D079B2"/>
    <w:rsid w:val="00D114E9"/>
    <w:rsid w:val="00D15201"/>
    <w:rsid w:val="00D22070"/>
    <w:rsid w:val="00D23873"/>
    <w:rsid w:val="00D25110"/>
    <w:rsid w:val="00D32519"/>
    <w:rsid w:val="00D429C6"/>
    <w:rsid w:val="00D455EB"/>
    <w:rsid w:val="00D47748"/>
    <w:rsid w:val="00D54CC3"/>
    <w:rsid w:val="00D550FC"/>
    <w:rsid w:val="00D568FC"/>
    <w:rsid w:val="00D6041A"/>
    <w:rsid w:val="00D633EB"/>
    <w:rsid w:val="00D63C12"/>
    <w:rsid w:val="00D82FF7"/>
    <w:rsid w:val="00D847FE"/>
    <w:rsid w:val="00D964EA"/>
    <w:rsid w:val="00D966D0"/>
    <w:rsid w:val="00DA0C59"/>
    <w:rsid w:val="00DA0D4B"/>
    <w:rsid w:val="00DA36CA"/>
    <w:rsid w:val="00DA3991"/>
    <w:rsid w:val="00DA54D1"/>
    <w:rsid w:val="00DB2461"/>
    <w:rsid w:val="00DB7E6C"/>
    <w:rsid w:val="00DD0403"/>
    <w:rsid w:val="00DD5A29"/>
    <w:rsid w:val="00DD5D9D"/>
    <w:rsid w:val="00DE35CB"/>
    <w:rsid w:val="00DE7501"/>
    <w:rsid w:val="00DF21E9"/>
    <w:rsid w:val="00DF51E4"/>
    <w:rsid w:val="00E00F14"/>
    <w:rsid w:val="00E06386"/>
    <w:rsid w:val="00E226FC"/>
    <w:rsid w:val="00E22955"/>
    <w:rsid w:val="00E24EB4"/>
    <w:rsid w:val="00E320ED"/>
    <w:rsid w:val="00E33AFB"/>
    <w:rsid w:val="00E34218"/>
    <w:rsid w:val="00E34583"/>
    <w:rsid w:val="00E46282"/>
    <w:rsid w:val="00E5216E"/>
    <w:rsid w:val="00E621A1"/>
    <w:rsid w:val="00E8134D"/>
    <w:rsid w:val="00E82344"/>
    <w:rsid w:val="00E84C82"/>
    <w:rsid w:val="00E84D64"/>
    <w:rsid w:val="00E87408"/>
    <w:rsid w:val="00E914C4"/>
    <w:rsid w:val="00E934F5"/>
    <w:rsid w:val="00E96961"/>
    <w:rsid w:val="00EA72EC"/>
    <w:rsid w:val="00EB11CB"/>
    <w:rsid w:val="00EB275A"/>
    <w:rsid w:val="00EB786A"/>
    <w:rsid w:val="00EC0366"/>
    <w:rsid w:val="00EC1578"/>
    <w:rsid w:val="00EC1C72"/>
    <w:rsid w:val="00EC3CC9"/>
    <w:rsid w:val="00EC5F32"/>
    <w:rsid w:val="00EC680A"/>
    <w:rsid w:val="00EC7DB8"/>
    <w:rsid w:val="00ED7AB5"/>
    <w:rsid w:val="00EE2BED"/>
    <w:rsid w:val="00EE374B"/>
    <w:rsid w:val="00EE5116"/>
    <w:rsid w:val="00F06513"/>
    <w:rsid w:val="00F06FF3"/>
    <w:rsid w:val="00F11BB5"/>
    <w:rsid w:val="00F1417B"/>
    <w:rsid w:val="00F1539A"/>
    <w:rsid w:val="00F34B99"/>
    <w:rsid w:val="00F40125"/>
    <w:rsid w:val="00F43E3F"/>
    <w:rsid w:val="00F52DAB"/>
    <w:rsid w:val="00F543F0"/>
    <w:rsid w:val="00F568D7"/>
    <w:rsid w:val="00F63071"/>
    <w:rsid w:val="00F7098B"/>
    <w:rsid w:val="00F8198F"/>
    <w:rsid w:val="00F81D29"/>
    <w:rsid w:val="00F81EA0"/>
    <w:rsid w:val="00F91C4D"/>
    <w:rsid w:val="00F92FD9"/>
    <w:rsid w:val="00F934A7"/>
    <w:rsid w:val="00F97C26"/>
    <w:rsid w:val="00FA6684"/>
    <w:rsid w:val="00FA731E"/>
    <w:rsid w:val="00FB11A6"/>
    <w:rsid w:val="00FB2B38"/>
    <w:rsid w:val="00FB5628"/>
    <w:rsid w:val="00FB5A71"/>
    <w:rsid w:val="00FC2643"/>
    <w:rsid w:val="00FC3C2F"/>
    <w:rsid w:val="00FC6358"/>
    <w:rsid w:val="00FC79FB"/>
    <w:rsid w:val="00FD320D"/>
    <w:rsid w:val="00FE23DE"/>
    <w:rsid w:val="00FE727F"/>
    <w:rsid w:val="00FF086D"/>
    <w:rsid w:val="00FF5BDD"/>
    <w:rsid w:val="0845254C"/>
    <w:rsid w:val="0C47501F"/>
    <w:rsid w:val="2378337E"/>
    <w:rsid w:val="28406248"/>
    <w:rsid w:val="57C02669"/>
    <w:rsid w:val="61385EC9"/>
    <w:rsid w:val="6DE45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nhideWhenUsed="0" w:uiPriority="0" w:semiHidden="0" w:name="page number"/>
    <w:lsdException w:unhideWhenUsed="0" w:uiPriority="0" w:name="endnote reference"/>
    <w:lsdException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8"/>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15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62"/>
    <w:autoRedefine/>
    <w:qFormat/>
    <w:uiPriority w:val="0"/>
    <w:pPr>
      <w:keepNext/>
      <w:keepLines/>
      <w:spacing w:before="260" w:after="260" w:line="360" w:lineRule="auto"/>
      <w:ind w:firstLine="200" w:firstLineChars="200"/>
      <w:jc w:val="center"/>
      <w:outlineLvl w:val="2"/>
    </w:pPr>
    <w:rPr>
      <w:b/>
      <w:spacing w:val="20"/>
      <w:sz w:val="24"/>
      <w:szCs w:val="20"/>
    </w:rPr>
  </w:style>
  <w:style w:type="paragraph" w:styleId="5">
    <w:name w:val="heading 4"/>
    <w:basedOn w:val="1"/>
    <w:next w:val="1"/>
    <w:link w:val="163"/>
    <w:autoRedefine/>
    <w:qFormat/>
    <w:uiPriority w:val="0"/>
    <w:pPr>
      <w:keepNext/>
      <w:keepLines/>
      <w:spacing w:before="280" w:after="290" w:line="376" w:lineRule="atLeast"/>
      <w:ind w:firstLine="200" w:firstLineChars="200"/>
      <w:outlineLvl w:val="3"/>
    </w:pPr>
    <w:rPr>
      <w:rFonts w:ascii="Cambria" w:hAnsi="Cambria"/>
      <w:b/>
      <w:kern w:val="0"/>
      <w:sz w:val="28"/>
      <w:szCs w:val="20"/>
    </w:rPr>
  </w:style>
  <w:style w:type="paragraph" w:styleId="6">
    <w:name w:val="heading 5"/>
    <w:basedOn w:val="1"/>
    <w:next w:val="1"/>
    <w:link w:val="164"/>
    <w:autoRedefine/>
    <w:qFormat/>
    <w:uiPriority w:val="0"/>
    <w:pPr>
      <w:keepNext/>
      <w:keepLines/>
      <w:spacing w:before="280" w:after="290" w:line="376" w:lineRule="atLeast"/>
      <w:ind w:firstLine="200" w:firstLineChars="200"/>
      <w:outlineLvl w:val="4"/>
    </w:pPr>
    <w:rPr>
      <w:b/>
      <w:bCs/>
      <w:sz w:val="28"/>
      <w:szCs w:val="28"/>
    </w:rPr>
  </w:style>
  <w:style w:type="paragraph" w:styleId="7">
    <w:name w:val="heading 6"/>
    <w:basedOn w:val="1"/>
    <w:next w:val="1"/>
    <w:link w:val="165"/>
    <w:autoRedefine/>
    <w:qFormat/>
    <w:uiPriority w:val="0"/>
    <w:pPr>
      <w:keepNext/>
      <w:keepLines/>
      <w:spacing w:before="240" w:after="64" w:line="320" w:lineRule="auto"/>
      <w:ind w:firstLine="200" w:firstLineChars="200"/>
      <w:outlineLvl w:val="5"/>
    </w:pPr>
    <w:rPr>
      <w:rFonts w:ascii="Arial" w:hAnsi="Arial" w:eastAsia="黑体"/>
      <w:b/>
      <w:sz w:val="24"/>
      <w:szCs w:val="20"/>
    </w:rPr>
  </w:style>
  <w:style w:type="character" w:default="1" w:styleId="53">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styleId="8">
    <w:name w:val="toc 7"/>
    <w:basedOn w:val="1"/>
    <w:next w:val="1"/>
    <w:autoRedefine/>
    <w:qFormat/>
    <w:uiPriority w:val="39"/>
    <w:pPr>
      <w:tabs>
        <w:tab w:val="right" w:leader="dot" w:pos="9241"/>
      </w:tabs>
      <w:ind w:firstLine="505" w:firstLineChars="500"/>
      <w:jc w:val="left"/>
    </w:pPr>
    <w:rPr>
      <w:rFonts w:ascii="宋体"/>
      <w:szCs w:val="21"/>
    </w:rPr>
  </w:style>
  <w:style w:type="paragraph" w:styleId="9">
    <w:name w:val="index 8"/>
    <w:basedOn w:val="1"/>
    <w:next w:val="1"/>
    <w:autoRedefine/>
    <w:uiPriority w:val="0"/>
    <w:pPr>
      <w:ind w:left="1680" w:hanging="210"/>
      <w:jc w:val="left"/>
    </w:pPr>
    <w:rPr>
      <w:rFonts w:ascii="Calibri" w:hAnsi="Calibri"/>
      <w:sz w:val="20"/>
      <w:szCs w:val="20"/>
    </w:rPr>
  </w:style>
  <w:style w:type="paragraph" w:styleId="10">
    <w:name w:val="Normal Indent"/>
    <w:basedOn w:val="1"/>
    <w:autoRedefine/>
    <w:qFormat/>
    <w:uiPriority w:val="0"/>
    <w:pPr>
      <w:tabs>
        <w:tab w:val="left" w:pos="547"/>
        <w:tab w:val="left" w:pos="1080"/>
      </w:tabs>
      <w:spacing w:line="480" w:lineRule="atLeast"/>
      <w:ind w:firstLine="547" w:firstLineChars="200"/>
    </w:pPr>
  </w:style>
  <w:style w:type="paragraph" w:styleId="11">
    <w:name w:val="caption"/>
    <w:basedOn w:val="1"/>
    <w:next w:val="1"/>
    <w:qFormat/>
    <w:uiPriority w:val="35"/>
    <w:pPr>
      <w:spacing w:before="152" w:after="160"/>
    </w:pPr>
    <w:rPr>
      <w:rFonts w:ascii="Arial" w:hAnsi="Arial" w:eastAsia="黑体" w:cs="Arial"/>
      <w:sz w:val="20"/>
      <w:szCs w:val="20"/>
    </w:rPr>
  </w:style>
  <w:style w:type="paragraph" w:styleId="12">
    <w:name w:val="index 5"/>
    <w:basedOn w:val="1"/>
    <w:next w:val="1"/>
    <w:autoRedefine/>
    <w:qFormat/>
    <w:uiPriority w:val="0"/>
    <w:pPr>
      <w:ind w:left="1050" w:hanging="210"/>
      <w:jc w:val="left"/>
    </w:pPr>
    <w:rPr>
      <w:rFonts w:ascii="Calibri" w:hAnsi="Calibri"/>
      <w:sz w:val="20"/>
      <w:szCs w:val="20"/>
    </w:rPr>
  </w:style>
  <w:style w:type="paragraph" w:styleId="13">
    <w:name w:val="Document Map"/>
    <w:basedOn w:val="1"/>
    <w:link w:val="189"/>
    <w:uiPriority w:val="0"/>
    <w:pPr>
      <w:shd w:val="clear" w:color="auto" w:fill="000080"/>
    </w:pPr>
  </w:style>
  <w:style w:type="paragraph" w:styleId="14">
    <w:name w:val="annotation text"/>
    <w:basedOn w:val="1"/>
    <w:link w:val="190"/>
    <w:autoRedefine/>
    <w:unhideWhenUsed/>
    <w:qFormat/>
    <w:uiPriority w:val="99"/>
    <w:pPr>
      <w:spacing w:line="400" w:lineRule="exact"/>
      <w:ind w:firstLine="200" w:firstLineChars="200"/>
      <w:jc w:val="left"/>
    </w:pPr>
    <w:rPr>
      <w:rFonts w:cstheme="minorBidi"/>
      <w:szCs w:val="22"/>
    </w:rPr>
  </w:style>
  <w:style w:type="paragraph" w:styleId="15">
    <w:name w:val="index 6"/>
    <w:basedOn w:val="1"/>
    <w:next w:val="1"/>
    <w:autoRedefine/>
    <w:qFormat/>
    <w:uiPriority w:val="0"/>
    <w:pPr>
      <w:ind w:left="1260" w:hanging="210"/>
      <w:jc w:val="left"/>
    </w:pPr>
    <w:rPr>
      <w:rFonts w:ascii="Calibri" w:hAnsi="Calibri"/>
      <w:sz w:val="20"/>
      <w:szCs w:val="20"/>
    </w:rPr>
  </w:style>
  <w:style w:type="paragraph" w:styleId="16">
    <w:name w:val="Body Text 3"/>
    <w:basedOn w:val="1"/>
    <w:link w:val="191"/>
    <w:autoRedefine/>
    <w:qFormat/>
    <w:uiPriority w:val="0"/>
    <w:pPr>
      <w:spacing w:line="400" w:lineRule="exact"/>
      <w:ind w:firstLine="200" w:firstLineChars="200"/>
    </w:pPr>
    <w:rPr>
      <w:sz w:val="28"/>
      <w:szCs w:val="20"/>
    </w:rPr>
  </w:style>
  <w:style w:type="paragraph" w:styleId="17">
    <w:name w:val="Body Text"/>
    <w:basedOn w:val="1"/>
    <w:link w:val="178"/>
    <w:autoRedefine/>
    <w:qFormat/>
    <w:uiPriority w:val="0"/>
    <w:pPr>
      <w:framePr w:hSpace="180" w:wrap="around" w:vAnchor="text" w:hAnchor="margin" w:y="465"/>
      <w:adjustRightInd w:val="0"/>
      <w:snapToGrid w:val="0"/>
      <w:spacing w:line="400" w:lineRule="exact"/>
      <w:ind w:firstLine="200" w:firstLineChars="200"/>
      <w:jc w:val="center"/>
    </w:pPr>
    <w:rPr>
      <w:color w:val="0000FF"/>
      <w:sz w:val="28"/>
      <w:szCs w:val="20"/>
    </w:rPr>
  </w:style>
  <w:style w:type="paragraph" w:styleId="18">
    <w:name w:val="Body Text Indent"/>
    <w:basedOn w:val="1"/>
    <w:link w:val="192"/>
    <w:autoRedefine/>
    <w:qFormat/>
    <w:uiPriority w:val="0"/>
    <w:pPr>
      <w:spacing w:line="400" w:lineRule="atLeast"/>
      <w:ind w:firstLine="600" w:firstLineChars="250"/>
    </w:pPr>
    <w:rPr>
      <w:kern w:val="0"/>
      <w:sz w:val="24"/>
    </w:rPr>
  </w:style>
  <w:style w:type="paragraph" w:styleId="19">
    <w:name w:val="Block Text"/>
    <w:basedOn w:val="1"/>
    <w:autoRedefine/>
    <w:qFormat/>
    <w:uiPriority w:val="0"/>
    <w:pPr>
      <w:spacing w:line="360" w:lineRule="auto"/>
      <w:ind w:left="32" w:right="-43" w:firstLine="320" w:firstLineChars="200"/>
    </w:pPr>
    <w:rPr>
      <w:rFonts w:ascii="宋体"/>
      <w:sz w:val="24"/>
      <w:szCs w:val="20"/>
    </w:rPr>
  </w:style>
  <w:style w:type="paragraph" w:styleId="20">
    <w:name w:val="index 4"/>
    <w:basedOn w:val="1"/>
    <w:next w:val="1"/>
    <w:autoRedefine/>
    <w:qFormat/>
    <w:uiPriority w:val="0"/>
    <w:pPr>
      <w:ind w:left="840" w:hanging="210"/>
      <w:jc w:val="left"/>
    </w:pPr>
    <w:rPr>
      <w:rFonts w:ascii="Calibri" w:hAnsi="Calibri"/>
      <w:sz w:val="20"/>
      <w:szCs w:val="20"/>
    </w:rPr>
  </w:style>
  <w:style w:type="paragraph" w:styleId="21">
    <w:name w:val="toc 5"/>
    <w:basedOn w:val="1"/>
    <w:next w:val="1"/>
    <w:autoRedefine/>
    <w:qFormat/>
    <w:uiPriority w:val="39"/>
    <w:pPr>
      <w:tabs>
        <w:tab w:val="right" w:leader="dot" w:pos="9241"/>
      </w:tabs>
      <w:ind w:firstLine="300" w:firstLineChars="300"/>
      <w:jc w:val="left"/>
    </w:pPr>
    <w:rPr>
      <w:rFonts w:ascii="宋体"/>
      <w:szCs w:val="21"/>
    </w:rPr>
  </w:style>
  <w:style w:type="paragraph" w:styleId="22">
    <w:name w:val="toc 3"/>
    <w:basedOn w:val="1"/>
    <w:next w:val="1"/>
    <w:autoRedefine/>
    <w:qFormat/>
    <w:uiPriority w:val="39"/>
    <w:pPr>
      <w:tabs>
        <w:tab w:val="right" w:leader="dot" w:pos="9241"/>
      </w:tabs>
      <w:ind w:firstLine="102" w:firstLineChars="100"/>
      <w:jc w:val="left"/>
    </w:pPr>
    <w:rPr>
      <w:rFonts w:ascii="宋体"/>
      <w:szCs w:val="21"/>
    </w:rPr>
  </w:style>
  <w:style w:type="paragraph" w:styleId="23">
    <w:name w:val="Plain Text"/>
    <w:basedOn w:val="1"/>
    <w:link w:val="193"/>
    <w:autoRedefine/>
    <w:qFormat/>
    <w:uiPriority w:val="0"/>
    <w:pPr>
      <w:spacing w:line="400" w:lineRule="exact"/>
      <w:ind w:firstLine="200" w:firstLineChars="200"/>
    </w:pPr>
    <w:rPr>
      <w:szCs w:val="20"/>
    </w:rPr>
  </w:style>
  <w:style w:type="paragraph" w:styleId="24">
    <w:name w:val="toc 8"/>
    <w:basedOn w:val="1"/>
    <w:next w:val="1"/>
    <w:autoRedefine/>
    <w:qFormat/>
    <w:uiPriority w:val="39"/>
    <w:pPr>
      <w:tabs>
        <w:tab w:val="right" w:leader="dot" w:pos="9241"/>
      </w:tabs>
      <w:ind w:firstLine="607" w:firstLineChars="600"/>
      <w:jc w:val="left"/>
    </w:pPr>
    <w:rPr>
      <w:rFonts w:ascii="宋体"/>
      <w:szCs w:val="21"/>
    </w:rPr>
  </w:style>
  <w:style w:type="paragraph" w:styleId="25">
    <w:name w:val="index 3"/>
    <w:basedOn w:val="1"/>
    <w:next w:val="1"/>
    <w:autoRedefine/>
    <w:qFormat/>
    <w:uiPriority w:val="0"/>
    <w:pPr>
      <w:ind w:left="630" w:hanging="210"/>
      <w:jc w:val="left"/>
    </w:pPr>
    <w:rPr>
      <w:rFonts w:ascii="Calibri" w:hAnsi="Calibri"/>
      <w:sz w:val="20"/>
      <w:szCs w:val="20"/>
    </w:rPr>
  </w:style>
  <w:style w:type="paragraph" w:styleId="26">
    <w:name w:val="Date"/>
    <w:basedOn w:val="1"/>
    <w:next w:val="1"/>
    <w:link w:val="170"/>
    <w:autoRedefine/>
    <w:unhideWhenUsed/>
    <w:qFormat/>
    <w:uiPriority w:val="0"/>
    <w:pPr>
      <w:ind w:left="100" w:leftChars="2500"/>
    </w:pPr>
    <w:rPr>
      <w:rFonts w:asciiTheme="minorHAnsi" w:hAnsiTheme="minorHAnsi" w:eastAsiaTheme="minorEastAsia" w:cstheme="minorBidi"/>
      <w:szCs w:val="22"/>
    </w:rPr>
  </w:style>
  <w:style w:type="paragraph" w:styleId="27">
    <w:name w:val="Body Text Indent 2"/>
    <w:basedOn w:val="1"/>
    <w:link w:val="194"/>
    <w:autoRedefine/>
    <w:qFormat/>
    <w:uiPriority w:val="0"/>
    <w:pPr>
      <w:spacing w:line="400" w:lineRule="exact"/>
      <w:ind w:firstLine="480" w:firstLineChars="200"/>
    </w:pPr>
    <w:rPr>
      <w:szCs w:val="20"/>
    </w:rPr>
  </w:style>
  <w:style w:type="paragraph" w:styleId="28">
    <w:name w:val="endnote text"/>
    <w:basedOn w:val="1"/>
    <w:semiHidden/>
    <w:uiPriority w:val="0"/>
    <w:pPr>
      <w:snapToGrid w:val="0"/>
      <w:jc w:val="left"/>
    </w:pPr>
  </w:style>
  <w:style w:type="paragraph" w:styleId="29">
    <w:name w:val="Balloon Text"/>
    <w:basedOn w:val="1"/>
    <w:link w:val="195"/>
    <w:autoRedefine/>
    <w:unhideWhenUsed/>
    <w:qFormat/>
    <w:uiPriority w:val="99"/>
    <w:pPr>
      <w:spacing w:line="400" w:lineRule="exact"/>
      <w:ind w:firstLine="200" w:firstLineChars="200"/>
    </w:pPr>
    <w:rPr>
      <w:rFonts w:cstheme="minorBidi"/>
      <w:sz w:val="18"/>
      <w:szCs w:val="18"/>
    </w:rPr>
  </w:style>
  <w:style w:type="paragraph" w:styleId="30">
    <w:name w:val="footer"/>
    <w:basedOn w:val="1"/>
    <w:link w:val="167"/>
    <w:autoRedefine/>
    <w:qFormat/>
    <w:uiPriority w:val="99"/>
    <w:pPr>
      <w:snapToGrid w:val="0"/>
      <w:ind w:right="210" w:rightChars="100"/>
      <w:jc w:val="right"/>
    </w:pPr>
    <w:rPr>
      <w:sz w:val="18"/>
      <w:szCs w:val="18"/>
    </w:rPr>
  </w:style>
  <w:style w:type="paragraph" w:styleId="31">
    <w:name w:val="header"/>
    <w:basedOn w:val="1"/>
    <w:link w:val="166"/>
    <w:autoRedefine/>
    <w:qFormat/>
    <w:uiPriority w:val="99"/>
    <w:pPr>
      <w:snapToGrid w:val="0"/>
      <w:jc w:val="left"/>
    </w:pPr>
    <w:rPr>
      <w:sz w:val="18"/>
      <w:szCs w:val="18"/>
    </w:rPr>
  </w:style>
  <w:style w:type="paragraph" w:styleId="32">
    <w:name w:val="toc 1"/>
    <w:basedOn w:val="1"/>
    <w:next w:val="1"/>
    <w:autoRedefine/>
    <w:qFormat/>
    <w:uiPriority w:val="39"/>
    <w:pPr>
      <w:tabs>
        <w:tab w:val="right" w:leader="dot" w:pos="9241"/>
      </w:tabs>
      <w:spacing w:beforeLines="25" w:afterLines="25"/>
      <w:jc w:val="left"/>
    </w:pPr>
    <w:rPr>
      <w:rFonts w:ascii="宋体"/>
      <w:szCs w:val="21"/>
    </w:rPr>
  </w:style>
  <w:style w:type="paragraph" w:styleId="33">
    <w:name w:val="toc 4"/>
    <w:basedOn w:val="1"/>
    <w:next w:val="1"/>
    <w:autoRedefine/>
    <w:qFormat/>
    <w:uiPriority w:val="39"/>
    <w:pPr>
      <w:tabs>
        <w:tab w:val="right" w:leader="dot" w:pos="9241"/>
      </w:tabs>
      <w:ind w:firstLine="198" w:firstLineChars="200"/>
      <w:jc w:val="left"/>
    </w:pPr>
    <w:rPr>
      <w:rFonts w:ascii="宋体"/>
      <w:szCs w:val="21"/>
    </w:rPr>
  </w:style>
  <w:style w:type="paragraph" w:styleId="34">
    <w:name w:val="index heading"/>
    <w:basedOn w:val="1"/>
    <w:next w:val="35"/>
    <w:uiPriority w:val="0"/>
    <w:pPr>
      <w:spacing w:before="120" w:after="120"/>
      <w:jc w:val="center"/>
    </w:pPr>
    <w:rPr>
      <w:rFonts w:ascii="Calibri" w:hAnsi="Calibri"/>
      <w:b/>
      <w:bCs/>
      <w:iCs/>
      <w:szCs w:val="20"/>
    </w:rPr>
  </w:style>
  <w:style w:type="paragraph" w:styleId="35">
    <w:name w:val="index 1"/>
    <w:basedOn w:val="1"/>
    <w:next w:val="36"/>
    <w:autoRedefine/>
    <w:qFormat/>
    <w:uiPriority w:val="0"/>
    <w:pPr>
      <w:tabs>
        <w:tab w:val="right" w:leader="dot" w:pos="9299"/>
      </w:tabs>
      <w:jc w:val="left"/>
    </w:pPr>
    <w:rPr>
      <w:rFonts w:ascii="宋体"/>
      <w:szCs w:val="21"/>
    </w:rPr>
  </w:style>
  <w:style w:type="paragraph" w:customStyle="1" w:styleId="36">
    <w:name w:val="段"/>
    <w:link w:val="62"/>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37">
    <w:name w:val="Subtitle"/>
    <w:basedOn w:val="1"/>
    <w:next w:val="1"/>
    <w:link w:val="196"/>
    <w:autoRedefine/>
    <w:qFormat/>
    <w:uiPriority w:val="0"/>
    <w:pPr>
      <w:spacing w:before="240" w:after="60" w:line="312" w:lineRule="auto"/>
      <w:ind w:firstLine="200" w:firstLineChars="200"/>
      <w:jc w:val="center"/>
      <w:outlineLvl w:val="1"/>
    </w:pPr>
    <w:rPr>
      <w:rFonts w:ascii="Cambria" w:hAnsi="Cambria"/>
      <w:b/>
      <w:kern w:val="28"/>
      <w:sz w:val="32"/>
      <w:szCs w:val="20"/>
    </w:rPr>
  </w:style>
  <w:style w:type="paragraph" w:styleId="38">
    <w:name w:val="footnote text"/>
    <w:basedOn w:val="1"/>
    <w:autoRedefine/>
    <w:qFormat/>
    <w:uiPriority w:val="0"/>
    <w:pPr>
      <w:numPr>
        <w:ilvl w:val="0"/>
        <w:numId w:val="1"/>
      </w:numPr>
      <w:snapToGrid w:val="0"/>
      <w:jc w:val="left"/>
    </w:pPr>
    <w:rPr>
      <w:rFonts w:ascii="宋体"/>
      <w:sz w:val="18"/>
      <w:szCs w:val="18"/>
    </w:rPr>
  </w:style>
  <w:style w:type="paragraph" w:styleId="39">
    <w:name w:val="toc 6"/>
    <w:basedOn w:val="1"/>
    <w:next w:val="1"/>
    <w:autoRedefine/>
    <w:qFormat/>
    <w:uiPriority w:val="39"/>
    <w:pPr>
      <w:tabs>
        <w:tab w:val="right" w:leader="dot" w:pos="9241"/>
      </w:tabs>
      <w:ind w:firstLine="403" w:firstLineChars="400"/>
      <w:jc w:val="left"/>
    </w:pPr>
    <w:rPr>
      <w:rFonts w:ascii="宋体"/>
      <w:szCs w:val="21"/>
    </w:rPr>
  </w:style>
  <w:style w:type="paragraph" w:styleId="40">
    <w:name w:val="Body Text Indent 3"/>
    <w:basedOn w:val="1"/>
    <w:link w:val="197"/>
    <w:qFormat/>
    <w:uiPriority w:val="0"/>
    <w:pPr>
      <w:spacing w:line="400" w:lineRule="exact"/>
      <w:ind w:firstLine="435" w:firstLineChars="200"/>
      <w:outlineLvl w:val="0"/>
    </w:pPr>
    <w:rPr>
      <w:szCs w:val="20"/>
    </w:rPr>
  </w:style>
  <w:style w:type="paragraph" w:styleId="41">
    <w:name w:val="index 7"/>
    <w:basedOn w:val="1"/>
    <w:next w:val="1"/>
    <w:autoRedefine/>
    <w:uiPriority w:val="0"/>
    <w:pPr>
      <w:ind w:left="1470" w:hanging="210"/>
      <w:jc w:val="left"/>
    </w:pPr>
    <w:rPr>
      <w:rFonts w:ascii="Calibri" w:hAnsi="Calibri"/>
      <w:sz w:val="20"/>
      <w:szCs w:val="20"/>
    </w:rPr>
  </w:style>
  <w:style w:type="paragraph" w:styleId="42">
    <w:name w:val="index 9"/>
    <w:basedOn w:val="1"/>
    <w:next w:val="1"/>
    <w:autoRedefine/>
    <w:uiPriority w:val="0"/>
    <w:pPr>
      <w:ind w:left="1890" w:hanging="210"/>
      <w:jc w:val="left"/>
    </w:pPr>
    <w:rPr>
      <w:rFonts w:ascii="Calibri" w:hAnsi="Calibri"/>
      <w:sz w:val="20"/>
      <w:szCs w:val="20"/>
    </w:rPr>
  </w:style>
  <w:style w:type="paragraph" w:styleId="43">
    <w:name w:val="toc 2"/>
    <w:basedOn w:val="1"/>
    <w:next w:val="1"/>
    <w:autoRedefine/>
    <w:qFormat/>
    <w:uiPriority w:val="39"/>
    <w:pPr>
      <w:tabs>
        <w:tab w:val="right" w:leader="dot" w:pos="9241"/>
      </w:tabs>
    </w:pPr>
    <w:rPr>
      <w:rFonts w:ascii="宋体"/>
      <w:szCs w:val="21"/>
    </w:rPr>
  </w:style>
  <w:style w:type="paragraph" w:styleId="44">
    <w:name w:val="toc 9"/>
    <w:basedOn w:val="1"/>
    <w:next w:val="1"/>
    <w:autoRedefine/>
    <w:qFormat/>
    <w:uiPriority w:val="39"/>
    <w:pPr>
      <w:ind w:left="1470"/>
      <w:jc w:val="left"/>
    </w:pPr>
    <w:rPr>
      <w:sz w:val="20"/>
      <w:szCs w:val="20"/>
    </w:rPr>
  </w:style>
  <w:style w:type="paragraph" w:styleId="45">
    <w:name w:val="Body Text 2"/>
    <w:basedOn w:val="1"/>
    <w:link w:val="198"/>
    <w:autoRedefine/>
    <w:qFormat/>
    <w:uiPriority w:val="0"/>
    <w:pPr>
      <w:widowControl/>
      <w:spacing w:line="400" w:lineRule="exact"/>
      <w:ind w:firstLine="200" w:firstLineChars="200"/>
      <w:jc w:val="center"/>
    </w:pPr>
    <w:rPr>
      <w:sz w:val="18"/>
      <w:szCs w:val="20"/>
    </w:rPr>
  </w:style>
  <w:style w:type="paragraph" w:styleId="46">
    <w:name w:val="Normal (Web)"/>
    <w:basedOn w:val="1"/>
    <w:link w:val="214"/>
    <w:unhideWhenUsed/>
    <w:qFormat/>
    <w:uiPriority w:val="99"/>
    <w:pPr>
      <w:widowControl/>
      <w:spacing w:before="100" w:beforeAutospacing="1" w:after="100" w:afterAutospacing="1" w:line="400" w:lineRule="exact"/>
      <w:ind w:firstLine="200" w:firstLineChars="200"/>
      <w:jc w:val="left"/>
    </w:pPr>
    <w:rPr>
      <w:rFonts w:ascii="宋体" w:hAnsi="宋体" w:cs="宋体"/>
      <w:kern w:val="0"/>
      <w:sz w:val="24"/>
    </w:rPr>
  </w:style>
  <w:style w:type="paragraph" w:styleId="47">
    <w:name w:val="index 2"/>
    <w:basedOn w:val="1"/>
    <w:next w:val="1"/>
    <w:autoRedefine/>
    <w:qFormat/>
    <w:uiPriority w:val="0"/>
    <w:pPr>
      <w:ind w:left="420" w:hanging="210"/>
      <w:jc w:val="left"/>
    </w:pPr>
    <w:rPr>
      <w:rFonts w:ascii="Calibri" w:hAnsi="Calibri"/>
      <w:sz w:val="20"/>
      <w:szCs w:val="20"/>
    </w:rPr>
  </w:style>
  <w:style w:type="paragraph" w:styleId="48">
    <w:name w:val="Title"/>
    <w:basedOn w:val="1"/>
    <w:next w:val="1"/>
    <w:link w:val="199"/>
    <w:autoRedefine/>
    <w:qFormat/>
    <w:uiPriority w:val="0"/>
    <w:pPr>
      <w:spacing w:before="240" w:after="60" w:line="400" w:lineRule="exact"/>
      <w:ind w:firstLine="200" w:firstLineChars="200"/>
      <w:jc w:val="center"/>
      <w:outlineLvl w:val="0"/>
    </w:pPr>
    <w:rPr>
      <w:rFonts w:ascii="宋体" w:hAnsi="宋体"/>
      <w:b/>
      <w:kern w:val="0"/>
      <w:sz w:val="24"/>
      <w:szCs w:val="20"/>
    </w:rPr>
  </w:style>
  <w:style w:type="paragraph" w:styleId="49">
    <w:name w:val="annotation subject"/>
    <w:basedOn w:val="14"/>
    <w:next w:val="14"/>
    <w:link w:val="200"/>
    <w:autoRedefine/>
    <w:unhideWhenUsed/>
    <w:qFormat/>
    <w:uiPriority w:val="0"/>
    <w:rPr>
      <w:b/>
      <w:bCs/>
    </w:rPr>
  </w:style>
  <w:style w:type="table" w:styleId="51">
    <w:name w:val="Table Grid"/>
    <w:basedOn w:val="50"/>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52">
    <w:name w:val="Medium Grid 3 Accent 5"/>
    <w:basedOn w:val="50"/>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character" w:styleId="54">
    <w:name w:val="Strong"/>
    <w:autoRedefine/>
    <w:qFormat/>
    <w:uiPriority w:val="0"/>
    <w:rPr>
      <w:b/>
      <w:bCs/>
    </w:rPr>
  </w:style>
  <w:style w:type="character" w:styleId="55">
    <w:name w:val="endnote reference"/>
    <w:basedOn w:val="53"/>
    <w:semiHidden/>
    <w:uiPriority w:val="0"/>
    <w:rPr>
      <w:vertAlign w:val="superscript"/>
    </w:rPr>
  </w:style>
  <w:style w:type="character" w:styleId="56">
    <w:name w:val="page number"/>
    <w:basedOn w:val="53"/>
    <w:uiPriority w:val="0"/>
    <w:rPr>
      <w:rFonts w:ascii="Times New Roman" w:hAnsi="Times New Roman" w:eastAsia="宋体"/>
      <w:sz w:val="18"/>
    </w:rPr>
  </w:style>
  <w:style w:type="character" w:styleId="57">
    <w:name w:val="FollowedHyperlink"/>
    <w:basedOn w:val="53"/>
    <w:uiPriority w:val="99"/>
    <w:rPr>
      <w:color w:val="800080"/>
      <w:u w:val="single"/>
    </w:rPr>
  </w:style>
  <w:style w:type="character" w:styleId="58">
    <w:name w:val="Emphasis"/>
    <w:autoRedefine/>
    <w:qFormat/>
    <w:uiPriority w:val="0"/>
    <w:rPr>
      <w:rFonts w:cs="Times New Roman"/>
      <w:i/>
    </w:rPr>
  </w:style>
  <w:style w:type="character" w:styleId="59">
    <w:name w:val="Hyperlink"/>
    <w:basedOn w:val="53"/>
    <w:qFormat/>
    <w:uiPriority w:val="99"/>
    <w:rPr>
      <w:color w:val="0000FF"/>
      <w:spacing w:val="0"/>
      <w:w w:val="100"/>
      <w:szCs w:val="21"/>
      <w:u w:val="single"/>
    </w:rPr>
  </w:style>
  <w:style w:type="character" w:styleId="60">
    <w:name w:val="annotation reference"/>
    <w:basedOn w:val="53"/>
    <w:autoRedefine/>
    <w:unhideWhenUsed/>
    <w:qFormat/>
    <w:uiPriority w:val="99"/>
    <w:rPr>
      <w:sz w:val="21"/>
      <w:szCs w:val="21"/>
    </w:rPr>
  </w:style>
  <w:style w:type="character" w:styleId="61">
    <w:name w:val="footnote reference"/>
    <w:basedOn w:val="53"/>
    <w:autoRedefine/>
    <w:semiHidden/>
    <w:qFormat/>
    <w:uiPriority w:val="0"/>
    <w:rPr>
      <w:vertAlign w:val="superscript"/>
    </w:rPr>
  </w:style>
  <w:style w:type="character" w:customStyle="1" w:styleId="62">
    <w:name w:val="段 Char"/>
    <w:basedOn w:val="53"/>
    <w:link w:val="36"/>
    <w:qFormat/>
    <w:uiPriority w:val="0"/>
    <w:rPr>
      <w:rFonts w:ascii="宋体"/>
      <w:sz w:val="21"/>
      <w:lang w:val="en-US" w:eastAsia="zh-CN" w:bidi="ar-SA"/>
    </w:rPr>
  </w:style>
  <w:style w:type="paragraph" w:customStyle="1" w:styleId="63">
    <w:name w:val="一级条标题"/>
    <w:next w:val="36"/>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64">
    <w:name w:val="标准书脚_奇数页"/>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65">
    <w:name w:val="标准书眉_奇数页"/>
    <w:next w:val="1"/>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6">
    <w:name w:val="章标题"/>
    <w:next w:val="36"/>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67">
    <w:name w:val="二级条标题"/>
    <w:basedOn w:val="63"/>
    <w:next w:val="36"/>
    <w:uiPriority w:val="0"/>
    <w:pPr>
      <w:numPr>
        <w:ilvl w:val="2"/>
      </w:numPr>
      <w:spacing w:before="50" w:after="50"/>
      <w:outlineLvl w:val="3"/>
    </w:pPr>
  </w:style>
  <w:style w:type="paragraph" w:customStyle="1" w:styleId="68">
    <w:name w:val="封面标准号2"/>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69">
    <w:name w:val="列项——（一级）"/>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70">
    <w:name w:val="列项●（二级）"/>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71">
    <w:name w:val="目次、标准名称标题"/>
    <w:basedOn w:val="1"/>
    <w:next w:val="36"/>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72">
    <w:name w:val="三级条标题"/>
    <w:basedOn w:val="67"/>
    <w:next w:val="36"/>
    <w:autoRedefine/>
    <w:qFormat/>
    <w:uiPriority w:val="0"/>
    <w:pPr>
      <w:numPr>
        <w:ilvl w:val="3"/>
      </w:numPr>
      <w:outlineLvl w:val="4"/>
    </w:pPr>
  </w:style>
  <w:style w:type="paragraph" w:customStyle="1" w:styleId="73">
    <w:name w:val="示例"/>
    <w:next w:val="74"/>
    <w:autoRedefine/>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74">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75">
    <w:name w:val="数字编号列项（二级）"/>
    <w:uiPriority w:val="0"/>
    <w:pPr>
      <w:numPr>
        <w:ilvl w:val="1"/>
        <w:numId w:val="4"/>
      </w:numPr>
      <w:jc w:val="both"/>
    </w:pPr>
    <w:rPr>
      <w:rFonts w:ascii="宋体" w:hAnsi="Times New Roman" w:eastAsia="宋体" w:cs="Times New Roman"/>
      <w:sz w:val="21"/>
      <w:lang w:val="en-US" w:eastAsia="zh-CN" w:bidi="ar-SA"/>
    </w:rPr>
  </w:style>
  <w:style w:type="paragraph" w:customStyle="1" w:styleId="76">
    <w:name w:val="四级条标题"/>
    <w:basedOn w:val="72"/>
    <w:next w:val="36"/>
    <w:autoRedefine/>
    <w:qFormat/>
    <w:uiPriority w:val="0"/>
    <w:pPr>
      <w:numPr>
        <w:ilvl w:val="4"/>
      </w:numPr>
      <w:outlineLvl w:val="5"/>
    </w:pPr>
  </w:style>
  <w:style w:type="paragraph" w:customStyle="1" w:styleId="77">
    <w:name w:val="五级条标题"/>
    <w:basedOn w:val="76"/>
    <w:next w:val="36"/>
    <w:uiPriority w:val="0"/>
    <w:pPr>
      <w:numPr>
        <w:ilvl w:val="5"/>
      </w:numPr>
      <w:outlineLvl w:val="6"/>
    </w:pPr>
  </w:style>
  <w:style w:type="paragraph" w:customStyle="1" w:styleId="78">
    <w:name w:val="注："/>
    <w:next w:val="36"/>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79">
    <w:name w:val="注×："/>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80">
    <w:name w:val="字母编号列项（一级）"/>
    <w:autoRedefine/>
    <w:uiPriority w:val="0"/>
    <w:pPr>
      <w:numPr>
        <w:ilvl w:val="0"/>
        <w:numId w:val="4"/>
      </w:numPr>
      <w:jc w:val="both"/>
    </w:pPr>
    <w:rPr>
      <w:rFonts w:ascii="宋体" w:hAnsi="Times New Roman" w:eastAsia="宋体" w:cs="Times New Roman"/>
      <w:sz w:val="21"/>
      <w:lang w:val="en-US" w:eastAsia="zh-CN" w:bidi="ar-SA"/>
    </w:rPr>
  </w:style>
  <w:style w:type="paragraph" w:customStyle="1" w:styleId="81">
    <w:name w:val="列项◆（三级）"/>
    <w:basedOn w:val="1"/>
    <w:autoRedefine/>
    <w:qFormat/>
    <w:uiPriority w:val="0"/>
    <w:pPr>
      <w:numPr>
        <w:ilvl w:val="2"/>
        <w:numId w:val="3"/>
      </w:numPr>
    </w:pPr>
    <w:rPr>
      <w:rFonts w:ascii="宋体"/>
      <w:szCs w:val="21"/>
    </w:rPr>
  </w:style>
  <w:style w:type="paragraph" w:customStyle="1" w:styleId="82">
    <w:name w:val="编号列项（三级）"/>
    <w:autoRedefine/>
    <w:qFormat/>
    <w:uiPriority w:val="0"/>
    <w:pPr>
      <w:numPr>
        <w:ilvl w:val="2"/>
        <w:numId w:val="4"/>
      </w:numPr>
    </w:pPr>
    <w:rPr>
      <w:rFonts w:ascii="宋体" w:hAnsi="Times New Roman" w:eastAsia="宋体" w:cs="Times New Roman"/>
      <w:sz w:val="21"/>
      <w:lang w:val="en-US" w:eastAsia="zh-CN" w:bidi="ar-SA"/>
    </w:rPr>
  </w:style>
  <w:style w:type="paragraph" w:customStyle="1" w:styleId="83">
    <w:name w:val="示例×："/>
    <w:basedOn w:val="66"/>
    <w:autoRedefine/>
    <w:qFormat/>
    <w:uiPriority w:val="0"/>
    <w:pPr>
      <w:numPr>
        <w:numId w:val="0"/>
      </w:numPr>
      <w:spacing w:beforeLines="0" w:afterLines="0"/>
      <w:ind w:firstLine="363"/>
      <w:outlineLvl w:val="9"/>
    </w:pPr>
    <w:rPr>
      <w:rFonts w:ascii="宋体" w:eastAsia="宋体"/>
      <w:sz w:val="18"/>
      <w:szCs w:val="18"/>
    </w:rPr>
  </w:style>
  <w:style w:type="paragraph" w:customStyle="1" w:styleId="84">
    <w:name w:val="二级无"/>
    <w:basedOn w:val="67"/>
    <w:autoRedefine/>
    <w:qFormat/>
    <w:uiPriority w:val="0"/>
    <w:pPr>
      <w:spacing w:beforeLines="0" w:afterLines="0"/>
    </w:pPr>
    <w:rPr>
      <w:rFonts w:ascii="宋体" w:eastAsia="宋体"/>
    </w:rPr>
  </w:style>
  <w:style w:type="paragraph" w:customStyle="1" w:styleId="85">
    <w:name w:val="注：（正文）"/>
    <w:basedOn w:val="78"/>
    <w:next w:val="36"/>
    <w:uiPriority w:val="0"/>
  </w:style>
  <w:style w:type="paragraph" w:customStyle="1" w:styleId="86">
    <w:name w:val="注×：（正文）"/>
    <w:qFormat/>
    <w:uiPriority w:val="0"/>
    <w:pPr>
      <w:numPr>
        <w:ilvl w:val="0"/>
        <w:numId w:val="5"/>
      </w:numPr>
      <w:jc w:val="both"/>
    </w:pPr>
    <w:rPr>
      <w:rFonts w:ascii="宋体" w:hAnsi="Times New Roman" w:eastAsia="宋体" w:cs="Times New Roman"/>
      <w:sz w:val="18"/>
      <w:szCs w:val="18"/>
      <w:lang w:val="en-US" w:eastAsia="zh-CN" w:bidi="ar-SA"/>
    </w:rPr>
  </w:style>
  <w:style w:type="paragraph" w:customStyle="1" w:styleId="87">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88">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89">
    <w:name w:val="标准书脚_偶数页"/>
    <w:uiPriority w:val="0"/>
    <w:pPr>
      <w:spacing w:before="120"/>
      <w:ind w:left="221"/>
    </w:pPr>
    <w:rPr>
      <w:rFonts w:ascii="宋体" w:hAnsi="Times New Roman" w:eastAsia="宋体" w:cs="Times New Roman"/>
      <w:sz w:val="18"/>
      <w:szCs w:val="18"/>
      <w:lang w:val="en-US" w:eastAsia="zh-CN" w:bidi="ar-SA"/>
    </w:rPr>
  </w:style>
  <w:style w:type="paragraph" w:customStyle="1" w:styleId="90">
    <w:name w:val="标准书眉_偶数页"/>
    <w:basedOn w:val="65"/>
    <w:next w:val="1"/>
    <w:autoRedefine/>
    <w:qFormat/>
    <w:uiPriority w:val="0"/>
    <w:pPr>
      <w:jc w:val="left"/>
    </w:pPr>
  </w:style>
  <w:style w:type="paragraph" w:customStyle="1" w:styleId="91">
    <w:name w:val="标准书眉一"/>
    <w:uiPriority w:val="0"/>
    <w:pPr>
      <w:jc w:val="both"/>
    </w:pPr>
    <w:rPr>
      <w:rFonts w:ascii="Times New Roman" w:hAnsi="Times New Roman" w:eastAsia="宋体" w:cs="Times New Roman"/>
      <w:lang w:val="en-US" w:eastAsia="zh-CN" w:bidi="ar-SA"/>
    </w:rPr>
  </w:style>
  <w:style w:type="paragraph" w:customStyle="1" w:styleId="92">
    <w:name w:val="参考文献"/>
    <w:basedOn w:val="1"/>
    <w:next w:val="36"/>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93">
    <w:name w:val="参考文献、索引标题"/>
    <w:basedOn w:val="1"/>
    <w:next w:val="36"/>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94">
    <w:name w:val="发布"/>
    <w:basedOn w:val="53"/>
    <w:autoRedefine/>
    <w:qFormat/>
    <w:uiPriority w:val="0"/>
    <w:rPr>
      <w:rFonts w:ascii="黑体" w:eastAsia="黑体"/>
      <w:spacing w:val="85"/>
      <w:w w:val="100"/>
      <w:position w:val="3"/>
      <w:sz w:val="28"/>
      <w:szCs w:val="28"/>
    </w:rPr>
  </w:style>
  <w:style w:type="paragraph" w:customStyle="1" w:styleId="95">
    <w:name w:val="发布部门"/>
    <w:next w:val="36"/>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96">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7">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98">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99">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00">
    <w:name w:val="封面标准英文名称"/>
    <w:basedOn w:val="99"/>
    <w:autoRedefine/>
    <w:qFormat/>
    <w:uiPriority w:val="0"/>
    <w:pPr>
      <w:framePr w:wrap="around"/>
      <w:spacing w:before="370" w:line="400" w:lineRule="exact"/>
    </w:pPr>
    <w:rPr>
      <w:rFonts w:ascii="Times New Roman"/>
      <w:sz w:val="28"/>
      <w:szCs w:val="28"/>
    </w:rPr>
  </w:style>
  <w:style w:type="paragraph" w:customStyle="1" w:styleId="101">
    <w:name w:val="封面一致性程度标识"/>
    <w:basedOn w:val="100"/>
    <w:autoRedefine/>
    <w:qFormat/>
    <w:uiPriority w:val="0"/>
    <w:pPr>
      <w:framePr w:wrap="around"/>
      <w:spacing w:before="440"/>
    </w:pPr>
    <w:rPr>
      <w:rFonts w:ascii="宋体" w:eastAsia="宋体"/>
    </w:rPr>
  </w:style>
  <w:style w:type="paragraph" w:customStyle="1" w:styleId="102">
    <w:name w:val="封面标准文稿类别"/>
    <w:basedOn w:val="101"/>
    <w:autoRedefine/>
    <w:qFormat/>
    <w:uiPriority w:val="0"/>
    <w:pPr>
      <w:framePr w:wrap="around"/>
      <w:spacing w:after="160" w:line="240" w:lineRule="auto"/>
    </w:pPr>
    <w:rPr>
      <w:sz w:val="24"/>
    </w:rPr>
  </w:style>
  <w:style w:type="paragraph" w:customStyle="1" w:styleId="103">
    <w:name w:val="封面标准文稿编辑信息"/>
    <w:basedOn w:val="102"/>
    <w:autoRedefine/>
    <w:qFormat/>
    <w:uiPriority w:val="0"/>
    <w:pPr>
      <w:framePr w:wrap="around"/>
      <w:spacing w:before="180" w:line="180" w:lineRule="exact"/>
    </w:pPr>
    <w:rPr>
      <w:sz w:val="21"/>
    </w:rPr>
  </w:style>
  <w:style w:type="paragraph" w:customStyle="1" w:styleId="104">
    <w:name w:val="封面正文"/>
    <w:autoRedefine/>
    <w:qFormat/>
    <w:uiPriority w:val="0"/>
    <w:pPr>
      <w:jc w:val="both"/>
    </w:pPr>
    <w:rPr>
      <w:rFonts w:ascii="Times New Roman" w:hAnsi="Times New Roman" w:eastAsia="宋体" w:cs="Times New Roman"/>
      <w:lang w:val="en-US" w:eastAsia="zh-CN" w:bidi="ar-SA"/>
    </w:rPr>
  </w:style>
  <w:style w:type="paragraph" w:customStyle="1" w:styleId="105">
    <w:name w:val="附录标识"/>
    <w:basedOn w:val="1"/>
    <w:next w:val="36"/>
    <w:autoRedefine/>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06">
    <w:name w:val="附录标题"/>
    <w:basedOn w:val="36"/>
    <w:next w:val="36"/>
    <w:autoRedefine/>
    <w:qFormat/>
    <w:uiPriority w:val="0"/>
    <w:pPr>
      <w:ind w:firstLine="0" w:firstLineChars="0"/>
      <w:jc w:val="center"/>
    </w:pPr>
    <w:rPr>
      <w:rFonts w:ascii="黑体" w:eastAsia="黑体"/>
    </w:rPr>
  </w:style>
  <w:style w:type="paragraph" w:customStyle="1" w:styleId="107">
    <w:name w:val="附录表标号"/>
    <w:basedOn w:val="1"/>
    <w:next w:val="36"/>
    <w:autoRedefine/>
    <w:qFormat/>
    <w:uiPriority w:val="0"/>
    <w:pPr>
      <w:numPr>
        <w:ilvl w:val="0"/>
        <w:numId w:val="7"/>
      </w:numPr>
      <w:tabs>
        <w:tab w:val="clear" w:pos="0"/>
      </w:tabs>
      <w:spacing w:line="14" w:lineRule="exact"/>
      <w:ind w:left="811" w:hanging="448"/>
      <w:jc w:val="center"/>
      <w:outlineLvl w:val="0"/>
    </w:pPr>
    <w:rPr>
      <w:color w:val="FFFFFF"/>
    </w:rPr>
  </w:style>
  <w:style w:type="paragraph" w:customStyle="1" w:styleId="108">
    <w:name w:val="附录表标题"/>
    <w:basedOn w:val="1"/>
    <w:next w:val="36"/>
    <w:autoRedefine/>
    <w:qFormat/>
    <w:uiPriority w:val="0"/>
    <w:pPr>
      <w:numPr>
        <w:ilvl w:val="1"/>
        <w:numId w:val="7"/>
      </w:numPr>
      <w:tabs>
        <w:tab w:val="left" w:pos="180"/>
      </w:tabs>
      <w:spacing w:beforeLines="50" w:afterLines="50"/>
      <w:ind w:left="0" w:firstLine="0"/>
      <w:jc w:val="center"/>
    </w:pPr>
    <w:rPr>
      <w:rFonts w:ascii="黑体" w:eastAsia="黑体"/>
      <w:szCs w:val="21"/>
    </w:rPr>
  </w:style>
  <w:style w:type="paragraph" w:customStyle="1" w:styleId="109">
    <w:name w:val="附录二级条标题"/>
    <w:basedOn w:val="1"/>
    <w:next w:val="36"/>
    <w:autoRedefine/>
    <w:qFormat/>
    <w:uiPriority w:val="0"/>
    <w:pPr>
      <w:widowControl/>
      <w:numPr>
        <w:ilvl w:val="3"/>
        <w:numId w:val="6"/>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10">
    <w:name w:val="附录二级无"/>
    <w:basedOn w:val="109"/>
    <w:autoRedefine/>
    <w:qFormat/>
    <w:uiPriority w:val="0"/>
    <w:pPr>
      <w:tabs>
        <w:tab w:val="clear" w:pos="360"/>
      </w:tabs>
      <w:spacing w:beforeLines="0" w:afterLines="0"/>
    </w:pPr>
    <w:rPr>
      <w:rFonts w:ascii="宋体" w:eastAsia="宋体"/>
      <w:szCs w:val="21"/>
    </w:rPr>
  </w:style>
  <w:style w:type="paragraph" w:customStyle="1" w:styleId="111">
    <w:name w:val="附录公式"/>
    <w:basedOn w:val="36"/>
    <w:next w:val="36"/>
    <w:link w:val="112"/>
    <w:autoRedefine/>
    <w:qFormat/>
    <w:uiPriority w:val="0"/>
  </w:style>
  <w:style w:type="character" w:customStyle="1" w:styleId="112">
    <w:name w:val="附录公式 Char"/>
    <w:basedOn w:val="62"/>
    <w:link w:val="111"/>
    <w:autoRedefine/>
    <w:qFormat/>
    <w:uiPriority w:val="0"/>
    <w:rPr>
      <w:rFonts w:ascii="宋体"/>
      <w:sz w:val="21"/>
      <w:lang w:val="en-US" w:eastAsia="zh-CN" w:bidi="ar-SA"/>
    </w:rPr>
  </w:style>
  <w:style w:type="paragraph" w:customStyle="1" w:styleId="113">
    <w:name w:val="附录公式编号制表符"/>
    <w:basedOn w:val="1"/>
    <w:next w:val="36"/>
    <w:autoRedefine/>
    <w:qFormat/>
    <w:uiPriority w:val="0"/>
    <w:pPr>
      <w:widowControl/>
      <w:tabs>
        <w:tab w:val="center" w:pos="4201"/>
        <w:tab w:val="right" w:leader="dot" w:pos="9298"/>
      </w:tabs>
      <w:autoSpaceDE w:val="0"/>
      <w:autoSpaceDN w:val="0"/>
    </w:pPr>
    <w:rPr>
      <w:rFonts w:ascii="宋体"/>
      <w:kern w:val="0"/>
      <w:szCs w:val="20"/>
    </w:rPr>
  </w:style>
  <w:style w:type="paragraph" w:customStyle="1" w:styleId="114">
    <w:name w:val="附录三级条标题"/>
    <w:basedOn w:val="109"/>
    <w:next w:val="36"/>
    <w:autoRedefine/>
    <w:qFormat/>
    <w:uiPriority w:val="0"/>
    <w:pPr>
      <w:numPr>
        <w:ilvl w:val="4"/>
      </w:numPr>
      <w:outlineLvl w:val="4"/>
    </w:pPr>
  </w:style>
  <w:style w:type="paragraph" w:customStyle="1" w:styleId="115">
    <w:name w:val="附录三级无"/>
    <w:basedOn w:val="114"/>
    <w:autoRedefine/>
    <w:qFormat/>
    <w:uiPriority w:val="0"/>
    <w:pPr>
      <w:tabs>
        <w:tab w:val="clear" w:pos="360"/>
      </w:tabs>
      <w:spacing w:beforeLines="0" w:afterLines="0"/>
    </w:pPr>
    <w:rPr>
      <w:rFonts w:ascii="宋体" w:eastAsia="宋体"/>
      <w:szCs w:val="21"/>
    </w:rPr>
  </w:style>
  <w:style w:type="paragraph" w:customStyle="1" w:styleId="116">
    <w:name w:val="附录数字编号列项（二级）"/>
    <w:autoRedefine/>
    <w:qFormat/>
    <w:uiPriority w:val="0"/>
    <w:pPr>
      <w:numPr>
        <w:ilvl w:val="1"/>
        <w:numId w:val="8"/>
      </w:numPr>
    </w:pPr>
    <w:rPr>
      <w:rFonts w:ascii="宋体" w:hAnsi="Times New Roman" w:eastAsia="宋体" w:cs="Times New Roman"/>
      <w:sz w:val="21"/>
      <w:lang w:val="en-US" w:eastAsia="zh-CN" w:bidi="ar-SA"/>
    </w:rPr>
  </w:style>
  <w:style w:type="paragraph" w:customStyle="1" w:styleId="117">
    <w:name w:val="附录四级条标题"/>
    <w:basedOn w:val="114"/>
    <w:next w:val="36"/>
    <w:autoRedefine/>
    <w:qFormat/>
    <w:uiPriority w:val="0"/>
    <w:pPr>
      <w:numPr>
        <w:ilvl w:val="5"/>
      </w:numPr>
      <w:outlineLvl w:val="5"/>
    </w:pPr>
  </w:style>
  <w:style w:type="paragraph" w:customStyle="1" w:styleId="118">
    <w:name w:val="附录四级无"/>
    <w:basedOn w:val="117"/>
    <w:autoRedefine/>
    <w:qFormat/>
    <w:uiPriority w:val="0"/>
    <w:pPr>
      <w:tabs>
        <w:tab w:val="clear" w:pos="360"/>
      </w:tabs>
      <w:spacing w:beforeLines="0" w:afterLines="0"/>
    </w:pPr>
    <w:rPr>
      <w:rFonts w:ascii="宋体" w:eastAsia="宋体"/>
      <w:szCs w:val="21"/>
    </w:rPr>
  </w:style>
  <w:style w:type="paragraph" w:customStyle="1" w:styleId="119">
    <w:name w:val="附录图标号"/>
    <w:basedOn w:val="1"/>
    <w:autoRedefine/>
    <w:qFormat/>
    <w:uiPriority w:val="0"/>
    <w:pPr>
      <w:keepNext/>
      <w:pageBreakBefore/>
      <w:widowControl/>
      <w:numPr>
        <w:ilvl w:val="0"/>
        <w:numId w:val="9"/>
      </w:numPr>
      <w:spacing w:line="14" w:lineRule="exact"/>
      <w:ind w:left="0" w:firstLine="363"/>
      <w:jc w:val="center"/>
      <w:outlineLvl w:val="0"/>
    </w:pPr>
    <w:rPr>
      <w:color w:val="FFFFFF"/>
    </w:rPr>
  </w:style>
  <w:style w:type="paragraph" w:customStyle="1" w:styleId="120">
    <w:name w:val="附录图标题"/>
    <w:basedOn w:val="1"/>
    <w:next w:val="36"/>
    <w:autoRedefine/>
    <w:qFormat/>
    <w:uiPriority w:val="0"/>
    <w:pPr>
      <w:numPr>
        <w:ilvl w:val="1"/>
        <w:numId w:val="9"/>
      </w:numPr>
      <w:tabs>
        <w:tab w:val="left" w:pos="363"/>
      </w:tabs>
      <w:spacing w:beforeLines="50" w:afterLines="50"/>
      <w:ind w:left="0" w:firstLine="0"/>
      <w:jc w:val="center"/>
    </w:pPr>
    <w:rPr>
      <w:rFonts w:ascii="黑体" w:eastAsia="黑体"/>
      <w:szCs w:val="21"/>
    </w:rPr>
  </w:style>
  <w:style w:type="paragraph" w:customStyle="1" w:styleId="121">
    <w:name w:val="附录五级条标题"/>
    <w:basedOn w:val="117"/>
    <w:next w:val="36"/>
    <w:autoRedefine/>
    <w:qFormat/>
    <w:uiPriority w:val="0"/>
    <w:pPr>
      <w:numPr>
        <w:ilvl w:val="6"/>
      </w:numPr>
      <w:outlineLvl w:val="6"/>
    </w:pPr>
  </w:style>
  <w:style w:type="paragraph" w:customStyle="1" w:styleId="122">
    <w:name w:val="附录五级无"/>
    <w:basedOn w:val="121"/>
    <w:autoRedefine/>
    <w:qFormat/>
    <w:uiPriority w:val="0"/>
    <w:pPr>
      <w:tabs>
        <w:tab w:val="clear" w:pos="360"/>
      </w:tabs>
      <w:spacing w:beforeLines="0" w:afterLines="0"/>
    </w:pPr>
    <w:rPr>
      <w:rFonts w:ascii="宋体" w:eastAsia="宋体"/>
      <w:szCs w:val="21"/>
    </w:rPr>
  </w:style>
  <w:style w:type="paragraph" w:customStyle="1" w:styleId="123">
    <w:name w:val="附录章标题"/>
    <w:next w:val="36"/>
    <w:autoRedefine/>
    <w:qFormat/>
    <w:uiPriority w:val="0"/>
    <w:pPr>
      <w:numPr>
        <w:ilvl w:val="1"/>
        <w:numId w:val="6"/>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24">
    <w:name w:val="附录一级条标题"/>
    <w:basedOn w:val="123"/>
    <w:next w:val="36"/>
    <w:autoRedefine/>
    <w:qFormat/>
    <w:uiPriority w:val="0"/>
    <w:pPr>
      <w:numPr>
        <w:ilvl w:val="2"/>
      </w:numPr>
      <w:autoSpaceDN w:val="0"/>
      <w:spacing w:beforeLines="50" w:afterLines="50"/>
      <w:outlineLvl w:val="2"/>
    </w:pPr>
  </w:style>
  <w:style w:type="paragraph" w:customStyle="1" w:styleId="125">
    <w:name w:val="附录一级无"/>
    <w:basedOn w:val="124"/>
    <w:autoRedefine/>
    <w:qFormat/>
    <w:uiPriority w:val="0"/>
    <w:pPr>
      <w:tabs>
        <w:tab w:val="clear" w:pos="360"/>
      </w:tabs>
      <w:spacing w:beforeLines="0" w:afterLines="0"/>
    </w:pPr>
    <w:rPr>
      <w:rFonts w:ascii="宋体" w:eastAsia="宋体"/>
      <w:szCs w:val="21"/>
    </w:rPr>
  </w:style>
  <w:style w:type="paragraph" w:customStyle="1" w:styleId="126">
    <w:name w:val="附录字母编号列项（一级）"/>
    <w:autoRedefine/>
    <w:qFormat/>
    <w:uiPriority w:val="0"/>
    <w:pPr>
      <w:numPr>
        <w:ilvl w:val="0"/>
        <w:numId w:val="8"/>
      </w:numPr>
    </w:pPr>
    <w:rPr>
      <w:rFonts w:ascii="宋体" w:hAnsi="Times New Roman" w:eastAsia="宋体" w:cs="Times New Roman"/>
      <w:sz w:val="21"/>
      <w:lang w:val="en-US" w:eastAsia="zh-CN" w:bidi="ar-SA"/>
    </w:rPr>
  </w:style>
  <w:style w:type="paragraph" w:customStyle="1" w:styleId="127">
    <w:name w:val="列项说明"/>
    <w:basedOn w:val="1"/>
    <w:autoRedefine/>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28">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29">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30">
    <w:name w:val="其他标准标志"/>
    <w:basedOn w:val="87"/>
    <w:autoRedefine/>
    <w:qFormat/>
    <w:uiPriority w:val="0"/>
    <w:pPr>
      <w:framePr w:w="6101" w:wrap="around" w:vAnchor="page" w:hAnchor="page" w:x="4673" w:y="942"/>
    </w:pPr>
    <w:rPr>
      <w:w w:val="130"/>
    </w:rPr>
  </w:style>
  <w:style w:type="paragraph" w:customStyle="1" w:styleId="131">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32">
    <w:name w:val="其他发布部门"/>
    <w:basedOn w:val="95"/>
    <w:autoRedefine/>
    <w:qFormat/>
    <w:uiPriority w:val="0"/>
    <w:pPr>
      <w:framePr w:wrap="around" w:y="15310"/>
      <w:spacing w:line="0" w:lineRule="atLeast"/>
    </w:pPr>
    <w:rPr>
      <w:rFonts w:ascii="黑体" w:eastAsia="黑体"/>
      <w:b w:val="0"/>
    </w:rPr>
  </w:style>
  <w:style w:type="paragraph" w:customStyle="1" w:styleId="133">
    <w:name w:val="前言、引言标题"/>
    <w:next w:val="36"/>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34">
    <w:name w:val="三级无"/>
    <w:basedOn w:val="72"/>
    <w:autoRedefine/>
    <w:qFormat/>
    <w:uiPriority w:val="0"/>
    <w:pPr>
      <w:spacing w:beforeLines="0" w:afterLines="0"/>
    </w:pPr>
    <w:rPr>
      <w:rFonts w:ascii="宋体" w:eastAsia="宋体"/>
    </w:rPr>
  </w:style>
  <w:style w:type="paragraph" w:customStyle="1" w:styleId="135">
    <w:name w:val="实施日期"/>
    <w:basedOn w:val="96"/>
    <w:autoRedefine/>
    <w:qFormat/>
    <w:uiPriority w:val="0"/>
    <w:pPr>
      <w:framePr w:wrap="around" w:vAnchor="page" w:hAnchor="text"/>
      <w:jc w:val="right"/>
    </w:pPr>
  </w:style>
  <w:style w:type="paragraph" w:customStyle="1" w:styleId="136">
    <w:name w:val="示例后文字"/>
    <w:basedOn w:val="36"/>
    <w:next w:val="36"/>
    <w:autoRedefine/>
    <w:qFormat/>
    <w:uiPriority w:val="0"/>
    <w:pPr>
      <w:ind w:firstLine="360"/>
    </w:pPr>
    <w:rPr>
      <w:sz w:val="18"/>
    </w:rPr>
  </w:style>
  <w:style w:type="paragraph" w:customStyle="1" w:styleId="137">
    <w:name w:val="首示例"/>
    <w:next w:val="36"/>
    <w:link w:val="138"/>
    <w:autoRedefine/>
    <w:qFormat/>
    <w:uiPriority w:val="0"/>
    <w:pPr>
      <w:tabs>
        <w:tab w:val="left" w:pos="360"/>
      </w:tabs>
    </w:pPr>
    <w:rPr>
      <w:rFonts w:ascii="宋体" w:hAnsi="宋体" w:eastAsia="宋体" w:cs="Times New Roman"/>
      <w:kern w:val="2"/>
      <w:sz w:val="18"/>
      <w:szCs w:val="18"/>
      <w:lang w:val="en-US" w:eastAsia="zh-CN" w:bidi="ar-SA"/>
    </w:rPr>
  </w:style>
  <w:style w:type="character" w:customStyle="1" w:styleId="138">
    <w:name w:val="首示例 Char"/>
    <w:basedOn w:val="53"/>
    <w:link w:val="137"/>
    <w:autoRedefine/>
    <w:qFormat/>
    <w:uiPriority w:val="0"/>
    <w:rPr>
      <w:rFonts w:ascii="宋体" w:hAnsi="宋体"/>
      <w:kern w:val="2"/>
      <w:sz w:val="18"/>
      <w:szCs w:val="18"/>
    </w:rPr>
  </w:style>
  <w:style w:type="paragraph" w:customStyle="1" w:styleId="139">
    <w:name w:val="四级无"/>
    <w:basedOn w:val="76"/>
    <w:autoRedefine/>
    <w:qFormat/>
    <w:uiPriority w:val="0"/>
    <w:pPr>
      <w:spacing w:beforeLines="0" w:afterLines="0"/>
    </w:pPr>
    <w:rPr>
      <w:rFonts w:ascii="宋体" w:eastAsia="宋体"/>
    </w:rPr>
  </w:style>
  <w:style w:type="paragraph" w:customStyle="1" w:styleId="140">
    <w:name w:val="条文脚注"/>
    <w:basedOn w:val="38"/>
    <w:autoRedefine/>
    <w:uiPriority w:val="0"/>
    <w:pPr>
      <w:numPr>
        <w:numId w:val="0"/>
      </w:numPr>
      <w:jc w:val="both"/>
    </w:pPr>
  </w:style>
  <w:style w:type="paragraph" w:customStyle="1" w:styleId="141">
    <w:name w:val="图标脚注说明"/>
    <w:basedOn w:val="36"/>
    <w:uiPriority w:val="0"/>
    <w:pPr>
      <w:ind w:left="840" w:hanging="420" w:firstLineChars="0"/>
    </w:pPr>
    <w:rPr>
      <w:sz w:val="18"/>
      <w:szCs w:val="18"/>
    </w:rPr>
  </w:style>
  <w:style w:type="paragraph" w:customStyle="1" w:styleId="142">
    <w:name w:val="图表脚注说明"/>
    <w:basedOn w:val="1"/>
    <w:uiPriority w:val="0"/>
    <w:pPr>
      <w:ind w:left="544" w:hanging="181"/>
    </w:pPr>
    <w:rPr>
      <w:rFonts w:ascii="宋体"/>
      <w:sz w:val="18"/>
      <w:szCs w:val="18"/>
    </w:rPr>
  </w:style>
  <w:style w:type="paragraph" w:customStyle="1" w:styleId="143">
    <w:name w:val="图的脚注"/>
    <w:next w:val="36"/>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44">
    <w:name w:val="文献分类号"/>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45">
    <w:name w:val="五级无"/>
    <w:basedOn w:val="77"/>
    <w:uiPriority w:val="0"/>
    <w:pPr>
      <w:spacing w:beforeLines="0" w:afterLines="0"/>
    </w:pPr>
    <w:rPr>
      <w:rFonts w:ascii="宋体" w:eastAsia="宋体"/>
    </w:rPr>
  </w:style>
  <w:style w:type="paragraph" w:customStyle="1" w:styleId="146">
    <w:name w:val="一级无"/>
    <w:basedOn w:val="63"/>
    <w:uiPriority w:val="0"/>
    <w:pPr>
      <w:spacing w:beforeLines="0" w:afterLines="0"/>
    </w:pPr>
    <w:rPr>
      <w:rFonts w:ascii="宋体" w:eastAsia="宋体"/>
    </w:rPr>
  </w:style>
  <w:style w:type="paragraph" w:customStyle="1" w:styleId="147">
    <w:name w:val="正文表标题"/>
    <w:next w:val="36"/>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8">
    <w:name w:val="正文公式编号制表符"/>
    <w:basedOn w:val="36"/>
    <w:next w:val="36"/>
    <w:qFormat/>
    <w:uiPriority w:val="0"/>
    <w:pPr>
      <w:ind w:firstLine="0" w:firstLineChars="0"/>
    </w:pPr>
  </w:style>
  <w:style w:type="paragraph" w:customStyle="1" w:styleId="149">
    <w:name w:val="正文图标题"/>
    <w:next w:val="36"/>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50">
    <w:name w:val="终结线"/>
    <w:basedOn w:val="1"/>
    <w:uiPriority w:val="0"/>
    <w:pPr>
      <w:framePr w:hSpace="181" w:vSpace="181" w:wrap="around" w:vAnchor="text" w:hAnchor="margin" w:xAlign="center" w:y="285"/>
    </w:pPr>
  </w:style>
  <w:style w:type="paragraph" w:customStyle="1" w:styleId="151">
    <w:name w:val="其他发布日期"/>
    <w:basedOn w:val="96"/>
    <w:uiPriority w:val="0"/>
    <w:pPr>
      <w:framePr w:wrap="around" w:vAnchor="page" w:hAnchor="text" w:x="1419"/>
    </w:pPr>
  </w:style>
  <w:style w:type="paragraph" w:customStyle="1" w:styleId="152">
    <w:name w:val="其他实施日期"/>
    <w:basedOn w:val="135"/>
    <w:qFormat/>
    <w:uiPriority w:val="0"/>
    <w:pPr>
      <w:framePr w:wrap="around"/>
    </w:pPr>
  </w:style>
  <w:style w:type="paragraph" w:customStyle="1" w:styleId="153">
    <w:name w:val="封面标准名称2"/>
    <w:basedOn w:val="99"/>
    <w:autoRedefine/>
    <w:qFormat/>
    <w:uiPriority w:val="0"/>
    <w:pPr>
      <w:framePr w:wrap="around" w:y="4469"/>
      <w:spacing w:beforeLines="630"/>
    </w:pPr>
  </w:style>
  <w:style w:type="paragraph" w:customStyle="1" w:styleId="154">
    <w:name w:val="封面标准英文名称2"/>
    <w:basedOn w:val="100"/>
    <w:autoRedefine/>
    <w:qFormat/>
    <w:uiPriority w:val="0"/>
    <w:pPr>
      <w:framePr w:wrap="around" w:y="4469"/>
    </w:pPr>
  </w:style>
  <w:style w:type="paragraph" w:customStyle="1" w:styleId="155">
    <w:name w:val="封面一致性程度标识2"/>
    <w:basedOn w:val="101"/>
    <w:autoRedefine/>
    <w:qFormat/>
    <w:uiPriority w:val="0"/>
    <w:pPr>
      <w:framePr w:wrap="around" w:y="4469"/>
    </w:pPr>
  </w:style>
  <w:style w:type="paragraph" w:customStyle="1" w:styleId="156">
    <w:name w:val="封面标准文稿类别2"/>
    <w:basedOn w:val="102"/>
    <w:autoRedefine/>
    <w:qFormat/>
    <w:uiPriority w:val="0"/>
    <w:pPr>
      <w:framePr w:wrap="around" w:y="4469"/>
    </w:pPr>
  </w:style>
  <w:style w:type="paragraph" w:customStyle="1" w:styleId="157">
    <w:name w:val="封面标准文稿编辑信息2"/>
    <w:basedOn w:val="103"/>
    <w:autoRedefine/>
    <w:qFormat/>
    <w:uiPriority w:val="0"/>
    <w:pPr>
      <w:framePr w:wrap="around" w:y="4469"/>
    </w:pPr>
  </w:style>
  <w:style w:type="character" w:customStyle="1" w:styleId="158">
    <w:name w:val="标题 1 Char"/>
    <w:basedOn w:val="53"/>
    <w:link w:val="2"/>
    <w:autoRedefine/>
    <w:qFormat/>
    <w:uiPriority w:val="9"/>
    <w:rPr>
      <w:rFonts w:asciiTheme="minorHAnsi" w:hAnsiTheme="minorHAnsi" w:eastAsiaTheme="minorEastAsia" w:cstheme="minorBidi"/>
      <w:b/>
      <w:bCs/>
      <w:kern w:val="44"/>
      <w:sz w:val="44"/>
      <w:szCs w:val="44"/>
    </w:rPr>
  </w:style>
  <w:style w:type="character" w:customStyle="1" w:styleId="159">
    <w:name w:val="标题 2 Char"/>
    <w:basedOn w:val="53"/>
    <w:link w:val="3"/>
    <w:autoRedefine/>
    <w:qFormat/>
    <w:uiPriority w:val="9"/>
    <w:rPr>
      <w:rFonts w:asciiTheme="majorHAnsi" w:hAnsiTheme="majorHAnsi" w:eastAsiaTheme="majorEastAsia" w:cstheme="majorBidi"/>
      <w:b/>
      <w:bCs/>
      <w:kern w:val="2"/>
      <w:sz w:val="32"/>
      <w:szCs w:val="32"/>
    </w:rPr>
  </w:style>
  <w:style w:type="paragraph" w:customStyle="1" w:styleId="160">
    <w:name w:val="条款"/>
    <w:basedOn w:val="1"/>
    <w:link w:val="161"/>
    <w:autoRedefine/>
    <w:qFormat/>
    <w:uiPriority w:val="0"/>
    <w:pPr>
      <w:spacing w:beforeLines="50" w:afterLines="50" w:line="400" w:lineRule="exact"/>
      <w:ind w:firstLine="100" w:firstLineChars="100"/>
    </w:pPr>
    <w:rPr>
      <w:szCs w:val="22"/>
    </w:rPr>
  </w:style>
  <w:style w:type="character" w:customStyle="1" w:styleId="161">
    <w:name w:val="条款 字符"/>
    <w:basedOn w:val="53"/>
    <w:link w:val="160"/>
    <w:autoRedefine/>
    <w:qFormat/>
    <w:uiPriority w:val="0"/>
    <w:rPr>
      <w:kern w:val="2"/>
      <w:sz w:val="21"/>
      <w:szCs w:val="22"/>
    </w:rPr>
  </w:style>
  <w:style w:type="character" w:customStyle="1" w:styleId="162">
    <w:name w:val="标题 3 Char"/>
    <w:basedOn w:val="53"/>
    <w:link w:val="4"/>
    <w:autoRedefine/>
    <w:qFormat/>
    <w:uiPriority w:val="0"/>
    <w:rPr>
      <w:b/>
      <w:spacing w:val="20"/>
      <w:kern w:val="2"/>
      <w:sz w:val="24"/>
    </w:rPr>
  </w:style>
  <w:style w:type="character" w:customStyle="1" w:styleId="163">
    <w:name w:val="标题 4 Char"/>
    <w:basedOn w:val="53"/>
    <w:link w:val="5"/>
    <w:autoRedefine/>
    <w:qFormat/>
    <w:uiPriority w:val="0"/>
    <w:rPr>
      <w:rFonts w:ascii="Cambria" w:hAnsi="Cambria"/>
      <w:b/>
      <w:sz w:val="28"/>
    </w:rPr>
  </w:style>
  <w:style w:type="character" w:customStyle="1" w:styleId="164">
    <w:name w:val="标题 5 Char"/>
    <w:basedOn w:val="53"/>
    <w:link w:val="6"/>
    <w:autoRedefine/>
    <w:qFormat/>
    <w:uiPriority w:val="0"/>
    <w:rPr>
      <w:b/>
      <w:bCs/>
      <w:kern w:val="2"/>
      <w:sz w:val="28"/>
      <w:szCs w:val="28"/>
    </w:rPr>
  </w:style>
  <w:style w:type="character" w:customStyle="1" w:styleId="165">
    <w:name w:val="标题 6 Char"/>
    <w:basedOn w:val="53"/>
    <w:link w:val="7"/>
    <w:autoRedefine/>
    <w:qFormat/>
    <w:uiPriority w:val="0"/>
    <w:rPr>
      <w:rFonts w:ascii="Arial" w:hAnsi="Arial" w:eastAsia="黑体"/>
      <w:b/>
      <w:kern w:val="2"/>
      <w:sz w:val="24"/>
    </w:rPr>
  </w:style>
  <w:style w:type="character" w:customStyle="1" w:styleId="166">
    <w:name w:val="页眉 Char"/>
    <w:basedOn w:val="53"/>
    <w:link w:val="31"/>
    <w:autoRedefine/>
    <w:qFormat/>
    <w:uiPriority w:val="99"/>
    <w:rPr>
      <w:kern w:val="2"/>
      <w:sz w:val="18"/>
      <w:szCs w:val="18"/>
    </w:rPr>
  </w:style>
  <w:style w:type="character" w:customStyle="1" w:styleId="167">
    <w:name w:val="页脚 Char"/>
    <w:basedOn w:val="53"/>
    <w:link w:val="30"/>
    <w:autoRedefine/>
    <w:qFormat/>
    <w:uiPriority w:val="99"/>
    <w:rPr>
      <w:kern w:val="2"/>
      <w:sz w:val="18"/>
      <w:szCs w:val="18"/>
    </w:rPr>
  </w:style>
  <w:style w:type="paragraph" w:customStyle="1" w:styleId="168">
    <w:name w:val="表格"/>
    <w:basedOn w:val="1"/>
    <w:link w:val="169"/>
    <w:autoRedefine/>
    <w:qFormat/>
    <w:uiPriority w:val="0"/>
    <w:pPr>
      <w:jc w:val="center"/>
    </w:pPr>
    <w:rPr>
      <w:kern w:val="0"/>
      <w:sz w:val="18"/>
      <w:szCs w:val="21"/>
    </w:rPr>
  </w:style>
  <w:style w:type="character" w:customStyle="1" w:styleId="169">
    <w:name w:val="表格 Char Char"/>
    <w:link w:val="168"/>
    <w:autoRedefine/>
    <w:qFormat/>
    <w:uiPriority w:val="0"/>
    <w:rPr>
      <w:sz w:val="18"/>
      <w:szCs w:val="21"/>
    </w:rPr>
  </w:style>
  <w:style w:type="character" w:customStyle="1" w:styleId="170">
    <w:name w:val="日期 Char"/>
    <w:basedOn w:val="53"/>
    <w:link w:val="26"/>
    <w:autoRedefine/>
    <w:qFormat/>
    <w:uiPriority w:val="0"/>
    <w:rPr>
      <w:rFonts w:asciiTheme="minorHAnsi" w:hAnsiTheme="minorHAnsi" w:eastAsiaTheme="minorEastAsia" w:cstheme="minorBidi"/>
      <w:kern w:val="2"/>
      <w:sz w:val="21"/>
      <w:szCs w:val="22"/>
    </w:rPr>
  </w:style>
  <w:style w:type="paragraph" w:customStyle="1" w:styleId="171">
    <w:name w:val="表名"/>
    <w:basedOn w:val="1"/>
    <w:link w:val="172"/>
    <w:autoRedefine/>
    <w:qFormat/>
    <w:uiPriority w:val="0"/>
    <w:pPr>
      <w:adjustRightInd w:val="0"/>
      <w:spacing w:beforeLines="50"/>
      <w:jc w:val="center"/>
      <w:textAlignment w:val="baseline"/>
    </w:pPr>
    <w:rPr>
      <w:rFonts w:eastAsia="黑体"/>
      <w:spacing w:val="8"/>
      <w:kern w:val="24"/>
      <w:szCs w:val="21"/>
    </w:rPr>
  </w:style>
  <w:style w:type="character" w:customStyle="1" w:styleId="172">
    <w:name w:val="表名 字符"/>
    <w:link w:val="171"/>
    <w:qFormat/>
    <w:uiPriority w:val="0"/>
    <w:rPr>
      <w:rFonts w:eastAsia="黑体"/>
      <w:spacing w:val="8"/>
      <w:kern w:val="24"/>
      <w:sz w:val="21"/>
      <w:szCs w:val="21"/>
    </w:rPr>
  </w:style>
  <w:style w:type="paragraph" w:customStyle="1" w:styleId="173">
    <w:name w:val="注释"/>
    <w:basedOn w:val="171"/>
    <w:link w:val="175"/>
    <w:autoRedefine/>
    <w:qFormat/>
    <w:uiPriority w:val="0"/>
    <w:pPr>
      <w:spacing w:beforeLines="0" w:line="400" w:lineRule="exact"/>
      <w:ind w:firstLine="200" w:firstLineChars="200"/>
      <w:jc w:val="both"/>
    </w:pPr>
    <w:rPr>
      <w:rFonts w:eastAsia="宋体"/>
      <w:sz w:val="18"/>
    </w:rPr>
  </w:style>
  <w:style w:type="paragraph" w:customStyle="1" w:styleId="174">
    <w:name w:val="图名"/>
    <w:basedOn w:val="171"/>
    <w:link w:val="176"/>
    <w:autoRedefine/>
    <w:qFormat/>
    <w:uiPriority w:val="0"/>
    <w:pPr>
      <w:spacing w:beforeLines="0"/>
    </w:pPr>
  </w:style>
  <w:style w:type="character" w:customStyle="1" w:styleId="175">
    <w:name w:val="注释 字符"/>
    <w:basedOn w:val="172"/>
    <w:link w:val="173"/>
    <w:autoRedefine/>
    <w:qFormat/>
    <w:uiPriority w:val="0"/>
    <w:rPr>
      <w:rFonts w:eastAsia="黑体"/>
      <w:spacing w:val="8"/>
      <w:kern w:val="24"/>
      <w:sz w:val="18"/>
      <w:szCs w:val="21"/>
    </w:rPr>
  </w:style>
  <w:style w:type="character" w:customStyle="1" w:styleId="176">
    <w:name w:val="图名 字符"/>
    <w:basedOn w:val="172"/>
    <w:link w:val="174"/>
    <w:autoRedefine/>
    <w:qFormat/>
    <w:uiPriority w:val="0"/>
    <w:rPr>
      <w:rFonts w:eastAsia="黑体"/>
      <w:spacing w:val="8"/>
      <w:kern w:val="24"/>
      <w:sz w:val="21"/>
      <w:szCs w:val="21"/>
    </w:rPr>
  </w:style>
  <w:style w:type="paragraph" w:customStyle="1" w:styleId="177">
    <w:name w:val="图居中、图表标题"/>
    <w:basedOn w:val="1"/>
    <w:next w:val="1"/>
    <w:autoRedefine/>
    <w:qFormat/>
    <w:uiPriority w:val="0"/>
    <w:pPr>
      <w:spacing w:line="360" w:lineRule="auto"/>
      <w:jc w:val="center"/>
    </w:pPr>
    <w:rPr>
      <w:rFonts w:cs="宋体"/>
      <w:b/>
      <w:kern w:val="0"/>
      <w:szCs w:val="21"/>
    </w:rPr>
  </w:style>
  <w:style w:type="character" w:customStyle="1" w:styleId="178">
    <w:name w:val="正文文本 Char"/>
    <w:basedOn w:val="53"/>
    <w:link w:val="17"/>
    <w:qFormat/>
    <w:uiPriority w:val="0"/>
    <w:rPr>
      <w:color w:val="0000FF"/>
      <w:kern w:val="2"/>
      <w:sz w:val="28"/>
    </w:rPr>
  </w:style>
  <w:style w:type="paragraph" w:styleId="179">
    <w:name w:val="List Paragraph"/>
    <w:basedOn w:val="1"/>
    <w:link w:val="202"/>
    <w:autoRedefine/>
    <w:qFormat/>
    <w:uiPriority w:val="34"/>
    <w:pPr>
      <w:ind w:firstLine="420" w:firstLineChars="200"/>
    </w:pPr>
    <w:rPr>
      <w:rFonts w:asciiTheme="minorHAnsi" w:hAnsiTheme="minorHAnsi" w:eastAsiaTheme="minorEastAsia" w:cstheme="minorBidi"/>
      <w:szCs w:val="22"/>
    </w:rPr>
  </w:style>
  <w:style w:type="paragraph" w:customStyle="1" w:styleId="180">
    <w:name w:val="正文1"/>
    <w:link w:val="182"/>
    <w:autoRedefine/>
    <w:qFormat/>
    <w:uiPriority w:val="0"/>
    <w:pPr>
      <w:widowControl w:val="0"/>
      <w:spacing w:line="360" w:lineRule="auto"/>
      <w:ind w:firstLine="200" w:firstLineChars="200"/>
      <w:jc w:val="both"/>
      <w:textAlignment w:val="center"/>
    </w:pPr>
    <w:rPr>
      <w:rFonts w:ascii="Times New Roman" w:hAnsi="Times New Roman" w:eastAsia="宋体" w:cs="Times New Roman"/>
      <w:kern w:val="2"/>
      <w:sz w:val="24"/>
      <w:szCs w:val="24"/>
      <w:lang w:val="en-US" w:eastAsia="zh-CN" w:bidi="ar-SA"/>
    </w:rPr>
  </w:style>
  <w:style w:type="paragraph" w:styleId="181">
    <w:name w:val="No Spacing"/>
    <w:basedOn w:val="1"/>
    <w:link w:val="183"/>
    <w:autoRedefine/>
    <w:qFormat/>
    <w:uiPriority w:val="0"/>
    <w:pPr>
      <w:widowControl/>
      <w:jc w:val="left"/>
    </w:pPr>
    <w:rPr>
      <w:rFonts w:ascii="Calibri" w:hAnsi="Calibri"/>
      <w:kern w:val="0"/>
      <w:sz w:val="24"/>
      <w:szCs w:val="32"/>
      <w:lang w:eastAsia="en-US" w:bidi="en-US"/>
    </w:rPr>
  </w:style>
  <w:style w:type="character" w:customStyle="1" w:styleId="182">
    <w:name w:val="正文1 Char"/>
    <w:link w:val="180"/>
    <w:autoRedefine/>
    <w:qFormat/>
    <w:uiPriority w:val="0"/>
    <w:rPr>
      <w:kern w:val="2"/>
      <w:sz w:val="24"/>
      <w:szCs w:val="24"/>
    </w:rPr>
  </w:style>
  <w:style w:type="character" w:customStyle="1" w:styleId="183">
    <w:name w:val="无间隔 Char"/>
    <w:link w:val="181"/>
    <w:autoRedefine/>
    <w:qFormat/>
    <w:uiPriority w:val="0"/>
    <w:rPr>
      <w:rFonts w:ascii="Calibri" w:hAnsi="Calibri"/>
      <w:sz w:val="24"/>
      <w:szCs w:val="32"/>
      <w:lang w:eastAsia="en-US" w:bidi="en-US"/>
    </w:rPr>
  </w:style>
  <w:style w:type="table" w:customStyle="1" w:styleId="184">
    <w:name w:val="网格型6"/>
    <w:basedOn w:val="50"/>
    <w:autoRedefine/>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
    <w:name w:val="网格型9"/>
    <w:basedOn w:val="5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
    <w:name w:val="网格型1"/>
    <w:basedOn w:val="5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
    <w:name w:val="网格型3"/>
    <w:basedOn w:val="50"/>
    <w:autoRedefine/>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
    <w:name w:val="网格型11"/>
    <w:basedOn w:val="50"/>
    <w:autoRedefine/>
    <w:qFormat/>
    <w:uiPriority w:val="3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9">
    <w:name w:val="文档结构图 Char"/>
    <w:basedOn w:val="53"/>
    <w:link w:val="13"/>
    <w:autoRedefine/>
    <w:qFormat/>
    <w:uiPriority w:val="0"/>
    <w:rPr>
      <w:kern w:val="2"/>
      <w:sz w:val="21"/>
      <w:szCs w:val="24"/>
      <w:shd w:val="clear" w:color="auto" w:fill="000080"/>
    </w:rPr>
  </w:style>
  <w:style w:type="character" w:customStyle="1" w:styleId="190">
    <w:name w:val="批注文字 Char"/>
    <w:basedOn w:val="53"/>
    <w:link w:val="14"/>
    <w:autoRedefine/>
    <w:qFormat/>
    <w:uiPriority w:val="99"/>
    <w:rPr>
      <w:rFonts w:cstheme="minorBidi"/>
      <w:kern w:val="2"/>
      <w:sz w:val="21"/>
      <w:szCs w:val="22"/>
    </w:rPr>
  </w:style>
  <w:style w:type="character" w:customStyle="1" w:styleId="191">
    <w:name w:val="正文文本 3 Char"/>
    <w:basedOn w:val="53"/>
    <w:link w:val="16"/>
    <w:autoRedefine/>
    <w:qFormat/>
    <w:uiPriority w:val="0"/>
    <w:rPr>
      <w:kern w:val="2"/>
      <w:sz w:val="28"/>
    </w:rPr>
  </w:style>
  <w:style w:type="character" w:customStyle="1" w:styleId="192">
    <w:name w:val="正文文本缩进 Char"/>
    <w:basedOn w:val="53"/>
    <w:link w:val="18"/>
    <w:autoRedefine/>
    <w:qFormat/>
    <w:uiPriority w:val="0"/>
    <w:rPr>
      <w:sz w:val="24"/>
      <w:szCs w:val="24"/>
    </w:rPr>
  </w:style>
  <w:style w:type="character" w:customStyle="1" w:styleId="193">
    <w:name w:val="纯文本 Char"/>
    <w:basedOn w:val="53"/>
    <w:link w:val="23"/>
    <w:autoRedefine/>
    <w:qFormat/>
    <w:uiPriority w:val="0"/>
    <w:rPr>
      <w:kern w:val="2"/>
      <w:sz w:val="21"/>
    </w:rPr>
  </w:style>
  <w:style w:type="character" w:customStyle="1" w:styleId="194">
    <w:name w:val="正文文本缩进 2 Char"/>
    <w:basedOn w:val="53"/>
    <w:link w:val="27"/>
    <w:autoRedefine/>
    <w:qFormat/>
    <w:uiPriority w:val="0"/>
    <w:rPr>
      <w:kern w:val="2"/>
      <w:sz w:val="21"/>
    </w:rPr>
  </w:style>
  <w:style w:type="character" w:customStyle="1" w:styleId="195">
    <w:name w:val="批注框文本 Char"/>
    <w:basedOn w:val="53"/>
    <w:link w:val="29"/>
    <w:autoRedefine/>
    <w:qFormat/>
    <w:uiPriority w:val="99"/>
    <w:rPr>
      <w:rFonts w:cstheme="minorBidi"/>
      <w:kern w:val="2"/>
      <w:sz w:val="18"/>
      <w:szCs w:val="18"/>
    </w:rPr>
  </w:style>
  <w:style w:type="character" w:customStyle="1" w:styleId="196">
    <w:name w:val="副标题 Char"/>
    <w:basedOn w:val="53"/>
    <w:link w:val="37"/>
    <w:autoRedefine/>
    <w:qFormat/>
    <w:uiPriority w:val="0"/>
    <w:rPr>
      <w:rFonts w:ascii="Cambria" w:hAnsi="Cambria"/>
      <w:b/>
      <w:kern w:val="28"/>
      <w:sz w:val="32"/>
    </w:rPr>
  </w:style>
  <w:style w:type="character" w:customStyle="1" w:styleId="197">
    <w:name w:val="正文文本缩进 3 Char"/>
    <w:basedOn w:val="53"/>
    <w:link w:val="40"/>
    <w:autoRedefine/>
    <w:qFormat/>
    <w:uiPriority w:val="0"/>
    <w:rPr>
      <w:kern w:val="2"/>
      <w:sz w:val="21"/>
    </w:rPr>
  </w:style>
  <w:style w:type="character" w:customStyle="1" w:styleId="198">
    <w:name w:val="正文文本 2 Char"/>
    <w:basedOn w:val="53"/>
    <w:link w:val="45"/>
    <w:autoRedefine/>
    <w:qFormat/>
    <w:uiPriority w:val="0"/>
    <w:rPr>
      <w:kern w:val="2"/>
      <w:sz w:val="18"/>
    </w:rPr>
  </w:style>
  <w:style w:type="character" w:customStyle="1" w:styleId="199">
    <w:name w:val="标题 Char"/>
    <w:basedOn w:val="53"/>
    <w:link w:val="48"/>
    <w:autoRedefine/>
    <w:qFormat/>
    <w:uiPriority w:val="0"/>
    <w:rPr>
      <w:rFonts w:ascii="宋体" w:hAnsi="宋体"/>
      <w:b/>
      <w:sz w:val="24"/>
    </w:rPr>
  </w:style>
  <w:style w:type="character" w:customStyle="1" w:styleId="200">
    <w:name w:val="批注主题 Char"/>
    <w:basedOn w:val="190"/>
    <w:link w:val="49"/>
    <w:qFormat/>
    <w:uiPriority w:val="0"/>
    <w:rPr>
      <w:rFonts w:cstheme="minorBidi"/>
      <w:b/>
      <w:bCs/>
      <w:kern w:val="2"/>
      <w:sz w:val="21"/>
      <w:szCs w:val="22"/>
    </w:rPr>
  </w:style>
  <w:style w:type="paragraph" w:customStyle="1" w:styleId="201">
    <w:name w:val="TOC 标题1"/>
    <w:basedOn w:val="2"/>
    <w:next w:val="1"/>
    <w:autoRedefine/>
    <w:unhideWhenUsed/>
    <w:qFormat/>
    <w:uiPriority w:val="39"/>
    <w:pPr>
      <w:widowControl/>
      <w:spacing w:beforeLines="100" w:afterLines="100" w:line="259" w:lineRule="auto"/>
      <w:jc w:val="left"/>
      <w:outlineLvl w:val="9"/>
    </w:pPr>
    <w:rPr>
      <w:rFonts w:asciiTheme="majorHAnsi" w:hAnsiTheme="majorHAnsi" w:eastAsiaTheme="majorEastAsia" w:cstheme="majorBidi"/>
      <w:bCs w:val="0"/>
      <w:color w:val="366091" w:themeColor="accent1" w:themeShade="BF"/>
      <w:kern w:val="0"/>
      <w:sz w:val="32"/>
      <w:szCs w:val="32"/>
    </w:rPr>
  </w:style>
  <w:style w:type="character" w:customStyle="1" w:styleId="202">
    <w:name w:val="列出段落 Char"/>
    <w:link w:val="179"/>
    <w:autoRedefine/>
    <w:qFormat/>
    <w:uiPriority w:val="34"/>
    <w:rPr>
      <w:rFonts w:asciiTheme="minorHAnsi" w:hAnsiTheme="minorHAnsi" w:eastAsiaTheme="minorEastAsia" w:cstheme="minorBidi"/>
      <w:kern w:val="2"/>
      <w:sz w:val="21"/>
      <w:szCs w:val="22"/>
    </w:rPr>
  </w:style>
  <w:style w:type="paragraph" w:customStyle="1" w:styleId="203">
    <w:name w:val="段落正文"/>
    <w:basedOn w:val="1"/>
    <w:link w:val="204"/>
    <w:autoRedefine/>
    <w:qFormat/>
    <w:uiPriority w:val="0"/>
    <w:pPr>
      <w:spacing w:line="360" w:lineRule="auto"/>
      <w:ind w:firstLine="480" w:firstLineChars="200"/>
      <w:jc w:val="left"/>
    </w:pPr>
    <w:rPr>
      <w:kern w:val="24"/>
      <w:sz w:val="24"/>
    </w:rPr>
  </w:style>
  <w:style w:type="character" w:customStyle="1" w:styleId="204">
    <w:name w:val="段落正文 Char"/>
    <w:link w:val="203"/>
    <w:qFormat/>
    <w:uiPriority w:val="0"/>
    <w:rPr>
      <w:kern w:val="24"/>
      <w:sz w:val="24"/>
      <w:szCs w:val="24"/>
    </w:rPr>
  </w:style>
  <w:style w:type="paragraph" w:customStyle="1" w:styleId="205">
    <w:name w:val="条"/>
    <w:basedOn w:val="1"/>
    <w:link w:val="206"/>
    <w:autoRedefine/>
    <w:qFormat/>
    <w:uiPriority w:val="0"/>
    <w:pPr>
      <w:tabs>
        <w:tab w:val="left" w:pos="540"/>
        <w:tab w:val="left" w:pos="720"/>
        <w:tab w:val="left" w:pos="1080"/>
      </w:tabs>
      <w:adjustRightInd w:val="0"/>
      <w:spacing w:line="360" w:lineRule="auto"/>
      <w:ind w:firstLine="200" w:firstLineChars="200"/>
      <w:textAlignment w:val="baseline"/>
    </w:pPr>
    <w:rPr>
      <w:b/>
      <w:kern w:val="0"/>
      <w:szCs w:val="21"/>
    </w:rPr>
  </w:style>
  <w:style w:type="character" w:customStyle="1" w:styleId="206">
    <w:name w:val="条 Char"/>
    <w:link w:val="205"/>
    <w:autoRedefine/>
    <w:qFormat/>
    <w:uiPriority w:val="0"/>
    <w:rPr>
      <w:b/>
      <w:sz w:val="21"/>
      <w:szCs w:val="21"/>
    </w:rPr>
  </w:style>
  <w:style w:type="paragraph" w:customStyle="1" w:styleId="207">
    <w:name w:val="样式 表主题"/>
    <w:basedOn w:val="1"/>
    <w:autoRedefine/>
    <w:qFormat/>
    <w:uiPriority w:val="0"/>
    <w:pPr>
      <w:spacing w:line="400" w:lineRule="exact"/>
      <w:ind w:firstLine="200" w:firstLineChars="200"/>
      <w:jc w:val="center"/>
    </w:pPr>
    <w:rPr>
      <w:rFonts w:eastAsia="黑体" w:cs="宋体"/>
      <w:sz w:val="18"/>
      <w:szCs w:val="20"/>
    </w:rPr>
  </w:style>
  <w:style w:type="paragraph" w:customStyle="1" w:styleId="208">
    <w:name w:val="样式5"/>
    <w:basedOn w:val="1"/>
    <w:uiPriority w:val="0"/>
    <w:pPr>
      <w:tabs>
        <w:tab w:val="left" w:pos="547"/>
        <w:tab w:val="left" w:pos="1080"/>
      </w:tabs>
      <w:spacing w:line="480" w:lineRule="atLeast"/>
      <w:ind w:firstLine="200" w:firstLineChars="200"/>
      <w:jc w:val="center"/>
    </w:pPr>
    <w:rPr>
      <w:b/>
    </w:rPr>
  </w:style>
  <w:style w:type="table" w:customStyle="1" w:styleId="209">
    <w:name w:val="网格型2"/>
    <w:basedOn w:val="50"/>
    <w:autoRedefine/>
    <w:qFormat/>
    <w:uiPriority w:val="3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
    <w:name w:val="网格型4"/>
    <w:basedOn w:val="50"/>
    <w:autoRedefine/>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
    <w:name w:val="网格型5"/>
    <w:basedOn w:val="50"/>
    <w:autoRedefine/>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2">
    <w:name w:val="Placeholder Text"/>
    <w:basedOn w:val="53"/>
    <w:semiHidden/>
    <w:uiPriority w:val="99"/>
    <w:rPr>
      <w:color w:val="808080"/>
    </w:rPr>
  </w:style>
  <w:style w:type="paragraph" w:customStyle="1" w:styleId="213">
    <w:name w:val="备注"/>
    <w:basedOn w:val="1"/>
    <w:autoRedefine/>
    <w:qFormat/>
    <w:uiPriority w:val="0"/>
    <w:pPr>
      <w:tabs>
        <w:tab w:val="left" w:pos="990"/>
        <w:tab w:val="left" w:pos="1350"/>
      </w:tabs>
      <w:spacing w:line="400" w:lineRule="atLeast"/>
      <w:ind w:firstLine="200" w:firstLineChars="200"/>
    </w:pPr>
    <w:rPr>
      <w:szCs w:val="21"/>
    </w:rPr>
  </w:style>
  <w:style w:type="character" w:customStyle="1" w:styleId="214">
    <w:name w:val="普通(网站) Char"/>
    <w:link w:val="46"/>
    <w:autoRedefine/>
    <w:qFormat/>
    <w:locked/>
    <w:uiPriority w:val="99"/>
    <w:rPr>
      <w:rFonts w:ascii="宋体" w:hAnsi="宋体" w:cs="宋体"/>
      <w:sz w:val="24"/>
      <w:szCs w:val="24"/>
    </w:rPr>
  </w:style>
  <w:style w:type="paragraph" w:customStyle="1" w:styleId="215">
    <w:name w:val="编号1."/>
    <w:basedOn w:val="1"/>
    <w:autoRedefine/>
    <w:qFormat/>
    <w:uiPriority w:val="0"/>
    <w:pPr>
      <w:numPr>
        <w:ilvl w:val="0"/>
        <w:numId w:val="10"/>
      </w:numPr>
      <w:tabs>
        <w:tab w:val="left" w:pos="907"/>
      </w:tabs>
      <w:spacing w:line="480" w:lineRule="atLeast"/>
      <w:ind w:firstLine="200" w:firstLineChars="200"/>
    </w:pPr>
    <w:rPr>
      <w:sz w:val="24"/>
    </w:rPr>
  </w:style>
  <w:style w:type="character" w:customStyle="1" w:styleId="216">
    <w:name w:val="Heading 1 Char"/>
    <w:locked/>
    <w:uiPriority w:val="0"/>
    <w:rPr>
      <w:rFonts w:ascii="Calibri" w:hAnsi="Calibri" w:eastAsia="宋体" w:cs="Times New Roman"/>
      <w:b/>
      <w:kern w:val="44"/>
      <w:sz w:val="44"/>
      <w:lang w:val="en-US" w:eastAsia="zh-CN"/>
    </w:rPr>
  </w:style>
  <w:style w:type="character" w:customStyle="1" w:styleId="217">
    <w:name w:val="Heading 2 Char"/>
    <w:qFormat/>
    <w:locked/>
    <w:uiPriority w:val="0"/>
    <w:rPr>
      <w:rFonts w:ascii="Cambria" w:hAnsi="Cambria" w:eastAsia="宋体" w:cs="Times New Roman"/>
      <w:b/>
      <w:kern w:val="2"/>
      <w:sz w:val="32"/>
      <w:lang w:val="en-US" w:eastAsia="zh-CN"/>
    </w:rPr>
  </w:style>
  <w:style w:type="character" w:customStyle="1" w:styleId="218">
    <w:name w:val="Heading 3 Char"/>
    <w:autoRedefine/>
    <w:qFormat/>
    <w:locked/>
    <w:uiPriority w:val="0"/>
    <w:rPr>
      <w:rFonts w:ascii="黑体" w:hAnsi="Times New Roman" w:eastAsia="黑体" w:cs="Times New Roman"/>
      <w:spacing w:val="20"/>
      <w:sz w:val="32"/>
    </w:rPr>
  </w:style>
  <w:style w:type="character" w:customStyle="1" w:styleId="219">
    <w:name w:val="已访问的超链接1"/>
    <w:autoRedefine/>
    <w:qFormat/>
    <w:uiPriority w:val="0"/>
    <w:rPr>
      <w:color w:val="800080"/>
      <w:u w:val="single"/>
    </w:rPr>
  </w:style>
  <w:style w:type="character" w:customStyle="1" w:styleId="220">
    <w:name w:val="Header Char"/>
    <w:autoRedefine/>
    <w:qFormat/>
    <w:locked/>
    <w:uiPriority w:val="0"/>
    <w:rPr>
      <w:rFonts w:ascii="Times New Roman" w:hAnsi="Times New Roman" w:eastAsia="宋体" w:cs="Times New Roman"/>
      <w:sz w:val="20"/>
    </w:rPr>
  </w:style>
  <w:style w:type="character" w:customStyle="1" w:styleId="221">
    <w:name w:val="Body Text Indent Char"/>
    <w:autoRedefine/>
    <w:qFormat/>
    <w:locked/>
    <w:uiPriority w:val="0"/>
    <w:rPr>
      <w:rFonts w:ascii="Times New Roman" w:hAnsi="Times New Roman" w:eastAsia="宋体" w:cs="Times New Roman"/>
      <w:sz w:val="20"/>
    </w:rPr>
  </w:style>
  <w:style w:type="character" w:customStyle="1" w:styleId="222">
    <w:name w:val="Body Text Indent 2 Char"/>
    <w:autoRedefine/>
    <w:qFormat/>
    <w:locked/>
    <w:uiPriority w:val="0"/>
    <w:rPr>
      <w:rFonts w:ascii="宋体" w:hAnsi="宋体" w:eastAsia="宋体" w:cs="Times New Roman"/>
      <w:kern w:val="2"/>
      <w:sz w:val="21"/>
      <w:lang w:val="en-US" w:eastAsia="zh-CN"/>
    </w:rPr>
  </w:style>
  <w:style w:type="character" w:customStyle="1" w:styleId="223">
    <w:name w:val="Plain Text Char"/>
    <w:autoRedefine/>
    <w:qFormat/>
    <w:locked/>
    <w:uiPriority w:val="0"/>
    <w:rPr>
      <w:rFonts w:ascii="Times New Roman" w:hAnsi="Times New Roman" w:eastAsia="宋体" w:cs="Times New Roman"/>
      <w:sz w:val="21"/>
    </w:rPr>
  </w:style>
  <w:style w:type="paragraph" w:customStyle="1" w:styleId="224">
    <w:name w:val="公式"/>
    <w:basedOn w:val="1"/>
    <w:autoRedefine/>
    <w:qFormat/>
    <w:uiPriority w:val="0"/>
    <w:pPr>
      <w:tabs>
        <w:tab w:val="center" w:pos="3780"/>
        <w:tab w:val="right" w:leader="middleDot" w:pos="8058"/>
      </w:tabs>
      <w:spacing w:line="400" w:lineRule="exact"/>
      <w:ind w:firstLine="408" w:firstLineChars="200"/>
    </w:pPr>
    <w:rPr>
      <w:szCs w:val="20"/>
    </w:rPr>
  </w:style>
  <w:style w:type="paragraph" w:customStyle="1" w:styleId="225">
    <w:name w:val="图标"/>
    <w:basedOn w:val="1"/>
    <w:autoRedefine/>
    <w:qFormat/>
    <w:uiPriority w:val="0"/>
    <w:pPr>
      <w:spacing w:line="400" w:lineRule="exact"/>
      <w:ind w:firstLine="200" w:firstLineChars="200"/>
      <w:jc w:val="center"/>
    </w:pPr>
    <w:rPr>
      <w:rFonts w:hAnsi="宋体"/>
      <w:szCs w:val="20"/>
    </w:rPr>
  </w:style>
  <w:style w:type="paragraph" w:customStyle="1" w:styleId="226">
    <w:name w:val="表格内容"/>
    <w:basedOn w:val="1"/>
    <w:autoRedefine/>
    <w:qFormat/>
    <w:uiPriority w:val="0"/>
    <w:pPr>
      <w:spacing w:line="400" w:lineRule="exact"/>
      <w:ind w:firstLine="200" w:firstLineChars="200"/>
      <w:jc w:val="center"/>
    </w:pPr>
    <w:rPr>
      <w:rFonts w:ascii="宋体" w:hAnsi="宋体"/>
      <w:b/>
      <w:sz w:val="18"/>
      <w:szCs w:val="20"/>
    </w:rPr>
  </w:style>
  <w:style w:type="paragraph" w:customStyle="1" w:styleId="227">
    <w:name w:val="表主题"/>
    <w:basedOn w:val="1"/>
    <w:autoRedefine/>
    <w:qFormat/>
    <w:uiPriority w:val="0"/>
    <w:pPr>
      <w:spacing w:line="400" w:lineRule="exact"/>
      <w:ind w:firstLine="200" w:firstLineChars="200"/>
      <w:jc w:val="center"/>
    </w:pPr>
    <w:rPr>
      <w:rFonts w:eastAsia="黑体" w:cs="宋体"/>
      <w:szCs w:val="20"/>
    </w:rPr>
  </w:style>
  <w:style w:type="character" w:customStyle="1" w:styleId="228">
    <w:name w:val="Body Text Char"/>
    <w:autoRedefine/>
    <w:qFormat/>
    <w:locked/>
    <w:uiPriority w:val="0"/>
    <w:rPr>
      <w:rFonts w:ascii="宋体" w:hAnsi="宋体" w:eastAsia="宋体" w:cs="Times New Roman"/>
      <w:color w:val="0000FF"/>
      <w:kern w:val="2"/>
      <w:sz w:val="28"/>
      <w:lang w:val="en-US" w:eastAsia="zh-CN"/>
    </w:rPr>
  </w:style>
  <w:style w:type="paragraph" w:customStyle="1" w:styleId="229">
    <w:name w:val="正文２"/>
    <w:basedOn w:val="1"/>
    <w:autoRedefine/>
    <w:qFormat/>
    <w:uiPriority w:val="0"/>
    <w:pPr>
      <w:spacing w:line="400" w:lineRule="exact"/>
      <w:ind w:firstLine="480" w:firstLineChars="200"/>
    </w:pPr>
    <w:rPr>
      <w:rFonts w:cs="宋体"/>
      <w:szCs w:val="20"/>
    </w:rPr>
  </w:style>
  <w:style w:type="paragraph" w:customStyle="1" w:styleId="230">
    <w:name w:val="章"/>
    <w:basedOn w:val="1"/>
    <w:autoRedefine/>
    <w:qFormat/>
    <w:uiPriority w:val="0"/>
    <w:pPr>
      <w:spacing w:beforeLines="100" w:afterLines="100" w:line="300" w:lineRule="auto"/>
      <w:ind w:firstLine="200" w:firstLineChars="200"/>
      <w:jc w:val="center"/>
      <w:outlineLvl w:val="0"/>
    </w:pPr>
    <w:rPr>
      <w:b/>
      <w:bCs/>
      <w:sz w:val="28"/>
      <w:szCs w:val="28"/>
    </w:rPr>
  </w:style>
  <w:style w:type="character" w:customStyle="1" w:styleId="231">
    <w:name w:val="short_text"/>
    <w:autoRedefine/>
    <w:qFormat/>
    <w:uiPriority w:val="0"/>
  </w:style>
  <w:style w:type="character" w:customStyle="1" w:styleId="232">
    <w:name w:val="style41"/>
    <w:autoRedefine/>
    <w:qFormat/>
    <w:uiPriority w:val="0"/>
    <w:rPr>
      <w:color w:val="000000"/>
      <w:sz w:val="20"/>
    </w:rPr>
  </w:style>
  <w:style w:type="character" w:customStyle="1" w:styleId="233">
    <w:name w:val="rsdesckey1"/>
    <w:autoRedefine/>
    <w:uiPriority w:val="0"/>
    <w:rPr>
      <w:color w:val="FF0000"/>
    </w:rPr>
  </w:style>
  <w:style w:type="paragraph" w:customStyle="1" w:styleId="234">
    <w:name w:val="Default"/>
    <w:autoRedefine/>
    <w:qFormat/>
    <w:uiPriority w:val="0"/>
    <w:pPr>
      <w:widowControl w:val="0"/>
      <w:autoSpaceDE w:val="0"/>
      <w:autoSpaceDN w:val="0"/>
      <w:adjustRightInd w:val="0"/>
      <w:spacing w:line="400" w:lineRule="exact"/>
      <w:jc w:val="center"/>
    </w:pPr>
    <w:rPr>
      <w:rFonts w:ascii="宋体" w:hAnsi="Times New Roman" w:eastAsia="宋体" w:cs="宋体"/>
      <w:color w:val="000000"/>
      <w:sz w:val="24"/>
      <w:szCs w:val="24"/>
      <w:lang w:val="en-US" w:eastAsia="zh-CN" w:bidi="ar-SA"/>
    </w:rPr>
  </w:style>
  <w:style w:type="paragraph" w:customStyle="1" w:styleId="235">
    <w:name w:val="Char Char Char Char Char Char Char Char Char Char Char Char Char Char Char Char Char Char Char Char Char Char"/>
    <w:basedOn w:val="1"/>
    <w:autoRedefine/>
    <w:uiPriority w:val="0"/>
    <w:pPr>
      <w:widowControl/>
      <w:spacing w:after="160" w:line="240" w:lineRule="exact"/>
      <w:ind w:firstLine="200" w:firstLineChars="200"/>
      <w:jc w:val="left"/>
    </w:pPr>
    <w:rPr>
      <w:rFonts w:ascii="Arial" w:hAnsi="Arial" w:cs="Verdana"/>
      <w:b/>
      <w:kern w:val="0"/>
      <w:sz w:val="24"/>
      <w:lang w:eastAsia="en-US"/>
    </w:rPr>
  </w:style>
  <w:style w:type="paragraph" w:customStyle="1" w:styleId="236">
    <w:name w:val="Char Char"/>
    <w:basedOn w:val="1"/>
    <w:autoRedefine/>
    <w:qFormat/>
    <w:uiPriority w:val="0"/>
    <w:pPr>
      <w:widowControl/>
      <w:spacing w:after="160" w:line="240" w:lineRule="exact"/>
      <w:ind w:firstLine="200" w:firstLineChars="200"/>
      <w:jc w:val="left"/>
    </w:pPr>
    <w:rPr>
      <w:rFonts w:ascii="Arial" w:hAnsi="Arial" w:cs="Verdana"/>
      <w:b/>
      <w:kern w:val="0"/>
      <w:sz w:val="24"/>
      <w:lang w:eastAsia="en-US"/>
    </w:rPr>
  </w:style>
  <w:style w:type="paragraph" w:customStyle="1" w:styleId="237">
    <w:name w:val="表中文字"/>
    <w:autoRedefine/>
    <w:qFormat/>
    <w:uiPriority w:val="0"/>
    <w:pPr>
      <w:spacing w:line="400" w:lineRule="exact"/>
      <w:jc w:val="center"/>
    </w:pPr>
    <w:rPr>
      <w:rFonts w:ascii="Times New Roman" w:hAnsi="Times New Roman" w:eastAsia="宋体" w:cs="Times New Roman"/>
      <w:sz w:val="18"/>
      <w:lang w:val="en-US" w:eastAsia="zh-CN" w:bidi="ar-SA"/>
    </w:rPr>
  </w:style>
  <w:style w:type="paragraph" w:customStyle="1" w:styleId="238">
    <w:name w:val="段落"/>
    <w:autoRedefine/>
    <w:qFormat/>
    <w:uiPriority w:val="0"/>
    <w:pPr>
      <w:spacing w:line="310" w:lineRule="exact"/>
      <w:ind w:firstLine="200" w:firstLineChars="200"/>
      <w:jc w:val="center"/>
    </w:pPr>
    <w:rPr>
      <w:rFonts w:ascii="Times New Roman" w:hAnsi="Times New Roman" w:eastAsia="宋体" w:cs="Times New Roman"/>
      <w:sz w:val="21"/>
      <w:lang w:val="en-US" w:eastAsia="zh-CN" w:bidi="ar-SA"/>
    </w:rPr>
  </w:style>
  <w:style w:type="paragraph" w:customStyle="1" w:styleId="239">
    <w:name w:val="条文 0"/>
    <w:next w:val="238"/>
    <w:autoRedefine/>
    <w:qFormat/>
    <w:uiPriority w:val="0"/>
    <w:pPr>
      <w:spacing w:before="240" w:after="240" w:line="400" w:lineRule="exact"/>
      <w:jc w:val="center"/>
    </w:pPr>
    <w:rPr>
      <w:rFonts w:ascii="Times New Roman" w:hAnsi="Times New Roman" w:eastAsia="黑体" w:cs="Times New Roman"/>
      <w:sz w:val="21"/>
      <w:lang w:val="en-US" w:eastAsia="zh-CN" w:bidi="ar-SA"/>
    </w:rPr>
  </w:style>
  <w:style w:type="paragraph" w:customStyle="1" w:styleId="240">
    <w:name w:val="条文 1"/>
    <w:next w:val="238"/>
    <w:autoRedefine/>
    <w:qFormat/>
    <w:uiPriority w:val="0"/>
    <w:pPr>
      <w:spacing w:line="310" w:lineRule="exact"/>
      <w:ind w:left="630"/>
      <w:jc w:val="center"/>
    </w:pPr>
    <w:rPr>
      <w:rFonts w:ascii="Times New Roman" w:hAnsi="Times New Roman" w:eastAsia="黑体" w:cs="Times New Roman"/>
      <w:sz w:val="21"/>
      <w:lang w:val="en-US" w:eastAsia="zh-CN" w:bidi="ar-SA"/>
    </w:rPr>
  </w:style>
  <w:style w:type="paragraph" w:customStyle="1" w:styleId="241">
    <w:name w:val="条文 2"/>
    <w:next w:val="238"/>
    <w:autoRedefine/>
    <w:qFormat/>
    <w:uiPriority w:val="0"/>
    <w:pPr>
      <w:spacing w:line="310" w:lineRule="exact"/>
      <w:jc w:val="center"/>
    </w:pPr>
    <w:rPr>
      <w:rFonts w:ascii="Times New Roman" w:hAnsi="Times New Roman" w:eastAsia="黑体" w:cs="Times New Roman"/>
      <w:sz w:val="21"/>
      <w:lang w:val="en-US" w:eastAsia="zh-CN" w:bidi="ar-SA"/>
    </w:rPr>
  </w:style>
  <w:style w:type="paragraph" w:customStyle="1" w:styleId="242">
    <w:name w:val="条文 3"/>
    <w:next w:val="238"/>
    <w:autoRedefine/>
    <w:qFormat/>
    <w:uiPriority w:val="0"/>
    <w:pPr>
      <w:spacing w:line="310" w:lineRule="exact"/>
      <w:jc w:val="center"/>
    </w:pPr>
    <w:rPr>
      <w:rFonts w:ascii="Times New Roman" w:hAnsi="Times New Roman" w:eastAsia="黑体" w:cs="Times New Roman"/>
      <w:sz w:val="21"/>
      <w:lang w:val="en-US" w:eastAsia="zh-CN" w:bidi="ar-SA"/>
    </w:rPr>
  </w:style>
  <w:style w:type="paragraph" w:customStyle="1" w:styleId="243">
    <w:name w:val="条文 4"/>
    <w:next w:val="238"/>
    <w:autoRedefine/>
    <w:qFormat/>
    <w:uiPriority w:val="0"/>
    <w:pPr>
      <w:numPr>
        <w:ilvl w:val="4"/>
        <w:numId w:val="11"/>
      </w:numPr>
      <w:spacing w:line="310" w:lineRule="exact"/>
      <w:jc w:val="center"/>
    </w:pPr>
    <w:rPr>
      <w:rFonts w:ascii="Times New Roman" w:hAnsi="Times New Roman" w:eastAsia="黑体" w:cs="Times New Roman"/>
      <w:sz w:val="21"/>
      <w:lang w:val="en-US" w:eastAsia="zh-CN" w:bidi="ar-SA"/>
    </w:rPr>
  </w:style>
  <w:style w:type="paragraph" w:customStyle="1" w:styleId="244">
    <w:name w:val="条文 5"/>
    <w:next w:val="238"/>
    <w:autoRedefine/>
    <w:qFormat/>
    <w:uiPriority w:val="0"/>
    <w:pPr>
      <w:numPr>
        <w:ilvl w:val="5"/>
        <w:numId w:val="11"/>
      </w:numPr>
      <w:spacing w:line="310" w:lineRule="exact"/>
      <w:jc w:val="center"/>
    </w:pPr>
    <w:rPr>
      <w:rFonts w:ascii="Times New Roman" w:hAnsi="Times New Roman" w:eastAsia="黑体" w:cs="Times New Roman"/>
      <w:sz w:val="21"/>
      <w:lang w:val="en-US" w:eastAsia="zh-CN" w:bidi="ar-SA"/>
    </w:rPr>
  </w:style>
  <w:style w:type="paragraph" w:customStyle="1" w:styleId="245">
    <w:name w:val="条文 表"/>
    <w:next w:val="238"/>
    <w:autoRedefine/>
    <w:qFormat/>
    <w:uiPriority w:val="0"/>
    <w:pPr>
      <w:numPr>
        <w:ilvl w:val="6"/>
        <w:numId w:val="11"/>
      </w:numPr>
      <w:spacing w:line="400" w:lineRule="exact"/>
      <w:jc w:val="center"/>
    </w:pPr>
    <w:rPr>
      <w:rFonts w:ascii="Times New Roman" w:hAnsi="Times New Roman" w:eastAsia="黑体" w:cs="Times New Roman"/>
      <w:sz w:val="21"/>
      <w:lang w:val="en-US" w:eastAsia="zh-CN" w:bidi="ar-SA"/>
    </w:rPr>
  </w:style>
  <w:style w:type="paragraph" w:customStyle="1" w:styleId="246">
    <w:name w:val="条文 图"/>
    <w:next w:val="238"/>
    <w:qFormat/>
    <w:uiPriority w:val="0"/>
    <w:pPr>
      <w:numPr>
        <w:ilvl w:val="7"/>
        <w:numId w:val="11"/>
      </w:numPr>
      <w:spacing w:line="400" w:lineRule="exact"/>
      <w:jc w:val="center"/>
    </w:pPr>
    <w:rPr>
      <w:rFonts w:ascii="Times New Roman" w:hAnsi="Times New Roman" w:eastAsia="黑体" w:cs="Times New Roman"/>
      <w:sz w:val="21"/>
      <w:lang w:val="en-US" w:eastAsia="zh-CN" w:bidi="ar-SA"/>
    </w:rPr>
  </w:style>
  <w:style w:type="paragraph" w:customStyle="1" w:styleId="247">
    <w:name w:val="样式 四号"/>
    <w:basedOn w:val="1"/>
    <w:autoRedefine/>
    <w:qFormat/>
    <w:uiPriority w:val="0"/>
    <w:pPr>
      <w:spacing w:line="400" w:lineRule="exact"/>
      <w:ind w:firstLine="538" w:firstLineChars="192"/>
    </w:pPr>
    <w:rPr>
      <w:rFonts w:cs="宋体"/>
      <w:sz w:val="24"/>
      <w:szCs w:val="20"/>
    </w:rPr>
  </w:style>
  <w:style w:type="paragraph" w:customStyle="1" w:styleId="248">
    <w:name w:val="Char Char Char Char Char Char Char Char Char Char Char Char Char Char Char Char Char Char Char Char Char Char2"/>
    <w:basedOn w:val="1"/>
    <w:autoRedefine/>
    <w:qFormat/>
    <w:uiPriority w:val="0"/>
    <w:pPr>
      <w:widowControl/>
      <w:spacing w:after="160" w:line="240" w:lineRule="exact"/>
      <w:ind w:firstLine="200" w:firstLineChars="200"/>
      <w:jc w:val="left"/>
    </w:pPr>
    <w:rPr>
      <w:rFonts w:ascii="Arial" w:hAnsi="Arial" w:cs="Verdana"/>
      <w:b/>
      <w:kern w:val="0"/>
      <w:sz w:val="24"/>
      <w:lang w:eastAsia="en-US"/>
    </w:rPr>
  </w:style>
  <w:style w:type="paragraph" w:customStyle="1" w:styleId="249">
    <w:name w:val="Char"/>
    <w:basedOn w:val="1"/>
    <w:autoRedefine/>
    <w:qFormat/>
    <w:uiPriority w:val="0"/>
    <w:pPr>
      <w:widowControl/>
      <w:spacing w:after="160" w:line="240" w:lineRule="exact"/>
      <w:ind w:firstLine="200" w:firstLineChars="200"/>
      <w:jc w:val="left"/>
    </w:pPr>
    <w:rPr>
      <w:rFonts w:ascii="Verdana" w:hAnsi="Verdana"/>
      <w:kern w:val="0"/>
      <w:sz w:val="24"/>
      <w:szCs w:val="20"/>
      <w:lang w:eastAsia="en-US"/>
    </w:rPr>
  </w:style>
  <w:style w:type="paragraph" w:customStyle="1" w:styleId="250">
    <w:name w:val="列出段落1"/>
    <w:basedOn w:val="1"/>
    <w:autoRedefine/>
    <w:uiPriority w:val="34"/>
    <w:pPr>
      <w:spacing w:line="400" w:lineRule="exact"/>
      <w:ind w:firstLine="420" w:firstLineChars="200"/>
    </w:pPr>
  </w:style>
  <w:style w:type="character" w:customStyle="1" w:styleId="251">
    <w:name w:val="hps"/>
    <w:autoRedefine/>
    <w:qFormat/>
    <w:uiPriority w:val="0"/>
  </w:style>
  <w:style w:type="character" w:customStyle="1" w:styleId="252">
    <w:name w:val="apple-converted-space"/>
    <w:qFormat/>
    <w:uiPriority w:val="0"/>
  </w:style>
  <w:style w:type="character" w:customStyle="1" w:styleId="253">
    <w:name w:val="Comment Subject Char"/>
    <w:autoRedefine/>
    <w:qFormat/>
    <w:locked/>
    <w:uiPriority w:val="0"/>
    <w:rPr>
      <w:rFonts w:ascii="宋体" w:hAnsi="宋体" w:eastAsia="宋体" w:cs="Times New Roman"/>
      <w:b/>
      <w:kern w:val="2"/>
      <w:sz w:val="24"/>
      <w:lang w:val="en-US" w:eastAsia="zh-CN"/>
    </w:rPr>
  </w:style>
  <w:style w:type="paragraph" w:customStyle="1" w:styleId="254">
    <w:name w:val="正文１"/>
    <w:basedOn w:val="229"/>
    <w:autoRedefine/>
    <w:qFormat/>
    <w:uiPriority w:val="0"/>
    <w:pPr>
      <w:ind w:firstLine="0"/>
    </w:pPr>
  </w:style>
  <w:style w:type="paragraph" w:customStyle="1" w:styleId="255">
    <w:name w:val="标题２(hou)"/>
    <w:basedOn w:val="1"/>
    <w:autoRedefine/>
    <w:qFormat/>
    <w:uiPriority w:val="0"/>
    <w:pPr>
      <w:spacing w:beforeLines="50" w:afterLines="50" w:line="400" w:lineRule="exact"/>
      <w:ind w:firstLine="200" w:firstLineChars="200"/>
      <w:jc w:val="center"/>
    </w:pPr>
    <w:rPr>
      <w:rFonts w:eastAsia="黑体" w:cs="宋体"/>
      <w:b/>
      <w:bCs/>
      <w:szCs w:val="20"/>
    </w:rPr>
  </w:style>
  <w:style w:type="character" w:customStyle="1" w:styleId="256">
    <w:name w:val="Document Map Char"/>
    <w:autoRedefine/>
    <w:qFormat/>
    <w:locked/>
    <w:uiPriority w:val="0"/>
    <w:rPr>
      <w:rFonts w:ascii="宋体" w:hAnsi="Calibri"/>
      <w:kern w:val="2"/>
      <w:sz w:val="18"/>
    </w:rPr>
  </w:style>
  <w:style w:type="character" w:customStyle="1" w:styleId="257">
    <w:name w:val="Heading 3 Char1"/>
    <w:autoRedefine/>
    <w:qFormat/>
    <w:locked/>
    <w:uiPriority w:val="0"/>
    <w:rPr>
      <w:rFonts w:ascii="Calibri" w:hAnsi="Calibri" w:eastAsia="宋体"/>
      <w:b/>
      <w:kern w:val="2"/>
      <w:sz w:val="32"/>
      <w:lang w:val="en-US" w:eastAsia="zh-CN"/>
    </w:rPr>
  </w:style>
  <w:style w:type="character" w:customStyle="1" w:styleId="258">
    <w:name w:val="Normal (Web) Char"/>
    <w:autoRedefine/>
    <w:qFormat/>
    <w:locked/>
    <w:uiPriority w:val="0"/>
    <w:rPr>
      <w:rFonts w:ascii="宋体" w:hAnsi="宋体" w:eastAsia="宋体"/>
      <w:sz w:val="22"/>
      <w:lang w:val="en-US" w:eastAsia="zh-CN"/>
    </w:rPr>
  </w:style>
  <w:style w:type="character" w:customStyle="1" w:styleId="259">
    <w:name w:val="Header Char1"/>
    <w:autoRedefine/>
    <w:qFormat/>
    <w:locked/>
    <w:uiPriority w:val="0"/>
    <w:rPr>
      <w:rFonts w:ascii="Calibri" w:hAnsi="Calibri" w:eastAsia="宋体"/>
      <w:kern w:val="2"/>
      <w:sz w:val="18"/>
      <w:lang w:val="en-US" w:eastAsia="zh-CN"/>
    </w:rPr>
  </w:style>
  <w:style w:type="character" w:customStyle="1" w:styleId="260">
    <w:name w:val="Body Text Indent Char1"/>
    <w:autoRedefine/>
    <w:qFormat/>
    <w:locked/>
    <w:uiPriority w:val="0"/>
    <w:rPr>
      <w:rFonts w:ascii="宋体" w:hAnsi="宋体" w:eastAsia="宋体"/>
      <w:kern w:val="2"/>
      <w:sz w:val="24"/>
      <w:lang w:val="en-US" w:eastAsia="zh-CN"/>
    </w:rPr>
  </w:style>
  <w:style w:type="character" w:customStyle="1" w:styleId="261">
    <w:name w:val="Plain Text Char1"/>
    <w:autoRedefine/>
    <w:qFormat/>
    <w:locked/>
    <w:uiPriority w:val="0"/>
    <w:rPr>
      <w:rFonts w:ascii="宋体" w:hAnsi="宋体" w:eastAsia="宋体"/>
      <w:kern w:val="2"/>
      <w:sz w:val="21"/>
      <w:lang w:val="en-US" w:eastAsia="zh-CN"/>
    </w:rPr>
  </w:style>
  <w:style w:type="paragraph" w:customStyle="1" w:styleId="262">
    <w:name w:val="Char Char1"/>
    <w:basedOn w:val="1"/>
    <w:next w:val="12"/>
    <w:autoRedefine/>
    <w:qFormat/>
    <w:uiPriority w:val="0"/>
    <w:pPr>
      <w:widowControl/>
      <w:spacing w:after="160" w:line="240" w:lineRule="exact"/>
      <w:ind w:firstLine="200" w:firstLineChars="200"/>
      <w:jc w:val="left"/>
    </w:pPr>
    <w:rPr>
      <w:rFonts w:ascii="Arial" w:hAnsi="Arial" w:cs="Verdana"/>
      <w:b/>
      <w:kern w:val="0"/>
      <w:sz w:val="24"/>
      <w:lang w:eastAsia="en-US"/>
    </w:rPr>
  </w:style>
  <w:style w:type="paragraph" w:customStyle="1" w:styleId="263">
    <w:name w:val="Char Char Char Char Char Char Char Char Char Char Char Char Char Char Char Char Char Char Char Char Char Char1"/>
    <w:basedOn w:val="1"/>
    <w:next w:val="12"/>
    <w:autoRedefine/>
    <w:qFormat/>
    <w:uiPriority w:val="0"/>
    <w:pPr>
      <w:widowControl/>
      <w:spacing w:after="160" w:line="240" w:lineRule="exact"/>
      <w:ind w:firstLine="200" w:firstLineChars="200"/>
      <w:jc w:val="left"/>
    </w:pPr>
    <w:rPr>
      <w:rFonts w:ascii="Arial" w:hAnsi="Arial" w:cs="Verdana"/>
      <w:b/>
      <w:kern w:val="0"/>
      <w:sz w:val="24"/>
      <w:lang w:eastAsia="en-US"/>
    </w:rPr>
  </w:style>
  <w:style w:type="paragraph" w:customStyle="1" w:styleId="264">
    <w:name w:val="Char1"/>
    <w:basedOn w:val="1"/>
    <w:next w:val="12"/>
    <w:autoRedefine/>
    <w:qFormat/>
    <w:uiPriority w:val="0"/>
    <w:pPr>
      <w:widowControl/>
      <w:spacing w:after="160" w:line="240" w:lineRule="exact"/>
      <w:ind w:firstLine="200" w:firstLineChars="200"/>
      <w:jc w:val="left"/>
    </w:pPr>
    <w:rPr>
      <w:rFonts w:ascii="Verdana" w:hAnsi="Verdana"/>
      <w:kern w:val="0"/>
      <w:sz w:val="24"/>
      <w:szCs w:val="20"/>
      <w:lang w:eastAsia="en-US"/>
    </w:rPr>
  </w:style>
  <w:style w:type="character" w:customStyle="1" w:styleId="265">
    <w:name w:val="Footer Char1"/>
    <w:autoRedefine/>
    <w:locked/>
    <w:uiPriority w:val="0"/>
    <w:rPr>
      <w:rFonts w:ascii="宋体" w:hAnsi="宋体" w:eastAsia="宋体"/>
      <w:kern w:val="2"/>
      <w:sz w:val="18"/>
      <w:lang w:val="en-US" w:eastAsia="zh-CN"/>
    </w:rPr>
  </w:style>
  <w:style w:type="character" w:customStyle="1" w:styleId="266">
    <w:name w:val="Date Char1"/>
    <w:autoRedefine/>
    <w:qFormat/>
    <w:locked/>
    <w:uiPriority w:val="0"/>
    <w:rPr>
      <w:rFonts w:ascii="黑体" w:hAnsi="Courier New" w:eastAsia="黑体"/>
      <w:kern w:val="2"/>
      <w:sz w:val="21"/>
      <w:lang w:val="en-US" w:eastAsia="zh-CN"/>
    </w:rPr>
  </w:style>
  <w:style w:type="character" w:customStyle="1" w:styleId="267">
    <w:name w:val="Char Char13"/>
    <w:autoRedefine/>
    <w:qFormat/>
    <w:locked/>
    <w:uiPriority w:val="0"/>
    <w:rPr>
      <w:rFonts w:ascii="宋体" w:hAnsi="宋体" w:eastAsia="宋体"/>
      <w:color w:val="FF0000"/>
      <w:kern w:val="2"/>
      <w:sz w:val="24"/>
      <w:lang w:val="en-US" w:eastAsia="zh-CN"/>
    </w:rPr>
  </w:style>
  <w:style w:type="character" w:customStyle="1" w:styleId="268">
    <w:name w:val="Char Char7"/>
    <w:autoRedefine/>
    <w:qFormat/>
    <w:locked/>
    <w:uiPriority w:val="0"/>
    <w:rPr>
      <w:rFonts w:ascii="黑体" w:hAnsi="Courier New" w:eastAsia="黑体"/>
      <w:kern w:val="2"/>
      <w:sz w:val="21"/>
      <w:lang w:val="en-US" w:eastAsia="zh-CN"/>
    </w:rPr>
  </w:style>
  <w:style w:type="character" w:customStyle="1" w:styleId="269">
    <w:name w:val="Char Char2"/>
    <w:autoRedefine/>
    <w:qFormat/>
    <w:locked/>
    <w:uiPriority w:val="0"/>
    <w:rPr>
      <w:rFonts w:ascii="宋体" w:hAnsi="宋体" w:eastAsia="宋体"/>
      <w:sz w:val="22"/>
      <w:lang w:val="en-US" w:eastAsia="zh-CN"/>
    </w:rPr>
  </w:style>
  <w:style w:type="character" w:customStyle="1" w:styleId="270">
    <w:name w:val="Char Char18"/>
    <w:autoRedefine/>
    <w:qFormat/>
    <w:locked/>
    <w:uiPriority w:val="0"/>
    <w:rPr>
      <w:rFonts w:eastAsia="黑体"/>
      <w:b/>
      <w:kern w:val="44"/>
      <w:sz w:val="28"/>
    </w:rPr>
  </w:style>
  <w:style w:type="character" w:customStyle="1" w:styleId="271">
    <w:name w:val="Char Char17"/>
    <w:autoRedefine/>
    <w:qFormat/>
    <w:locked/>
    <w:uiPriority w:val="0"/>
    <w:rPr>
      <w:rFonts w:ascii="宋体" w:hAnsi="宋体" w:eastAsia="宋体"/>
      <w:sz w:val="24"/>
    </w:rPr>
  </w:style>
  <w:style w:type="character" w:customStyle="1" w:styleId="272">
    <w:name w:val="Char Char16"/>
    <w:autoRedefine/>
    <w:qFormat/>
    <w:locked/>
    <w:uiPriority w:val="0"/>
    <w:rPr>
      <w:rFonts w:eastAsia="黑体"/>
      <w:b/>
      <w:color w:val="000000"/>
      <w:spacing w:val="20"/>
      <w:sz w:val="24"/>
    </w:rPr>
  </w:style>
  <w:style w:type="character" w:customStyle="1" w:styleId="273">
    <w:name w:val="Char Char15"/>
    <w:autoRedefine/>
    <w:qFormat/>
    <w:locked/>
    <w:uiPriority w:val="0"/>
    <w:rPr>
      <w:rFonts w:ascii="Arial" w:hAnsi="Arial" w:eastAsia="黑体"/>
      <w:b/>
      <w:sz w:val="24"/>
    </w:rPr>
  </w:style>
  <w:style w:type="character" w:customStyle="1" w:styleId="274">
    <w:name w:val="Char Char12"/>
    <w:autoRedefine/>
    <w:qFormat/>
    <w:locked/>
    <w:uiPriority w:val="0"/>
    <w:rPr>
      <w:rFonts w:ascii="宋体" w:hAnsi="宋体" w:eastAsia="宋体"/>
      <w:sz w:val="18"/>
    </w:rPr>
  </w:style>
  <w:style w:type="character" w:customStyle="1" w:styleId="275">
    <w:name w:val="Char Char4"/>
    <w:autoRedefine/>
    <w:qFormat/>
    <w:locked/>
    <w:uiPriority w:val="0"/>
    <w:rPr>
      <w:rFonts w:ascii="宋体" w:hAnsi="宋体" w:eastAsia="宋体"/>
      <w:color w:val="0000FF"/>
      <w:sz w:val="28"/>
    </w:rPr>
  </w:style>
  <w:style w:type="character" w:customStyle="1" w:styleId="276">
    <w:name w:val="Char Char11"/>
    <w:autoRedefine/>
    <w:qFormat/>
    <w:locked/>
    <w:uiPriority w:val="0"/>
    <w:rPr>
      <w:rFonts w:ascii="宋体" w:hAnsi="宋体" w:eastAsia="宋体"/>
      <w:sz w:val="24"/>
    </w:rPr>
  </w:style>
  <w:style w:type="character" w:customStyle="1" w:styleId="277">
    <w:name w:val="Char Char10"/>
    <w:qFormat/>
    <w:locked/>
    <w:uiPriority w:val="0"/>
    <w:rPr>
      <w:rFonts w:ascii="黑体" w:hAnsi="Courier New" w:eastAsia="黑体"/>
    </w:rPr>
  </w:style>
  <w:style w:type="character" w:customStyle="1" w:styleId="278">
    <w:name w:val="Char Char9"/>
    <w:autoRedefine/>
    <w:qFormat/>
    <w:locked/>
    <w:uiPriority w:val="0"/>
    <w:rPr>
      <w:rFonts w:ascii="宋体" w:hAnsi="宋体" w:eastAsia="宋体"/>
      <w:sz w:val="18"/>
    </w:rPr>
  </w:style>
  <w:style w:type="character" w:customStyle="1" w:styleId="279">
    <w:name w:val="Char Char3"/>
    <w:autoRedefine/>
    <w:qFormat/>
    <w:locked/>
    <w:uiPriority w:val="0"/>
    <w:rPr>
      <w:rFonts w:ascii="宋体" w:hAnsi="宋体" w:eastAsia="宋体"/>
      <w:sz w:val="28"/>
    </w:rPr>
  </w:style>
  <w:style w:type="character" w:customStyle="1" w:styleId="280">
    <w:name w:val="Char Char8"/>
    <w:autoRedefine/>
    <w:qFormat/>
    <w:locked/>
    <w:uiPriority w:val="0"/>
    <w:rPr>
      <w:rFonts w:ascii="宋体" w:hAnsi="宋体" w:eastAsia="宋体"/>
    </w:rPr>
  </w:style>
  <w:style w:type="character" w:customStyle="1" w:styleId="281">
    <w:name w:val="Char Char6"/>
    <w:autoRedefine/>
    <w:qFormat/>
    <w:locked/>
    <w:uiPriority w:val="0"/>
    <w:rPr>
      <w:rFonts w:ascii="宋体" w:hAnsi="宋体" w:eastAsia="宋体"/>
    </w:rPr>
  </w:style>
  <w:style w:type="character" w:customStyle="1" w:styleId="282">
    <w:name w:val="Title Char1"/>
    <w:autoRedefine/>
    <w:qFormat/>
    <w:locked/>
    <w:uiPriority w:val="0"/>
    <w:rPr>
      <w:rFonts w:ascii="宋体" w:hAnsi="宋体" w:eastAsia="宋体"/>
      <w:b/>
      <w:sz w:val="24"/>
    </w:rPr>
  </w:style>
  <w:style w:type="character" w:customStyle="1" w:styleId="283">
    <w:name w:val="Char Char14"/>
    <w:autoRedefine/>
    <w:qFormat/>
    <w:locked/>
    <w:uiPriority w:val="0"/>
    <w:rPr>
      <w:rFonts w:eastAsia="黑体"/>
      <w:b/>
      <w:kern w:val="44"/>
      <w:sz w:val="28"/>
      <w:lang w:val="en-US" w:eastAsia="zh-CN"/>
    </w:rPr>
  </w:style>
  <w:style w:type="character" w:customStyle="1" w:styleId="284">
    <w:name w:val="Char Char5"/>
    <w:autoRedefine/>
    <w:qFormat/>
    <w:locked/>
    <w:uiPriority w:val="0"/>
    <w:rPr>
      <w:rFonts w:ascii="宋体" w:hAnsi="宋体" w:eastAsia="宋体"/>
      <w:kern w:val="2"/>
      <w:sz w:val="21"/>
      <w:lang w:val="en-US" w:eastAsia="zh-CN"/>
    </w:rPr>
  </w:style>
  <w:style w:type="character" w:customStyle="1" w:styleId="285">
    <w:name w:val="con"/>
    <w:autoRedefine/>
    <w:qFormat/>
    <w:uiPriority w:val="0"/>
  </w:style>
  <w:style w:type="character" w:customStyle="1" w:styleId="286">
    <w:name w:val="op_dict_text22"/>
    <w:autoRedefine/>
    <w:qFormat/>
    <w:uiPriority w:val="0"/>
  </w:style>
  <w:style w:type="character" w:customStyle="1" w:styleId="287">
    <w:name w:val="Subtitle Char"/>
    <w:autoRedefine/>
    <w:qFormat/>
    <w:locked/>
    <w:uiPriority w:val="0"/>
    <w:rPr>
      <w:rFonts w:ascii="Cambria" w:hAnsi="Cambria" w:eastAsia="宋体"/>
      <w:b/>
      <w:kern w:val="28"/>
      <w:sz w:val="32"/>
      <w:lang w:val="en-US" w:eastAsia="zh-CN"/>
    </w:rPr>
  </w:style>
  <w:style w:type="character" w:customStyle="1" w:styleId="288">
    <w:name w:val="Char Char20"/>
    <w:qFormat/>
    <w:locked/>
    <w:uiPriority w:val="0"/>
    <w:rPr>
      <w:rFonts w:eastAsia="黑体"/>
      <w:b/>
      <w:kern w:val="44"/>
      <w:sz w:val="28"/>
      <w:lang w:val="en-US" w:eastAsia="zh-CN"/>
    </w:rPr>
  </w:style>
  <w:style w:type="character" w:customStyle="1" w:styleId="289">
    <w:name w:val="Char Char19"/>
    <w:autoRedefine/>
    <w:qFormat/>
    <w:locked/>
    <w:uiPriority w:val="0"/>
    <w:rPr>
      <w:rFonts w:eastAsia="宋体"/>
      <w:b/>
      <w:kern w:val="2"/>
      <w:sz w:val="28"/>
      <w:lang w:val="en-US" w:eastAsia="zh-CN"/>
    </w:rPr>
  </w:style>
  <w:style w:type="paragraph" w:customStyle="1" w:styleId="290">
    <w:name w:val="reader-word-layer"/>
    <w:basedOn w:val="1"/>
    <w:next w:val="12"/>
    <w:autoRedefine/>
    <w:qFormat/>
    <w:uiPriority w:val="0"/>
    <w:pPr>
      <w:widowControl/>
      <w:spacing w:before="100" w:beforeAutospacing="1" w:after="100" w:afterAutospacing="1" w:line="400" w:lineRule="exact"/>
      <w:ind w:firstLine="200" w:firstLineChars="200"/>
      <w:jc w:val="left"/>
    </w:pPr>
    <w:rPr>
      <w:rFonts w:ascii="宋体" w:hAnsi="宋体" w:cs="宋体"/>
      <w:kern w:val="0"/>
      <w:sz w:val="24"/>
    </w:rPr>
  </w:style>
  <w:style w:type="character" w:customStyle="1" w:styleId="291">
    <w:name w:val="label_list1"/>
    <w:autoRedefine/>
    <w:qFormat/>
    <w:uiPriority w:val="0"/>
  </w:style>
  <w:style w:type="paragraph" w:customStyle="1" w:styleId="292">
    <w:name w:val="Char Char21"/>
    <w:basedOn w:val="1"/>
    <w:next w:val="12"/>
    <w:autoRedefine/>
    <w:qFormat/>
    <w:uiPriority w:val="0"/>
    <w:pPr>
      <w:widowControl/>
      <w:spacing w:after="160" w:line="240" w:lineRule="exact"/>
      <w:ind w:firstLine="200" w:firstLineChars="200"/>
      <w:jc w:val="left"/>
    </w:pPr>
    <w:rPr>
      <w:rFonts w:ascii="Arial" w:hAnsi="Arial" w:cs="Verdana"/>
      <w:b/>
      <w:kern w:val="0"/>
      <w:sz w:val="24"/>
      <w:lang w:eastAsia="en-US"/>
    </w:rPr>
  </w:style>
  <w:style w:type="paragraph" w:customStyle="1" w:styleId="293">
    <w:name w:val="Char Char110"/>
    <w:basedOn w:val="1"/>
    <w:next w:val="12"/>
    <w:autoRedefine/>
    <w:qFormat/>
    <w:uiPriority w:val="0"/>
    <w:pPr>
      <w:widowControl/>
      <w:spacing w:after="160" w:line="240" w:lineRule="exact"/>
      <w:ind w:firstLine="200" w:firstLineChars="200"/>
      <w:jc w:val="left"/>
    </w:pPr>
    <w:rPr>
      <w:rFonts w:ascii="Arial" w:hAnsi="Arial" w:cs="Verdana"/>
      <w:b/>
      <w:kern w:val="0"/>
      <w:sz w:val="24"/>
      <w:lang w:eastAsia="en-US"/>
    </w:rPr>
  </w:style>
  <w:style w:type="character" w:customStyle="1" w:styleId="294">
    <w:name w:val="副标题 Char1"/>
    <w:autoRedefine/>
    <w:qFormat/>
    <w:uiPriority w:val="0"/>
    <w:rPr>
      <w:rFonts w:ascii="Cambria" w:hAnsi="Cambria" w:eastAsia="宋体"/>
      <w:b/>
      <w:kern w:val="28"/>
      <w:sz w:val="32"/>
    </w:rPr>
  </w:style>
  <w:style w:type="character" w:customStyle="1" w:styleId="295">
    <w:name w:val="标题 Char1"/>
    <w:autoRedefine/>
    <w:qFormat/>
    <w:uiPriority w:val="0"/>
    <w:rPr>
      <w:rFonts w:ascii="Cambria" w:hAnsi="Cambria" w:eastAsia="宋体"/>
      <w:b/>
      <w:sz w:val="32"/>
    </w:rPr>
  </w:style>
  <w:style w:type="character" w:customStyle="1" w:styleId="296">
    <w:name w:val="Plain Text Char2"/>
    <w:autoRedefine/>
    <w:qFormat/>
    <w:locked/>
    <w:uiPriority w:val="0"/>
    <w:rPr>
      <w:rFonts w:ascii="宋体" w:hAnsi="宋体" w:eastAsia="宋体"/>
      <w:kern w:val="2"/>
      <w:sz w:val="21"/>
      <w:lang w:val="en-US" w:eastAsia="zh-CN"/>
    </w:rPr>
  </w:style>
  <w:style w:type="paragraph" w:customStyle="1" w:styleId="297">
    <w:name w:val="TOC 标题11"/>
    <w:basedOn w:val="2"/>
    <w:next w:val="1"/>
    <w:autoRedefine/>
    <w:uiPriority w:val="0"/>
    <w:pPr>
      <w:widowControl/>
      <w:spacing w:beforeLines="100" w:afterLines="100" w:line="276" w:lineRule="auto"/>
      <w:jc w:val="left"/>
      <w:outlineLvl w:val="9"/>
    </w:pPr>
    <w:rPr>
      <w:rFonts w:ascii="Cambria" w:hAnsi="Cambria" w:eastAsia="宋体" w:cs="Times New Roman"/>
      <w:b w:val="0"/>
      <w:bCs w:val="0"/>
      <w:color w:val="365F91"/>
      <w:kern w:val="0"/>
      <w:sz w:val="28"/>
      <w:szCs w:val="20"/>
    </w:rPr>
  </w:style>
  <w:style w:type="paragraph" w:customStyle="1" w:styleId="298">
    <w:name w:val="列出段落2"/>
    <w:basedOn w:val="1"/>
    <w:autoRedefine/>
    <w:qFormat/>
    <w:uiPriority w:val="34"/>
    <w:pPr>
      <w:spacing w:line="400" w:lineRule="exact"/>
      <w:ind w:firstLine="420" w:firstLineChars="200"/>
    </w:pPr>
  </w:style>
  <w:style w:type="table" w:customStyle="1" w:styleId="299">
    <w:name w:val="网格型7"/>
    <w:basedOn w:val="50"/>
    <w:autoRedefine/>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
    <w:name w:val="中等深浅网格 3 - 着色 51"/>
    <w:basedOn w:val="50"/>
    <w:autoRedefine/>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D2EAF1"/>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BACC6"/>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BACC6"/>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customStyle="1" w:styleId="301">
    <w:name w:val="浅色底纹1"/>
    <w:basedOn w:val="50"/>
    <w:autoRedefine/>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302">
    <w:name w:val="浅色底纹2"/>
    <w:basedOn w:val="50"/>
    <w:autoRedefine/>
    <w:semiHidden/>
    <w:unhideWhenUsed/>
    <w:qFormat/>
    <w:uiPriority w:val="60"/>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paragraph" w:customStyle="1" w:styleId="303">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table" w:customStyle="1" w:styleId="304">
    <w:name w:val="网格型8"/>
    <w:basedOn w:val="5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05">
    <w:name w:val="fontstyle01"/>
    <w:basedOn w:val="53"/>
    <w:autoRedefine/>
    <w:qFormat/>
    <w:uiPriority w:val="0"/>
    <w:rPr>
      <w:rFonts w:hint="default" w:ascii="TimesNewRomanPS-BoldMT" w:hAnsi="TimesNewRomanPS-BoldMT"/>
      <w:b/>
      <w:bCs/>
      <w:color w:val="000000"/>
      <w:sz w:val="22"/>
      <w:szCs w:val="22"/>
    </w:rPr>
  </w:style>
  <w:style w:type="character" w:customStyle="1" w:styleId="306">
    <w:name w:val="fontstyle21"/>
    <w:basedOn w:val="53"/>
    <w:autoRedefine/>
    <w:qFormat/>
    <w:uiPriority w:val="0"/>
    <w:rPr>
      <w:rFonts w:hint="eastAsia" w:ascii="宋体" w:hAnsi="宋体" w:eastAsia="宋体"/>
      <w:color w:val="000000"/>
      <w:sz w:val="22"/>
      <w:szCs w:val="22"/>
    </w:rPr>
  </w:style>
  <w:style w:type="character" w:customStyle="1" w:styleId="307">
    <w:name w:val="fontstyle31"/>
    <w:basedOn w:val="53"/>
    <w:autoRedefine/>
    <w:qFormat/>
    <w:uiPriority w:val="0"/>
    <w:rPr>
      <w:rFonts w:hint="default" w:ascii="TimesNewRomanPS-ItalicMT" w:hAnsi="TimesNewRomanPS-ItalicMT"/>
      <w:i/>
      <w:iCs/>
      <w:color w:val="000000"/>
      <w:sz w:val="22"/>
      <w:szCs w:val="22"/>
    </w:rPr>
  </w:style>
  <w:style w:type="character" w:customStyle="1" w:styleId="308">
    <w:name w:val="fontstyle41"/>
    <w:basedOn w:val="53"/>
    <w:autoRedefine/>
    <w:qFormat/>
    <w:uiPriority w:val="0"/>
    <w:rPr>
      <w:rFonts w:hint="default" w:ascii="TimesNewRomanPSMT" w:hAnsi="TimesNewRomanPSMT"/>
      <w:color w:val="000000"/>
      <w:sz w:val="14"/>
      <w:szCs w:val="14"/>
    </w:rPr>
  </w:style>
  <w:style w:type="character" w:customStyle="1" w:styleId="309">
    <w:name w:val="fontstyle51"/>
    <w:basedOn w:val="53"/>
    <w:autoRedefine/>
    <w:uiPriority w:val="0"/>
    <w:rPr>
      <w:rFonts w:hint="default" w:ascii="Italic" w:hAnsi="Italic" w:cs="Italic"/>
      <w:i/>
      <w:iCs/>
      <w:color w:val="000000"/>
      <w:sz w:val="22"/>
      <w:szCs w:val="22"/>
    </w:rPr>
  </w:style>
  <w:style w:type="paragraph" w:customStyle="1" w:styleId="310">
    <w:name w:val="样式 标题 2 + 黑色"/>
    <w:basedOn w:val="3"/>
    <w:autoRedefine/>
    <w:qFormat/>
    <w:uiPriority w:val="0"/>
    <w:pPr>
      <w:spacing w:beforeLines="100" w:afterLines="100" w:line="360" w:lineRule="auto"/>
      <w:jc w:val="center"/>
    </w:pPr>
    <w:rPr>
      <w:rFonts w:ascii="Times New Roman" w:hAnsi="Times New Roman" w:eastAsia="黑体" w:cs="Times New Roman"/>
      <w:b w:val="0"/>
      <w:color w:val="000000"/>
      <w:sz w:val="21"/>
      <w:szCs w:val="21"/>
    </w:rPr>
  </w:style>
  <w:style w:type="table" w:customStyle="1" w:styleId="311">
    <w:name w:val="浅色底纹3"/>
    <w:basedOn w:val="50"/>
    <w:autoRedefine/>
    <w:unhideWhenUsed/>
    <w:qFormat/>
    <w:uiPriority w:val="60"/>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table" w:customStyle="1" w:styleId="312">
    <w:name w:val="网格型10"/>
    <w:basedOn w:val="5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13">
    <w:name w:val="目录"/>
    <w:basedOn w:val="1"/>
    <w:link w:val="314"/>
    <w:autoRedefine/>
    <w:qFormat/>
    <w:uiPriority w:val="0"/>
    <w:pPr>
      <w:spacing w:line="400" w:lineRule="exact"/>
      <w:jc w:val="center"/>
    </w:pPr>
    <w:rPr>
      <w:rFonts w:eastAsia="黑体"/>
      <w:szCs w:val="22"/>
    </w:rPr>
  </w:style>
  <w:style w:type="character" w:customStyle="1" w:styleId="314">
    <w:name w:val="目录 字符"/>
    <w:basedOn w:val="53"/>
    <w:link w:val="313"/>
    <w:autoRedefine/>
    <w:qFormat/>
    <w:uiPriority w:val="0"/>
    <w:rPr>
      <w:rFonts w:eastAsia="黑体"/>
      <w:kern w:val="2"/>
      <w:sz w:val="21"/>
      <w:szCs w:val="22"/>
    </w:rPr>
  </w:style>
  <w:style w:type="paragraph" w:customStyle="1" w:styleId="315">
    <w:name w:val="公式格式"/>
    <w:basedOn w:val="1"/>
    <w:link w:val="316"/>
    <w:qFormat/>
    <w:uiPriority w:val="0"/>
    <w:pPr>
      <w:wordWrap w:val="0"/>
      <w:jc w:val="right"/>
    </w:pPr>
    <w:rPr>
      <w:szCs w:val="22"/>
    </w:rPr>
  </w:style>
  <w:style w:type="character" w:customStyle="1" w:styleId="316">
    <w:name w:val="公式格式 字符"/>
    <w:basedOn w:val="53"/>
    <w:link w:val="315"/>
    <w:autoRedefine/>
    <w:uiPriority w:val="0"/>
    <w:rPr>
      <w:kern w:val="2"/>
      <w:sz w:val="21"/>
      <w:szCs w:val="22"/>
    </w:rPr>
  </w:style>
  <w:style w:type="character" w:customStyle="1" w:styleId="317">
    <w:name w:val="说明正文 Char Char"/>
    <w:link w:val="318"/>
    <w:uiPriority w:val="0"/>
    <w:rPr>
      <w:color w:val="000000"/>
      <w:spacing w:val="8"/>
      <w:kern w:val="24"/>
      <w:sz w:val="24"/>
      <w:szCs w:val="24"/>
    </w:rPr>
  </w:style>
  <w:style w:type="paragraph" w:customStyle="1" w:styleId="318">
    <w:name w:val="说明正文"/>
    <w:basedOn w:val="10"/>
    <w:link w:val="317"/>
    <w:autoRedefine/>
    <w:qFormat/>
    <w:uiPriority w:val="0"/>
    <w:pPr>
      <w:tabs>
        <w:tab w:val="clear" w:pos="547"/>
        <w:tab w:val="clear" w:pos="1080"/>
      </w:tabs>
      <w:adjustRightInd w:val="0"/>
      <w:snapToGrid w:val="0"/>
      <w:spacing w:line="360" w:lineRule="auto"/>
      <w:ind w:firstLine="480"/>
      <w:textAlignment w:val="baseline"/>
    </w:pPr>
    <w:rPr>
      <w:color w:val="000000"/>
      <w:spacing w:val="8"/>
      <w:kern w:val="24"/>
      <w:sz w:val="24"/>
    </w:rPr>
  </w:style>
  <w:style w:type="paragraph" w:customStyle="1" w:styleId="319">
    <w:name w:val="_Style 13"/>
    <w:basedOn w:val="1"/>
    <w:autoRedefine/>
    <w:qFormat/>
    <w:uiPriority w:val="34"/>
    <w:pPr>
      <w:ind w:firstLine="420" w:firstLineChars="200"/>
    </w:pPr>
    <w:rPr>
      <w:szCs w:val="20"/>
    </w:rPr>
  </w:style>
  <w:style w:type="paragraph" w:customStyle="1" w:styleId="320">
    <w:name w:val="正文格式"/>
    <w:basedOn w:val="1"/>
    <w:autoRedefine/>
    <w:qFormat/>
    <w:uiPriority w:val="0"/>
    <w:pPr>
      <w:adjustRightInd w:val="0"/>
      <w:snapToGrid w:val="0"/>
      <w:spacing w:line="360" w:lineRule="auto"/>
      <w:ind w:firstLine="200" w:firstLineChars="200"/>
      <w:jc w:val="left"/>
    </w:pPr>
    <w:rPr>
      <w:sz w:val="24"/>
    </w:rPr>
  </w:style>
  <w:style w:type="paragraph" w:customStyle="1" w:styleId="321">
    <w:name w:val="正 文"/>
    <w:basedOn w:val="1"/>
    <w:link w:val="322"/>
    <w:qFormat/>
    <w:uiPriority w:val="5"/>
    <w:pPr>
      <w:adjustRightInd w:val="0"/>
      <w:spacing w:line="360" w:lineRule="auto"/>
      <w:ind w:firstLine="480" w:firstLineChars="200"/>
    </w:pPr>
    <w:rPr>
      <w:kern w:val="0"/>
      <w:sz w:val="24"/>
      <w:szCs w:val="20"/>
    </w:rPr>
  </w:style>
  <w:style w:type="character" w:customStyle="1" w:styleId="322">
    <w:name w:val="正 文 Char"/>
    <w:link w:val="321"/>
    <w:autoRedefine/>
    <w:uiPriority w:val="5"/>
    <w:rPr>
      <w:sz w:val="24"/>
    </w:rPr>
  </w:style>
  <w:style w:type="table" w:customStyle="1" w:styleId="323">
    <w:name w:val="网格型12"/>
    <w:basedOn w:val="5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4">
    <w:name w:val="网格型13"/>
    <w:basedOn w:val="50"/>
    <w:qFormat/>
    <w:uiPriority w:val="3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5">
    <w:name w:val="TOC 标题2"/>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table" w:customStyle="1" w:styleId="326">
    <w:name w:val="网格型14"/>
    <w:basedOn w:val="5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7">
    <w:name w:val="修订2"/>
    <w:hidden/>
    <w:semiHidden/>
    <w:uiPriority w:val="99"/>
    <w:rPr>
      <w:rFonts w:asciiTheme="minorHAnsi" w:hAnsiTheme="minorHAnsi" w:eastAsiaTheme="minorEastAsia" w:cstheme="minorBidi"/>
      <w:kern w:val="2"/>
      <w:sz w:val="21"/>
      <w:szCs w:val="22"/>
      <w:lang w:val="en-US" w:eastAsia="zh-CN" w:bidi="ar-SA"/>
    </w:rPr>
  </w:style>
  <w:style w:type="paragraph" w:customStyle="1" w:styleId="328">
    <w:name w:val="标准文件_段"/>
    <w:link w:val="32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29">
    <w:name w:val="标准文件_段 Char"/>
    <w:link w:val="328"/>
    <w:qFormat/>
    <w:uiPriority w:val="0"/>
    <w:rPr>
      <w:rFonts w:ascii="宋体"/>
      <w:sz w:val="21"/>
    </w:rPr>
  </w:style>
  <w:style w:type="table" w:customStyle="1" w:styleId="330">
    <w:name w:val="网格型15"/>
    <w:basedOn w:val="50"/>
    <w:autoRedefine/>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31">
    <w:name w:val="标准文件_文件编号"/>
    <w:basedOn w:val="328"/>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332">
    <w:name w:val="标准文件_替换文件编号"/>
    <w:basedOn w:val="331"/>
    <w:autoRedefine/>
    <w:qFormat/>
    <w:uiPriority w:val="0"/>
    <w:pPr>
      <w:framePr/>
      <w:spacing w:before="57"/>
    </w:pPr>
    <w:rPr>
      <w:sz w:val="21"/>
    </w:rPr>
  </w:style>
  <w:style w:type="paragraph" w:customStyle="1" w:styleId="333">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6.jpeg"/><Relationship Id="rId16" Type="http://schemas.openxmlformats.org/officeDocument/2006/relationships/image" Target="media/image5.wmf"/><Relationship Id="rId15" Type="http://schemas.openxmlformats.org/officeDocument/2006/relationships/oleObject" Target="embeddings/oleObject4.bin"/><Relationship Id="rId14" Type="http://schemas.openxmlformats.org/officeDocument/2006/relationships/image" Target="media/image4.wmf"/><Relationship Id="rId13" Type="http://schemas.openxmlformats.org/officeDocument/2006/relationships/oleObject" Target="embeddings/oleObject3.bin"/><Relationship Id="rId12" Type="http://schemas.openxmlformats.org/officeDocument/2006/relationships/image" Target="media/image3.emf"/><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40"/>
    <customShpInfo spid="_x0000_s1037"/>
    <customShpInfo spid="_x0000_s1039"/>
    <customShpInfo spid="_x0000_s1038"/>
    <customShpInfo spid="_x0000_s1035"/>
    <customShpInfo spid="_x0000_s103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DE4405-E345-4604-AA52-593B8BBB4FD1}">
  <ds:schemaRefs/>
</ds:datastoreItem>
</file>

<file path=docProps/app.xml><?xml version="1.0" encoding="utf-8"?>
<Properties xmlns="http://schemas.openxmlformats.org/officeDocument/2006/extended-properties" xmlns:vt="http://schemas.openxmlformats.org/officeDocument/2006/docPropsVTypes">
  <Template>Normal</Template>
  <Pages>24</Pages>
  <Words>2927</Words>
  <Characters>16684</Characters>
  <Lines>139</Lines>
  <Paragraphs>39</Paragraphs>
  <TotalTime>0</TotalTime>
  <ScaleCrop>false</ScaleCrop>
  <LinksUpToDate>false</LinksUpToDate>
  <CharactersWithSpaces>19572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2009-06-19T05:05:00Z</dcterms:created>
  <dcterms:modified xsi:type="dcterms:W3CDTF">2024-02-27T08:57:37Z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B9866D38EB5D4A5A9AFB8378E5209A56_12</vt:lpwstr>
  </property>
</Properties>
</file>