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65.020.99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B04</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耕地和林地损害程度鉴定规范</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w:t>
      </w:r>
      <w:r>
        <w:rPr>
          <w:rFonts w:hint="eastAsia" w:ascii="黑体" w:hAnsi="黑体" w:eastAsia="黑体"/>
          <w:szCs w:val="28"/>
        </w:rPr>
        <w:t>p</w:t>
      </w:r>
      <w:r>
        <w:rPr>
          <w:rFonts w:ascii="黑体" w:hAnsi="黑体" w:eastAsia="黑体"/>
          <w:szCs w:val="28"/>
        </w:rPr>
        <w:t>ecification for identification of damage degree of cultivated land and forest land</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after="468"/>
      </w:pPr>
      <w:bookmarkStart w:id="21" w:name="BookMark1"/>
      <w:bookmarkStart w:id="22" w:name="_Toc153908916"/>
      <w:bookmarkStart w:id="23" w:name="_Toc155338807"/>
      <w:bookmarkStart w:id="24" w:name="_Toc155203360"/>
      <w:bookmarkStart w:id="25" w:name="_Toc146196205"/>
      <w:bookmarkStart w:id="26" w:name="_Toc155274983"/>
      <w:bookmarkStart w:id="27" w:name="_Toc146195885"/>
      <w:bookmarkStart w:id="28" w:name="_Toc146195835"/>
      <w:bookmarkStart w:id="29" w:name="_Toc153908822"/>
      <w:bookmarkStart w:id="30" w:name="_Toc155283168"/>
      <w:bookmarkStart w:id="31" w:name="_Toc146196243"/>
      <w:bookmarkStart w:id="32" w:name="_Toc155099975"/>
      <w:bookmarkStart w:id="33" w:name="_Toc155203656"/>
      <w:bookmarkStart w:id="34" w:name="_Toc15520398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"_Toc155338914" </w:instrText>
      </w:r>
      <w:r>
        <w:fldChar w:fldCharType="separate"/>
      </w:r>
      <w:r>
        <w:rPr>
          <w:rStyle w:val="34"/>
        </w:rPr>
        <w:t>前言</w:t>
      </w:r>
      <w:r>
        <w:tab/>
      </w:r>
      <w:r>
        <w:fldChar w:fldCharType="begin"/>
      </w:r>
      <w:r>
        <w:instrText xml:space="preserve"> PAGEREF _Toc155338914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"_Toc155338915" </w:instrText>
      </w:r>
      <w:r>
        <w:fldChar w:fldCharType="separate"/>
      </w:r>
      <w:r>
        <w:rPr>
          <w:rStyle w:val="34"/>
        </w:rPr>
        <w:t>引言</w:t>
      </w:r>
      <w:r>
        <w:tab/>
      </w:r>
      <w:r>
        <w:fldChar w:fldCharType="begin"/>
      </w:r>
      <w:r>
        <w:instrText xml:space="preserve"> PAGEREF _Toc155338915 \h </w:instrText>
      </w:r>
      <w:r>
        <w:fldChar w:fldCharType="separate"/>
      </w:r>
      <w:r>
        <w:t>IV</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"_Toc155338916" </w:instrText>
      </w:r>
      <w:r>
        <w:fldChar w:fldCharType="separate"/>
      </w:r>
      <w:r>
        <w:rPr>
          <w:rStyle w:val="34"/>
        </w:rPr>
        <w:t>1  范围</w:t>
      </w:r>
      <w:r>
        <w:tab/>
      </w:r>
      <w:r>
        <w:fldChar w:fldCharType="begin"/>
      </w:r>
      <w:r>
        <w:instrText xml:space="preserve"> PAGEREF _Toc155338916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"_Toc155338917" </w:instrText>
      </w:r>
      <w:r>
        <w:fldChar w:fldCharType="separate"/>
      </w:r>
      <w:r>
        <w:rPr>
          <w:rStyle w:val="34"/>
        </w:rPr>
        <w:t>2  规范性引用文件</w:t>
      </w:r>
      <w:r>
        <w:tab/>
      </w:r>
      <w:r>
        <w:fldChar w:fldCharType="begin"/>
      </w:r>
      <w:r>
        <w:instrText xml:space="preserve"> PAGEREF _Toc155338917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"_Toc155338918" </w:instrText>
      </w:r>
      <w:r>
        <w:fldChar w:fldCharType="separate"/>
      </w:r>
      <w:r>
        <w:rPr>
          <w:rStyle w:val="34"/>
        </w:rPr>
        <w:t>3  术语和定义</w:t>
      </w:r>
      <w:r>
        <w:tab/>
      </w:r>
      <w:r>
        <w:fldChar w:fldCharType="begin"/>
      </w:r>
      <w:r>
        <w:instrText xml:space="preserve"> PAGEREF _Toc155338918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"_Toc155338919" </w:instrText>
      </w:r>
      <w:r>
        <w:fldChar w:fldCharType="separate"/>
      </w:r>
      <w:r>
        <w:rPr>
          <w:rStyle w:val="34"/>
        </w:rPr>
        <w:t>4  鉴定机构</w:t>
      </w:r>
      <w:r>
        <w:tab/>
      </w:r>
      <w:r>
        <w:fldChar w:fldCharType="begin"/>
      </w:r>
      <w:r>
        <w:instrText xml:space="preserve"> PAGEREF _Toc155338919 \h </w:instrText>
      </w:r>
      <w:r>
        <w:fldChar w:fldCharType="separate"/>
      </w:r>
      <w:r>
        <w:t>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"_Toc155338920" </w:instrText>
      </w:r>
      <w:r>
        <w:fldChar w:fldCharType="separate"/>
      </w:r>
      <w:r>
        <w:rPr>
          <w:rStyle w:val="34"/>
          <w:rFonts w:hAnsi="黑体"/>
          <w14:scene3d w14:prst="orthographicFront">
            <w14:lightRig w14:rig="threePt" w14:dir="t">
              <w14:rot w14:lat="0" w14:lon="0" w14:rev="0"/>
            </w14:lightRig>
          </w14:scene3d>
        </w:rPr>
        <w:t xml:space="preserve">4.1 </w:t>
      </w:r>
      <w:r>
        <w:rPr>
          <w:rStyle w:val="34"/>
        </w:rPr>
        <w:t xml:space="preserve"> 资质</w:t>
      </w:r>
      <w:r>
        <w:tab/>
      </w:r>
      <w:r>
        <w:fldChar w:fldCharType="begin"/>
      </w:r>
      <w:r>
        <w:instrText xml:space="preserve"> PAGEREF _Toc155338920 \h </w:instrText>
      </w:r>
      <w:r>
        <w:fldChar w:fldCharType="separate"/>
      </w:r>
      <w:r>
        <w:t>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"_Toc155338921" </w:instrText>
      </w:r>
      <w:r>
        <w:fldChar w:fldCharType="separate"/>
      </w:r>
      <w:r>
        <w:rPr>
          <w:rStyle w:val="34"/>
          <w:rFonts w:hAnsi="黑体"/>
          <w14:scene3d w14:prst="orthographicFront">
            <w14:lightRig w14:rig="threePt" w14:dir="t">
              <w14:rot w14:lat="0" w14:lon="0" w14:rev="0"/>
            </w14:lightRig>
          </w14:scene3d>
        </w:rPr>
        <w:t xml:space="preserve">4.2 </w:t>
      </w:r>
      <w:r>
        <w:rPr>
          <w:rStyle w:val="34"/>
        </w:rPr>
        <w:t xml:space="preserve"> 人员</w:t>
      </w:r>
      <w:r>
        <w:tab/>
      </w:r>
      <w:r>
        <w:fldChar w:fldCharType="begin"/>
      </w:r>
      <w:r>
        <w:instrText xml:space="preserve"> PAGEREF _Toc155338921 \h </w:instrText>
      </w:r>
      <w:r>
        <w:fldChar w:fldCharType="separate"/>
      </w:r>
      <w:r>
        <w:t>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"_Toc155338922" </w:instrText>
      </w:r>
      <w:r>
        <w:fldChar w:fldCharType="separate"/>
      </w:r>
      <w:r>
        <w:rPr>
          <w:rStyle w:val="34"/>
          <w:rFonts w:hAnsi="黑体"/>
          <w14:scene3d w14:prst="orthographicFront">
            <w14:lightRig w14:rig="threePt" w14:dir="t">
              <w14:rot w14:lat="0" w14:lon="0" w14:rev="0"/>
            </w14:lightRig>
          </w14:scene3d>
        </w:rPr>
        <w:t xml:space="preserve">4.3 </w:t>
      </w:r>
      <w:r>
        <w:rPr>
          <w:rStyle w:val="34"/>
        </w:rPr>
        <w:t xml:space="preserve"> 硬件</w:t>
      </w:r>
      <w:r>
        <w:tab/>
      </w:r>
      <w:r>
        <w:fldChar w:fldCharType="begin"/>
      </w:r>
      <w:r>
        <w:instrText xml:space="preserve"> PAGEREF _Toc155338922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"_Toc155338923" </w:instrText>
      </w:r>
      <w:r>
        <w:fldChar w:fldCharType="separate"/>
      </w:r>
      <w:r>
        <w:rPr>
          <w:rStyle w:val="34"/>
        </w:rPr>
        <w:t>5  损害类型</w:t>
      </w:r>
      <w:r>
        <w:tab/>
      </w:r>
      <w:r>
        <w:fldChar w:fldCharType="begin"/>
      </w:r>
      <w:r>
        <w:instrText xml:space="preserve"> PAGEREF _Toc155338923 \h </w:instrText>
      </w:r>
      <w:r>
        <w:fldChar w:fldCharType="separate"/>
      </w:r>
      <w:r>
        <w:t>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"_Toc155338924" </w:instrText>
      </w:r>
      <w:r>
        <w:fldChar w:fldCharType="separate"/>
      </w:r>
      <w:r>
        <w:rPr>
          <w:rStyle w:val="34"/>
          <w:rFonts w:hAnsi="黑体"/>
          <w14:scene3d w14:prst="orthographicFront">
            <w14:lightRig w14:rig="threePt" w14:dir="t">
              <w14:rot w14:lat="0" w14:lon="0" w14:rev="0"/>
            </w14:lightRig>
          </w14:scene3d>
        </w:rPr>
        <w:t xml:space="preserve">5.1 </w:t>
      </w:r>
      <w:r>
        <w:rPr>
          <w:rStyle w:val="34"/>
        </w:rPr>
        <w:t xml:space="preserve"> 侵占</w:t>
      </w:r>
      <w:r>
        <w:tab/>
      </w:r>
      <w:r>
        <w:fldChar w:fldCharType="begin"/>
      </w:r>
      <w:r>
        <w:instrText xml:space="preserve"> PAGEREF _Toc155338924 \h </w:instrText>
      </w:r>
      <w:r>
        <w:fldChar w:fldCharType="separate"/>
      </w:r>
      <w:r>
        <w:t>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"_Toc155338925" </w:instrText>
      </w:r>
      <w:r>
        <w:fldChar w:fldCharType="separate"/>
      </w:r>
      <w:r>
        <w:rPr>
          <w:rStyle w:val="34"/>
          <w:rFonts w:hAnsi="黑体"/>
          <w14:scene3d w14:prst="orthographicFront">
            <w14:lightRig w14:rig="threePt" w14:dir="t">
              <w14:rot w14:lat="0" w14:lon="0" w14:rev="0"/>
            </w14:lightRig>
          </w14:scene3d>
        </w:rPr>
        <w:t xml:space="preserve">5.2 </w:t>
      </w:r>
      <w:r>
        <w:rPr>
          <w:rStyle w:val="34"/>
        </w:rPr>
        <w:t xml:space="preserve"> 损毁</w:t>
      </w:r>
      <w:r>
        <w:tab/>
      </w:r>
      <w:r>
        <w:fldChar w:fldCharType="begin"/>
      </w:r>
      <w:r>
        <w:instrText xml:space="preserve"> PAGEREF _Toc155338925 \h </w:instrText>
      </w:r>
      <w:r>
        <w:fldChar w:fldCharType="separate"/>
      </w:r>
      <w:r>
        <w:t>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"_Toc155338926" </w:instrText>
      </w:r>
      <w:r>
        <w:fldChar w:fldCharType="separate"/>
      </w:r>
      <w:r>
        <w:rPr>
          <w:rStyle w:val="34"/>
          <w:rFonts w:hAnsi="黑体"/>
          <w14:scene3d w14:prst="orthographicFront">
            <w14:lightRig w14:rig="threePt" w14:dir="t">
              <w14:rot w14:lat="0" w14:lon="0" w14:rev="0"/>
            </w14:lightRig>
          </w14:scene3d>
        </w:rPr>
        <w:t xml:space="preserve">5.3 </w:t>
      </w:r>
      <w:r>
        <w:rPr>
          <w:rStyle w:val="34"/>
        </w:rPr>
        <w:t xml:space="preserve"> 污染</w:t>
      </w:r>
      <w:r>
        <w:tab/>
      </w:r>
      <w:r>
        <w:fldChar w:fldCharType="begin"/>
      </w:r>
      <w:r>
        <w:instrText xml:space="preserve"> PAGEREF _Toc155338926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"_Toc155338927" </w:instrText>
      </w:r>
      <w:r>
        <w:fldChar w:fldCharType="separate"/>
      </w:r>
      <w:r>
        <w:rPr>
          <w:rStyle w:val="34"/>
        </w:rPr>
        <w:t>6  鉴定程序</w:t>
      </w:r>
      <w:r>
        <w:tab/>
      </w:r>
      <w:r>
        <w:fldChar w:fldCharType="begin"/>
      </w:r>
      <w:r>
        <w:instrText xml:space="preserve"> PAGEREF _Toc155338927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"_Toc155338928" </w:instrText>
      </w:r>
      <w:r>
        <w:fldChar w:fldCharType="separate"/>
      </w:r>
      <w:r>
        <w:rPr>
          <w:rStyle w:val="34"/>
        </w:rPr>
        <w:t>7  受理</w:t>
      </w:r>
      <w:r>
        <w:tab/>
      </w:r>
      <w:r>
        <w:fldChar w:fldCharType="begin"/>
      </w:r>
      <w:r>
        <w:instrText xml:space="preserve"> PAGEREF _Toc155338928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"_Toc155338929" </w:instrText>
      </w:r>
      <w:r>
        <w:fldChar w:fldCharType="separate"/>
      </w:r>
      <w:r>
        <w:rPr>
          <w:rStyle w:val="34"/>
        </w:rPr>
        <w:t>8  制定方案</w:t>
      </w:r>
      <w:r>
        <w:tab/>
      </w:r>
      <w:r>
        <w:fldChar w:fldCharType="begin"/>
      </w:r>
      <w:r>
        <w:instrText xml:space="preserve"> PAGEREF _Toc155338929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"_Toc155338930" </w:instrText>
      </w:r>
      <w:r>
        <w:fldChar w:fldCharType="separate"/>
      </w:r>
      <w:r>
        <w:rPr>
          <w:rStyle w:val="34"/>
        </w:rPr>
        <w:t>9  现场勘察</w:t>
      </w:r>
      <w:r>
        <w:tab/>
      </w:r>
      <w:r>
        <w:fldChar w:fldCharType="begin"/>
      </w:r>
      <w:r>
        <w:instrText xml:space="preserve"> PAGEREF _Toc155338930 \h </w:instrText>
      </w:r>
      <w:r>
        <w:fldChar w:fldCharType="separate"/>
      </w:r>
      <w:r>
        <w:t>4</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"_Toc155338931" </w:instrText>
      </w:r>
      <w:r>
        <w:fldChar w:fldCharType="separate"/>
      </w:r>
      <w:r>
        <w:rPr>
          <w:rStyle w:val="34"/>
          <w:rFonts w:hAnsi="黑体"/>
          <w14:scene3d w14:prst="orthographicFront">
            <w14:lightRig w14:rig="threePt" w14:dir="t">
              <w14:rot w14:lat="0" w14:lon="0" w14:rev="0"/>
            </w14:lightRig>
          </w14:scene3d>
        </w:rPr>
        <w:t xml:space="preserve">9.1 </w:t>
      </w:r>
      <w:r>
        <w:rPr>
          <w:rStyle w:val="34"/>
        </w:rPr>
        <w:t xml:space="preserve"> 人员安排</w:t>
      </w:r>
      <w:r>
        <w:tab/>
      </w:r>
      <w:r>
        <w:fldChar w:fldCharType="begin"/>
      </w:r>
      <w:r>
        <w:instrText xml:space="preserve"> PAGEREF _Toc155338931 \h </w:instrText>
      </w:r>
      <w:r>
        <w:fldChar w:fldCharType="separate"/>
      </w:r>
      <w:r>
        <w:t>4</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"_Toc155338932" </w:instrText>
      </w:r>
      <w:r>
        <w:fldChar w:fldCharType="separate"/>
      </w:r>
      <w:r>
        <w:rPr>
          <w:rStyle w:val="34"/>
          <w:rFonts w:hAnsi="黑体"/>
          <w14:scene3d w14:prst="orthographicFront">
            <w14:lightRig w14:rig="threePt" w14:dir="t">
              <w14:rot w14:lat="0" w14:lon="0" w14:rev="0"/>
            </w14:lightRig>
          </w14:scene3d>
        </w:rPr>
        <w:t xml:space="preserve">9.2 </w:t>
      </w:r>
      <w:r>
        <w:rPr>
          <w:rStyle w:val="34"/>
        </w:rPr>
        <w:t xml:space="preserve"> 勘察内容</w:t>
      </w:r>
      <w:r>
        <w:tab/>
      </w:r>
      <w:r>
        <w:fldChar w:fldCharType="begin"/>
      </w:r>
      <w:r>
        <w:instrText xml:space="preserve"> PAGEREF _Toc155338932 \h </w:instrText>
      </w:r>
      <w:r>
        <w:fldChar w:fldCharType="separate"/>
      </w:r>
      <w:r>
        <w:t>4</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"_Toc155338933" </w:instrText>
      </w:r>
      <w:r>
        <w:fldChar w:fldCharType="separate"/>
      </w:r>
      <w:r>
        <w:rPr>
          <w:rStyle w:val="34"/>
          <w:rFonts w:hAnsi="黑体"/>
          <w14:scene3d w14:prst="orthographicFront">
            <w14:lightRig w14:rig="threePt" w14:dir="t">
              <w14:rot w14:lat="0" w14:lon="0" w14:rev="0"/>
            </w14:lightRig>
          </w14:scene3d>
        </w:rPr>
        <w:t xml:space="preserve">9.3 </w:t>
      </w:r>
      <w:r>
        <w:rPr>
          <w:rStyle w:val="34"/>
        </w:rPr>
        <w:t xml:space="preserve"> 鉴定单元划分</w:t>
      </w:r>
      <w:r>
        <w:tab/>
      </w:r>
      <w:r>
        <w:fldChar w:fldCharType="begin"/>
      </w:r>
      <w:r>
        <w:instrText xml:space="preserve"> PAGEREF _Toc155338933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"_Toc155338934" </w:instrText>
      </w:r>
      <w:r>
        <w:fldChar w:fldCharType="separate"/>
      </w:r>
      <w:r>
        <w:rPr>
          <w:rStyle w:val="34"/>
        </w:rPr>
        <w:t>10  现场实施</w:t>
      </w:r>
      <w:r>
        <w:tab/>
      </w:r>
      <w:r>
        <w:fldChar w:fldCharType="begin"/>
      </w:r>
      <w:r>
        <w:instrText xml:space="preserve"> PAGEREF _Toc155338934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"_Toc155338935" </w:instrText>
      </w:r>
      <w:r>
        <w:fldChar w:fldCharType="separate"/>
      </w:r>
      <w:r>
        <w:rPr>
          <w:rStyle w:val="34"/>
        </w:rPr>
        <w:t>11  损害程度鉴定</w:t>
      </w:r>
      <w:r>
        <w:tab/>
      </w:r>
      <w:r>
        <w:fldChar w:fldCharType="begin"/>
      </w:r>
      <w:r>
        <w:instrText xml:space="preserve"> PAGEREF _Toc155338935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"_Toc155338936" </w:instrText>
      </w:r>
      <w:r>
        <w:fldChar w:fldCharType="separate"/>
      </w:r>
      <w:r>
        <w:rPr>
          <w:rStyle w:val="34"/>
        </w:rPr>
        <w:t>12  报告编制</w:t>
      </w:r>
      <w:r>
        <w:tab/>
      </w:r>
      <w:r>
        <w:fldChar w:fldCharType="begin"/>
      </w:r>
      <w:r>
        <w:instrText xml:space="preserve"> PAGEREF _Toc155338936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"_Toc155338937" </w:instrText>
      </w:r>
      <w:r>
        <w:fldChar w:fldCharType="separate"/>
      </w:r>
      <w:r>
        <w:rPr>
          <w:rStyle w:val="34"/>
        </w:rPr>
        <w:t>13  鉴定意见</w:t>
      </w:r>
      <w:r>
        <w:tab/>
      </w:r>
      <w:r>
        <w:fldChar w:fldCharType="begin"/>
      </w:r>
      <w:r>
        <w:instrText xml:space="preserve"> PAGEREF _Toc155338937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"_Toc155338938" </w:instrText>
      </w:r>
      <w:r>
        <w:fldChar w:fldCharType="separate"/>
      </w:r>
      <w:r>
        <w:rPr>
          <w:rStyle w:val="34"/>
        </w:rPr>
        <w:t>附录A（资料性）  耕地（林地）损害程度鉴定委托书</w:t>
      </w:r>
      <w:r>
        <w:tab/>
      </w:r>
      <w:r>
        <w:fldChar w:fldCharType="begin"/>
      </w:r>
      <w:r>
        <w:instrText xml:space="preserve"> PAGEREF _Toc155338938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"_Toc155338939" </w:instrText>
      </w:r>
      <w:r>
        <w:fldChar w:fldCharType="separate"/>
      </w:r>
      <w:r>
        <w:rPr>
          <w:rStyle w:val="34"/>
        </w:rPr>
        <w:t>附录B（规范性）  耕地（林地）损害程度鉴定现场勘察记录表</w:t>
      </w:r>
      <w:r>
        <w:tab/>
      </w:r>
      <w:r>
        <w:fldChar w:fldCharType="begin"/>
      </w:r>
      <w:r>
        <w:instrText xml:space="preserve"> PAGEREF _Toc155338939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"_Toc155338940" </w:instrText>
      </w:r>
      <w:r>
        <w:fldChar w:fldCharType="separate"/>
      </w:r>
      <w:r>
        <w:rPr>
          <w:rStyle w:val="34"/>
        </w:rPr>
        <w:t>附录C（规范性）  耕地和林地损害程度鉴定技术标准</w:t>
      </w:r>
      <w:r>
        <w:tab/>
      </w:r>
      <w:r>
        <w:fldChar w:fldCharType="begin"/>
      </w:r>
      <w:r>
        <w:instrText xml:space="preserve"> PAGEREF _Toc155338940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"_Toc155338941" </w:instrText>
      </w:r>
      <w:r>
        <w:fldChar w:fldCharType="separate"/>
      </w:r>
      <w:r>
        <w:rPr>
          <w:rStyle w:val="34"/>
        </w:rPr>
        <w:t>附录D（规范性）  耕地（林地）损害程度鉴定报告编制要求</w:t>
      </w:r>
      <w:r>
        <w:tab/>
      </w:r>
      <w:r>
        <w:fldChar w:fldCharType="begin"/>
      </w:r>
      <w:r>
        <w:instrText xml:space="preserve"> PAGEREF _Toc155338941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"_Toc155338942" </w:instrText>
      </w:r>
      <w:r>
        <w:fldChar w:fldCharType="separate"/>
      </w:r>
      <w:r>
        <w:rPr>
          <w:rStyle w:val="34"/>
        </w:rPr>
        <w:t>D.1  案件基本情况</w:t>
      </w:r>
      <w:r>
        <w:tab/>
      </w:r>
      <w:r>
        <w:fldChar w:fldCharType="begin"/>
      </w:r>
      <w:r>
        <w:instrText xml:space="preserve"> PAGEREF _Toc155338942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"_Toc155338943" </w:instrText>
      </w:r>
      <w:r>
        <w:fldChar w:fldCharType="separate"/>
      </w:r>
      <w:r>
        <w:rPr>
          <w:rStyle w:val="34"/>
        </w:rPr>
        <w:t>D.2  鉴定目的</w:t>
      </w:r>
      <w:r>
        <w:tab/>
      </w:r>
      <w:r>
        <w:fldChar w:fldCharType="begin"/>
      </w:r>
      <w:r>
        <w:instrText xml:space="preserve"> PAGEREF _Toc155338943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"_Toc155338944" </w:instrText>
      </w:r>
      <w:r>
        <w:fldChar w:fldCharType="separate"/>
      </w:r>
      <w:r>
        <w:rPr>
          <w:rStyle w:val="34"/>
        </w:rPr>
        <w:t>D.3  鉴定过程</w:t>
      </w:r>
      <w:r>
        <w:tab/>
      </w:r>
      <w:r>
        <w:fldChar w:fldCharType="begin"/>
      </w:r>
      <w:r>
        <w:instrText xml:space="preserve"> PAGEREF _Toc155338944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"_Toc155338945" </w:instrText>
      </w:r>
      <w:r>
        <w:fldChar w:fldCharType="separate"/>
      </w:r>
      <w:r>
        <w:rPr>
          <w:rStyle w:val="34"/>
        </w:rPr>
        <w:t>D.4  鉴定分析</w:t>
      </w:r>
      <w:r>
        <w:tab/>
      </w:r>
      <w:r>
        <w:fldChar w:fldCharType="begin"/>
      </w:r>
      <w:r>
        <w:instrText xml:space="preserve"> PAGEREF _Toc155338945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"_Toc155338946" </w:instrText>
      </w:r>
      <w:r>
        <w:fldChar w:fldCharType="separate"/>
      </w:r>
      <w:r>
        <w:rPr>
          <w:rStyle w:val="34"/>
        </w:rPr>
        <w:t>D.5  鉴定结论</w:t>
      </w:r>
      <w:r>
        <w:tab/>
      </w:r>
      <w:r>
        <w:fldChar w:fldCharType="begin"/>
      </w:r>
      <w:r>
        <w:instrText xml:space="preserve"> PAGEREF _Toc155338946 \h </w:instrText>
      </w:r>
      <w:r>
        <w:fldChar w:fldCharType="separate"/>
      </w:r>
      <w:r>
        <w:t>12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"_Toc155338947" </w:instrText>
      </w:r>
      <w:r>
        <w:fldChar w:fldCharType="separate"/>
      </w:r>
      <w:r>
        <w:rPr>
          <w:rStyle w:val="34"/>
        </w:rPr>
        <w:t>D.6  鉴定报告使用限制说明</w:t>
      </w:r>
      <w:r>
        <w:tab/>
      </w:r>
      <w:r>
        <w:fldChar w:fldCharType="begin"/>
      </w:r>
      <w:r>
        <w:instrText xml:space="preserve"> PAGEREF _Toc155338947 \h </w:instrText>
      </w:r>
      <w:r>
        <w:fldChar w:fldCharType="separate"/>
      </w:r>
      <w:r>
        <w:t>12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"_Toc155338948" </w:instrText>
      </w:r>
      <w:r>
        <w:fldChar w:fldCharType="separate"/>
      </w:r>
      <w:r>
        <w:rPr>
          <w:rStyle w:val="34"/>
        </w:rPr>
        <w:t>D.7  特别事项说明</w:t>
      </w:r>
      <w:r>
        <w:tab/>
      </w:r>
      <w:r>
        <w:fldChar w:fldCharType="begin"/>
      </w:r>
      <w:r>
        <w:instrText xml:space="preserve"> PAGEREF _Toc155338948 \h </w:instrText>
      </w:r>
      <w:r>
        <w:fldChar w:fldCharType="separate"/>
      </w:r>
      <w:r>
        <w:t>12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"_Toc155338949" </w:instrText>
      </w:r>
      <w:r>
        <w:fldChar w:fldCharType="separate"/>
      </w:r>
      <w:r>
        <w:rPr>
          <w:rStyle w:val="34"/>
        </w:rPr>
        <w:t>D.8  附件</w:t>
      </w:r>
      <w:r>
        <w:tab/>
      </w:r>
      <w:r>
        <w:fldChar w:fldCharType="begin"/>
      </w:r>
      <w:r>
        <w:instrText xml:space="preserve"> PAGEREF _Toc155338949 \h </w:instrText>
      </w:r>
      <w:r>
        <w:fldChar w:fldCharType="separate"/>
      </w:r>
      <w:r>
        <w:t>12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"_Toc155338950" </w:instrText>
      </w:r>
      <w:r>
        <w:fldChar w:fldCharType="separate"/>
      </w:r>
      <w:r>
        <w:rPr>
          <w:rStyle w:val="34"/>
        </w:rPr>
        <w:t>参考文献</w:t>
      </w:r>
      <w:r>
        <w:tab/>
      </w:r>
      <w:r>
        <w:fldChar w:fldCharType="begin"/>
      </w:r>
      <w:r>
        <w:instrText xml:space="preserve"> PAGEREF _Toc155338950 \h </w:instrText>
      </w:r>
      <w:r>
        <w:fldChar w:fldCharType="separate"/>
      </w:r>
      <w:r>
        <w:t>13</w:t>
      </w:r>
      <w:r>
        <w:fldChar w:fldCharType="end"/>
      </w:r>
      <w:r>
        <w:fldChar w:fldCharType="end"/>
      </w:r>
    </w:p>
    <w:p>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before="900" w:after="468"/>
      </w:pPr>
      <w:bookmarkStart w:id="35" w:name="_Toc155338914"/>
      <w:bookmarkStart w:id="36"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本文件由江苏省自然资源厅</w:t>
      </w:r>
      <w:r>
        <w:rPr>
          <w:rFonts w:hint="eastAsia"/>
          <w:lang w:val="en-US" w:eastAsia="zh-CN"/>
        </w:rPr>
        <w:t>提出并</w:t>
      </w:r>
      <w:bookmarkStart w:id="692" w:name="_GoBack"/>
      <w:bookmarkEnd w:id="692"/>
      <w:r>
        <w:rPr>
          <w:rFonts w:hint="eastAsia"/>
        </w:rPr>
        <w:t>归口。</w:t>
      </w:r>
    </w:p>
    <w:p>
      <w:pPr>
        <w:pStyle w:val="59"/>
        <w:ind w:firstLine="420"/>
      </w:pPr>
      <w:r>
        <w:rPr>
          <w:rFonts w:hint="eastAsia"/>
        </w:rPr>
        <w:t>本文件起草单位：徐州市自然资源和规划局、江苏省自然资源厅、徐州市自然资源监察支队、江苏昊城自然鉴定评估有限公司、徐州市市场监督管理局。</w:t>
      </w:r>
    </w:p>
    <w:p>
      <w:pPr>
        <w:pStyle w:val="59"/>
        <w:ind w:firstLine="420"/>
      </w:pPr>
      <w:r>
        <w:rPr>
          <w:rFonts w:hint="eastAsia"/>
        </w:rPr>
        <w:t>本文件主要起草人：林颢、贾泉涌、葛素琴、李强、李晓建、庄磊、张海洋、杨林、陈小震、尹乐伟、王童、宦英姿、李智朕、任万鑫、韩友励、黄婷、董蓓、张亚冰。</w:t>
      </w:r>
    </w:p>
    <w:p>
      <w:pPr>
        <w:pStyle w:val="59"/>
        <w:ind w:firstLine="420"/>
      </w:pPr>
    </w:p>
    <w:p>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36"/>
    <w:p>
      <w:pPr>
        <w:pStyle w:val="92"/>
        <w:spacing w:after="468"/>
        <w:ind w:left="0" w:firstLine="0"/>
      </w:pPr>
      <w:bookmarkStart w:id="37" w:name="_Toc153908823"/>
      <w:bookmarkStart w:id="38" w:name="_Toc155203982"/>
      <w:bookmarkStart w:id="39" w:name="_Toc155283169"/>
      <w:bookmarkStart w:id="40" w:name="_Toc155203657"/>
      <w:bookmarkStart w:id="41" w:name="_Toc146195836"/>
      <w:bookmarkStart w:id="42" w:name="_Toc155338915"/>
      <w:bookmarkStart w:id="43" w:name="_Toc155203361"/>
      <w:bookmarkStart w:id="44" w:name="_Toc155099976"/>
      <w:bookmarkStart w:id="45" w:name="_Toc153908917"/>
      <w:bookmarkStart w:id="46" w:name="_Toc155338808"/>
      <w:bookmarkStart w:id="47" w:name="_Toc146196244"/>
      <w:bookmarkStart w:id="48" w:name="_Toc155274984"/>
      <w:bookmarkStart w:id="49" w:name="_Toc146195886"/>
      <w:bookmarkStart w:id="50" w:name="_Toc146196206"/>
      <w:bookmarkStart w:id="51" w:name="BookMark3"/>
      <w:r>
        <w:rPr>
          <w:spacing w:val="320"/>
        </w:rPr>
        <w:t>引</w:t>
      </w:r>
      <w:r>
        <w:t>言</w:t>
      </w:r>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59"/>
        <w:ind w:firstLine="420"/>
      </w:pPr>
      <w:r>
        <w:rPr>
          <w:rFonts w:hint="eastAsia"/>
        </w:rPr>
        <w:t>2000年，最高人民法院颁布《关于审理破坏土地资源刑事案件具体应用法律若干问题的解释》（法释〔2000〕14号）；20</w:t>
      </w:r>
      <w:r>
        <w:t>23</w:t>
      </w:r>
      <w:r>
        <w:rPr>
          <w:rFonts w:hint="eastAsia"/>
        </w:rPr>
        <w:t>年，最高人民法院颁布《关于审理破坏森林资源刑事案件适用法律若干问题的解释》（法释〔2023〕8号），分别对“造成耕地大量毁坏”、“造成林地大量毁坏”作出了司法解释。2020年，司法部出台《耕地和林地破坏司法鉴定技术规范》（S</w:t>
      </w:r>
      <w:r>
        <w:t>F/T 0074</w:t>
      </w:r>
      <w:r>
        <w:rPr>
          <w:rFonts w:hint="eastAsia"/>
        </w:rPr>
        <w:t>—</w:t>
      </w:r>
      <w:r>
        <w:t>2020</w:t>
      </w:r>
      <w:r>
        <w:rPr>
          <w:rFonts w:hint="eastAsia"/>
        </w:rPr>
        <w:t>），从环境损害司法鉴定领域规范耕地和林地破坏工作的相关要求。</w:t>
      </w:r>
    </w:p>
    <w:p>
      <w:pPr>
        <w:pStyle w:val="59"/>
        <w:ind w:firstLine="420"/>
      </w:pPr>
      <w:r>
        <w:rPr>
          <w:rFonts w:hint="eastAsia"/>
        </w:rPr>
        <w:t>通过大量的耕地和林地损害鉴定实践工作和对司法机关的个别案件追踪积累的经验，制定耕地和林地损害程度鉴定技术规范，科学鉴定耕地和林地的损害情况。</w:t>
      </w:r>
    </w:p>
    <w:p>
      <w:pPr>
        <w:sectPr>
          <w:pgSz w:w="11906" w:h="16838"/>
          <w:pgMar w:top="1928" w:right="1134" w:bottom="1134" w:left="1134" w:header="1418" w:footer="1134" w:gutter="284"/>
          <w:pgNumType w:fmt="upperRoman"/>
          <w:cols w:space="425" w:num="1"/>
          <w:formProt w:val="0"/>
          <w:docGrid w:type="lines" w:linePitch="312" w:charSpace="0"/>
        </w:sectPr>
      </w:pPr>
    </w:p>
    <w:bookmarkEnd w:id="51"/>
    <w:p>
      <w:pPr>
        <w:spacing w:line="20" w:lineRule="exact"/>
        <w:jc w:val="center"/>
        <w:rPr>
          <w:rFonts w:ascii="黑体" w:hAnsi="黑体" w:eastAsia="黑体"/>
          <w:sz w:val="32"/>
          <w:szCs w:val="32"/>
        </w:rPr>
      </w:pPr>
      <w:bookmarkStart w:id="52" w:name="BookMark4"/>
    </w:p>
    <w:p>
      <w:pPr>
        <w:spacing w:line="20" w:lineRule="exact"/>
        <w:jc w:val="center"/>
        <w:rPr>
          <w:rFonts w:ascii="黑体" w:hAnsi="黑体" w:eastAsia="黑体"/>
          <w:sz w:val="32"/>
          <w:szCs w:val="32"/>
        </w:rPr>
      </w:pPr>
    </w:p>
    <w:sdt>
      <w:sdtPr>
        <w:tag w:val="NEW_STAND_NAME"/>
        <w:id w:val="595910757"/>
        <w:lock w:val="sdtLocked"/>
        <w:placeholder>
          <w:docPart w:val="DC197D43604A42B68F8031A636C4EB20"/>
        </w:placeholder>
      </w:sdtPr>
      <w:sdtContent>
        <w:p>
          <w:pPr>
            <w:pStyle w:val="180"/>
            <w:spacing w:before="3" w:beforeLines="1" w:after="686" w:afterLines="220"/>
          </w:pPr>
          <w:bookmarkStart w:id="53" w:name="NEW_STAND_NAME"/>
          <w:r>
            <w:rPr>
              <w:rFonts w:hint="eastAsia"/>
            </w:rPr>
            <w:t>耕地和林地损害程度鉴定规范</w:t>
          </w:r>
        </w:p>
      </w:sdtContent>
    </w:sdt>
    <w:bookmarkEnd w:id="53"/>
    <w:p>
      <w:pPr>
        <w:pStyle w:val="107"/>
        <w:spacing w:before="312" w:after="312"/>
      </w:pPr>
      <w:bookmarkStart w:id="54" w:name="_Toc24884211"/>
      <w:bookmarkStart w:id="55" w:name="_Toc26648465"/>
      <w:bookmarkStart w:id="56" w:name="_Toc26986530"/>
      <w:bookmarkStart w:id="57" w:name="_Toc144998088"/>
      <w:bookmarkStart w:id="58" w:name="_Toc153908824"/>
      <w:bookmarkStart w:id="59" w:name="_Toc26718930"/>
      <w:bookmarkStart w:id="60" w:name="_Toc26986771"/>
      <w:bookmarkStart w:id="61" w:name="_Toc97191423"/>
      <w:bookmarkStart w:id="62" w:name="_Toc146195887"/>
      <w:bookmarkStart w:id="63" w:name="_Toc155099977"/>
      <w:bookmarkStart w:id="64" w:name="_Toc155203362"/>
      <w:bookmarkStart w:id="65" w:name="_Toc155203658"/>
      <w:bookmarkStart w:id="66" w:name="_Toc155203983"/>
      <w:bookmarkStart w:id="67" w:name="_Toc24884218"/>
      <w:bookmarkStart w:id="68" w:name="_Toc146195837"/>
      <w:bookmarkStart w:id="69" w:name="_Toc146196207"/>
      <w:bookmarkStart w:id="70" w:name="_Toc17233333"/>
      <w:bookmarkStart w:id="71" w:name="_Toc146196245"/>
      <w:bookmarkStart w:id="72" w:name="_Toc153908918"/>
      <w:bookmarkStart w:id="73" w:name="_Toc17233325"/>
      <w:bookmarkStart w:id="74" w:name="_Toc155283170"/>
      <w:bookmarkStart w:id="75" w:name="_Toc155338809"/>
      <w:bookmarkStart w:id="76" w:name="_Toc155274985"/>
      <w:bookmarkStart w:id="77" w:name="_Toc155338916"/>
      <w:r>
        <w:rPr>
          <w:rFonts w:hint="eastAsia"/>
        </w:rPr>
        <w:t>范围</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59"/>
        <w:ind w:firstLine="420"/>
      </w:pPr>
      <w:bookmarkStart w:id="78" w:name="_Toc26648466"/>
      <w:bookmarkStart w:id="79" w:name="_Toc17233326"/>
      <w:bookmarkStart w:id="80" w:name="_Toc17233334"/>
      <w:bookmarkStart w:id="81" w:name="_Toc24884212"/>
      <w:bookmarkStart w:id="82" w:name="_Toc24884219"/>
      <w:r>
        <w:rPr>
          <w:rFonts w:hint="eastAsia"/>
        </w:rPr>
        <w:t>本文件确立了耕地和林地损害程度鉴定的程序和方法，明确了损害的类型、损害程度的指标、报告的编写等要求。</w:t>
      </w:r>
    </w:p>
    <w:p>
      <w:pPr>
        <w:pStyle w:val="59"/>
        <w:ind w:firstLine="420"/>
      </w:pPr>
      <w:r>
        <w:rPr>
          <w:rFonts w:hint="eastAsia"/>
        </w:rPr>
        <w:t>本文件适用于非法行为造成的耕地和林地损害的鉴定。</w:t>
      </w:r>
    </w:p>
    <w:p>
      <w:pPr>
        <w:pStyle w:val="107"/>
        <w:spacing w:before="312" w:after="312"/>
      </w:pPr>
      <w:bookmarkStart w:id="83" w:name="_Toc26718931"/>
      <w:bookmarkStart w:id="84" w:name="_Toc26986531"/>
      <w:bookmarkStart w:id="85" w:name="_Toc26986772"/>
      <w:bookmarkStart w:id="86" w:name="_Toc97191424"/>
      <w:bookmarkStart w:id="87" w:name="_Toc153908919"/>
      <w:bookmarkStart w:id="88" w:name="_Toc146196246"/>
      <w:bookmarkStart w:id="89" w:name="_Toc155203659"/>
      <w:bookmarkStart w:id="90" w:name="_Toc155338810"/>
      <w:bookmarkStart w:id="91" w:name="_Toc155099978"/>
      <w:bookmarkStart w:id="92" w:name="_Toc146196208"/>
      <w:bookmarkStart w:id="93" w:name="_Toc155203363"/>
      <w:bookmarkStart w:id="94" w:name="_Toc153908825"/>
      <w:bookmarkStart w:id="95" w:name="_Toc155203984"/>
      <w:bookmarkStart w:id="96" w:name="_Toc146195888"/>
      <w:bookmarkStart w:id="97" w:name="_Toc155283171"/>
      <w:bookmarkStart w:id="98" w:name="_Toc155274986"/>
      <w:bookmarkStart w:id="99" w:name="_Toc155338917"/>
      <w:bookmarkStart w:id="100" w:name="_Toc146195838"/>
      <w:bookmarkStart w:id="101" w:name="_Toc144998089"/>
      <w:r>
        <w:rPr>
          <w:rFonts w:hint="eastAsia"/>
        </w:rPr>
        <w:t>规范性引用文件</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dt>
      <w:sdtPr>
        <w:rPr>
          <w:rFonts w:hint="eastAsia"/>
        </w:rPr>
        <w:id w:val="715848253"/>
        <w:placeholder>
          <w:docPart w:val="5AD0D7DA49F44358A6B591D31A41A8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t>GB/T 19231-2003</w:t>
      </w:r>
      <w:r>
        <w:rPr>
          <w:rFonts w:hint="eastAsia"/>
        </w:rPr>
        <w:t xml:space="preserve">  土地基本术语</w:t>
      </w:r>
    </w:p>
    <w:p>
      <w:pPr>
        <w:pStyle w:val="59"/>
        <w:ind w:firstLine="420"/>
      </w:pPr>
      <w:r>
        <w:rPr>
          <w:rFonts w:hint="eastAsia"/>
        </w:rPr>
        <w:t xml:space="preserve">HJ/T 166  土壤环境监测技术规范 </w:t>
      </w:r>
    </w:p>
    <w:p>
      <w:pPr>
        <w:pStyle w:val="59"/>
        <w:ind w:firstLine="420"/>
      </w:pPr>
      <w:r>
        <w:rPr>
          <w:rFonts w:hint="eastAsia"/>
        </w:rPr>
        <w:t xml:space="preserve">NY/T 395  农田土壤环境质量监测技术规范 </w:t>
      </w:r>
    </w:p>
    <w:p>
      <w:pPr>
        <w:pStyle w:val="59"/>
        <w:ind w:firstLine="420"/>
      </w:pPr>
      <w:r>
        <w:rPr>
          <w:rFonts w:hint="eastAsia"/>
        </w:rPr>
        <w:t>SF/T 0074  耕地和林地破坏司法鉴定技术规范</w:t>
      </w:r>
    </w:p>
    <w:p>
      <w:pPr>
        <w:pStyle w:val="107"/>
        <w:spacing w:before="312" w:after="312"/>
      </w:pPr>
      <w:bookmarkStart w:id="102" w:name="_Toc155203364"/>
      <w:bookmarkStart w:id="103" w:name="_Toc155203985"/>
      <w:bookmarkStart w:id="104" w:name="_Toc155283172"/>
      <w:bookmarkStart w:id="105" w:name="_Toc153908826"/>
      <w:bookmarkStart w:id="106" w:name="_Toc155338811"/>
      <w:bookmarkStart w:id="107" w:name="_Toc146195839"/>
      <w:bookmarkStart w:id="108" w:name="_Toc155338918"/>
      <w:bookmarkStart w:id="109" w:name="_Toc155203660"/>
      <w:bookmarkStart w:id="110" w:name="_Toc144998090"/>
      <w:bookmarkStart w:id="111" w:name="_Toc146195889"/>
      <w:bookmarkStart w:id="112" w:name="_Toc153908920"/>
      <w:bookmarkStart w:id="113" w:name="_Toc146196209"/>
      <w:bookmarkStart w:id="114" w:name="_Toc155274987"/>
      <w:bookmarkStart w:id="115" w:name="_Toc146196247"/>
      <w:bookmarkStart w:id="116" w:name="_Toc97191425"/>
      <w:bookmarkStart w:id="117" w:name="_Toc155099979"/>
      <w:r>
        <w:rPr>
          <w:rFonts w:hint="eastAsia"/>
          <w:szCs w:val="21"/>
        </w:rPr>
        <w:t>术语和定义</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sdt>
      <w:sdtPr>
        <w:rPr>
          <w:rFonts w:hint="eastAsia"/>
        </w:rPr>
        <w:id w:val="-1909835108"/>
        <w:placeholder>
          <w:docPart w:val="57B2A86D81E84927A886CDCB58832E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9"/>
            <w:ind w:firstLine="420"/>
          </w:pPr>
          <w:bookmarkStart w:id="118" w:name="_Toc26986532"/>
          <w:bookmarkEnd w:id="118"/>
          <w:r>
            <w:rPr>
              <w:rFonts w:hint="eastAsia"/>
            </w:rPr>
            <w:t>HJ/T 166界定的以及下列术语和定义适用于本文件。</w:t>
          </w:r>
        </w:p>
      </w:sdtContent>
    </w:sdt>
    <w:p>
      <w:pPr>
        <w:pStyle w:val="226"/>
        <w:ind w:left="420" w:hanging="420" w:hangingChars="200"/>
        <w:rPr>
          <w:rFonts w:hAnsi="黑体"/>
        </w:rPr>
      </w:pPr>
      <w:bookmarkStart w:id="119" w:name="_Toc155203661"/>
      <w:bookmarkEnd w:id="119"/>
      <w:bookmarkStart w:id="120" w:name="_Toc155204091"/>
      <w:bookmarkEnd w:id="120"/>
      <w:bookmarkStart w:id="121" w:name="_Toc155203365"/>
      <w:bookmarkEnd w:id="121"/>
      <w:bookmarkStart w:id="122" w:name="_Toc155203986"/>
      <w:bookmarkEnd w:id="122"/>
      <w:bookmarkStart w:id="123" w:name="_Toc144998091"/>
      <w:r>
        <w:rPr>
          <w:rFonts w:ascii="黑体" w:hAnsi="黑体" w:eastAsia="黑体"/>
        </w:rPr>
        <w:br w:type="textWrapping"/>
      </w:r>
      <w:r>
        <w:rPr>
          <w:rFonts w:hint="eastAsia" w:ascii="黑体" w:hAnsi="黑体" w:eastAsia="黑体"/>
        </w:rPr>
        <w:t>耕地</w:t>
      </w:r>
      <w:r>
        <w:rPr>
          <w:rFonts w:ascii="黑体" w:hAnsi="黑体" w:eastAsia="黑体"/>
        </w:rPr>
        <w:t xml:space="preserve">  cultivated land</w:t>
      </w:r>
    </w:p>
    <w:bookmarkEnd w:id="123"/>
    <w:p>
      <w:pPr>
        <w:pStyle w:val="59"/>
        <w:ind w:firstLine="420"/>
      </w:pPr>
      <w:r>
        <w:rPr>
          <w:rFonts w:hint="eastAsia"/>
        </w:rPr>
        <w:t>用以种植农作物的土地，包括休闲地、草田轮作地、撂荒未满三年的轮歇地，以种植农作物为主间有零星果树、桑树或其他树木的土地，每年能保证收获一季的已垦滩涂地和海涂以及耕地中宽度≤1</w:t>
      </w:r>
      <w:r>
        <w:t>.0</w:t>
      </w:r>
      <w:r>
        <w:rPr>
          <w:rFonts w:hint="eastAsia"/>
        </w:rPr>
        <w:t>m（南方）2</w:t>
      </w:r>
      <w:r>
        <w:t>.0</w:t>
      </w:r>
      <w:r>
        <w:rPr>
          <w:rFonts w:hint="eastAsia"/>
        </w:rPr>
        <w:t>m（北方）的沟、渠、路和田埂。</w:t>
      </w:r>
    </w:p>
    <w:p>
      <w:pPr>
        <w:pStyle w:val="59"/>
        <w:ind w:firstLine="420"/>
      </w:pPr>
      <w:r>
        <w:t>[</w:t>
      </w:r>
      <w:r>
        <w:rPr>
          <w:rFonts w:hint="eastAsia"/>
        </w:rPr>
        <w:t>来源:</w:t>
      </w:r>
      <w:r>
        <w:t>GB/T 19231-2003</w:t>
      </w:r>
      <w:r>
        <w:rPr>
          <w:rFonts w:hint="eastAsia"/>
        </w:rPr>
        <w:t>,4.2.2.1</w:t>
      </w:r>
      <w:r>
        <w:t>]</w:t>
      </w:r>
    </w:p>
    <w:p>
      <w:pPr>
        <w:pStyle w:val="226"/>
        <w:ind w:left="420" w:hanging="420" w:hangingChars="200"/>
        <w:rPr>
          <w:rFonts w:hAnsi="黑体"/>
        </w:rPr>
      </w:pPr>
      <w:bookmarkStart w:id="124" w:name="_Toc155203663"/>
      <w:bookmarkEnd w:id="124"/>
      <w:bookmarkStart w:id="125" w:name="_Toc155204093"/>
      <w:bookmarkEnd w:id="125"/>
      <w:bookmarkStart w:id="126" w:name="_Toc155203366"/>
      <w:bookmarkEnd w:id="126"/>
      <w:bookmarkStart w:id="127" w:name="_Toc155203988"/>
      <w:bookmarkEnd w:id="127"/>
      <w:bookmarkStart w:id="128" w:name="_Toc144998093"/>
      <w:r>
        <w:rPr>
          <w:rFonts w:ascii="黑体" w:hAnsi="黑体" w:eastAsia="黑体"/>
        </w:rPr>
        <w:br w:type="textWrapping"/>
      </w:r>
      <w:r>
        <w:rPr>
          <w:rFonts w:hint="eastAsia" w:ascii="黑体" w:hAnsi="黑体" w:eastAsia="黑体"/>
        </w:rPr>
        <w:t>林地  forest land</w:t>
      </w:r>
    </w:p>
    <w:bookmarkEnd w:id="128"/>
    <w:p>
      <w:pPr>
        <w:pStyle w:val="59"/>
        <w:ind w:firstLine="420"/>
      </w:pPr>
      <w:bookmarkStart w:id="129" w:name="_Toc144998094"/>
      <w:r>
        <w:rPr>
          <w:rFonts w:hint="eastAsia"/>
        </w:rPr>
        <w:t>生长乔木、灌木、竹类及沿海生长红树林的土地。包括迹地，不包括居民点内的绿以及铁路、公路、河流、沟渠的护路、护岸林。</w:t>
      </w:r>
      <w:bookmarkEnd w:id="129"/>
    </w:p>
    <w:p>
      <w:pPr>
        <w:pStyle w:val="59"/>
        <w:ind w:firstLine="420"/>
      </w:pPr>
      <w:r>
        <w:t>[</w:t>
      </w:r>
      <w:r>
        <w:rPr>
          <w:rFonts w:hint="eastAsia"/>
        </w:rPr>
        <w:t>来源:</w:t>
      </w:r>
      <w:r>
        <w:t>GB/T 19231-2003</w:t>
      </w:r>
      <w:r>
        <w:rPr>
          <w:rFonts w:hint="eastAsia"/>
        </w:rPr>
        <w:t>,4.2.2.3</w:t>
      </w:r>
      <w:r>
        <w:t>]</w:t>
      </w:r>
    </w:p>
    <w:p>
      <w:pPr>
        <w:pStyle w:val="226"/>
        <w:ind w:left="420" w:hanging="420" w:hangingChars="200"/>
        <w:rPr>
          <w:rFonts w:hAnsi="黑体"/>
        </w:rPr>
      </w:pPr>
      <w:bookmarkStart w:id="130" w:name="_Toc155203665"/>
      <w:bookmarkEnd w:id="130"/>
      <w:bookmarkStart w:id="131" w:name="_Toc155203990"/>
      <w:bookmarkEnd w:id="131"/>
      <w:bookmarkStart w:id="132" w:name="_Toc155204095"/>
      <w:bookmarkEnd w:id="132"/>
      <w:bookmarkStart w:id="133" w:name="_Toc155203367"/>
      <w:bookmarkEnd w:id="133"/>
      <w:r>
        <w:rPr>
          <w:rFonts w:ascii="黑体" w:hAnsi="黑体" w:eastAsia="黑体"/>
        </w:rPr>
        <w:br w:type="textWrapping"/>
      </w:r>
      <w:r>
        <w:rPr>
          <w:rFonts w:hint="eastAsia" w:ascii="黑体" w:hAnsi="黑体" w:eastAsia="黑体"/>
        </w:rPr>
        <w:t>耕地损害</w:t>
      </w:r>
      <w:r>
        <w:rPr>
          <w:rFonts w:ascii="黑体" w:hAnsi="黑体" w:eastAsia="黑体"/>
        </w:rPr>
        <w:t xml:space="preserve">  cultivated land damage</w:t>
      </w:r>
    </w:p>
    <w:p>
      <w:pPr>
        <w:pStyle w:val="165"/>
        <w:numPr>
          <w:ilvl w:val="0"/>
          <w:numId w:val="0"/>
        </w:numPr>
        <w:ind w:firstLine="420" w:firstLineChars="200"/>
      </w:pPr>
      <w:r>
        <w:rPr>
          <w:rFonts w:hint="eastAsia"/>
        </w:rPr>
        <w:t>因非法行为导致土地自然属性部分或全部丧失的损害耕地种植条件的行为。</w:t>
      </w:r>
    </w:p>
    <w:p>
      <w:pPr>
        <w:pStyle w:val="226"/>
        <w:ind w:left="420" w:hanging="420" w:hangingChars="200"/>
        <w:rPr>
          <w:rFonts w:hAnsi="黑体"/>
        </w:rPr>
      </w:pPr>
      <w:bookmarkStart w:id="134" w:name="_Toc155203992"/>
      <w:bookmarkEnd w:id="134"/>
      <w:bookmarkStart w:id="135" w:name="_Toc155099980"/>
      <w:bookmarkEnd w:id="135"/>
      <w:bookmarkStart w:id="136" w:name="_Toc155204097"/>
      <w:bookmarkEnd w:id="136"/>
      <w:bookmarkStart w:id="137" w:name="_Toc155203368"/>
      <w:bookmarkEnd w:id="137"/>
      <w:bookmarkStart w:id="138" w:name="_Toc155203667"/>
      <w:bookmarkEnd w:id="138"/>
      <w:r>
        <w:rPr>
          <w:rFonts w:ascii="黑体" w:hAnsi="黑体" w:eastAsia="黑体"/>
        </w:rPr>
        <w:br w:type="textWrapping"/>
      </w:r>
      <w:r>
        <w:rPr>
          <w:rFonts w:hint="eastAsia" w:ascii="黑体" w:hAnsi="黑体" w:eastAsia="黑体"/>
        </w:rPr>
        <w:t>林地损害</w:t>
      </w:r>
      <w:r>
        <w:rPr>
          <w:rFonts w:ascii="黑体" w:hAnsi="黑体" w:eastAsia="黑体"/>
        </w:rPr>
        <w:t xml:space="preserve">  forest land damage</w:t>
      </w:r>
    </w:p>
    <w:p>
      <w:pPr>
        <w:pStyle w:val="59"/>
        <w:ind w:firstLine="420"/>
      </w:pPr>
      <w:r>
        <w:rPr>
          <w:rFonts w:hint="eastAsia"/>
        </w:rPr>
        <w:t>因非法行为导致土地自然属性部分或全部丧失的损害林地原有植被或林业种植条件的行为。</w:t>
      </w:r>
    </w:p>
    <w:p>
      <w:pPr>
        <w:pStyle w:val="226"/>
        <w:ind w:left="420" w:hanging="420" w:hangingChars="200"/>
        <w:rPr>
          <w:rFonts w:hAnsi="黑体"/>
        </w:rPr>
      </w:pPr>
      <w:bookmarkStart w:id="139" w:name="_Toc155203994"/>
      <w:bookmarkEnd w:id="139"/>
      <w:bookmarkStart w:id="140" w:name="_Toc155203369"/>
      <w:bookmarkEnd w:id="140"/>
      <w:bookmarkStart w:id="141" w:name="_Toc155204099"/>
      <w:bookmarkEnd w:id="141"/>
      <w:bookmarkStart w:id="142" w:name="_Toc155099981"/>
      <w:bookmarkEnd w:id="142"/>
      <w:bookmarkStart w:id="143" w:name="_Toc155203669"/>
      <w:bookmarkEnd w:id="143"/>
      <w:r>
        <w:rPr>
          <w:rFonts w:ascii="黑体" w:hAnsi="黑体" w:eastAsia="黑体"/>
        </w:rPr>
        <w:br w:type="textWrapping"/>
      </w:r>
      <w:r>
        <w:rPr>
          <w:rFonts w:hint="eastAsia" w:ascii="黑体" w:hAnsi="黑体" w:eastAsia="黑体"/>
        </w:rPr>
        <w:t>鉴定单元</w:t>
      </w:r>
      <w:r>
        <w:rPr>
          <w:rFonts w:ascii="黑体" w:hAnsi="黑体" w:eastAsia="黑体"/>
        </w:rPr>
        <w:t xml:space="preserve">  identification unit</w:t>
      </w:r>
    </w:p>
    <w:p>
      <w:pPr>
        <w:pStyle w:val="165"/>
        <w:numPr>
          <w:ilvl w:val="0"/>
          <w:numId w:val="0"/>
        </w:numPr>
        <w:ind w:firstLine="420" w:firstLineChars="200"/>
      </w:pPr>
      <w:r>
        <w:rPr>
          <w:rFonts w:hint="eastAsia"/>
        </w:rPr>
        <w:t>根据损害土地方式的不同，将鉴定地块划分成1个或若干个可以独立进行鉴定的封闭区域。</w:t>
      </w:r>
    </w:p>
    <w:p>
      <w:pPr>
        <w:pStyle w:val="107"/>
        <w:spacing w:before="312" w:after="312"/>
      </w:pPr>
      <w:bookmarkStart w:id="144" w:name="_Toc146195840"/>
      <w:bookmarkStart w:id="145" w:name="_Toc155099982"/>
      <w:bookmarkStart w:id="146" w:name="_Toc153908827"/>
      <w:bookmarkStart w:id="147" w:name="_Toc146195890"/>
      <w:bookmarkStart w:id="148" w:name="_Toc146196210"/>
      <w:bookmarkStart w:id="149" w:name="_Toc146196248"/>
      <w:bookmarkStart w:id="150" w:name="_Toc153908921"/>
      <w:bookmarkStart w:id="151" w:name="_Toc155203370"/>
      <w:bookmarkStart w:id="152" w:name="_Toc155203671"/>
      <w:bookmarkStart w:id="153" w:name="_Toc155283173"/>
      <w:bookmarkStart w:id="154" w:name="_Toc155274988"/>
      <w:bookmarkStart w:id="155" w:name="_Toc155338812"/>
      <w:bookmarkStart w:id="156" w:name="_Toc155338919"/>
      <w:bookmarkStart w:id="157" w:name="_Toc155203996"/>
      <w:r>
        <w:rPr>
          <w:rFonts w:hint="eastAsia"/>
        </w:rPr>
        <w:t>鉴定机构</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108"/>
        <w:spacing w:before="156" w:after="156"/>
        <w:ind w:left="0"/>
      </w:pPr>
      <w:bookmarkStart w:id="158" w:name="_Toc146196249"/>
      <w:bookmarkStart w:id="159" w:name="_Toc153908922"/>
      <w:bookmarkStart w:id="160" w:name="_Toc155099983"/>
      <w:bookmarkStart w:id="161" w:name="_Toc146196211"/>
      <w:bookmarkStart w:id="162" w:name="_Toc146195841"/>
      <w:bookmarkStart w:id="163" w:name="_Toc153908828"/>
      <w:bookmarkStart w:id="164" w:name="_Toc146195891"/>
      <w:bookmarkStart w:id="165" w:name="_Toc155274989"/>
      <w:bookmarkStart w:id="166" w:name="_Toc155338813"/>
      <w:bookmarkStart w:id="167" w:name="_Toc155203371"/>
      <w:bookmarkStart w:id="168" w:name="_Toc155203997"/>
      <w:bookmarkStart w:id="169" w:name="_Toc155338920"/>
      <w:bookmarkStart w:id="170" w:name="_Toc155203672"/>
      <w:bookmarkStart w:id="171" w:name="_Toc155283174"/>
      <w:r>
        <w:rPr>
          <w:rFonts w:hint="eastAsia"/>
        </w:rPr>
        <w:t>资质</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pStyle w:val="165"/>
        <w:numPr>
          <w:ilvl w:val="0"/>
          <w:numId w:val="0"/>
        </w:numPr>
        <w:ind w:firstLine="420" w:firstLineChars="200"/>
      </w:pPr>
      <w:r>
        <w:rPr>
          <w:rFonts w:hint="eastAsia"/>
        </w:rPr>
        <w:t>应取得从事生态系统环境损害司法鉴定资质，或省级及以上司法机关、高级人民法院认定的鉴定资格。</w:t>
      </w:r>
    </w:p>
    <w:p>
      <w:pPr>
        <w:pStyle w:val="108"/>
        <w:spacing w:before="156" w:after="156"/>
        <w:ind w:left="0"/>
      </w:pPr>
      <w:bookmarkStart w:id="172" w:name="_Toc155274990"/>
      <w:bookmarkStart w:id="173" w:name="_Toc155338814"/>
      <w:bookmarkStart w:id="174" w:name="_Toc155338921"/>
      <w:bookmarkStart w:id="175" w:name="_Toc155203372"/>
      <w:bookmarkStart w:id="176" w:name="_Toc146196250"/>
      <w:bookmarkStart w:id="177" w:name="_Toc155283175"/>
      <w:bookmarkStart w:id="178" w:name="_Toc146196212"/>
      <w:bookmarkStart w:id="179" w:name="_Toc146195842"/>
      <w:bookmarkStart w:id="180" w:name="_Toc153908829"/>
      <w:bookmarkStart w:id="181" w:name="_Toc155203673"/>
      <w:bookmarkStart w:id="182" w:name="_Toc153908923"/>
      <w:bookmarkStart w:id="183" w:name="_Toc146195892"/>
      <w:bookmarkStart w:id="184" w:name="_Toc155099984"/>
      <w:bookmarkStart w:id="185" w:name="_Toc155203998"/>
      <w:r>
        <w:rPr>
          <w:rFonts w:hint="eastAsia"/>
        </w:rPr>
        <w:t>人员</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59"/>
        <w:ind w:firstLine="420"/>
      </w:pPr>
      <w:r>
        <w:rPr>
          <w:rFonts w:hint="eastAsia"/>
        </w:rPr>
        <w:t>应配备鉴定人、勘察人。其中，鉴定人应具备农业工程、环境学、环境工程学、土壤学、林学、部门法学</w:t>
      </w:r>
      <w:r>
        <w:t>等</w:t>
      </w:r>
      <w:r>
        <w:rPr>
          <w:rFonts w:hint="eastAsia"/>
        </w:rPr>
        <w:t>中级及以上技术职称，勘察人应具备相关学历证书或两年及以上相关工作经验。</w:t>
      </w:r>
    </w:p>
    <w:p>
      <w:pPr>
        <w:pStyle w:val="108"/>
        <w:spacing w:before="156" w:after="156"/>
        <w:ind w:left="0"/>
      </w:pPr>
      <w:bookmarkStart w:id="186" w:name="_Toc146195893"/>
      <w:bookmarkStart w:id="187" w:name="_Toc146196251"/>
      <w:bookmarkStart w:id="188" w:name="_Toc155274991"/>
      <w:bookmarkStart w:id="189" w:name="_Toc146195843"/>
      <w:bookmarkStart w:id="190" w:name="_Toc155203674"/>
      <w:bookmarkStart w:id="191" w:name="_Toc155338815"/>
      <w:bookmarkStart w:id="192" w:name="_Toc153908924"/>
      <w:bookmarkStart w:id="193" w:name="_Toc155283176"/>
      <w:bookmarkStart w:id="194" w:name="_Toc153908830"/>
      <w:bookmarkStart w:id="195" w:name="_Toc146196213"/>
      <w:bookmarkStart w:id="196" w:name="_Toc155099985"/>
      <w:bookmarkStart w:id="197" w:name="_Toc155338922"/>
      <w:bookmarkStart w:id="198" w:name="_Toc155203373"/>
      <w:bookmarkStart w:id="199" w:name="_Toc155203999"/>
      <w:r>
        <w:rPr>
          <w:rFonts w:hint="eastAsia"/>
        </w:rPr>
        <w:t>硬件</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59"/>
        <w:ind w:firstLine="420"/>
      </w:pPr>
      <w:r>
        <w:rPr>
          <w:rFonts w:hint="eastAsia"/>
        </w:rPr>
        <w:t>应有在业务范围内进行鉴定所要求的仪器、设备及检测实验室。</w:t>
      </w:r>
    </w:p>
    <w:p>
      <w:pPr>
        <w:pStyle w:val="107"/>
        <w:spacing w:before="312" w:after="312"/>
      </w:pPr>
      <w:bookmarkStart w:id="200" w:name="_Toc146195894"/>
      <w:bookmarkStart w:id="201" w:name="_Toc153908925"/>
      <w:bookmarkStart w:id="202" w:name="_Toc146195844"/>
      <w:bookmarkStart w:id="203" w:name="_Toc153908831"/>
      <w:bookmarkStart w:id="204" w:name="_Toc155099986"/>
      <w:bookmarkStart w:id="205" w:name="_Toc155204000"/>
      <w:bookmarkStart w:id="206" w:name="_Toc146196252"/>
      <w:bookmarkStart w:id="207" w:name="_Toc155203374"/>
      <w:bookmarkStart w:id="208" w:name="_Toc155203675"/>
      <w:bookmarkStart w:id="209" w:name="_Toc146196214"/>
      <w:bookmarkStart w:id="210" w:name="_Toc155274992"/>
      <w:bookmarkStart w:id="211" w:name="_Toc155283177"/>
      <w:bookmarkStart w:id="212" w:name="_Toc155338816"/>
      <w:bookmarkStart w:id="213" w:name="_Toc155338923"/>
      <w:r>
        <w:rPr>
          <w:rFonts w:hint="eastAsia"/>
        </w:rPr>
        <w:t>损害类型</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pStyle w:val="108"/>
        <w:spacing w:before="156" w:after="156"/>
        <w:ind w:left="0"/>
      </w:pPr>
      <w:bookmarkStart w:id="214" w:name="_Toc146196253"/>
      <w:bookmarkStart w:id="215" w:name="_Toc155203676"/>
      <w:bookmarkStart w:id="216" w:name="_Toc146195895"/>
      <w:bookmarkStart w:id="217" w:name="_Toc155338817"/>
      <w:bookmarkStart w:id="218" w:name="_Toc155338924"/>
      <w:bookmarkStart w:id="219" w:name="_Toc155203375"/>
      <w:bookmarkStart w:id="220" w:name="_Toc155099987"/>
      <w:bookmarkStart w:id="221" w:name="_Toc155274993"/>
      <w:bookmarkStart w:id="222" w:name="_Toc153908926"/>
      <w:bookmarkStart w:id="223" w:name="_Toc155283178"/>
      <w:bookmarkStart w:id="224" w:name="_Toc153908832"/>
      <w:bookmarkStart w:id="225" w:name="_Toc155204001"/>
      <w:bookmarkStart w:id="226" w:name="_Toc146195845"/>
      <w:bookmarkStart w:id="227" w:name="_Toc146196215"/>
      <w:r>
        <w:rPr>
          <w:rFonts w:hint="eastAsia"/>
        </w:rPr>
        <w:t>侵占</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pPr>
        <w:pStyle w:val="59"/>
        <w:ind w:firstLine="420"/>
      </w:pPr>
      <w:r>
        <w:rPr>
          <w:rFonts w:hint="eastAsia"/>
        </w:rPr>
        <w:t>在耕地和林地上堆放或填埋剥离物、生活垃圾、建筑垃圾、工矿废弃物，建窑、建坟、建房、建设厂棚、牲畜圈舍、硬化路面、场地等行为造成土地原有功能部分或全部丧失。</w:t>
      </w:r>
    </w:p>
    <w:p>
      <w:pPr>
        <w:pStyle w:val="108"/>
        <w:spacing w:before="156" w:after="156"/>
        <w:ind w:left="0"/>
      </w:pPr>
      <w:bookmarkStart w:id="228" w:name="_Toc153908833"/>
      <w:bookmarkStart w:id="229" w:name="_Toc146196254"/>
      <w:bookmarkStart w:id="230" w:name="_Toc146196216"/>
      <w:bookmarkStart w:id="231" w:name="_Toc155274994"/>
      <w:bookmarkStart w:id="232" w:name="_Toc155203677"/>
      <w:bookmarkStart w:id="233" w:name="_Toc155338818"/>
      <w:bookmarkStart w:id="234" w:name="_Toc155283179"/>
      <w:bookmarkStart w:id="235" w:name="_Toc146195846"/>
      <w:bookmarkStart w:id="236" w:name="_Toc155203376"/>
      <w:bookmarkStart w:id="237" w:name="_Toc146195896"/>
      <w:bookmarkStart w:id="238" w:name="_Toc155204002"/>
      <w:bookmarkStart w:id="239" w:name="_Toc155338925"/>
      <w:bookmarkStart w:id="240" w:name="_Toc155099988"/>
      <w:bookmarkStart w:id="241" w:name="_Toc153908927"/>
      <w:r>
        <w:rPr>
          <w:rFonts w:hint="eastAsia"/>
        </w:rPr>
        <w:t>损毁</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pStyle w:val="59"/>
        <w:ind w:firstLine="420"/>
      </w:pPr>
      <w:r>
        <w:rPr>
          <w:rFonts w:hint="eastAsia"/>
        </w:rPr>
        <w:t>在耕地和林地上取土，挖砂、采石、采矿、排水、蓄水、载荷过重导致塌陷，使得原地表形态、土壤结构、地表生物等被直接摧毁，土地原有功能部分或全部丧失。</w:t>
      </w:r>
    </w:p>
    <w:p>
      <w:pPr>
        <w:pStyle w:val="108"/>
        <w:spacing w:before="156" w:after="156"/>
        <w:ind w:left="0"/>
      </w:pPr>
      <w:bookmarkStart w:id="242" w:name="_Toc155099990"/>
      <w:bookmarkStart w:id="243" w:name="_Toc153908835"/>
      <w:bookmarkStart w:id="244" w:name="_Toc155203678"/>
      <w:bookmarkStart w:id="245" w:name="_Toc146196218"/>
      <w:bookmarkStart w:id="246" w:name="_Toc153908929"/>
      <w:bookmarkStart w:id="247" w:name="_Toc155274995"/>
      <w:bookmarkStart w:id="248" w:name="_Toc146195848"/>
      <w:bookmarkStart w:id="249" w:name="_Toc155283180"/>
      <w:bookmarkStart w:id="250" w:name="_Toc155338926"/>
      <w:bookmarkStart w:id="251" w:name="_Toc155338819"/>
      <w:bookmarkStart w:id="252" w:name="_Toc155203377"/>
      <w:bookmarkStart w:id="253" w:name="_Toc146196256"/>
      <w:bookmarkStart w:id="254" w:name="_Toc155204003"/>
      <w:bookmarkStart w:id="255" w:name="_Toc146195898"/>
      <w:r>
        <w:rPr>
          <w:rFonts w:hint="eastAsia"/>
        </w:rPr>
        <w:t>污染</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59"/>
        <w:ind w:firstLine="420"/>
      </w:pPr>
      <w:r>
        <w:rPr>
          <w:rFonts w:hint="eastAsia"/>
        </w:rPr>
        <w:t>在耕地和林地上堆放或填埋医疗废物或工业垃圾等固体废弃物，排放有害废水、污水等导致重金属污染、有机物污染，造成土壤原有理化性状恶化、土壤中污染物超过相应标准值。</w:t>
      </w:r>
    </w:p>
    <w:p>
      <w:pPr>
        <w:pStyle w:val="107"/>
        <w:spacing w:before="312" w:after="312"/>
      </w:pPr>
      <w:bookmarkStart w:id="256" w:name="_Toc146196257"/>
      <w:bookmarkStart w:id="257" w:name="_Toc153908836"/>
      <w:bookmarkStart w:id="258" w:name="_Toc153908930"/>
      <w:bookmarkStart w:id="259" w:name="_Toc155099991"/>
      <w:bookmarkStart w:id="260" w:name="_Toc155203378"/>
      <w:bookmarkStart w:id="261" w:name="_Toc146195849"/>
      <w:bookmarkStart w:id="262" w:name="_Toc146195899"/>
      <w:bookmarkStart w:id="263" w:name="_Toc146196219"/>
      <w:bookmarkStart w:id="264" w:name="_Toc155338927"/>
      <w:bookmarkStart w:id="265" w:name="_Toc155283181"/>
      <w:bookmarkStart w:id="266" w:name="_Toc155204004"/>
      <w:bookmarkStart w:id="267" w:name="_Toc155338820"/>
      <w:bookmarkStart w:id="268" w:name="_Toc155274996"/>
      <w:bookmarkStart w:id="269" w:name="_Toc155203679"/>
      <w:r>
        <w:rPr>
          <w:rFonts w:hint="eastAsia"/>
        </w:rPr>
        <w:t>鉴定程序</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pStyle w:val="59"/>
        <w:ind w:firstLine="420"/>
      </w:pPr>
      <w:r>
        <w:rPr>
          <w:rFonts w:hint="eastAsia"/>
        </w:rPr>
        <w:t>鉴定流程见图1。</w:t>
      </w:r>
    </w:p>
    <w:p>
      <w:pPr>
        <w:pStyle w:val="107"/>
        <w:spacing w:before="312" w:after="312"/>
      </w:pPr>
      <w:bookmarkStart w:id="270" w:name="_Toc155203379"/>
      <w:bookmarkStart w:id="271" w:name="_Toc155204005"/>
      <w:bookmarkStart w:id="272" w:name="_Toc155203680"/>
      <w:bookmarkStart w:id="273" w:name="_Toc155283182"/>
      <w:bookmarkStart w:id="274" w:name="_Toc155338821"/>
      <w:bookmarkStart w:id="275" w:name="_Toc155274997"/>
      <w:bookmarkStart w:id="276" w:name="_Toc155338928"/>
      <w:r>
        <w:rPr>
          <w:rFonts w:hint="eastAsia"/>
        </w:rPr>
        <w:t>受理</w:t>
      </w:r>
      <w:bookmarkEnd w:id="270"/>
      <w:bookmarkEnd w:id="271"/>
      <w:bookmarkEnd w:id="272"/>
      <w:bookmarkEnd w:id="273"/>
      <w:bookmarkEnd w:id="274"/>
      <w:bookmarkEnd w:id="275"/>
      <w:bookmarkEnd w:id="276"/>
    </w:p>
    <w:p>
      <w:pPr>
        <w:pStyle w:val="165"/>
        <w:ind w:left="0"/>
      </w:pPr>
      <w:bookmarkStart w:id="277" w:name="_Toc145012855"/>
      <w:bookmarkStart w:id="278" w:name="_Toc145065422"/>
      <w:bookmarkStart w:id="279" w:name="_Toc145089174"/>
      <w:bookmarkStart w:id="280" w:name="_Toc146195855"/>
      <w:bookmarkStart w:id="281" w:name="_Toc146195905"/>
      <w:bookmarkStart w:id="282" w:name="_Toc155099993"/>
      <w:bookmarkStart w:id="283" w:name="_Toc155203380"/>
      <w:bookmarkStart w:id="284" w:name="_Toc155204006"/>
      <w:bookmarkStart w:id="285" w:name="_Toc155204111"/>
      <w:bookmarkStart w:id="286" w:name="_Toc155203681"/>
      <w:r>
        <w:rPr>
          <w:rFonts w:hint="eastAsia"/>
        </w:rPr>
        <w:t>受理鉴定事项中涉及的委托方为具有机关法人或事业单位法人的部门，鉴定时间为</w:t>
      </w:r>
      <w:r>
        <w:t>20</w:t>
      </w:r>
      <w:r>
        <w:rPr>
          <w:rFonts w:hint="eastAsia"/>
        </w:rPr>
        <w:t>个工作日。</w:t>
      </w:r>
      <w:bookmarkEnd w:id="277"/>
      <w:bookmarkEnd w:id="278"/>
      <w:bookmarkEnd w:id="279"/>
      <w:bookmarkEnd w:id="280"/>
      <w:bookmarkEnd w:id="281"/>
      <w:bookmarkEnd w:id="282"/>
      <w:bookmarkEnd w:id="283"/>
      <w:bookmarkEnd w:id="284"/>
      <w:bookmarkEnd w:id="285"/>
      <w:bookmarkEnd w:id="286"/>
    </w:p>
    <w:p>
      <w:pPr>
        <w:pStyle w:val="165"/>
        <w:ind w:left="0"/>
      </w:pPr>
      <w:bookmarkStart w:id="287" w:name="_Toc145065423"/>
      <w:bookmarkStart w:id="288" w:name="_Toc146195906"/>
      <w:bookmarkStart w:id="289" w:name="_Toc145012856"/>
      <w:bookmarkStart w:id="290" w:name="_Toc145089175"/>
      <w:bookmarkStart w:id="291" w:name="_Toc155099994"/>
      <w:bookmarkStart w:id="292" w:name="_Toc146195856"/>
      <w:bookmarkStart w:id="293" w:name="_Toc155203682"/>
      <w:bookmarkStart w:id="294" w:name="_Toc155203381"/>
      <w:bookmarkStart w:id="295" w:name="_Toc155204007"/>
      <w:bookmarkStart w:id="296" w:name="_Toc155204112"/>
      <w:r>
        <w:rPr>
          <w:rFonts w:hint="eastAsia"/>
        </w:rPr>
        <w:t>委托方应提供的鉴定材料包括但不限于：</w:t>
      </w:r>
      <w:bookmarkEnd w:id="287"/>
      <w:bookmarkEnd w:id="288"/>
      <w:bookmarkEnd w:id="289"/>
      <w:bookmarkEnd w:id="290"/>
      <w:bookmarkEnd w:id="291"/>
      <w:bookmarkEnd w:id="292"/>
      <w:bookmarkEnd w:id="293"/>
      <w:bookmarkEnd w:id="294"/>
      <w:bookmarkEnd w:id="295"/>
      <w:bookmarkEnd w:id="296"/>
    </w:p>
    <w:p>
      <w:pPr>
        <w:pStyle w:val="135"/>
      </w:pPr>
      <w:r>
        <w:rPr>
          <w:rFonts w:hint="eastAsia"/>
        </w:rPr>
        <w:t>耕地或林地</w:t>
      </w:r>
      <w:r>
        <w:t>损害</w:t>
      </w:r>
      <w:r>
        <w:rPr>
          <w:rFonts w:hint="eastAsia"/>
        </w:rPr>
        <w:t>程度鉴定委托书（见附录A）；</w:t>
      </w:r>
    </w:p>
    <w:p>
      <w:pPr>
        <w:pStyle w:val="135"/>
      </w:pPr>
      <w:r>
        <w:rPr>
          <w:rFonts w:hint="eastAsia"/>
        </w:rPr>
        <w:t>损害地块的现场彩色图片（远景照片1张、不同角度近景照片</w:t>
      </w:r>
      <w:r>
        <w:t>4</w:t>
      </w:r>
      <w:r>
        <w:rPr>
          <w:rFonts w:hint="eastAsia"/>
        </w:rPr>
        <w:t>张，照片应注明拍照人、拍照日期、经纬度、高程）；</w:t>
      </w:r>
    </w:p>
    <w:p>
      <w:pPr>
        <w:pStyle w:val="135"/>
      </w:pPr>
      <w:r>
        <w:rPr>
          <w:rFonts w:hint="eastAsia"/>
        </w:rPr>
        <w:t>损害地块违法行为发生前一年度的国土空间总体规划图（土地利用总体规划图）、土地利用现状图、土地权属地类情况审核表和土地利用总体规划审核表；</w:t>
      </w:r>
    </w:p>
    <w:p>
      <w:pPr>
        <w:pStyle w:val="135"/>
      </w:pPr>
      <w:r>
        <w:rPr>
          <w:rFonts w:hint="eastAsia"/>
        </w:rPr>
        <w:t>详细的案情材料及损害地块的土地历史使用状况材料；</w:t>
      </w:r>
    </w:p>
    <w:p>
      <w:pPr>
        <w:pStyle w:val="135"/>
      </w:pPr>
      <w:r>
        <w:rPr>
          <w:rFonts w:hint="eastAsia"/>
        </w:rPr>
        <w:t>损害地块的实地勘测定界成果报告、地质图、大比例尺地形图、水文资料、遥感影像图等资料；</w:t>
      </w:r>
    </w:p>
    <w:p>
      <w:pPr>
        <w:pStyle w:val="135"/>
        <w:rPr>
          <w:rFonts w:ascii="黑体" w:hAnsi="黑体" w:eastAsia="黑体"/>
        </w:rPr>
      </w:pPr>
      <w:r>
        <w:rPr>
          <w:rFonts w:hint="eastAsia"/>
        </w:rPr>
        <w:t>案件查处卷宗有关材料。</w:t>
      </w:r>
    </w:p>
    <w:p>
      <w:pPr>
        <w:pStyle w:val="165"/>
        <w:ind w:left="0"/>
      </w:pPr>
      <w:bookmarkStart w:id="297" w:name="_Toc155203382"/>
      <w:bookmarkStart w:id="298" w:name="_Toc155204008"/>
      <w:bookmarkStart w:id="299" w:name="_Toc155204113"/>
      <w:bookmarkStart w:id="300" w:name="_Toc155203683"/>
      <w:r>
        <w:rPr>
          <w:rFonts w:hint="eastAsia"/>
        </w:rPr>
        <w:t>确认受理鉴定事项后需与委托方签订鉴定协议书。</w:t>
      </w:r>
      <w:bookmarkEnd w:id="297"/>
      <w:bookmarkEnd w:id="298"/>
      <w:bookmarkEnd w:id="299"/>
      <w:bookmarkEnd w:id="300"/>
    </w:p>
    <w:p>
      <w:pPr>
        <w:pStyle w:val="59"/>
        <w:ind w:firstLine="0" w:firstLineChars="0"/>
        <w:jc w:val="center"/>
      </w:pPr>
      <w:r>
        <w:drawing>
          <wp:inline distT="0" distB="0" distL="0" distR="0">
            <wp:extent cx="5939790" cy="5662930"/>
            <wp:effectExtent l="0" t="0" r="0" b="0"/>
            <wp:docPr id="1417124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12496"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39790" cy="5662930"/>
                    </a:xfrm>
                    <a:prstGeom prst="rect">
                      <a:avLst/>
                    </a:prstGeom>
                    <a:noFill/>
                    <a:ln>
                      <a:noFill/>
                    </a:ln>
                  </pic:spPr>
                </pic:pic>
              </a:graphicData>
            </a:graphic>
          </wp:inline>
        </w:drawing>
      </w:r>
    </w:p>
    <w:p>
      <w:pPr>
        <w:pStyle w:val="104"/>
      </w:pPr>
      <w:r>
        <w:rPr>
          <w:rFonts w:hint="eastAsia"/>
        </w:rPr>
        <w:t>针对是否存在污染情况，现场采用速测设备对土壤样品进行检测，做出初步判断。</w:t>
      </w:r>
    </w:p>
    <w:p>
      <w:pPr>
        <w:pStyle w:val="117"/>
        <w:spacing w:before="156" w:after="156"/>
      </w:pPr>
      <w:bookmarkStart w:id="301" w:name="_Toc146196281"/>
      <w:r>
        <w:rPr>
          <w:rFonts w:hint="eastAsia"/>
        </w:rPr>
        <w:t>耕地和林地损害程度鉴定程序图</w:t>
      </w:r>
      <w:bookmarkEnd w:id="301"/>
    </w:p>
    <w:p>
      <w:pPr>
        <w:pStyle w:val="107"/>
        <w:spacing w:before="312" w:after="312"/>
      </w:pPr>
      <w:bookmarkStart w:id="302" w:name="_Toc146195857"/>
      <w:bookmarkStart w:id="303" w:name="_Toc155338822"/>
      <w:bookmarkStart w:id="304" w:name="_Toc155203383"/>
      <w:bookmarkStart w:id="305" w:name="_Toc146195907"/>
      <w:bookmarkStart w:id="306" w:name="_Toc153908840"/>
      <w:bookmarkStart w:id="307" w:name="_Toc146196261"/>
      <w:bookmarkStart w:id="308" w:name="_Toc153908934"/>
      <w:bookmarkStart w:id="309" w:name="_Toc155099995"/>
      <w:bookmarkStart w:id="310" w:name="_Toc155204009"/>
      <w:bookmarkStart w:id="311" w:name="_Toc155203684"/>
      <w:bookmarkStart w:id="312" w:name="_Toc155338929"/>
      <w:bookmarkStart w:id="313" w:name="_Toc155283183"/>
      <w:bookmarkStart w:id="314" w:name="_Toc155274998"/>
      <w:bookmarkStart w:id="315" w:name="_Toc146196223"/>
      <w:r>
        <w:rPr>
          <w:rFonts w:hint="eastAsia"/>
        </w:rPr>
        <w:t>制定方案</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165"/>
        <w:numPr>
          <w:ilvl w:val="0"/>
          <w:numId w:val="0"/>
        </w:numPr>
        <w:ind w:firstLine="420" w:firstLineChars="200"/>
      </w:pPr>
      <w:r>
        <w:rPr>
          <w:rFonts w:hint="eastAsia"/>
        </w:rPr>
        <w:t>鉴定机构应依据委托方提供的鉴定材料，初步判定耕地或林地损害类型，成立由具有与损害类型相关专业的勘察人和鉴定人组成的鉴定小组，并制定耕地或林地损害鉴定工作方案，方案内容包括：鉴定目的、鉴定范围、鉴定内容、鉴定方式和鉴定步骤。</w:t>
      </w:r>
    </w:p>
    <w:p>
      <w:pPr>
        <w:pStyle w:val="107"/>
        <w:spacing w:before="312" w:after="312"/>
      </w:pPr>
      <w:bookmarkStart w:id="316" w:name="_Toc155203384"/>
      <w:bookmarkStart w:id="317" w:name="_Toc146196264"/>
      <w:bookmarkStart w:id="318" w:name="_Toc155338930"/>
      <w:bookmarkStart w:id="319" w:name="_Toc146195860"/>
      <w:bookmarkStart w:id="320" w:name="_Toc155204010"/>
      <w:bookmarkStart w:id="321" w:name="_Toc146196226"/>
      <w:bookmarkStart w:id="322" w:name="_Toc153908843"/>
      <w:bookmarkStart w:id="323" w:name="_Toc153908937"/>
      <w:bookmarkStart w:id="324" w:name="_Toc146195910"/>
      <w:bookmarkStart w:id="325" w:name="_Toc155099996"/>
      <w:bookmarkStart w:id="326" w:name="_Toc155203685"/>
      <w:bookmarkStart w:id="327" w:name="_Toc155283184"/>
      <w:bookmarkStart w:id="328" w:name="_Toc155274999"/>
      <w:bookmarkStart w:id="329" w:name="_Toc155338823"/>
      <w:r>
        <w:rPr>
          <w:rFonts w:hint="eastAsia"/>
        </w:rPr>
        <w:t>现场勘察</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pPr>
        <w:pStyle w:val="108"/>
        <w:spacing w:before="156" w:after="156"/>
        <w:ind w:left="0"/>
      </w:pPr>
      <w:bookmarkStart w:id="330" w:name="_Toc146196265"/>
      <w:bookmarkStart w:id="331" w:name="_Toc153908938"/>
      <w:bookmarkStart w:id="332" w:name="_Toc146195861"/>
      <w:bookmarkStart w:id="333" w:name="_Toc146196227"/>
      <w:bookmarkStart w:id="334" w:name="_Toc153908844"/>
      <w:bookmarkStart w:id="335" w:name="_Toc146195911"/>
      <w:bookmarkStart w:id="336" w:name="_Toc155275000"/>
      <w:bookmarkStart w:id="337" w:name="_Toc155204011"/>
      <w:bookmarkStart w:id="338" w:name="_Toc155338931"/>
      <w:bookmarkStart w:id="339" w:name="_Toc155203385"/>
      <w:bookmarkStart w:id="340" w:name="_Toc155203686"/>
      <w:bookmarkStart w:id="341" w:name="_Toc155283185"/>
      <w:bookmarkStart w:id="342" w:name="_Toc155099997"/>
      <w:bookmarkStart w:id="343" w:name="_Toc155338824"/>
      <w:bookmarkStart w:id="344" w:name="_Toc145065428"/>
      <w:bookmarkStart w:id="345" w:name="_Toc145012861"/>
      <w:bookmarkStart w:id="346" w:name="_Toc145089180"/>
      <w:r>
        <w:rPr>
          <w:rFonts w:hint="eastAsia"/>
        </w:rPr>
        <w:t>人员</w:t>
      </w:r>
      <w:r>
        <w:t>安排</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59"/>
        <w:ind w:firstLine="420"/>
      </w:pPr>
      <w:r>
        <w:rPr>
          <w:rFonts w:hint="eastAsia"/>
        </w:rPr>
        <w:t>应由2名及以上勘察人或鉴定人进行现场勘察，并填写《耕地（林地）损害程度鉴定现场勘察记录表》（见附录B）。</w:t>
      </w:r>
      <w:bookmarkEnd w:id="344"/>
      <w:bookmarkEnd w:id="345"/>
      <w:bookmarkEnd w:id="346"/>
    </w:p>
    <w:p>
      <w:pPr>
        <w:pStyle w:val="108"/>
        <w:spacing w:before="156" w:after="156"/>
        <w:ind w:left="0"/>
      </w:pPr>
      <w:bookmarkStart w:id="347" w:name="_Toc146195862"/>
      <w:bookmarkStart w:id="348" w:name="_Toc146196228"/>
      <w:bookmarkStart w:id="349" w:name="_Toc153908845"/>
      <w:bookmarkStart w:id="350" w:name="_Toc153908939"/>
      <w:bookmarkStart w:id="351" w:name="_Toc155099998"/>
      <w:bookmarkStart w:id="352" w:name="_Toc146195912"/>
      <w:bookmarkStart w:id="353" w:name="_Toc155203386"/>
      <w:bookmarkStart w:id="354" w:name="_Toc155203687"/>
      <w:bookmarkStart w:id="355" w:name="_Toc155204012"/>
      <w:bookmarkStart w:id="356" w:name="_Toc146196266"/>
      <w:bookmarkStart w:id="357" w:name="_Toc155283186"/>
      <w:bookmarkStart w:id="358" w:name="_Toc155338825"/>
      <w:bookmarkStart w:id="359" w:name="_Toc155275001"/>
      <w:bookmarkStart w:id="360" w:name="_Toc155338932"/>
      <w:bookmarkStart w:id="361" w:name="_Toc145012862"/>
      <w:bookmarkStart w:id="362" w:name="_Toc145065429"/>
      <w:bookmarkStart w:id="363" w:name="_Toc145089181"/>
      <w:r>
        <w:rPr>
          <w:rFonts w:hint="eastAsia"/>
        </w:rPr>
        <w:t>勘察内容</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pPr>
        <w:pStyle w:val="59"/>
        <w:ind w:firstLine="420"/>
        <w:rPr>
          <w:rFonts w:hAnsi="黑体"/>
        </w:rPr>
      </w:pPr>
      <w:r>
        <w:rPr>
          <w:rFonts w:hint="eastAsia"/>
        </w:rPr>
        <w:t>现场勘察内容包括但不限于</w:t>
      </w:r>
      <w:r>
        <w:rPr>
          <w:rFonts w:hint="eastAsia" w:hAnsi="宋体"/>
        </w:rPr>
        <w:t>：</w:t>
      </w:r>
      <w:bookmarkEnd w:id="361"/>
      <w:bookmarkEnd w:id="362"/>
      <w:bookmarkEnd w:id="363"/>
    </w:p>
    <w:p>
      <w:pPr>
        <w:pStyle w:val="135"/>
      </w:pPr>
      <w:r>
        <w:rPr>
          <w:rFonts w:hint="eastAsia"/>
        </w:rPr>
        <w:t>与当地群众等实际沟通；</w:t>
      </w:r>
    </w:p>
    <w:p>
      <w:pPr>
        <w:pStyle w:val="135"/>
      </w:pPr>
      <w:r>
        <w:rPr>
          <w:rFonts w:hint="eastAsia"/>
        </w:rPr>
        <w:t>土地使用历史与现状；</w:t>
      </w:r>
    </w:p>
    <w:p>
      <w:pPr>
        <w:pStyle w:val="135"/>
      </w:pPr>
      <w:r>
        <w:rPr>
          <w:rFonts w:hint="eastAsia"/>
        </w:rPr>
        <w:t>损害地块经纬度及四至范围；</w:t>
      </w:r>
    </w:p>
    <w:p>
      <w:pPr>
        <w:pStyle w:val="135"/>
      </w:pPr>
      <w:r>
        <w:rPr>
          <w:rFonts w:hint="eastAsia"/>
        </w:rPr>
        <w:t>损害地块的地形坡度；</w:t>
      </w:r>
    </w:p>
    <w:p>
      <w:pPr>
        <w:pStyle w:val="135"/>
      </w:pPr>
      <w:r>
        <w:rPr>
          <w:rFonts w:hint="eastAsia"/>
        </w:rPr>
        <w:t>损害地块的地表植被情况；</w:t>
      </w:r>
    </w:p>
    <w:p>
      <w:pPr>
        <w:pStyle w:val="135"/>
      </w:pPr>
      <w:r>
        <w:rPr>
          <w:rFonts w:hint="eastAsia"/>
        </w:rPr>
        <w:t>损害地块的有效土层厚度；</w:t>
      </w:r>
    </w:p>
    <w:p>
      <w:pPr>
        <w:pStyle w:val="135"/>
      </w:pPr>
      <w:r>
        <w:rPr>
          <w:rFonts w:hint="eastAsia"/>
        </w:rPr>
        <w:t>损害地块的砾石含量；</w:t>
      </w:r>
    </w:p>
    <w:p>
      <w:pPr>
        <w:pStyle w:val="135"/>
      </w:pPr>
      <w:r>
        <w:rPr>
          <w:rFonts w:hint="eastAsia"/>
        </w:rPr>
        <w:t>损害地块的土壤质地；</w:t>
      </w:r>
    </w:p>
    <w:p>
      <w:pPr>
        <w:pStyle w:val="135"/>
      </w:pPr>
      <w:r>
        <w:rPr>
          <w:rFonts w:hint="eastAsia"/>
        </w:rPr>
        <w:t>损害地块的土壤有机质含量；</w:t>
      </w:r>
    </w:p>
    <w:p>
      <w:pPr>
        <w:pStyle w:val="135"/>
      </w:pPr>
      <w:r>
        <w:rPr>
          <w:rFonts w:hint="eastAsia"/>
        </w:rPr>
        <w:t>损害地块的pH值；</w:t>
      </w:r>
    </w:p>
    <w:p>
      <w:pPr>
        <w:pStyle w:val="135"/>
      </w:pPr>
      <w:r>
        <w:rPr>
          <w:rFonts w:hint="eastAsia"/>
        </w:rPr>
        <w:t>损害地块土壤中重金属含量；</w:t>
      </w:r>
    </w:p>
    <w:p>
      <w:pPr>
        <w:pStyle w:val="135"/>
      </w:pPr>
      <w:r>
        <w:rPr>
          <w:rFonts w:hint="eastAsia"/>
        </w:rPr>
        <w:t>损害地块的配套设施（耕地：灌溉、排水、道路；林地：道路）。</w:t>
      </w:r>
    </w:p>
    <w:p>
      <w:pPr>
        <w:pStyle w:val="182"/>
      </w:pPr>
      <w:r>
        <w:rPr>
          <w:rFonts w:hint="eastAsia"/>
        </w:rPr>
        <w:t>关于损害地块的土壤质地、有机质含量、p</w:t>
      </w:r>
      <w:r>
        <w:t>H</w:t>
      </w:r>
      <w:r>
        <w:rPr>
          <w:rFonts w:hint="eastAsia"/>
        </w:rPr>
        <w:t>值和重金属含量指标，需由具有C</w:t>
      </w:r>
      <w:r>
        <w:t>MA</w:t>
      </w:r>
      <w:r>
        <w:rPr>
          <w:rFonts w:hint="eastAsia"/>
        </w:rPr>
        <w:t>资质的检测公司进行检测确认。</w:t>
      </w:r>
    </w:p>
    <w:p>
      <w:pPr>
        <w:pStyle w:val="108"/>
        <w:spacing w:before="156" w:after="156"/>
        <w:ind w:left="0"/>
      </w:pPr>
      <w:bookmarkStart w:id="364" w:name="_Toc155338826"/>
      <w:bookmarkStart w:id="365" w:name="_Toc155338933"/>
      <w:bookmarkStart w:id="366" w:name="_Toc146195863"/>
      <w:bookmarkStart w:id="367" w:name="_Toc153908940"/>
      <w:bookmarkStart w:id="368" w:name="_Toc155203387"/>
      <w:bookmarkStart w:id="369" w:name="_Toc155203688"/>
      <w:bookmarkStart w:id="370" w:name="_Toc155204013"/>
      <w:bookmarkStart w:id="371" w:name="_Toc155099999"/>
      <w:bookmarkStart w:id="372" w:name="_Toc155275002"/>
      <w:bookmarkStart w:id="373" w:name="_Toc146196267"/>
      <w:bookmarkStart w:id="374" w:name="_Toc155283187"/>
      <w:bookmarkStart w:id="375" w:name="_Toc146195913"/>
      <w:bookmarkStart w:id="376" w:name="_Toc146196229"/>
      <w:bookmarkStart w:id="377" w:name="_Toc153908846"/>
      <w:bookmarkStart w:id="378" w:name="_Toc145012863"/>
      <w:bookmarkStart w:id="379" w:name="_Toc145065430"/>
      <w:bookmarkStart w:id="380" w:name="_Toc145089182"/>
      <w:r>
        <w:rPr>
          <w:rFonts w:hint="eastAsia"/>
        </w:rPr>
        <w:t>鉴定单元划分</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pPr>
        <w:pStyle w:val="59"/>
        <w:ind w:firstLine="420"/>
      </w:pPr>
      <w:r>
        <w:rPr>
          <w:rFonts w:hint="eastAsia"/>
        </w:rPr>
        <w:t>根据损害类型，对鉴定地块归类并划分鉴定单元,并填写《耕地和林地损害程度鉴定单元分级特征及损害程度》（见附录</w:t>
      </w:r>
      <w:r>
        <w:t>C</w:t>
      </w:r>
      <w:r>
        <w:rPr>
          <w:rFonts w:hint="eastAsia"/>
        </w:rPr>
        <w:t>）。</w:t>
      </w:r>
      <w:bookmarkEnd w:id="378"/>
      <w:bookmarkEnd w:id="379"/>
      <w:bookmarkEnd w:id="380"/>
    </w:p>
    <w:p>
      <w:pPr>
        <w:pStyle w:val="107"/>
        <w:spacing w:before="312" w:after="312"/>
      </w:pPr>
      <w:bookmarkStart w:id="381" w:name="_Toc146195864"/>
      <w:bookmarkStart w:id="382" w:name="_Toc146195914"/>
      <w:bookmarkStart w:id="383" w:name="_Toc155203388"/>
      <w:bookmarkStart w:id="384" w:name="_Toc155203689"/>
      <w:bookmarkStart w:id="385" w:name="_Toc146196230"/>
      <w:bookmarkStart w:id="386" w:name="_Toc155100000"/>
      <w:bookmarkStart w:id="387" w:name="_Toc146196268"/>
      <w:bookmarkStart w:id="388" w:name="_Toc153908847"/>
      <w:bookmarkStart w:id="389" w:name="_Toc153908941"/>
      <w:bookmarkStart w:id="390" w:name="_Toc155275003"/>
      <w:bookmarkStart w:id="391" w:name="_Toc155204014"/>
      <w:bookmarkStart w:id="392" w:name="_Toc155283188"/>
      <w:bookmarkStart w:id="393" w:name="_Toc155338827"/>
      <w:bookmarkStart w:id="394" w:name="_Toc155338934"/>
      <w:r>
        <w:rPr>
          <w:rFonts w:hint="eastAsia"/>
        </w:rPr>
        <w:t>现场实施</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pPr>
        <w:pStyle w:val="59"/>
        <w:ind w:firstLine="420"/>
      </w:pPr>
      <w:r>
        <w:rPr>
          <w:rFonts w:hint="eastAsia"/>
        </w:rPr>
        <w:t>现场分析、布点及测绘，样品采集和样品检测，应符合SF/T 0074中5.2、5.3和5.4的规定。</w:t>
      </w:r>
    </w:p>
    <w:p>
      <w:pPr>
        <w:pStyle w:val="107"/>
        <w:spacing w:before="312" w:after="312"/>
      </w:pPr>
      <w:bookmarkStart w:id="395" w:name="_Toc155203389"/>
      <w:bookmarkStart w:id="396" w:name="_Toc155204015"/>
      <w:bookmarkStart w:id="397" w:name="_Toc153908942"/>
      <w:bookmarkStart w:id="398" w:name="_Toc155203690"/>
      <w:bookmarkStart w:id="399" w:name="_Toc155100001"/>
      <w:bookmarkStart w:id="400" w:name="_Toc155275004"/>
      <w:bookmarkStart w:id="401" w:name="_Toc155283189"/>
      <w:bookmarkStart w:id="402" w:name="_Toc155338935"/>
      <w:bookmarkStart w:id="403" w:name="_Toc155338828"/>
      <w:bookmarkStart w:id="404" w:name="_Toc146195865"/>
      <w:bookmarkStart w:id="405" w:name="_Toc146195915"/>
      <w:bookmarkStart w:id="406" w:name="_Toc153908848"/>
      <w:bookmarkStart w:id="407" w:name="_Toc146196231"/>
      <w:bookmarkStart w:id="408" w:name="_Toc146196269"/>
      <w:r>
        <w:rPr>
          <w:rFonts w:hint="eastAsia"/>
        </w:rPr>
        <w:t>损害程度鉴定</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pStyle w:val="59"/>
        <w:ind w:firstLine="420"/>
      </w:pPr>
      <w:r>
        <w:rPr>
          <w:rFonts w:hint="eastAsia"/>
        </w:rPr>
        <w:t>采用极限条件法，判定鉴定地块是否严重损害取决于条件最差的损害类型。</w:t>
      </w:r>
    </w:p>
    <w:p>
      <w:pPr>
        <w:pStyle w:val="59"/>
        <w:ind w:firstLine="420"/>
      </w:pPr>
      <w:r>
        <w:rPr>
          <w:rFonts w:hint="eastAsia"/>
        </w:rPr>
        <w:t>鉴定地块损害程度按公式（1）计算:</w:t>
      </w:r>
    </w:p>
    <w:p>
      <w:pPr>
        <w:pStyle w:val="116"/>
      </w:pPr>
      <w:r>
        <w:tab/>
      </w: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hint="eastAsia" w:ascii="Cambria Math" w:hAnsi="Cambria Math"/>
              </w:rPr>
              <m:t>a</m:t>
            </m:r>
            <m:ctrlPr>
              <w:rPr>
                <w:rFonts w:ascii="Cambria Math" w:hAnsi="Cambria Math"/>
                <w:i/>
              </w:rPr>
            </m:ctrlPr>
          </m:sub>
        </m:sSub>
        <m:r>
          <m:rPr/>
          <w:rPr>
            <w:rFonts w:ascii="Cambria Math" w:hAnsi="Cambria Math"/>
          </w:rPr>
          <m:t>=</m:t>
        </m:r>
        <m:r>
          <m:rPr>
            <m:sty m:val="p"/>
          </m:rPr>
          <w:rPr>
            <w:rFonts w:ascii="Cambria Math" w:hAnsi="Cambria Math"/>
          </w:rPr>
          <m:t>max⁡</m:t>
        </m:r>
        <m:r>
          <m:rPr/>
          <w:rPr>
            <w:rFonts w:ascii="Cambria Math" w:hAnsi="Cambria Math"/>
          </w:rPr>
          <m:t>(</m:t>
        </m:r>
        <m:sSub>
          <m:sSubPr>
            <m:ctrlPr>
              <w:rPr>
                <w:rFonts w:ascii="Cambria Math" w:hAnsi="Cambria Math"/>
                <w:i/>
              </w:rPr>
            </m:ctrlPr>
          </m:sSubPr>
          <m:e>
            <m:r>
              <m:rPr/>
              <w:rPr>
                <w:rFonts w:ascii="Cambria Math" w:hAnsi="Cambria Math"/>
              </w:rPr>
              <m:t>Y</m:t>
            </m:r>
            <m:ctrlPr>
              <w:rPr>
                <w:rFonts w:ascii="Cambria Math" w:hAnsi="Cambria Math"/>
                <w:i/>
              </w:rPr>
            </m:ctrlPr>
          </m:e>
          <m:sub>
            <m:r>
              <m:rPr/>
              <w:rPr>
                <w:rFonts w:hint="eastAsia" w:ascii="Cambria Math" w:hAnsi="Cambria Math"/>
              </w:rPr>
              <m:t>ab</m:t>
            </m:r>
            <m:ctrlPr>
              <w:rPr>
                <w:rFonts w:ascii="Cambria Math" w:hAnsi="Cambria Math"/>
                <w:i/>
              </w:rPr>
            </m:ctrlPr>
          </m:sub>
        </m:sSub>
        <m:r>
          <m:rPr/>
          <w:rPr>
            <w:rFonts w:ascii="Cambria Math" w:hAnsi="Cambria Math"/>
          </w:rPr>
          <m:t>)</m:t>
        </m:r>
      </m:oMath>
      <w:r>
        <w:rPr>
          <w:rFonts w:ascii="微软雅黑" w:hAnsi="微软雅黑" w:eastAsia="微软雅黑"/>
        </w:rPr>
        <w:tab/>
      </w:r>
      <w:r>
        <w:t>(</w:t>
      </w:r>
      <w:r>
        <w:fldChar w:fldCharType="begin"/>
      </w:r>
      <w:r>
        <w:instrText xml:space="preserve"> AUTONUM </w:instrText>
      </w:r>
      <w:r>
        <w:fldChar w:fldCharType="end"/>
      </w:r>
      <w:r>
        <w:t>)</w:t>
      </w:r>
    </w:p>
    <w:p>
      <w:pPr>
        <w:pStyle w:val="59"/>
        <w:ind w:firstLine="420"/>
      </w:pPr>
      <w:r>
        <w:rPr>
          <w:rFonts w:hint="eastAsia"/>
        </w:rPr>
        <w:t>式中：</w:t>
      </w:r>
    </w:p>
    <w:p>
      <w:pPr>
        <w:pStyle w:val="59"/>
        <w:ind w:firstLine="420"/>
      </w:pPr>
      <w:r>
        <w:rPr>
          <w:rFonts w:hint="eastAsia"/>
          <w:i/>
          <w:iCs/>
        </w:rPr>
        <w:t>Y</w:t>
      </w:r>
      <w:r>
        <w:rPr>
          <w:rFonts w:hint="eastAsia"/>
          <w:sz w:val="15"/>
          <w:szCs w:val="13"/>
        </w:rPr>
        <w:t>a</w:t>
      </w:r>
      <w:r>
        <w:rPr>
          <w:rFonts w:hint="eastAsia"/>
        </w:rPr>
        <w:t xml:space="preserve"> --第a个损害类型的损害程度;</w:t>
      </w:r>
    </w:p>
    <w:p>
      <w:pPr>
        <w:pStyle w:val="59"/>
        <w:ind w:firstLine="420"/>
      </w:pPr>
      <w:r>
        <w:rPr>
          <w:i/>
          <w:iCs/>
        </w:rPr>
        <w:t>Y</w:t>
      </w:r>
      <w:r>
        <w:rPr>
          <w:vertAlign w:val="subscript"/>
        </w:rPr>
        <w:t>ab</w:t>
      </w:r>
      <w:r>
        <w:t>--第a个</w:t>
      </w:r>
      <w:r>
        <w:rPr>
          <w:rFonts w:hint="eastAsia"/>
        </w:rPr>
        <w:t>损害类型</w:t>
      </w:r>
      <w:r>
        <w:t>中第b个鉴定</w:t>
      </w:r>
      <w:r>
        <w:rPr>
          <w:rFonts w:hint="eastAsia"/>
        </w:rPr>
        <w:t>单元</w:t>
      </w:r>
      <w:r>
        <w:t>损</w:t>
      </w:r>
      <w:r>
        <w:rPr>
          <w:rFonts w:hint="eastAsia"/>
        </w:rPr>
        <w:t>害</w:t>
      </w:r>
      <w:r>
        <w:t>程度。</w:t>
      </w:r>
    </w:p>
    <w:p>
      <w:pPr>
        <w:pStyle w:val="107"/>
        <w:spacing w:before="312" w:after="312"/>
      </w:pPr>
      <w:bookmarkStart w:id="409" w:name="_Toc146195916"/>
      <w:bookmarkStart w:id="410" w:name="_Toc146196270"/>
      <w:bookmarkStart w:id="411" w:name="_Toc153908849"/>
      <w:bookmarkStart w:id="412" w:name="_Toc146195866"/>
      <w:bookmarkStart w:id="413" w:name="_Toc153908943"/>
      <w:bookmarkStart w:id="414" w:name="_Toc155100002"/>
      <w:bookmarkStart w:id="415" w:name="_Toc155203691"/>
      <w:bookmarkStart w:id="416" w:name="_Toc155203390"/>
      <w:bookmarkStart w:id="417" w:name="_Toc146196232"/>
      <w:bookmarkStart w:id="418" w:name="_Toc155283190"/>
      <w:bookmarkStart w:id="419" w:name="_Toc155275005"/>
      <w:bookmarkStart w:id="420" w:name="_Toc155338936"/>
      <w:bookmarkStart w:id="421" w:name="_Toc155204016"/>
      <w:bookmarkStart w:id="422" w:name="_Toc155338829"/>
      <w:r>
        <w:rPr>
          <w:rFonts w:hint="eastAsia"/>
        </w:rPr>
        <w:t>报告编制</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pStyle w:val="59"/>
        <w:ind w:firstLine="420"/>
      </w:pPr>
      <w:r>
        <w:rPr>
          <w:rFonts w:hint="eastAsia"/>
        </w:rPr>
        <w:t>鉴定技术报告的编写要求应符合附录D的规定。</w:t>
      </w:r>
    </w:p>
    <w:p>
      <w:pPr>
        <w:pStyle w:val="107"/>
        <w:spacing w:before="312" w:after="312"/>
      </w:pPr>
      <w:bookmarkStart w:id="423" w:name="_Toc146196233"/>
      <w:bookmarkStart w:id="424" w:name="_Toc146196271"/>
      <w:bookmarkStart w:id="425" w:name="_Toc153908850"/>
      <w:bookmarkStart w:id="426" w:name="_Toc153908944"/>
      <w:bookmarkStart w:id="427" w:name="_Toc155100003"/>
      <w:bookmarkStart w:id="428" w:name="_Toc146195917"/>
      <w:bookmarkStart w:id="429" w:name="_Toc146195867"/>
      <w:bookmarkStart w:id="430" w:name="_Toc155338830"/>
      <w:bookmarkStart w:id="431" w:name="_Toc155204017"/>
      <w:bookmarkStart w:id="432" w:name="_Toc155275006"/>
      <w:bookmarkStart w:id="433" w:name="_Toc155283191"/>
      <w:bookmarkStart w:id="434" w:name="_Toc155338937"/>
      <w:bookmarkStart w:id="435" w:name="_Toc155203692"/>
      <w:bookmarkStart w:id="436" w:name="_Toc155203391"/>
      <w:r>
        <w:rPr>
          <w:rFonts w:hint="eastAsia"/>
        </w:rPr>
        <w:t>鉴定意见</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pPr>
        <w:pStyle w:val="59"/>
        <w:ind w:firstLine="420"/>
      </w:pPr>
      <w:r>
        <w:rPr>
          <w:rFonts w:hint="eastAsia"/>
        </w:rPr>
        <w:t>根据前期鉴定资料和现场技术勘察，必要时结合实验室检测结果，参照鉴定技术标准（见附录C）综合评价所需鉴定的耕地和林地损害程度（轻度、中度、重度）。</w:t>
      </w:r>
    </w:p>
    <w:p>
      <w:pPr>
        <w:widowControl/>
        <w:adjustRightInd/>
        <w:spacing w:line="240" w:lineRule="auto"/>
        <w:jc w:val="left"/>
        <w:rPr>
          <w:rFonts w:ascii="宋体" w:hAnsi="Times New Roman"/>
          <w:kern w:val="0"/>
          <w:szCs w:val="20"/>
        </w:rPr>
      </w:pPr>
      <w:r>
        <w:br w:type="page"/>
      </w:r>
    </w:p>
    <w:bookmarkEnd w:id="52"/>
    <w:p>
      <w:pPr>
        <w:pStyle w:val="201"/>
      </w:pPr>
      <w:bookmarkStart w:id="437" w:name="BookMark5"/>
    </w:p>
    <w:p>
      <w:pPr>
        <w:pStyle w:val="202"/>
      </w:pPr>
    </w:p>
    <w:p>
      <w:pPr>
        <w:pStyle w:val="79"/>
        <w:spacing w:after="156"/>
      </w:pPr>
      <w:r>
        <w:br w:type="textWrapping"/>
      </w:r>
      <w:bookmarkStart w:id="438" w:name="_Toc155338938"/>
      <w:bookmarkStart w:id="439" w:name="_Toc155338831"/>
      <w:r>
        <w:rPr>
          <w:rFonts w:hint="eastAsia"/>
        </w:rPr>
        <w:t>（资料性）</w:t>
      </w:r>
      <w:r>
        <w:br w:type="textWrapping"/>
      </w:r>
      <w:r>
        <w:rPr>
          <w:rFonts w:hint="eastAsia"/>
        </w:rPr>
        <w:t>耕地（林地）损害程度鉴定委托书</w:t>
      </w:r>
      <w:bookmarkEnd w:id="438"/>
      <w:bookmarkEnd w:id="439"/>
    </w:p>
    <w:p>
      <w:pPr>
        <w:pStyle w:val="59"/>
        <w:ind w:firstLine="420"/>
      </w:pPr>
      <w:r>
        <w:rPr>
          <w:rFonts w:hint="eastAsia"/>
        </w:rPr>
        <w:t>耕地（林地）损害程度鉴定委托书如图A.1所示。</w:t>
      </w:r>
    </w:p>
    <w:p>
      <w:pPr>
        <w:pStyle w:val="59"/>
        <w:ind w:firstLine="420"/>
      </w:pPr>
      <w:r>
        <w:drawing>
          <wp:inline distT="0" distB="0" distL="114300" distR="114300">
            <wp:extent cx="5461635" cy="6183630"/>
            <wp:effectExtent l="9525" t="9525" r="15240" b="17145"/>
            <wp:docPr id="349690821" name="图片 34969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90821" name="图片 349690821"/>
                    <pic:cNvPicPr>
                      <a:picLocks noChangeAspect="1"/>
                    </pic:cNvPicPr>
                  </pic:nvPicPr>
                  <pic:blipFill>
                    <a:blip r:embed="rId17"/>
                    <a:stretch>
                      <a:fillRect/>
                    </a:stretch>
                  </pic:blipFill>
                  <pic:spPr>
                    <a:xfrm>
                      <a:off x="0" y="0"/>
                      <a:ext cx="5461635" cy="6183630"/>
                    </a:xfrm>
                    <a:prstGeom prst="rect">
                      <a:avLst/>
                    </a:prstGeom>
                    <a:noFill/>
                    <a:ln>
                      <a:solidFill>
                        <a:schemeClr val="tx1"/>
                      </a:solidFill>
                    </a:ln>
                  </pic:spPr>
                </pic:pic>
              </a:graphicData>
            </a:graphic>
          </wp:inline>
        </w:drawing>
      </w:r>
    </w:p>
    <w:p>
      <w:pPr>
        <w:pStyle w:val="59"/>
        <w:ind w:firstLine="420"/>
      </w:pPr>
    </w:p>
    <w:p>
      <w:pPr>
        <w:pStyle w:val="59"/>
        <w:ind w:firstLine="420"/>
      </w:pPr>
    </w:p>
    <w:p>
      <w:pPr>
        <w:widowControl/>
        <w:adjustRightInd/>
        <w:spacing w:line="240" w:lineRule="auto"/>
        <w:jc w:val="left"/>
        <w:rPr>
          <w:rFonts w:ascii="宋体" w:hAnsi="Times New Roman"/>
          <w:kern w:val="0"/>
          <w:szCs w:val="20"/>
        </w:rPr>
      </w:pPr>
    </w:p>
    <w:p>
      <w:pPr>
        <w:pStyle w:val="59"/>
        <w:ind w:firstLine="420"/>
        <w:sectPr>
          <w:pgSz w:w="11906" w:h="16838"/>
          <w:pgMar w:top="1928" w:right="1134" w:bottom="1134" w:left="1134" w:header="1418" w:footer="1134" w:gutter="284"/>
          <w:pgNumType w:start="1"/>
          <w:cols w:space="425" w:num="1"/>
          <w:formProt w:val="0"/>
          <w:docGrid w:type="lines" w:linePitch="312" w:charSpace="0"/>
        </w:sectPr>
      </w:pPr>
      <w:bookmarkStart w:id="440" w:name="_Toc145089187"/>
      <w:bookmarkEnd w:id="440"/>
      <w:bookmarkStart w:id="441" w:name="_Toc145012871"/>
      <w:bookmarkEnd w:id="441"/>
      <w:bookmarkStart w:id="442" w:name="_Toc145012868"/>
      <w:bookmarkEnd w:id="442"/>
      <w:bookmarkStart w:id="443" w:name="_Toc145065435"/>
      <w:bookmarkEnd w:id="443"/>
      <w:bookmarkStart w:id="444" w:name="_Toc145065438"/>
      <w:bookmarkEnd w:id="444"/>
      <w:bookmarkStart w:id="445" w:name="_Toc145089190"/>
      <w:bookmarkEnd w:id="445"/>
    </w:p>
    <w:p>
      <w:pPr>
        <w:pStyle w:val="201"/>
      </w:pPr>
    </w:p>
    <w:p>
      <w:pPr>
        <w:pStyle w:val="202"/>
      </w:pPr>
    </w:p>
    <w:p>
      <w:pPr>
        <w:pStyle w:val="79"/>
        <w:spacing w:after="156"/>
      </w:pPr>
      <w:r>
        <w:br w:type="textWrapping"/>
      </w:r>
      <w:bookmarkStart w:id="446" w:name="_Toc146196235"/>
      <w:bookmarkStart w:id="447" w:name="_Toc146196273"/>
      <w:bookmarkStart w:id="448" w:name="_Toc153908946"/>
      <w:bookmarkStart w:id="449" w:name="_Toc146195869"/>
      <w:bookmarkStart w:id="450" w:name="_Toc155100005"/>
      <w:bookmarkStart w:id="451" w:name="_Toc155203393"/>
      <w:bookmarkStart w:id="452" w:name="_Toc155203694"/>
      <w:bookmarkStart w:id="453" w:name="_Toc146195919"/>
      <w:bookmarkStart w:id="454" w:name="_Toc153908852"/>
      <w:bookmarkStart w:id="455" w:name="_Toc155204019"/>
      <w:bookmarkStart w:id="456" w:name="_Toc155283193"/>
      <w:bookmarkStart w:id="457" w:name="_Toc155338939"/>
      <w:bookmarkStart w:id="458" w:name="_Toc155338832"/>
      <w:bookmarkStart w:id="459" w:name="_Toc155275008"/>
      <w:r>
        <w:rPr>
          <w:rFonts w:hint="eastAsia"/>
        </w:rPr>
        <w:t>（规范性）</w:t>
      </w:r>
      <w:r>
        <w:br w:type="textWrapping"/>
      </w:r>
      <w:r>
        <w:rPr>
          <w:rFonts w:hint="eastAsia"/>
        </w:rPr>
        <w:t>耕地（林地）损害程度鉴定现场勘察记录表</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pStyle w:val="59"/>
        <w:ind w:firstLine="420"/>
      </w:pPr>
      <w:r>
        <w:rPr>
          <w:rFonts w:hint="eastAsia"/>
        </w:rPr>
        <w:t>耕地（林地）损害程度鉴定现场勘察记录表见表B.</w:t>
      </w:r>
      <w:r>
        <w:t>1</w:t>
      </w:r>
      <w:r>
        <w:rPr>
          <w:rFonts w:hint="eastAsia"/>
        </w:rPr>
        <w:t>。</w:t>
      </w:r>
    </w:p>
    <w:p>
      <w:pPr>
        <w:pStyle w:val="80"/>
        <w:spacing w:before="156" w:after="156"/>
      </w:pPr>
      <w:bookmarkStart w:id="460" w:name="_Toc146196283"/>
      <w:r>
        <w:rPr>
          <w:rFonts w:hint="eastAsia"/>
        </w:rPr>
        <w:t>耕地（林地）损害程度鉴定现场勘察记录表</w:t>
      </w:r>
      <w:bookmarkEnd w:id="460"/>
    </w:p>
    <w:p>
      <w:pPr>
        <w:pStyle w:val="59"/>
        <w:ind w:firstLine="420"/>
        <w:jc w:val="right"/>
      </w:pPr>
      <w:r>
        <w:rPr>
          <w:rFonts w:hint="eastAsia"/>
        </w:rPr>
        <w:t>单位：m、m</w:t>
      </w:r>
      <w:r>
        <w:rPr>
          <w:vertAlign w:val="superscript"/>
        </w:rPr>
        <w:t>2</w:t>
      </w:r>
    </w:p>
    <w:tbl>
      <w:tblPr>
        <w:tblStyle w:val="29"/>
        <w:tblW w:w="501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1"/>
        <w:gridCol w:w="6"/>
        <w:gridCol w:w="1890"/>
        <w:gridCol w:w="1065"/>
        <w:gridCol w:w="686"/>
        <w:gridCol w:w="1035"/>
        <w:gridCol w:w="1129"/>
        <w:gridCol w:w="17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8" w:space="0"/>
              <w:left w:val="single" w:color="auto" w:sz="8" w:space="0"/>
              <w:bottom w:val="single" w:color="auto" w:sz="8" w:space="0"/>
              <w:right w:val="single" w:color="auto" w:sz="4" w:space="0"/>
            </w:tcBorders>
            <w:vAlign w:val="center"/>
          </w:tcPr>
          <w:p>
            <w:pPr>
              <w:pStyle w:val="181"/>
              <w:rPr>
                <w:szCs w:val="18"/>
              </w:rPr>
            </w:pPr>
            <w:r>
              <w:rPr>
                <w:rFonts w:hint="eastAsia" w:hAnsi="宋体"/>
              </w:rPr>
              <w:t>项目名称</w:t>
            </w:r>
          </w:p>
        </w:tc>
        <w:tc>
          <w:tcPr>
            <w:tcW w:w="4004" w:type="pct"/>
            <w:gridSpan w:val="7"/>
            <w:tcBorders>
              <w:top w:val="single" w:color="auto" w:sz="8" w:space="0"/>
              <w:left w:val="nil"/>
              <w:bottom w:val="single" w:color="auto" w:sz="8"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8" w:space="0"/>
              <w:left w:val="single" w:color="auto" w:sz="8" w:space="0"/>
              <w:bottom w:val="single" w:color="auto" w:sz="4" w:space="0"/>
              <w:right w:val="single" w:color="auto" w:sz="4" w:space="0"/>
            </w:tcBorders>
            <w:vAlign w:val="center"/>
          </w:tcPr>
          <w:p>
            <w:pPr>
              <w:pStyle w:val="181"/>
            </w:pPr>
            <w:r>
              <w:rPr>
                <w:rFonts w:hint="eastAsia" w:hAnsi="宋体"/>
              </w:rPr>
              <w:t>违法占地日期</w:t>
            </w:r>
          </w:p>
        </w:tc>
        <w:tc>
          <w:tcPr>
            <w:tcW w:w="1576" w:type="pct"/>
            <w:gridSpan w:val="3"/>
            <w:tcBorders>
              <w:top w:val="single" w:color="auto" w:sz="8" w:space="0"/>
              <w:left w:val="nil"/>
              <w:bottom w:val="single" w:color="auto" w:sz="4" w:space="0"/>
              <w:right w:val="single" w:color="auto" w:sz="4" w:space="0"/>
            </w:tcBorders>
            <w:vAlign w:val="center"/>
          </w:tcPr>
          <w:p>
            <w:pPr>
              <w:pStyle w:val="181"/>
            </w:pPr>
          </w:p>
        </w:tc>
        <w:tc>
          <w:tcPr>
            <w:tcW w:w="916" w:type="pct"/>
            <w:gridSpan w:val="2"/>
            <w:tcBorders>
              <w:top w:val="single" w:color="auto" w:sz="8" w:space="0"/>
              <w:left w:val="nil"/>
              <w:bottom w:val="single" w:color="auto" w:sz="4" w:space="0"/>
              <w:right w:val="single" w:color="auto" w:sz="4" w:space="0"/>
            </w:tcBorders>
            <w:vAlign w:val="center"/>
          </w:tcPr>
          <w:p>
            <w:pPr>
              <w:pStyle w:val="181"/>
            </w:pPr>
            <w:r>
              <w:rPr>
                <w:rFonts w:hint="eastAsia" w:hAnsi="宋体"/>
              </w:rPr>
              <w:t>责任人</w:t>
            </w:r>
          </w:p>
        </w:tc>
        <w:tc>
          <w:tcPr>
            <w:tcW w:w="1512" w:type="pct"/>
            <w:gridSpan w:val="2"/>
            <w:tcBorders>
              <w:top w:val="single" w:color="auto" w:sz="8"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pPr>
            <w:r>
              <w:rPr>
                <w:rFonts w:hint="eastAsia" w:hAnsi="宋体"/>
              </w:rPr>
              <w:t>项目面积（亩）</w:t>
            </w:r>
          </w:p>
        </w:tc>
        <w:tc>
          <w:tcPr>
            <w:tcW w:w="1576" w:type="pct"/>
            <w:gridSpan w:val="3"/>
            <w:tcBorders>
              <w:top w:val="single" w:color="auto" w:sz="4" w:space="0"/>
              <w:left w:val="nil"/>
              <w:bottom w:val="single" w:color="auto" w:sz="4" w:space="0"/>
              <w:right w:val="single" w:color="auto" w:sz="4" w:space="0"/>
            </w:tcBorders>
            <w:vAlign w:val="center"/>
          </w:tcPr>
          <w:p>
            <w:pPr>
              <w:pStyle w:val="181"/>
            </w:pPr>
          </w:p>
        </w:tc>
        <w:tc>
          <w:tcPr>
            <w:tcW w:w="916"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耕地/林地面积（亩）</w:t>
            </w:r>
          </w:p>
        </w:tc>
        <w:tc>
          <w:tcPr>
            <w:tcW w:w="1512" w:type="pct"/>
            <w:gridSpan w:val="2"/>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pPr>
            <w:r>
              <w:rPr>
                <w:rFonts w:hint="eastAsia" w:hAnsi="宋体"/>
              </w:rPr>
              <w:t>经度</w:t>
            </w:r>
          </w:p>
        </w:tc>
        <w:tc>
          <w:tcPr>
            <w:tcW w:w="1576" w:type="pct"/>
            <w:gridSpan w:val="3"/>
            <w:tcBorders>
              <w:top w:val="single" w:color="auto" w:sz="4" w:space="0"/>
              <w:left w:val="nil"/>
              <w:bottom w:val="single" w:color="auto" w:sz="4" w:space="0"/>
              <w:right w:val="single" w:color="auto" w:sz="4" w:space="0"/>
            </w:tcBorders>
            <w:vAlign w:val="center"/>
          </w:tcPr>
          <w:p>
            <w:pPr>
              <w:pStyle w:val="181"/>
            </w:pPr>
          </w:p>
        </w:tc>
        <w:tc>
          <w:tcPr>
            <w:tcW w:w="916"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纬度</w:t>
            </w:r>
          </w:p>
        </w:tc>
        <w:tc>
          <w:tcPr>
            <w:tcW w:w="1512" w:type="pct"/>
            <w:gridSpan w:val="2"/>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rPr>
                <w:rFonts w:hAnsi="宋体"/>
              </w:rPr>
            </w:pPr>
            <w:r>
              <w:rPr>
                <w:rFonts w:hint="eastAsia" w:hAnsi="宋体"/>
              </w:rPr>
              <w:t>四至范围</w:t>
            </w:r>
            <w:r>
              <w:rPr>
                <w:rFonts w:hAnsi="宋体"/>
                <w:vertAlign w:val="superscript"/>
              </w:rPr>
              <w:t>a</w:t>
            </w:r>
          </w:p>
        </w:tc>
        <w:tc>
          <w:tcPr>
            <w:tcW w:w="1576" w:type="pct"/>
            <w:gridSpan w:val="3"/>
            <w:tcBorders>
              <w:top w:val="single" w:color="auto" w:sz="4" w:space="0"/>
              <w:left w:val="nil"/>
              <w:bottom w:val="single" w:color="auto" w:sz="4" w:space="0"/>
              <w:right w:val="single" w:color="auto" w:sz="4" w:space="0"/>
            </w:tcBorders>
            <w:vAlign w:val="center"/>
          </w:tcPr>
          <w:p>
            <w:pPr>
              <w:pStyle w:val="181"/>
            </w:pPr>
          </w:p>
        </w:tc>
        <w:tc>
          <w:tcPr>
            <w:tcW w:w="916"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配套设施</w:t>
            </w:r>
          </w:p>
        </w:tc>
        <w:tc>
          <w:tcPr>
            <w:tcW w:w="1512" w:type="pct"/>
            <w:gridSpan w:val="2"/>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pPr>
            <w:r>
              <w:rPr>
                <w:rFonts w:hint="eastAsia" w:hAnsi="宋体"/>
              </w:rPr>
              <w:t>地形坡度</w:t>
            </w:r>
          </w:p>
        </w:tc>
        <w:tc>
          <w:tcPr>
            <w:tcW w:w="1576" w:type="pct"/>
            <w:gridSpan w:val="3"/>
            <w:tcBorders>
              <w:top w:val="single" w:color="auto" w:sz="4" w:space="0"/>
              <w:left w:val="nil"/>
              <w:bottom w:val="single" w:color="auto" w:sz="4" w:space="0"/>
              <w:right w:val="single" w:color="auto" w:sz="4" w:space="0"/>
            </w:tcBorders>
            <w:vAlign w:val="center"/>
          </w:tcPr>
          <w:p>
            <w:pPr>
              <w:pStyle w:val="181"/>
            </w:pPr>
          </w:p>
        </w:tc>
        <w:tc>
          <w:tcPr>
            <w:tcW w:w="916"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地表植被</w:t>
            </w:r>
          </w:p>
        </w:tc>
        <w:tc>
          <w:tcPr>
            <w:tcW w:w="1512" w:type="pct"/>
            <w:gridSpan w:val="2"/>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pPr>
            <w:r>
              <w:rPr>
                <w:rFonts w:hint="eastAsia" w:hAnsi="宋体"/>
              </w:rPr>
              <w:t>有效土层厚度</w:t>
            </w:r>
          </w:p>
        </w:tc>
        <w:tc>
          <w:tcPr>
            <w:tcW w:w="1576" w:type="pct"/>
            <w:gridSpan w:val="3"/>
            <w:tcBorders>
              <w:top w:val="single" w:color="auto" w:sz="4" w:space="0"/>
              <w:left w:val="nil"/>
              <w:bottom w:val="single" w:color="auto" w:sz="4" w:space="0"/>
              <w:right w:val="single" w:color="auto" w:sz="4" w:space="0"/>
            </w:tcBorders>
            <w:vAlign w:val="center"/>
          </w:tcPr>
          <w:p>
            <w:pPr>
              <w:pStyle w:val="181"/>
            </w:pPr>
          </w:p>
        </w:tc>
        <w:tc>
          <w:tcPr>
            <w:tcW w:w="916"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现场采样方法</w:t>
            </w:r>
            <w:r>
              <w:rPr>
                <w:rFonts w:hAnsi="宋体"/>
                <w:vertAlign w:val="superscript"/>
              </w:rPr>
              <w:t>b</w:t>
            </w:r>
          </w:p>
        </w:tc>
        <w:tc>
          <w:tcPr>
            <w:tcW w:w="1512" w:type="pct"/>
            <w:gridSpan w:val="2"/>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rPr>
                <w:rFonts w:hAnsi="宋体"/>
              </w:rPr>
            </w:pPr>
            <w:r>
              <w:rPr>
                <w:rFonts w:hint="eastAsia" w:hAnsi="宋体"/>
              </w:rPr>
              <w:t>土地使用史</w:t>
            </w:r>
            <w:r>
              <w:rPr>
                <w:rFonts w:hAnsi="宋体"/>
                <w:vertAlign w:val="superscript"/>
              </w:rPr>
              <w:t>c</w:t>
            </w:r>
          </w:p>
        </w:tc>
        <w:tc>
          <w:tcPr>
            <w:tcW w:w="4004" w:type="pct"/>
            <w:gridSpan w:val="7"/>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6" w:type="pct"/>
            <w:tcBorders>
              <w:top w:val="single" w:color="auto" w:sz="4" w:space="0"/>
              <w:left w:val="single" w:color="auto" w:sz="8" w:space="0"/>
              <w:bottom w:val="single" w:color="auto" w:sz="4" w:space="0"/>
              <w:right w:val="single" w:color="auto" w:sz="4" w:space="0"/>
            </w:tcBorders>
            <w:vAlign w:val="center"/>
          </w:tcPr>
          <w:p>
            <w:pPr>
              <w:pStyle w:val="181"/>
              <w:rPr>
                <w:rFonts w:hAnsi="宋体"/>
              </w:rPr>
            </w:pPr>
            <w:r>
              <w:rPr>
                <w:rFonts w:hint="eastAsia" w:hAnsi="宋体"/>
              </w:rPr>
              <w:t>土地损害简述</w:t>
            </w:r>
          </w:p>
        </w:tc>
        <w:tc>
          <w:tcPr>
            <w:tcW w:w="4004" w:type="pct"/>
            <w:gridSpan w:val="7"/>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8"/>
            <w:tcBorders>
              <w:top w:val="single" w:color="auto" w:sz="4" w:space="0"/>
              <w:left w:val="single" w:color="auto" w:sz="8" w:space="0"/>
              <w:bottom w:val="single" w:color="auto" w:sz="4" w:space="0"/>
              <w:right w:val="single" w:color="auto" w:sz="8" w:space="0"/>
            </w:tcBorders>
            <w:shd w:val="clear" w:color="auto" w:fill="auto"/>
            <w:vAlign w:val="center"/>
          </w:tcPr>
          <w:p>
            <w:pPr>
              <w:pStyle w:val="104"/>
              <w:numPr>
                <w:ilvl w:val="0"/>
                <w:numId w:val="0"/>
              </w:numPr>
              <w:ind w:left="539"/>
              <w:jc w:val="center"/>
            </w:pPr>
            <w:r>
              <w:rPr>
                <w:rFonts w:hint="eastAsia"/>
              </w:rPr>
              <w:t>各鉴定单元损害程度描述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restart"/>
            <w:tcBorders>
              <w:top w:val="single" w:color="auto" w:sz="4" w:space="0"/>
              <w:left w:val="single" w:color="auto" w:sz="8" w:space="0"/>
              <w:bottom w:val="single" w:color="auto" w:sz="4" w:space="0"/>
              <w:right w:val="single" w:color="auto" w:sz="4" w:space="0"/>
            </w:tcBorders>
            <w:vAlign w:val="center"/>
          </w:tcPr>
          <w:p>
            <w:pPr>
              <w:pStyle w:val="181"/>
            </w:pPr>
            <w:r>
              <w:rPr>
                <w:rFonts w:hint="eastAsia" w:hAnsi="宋体"/>
              </w:rPr>
              <w:t>堆放</w:t>
            </w: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hAnsi="宋体"/>
              </w:rPr>
              <w:t>堆放种类</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堆放时间</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top w:val="nil"/>
              <w:left w:val="single" w:color="auto" w:sz="8" w:space="0"/>
              <w:bottom w:val="single" w:color="auto" w:sz="4" w:space="0"/>
              <w:right w:val="single" w:color="auto" w:sz="4" w:space="0"/>
            </w:tcBorders>
            <w:vAlign w:val="center"/>
          </w:tcPr>
          <w:p>
            <w:pPr>
              <w:widowControl/>
              <w:jc w:val="left"/>
              <w:rPr>
                <w:rFonts w:ascii="宋体" w:hAnsi="Times New Roman"/>
                <w:kern w:val="0"/>
                <w:sz w:val="18"/>
                <w:szCs w:val="18"/>
              </w:rPr>
            </w:pP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hAnsi="宋体"/>
              </w:rPr>
              <w:t>堆放高度</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堆放面积</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top w:val="nil"/>
              <w:left w:val="single" w:color="auto" w:sz="8" w:space="0"/>
              <w:bottom w:val="single" w:color="auto" w:sz="4" w:space="0"/>
              <w:right w:val="single" w:color="auto" w:sz="4" w:space="0"/>
            </w:tcBorders>
            <w:vAlign w:val="center"/>
          </w:tcPr>
          <w:p>
            <w:pPr>
              <w:widowControl/>
              <w:jc w:val="left"/>
              <w:rPr>
                <w:rFonts w:ascii="宋体" w:hAnsi="Times New Roman"/>
                <w:kern w:val="0"/>
                <w:sz w:val="18"/>
                <w:szCs w:val="18"/>
              </w:rPr>
            </w:pPr>
          </w:p>
        </w:tc>
        <w:tc>
          <w:tcPr>
            <w:tcW w:w="1938" w:type="pct"/>
            <w:gridSpan w:val="3"/>
            <w:tcBorders>
              <w:top w:val="single" w:color="auto" w:sz="4" w:space="0"/>
              <w:left w:val="nil"/>
              <w:bottom w:val="single" w:color="auto" w:sz="4" w:space="0"/>
              <w:right w:val="single" w:color="auto" w:sz="4" w:space="0"/>
            </w:tcBorders>
            <w:vAlign w:val="center"/>
          </w:tcPr>
          <w:p>
            <w:pPr>
              <w:pStyle w:val="181"/>
            </w:pPr>
            <w:r>
              <w:rPr>
                <w:rFonts w:hint="eastAsia" w:hAnsi="宋体"/>
              </w:rPr>
              <w:t>堆放稳定性（对周边区域影响）</w:t>
            </w:r>
          </w:p>
        </w:tc>
        <w:tc>
          <w:tcPr>
            <w:tcW w:w="1152" w:type="pct"/>
            <w:gridSpan w:val="2"/>
            <w:tcBorders>
              <w:top w:val="single" w:color="auto" w:sz="4" w:space="0"/>
              <w:left w:val="nil"/>
              <w:bottom w:val="single" w:color="auto" w:sz="4" w:space="0"/>
              <w:right w:val="single" w:color="auto" w:sz="4" w:space="0"/>
            </w:tcBorders>
            <w:vAlign w:val="center"/>
          </w:tcPr>
          <w:p>
            <w:pPr>
              <w:pStyle w:val="181"/>
            </w:pP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restart"/>
            <w:tcBorders>
              <w:top w:val="nil"/>
              <w:left w:val="single" w:color="auto" w:sz="8" w:space="0"/>
              <w:bottom w:val="single" w:color="auto" w:sz="4" w:space="0"/>
              <w:right w:val="single" w:color="auto" w:sz="4" w:space="0"/>
            </w:tcBorders>
            <w:vAlign w:val="center"/>
          </w:tcPr>
          <w:p>
            <w:pPr>
              <w:pStyle w:val="181"/>
            </w:pPr>
            <w:r>
              <w:rPr>
                <w:rFonts w:hint="eastAsia" w:hAnsi="宋体"/>
              </w:rPr>
              <w:t>硬化</w:t>
            </w: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hAnsi="宋体"/>
              </w:rPr>
              <w:t>硬化种类</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硬化厚度</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top w:val="nil"/>
              <w:left w:val="single" w:color="auto" w:sz="8" w:space="0"/>
              <w:bottom w:val="single" w:color="auto" w:sz="4" w:space="0"/>
              <w:right w:val="single" w:color="auto" w:sz="4" w:space="0"/>
            </w:tcBorders>
            <w:vAlign w:val="center"/>
          </w:tcPr>
          <w:p>
            <w:pPr>
              <w:pStyle w:val="181"/>
              <w:rPr>
                <w:rFonts w:hAnsi="宋体"/>
              </w:rPr>
            </w:pPr>
          </w:p>
        </w:tc>
        <w:tc>
          <w:tcPr>
            <w:tcW w:w="1006" w:type="pct"/>
            <w:tcBorders>
              <w:top w:val="single" w:color="auto" w:sz="4" w:space="0"/>
              <w:left w:val="nil"/>
              <w:bottom w:val="single" w:color="auto" w:sz="4" w:space="0"/>
              <w:right w:val="single" w:color="auto" w:sz="4" w:space="0"/>
            </w:tcBorders>
            <w:vAlign w:val="center"/>
          </w:tcPr>
          <w:p>
            <w:pPr>
              <w:pStyle w:val="181"/>
              <w:rPr>
                <w:rFonts w:hAnsi="宋体"/>
              </w:rPr>
            </w:pPr>
            <w:r>
              <w:rPr>
                <w:rFonts w:hint="eastAsia" w:hAnsi="宋体"/>
              </w:rPr>
              <w:t>硬化材料</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rPr>
                <w:rFonts w:hAnsi="宋体"/>
              </w:rPr>
            </w:pPr>
            <w:r>
              <w:rPr>
                <w:rFonts w:hint="eastAsia" w:hAnsi="宋体"/>
              </w:rPr>
              <w:t>硬化面积</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restart"/>
            <w:tcBorders>
              <w:top w:val="nil"/>
              <w:left w:val="single" w:color="auto" w:sz="8" w:space="0"/>
              <w:bottom w:val="single" w:color="auto" w:sz="4" w:space="0"/>
              <w:right w:val="single" w:color="auto" w:sz="4" w:space="0"/>
            </w:tcBorders>
            <w:vAlign w:val="center"/>
          </w:tcPr>
          <w:p>
            <w:pPr>
              <w:pStyle w:val="181"/>
            </w:pPr>
            <w:r>
              <w:rPr>
                <w:rFonts w:hint="eastAsia" w:hAnsi="宋体"/>
              </w:rPr>
              <w:t>挖损</w:t>
            </w: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hAnsi="宋体"/>
              </w:rPr>
              <w:t>挖损种类</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挖损深度</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top w:val="nil"/>
              <w:left w:val="single" w:color="auto" w:sz="8" w:space="0"/>
              <w:bottom w:val="single" w:color="auto" w:sz="4" w:space="0"/>
              <w:right w:val="single" w:color="auto" w:sz="4" w:space="0"/>
            </w:tcBorders>
            <w:vAlign w:val="center"/>
          </w:tcPr>
          <w:p>
            <w:pPr>
              <w:widowControl/>
              <w:jc w:val="left"/>
              <w:rPr>
                <w:rFonts w:ascii="宋体" w:hAnsi="Times New Roman"/>
                <w:kern w:val="0"/>
                <w:sz w:val="18"/>
                <w:szCs w:val="18"/>
              </w:rPr>
            </w:pP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hAnsi="宋体"/>
              </w:rPr>
              <w:t>挖损面积</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积水状况</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top w:val="nil"/>
              <w:left w:val="single" w:color="auto" w:sz="8" w:space="0"/>
              <w:bottom w:val="single" w:color="auto" w:sz="4" w:space="0"/>
              <w:right w:val="single" w:color="auto" w:sz="4" w:space="0"/>
            </w:tcBorders>
            <w:vAlign w:val="center"/>
          </w:tcPr>
          <w:p>
            <w:pPr>
              <w:widowControl/>
              <w:jc w:val="left"/>
              <w:rPr>
                <w:rFonts w:ascii="宋体" w:hAnsi="Times New Roman"/>
                <w:kern w:val="0"/>
                <w:sz w:val="18"/>
                <w:szCs w:val="18"/>
              </w:rPr>
            </w:pPr>
          </w:p>
        </w:tc>
        <w:tc>
          <w:tcPr>
            <w:tcW w:w="1938" w:type="pct"/>
            <w:gridSpan w:val="3"/>
            <w:tcBorders>
              <w:top w:val="single" w:color="auto" w:sz="4" w:space="0"/>
              <w:left w:val="nil"/>
              <w:bottom w:val="single" w:color="auto" w:sz="4" w:space="0"/>
              <w:right w:val="single" w:color="auto" w:sz="4" w:space="0"/>
            </w:tcBorders>
            <w:vAlign w:val="center"/>
          </w:tcPr>
          <w:p>
            <w:pPr>
              <w:pStyle w:val="181"/>
            </w:pPr>
            <w:r>
              <w:rPr>
                <w:rFonts w:hint="eastAsia" w:hAnsi="宋体"/>
              </w:rPr>
              <w:t>土层结构（耕作层、犁底层）损害程度</w:t>
            </w:r>
          </w:p>
        </w:tc>
        <w:tc>
          <w:tcPr>
            <w:tcW w:w="2063" w:type="pct"/>
            <w:gridSpan w:val="3"/>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restart"/>
            <w:tcBorders>
              <w:top w:val="single" w:color="auto" w:sz="4" w:space="0"/>
              <w:left w:val="single" w:color="auto" w:sz="8" w:space="0"/>
              <w:right w:val="single" w:color="auto" w:sz="4" w:space="0"/>
            </w:tcBorders>
            <w:vAlign w:val="center"/>
          </w:tcPr>
          <w:p>
            <w:pPr>
              <w:pStyle w:val="181"/>
            </w:pPr>
            <w:r>
              <w:rPr>
                <w:rFonts w:hint="eastAsia" w:hAnsi="宋体"/>
              </w:rPr>
              <w:t>塌陷</w:t>
            </w: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hAnsi="宋体"/>
              </w:rPr>
              <w:t>塌陷种类</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塌陷深度</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left w:val="single" w:color="auto" w:sz="8" w:space="0"/>
              <w:right w:val="single" w:color="auto" w:sz="4" w:space="0"/>
            </w:tcBorders>
            <w:vAlign w:val="center"/>
          </w:tcPr>
          <w:p>
            <w:pPr>
              <w:widowControl/>
              <w:jc w:val="left"/>
              <w:rPr>
                <w:rFonts w:ascii="宋体" w:hAnsi="Times New Roman"/>
                <w:kern w:val="0"/>
                <w:sz w:val="18"/>
                <w:szCs w:val="18"/>
              </w:rPr>
            </w:pPr>
          </w:p>
        </w:tc>
        <w:tc>
          <w:tcPr>
            <w:tcW w:w="1006" w:type="pct"/>
            <w:tcBorders>
              <w:top w:val="single" w:color="auto" w:sz="4" w:space="0"/>
              <w:left w:val="nil"/>
              <w:bottom w:val="single" w:color="auto" w:sz="4" w:space="0"/>
              <w:right w:val="single" w:color="auto" w:sz="4" w:space="0"/>
            </w:tcBorders>
            <w:vAlign w:val="center"/>
          </w:tcPr>
          <w:p>
            <w:pPr>
              <w:pStyle w:val="181"/>
            </w:pPr>
            <w:r>
              <w:rPr>
                <w:rFonts w:hint="eastAsia"/>
              </w:rPr>
              <w:t>塌陷面积</w:t>
            </w:r>
          </w:p>
        </w:tc>
        <w:tc>
          <w:tcPr>
            <w:tcW w:w="932" w:type="pct"/>
            <w:gridSpan w:val="2"/>
            <w:tcBorders>
              <w:top w:val="single" w:color="auto" w:sz="4" w:space="0"/>
              <w:left w:val="nil"/>
              <w:bottom w:val="single" w:color="auto" w:sz="4" w:space="0"/>
              <w:right w:val="single" w:color="auto" w:sz="4" w:space="0"/>
            </w:tcBorders>
            <w:vAlign w:val="center"/>
          </w:tcPr>
          <w:p>
            <w:pPr>
              <w:pStyle w:val="181"/>
            </w:pPr>
          </w:p>
        </w:tc>
        <w:tc>
          <w:tcPr>
            <w:tcW w:w="1152" w:type="pct"/>
            <w:gridSpan w:val="2"/>
            <w:tcBorders>
              <w:top w:val="single" w:color="auto" w:sz="4" w:space="0"/>
              <w:left w:val="nil"/>
              <w:bottom w:val="single" w:color="auto" w:sz="4" w:space="0"/>
              <w:right w:val="single" w:color="auto" w:sz="4" w:space="0"/>
            </w:tcBorders>
            <w:vAlign w:val="center"/>
          </w:tcPr>
          <w:p>
            <w:pPr>
              <w:pStyle w:val="181"/>
            </w:pPr>
            <w:r>
              <w:rPr>
                <w:rFonts w:hint="eastAsia" w:hAnsi="宋体"/>
              </w:rPr>
              <w:t>积水状况</w:t>
            </w: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99" w:type="pct"/>
            <w:gridSpan w:val="2"/>
            <w:vMerge w:val="continue"/>
            <w:tcBorders>
              <w:left w:val="single" w:color="auto" w:sz="8" w:space="0"/>
              <w:bottom w:val="single" w:color="auto" w:sz="4" w:space="0"/>
              <w:right w:val="single" w:color="auto" w:sz="4" w:space="0"/>
            </w:tcBorders>
            <w:vAlign w:val="center"/>
          </w:tcPr>
          <w:p>
            <w:pPr>
              <w:widowControl/>
              <w:jc w:val="left"/>
              <w:rPr>
                <w:rFonts w:ascii="宋体" w:hAnsi="Times New Roman"/>
                <w:kern w:val="0"/>
                <w:sz w:val="18"/>
                <w:szCs w:val="18"/>
              </w:rPr>
            </w:pPr>
          </w:p>
        </w:tc>
        <w:tc>
          <w:tcPr>
            <w:tcW w:w="1938" w:type="pct"/>
            <w:gridSpan w:val="3"/>
            <w:tcBorders>
              <w:top w:val="single" w:color="auto" w:sz="4" w:space="0"/>
              <w:left w:val="nil"/>
              <w:bottom w:val="single" w:color="auto" w:sz="4" w:space="0"/>
              <w:right w:val="single" w:color="auto" w:sz="4" w:space="0"/>
            </w:tcBorders>
            <w:vAlign w:val="center"/>
          </w:tcPr>
          <w:p>
            <w:pPr>
              <w:pStyle w:val="181"/>
            </w:pPr>
            <w:r>
              <w:rPr>
                <w:rFonts w:hint="eastAsia" w:hAnsi="宋体"/>
              </w:rPr>
              <w:t>土层结构（耕作层、犁底层）损害程度</w:t>
            </w:r>
          </w:p>
        </w:tc>
        <w:tc>
          <w:tcPr>
            <w:tcW w:w="1152" w:type="pct"/>
            <w:gridSpan w:val="2"/>
            <w:tcBorders>
              <w:top w:val="single" w:color="auto" w:sz="4" w:space="0"/>
              <w:left w:val="nil"/>
              <w:bottom w:val="single" w:color="auto" w:sz="4" w:space="0"/>
              <w:right w:val="single" w:color="auto" w:sz="4" w:space="0"/>
            </w:tcBorders>
            <w:vAlign w:val="center"/>
          </w:tcPr>
          <w:p>
            <w:pPr>
              <w:pStyle w:val="181"/>
              <w:rPr>
                <w:rFonts w:hAnsi="宋体"/>
              </w:rPr>
            </w:pPr>
          </w:p>
        </w:tc>
        <w:tc>
          <w:tcPr>
            <w:tcW w:w="911" w:type="pct"/>
            <w:tcBorders>
              <w:top w:val="single" w:color="auto" w:sz="4" w:space="0"/>
              <w:left w:val="nil"/>
              <w:bottom w:val="single" w:color="auto" w:sz="4" w:space="0"/>
              <w:right w:val="single" w:color="auto" w:sz="8" w:space="0"/>
            </w:tcBorders>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8"/>
            <w:tcBorders>
              <w:top w:val="single" w:color="auto" w:sz="8" w:space="0"/>
              <w:left w:val="single" w:color="auto" w:sz="8" w:space="0"/>
              <w:bottom w:val="single" w:color="auto" w:sz="8" w:space="0"/>
              <w:right w:val="single" w:color="auto" w:sz="8" w:space="0"/>
            </w:tcBorders>
            <w:vAlign w:val="center"/>
          </w:tcPr>
          <w:p>
            <w:pPr>
              <w:pStyle w:val="104"/>
              <w:numPr>
                <w:ilvl w:val="0"/>
                <w:numId w:val="0"/>
              </w:numPr>
              <w:ind w:left="420" w:leftChars="200"/>
            </w:pPr>
            <w:r>
              <w:rPr>
                <w:vertAlign w:val="superscript"/>
              </w:rPr>
              <w:t xml:space="preserve">a  </w:t>
            </w:r>
            <w:r>
              <w:rPr>
                <w:rFonts w:hint="eastAsia"/>
              </w:rPr>
              <w:t>案件地东南西北环境情况。</w:t>
            </w:r>
          </w:p>
          <w:p>
            <w:pPr>
              <w:pStyle w:val="104"/>
            </w:pPr>
            <w:r>
              <w:rPr>
                <w:rFonts w:hint="eastAsia"/>
              </w:rPr>
              <w:t>现场采样方法包括“之”字形取样法、梅花形取样法、对角线法或品字形取样法等，土壤污染采样方法参照</w:t>
            </w:r>
            <w:r>
              <w:t>HJ/T 166执行。</w:t>
            </w:r>
          </w:p>
          <w:p>
            <w:pPr>
              <w:pStyle w:val="104"/>
            </w:pPr>
            <w:r>
              <w:rPr>
                <w:rFonts w:hint="eastAsia"/>
              </w:rPr>
              <w:t>土地损害前一年度的土地利用情况。</w:t>
            </w:r>
          </w:p>
        </w:tc>
      </w:tr>
    </w:tbl>
    <w:p>
      <w:pPr>
        <w:pStyle w:val="59"/>
        <w:ind w:firstLine="420"/>
      </w:pPr>
      <w:r>
        <w:rPr>
          <w:rFonts w:hint="eastAsia"/>
        </w:rPr>
        <w:t xml:space="preserve">勘察人（签名）： </w:t>
      </w:r>
      <w:r>
        <w:t xml:space="preserve">                                       </w:t>
      </w:r>
      <w:r>
        <w:rPr>
          <w:rFonts w:hint="eastAsia"/>
        </w:rPr>
        <w:t xml:space="preserve">勘察日期： </w:t>
      </w:r>
      <w:r>
        <w:t xml:space="preserve">   </w:t>
      </w:r>
      <w:r>
        <w:rPr>
          <w:rFonts w:hint="eastAsia"/>
        </w:rPr>
        <w:t xml:space="preserve">年 </w:t>
      </w:r>
      <w:r>
        <w:t xml:space="preserve">   </w:t>
      </w:r>
      <w:r>
        <w:rPr>
          <w:rFonts w:hint="eastAsia"/>
        </w:rPr>
        <w:t xml:space="preserve">月 </w:t>
      </w:r>
      <w:r>
        <w:t xml:space="preserve">  </w:t>
      </w:r>
      <w:r>
        <w:rPr>
          <w:rFonts w:hint="eastAsia"/>
        </w:rPr>
        <w:t>日</w:t>
      </w: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pPr>
    </w:p>
    <w:p>
      <w:pPr>
        <w:pStyle w:val="202"/>
      </w:pPr>
    </w:p>
    <w:p>
      <w:pPr>
        <w:pStyle w:val="79"/>
        <w:spacing w:after="156"/>
      </w:pPr>
      <w:r>
        <w:br w:type="textWrapping"/>
      </w:r>
      <w:bookmarkStart w:id="461" w:name="_Toc146195920"/>
      <w:bookmarkStart w:id="462" w:name="_Toc155100006"/>
      <w:bookmarkStart w:id="463" w:name="_Toc146196274"/>
      <w:bookmarkStart w:id="464" w:name="_Toc146195870"/>
      <w:bookmarkStart w:id="465" w:name="_Toc155203394"/>
      <w:bookmarkStart w:id="466" w:name="_Toc155203695"/>
      <w:bookmarkStart w:id="467" w:name="_Toc146196236"/>
      <w:bookmarkStart w:id="468" w:name="_Toc153908853"/>
      <w:bookmarkStart w:id="469" w:name="_Toc153908947"/>
      <w:bookmarkStart w:id="470" w:name="_Toc155204020"/>
      <w:bookmarkStart w:id="471" w:name="_Toc155283194"/>
      <w:bookmarkStart w:id="472" w:name="_Toc155275009"/>
      <w:bookmarkStart w:id="473" w:name="_Toc155338833"/>
      <w:bookmarkStart w:id="474" w:name="_Toc155338940"/>
      <w:r>
        <w:rPr>
          <w:rFonts w:hint="eastAsia"/>
        </w:rPr>
        <w:t>（规范性）</w:t>
      </w:r>
      <w:r>
        <w:br w:type="textWrapping"/>
      </w:r>
      <w:r>
        <w:rPr>
          <w:rFonts w:hint="eastAsia"/>
        </w:rPr>
        <w:t>耕地和林地损害程度鉴定技术标准</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pPr>
        <w:pStyle w:val="59"/>
        <w:spacing w:after="156" w:afterLines="50"/>
        <w:ind w:firstLine="420"/>
      </w:pPr>
      <w:r>
        <w:rPr>
          <w:rFonts w:hint="eastAsia"/>
        </w:rPr>
        <w:t>耕地和林地损害程度鉴定单元分级特征及损害程度见表C.</w:t>
      </w:r>
      <w:r>
        <w:t>1</w:t>
      </w:r>
      <w:r>
        <w:rPr>
          <w:rFonts w:hint="eastAsia"/>
        </w:rPr>
        <w:t>。</w:t>
      </w:r>
    </w:p>
    <w:p>
      <w:pPr>
        <w:pStyle w:val="80"/>
        <w:spacing w:before="156" w:after="156"/>
      </w:pPr>
      <w:r>
        <w:rPr>
          <w:rFonts w:hint="eastAsia"/>
        </w:rPr>
        <w:t>耕地和林地损害程度鉴定单元分级特征及损害程度</w:t>
      </w:r>
    </w:p>
    <w:tbl>
      <w:tblPr>
        <w:tblStyle w:val="29"/>
        <w:tblW w:w="9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16"/>
        <w:gridCol w:w="567"/>
        <w:gridCol w:w="567"/>
        <w:gridCol w:w="2551"/>
        <w:gridCol w:w="2912"/>
        <w:gridCol w:w="24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blHeader/>
          <w:jc w:val="center"/>
        </w:trPr>
        <w:tc>
          <w:tcPr>
            <w:tcW w:w="1550" w:type="dxa"/>
            <w:gridSpan w:val="3"/>
            <w:tcBorders>
              <w:top w:val="single" w:color="auto" w:sz="8" w:space="0"/>
              <w:bottom w:val="single" w:color="auto" w:sz="8" w:space="0"/>
            </w:tcBorders>
            <w:shd w:val="clear" w:color="auto" w:fill="auto"/>
            <w:vAlign w:val="center"/>
          </w:tcPr>
          <w:p>
            <w:pPr>
              <w:pStyle w:val="181"/>
              <w:rPr>
                <w:szCs w:val="18"/>
              </w:rPr>
            </w:pPr>
            <w:r>
              <w:rPr>
                <w:rFonts w:hAnsi="宋体"/>
                <w:szCs w:val="18"/>
              </w:rPr>
              <w:t>损害类型</w:t>
            </w:r>
          </w:p>
        </w:tc>
        <w:tc>
          <w:tcPr>
            <w:tcW w:w="7937" w:type="dxa"/>
            <w:gridSpan w:val="3"/>
            <w:tcBorders>
              <w:top w:val="single" w:color="auto" w:sz="8" w:space="0"/>
              <w:bottom w:val="single" w:color="auto" w:sz="8" w:space="0"/>
            </w:tcBorders>
            <w:shd w:val="clear" w:color="auto" w:fill="auto"/>
            <w:vAlign w:val="center"/>
          </w:tcPr>
          <w:p>
            <w:pPr>
              <w:pStyle w:val="181"/>
              <w:rPr>
                <w:szCs w:val="18"/>
              </w:rPr>
            </w:pPr>
            <w:r>
              <w:rPr>
                <w:rFonts w:hint="eastAsia" w:hAnsi="宋体"/>
                <w:szCs w:val="18"/>
              </w:rPr>
              <w:t>损害程度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tcBorders>
              <w:top w:val="single" w:color="auto" w:sz="8" w:space="0"/>
            </w:tcBorders>
            <w:shd w:val="clear" w:color="auto" w:fill="auto"/>
            <w:vAlign w:val="center"/>
          </w:tcPr>
          <w:p>
            <w:pPr>
              <w:pStyle w:val="181"/>
            </w:pPr>
            <w:r>
              <w:rPr>
                <w:rFonts w:hAnsi="宋体"/>
                <w:szCs w:val="18"/>
              </w:rPr>
              <w:t>一级分类</w:t>
            </w:r>
          </w:p>
        </w:tc>
        <w:tc>
          <w:tcPr>
            <w:tcW w:w="567" w:type="dxa"/>
            <w:tcBorders>
              <w:top w:val="single" w:color="auto" w:sz="8" w:space="0"/>
            </w:tcBorders>
            <w:shd w:val="clear" w:color="auto" w:fill="auto"/>
            <w:vAlign w:val="center"/>
          </w:tcPr>
          <w:p>
            <w:pPr>
              <w:pStyle w:val="181"/>
            </w:pPr>
            <w:r>
              <w:rPr>
                <w:rFonts w:hAnsi="宋体"/>
                <w:szCs w:val="18"/>
              </w:rPr>
              <w:t>二级</w:t>
            </w:r>
            <w:r>
              <w:rPr>
                <w:rFonts w:hint="eastAsia" w:hAnsi="宋体"/>
                <w:szCs w:val="18"/>
              </w:rPr>
              <w:br w:type="textWrapping"/>
            </w:r>
            <w:r>
              <w:rPr>
                <w:rFonts w:hAnsi="宋体"/>
                <w:szCs w:val="18"/>
              </w:rPr>
              <w:t>分类</w:t>
            </w:r>
          </w:p>
        </w:tc>
        <w:tc>
          <w:tcPr>
            <w:tcW w:w="567" w:type="dxa"/>
            <w:tcBorders>
              <w:top w:val="single" w:color="auto" w:sz="8" w:space="0"/>
            </w:tcBorders>
            <w:shd w:val="clear" w:color="auto" w:fill="auto"/>
            <w:vAlign w:val="center"/>
          </w:tcPr>
          <w:p>
            <w:pPr>
              <w:pStyle w:val="181"/>
              <w:rPr>
                <w:szCs w:val="18"/>
              </w:rPr>
            </w:pPr>
            <w:r>
              <w:rPr>
                <w:rFonts w:hAnsi="宋体"/>
                <w:szCs w:val="18"/>
              </w:rPr>
              <w:t>三级分类</w:t>
            </w:r>
          </w:p>
        </w:tc>
        <w:tc>
          <w:tcPr>
            <w:tcW w:w="2551" w:type="dxa"/>
            <w:tcBorders>
              <w:top w:val="single" w:color="auto" w:sz="8" w:space="0"/>
            </w:tcBorders>
            <w:shd w:val="clear" w:color="auto" w:fill="auto"/>
            <w:vAlign w:val="center"/>
          </w:tcPr>
          <w:p>
            <w:pPr>
              <w:pStyle w:val="181"/>
              <w:rPr>
                <w:szCs w:val="18"/>
              </w:rPr>
            </w:pPr>
            <w:r>
              <w:rPr>
                <w:rFonts w:hint="eastAsia"/>
                <w:szCs w:val="18"/>
              </w:rPr>
              <w:t>轻度</w:t>
            </w:r>
          </w:p>
        </w:tc>
        <w:tc>
          <w:tcPr>
            <w:tcW w:w="2912" w:type="dxa"/>
            <w:tcBorders>
              <w:top w:val="single" w:color="auto" w:sz="8" w:space="0"/>
            </w:tcBorders>
            <w:shd w:val="clear" w:color="auto" w:fill="auto"/>
            <w:vAlign w:val="center"/>
          </w:tcPr>
          <w:p>
            <w:pPr>
              <w:pStyle w:val="59"/>
              <w:ind w:firstLine="0" w:firstLineChars="0"/>
              <w:jc w:val="center"/>
              <w:rPr>
                <w:sz w:val="18"/>
                <w:szCs w:val="18"/>
              </w:rPr>
            </w:pPr>
            <w:r>
              <w:rPr>
                <w:rFonts w:hint="eastAsia"/>
                <w:sz w:val="18"/>
                <w:szCs w:val="18"/>
              </w:rPr>
              <w:t>中度</w:t>
            </w:r>
          </w:p>
        </w:tc>
        <w:tc>
          <w:tcPr>
            <w:tcW w:w="2474" w:type="dxa"/>
            <w:tcBorders>
              <w:top w:val="single" w:color="auto" w:sz="8" w:space="0"/>
            </w:tcBorders>
            <w:shd w:val="clear" w:color="auto" w:fill="auto"/>
            <w:vAlign w:val="center"/>
          </w:tcPr>
          <w:p>
            <w:pPr>
              <w:pStyle w:val="181"/>
              <w:rPr>
                <w:szCs w:val="18"/>
              </w:rPr>
            </w:pPr>
            <w:r>
              <w:rPr>
                <w:rFonts w:hint="eastAsia"/>
                <w:szCs w:val="18"/>
              </w:rPr>
              <w:t>重度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restart"/>
            <w:shd w:val="clear" w:color="auto" w:fill="auto"/>
            <w:vAlign w:val="center"/>
          </w:tcPr>
          <w:p>
            <w:pPr>
              <w:pStyle w:val="181"/>
            </w:pPr>
            <w:r>
              <w:rPr>
                <w:rFonts w:hAnsi="宋体"/>
                <w:szCs w:val="18"/>
              </w:rPr>
              <w:t>侵占</w:t>
            </w:r>
          </w:p>
        </w:tc>
        <w:tc>
          <w:tcPr>
            <w:tcW w:w="567" w:type="dxa"/>
            <w:vMerge w:val="restart"/>
            <w:shd w:val="clear" w:color="auto" w:fill="auto"/>
            <w:vAlign w:val="center"/>
          </w:tcPr>
          <w:p>
            <w:pPr>
              <w:pStyle w:val="181"/>
            </w:pPr>
            <w:r>
              <w:rPr>
                <w:rFonts w:hAnsi="宋体"/>
                <w:szCs w:val="18"/>
              </w:rPr>
              <w:t>堆放</w:t>
            </w:r>
            <w:r>
              <w:rPr>
                <w:rFonts w:hAnsi="宋体"/>
                <w:szCs w:val="18"/>
                <w:vertAlign w:val="superscript"/>
              </w:rPr>
              <w:t>a</w:t>
            </w:r>
          </w:p>
        </w:tc>
        <w:tc>
          <w:tcPr>
            <w:tcW w:w="567" w:type="dxa"/>
            <w:shd w:val="clear" w:color="auto" w:fill="auto"/>
            <w:vAlign w:val="center"/>
          </w:tcPr>
          <w:p>
            <w:pPr>
              <w:pStyle w:val="181"/>
            </w:pPr>
            <w:r>
              <w:rPr>
                <w:rFonts w:hAnsi="宋体"/>
                <w:szCs w:val="18"/>
              </w:rPr>
              <w:t>生活垃圾</w:t>
            </w:r>
          </w:p>
        </w:tc>
        <w:tc>
          <w:tcPr>
            <w:tcW w:w="2551" w:type="dxa"/>
            <w:vMerge w:val="restart"/>
            <w:shd w:val="clear" w:color="auto" w:fill="auto"/>
            <w:vAlign w:val="center"/>
          </w:tcPr>
          <w:p>
            <w:pPr>
              <w:pStyle w:val="181"/>
              <w:numPr>
                <w:ilvl w:val="0"/>
                <w:numId w:val="32"/>
              </w:numPr>
              <w:rPr>
                <w:rFonts w:hAnsi="宋体"/>
                <w:szCs w:val="18"/>
                <w:lang w:bidi="ar"/>
              </w:rPr>
            </w:pPr>
            <w:r>
              <w:rPr>
                <w:rFonts w:hint="eastAsia" w:hAnsi="宋体"/>
                <w:szCs w:val="18"/>
                <w:lang w:bidi="ar"/>
              </w:rPr>
              <w:t>0</w:t>
            </w:r>
            <w:r>
              <w:rPr>
                <w:rFonts w:hAnsi="宋体"/>
                <w:szCs w:val="18"/>
                <w:lang w:bidi="ar"/>
              </w:rPr>
              <w:t>%</w:t>
            </w:r>
            <w:r>
              <w:rPr>
                <w:rFonts w:hint="eastAsia" w:hAnsi="宋体"/>
                <w:szCs w:val="18"/>
                <w:lang w:bidi="ar"/>
              </w:rPr>
              <w:t>＜土壤容重参比对照增加率≤</w:t>
            </w:r>
            <w:r>
              <w:rPr>
                <w:rFonts w:hAnsi="宋体"/>
                <w:szCs w:val="18"/>
                <w:lang w:bidi="ar"/>
              </w:rPr>
              <w:t>15%</w:t>
            </w:r>
          </w:p>
          <w:p>
            <w:pPr>
              <w:pStyle w:val="181"/>
              <w:ind w:left="360"/>
              <w:jc w:val="both"/>
              <w:rPr>
                <w:rFonts w:hAnsi="宋体"/>
                <w:szCs w:val="18"/>
                <w:lang w:bidi="ar"/>
              </w:rPr>
            </w:pPr>
          </w:p>
          <w:p>
            <w:pPr>
              <w:pStyle w:val="181"/>
              <w:numPr>
                <w:ilvl w:val="0"/>
                <w:numId w:val="32"/>
              </w:numPr>
              <w:rPr>
                <w:rFonts w:hAnsi="宋体"/>
                <w:szCs w:val="18"/>
                <w:lang w:bidi="ar"/>
              </w:rPr>
            </w:pPr>
            <w:r>
              <w:rPr>
                <w:rFonts w:hAnsi="宋体"/>
                <w:szCs w:val="18"/>
                <w:lang w:bidi="ar"/>
              </w:rPr>
              <w:t>5%</w:t>
            </w:r>
            <w:r>
              <w:rPr>
                <w:rFonts w:hint="eastAsia" w:hAnsi="宋体"/>
                <w:szCs w:val="18"/>
                <w:lang w:bidi="ar"/>
              </w:rPr>
              <w:t>＜3</w:t>
            </w:r>
            <w:r>
              <w:rPr>
                <w:rFonts w:hAnsi="宋体"/>
                <w:szCs w:val="18"/>
                <w:lang w:bidi="ar"/>
              </w:rPr>
              <w:t>0</w:t>
            </w:r>
            <w:r>
              <w:rPr>
                <w:rFonts w:hint="eastAsia" w:hAnsi="宋体"/>
                <w:szCs w:val="18"/>
                <w:lang w:bidi="ar"/>
              </w:rPr>
              <w:t>cm土体内（2</w:t>
            </w:r>
            <w:r>
              <w:rPr>
                <w:rFonts w:hAnsi="宋体"/>
                <w:szCs w:val="18"/>
                <w:lang w:bidi="ar"/>
              </w:rPr>
              <w:t>-70</w:t>
            </w:r>
            <w:r>
              <w:rPr>
                <w:rFonts w:hint="eastAsia" w:hAnsi="宋体"/>
                <w:szCs w:val="18"/>
                <w:lang w:bidi="ar"/>
              </w:rPr>
              <w:t>mm）侵入体</w:t>
            </w:r>
            <w:r>
              <w:rPr>
                <w:rFonts w:hint="eastAsia" w:hAnsi="宋体"/>
                <w:szCs w:val="18"/>
                <w:vertAlign w:val="superscript"/>
                <w:lang w:bidi="ar"/>
              </w:rPr>
              <w:t>b</w:t>
            </w:r>
            <w:r>
              <w:rPr>
                <w:rFonts w:hint="eastAsia" w:hAnsi="宋体"/>
                <w:szCs w:val="18"/>
                <w:lang w:bidi="ar"/>
              </w:rPr>
              <w:t>含量≤</w:t>
            </w:r>
            <w:r>
              <w:rPr>
                <w:rFonts w:hAnsi="宋体"/>
                <w:szCs w:val="18"/>
                <w:lang w:bidi="ar"/>
              </w:rPr>
              <w:t>15%</w:t>
            </w:r>
          </w:p>
        </w:tc>
        <w:tc>
          <w:tcPr>
            <w:tcW w:w="2912" w:type="dxa"/>
            <w:vMerge w:val="restart"/>
            <w:shd w:val="clear" w:color="auto" w:fill="auto"/>
            <w:vAlign w:val="center"/>
          </w:tcPr>
          <w:p>
            <w:pPr>
              <w:pStyle w:val="181"/>
              <w:numPr>
                <w:ilvl w:val="0"/>
                <w:numId w:val="33"/>
              </w:numPr>
              <w:rPr>
                <w:rFonts w:hAnsi="宋体"/>
                <w:szCs w:val="18"/>
                <w:lang w:bidi="ar"/>
              </w:rPr>
            </w:pPr>
            <w:r>
              <w:rPr>
                <w:rFonts w:hint="eastAsia" w:hAnsi="宋体"/>
                <w:szCs w:val="18"/>
                <w:lang w:bidi="ar"/>
              </w:rPr>
              <w:t>1</w:t>
            </w:r>
            <w:r>
              <w:rPr>
                <w:rFonts w:hAnsi="宋体"/>
                <w:szCs w:val="18"/>
                <w:lang w:bidi="ar"/>
              </w:rPr>
              <w:t>5%</w:t>
            </w:r>
            <w:r>
              <w:rPr>
                <w:rFonts w:hint="eastAsia" w:hAnsi="宋体"/>
                <w:szCs w:val="18"/>
                <w:lang w:bidi="ar"/>
              </w:rPr>
              <w:t>＜土壤容重参比对照增加率≤3</w:t>
            </w:r>
            <w:r>
              <w:rPr>
                <w:rFonts w:hAnsi="宋体"/>
                <w:szCs w:val="18"/>
                <w:lang w:bidi="ar"/>
              </w:rPr>
              <w:t>0%</w:t>
            </w:r>
          </w:p>
          <w:p>
            <w:pPr>
              <w:pStyle w:val="181"/>
              <w:rPr>
                <w:rFonts w:hAnsi="宋体"/>
                <w:szCs w:val="18"/>
                <w:lang w:bidi="ar"/>
              </w:rPr>
            </w:pPr>
          </w:p>
          <w:p>
            <w:pPr>
              <w:pStyle w:val="181"/>
              <w:numPr>
                <w:ilvl w:val="0"/>
                <w:numId w:val="33"/>
              </w:numPr>
            </w:pPr>
            <w:r>
              <w:rPr>
                <w:rFonts w:hAnsi="宋体"/>
                <w:szCs w:val="18"/>
                <w:lang w:bidi="ar"/>
              </w:rPr>
              <w:t>15%</w:t>
            </w:r>
            <w:r>
              <w:rPr>
                <w:rFonts w:hint="eastAsia" w:hAnsi="宋体"/>
                <w:szCs w:val="18"/>
                <w:lang w:bidi="ar"/>
              </w:rPr>
              <w:t>＜3</w:t>
            </w:r>
            <w:r>
              <w:rPr>
                <w:rFonts w:hAnsi="宋体"/>
                <w:szCs w:val="18"/>
                <w:lang w:bidi="ar"/>
              </w:rPr>
              <w:t>0</w:t>
            </w:r>
            <w:r>
              <w:rPr>
                <w:rFonts w:hint="eastAsia" w:hAnsi="宋体"/>
                <w:szCs w:val="18"/>
                <w:lang w:bidi="ar"/>
              </w:rPr>
              <w:t>cm土体内（2</w:t>
            </w:r>
            <w:r>
              <w:rPr>
                <w:rFonts w:hAnsi="宋体"/>
                <w:szCs w:val="18"/>
                <w:lang w:bidi="ar"/>
              </w:rPr>
              <w:t>-70</w:t>
            </w:r>
            <w:r>
              <w:rPr>
                <w:rFonts w:hint="eastAsia" w:hAnsi="宋体"/>
                <w:szCs w:val="18"/>
                <w:lang w:bidi="ar"/>
              </w:rPr>
              <w:t>mm）侵入体含量≤</w:t>
            </w:r>
            <w:r>
              <w:rPr>
                <w:rFonts w:hAnsi="宋体"/>
                <w:szCs w:val="18"/>
                <w:lang w:bidi="ar"/>
              </w:rPr>
              <w:t>30%</w:t>
            </w:r>
          </w:p>
        </w:tc>
        <w:tc>
          <w:tcPr>
            <w:tcW w:w="2474" w:type="dxa"/>
            <w:vMerge w:val="restart"/>
            <w:shd w:val="clear" w:color="auto" w:fill="auto"/>
            <w:vAlign w:val="center"/>
          </w:tcPr>
          <w:p>
            <w:pPr>
              <w:pStyle w:val="181"/>
              <w:numPr>
                <w:ilvl w:val="0"/>
                <w:numId w:val="34"/>
              </w:numPr>
              <w:jc w:val="both"/>
              <w:rPr>
                <w:rFonts w:hAnsi="宋体"/>
                <w:szCs w:val="18"/>
                <w:lang w:bidi="ar"/>
              </w:rPr>
            </w:pPr>
            <w:r>
              <w:rPr>
                <w:rFonts w:hint="eastAsia" w:hAnsi="宋体"/>
                <w:szCs w:val="18"/>
                <w:lang w:bidi="ar"/>
              </w:rPr>
              <w:t>土壤容重参比对照增加率</w:t>
            </w:r>
            <w:r>
              <w:rPr>
                <w:rFonts w:hint="eastAsia"/>
              </w:rPr>
              <w:t>＞</w:t>
            </w:r>
            <w:r>
              <w:rPr>
                <w:rFonts w:hAnsi="宋体"/>
                <w:szCs w:val="18"/>
                <w:lang w:bidi="ar"/>
              </w:rPr>
              <w:t>30%</w:t>
            </w:r>
          </w:p>
          <w:p>
            <w:pPr>
              <w:pStyle w:val="181"/>
              <w:ind w:left="360"/>
              <w:jc w:val="both"/>
              <w:rPr>
                <w:rFonts w:hAnsi="宋体"/>
                <w:szCs w:val="18"/>
                <w:lang w:bidi="ar"/>
              </w:rPr>
            </w:pPr>
          </w:p>
          <w:p>
            <w:pPr>
              <w:pStyle w:val="181"/>
              <w:numPr>
                <w:ilvl w:val="0"/>
                <w:numId w:val="34"/>
              </w:numPr>
              <w:rPr>
                <w:rFonts w:hAnsi="宋体"/>
                <w:szCs w:val="18"/>
                <w:lang w:bidi="ar"/>
              </w:rPr>
            </w:pPr>
            <w:r>
              <w:rPr>
                <w:rFonts w:hint="eastAsia" w:hAnsi="宋体"/>
                <w:szCs w:val="18"/>
                <w:lang w:bidi="ar"/>
              </w:rPr>
              <w:t>3</w:t>
            </w:r>
            <w:r>
              <w:rPr>
                <w:rFonts w:hAnsi="宋体"/>
                <w:szCs w:val="18"/>
                <w:lang w:bidi="ar"/>
              </w:rPr>
              <w:t>0</w:t>
            </w:r>
            <w:r>
              <w:rPr>
                <w:rFonts w:hint="eastAsia" w:hAnsi="宋体"/>
                <w:szCs w:val="18"/>
                <w:lang w:bidi="ar"/>
              </w:rPr>
              <w:t>cm土体内（2</w:t>
            </w:r>
            <w:r>
              <w:rPr>
                <w:rFonts w:hAnsi="宋体"/>
                <w:szCs w:val="18"/>
                <w:lang w:bidi="ar"/>
              </w:rPr>
              <w:t>-70</w:t>
            </w:r>
            <w:r>
              <w:rPr>
                <w:rFonts w:hint="eastAsia" w:hAnsi="宋体"/>
                <w:szCs w:val="18"/>
                <w:lang w:bidi="ar"/>
              </w:rPr>
              <w:t>mm）侵入体含量</w:t>
            </w:r>
            <w:r>
              <w:rPr>
                <w:rFonts w:hint="eastAsia"/>
              </w:rPr>
              <w:t>＞</w:t>
            </w:r>
            <w:r>
              <w:rPr>
                <w:rFonts w:hAnsi="宋体"/>
                <w:szCs w:val="18"/>
                <w:lang w:bidi="ar"/>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建筑垃圾</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工矿废弃物</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restart"/>
            <w:shd w:val="clear" w:color="auto" w:fill="auto"/>
            <w:vAlign w:val="center"/>
          </w:tcPr>
          <w:p>
            <w:pPr>
              <w:pStyle w:val="181"/>
            </w:pPr>
            <w:r>
              <w:rPr>
                <w:rFonts w:hAnsi="宋体"/>
                <w:szCs w:val="18"/>
              </w:rPr>
              <w:t>硬化</w:t>
            </w:r>
            <w:r>
              <w:rPr>
                <w:rFonts w:hint="eastAsia" w:hAnsi="宋体"/>
                <w:szCs w:val="18"/>
                <w:vertAlign w:val="superscript"/>
              </w:rPr>
              <w:t>a</w:t>
            </w:r>
          </w:p>
        </w:tc>
        <w:tc>
          <w:tcPr>
            <w:tcW w:w="567" w:type="dxa"/>
            <w:shd w:val="clear" w:color="auto" w:fill="auto"/>
            <w:vAlign w:val="center"/>
          </w:tcPr>
          <w:p>
            <w:pPr>
              <w:pStyle w:val="181"/>
            </w:pPr>
            <w:r>
              <w:rPr>
                <w:rFonts w:hAnsi="宋体"/>
                <w:szCs w:val="18"/>
              </w:rPr>
              <w:t>建坟</w:t>
            </w:r>
          </w:p>
        </w:tc>
        <w:tc>
          <w:tcPr>
            <w:tcW w:w="2551" w:type="dxa"/>
            <w:vMerge w:val="restart"/>
            <w:shd w:val="clear" w:color="auto" w:fill="auto"/>
            <w:vAlign w:val="center"/>
          </w:tcPr>
          <w:p>
            <w:pPr>
              <w:pStyle w:val="181"/>
              <w:numPr>
                <w:ilvl w:val="0"/>
                <w:numId w:val="35"/>
              </w:numPr>
              <w:jc w:val="both"/>
            </w:pPr>
            <w:r>
              <w:rPr>
                <w:rFonts w:hint="eastAsia"/>
              </w:rPr>
              <w:t>现场硬化采用素土等通气性、透水性较好的材料</w:t>
            </w:r>
          </w:p>
          <w:p>
            <w:pPr>
              <w:pStyle w:val="181"/>
              <w:ind w:left="210" w:leftChars="100"/>
              <w:jc w:val="both"/>
            </w:pPr>
            <w:r>
              <w:rPr>
                <w:rFonts w:hint="eastAsia"/>
              </w:rPr>
              <w:t>耕地：</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10cm</w:t>
            </w:r>
          </w:p>
          <w:p>
            <w:pPr>
              <w:pStyle w:val="181"/>
              <w:ind w:left="210" w:leftChars="100"/>
              <w:jc w:val="both"/>
            </w:pPr>
            <w:r>
              <w:rPr>
                <w:rFonts w:hint="eastAsia"/>
              </w:rPr>
              <w:t>林地：</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20cm</w:t>
            </w:r>
          </w:p>
          <w:p>
            <w:pPr>
              <w:pStyle w:val="181"/>
              <w:jc w:val="both"/>
            </w:pPr>
          </w:p>
          <w:p>
            <w:pPr>
              <w:pStyle w:val="181"/>
              <w:numPr>
                <w:ilvl w:val="0"/>
                <w:numId w:val="35"/>
              </w:numPr>
              <w:jc w:val="both"/>
            </w:pPr>
            <w:r>
              <w:rPr>
                <w:rFonts w:hint="eastAsia"/>
              </w:rPr>
              <w:t>现场硬化采用实心砖、砂石、水泥、混凝土、沥青等通气性、透水性较差的材料</w:t>
            </w:r>
          </w:p>
          <w:p>
            <w:pPr>
              <w:pStyle w:val="181"/>
              <w:ind w:left="210" w:leftChars="100"/>
              <w:jc w:val="both"/>
            </w:pPr>
            <w:r>
              <w:rPr>
                <w:rFonts w:hint="eastAsia"/>
              </w:rPr>
              <w:t>耕地：</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3cm</w:t>
            </w:r>
          </w:p>
          <w:p>
            <w:pPr>
              <w:pStyle w:val="181"/>
              <w:ind w:left="210" w:leftChars="100"/>
              <w:jc w:val="both"/>
            </w:pPr>
            <w:r>
              <w:rPr>
                <w:rFonts w:hint="eastAsia"/>
              </w:rPr>
              <w:t>林地：</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10cm</w:t>
            </w:r>
          </w:p>
        </w:tc>
        <w:tc>
          <w:tcPr>
            <w:tcW w:w="2912" w:type="dxa"/>
            <w:vMerge w:val="restart"/>
            <w:shd w:val="clear" w:color="auto" w:fill="auto"/>
            <w:vAlign w:val="center"/>
          </w:tcPr>
          <w:p>
            <w:pPr>
              <w:pStyle w:val="181"/>
              <w:numPr>
                <w:ilvl w:val="0"/>
                <w:numId w:val="36"/>
              </w:numPr>
              <w:jc w:val="both"/>
            </w:pPr>
            <w:r>
              <w:rPr>
                <w:rFonts w:hint="eastAsia"/>
              </w:rPr>
              <w:t>现场硬化采用素土等通气性、透水性较好的材料</w:t>
            </w:r>
          </w:p>
          <w:p>
            <w:pPr>
              <w:pStyle w:val="181"/>
              <w:ind w:left="210" w:leftChars="100"/>
              <w:jc w:val="both"/>
            </w:pPr>
            <w:r>
              <w:rPr>
                <w:rFonts w:hint="eastAsia"/>
              </w:rPr>
              <w:t>耕地：</w:t>
            </w:r>
            <w:r>
              <w:rPr>
                <w:rFonts w:hAnsi="宋体"/>
                <w:szCs w:val="18"/>
                <w:lang w:bidi="ar"/>
              </w:rPr>
              <w:t>10cm</w:t>
            </w:r>
            <w:r>
              <w:rPr>
                <w:rFonts w:hint="eastAsia" w:hAnsi="宋体"/>
              </w:rPr>
              <w:t>＜</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20m</w:t>
            </w:r>
          </w:p>
          <w:p>
            <w:pPr>
              <w:pStyle w:val="181"/>
              <w:ind w:left="210" w:leftChars="100"/>
              <w:jc w:val="both"/>
            </w:pPr>
            <w:r>
              <w:rPr>
                <w:rFonts w:hint="eastAsia"/>
              </w:rPr>
              <w:t>林地：</w:t>
            </w:r>
            <w:r>
              <w:rPr>
                <w:rFonts w:hAnsi="宋体"/>
                <w:szCs w:val="18"/>
                <w:lang w:bidi="ar"/>
              </w:rPr>
              <w:t>20cm</w:t>
            </w:r>
            <w:r>
              <w:rPr>
                <w:rFonts w:hint="eastAsia" w:hAnsi="宋体"/>
              </w:rPr>
              <w:t>＜</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40cm</w:t>
            </w:r>
          </w:p>
          <w:p>
            <w:pPr>
              <w:pStyle w:val="181"/>
              <w:jc w:val="both"/>
            </w:pPr>
          </w:p>
          <w:p>
            <w:pPr>
              <w:pStyle w:val="181"/>
              <w:numPr>
                <w:ilvl w:val="0"/>
                <w:numId w:val="36"/>
              </w:numPr>
              <w:jc w:val="both"/>
            </w:pPr>
            <w:r>
              <w:rPr>
                <w:rFonts w:hint="eastAsia"/>
              </w:rPr>
              <w:t>现场硬化采用实心砖、砂石、水泥、混凝土、沥青等通气性、透水性较差的材料</w:t>
            </w:r>
          </w:p>
          <w:p>
            <w:pPr>
              <w:pStyle w:val="181"/>
              <w:ind w:left="210" w:leftChars="100"/>
              <w:jc w:val="both"/>
            </w:pPr>
            <w:r>
              <w:rPr>
                <w:rFonts w:hint="eastAsia"/>
              </w:rPr>
              <w:t>耕地：</w:t>
            </w:r>
            <w:r>
              <w:rPr>
                <w:rFonts w:hAnsi="宋体"/>
                <w:szCs w:val="18"/>
                <w:lang w:bidi="ar"/>
              </w:rPr>
              <w:t>3cm</w:t>
            </w:r>
            <w:r>
              <w:rPr>
                <w:rFonts w:hint="eastAsia" w:hAnsi="宋体"/>
              </w:rPr>
              <w:t>＜</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10m</w:t>
            </w:r>
          </w:p>
          <w:p>
            <w:pPr>
              <w:pStyle w:val="181"/>
              <w:ind w:left="210" w:leftChars="100"/>
              <w:jc w:val="both"/>
            </w:pPr>
            <w:r>
              <w:rPr>
                <w:rFonts w:hint="eastAsia"/>
              </w:rPr>
              <w:t>林地：</w:t>
            </w:r>
            <w:r>
              <w:rPr>
                <w:rFonts w:hAnsi="宋体"/>
                <w:szCs w:val="18"/>
                <w:lang w:bidi="ar"/>
              </w:rPr>
              <w:t>10cm</w:t>
            </w:r>
            <w:r>
              <w:rPr>
                <w:rFonts w:hint="eastAsia" w:hAnsi="宋体"/>
              </w:rPr>
              <w:t>＜</w:t>
            </w:r>
            <w:r>
              <w:rPr>
                <w:rFonts w:hint="eastAsia" w:hAnsi="宋体"/>
                <w:szCs w:val="18"/>
                <w:lang w:bidi="ar"/>
              </w:rPr>
              <w:t>硬化</w:t>
            </w:r>
            <w:r>
              <w:rPr>
                <w:rFonts w:hAnsi="宋体"/>
                <w:szCs w:val="18"/>
                <w:lang w:bidi="ar"/>
              </w:rPr>
              <w:t>深度</w:t>
            </w:r>
            <w:r>
              <w:rPr>
                <w:rFonts w:hint="eastAsia" w:hAnsi="宋体"/>
              </w:rPr>
              <w:t>≤</w:t>
            </w:r>
            <w:r>
              <w:rPr>
                <w:rFonts w:hAnsi="宋体"/>
                <w:szCs w:val="18"/>
                <w:lang w:bidi="ar"/>
              </w:rPr>
              <w:t>30cm</w:t>
            </w:r>
          </w:p>
        </w:tc>
        <w:tc>
          <w:tcPr>
            <w:tcW w:w="2474" w:type="dxa"/>
            <w:vMerge w:val="restart"/>
            <w:shd w:val="clear" w:color="auto" w:fill="auto"/>
            <w:vAlign w:val="center"/>
          </w:tcPr>
          <w:p>
            <w:pPr>
              <w:pStyle w:val="181"/>
              <w:numPr>
                <w:ilvl w:val="0"/>
                <w:numId w:val="37"/>
              </w:numPr>
              <w:jc w:val="both"/>
            </w:pPr>
            <w:r>
              <w:rPr>
                <w:rFonts w:hint="eastAsia"/>
              </w:rPr>
              <w:t>现场硬化采用素土等通气性、透水性较好的材料</w:t>
            </w:r>
          </w:p>
          <w:p>
            <w:pPr>
              <w:pStyle w:val="181"/>
              <w:ind w:left="210" w:leftChars="100"/>
              <w:jc w:val="both"/>
            </w:pPr>
            <w:r>
              <w:rPr>
                <w:rFonts w:hint="eastAsia"/>
              </w:rPr>
              <w:t>耕地：</w:t>
            </w:r>
            <w:r>
              <w:rPr>
                <w:rFonts w:hint="eastAsia" w:hAnsi="宋体"/>
                <w:szCs w:val="18"/>
                <w:lang w:bidi="ar"/>
              </w:rPr>
              <w:t>硬化</w:t>
            </w:r>
            <w:r>
              <w:rPr>
                <w:rFonts w:hAnsi="宋体"/>
                <w:szCs w:val="18"/>
                <w:lang w:bidi="ar"/>
              </w:rPr>
              <w:t>深度</w:t>
            </w:r>
            <w:r>
              <w:rPr>
                <w:rFonts w:hint="eastAsia"/>
              </w:rPr>
              <w:t>＞</w:t>
            </w:r>
            <w:r>
              <w:rPr>
                <w:rFonts w:hAnsi="宋体"/>
                <w:szCs w:val="18"/>
                <w:lang w:bidi="ar"/>
              </w:rPr>
              <w:t>20cm</w:t>
            </w:r>
          </w:p>
          <w:p>
            <w:pPr>
              <w:pStyle w:val="181"/>
              <w:ind w:left="210" w:leftChars="100"/>
              <w:jc w:val="both"/>
            </w:pPr>
            <w:r>
              <w:rPr>
                <w:rFonts w:hint="eastAsia"/>
              </w:rPr>
              <w:t>林地：</w:t>
            </w:r>
            <w:r>
              <w:rPr>
                <w:rFonts w:hint="eastAsia" w:hAnsi="宋体"/>
                <w:szCs w:val="18"/>
                <w:lang w:bidi="ar"/>
              </w:rPr>
              <w:t>硬化</w:t>
            </w:r>
            <w:r>
              <w:rPr>
                <w:rFonts w:hAnsi="宋体"/>
                <w:szCs w:val="18"/>
                <w:lang w:bidi="ar"/>
              </w:rPr>
              <w:t>深度</w:t>
            </w:r>
            <w:r>
              <w:rPr>
                <w:rFonts w:hint="eastAsia"/>
              </w:rPr>
              <w:t>＞</w:t>
            </w:r>
            <w:r>
              <w:rPr>
                <w:rFonts w:hAnsi="宋体"/>
                <w:szCs w:val="18"/>
                <w:lang w:bidi="ar"/>
              </w:rPr>
              <w:t>40cm</w:t>
            </w:r>
          </w:p>
          <w:p>
            <w:pPr>
              <w:pStyle w:val="181"/>
              <w:jc w:val="both"/>
            </w:pPr>
          </w:p>
          <w:p>
            <w:pPr>
              <w:pStyle w:val="181"/>
              <w:numPr>
                <w:ilvl w:val="0"/>
                <w:numId w:val="37"/>
              </w:numPr>
              <w:jc w:val="both"/>
            </w:pPr>
            <w:r>
              <w:rPr>
                <w:rFonts w:hint="eastAsia"/>
              </w:rPr>
              <w:t>现场硬化采用实心砖、砂石、水泥、混凝土、沥青等通气性、透水性较差的材料</w:t>
            </w:r>
          </w:p>
          <w:p>
            <w:pPr>
              <w:pStyle w:val="181"/>
              <w:ind w:left="210" w:leftChars="100"/>
              <w:jc w:val="both"/>
            </w:pPr>
            <w:r>
              <w:rPr>
                <w:rFonts w:hint="eastAsia"/>
              </w:rPr>
              <w:t>耕地：</w:t>
            </w:r>
            <w:r>
              <w:rPr>
                <w:rFonts w:hint="eastAsia" w:hAnsi="宋体"/>
                <w:szCs w:val="18"/>
                <w:lang w:bidi="ar"/>
              </w:rPr>
              <w:t>硬化</w:t>
            </w:r>
            <w:r>
              <w:rPr>
                <w:rFonts w:hAnsi="宋体"/>
                <w:szCs w:val="18"/>
                <w:lang w:bidi="ar"/>
              </w:rPr>
              <w:t>深度</w:t>
            </w:r>
            <w:r>
              <w:rPr>
                <w:rFonts w:hint="eastAsia"/>
              </w:rPr>
              <w:t>＞</w:t>
            </w:r>
            <w:r>
              <w:rPr>
                <w:rFonts w:hAnsi="宋体"/>
                <w:szCs w:val="18"/>
                <w:lang w:bidi="ar"/>
              </w:rPr>
              <w:t>10cm</w:t>
            </w:r>
          </w:p>
          <w:p>
            <w:pPr>
              <w:pStyle w:val="181"/>
              <w:ind w:left="210" w:leftChars="100"/>
              <w:jc w:val="left"/>
            </w:pPr>
            <w:r>
              <w:rPr>
                <w:rFonts w:hint="eastAsia"/>
              </w:rPr>
              <w:t>林地：</w:t>
            </w:r>
            <w:r>
              <w:rPr>
                <w:rFonts w:hint="eastAsia" w:hAnsi="宋体"/>
                <w:szCs w:val="18"/>
                <w:lang w:bidi="ar"/>
              </w:rPr>
              <w:t>硬化</w:t>
            </w:r>
            <w:r>
              <w:rPr>
                <w:rFonts w:hAnsi="宋体"/>
                <w:szCs w:val="18"/>
                <w:lang w:bidi="ar"/>
              </w:rPr>
              <w:t>深度</w:t>
            </w:r>
            <w:r>
              <w:rPr>
                <w:rFonts w:hint="eastAsia"/>
              </w:rPr>
              <w:t>＞</w:t>
            </w:r>
            <w:r>
              <w:rPr>
                <w:rFonts w:hAnsi="宋体"/>
                <w:szCs w:val="18"/>
                <w:lang w:bidi="ar"/>
              </w:rPr>
              <w:t>30cm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建窑</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ind w:left="210" w:left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厂棚</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ind w:left="210" w:left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牲畜圈舍</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ind w:left="210" w:left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建房</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ind w:left="210" w:left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路面硬化</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ind w:left="210" w:left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场地硬化</w:t>
            </w:r>
          </w:p>
        </w:tc>
        <w:tc>
          <w:tcPr>
            <w:tcW w:w="2551" w:type="dxa"/>
            <w:vMerge w:val="continue"/>
            <w:shd w:val="clear" w:color="auto" w:fill="auto"/>
            <w:vAlign w:val="center"/>
          </w:tcPr>
          <w:p>
            <w:pPr>
              <w:pStyle w:val="181"/>
              <w:ind w:left="210" w:leftChars="100"/>
              <w:jc w:val="left"/>
            </w:pPr>
          </w:p>
        </w:tc>
        <w:tc>
          <w:tcPr>
            <w:tcW w:w="2912" w:type="dxa"/>
            <w:vMerge w:val="continue"/>
            <w:shd w:val="clear" w:color="auto" w:fill="auto"/>
            <w:vAlign w:val="center"/>
          </w:tcPr>
          <w:p>
            <w:pPr>
              <w:pStyle w:val="181"/>
              <w:ind w:left="210" w:leftChars="100"/>
              <w:jc w:val="left"/>
            </w:pPr>
          </w:p>
        </w:tc>
        <w:tc>
          <w:tcPr>
            <w:tcW w:w="2474" w:type="dxa"/>
            <w:vMerge w:val="continue"/>
            <w:shd w:val="clear" w:color="auto" w:fill="auto"/>
            <w:vAlign w:val="center"/>
          </w:tcPr>
          <w:p>
            <w:pPr>
              <w:pStyle w:val="181"/>
              <w:ind w:left="210" w:left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54" w:hRule="atLeast"/>
          <w:jc w:val="center"/>
        </w:trPr>
        <w:tc>
          <w:tcPr>
            <w:tcW w:w="416" w:type="dxa"/>
            <w:vMerge w:val="restart"/>
            <w:shd w:val="clear" w:color="auto" w:fill="auto"/>
            <w:vAlign w:val="center"/>
          </w:tcPr>
          <w:p>
            <w:pPr>
              <w:pStyle w:val="181"/>
            </w:pPr>
            <w:r>
              <w:rPr>
                <w:rFonts w:hint="eastAsia"/>
              </w:rPr>
              <w:t>损毁</w:t>
            </w:r>
          </w:p>
        </w:tc>
        <w:tc>
          <w:tcPr>
            <w:tcW w:w="567" w:type="dxa"/>
            <w:shd w:val="clear" w:color="auto" w:fill="auto"/>
            <w:vAlign w:val="center"/>
          </w:tcPr>
          <w:p>
            <w:pPr>
              <w:pStyle w:val="181"/>
            </w:pPr>
            <w:r>
              <w:rPr>
                <w:rFonts w:hAnsi="宋体"/>
                <w:szCs w:val="18"/>
              </w:rPr>
              <w:t>挖损</w:t>
            </w:r>
          </w:p>
        </w:tc>
        <w:tc>
          <w:tcPr>
            <w:tcW w:w="567" w:type="dxa"/>
            <w:shd w:val="clear" w:color="auto" w:fill="auto"/>
            <w:vAlign w:val="center"/>
          </w:tcPr>
          <w:p>
            <w:pPr>
              <w:pStyle w:val="181"/>
            </w:pPr>
            <w:r>
              <w:rPr>
                <w:rFonts w:hAnsi="宋体"/>
                <w:szCs w:val="18"/>
              </w:rPr>
              <w:t>取土</w:t>
            </w:r>
          </w:p>
        </w:tc>
        <w:tc>
          <w:tcPr>
            <w:tcW w:w="2551" w:type="dxa"/>
            <w:shd w:val="clear" w:color="auto" w:fill="auto"/>
            <w:vAlign w:val="center"/>
          </w:tcPr>
          <w:p>
            <w:pPr>
              <w:pStyle w:val="181"/>
              <w:ind w:left="210" w:leftChars="100"/>
              <w:jc w:val="left"/>
              <w:rPr>
                <w:rFonts w:hAnsi="宋体"/>
                <w:szCs w:val="18"/>
                <w:lang w:bidi="ar"/>
              </w:rPr>
            </w:pPr>
            <w:r>
              <w:rPr>
                <w:rFonts w:hint="eastAsia" w:hAnsi="宋体"/>
                <w:szCs w:val="18"/>
                <w:lang w:bidi="ar"/>
              </w:rPr>
              <w:t>耕地：</w:t>
            </w:r>
            <w:r>
              <w:rPr>
                <w:rFonts w:hAnsi="宋体"/>
                <w:szCs w:val="18"/>
                <w:lang w:bidi="ar"/>
              </w:rPr>
              <w:t>取土深度</w:t>
            </w:r>
            <w:r>
              <w:rPr>
                <w:rFonts w:hint="eastAsia" w:hAnsi="宋体"/>
              </w:rPr>
              <w:t>≤</w:t>
            </w:r>
            <w:r>
              <w:rPr>
                <w:rFonts w:hAnsi="宋体"/>
                <w:szCs w:val="18"/>
                <w:lang w:bidi="ar"/>
              </w:rPr>
              <w:t>10cm</w:t>
            </w:r>
          </w:p>
          <w:p>
            <w:pPr>
              <w:pStyle w:val="181"/>
              <w:ind w:left="210" w:leftChars="100"/>
              <w:jc w:val="left"/>
            </w:pPr>
            <w:r>
              <w:rPr>
                <w:rFonts w:hint="eastAsia" w:hAnsi="宋体"/>
                <w:szCs w:val="18"/>
                <w:lang w:bidi="ar"/>
              </w:rPr>
              <w:t>林地：取</w:t>
            </w:r>
            <w:r>
              <w:rPr>
                <w:rFonts w:hAnsi="宋体"/>
                <w:szCs w:val="18"/>
                <w:lang w:bidi="ar"/>
              </w:rPr>
              <w:t>土深度</w:t>
            </w:r>
            <w:r>
              <w:rPr>
                <w:rFonts w:hint="eastAsia" w:hAnsi="宋体"/>
              </w:rPr>
              <w:t>≤</w:t>
            </w:r>
            <w:r>
              <w:rPr>
                <w:rFonts w:hAnsi="宋体"/>
                <w:szCs w:val="18"/>
                <w:lang w:bidi="ar"/>
              </w:rPr>
              <w:t>20cm</w:t>
            </w:r>
          </w:p>
        </w:tc>
        <w:tc>
          <w:tcPr>
            <w:tcW w:w="2912" w:type="dxa"/>
            <w:shd w:val="clear" w:color="auto" w:fill="auto"/>
            <w:vAlign w:val="center"/>
          </w:tcPr>
          <w:p>
            <w:pPr>
              <w:pStyle w:val="181"/>
              <w:ind w:left="168" w:leftChars="80"/>
              <w:jc w:val="left"/>
              <w:rPr>
                <w:rFonts w:hAnsi="宋体"/>
                <w:szCs w:val="18"/>
                <w:lang w:bidi="ar"/>
              </w:rPr>
            </w:pPr>
            <w:r>
              <w:rPr>
                <w:rFonts w:hint="eastAsia" w:hAnsi="宋体"/>
                <w:szCs w:val="18"/>
                <w:lang w:bidi="ar"/>
              </w:rPr>
              <w:t>耕地：</w:t>
            </w:r>
            <w:r>
              <w:rPr>
                <w:rFonts w:hAnsi="宋体"/>
                <w:szCs w:val="18"/>
                <w:lang w:bidi="ar"/>
              </w:rPr>
              <w:t>10cm</w:t>
            </w:r>
            <w:r>
              <w:rPr>
                <w:rFonts w:hint="eastAsia" w:hAnsi="宋体"/>
              </w:rPr>
              <w:t>＜</w:t>
            </w:r>
            <w:r>
              <w:rPr>
                <w:rFonts w:hAnsi="宋体"/>
                <w:szCs w:val="18"/>
                <w:lang w:bidi="ar"/>
              </w:rPr>
              <w:t>取土深度</w:t>
            </w:r>
            <w:r>
              <w:rPr>
                <w:rFonts w:hint="eastAsia" w:hAnsi="宋体"/>
              </w:rPr>
              <w:t>≤</w:t>
            </w:r>
            <w:r>
              <w:rPr>
                <w:rFonts w:hAnsi="宋体"/>
                <w:szCs w:val="18"/>
                <w:lang w:bidi="ar"/>
              </w:rPr>
              <w:t>20m</w:t>
            </w:r>
          </w:p>
          <w:p>
            <w:pPr>
              <w:pStyle w:val="181"/>
              <w:ind w:left="168" w:leftChars="80"/>
              <w:jc w:val="left"/>
            </w:pPr>
            <w:r>
              <w:rPr>
                <w:rFonts w:hint="eastAsia" w:hAnsi="宋体"/>
                <w:szCs w:val="18"/>
                <w:lang w:bidi="ar"/>
              </w:rPr>
              <w:t>林地：</w:t>
            </w:r>
            <w:r>
              <w:rPr>
                <w:rFonts w:hAnsi="宋体"/>
                <w:szCs w:val="18"/>
                <w:lang w:bidi="ar"/>
              </w:rPr>
              <w:t>20cm</w:t>
            </w:r>
            <w:r>
              <w:rPr>
                <w:rFonts w:hint="eastAsia" w:hAnsi="宋体"/>
              </w:rPr>
              <w:t>＜</w:t>
            </w:r>
            <w:r>
              <w:rPr>
                <w:rFonts w:hAnsi="宋体"/>
                <w:szCs w:val="18"/>
                <w:lang w:bidi="ar"/>
              </w:rPr>
              <w:t>取土深度</w:t>
            </w:r>
            <w:r>
              <w:rPr>
                <w:rFonts w:hint="eastAsia" w:hAnsi="宋体"/>
              </w:rPr>
              <w:t>≤</w:t>
            </w:r>
            <w:r>
              <w:rPr>
                <w:rFonts w:hAnsi="宋体"/>
                <w:szCs w:val="18"/>
                <w:lang w:bidi="ar"/>
              </w:rPr>
              <w:t>40cm</w:t>
            </w:r>
          </w:p>
        </w:tc>
        <w:tc>
          <w:tcPr>
            <w:tcW w:w="2474" w:type="dxa"/>
            <w:shd w:val="clear" w:color="auto" w:fill="auto"/>
            <w:vAlign w:val="center"/>
          </w:tcPr>
          <w:p>
            <w:pPr>
              <w:pStyle w:val="181"/>
              <w:ind w:left="105" w:leftChars="50"/>
              <w:jc w:val="left"/>
              <w:rPr>
                <w:rFonts w:hAnsi="宋体"/>
                <w:szCs w:val="18"/>
                <w:lang w:bidi="ar"/>
              </w:rPr>
            </w:pPr>
            <w:r>
              <w:rPr>
                <w:rFonts w:hint="eastAsia" w:hAnsi="宋体"/>
                <w:szCs w:val="18"/>
                <w:lang w:bidi="ar"/>
              </w:rPr>
              <w:t>耕地：</w:t>
            </w:r>
            <w:r>
              <w:rPr>
                <w:rFonts w:hAnsi="宋体"/>
                <w:szCs w:val="18"/>
                <w:lang w:bidi="ar"/>
              </w:rPr>
              <w:t>取土深度</w:t>
            </w:r>
            <w:r>
              <w:rPr>
                <w:rFonts w:hint="eastAsia"/>
              </w:rPr>
              <w:t>＞</w:t>
            </w:r>
            <w:r>
              <w:rPr>
                <w:rFonts w:hAnsi="宋体"/>
                <w:szCs w:val="18"/>
                <w:lang w:bidi="ar"/>
              </w:rPr>
              <w:t>20cm</w:t>
            </w:r>
          </w:p>
          <w:p>
            <w:pPr>
              <w:pStyle w:val="181"/>
              <w:ind w:left="105" w:leftChars="50"/>
              <w:jc w:val="left"/>
            </w:pPr>
            <w:r>
              <w:rPr>
                <w:rFonts w:hint="eastAsia" w:hAnsi="宋体"/>
                <w:szCs w:val="18"/>
                <w:lang w:bidi="ar"/>
              </w:rPr>
              <w:t>林地：</w:t>
            </w:r>
            <w:r>
              <w:rPr>
                <w:rFonts w:hAnsi="宋体"/>
                <w:szCs w:val="18"/>
                <w:lang w:bidi="ar"/>
              </w:rPr>
              <w:t>取土深度</w:t>
            </w:r>
            <w:r>
              <w:rPr>
                <w:rFonts w:hint="eastAsia"/>
              </w:rPr>
              <w:t>＞</w:t>
            </w:r>
            <w:r>
              <w:rPr>
                <w:rFonts w:hAnsi="宋体"/>
                <w:szCs w:val="18"/>
                <w:lang w:bidi="ar"/>
              </w:rPr>
              <w:t>40cm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restart"/>
            <w:shd w:val="clear" w:color="auto" w:fill="auto"/>
            <w:vAlign w:val="center"/>
          </w:tcPr>
          <w:p>
            <w:pPr>
              <w:pStyle w:val="181"/>
            </w:pPr>
            <w:r>
              <w:rPr>
                <w:rFonts w:hAnsi="宋体"/>
                <w:szCs w:val="18"/>
              </w:rPr>
              <w:t>塌陷</w:t>
            </w:r>
            <w:r>
              <w:rPr>
                <w:rFonts w:hint="eastAsia" w:hAnsi="宋体"/>
                <w:szCs w:val="18"/>
                <w:vertAlign w:val="superscript"/>
              </w:rPr>
              <w:t>a</w:t>
            </w:r>
          </w:p>
        </w:tc>
        <w:tc>
          <w:tcPr>
            <w:tcW w:w="567" w:type="dxa"/>
            <w:shd w:val="clear" w:color="auto" w:fill="auto"/>
            <w:vAlign w:val="center"/>
          </w:tcPr>
          <w:p>
            <w:pPr>
              <w:pStyle w:val="181"/>
              <w:rPr>
                <w:rFonts w:hAnsi="宋体"/>
                <w:szCs w:val="18"/>
              </w:rPr>
            </w:pPr>
            <w:r>
              <w:rPr>
                <w:rFonts w:hint="eastAsia" w:hAnsi="宋体"/>
                <w:szCs w:val="18"/>
              </w:rPr>
              <w:t>挖砂</w:t>
            </w:r>
          </w:p>
          <w:p>
            <w:pPr>
              <w:pStyle w:val="181"/>
            </w:pPr>
            <w:r>
              <w:rPr>
                <w:rFonts w:hAnsi="宋体"/>
                <w:szCs w:val="18"/>
              </w:rPr>
              <w:t>采石</w:t>
            </w:r>
          </w:p>
        </w:tc>
        <w:tc>
          <w:tcPr>
            <w:tcW w:w="2551" w:type="dxa"/>
            <w:vMerge w:val="restart"/>
            <w:shd w:val="clear" w:color="auto" w:fill="auto"/>
            <w:vAlign w:val="center"/>
          </w:tcPr>
          <w:p>
            <w:pPr>
              <w:pStyle w:val="181"/>
              <w:numPr>
                <w:ilvl w:val="0"/>
                <w:numId w:val="38"/>
              </w:numPr>
              <w:ind w:left="357" w:hanging="357"/>
              <w:jc w:val="left"/>
              <w:rPr>
                <w:rFonts w:hAnsi="宋体"/>
                <w:szCs w:val="18"/>
                <w:lang w:bidi="ar"/>
              </w:rPr>
            </w:pPr>
            <w:r>
              <w:rPr>
                <w:rFonts w:hint="eastAsia" w:hAnsi="宋体"/>
                <w:szCs w:val="18"/>
                <w:lang w:bidi="ar"/>
              </w:rPr>
              <w:t>耕地：</w:t>
            </w:r>
            <w:r>
              <w:rPr>
                <w:rFonts w:hAnsi="宋体"/>
                <w:szCs w:val="18"/>
                <w:lang w:bidi="ar"/>
              </w:rPr>
              <w:t>塌陷</w:t>
            </w:r>
            <w:r>
              <w:rPr>
                <w:rFonts w:hint="eastAsia" w:hAnsi="宋体"/>
                <w:szCs w:val="18"/>
                <w:lang w:bidi="ar"/>
              </w:rPr>
              <w:t>深度</w:t>
            </w:r>
            <w:r>
              <w:rPr>
                <w:rFonts w:hint="eastAsia" w:hAnsi="宋体"/>
              </w:rPr>
              <w:t>≤</w:t>
            </w:r>
            <w:r>
              <w:rPr>
                <w:rFonts w:hint="eastAsia" w:hAnsi="宋体"/>
                <w:szCs w:val="18"/>
                <w:lang w:bidi="ar"/>
              </w:rPr>
              <w:t>1</w:t>
            </w:r>
            <w:r>
              <w:rPr>
                <w:rFonts w:hAnsi="宋体"/>
                <w:szCs w:val="18"/>
                <w:lang w:bidi="ar"/>
              </w:rPr>
              <w:t>.0</w:t>
            </w:r>
            <w:r>
              <w:rPr>
                <w:rFonts w:hint="eastAsia" w:hAnsi="宋体"/>
                <w:szCs w:val="18"/>
                <w:lang w:bidi="ar"/>
              </w:rPr>
              <w:t>m</w:t>
            </w:r>
          </w:p>
          <w:p>
            <w:pPr>
              <w:pStyle w:val="181"/>
              <w:ind w:left="357"/>
              <w:jc w:val="left"/>
              <w:rPr>
                <w:rFonts w:hAnsi="宋体"/>
                <w:szCs w:val="18"/>
                <w:lang w:bidi="ar"/>
              </w:rPr>
            </w:pPr>
            <w:r>
              <w:rPr>
                <w:rFonts w:hint="eastAsia" w:hAnsi="宋体"/>
                <w:szCs w:val="18"/>
                <w:lang w:bidi="ar"/>
              </w:rPr>
              <w:t>林地：</w:t>
            </w:r>
            <w:r>
              <w:rPr>
                <w:rFonts w:hAnsi="宋体"/>
                <w:szCs w:val="18"/>
                <w:lang w:bidi="ar"/>
              </w:rPr>
              <w:t>塌陷</w:t>
            </w:r>
            <w:r>
              <w:rPr>
                <w:rFonts w:hint="eastAsia" w:hAnsi="宋体"/>
                <w:szCs w:val="18"/>
                <w:lang w:bidi="ar"/>
              </w:rPr>
              <w:t>深度</w:t>
            </w:r>
            <w:r>
              <w:rPr>
                <w:rFonts w:hint="eastAsia" w:hAnsi="宋体"/>
              </w:rPr>
              <w:t>≤</w:t>
            </w:r>
            <w:r>
              <w:rPr>
                <w:rFonts w:hAnsi="宋体"/>
                <w:szCs w:val="18"/>
                <w:lang w:bidi="ar"/>
              </w:rPr>
              <w:t>2.0</w:t>
            </w:r>
            <w:r>
              <w:rPr>
                <w:rFonts w:hint="eastAsia" w:hAnsi="宋体"/>
                <w:szCs w:val="18"/>
                <w:lang w:bidi="ar"/>
              </w:rPr>
              <w:t>m</w:t>
            </w:r>
          </w:p>
          <w:p>
            <w:pPr>
              <w:pStyle w:val="181"/>
              <w:ind w:left="210" w:leftChars="100"/>
              <w:jc w:val="left"/>
              <w:rPr>
                <w:rFonts w:hAnsi="宋体"/>
                <w:szCs w:val="18"/>
                <w:lang w:bidi="ar"/>
              </w:rPr>
            </w:pPr>
          </w:p>
          <w:p>
            <w:pPr>
              <w:pStyle w:val="181"/>
              <w:numPr>
                <w:ilvl w:val="0"/>
                <w:numId w:val="38"/>
              </w:numPr>
              <w:ind w:left="357" w:hanging="357"/>
              <w:jc w:val="left"/>
              <w:rPr>
                <w:rFonts w:hAnsi="宋体"/>
                <w:szCs w:val="18"/>
                <w:lang w:bidi="ar"/>
              </w:rPr>
            </w:pPr>
            <w:r>
              <w:rPr>
                <w:rFonts w:hint="eastAsia" w:hAnsi="宋体"/>
                <w:szCs w:val="18"/>
                <w:lang w:bidi="ar"/>
              </w:rPr>
              <w:t>耕地：水平变形</w:t>
            </w:r>
            <w:r>
              <w:rPr>
                <w:rFonts w:hint="eastAsia" w:hAnsi="宋体"/>
              </w:rPr>
              <w:t>≤</w:t>
            </w:r>
            <w:r>
              <w:rPr>
                <w:rFonts w:hAnsi="宋体"/>
                <w:szCs w:val="18"/>
                <w:lang w:bidi="ar"/>
              </w:rPr>
              <w:t>3</w:t>
            </w:r>
            <w:r>
              <w:rPr>
                <w:rFonts w:hint="eastAsia" w:hAnsi="宋体"/>
                <w:szCs w:val="18"/>
                <w:lang w:bidi="ar"/>
              </w:rPr>
              <w:t>‰</w:t>
            </w:r>
          </w:p>
          <w:p>
            <w:pPr>
              <w:pStyle w:val="181"/>
              <w:ind w:left="357"/>
              <w:jc w:val="left"/>
              <w:rPr>
                <w:rFonts w:hAnsi="宋体"/>
                <w:szCs w:val="18"/>
                <w:lang w:bidi="ar"/>
              </w:rPr>
            </w:pPr>
            <w:r>
              <w:rPr>
                <w:rFonts w:hint="eastAsia" w:hAnsi="宋体"/>
                <w:szCs w:val="18"/>
                <w:lang w:bidi="ar"/>
              </w:rPr>
              <w:t>林地：水平变形</w:t>
            </w:r>
            <w:r>
              <w:rPr>
                <w:rFonts w:hint="eastAsia" w:hAnsi="宋体"/>
              </w:rPr>
              <w:t>≤</w:t>
            </w:r>
            <w:r>
              <w:rPr>
                <w:rFonts w:hAnsi="宋体"/>
                <w:szCs w:val="18"/>
                <w:lang w:bidi="ar"/>
              </w:rPr>
              <w:t>8</w:t>
            </w:r>
            <w:r>
              <w:rPr>
                <w:rFonts w:hint="eastAsia" w:hAnsi="宋体"/>
                <w:szCs w:val="18"/>
                <w:lang w:bidi="ar"/>
              </w:rPr>
              <w:t>‰</w:t>
            </w:r>
          </w:p>
        </w:tc>
        <w:tc>
          <w:tcPr>
            <w:tcW w:w="2912" w:type="dxa"/>
            <w:vMerge w:val="restart"/>
            <w:shd w:val="clear" w:color="auto" w:fill="auto"/>
            <w:vAlign w:val="center"/>
          </w:tcPr>
          <w:p>
            <w:pPr>
              <w:pStyle w:val="181"/>
              <w:numPr>
                <w:ilvl w:val="0"/>
                <w:numId w:val="39"/>
              </w:numPr>
              <w:jc w:val="both"/>
              <w:rPr>
                <w:rFonts w:hAnsi="宋体"/>
                <w:szCs w:val="18"/>
                <w:lang w:bidi="ar"/>
              </w:rPr>
            </w:pPr>
            <w:r>
              <w:rPr>
                <w:rFonts w:hint="eastAsia" w:hAnsi="宋体"/>
                <w:szCs w:val="18"/>
                <w:lang w:bidi="ar"/>
              </w:rPr>
              <w:t>耕地：1</w:t>
            </w:r>
            <w:r>
              <w:rPr>
                <w:rFonts w:hAnsi="宋体"/>
                <w:szCs w:val="18"/>
                <w:lang w:bidi="ar"/>
              </w:rPr>
              <w:t>.0</w:t>
            </w:r>
            <w:r>
              <w:rPr>
                <w:rFonts w:hint="eastAsia" w:hAnsi="宋体"/>
                <w:szCs w:val="18"/>
                <w:lang w:bidi="ar"/>
              </w:rPr>
              <w:t>m＜</w:t>
            </w:r>
            <w:r>
              <w:rPr>
                <w:rFonts w:hAnsi="宋体"/>
                <w:szCs w:val="18"/>
                <w:lang w:bidi="ar"/>
              </w:rPr>
              <w:t>塌陷</w:t>
            </w:r>
            <w:r>
              <w:rPr>
                <w:rFonts w:hint="eastAsia" w:hAnsi="宋体"/>
                <w:szCs w:val="18"/>
                <w:lang w:bidi="ar"/>
              </w:rPr>
              <w:t>深度</w:t>
            </w:r>
            <w:r>
              <w:rPr>
                <w:rFonts w:hint="eastAsia" w:hAnsi="宋体"/>
              </w:rPr>
              <w:t>≤</w:t>
            </w:r>
            <w:r>
              <w:rPr>
                <w:rFonts w:hAnsi="宋体"/>
                <w:szCs w:val="18"/>
                <w:lang w:bidi="ar"/>
              </w:rPr>
              <w:t>2.0</w:t>
            </w:r>
            <w:r>
              <w:rPr>
                <w:rFonts w:hint="eastAsia" w:hAnsi="宋体"/>
                <w:szCs w:val="18"/>
                <w:lang w:bidi="ar"/>
              </w:rPr>
              <w:t>m</w:t>
            </w:r>
          </w:p>
          <w:p>
            <w:pPr>
              <w:pStyle w:val="181"/>
              <w:ind w:left="360"/>
              <w:jc w:val="both"/>
              <w:rPr>
                <w:rFonts w:hAnsi="宋体"/>
                <w:szCs w:val="18"/>
                <w:lang w:bidi="ar"/>
              </w:rPr>
            </w:pPr>
            <w:r>
              <w:rPr>
                <w:rFonts w:hint="eastAsia" w:hAnsi="宋体"/>
                <w:szCs w:val="18"/>
                <w:lang w:bidi="ar"/>
              </w:rPr>
              <w:t>林地：</w:t>
            </w:r>
            <w:r>
              <w:rPr>
                <w:rFonts w:hAnsi="宋体"/>
                <w:szCs w:val="18"/>
                <w:lang w:bidi="ar"/>
              </w:rPr>
              <w:t>2.0</w:t>
            </w:r>
            <w:r>
              <w:rPr>
                <w:rFonts w:hint="eastAsia" w:hAnsi="宋体"/>
                <w:szCs w:val="18"/>
                <w:lang w:bidi="ar"/>
              </w:rPr>
              <w:t>m＜</w:t>
            </w:r>
            <w:r>
              <w:rPr>
                <w:rFonts w:hAnsi="宋体"/>
                <w:szCs w:val="18"/>
                <w:lang w:bidi="ar"/>
              </w:rPr>
              <w:t>塌陷</w:t>
            </w:r>
            <w:r>
              <w:rPr>
                <w:rFonts w:hint="eastAsia" w:hAnsi="宋体"/>
                <w:szCs w:val="18"/>
                <w:lang w:bidi="ar"/>
              </w:rPr>
              <w:t>深度</w:t>
            </w:r>
            <w:r>
              <w:rPr>
                <w:rFonts w:hint="eastAsia" w:hAnsi="宋体"/>
              </w:rPr>
              <w:t>≤</w:t>
            </w:r>
            <w:r>
              <w:rPr>
                <w:rFonts w:hAnsi="宋体"/>
                <w:szCs w:val="18"/>
                <w:lang w:bidi="ar"/>
              </w:rPr>
              <w:t>5.0</w:t>
            </w:r>
            <w:r>
              <w:rPr>
                <w:rFonts w:hint="eastAsia" w:hAnsi="宋体"/>
                <w:szCs w:val="18"/>
                <w:lang w:bidi="ar"/>
              </w:rPr>
              <w:t>m</w:t>
            </w:r>
          </w:p>
          <w:p>
            <w:pPr>
              <w:pStyle w:val="181"/>
              <w:jc w:val="both"/>
              <w:rPr>
                <w:rFonts w:hAnsi="宋体"/>
                <w:szCs w:val="18"/>
                <w:lang w:bidi="ar"/>
              </w:rPr>
            </w:pPr>
          </w:p>
          <w:p>
            <w:pPr>
              <w:pStyle w:val="181"/>
              <w:numPr>
                <w:ilvl w:val="0"/>
                <w:numId w:val="39"/>
              </w:numPr>
              <w:jc w:val="both"/>
            </w:pPr>
            <w:r>
              <w:rPr>
                <w:rFonts w:hint="eastAsia" w:hAnsi="宋体"/>
                <w:szCs w:val="18"/>
                <w:lang w:bidi="ar"/>
              </w:rPr>
              <w:t>耕地：</w:t>
            </w:r>
            <w:r>
              <w:rPr>
                <w:rFonts w:hAnsi="宋体"/>
                <w:szCs w:val="18"/>
                <w:lang w:bidi="ar"/>
              </w:rPr>
              <w:t>3</w:t>
            </w:r>
            <w:r>
              <w:rPr>
                <w:rFonts w:hint="eastAsia" w:hAnsi="宋体"/>
                <w:szCs w:val="18"/>
                <w:lang w:bidi="ar"/>
              </w:rPr>
              <w:t>‰＜水平变形</w:t>
            </w:r>
            <w:r>
              <w:rPr>
                <w:rFonts w:hint="eastAsia" w:hAnsi="宋体"/>
              </w:rPr>
              <w:t>≤</w:t>
            </w:r>
            <w:r>
              <w:rPr>
                <w:rFonts w:hAnsi="宋体"/>
                <w:szCs w:val="18"/>
                <w:lang w:bidi="ar"/>
              </w:rPr>
              <w:t>6</w:t>
            </w:r>
            <w:r>
              <w:rPr>
                <w:rFonts w:hint="eastAsia" w:hAnsi="宋体"/>
                <w:szCs w:val="18"/>
                <w:lang w:bidi="ar"/>
              </w:rPr>
              <w:t>‰</w:t>
            </w:r>
          </w:p>
          <w:p>
            <w:pPr>
              <w:pStyle w:val="181"/>
              <w:ind w:left="360"/>
              <w:jc w:val="both"/>
            </w:pPr>
            <w:r>
              <w:rPr>
                <w:rFonts w:hint="eastAsia" w:hAnsi="宋体"/>
                <w:szCs w:val="18"/>
                <w:lang w:bidi="ar"/>
              </w:rPr>
              <w:t>林地：</w:t>
            </w:r>
            <w:r>
              <w:rPr>
                <w:rFonts w:hAnsi="宋体"/>
                <w:szCs w:val="18"/>
                <w:lang w:bidi="ar"/>
              </w:rPr>
              <w:t>8</w:t>
            </w:r>
            <w:r>
              <w:rPr>
                <w:rFonts w:hint="eastAsia" w:hAnsi="宋体"/>
                <w:szCs w:val="18"/>
                <w:lang w:bidi="ar"/>
              </w:rPr>
              <w:t>‰＜水平变形</w:t>
            </w:r>
            <w:r>
              <w:rPr>
                <w:rFonts w:hint="eastAsia" w:hAnsi="宋体"/>
              </w:rPr>
              <w:t>≤</w:t>
            </w:r>
            <w:r>
              <w:rPr>
                <w:rFonts w:hAnsi="宋体"/>
                <w:szCs w:val="18"/>
                <w:lang w:bidi="ar"/>
              </w:rPr>
              <w:t>16</w:t>
            </w:r>
            <w:r>
              <w:rPr>
                <w:rFonts w:hint="eastAsia" w:hAnsi="宋体"/>
                <w:szCs w:val="18"/>
                <w:lang w:bidi="ar"/>
              </w:rPr>
              <w:t>‰</w:t>
            </w:r>
          </w:p>
        </w:tc>
        <w:tc>
          <w:tcPr>
            <w:tcW w:w="2474" w:type="dxa"/>
            <w:vMerge w:val="restart"/>
            <w:shd w:val="clear" w:color="auto" w:fill="auto"/>
            <w:vAlign w:val="center"/>
          </w:tcPr>
          <w:p>
            <w:pPr>
              <w:pStyle w:val="181"/>
              <w:numPr>
                <w:ilvl w:val="0"/>
                <w:numId w:val="40"/>
              </w:numPr>
              <w:ind w:left="357" w:hanging="357"/>
              <w:jc w:val="left"/>
              <w:rPr>
                <w:rFonts w:hAnsi="宋体"/>
                <w:szCs w:val="18"/>
                <w:lang w:bidi="ar"/>
              </w:rPr>
            </w:pPr>
            <w:r>
              <w:rPr>
                <w:rFonts w:hint="eastAsia" w:hAnsi="宋体"/>
                <w:szCs w:val="18"/>
                <w:lang w:bidi="ar"/>
              </w:rPr>
              <w:t>耕地：</w:t>
            </w:r>
            <w:r>
              <w:rPr>
                <w:rFonts w:hAnsi="宋体"/>
                <w:szCs w:val="18"/>
                <w:lang w:bidi="ar"/>
              </w:rPr>
              <w:t>塌陷</w:t>
            </w:r>
            <w:r>
              <w:rPr>
                <w:rFonts w:hint="eastAsia" w:hAnsi="宋体"/>
                <w:szCs w:val="18"/>
                <w:lang w:bidi="ar"/>
              </w:rPr>
              <w:t>深度</w:t>
            </w:r>
            <w:r>
              <w:rPr>
                <w:rFonts w:hint="eastAsia"/>
              </w:rPr>
              <w:t>＞</w:t>
            </w:r>
            <w:r>
              <w:rPr>
                <w:rFonts w:hAnsi="宋体"/>
                <w:szCs w:val="18"/>
                <w:lang w:bidi="ar"/>
              </w:rPr>
              <w:t>2.0</w:t>
            </w:r>
            <w:r>
              <w:rPr>
                <w:rFonts w:hint="eastAsia" w:hAnsi="宋体"/>
                <w:szCs w:val="18"/>
                <w:lang w:bidi="ar"/>
              </w:rPr>
              <w:t>m</w:t>
            </w:r>
          </w:p>
          <w:p>
            <w:pPr>
              <w:pStyle w:val="181"/>
              <w:ind w:left="357"/>
              <w:jc w:val="left"/>
              <w:rPr>
                <w:rFonts w:hAnsi="宋体"/>
                <w:szCs w:val="18"/>
                <w:lang w:bidi="ar"/>
              </w:rPr>
            </w:pPr>
            <w:r>
              <w:rPr>
                <w:rFonts w:hint="eastAsia" w:hAnsi="宋体"/>
                <w:szCs w:val="18"/>
                <w:lang w:bidi="ar"/>
              </w:rPr>
              <w:t>林地：</w:t>
            </w:r>
            <w:r>
              <w:rPr>
                <w:rFonts w:hAnsi="宋体"/>
                <w:szCs w:val="18"/>
                <w:lang w:bidi="ar"/>
              </w:rPr>
              <w:t>塌陷</w:t>
            </w:r>
            <w:r>
              <w:rPr>
                <w:rFonts w:hint="eastAsia" w:hAnsi="宋体"/>
                <w:szCs w:val="18"/>
                <w:lang w:bidi="ar"/>
              </w:rPr>
              <w:t>深度</w:t>
            </w:r>
            <w:r>
              <w:rPr>
                <w:rFonts w:hint="eastAsia"/>
              </w:rPr>
              <w:t>＞</w:t>
            </w:r>
            <w:r>
              <w:rPr>
                <w:rFonts w:hAnsi="宋体"/>
                <w:szCs w:val="18"/>
                <w:lang w:bidi="ar"/>
              </w:rPr>
              <w:t>5.0</w:t>
            </w:r>
            <w:r>
              <w:rPr>
                <w:rFonts w:hint="eastAsia" w:hAnsi="宋体"/>
                <w:szCs w:val="18"/>
                <w:lang w:bidi="ar"/>
              </w:rPr>
              <w:t>m</w:t>
            </w:r>
          </w:p>
          <w:p>
            <w:pPr>
              <w:pStyle w:val="181"/>
              <w:ind w:left="210" w:leftChars="100"/>
              <w:jc w:val="both"/>
              <w:rPr>
                <w:rFonts w:hAnsi="宋体"/>
                <w:szCs w:val="18"/>
                <w:lang w:bidi="ar"/>
              </w:rPr>
            </w:pPr>
          </w:p>
          <w:p>
            <w:pPr>
              <w:pStyle w:val="181"/>
              <w:numPr>
                <w:ilvl w:val="0"/>
                <w:numId w:val="40"/>
              </w:numPr>
              <w:ind w:left="357" w:hanging="357"/>
              <w:jc w:val="both"/>
            </w:pPr>
            <w:r>
              <w:rPr>
                <w:rFonts w:hint="eastAsia" w:hAnsi="宋体"/>
                <w:szCs w:val="18"/>
                <w:lang w:bidi="ar"/>
              </w:rPr>
              <w:t>耕地：水平变形</w:t>
            </w:r>
            <w:r>
              <w:rPr>
                <w:rFonts w:hint="eastAsia"/>
              </w:rPr>
              <w:t>＞</w:t>
            </w:r>
            <w:r>
              <w:rPr>
                <w:rFonts w:hAnsi="宋体"/>
                <w:szCs w:val="18"/>
                <w:lang w:bidi="ar"/>
              </w:rPr>
              <w:t>6</w:t>
            </w:r>
            <w:r>
              <w:rPr>
                <w:rFonts w:hint="eastAsia" w:hAnsi="宋体"/>
                <w:szCs w:val="18"/>
                <w:lang w:bidi="ar"/>
              </w:rPr>
              <w:t>‰</w:t>
            </w:r>
          </w:p>
          <w:p>
            <w:pPr>
              <w:pStyle w:val="181"/>
              <w:ind w:left="357"/>
              <w:jc w:val="both"/>
            </w:pPr>
            <w:r>
              <w:rPr>
                <w:rFonts w:hint="eastAsia" w:hAnsi="宋体"/>
                <w:szCs w:val="18"/>
                <w:lang w:bidi="ar"/>
              </w:rPr>
              <w:t>林地：水平变形</w:t>
            </w:r>
            <w:r>
              <w:rPr>
                <w:rFonts w:hint="eastAsia"/>
              </w:rPr>
              <w:t>＞</w:t>
            </w:r>
            <w:r>
              <w:rPr>
                <w:rFonts w:hAnsi="宋体"/>
                <w:szCs w:val="18"/>
                <w:lang w:bidi="ar"/>
              </w:rPr>
              <w:t>16</w:t>
            </w:r>
            <w:r>
              <w:rPr>
                <w:rFonts w:hint="eastAsia" w:hAnsi="宋体"/>
                <w:szCs w:val="18"/>
                <w:lang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采矿</w:t>
            </w:r>
          </w:p>
        </w:tc>
        <w:tc>
          <w:tcPr>
            <w:tcW w:w="2551" w:type="dxa"/>
            <w:vMerge w:val="continue"/>
            <w:shd w:val="clear" w:color="auto" w:fill="auto"/>
            <w:vAlign w:val="center"/>
          </w:tcPr>
          <w:p>
            <w:pPr>
              <w:pStyle w:val="181"/>
            </w:pPr>
          </w:p>
        </w:tc>
        <w:tc>
          <w:tcPr>
            <w:tcW w:w="2912" w:type="dxa"/>
            <w:vMerge w:val="continue"/>
            <w:shd w:val="clear" w:color="auto" w:fill="auto"/>
            <w:vAlign w:val="center"/>
          </w:tcPr>
          <w:p>
            <w:pPr>
              <w:pStyle w:val="181"/>
            </w:pPr>
          </w:p>
        </w:tc>
        <w:tc>
          <w:tcPr>
            <w:tcW w:w="2474" w:type="dxa"/>
            <w:vMerge w:val="continue"/>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rPr>
                <w:rFonts w:hAnsi="宋体"/>
                <w:szCs w:val="18"/>
              </w:rPr>
            </w:pPr>
            <w:r>
              <w:rPr>
                <w:rFonts w:hAnsi="宋体"/>
                <w:szCs w:val="18"/>
              </w:rPr>
              <w:t>排水</w:t>
            </w:r>
          </w:p>
          <w:p>
            <w:pPr>
              <w:pStyle w:val="181"/>
            </w:pPr>
            <w:r>
              <w:rPr>
                <w:rFonts w:hAnsi="宋体"/>
                <w:szCs w:val="18"/>
              </w:rPr>
              <w:t>蓄水</w:t>
            </w:r>
          </w:p>
        </w:tc>
        <w:tc>
          <w:tcPr>
            <w:tcW w:w="2551" w:type="dxa"/>
            <w:vMerge w:val="continue"/>
            <w:shd w:val="clear" w:color="auto" w:fill="auto"/>
            <w:vAlign w:val="center"/>
          </w:tcPr>
          <w:p>
            <w:pPr>
              <w:pStyle w:val="181"/>
            </w:pPr>
          </w:p>
        </w:tc>
        <w:tc>
          <w:tcPr>
            <w:tcW w:w="2912" w:type="dxa"/>
            <w:vMerge w:val="continue"/>
            <w:shd w:val="clear" w:color="auto" w:fill="auto"/>
            <w:vAlign w:val="center"/>
          </w:tcPr>
          <w:p>
            <w:pPr>
              <w:pStyle w:val="181"/>
            </w:pPr>
          </w:p>
        </w:tc>
        <w:tc>
          <w:tcPr>
            <w:tcW w:w="2474" w:type="dxa"/>
            <w:vMerge w:val="continue"/>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shd w:val="clear" w:color="auto" w:fill="auto"/>
            <w:vAlign w:val="center"/>
          </w:tcPr>
          <w:p>
            <w:pPr>
              <w:pStyle w:val="181"/>
            </w:pPr>
          </w:p>
        </w:tc>
        <w:tc>
          <w:tcPr>
            <w:tcW w:w="567" w:type="dxa"/>
            <w:vMerge w:val="continue"/>
            <w:shd w:val="clear" w:color="auto" w:fill="auto"/>
            <w:vAlign w:val="center"/>
          </w:tcPr>
          <w:p>
            <w:pPr>
              <w:pStyle w:val="181"/>
            </w:pPr>
          </w:p>
        </w:tc>
        <w:tc>
          <w:tcPr>
            <w:tcW w:w="567" w:type="dxa"/>
            <w:shd w:val="clear" w:color="auto" w:fill="auto"/>
            <w:vAlign w:val="center"/>
          </w:tcPr>
          <w:p>
            <w:pPr>
              <w:pStyle w:val="181"/>
            </w:pPr>
            <w:r>
              <w:rPr>
                <w:rFonts w:hAnsi="宋体"/>
                <w:szCs w:val="18"/>
              </w:rPr>
              <w:t>载荷过重</w:t>
            </w:r>
          </w:p>
        </w:tc>
        <w:tc>
          <w:tcPr>
            <w:tcW w:w="2551" w:type="dxa"/>
            <w:vMerge w:val="continue"/>
            <w:shd w:val="clear" w:color="auto" w:fill="auto"/>
            <w:vAlign w:val="center"/>
          </w:tcPr>
          <w:p>
            <w:pPr>
              <w:pStyle w:val="181"/>
            </w:pPr>
          </w:p>
        </w:tc>
        <w:tc>
          <w:tcPr>
            <w:tcW w:w="2912" w:type="dxa"/>
            <w:vMerge w:val="continue"/>
            <w:shd w:val="clear" w:color="auto" w:fill="auto"/>
            <w:vAlign w:val="center"/>
          </w:tcPr>
          <w:p>
            <w:pPr>
              <w:pStyle w:val="181"/>
            </w:pPr>
          </w:p>
        </w:tc>
        <w:tc>
          <w:tcPr>
            <w:tcW w:w="2474" w:type="dxa"/>
            <w:vMerge w:val="continue"/>
            <w:shd w:val="clear" w:color="auto" w:fill="auto"/>
            <w:vAlign w:val="center"/>
          </w:tcPr>
          <w:p>
            <w:pPr>
              <w:pStyle w:val="181"/>
            </w:pPr>
          </w:p>
        </w:tc>
      </w:tr>
    </w:tbl>
    <w:p>
      <w:pPr>
        <w:widowControl/>
        <w:adjustRightInd/>
        <w:spacing w:line="240" w:lineRule="auto"/>
        <w:jc w:val="left"/>
        <w:rPr>
          <w:rFonts w:ascii="宋体" w:hAnsi="Times New Roman"/>
          <w:b/>
          <w:bCs/>
          <w:kern w:val="0"/>
          <w:szCs w:val="20"/>
        </w:rPr>
      </w:pPr>
      <w:r>
        <w:rPr>
          <w:b/>
          <w:bCs/>
        </w:rPr>
        <w:br w:type="page"/>
      </w:r>
    </w:p>
    <w:p>
      <w:pPr>
        <w:pStyle w:val="59"/>
        <w:ind w:firstLine="422"/>
        <w:jc w:val="center"/>
      </w:pPr>
      <w:r>
        <w:rPr>
          <w:rFonts w:hint="eastAsia"/>
          <w:b/>
          <w:bCs/>
        </w:rPr>
        <w:t>表C.1 耕地和林地损害程度鉴定单元分级特征及损害程度（续）</w:t>
      </w:r>
    </w:p>
    <w:tbl>
      <w:tblPr>
        <w:tblStyle w:val="29"/>
        <w:tblW w:w="9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16"/>
        <w:gridCol w:w="855"/>
        <w:gridCol w:w="992"/>
        <w:gridCol w:w="2362"/>
        <w:gridCol w:w="2543"/>
        <w:gridCol w:w="23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63" w:type="dxa"/>
            <w:gridSpan w:val="3"/>
            <w:tcBorders>
              <w:top w:val="single" w:color="auto" w:sz="8" w:space="0"/>
              <w:bottom w:val="single" w:color="auto" w:sz="8" w:space="0"/>
            </w:tcBorders>
            <w:shd w:val="clear" w:color="auto" w:fill="auto"/>
            <w:vAlign w:val="center"/>
          </w:tcPr>
          <w:p>
            <w:pPr>
              <w:pStyle w:val="181"/>
              <w:rPr>
                <w:rFonts w:hAnsi="宋体"/>
                <w:szCs w:val="18"/>
              </w:rPr>
            </w:pPr>
            <w:r>
              <w:rPr>
                <w:rFonts w:hAnsi="宋体"/>
                <w:szCs w:val="18"/>
              </w:rPr>
              <w:t>损害类型</w:t>
            </w:r>
          </w:p>
        </w:tc>
        <w:tc>
          <w:tcPr>
            <w:tcW w:w="7224" w:type="dxa"/>
            <w:gridSpan w:val="3"/>
            <w:tcBorders>
              <w:top w:val="single" w:color="auto" w:sz="8" w:space="0"/>
              <w:bottom w:val="single" w:color="auto" w:sz="8" w:space="0"/>
            </w:tcBorders>
            <w:shd w:val="clear" w:color="auto" w:fill="auto"/>
            <w:vAlign w:val="center"/>
          </w:tcPr>
          <w:p>
            <w:pPr>
              <w:pStyle w:val="181"/>
            </w:pPr>
            <w:r>
              <w:rPr>
                <w:rFonts w:hint="eastAsia" w:hAnsi="宋体"/>
                <w:szCs w:val="18"/>
              </w:rPr>
              <w:t>损害程度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tcBorders>
              <w:top w:val="single" w:color="auto" w:sz="8" w:space="0"/>
            </w:tcBorders>
            <w:shd w:val="clear" w:color="auto" w:fill="auto"/>
            <w:vAlign w:val="center"/>
          </w:tcPr>
          <w:p>
            <w:pPr>
              <w:pStyle w:val="181"/>
            </w:pPr>
            <w:r>
              <w:rPr>
                <w:rFonts w:hAnsi="宋体"/>
                <w:szCs w:val="18"/>
              </w:rPr>
              <w:t>一级分类</w:t>
            </w:r>
          </w:p>
        </w:tc>
        <w:tc>
          <w:tcPr>
            <w:tcW w:w="855" w:type="dxa"/>
            <w:tcBorders>
              <w:top w:val="single" w:color="auto" w:sz="8" w:space="0"/>
            </w:tcBorders>
            <w:shd w:val="clear" w:color="auto" w:fill="auto"/>
            <w:vAlign w:val="center"/>
          </w:tcPr>
          <w:p>
            <w:pPr>
              <w:pStyle w:val="181"/>
            </w:pPr>
            <w:r>
              <w:rPr>
                <w:rFonts w:hAnsi="宋体"/>
                <w:szCs w:val="18"/>
              </w:rPr>
              <w:t>二级分类</w:t>
            </w:r>
          </w:p>
        </w:tc>
        <w:tc>
          <w:tcPr>
            <w:tcW w:w="992" w:type="dxa"/>
            <w:tcBorders>
              <w:top w:val="single" w:color="auto" w:sz="8" w:space="0"/>
            </w:tcBorders>
            <w:shd w:val="clear" w:color="auto" w:fill="auto"/>
            <w:vAlign w:val="center"/>
          </w:tcPr>
          <w:p>
            <w:pPr>
              <w:pStyle w:val="181"/>
              <w:rPr>
                <w:rFonts w:hAnsi="宋体"/>
                <w:szCs w:val="18"/>
              </w:rPr>
            </w:pPr>
            <w:r>
              <w:rPr>
                <w:rFonts w:hint="eastAsia" w:hAnsi="宋体"/>
                <w:szCs w:val="18"/>
              </w:rPr>
              <w:t>三</w:t>
            </w:r>
            <w:r>
              <w:rPr>
                <w:rFonts w:hAnsi="宋体"/>
                <w:szCs w:val="18"/>
              </w:rPr>
              <w:t>级分类</w:t>
            </w:r>
          </w:p>
        </w:tc>
        <w:tc>
          <w:tcPr>
            <w:tcW w:w="2362" w:type="dxa"/>
            <w:tcBorders>
              <w:top w:val="single" w:color="auto" w:sz="8" w:space="0"/>
            </w:tcBorders>
            <w:shd w:val="clear" w:color="auto" w:fill="auto"/>
            <w:vAlign w:val="center"/>
          </w:tcPr>
          <w:p>
            <w:pPr>
              <w:pStyle w:val="181"/>
            </w:pPr>
            <w:r>
              <w:rPr>
                <w:rFonts w:hint="eastAsia"/>
              </w:rPr>
              <w:t>轻度</w:t>
            </w:r>
            <w:r>
              <w:rPr>
                <w:vertAlign w:val="superscript"/>
              </w:rPr>
              <w:t>c</w:t>
            </w:r>
          </w:p>
        </w:tc>
        <w:tc>
          <w:tcPr>
            <w:tcW w:w="2543" w:type="dxa"/>
            <w:tcBorders>
              <w:top w:val="single" w:color="auto" w:sz="8" w:space="0"/>
            </w:tcBorders>
            <w:shd w:val="clear" w:color="auto" w:fill="auto"/>
            <w:vAlign w:val="center"/>
          </w:tcPr>
          <w:p>
            <w:pPr>
              <w:pStyle w:val="181"/>
            </w:pPr>
            <w:r>
              <w:rPr>
                <w:rFonts w:hint="eastAsia" w:hAnsi="宋体"/>
                <w:szCs w:val="18"/>
              </w:rPr>
              <w:t>中度</w:t>
            </w:r>
            <w:r>
              <w:rPr>
                <w:rFonts w:hAnsi="宋体"/>
                <w:szCs w:val="18"/>
                <w:vertAlign w:val="superscript"/>
              </w:rPr>
              <w:t>d</w:t>
            </w:r>
          </w:p>
        </w:tc>
        <w:tc>
          <w:tcPr>
            <w:tcW w:w="2319" w:type="dxa"/>
            <w:tcBorders>
              <w:top w:val="single" w:color="auto" w:sz="8" w:space="0"/>
            </w:tcBorders>
            <w:shd w:val="clear" w:color="auto" w:fill="auto"/>
            <w:vAlign w:val="center"/>
          </w:tcPr>
          <w:p>
            <w:pPr>
              <w:pStyle w:val="181"/>
            </w:pPr>
            <w:r>
              <w:rPr>
                <w:rFonts w:hint="eastAsia" w:hAnsi="宋体"/>
                <w:szCs w:val="18"/>
              </w:rPr>
              <w:t>重度</w:t>
            </w:r>
            <w:r>
              <w:rPr>
                <w:rFonts w:hAnsi="宋体"/>
                <w:szCs w:val="18"/>
                <w:vertAlign w:val="superscript"/>
              </w:rPr>
              <w: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restart"/>
            <w:shd w:val="clear" w:color="auto" w:fill="auto"/>
            <w:vAlign w:val="center"/>
          </w:tcPr>
          <w:p>
            <w:pPr>
              <w:pStyle w:val="181"/>
            </w:pPr>
            <w:r>
              <w:rPr>
                <w:rFonts w:hint="eastAsia"/>
              </w:rPr>
              <w:t>污染</w:t>
            </w:r>
          </w:p>
        </w:tc>
        <w:tc>
          <w:tcPr>
            <w:tcW w:w="855" w:type="dxa"/>
            <w:shd w:val="clear" w:color="auto" w:fill="auto"/>
            <w:vAlign w:val="center"/>
          </w:tcPr>
          <w:p>
            <w:pPr>
              <w:pStyle w:val="181"/>
            </w:pPr>
            <w:r>
              <w:rPr>
                <w:rFonts w:hint="eastAsia"/>
              </w:rPr>
              <w:t>重金属</w:t>
            </w:r>
          </w:p>
          <w:p>
            <w:pPr>
              <w:pStyle w:val="181"/>
            </w:pPr>
            <w:r>
              <w:rPr>
                <w:rFonts w:hint="eastAsia"/>
              </w:rPr>
              <w:t>污染</w:t>
            </w:r>
          </w:p>
        </w:tc>
        <w:tc>
          <w:tcPr>
            <w:tcW w:w="992" w:type="dxa"/>
            <w:shd w:val="clear" w:color="auto" w:fill="auto"/>
            <w:vAlign w:val="center"/>
          </w:tcPr>
          <w:p>
            <w:pPr>
              <w:pStyle w:val="181"/>
              <w:rPr>
                <w:rFonts w:hAnsi="宋体"/>
                <w:szCs w:val="18"/>
              </w:rPr>
            </w:pPr>
            <w:r>
              <w:rPr>
                <w:rFonts w:hAnsi="宋体"/>
                <w:szCs w:val="18"/>
              </w:rPr>
              <w:t>镉、汞、砷、铅、铬</w:t>
            </w:r>
            <w:r>
              <w:rPr>
                <w:rFonts w:hint="eastAsia" w:hAnsi="宋体"/>
                <w:szCs w:val="18"/>
              </w:rPr>
              <w:t>、铜、锌、镍</w:t>
            </w:r>
          </w:p>
        </w:tc>
        <w:tc>
          <w:tcPr>
            <w:tcW w:w="2362" w:type="dxa"/>
            <w:vMerge w:val="restart"/>
            <w:shd w:val="clear" w:color="auto" w:fill="auto"/>
            <w:vAlign w:val="center"/>
          </w:tcPr>
          <w:p>
            <w:pPr>
              <w:pStyle w:val="181"/>
              <w:jc w:val="both"/>
            </w:pPr>
            <w:r>
              <w:rPr>
                <w:rFonts w:hint="eastAsia"/>
              </w:rPr>
              <w:t>筛选值</w:t>
            </w:r>
            <w:r>
              <w:rPr>
                <w:vertAlign w:val="superscript"/>
              </w:rPr>
              <w:t>f</w:t>
            </w:r>
            <w:r>
              <w:rPr>
                <w:rFonts w:hint="eastAsia"/>
              </w:rPr>
              <w:t>＜土壤中污染物含量≤</w:t>
            </w:r>
            <w:r>
              <w:t>50%</w:t>
            </w:r>
            <w:r>
              <w:rPr>
                <w:rFonts w:hint="eastAsia"/>
              </w:rPr>
              <w:t>管制值</w:t>
            </w:r>
          </w:p>
        </w:tc>
        <w:tc>
          <w:tcPr>
            <w:tcW w:w="2543" w:type="dxa"/>
            <w:vMerge w:val="restart"/>
            <w:shd w:val="clear" w:color="auto" w:fill="auto"/>
            <w:vAlign w:val="center"/>
          </w:tcPr>
          <w:p>
            <w:pPr>
              <w:pStyle w:val="181"/>
              <w:jc w:val="both"/>
            </w:pPr>
            <w:r>
              <w:t>50%</w:t>
            </w:r>
            <w:r>
              <w:rPr>
                <w:rFonts w:hint="eastAsia"/>
              </w:rPr>
              <w:t>管制值＜土壤中污染物含量≤管制值</w:t>
            </w:r>
            <w:r>
              <w:rPr>
                <w:vertAlign w:val="superscript"/>
              </w:rPr>
              <w:t>f</w:t>
            </w:r>
          </w:p>
        </w:tc>
        <w:tc>
          <w:tcPr>
            <w:tcW w:w="2319" w:type="dxa"/>
            <w:vMerge w:val="restart"/>
            <w:shd w:val="clear" w:color="auto" w:fill="auto"/>
            <w:vAlign w:val="center"/>
          </w:tcPr>
          <w:p>
            <w:pPr>
              <w:pStyle w:val="181"/>
              <w:jc w:val="both"/>
            </w:pPr>
            <w:r>
              <w:rPr>
                <w:rFonts w:hint="eastAsia"/>
              </w:rPr>
              <w:t>土壤中污染物含量＞管制值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16" w:type="dxa"/>
            <w:vMerge w:val="continue"/>
            <w:tcBorders>
              <w:bottom w:val="single" w:color="auto" w:sz="8" w:space="0"/>
            </w:tcBorders>
            <w:shd w:val="clear" w:color="auto" w:fill="auto"/>
            <w:vAlign w:val="center"/>
          </w:tcPr>
          <w:p>
            <w:pPr>
              <w:pStyle w:val="181"/>
            </w:pPr>
          </w:p>
        </w:tc>
        <w:tc>
          <w:tcPr>
            <w:tcW w:w="855" w:type="dxa"/>
            <w:tcBorders>
              <w:bottom w:val="single" w:color="auto" w:sz="8" w:space="0"/>
            </w:tcBorders>
            <w:shd w:val="clear" w:color="auto" w:fill="auto"/>
            <w:vAlign w:val="center"/>
          </w:tcPr>
          <w:p>
            <w:pPr>
              <w:pStyle w:val="181"/>
            </w:pPr>
            <w:r>
              <w:rPr>
                <w:rFonts w:hint="eastAsia"/>
              </w:rPr>
              <w:t>有机</w:t>
            </w:r>
          </w:p>
          <w:p>
            <w:pPr>
              <w:pStyle w:val="181"/>
            </w:pPr>
            <w:r>
              <w:rPr>
                <w:rFonts w:hint="eastAsia"/>
              </w:rPr>
              <w:t>污染</w:t>
            </w:r>
          </w:p>
        </w:tc>
        <w:tc>
          <w:tcPr>
            <w:tcW w:w="992" w:type="dxa"/>
            <w:tcBorders>
              <w:bottom w:val="single" w:color="auto" w:sz="8" w:space="0"/>
            </w:tcBorders>
            <w:shd w:val="clear" w:color="auto" w:fill="auto"/>
            <w:vAlign w:val="center"/>
          </w:tcPr>
          <w:p>
            <w:pPr>
              <w:pStyle w:val="181"/>
              <w:rPr>
                <w:rFonts w:hAnsi="宋体"/>
                <w:szCs w:val="18"/>
              </w:rPr>
            </w:pPr>
            <w:r>
              <w:rPr>
                <w:rFonts w:hint="eastAsia" w:hAnsi="宋体"/>
                <w:szCs w:val="18"/>
              </w:rPr>
              <w:t>六六六总量</w:t>
            </w:r>
          </w:p>
          <w:p>
            <w:pPr>
              <w:pStyle w:val="181"/>
              <w:rPr>
                <w:rFonts w:hAnsi="宋体"/>
                <w:szCs w:val="18"/>
              </w:rPr>
            </w:pPr>
            <w:r>
              <w:rPr>
                <w:rFonts w:hint="eastAsia" w:hAnsi="宋体"/>
                <w:szCs w:val="18"/>
              </w:rPr>
              <w:t>滴滴涕总量</w:t>
            </w:r>
          </w:p>
          <w:p>
            <w:pPr>
              <w:pStyle w:val="181"/>
              <w:rPr>
                <w:rFonts w:hAnsi="宋体"/>
                <w:szCs w:val="18"/>
              </w:rPr>
            </w:pPr>
            <w:r>
              <w:rPr>
                <w:rFonts w:hint="eastAsia" w:hAnsi="宋体"/>
                <w:szCs w:val="18"/>
              </w:rPr>
              <w:t>苯并[</w:t>
            </w:r>
            <w:r>
              <w:rPr>
                <w:rFonts w:hAnsi="宋体"/>
                <w:szCs w:val="18"/>
              </w:rPr>
              <w:t>a]</w:t>
            </w:r>
            <w:r>
              <w:rPr>
                <w:rFonts w:hint="eastAsia" w:hAnsi="宋体"/>
                <w:szCs w:val="18"/>
              </w:rPr>
              <w:t>芘</w:t>
            </w:r>
          </w:p>
        </w:tc>
        <w:tc>
          <w:tcPr>
            <w:tcW w:w="2362" w:type="dxa"/>
            <w:vMerge w:val="continue"/>
            <w:tcBorders>
              <w:bottom w:val="single" w:color="auto" w:sz="8" w:space="0"/>
            </w:tcBorders>
            <w:shd w:val="clear" w:color="auto" w:fill="auto"/>
            <w:vAlign w:val="center"/>
          </w:tcPr>
          <w:p>
            <w:pPr>
              <w:pStyle w:val="181"/>
            </w:pPr>
          </w:p>
        </w:tc>
        <w:tc>
          <w:tcPr>
            <w:tcW w:w="2543" w:type="dxa"/>
            <w:vMerge w:val="continue"/>
            <w:tcBorders>
              <w:bottom w:val="single" w:color="auto" w:sz="8" w:space="0"/>
            </w:tcBorders>
            <w:shd w:val="clear" w:color="auto" w:fill="auto"/>
            <w:vAlign w:val="center"/>
          </w:tcPr>
          <w:p>
            <w:pPr>
              <w:pStyle w:val="181"/>
            </w:pPr>
          </w:p>
        </w:tc>
        <w:tc>
          <w:tcPr>
            <w:tcW w:w="2319" w:type="dxa"/>
            <w:vMerge w:val="continue"/>
            <w:tcBorders>
              <w:bottom w:val="single" w:color="auto" w:sz="8" w:space="0"/>
            </w:tcBorders>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9487" w:type="dxa"/>
            <w:gridSpan w:val="6"/>
            <w:tcBorders>
              <w:top w:val="single" w:color="auto" w:sz="4" w:space="0"/>
              <w:bottom w:val="single" w:color="auto" w:sz="8" w:space="0"/>
            </w:tcBorders>
            <w:shd w:val="clear" w:color="auto" w:fill="auto"/>
            <w:vAlign w:val="center"/>
          </w:tcPr>
          <w:p>
            <w:pPr>
              <w:pStyle w:val="104"/>
              <w:numPr>
                <w:ilvl w:val="0"/>
                <w:numId w:val="0"/>
              </w:numPr>
              <w:ind w:left="420"/>
              <w:rPr>
                <w:vertAlign w:val="superscript"/>
              </w:rPr>
            </w:pPr>
            <w:r>
              <w:rPr>
                <w:rFonts w:hint="eastAsia"/>
                <w:vertAlign w:val="superscript"/>
              </w:rPr>
              <w:t>a</w:t>
            </w:r>
            <w:r>
              <w:rPr>
                <w:vertAlign w:val="superscript"/>
              </w:rPr>
              <w:t xml:space="preserve">  </w:t>
            </w:r>
            <w:r>
              <w:rPr>
                <w:rFonts w:hint="eastAsia"/>
              </w:rPr>
              <w:t>同种损害类型的多项检测指标，以关键性指标最为严重的损害程度为准。</w:t>
            </w:r>
          </w:p>
          <w:p>
            <w:pPr>
              <w:pStyle w:val="104"/>
              <w:numPr>
                <w:ilvl w:val="0"/>
                <w:numId w:val="0"/>
              </w:numPr>
              <w:ind w:left="420"/>
              <w:rPr>
                <w:vertAlign w:val="superscript"/>
              </w:rPr>
            </w:pPr>
            <w:r>
              <w:rPr>
                <w:rFonts w:hint="eastAsia"/>
                <w:vertAlign w:val="superscript"/>
              </w:rPr>
              <w:t>b</w:t>
            </w:r>
            <w:r>
              <w:rPr>
                <w:vertAlign w:val="superscript"/>
              </w:rPr>
              <w:t xml:space="preserve">  </w:t>
            </w:r>
            <w:r>
              <w:rPr>
                <w:rFonts w:hint="eastAsia"/>
              </w:rPr>
              <w:t>砾石、砖块、混凝土残留物等固体物。</w:t>
            </w:r>
          </w:p>
          <w:p>
            <w:pPr>
              <w:pStyle w:val="104"/>
              <w:numPr>
                <w:ilvl w:val="0"/>
                <w:numId w:val="0"/>
              </w:numPr>
              <w:ind w:left="420"/>
            </w:pPr>
            <w:r>
              <w:rPr>
                <w:vertAlign w:val="superscript"/>
              </w:rPr>
              <w:t xml:space="preserve">c  </w:t>
            </w:r>
            <w:r>
              <w:rPr>
                <w:rFonts w:hint="eastAsia"/>
              </w:rPr>
              <w:t>土地受到轻微损害，种植条件遭到一定破坏，一般只需要简单的整理和复垦就能达到可供利用的状态。</w:t>
            </w:r>
          </w:p>
          <w:p>
            <w:pPr>
              <w:pStyle w:val="104"/>
              <w:numPr>
                <w:ilvl w:val="0"/>
                <w:numId w:val="0"/>
              </w:numPr>
              <w:ind w:left="420"/>
            </w:pPr>
            <w:r>
              <w:rPr>
                <w:vertAlign w:val="superscript"/>
              </w:rPr>
              <w:t xml:space="preserve">d  </w:t>
            </w:r>
            <w:r>
              <w:rPr>
                <w:rFonts w:hint="eastAsia"/>
              </w:rPr>
              <w:t>土地损害程度一般，土地种植条件遭到破坏，影响土地原有的功能和用途，通过一定的复垦工程措施能达到可供</w:t>
            </w:r>
          </w:p>
          <w:p>
            <w:pPr>
              <w:pStyle w:val="104"/>
              <w:numPr>
                <w:ilvl w:val="0"/>
                <w:numId w:val="0"/>
              </w:numPr>
              <w:ind w:left="420" w:firstLine="129" w:firstLineChars="72"/>
            </w:pPr>
            <w:r>
              <w:rPr>
                <w:rFonts w:hint="eastAsia"/>
              </w:rPr>
              <w:t>利用的状态。</w:t>
            </w:r>
          </w:p>
          <w:p>
            <w:pPr>
              <w:pStyle w:val="104"/>
              <w:numPr>
                <w:ilvl w:val="0"/>
                <w:numId w:val="0"/>
              </w:numPr>
              <w:ind w:left="420"/>
            </w:pPr>
            <w:r>
              <w:rPr>
                <w:vertAlign w:val="superscript"/>
              </w:rPr>
              <w:t xml:space="preserve">e  </w:t>
            </w:r>
            <w:r>
              <w:rPr>
                <w:rFonts w:hint="eastAsia"/>
              </w:rPr>
              <w:t>土地损害程度严重，土地基本丧失了原有的功能和用途，必须通过较大的工程措施，才能达到可供利用的状态。</w:t>
            </w:r>
          </w:p>
          <w:p>
            <w:pPr>
              <w:pStyle w:val="104"/>
              <w:numPr>
                <w:ilvl w:val="0"/>
                <w:numId w:val="0"/>
              </w:numPr>
              <w:ind w:left="420"/>
            </w:pPr>
            <w:r>
              <w:rPr>
                <w:vertAlign w:val="superscript"/>
              </w:rPr>
              <w:t xml:space="preserve">f  </w:t>
            </w:r>
            <w:r>
              <w:rPr>
                <w:rFonts w:hint="eastAsia"/>
              </w:rPr>
              <w:t>污染中的筛选值和管制值参照</w:t>
            </w:r>
            <w:r>
              <w:t>GB/T 15618执行，针对没有管制值的元素参考地方标准或其他标准。</w:t>
            </w:r>
          </w:p>
        </w:tc>
      </w:tr>
    </w:tbl>
    <w:p>
      <w:pPr>
        <w:pStyle w:val="59"/>
        <w:ind w:firstLine="0" w:firstLineChars="0"/>
      </w:pPr>
    </w:p>
    <w:p>
      <w:pPr>
        <w:pStyle w:val="59"/>
        <w:ind w:firstLine="0" w:firstLineChars="0"/>
        <w:sectPr>
          <w:pgSz w:w="11906" w:h="16838"/>
          <w:pgMar w:top="1928" w:right="1134" w:bottom="1134" w:left="1134" w:header="1418" w:footer="1134" w:gutter="284"/>
          <w:cols w:space="425" w:num="1"/>
          <w:formProt w:val="0"/>
          <w:docGrid w:type="lines" w:linePitch="312" w:charSpace="0"/>
        </w:sectPr>
      </w:pPr>
    </w:p>
    <w:p>
      <w:pPr>
        <w:pStyle w:val="201"/>
      </w:pPr>
    </w:p>
    <w:p>
      <w:pPr>
        <w:pStyle w:val="202"/>
      </w:pPr>
    </w:p>
    <w:p>
      <w:pPr>
        <w:pStyle w:val="79"/>
        <w:spacing w:after="156"/>
      </w:pPr>
      <w:r>
        <w:br w:type="textWrapping"/>
      </w:r>
      <w:bookmarkStart w:id="475" w:name="_Toc146196275"/>
      <w:bookmarkStart w:id="476" w:name="_Toc155203395"/>
      <w:bookmarkStart w:id="477" w:name="_Toc155203696"/>
      <w:bookmarkStart w:id="478" w:name="_Toc155204021"/>
      <w:bookmarkStart w:id="479" w:name="_Toc155275010"/>
      <w:bookmarkStart w:id="480" w:name="_Toc153908948"/>
      <w:bookmarkStart w:id="481" w:name="_Toc155283195"/>
      <w:bookmarkStart w:id="482" w:name="_Toc146195921"/>
      <w:bookmarkStart w:id="483" w:name="_Toc153908854"/>
      <w:bookmarkStart w:id="484" w:name="_Toc155100007"/>
      <w:bookmarkStart w:id="485" w:name="_Toc146195871"/>
      <w:bookmarkStart w:id="486" w:name="_Toc146196237"/>
      <w:bookmarkStart w:id="487" w:name="_Toc155338941"/>
      <w:bookmarkStart w:id="488" w:name="_Toc155338834"/>
      <w:r>
        <w:rPr>
          <w:rFonts w:hint="eastAsia"/>
        </w:rPr>
        <w:t>（规范性）</w:t>
      </w:r>
      <w:r>
        <w:br w:type="textWrapping"/>
      </w:r>
      <w:r>
        <w:rPr>
          <w:rFonts w:hint="eastAsia"/>
        </w:rPr>
        <w:t>耕地（林地）损害程度鉴定报告编制要求</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pPr>
        <w:pStyle w:val="81"/>
        <w:spacing w:before="156" w:after="156"/>
      </w:pPr>
      <w:bookmarkStart w:id="489" w:name="_Toc155203396"/>
      <w:bookmarkStart w:id="490" w:name="_Toc155283196"/>
      <w:bookmarkStart w:id="491" w:name="_Toc155204022"/>
      <w:bookmarkStart w:id="492" w:name="_Toc155203697"/>
      <w:bookmarkStart w:id="493" w:name="_Toc155275011"/>
      <w:bookmarkStart w:id="494" w:name="_Toc155338942"/>
      <w:bookmarkStart w:id="495" w:name="_Toc155100008"/>
      <w:bookmarkStart w:id="496" w:name="_Toc155338835"/>
      <w:bookmarkStart w:id="497" w:name="_Toc85631153"/>
      <w:bookmarkStart w:id="498" w:name="_Toc146195872"/>
      <w:bookmarkStart w:id="499" w:name="_Toc146195922"/>
      <w:bookmarkStart w:id="500" w:name="_Toc85629099"/>
      <w:bookmarkStart w:id="501" w:name="_Toc87013493"/>
      <w:bookmarkStart w:id="502" w:name="_Toc87012103"/>
      <w:bookmarkStart w:id="503" w:name="_Toc83241011"/>
      <w:bookmarkStart w:id="504" w:name="_Toc85637688"/>
      <w:bookmarkStart w:id="505" w:name="_Toc85130947"/>
      <w:bookmarkStart w:id="506" w:name="_Toc85130585"/>
      <w:bookmarkStart w:id="507" w:name="_Toc85411504"/>
      <w:bookmarkStart w:id="508" w:name="_Toc86956446"/>
      <w:bookmarkStart w:id="509" w:name="_Toc86616852"/>
      <w:bookmarkStart w:id="510" w:name="_Toc87629399"/>
      <w:bookmarkStart w:id="511" w:name="_Toc146196238"/>
      <w:bookmarkStart w:id="512" w:name="_Toc146196276"/>
      <w:bookmarkStart w:id="513" w:name="_Toc153908855"/>
      <w:bookmarkStart w:id="514" w:name="_Toc153908949"/>
      <w:bookmarkStart w:id="515" w:name="_Toc22510"/>
      <w:bookmarkStart w:id="516" w:name="_Toc86402693"/>
      <w:r>
        <w:rPr>
          <w:rFonts w:hint="eastAsia"/>
        </w:rPr>
        <w:t>案件基本情况</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pStyle w:val="82"/>
        <w:spacing w:before="156" w:after="156"/>
      </w:pPr>
      <w:bookmarkStart w:id="517" w:name="_Toc146195873"/>
      <w:bookmarkStart w:id="518" w:name="_Toc146195923"/>
      <w:bookmarkStart w:id="519" w:name="_Toc145012880"/>
      <w:bookmarkStart w:id="520" w:name="_Toc145065447"/>
      <w:bookmarkStart w:id="521" w:name="_Toc145089199"/>
      <w:r>
        <w:rPr>
          <w:rFonts w:hint="eastAsia"/>
        </w:rPr>
        <w:t>案件概述</w:t>
      </w:r>
      <w:bookmarkEnd w:id="517"/>
      <w:bookmarkEnd w:id="518"/>
      <w:bookmarkEnd w:id="519"/>
      <w:bookmarkEnd w:id="520"/>
      <w:bookmarkEnd w:id="521"/>
    </w:p>
    <w:p>
      <w:pPr>
        <w:pStyle w:val="59"/>
        <w:ind w:firstLine="420"/>
      </w:pPr>
      <w:r>
        <w:rPr>
          <w:rFonts w:hint="eastAsia"/>
        </w:rPr>
        <w:t>简述耕地（林地）损害的经过。</w:t>
      </w:r>
    </w:p>
    <w:p>
      <w:pPr>
        <w:pStyle w:val="82"/>
        <w:spacing w:before="156" w:after="156"/>
      </w:pPr>
      <w:bookmarkStart w:id="522" w:name="_Toc145089200"/>
      <w:bookmarkStart w:id="523" w:name="_Toc146195874"/>
      <w:bookmarkStart w:id="524" w:name="_Toc146195924"/>
      <w:bookmarkStart w:id="525" w:name="_Toc145012881"/>
      <w:bookmarkStart w:id="526" w:name="_Toc145065448"/>
      <w:r>
        <w:rPr>
          <w:rFonts w:hint="eastAsia"/>
        </w:rPr>
        <w:t>委托人及其他鉴定报告使用人</w:t>
      </w:r>
      <w:bookmarkEnd w:id="522"/>
      <w:bookmarkEnd w:id="523"/>
      <w:bookmarkEnd w:id="524"/>
      <w:bookmarkEnd w:id="525"/>
      <w:bookmarkEnd w:id="526"/>
    </w:p>
    <w:p>
      <w:pPr>
        <w:pStyle w:val="81"/>
        <w:spacing w:before="156" w:after="156"/>
      </w:pPr>
      <w:bookmarkStart w:id="527" w:name="_Toc146196239"/>
      <w:bookmarkStart w:id="528" w:name="_Toc146195925"/>
      <w:bookmarkStart w:id="529" w:name="_Toc146196277"/>
      <w:bookmarkStart w:id="530" w:name="_Toc153908856"/>
      <w:bookmarkStart w:id="531" w:name="_Toc153908950"/>
      <w:bookmarkStart w:id="532" w:name="_Toc155100009"/>
      <w:bookmarkStart w:id="533" w:name="_Toc155203397"/>
      <w:bookmarkStart w:id="534" w:name="_Toc155203698"/>
      <w:bookmarkStart w:id="535" w:name="_Toc155204023"/>
      <w:bookmarkStart w:id="536" w:name="_Toc155275012"/>
      <w:bookmarkStart w:id="537" w:name="_Toc155338943"/>
      <w:bookmarkStart w:id="538" w:name="_Toc155283197"/>
      <w:bookmarkStart w:id="539" w:name="_Toc155338836"/>
      <w:bookmarkStart w:id="540" w:name="_Toc86402694"/>
      <w:bookmarkStart w:id="541" w:name="_Toc86956447"/>
      <w:bookmarkStart w:id="542" w:name="_Toc85411505"/>
      <w:bookmarkStart w:id="543" w:name="_Toc85631154"/>
      <w:bookmarkStart w:id="544" w:name="_Toc85637689"/>
      <w:bookmarkStart w:id="545" w:name="_Toc87013494"/>
      <w:bookmarkStart w:id="546" w:name="_Toc87012104"/>
      <w:bookmarkStart w:id="547" w:name="_Toc87629400"/>
      <w:bookmarkStart w:id="548" w:name="_Toc86616853"/>
      <w:bookmarkStart w:id="549" w:name="_Toc31221"/>
      <w:bookmarkStart w:id="550" w:name="_Toc85629100"/>
      <w:bookmarkStart w:id="551" w:name="_Toc85130948"/>
      <w:bookmarkStart w:id="552" w:name="_Toc85130586"/>
      <w:bookmarkStart w:id="553" w:name="_Toc146195875"/>
      <w:r>
        <w:rPr>
          <w:rFonts w:hint="eastAsia"/>
        </w:rPr>
        <w:t>鉴定目的</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pPr>
        <w:pStyle w:val="82"/>
        <w:spacing w:before="156" w:after="156"/>
      </w:pPr>
      <w:bookmarkStart w:id="554" w:name="_Toc145065450"/>
      <w:bookmarkStart w:id="555" w:name="_Toc146195876"/>
      <w:bookmarkStart w:id="556" w:name="_Toc145089202"/>
      <w:bookmarkStart w:id="557" w:name="_Toc145012883"/>
      <w:bookmarkStart w:id="558" w:name="_Toc146195926"/>
      <w:r>
        <w:rPr>
          <w:rFonts w:hint="eastAsia"/>
        </w:rPr>
        <w:t>鉴定对象和范围</w:t>
      </w:r>
      <w:bookmarkEnd w:id="554"/>
      <w:bookmarkEnd w:id="555"/>
      <w:bookmarkEnd w:id="556"/>
      <w:bookmarkEnd w:id="557"/>
      <w:bookmarkEnd w:id="558"/>
    </w:p>
    <w:p>
      <w:pPr>
        <w:pStyle w:val="59"/>
        <w:ind w:firstLine="420"/>
      </w:pPr>
      <w:r>
        <w:rPr>
          <w:rFonts w:hint="eastAsia"/>
        </w:rPr>
        <w:t>写明鉴定对象、鉴定地点和四至范围。</w:t>
      </w:r>
    </w:p>
    <w:p>
      <w:pPr>
        <w:pStyle w:val="82"/>
        <w:spacing w:before="156" w:after="156"/>
      </w:pPr>
      <w:bookmarkStart w:id="559" w:name="_Toc145012884"/>
      <w:bookmarkStart w:id="560" w:name="_Toc145065451"/>
      <w:bookmarkStart w:id="561" w:name="_Toc145089203"/>
      <w:bookmarkStart w:id="562" w:name="_Toc146195877"/>
      <w:bookmarkStart w:id="563" w:name="_Toc146195927"/>
      <w:r>
        <w:rPr>
          <w:rFonts w:hint="eastAsia"/>
        </w:rPr>
        <w:t>鉴定基准</w:t>
      </w:r>
      <w:bookmarkEnd w:id="559"/>
      <w:bookmarkEnd w:id="560"/>
      <w:bookmarkEnd w:id="561"/>
      <w:bookmarkEnd w:id="562"/>
      <w:bookmarkEnd w:id="563"/>
    </w:p>
    <w:p>
      <w:pPr>
        <w:pStyle w:val="81"/>
        <w:spacing w:before="156" w:after="156"/>
      </w:pPr>
      <w:bookmarkStart w:id="564" w:name="_Toc85637690"/>
      <w:bookmarkStart w:id="565" w:name="_Toc87012105"/>
      <w:bookmarkStart w:id="566" w:name="_Toc146196240"/>
      <w:bookmarkStart w:id="567" w:name="_Toc146196278"/>
      <w:bookmarkStart w:id="568" w:name="_Toc153908951"/>
      <w:bookmarkStart w:id="569" w:name="_Toc155203699"/>
      <w:bookmarkStart w:id="570" w:name="_Toc155275013"/>
      <w:bookmarkStart w:id="571" w:name="_Toc155338837"/>
      <w:bookmarkStart w:id="572" w:name="_Toc86956448"/>
      <w:bookmarkStart w:id="573" w:name="_Toc87629401"/>
      <w:bookmarkStart w:id="574" w:name="_Toc85411506"/>
      <w:bookmarkStart w:id="575" w:name="_Toc86616854"/>
      <w:bookmarkStart w:id="576" w:name="_Toc85130587"/>
      <w:bookmarkStart w:id="577" w:name="_Toc86402695"/>
      <w:bookmarkStart w:id="578" w:name="_Toc153908857"/>
      <w:bookmarkStart w:id="579" w:name="_Toc155100010"/>
      <w:bookmarkStart w:id="580" w:name="_Toc155203398"/>
      <w:bookmarkStart w:id="581" w:name="_Toc146195928"/>
      <w:bookmarkStart w:id="582" w:name="_Toc146195878"/>
      <w:bookmarkStart w:id="583" w:name="_Toc155204024"/>
      <w:bookmarkStart w:id="584" w:name="_Toc155283198"/>
      <w:bookmarkStart w:id="585" w:name="_Toc87013495"/>
      <w:bookmarkStart w:id="586" w:name="_Toc85629101"/>
      <w:bookmarkStart w:id="587" w:name="_Toc83241012"/>
      <w:bookmarkStart w:id="588" w:name="_Toc32537"/>
      <w:bookmarkStart w:id="589" w:name="_Toc85631155"/>
      <w:bookmarkStart w:id="590" w:name="_Toc85130949"/>
      <w:bookmarkStart w:id="591" w:name="_Toc155338944"/>
      <w:r>
        <w:rPr>
          <w:rFonts w:hint="eastAsia"/>
        </w:rPr>
        <w:t>鉴定过程</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pStyle w:val="82"/>
        <w:spacing w:before="156" w:after="156"/>
      </w:pPr>
      <w:bookmarkStart w:id="592" w:name="_Toc145089205"/>
      <w:bookmarkStart w:id="593" w:name="_Toc145065453"/>
      <w:bookmarkStart w:id="594" w:name="_Toc146195879"/>
      <w:bookmarkStart w:id="595" w:name="_Toc146195929"/>
      <w:bookmarkStart w:id="596" w:name="_Toc145012886"/>
      <w:r>
        <w:rPr>
          <w:rFonts w:hint="eastAsia"/>
        </w:rPr>
        <w:t>鉴定依据</w:t>
      </w:r>
      <w:bookmarkEnd w:id="592"/>
      <w:bookmarkEnd w:id="593"/>
      <w:bookmarkEnd w:id="594"/>
      <w:bookmarkEnd w:id="595"/>
      <w:bookmarkEnd w:id="596"/>
    </w:p>
    <w:p>
      <w:pPr>
        <w:pStyle w:val="59"/>
        <w:ind w:firstLine="420"/>
      </w:pPr>
      <w:r>
        <w:rPr>
          <w:rFonts w:hint="eastAsia"/>
        </w:rPr>
        <w:t>说明鉴定相关的法律法规、司法解释、文件准则等。</w:t>
      </w:r>
    </w:p>
    <w:p>
      <w:pPr>
        <w:pStyle w:val="82"/>
        <w:spacing w:before="156" w:after="156"/>
      </w:pPr>
      <w:bookmarkStart w:id="597" w:name="_Toc145065454"/>
      <w:bookmarkStart w:id="598" w:name="_Toc145012887"/>
      <w:bookmarkStart w:id="599" w:name="_Toc146195880"/>
      <w:bookmarkStart w:id="600" w:name="_Toc145089206"/>
      <w:bookmarkStart w:id="601" w:name="_Toc146195930"/>
      <w:r>
        <w:rPr>
          <w:rFonts w:hint="eastAsia"/>
        </w:rPr>
        <w:t>鉴定方法</w:t>
      </w:r>
      <w:bookmarkEnd w:id="597"/>
      <w:bookmarkEnd w:id="598"/>
      <w:bookmarkEnd w:id="599"/>
      <w:bookmarkEnd w:id="600"/>
      <w:bookmarkEnd w:id="601"/>
    </w:p>
    <w:p>
      <w:pPr>
        <w:pStyle w:val="59"/>
        <w:ind w:firstLine="420"/>
      </w:pPr>
      <w:r>
        <w:rPr>
          <w:rFonts w:hint="eastAsia"/>
        </w:rPr>
        <w:t>通过案件资料收集和分析，制定鉴定方案，确定鉴定方法。</w:t>
      </w:r>
    </w:p>
    <w:p>
      <w:pPr>
        <w:pStyle w:val="82"/>
        <w:spacing w:before="156" w:after="156"/>
      </w:pPr>
      <w:bookmarkStart w:id="602" w:name="_Toc145012888"/>
      <w:bookmarkStart w:id="603" w:name="_Toc146195881"/>
      <w:bookmarkStart w:id="604" w:name="_Toc146195931"/>
      <w:bookmarkStart w:id="605" w:name="_Toc145065455"/>
      <w:bookmarkStart w:id="606" w:name="_Toc145089207"/>
      <w:r>
        <w:rPr>
          <w:rFonts w:hint="eastAsia"/>
        </w:rPr>
        <w:t>鉴定过程</w:t>
      </w:r>
      <w:bookmarkEnd w:id="602"/>
      <w:bookmarkEnd w:id="603"/>
      <w:bookmarkEnd w:id="604"/>
      <w:bookmarkEnd w:id="605"/>
      <w:bookmarkEnd w:id="606"/>
    </w:p>
    <w:p>
      <w:pPr>
        <w:pStyle w:val="84"/>
        <w:spacing w:before="156" w:after="156"/>
      </w:pPr>
      <w:r>
        <w:rPr>
          <w:rFonts w:hint="eastAsia"/>
        </w:rPr>
        <w:t>人员安排</w:t>
      </w:r>
    </w:p>
    <w:p>
      <w:pPr>
        <w:pStyle w:val="59"/>
        <w:ind w:firstLine="420"/>
      </w:pPr>
      <w:r>
        <w:rPr>
          <w:rFonts w:hint="eastAsia"/>
        </w:rPr>
        <w:t>介绍勘察人员基本信息。</w:t>
      </w:r>
    </w:p>
    <w:p>
      <w:pPr>
        <w:pStyle w:val="84"/>
        <w:spacing w:before="156" w:after="156"/>
      </w:pPr>
      <w:r>
        <w:rPr>
          <w:rFonts w:hint="eastAsia"/>
        </w:rPr>
        <w:t>现场勘察基本情况</w:t>
      </w:r>
    </w:p>
    <w:p>
      <w:pPr>
        <w:pStyle w:val="59"/>
        <w:ind w:firstLine="420"/>
      </w:pPr>
      <w:r>
        <w:rPr>
          <w:rFonts w:hint="eastAsia"/>
        </w:rPr>
        <w:t>说明损害前土地状况、区域社会经济条件、耕地（林地）生产情况等，简述损害现状、过程、分析损害原因（土壤障碍因素、损害程度）等。</w:t>
      </w:r>
    </w:p>
    <w:p>
      <w:pPr>
        <w:pStyle w:val="84"/>
        <w:spacing w:before="156" w:after="156"/>
      </w:pPr>
      <w:r>
        <w:rPr>
          <w:rFonts w:hint="eastAsia"/>
        </w:rPr>
        <w:t>实地现状图片</w:t>
      </w:r>
    </w:p>
    <w:p>
      <w:pPr>
        <w:pStyle w:val="59"/>
        <w:ind w:firstLine="420"/>
      </w:pPr>
      <w:r>
        <w:rPr>
          <w:rFonts w:hint="eastAsia"/>
        </w:rPr>
        <w:t>拍摄案件现场不同角度及不同损害单元内部及周边的近景和远景照片。</w:t>
      </w:r>
    </w:p>
    <w:p>
      <w:pPr>
        <w:pStyle w:val="81"/>
        <w:spacing w:before="156" w:after="156"/>
      </w:pPr>
      <w:bookmarkStart w:id="607" w:name="_Toc85130950"/>
      <w:bookmarkStart w:id="608" w:name="_Toc87629402"/>
      <w:bookmarkStart w:id="609" w:name="_Toc146195932"/>
      <w:bookmarkStart w:id="610" w:name="_Toc153908858"/>
      <w:bookmarkStart w:id="611" w:name="_Toc85631156"/>
      <w:bookmarkStart w:id="612" w:name="_Toc155100011"/>
      <w:bookmarkStart w:id="613" w:name="_Toc155203700"/>
      <w:bookmarkStart w:id="614" w:name="_Toc2931"/>
      <w:bookmarkStart w:id="615" w:name="_Toc155203399"/>
      <w:bookmarkStart w:id="616" w:name="_Toc155204025"/>
      <w:bookmarkStart w:id="617" w:name="_Toc87013496"/>
      <w:bookmarkStart w:id="618" w:name="_Toc155275014"/>
      <w:bookmarkStart w:id="619" w:name="_Toc155283199"/>
      <w:bookmarkStart w:id="620" w:name="_Toc86956449"/>
      <w:bookmarkStart w:id="621" w:name="_Toc85637691"/>
      <w:bookmarkStart w:id="622" w:name="_Toc83241013"/>
      <w:bookmarkStart w:id="623" w:name="_Toc85130588"/>
      <w:bookmarkStart w:id="624" w:name="_Toc87012106"/>
      <w:bookmarkStart w:id="625" w:name="_Toc146196241"/>
      <w:bookmarkStart w:id="626" w:name="_Toc146196279"/>
      <w:bookmarkStart w:id="627" w:name="_Toc146195882"/>
      <w:bookmarkStart w:id="628" w:name="_Toc85411507"/>
      <w:bookmarkStart w:id="629" w:name="_Toc86402696"/>
      <w:bookmarkStart w:id="630" w:name="_Toc86616855"/>
      <w:bookmarkStart w:id="631" w:name="_Toc153908952"/>
      <w:bookmarkStart w:id="632" w:name="_Toc85629102"/>
      <w:bookmarkStart w:id="633" w:name="_Toc155338945"/>
      <w:bookmarkStart w:id="634" w:name="_Toc155338838"/>
      <w:r>
        <w:rPr>
          <w:rFonts w:hint="eastAsia"/>
        </w:rPr>
        <w:t>鉴定分析</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pPr>
        <w:pStyle w:val="82"/>
        <w:spacing w:before="156" w:after="156"/>
      </w:pPr>
      <w:bookmarkStart w:id="635" w:name="_Toc145012890"/>
      <w:bookmarkStart w:id="636" w:name="_Toc145065457"/>
      <w:bookmarkStart w:id="637" w:name="_Toc146195883"/>
      <w:bookmarkStart w:id="638" w:name="_Toc145089209"/>
      <w:bookmarkStart w:id="639" w:name="_Toc146195933"/>
      <w:r>
        <w:rPr>
          <w:rFonts w:hint="eastAsia"/>
        </w:rPr>
        <w:t>现场勘察情况分析</w:t>
      </w:r>
      <w:bookmarkEnd w:id="635"/>
      <w:bookmarkEnd w:id="636"/>
      <w:bookmarkEnd w:id="637"/>
      <w:bookmarkEnd w:id="638"/>
      <w:bookmarkEnd w:id="639"/>
    </w:p>
    <w:p>
      <w:pPr>
        <w:pStyle w:val="82"/>
        <w:spacing w:before="156" w:after="156"/>
      </w:pPr>
      <w:bookmarkStart w:id="640" w:name="_Toc145089210"/>
      <w:bookmarkStart w:id="641" w:name="_Toc145065458"/>
      <w:bookmarkStart w:id="642" w:name="_Toc146195884"/>
      <w:bookmarkStart w:id="643" w:name="_Toc146195934"/>
      <w:bookmarkStart w:id="644" w:name="_Toc145012891"/>
      <w:r>
        <w:rPr>
          <w:rFonts w:hint="eastAsia"/>
        </w:rPr>
        <w:t>合规性分析</w:t>
      </w:r>
      <w:bookmarkEnd w:id="640"/>
      <w:bookmarkEnd w:id="641"/>
      <w:bookmarkEnd w:id="642"/>
      <w:bookmarkEnd w:id="643"/>
      <w:bookmarkEnd w:id="644"/>
    </w:p>
    <w:p>
      <w:pPr>
        <w:pStyle w:val="59"/>
        <w:ind w:firstLine="420"/>
      </w:pPr>
      <w:r>
        <w:rPr>
          <w:rFonts w:hint="eastAsia"/>
        </w:rPr>
        <w:t>通过委托人出具的国土空间总体规划（土地利用总体规划图）、土地利用现状图、土地权属地类审核表、土地利用总体规划审核表等材料以及相关文件规范说明案件是否符合规划的情况。</w:t>
      </w:r>
    </w:p>
    <w:p>
      <w:pPr>
        <w:pStyle w:val="82"/>
        <w:spacing w:before="156" w:after="156"/>
      </w:pPr>
      <w:r>
        <w:rPr>
          <w:rFonts w:hint="eastAsia"/>
        </w:rPr>
        <w:t>合法性分析</w:t>
      </w:r>
    </w:p>
    <w:p>
      <w:pPr>
        <w:pStyle w:val="59"/>
        <w:ind w:firstLine="420"/>
      </w:pPr>
      <w:r>
        <w:rPr>
          <w:rFonts w:hint="eastAsia"/>
        </w:rPr>
        <w:t>通过现行法律法规、司法解释等分析说明案件违法情况。</w:t>
      </w:r>
    </w:p>
    <w:p>
      <w:pPr>
        <w:pStyle w:val="81"/>
        <w:spacing w:before="156" w:after="156"/>
      </w:pPr>
      <w:bookmarkStart w:id="645" w:name="_Toc155100012"/>
      <w:bookmarkStart w:id="646" w:name="_Toc155203701"/>
      <w:bookmarkStart w:id="647" w:name="_Toc155203400"/>
      <w:bookmarkStart w:id="648" w:name="_Toc155338839"/>
      <w:bookmarkStart w:id="649" w:name="_Toc155275015"/>
      <w:bookmarkStart w:id="650" w:name="_Toc155283200"/>
      <w:bookmarkStart w:id="651" w:name="_Toc155204026"/>
      <w:bookmarkStart w:id="652" w:name="_Toc155338946"/>
      <w:r>
        <w:rPr>
          <w:rFonts w:hint="eastAsia"/>
        </w:rPr>
        <w:t>鉴定结论</w:t>
      </w:r>
      <w:bookmarkEnd w:id="645"/>
      <w:bookmarkEnd w:id="646"/>
      <w:bookmarkEnd w:id="647"/>
      <w:bookmarkEnd w:id="648"/>
      <w:bookmarkEnd w:id="649"/>
      <w:bookmarkEnd w:id="650"/>
      <w:bookmarkEnd w:id="651"/>
      <w:bookmarkEnd w:id="652"/>
    </w:p>
    <w:p>
      <w:pPr>
        <w:pStyle w:val="59"/>
        <w:ind w:firstLine="420"/>
      </w:pPr>
      <w:r>
        <w:rPr>
          <w:rFonts w:hint="eastAsia"/>
        </w:rPr>
        <w:t>从损害土地面积和损害程度两个方面得出鉴定结论。</w:t>
      </w:r>
    </w:p>
    <w:p>
      <w:pPr>
        <w:pStyle w:val="81"/>
        <w:spacing w:before="156" w:after="156"/>
      </w:pPr>
      <w:bookmarkStart w:id="653" w:name="_Toc155100013"/>
      <w:bookmarkStart w:id="654" w:name="_Toc155275016"/>
      <w:bookmarkStart w:id="655" w:name="_Toc155203702"/>
      <w:bookmarkStart w:id="656" w:name="_Toc155338840"/>
      <w:bookmarkStart w:id="657" w:name="_Toc155283201"/>
      <w:bookmarkStart w:id="658" w:name="_Toc155203401"/>
      <w:bookmarkStart w:id="659" w:name="_Toc155204027"/>
      <w:bookmarkStart w:id="660" w:name="_Toc155338947"/>
      <w:r>
        <w:rPr>
          <w:rFonts w:hint="eastAsia"/>
        </w:rPr>
        <w:t>鉴定报告使用限制说明</w:t>
      </w:r>
      <w:bookmarkEnd w:id="653"/>
      <w:bookmarkEnd w:id="654"/>
      <w:bookmarkEnd w:id="655"/>
      <w:bookmarkEnd w:id="656"/>
      <w:bookmarkEnd w:id="657"/>
      <w:bookmarkEnd w:id="658"/>
      <w:bookmarkEnd w:id="659"/>
      <w:bookmarkEnd w:id="660"/>
    </w:p>
    <w:p>
      <w:pPr>
        <w:pStyle w:val="59"/>
        <w:ind w:firstLine="420"/>
      </w:pPr>
      <w:r>
        <w:rPr>
          <w:rFonts w:hint="eastAsia"/>
        </w:rPr>
        <w:t>明确鉴定报告成立的前提，鉴定报告使用的目的和用途，鉴定机构和鉴定人员的责任范围等。</w:t>
      </w:r>
    </w:p>
    <w:p>
      <w:pPr>
        <w:pStyle w:val="81"/>
        <w:spacing w:before="156" w:after="156"/>
      </w:pPr>
      <w:bookmarkStart w:id="661" w:name="_Toc155204028"/>
      <w:bookmarkStart w:id="662" w:name="_Toc155275017"/>
      <w:bookmarkStart w:id="663" w:name="_Toc155283202"/>
      <w:bookmarkStart w:id="664" w:name="_Toc155100014"/>
      <w:bookmarkStart w:id="665" w:name="_Toc155338841"/>
      <w:bookmarkStart w:id="666" w:name="_Toc155338948"/>
      <w:bookmarkStart w:id="667" w:name="_Toc155203703"/>
      <w:bookmarkStart w:id="668" w:name="_Toc155203402"/>
      <w:r>
        <w:rPr>
          <w:rFonts w:hint="eastAsia"/>
        </w:rPr>
        <w:t>特别事项说明</w:t>
      </w:r>
      <w:bookmarkEnd w:id="661"/>
      <w:bookmarkEnd w:id="662"/>
      <w:bookmarkEnd w:id="663"/>
      <w:bookmarkEnd w:id="664"/>
      <w:bookmarkEnd w:id="665"/>
      <w:bookmarkEnd w:id="666"/>
      <w:bookmarkEnd w:id="667"/>
      <w:bookmarkEnd w:id="668"/>
    </w:p>
    <w:p>
      <w:pPr>
        <w:pStyle w:val="81"/>
        <w:spacing w:before="156" w:after="156"/>
      </w:pPr>
      <w:bookmarkStart w:id="669" w:name="_Toc155100015"/>
      <w:bookmarkStart w:id="670" w:name="_Toc155203704"/>
      <w:bookmarkStart w:id="671" w:name="_Toc155204029"/>
      <w:bookmarkStart w:id="672" w:name="_Toc155275018"/>
      <w:bookmarkStart w:id="673" w:name="_Toc155283203"/>
      <w:bookmarkStart w:id="674" w:name="_Toc155338842"/>
      <w:bookmarkStart w:id="675" w:name="_Toc155203403"/>
      <w:bookmarkStart w:id="676" w:name="_Toc155338949"/>
      <w:r>
        <w:rPr>
          <w:rFonts w:hint="eastAsia"/>
        </w:rPr>
        <w:t>附件</w:t>
      </w:r>
      <w:bookmarkEnd w:id="669"/>
      <w:bookmarkEnd w:id="670"/>
      <w:bookmarkEnd w:id="671"/>
      <w:bookmarkEnd w:id="672"/>
      <w:bookmarkEnd w:id="673"/>
      <w:bookmarkEnd w:id="674"/>
      <w:bookmarkEnd w:id="675"/>
      <w:bookmarkEnd w:id="676"/>
    </w:p>
    <w:p>
      <w:pPr>
        <w:pStyle w:val="59"/>
        <w:ind w:firstLine="420"/>
      </w:pPr>
      <w:r>
        <w:rPr>
          <w:rFonts w:hint="eastAsia"/>
        </w:rPr>
        <w:t>包括鉴定委托书、勘测定界报告、遥感影像图、土地利用现状图、国土空间总体规划图（土地利用总体规划图）、鉴定单位资格证明材料、鉴定人员资格证书、现场勘察记录表、土地权属地类审核表、土地利用总体规划审核表等。</w:t>
      </w:r>
    </w:p>
    <w:p>
      <w:pPr>
        <w:pStyle w:val="59"/>
        <w:ind w:firstLine="420"/>
        <w:sectPr>
          <w:pgSz w:w="11906" w:h="16838"/>
          <w:pgMar w:top="1928" w:right="1134" w:bottom="1134" w:left="1134" w:header="1418" w:footer="1134" w:gutter="284"/>
          <w:cols w:space="425" w:num="1"/>
          <w:formProt w:val="0"/>
          <w:docGrid w:type="lines" w:linePitch="312" w:charSpace="0"/>
        </w:sectPr>
      </w:pPr>
    </w:p>
    <w:bookmarkEnd w:id="437"/>
    <w:p>
      <w:pPr>
        <w:pStyle w:val="66"/>
        <w:spacing w:after="156"/>
      </w:pPr>
      <w:bookmarkStart w:id="677" w:name="_Toc155275019"/>
      <w:bookmarkStart w:id="678" w:name="_Toc146196242"/>
      <w:bookmarkStart w:id="679" w:name="_Toc146196280"/>
      <w:bookmarkStart w:id="680" w:name="_Toc153908953"/>
      <w:bookmarkStart w:id="681" w:name="_Toc155203705"/>
      <w:bookmarkStart w:id="682" w:name="_Toc155338950"/>
      <w:bookmarkStart w:id="683" w:name="_Toc155338843"/>
      <w:bookmarkStart w:id="684" w:name="_Toc153908859"/>
      <w:bookmarkStart w:id="685" w:name="_Toc155100016"/>
      <w:bookmarkStart w:id="686" w:name="_Toc155203404"/>
      <w:bookmarkStart w:id="687" w:name="_Toc155204030"/>
      <w:bookmarkStart w:id="688" w:name="_Toc155283204"/>
      <w:bookmarkStart w:id="689" w:name="BookMark6"/>
      <w:r>
        <w:rPr>
          <w:rFonts w:hint="eastAsia"/>
          <w:spacing w:val="105"/>
        </w:rPr>
        <w:t>参考文</w:t>
      </w:r>
      <w:r>
        <w:rPr>
          <w:rFonts w:hint="eastAsia"/>
        </w:rPr>
        <w:t>献</w:t>
      </w:r>
      <w:bookmarkEnd w:id="677"/>
      <w:bookmarkEnd w:id="678"/>
      <w:bookmarkEnd w:id="679"/>
      <w:bookmarkEnd w:id="680"/>
      <w:bookmarkEnd w:id="681"/>
      <w:bookmarkEnd w:id="682"/>
      <w:bookmarkEnd w:id="683"/>
      <w:bookmarkEnd w:id="684"/>
      <w:bookmarkEnd w:id="685"/>
      <w:bookmarkEnd w:id="686"/>
      <w:bookmarkEnd w:id="687"/>
      <w:bookmarkEnd w:id="688"/>
    </w:p>
    <w:p>
      <w:pPr>
        <w:pStyle w:val="234"/>
      </w:pPr>
      <w:r>
        <w:t xml:space="preserve">[1] </w:t>
      </w:r>
      <w:r>
        <w:rPr>
          <w:rFonts w:hint="eastAsia"/>
        </w:rPr>
        <w:t>最高人民法院关于审理破坏土地资源刑事案件具体应用法律若干问题的解释（法释</w:t>
      </w:r>
      <w:r>
        <w:rPr>
          <w:rFonts w:hint="eastAsia" w:hAnsi="宋体"/>
        </w:rPr>
        <w:t>﹝</w:t>
      </w:r>
      <w:r>
        <w:rPr>
          <w:rFonts w:hint="eastAsia"/>
        </w:rPr>
        <w:t>2</w:t>
      </w:r>
      <w:r>
        <w:t>000</w:t>
      </w:r>
      <w:r>
        <w:rPr>
          <w:rFonts w:hint="eastAsia" w:hAnsi="宋体"/>
        </w:rPr>
        <w:t>﹞</w:t>
      </w:r>
      <w:r>
        <w:rPr>
          <w:rFonts w:hint="eastAsia"/>
        </w:rPr>
        <w:t>1</w:t>
      </w:r>
      <w:r>
        <w:t>4</w:t>
      </w:r>
      <w:r>
        <w:rPr>
          <w:rFonts w:hint="eastAsia"/>
        </w:rPr>
        <w:t>号）</w:t>
      </w:r>
    </w:p>
    <w:p>
      <w:pPr>
        <w:pStyle w:val="234"/>
      </w:pPr>
      <w:r>
        <w:t>[2] 最高人民法院关于审理破坏</w:t>
      </w:r>
      <w:r>
        <w:rPr>
          <w:rFonts w:hint="eastAsia"/>
        </w:rPr>
        <w:t>森林</w:t>
      </w:r>
      <w:r>
        <w:t>资源刑事案件</w:t>
      </w:r>
      <w:r>
        <w:rPr>
          <w:rFonts w:hint="eastAsia"/>
        </w:rPr>
        <w:t>适用</w:t>
      </w:r>
      <w:r>
        <w:t>法律若干问题的解释</w:t>
      </w:r>
      <w:r>
        <w:rPr>
          <w:rFonts w:hint="eastAsia"/>
        </w:rPr>
        <w:t>（法释</w:t>
      </w:r>
      <w:r>
        <w:rPr>
          <w:rFonts w:hint="eastAsia" w:hAnsi="宋体"/>
        </w:rPr>
        <w:t>﹝</w:t>
      </w:r>
      <w:r>
        <w:rPr>
          <w:rFonts w:hint="eastAsia"/>
        </w:rPr>
        <w:t>2</w:t>
      </w:r>
      <w:r>
        <w:t>023</w:t>
      </w:r>
      <w:r>
        <w:rPr>
          <w:rFonts w:hint="eastAsia" w:hAnsi="宋体"/>
        </w:rPr>
        <w:t>﹞</w:t>
      </w:r>
      <w:r>
        <w:t>8</w:t>
      </w:r>
      <w:r>
        <w:rPr>
          <w:rFonts w:hint="eastAsia"/>
        </w:rPr>
        <w:t>号）</w:t>
      </w:r>
    </w:p>
    <w:p>
      <w:pPr>
        <w:pStyle w:val="234"/>
      </w:pPr>
      <w:r>
        <w:t>[3]</w:t>
      </w:r>
      <w:r>
        <w:rPr>
          <w:rFonts w:hint="eastAsia"/>
        </w:rPr>
        <w:t xml:space="preserve"> 国土资源部办公厅关于征求&lt;非法占用耕地造成种植条件严重毁坏认定办法</w:t>
      </w:r>
      <w:r>
        <w:t>&gt;(</w:t>
      </w:r>
      <w:r>
        <w:rPr>
          <w:rFonts w:hint="eastAsia"/>
        </w:rPr>
        <w:t>征求意见稿</w:t>
      </w:r>
      <w:r>
        <w:t>)</w:t>
      </w:r>
      <w:r>
        <w:rPr>
          <w:rFonts w:hint="eastAsia"/>
        </w:rPr>
        <w:t>修改意见的函（国土资厅函</w:t>
      </w:r>
      <w:r>
        <w:rPr>
          <w:rFonts w:hint="eastAsia" w:hAnsi="宋体"/>
        </w:rPr>
        <w:t>﹝</w:t>
      </w:r>
      <w:r>
        <w:rPr>
          <w:rFonts w:hint="eastAsia"/>
        </w:rPr>
        <w:t>200</w:t>
      </w:r>
      <w:r>
        <w:t>9</w:t>
      </w:r>
      <w:r>
        <w:rPr>
          <w:rFonts w:hint="eastAsia" w:hAnsi="宋体"/>
        </w:rPr>
        <w:t>﹞</w:t>
      </w:r>
      <w:r>
        <w:rPr>
          <w:rFonts w:hint="eastAsia"/>
        </w:rPr>
        <w:t>585号）</w:t>
      </w:r>
    </w:p>
    <w:p>
      <w:pPr>
        <w:pStyle w:val="234"/>
      </w:pPr>
      <w:r>
        <w:t xml:space="preserve">[4] </w:t>
      </w:r>
      <w:r>
        <w:rPr>
          <w:rFonts w:hint="eastAsia"/>
        </w:rPr>
        <w:t>江苏省补充耕地质量评定技术规程（试行）（苏农办农</w:t>
      </w:r>
      <w:r>
        <w:rPr>
          <w:rFonts w:hint="eastAsia" w:hAnsi="宋体"/>
        </w:rPr>
        <w:t>﹝</w:t>
      </w:r>
      <w:r>
        <w:rPr>
          <w:rFonts w:hint="eastAsia"/>
        </w:rPr>
        <w:t>20</w:t>
      </w:r>
      <w:r>
        <w:t>14</w:t>
      </w:r>
      <w:r>
        <w:rPr>
          <w:rFonts w:hint="eastAsia" w:hAnsi="宋体"/>
        </w:rPr>
        <w:t>﹞</w:t>
      </w:r>
      <w:r>
        <w:rPr>
          <w:rFonts w:hint="eastAsia"/>
        </w:rPr>
        <w:t>14号）</w:t>
      </w:r>
      <w:bookmarkStart w:id="690" w:name="SYGSSQ"/>
      <w:bookmarkEnd w:id="690"/>
    </w:p>
    <w:p>
      <w:pPr>
        <w:pStyle w:val="234"/>
      </w:pPr>
      <w:r>
        <w:t xml:space="preserve">[5] </w:t>
      </w:r>
      <w:r>
        <w:rPr>
          <w:rFonts w:hint="eastAsia"/>
        </w:rPr>
        <w:t>徐州市耕地破坏程度鉴定暂行办法（徐国土资发</w:t>
      </w:r>
      <w:r>
        <w:rPr>
          <w:rFonts w:hint="eastAsia" w:hAnsi="宋体"/>
        </w:rPr>
        <w:t>﹝</w:t>
      </w:r>
      <w:r>
        <w:rPr>
          <w:rFonts w:hint="eastAsia"/>
        </w:rPr>
        <w:t>20</w:t>
      </w:r>
      <w:r>
        <w:t>17</w:t>
      </w:r>
      <w:r>
        <w:rPr>
          <w:rFonts w:hint="eastAsia" w:hAnsi="宋体"/>
        </w:rPr>
        <w:t>﹞</w:t>
      </w:r>
      <w:r>
        <w:rPr>
          <w:rFonts w:hint="eastAsia"/>
        </w:rPr>
        <w:t>96号）</w:t>
      </w:r>
    </w:p>
    <w:p>
      <w:pPr>
        <w:pStyle w:val="59"/>
        <w:ind w:firstLine="420"/>
      </w:pPr>
      <w:r>
        <w:t xml:space="preserve">[6] </w:t>
      </w:r>
      <w:r>
        <w:rPr>
          <w:rFonts w:hint="eastAsia"/>
        </w:rPr>
        <w:t>潘元庆.耕地破坏鉴定制度建设分析与对策.北京：地质出版社,</w:t>
      </w:r>
      <w:r>
        <w:t>2019.</w:t>
      </w:r>
    </w:p>
    <w:bookmarkEnd w:id="689"/>
    <w:p>
      <w:pPr>
        <w:pStyle w:val="59"/>
        <w:ind w:firstLine="0" w:firstLineChars="0"/>
        <w:jc w:val="center"/>
      </w:pPr>
      <w:bookmarkStart w:id="691"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stretch>
                      <a:fillRect/>
                    </a:stretch>
                  </pic:blipFill>
                  <pic:spPr>
                    <a:xfrm>
                      <a:off x="0" y="0"/>
                      <a:ext cx="1485900" cy="317500"/>
                    </a:xfrm>
                    <a:prstGeom prst="rect">
                      <a:avLst/>
                    </a:prstGeom>
                  </pic:spPr>
                </pic:pic>
              </a:graphicData>
            </a:graphic>
          </wp:inline>
        </w:drawing>
      </w:r>
      <w:bookmarkEnd w:id="69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521598A"/>
    <w:multiLevelType w:val="multilevel"/>
    <w:tmpl w:val="1521598A"/>
    <w:lvl w:ilvl="0" w:tentative="0">
      <w:start w:val="1"/>
      <w:numFmt w:val="decimalEnclosedCircle"/>
      <w:lvlText w:val="%1"/>
      <w:lvlJc w:val="left"/>
      <w:pPr>
        <w:ind w:left="360" w:hanging="360"/>
      </w:pPr>
      <w:rPr>
        <w:rFonts w:hint="default" w:hAnsi="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167F28E2"/>
    <w:multiLevelType w:val="multilevel"/>
    <w:tmpl w:val="167F28E2"/>
    <w:lvl w:ilvl="0" w:tentative="0">
      <w:start w:val="1"/>
      <w:numFmt w:val="decimalEnclosedCircle"/>
      <w:lvlText w:val="%1"/>
      <w:lvlJc w:val="left"/>
      <w:pPr>
        <w:ind w:left="570" w:hanging="360"/>
      </w:pPr>
      <w:rPr>
        <w:rFonts w:hint="default"/>
      </w:r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9">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DBE4460"/>
    <w:multiLevelType w:val="multilevel"/>
    <w:tmpl w:val="1DBE4460"/>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3C375151"/>
    <w:multiLevelType w:val="multilevel"/>
    <w:tmpl w:val="3C375151"/>
    <w:lvl w:ilvl="0" w:tentative="0">
      <w:start w:val="1"/>
      <w:numFmt w:val="decimalEnclosedCircle"/>
      <w:lvlText w:val="%1"/>
      <w:lvlJc w:val="left"/>
      <w:pPr>
        <w:ind w:left="360" w:hanging="360"/>
      </w:pPr>
      <w:rPr>
        <w:rFonts w:hint="default" w:hAnsi="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443C65F9"/>
    <w:multiLevelType w:val="multilevel"/>
    <w:tmpl w:val="443C65F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567323D"/>
    <w:multiLevelType w:val="multilevel"/>
    <w:tmpl w:val="4567323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462F3CFA"/>
    <w:multiLevelType w:val="multilevel"/>
    <w:tmpl w:val="462F3CFA"/>
    <w:lvl w:ilvl="0" w:tentative="0">
      <w:start w:val="1"/>
      <w:numFmt w:val="decimalEnclosedCircle"/>
      <w:lvlText w:val="%1"/>
      <w:lvlJc w:val="left"/>
      <w:pPr>
        <w:ind w:left="570" w:hanging="360"/>
      </w:pPr>
      <w:rPr>
        <w:rFonts w:hint="default"/>
      </w:r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20">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ABA3840"/>
    <w:multiLevelType w:val="multilevel"/>
    <w:tmpl w:val="6ABA3840"/>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3">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709" w:firstLine="0"/>
      </w:pPr>
      <w:rPr>
        <w:rFonts w:hint="eastAsia" w:ascii="黑体" w:hAnsi="黑体" w:eastAsia="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6">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7">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0815C4B"/>
    <w:multiLevelType w:val="multilevel"/>
    <w:tmpl w:val="70815C4B"/>
    <w:lvl w:ilvl="0" w:tentative="0">
      <w:start w:val="1"/>
      <w:numFmt w:val="decimalEnclosedCircle"/>
      <w:lvlText w:val="%1"/>
      <w:lvlJc w:val="left"/>
      <w:pPr>
        <w:ind w:left="360" w:hanging="360"/>
      </w:pPr>
      <w:rPr>
        <w:rFonts w:hint="default" w:hAnsi="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9">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5"/>
  </w:num>
  <w:num w:numId="3">
    <w:abstractNumId w:val="5"/>
  </w:num>
  <w:num w:numId="4">
    <w:abstractNumId w:val="30"/>
  </w:num>
  <w:num w:numId="5">
    <w:abstractNumId w:val="25"/>
  </w:num>
  <w:num w:numId="6">
    <w:abstractNumId w:val="20"/>
  </w:num>
  <w:num w:numId="7">
    <w:abstractNumId w:val="10"/>
  </w:num>
  <w:num w:numId="8">
    <w:abstractNumId w:val="3"/>
  </w:num>
  <w:num w:numId="9">
    <w:abstractNumId w:val="12"/>
  </w:num>
  <w:num w:numId="10">
    <w:abstractNumId w:val="23"/>
  </w:num>
  <w:num w:numId="11">
    <w:abstractNumId w:val="33"/>
  </w:num>
  <w:num w:numId="12">
    <w:abstractNumId w:val="14"/>
  </w:num>
  <w:num w:numId="13">
    <w:abstractNumId w:val="17"/>
  </w:num>
  <w:num w:numId="14">
    <w:abstractNumId w:val="9"/>
  </w:num>
  <w:num w:numId="15">
    <w:abstractNumId w:val="26"/>
  </w:num>
  <w:num w:numId="16">
    <w:abstractNumId w:val="28"/>
  </w:num>
  <w:num w:numId="17">
    <w:abstractNumId w:val="24"/>
  </w:num>
  <w:num w:numId="18">
    <w:abstractNumId w:val="37"/>
  </w:num>
  <w:num w:numId="19">
    <w:abstractNumId w:val="22"/>
  </w:num>
  <w:num w:numId="20">
    <w:abstractNumId w:val="1"/>
  </w:num>
  <w:num w:numId="21">
    <w:abstractNumId w:val="13"/>
  </w:num>
  <w:num w:numId="22">
    <w:abstractNumId w:val="39"/>
  </w:num>
  <w:num w:numId="23">
    <w:abstractNumId w:val="27"/>
  </w:num>
  <w:num w:numId="24">
    <w:abstractNumId w:val="6"/>
  </w:num>
  <w:num w:numId="25">
    <w:abstractNumId w:val="34"/>
  </w:num>
  <w:num w:numId="26">
    <w:abstractNumId w:val="36"/>
  </w:num>
  <w:num w:numId="27">
    <w:abstractNumId w:val="2"/>
  </w:num>
  <w:num w:numId="28">
    <w:abstractNumId w:val="4"/>
  </w:num>
  <w:num w:numId="29">
    <w:abstractNumId w:val="21"/>
  </w:num>
  <w:num w:numId="30">
    <w:abstractNumId w:val="31"/>
  </w:num>
  <w:num w:numId="31">
    <w:abstractNumId w:val="29"/>
  </w:num>
  <w:num w:numId="32">
    <w:abstractNumId w:val="11"/>
  </w:num>
  <w:num w:numId="33">
    <w:abstractNumId w:val="16"/>
  </w:num>
  <w:num w:numId="34">
    <w:abstractNumId w:val="32"/>
  </w:num>
  <w:num w:numId="35">
    <w:abstractNumId w:val="38"/>
  </w:num>
  <w:num w:numId="36">
    <w:abstractNumId w:val="7"/>
  </w:num>
  <w:num w:numId="37">
    <w:abstractNumId w:val="15"/>
  </w:num>
  <w:num w:numId="38">
    <w:abstractNumId w:val="19"/>
  </w:num>
  <w:num w:numId="39">
    <w:abstractNumId w:val="1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A96BlKooJMKVIRfxsxdRZg5+EJZ/YTh7WstVVLCx3S3vkMutdVBB7zftDio6sO/imdFB3g+IH+sN6LZwhTZoNA==" w:salt="rBLmw5Ar5sV9nFfMUzQxhQ=="/>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DF0F7F"/>
    <w:rsid w:val="0000040A"/>
    <w:rsid w:val="00000A94"/>
    <w:rsid w:val="00001972"/>
    <w:rsid w:val="00001D9A"/>
    <w:rsid w:val="00003EE0"/>
    <w:rsid w:val="00007B3A"/>
    <w:rsid w:val="000107E0"/>
    <w:rsid w:val="00011FDE"/>
    <w:rsid w:val="00012FFD"/>
    <w:rsid w:val="0001319C"/>
    <w:rsid w:val="0001400C"/>
    <w:rsid w:val="00014162"/>
    <w:rsid w:val="00014340"/>
    <w:rsid w:val="00016A9C"/>
    <w:rsid w:val="00022184"/>
    <w:rsid w:val="00022762"/>
    <w:rsid w:val="00022E55"/>
    <w:rsid w:val="00023264"/>
    <w:rsid w:val="000238E0"/>
    <w:rsid w:val="000249DB"/>
    <w:rsid w:val="0002595E"/>
    <w:rsid w:val="000303C3"/>
    <w:rsid w:val="000331D3"/>
    <w:rsid w:val="000346A5"/>
    <w:rsid w:val="000359C3"/>
    <w:rsid w:val="00035A7D"/>
    <w:rsid w:val="000365ED"/>
    <w:rsid w:val="0004035C"/>
    <w:rsid w:val="0004249A"/>
    <w:rsid w:val="00043282"/>
    <w:rsid w:val="00044286"/>
    <w:rsid w:val="00047F28"/>
    <w:rsid w:val="000503AA"/>
    <w:rsid w:val="000506A1"/>
    <w:rsid w:val="00050997"/>
    <w:rsid w:val="000515DD"/>
    <w:rsid w:val="0005265A"/>
    <w:rsid w:val="000539DD"/>
    <w:rsid w:val="00053BD3"/>
    <w:rsid w:val="000556ED"/>
    <w:rsid w:val="00055FE2"/>
    <w:rsid w:val="0005616F"/>
    <w:rsid w:val="00060C2E"/>
    <w:rsid w:val="00060FE5"/>
    <w:rsid w:val="00061033"/>
    <w:rsid w:val="000619E9"/>
    <w:rsid w:val="000622D4"/>
    <w:rsid w:val="0006357D"/>
    <w:rsid w:val="00064AD8"/>
    <w:rsid w:val="00067F1E"/>
    <w:rsid w:val="0007062F"/>
    <w:rsid w:val="00071CC0"/>
    <w:rsid w:val="00073C8C"/>
    <w:rsid w:val="0007445E"/>
    <w:rsid w:val="00077B64"/>
    <w:rsid w:val="00080A1C"/>
    <w:rsid w:val="00082317"/>
    <w:rsid w:val="00083D2C"/>
    <w:rsid w:val="00086AA1"/>
    <w:rsid w:val="00087A77"/>
    <w:rsid w:val="00090CA6"/>
    <w:rsid w:val="00092B8A"/>
    <w:rsid w:val="00092FB0"/>
    <w:rsid w:val="000934C5"/>
    <w:rsid w:val="00093D25"/>
    <w:rsid w:val="00093DAB"/>
    <w:rsid w:val="00094D73"/>
    <w:rsid w:val="00094E26"/>
    <w:rsid w:val="00096D63"/>
    <w:rsid w:val="000A0B60"/>
    <w:rsid w:val="000A0EB8"/>
    <w:rsid w:val="000A19FC"/>
    <w:rsid w:val="000A296B"/>
    <w:rsid w:val="000A483F"/>
    <w:rsid w:val="000A7311"/>
    <w:rsid w:val="000B012B"/>
    <w:rsid w:val="000B060F"/>
    <w:rsid w:val="000B1592"/>
    <w:rsid w:val="000B1FF2"/>
    <w:rsid w:val="000B3CDA"/>
    <w:rsid w:val="000B6A0B"/>
    <w:rsid w:val="000B7810"/>
    <w:rsid w:val="000C0F6C"/>
    <w:rsid w:val="000C11DB"/>
    <w:rsid w:val="000C1492"/>
    <w:rsid w:val="000C2FBD"/>
    <w:rsid w:val="000C4B41"/>
    <w:rsid w:val="000C57D6"/>
    <w:rsid w:val="000C6362"/>
    <w:rsid w:val="000C7666"/>
    <w:rsid w:val="000D0A5A"/>
    <w:rsid w:val="000D0A9C"/>
    <w:rsid w:val="000D1795"/>
    <w:rsid w:val="000D329A"/>
    <w:rsid w:val="000D4B9C"/>
    <w:rsid w:val="000D4EB6"/>
    <w:rsid w:val="000D753B"/>
    <w:rsid w:val="000E0589"/>
    <w:rsid w:val="000E2EE9"/>
    <w:rsid w:val="000E4C9E"/>
    <w:rsid w:val="000E6FD7"/>
    <w:rsid w:val="000F06E1"/>
    <w:rsid w:val="000F0E3C"/>
    <w:rsid w:val="000F19D5"/>
    <w:rsid w:val="000F25D7"/>
    <w:rsid w:val="000F4AEA"/>
    <w:rsid w:val="000F633F"/>
    <w:rsid w:val="000F67E9"/>
    <w:rsid w:val="00104926"/>
    <w:rsid w:val="00113B1E"/>
    <w:rsid w:val="0011711C"/>
    <w:rsid w:val="001200E2"/>
    <w:rsid w:val="0012059C"/>
    <w:rsid w:val="00122C6F"/>
    <w:rsid w:val="00124E4F"/>
    <w:rsid w:val="001260B7"/>
    <w:rsid w:val="001265CB"/>
    <w:rsid w:val="00127E7D"/>
    <w:rsid w:val="00131536"/>
    <w:rsid w:val="001321C6"/>
    <w:rsid w:val="001325C4"/>
    <w:rsid w:val="00133010"/>
    <w:rsid w:val="001338EE"/>
    <w:rsid w:val="00133AAE"/>
    <w:rsid w:val="00135323"/>
    <w:rsid w:val="001356C4"/>
    <w:rsid w:val="00141114"/>
    <w:rsid w:val="00142969"/>
    <w:rsid w:val="001446C2"/>
    <w:rsid w:val="001457E7"/>
    <w:rsid w:val="00145D9D"/>
    <w:rsid w:val="00146388"/>
    <w:rsid w:val="0015033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D12"/>
    <w:rsid w:val="00190087"/>
    <w:rsid w:val="001913C4"/>
    <w:rsid w:val="0019348F"/>
    <w:rsid w:val="00193A07"/>
    <w:rsid w:val="00193DF1"/>
    <w:rsid w:val="00194C95"/>
    <w:rsid w:val="00195C34"/>
    <w:rsid w:val="00196EF5"/>
    <w:rsid w:val="001A1A53"/>
    <w:rsid w:val="001A234A"/>
    <w:rsid w:val="001A4CF3"/>
    <w:rsid w:val="001A7DC0"/>
    <w:rsid w:val="001B06E8"/>
    <w:rsid w:val="001B4EE5"/>
    <w:rsid w:val="001B71D0"/>
    <w:rsid w:val="001B71EE"/>
    <w:rsid w:val="001C04A8"/>
    <w:rsid w:val="001C2C03"/>
    <w:rsid w:val="001C42F7"/>
    <w:rsid w:val="001C49E5"/>
    <w:rsid w:val="001C680C"/>
    <w:rsid w:val="001C7FEA"/>
    <w:rsid w:val="001D0499"/>
    <w:rsid w:val="001D0B33"/>
    <w:rsid w:val="001D0BBE"/>
    <w:rsid w:val="001D0ED4"/>
    <w:rsid w:val="001D1F1D"/>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55B"/>
    <w:rsid w:val="0020527B"/>
    <w:rsid w:val="00205F2C"/>
    <w:rsid w:val="00210B15"/>
    <w:rsid w:val="00212C3D"/>
    <w:rsid w:val="002142EA"/>
    <w:rsid w:val="002204BB"/>
    <w:rsid w:val="00221B79"/>
    <w:rsid w:val="00221C6B"/>
    <w:rsid w:val="002253A1"/>
    <w:rsid w:val="00225CF8"/>
    <w:rsid w:val="0022794E"/>
    <w:rsid w:val="00230B4F"/>
    <w:rsid w:val="00233D64"/>
    <w:rsid w:val="0023482A"/>
    <w:rsid w:val="002359CB"/>
    <w:rsid w:val="00241E6E"/>
    <w:rsid w:val="00243109"/>
    <w:rsid w:val="00243540"/>
    <w:rsid w:val="0024497B"/>
    <w:rsid w:val="0024515B"/>
    <w:rsid w:val="00246021"/>
    <w:rsid w:val="0024666E"/>
    <w:rsid w:val="00247F52"/>
    <w:rsid w:val="00250B25"/>
    <w:rsid w:val="00250BBE"/>
    <w:rsid w:val="002515C2"/>
    <w:rsid w:val="0025194F"/>
    <w:rsid w:val="002537A2"/>
    <w:rsid w:val="0026148A"/>
    <w:rsid w:val="00262696"/>
    <w:rsid w:val="00263D25"/>
    <w:rsid w:val="002643C3"/>
    <w:rsid w:val="00264A0C"/>
    <w:rsid w:val="00266EEB"/>
    <w:rsid w:val="00267EF4"/>
    <w:rsid w:val="00270CB8"/>
    <w:rsid w:val="00272B08"/>
    <w:rsid w:val="00274390"/>
    <w:rsid w:val="002771AC"/>
    <w:rsid w:val="00281BB8"/>
    <w:rsid w:val="00281E9E"/>
    <w:rsid w:val="00282405"/>
    <w:rsid w:val="002840E1"/>
    <w:rsid w:val="00285170"/>
    <w:rsid w:val="00285361"/>
    <w:rsid w:val="00290871"/>
    <w:rsid w:val="00292D60"/>
    <w:rsid w:val="00293B30"/>
    <w:rsid w:val="00294D34"/>
    <w:rsid w:val="00294E3B"/>
    <w:rsid w:val="00296193"/>
    <w:rsid w:val="00296C66"/>
    <w:rsid w:val="00296EBE"/>
    <w:rsid w:val="002974E3"/>
    <w:rsid w:val="002A084B"/>
    <w:rsid w:val="002A1260"/>
    <w:rsid w:val="002A1589"/>
    <w:rsid w:val="002A1608"/>
    <w:rsid w:val="002A25DC"/>
    <w:rsid w:val="002A3970"/>
    <w:rsid w:val="002A3AAB"/>
    <w:rsid w:val="002A4CEA"/>
    <w:rsid w:val="002A54F7"/>
    <w:rsid w:val="002A5977"/>
    <w:rsid w:val="002A5A13"/>
    <w:rsid w:val="002A757F"/>
    <w:rsid w:val="002A7F44"/>
    <w:rsid w:val="002B0C40"/>
    <w:rsid w:val="002B1966"/>
    <w:rsid w:val="002B4508"/>
    <w:rsid w:val="002B5779"/>
    <w:rsid w:val="002B5ECE"/>
    <w:rsid w:val="002B7332"/>
    <w:rsid w:val="002B7BFE"/>
    <w:rsid w:val="002B7F51"/>
    <w:rsid w:val="002C09E7"/>
    <w:rsid w:val="002C1E06"/>
    <w:rsid w:val="002C1E1C"/>
    <w:rsid w:val="002C3F07"/>
    <w:rsid w:val="002C4F24"/>
    <w:rsid w:val="002C5278"/>
    <w:rsid w:val="002C7EBB"/>
    <w:rsid w:val="002D06C1"/>
    <w:rsid w:val="002D42B5"/>
    <w:rsid w:val="002D4F1A"/>
    <w:rsid w:val="002D6EC6"/>
    <w:rsid w:val="002D79AC"/>
    <w:rsid w:val="002E039D"/>
    <w:rsid w:val="002E4D5A"/>
    <w:rsid w:val="002E6326"/>
    <w:rsid w:val="002F042E"/>
    <w:rsid w:val="002F30E0"/>
    <w:rsid w:val="002F35E4"/>
    <w:rsid w:val="002F3730"/>
    <w:rsid w:val="002F38E1"/>
    <w:rsid w:val="002F79F7"/>
    <w:rsid w:val="002F7AF6"/>
    <w:rsid w:val="00300E63"/>
    <w:rsid w:val="00302F5F"/>
    <w:rsid w:val="00302F8C"/>
    <w:rsid w:val="0030441D"/>
    <w:rsid w:val="00306063"/>
    <w:rsid w:val="00312211"/>
    <w:rsid w:val="00313B85"/>
    <w:rsid w:val="00317988"/>
    <w:rsid w:val="0032006B"/>
    <w:rsid w:val="003221B4"/>
    <w:rsid w:val="0032258D"/>
    <w:rsid w:val="00322E62"/>
    <w:rsid w:val="00323252"/>
    <w:rsid w:val="00324D13"/>
    <w:rsid w:val="00324D2A"/>
    <w:rsid w:val="00324EDD"/>
    <w:rsid w:val="003331E4"/>
    <w:rsid w:val="00336C64"/>
    <w:rsid w:val="00337162"/>
    <w:rsid w:val="0034194F"/>
    <w:rsid w:val="00344605"/>
    <w:rsid w:val="003474AA"/>
    <w:rsid w:val="003501C5"/>
    <w:rsid w:val="00350D1D"/>
    <w:rsid w:val="00352406"/>
    <w:rsid w:val="00352C83"/>
    <w:rsid w:val="003615D2"/>
    <w:rsid w:val="0036429C"/>
    <w:rsid w:val="00364A53"/>
    <w:rsid w:val="003654CB"/>
    <w:rsid w:val="00365AA9"/>
    <w:rsid w:val="00365F86"/>
    <w:rsid w:val="00365F87"/>
    <w:rsid w:val="00366E89"/>
    <w:rsid w:val="003675EB"/>
    <w:rsid w:val="0037029E"/>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2DB"/>
    <w:rsid w:val="003A1582"/>
    <w:rsid w:val="003A2291"/>
    <w:rsid w:val="003A4077"/>
    <w:rsid w:val="003A6C11"/>
    <w:rsid w:val="003B09AD"/>
    <w:rsid w:val="003B1F18"/>
    <w:rsid w:val="003B5BF0"/>
    <w:rsid w:val="003B60BF"/>
    <w:rsid w:val="003B6BE3"/>
    <w:rsid w:val="003C010C"/>
    <w:rsid w:val="003C0A6C"/>
    <w:rsid w:val="003C14F8"/>
    <w:rsid w:val="003C5A43"/>
    <w:rsid w:val="003D0519"/>
    <w:rsid w:val="003D0FF6"/>
    <w:rsid w:val="003D262C"/>
    <w:rsid w:val="003D27DB"/>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3CF"/>
    <w:rsid w:val="0041477A"/>
    <w:rsid w:val="004167A3"/>
    <w:rsid w:val="004306D3"/>
    <w:rsid w:val="00432DAA"/>
    <w:rsid w:val="00434305"/>
    <w:rsid w:val="00434F4B"/>
    <w:rsid w:val="00435DF7"/>
    <w:rsid w:val="0044083F"/>
    <w:rsid w:val="0044117F"/>
    <w:rsid w:val="00441AE7"/>
    <w:rsid w:val="00443610"/>
    <w:rsid w:val="00445574"/>
    <w:rsid w:val="004467FB"/>
    <w:rsid w:val="00447E47"/>
    <w:rsid w:val="00452D6B"/>
    <w:rsid w:val="00454484"/>
    <w:rsid w:val="0045517B"/>
    <w:rsid w:val="00463B77"/>
    <w:rsid w:val="00463C7B"/>
    <w:rsid w:val="004644A6"/>
    <w:rsid w:val="004659BD"/>
    <w:rsid w:val="00470775"/>
    <w:rsid w:val="004728D0"/>
    <w:rsid w:val="004746B1"/>
    <w:rsid w:val="0047583F"/>
    <w:rsid w:val="00475DE8"/>
    <w:rsid w:val="00481C44"/>
    <w:rsid w:val="00484070"/>
    <w:rsid w:val="00484936"/>
    <w:rsid w:val="004855B0"/>
    <w:rsid w:val="00485C89"/>
    <w:rsid w:val="00486BE3"/>
    <w:rsid w:val="004905E4"/>
    <w:rsid w:val="00490A89"/>
    <w:rsid w:val="00490AB4"/>
    <w:rsid w:val="004915F8"/>
    <w:rsid w:val="00492F02"/>
    <w:rsid w:val="004939AE"/>
    <w:rsid w:val="00495540"/>
    <w:rsid w:val="004966A5"/>
    <w:rsid w:val="004A12DF"/>
    <w:rsid w:val="004A17E6"/>
    <w:rsid w:val="004A1BA8"/>
    <w:rsid w:val="004A2FB5"/>
    <w:rsid w:val="004A4B57"/>
    <w:rsid w:val="004A63FA"/>
    <w:rsid w:val="004A6FB2"/>
    <w:rsid w:val="004B0272"/>
    <w:rsid w:val="004B2701"/>
    <w:rsid w:val="004B2E1B"/>
    <w:rsid w:val="004B3AA8"/>
    <w:rsid w:val="004B3E93"/>
    <w:rsid w:val="004B6F58"/>
    <w:rsid w:val="004C1FBC"/>
    <w:rsid w:val="004C2F70"/>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5C64"/>
    <w:rsid w:val="004E67C0"/>
    <w:rsid w:val="004F318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793"/>
    <w:rsid w:val="00516088"/>
    <w:rsid w:val="00516B0B"/>
    <w:rsid w:val="005220EC"/>
    <w:rsid w:val="00523F95"/>
    <w:rsid w:val="00524253"/>
    <w:rsid w:val="00524D65"/>
    <w:rsid w:val="00525B16"/>
    <w:rsid w:val="0053293D"/>
    <w:rsid w:val="00533D04"/>
    <w:rsid w:val="00534804"/>
    <w:rsid w:val="00534BDF"/>
    <w:rsid w:val="005354EA"/>
    <w:rsid w:val="0053585F"/>
    <w:rsid w:val="00535EC4"/>
    <w:rsid w:val="00535ED9"/>
    <w:rsid w:val="0053692B"/>
    <w:rsid w:val="00541853"/>
    <w:rsid w:val="00543479"/>
    <w:rsid w:val="00543BDA"/>
    <w:rsid w:val="005441CC"/>
    <w:rsid w:val="0054637F"/>
    <w:rsid w:val="005479DA"/>
    <w:rsid w:val="00547AAE"/>
    <w:rsid w:val="00547BCC"/>
    <w:rsid w:val="0055013B"/>
    <w:rsid w:val="00551F6F"/>
    <w:rsid w:val="00555044"/>
    <w:rsid w:val="00555F15"/>
    <w:rsid w:val="00561475"/>
    <w:rsid w:val="0056487B"/>
    <w:rsid w:val="00564FB9"/>
    <w:rsid w:val="00566BC5"/>
    <w:rsid w:val="005719AB"/>
    <w:rsid w:val="00573D9E"/>
    <w:rsid w:val="00575B1F"/>
    <w:rsid w:val="005801E3"/>
    <w:rsid w:val="00581802"/>
    <w:rsid w:val="005836A8"/>
    <w:rsid w:val="0058409C"/>
    <w:rsid w:val="00584262"/>
    <w:rsid w:val="00584B1E"/>
    <w:rsid w:val="00584ECE"/>
    <w:rsid w:val="00586630"/>
    <w:rsid w:val="00587ADD"/>
    <w:rsid w:val="00591E27"/>
    <w:rsid w:val="00596160"/>
    <w:rsid w:val="005966E2"/>
    <w:rsid w:val="005968C1"/>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A8A"/>
    <w:rsid w:val="005C5F21"/>
    <w:rsid w:val="005C7156"/>
    <w:rsid w:val="005D0C75"/>
    <w:rsid w:val="005D1806"/>
    <w:rsid w:val="005D3805"/>
    <w:rsid w:val="005D4171"/>
    <w:rsid w:val="005D6A95"/>
    <w:rsid w:val="005D6B2C"/>
    <w:rsid w:val="005D6D9C"/>
    <w:rsid w:val="005E0866"/>
    <w:rsid w:val="005E2335"/>
    <w:rsid w:val="005E34CA"/>
    <w:rsid w:val="005E3C18"/>
    <w:rsid w:val="005E6812"/>
    <w:rsid w:val="005E7881"/>
    <w:rsid w:val="005E78E0"/>
    <w:rsid w:val="005F0D9C"/>
    <w:rsid w:val="005F1CAB"/>
    <w:rsid w:val="005F284E"/>
    <w:rsid w:val="005F4712"/>
    <w:rsid w:val="006015CE"/>
    <w:rsid w:val="00604784"/>
    <w:rsid w:val="00606419"/>
    <w:rsid w:val="00607D29"/>
    <w:rsid w:val="006115E1"/>
    <w:rsid w:val="00612952"/>
    <w:rsid w:val="00614CC1"/>
    <w:rsid w:val="00615A9D"/>
    <w:rsid w:val="00617387"/>
    <w:rsid w:val="006173C3"/>
    <w:rsid w:val="006205D6"/>
    <w:rsid w:val="00623BEA"/>
    <w:rsid w:val="006252D8"/>
    <w:rsid w:val="006259BC"/>
    <w:rsid w:val="0062636B"/>
    <w:rsid w:val="00632182"/>
    <w:rsid w:val="00632AE0"/>
    <w:rsid w:val="00633C17"/>
    <w:rsid w:val="00634D9E"/>
    <w:rsid w:val="00636E3E"/>
    <w:rsid w:val="006379F7"/>
    <w:rsid w:val="00637E4D"/>
    <w:rsid w:val="00640620"/>
    <w:rsid w:val="00641787"/>
    <w:rsid w:val="00641A1F"/>
    <w:rsid w:val="00642C1F"/>
    <w:rsid w:val="00645904"/>
    <w:rsid w:val="00647C3A"/>
    <w:rsid w:val="00647FD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864"/>
    <w:rsid w:val="006819B8"/>
    <w:rsid w:val="006840A6"/>
    <w:rsid w:val="006850CD"/>
    <w:rsid w:val="00685AAB"/>
    <w:rsid w:val="00693347"/>
    <w:rsid w:val="00695D22"/>
    <w:rsid w:val="006A07AA"/>
    <w:rsid w:val="006A25E5"/>
    <w:rsid w:val="006A2B46"/>
    <w:rsid w:val="006A336D"/>
    <w:rsid w:val="006A37B9"/>
    <w:rsid w:val="006B1269"/>
    <w:rsid w:val="006B2672"/>
    <w:rsid w:val="006B54BF"/>
    <w:rsid w:val="006B5F44"/>
    <w:rsid w:val="006B5F90"/>
    <w:rsid w:val="006B62E4"/>
    <w:rsid w:val="006B7306"/>
    <w:rsid w:val="006B7814"/>
    <w:rsid w:val="006C1BBA"/>
    <w:rsid w:val="006C2079"/>
    <w:rsid w:val="006C5A62"/>
    <w:rsid w:val="006C5D68"/>
    <w:rsid w:val="006C6976"/>
    <w:rsid w:val="006C6DD0"/>
    <w:rsid w:val="006D04EA"/>
    <w:rsid w:val="006D0AB7"/>
    <w:rsid w:val="006D16C4"/>
    <w:rsid w:val="006D3E96"/>
    <w:rsid w:val="006D4515"/>
    <w:rsid w:val="006D4BB1"/>
    <w:rsid w:val="006D6593"/>
    <w:rsid w:val="006E0DCE"/>
    <w:rsid w:val="006E23EA"/>
    <w:rsid w:val="006F03A8"/>
    <w:rsid w:val="006F2ACA"/>
    <w:rsid w:val="006F2ADC"/>
    <w:rsid w:val="006F2BFE"/>
    <w:rsid w:val="006F31E9"/>
    <w:rsid w:val="006F6284"/>
    <w:rsid w:val="007002C5"/>
    <w:rsid w:val="00701774"/>
    <w:rsid w:val="00704387"/>
    <w:rsid w:val="00705200"/>
    <w:rsid w:val="00706D3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CAC"/>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ED2"/>
    <w:rsid w:val="00773C1F"/>
    <w:rsid w:val="00774C43"/>
    <w:rsid w:val="00774DA4"/>
    <w:rsid w:val="00776599"/>
    <w:rsid w:val="0078114B"/>
    <w:rsid w:val="007817E0"/>
    <w:rsid w:val="00781DD2"/>
    <w:rsid w:val="00783ECF"/>
    <w:rsid w:val="0078413A"/>
    <w:rsid w:val="00792866"/>
    <w:rsid w:val="007959E8"/>
    <w:rsid w:val="00795E9C"/>
    <w:rsid w:val="007A0521"/>
    <w:rsid w:val="007A2E12"/>
    <w:rsid w:val="007A3475"/>
    <w:rsid w:val="007A41C8"/>
    <w:rsid w:val="007A54CE"/>
    <w:rsid w:val="007A6FD9"/>
    <w:rsid w:val="007A7FFA"/>
    <w:rsid w:val="007B04EB"/>
    <w:rsid w:val="007B0D4F"/>
    <w:rsid w:val="007B5A3B"/>
    <w:rsid w:val="007B5A3D"/>
    <w:rsid w:val="007B5B95"/>
    <w:rsid w:val="007B68EA"/>
    <w:rsid w:val="007B7453"/>
    <w:rsid w:val="007C0530"/>
    <w:rsid w:val="007C12D3"/>
    <w:rsid w:val="007C1E8B"/>
    <w:rsid w:val="007C2D89"/>
    <w:rsid w:val="007C4593"/>
    <w:rsid w:val="007C5309"/>
    <w:rsid w:val="007C55F2"/>
    <w:rsid w:val="007C6069"/>
    <w:rsid w:val="007D06C4"/>
    <w:rsid w:val="007D1352"/>
    <w:rsid w:val="007D204B"/>
    <w:rsid w:val="007D2508"/>
    <w:rsid w:val="007D346A"/>
    <w:rsid w:val="007D6518"/>
    <w:rsid w:val="007D76BD"/>
    <w:rsid w:val="007E03FB"/>
    <w:rsid w:val="007E0BF1"/>
    <w:rsid w:val="007E6F31"/>
    <w:rsid w:val="007F0ED8"/>
    <w:rsid w:val="007F0F63"/>
    <w:rsid w:val="007F5CD6"/>
    <w:rsid w:val="007F75CE"/>
    <w:rsid w:val="008013A4"/>
    <w:rsid w:val="008027CE"/>
    <w:rsid w:val="00802F42"/>
    <w:rsid w:val="00804383"/>
    <w:rsid w:val="00804BB7"/>
    <w:rsid w:val="00804D41"/>
    <w:rsid w:val="0080618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ECD"/>
    <w:rsid w:val="0085173A"/>
    <w:rsid w:val="00852740"/>
    <w:rsid w:val="00856316"/>
    <w:rsid w:val="008603CE"/>
    <w:rsid w:val="008610B9"/>
    <w:rsid w:val="008620FC"/>
    <w:rsid w:val="008627A5"/>
    <w:rsid w:val="00863E05"/>
    <w:rsid w:val="00865ACA"/>
    <w:rsid w:val="00865C7D"/>
    <w:rsid w:val="00865D28"/>
    <w:rsid w:val="00865F85"/>
    <w:rsid w:val="00867C10"/>
    <w:rsid w:val="00870439"/>
    <w:rsid w:val="00870DA1"/>
    <w:rsid w:val="00874835"/>
    <w:rsid w:val="00883F93"/>
    <w:rsid w:val="00884DB3"/>
    <w:rsid w:val="00885570"/>
    <w:rsid w:val="00885A9D"/>
    <w:rsid w:val="008864F6"/>
    <w:rsid w:val="00887786"/>
    <w:rsid w:val="0089049D"/>
    <w:rsid w:val="008921DA"/>
    <w:rsid w:val="008928C9"/>
    <w:rsid w:val="008930CB"/>
    <w:rsid w:val="008938DC"/>
    <w:rsid w:val="00893FD1"/>
    <w:rsid w:val="00894836"/>
    <w:rsid w:val="00894973"/>
    <w:rsid w:val="00895172"/>
    <w:rsid w:val="008954D3"/>
    <w:rsid w:val="00895680"/>
    <w:rsid w:val="00896DFF"/>
    <w:rsid w:val="0089762C"/>
    <w:rsid w:val="008A1893"/>
    <w:rsid w:val="008A3215"/>
    <w:rsid w:val="008A57E6"/>
    <w:rsid w:val="008A6343"/>
    <w:rsid w:val="008A6F81"/>
    <w:rsid w:val="008A769A"/>
    <w:rsid w:val="008B0256"/>
    <w:rsid w:val="008B0C9C"/>
    <w:rsid w:val="008B166D"/>
    <w:rsid w:val="008B17F4"/>
    <w:rsid w:val="008B3615"/>
    <w:rsid w:val="008B4AC4"/>
    <w:rsid w:val="008B50C8"/>
    <w:rsid w:val="008B5281"/>
    <w:rsid w:val="008B7E05"/>
    <w:rsid w:val="008C1797"/>
    <w:rsid w:val="008C219C"/>
    <w:rsid w:val="008C2CB2"/>
    <w:rsid w:val="008C475E"/>
    <w:rsid w:val="008C619A"/>
    <w:rsid w:val="008D07CF"/>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10E"/>
    <w:rsid w:val="009245F5"/>
    <w:rsid w:val="009249EC"/>
    <w:rsid w:val="009273B3"/>
    <w:rsid w:val="00927ABB"/>
    <w:rsid w:val="009305B5"/>
    <w:rsid w:val="009429D5"/>
    <w:rsid w:val="00942BF1"/>
    <w:rsid w:val="00945180"/>
    <w:rsid w:val="00945428"/>
    <w:rsid w:val="0094607B"/>
    <w:rsid w:val="009511A0"/>
    <w:rsid w:val="00953604"/>
    <w:rsid w:val="00954779"/>
    <w:rsid w:val="0095496B"/>
    <w:rsid w:val="0096066A"/>
    <w:rsid w:val="009610DC"/>
    <w:rsid w:val="009612B5"/>
    <w:rsid w:val="00961490"/>
    <w:rsid w:val="00962BB4"/>
    <w:rsid w:val="0096381A"/>
    <w:rsid w:val="00965E04"/>
    <w:rsid w:val="009674AD"/>
    <w:rsid w:val="00970CDC"/>
    <w:rsid w:val="00973EA7"/>
    <w:rsid w:val="00977010"/>
    <w:rsid w:val="00977D02"/>
    <w:rsid w:val="009809BB"/>
    <w:rsid w:val="00982E03"/>
    <w:rsid w:val="0098364B"/>
    <w:rsid w:val="00985CFA"/>
    <w:rsid w:val="009911AF"/>
    <w:rsid w:val="00991875"/>
    <w:rsid w:val="00991F92"/>
    <w:rsid w:val="00992985"/>
    <w:rsid w:val="00993889"/>
    <w:rsid w:val="0099551B"/>
    <w:rsid w:val="00997BF1"/>
    <w:rsid w:val="009A089C"/>
    <w:rsid w:val="009A0CED"/>
    <w:rsid w:val="009A118E"/>
    <w:rsid w:val="009A21CD"/>
    <w:rsid w:val="009A278C"/>
    <w:rsid w:val="009A2BC2"/>
    <w:rsid w:val="009A42C1"/>
    <w:rsid w:val="009A4428"/>
    <w:rsid w:val="009A450D"/>
    <w:rsid w:val="009A5429"/>
    <w:rsid w:val="009A61BD"/>
    <w:rsid w:val="009A72AD"/>
    <w:rsid w:val="009B09E0"/>
    <w:rsid w:val="009B0BC5"/>
    <w:rsid w:val="009B1247"/>
    <w:rsid w:val="009B46F9"/>
    <w:rsid w:val="009B6029"/>
    <w:rsid w:val="009B6971"/>
    <w:rsid w:val="009C27F1"/>
    <w:rsid w:val="009C3152"/>
    <w:rsid w:val="009C3A4D"/>
    <w:rsid w:val="009C4CFA"/>
    <w:rsid w:val="009C5070"/>
    <w:rsid w:val="009D112C"/>
    <w:rsid w:val="009D47FA"/>
    <w:rsid w:val="009D4C5B"/>
    <w:rsid w:val="009D50D2"/>
    <w:rsid w:val="009D6640"/>
    <w:rsid w:val="009D6B2A"/>
    <w:rsid w:val="009D6BCA"/>
    <w:rsid w:val="009E0F62"/>
    <w:rsid w:val="009E4A58"/>
    <w:rsid w:val="009E5A2D"/>
    <w:rsid w:val="009E5AB2"/>
    <w:rsid w:val="009E6219"/>
    <w:rsid w:val="009F03B3"/>
    <w:rsid w:val="00A0096C"/>
    <w:rsid w:val="00A01757"/>
    <w:rsid w:val="00A028C0"/>
    <w:rsid w:val="00A02BAE"/>
    <w:rsid w:val="00A06644"/>
    <w:rsid w:val="00A06A6B"/>
    <w:rsid w:val="00A07E47"/>
    <w:rsid w:val="00A10EC8"/>
    <w:rsid w:val="00A12208"/>
    <w:rsid w:val="00A12673"/>
    <w:rsid w:val="00A129D0"/>
    <w:rsid w:val="00A12C33"/>
    <w:rsid w:val="00A138BA"/>
    <w:rsid w:val="00A14C8E"/>
    <w:rsid w:val="00A14EA2"/>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A04"/>
    <w:rsid w:val="00A4452E"/>
    <w:rsid w:val="00A4472C"/>
    <w:rsid w:val="00A44E69"/>
    <w:rsid w:val="00A458FE"/>
    <w:rsid w:val="00A4661E"/>
    <w:rsid w:val="00A5195B"/>
    <w:rsid w:val="00A53CFC"/>
    <w:rsid w:val="00A55BD6"/>
    <w:rsid w:val="00A55D50"/>
    <w:rsid w:val="00A57142"/>
    <w:rsid w:val="00A648CD"/>
    <w:rsid w:val="00A6537A"/>
    <w:rsid w:val="00A67866"/>
    <w:rsid w:val="00A70B07"/>
    <w:rsid w:val="00A723F8"/>
    <w:rsid w:val="00A74125"/>
    <w:rsid w:val="00A77CCB"/>
    <w:rsid w:val="00A83D8D"/>
    <w:rsid w:val="00A8446B"/>
    <w:rsid w:val="00A8473F"/>
    <w:rsid w:val="00A862D6"/>
    <w:rsid w:val="00A8715E"/>
    <w:rsid w:val="00A9295B"/>
    <w:rsid w:val="00A93B09"/>
    <w:rsid w:val="00A94247"/>
    <w:rsid w:val="00A952D7"/>
    <w:rsid w:val="00A963F7"/>
    <w:rsid w:val="00A96AD8"/>
    <w:rsid w:val="00A96F16"/>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3F"/>
    <w:rsid w:val="00AD4126"/>
    <w:rsid w:val="00AD421C"/>
    <w:rsid w:val="00AD44FA"/>
    <w:rsid w:val="00AE070A"/>
    <w:rsid w:val="00AE101C"/>
    <w:rsid w:val="00AE37E5"/>
    <w:rsid w:val="00AE5EB4"/>
    <w:rsid w:val="00AE756E"/>
    <w:rsid w:val="00AE7965"/>
    <w:rsid w:val="00AE7BD6"/>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61"/>
    <w:rsid w:val="00B378E5"/>
    <w:rsid w:val="00B4139E"/>
    <w:rsid w:val="00B42422"/>
    <w:rsid w:val="00B4346D"/>
    <w:rsid w:val="00B440F4"/>
    <w:rsid w:val="00B447A5"/>
    <w:rsid w:val="00B4654C"/>
    <w:rsid w:val="00B46AF0"/>
    <w:rsid w:val="00B47293"/>
    <w:rsid w:val="00B50E50"/>
    <w:rsid w:val="00B52120"/>
    <w:rsid w:val="00B54ABC"/>
    <w:rsid w:val="00B54DDE"/>
    <w:rsid w:val="00B56CCF"/>
    <w:rsid w:val="00B56FBE"/>
    <w:rsid w:val="00B60ACF"/>
    <w:rsid w:val="00B62B58"/>
    <w:rsid w:val="00B65149"/>
    <w:rsid w:val="00B66567"/>
    <w:rsid w:val="00B66A29"/>
    <w:rsid w:val="00B66F52"/>
    <w:rsid w:val="00B66FE5"/>
    <w:rsid w:val="00B67A8B"/>
    <w:rsid w:val="00B72880"/>
    <w:rsid w:val="00B758BF"/>
    <w:rsid w:val="00B75DBC"/>
    <w:rsid w:val="00B77EC8"/>
    <w:rsid w:val="00B81B38"/>
    <w:rsid w:val="00B827A6"/>
    <w:rsid w:val="00B831CE"/>
    <w:rsid w:val="00B83793"/>
    <w:rsid w:val="00B86677"/>
    <w:rsid w:val="00B87131"/>
    <w:rsid w:val="00B91997"/>
    <w:rsid w:val="00B92673"/>
    <w:rsid w:val="00B939B1"/>
    <w:rsid w:val="00B96D40"/>
    <w:rsid w:val="00B97386"/>
    <w:rsid w:val="00BA263B"/>
    <w:rsid w:val="00BA42B2"/>
    <w:rsid w:val="00BA58D4"/>
    <w:rsid w:val="00BA5B9E"/>
    <w:rsid w:val="00BA7C9A"/>
    <w:rsid w:val="00BB203B"/>
    <w:rsid w:val="00BB382F"/>
    <w:rsid w:val="00BB5F8F"/>
    <w:rsid w:val="00BB657A"/>
    <w:rsid w:val="00BC1A4E"/>
    <w:rsid w:val="00BC4724"/>
    <w:rsid w:val="00BC4790"/>
    <w:rsid w:val="00BC5DC7"/>
    <w:rsid w:val="00BC6B8B"/>
    <w:rsid w:val="00BC73D8"/>
    <w:rsid w:val="00BD52D7"/>
    <w:rsid w:val="00BD5AD2"/>
    <w:rsid w:val="00BE22F3"/>
    <w:rsid w:val="00BE5B52"/>
    <w:rsid w:val="00BE7B8D"/>
    <w:rsid w:val="00BF0993"/>
    <w:rsid w:val="00BF10A9"/>
    <w:rsid w:val="00BF1703"/>
    <w:rsid w:val="00BF231C"/>
    <w:rsid w:val="00BF3F19"/>
    <w:rsid w:val="00BF51E5"/>
    <w:rsid w:val="00BF74A6"/>
    <w:rsid w:val="00C013AD"/>
    <w:rsid w:val="00C04285"/>
    <w:rsid w:val="00C04904"/>
    <w:rsid w:val="00C056B3"/>
    <w:rsid w:val="00C103E5"/>
    <w:rsid w:val="00C13319"/>
    <w:rsid w:val="00C137DD"/>
    <w:rsid w:val="00C13EE9"/>
    <w:rsid w:val="00C20DBC"/>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D2C"/>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3963"/>
    <w:rsid w:val="00CA5256"/>
    <w:rsid w:val="00CA662A"/>
    <w:rsid w:val="00CA7AFD"/>
    <w:rsid w:val="00CA7C3C"/>
    <w:rsid w:val="00CB0189"/>
    <w:rsid w:val="00CB0BA2"/>
    <w:rsid w:val="00CB1A42"/>
    <w:rsid w:val="00CB1B0C"/>
    <w:rsid w:val="00CB2C0B"/>
    <w:rsid w:val="00CB517D"/>
    <w:rsid w:val="00CB6FA7"/>
    <w:rsid w:val="00CC038D"/>
    <w:rsid w:val="00CC08DB"/>
    <w:rsid w:val="00CC2AE7"/>
    <w:rsid w:val="00CC39FF"/>
    <w:rsid w:val="00CC3C2F"/>
    <w:rsid w:val="00CC433B"/>
    <w:rsid w:val="00CC4AC8"/>
    <w:rsid w:val="00CC5233"/>
    <w:rsid w:val="00CC5DE6"/>
    <w:rsid w:val="00CC6E4E"/>
    <w:rsid w:val="00CC6FE8"/>
    <w:rsid w:val="00CC7202"/>
    <w:rsid w:val="00CD2808"/>
    <w:rsid w:val="00CD28BF"/>
    <w:rsid w:val="00CD30B8"/>
    <w:rsid w:val="00CD4092"/>
    <w:rsid w:val="00CD4A20"/>
    <w:rsid w:val="00CD50A1"/>
    <w:rsid w:val="00CD519E"/>
    <w:rsid w:val="00CD561D"/>
    <w:rsid w:val="00CE0C4F"/>
    <w:rsid w:val="00CE14A7"/>
    <w:rsid w:val="00CE2669"/>
    <w:rsid w:val="00CE30EA"/>
    <w:rsid w:val="00CF048A"/>
    <w:rsid w:val="00CF155A"/>
    <w:rsid w:val="00CF2947"/>
    <w:rsid w:val="00CF686F"/>
    <w:rsid w:val="00CF6E60"/>
    <w:rsid w:val="00CF7BCA"/>
    <w:rsid w:val="00D008FD"/>
    <w:rsid w:val="00D0321C"/>
    <w:rsid w:val="00D035EC"/>
    <w:rsid w:val="00D0457B"/>
    <w:rsid w:val="00D06AB1"/>
    <w:rsid w:val="00D072ED"/>
    <w:rsid w:val="00D07A16"/>
    <w:rsid w:val="00D1067E"/>
    <w:rsid w:val="00D10F50"/>
    <w:rsid w:val="00D11272"/>
    <w:rsid w:val="00D126F5"/>
    <w:rsid w:val="00D133FF"/>
    <w:rsid w:val="00D1489E"/>
    <w:rsid w:val="00D20737"/>
    <w:rsid w:val="00D21E81"/>
    <w:rsid w:val="00D223DE"/>
    <w:rsid w:val="00D25E37"/>
    <w:rsid w:val="00D2661A"/>
    <w:rsid w:val="00D27582"/>
    <w:rsid w:val="00D27EC4"/>
    <w:rsid w:val="00D3190E"/>
    <w:rsid w:val="00D32719"/>
    <w:rsid w:val="00D33333"/>
    <w:rsid w:val="00D33457"/>
    <w:rsid w:val="00D352A2"/>
    <w:rsid w:val="00D36234"/>
    <w:rsid w:val="00D3660F"/>
    <w:rsid w:val="00D4162B"/>
    <w:rsid w:val="00D4514F"/>
    <w:rsid w:val="00D451E2"/>
    <w:rsid w:val="00D45E89"/>
    <w:rsid w:val="00D45E8D"/>
    <w:rsid w:val="00D466AE"/>
    <w:rsid w:val="00D468F9"/>
    <w:rsid w:val="00D4734F"/>
    <w:rsid w:val="00D51BF3"/>
    <w:rsid w:val="00D66846"/>
    <w:rsid w:val="00D66AD1"/>
    <w:rsid w:val="00D675FB"/>
    <w:rsid w:val="00D71F25"/>
    <w:rsid w:val="00D72465"/>
    <w:rsid w:val="00D72A9C"/>
    <w:rsid w:val="00D77031"/>
    <w:rsid w:val="00D84941"/>
    <w:rsid w:val="00D84FA1"/>
    <w:rsid w:val="00D851F0"/>
    <w:rsid w:val="00D85641"/>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DCA"/>
    <w:rsid w:val="00DD00FF"/>
    <w:rsid w:val="00DD0619"/>
    <w:rsid w:val="00DD07FB"/>
    <w:rsid w:val="00DD25C6"/>
    <w:rsid w:val="00DD4FE5"/>
    <w:rsid w:val="00DD54B0"/>
    <w:rsid w:val="00DD57EE"/>
    <w:rsid w:val="00DD6BCC"/>
    <w:rsid w:val="00DD6C2D"/>
    <w:rsid w:val="00DE0A4B"/>
    <w:rsid w:val="00DE1751"/>
    <w:rsid w:val="00DE2410"/>
    <w:rsid w:val="00DE2939"/>
    <w:rsid w:val="00DE6E81"/>
    <w:rsid w:val="00DE703F"/>
    <w:rsid w:val="00DE7595"/>
    <w:rsid w:val="00DF0F7F"/>
    <w:rsid w:val="00DF1961"/>
    <w:rsid w:val="00DF44DE"/>
    <w:rsid w:val="00DF5F11"/>
    <w:rsid w:val="00E01138"/>
    <w:rsid w:val="00E02DFB"/>
    <w:rsid w:val="00E030F9"/>
    <w:rsid w:val="00E0311A"/>
    <w:rsid w:val="00E03138"/>
    <w:rsid w:val="00E06404"/>
    <w:rsid w:val="00E065D2"/>
    <w:rsid w:val="00E07804"/>
    <w:rsid w:val="00E11A85"/>
    <w:rsid w:val="00E12495"/>
    <w:rsid w:val="00E15CCD"/>
    <w:rsid w:val="00E176B2"/>
    <w:rsid w:val="00E202EF"/>
    <w:rsid w:val="00E210B5"/>
    <w:rsid w:val="00E235E4"/>
    <w:rsid w:val="00E23D99"/>
    <w:rsid w:val="00E2552F"/>
    <w:rsid w:val="00E3137A"/>
    <w:rsid w:val="00E31FDA"/>
    <w:rsid w:val="00E32CCF"/>
    <w:rsid w:val="00E34A98"/>
    <w:rsid w:val="00E35D1E"/>
    <w:rsid w:val="00E364F9"/>
    <w:rsid w:val="00E36558"/>
    <w:rsid w:val="00E365FA"/>
    <w:rsid w:val="00E36789"/>
    <w:rsid w:val="00E3751C"/>
    <w:rsid w:val="00E4118B"/>
    <w:rsid w:val="00E44A83"/>
    <w:rsid w:val="00E46B24"/>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F0C"/>
    <w:rsid w:val="00EC4159"/>
    <w:rsid w:val="00EC5359"/>
    <w:rsid w:val="00EC562A"/>
    <w:rsid w:val="00ED067A"/>
    <w:rsid w:val="00ED2B50"/>
    <w:rsid w:val="00ED5BDA"/>
    <w:rsid w:val="00ED7413"/>
    <w:rsid w:val="00ED748E"/>
    <w:rsid w:val="00EE0350"/>
    <w:rsid w:val="00EE0719"/>
    <w:rsid w:val="00EE0E80"/>
    <w:rsid w:val="00EE36C5"/>
    <w:rsid w:val="00EE54A6"/>
    <w:rsid w:val="00EE613F"/>
    <w:rsid w:val="00EE6B04"/>
    <w:rsid w:val="00EE7295"/>
    <w:rsid w:val="00EE7869"/>
    <w:rsid w:val="00EF054A"/>
    <w:rsid w:val="00EF3235"/>
    <w:rsid w:val="00EF7642"/>
    <w:rsid w:val="00EF7E72"/>
    <w:rsid w:val="00F0241D"/>
    <w:rsid w:val="00F05C68"/>
    <w:rsid w:val="00F06D37"/>
    <w:rsid w:val="00F07B9D"/>
    <w:rsid w:val="00F11463"/>
    <w:rsid w:val="00F11586"/>
    <w:rsid w:val="00F1183B"/>
    <w:rsid w:val="00F11C9F"/>
    <w:rsid w:val="00F12263"/>
    <w:rsid w:val="00F1409D"/>
    <w:rsid w:val="00F14214"/>
    <w:rsid w:val="00F157A9"/>
    <w:rsid w:val="00F15DAD"/>
    <w:rsid w:val="00F15EFF"/>
    <w:rsid w:val="00F25BB6"/>
    <w:rsid w:val="00F26B7E"/>
    <w:rsid w:val="00F27A3B"/>
    <w:rsid w:val="00F33817"/>
    <w:rsid w:val="00F36AFF"/>
    <w:rsid w:val="00F373F2"/>
    <w:rsid w:val="00F420D5"/>
    <w:rsid w:val="00F451EA"/>
    <w:rsid w:val="00F45447"/>
    <w:rsid w:val="00F456C6"/>
    <w:rsid w:val="00F4577B"/>
    <w:rsid w:val="00F46496"/>
    <w:rsid w:val="00F474D0"/>
    <w:rsid w:val="00F50179"/>
    <w:rsid w:val="00F515EE"/>
    <w:rsid w:val="00F56511"/>
    <w:rsid w:val="00F6194E"/>
    <w:rsid w:val="00F621D0"/>
    <w:rsid w:val="00F623AC"/>
    <w:rsid w:val="00F6412A"/>
    <w:rsid w:val="00F65893"/>
    <w:rsid w:val="00F66A4A"/>
    <w:rsid w:val="00F67051"/>
    <w:rsid w:val="00F71E22"/>
    <w:rsid w:val="00F71F47"/>
    <w:rsid w:val="00F72142"/>
    <w:rsid w:val="00F72AE7"/>
    <w:rsid w:val="00F73302"/>
    <w:rsid w:val="00F7565B"/>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991"/>
    <w:rsid w:val="00FB45F1"/>
    <w:rsid w:val="00FB4A72"/>
    <w:rsid w:val="00FB54E8"/>
    <w:rsid w:val="00FB7054"/>
    <w:rsid w:val="00FC17B7"/>
    <w:rsid w:val="00FC2A16"/>
    <w:rsid w:val="00FC2CB7"/>
    <w:rsid w:val="00FC4090"/>
    <w:rsid w:val="00FC55B4"/>
    <w:rsid w:val="00FD00E6"/>
    <w:rsid w:val="00FD09A1"/>
    <w:rsid w:val="00FD2A7C"/>
    <w:rsid w:val="00FD59EB"/>
    <w:rsid w:val="00FD7299"/>
    <w:rsid w:val="00FE1FBE"/>
    <w:rsid w:val="00FE2CDA"/>
    <w:rsid w:val="00FE3901"/>
    <w:rsid w:val="00FE39D3"/>
    <w:rsid w:val="00FE4BCE"/>
    <w:rsid w:val="00FE54AE"/>
    <w:rsid w:val="00FE576A"/>
    <w:rsid w:val="00FE7E79"/>
    <w:rsid w:val="00FF2C5B"/>
    <w:rsid w:val="00FF3E7D"/>
    <w:rsid w:val="00FF5B99"/>
    <w:rsid w:val="00FF730C"/>
    <w:rsid w:val="00FF73F4"/>
    <w:rsid w:val="00FF7CE4"/>
    <w:rsid w:val="00FF7E39"/>
    <w:rsid w:val="6AA82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semiHidden/>
    <w:unhideWhenUsed/>
    <w:uiPriority w:val="99"/>
    <w:pPr>
      <w:jc w:val="left"/>
    </w:pPr>
  </w:style>
  <w:style w:type="paragraph" w:styleId="14">
    <w:name w:val="Body Text"/>
    <w:basedOn w:val="1"/>
    <w:link w:val="89"/>
    <w:uiPriority w:val="0"/>
    <w:pPr>
      <w:spacing w:after="120"/>
    </w:pPr>
  </w:style>
  <w:style w:type="paragraph" w:styleId="15">
    <w:name w:val="toc 5"/>
    <w:basedOn w:val="1"/>
    <w:next w:val="1"/>
    <w:autoRedefine/>
    <w:unhideWhenUsed/>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uiPriority w:val="99"/>
    <w:rPr>
      <w:sz w:val="18"/>
      <w:szCs w:val="18"/>
    </w:rPr>
  </w:style>
  <w:style w:type="paragraph" w:styleId="18">
    <w:name w:val="footer"/>
    <w:basedOn w:val="1"/>
    <w:link w:val="47"/>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uiPriority w:val="39"/>
    <w:rPr>
      <w:rFonts w:ascii="宋体"/>
    </w:rPr>
  </w:style>
  <w:style w:type="paragraph" w:styleId="21">
    <w:name w:val="toc 4"/>
    <w:basedOn w:val="1"/>
    <w:next w:val="1"/>
    <w:autoRedefine/>
    <w:unhideWhenUsed/>
    <w:uiPriority w:val="39"/>
    <w:pPr>
      <w:tabs>
        <w:tab w:val="right" w:leader="dot" w:pos="9344"/>
      </w:tabs>
      <w:spacing w:line="300" w:lineRule="exact"/>
      <w:ind w:left="629"/>
    </w:pPr>
    <w:rPr>
      <w:rFonts w:ascii="宋体"/>
    </w:rPr>
  </w:style>
  <w:style w:type="paragraph" w:styleId="22">
    <w:name w:val="footnote text"/>
    <w:basedOn w:val="1"/>
    <w:next w:val="1"/>
    <w:link w:val="102"/>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7"/>
    <w:semiHidden/>
    <w:unhideWhenUsed/>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uiPriority w:val="0"/>
    <w:rPr>
      <w:rFonts w:ascii="宋体" w:hAnsi="宋体" w:eastAsia="宋体" w:cs="Times New Roman"/>
      <w:spacing w:val="0"/>
      <w:sz w:val="18"/>
      <w:vertAlign w:val="superscript"/>
    </w:rPr>
  </w:style>
  <w:style w:type="character" w:customStyle="1" w:styleId="37">
    <w:name w:val="标题 1 字符"/>
    <w:link w:val="2"/>
    <w:uiPriority w:val="0"/>
    <w:rPr>
      <w:b/>
      <w:bCs/>
      <w:kern w:val="44"/>
      <w:sz w:val="44"/>
      <w:szCs w:val="44"/>
    </w:rPr>
  </w:style>
  <w:style w:type="character" w:customStyle="1" w:styleId="38">
    <w:name w:val="标题 2 字符"/>
    <w:link w:val="3"/>
    <w:uiPriority w:val="0"/>
    <w:rPr>
      <w:rFonts w:ascii="Arial" w:hAnsi="Arial" w:eastAsia="黑体"/>
      <w:b/>
      <w:bCs/>
      <w:kern w:val="2"/>
      <w:sz w:val="32"/>
      <w:szCs w:val="32"/>
    </w:rPr>
  </w:style>
  <w:style w:type="character" w:customStyle="1" w:styleId="39">
    <w:name w:val="标题 3 字符"/>
    <w:link w:val="4"/>
    <w:uiPriority w:val="0"/>
    <w:rPr>
      <w:b/>
      <w:bCs/>
      <w:kern w:val="2"/>
      <w:sz w:val="32"/>
      <w:szCs w:val="32"/>
    </w:rPr>
  </w:style>
  <w:style w:type="character" w:customStyle="1" w:styleId="40">
    <w:name w:val="标题 4 字符"/>
    <w:link w:val="5"/>
    <w:uiPriority w:val="0"/>
    <w:rPr>
      <w:rFonts w:ascii="Arial" w:hAnsi="Arial" w:eastAsia="黑体"/>
      <w:b/>
      <w:bCs/>
      <w:kern w:val="2"/>
      <w:sz w:val="28"/>
      <w:szCs w:val="28"/>
    </w:rPr>
  </w:style>
  <w:style w:type="character" w:customStyle="1" w:styleId="41">
    <w:name w:val="标题 5 字符"/>
    <w:link w:val="6"/>
    <w:uiPriority w:val="0"/>
    <w:rPr>
      <w:b/>
      <w:bCs/>
      <w:kern w:val="2"/>
      <w:sz w:val="28"/>
      <w:szCs w:val="28"/>
    </w:rPr>
  </w:style>
  <w:style w:type="character" w:customStyle="1" w:styleId="42">
    <w:name w:val="标题 6 字符"/>
    <w:link w:val="7"/>
    <w:uiPriority w:val="0"/>
    <w:rPr>
      <w:rFonts w:ascii="Arial" w:hAnsi="Arial" w:eastAsia="黑体"/>
      <w:b/>
      <w:bCs/>
      <w:kern w:val="2"/>
      <w:sz w:val="24"/>
      <w:szCs w:val="24"/>
    </w:rPr>
  </w:style>
  <w:style w:type="character" w:customStyle="1" w:styleId="43">
    <w:name w:val="标题 7 字符"/>
    <w:link w:val="8"/>
    <w:uiPriority w:val="0"/>
    <w:rPr>
      <w:b/>
      <w:bCs/>
      <w:kern w:val="2"/>
      <w:sz w:val="24"/>
      <w:szCs w:val="24"/>
    </w:rPr>
  </w:style>
  <w:style w:type="character" w:customStyle="1" w:styleId="44">
    <w:name w:val="标题 8 字符"/>
    <w:link w:val="9"/>
    <w:uiPriority w:val="0"/>
    <w:rPr>
      <w:rFonts w:ascii="Arial" w:hAnsi="Arial" w:eastAsia="黑体"/>
      <w:kern w:val="2"/>
      <w:sz w:val="24"/>
      <w:szCs w:val="24"/>
    </w:rPr>
  </w:style>
  <w:style w:type="character" w:customStyle="1" w:styleId="45">
    <w:name w:val="标题 9 字符"/>
    <w:link w:val="10"/>
    <w:uiPriority w:val="0"/>
    <w:rPr>
      <w:rFonts w:ascii="Arial" w:hAnsi="Arial" w:eastAsia="黑体"/>
      <w:kern w:val="2"/>
      <w:sz w:val="21"/>
      <w:szCs w:val="21"/>
    </w:rPr>
  </w:style>
  <w:style w:type="character" w:customStyle="1" w:styleId="46">
    <w:name w:val="页眉 字符"/>
    <w:link w:val="19"/>
    <w:uiPriority w:val="99"/>
    <w:rPr>
      <w:kern w:val="2"/>
      <w:sz w:val="18"/>
      <w:szCs w:val="18"/>
    </w:rPr>
  </w:style>
  <w:style w:type="character" w:customStyle="1" w:styleId="47">
    <w:name w:val="页脚 字符"/>
    <w:link w:val="18"/>
    <w:uiPriority w:val="99"/>
    <w:rPr>
      <w:rFonts w:ascii="宋体"/>
      <w:kern w:val="2"/>
      <w:sz w:val="18"/>
      <w:szCs w:val="18"/>
    </w:rPr>
  </w:style>
  <w:style w:type="character" w:customStyle="1" w:styleId="48">
    <w:name w:val="批注框文本 字符"/>
    <w:link w:val="17"/>
    <w:semiHidden/>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uiPriority w:val="0"/>
    <w:rPr>
      <w:rFonts w:ascii="Arial" w:hAnsi="Arial" w:cs="Arial"/>
      <w:b/>
      <w:bCs/>
      <w:kern w:val="2"/>
      <w:sz w:val="32"/>
      <w:szCs w:val="32"/>
    </w:rPr>
  </w:style>
  <w:style w:type="paragraph" w:customStyle="1" w:styleId="52">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uiPriority w:val="0"/>
    <w:pPr>
      <w:ind w:left="198"/>
    </w:pPr>
    <w:rPr>
      <w:rFonts w:ascii="宋体" w:hAnsi="Times New Roman" w:eastAsia="宋体" w:cs="Times New Roman"/>
      <w:sz w:val="18"/>
      <w:lang w:val="en-US" w:eastAsia="zh-CN" w:bidi="ar-SA"/>
    </w:rPr>
  </w:style>
  <w:style w:type="paragraph" w:customStyle="1" w:styleId="55">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6">
    <w:name w:val="标准书眉一"/>
    <w:uiPriority w:val="0"/>
    <w:pPr>
      <w:jc w:val="both"/>
    </w:pPr>
    <w:rPr>
      <w:rFonts w:ascii="Times New Roman" w:hAnsi="Times New Roman" w:eastAsia="宋体" w:cs="Times New Roman"/>
      <w:lang w:val="en-US" w:eastAsia="zh-CN" w:bidi="ar-SA"/>
    </w:rPr>
  </w:style>
  <w:style w:type="paragraph" w:customStyle="1" w:styleId="57">
    <w:name w:val="标准文件_ICS"/>
    <w:basedOn w:val="1"/>
    <w:uiPriority w:val="0"/>
    <w:pPr>
      <w:spacing w:line="0" w:lineRule="atLeast"/>
    </w:pPr>
    <w:rPr>
      <w:rFonts w:ascii="黑体" w:hAnsi="宋体" w:eastAsia="黑体"/>
    </w:rPr>
  </w:style>
  <w:style w:type="paragraph" w:customStyle="1" w:styleId="58">
    <w:name w:val="标准文件_标准正文"/>
    <w:basedOn w:val="1"/>
    <w:next w:val="59"/>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uiPriority w:val="0"/>
    <w:pPr>
      <w:adjustRightInd/>
      <w:snapToGrid/>
      <w:ind w:firstLine="0" w:firstLineChars="0"/>
    </w:pPr>
    <w:rPr>
      <w:rFonts w:ascii="宋体" w:hAnsi="宋体"/>
      <w:kern w:val="2"/>
    </w:rPr>
  </w:style>
  <w:style w:type="paragraph" w:customStyle="1" w:styleId="61">
    <w:name w:val="标准文件_标准部门"/>
    <w:basedOn w:val="1"/>
    <w:uiPriority w:val="0"/>
    <w:pPr>
      <w:jc w:val="center"/>
    </w:pPr>
    <w:rPr>
      <w:rFonts w:ascii="黑体" w:eastAsia="黑体"/>
      <w:kern w:val="0"/>
      <w:sz w:val="44"/>
    </w:rPr>
  </w:style>
  <w:style w:type="paragraph" w:customStyle="1" w:styleId="62">
    <w:name w:val="标准文件_标准代替"/>
    <w:basedOn w:val="1"/>
    <w:next w:val="1"/>
    <w:uiPriority w:val="0"/>
    <w:pPr>
      <w:spacing w:line="310" w:lineRule="exact"/>
      <w:jc w:val="right"/>
    </w:pPr>
    <w:rPr>
      <w:rFonts w:ascii="宋体" w:hAnsi="宋体"/>
      <w:kern w:val="0"/>
    </w:rPr>
  </w:style>
  <w:style w:type="paragraph" w:customStyle="1" w:styleId="63">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uiPriority w:val="0"/>
    <w:rPr>
      <w:rFonts w:ascii="黑体" w:eastAsia="黑体"/>
      <w:spacing w:val="0"/>
      <w:w w:val="100"/>
      <w:position w:val="3"/>
      <w:sz w:val="28"/>
    </w:rPr>
  </w:style>
  <w:style w:type="paragraph" w:customStyle="1" w:styleId="70">
    <w:name w:val="标准文件_方框数字列项"/>
    <w:basedOn w:val="59"/>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uiPriority w:val="0"/>
    <w:rPr>
      <w:rFonts w:ascii="黑体" w:eastAsia="黑体"/>
      <w:b/>
      <w:kern w:val="0"/>
      <w:sz w:val="28"/>
    </w:rPr>
  </w:style>
  <w:style w:type="paragraph" w:customStyle="1" w:styleId="73">
    <w:name w:val="标准文件_封面标准名称"/>
    <w:basedOn w:val="1"/>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autoRedefine/>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uiPriority w:val="0"/>
    <w:rPr>
      <w:rFonts w:ascii="宋体"/>
      <w:kern w:val="2"/>
      <w:sz w:val="18"/>
      <w:szCs w:val="18"/>
    </w:rPr>
  </w:style>
  <w:style w:type="paragraph" w:customStyle="1" w:styleId="103">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uiPriority w:val="0"/>
    <w:pPr>
      <w:numPr>
        <w:ilvl w:val="0"/>
        <w:numId w:val="12"/>
      </w:numPr>
      <w:spacing w:line="240" w:lineRule="auto"/>
      <w:jc w:val="left"/>
    </w:pPr>
    <w:rPr>
      <w:rFonts w:ascii="宋体" w:hAnsi="宋体"/>
      <w:sz w:val="18"/>
    </w:rPr>
  </w:style>
  <w:style w:type="character" w:customStyle="1" w:styleId="105">
    <w:name w:val="标准文件_图表脚注内容"/>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uiPriority w:val="0"/>
    <w:pPr>
      <w:spacing w:line="440" w:lineRule="exact"/>
      <w:jc w:val="center"/>
    </w:pPr>
    <w:rPr>
      <w:sz w:val="28"/>
    </w:rPr>
  </w:style>
  <w:style w:type="paragraph" w:customStyle="1" w:styleId="110">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uiPriority w:val="0"/>
    <w:rPr>
      <w:rFonts w:ascii="黑体" w:eastAsia="黑体"/>
      <w:spacing w:val="85"/>
      <w:w w:val="100"/>
      <w:position w:val="3"/>
      <w:sz w:val="28"/>
      <w:szCs w:val="28"/>
    </w:rPr>
  </w:style>
  <w:style w:type="paragraph" w:styleId="233">
    <w:name w:val="List Paragraph"/>
    <w:basedOn w:val="1"/>
    <w:qFormat/>
    <w:uiPriority w:val="34"/>
    <w:pPr>
      <w:ind w:firstLine="420" w:firstLineChars="200"/>
    </w:p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link w:val="234"/>
    <w:qFormat/>
    <w:uiPriority w:val="0"/>
    <w:rPr>
      <w:rFonts w:ascii="宋体" w:hAnsi="Times New Roman"/>
      <w:sz w:val="21"/>
    </w:rPr>
  </w:style>
  <w:style w:type="character" w:customStyle="1" w:styleId="236">
    <w:name w:val="批注文字 字符"/>
    <w:basedOn w:val="30"/>
    <w:link w:val="13"/>
    <w:semiHidden/>
    <w:uiPriority w:val="99"/>
    <w:rPr>
      <w:kern w:val="2"/>
      <w:sz w:val="21"/>
      <w:szCs w:val="21"/>
    </w:rPr>
  </w:style>
  <w:style w:type="character" w:customStyle="1" w:styleId="237">
    <w:name w:val="批注主题 字符"/>
    <w:basedOn w:val="236"/>
    <w:link w:val="27"/>
    <w:semiHidden/>
    <w:uiPriority w:val="99"/>
    <w:rPr>
      <w:b/>
      <w:bCs/>
      <w:kern w:val="2"/>
      <w:sz w:val="21"/>
      <w:szCs w:val="21"/>
    </w:rPr>
  </w:style>
  <w:style w:type="paragraph" w:customStyle="1" w:styleId="238">
    <w:name w:val="Revision"/>
    <w:hidden/>
    <w:semiHidden/>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C197D43604A42B68F8031A636C4EB20"/>
        <w:style w:val=""/>
        <w:category>
          <w:name w:val="常规"/>
          <w:gallery w:val="placeholder"/>
        </w:category>
        <w:types>
          <w:type w:val="bbPlcHdr"/>
        </w:types>
        <w:behaviors>
          <w:behavior w:val="content"/>
        </w:behaviors>
        <w:description w:val=""/>
        <w:guid w:val="{6D5D8F69-5A78-48BA-95BE-4B585E506A87}"/>
      </w:docPartPr>
      <w:docPartBody>
        <w:p>
          <w:pPr>
            <w:pStyle w:val="5"/>
          </w:pPr>
          <w:r>
            <w:rPr>
              <w:rStyle w:val="4"/>
              <w:rFonts w:hint="eastAsia"/>
            </w:rPr>
            <w:t>单击或点击此处输入文字。</w:t>
          </w:r>
        </w:p>
      </w:docPartBody>
    </w:docPart>
    <w:docPart>
      <w:docPartPr>
        <w:name w:val="5AD0D7DA49F44358A6B591D31A41A82E"/>
        <w:style w:val=""/>
        <w:category>
          <w:name w:val="常规"/>
          <w:gallery w:val="placeholder"/>
        </w:category>
        <w:types>
          <w:type w:val="bbPlcHdr"/>
        </w:types>
        <w:behaviors>
          <w:behavior w:val="content"/>
        </w:behaviors>
        <w:description w:val=""/>
        <w:guid w:val="{283E7614-FD9A-4FBA-9D22-D46FE44F6016}"/>
      </w:docPartPr>
      <w:docPartBody>
        <w:p>
          <w:pPr>
            <w:pStyle w:val="6"/>
          </w:pPr>
          <w:r>
            <w:rPr>
              <w:rStyle w:val="4"/>
              <w:rFonts w:hint="eastAsia"/>
            </w:rPr>
            <w:t>选择一项。</w:t>
          </w:r>
        </w:p>
      </w:docPartBody>
    </w:docPart>
    <w:docPart>
      <w:docPartPr>
        <w:name w:val="57B2A86D81E84927A886CDCB58832EA4"/>
        <w:style w:val=""/>
        <w:category>
          <w:name w:val="常规"/>
          <w:gallery w:val="placeholder"/>
        </w:category>
        <w:types>
          <w:type w:val="bbPlcHdr"/>
        </w:types>
        <w:behaviors>
          <w:behavior w:val="content"/>
        </w:behaviors>
        <w:description w:val=""/>
        <w:guid w:val="{C993EEE4-97C8-489E-A5E4-A7348F46627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1"/>
    <w:rsid w:val="00011228"/>
    <w:rsid w:val="000717DE"/>
    <w:rsid w:val="001A5CE5"/>
    <w:rsid w:val="001E33DE"/>
    <w:rsid w:val="00256A44"/>
    <w:rsid w:val="00291206"/>
    <w:rsid w:val="00340E0C"/>
    <w:rsid w:val="00384CBC"/>
    <w:rsid w:val="004353C5"/>
    <w:rsid w:val="004C0EBE"/>
    <w:rsid w:val="00585614"/>
    <w:rsid w:val="005D26E6"/>
    <w:rsid w:val="005F4B8E"/>
    <w:rsid w:val="00635B65"/>
    <w:rsid w:val="00665761"/>
    <w:rsid w:val="006C3E20"/>
    <w:rsid w:val="006D61C7"/>
    <w:rsid w:val="007433E8"/>
    <w:rsid w:val="0076789F"/>
    <w:rsid w:val="0082353B"/>
    <w:rsid w:val="00867B51"/>
    <w:rsid w:val="0089142B"/>
    <w:rsid w:val="008C7855"/>
    <w:rsid w:val="00927203"/>
    <w:rsid w:val="0094494D"/>
    <w:rsid w:val="009F3953"/>
    <w:rsid w:val="00A162A0"/>
    <w:rsid w:val="00A32C79"/>
    <w:rsid w:val="00A764FA"/>
    <w:rsid w:val="00AF037C"/>
    <w:rsid w:val="00B42C99"/>
    <w:rsid w:val="00B5534F"/>
    <w:rsid w:val="00B810A4"/>
    <w:rsid w:val="00BD1BBA"/>
    <w:rsid w:val="00BF329F"/>
    <w:rsid w:val="00C63032"/>
    <w:rsid w:val="00D1123A"/>
    <w:rsid w:val="00D12864"/>
    <w:rsid w:val="00D2349F"/>
    <w:rsid w:val="00D36D1F"/>
    <w:rsid w:val="00D7180F"/>
    <w:rsid w:val="00DA6511"/>
    <w:rsid w:val="00E43FE9"/>
    <w:rsid w:val="00EB2740"/>
    <w:rsid w:val="00EF5F30"/>
    <w:rsid w:val="00F1163E"/>
    <w:rsid w:val="00F24E42"/>
    <w:rsid w:val="00FA7359"/>
    <w:rsid w:val="00FC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C197D43604A42B68F8031A636C4EB2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AD0D7DA49F44358A6B591D31A41A82E"/>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7B2A86D81E84927A886CDCB58832EA4"/>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5DEA3-0073-46EE-9C35-B130F9C0D37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1385</Words>
  <Characters>7895</Characters>
  <Lines>65</Lines>
  <Paragraphs>18</Paragraphs>
  <TotalTime>38</TotalTime>
  <ScaleCrop>false</ScaleCrop>
  <LinksUpToDate>false</LinksUpToDate>
  <CharactersWithSpaces>9262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2024-01-05T01:16:00Z</dcterms:created>
  <dc:creator>hcyd01</dc:creator>
  <cp:lastModifiedBy>mmme</cp:lastModifiedBy>
  <cp:lastPrinted>2024-01-05T01:46:00Z</cp:lastPrinted>
  <dcterms:modified xsi:type="dcterms:W3CDTF">2024-02-27T08:41:53Z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C898AC531456406CBCD87E9089E7E6B0_12</vt:lpwstr>
  </property>
</Properties>
</file>