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170.040.20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Q53     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石墨烯材料包装储运通用要求</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General requirements for packing,storage and transportation of graphene materials</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rPr>
          <w:rFonts w:hint="eastAsia"/>
        </w:rPr>
      </w:pPr>
      <w:bookmarkStart w:id="21" w:name="BookMark1"/>
      <w:bookmarkStart w:id="22" w:name="_Toc159231447"/>
      <w:bookmarkStart w:id="23" w:name="_Toc158212439"/>
      <w:bookmarkStart w:id="24" w:name="_Toc158059380"/>
      <w:bookmarkStart w:id="25" w:name="_Toc159229070"/>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"_Toc159245763" </w:instrText>
      </w:r>
      <w:r>
        <w:fldChar w:fldCharType="separate"/>
      </w:r>
      <w:r>
        <w:rPr>
          <w:rStyle w:val="32"/>
          <w:rFonts w:hint="eastAsia"/>
        </w:rPr>
        <w:t>前言</w:t>
      </w:r>
      <w:r>
        <w:tab/>
      </w:r>
      <w:r>
        <w:fldChar w:fldCharType="begin"/>
      </w:r>
      <w:r>
        <w:instrText xml:space="preserve"> PAGEREF _Toc159245763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"_Toc159245764" </w:instrText>
      </w:r>
      <w:r>
        <w:fldChar w:fldCharType="separate"/>
      </w:r>
      <w:r>
        <w:rPr>
          <w:rStyle w:val="32"/>
        </w:rPr>
        <w:t xml:space="preserve">1 </w:t>
      </w:r>
      <w:r>
        <w:rPr>
          <w:rStyle w:val="32"/>
          <w:rFonts w:hint="eastAsia"/>
        </w:rPr>
        <w:t xml:space="preserve"> 范围</w:t>
      </w:r>
      <w:r>
        <w:tab/>
      </w:r>
      <w:r>
        <w:fldChar w:fldCharType="begin"/>
      </w:r>
      <w:r>
        <w:instrText xml:space="preserve"> PAGEREF _Toc159245764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"_Toc159245765"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_Toc159245765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"_Toc159245766"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_Toc159245766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"_Toc159245767" </w:instrText>
      </w:r>
      <w:r>
        <w:fldChar w:fldCharType="separate"/>
      </w:r>
      <w:r>
        <w:rPr>
          <w:rStyle w:val="32"/>
        </w:rPr>
        <w:t xml:space="preserve">4 </w:t>
      </w:r>
      <w:r>
        <w:rPr>
          <w:rStyle w:val="32"/>
          <w:rFonts w:hint="eastAsia"/>
        </w:rPr>
        <w:t xml:space="preserve"> 包装</w:t>
      </w:r>
      <w:r>
        <w:tab/>
      </w:r>
      <w:r>
        <w:fldChar w:fldCharType="begin"/>
      </w:r>
      <w:r>
        <w:instrText xml:space="preserve"> PAGEREF _Toc159245767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"_Toc159245768" </w:instrText>
      </w:r>
      <w:r>
        <w:fldChar w:fldCharType="separate"/>
      </w:r>
      <w:r>
        <w:rPr>
          <w:rStyle w:val="32"/>
        </w:rPr>
        <w:t xml:space="preserve">5 </w:t>
      </w:r>
      <w:r>
        <w:rPr>
          <w:rStyle w:val="32"/>
          <w:rFonts w:hint="eastAsia"/>
        </w:rPr>
        <w:t xml:space="preserve"> 标志</w:t>
      </w:r>
      <w:r>
        <w:tab/>
      </w:r>
      <w:r>
        <w:fldChar w:fldCharType="begin"/>
      </w:r>
      <w:r>
        <w:instrText xml:space="preserve"> PAGEREF _Toc159245768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"_Toc159245769" </w:instrText>
      </w:r>
      <w:r>
        <w:fldChar w:fldCharType="separate"/>
      </w:r>
      <w:r>
        <w:rPr>
          <w:rStyle w:val="32"/>
        </w:rPr>
        <w:t xml:space="preserve">6 </w:t>
      </w:r>
      <w:r>
        <w:rPr>
          <w:rStyle w:val="32"/>
          <w:rFonts w:hint="eastAsia"/>
        </w:rPr>
        <w:t xml:space="preserve"> 储存和运输</w:t>
      </w:r>
      <w:r>
        <w:tab/>
      </w:r>
      <w:r>
        <w:fldChar w:fldCharType="begin"/>
      </w:r>
      <w:r>
        <w:instrText xml:space="preserve"> PAGEREF _Toc159245769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"_Toc159245770" </w:instrText>
      </w:r>
      <w:r>
        <w:fldChar w:fldCharType="separate"/>
      </w:r>
      <w:r>
        <w:rPr>
          <w:rStyle w:val="32"/>
        </w:rPr>
        <w:t xml:space="preserve">7 </w:t>
      </w:r>
      <w:r>
        <w:rPr>
          <w:rStyle w:val="32"/>
          <w:rFonts w:hint="eastAsia"/>
        </w:rPr>
        <w:t xml:space="preserve"> 安全要求</w:t>
      </w:r>
      <w:r>
        <w:tab/>
      </w:r>
      <w:r>
        <w:fldChar w:fldCharType="begin"/>
      </w:r>
      <w:r>
        <w:instrText xml:space="preserve"> PAGEREF _Toc159245770 \h </w:instrText>
      </w:r>
      <w:r>
        <w:fldChar w:fldCharType="separate"/>
      </w:r>
      <w:r>
        <w:t>6</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6" w:name="_Toc159245763"/>
      <w:bookmarkStart w:id="27" w:name="BookMark2"/>
      <w:r>
        <w:rPr>
          <w:spacing w:val="320"/>
        </w:rPr>
        <w:t>前</w:t>
      </w:r>
      <w:r>
        <w:t>言</w:t>
      </w:r>
      <w:bookmarkEnd w:id="22"/>
      <w:bookmarkEnd w:id="23"/>
      <w:bookmarkEnd w:id="24"/>
      <w:bookmarkEnd w:id="25"/>
      <w:bookmarkEnd w:id="26"/>
    </w:p>
    <w:p>
      <w:pPr>
        <w:pStyle w:val="56"/>
        <w:ind w:firstLine="420"/>
      </w:pPr>
      <w:r>
        <w:rPr>
          <w:rFonts w:hint="eastAsia"/>
        </w:rPr>
        <w:t>本文件按照GB/T 1.1—2020《标准化工作导则  第1部分：标准化文件的结构和起草规则》的规定起草。</w:t>
      </w:r>
    </w:p>
    <w:p>
      <w:pPr>
        <w:pStyle w:val="56"/>
        <w:ind w:firstLine="420"/>
        <w:rPr>
          <w:rFonts w:ascii="Times New Roman"/>
          <w:szCs w:val="21"/>
        </w:rPr>
      </w:pPr>
      <w:r>
        <w:rPr>
          <w:rFonts w:hint="eastAsia"/>
        </w:rPr>
        <w:t>请注意本文件的某些内容可能涉及专利。本文件的发布机构不承担识别专利的责任。</w:t>
      </w:r>
    </w:p>
    <w:p>
      <w:pPr>
        <w:pStyle w:val="56"/>
        <w:ind w:firstLine="420"/>
      </w:pPr>
      <w:r>
        <w:rPr>
          <w:rFonts w:hint="eastAsia"/>
        </w:rPr>
        <w:t>本文件由江苏省工业和信息化厅提出并组织实施。</w:t>
      </w:r>
    </w:p>
    <w:p>
      <w:pPr>
        <w:pStyle w:val="56"/>
        <w:ind w:firstLine="420"/>
      </w:pPr>
      <w:r>
        <w:rPr>
          <w:rFonts w:hint="eastAsia"/>
        </w:rPr>
        <w:t>本文件由江苏</w:t>
      </w:r>
      <w:r>
        <w:t>省石墨烯标准</w:t>
      </w:r>
      <w:r>
        <w:rPr>
          <w:rFonts w:hint="eastAsia"/>
        </w:rPr>
        <w:t>化技术委员会</w:t>
      </w:r>
      <w:r>
        <w:t>归口</w:t>
      </w:r>
      <w:r>
        <w:rPr>
          <w:rFonts w:hint="eastAsia"/>
        </w:rPr>
        <w:t>。</w:t>
      </w:r>
    </w:p>
    <w:p>
      <w:pPr>
        <w:pStyle w:val="56"/>
        <w:ind w:firstLine="420"/>
      </w:pPr>
      <w:r>
        <w:rPr>
          <w:rFonts w:hint="eastAsia"/>
        </w:rPr>
        <w:t>本文件起草单位：江苏</w:t>
      </w:r>
      <w:r>
        <w:t>江南烯元石墨烯科技有限公司、</w:t>
      </w:r>
      <w:r>
        <w:rPr>
          <w:rFonts w:hint="eastAsia"/>
        </w:rPr>
        <w:t>国成</w:t>
      </w:r>
      <w:r>
        <w:t>仪器（常州）有限公司</w:t>
      </w:r>
      <w:r>
        <w:rPr>
          <w:rFonts w:hint="eastAsia"/>
        </w:rPr>
        <w:t>、常州第六元素材料科技股份有限公司、常州大学、北京石墨烯技术研究院、常州烯晨新材料科技有限公司、</w:t>
      </w:r>
      <w:r>
        <w:t>江南石墨烯研究院</w:t>
      </w:r>
      <w:r>
        <w:rPr>
          <w:rFonts w:hint="eastAsia"/>
        </w:rPr>
        <w:t>。</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r>
        <w:rPr>
          <w:rFonts w:hint="eastAsia"/>
        </w:rPr>
        <w:t>本文件主要起草人：张小敏、董国材、瞿研、陈智栋、王文昌、郑雅轩、吴娟红、杨程、王刚、潘鑫。</w:t>
      </w:r>
    </w:p>
    <w:bookmarkEnd w:id="27"/>
    <w:p>
      <w:pPr>
        <w:spacing w:line="20" w:lineRule="exact"/>
        <w:jc w:val="center"/>
        <w:rPr>
          <w:rFonts w:ascii="黑体" w:hAnsi="黑体" w:eastAsia="黑体"/>
          <w:sz w:val="32"/>
          <w:szCs w:val="32"/>
        </w:rPr>
      </w:pPr>
      <w:bookmarkStart w:id="28" w:name="BookMark4"/>
    </w:p>
    <w:p>
      <w:pPr>
        <w:spacing w:line="20" w:lineRule="exact"/>
        <w:jc w:val="center"/>
        <w:rPr>
          <w:rFonts w:ascii="黑体" w:hAnsi="黑体" w:eastAsia="黑体"/>
          <w:sz w:val="32"/>
          <w:szCs w:val="32"/>
        </w:rPr>
      </w:pPr>
    </w:p>
    <w:sdt>
      <w:sdtPr>
        <w:tag w:val="NEW_STAND_NAME"/>
        <w:id w:val="595910757"/>
        <w:lock w:val="sdtLocked"/>
        <w:placeholder>
          <w:docPart w:val="8D135660D57F43088BF0CD4A0F47A87A"/>
        </w:placeholder>
      </w:sdtPr>
      <w:sdtContent>
        <w:p>
          <w:pPr>
            <w:pStyle w:val="177"/>
            <w:spacing w:before="3" w:beforeLines="1" w:after="686" w:afterLines="220"/>
          </w:pPr>
          <w:bookmarkStart w:id="29" w:name="NEW_STAND_NAME"/>
          <w:r>
            <w:rPr>
              <w:rFonts w:hint="eastAsia"/>
            </w:rPr>
            <w:t>石墨烯材料包装储运通用要求</w:t>
          </w:r>
          <w:bookmarkStart w:id="89" w:name="_GoBack"/>
          <w:bookmarkEnd w:id="89"/>
        </w:p>
      </w:sdtContent>
    </w:sdt>
    <w:bookmarkEnd w:id="29"/>
    <w:p>
      <w:pPr>
        <w:pStyle w:val="104"/>
        <w:spacing w:before="312" w:after="312"/>
      </w:pPr>
      <w:bookmarkStart w:id="30" w:name="_Toc17233325"/>
      <w:bookmarkStart w:id="31" w:name="_Toc26986771"/>
      <w:bookmarkStart w:id="32" w:name="_Toc26718930"/>
      <w:bookmarkStart w:id="33" w:name="_Toc159229071"/>
      <w:bookmarkStart w:id="34" w:name="_Toc26986530"/>
      <w:bookmarkStart w:id="35" w:name="_Toc17233333"/>
      <w:bookmarkStart w:id="36" w:name="_Toc26648465"/>
      <w:bookmarkStart w:id="37" w:name="_Toc24884211"/>
      <w:bookmarkStart w:id="38" w:name="_Toc97191423"/>
      <w:bookmarkStart w:id="39" w:name="_Toc24884218"/>
      <w:bookmarkStart w:id="40" w:name="_Toc158059381"/>
      <w:bookmarkStart w:id="41" w:name="_Toc158057841"/>
      <w:bookmarkStart w:id="42" w:name="_Toc158212440"/>
      <w:bookmarkStart w:id="43" w:name="_Toc159231448"/>
      <w:bookmarkStart w:id="44" w:name="_Toc159245764"/>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pStyle w:val="56"/>
        <w:ind w:firstLine="420"/>
      </w:pPr>
      <w:bookmarkStart w:id="45" w:name="_Toc17233326"/>
      <w:bookmarkStart w:id="46" w:name="_Toc17233334"/>
      <w:bookmarkStart w:id="47" w:name="_Toc24884212"/>
      <w:bookmarkStart w:id="48" w:name="_Toc26648466"/>
      <w:bookmarkStart w:id="49" w:name="_Toc24884219"/>
      <w:r>
        <w:t>本文件规定了石墨烯材料的包装、</w:t>
      </w:r>
      <w:r>
        <w:rPr>
          <w:rFonts w:hint="eastAsia"/>
        </w:rPr>
        <w:t>标志</w:t>
      </w:r>
      <w:r>
        <w:t>、储存、运输和安全要求。</w:t>
      </w:r>
    </w:p>
    <w:p>
      <w:pPr>
        <w:pStyle w:val="56"/>
        <w:ind w:firstLine="420"/>
      </w:pPr>
      <w:r>
        <w:t>本文件适用于石墨烯粉体、石墨烯浆料、石墨烯滤饼和石墨烯薄膜的包装储运。</w:t>
      </w:r>
    </w:p>
    <w:p>
      <w:pPr>
        <w:pStyle w:val="104"/>
        <w:spacing w:before="312" w:after="312"/>
      </w:pPr>
      <w:bookmarkStart w:id="50" w:name="_Toc26986772"/>
      <w:bookmarkStart w:id="51" w:name="_Toc158059382"/>
      <w:bookmarkStart w:id="52" w:name="_Toc158057842"/>
      <w:bookmarkStart w:id="53" w:name="_Toc159229072"/>
      <w:bookmarkStart w:id="54" w:name="_Toc158212441"/>
      <w:bookmarkStart w:id="55" w:name="_Toc159245765"/>
      <w:bookmarkStart w:id="56" w:name="_Toc26718931"/>
      <w:bookmarkStart w:id="57" w:name="_Toc26986531"/>
      <w:bookmarkStart w:id="58" w:name="_Toc97191424"/>
      <w:bookmarkStart w:id="59" w:name="_Toc159231449"/>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rPr>
        <w:id w:val="715848253"/>
        <w:placeholder>
          <w:docPart w:val="FF31DFDB28244C22A9F170C855F19CB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Ansi="宋体"/>
        </w:rPr>
      </w:pPr>
      <w:r>
        <w:t>GB</w:t>
      </w:r>
      <w:r>
        <w:rPr>
          <w:rFonts w:hint="eastAsia"/>
        </w:rPr>
        <w:t>/</w:t>
      </w:r>
      <w:r>
        <w:t>T 191 包装储运图示标志</w:t>
      </w:r>
    </w:p>
    <w:p>
      <w:pPr>
        <w:pStyle w:val="56"/>
        <w:ind w:firstLine="420"/>
      </w:pPr>
      <w:r>
        <w:t>GB 15577 粉尘防爆安全规程</w:t>
      </w:r>
    </w:p>
    <w:p>
      <w:pPr>
        <w:pStyle w:val="56"/>
        <w:ind w:firstLine="420"/>
      </w:pPr>
      <w:r>
        <w:rPr>
          <w:rFonts w:hAnsi="宋体"/>
        </w:rPr>
        <w:t>GB/T 30544.13</w:t>
      </w:r>
      <w:r>
        <w:rPr>
          <w:rFonts w:hint="eastAsia"/>
        </w:rPr>
        <w:t xml:space="preserve"> 纳米科技 术语 第13部分：石墨烯及相关二维材料</w:t>
      </w:r>
    </w:p>
    <w:p>
      <w:pPr>
        <w:pStyle w:val="104"/>
        <w:spacing w:before="312" w:after="312"/>
      </w:pPr>
      <w:bookmarkStart w:id="60" w:name="_Toc158057843"/>
      <w:bookmarkStart w:id="61" w:name="_Toc159231450"/>
      <w:bookmarkStart w:id="62" w:name="_Toc97191425"/>
      <w:bookmarkStart w:id="63" w:name="_Toc159229073"/>
      <w:bookmarkStart w:id="64" w:name="_Toc158059383"/>
      <w:bookmarkStart w:id="65" w:name="_Toc159245766"/>
      <w:bookmarkStart w:id="66" w:name="_Toc158212442"/>
      <w:r>
        <w:rPr>
          <w:rFonts w:hint="eastAsia"/>
          <w:szCs w:val="21"/>
        </w:rPr>
        <w:t>术语和定义</w:t>
      </w:r>
      <w:bookmarkEnd w:id="60"/>
      <w:bookmarkEnd w:id="61"/>
      <w:bookmarkEnd w:id="62"/>
      <w:bookmarkEnd w:id="63"/>
      <w:bookmarkEnd w:id="64"/>
      <w:bookmarkEnd w:id="65"/>
      <w:bookmarkEnd w:id="66"/>
    </w:p>
    <w:sdt>
      <w:sdtPr>
        <w:id w:val="-1909835108"/>
        <w:placeholder>
          <w:docPart w:val="E5D2F81589D343DDA5C591E89786F5C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67" w:name="_Toc26986532"/>
          <w:bookmarkEnd w:id="67"/>
          <w:r>
            <w:t>GB/T 30544.13界定的术语和定义适用于本文件。</w:t>
          </w:r>
        </w:p>
      </w:sdtContent>
    </w:sdt>
    <w:p>
      <w:pPr>
        <w:pStyle w:val="104"/>
        <w:spacing w:before="312" w:after="312"/>
      </w:pPr>
      <w:bookmarkStart w:id="68" w:name="_Toc159245767"/>
      <w:bookmarkStart w:id="69" w:name="_Toc158059384"/>
      <w:bookmarkStart w:id="70" w:name="_Toc159231451"/>
      <w:bookmarkStart w:id="71" w:name="_Toc159229074"/>
      <w:bookmarkStart w:id="72" w:name="_Toc158212443"/>
      <w:r>
        <w:t>包装</w:t>
      </w:r>
      <w:bookmarkEnd w:id="68"/>
      <w:bookmarkEnd w:id="69"/>
      <w:bookmarkEnd w:id="70"/>
      <w:bookmarkEnd w:id="71"/>
      <w:bookmarkEnd w:id="72"/>
    </w:p>
    <w:p>
      <w:pPr>
        <w:pStyle w:val="105"/>
        <w:spacing w:before="156" w:after="156"/>
      </w:pPr>
      <w:r>
        <w:rPr>
          <w:rFonts w:hint="eastAsia"/>
        </w:rPr>
        <w:t>石墨烯粉体</w:t>
      </w:r>
    </w:p>
    <w:p>
      <w:pPr>
        <w:pStyle w:val="65"/>
        <w:spacing w:before="156" w:after="156"/>
      </w:pPr>
      <w:r>
        <w:rPr>
          <w:rFonts w:hint="eastAsia"/>
        </w:rPr>
        <w:t>包装方法</w:t>
      </w:r>
    </w:p>
    <w:p>
      <w:pPr>
        <w:pStyle w:val="56"/>
        <w:ind w:firstLine="420"/>
      </w:pPr>
      <w:r>
        <w:t>对于石墨烯粉体的包装，可分为以下三种包装方法：</w:t>
      </w:r>
    </w:p>
    <w:p>
      <w:pPr>
        <w:pStyle w:val="174"/>
      </w:pPr>
      <w:r>
        <w:t>方法一：</w:t>
      </w:r>
      <w:r>
        <w:rPr>
          <w:rFonts w:hint="eastAsia"/>
        </w:rPr>
        <w:t>采用高密度聚乙烯塑料瓶进行包装，再以纸箱进行外包装。</w:t>
      </w:r>
    </w:p>
    <w:p>
      <w:pPr>
        <w:pStyle w:val="174"/>
      </w:pPr>
      <w:r>
        <w:t>方法二：采</w:t>
      </w:r>
      <w:r>
        <w:rPr>
          <w:rFonts w:hint="eastAsia"/>
        </w:rPr>
        <w:t>用内衬塑料袋的纸桶包装，包装方法为：</w:t>
      </w:r>
    </w:p>
    <w:p>
      <w:pPr>
        <w:pStyle w:val="109"/>
      </w:pPr>
      <w:r>
        <w:rPr>
          <w:rFonts w:hint="eastAsia"/>
        </w:rPr>
        <w:t>将石墨烯粉体装入塑料袋内，排空塑料袋内空气，并用扎带密封塑料袋口；</w:t>
      </w:r>
    </w:p>
    <w:p>
      <w:pPr>
        <w:pStyle w:val="109"/>
      </w:pPr>
      <w:r>
        <w:rPr>
          <w:rFonts w:hint="eastAsia"/>
        </w:rPr>
        <w:t>将装有石墨烯粉体的塑料袋放置于纸桶内，确保其摆放稳固；</w:t>
      </w:r>
    </w:p>
    <w:p>
      <w:pPr>
        <w:pStyle w:val="109"/>
      </w:pPr>
      <w:r>
        <w:rPr>
          <w:rFonts w:hint="eastAsia"/>
        </w:rPr>
        <w:t>密封纸桶。</w:t>
      </w:r>
    </w:p>
    <w:p>
      <w:pPr>
        <w:pStyle w:val="174"/>
      </w:pPr>
      <w:r>
        <w:t>方法三：采用负压方式包装，包装方法为：</w:t>
      </w:r>
    </w:p>
    <w:p>
      <w:pPr>
        <w:pStyle w:val="109"/>
      </w:pPr>
      <w:r>
        <w:rPr>
          <w:rFonts w:hint="eastAsia"/>
        </w:rPr>
        <w:t>通过负压方式</w:t>
      </w:r>
      <w:r>
        <w:t>将石墨烯粉体罐装至牛皮纸袋内，并密封牛皮纸袋；</w:t>
      </w:r>
    </w:p>
    <w:p>
      <w:pPr>
        <w:pStyle w:val="109"/>
      </w:pPr>
      <w:r>
        <w:rPr>
          <w:rFonts w:hint="eastAsia"/>
        </w:rPr>
        <w:t>将装有石墨烯粉体的</w:t>
      </w:r>
      <w:r>
        <w:t>牛皮纸袋放置于铝箔袋内</w:t>
      </w:r>
      <w:r>
        <w:rPr>
          <w:rFonts w:hint="eastAsia"/>
        </w:rPr>
        <w:t>；</w:t>
      </w:r>
    </w:p>
    <w:p>
      <w:pPr>
        <w:pStyle w:val="109"/>
      </w:pPr>
      <w:r>
        <w:rPr>
          <w:rFonts w:hint="eastAsia"/>
        </w:rPr>
        <w:t>对铝箔袋进行抽真空和热塑封口处理，</w:t>
      </w:r>
      <w:r>
        <w:t>得到单一包装件；</w:t>
      </w:r>
    </w:p>
    <w:p>
      <w:pPr>
        <w:pStyle w:val="109"/>
      </w:pPr>
      <w:r>
        <w:rPr>
          <w:rFonts w:hint="eastAsia"/>
        </w:rPr>
        <w:t>将单一包装件堆码于塑料底托上，使用护角条、缠绕膜固定包装件，并用打包钢带捆扎固定。</w:t>
      </w:r>
    </w:p>
    <w:p>
      <w:pPr>
        <w:pStyle w:val="65"/>
        <w:spacing w:before="156" w:after="156"/>
      </w:pPr>
      <w:r>
        <w:t>过程要求</w:t>
      </w:r>
    </w:p>
    <w:p>
      <w:pPr>
        <w:pStyle w:val="164"/>
      </w:pPr>
      <w:r>
        <w:rPr>
          <w:rFonts w:hint="eastAsia"/>
        </w:rPr>
        <w:t>操作人员应穿戴适当的防护装备，如工作服、口罩、手套、防滑鞋等，并除静电。</w:t>
      </w:r>
    </w:p>
    <w:p>
      <w:pPr>
        <w:pStyle w:val="164"/>
      </w:pPr>
      <w:r>
        <w:rPr>
          <w:rFonts w:hint="eastAsia"/>
        </w:rPr>
        <w:t>包装前，应先清理</w:t>
      </w:r>
      <w:r>
        <w:t>现场、工具及材料，确保现场通风良好，无明火、无易燃易爆物品，场所内使用的电器和电柜具备防爆功能。</w:t>
      </w:r>
    </w:p>
    <w:p>
      <w:pPr>
        <w:pStyle w:val="164"/>
      </w:pPr>
      <w:r>
        <w:t>包装宜在</w:t>
      </w:r>
      <w:r>
        <w:rPr>
          <w:rFonts w:hint="eastAsia"/>
        </w:rPr>
        <w:t>室温、相对湿度不大于8</w:t>
      </w:r>
      <w:r>
        <w:t>5%的环境中进行。</w:t>
      </w:r>
    </w:p>
    <w:p>
      <w:pPr>
        <w:pStyle w:val="164"/>
      </w:pPr>
      <w:r>
        <w:rPr>
          <w:rFonts w:hint="eastAsia"/>
        </w:rPr>
        <w:t>对于瓶装或桶装，包装量宜为包装用容器的</w:t>
      </w:r>
      <w:r>
        <w:t>80%</w:t>
      </w:r>
      <w:r>
        <w:rPr>
          <w:rFonts w:hint="eastAsia"/>
        </w:rPr>
        <w:t>体积以内。</w:t>
      </w:r>
    </w:p>
    <w:p>
      <w:pPr>
        <w:pStyle w:val="164"/>
      </w:pPr>
      <w:r>
        <w:rPr>
          <w:rFonts w:hint="eastAsia"/>
        </w:rPr>
        <w:t>内外包装均应密封严实，整个包装过程应轻拿轻放。</w:t>
      </w:r>
    </w:p>
    <w:p>
      <w:pPr>
        <w:pStyle w:val="164"/>
      </w:pPr>
      <w:r>
        <w:t>包装过程中应注意防滑。</w:t>
      </w:r>
    </w:p>
    <w:p>
      <w:pPr>
        <w:pStyle w:val="164"/>
      </w:pPr>
      <w:r>
        <w:t>包装后，应清理残留的石墨烯粉体。</w:t>
      </w:r>
    </w:p>
    <w:p>
      <w:pPr>
        <w:pStyle w:val="164"/>
      </w:pPr>
      <w:r>
        <w:rPr>
          <w:b/>
        </w:rPr>
        <w:t>包装</w:t>
      </w:r>
      <w:r>
        <w:rPr>
          <w:rFonts w:hint="eastAsia"/>
          <w:b/>
        </w:rPr>
        <w:t>全过程</w:t>
      </w:r>
      <w:r>
        <w:rPr>
          <w:b/>
        </w:rPr>
        <w:t>应符合GB 15577的要求</w:t>
      </w:r>
      <w:r>
        <w:t>。</w:t>
      </w:r>
    </w:p>
    <w:p>
      <w:pPr>
        <w:pStyle w:val="164"/>
      </w:pPr>
      <w:r>
        <w:t>如用户有特殊要求，</w:t>
      </w:r>
      <w:r>
        <w:rPr>
          <w:rFonts w:hint="eastAsia"/>
        </w:rPr>
        <w:t>应按</w:t>
      </w:r>
      <w:r>
        <w:t>供需双方合同规定</w:t>
      </w:r>
      <w:r>
        <w:rPr>
          <w:rFonts w:hint="eastAsia"/>
        </w:rPr>
        <w:t>执行。</w:t>
      </w:r>
    </w:p>
    <w:p>
      <w:pPr>
        <w:pStyle w:val="105"/>
        <w:spacing w:before="156" w:after="156"/>
      </w:pPr>
      <w:r>
        <w:rPr>
          <w:rFonts w:hint="eastAsia"/>
        </w:rPr>
        <w:t>石墨烯浆料</w:t>
      </w:r>
    </w:p>
    <w:p>
      <w:pPr>
        <w:pStyle w:val="65"/>
        <w:spacing w:before="156" w:after="156"/>
      </w:pPr>
      <w:r>
        <w:rPr>
          <w:rFonts w:hint="eastAsia"/>
        </w:rPr>
        <w:t>包装方法</w:t>
      </w:r>
    </w:p>
    <w:p>
      <w:pPr>
        <w:pStyle w:val="56"/>
        <w:ind w:firstLine="420"/>
      </w:pPr>
      <w:r>
        <w:rPr>
          <w:rFonts w:hint="eastAsia"/>
        </w:rPr>
        <w:t>采用适合浆料溶剂的塑料罐或塑料</w:t>
      </w:r>
      <w:r>
        <w:t>桶</w:t>
      </w:r>
      <w:r>
        <w:rPr>
          <w:rFonts w:hint="eastAsia"/>
        </w:rPr>
        <w:t>包装，可再以纸箱进行外包装。</w:t>
      </w:r>
    </w:p>
    <w:p>
      <w:pPr>
        <w:pStyle w:val="65"/>
        <w:spacing w:before="156" w:after="156"/>
      </w:pPr>
      <w:r>
        <w:rPr>
          <w:rFonts w:hint="eastAsia"/>
        </w:rPr>
        <w:t>过程要求</w:t>
      </w:r>
    </w:p>
    <w:p>
      <w:pPr>
        <w:pStyle w:val="164"/>
      </w:pPr>
      <w:r>
        <w:rPr>
          <w:rFonts w:hint="eastAsia"/>
        </w:rPr>
        <w:t>操作人员</w:t>
      </w:r>
      <w:r>
        <w:t>应</w:t>
      </w:r>
      <w:r>
        <w:rPr>
          <w:rFonts w:hint="eastAsia"/>
        </w:rPr>
        <w:t>穿戴适当的防护装备，如</w:t>
      </w:r>
      <w:r>
        <w:t>工作服</w:t>
      </w:r>
      <w:r>
        <w:rPr>
          <w:rFonts w:hint="eastAsia"/>
        </w:rPr>
        <w:t>、</w:t>
      </w:r>
      <w:r>
        <w:t>口罩、手套、防滑鞋等</w:t>
      </w:r>
      <w:r>
        <w:rPr>
          <w:rFonts w:hint="eastAsia"/>
        </w:rPr>
        <w:t>，</w:t>
      </w:r>
      <w:r>
        <w:t>必要时</w:t>
      </w:r>
      <w:r>
        <w:rPr>
          <w:rFonts w:hint="eastAsia"/>
        </w:rPr>
        <w:t>除静电。</w:t>
      </w:r>
    </w:p>
    <w:p>
      <w:pPr>
        <w:pStyle w:val="164"/>
      </w:pPr>
      <w:r>
        <w:rPr>
          <w:rFonts w:hint="eastAsia"/>
        </w:rPr>
        <w:t>包装前，应先根据溶剂种类清理</w:t>
      </w:r>
      <w:r>
        <w:t>现场、工具及材料，确保现场干燥，无明火、无易燃易爆物品。</w:t>
      </w:r>
    </w:p>
    <w:p>
      <w:pPr>
        <w:pStyle w:val="164"/>
      </w:pPr>
      <w:r>
        <w:rPr>
          <w:rFonts w:hint="eastAsia"/>
        </w:rPr>
        <w:t>包装宜在室温、相对湿度不大于8</w:t>
      </w:r>
      <w:r>
        <w:t>5%的环境中进行。</w:t>
      </w:r>
    </w:p>
    <w:p>
      <w:pPr>
        <w:pStyle w:val="164"/>
      </w:pPr>
      <w:r>
        <w:t>包装量宜为包装用容器的</w:t>
      </w:r>
      <w:r>
        <w:rPr>
          <w:rFonts w:hint="eastAsia"/>
        </w:rPr>
        <w:t>8</w:t>
      </w:r>
      <w:r>
        <w:t>0%体积</w:t>
      </w:r>
      <w:r>
        <w:rPr>
          <w:rFonts w:hint="eastAsia"/>
        </w:rPr>
        <w:t>以内。</w:t>
      </w:r>
    </w:p>
    <w:p>
      <w:pPr>
        <w:pStyle w:val="164"/>
      </w:pPr>
      <w:r>
        <w:t>包装应做到密封严实无渗漏。</w:t>
      </w:r>
    </w:p>
    <w:p>
      <w:pPr>
        <w:pStyle w:val="164"/>
      </w:pPr>
      <w:r>
        <w:t>包装后，应清理残留的石墨烯浆料。</w:t>
      </w:r>
    </w:p>
    <w:p>
      <w:pPr>
        <w:pStyle w:val="164"/>
      </w:pPr>
      <w:r>
        <w:rPr>
          <w:b/>
        </w:rPr>
        <w:t>包装</w:t>
      </w:r>
      <w:r>
        <w:rPr>
          <w:rFonts w:hint="eastAsia"/>
          <w:b/>
        </w:rPr>
        <w:t>全过程应根据所使用溶剂的相关管理规定进行操作，注意防火防爆等安全问题</w:t>
      </w:r>
      <w:r>
        <w:rPr>
          <w:rFonts w:hint="eastAsia"/>
        </w:rPr>
        <w:t>。</w:t>
      </w:r>
    </w:p>
    <w:p>
      <w:pPr>
        <w:pStyle w:val="164"/>
      </w:pPr>
      <w:r>
        <w:t>如用户有特殊要求，</w:t>
      </w:r>
      <w:r>
        <w:rPr>
          <w:rFonts w:hint="eastAsia"/>
        </w:rPr>
        <w:t>应按</w:t>
      </w:r>
      <w:r>
        <w:t>供需双方合同规定</w:t>
      </w:r>
      <w:r>
        <w:rPr>
          <w:rFonts w:hint="eastAsia"/>
        </w:rPr>
        <w:t>执行。</w:t>
      </w:r>
    </w:p>
    <w:p>
      <w:pPr>
        <w:pStyle w:val="105"/>
        <w:spacing w:before="156" w:after="156"/>
      </w:pPr>
      <w:r>
        <w:rPr>
          <w:rFonts w:hint="eastAsia"/>
        </w:rPr>
        <w:t>石墨烯滤饼</w:t>
      </w:r>
    </w:p>
    <w:p>
      <w:pPr>
        <w:pStyle w:val="65"/>
        <w:spacing w:before="156" w:after="156"/>
      </w:pPr>
      <w:r>
        <w:rPr>
          <w:rFonts w:hint="eastAsia"/>
        </w:rPr>
        <w:t>包装方法</w:t>
      </w:r>
    </w:p>
    <w:p>
      <w:pPr>
        <w:pStyle w:val="56"/>
        <w:ind w:firstLine="420"/>
      </w:pPr>
      <w:r>
        <w:rPr>
          <w:rFonts w:hint="eastAsia"/>
        </w:rPr>
        <w:t>对于</w:t>
      </w:r>
      <w:r>
        <w:t>石墨烯滤饼的包装，可分为以下三种包装方法：</w:t>
      </w:r>
    </w:p>
    <w:p>
      <w:pPr>
        <w:pStyle w:val="174"/>
        <w:numPr>
          <w:ilvl w:val="0"/>
          <w:numId w:val="32"/>
        </w:numPr>
      </w:pPr>
      <w:r>
        <w:t>方法一：</w:t>
      </w:r>
      <w:r>
        <w:rPr>
          <w:rFonts w:hint="eastAsia"/>
        </w:rPr>
        <w:t>采用内衬塑料袋的高密度聚乙烯塑料罐包装，再以纸箱进行外包装。</w:t>
      </w:r>
    </w:p>
    <w:p>
      <w:pPr>
        <w:pStyle w:val="174"/>
      </w:pPr>
      <w:r>
        <w:t>方法二：</w:t>
      </w:r>
      <w:r>
        <w:rPr>
          <w:rFonts w:hint="eastAsia"/>
        </w:rPr>
        <w:t>采用内衬塑料袋的高密度聚丙烯塑料桶包装，包装方法为：</w:t>
      </w:r>
    </w:p>
    <w:p>
      <w:pPr>
        <w:pStyle w:val="109"/>
      </w:pPr>
      <w:r>
        <w:rPr>
          <w:rFonts w:hint="eastAsia"/>
        </w:rPr>
        <w:t>将石墨烯滤饼装入塑料袋内，排空塑料袋内空气，并用扎带密封塑料袋口；</w:t>
      </w:r>
    </w:p>
    <w:p>
      <w:pPr>
        <w:pStyle w:val="109"/>
      </w:pPr>
      <w:r>
        <w:rPr>
          <w:rFonts w:hint="eastAsia"/>
        </w:rPr>
        <w:t>将装有石墨烯滤饼的塑料袋放置于纸桶内，确保其摆放稳固；</w:t>
      </w:r>
    </w:p>
    <w:p>
      <w:pPr>
        <w:pStyle w:val="109"/>
      </w:pPr>
      <w:r>
        <w:rPr>
          <w:rFonts w:hint="eastAsia"/>
        </w:rPr>
        <w:t>密封纸桶。</w:t>
      </w:r>
    </w:p>
    <w:p>
      <w:pPr>
        <w:pStyle w:val="174"/>
      </w:pPr>
      <w:r>
        <w:rPr>
          <w:rFonts w:hint="eastAsia"/>
        </w:rPr>
        <w:t>方法三：采用塑料袋和卡板箱进行包装，包装方法为：</w:t>
      </w:r>
    </w:p>
    <w:p>
      <w:pPr>
        <w:pStyle w:val="109"/>
      </w:pPr>
      <w:r>
        <w:rPr>
          <w:rFonts w:hint="eastAsia"/>
        </w:rPr>
        <w:t>将滤饼装入塑料袋内，排空塑料袋内空气，并用扎带密封塑料袋口；</w:t>
      </w:r>
    </w:p>
    <w:p>
      <w:pPr>
        <w:pStyle w:val="109"/>
      </w:pPr>
      <w:r>
        <w:rPr>
          <w:rFonts w:hint="eastAsia"/>
        </w:rPr>
        <w:t>将装有滤饼的塑料袋放置于卡板箱内，确保其摆放稳固；</w:t>
      </w:r>
    </w:p>
    <w:p>
      <w:pPr>
        <w:pStyle w:val="109"/>
      </w:pPr>
      <w:r>
        <w:rPr>
          <w:rFonts w:hint="eastAsia"/>
        </w:rPr>
        <w:t>密封卡板箱。</w:t>
      </w:r>
      <w:r>
        <w:t xml:space="preserve">  </w:t>
      </w:r>
    </w:p>
    <w:p>
      <w:pPr>
        <w:pStyle w:val="65"/>
        <w:spacing w:before="156" w:after="156"/>
      </w:pPr>
      <w:r>
        <w:rPr>
          <w:rFonts w:hint="eastAsia"/>
        </w:rPr>
        <w:t>过程要求</w:t>
      </w:r>
    </w:p>
    <w:p>
      <w:pPr>
        <w:pStyle w:val="164"/>
      </w:pPr>
      <w:r>
        <w:rPr>
          <w:rFonts w:hint="eastAsia"/>
        </w:rPr>
        <w:t>操作人员</w:t>
      </w:r>
      <w:r>
        <w:t>应</w:t>
      </w:r>
      <w:r>
        <w:rPr>
          <w:rFonts w:hint="eastAsia"/>
        </w:rPr>
        <w:t>穿戴适当的防护装备，如</w:t>
      </w:r>
      <w:r>
        <w:t>工作服</w:t>
      </w:r>
      <w:r>
        <w:rPr>
          <w:rFonts w:hint="eastAsia"/>
        </w:rPr>
        <w:t>、</w:t>
      </w:r>
      <w:r>
        <w:t>口罩、手套、防滑鞋等。</w:t>
      </w:r>
    </w:p>
    <w:p>
      <w:pPr>
        <w:pStyle w:val="164"/>
      </w:pPr>
      <w:r>
        <w:rPr>
          <w:rFonts w:hint="eastAsia"/>
        </w:rPr>
        <w:t>包装前，应先</w:t>
      </w:r>
      <w:r>
        <w:t>清理</w:t>
      </w:r>
      <w:r>
        <w:rPr>
          <w:rFonts w:hint="eastAsia"/>
        </w:rPr>
        <w:t>现场</w:t>
      </w:r>
      <w:r>
        <w:t>、工具及材料，确保现场干燥，无明火、无易燃易爆物品</w:t>
      </w:r>
      <w:r>
        <w:rPr>
          <w:rFonts w:hint="eastAsia"/>
        </w:rPr>
        <w:t>。</w:t>
      </w:r>
    </w:p>
    <w:p>
      <w:pPr>
        <w:pStyle w:val="164"/>
      </w:pPr>
      <w:r>
        <w:rPr>
          <w:rFonts w:hint="eastAsia"/>
        </w:rPr>
        <w:t>包装宜在室温、相对湿度不大于8</w:t>
      </w:r>
      <w:r>
        <w:t>5%的环境中进行。</w:t>
      </w:r>
    </w:p>
    <w:p>
      <w:pPr>
        <w:pStyle w:val="164"/>
      </w:pPr>
      <w:r>
        <w:rPr>
          <w:rFonts w:hint="eastAsia"/>
        </w:rPr>
        <w:t>对于罐装和桶装，</w:t>
      </w:r>
      <w:r>
        <w:t>包装量宜为包装用容器的</w:t>
      </w:r>
      <w:r>
        <w:rPr>
          <w:rFonts w:hint="eastAsia"/>
        </w:rPr>
        <w:t>8</w:t>
      </w:r>
      <w:r>
        <w:t>0%体积</w:t>
      </w:r>
      <w:r>
        <w:rPr>
          <w:rFonts w:hint="eastAsia"/>
        </w:rPr>
        <w:t>以内</w:t>
      </w:r>
      <w:r>
        <w:t>。</w:t>
      </w:r>
    </w:p>
    <w:p>
      <w:pPr>
        <w:pStyle w:val="164"/>
      </w:pPr>
      <w:r>
        <w:t>包装后，清理残留的石墨烯</w:t>
      </w:r>
      <w:r>
        <w:rPr>
          <w:rFonts w:hint="eastAsia"/>
        </w:rPr>
        <w:t>滤饼</w:t>
      </w:r>
      <w:r>
        <w:t>。</w:t>
      </w:r>
    </w:p>
    <w:p>
      <w:pPr>
        <w:pStyle w:val="164"/>
      </w:pPr>
      <w:r>
        <w:t>如用户有特殊要求，</w:t>
      </w:r>
      <w:r>
        <w:rPr>
          <w:rFonts w:hint="eastAsia"/>
        </w:rPr>
        <w:t>应按</w:t>
      </w:r>
      <w:r>
        <w:t>供需双方合同规定</w:t>
      </w:r>
      <w:r>
        <w:rPr>
          <w:rFonts w:hint="eastAsia"/>
        </w:rPr>
        <w:t>执行。</w:t>
      </w:r>
    </w:p>
    <w:p>
      <w:pPr>
        <w:pStyle w:val="105"/>
        <w:spacing w:before="156" w:after="156"/>
      </w:pPr>
      <w:r>
        <w:rPr>
          <w:rFonts w:hint="eastAsia"/>
        </w:rPr>
        <w:t>石墨烯薄膜</w:t>
      </w:r>
    </w:p>
    <w:p>
      <w:pPr>
        <w:pStyle w:val="65"/>
        <w:spacing w:before="156" w:after="156"/>
      </w:pPr>
      <w:r>
        <w:rPr>
          <w:rFonts w:hint="eastAsia"/>
        </w:rPr>
        <w:t>包装方法</w:t>
      </w:r>
    </w:p>
    <w:p>
      <w:pPr>
        <w:pStyle w:val="94"/>
        <w:spacing w:before="156" w:after="156"/>
      </w:pPr>
      <w:r>
        <w:rPr>
          <w:rFonts w:hint="eastAsia"/>
        </w:rPr>
        <w:t>柔性</w:t>
      </w:r>
      <w:r>
        <w:t>衬底表面的石墨烯薄膜</w:t>
      </w:r>
    </w:p>
    <w:p>
      <w:pPr>
        <w:pStyle w:val="56"/>
        <w:ind w:firstLine="420"/>
      </w:pPr>
      <w:r>
        <w:t>对于铜箔</w:t>
      </w:r>
      <w:r>
        <w:rPr>
          <w:rFonts w:hint="eastAsia"/>
        </w:rPr>
        <w:t>、</w:t>
      </w:r>
      <w:r>
        <w:t>聚对苯二甲酸乙二酯薄膜（PET）等柔性衬底表面的石墨烯薄膜的包装，包装方法为：</w:t>
      </w:r>
    </w:p>
    <w:p>
      <w:pPr>
        <w:pStyle w:val="174"/>
        <w:numPr>
          <w:ilvl w:val="0"/>
          <w:numId w:val="33"/>
        </w:numPr>
      </w:pPr>
      <w:r>
        <w:rPr>
          <w:rFonts w:hint="eastAsia"/>
        </w:rPr>
        <w:t>在聚乙烯或聚丙烯塑料盒内贴附一层无尘纸，确保无尘纸平整、无皱褶；</w:t>
      </w:r>
    </w:p>
    <w:p>
      <w:pPr>
        <w:pStyle w:val="174"/>
        <w:numPr>
          <w:ilvl w:val="0"/>
          <w:numId w:val="33"/>
        </w:numPr>
      </w:pPr>
      <w:r>
        <w:rPr>
          <w:rFonts w:hint="eastAsia"/>
        </w:rPr>
        <w:t>将产品平放于聚乙烯或聚丙烯塑料盒内；</w:t>
      </w:r>
    </w:p>
    <w:p>
      <w:pPr>
        <w:pStyle w:val="174"/>
        <w:numPr>
          <w:ilvl w:val="0"/>
          <w:numId w:val="33"/>
        </w:numPr>
      </w:pPr>
      <w:r>
        <w:rPr>
          <w:rFonts w:hint="eastAsia"/>
        </w:rPr>
        <w:t>在产品四个直角表面粘贴胶带以固定产品；</w:t>
      </w:r>
    </w:p>
    <w:p>
      <w:pPr>
        <w:pStyle w:val="174"/>
        <w:numPr>
          <w:ilvl w:val="0"/>
          <w:numId w:val="33"/>
        </w:numPr>
      </w:pPr>
      <w:r>
        <w:rPr>
          <w:rFonts w:hint="eastAsia"/>
        </w:rPr>
        <w:t>将</w:t>
      </w:r>
      <w:r>
        <w:t>装</w:t>
      </w:r>
      <w:r>
        <w:rPr>
          <w:rFonts w:hint="eastAsia"/>
        </w:rPr>
        <w:t>有产品的塑料盒和干燥剂一同放置于防静电袋内，防止产品受到静电影响；</w:t>
      </w:r>
    </w:p>
    <w:p>
      <w:pPr>
        <w:pStyle w:val="174"/>
        <w:numPr>
          <w:ilvl w:val="0"/>
          <w:numId w:val="33"/>
        </w:numPr>
      </w:pPr>
      <w:r>
        <w:rPr>
          <w:rFonts w:hint="eastAsia"/>
        </w:rPr>
        <w:t>对防静电袋进行抽真空和热塑封口处理；</w:t>
      </w:r>
    </w:p>
    <w:p>
      <w:pPr>
        <w:pStyle w:val="174"/>
        <w:numPr>
          <w:ilvl w:val="0"/>
          <w:numId w:val="33"/>
        </w:numPr>
      </w:pPr>
      <w:r>
        <w:rPr>
          <w:rFonts w:hint="eastAsia"/>
        </w:rPr>
        <w:t>以纸箱进行外包装。</w:t>
      </w:r>
    </w:p>
    <w:p>
      <w:pPr>
        <w:pStyle w:val="94"/>
        <w:spacing w:before="156" w:after="156"/>
      </w:pPr>
      <w:r>
        <w:t>硬性衬底表面的石墨烯薄膜</w:t>
      </w:r>
    </w:p>
    <w:p>
      <w:pPr>
        <w:pStyle w:val="56"/>
        <w:ind w:firstLine="420"/>
      </w:pPr>
      <w:r>
        <w:t>对于硅片等硬性衬底表面的石墨烯薄膜的包装，</w:t>
      </w:r>
      <w:r>
        <w:rPr>
          <w:rFonts w:hint="eastAsia"/>
        </w:rPr>
        <w:t>可分为以下两种情况：</w:t>
      </w:r>
    </w:p>
    <w:p>
      <w:pPr>
        <w:pStyle w:val="174"/>
        <w:numPr>
          <w:ilvl w:val="0"/>
          <w:numId w:val="34"/>
        </w:numPr>
      </w:pPr>
      <w:r>
        <w:t>对于基底有</w:t>
      </w:r>
      <w:r>
        <w:rPr>
          <w:rFonts w:hint="eastAsia"/>
        </w:rPr>
        <w:t>标准</w:t>
      </w:r>
      <w:r>
        <w:t>尺寸时（如2英寸、4英寸、6英寸的石墨烯薄膜晶圆），包装方法为：</w:t>
      </w:r>
    </w:p>
    <w:p>
      <w:pPr>
        <w:pStyle w:val="109"/>
      </w:pPr>
      <w:r>
        <w:t>采用专用尺寸盒子</w:t>
      </w:r>
      <w:r>
        <w:rPr>
          <w:rFonts w:hint="eastAsia"/>
        </w:rPr>
        <w:t>进行包装</w:t>
      </w:r>
      <w:r>
        <w:t>；</w:t>
      </w:r>
    </w:p>
    <w:p>
      <w:pPr>
        <w:pStyle w:val="109"/>
      </w:pPr>
      <w:r>
        <w:rPr>
          <w:rFonts w:hint="eastAsia"/>
        </w:rPr>
        <w:t>将装有产品的专用盒和干燥剂放置于至防静电袋内，防止产品受到静电影响；</w:t>
      </w:r>
    </w:p>
    <w:p>
      <w:pPr>
        <w:pStyle w:val="109"/>
      </w:pPr>
      <w:r>
        <w:rPr>
          <w:rFonts w:hint="eastAsia"/>
        </w:rPr>
        <w:t>对防静电袋进行抽真空和热塑封口处理；</w:t>
      </w:r>
    </w:p>
    <w:p>
      <w:pPr>
        <w:pStyle w:val="109"/>
      </w:pPr>
      <w:r>
        <w:rPr>
          <w:rFonts w:hint="eastAsia"/>
        </w:rPr>
        <w:t>以纸箱进行外包装。</w:t>
      </w:r>
    </w:p>
    <w:p>
      <w:pPr>
        <w:pStyle w:val="174"/>
      </w:pPr>
      <w:r>
        <w:rPr>
          <w:rFonts w:hint="eastAsia"/>
        </w:rPr>
        <w:t>对于</w:t>
      </w:r>
      <w:r>
        <w:t>其他基底</w:t>
      </w:r>
      <w:r>
        <w:rPr>
          <w:rFonts w:hint="eastAsia"/>
        </w:rPr>
        <w:t>其他</w:t>
      </w:r>
      <w:r>
        <w:t>尺寸时</w:t>
      </w:r>
      <w:r>
        <w:rPr>
          <w:rFonts w:hint="eastAsia"/>
        </w:rPr>
        <w:t xml:space="preserve">，包装方法为： </w:t>
      </w:r>
    </w:p>
    <w:p>
      <w:pPr>
        <w:pStyle w:val="109"/>
      </w:pPr>
      <w:r>
        <w:rPr>
          <w:rFonts w:hint="eastAsia"/>
        </w:rPr>
        <w:t>在聚乙烯或聚丙烯塑料盒内贴附一层无尘纸，确保无尘纸平整、无皱褶；</w:t>
      </w:r>
    </w:p>
    <w:p>
      <w:pPr>
        <w:pStyle w:val="109"/>
      </w:pPr>
      <w:r>
        <w:rPr>
          <w:rFonts w:hint="eastAsia"/>
        </w:rPr>
        <w:t>在硅片衬底背面粘贴双面胶，使产品固定于无尘纸表面；</w:t>
      </w:r>
    </w:p>
    <w:p>
      <w:pPr>
        <w:pStyle w:val="109"/>
      </w:pPr>
      <w:r>
        <w:rPr>
          <w:rFonts w:hint="eastAsia"/>
        </w:rPr>
        <w:t>将装有产品的塑料盒和干燥剂一同放置于防静电袋内，防止产品受到静电影响；</w:t>
      </w:r>
    </w:p>
    <w:p>
      <w:pPr>
        <w:pStyle w:val="109"/>
      </w:pPr>
      <w:r>
        <w:rPr>
          <w:rFonts w:hint="eastAsia"/>
        </w:rPr>
        <w:t>对防静电袋进行抽真空和热塑封口处理；</w:t>
      </w:r>
    </w:p>
    <w:p>
      <w:pPr>
        <w:pStyle w:val="109"/>
      </w:pPr>
      <w:r>
        <w:rPr>
          <w:rFonts w:hint="eastAsia"/>
        </w:rPr>
        <w:t>以纸箱进行外包装。</w:t>
      </w:r>
    </w:p>
    <w:p>
      <w:pPr>
        <w:pStyle w:val="65"/>
        <w:spacing w:before="156" w:after="156"/>
      </w:pPr>
      <w:r>
        <w:rPr>
          <w:rFonts w:hint="eastAsia"/>
        </w:rPr>
        <w:t>过程要求</w:t>
      </w:r>
    </w:p>
    <w:p>
      <w:pPr>
        <w:pStyle w:val="164"/>
      </w:pPr>
      <w:r>
        <w:t xml:space="preserve">包装应在洁净度优于万级的无尘室内进行。 </w:t>
      </w:r>
    </w:p>
    <w:p>
      <w:pPr>
        <w:pStyle w:val="164"/>
      </w:pPr>
      <w:r>
        <w:t>包装前，应确保铜箔衬底表面的石墨烯薄膜、PET衬底表面全覆盖石墨烯薄膜这两种样品的可用面积不小于合同面积。</w:t>
      </w:r>
    </w:p>
    <w:p>
      <w:pPr>
        <w:pStyle w:val="164"/>
      </w:pPr>
      <w:r>
        <w:t>包装用塑料盒面积不小于样品面积。</w:t>
      </w:r>
    </w:p>
    <w:p>
      <w:pPr>
        <w:pStyle w:val="164"/>
      </w:pPr>
      <w:r>
        <w:t>包装时，应确保石墨烯薄膜朝上、衬底朝下，轻拿轻放。</w:t>
      </w:r>
    </w:p>
    <w:p>
      <w:pPr>
        <w:pStyle w:val="164"/>
      </w:pPr>
      <w:r>
        <w:t>如用户有特殊要求，</w:t>
      </w:r>
      <w:r>
        <w:rPr>
          <w:rFonts w:hint="eastAsia"/>
        </w:rPr>
        <w:t>应按</w:t>
      </w:r>
      <w:r>
        <w:t>供需双方合同规定</w:t>
      </w:r>
      <w:r>
        <w:rPr>
          <w:rFonts w:hint="eastAsia"/>
        </w:rPr>
        <w:t>执行。</w:t>
      </w:r>
    </w:p>
    <w:p>
      <w:pPr>
        <w:pStyle w:val="104"/>
        <w:spacing w:before="312" w:after="312"/>
      </w:pPr>
      <w:bookmarkStart w:id="73" w:name="_Toc158212444"/>
      <w:bookmarkStart w:id="74" w:name="_Toc159229075"/>
      <w:bookmarkStart w:id="75" w:name="_Toc159231452"/>
      <w:bookmarkStart w:id="76" w:name="_Toc159245768"/>
      <w:bookmarkStart w:id="77" w:name="_Toc158059385"/>
      <w:r>
        <w:rPr>
          <w:rFonts w:hint="eastAsia"/>
        </w:rPr>
        <w:t>标志</w:t>
      </w:r>
      <w:bookmarkEnd w:id="73"/>
      <w:bookmarkEnd w:id="74"/>
      <w:bookmarkEnd w:id="75"/>
      <w:bookmarkEnd w:id="76"/>
      <w:bookmarkEnd w:id="77"/>
    </w:p>
    <w:p>
      <w:pPr>
        <w:pStyle w:val="105"/>
        <w:spacing w:before="156" w:after="156"/>
      </w:pPr>
      <w:r>
        <w:rPr>
          <w:rFonts w:hint="eastAsia"/>
        </w:rPr>
        <w:t>产品标志</w:t>
      </w:r>
    </w:p>
    <w:p>
      <w:pPr>
        <w:pStyle w:val="162"/>
        <w:numPr>
          <w:ilvl w:val="0"/>
          <w:numId w:val="0"/>
        </w:numPr>
        <w:ind w:firstLine="420"/>
      </w:pPr>
      <w:r>
        <w:t>每个包装件</w:t>
      </w:r>
      <w:r>
        <w:rPr>
          <w:rFonts w:hint="eastAsia" w:hAnsi="宋体"/>
        </w:rPr>
        <w:t>的</w:t>
      </w:r>
      <w:r>
        <w:rPr>
          <w:rFonts w:hAnsi="宋体"/>
        </w:rPr>
        <w:t>外部明显位置</w:t>
      </w:r>
      <w:r>
        <w:rPr>
          <w:rFonts w:hint="eastAsia" w:hAnsi="宋体"/>
        </w:rPr>
        <w:t>应</w:t>
      </w:r>
      <w:r>
        <w:rPr>
          <w:rFonts w:hAnsi="宋体"/>
        </w:rPr>
        <w:t>有牢固的产品标志，标志</w:t>
      </w:r>
      <w:r>
        <w:rPr>
          <w:rFonts w:hint="eastAsia" w:hAnsi="宋体"/>
        </w:rPr>
        <w:t>宜</w:t>
      </w:r>
      <w:r>
        <w:rPr>
          <w:rFonts w:hAnsi="宋体"/>
        </w:rPr>
        <w:t>包括下列内容：</w:t>
      </w:r>
      <w:r>
        <w:t xml:space="preserve"> </w:t>
      </w:r>
    </w:p>
    <w:p>
      <w:pPr>
        <w:pStyle w:val="132"/>
        <w:tabs>
          <w:tab w:val="left" w:pos="851"/>
          <w:tab w:val="clear" w:pos="852"/>
        </w:tabs>
      </w:pPr>
      <w:r>
        <w:t>产品名称、规格、型号、品级；</w:t>
      </w:r>
    </w:p>
    <w:p>
      <w:pPr>
        <w:pStyle w:val="132"/>
        <w:tabs>
          <w:tab w:val="left" w:pos="851"/>
          <w:tab w:val="clear" w:pos="852"/>
        </w:tabs>
      </w:pPr>
      <w:r>
        <w:rPr>
          <w:rFonts w:hint="eastAsia"/>
        </w:rPr>
        <w:t>生产厂厂名、厂址和联系方式；</w:t>
      </w:r>
    </w:p>
    <w:p>
      <w:pPr>
        <w:pStyle w:val="132"/>
        <w:tabs>
          <w:tab w:val="left" w:pos="851"/>
          <w:tab w:val="clear" w:pos="852"/>
        </w:tabs>
      </w:pPr>
      <w:r>
        <w:t>商标；</w:t>
      </w:r>
    </w:p>
    <w:p>
      <w:pPr>
        <w:pStyle w:val="132"/>
        <w:tabs>
          <w:tab w:val="left" w:pos="851"/>
          <w:tab w:val="clear" w:pos="852"/>
        </w:tabs>
      </w:pPr>
      <w:r>
        <w:t>生产日期及检验日期；</w:t>
      </w:r>
    </w:p>
    <w:p>
      <w:pPr>
        <w:pStyle w:val="132"/>
        <w:tabs>
          <w:tab w:val="left" w:pos="851"/>
          <w:tab w:val="clear" w:pos="852"/>
        </w:tabs>
      </w:pPr>
      <w:r>
        <w:t>产品编号</w:t>
      </w:r>
      <w:r>
        <w:rPr>
          <w:rFonts w:hint="eastAsia"/>
        </w:rPr>
        <w:t>/</w:t>
      </w:r>
      <w:r>
        <w:t>批号；</w:t>
      </w:r>
    </w:p>
    <w:p>
      <w:pPr>
        <w:pStyle w:val="132"/>
        <w:tabs>
          <w:tab w:val="left" w:pos="851"/>
          <w:tab w:val="clear" w:pos="852"/>
        </w:tabs>
      </w:pPr>
      <w:r>
        <w:rPr>
          <w:rFonts w:hint="eastAsia"/>
        </w:rPr>
        <w:t>净重/尺寸；</w:t>
      </w:r>
    </w:p>
    <w:p>
      <w:pPr>
        <w:pStyle w:val="132"/>
        <w:tabs>
          <w:tab w:val="left" w:pos="851"/>
          <w:tab w:val="clear" w:pos="852"/>
        </w:tabs>
      </w:pPr>
      <w:r>
        <w:rPr>
          <w:rFonts w:hint="eastAsia"/>
        </w:rPr>
        <w:t>溶剂、固含量（限</w:t>
      </w:r>
      <w:r>
        <w:t>石墨烯浆料和石墨烯滤饼</w:t>
      </w:r>
      <w:r>
        <w:rPr>
          <w:rFonts w:hint="eastAsia"/>
        </w:rPr>
        <w:t>）；</w:t>
      </w:r>
    </w:p>
    <w:p>
      <w:pPr>
        <w:pStyle w:val="132"/>
        <w:tabs>
          <w:tab w:val="left" w:pos="851"/>
          <w:tab w:val="clear" w:pos="852"/>
        </w:tabs>
      </w:pPr>
      <w:r>
        <w:rPr>
          <w:rFonts w:hint="eastAsia"/>
        </w:rPr>
        <w:t>主要性能；</w:t>
      </w:r>
    </w:p>
    <w:p>
      <w:pPr>
        <w:pStyle w:val="132"/>
        <w:tabs>
          <w:tab w:val="left" w:pos="851"/>
          <w:tab w:val="clear" w:pos="852"/>
        </w:tabs>
      </w:pPr>
      <w:r>
        <w:t>各项检验结果；</w:t>
      </w:r>
    </w:p>
    <w:p>
      <w:pPr>
        <w:pStyle w:val="132"/>
        <w:tabs>
          <w:tab w:val="left" w:pos="851"/>
          <w:tab w:val="clear" w:pos="852"/>
        </w:tabs>
      </w:pPr>
      <w:r>
        <w:rPr>
          <w:rFonts w:hint="eastAsia"/>
        </w:rPr>
        <w:t>存储条件；</w:t>
      </w:r>
    </w:p>
    <w:p>
      <w:pPr>
        <w:pStyle w:val="132"/>
        <w:tabs>
          <w:tab w:val="left" w:pos="851"/>
          <w:tab w:val="clear" w:pos="852"/>
        </w:tabs>
      </w:pPr>
      <w:r>
        <w:rPr>
          <w:rFonts w:hint="eastAsia"/>
        </w:rPr>
        <w:t>保质期；</w:t>
      </w:r>
    </w:p>
    <w:p>
      <w:pPr>
        <w:pStyle w:val="132"/>
        <w:tabs>
          <w:tab w:val="left" w:pos="851"/>
          <w:tab w:val="clear" w:pos="852"/>
        </w:tabs>
      </w:pPr>
      <w:r>
        <w:t>生产厂质量监督部门印记。</w:t>
      </w:r>
    </w:p>
    <w:p>
      <w:pPr>
        <w:pStyle w:val="105"/>
        <w:spacing w:before="156" w:after="156"/>
      </w:pPr>
      <w:r>
        <w:t>图示标志</w:t>
      </w:r>
    </w:p>
    <w:p>
      <w:pPr>
        <w:pStyle w:val="165"/>
      </w:pPr>
      <w:r>
        <w:t xml:space="preserve">石墨烯粉体的图示标志应标明 </w:t>
      </w:r>
      <w:r>
        <w:rPr>
          <w:rFonts w:hint="eastAsia"/>
        </w:rPr>
        <w:t>“</w:t>
      </w:r>
      <w:r>
        <w:t>禁止踩踏</w:t>
      </w:r>
      <w:r>
        <w:rPr>
          <w:rFonts w:hint="eastAsia"/>
        </w:rPr>
        <w:t>”</w:t>
      </w:r>
      <w:r>
        <w:t>、</w:t>
      </w:r>
      <w:r>
        <w:rPr>
          <w:rFonts w:hint="eastAsia"/>
        </w:rPr>
        <w:t>“</w:t>
      </w:r>
      <w:r>
        <w:t>怕湿</w:t>
      </w:r>
      <w:r>
        <w:rPr>
          <w:rFonts w:hint="eastAsia"/>
        </w:rPr>
        <w:t>”</w:t>
      </w:r>
      <w:r>
        <w:t>、</w:t>
      </w:r>
      <w:r>
        <w:rPr>
          <w:rFonts w:hint="eastAsia"/>
        </w:rPr>
        <w:t>“</w:t>
      </w:r>
      <w:r>
        <w:t>防潮</w:t>
      </w:r>
      <w:r>
        <w:rPr>
          <w:rFonts w:hint="eastAsia"/>
        </w:rPr>
        <w:t>”</w:t>
      </w:r>
      <w:r>
        <w:t>、</w:t>
      </w:r>
      <w:r>
        <w:rPr>
          <w:rFonts w:hint="eastAsia"/>
        </w:rPr>
        <w:t>“</w:t>
      </w:r>
      <w:r>
        <w:t>防穿刺</w:t>
      </w:r>
      <w:r>
        <w:rPr>
          <w:rFonts w:hint="eastAsia"/>
        </w:rPr>
        <w:t>”</w:t>
      </w:r>
      <w:r>
        <w:t>、</w:t>
      </w:r>
      <w:r>
        <w:rPr>
          <w:rFonts w:hint="eastAsia"/>
        </w:rPr>
        <w:t>“</w:t>
      </w:r>
      <w:r>
        <w:t>防火</w:t>
      </w:r>
      <w:r>
        <w:rPr>
          <w:rFonts w:hint="eastAsia"/>
        </w:rPr>
        <w:t>”</w:t>
      </w:r>
      <w:r>
        <w:t>字样或标志。</w:t>
      </w:r>
    </w:p>
    <w:p>
      <w:pPr>
        <w:pStyle w:val="165"/>
      </w:pPr>
      <w:r>
        <w:rPr>
          <w:rFonts w:hint="eastAsia"/>
        </w:rPr>
        <w:t>氧化石墨烯粉体在图示标志方面，除了应标明“禁止踩踏”、“怕湿”、“防潮”、“防穿刺”和“防火”</w:t>
      </w:r>
      <w:r>
        <w:t>字样或标志</w:t>
      </w:r>
      <w:r>
        <w:rPr>
          <w:rFonts w:hint="eastAsia"/>
        </w:rPr>
        <w:t>外，还应</w:t>
      </w:r>
      <w:r>
        <w:t>标明</w:t>
      </w:r>
      <w:r>
        <w:rPr>
          <w:rFonts w:hint="eastAsia"/>
        </w:rPr>
        <w:t xml:space="preserve"> “易燃”字样或标志。</w:t>
      </w:r>
    </w:p>
    <w:p>
      <w:pPr>
        <w:pStyle w:val="165"/>
      </w:pPr>
      <w:r>
        <w:rPr>
          <w:rFonts w:hint="eastAsia"/>
        </w:rPr>
        <w:t>石墨烯</w:t>
      </w:r>
      <w:r>
        <w:t>薄膜的图示</w:t>
      </w:r>
      <w:r>
        <w:rPr>
          <w:rFonts w:hint="eastAsia"/>
        </w:rPr>
        <w:t>标志</w:t>
      </w:r>
      <w:r>
        <w:t>应</w:t>
      </w:r>
      <w:r>
        <w:rPr>
          <w:rFonts w:hint="eastAsia"/>
        </w:rPr>
        <w:t>标明“</w:t>
      </w:r>
      <w:r>
        <w:t>易碎</w:t>
      </w:r>
      <w:r>
        <w:rPr>
          <w:rFonts w:hint="eastAsia"/>
        </w:rPr>
        <w:t>”</w:t>
      </w:r>
      <w:r>
        <w:t>、</w:t>
      </w:r>
      <w:r>
        <w:rPr>
          <w:rFonts w:hint="eastAsia"/>
        </w:rPr>
        <w:t>“</w:t>
      </w:r>
      <w:r>
        <w:t>向上</w:t>
      </w:r>
      <w:r>
        <w:rPr>
          <w:rFonts w:hint="eastAsia"/>
        </w:rPr>
        <w:t>”、“防潮”</w:t>
      </w:r>
      <w:r>
        <w:t>等字样或标志。</w:t>
      </w:r>
    </w:p>
    <w:p>
      <w:pPr>
        <w:pStyle w:val="165"/>
      </w:pPr>
      <w:r>
        <w:t>如包装分为内包装和外包装两部分，要保持内外标志一致。</w:t>
      </w:r>
      <w:r>
        <w:rPr>
          <w:rFonts w:hint="eastAsia"/>
        </w:rPr>
        <w:t xml:space="preserve"> </w:t>
      </w:r>
    </w:p>
    <w:p>
      <w:pPr>
        <w:pStyle w:val="165"/>
      </w:pPr>
      <w:r>
        <w:t>运输标志和货件上标记方法按GB</w:t>
      </w:r>
      <w:r>
        <w:rPr>
          <w:rFonts w:hint="eastAsia"/>
        </w:rPr>
        <w:t>/</w:t>
      </w:r>
      <w:r>
        <w:t>T 191的规定进行。</w:t>
      </w:r>
    </w:p>
    <w:p>
      <w:pPr>
        <w:pStyle w:val="165"/>
      </w:pPr>
      <w:r>
        <w:t>如用户有特殊要求，</w:t>
      </w:r>
      <w:r>
        <w:rPr>
          <w:rFonts w:hint="eastAsia"/>
        </w:rPr>
        <w:t>应按</w:t>
      </w:r>
      <w:r>
        <w:t>供需双方合同规定</w:t>
      </w:r>
      <w:r>
        <w:rPr>
          <w:rFonts w:hint="eastAsia"/>
        </w:rPr>
        <w:t>执行。</w:t>
      </w:r>
    </w:p>
    <w:p>
      <w:pPr>
        <w:pStyle w:val="104"/>
        <w:spacing w:before="312" w:after="312"/>
      </w:pPr>
      <w:bookmarkStart w:id="78" w:name="_Toc159231453"/>
      <w:bookmarkStart w:id="79" w:name="_Toc159245769"/>
      <w:bookmarkStart w:id="80" w:name="_Toc158059386"/>
      <w:bookmarkStart w:id="81" w:name="_Toc159229076"/>
      <w:bookmarkStart w:id="82" w:name="_Toc158212445"/>
      <w:r>
        <w:rPr>
          <w:rFonts w:hint="eastAsia"/>
        </w:rPr>
        <w:t>储存和运输</w:t>
      </w:r>
      <w:bookmarkEnd w:id="78"/>
      <w:bookmarkEnd w:id="79"/>
      <w:bookmarkEnd w:id="80"/>
      <w:bookmarkEnd w:id="81"/>
      <w:bookmarkEnd w:id="82"/>
    </w:p>
    <w:p>
      <w:pPr>
        <w:pStyle w:val="105"/>
        <w:spacing w:before="156" w:after="156"/>
      </w:pPr>
      <w:r>
        <w:rPr>
          <w:rFonts w:hint="eastAsia"/>
        </w:rPr>
        <w:t>石墨烯粉体</w:t>
      </w:r>
    </w:p>
    <w:p>
      <w:pPr>
        <w:pStyle w:val="65"/>
        <w:spacing w:before="156" w:after="156"/>
      </w:pPr>
      <w:r>
        <w:rPr>
          <w:rFonts w:hint="eastAsia"/>
        </w:rPr>
        <w:t>储存</w:t>
      </w:r>
    </w:p>
    <w:p>
      <w:pPr>
        <w:pStyle w:val="56"/>
        <w:ind w:firstLine="420"/>
      </w:pPr>
      <w:r>
        <w:rPr>
          <w:rFonts w:hint="eastAsia"/>
        </w:rPr>
        <w:t>石墨烯粉体的储存要求为：</w:t>
      </w:r>
    </w:p>
    <w:p>
      <w:pPr>
        <w:pStyle w:val="174"/>
        <w:numPr>
          <w:ilvl w:val="0"/>
          <w:numId w:val="35"/>
        </w:numPr>
      </w:pPr>
      <w:r>
        <w:t>包装件应</w:t>
      </w:r>
      <w:r>
        <w:rPr>
          <w:rFonts w:hint="eastAsia"/>
        </w:rPr>
        <w:t>堆码整齐，</w:t>
      </w:r>
      <w:r>
        <w:t>避免垮塌</w:t>
      </w:r>
      <w:r>
        <w:rPr>
          <w:rFonts w:hint="eastAsia"/>
        </w:rPr>
        <w:t>；</w:t>
      </w:r>
    </w:p>
    <w:p>
      <w:pPr>
        <w:pStyle w:val="174"/>
      </w:pPr>
      <w:r>
        <w:rPr>
          <w:rFonts w:hint="eastAsia"/>
        </w:rPr>
        <w:t>环境宜为室温</w:t>
      </w:r>
      <w:r>
        <w:rPr>
          <w:rFonts w:hint="eastAsia" w:hAnsi="宋体"/>
        </w:rPr>
        <w:t>、相对</w:t>
      </w:r>
      <w:r>
        <w:rPr>
          <w:rFonts w:hint="eastAsia"/>
        </w:rPr>
        <w:t>湿度不大于</w:t>
      </w:r>
      <w:r>
        <w:t>85%，应通风、阴凉、干燥</w:t>
      </w:r>
      <w:r>
        <w:rPr>
          <w:rFonts w:hint="eastAsia"/>
        </w:rPr>
        <w:t xml:space="preserve">； </w:t>
      </w:r>
      <w:r>
        <w:t xml:space="preserve"> </w:t>
      </w:r>
    </w:p>
    <w:p>
      <w:pPr>
        <w:pStyle w:val="174"/>
      </w:pPr>
      <w:r>
        <w:rPr>
          <w:rFonts w:hint="eastAsia"/>
        </w:rPr>
        <w:t>严禁</w:t>
      </w:r>
      <w:r>
        <w:t>与易挥发性物质</w:t>
      </w:r>
      <w:r>
        <w:rPr>
          <w:rFonts w:hint="eastAsia"/>
        </w:rPr>
        <w:t>、强氧化剂和腐蚀性物品接触；</w:t>
      </w:r>
    </w:p>
    <w:p>
      <w:pPr>
        <w:pStyle w:val="174"/>
      </w:pPr>
      <w:r>
        <w:rPr>
          <w:rFonts w:hint="eastAsia"/>
        </w:rPr>
        <w:t>应远离热源、隔绝火源；</w:t>
      </w:r>
    </w:p>
    <w:p>
      <w:pPr>
        <w:pStyle w:val="174"/>
      </w:pPr>
      <w:r>
        <w:rPr>
          <w:rFonts w:hint="eastAsia"/>
        </w:rPr>
        <w:t>场所应</w:t>
      </w:r>
      <w:r>
        <w:t>配备相应的灭火器材</w:t>
      </w:r>
      <w:r>
        <w:rPr>
          <w:rFonts w:hint="eastAsia"/>
        </w:rPr>
        <w:t>；</w:t>
      </w:r>
    </w:p>
    <w:p>
      <w:pPr>
        <w:pStyle w:val="174"/>
      </w:pPr>
      <w:r>
        <w:rPr>
          <w:rFonts w:hint="eastAsia"/>
        </w:rPr>
        <w:t>应不超过保质期。</w:t>
      </w:r>
    </w:p>
    <w:p>
      <w:pPr>
        <w:pStyle w:val="65"/>
        <w:spacing w:before="156" w:after="156"/>
      </w:pPr>
      <w:r>
        <w:rPr>
          <w:rFonts w:hint="eastAsia"/>
        </w:rPr>
        <w:t>运输</w:t>
      </w:r>
    </w:p>
    <w:p>
      <w:pPr>
        <w:pStyle w:val="56"/>
        <w:ind w:firstLine="420"/>
      </w:pPr>
      <w:r>
        <w:t>石墨烯粉体的运输要求为：</w:t>
      </w:r>
    </w:p>
    <w:p>
      <w:pPr>
        <w:pStyle w:val="174"/>
        <w:numPr>
          <w:ilvl w:val="0"/>
          <w:numId w:val="36"/>
        </w:numPr>
      </w:pPr>
      <w:r>
        <w:t>应符合运输管理部门的</w:t>
      </w:r>
      <w:r>
        <w:rPr>
          <w:rFonts w:hint="eastAsia"/>
        </w:rPr>
        <w:t>规范要求</w:t>
      </w:r>
      <w:r>
        <w:t>；</w:t>
      </w:r>
    </w:p>
    <w:p>
      <w:pPr>
        <w:pStyle w:val="174"/>
      </w:pPr>
      <w:r>
        <w:rPr>
          <w:rFonts w:hint="eastAsia"/>
        </w:rPr>
        <w:t>应轻装、轻卸，防止包装损坏；</w:t>
      </w:r>
    </w:p>
    <w:p>
      <w:pPr>
        <w:pStyle w:val="174"/>
      </w:pPr>
      <w:r>
        <w:rPr>
          <w:rFonts w:hint="eastAsia"/>
        </w:rPr>
        <w:t>应配有遮盖物，防止雨淋和受潮；</w:t>
      </w:r>
    </w:p>
    <w:p>
      <w:pPr>
        <w:pStyle w:val="174"/>
      </w:pPr>
      <w:r>
        <w:rPr>
          <w:rFonts w:hint="eastAsia"/>
        </w:rPr>
        <w:t>应远离热源、隔绝火源，不得与强氧化剂和腐蚀性物品混运；</w:t>
      </w:r>
    </w:p>
    <w:p>
      <w:pPr>
        <w:pStyle w:val="174"/>
      </w:pPr>
      <w:r>
        <w:t>应配备</w:t>
      </w:r>
      <w:r>
        <w:rPr>
          <w:rFonts w:hint="eastAsia"/>
        </w:rPr>
        <w:t>相应的灭火器材。</w:t>
      </w:r>
    </w:p>
    <w:p>
      <w:pPr>
        <w:pStyle w:val="105"/>
        <w:spacing w:before="156" w:after="156"/>
      </w:pPr>
      <w:r>
        <w:rPr>
          <w:rFonts w:hint="eastAsia"/>
        </w:rPr>
        <w:t>石墨烯浆料</w:t>
      </w:r>
    </w:p>
    <w:p>
      <w:pPr>
        <w:pStyle w:val="65"/>
        <w:spacing w:before="156" w:after="156"/>
      </w:pPr>
      <w:r>
        <w:rPr>
          <w:rFonts w:hint="eastAsia"/>
        </w:rPr>
        <w:t>储存</w:t>
      </w:r>
    </w:p>
    <w:p>
      <w:pPr>
        <w:pStyle w:val="56"/>
        <w:ind w:firstLine="420"/>
      </w:pPr>
      <w:r>
        <w:t>石墨烯浆料的储存要求</w:t>
      </w:r>
      <w:r>
        <w:rPr>
          <w:rFonts w:hint="eastAsia"/>
        </w:rPr>
        <w:t>为</w:t>
      </w:r>
      <w:r>
        <w:t>：</w:t>
      </w:r>
    </w:p>
    <w:p>
      <w:pPr>
        <w:pStyle w:val="174"/>
        <w:numPr>
          <w:ilvl w:val="0"/>
          <w:numId w:val="37"/>
        </w:numPr>
      </w:pPr>
      <w:r>
        <w:t>包装件应堆码整齐，避免垮塌</w:t>
      </w:r>
      <w:r>
        <w:rPr>
          <w:rFonts w:hint="eastAsia"/>
        </w:rPr>
        <w:t>；</w:t>
      </w:r>
    </w:p>
    <w:p>
      <w:pPr>
        <w:pStyle w:val="174"/>
      </w:pPr>
      <w:r>
        <w:rPr>
          <w:rFonts w:hint="eastAsia"/>
        </w:rPr>
        <w:t>环境宜为室温</w:t>
      </w:r>
      <w:r>
        <w:rPr>
          <w:rFonts w:hint="eastAsia" w:hAnsi="宋体"/>
        </w:rPr>
        <w:t>、相对</w:t>
      </w:r>
      <w:r>
        <w:rPr>
          <w:rFonts w:hint="eastAsia"/>
        </w:rPr>
        <w:t>湿度不大于</w:t>
      </w:r>
      <w:r>
        <w:t>85%</w:t>
      </w:r>
      <w:r>
        <w:rPr>
          <w:rFonts w:hint="eastAsia"/>
        </w:rPr>
        <w:t>，</w:t>
      </w:r>
      <w:r>
        <w:t>应通风、</w:t>
      </w:r>
      <w:r>
        <w:rPr>
          <w:rFonts w:hint="eastAsia"/>
        </w:rPr>
        <w:t>防止</w:t>
      </w:r>
      <w:r>
        <w:t>阳光直射、阴凉、干燥</w:t>
      </w:r>
      <w:r>
        <w:rPr>
          <w:rFonts w:hint="eastAsia"/>
        </w:rPr>
        <w:t>；</w:t>
      </w:r>
    </w:p>
    <w:p>
      <w:pPr>
        <w:pStyle w:val="174"/>
      </w:pPr>
      <w:r>
        <w:rPr>
          <w:rFonts w:hint="eastAsia"/>
        </w:rPr>
        <w:t>严禁</w:t>
      </w:r>
      <w:r>
        <w:t>与易挥发</w:t>
      </w:r>
      <w:r>
        <w:rPr>
          <w:rFonts w:hint="eastAsia"/>
        </w:rPr>
        <w:t>性</w:t>
      </w:r>
      <w:r>
        <w:t>物质、强氧化剂</w:t>
      </w:r>
      <w:r>
        <w:rPr>
          <w:rFonts w:hint="eastAsia"/>
        </w:rPr>
        <w:t>和</w:t>
      </w:r>
      <w:r>
        <w:t>腐蚀性物品</w:t>
      </w:r>
      <w:r>
        <w:rPr>
          <w:rFonts w:hint="eastAsia"/>
        </w:rPr>
        <w:t>接触；</w:t>
      </w:r>
    </w:p>
    <w:p>
      <w:pPr>
        <w:pStyle w:val="174"/>
      </w:pPr>
      <w:r>
        <w:t>应</w:t>
      </w:r>
      <w:r>
        <w:rPr>
          <w:rFonts w:hint="eastAsia"/>
        </w:rPr>
        <w:t>远离</w:t>
      </w:r>
      <w:r>
        <w:t>热源、隔绝火源；</w:t>
      </w:r>
    </w:p>
    <w:p>
      <w:pPr>
        <w:pStyle w:val="174"/>
      </w:pPr>
      <w:r>
        <w:rPr>
          <w:rFonts w:hint="eastAsia"/>
        </w:rPr>
        <w:t>场所应</w:t>
      </w:r>
      <w:r>
        <w:t>配备相应的灭火器材；</w:t>
      </w:r>
    </w:p>
    <w:p>
      <w:pPr>
        <w:pStyle w:val="174"/>
      </w:pPr>
      <w:r>
        <w:rPr>
          <w:rFonts w:hint="eastAsia"/>
        </w:rPr>
        <w:t>应不超过保质期。</w:t>
      </w:r>
    </w:p>
    <w:p>
      <w:pPr>
        <w:pStyle w:val="65"/>
        <w:spacing w:before="156" w:after="156"/>
      </w:pPr>
      <w:r>
        <w:rPr>
          <w:rFonts w:hint="eastAsia"/>
        </w:rPr>
        <w:t>运输</w:t>
      </w:r>
    </w:p>
    <w:p>
      <w:pPr>
        <w:pStyle w:val="56"/>
        <w:ind w:firstLine="420"/>
      </w:pPr>
      <w:r>
        <w:rPr>
          <w:rFonts w:hint="eastAsia"/>
        </w:rPr>
        <w:t>石墨烯浆料的运输要求为：</w:t>
      </w:r>
    </w:p>
    <w:p>
      <w:pPr>
        <w:pStyle w:val="174"/>
        <w:numPr>
          <w:ilvl w:val="0"/>
          <w:numId w:val="38"/>
        </w:numPr>
      </w:pPr>
      <w:r>
        <w:rPr>
          <w:rFonts w:hint="eastAsia"/>
        </w:rPr>
        <w:t>应符合运输管理部门的规范要求；</w:t>
      </w:r>
    </w:p>
    <w:p>
      <w:pPr>
        <w:pStyle w:val="174"/>
      </w:pPr>
      <w:r>
        <w:rPr>
          <w:b/>
        </w:rPr>
        <w:t>应符合所使用溶剂的运输规范</w:t>
      </w:r>
      <w:r>
        <w:rPr>
          <w:rFonts w:hint="eastAsia"/>
        </w:rPr>
        <w:t xml:space="preserve">； </w:t>
      </w:r>
    </w:p>
    <w:p>
      <w:pPr>
        <w:pStyle w:val="174"/>
      </w:pPr>
      <w:r>
        <w:rPr>
          <w:rFonts w:hint="eastAsia"/>
        </w:rPr>
        <w:t>应</w:t>
      </w:r>
      <w:r>
        <w:t>轻装、轻卸，防止包装损坏</w:t>
      </w:r>
      <w:r>
        <w:rPr>
          <w:rFonts w:hint="eastAsia"/>
        </w:rPr>
        <w:t>；</w:t>
      </w:r>
    </w:p>
    <w:p>
      <w:pPr>
        <w:pStyle w:val="174"/>
      </w:pPr>
      <w:r>
        <w:t>应配</w:t>
      </w:r>
      <w:r>
        <w:rPr>
          <w:rFonts w:hint="eastAsia"/>
        </w:rPr>
        <w:t>有</w:t>
      </w:r>
      <w:r>
        <w:t>遮盖物</w:t>
      </w:r>
      <w:r>
        <w:rPr>
          <w:rFonts w:hint="eastAsia"/>
        </w:rPr>
        <w:t>，保持</w:t>
      </w:r>
      <w:r>
        <w:t>通风良好，</w:t>
      </w:r>
      <w:r>
        <w:rPr>
          <w:rFonts w:hint="eastAsia"/>
        </w:rPr>
        <w:t>防止阳光直射</w:t>
      </w:r>
      <w:r>
        <w:t>，防止雨淋</w:t>
      </w:r>
      <w:r>
        <w:rPr>
          <w:rFonts w:hint="eastAsia"/>
        </w:rPr>
        <w:t>和</w:t>
      </w:r>
      <w:r>
        <w:t>受潮</w:t>
      </w:r>
      <w:r>
        <w:rPr>
          <w:rFonts w:hint="eastAsia"/>
        </w:rPr>
        <w:t>；</w:t>
      </w:r>
    </w:p>
    <w:p>
      <w:pPr>
        <w:pStyle w:val="174"/>
      </w:pPr>
      <w:r>
        <w:t>应</w:t>
      </w:r>
      <w:r>
        <w:rPr>
          <w:rFonts w:hint="eastAsia"/>
        </w:rPr>
        <w:t>远离</w:t>
      </w:r>
      <w:r>
        <w:t>热源、隔绝火源，不得与强氧化剂</w:t>
      </w:r>
      <w:r>
        <w:rPr>
          <w:rFonts w:hint="eastAsia"/>
        </w:rPr>
        <w:t>和</w:t>
      </w:r>
      <w:r>
        <w:t>腐蚀性物品混运；</w:t>
      </w:r>
    </w:p>
    <w:p>
      <w:pPr>
        <w:pStyle w:val="174"/>
      </w:pPr>
      <w:r>
        <w:rPr>
          <w:rFonts w:hint="eastAsia"/>
        </w:rPr>
        <w:t>应</w:t>
      </w:r>
      <w:r>
        <w:t>配备</w:t>
      </w:r>
      <w:r>
        <w:rPr>
          <w:rFonts w:hint="eastAsia"/>
        </w:rPr>
        <w:t xml:space="preserve">相应的灭火器材。 </w:t>
      </w:r>
    </w:p>
    <w:p>
      <w:pPr>
        <w:pStyle w:val="105"/>
        <w:spacing w:before="156" w:after="156"/>
      </w:pPr>
      <w:r>
        <w:rPr>
          <w:rFonts w:hint="eastAsia"/>
        </w:rPr>
        <w:t>石墨烯滤饼</w:t>
      </w:r>
    </w:p>
    <w:p>
      <w:pPr>
        <w:pStyle w:val="65"/>
        <w:spacing w:before="156" w:after="156"/>
      </w:pPr>
      <w:r>
        <w:rPr>
          <w:rFonts w:hint="eastAsia"/>
        </w:rPr>
        <w:t>储存</w:t>
      </w:r>
    </w:p>
    <w:p>
      <w:pPr>
        <w:pStyle w:val="56"/>
        <w:ind w:firstLine="420"/>
      </w:pPr>
      <w:r>
        <w:t>石墨烯滤饼的储存要求为：</w:t>
      </w:r>
    </w:p>
    <w:p>
      <w:pPr>
        <w:pStyle w:val="174"/>
        <w:numPr>
          <w:ilvl w:val="0"/>
          <w:numId w:val="39"/>
        </w:numPr>
      </w:pPr>
      <w:r>
        <w:rPr>
          <w:rFonts w:hint="eastAsia"/>
        </w:rPr>
        <w:t>包装件应</w:t>
      </w:r>
      <w:r>
        <w:t>堆码整齐，避免垮塌</w:t>
      </w:r>
      <w:r>
        <w:rPr>
          <w:rFonts w:hint="eastAsia"/>
        </w:rPr>
        <w:t>；</w:t>
      </w:r>
    </w:p>
    <w:p>
      <w:pPr>
        <w:pStyle w:val="174"/>
        <w:numPr>
          <w:ilvl w:val="0"/>
          <w:numId w:val="40"/>
        </w:numPr>
      </w:pPr>
      <w:r>
        <w:t>环境宜</w:t>
      </w:r>
      <w:r>
        <w:rPr>
          <w:rFonts w:hint="eastAsia"/>
        </w:rPr>
        <w:t>为室温</w:t>
      </w:r>
      <w:r>
        <w:rPr>
          <w:rFonts w:hint="eastAsia" w:hAnsi="宋体"/>
        </w:rPr>
        <w:t>、相对</w:t>
      </w:r>
      <w:r>
        <w:rPr>
          <w:rFonts w:hint="eastAsia"/>
        </w:rPr>
        <w:t>湿度不大于</w:t>
      </w:r>
      <w:r>
        <w:t>85%，</w:t>
      </w:r>
      <w:r>
        <w:rPr>
          <w:rFonts w:hint="eastAsia"/>
        </w:rPr>
        <w:t>应</w:t>
      </w:r>
      <w:r>
        <w:t>通风、</w:t>
      </w:r>
      <w:r>
        <w:rPr>
          <w:rFonts w:hint="eastAsia"/>
        </w:rPr>
        <w:t>防止阳光直射、</w:t>
      </w:r>
      <w:r>
        <w:t>阴凉、干燥</w:t>
      </w:r>
      <w:r>
        <w:rPr>
          <w:rFonts w:hint="eastAsia" w:hAnsi="宋体"/>
        </w:rPr>
        <w:t>；</w:t>
      </w:r>
    </w:p>
    <w:p>
      <w:pPr>
        <w:pStyle w:val="174"/>
      </w:pPr>
      <w:r>
        <w:rPr>
          <w:rFonts w:hint="eastAsia"/>
        </w:rPr>
        <w:t>严禁</w:t>
      </w:r>
      <w:r>
        <w:t>与易挥发</w:t>
      </w:r>
      <w:r>
        <w:rPr>
          <w:rFonts w:hint="eastAsia"/>
        </w:rPr>
        <w:t>性</w:t>
      </w:r>
      <w:r>
        <w:t>物质、强氧化剂</w:t>
      </w:r>
      <w:r>
        <w:rPr>
          <w:rFonts w:hint="eastAsia"/>
        </w:rPr>
        <w:t>和</w:t>
      </w:r>
      <w:r>
        <w:t>腐蚀性物品</w:t>
      </w:r>
      <w:r>
        <w:rPr>
          <w:rFonts w:hint="eastAsia"/>
        </w:rPr>
        <w:t>接触；</w:t>
      </w:r>
    </w:p>
    <w:p>
      <w:pPr>
        <w:pStyle w:val="174"/>
      </w:pPr>
      <w:r>
        <w:t>应</w:t>
      </w:r>
      <w:r>
        <w:rPr>
          <w:rFonts w:hint="eastAsia"/>
        </w:rPr>
        <w:t>远离</w:t>
      </w:r>
      <w:r>
        <w:t>热源、隔绝火源；</w:t>
      </w:r>
    </w:p>
    <w:p>
      <w:pPr>
        <w:pStyle w:val="174"/>
      </w:pPr>
      <w:r>
        <w:rPr>
          <w:rFonts w:hint="eastAsia"/>
        </w:rPr>
        <w:t>场所应</w:t>
      </w:r>
      <w:r>
        <w:t>配备相应的灭火器材；</w:t>
      </w:r>
    </w:p>
    <w:p>
      <w:pPr>
        <w:pStyle w:val="174"/>
        <w:rPr>
          <w:rFonts w:ascii="黑体" w:eastAsia="黑体"/>
        </w:rPr>
      </w:pPr>
      <w:r>
        <w:rPr>
          <w:rFonts w:hint="eastAsia"/>
        </w:rPr>
        <w:t>应不超过保质期。</w:t>
      </w:r>
    </w:p>
    <w:p>
      <w:pPr>
        <w:pStyle w:val="65"/>
        <w:spacing w:before="156" w:after="156"/>
      </w:pPr>
      <w:r>
        <w:rPr>
          <w:rFonts w:hint="eastAsia"/>
        </w:rPr>
        <w:t>运输</w:t>
      </w:r>
    </w:p>
    <w:p>
      <w:pPr>
        <w:pStyle w:val="56"/>
        <w:ind w:firstLine="420"/>
      </w:pPr>
      <w:r>
        <w:t>石墨烯浆料的运输要求为：</w:t>
      </w:r>
    </w:p>
    <w:p>
      <w:pPr>
        <w:pStyle w:val="174"/>
        <w:numPr>
          <w:ilvl w:val="0"/>
          <w:numId w:val="41"/>
        </w:numPr>
      </w:pPr>
      <w:r>
        <w:rPr>
          <w:rFonts w:hint="eastAsia"/>
        </w:rPr>
        <w:t>应符合运输管理部门的规范要求；</w:t>
      </w:r>
    </w:p>
    <w:p>
      <w:pPr>
        <w:pStyle w:val="174"/>
        <w:numPr>
          <w:ilvl w:val="0"/>
          <w:numId w:val="40"/>
        </w:numPr>
      </w:pPr>
      <w:r>
        <w:rPr>
          <w:rFonts w:hint="eastAsia"/>
        </w:rPr>
        <w:t xml:space="preserve">应符合所使用溶剂的运输规范； </w:t>
      </w:r>
    </w:p>
    <w:p>
      <w:pPr>
        <w:pStyle w:val="174"/>
      </w:pPr>
      <w:r>
        <w:rPr>
          <w:rFonts w:hint="eastAsia"/>
        </w:rPr>
        <w:t>应轻装、轻卸，防止包装损坏；</w:t>
      </w:r>
    </w:p>
    <w:p>
      <w:pPr>
        <w:pStyle w:val="174"/>
      </w:pPr>
      <w:r>
        <w:rPr>
          <w:rFonts w:hint="eastAsia"/>
        </w:rPr>
        <w:t>应配有遮盖物，防止阳光直射，</w:t>
      </w:r>
      <w:r>
        <w:t>防止</w:t>
      </w:r>
      <w:r>
        <w:rPr>
          <w:rFonts w:hint="eastAsia"/>
        </w:rPr>
        <w:t>雨淋和受潮；</w:t>
      </w:r>
    </w:p>
    <w:p>
      <w:pPr>
        <w:pStyle w:val="174"/>
      </w:pPr>
      <w:r>
        <w:t>应</w:t>
      </w:r>
      <w:r>
        <w:rPr>
          <w:rFonts w:hint="eastAsia"/>
        </w:rPr>
        <w:t>远离</w:t>
      </w:r>
      <w:r>
        <w:t>热源、隔绝火源，不得与强氧化剂</w:t>
      </w:r>
      <w:r>
        <w:rPr>
          <w:rFonts w:hint="eastAsia"/>
        </w:rPr>
        <w:t>和</w:t>
      </w:r>
      <w:r>
        <w:t>腐蚀性物品混运；</w:t>
      </w:r>
    </w:p>
    <w:p>
      <w:pPr>
        <w:pStyle w:val="174"/>
      </w:pPr>
      <w:r>
        <w:t>应配备</w:t>
      </w:r>
      <w:r>
        <w:rPr>
          <w:rFonts w:hint="eastAsia"/>
        </w:rPr>
        <w:t xml:space="preserve">相应的灭火器材。 </w:t>
      </w:r>
    </w:p>
    <w:p>
      <w:pPr>
        <w:pStyle w:val="105"/>
        <w:spacing w:before="156" w:after="156"/>
      </w:pPr>
      <w:r>
        <w:rPr>
          <w:rFonts w:hint="eastAsia"/>
        </w:rPr>
        <w:t>石墨烯薄膜</w:t>
      </w:r>
    </w:p>
    <w:p>
      <w:pPr>
        <w:pStyle w:val="65"/>
        <w:spacing w:before="156" w:after="156"/>
      </w:pPr>
      <w:r>
        <w:rPr>
          <w:rFonts w:hint="eastAsia"/>
        </w:rPr>
        <w:t>储存</w:t>
      </w:r>
    </w:p>
    <w:p>
      <w:pPr>
        <w:pStyle w:val="56"/>
        <w:ind w:firstLine="420"/>
      </w:pPr>
      <w:r>
        <w:t>石墨烯薄膜的储存要求为：</w:t>
      </w:r>
    </w:p>
    <w:p>
      <w:pPr>
        <w:pStyle w:val="174"/>
        <w:numPr>
          <w:ilvl w:val="0"/>
          <w:numId w:val="42"/>
        </w:numPr>
      </w:pPr>
      <w:r>
        <w:t>环境宜</w:t>
      </w:r>
      <w:r>
        <w:rPr>
          <w:rFonts w:hint="eastAsia"/>
        </w:rPr>
        <w:t>为室温</w:t>
      </w:r>
      <w:r>
        <w:rPr>
          <w:rFonts w:hint="eastAsia" w:hAnsi="宋体"/>
        </w:rPr>
        <w:t>、相对</w:t>
      </w:r>
      <w:r>
        <w:rPr>
          <w:rFonts w:hint="eastAsia"/>
        </w:rPr>
        <w:t>湿度不大于</w:t>
      </w:r>
      <w:r>
        <w:t xml:space="preserve">85%，应干燥、阴凉、清洁； </w:t>
      </w:r>
    </w:p>
    <w:p>
      <w:pPr>
        <w:pStyle w:val="174"/>
      </w:pPr>
      <w:r>
        <w:rPr>
          <w:rFonts w:hint="eastAsia"/>
        </w:rPr>
        <w:t>应不超过保质期。</w:t>
      </w:r>
    </w:p>
    <w:p>
      <w:pPr>
        <w:pStyle w:val="65"/>
        <w:spacing w:before="156" w:after="156"/>
      </w:pPr>
      <w:r>
        <w:rPr>
          <w:rFonts w:hint="eastAsia"/>
        </w:rPr>
        <w:t>运输</w:t>
      </w:r>
    </w:p>
    <w:p>
      <w:pPr>
        <w:pStyle w:val="174"/>
        <w:numPr>
          <w:ilvl w:val="0"/>
          <w:numId w:val="0"/>
        </w:numPr>
        <w:ind w:left="851" w:hanging="426"/>
      </w:pPr>
      <w:r>
        <w:t>石墨烯薄膜</w:t>
      </w:r>
      <w:r>
        <w:rPr>
          <w:rFonts w:hint="eastAsia"/>
        </w:rPr>
        <w:t>在运输过程中不宜倒置，</w:t>
      </w:r>
      <w:r>
        <w:t>行进过程宜平稳。</w:t>
      </w:r>
    </w:p>
    <w:p>
      <w:pPr>
        <w:pStyle w:val="104"/>
        <w:spacing w:before="312" w:after="312"/>
      </w:pPr>
      <w:bookmarkStart w:id="83" w:name="_Toc158059387"/>
      <w:bookmarkStart w:id="84" w:name="_Toc158212446"/>
      <w:bookmarkStart w:id="85" w:name="_Toc159231454"/>
      <w:bookmarkStart w:id="86" w:name="_Toc159229077"/>
      <w:bookmarkStart w:id="87" w:name="_Toc159245770"/>
      <w:r>
        <w:rPr>
          <w:rFonts w:hint="eastAsia"/>
        </w:rPr>
        <w:t>安全要求</w:t>
      </w:r>
      <w:bookmarkEnd w:id="83"/>
      <w:bookmarkEnd w:id="84"/>
      <w:bookmarkEnd w:id="85"/>
      <w:bookmarkEnd w:id="86"/>
      <w:bookmarkEnd w:id="87"/>
    </w:p>
    <w:p>
      <w:pPr>
        <w:pStyle w:val="105"/>
        <w:spacing w:before="156" w:after="156"/>
      </w:pPr>
      <w:r>
        <w:rPr>
          <w:rFonts w:hint="eastAsia"/>
        </w:rPr>
        <w:t>石墨烯粉体</w:t>
      </w:r>
    </w:p>
    <w:p>
      <w:pPr>
        <w:pStyle w:val="165"/>
        <w:rPr>
          <w:b/>
        </w:rPr>
      </w:pPr>
      <w:r>
        <w:rPr>
          <w:b/>
        </w:rPr>
        <w:t>石墨烯粉体的包装储运应符合GB 15577的要求。</w:t>
      </w:r>
    </w:p>
    <w:p>
      <w:pPr>
        <w:pStyle w:val="165"/>
      </w:pPr>
      <w:r>
        <w:rPr>
          <w:rFonts w:hint="eastAsia"/>
        </w:rPr>
        <w:t>石墨烯粉体的包装储运场所应配备相应的灭火器材。</w:t>
      </w:r>
    </w:p>
    <w:p>
      <w:pPr>
        <w:pStyle w:val="165"/>
      </w:pPr>
      <w:r>
        <w:rPr>
          <w:rFonts w:hint="eastAsia"/>
        </w:rPr>
        <w:t>对于石墨烯粉体的包装储运，相关单位应制定相应的</w:t>
      </w:r>
      <w:r>
        <w:t>防火措施。</w:t>
      </w:r>
      <w:r>
        <w:rPr>
          <w:rFonts w:hint="eastAsia"/>
        </w:rPr>
        <w:t xml:space="preserve"> </w:t>
      </w:r>
    </w:p>
    <w:p>
      <w:pPr>
        <w:pStyle w:val="165"/>
      </w:pPr>
      <w:r>
        <w:rPr>
          <w:rFonts w:hint="eastAsia"/>
        </w:rPr>
        <w:t>在石墨烯粉体的包装储运过程中，若</w:t>
      </w:r>
      <w:r>
        <w:t>发生</w:t>
      </w:r>
      <w:r>
        <w:rPr>
          <w:rFonts w:hint="eastAsia"/>
        </w:rPr>
        <w:t>火灾</w:t>
      </w:r>
      <w:r>
        <w:t>，操作人员应</w:t>
      </w:r>
      <w:r>
        <w:rPr>
          <w:rFonts w:hint="eastAsia"/>
        </w:rPr>
        <w:t>穿戴适当的防护设备，如</w:t>
      </w:r>
      <w:r>
        <w:t>防护服、</w:t>
      </w:r>
      <w:r>
        <w:rPr>
          <w:rFonts w:hint="eastAsia"/>
        </w:rPr>
        <w:t>护目镜、</w:t>
      </w:r>
      <w:r>
        <w:t>头盔、空气呼吸器</w:t>
      </w:r>
      <w:r>
        <w:rPr>
          <w:rFonts w:hint="eastAsia"/>
        </w:rPr>
        <w:t>、耐高温和耐火的手套、以及耐高温和防滑的鞋</w:t>
      </w:r>
      <w:r>
        <w:t>，使用相应的</w:t>
      </w:r>
      <w:r>
        <w:rPr>
          <w:rFonts w:hint="eastAsia"/>
        </w:rPr>
        <w:t>灭火器材在上风口进行</w:t>
      </w:r>
      <w:r>
        <w:t>灭火</w:t>
      </w:r>
      <w:r>
        <w:rPr>
          <w:rFonts w:hint="eastAsia"/>
        </w:rPr>
        <w:t>。</w:t>
      </w:r>
    </w:p>
    <w:p>
      <w:pPr>
        <w:pStyle w:val="165"/>
      </w:pPr>
      <w:r>
        <w:rPr>
          <w:rFonts w:hint="eastAsia"/>
        </w:rPr>
        <w:t>在石墨烯粉体的包装储运过程中，若</w:t>
      </w:r>
      <w:r>
        <w:t>发生泄漏情况，</w:t>
      </w:r>
      <w:r>
        <w:rPr>
          <w:rFonts w:hint="eastAsia"/>
        </w:rPr>
        <w:t>操作人员</w:t>
      </w:r>
      <w:r>
        <w:t>应</w:t>
      </w:r>
      <w:r>
        <w:rPr>
          <w:rFonts w:hint="eastAsia"/>
        </w:rPr>
        <w:t>穿戴适当的防护装备，如防护服、护目镜、</w:t>
      </w:r>
      <w:r>
        <w:t>头盔、</w:t>
      </w:r>
      <w:r>
        <w:rPr>
          <w:rFonts w:hint="eastAsia"/>
        </w:rPr>
        <w:t>防护口罩、防护手套、以及防滑鞋等，</w:t>
      </w:r>
      <w:r>
        <w:t>隔离</w:t>
      </w:r>
      <w:r>
        <w:rPr>
          <w:rFonts w:hint="eastAsia"/>
        </w:rPr>
        <w:t>泄漏污染区</w:t>
      </w:r>
      <w:r>
        <w:t>，限制无关人员出入，并切断火源。</w:t>
      </w:r>
    </w:p>
    <w:p>
      <w:pPr>
        <w:pStyle w:val="105"/>
        <w:spacing w:before="156" w:after="156"/>
      </w:pPr>
      <w:r>
        <w:rPr>
          <w:rFonts w:hint="eastAsia"/>
        </w:rPr>
        <w:t>石墨烯浆料</w:t>
      </w:r>
    </w:p>
    <w:p>
      <w:pPr>
        <w:pStyle w:val="165"/>
      </w:pPr>
      <w:r>
        <w:rPr>
          <w:b/>
        </w:rPr>
        <w:t>石墨烯浆料的</w:t>
      </w:r>
      <w:r>
        <w:rPr>
          <w:rFonts w:hint="eastAsia"/>
          <w:b/>
        </w:rPr>
        <w:t>包装储运</w:t>
      </w:r>
      <w:r>
        <w:rPr>
          <w:b/>
        </w:rPr>
        <w:t>应符合所使用溶剂的包装储运规范</w:t>
      </w:r>
      <w:r>
        <w:rPr>
          <w:rFonts w:hint="eastAsia"/>
        </w:rPr>
        <w:t xml:space="preserve">。 </w:t>
      </w:r>
    </w:p>
    <w:p>
      <w:pPr>
        <w:pStyle w:val="165"/>
      </w:pPr>
      <w:r>
        <w:t>石墨烯浆料的包装储运场所应根据所使用的溶剂配备相应的</w:t>
      </w:r>
      <w:r>
        <w:rPr>
          <w:rFonts w:hint="eastAsia"/>
        </w:rPr>
        <w:t>灭火器材。</w:t>
      </w:r>
    </w:p>
    <w:p>
      <w:pPr>
        <w:pStyle w:val="165"/>
      </w:pPr>
      <w:r>
        <w:rPr>
          <w:rFonts w:hint="eastAsia"/>
        </w:rPr>
        <w:t>对于石墨烯浆料的包装储运，相关单位应制定相应的</w:t>
      </w:r>
      <w:r>
        <w:t>防火措施。</w:t>
      </w:r>
    </w:p>
    <w:p>
      <w:pPr>
        <w:pStyle w:val="165"/>
      </w:pPr>
      <w:r>
        <w:rPr>
          <w:rFonts w:hint="eastAsia"/>
        </w:rPr>
        <w:t>在石墨烯浆料的包装储运过程中，若发生火灾，操作人员应根据所使用溶剂的特性，穿戴适当的防护装备，</w:t>
      </w:r>
      <w:r>
        <w:t>使用相应的</w:t>
      </w:r>
      <w:r>
        <w:rPr>
          <w:rFonts w:hint="eastAsia"/>
        </w:rPr>
        <w:t>灭火器材在上风口进行</w:t>
      </w:r>
      <w:r>
        <w:t>灭火</w:t>
      </w:r>
      <w:r>
        <w:rPr>
          <w:rFonts w:hint="eastAsia"/>
        </w:rPr>
        <w:t>。</w:t>
      </w:r>
    </w:p>
    <w:p>
      <w:pPr>
        <w:pStyle w:val="165"/>
      </w:pPr>
      <w:r>
        <w:t>在</w:t>
      </w:r>
      <w:r>
        <w:rPr>
          <w:rFonts w:hint="eastAsia"/>
        </w:rPr>
        <w:t>石墨烯浆料的</w:t>
      </w:r>
      <w:r>
        <w:t>包装储运过程中，若发生泄漏情况，</w:t>
      </w:r>
      <w:r>
        <w:rPr>
          <w:rFonts w:hint="eastAsia"/>
        </w:rPr>
        <w:t>操作人员应根据所使用溶剂的泄漏处理规范进行操作。</w:t>
      </w:r>
    </w:p>
    <w:p>
      <w:pPr>
        <w:pStyle w:val="105"/>
        <w:spacing w:before="156" w:after="156"/>
      </w:pPr>
      <w:r>
        <w:rPr>
          <w:rFonts w:hint="eastAsia"/>
        </w:rPr>
        <w:t>石墨烯滤饼</w:t>
      </w:r>
    </w:p>
    <w:p>
      <w:pPr>
        <w:pStyle w:val="165"/>
      </w:pPr>
      <w:r>
        <w:rPr>
          <w:rFonts w:hint="eastAsia"/>
        </w:rPr>
        <w:t>产品</w:t>
      </w:r>
      <w:r>
        <w:t>的</w:t>
      </w:r>
      <w:r>
        <w:rPr>
          <w:rFonts w:hint="eastAsia"/>
        </w:rPr>
        <w:t>包装储运</w:t>
      </w:r>
      <w:r>
        <w:t>应符合所使用溶剂的运输规范</w:t>
      </w:r>
      <w:r>
        <w:rPr>
          <w:rFonts w:hint="eastAsia"/>
        </w:rPr>
        <w:t>。</w:t>
      </w:r>
    </w:p>
    <w:p>
      <w:pPr>
        <w:pStyle w:val="165"/>
      </w:pPr>
      <w:r>
        <w:t>石墨烯滤饼的包装储运场所，应根据所使用的溶剂配备相应的</w:t>
      </w:r>
      <w:r>
        <w:rPr>
          <w:rFonts w:hint="eastAsia"/>
        </w:rPr>
        <w:t>灭火器材。</w:t>
      </w:r>
    </w:p>
    <w:p>
      <w:pPr>
        <w:pStyle w:val="165"/>
      </w:pPr>
      <w:r>
        <w:rPr>
          <w:rFonts w:hint="eastAsia"/>
        </w:rPr>
        <w:t>对于石墨烯滤饼的包装储运，相关单位应制定</w:t>
      </w:r>
      <w:r>
        <w:t>相应的防火措施。</w:t>
      </w:r>
    </w:p>
    <w:p>
      <w:pPr>
        <w:pStyle w:val="165"/>
      </w:pPr>
      <w:r>
        <w:rPr>
          <w:rFonts w:hint="eastAsia"/>
        </w:rPr>
        <w:t>在石墨烯滤饼的包装储运过程中，若发生火灾，操作人员应根据所使用溶剂的特性，穿戴适当的防护装备，</w:t>
      </w:r>
      <w:r>
        <w:t>使用相应的</w:t>
      </w:r>
      <w:r>
        <w:rPr>
          <w:rFonts w:hint="eastAsia"/>
        </w:rPr>
        <w:t>灭火器材在上风口进行</w:t>
      </w:r>
      <w:r>
        <w:t>灭火</w:t>
      </w:r>
      <w:r>
        <w:rPr>
          <w:rFonts w:hint="eastAsia"/>
        </w:rPr>
        <w:t>。</w:t>
      </w:r>
    </w:p>
    <w:p>
      <w:pPr>
        <w:pStyle w:val="165"/>
      </w:pPr>
      <w:r>
        <w:rPr>
          <w:rFonts w:hint="eastAsia"/>
        </w:rPr>
        <w:t>在石墨烯滤饼的包装储运过程中，若发生泄漏情况，操作人员应根据所使用溶剂的泄漏处理规范进行操作。</w:t>
      </w:r>
    </w:p>
    <w:p>
      <w:pPr>
        <w:pStyle w:val="105"/>
        <w:spacing w:before="156" w:after="156"/>
      </w:pPr>
      <w:r>
        <w:t>石墨烯薄膜</w:t>
      </w:r>
    </w:p>
    <w:p>
      <w:pPr>
        <w:pStyle w:val="165"/>
      </w:pPr>
      <w:r>
        <w:rPr>
          <w:rFonts w:hint="eastAsia"/>
        </w:rPr>
        <w:t>石墨烯</w:t>
      </w:r>
      <w:r>
        <w:t>薄膜的</w:t>
      </w:r>
      <w:r>
        <w:rPr>
          <w:rFonts w:hint="eastAsia"/>
        </w:rPr>
        <w:t>包装</w:t>
      </w:r>
      <w:r>
        <w:t>操作</w:t>
      </w:r>
      <w:r>
        <w:rPr>
          <w:rFonts w:hint="eastAsia"/>
        </w:rPr>
        <w:t>应在洁净度优于万级的无尘室</w:t>
      </w:r>
      <w:r>
        <w:t>内进行。</w:t>
      </w:r>
    </w:p>
    <w:p>
      <w:pPr>
        <w:pStyle w:val="165"/>
      </w:pPr>
      <w:r>
        <w:t>在石墨烯薄膜的包装储运过程中，应避免石墨烯薄膜遭受</w:t>
      </w:r>
      <w:r>
        <w:rPr>
          <w:rFonts w:hint="eastAsia"/>
        </w:rPr>
        <w:t>粉尘、油脂等</w:t>
      </w:r>
      <w:r>
        <w:t>污染</w:t>
      </w:r>
      <w:r>
        <w:rPr>
          <w:rFonts w:hint="eastAsia"/>
        </w:rPr>
        <w:t>和</w:t>
      </w:r>
      <w:r>
        <w:t>坚硬物划伤</w:t>
      </w:r>
      <w:r>
        <w:rPr>
          <w:rFonts w:hint="eastAsia"/>
        </w:rPr>
        <w:t>。</w:t>
      </w:r>
    </w:p>
    <w:p>
      <w:pPr>
        <w:pStyle w:val="165"/>
        <w:numPr>
          <w:ilvl w:val="0"/>
          <w:numId w:val="0"/>
        </w:numPr>
        <w:jc w:val="center"/>
      </w:pPr>
      <w:bookmarkStart w:id="88"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8"/>
      <w:bookmarkEnd w:id="88"/>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2"/>
        </w:tabs>
        <w:ind w:left="852" w:hanging="426"/>
      </w:pPr>
      <w:rPr>
        <w:rFonts w:hint="default" w:ascii="Times New Roman" w:hAnsi="Times New Roman" w:eastAsia="宋体" w:cs="Times New Roman"/>
        <w:b w:val="0"/>
        <w:i w:val="0"/>
        <w:sz w:val="21"/>
      </w:rPr>
    </w:lvl>
    <w:lvl w:ilvl="1" w:tentative="0">
      <w:start w:val="1"/>
      <w:numFmt w:val="none"/>
      <w:pStyle w:val="187"/>
      <w:lvlText w:val=""/>
      <w:lvlJc w:val="left"/>
      <w:pPr>
        <w:ind w:left="852" w:hanging="431"/>
      </w:pPr>
      <w:rPr>
        <w:rFonts w:hint="default" w:ascii="Symbol" w:hAnsi="Symbol"/>
        <w:sz w:val="21"/>
      </w:rPr>
    </w:lvl>
    <w:lvl w:ilvl="2" w:tentative="0">
      <w:start w:val="1"/>
      <w:numFmt w:val="bullet"/>
      <w:pStyle w:val="172"/>
      <w:lvlText w:val=""/>
      <w:lvlJc w:val="left"/>
      <w:pPr>
        <w:ind w:left="852" w:hanging="426"/>
      </w:pPr>
      <w:rPr>
        <w:rFonts w:hint="default" w:ascii="Wingdings" w:hAnsi="Wingdings"/>
        <w:sz w:val="21"/>
      </w:rPr>
    </w:lvl>
    <w:lvl w:ilvl="3" w:tentative="0">
      <w:start w:val="1"/>
      <w:numFmt w:val="decimal"/>
      <w:lvlText w:val="%4."/>
      <w:lvlJc w:val="left"/>
      <w:pPr>
        <w:tabs>
          <w:tab w:val="left" w:pos="2072"/>
        </w:tabs>
        <w:ind w:left="1885" w:hanging="528"/>
      </w:pPr>
      <w:rPr>
        <w:rFonts w:hint="eastAsia"/>
      </w:rPr>
    </w:lvl>
    <w:lvl w:ilvl="4" w:tentative="0">
      <w:start w:val="1"/>
      <w:numFmt w:val="lowerLetter"/>
      <w:lvlText w:val="%5)"/>
      <w:lvlJc w:val="left"/>
      <w:pPr>
        <w:tabs>
          <w:tab w:val="left" w:pos="2384"/>
        </w:tabs>
        <w:ind w:left="2197" w:hanging="528"/>
      </w:pPr>
      <w:rPr>
        <w:rFonts w:hint="eastAsia"/>
      </w:rPr>
    </w:lvl>
    <w:lvl w:ilvl="5" w:tentative="0">
      <w:start w:val="1"/>
      <w:numFmt w:val="lowerRoman"/>
      <w:lvlText w:val="%6."/>
      <w:lvlJc w:val="right"/>
      <w:pPr>
        <w:tabs>
          <w:tab w:val="left" w:pos="2696"/>
        </w:tabs>
        <w:ind w:left="2509" w:hanging="528"/>
      </w:pPr>
      <w:rPr>
        <w:rFonts w:hint="eastAsia"/>
      </w:rPr>
    </w:lvl>
    <w:lvl w:ilvl="6" w:tentative="0">
      <w:start w:val="1"/>
      <w:numFmt w:val="decimal"/>
      <w:lvlText w:val="%7."/>
      <w:lvlJc w:val="left"/>
      <w:pPr>
        <w:tabs>
          <w:tab w:val="left" w:pos="3008"/>
        </w:tabs>
        <w:ind w:left="2821" w:hanging="528"/>
      </w:pPr>
      <w:rPr>
        <w:rFonts w:hint="eastAsia"/>
      </w:rPr>
    </w:lvl>
    <w:lvl w:ilvl="7" w:tentative="0">
      <w:start w:val="1"/>
      <w:numFmt w:val="lowerLetter"/>
      <w:lvlText w:val="%8)"/>
      <w:lvlJc w:val="left"/>
      <w:pPr>
        <w:tabs>
          <w:tab w:val="left" w:pos="3320"/>
        </w:tabs>
        <w:ind w:left="3133" w:hanging="528"/>
      </w:pPr>
      <w:rPr>
        <w:rFonts w:hint="eastAsia"/>
      </w:rPr>
    </w:lvl>
    <w:lvl w:ilvl="8" w:tentative="0">
      <w:start w:val="1"/>
      <w:numFmt w:val="lowerRoman"/>
      <w:lvlText w:val="%9."/>
      <w:lvlJc w:val="right"/>
      <w:pPr>
        <w:tabs>
          <w:tab w:val="left" w:pos="3632"/>
        </w:tabs>
        <w:ind w:left="3445"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3545"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577E0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02D"/>
    <w:rsid w:val="00060C2E"/>
    <w:rsid w:val="00061033"/>
    <w:rsid w:val="000619E9"/>
    <w:rsid w:val="000622D4"/>
    <w:rsid w:val="0006357D"/>
    <w:rsid w:val="00067F1E"/>
    <w:rsid w:val="000718F9"/>
    <w:rsid w:val="00071CC0"/>
    <w:rsid w:val="00073C8C"/>
    <w:rsid w:val="00077B64"/>
    <w:rsid w:val="00080A1C"/>
    <w:rsid w:val="00082317"/>
    <w:rsid w:val="00083D2C"/>
    <w:rsid w:val="00086AA1"/>
    <w:rsid w:val="0008779E"/>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6A6"/>
    <w:rsid w:val="000B1592"/>
    <w:rsid w:val="000B1FF2"/>
    <w:rsid w:val="000B3CDA"/>
    <w:rsid w:val="000B5BD3"/>
    <w:rsid w:val="000B6A0B"/>
    <w:rsid w:val="000C0F6C"/>
    <w:rsid w:val="000C11DB"/>
    <w:rsid w:val="000C1492"/>
    <w:rsid w:val="000C2FBD"/>
    <w:rsid w:val="000C4B41"/>
    <w:rsid w:val="000C57D6"/>
    <w:rsid w:val="000C6362"/>
    <w:rsid w:val="000C6F26"/>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1E7D"/>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0421"/>
    <w:rsid w:val="0020107D"/>
    <w:rsid w:val="00202AA4"/>
    <w:rsid w:val="002031F7"/>
    <w:rsid w:val="002040E6"/>
    <w:rsid w:val="0020527B"/>
    <w:rsid w:val="00205F2C"/>
    <w:rsid w:val="00210B15"/>
    <w:rsid w:val="002116FC"/>
    <w:rsid w:val="002142EA"/>
    <w:rsid w:val="002204BB"/>
    <w:rsid w:val="00221B79"/>
    <w:rsid w:val="00221C6B"/>
    <w:rsid w:val="002253A1"/>
    <w:rsid w:val="00225CF8"/>
    <w:rsid w:val="0022794E"/>
    <w:rsid w:val="00231F14"/>
    <w:rsid w:val="00233D64"/>
    <w:rsid w:val="0023482A"/>
    <w:rsid w:val="002359CB"/>
    <w:rsid w:val="00243540"/>
    <w:rsid w:val="0024497B"/>
    <w:rsid w:val="0024515B"/>
    <w:rsid w:val="00246021"/>
    <w:rsid w:val="0024666E"/>
    <w:rsid w:val="00247F52"/>
    <w:rsid w:val="00250204"/>
    <w:rsid w:val="00250B25"/>
    <w:rsid w:val="00250BBE"/>
    <w:rsid w:val="002515C2"/>
    <w:rsid w:val="0025194F"/>
    <w:rsid w:val="0026148A"/>
    <w:rsid w:val="00262696"/>
    <w:rsid w:val="00262DEF"/>
    <w:rsid w:val="00263D25"/>
    <w:rsid w:val="002643C3"/>
    <w:rsid w:val="00264A0C"/>
    <w:rsid w:val="00266EEB"/>
    <w:rsid w:val="00267EF4"/>
    <w:rsid w:val="00270CB8"/>
    <w:rsid w:val="00272B08"/>
    <w:rsid w:val="002771AC"/>
    <w:rsid w:val="00280B89"/>
    <w:rsid w:val="002816AA"/>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1EF"/>
    <w:rsid w:val="002E4D5A"/>
    <w:rsid w:val="002E6326"/>
    <w:rsid w:val="002F30E0"/>
    <w:rsid w:val="002F35E4"/>
    <w:rsid w:val="002F3730"/>
    <w:rsid w:val="002F38E1"/>
    <w:rsid w:val="002F7081"/>
    <w:rsid w:val="002F7AF6"/>
    <w:rsid w:val="00300E63"/>
    <w:rsid w:val="00302F5F"/>
    <w:rsid w:val="0030441D"/>
    <w:rsid w:val="00304E3C"/>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4B24"/>
    <w:rsid w:val="003654CB"/>
    <w:rsid w:val="00365AA9"/>
    <w:rsid w:val="00365F86"/>
    <w:rsid w:val="00365F87"/>
    <w:rsid w:val="00366E89"/>
    <w:rsid w:val="003675A2"/>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36D3"/>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169"/>
    <w:rsid w:val="004167A3"/>
    <w:rsid w:val="00421E9B"/>
    <w:rsid w:val="00432DAA"/>
    <w:rsid w:val="00434305"/>
    <w:rsid w:val="00435DF7"/>
    <w:rsid w:val="00437745"/>
    <w:rsid w:val="0044083F"/>
    <w:rsid w:val="00441AE7"/>
    <w:rsid w:val="00445574"/>
    <w:rsid w:val="004467FB"/>
    <w:rsid w:val="00452D6B"/>
    <w:rsid w:val="00454484"/>
    <w:rsid w:val="0045517B"/>
    <w:rsid w:val="00457F5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05F"/>
    <w:rsid w:val="004F391A"/>
    <w:rsid w:val="004F3A2B"/>
    <w:rsid w:val="004F3CFB"/>
    <w:rsid w:val="004F6456"/>
    <w:rsid w:val="004F696E"/>
    <w:rsid w:val="004F6C71"/>
    <w:rsid w:val="00500686"/>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7E0C"/>
    <w:rsid w:val="005801E3"/>
    <w:rsid w:val="00581802"/>
    <w:rsid w:val="00582BCA"/>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1AC6"/>
    <w:rsid w:val="005F284E"/>
    <w:rsid w:val="005F4712"/>
    <w:rsid w:val="005F5615"/>
    <w:rsid w:val="006015CE"/>
    <w:rsid w:val="00601B61"/>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D85"/>
    <w:rsid w:val="00636E3E"/>
    <w:rsid w:val="006379F7"/>
    <w:rsid w:val="00637E4D"/>
    <w:rsid w:val="00640620"/>
    <w:rsid w:val="00641A1F"/>
    <w:rsid w:val="00645904"/>
    <w:rsid w:val="00651ACB"/>
    <w:rsid w:val="00651C47"/>
    <w:rsid w:val="00652AB2"/>
    <w:rsid w:val="006534BA"/>
    <w:rsid w:val="00653FED"/>
    <w:rsid w:val="00654EC0"/>
    <w:rsid w:val="0065525B"/>
    <w:rsid w:val="00655D4F"/>
    <w:rsid w:val="00656D29"/>
    <w:rsid w:val="006640E5"/>
    <w:rsid w:val="006646F1"/>
    <w:rsid w:val="00664929"/>
    <w:rsid w:val="00664F62"/>
    <w:rsid w:val="006655E1"/>
    <w:rsid w:val="00672060"/>
    <w:rsid w:val="00672BFD"/>
    <w:rsid w:val="006770F4"/>
    <w:rsid w:val="006779FC"/>
    <w:rsid w:val="00677A84"/>
    <w:rsid w:val="0068026D"/>
    <w:rsid w:val="00680A27"/>
    <w:rsid w:val="006816A4"/>
    <w:rsid w:val="006819B8"/>
    <w:rsid w:val="006840A6"/>
    <w:rsid w:val="006850CD"/>
    <w:rsid w:val="00685472"/>
    <w:rsid w:val="00685AAB"/>
    <w:rsid w:val="00687DD5"/>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06DA"/>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CB6"/>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7481"/>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2EB"/>
    <w:rsid w:val="008269DD"/>
    <w:rsid w:val="00830621"/>
    <w:rsid w:val="0083348C"/>
    <w:rsid w:val="008373D3"/>
    <w:rsid w:val="00840617"/>
    <w:rsid w:val="00840F84"/>
    <w:rsid w:val="00842A47"/>
    <w:rsid w:val="00843C13"/>
    <w:rsid w:val="008454F8"/>
    <w:rsid w:val="00845788"/>
    <w:rsid w:val="0085173A"/>
    <w:rsid w:val="00856316"/>
    <w:rsid w:val="008603CE"/>
    <w:rsid w:val="008620FC"/>
    <w:rsid w:val="008627A5"/>
    <w:rsid w:val="00863E05"/>
    <w:rsid w:val="00864708"/>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A79FB"/>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719"/>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8B3"/>
    <w:rsid w:val="009249EC"/>
    <w:rsid w:val="00926123"/>
    <w:rsid w:val="009273B3"/>
    <w:rsid w:val="009305B5"/>
    <w:rsid w:val="00930C90"/>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24A7"/>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08F8"/>
    <w:rsid w:val="009C27F1"/>
    <w:rsid w:val="009C3152"/>
    <w:rsid w:val="009C4CFA"/>
    <w:rsid w:val="009C5070"/>
    <w:rsid w:val="009D112C"/>
    <w:rsid w:val="009D172B"/>
    <w:rsid w:val="009D47FA"/>
    <w:rsid w:val="009D4C5B"/>
    <w:rsid w:val="009D50D2"/>
    <w:rsid w:val="009D6BCA"/>
    <w:rsid w:val="009E0F62"/>
    <w:rsid w:val="009E4A58"/>
    <w:rsid w:val="009E5A2D"/>
    <w:rsid w:val="009E5AB2"/>
    <w:rsid w:val="009E6219"/>
    <w:rsid w:val="009F03B3"/>
    <w:rsid w:val="009F33DC"/>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3827"/>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F69"/>
    <w:rsid w:val="00AE070A"/>
    <w:rsid w:val="00AE101C"/>
    <w:rsid w:val="00AE37E5"/>
    <w:rsid w:val="00AE5EB4"/>
    <w:rsid w:val="00AF0C18"/>
    <w:rsid w:val="00AF47C5"/>
    <w:rsid w:val="00AF5398"/>
    <w:rsid w:val="00B048DD"/>
    <w:rsid w:val="00B049AF"/>
    <w:rsid w:val="00B07242"/>
    <w:rsid w:val="00B10534"/>
    <w:rsid w:val="00B113DB"/>
    <w:rsid w:val="00B11D8A"/>
    <w:rsid w:val="00B12981"/>
    <w:rsid w:val="00B147DD"/>
    <w:rsid w:val="00B156FD"/>
    <w:rsid w:val="00B1737B"/>
    <w:rsid w:val="00B17FE9"/>
    <w:rsid w:val="00B21F61"/>
    <w:rsid w:val="00B261F1"/>
    <w:rsid w:val="00B265BC"/>
    <w:rsid w:val="00B31FB1"/>
    <w:rsid w:val="00B33952"/>
    <w:rsid w:val="00B33C5E"/>
    <w:rsid w:val="00B342F4"/>
    <w:rsid w:val="00B34369"/>
    <w:rsid w:val="00B34DC2"/>
    <w:rsid w:val="00B36534"/>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0F2"/>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B71DC"/>
    <w:rsid w:val="00BC1A4E"/>
    <w:rsid w:val="00BC4790"/>
    <w:rsid w:val="00BC5DC7"/>
    <w:rsid w:val="00BC6B8B"/>
    <w:rsid w:val="00BC73D8"/>
    <w:rsid w:val="00BD52D7"/>
    <w:rsid w:val="00BD5AD2"/>
    <w:rsid w:val="00BE1525"/>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0622"/>
    <w:rsid w:val="00C33E50"/>
    <w:rsid w:val="00C34C20"/>
    <w:rsid w:val="00C35170"/>
    <w:rsid w:val="00C35A3E"/>
    <w:rsid w:val="00C42130"/>
    <w:rsid w:val="00C423A4"/>
    <w:rsid w:val="00C44BF5"/>
    <w:rsid w:val="00C521D6"/>
    <w:rsid w:val="00C53C87"/>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1C01"/>
    <w:rsid w:val="00C8248C"/>
    <w:rsid w:val="00C84E33"/>
    <w:rsid w:val="00C86D6F"/>
    <w:rsid w:val="00C905FC"/>
    <w:rsid w:val="00C92D03"/>
    <w:rsid w:val="00C9319C"/>
    <w:rsid w:val="00C9435D"/>
    <w:rsid w:val="00C94DF2"/>
    <w:rsid w:val="00C96741"/>
    <w:rsid w:val="00CA2D1B"/>
    <w:rsid w:val="00CA3258"/>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904"/>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3820"/>
    <w:rsid w:val="00D1489E"/>
    <w:rsid w:val="00D20737"/>
    <w:rsid w:val="00D21E81"/>
    <w:rsid w:val="00D223DE"/>
    <w:rsid w:val="00D25E37"/>
    <w:rsid w:val="00D2661A"/>
    <w:rsid w:val="00D27582"/>
    <w:rsid w:val="00D27EC4"/>
    <w:rsid w:val="00D32719"/>
    <w:rsid w:val="00D33333"/>
    <w:rsid w:val="00D33457"/>
    <w:rsid w:val="00D352A2"/>
    <w:rsid w:val="00D355C6"/>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1B6"/>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76C4"/>
    <w:rsid w:val="00E3137A"/>
    <w:rsid w:val="00E32CCF"/>
    <w:rsid w:val="00E34A98"/>
    <w:rsid w:val="00E35724"/>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7DEA"/>
    <w:rsid w:val="00EA3E46"/>
    <w:rsid w:val="00EA58D1"/>
    <w:rsid w:val="00EA61BC"/>
    <w:rsid w:val="00EA681A"/>
    <w:rsid w:val="00EA735B"/>
    <w:rsid w:val="00EB17DE"/>
    <w:rsid w:val="00EB1E69"/>
    <w:rsid w:val="00EB2086"/>
    <w:rsid w:val="00EB5EDF"/>
    <w:rsid w:val="00EB60FE"/>
    <w:rsid w:val="00EB74DB"/>
    <w:rsid w:val="00EC04F0"/>
    <w:rsid w:val="00EC5359"/>
    <w:rsid w:val="00EC562A"/>
    <w:rsid w:val="00ED067A"/>
    <w:rsid w:val="00ED2B50"/>
    <w:rsid w:val="00ED5BFB"/>
    <w:rsid w:val="00EE0350"/>
    <w:rsid w:val="00EE0719"/>
    <w:rsid w:val="00EE0E80"/>
    <w:rsid w:val="00EE2784"/>
    <w:rsid w:val="00EE355F"/>
    <w:rsid w:val="00EE54A6"/>
    <w:rsid w:val="00EE613F"/>
    <w:rsid w:val="00EE7295"/>
    <w:rsid w:val="00EE7869"/>
    <w:rsid w:val="00EF042A"/>
    <w:rsid w:val="00EF054A"/>
    <w:rsid w:val="00EF3235"/>
    <w:rsid w:val="00EF7E72"/>
    <w:rsid w:val="00F06D37"/>
    <w:rsid w:val="00F07B9D"/>
    <w:rsid w:val="00F11586"/>
    <w:rsid w:val="00F1183B"/>
    <w:rsid w:val="00F11C9F"/>
    <w:rsid w:val="00F11E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16C"/>
    <w:rsid w:val="00F6194E"/>
    <w:rsid w:val="00F623AC"/>
    <w:rsid w:val="00F6412A"/>
    <w:rsid w:val="00F65893"/>
    <w:rsid w:val="00F66A4A"/>
    <w:rsid w:val="00F71E22"/>
    <w:rsid w:val="00F72142"/>
    <w:rsid w:val="00F72AE7"/>
    <w:rsid w:val="00F7535F"/>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96308EF"/>
    <w:rsid w:val="4D5F7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autoRedefine/>
    <w:qFormat/>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autoRedefine/>
    <w:qFormat/>
    <w:uiPriority w:val="0"/>
    <w:rPr>
      <w:b/>
      <w:bCs/>
      <w:kern w:val="2"/>
      <w:sz w:val="28"/>
      <w:szCs w:val="28"/>
    </w:rPr>
  </w:style>
  <w:style w:type="character" w:customStyle="1" w:styleId="39">
    <w:name w:val="标题 6 Char"/>
    <w:link w:val="7"/>
    <w:autoRedefine/>
    <w:uiPriority w:val="0"/>
    <w:rPr>
      <w:rFonts w:ascii="Arial" w:hAnsi="Arial" w:eastAsia="黑体"/>
      <w:b/>
      <w:bCs/>
      <w:kern w:val="2"/>
      <w:sz w:val="24"/>
      <w:szCs w:val="24"/>
    </w:rPr>
  </w:style>
  <w:style w:type="character" w:customStyle="1" w:styleId="40">
    <w:name w:val="标题 7 Char"/>
    <w:link w:val="8"/>
    <w:uiPriority w:val="0"/>
    <w:rPr>
      <w:b/>
      <w:bCs/>
      <w:kern w:val="2"/>
      <w:sz w:val="24"/>
      <w:szCs w:val="24"/>
    </w:rPr>
  </w:style>
  <w:style w:type="character" w:customStyle="1" w:styleId="41">
    <w:name w:val="标题 8 Char"/>
    <w:link w:val="9"/>
    <w:autoRedefine/>
    <w:qFormat/>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frame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D135660D57F43088BF0CD4A0F47A87A"/>
        <w:style w:val=""/>
        <w:category>
          <w:name w:val="常规"/>
          <w:gallery w:val="placeholder"/>
        </w:category>
        <w:types>
          <w:type w:val="bbPlcHdr"/>
        </w:types>
        <w:behaviors>
          <w:behavior w:val="content"/>
        </w:behaviors>
        <w:description w:val=""/>
        <w:guid w:val="{2B608D5E-8204-445A-A13A-24CFC91807C7}"/>
      </w:docPartPr>
      <w:docPartBody>
        <w:p>
          <w:pPr>
            <w:pStyle w:val="5"/>
          </w:pPr>
          <w:r>
            <w:rPr>
              <w:rStyle w:val="4"/>
              <w:rFonts w:hint="eastAsia"/>
            </w:rPr>
            <w:t>单击或点击此处输入文字。</w:t>
          </w:r>
        </w:p>
      </w:docPartBody>
    </w:docPart>
    <w:docPart>
      <w:docPartPr>
        <w:name w:val="FF31DFDB28244C22A9F170C855F19CB7"/>
        <w:style w:val=""/>
        <w:category>
          <w:name w:val="常规"/>
          <w:gallery w:val="placeholder"/>
        </w:category>
        <w:types>
          <w:type w:val="bbPlcHdr"/>
        </w:types>
        <w:behaviors>
          <w:behavior w:val="content"/>
        </w:behaviors>
        <w:description w:val=""/>
        <w:guid w:val="{F814B194-5208-4CF2-9115-0646CAEFA507}"/>
      </w:docPartPr>
      <w:docPartBody>
        <w:p>
          <w:pPr>
            <w:pStyle w:val="6"/>
          </w:pPr>
          <w:r>
            <w:rPr>
              <w:rStyle w:val="4"/>
              <w:rFonts w:hint="eastAsia"/>
            </w:rPr>
            <w:t>选择一项。</w:t>
          </w:r>
        </w:p>
      </w:docPartBody>
    </w:docPart>
    <w:docPart>
      <w:docPartPr>
        <w:name w:val="E5D2F81589D343DDA5C591E89786F5C4"/>
        <w:style w:val=""/>
        <w:category>
          <w:name w:val="常规"/>
          <w:gallery w:val="placeholder"/>
        </w:category>
        <w:types>
          <w:type w:val="bbPlcHdr"/>
        </w:types>
        <w:behaviors>
          <w:behavior w:val="content"/>
        </w:behaviors>
        <w:description w:val=""/>
        <w:guid w:val="{779AA974-BE6B-4AD0-B713-111DA0D6602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842"/>
    <w:rsid w:val="000A767E"/>
    <w:rsid w:val="00146E0F"/>
    <w:rsid w:val="007C2E03"/>
    <w:rsid w:val="009409AC"/>
    <w:rsid w:val="00B40AD2"/>
    <w:rsid w:val="00BD5CD6"/>
    <w:rsid w:val="00D47E3C"/>
    <w:rsid w:val="00D80842"/>
    <w:rsid w:val="00E01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8D135660D57F43088BF0CD4A0F47A87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F31DFDB28244C22A9F170C855F19CB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5D2F81589D343DDA5C591E89786F5C4"/>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DF4AB1-F523-475B-8258-A52DE56AAD3B}">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841</Words>
  <Characters>4798</Characters>
  <Lines>39</Lines>
  <Paragraphs>11</Paragraphs>
  <TotalTime>89</TotalTime>
  <ScaleCrop>false</ScaleCrop>
  <LinksUpToDate>false</LinksUpToDate>
  <CharactersWithSpaces>5628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2024-02-19T01:42:00Z</dcterms:created>
  <dc:creator>MG</dc:creator>
  <dc:description>&lt;config cover="true" show_menu="true" version="1.0.0" doctype="SDKXY"&gt;_x000d_
&lt;/config&gt;</dc:description>
  <cp:lastModifiedBy>mmme</cp:lastModifiedBy>
  <cp:lastPrinted>2024-02-19T01:51:00Z</cp:lastPrinted>
  <dcterms:modified xsi:type="dcterms:W3CDTF">2024-02-29T06:07:38Z</dcterms:modified>
  <dc:title>地方标准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742B6064E2054776A65F45CDC2398818_12</vt:lpwstr>
  </property>
</Properties>
</file>