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right="706" w:rightChars="336"/>
        <w:rPr>
          <w:color w:val="000000" w:themeColor="text1"/>
          <w:kern w:val="0"/>
          <w:szCs w:val="20"/>
          <w14:textFill>
            <w14:solidFill>
              <w14:schemeClr w14:val="tx1"/>
            </w14:solidFill>
          </w14:textFill>
        </w:rPr>
        <w:sectPr>
          <w:headerReference r:id="rId5" w:type="first"/>
          <w:headerReference r:id="rId3" w:type="default"/>
          <w:footerReference r:id="rId6" w:type="default"/>
          <w:headerReference r:id="rId4" w:type="even"/>
          <w:footerReference r:id="rId7" w:type="even"/>
          <w:pgSz w:w="11907" w:h="16839"/>
          <w:pgMar w:top="567" w:right="851" w:bottom="1361" w:left="1418" w:header="0" w:footer="0" w:gutter="0"/>
          <w:pgNumType w:start="1"/>
          <w:cols w:space="425" w:num="1"/>
          <w:titlePg/>
          <w:docGrid w:type="lines" w:linePitch="312" w:charSpace="0"/>
        </w:sectPr>
      </w:pPr>
      <w:bookmarkStart w:id="0" w:name="SectionMark0"/>
      <w:r>
        <w:rPr>
          <w:color w:val="000000" w:themeColor="text1"/>
          <w:kern w:val="0"/>
          <w:szCs w:val="20"/>
          <w14:textFill>
            <w14:solidFill>
              <w14:schemeClr w14:val="tx1"/>
            </w14:solidFill>
          </w14:textFill>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8890000</wp:posOffset>
                </wp:positionV>
                <wp:extent cx="6121400" cy="0"/>
                <wp:effectExtent l="14605" t="10795" r="7620" b="8255"/>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_x0000_s1026" o:spid="_x0000_s1026" o:spt="20" style="position:absolute;left:0pt;margin-left:0pt;margin-top:700pt;height:0pt;width:482pt;z-index:251668480;mso-width-relative:page;mso-height-relative:page;" filled="f" stroked="t" coordsize="21600,21600" o:gfxdata="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r0iU/VAAAACgEA&#10;AA8AAAAAAAAAAQAgAAAAIgAAAGRycy9kb3ducmV2LnhtbFBLAQIUABQAAAAIAIdO4kAt1GjR5AEA&#10;AK0DAAAOAAAAAAAAAAEAIAAAACQBAABkcnMvZTJvRG9jLnhtbFBLBQYAAAAABgAGAFkBAAB6BQAA&#10;AAA=&#10;">
                <v:fill on="f" focussize="0,0"/>
                <v:stroke weight="1pt" color="#080000" joinstyle="round"/>
                <v:imagedata o:title=""/>
                <o:lock v:ext="edit" aspectratio="f"/>
              </v:line>
            </w:pict>
          </mc:Fallback>
        </mc:AlternateContent>
      </w:r>
      <w:r>
        <w:rPr>
          <w:color w:val="000000" w:themeColor="text1"/>
          <w:kern w:val="0"/>
          <w:szCs w:val="20"/>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2273300</wp:posOffset>
                </wp:positionV>
                <wp:extent cx="6121400" cy="0"/>
                <wp:effectExtent l="14605" t="13970" r="7620" b="14605"/>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_x0000_s1026" o:spid="_x0000_s1026" o:spt="20" style="position:absolute;left:0pt;margin-left:0pt;margin-top:179pt;height:0pt;width:482pt;z-index:251667456;mso-width-relative:page;mso-height-relative:page;" filled="f" stroked="t" coordsize="21600,21600" o:gfxdata="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TueDHWAAAACAEA&#10;AA8AAAAAAAAAAQAgAAAAIgAAAGRycy9kb3ducmV2LnhtbFBLAQIUABQAAAAIAIdO4kD4Q+UZ4wEA&#10;AK0DAAAOAAAAAAAAAAEAIAAAACUBAABkcnMvZTJvRG9jLnhtbFBLBQYAAAAABgAGAFkBAAB6BQAA&#10;AAA=&#10;">
                <v:fill on="f" focussize="0,0"/>
                <v:stroke weight="1pt" color="#080000" joinstyle="round"/>
                <v:imagedata o:title=""/>
                <o:lock v:ext="edit" aspectratio="f"/>
              </v:line>
            </w:pict>
          </mc:Fallback>
        </mc:AlternateContent>
      </w:r>
      <w:r>
        <w:rPr>
          <w:color w:val="000000" w:themeColor="text1"/>
          <w:kern w:val="0"/>
          <w:szCs w:val="20"/>
          <w14:textFill>
            <w14:solidFill>
              <w14:schemeClr w14:val="tx1"/>
            </w14:solidFill>
          </w14:textFill>
        </w:rP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9108440</wp:posOffset>
                </wp:positionV>
                <wp:extent cx="6120130" cy="363220"/>
                <wp:effectExtent l="0" t="635" r="0" b="0"/>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pPr>
                              <w:pStyle w:val="40"/>
                            </w:pPr>
                            <w:r>
                              <w:rPr>
                                <w:rFonts w:hint="eastAsia"/>
                              </w:rPr>
                              <w:t>江苏省市场监督管理局</w:t>
                            </w:r>
                            <w:r>
                              <w:rPr>
                                <w:rStyle w:val="39"/>
                                <w:rFonts w:hint="eastAsia"/>
                              </w:rPr>
                              <w:t xml:space="preserve"> 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717.2pt;height:28.6pt;width:481.9pt;mso-position-horizontal-relative:margin;mso-position-vertical-relative:margin;z-index:251666432;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iVYG69gA&#10;AAAKAQAADwAAAAAAAAABACAAAAAiAAAAZHJzL2Rvd25yZXYueG1sUEsBAhQAFAAAAAgAh07iQKlM&#10;j/4fAgAALgQAAA4AAAAAAAAAAQAgAAAAJwEAAGRycy9lMm9Eb2MueG1sUEsFBgAAAAAGAAYAWQEA&#10;ALgFAAAAAA==&#10;">
                <v:fill on="t" focussize="0,0"/>
                <v:stroke on="f"/>
                <v:imagedata o:title=""/>
                <o:lock v:ext="edit" aspectratio="f"/>
                <v:textbox inset="0mm,0mm,0mm,0mm">
                  <w:txbxContent>
                    <w:p>
                      <w:pPr>
                        <w:pStyle w:val="40"/>
                      </w:pPr>
                      <w:r>
                        <w:rPr>
                          <w:rFonts w:hint="eastAsia"/>
                        </w:rPr>
                        <w:t>江苏省市场监督管理局</w:t>
                      </w:r>
                      <w:r>
                        <w:rPr>
                          <w:rStyle w:val="39"/>
                          <w:rFonts w:hint="eastAsia"/>
                        </w:rPr>
                        <w:t xml:space="preserve"> 发布</w:t>
                      </w:r>
                    </w:p>
                  </w:txbxContent>
                </v:textbox>
                <w10:anchorlock/>
              </v:shape>
            </w:pict>
          </mc:Fallback>
        </mc:AlternateContent>
      </w:r>
      <w:r>
        <w:rPr>
          <w:color w:val="000000" w:themeColor="text1"/>
          <w:kern w:val="0"/>
          <w:szCs w:val="20"/>
          <w14:textFill>
            <w14:solidFill>
              <w14:schemeClr w14:val="tx1"/>
            </w14:solidFill>
          </w14:textFill>
        </w:rPr>
        <mc:AlternateContent>
          <mc:Choice Requires="wps">
            <w:drawing>
              <wp:anchor distT="0" distB="0" distL="114300" distR="114300" simplePos="0" relativeHeight="251665408" behindDoc="0" locked="1" layoutInCell="1" allowOverlap="1">
                <wp:simplePos x="0" y="0"/>
                <wp:positionH relativeFrom="margin">
                  <wp:posOffset>3954780</wp:posOffset>
                </wp:positionH>
                <wp:positionV relativeFrom="margin">
                  <wp:posOffset>8554085</wp:posOffset>
                </wp:positionV>
                <wp:extent cx="2019300" cy="312420"/>
                <wp:effectExtent l="635" t="0" r="0" b="317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41"/>
                              <w:wordWrap w:val="0"/>
                            </w:pPr>
                            <w:r>
                              <w:rPr>
                                <w:rFonts w:hint="eastAsia" w:ascii="黑体"/>
                              </w:rPr>
                              <w:t>20</w:t>
                            </w:r>
                            <w:r>
                              <w:rPr>
                                <w:rFonts w:ascii="黑体"/>
                              </w:rPr>
                              <w:t>2</w:t>
                            </w:r>
                            <w:r>
                              <w:rPr>
                                <w:rFonts w:hint="eastAsia" w:ascii="黑体"/>
                              </w:rPr>
                              <w:t>x-xx-xx</w:t>
                            </w:r>
                            <w:r>
                              <w:rPr>
                                <w:rFonts w:hint="eastAsia"/>
                              </w:rPr>
                              <w:t>实施</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11.4pt;margin-top:673.55pt;height:24.6pt;width:159pt;mso-position-horizontal-relative:margin;mso-position-vertical-relative:margin;z-index:251665408;mso-width-relative:page;mso-height-relative:page;" fillcolor="#FFFFFF" filled="t" stroked="f" coordsize="21600,21600" o:gfxdata="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0rjfI&#10;2gAAAA0BAAAPAAAAAAAAAAEAIAAAACIAAABkcnMvZG93bnJldi54bWxQSwECFAAUAAAACACHTuJA&#10;NmbcFR8CAAAuBAAADgAAAAAAAAABACAAAAApAQAAZHJzL2Uyb0RvYy54bWxQSwUGAAAAAAYABgBZ&#10;AQAAugUAAAAA&#10;">
                <v:fill on="t" focussize="0,0"/>
                <v:stroke on="f"/>
                <v:imagedata o:title=""/>
                <o:lock v:ext="edit" aspectratio="f"/>
                <v:textbox inset="0mm,0mm,0mm,0mm">
                  <w:txbxContent>
                    <w:p>
                      <w:pPr>
                        <w:pStyle w:val="41"/>
                        <w:wordWrap w:val="0"/>
                      </w:pPr>
                      <w:r>
                        <w:rPr>
                          <w:rFonts w:hint="eastAsia" w:ascii="黑体"/>
                        </w:rPr>
                        <w:t>20</w:t>
                      </w:r>
                      <w:r>
                        <w:rPr>
                          <w:rFonts w:ascii="黑体"/>
                        </w:rPr>
                        <w:t>2</w:t>
                      </w:r>
                      <w:r>
                        <w:rPr>
                          <w:rFonts w:hint="eastAsia" w:ascii="黑体"/>
                        </w:rPr>
                        <w:t>x-xx-xx</w:t>
                      </w:r>
                      <w:r>
                        <w:rPr>
                          <w:rFonts w:hint="eastAsia"/>
                        </w:rPr>
                        <w:t>实施</w:t>
                      </w:r>
                    </w:p>
                  </w:txbxContent>
                </v:textbox>
                <w10:anchorlock/>
              </v:shape>
            </w:pict>
          </mc:Fallback>
        </mc:AlternateContent>
      </w:r>
      <w:r>
        <w:rPr>
          <w:color w:val="000000" w:themeColor="text1"/>
          <w:kern w:val="0"/>
          <w:szCs w:val="20"/>
          <w14:textFill>
            <w14:solidFill>
              <w14:schemeClr w14:val="tx1"/>
            </w14:solidFill>
          </w14:textFill>
        </w:rPr>
        <mc:AlternateContent>
          <mc:Choice Requires="wps">
            <w:drawing>
              <wp:anchor distT="0" distB="0" distL="114300" distR="114300" simplePos="0" relativeHeight="251664384" behindDoc="0" locked="1" layoutInCell="1" allowOverlap="1">
                <wp:simplePos x="0" y="0"/>
                <wp:positionH relativeFrom="margin">
                  <wp:posOffset>-66675</wp:posOffset>
                </wp:positionH>
                <wp:positionV relativeFrom="margin">
                  <wp:posOffset>8564245</wp:posOffset>
                </wp:positionV>
                <wp:extent cx="2333625" cy="510540"/>
                <wp:effectExtent l="0" t="0" r="4445" b="4445"/>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2333625" cy="510540"/>
                        </a:xfrm>
                        <a:prstGeom prst="rect">
                          <a:avLst/>
                        </a:prstGeom>
                        <a:solidFill>
                          <a:srgbClr val="FFFFFF"/>
                        </a:solidFill>
                        <a:ln>
                          <a:noFill/>
                        </a:ln>
                      </wps:spPr>
                      <wps:txbx>
                        <w:txbxContent>
                          <w:p>
                            <w:pPr>
                              <w:pStyle w:val="42"/>
                            </w:pPr>
                            <w:r>
                              <w:rPr>
                                <w:rFonts w:hint="eastAsia" w:ascii="黑体"/>
                              </w:rPr>
                              <w:t>20</w:t>
                            </w:r>
                            <w:r>
                              <w:rPr>
                                <w:rFonts w:ascii="黑体"/>
                              </w:rPr>
                              <w:t>2</w:t>
                            </w:r>
                            <w:r>
                              <w:rPr>
                                <w:rFonts w:hint="eastAsia" w:ascii="黑体"/>
                              </w:rPr>
                              <w:t>x-xx-xx</w:t>
                            </w:r>
                            <w:r>
                              <w:rPr>
                                <w:rFonts w:hint="eastAsia"/>
                              </w:rPr>
                              <w:t>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25pt;margin-top:674.35pt;height:40.2pt;width:183.75pt;mso-position-horizontal-relative:margin;mso-position-vertical-relative:margin;z-index:251664384;mso-width-relative:page;mso-height-relative:page;" fillcolor="#FFFFFF" filled="t" stroked="f" coordsize="21600,21600" o:gfxdata="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ymjLndsAAAANAQAADwAAAAAAAAABACAAAAAiAAAAZHJzL2Rvd25yZXYueG1sUEsBAhQAFAAAAAgA&#10;h07iQHLquZwiAgAALgQAAA4AAAAAAAAAAQAgAAAAKgEAAGRycy9lMm9Eb2MueG1sUEsFBgAAAAAG&#10;AAYAWQEAAL4FAAAAAA==&#10;">
                <v:fill on="t" focussize="0,0"/>
                <v:stroke on="f"/>
                <v:imagedata o:title=""/>
                <o:lock v:ext="edit" aspectratio="f"/>
                <v:textbox inset="0mm,0mm,0mm,0mm">
                  <w:txbxContent>
                    <w:p>
                      <w:pPr>
                        <w:pStyle w:val="42"/>
                      </w:pPr>
                      <w:r>
                        <w:rPr>
                          <w:rFonts w:hint="eastAsia" w:ascii="黑体"/>
                        </w:rPr>
                        <w:t>20</w:t>
                      </w:r>
                      <w:r>
                        <w:rPr>
                          <w:rFonts w:ascii="黑体"/>
                        </w:rPr>
                        <w:t>2</w:t>
                      </w:r>
                      <w:r>
                        <w:rPr>
                          <w:rFonts w:hint="eastAsia" w:ascii="黑体"/>
                        </w:rPr>
                        <w:t>x-xx-xx</w:t>
                      </w:r>
                      <w:r>
                        <w:rPr>
                          <w:rFonts w:hint="eastAsia"/>
                        </w:rPr>
                        <w:t>发布</w:t>
                      </w:r>
                    </w:p>
                  </w:txbxContent>
                </v:textbox>
                <w10:anchorlock/>
              </v:shape>
            </w:pict>
          </mc:Fallback>
        </mc:AlternateContent>
      </w:r>
      <w:r>
        <w:rPr>
          <w:color w:val="000000" w:themeColor="text1"/>
          <w:kern w:val="0"/>
          <w:szCs w:val="20"/>
          <w14:textFill>
            <w14:solidFill>
              <w14:schemeClr w14:val="tx1"/>
            </w14:solidFill>
          </w14:textFill>
        </w:rP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3635375</wp:posOffset>
                </wp:positionV>
                <wp:extent cx="5969000" cy="4681220"/>
                <wp:effectExtent l="0" t="4445" r="0" b="63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pPr>
                              <w:pStyle w:val="43"/>
                              <w:ind w:right="34" w:rightChars="16"/>
                              <w:rPr>
                                <w:rFonts w:eastAsia="黑体"/>
                                <w:kern w:val="2"/>
                                <w:sz w:val="52"/>
                                <w:szCs w:val="24"/>
                              </w:rPr>
                            </w:pPr>
                            <w:r>
                              <w:rPr>
                                <w:rFonts w:hint="eastAsia" w:eastAsia="黑体"/>
                                <w:kern w:val="2"/>
                                <w:sz w:val="52"/>
                                <w:szCs w:val="24"/>
                              </w:rPr>
                              <w:t>畜禽粪污</w:t>
                            </w:r>
                            <w:r>
                              <w:rPr>
                                <w:rFonts w:eastAsia="黑体"/>
                                <w:kern w:val="2"/>
                                <w:sz w:val="52"/>
                                <w:szCs w:val="24"/>
                              </w:rPr>
                              <w:t>沼液</w:t>
                            </w:r>
                            <w:r>
                              <w:rPr>
                                <w:rFonts w:hint="eastAsia" w:eastAsia="黑体"/>
                                <w:kern w:val="2"/>
                                <w:sz w:val="52"/>
                                <w:szCs w:val="24"/>
                              </w:rPr>
                              <w:t>果蔬生产</w:t>
                            </w:r>
                            <w:r>
                              <w:rPr>
                                <w:rFonts w:eastAsia="黑体"/>
                                <w:kern w:val="2"/>
                                <w:sz w:val="52"/>
                                <w:szCs w:val="24"/>
                              </w:rPr>
                              <w:t>施用</w:t>
                            </w:r>
                            <w:r>
                              <w:rPr>
                                <w:rFonts w:hint="eastAsia" w:eastAsia="黑体"/>
                                <w:kern w:val="2"/>
                                <w:sz w:val="52"/>
                                <w:szCs w:val="24"/>
                              </w:rPr>
                              <w:t>技术规范</w:t>
                            </w:r>
                          </w:p>
                          <w:p>
                            <w:pPr>
                              <w:pStyle w:val="23"/>
                              <w:numPr>
                                <w:ilvl w:val="0"/>
                                <w:numId w:val="0"/>
                              </w:numPr>
                              <w:spacing w:line="360" w:lineRule="exact"/>
                              <w:ind w:left="357"/>
                              <w:jc w:val="center"/>
                              <w:outlineLvl w:val="9"/>
                              <w:rPr>
                                <w:rFonts w:ascii="Times New Roman"/>
                                <w:sz w:val="28"/>
                              </w:rPr>
                            </w:pPr>
                            <w:r>
                              <w:rPr>
                                <w:rFonts w:ascii="Times New Roman"/>
                                <w:sz w:val="28"/>
                              </w:rPr>
                              <w:t>Technical code of application of livestock and poultry manure biogas slurry for fruit and vegetable production</w:t>
                            </w:r>
                          </w:p>
                          <w:p>
                            <w:pPr>
                              <w:jc w:val="center"/>
                              <w:rPr>
                                <w:rFonts w:ascii="黑体"/>
                                <w:sz w:val="36"/>
                              </w:rPr>
                            </w:pPr>
                          </w:p>
                          <w:p>
                            <w:pPr>
                              <w:pStyle w:val="44"/>
                              <w:rPr>
                                <w:rFonts w:ascii="黑体"/>
                              </w:rPr>
                            </w:pPr>
                            <w:r>
                              <w:rPr>
                                <w:rFonts w:hint="eastAsia" w:ascii="黑体"/>
                              </w:rPr>
                              <w:t>（报批稿）</w:t>
                            </w:r>
                          </w:p>
                          <w:p>
                            <w:pPr>
                              <w:pStyle w:val="35"/>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286.25pt;height:368.6pt;width:470pt;mso-position-horizontal-relative:margin;mso-position-vertical-relative:margin;z-index:251663360;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UV59x&#10;2AAAAAkBAAAPAAAAAAAAAAEAIAAAACIAAABkcnMvZG93bnJldi54bWxQSwECFAAUAAAACACHTuJA&#10;v0tO2SECAAAvBAAADgAAAAAAAAABACAAAAAnAQAAZHJzL2Uyb0RvYy54bWxQSwUGAAAAAAYABgBZ&#10;AQAAugUAAAAA&#10;">
                <v:fill on="t" focussize="0,0"/>
                <v:stroke on="f"/>
                <v:imagedata o:title=""/>
                <o:lock v:ext="edit" aspectratio="f"/>
                <v:textbox inset="0mm,0mm,0mm,0mm">
                  <w:txbxContent>
                    <w:p>
                      <w:pPr>
                        <w:pStyle w:val="43"/>
                        <w:ind w:right="34" w:rightChars="16"/>
                        <w:rPr>
                          <w:rFonts w:eastAsia="黑体"/>
                          <w:kern w:val="2"/>
                          <w:sz w:val="52"/>
                          <w:szCs w:val="24"/>
                        </w:rPr>
                      </w:pPr>
                      <w:r>
                        <w:rPr>
                          <w:rFonts w:hint="eastAsia" w:eastAsia="黑体"/>
                          <w:kern w:val="2"/>
                          <w:sz w:val="52"/>
                          <w:szCs w:val="24"/>
                        </w:rPr>
                        <w:t>畜禽粪污</w:t>
                      </w:r>
                      <w:r>
                        <w:rPr>
                          <w:rFonts w:eastAsia="黑体"/>
                          <w:kern w:val="2"/>
                          <w:sz w:val="52"/>
                          <w:szCs w:val="24"/>
                        </w:rPr>
                        <w:t>沼液</w:t>
                      </w:r>
                      <w:r>
                        <w:rPr>
                          <w:rFonts w:hint="eastAsia" w:eastAsia="黑体"/>
                          <w:kern w:val="2"/>
                          <w:sz w:val="52"/>
                          <w:szCs w:val="24"/>
                        </w:rPr>
                        <w:t>果蔬生产</w:t>
                      </w:r>
                      <w:r>
                        <w:rPr>
                          <w:rFonts w:eastAsia="黑体"/>
                          <w:kern w:val="2"/>
                          <w:sz w:val="52"/>
                          <w:szCs w:val="24"/>
                        </w:rPr>
                        <w:t>施用</w:t>
                      </w:r>
                      <w:r>
                        <w:rPr>
                          <w:rFonts w:hint="eastAsia" w:eastAsia="黑体"/>
                          <w:kern w:val="2"/>
                          <w:sz w:val="52"/>
                          <w:szCs w:val="24"/>
                        </w:rPr>
                        <w:t>技术规范</w:t>
                      </w:r>
                    </w:p>
                    <w:p>
                      <w:pPr>
                        <w:pStyle w:val="23"/>
                        <w:numPr>
                          <w:ilvl w:val="0"/>
                          <w:numId w:val="0"/>
                        </w:numPr>
                        <w:spacing w:line="360" w:lineRule="exact"/>
                        <w:ind w:left="357"/>
                        <w:jc w:val="center"/>
                        <w:outlineLvl w:val="9"/>
                        <w:rPr>
                          <w:rFonts w:ascii="Times New Roman"/>
                          <w:sz w:val="28"/>
                        </w:rPr>
                      </w:pPr>
                      <w:r>
                        <w:rPr>
                          <w:rFonts w:ascii="Times New Roman"/>
                          <w:sz w:val="28"/>
                        </w:rPr>
                        <w:t>Technical code of application of livestock and poultry manure biogas slurry for fruit and vegetable production</w:t>
                      </w:r>
                    </w:p>
                    <w:p>
                      <w:pPr>
                        <w:jc w:val="center"/>
                        <w:rPr>
                          <w:rFonts w:ascii="黑体"/>
                          <w:sz w:val="36"/>
                        </w:rPr>
                      </w:pPr>
                    </w:p>
                    <w:p>
                      <w:pPr>
                        <w:pStyle w:val="44"/>
                        <w:rPr>
                          <w:rFonts w:ascii="黑体"/>
                        </w:rPr>
                      </w:pPr>
                      <w:r>
                        <w:rPr>
                          <w:rFonts w:hint="eastAsia" w:ascii="黑体"/>
                        </w:rPr>
                        <w:t>（报批稿）</w:t>
                      </w:r>
                    </w:p>
                    <w:p>
                      <w:pPr>
                        <w:pStyle w:val="35"/>
                      </w:pPr>
                    </w:p>
                  </w:txbxContent>
                </v:textbox>
                <w10:anchorlock/>
              </v:shape>
            </w:pict>
          </mc:Fallback>
        </mc:AlternateContent>
      </w:r>
      <w:r>
        <w:rPr>
          <w:color w:val="000000" w:themeColor="text1"/>
          <w:kern w:val="0"/>
          <w:szCs w:val="20"/>
          <w14:textFill>
            <w14:solidFill>
              <w14:schemeClr w14:val="tx1"/>
            </w14:solidFill>
          </w14:textFill>
        </w:rP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1401445</wp:posOffset>
                </wp:positionV>
                <wp:extent cx="5802630" cy="860425"/>
                <wp:effectExtent l="0" t="0" r="254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pPr>
                              <w:pStyle w:val="45"/>
                              <w:rPr>
                                <w:rFonts w:ascii="黑体"/>
                              </w:rPr>
                            </w:pPr>
                            <w:r>
                              <w:rPr>
                                <w:rFonts w:ascii="黑体"/>
                              </w:rPr>
                              <w:t>DB32/T</w:t>
                            </w:r>
                            <w:r>
                              <w:rPr>
                                <w:rFonts w:hint="eastAsia" w:ascii="黑体"/>
                              </w:rPr>
                              <w:t xml:space="preserve"> xxxx</w:t>
                            </w:r>
                            <w:r>
                              <w:rPr>
                                <w:rFonts w:ascii="黑体"/>
                              </w:rPr>
                              <w:t>—</w:t>
                            </w:r>
                            <w:r>
                              <w:rPr>
                                <w:rFonts w:hint="eastAsia" w:ascii="黑体"/>
                              </w:rPr>
                              <w:t>20</w:t>
                            </w:r>
                            <w:r>
                              <w:rPr>
                                <w:rFonts w:ascii="黑体"/>
                              </w:rPr>
                              <w:t>2</w:t>
                            </w:r>
                            <w:r>
                              <w:rPr>
                                <w:rFonts w:hint="eastAsia" w:ascii="黑体"/>
                              </w:rPr>
                              <w:t>x</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110.35pt;height:67.75pt;width:456.9pt;mso-position-horizontal-relative:margin;mso-position-vertical-relative:margin;z-index:251662336;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AUBpPvY&#10;AAAACAEAAA8AAAAAAAAAAQAgAAAAIgAAAGRycy9kb3ducmV2LnhtbFBLAQIUABQAAAAIAIdO4kAR&#10;xBGyIAIAAC4EAAAOAAAAAAAAAAEAIAAAACcBAABkcnMvZTJvRG9jLnhtbFBLBQYAAAAABgAGAFkB&#10;AAC5BQAAAAA=&#10;">
                <v:fill on="t" focussize="0,0"/>
                <v:stroke on="f"/>
                <v:imagedata o:title=""/>
                <o:lock v:ext="edit" aspectratio="f"/>
                <v:textbox inset="0mm,0mm,0mm,0mm">
                  <w:txbxContent>
                    <w:p>
                      <w:pPr>
                        <w:pStyle w:val="45"/>
                        <w:rPr>
                          <w:rFonts w:ascii="黑体"/>
                        </w:rPr>
                      </w:pPr>
                      <w:r>
                        <w:rPr>
                          <w:rFonts w:ascii="黑体"/>
                        </w:rPr>
                        <w:t>DB32/T</w:t>
                      </w:r>
                      <w:r>
                        <w:rPr>
                          <w:rFonts w:hint="eastAsia" w:ascii="黑体"/>
                        </w:rPr>
                        <w:t xml:space="preserve"> xxxx</w:t>
                      </w:r>
                      <w:r>
                        <w:rPr>
                          <w:rFonts w:ascii="黑体"/>
                        </w:rPr>
                        <w:t>—</w:t>
                      </w:r>
                      <w:r>
                        <w:rPr>
                          <w:rFonts w:hint="eastAsia" w:ascii="黑体"/>
                        </w:rPr>
                        <w:t>20</w:t>
                      </w:r>
                      <w:r>
                        <w:rPr>
                          <w:rFonts w:ascii="黑体"/>
                        </w:rPr>
                        <w:t>2</w:t>
                      </w:r>
                      <w:r>
                        <w:rPr>
                          <w:rFonts w:hint="eastAsia" w:ascii="黑体"/>
                        </w:rPr>
                        <w:t>x</w:t>
                      </w:r>
                    </w:p>
                  </w:txbxContent>
                </v:textbox>
                <w10:anchorlock/>
              </v:shape>
            </w:pict>
          </mc:Fallback>
        </mc:AlternateContent>
      </w:r>
      <w:r>
        <w:rPr>
          <w:color w:val="000000" w:themeColor="text1"/>
          <w:kern w:val="0"/>
          <w:szCs w:val="20"/>
          <w14:textFill>
            <w14:solidFill>
              <w14:schemeClr w14:val="tx1"/>
            </w14:solidFill>
          </w14:textFill>
        </w:rP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107315</wp:posOffset>
                </wp:positionV>
                <wp:extent cx="3175000" cy="720090"/>
                <wp:effectExtent l="1905" t="635" r="4445" b="317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pPr>
                              <w:pStyle w:val="46"/>
                            </w:pPr>
                            <w:r>
                              <w:t>DB32</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00.75pt;margin-top:8.45pt;height:56.7pt;width:250pt;mso-position-horizontal-relative:margin;mso-position-vertical-relative:margin;z-index:251661312;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ElZOzzY&#10;AAAACgEAAA8AAAAAAAAAAQAgAAAAIgAAAGRycy9kb3ducmV2LnhtbFBLAQIUABQAAAAIAIdO4kC3&#10;QqTSIAIAAC4EAAAOAAAAAAAAAAEAIAAAACcBAABkcnMvZTJvRG9jLnhtbFBLBQYAAAAABgAGAFkB&#10;AAC5BQAAAAA=&#10;">
                <v:fill on="t" focussize="0,0"/>
                <v:stroke on="f"/>
                <v:imagedata o:title=""/>
                <o:lock v:ext="edit" aspectratio="f"/>
                <v:textbox inset="0mm,0mm,0mm,0mm">
                  <w:txbxContent>
                    <w:p>
                      <w:pPr>
                        <w:pStyle w:val="46"/>
                      </w:pPr>
                      <w:r>
                        <w:t>DB32</w:t>
                      </w:r>
                    </w:p>
                  </w:txbxContent>
                </v:textbox>
                <w10:anchorlock/>
              </v:shape>
            </w:pict>
          </mc:Fallback>
        </mc:AlternateContent>
      </w:r>
      <w:r>
        <w:rPr>
          <w:color w:val="000000" w:themeColor="text1"/>
          <w:kern w:val="0"/>
          <w:szCs w:val="20"/>
          <w14:textFill>
            <w14:solidFill>
              <w14:schemeClr w14:val="tx1"/>
            </w14:solidFill>
          </w14:textFill>
        </w:rPr>
        <mc:AlternateContent>
          <mc:Choice Requires="wps">
            <w:drawing>
              <wp:anchor distT="0" distB="0" distL="114300" distR="114300" simplePos="0" relativeHeight="251660288" behindDoc="0" locked="1" layoutInCell="1" allowOverlap="1">
                <wp:simplePos x="0" y="0"/>
                <wp:positionH relativeFrom="margin">
                  <wp:posOffset>4445</wp:posOffset>
                </wp:positionH>
                <wp:positionV relativeFrom="margin">
                  <wp:posOffset>1011555</wp:posOffset>
                </wp:positionV>
                <wp:extent cx="5969000" cy="391160"/>
                <wp:effectExtent l="0" t="0" r="0" b="889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5969000" cy="391160"/>
                        </a:xfrm>
                        <a:prstGeom prst="rect">
                          <a:avLst/>
                        </a:prstGeom>
                        <a:solidFill>
                          <a:srgbClr val="FFFFFF"/>
                        </a:solidFill>
                        <a:ln>
                          <a:noFill/>
                        </a:ln>
                      </wps:spPr>
                      <wps:txbx>
                        <w:txbxContent>
                          <w:p>
                            <w:pPr>
                              <w:pStyle w:val="47"/>
                            </w:pPr>
                            <w:r>
                              <w:rPr>
                                <w:rFonts w:hint="eastAsia"/>
                              </w:rPr>
                              <w:t>江苏省地方标准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35pt;margin-top:79.65pt;height:30.8pt;width:470pt;mso-position-horizontal-relative:margin;mso-position-vertical-relative:margin;z-index:251660288;mso-width-relative:page;mso-height-relative:page;" fillcolor="#FFFFFF" filled="t" stroked="f" coordsize="21600,21600" o:gfxdata="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H7rNyLX&#10;AAAACAEAAA8AAAAAAAAAAQAgAAAAIgAAAGRycy9kb3ducmV2LnhtbFBLAQIUABQAAAAIAIdO4kDB&#10;9S1LIQIAAC4EAAAOAAAAAAAAAAEAIAAAACYBAABkcnMvZTJvRG9jLnhtbFBLBQYAAAAABgAGAFkB&#10;AAC5BQAAAAA=&#10;">
                <v:fill on="t" focussize="0,0"/>
                <v:stroke on="f"/>
                <v:imagedata o:title=""/>
                <o:lock v:ext="edit" aspectratio="f"/>
                <v:textbox inset="0mm,0mm,0mm,0mm">
                  <w:txbxContent>
                    <w:p>
                      <w:pPr>
                        <w:pStyle w:val="47"/>
                      </w:pPr>
                      <w:r>
                        <w:rPr>
                          <w:rFonts w:hint="eastAsia"/>
                        </w:rPr>
                        <w:t>江苏省地方标准</w:t>
                      </w:r>
                    </w:p>
                  </w:txbxContent>
                </v:textbox>
                <w10:anchorlock/>
              </v:shape>
            </w:pict>
          </mc:Fallback>
        </mc:AlternateContent>
      </w:r>
      <w:r>
        <w:rPr>
          <w:color w:val="000000" w:themeColor="text1"/>
          <w:kern w:val="0"/>
          <w:szCs w:val="20"/>
          <w14:textFill>
            <w14:solidFill>
              <w14:schemeClr w14:val="tx1"/>
            </w14:solidFill>
          </w14:textFill>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79248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540000" cy="792480"/>
                        </a:xfrm>
                        <a:prstGeom prst="rect">
                          <a:avLst/>
                        </a:prstGeom>
                        <a:solidFill>
                          <a:srgbClr val="FFFFFF"/>
                        </a:solidFill>
                        <a:ln>
                          <a:noFill/>
                        </a:ln>
                      </wps:spPr>
                      <wps:txbx>
                        <w:txbxContent>
                          <w:p>
                            <w:pPr>
                              <w:pStyle w:val="48"/>
                              <w:rPr>
                                <w:rFonts w:ascii="黑体"/>
                              </w:rPr>
                            </w:pPr>
                            <w:r>
                              <w:rPr>
                                <w:rFonts w:ascii="黑体"/>
                              </w:rPr>
                              <w:t xml:space="preserve">ICS </w:t>
                            </w:r>
                            <w:r>
                              <w:t>65.080</w:t>
                            </w:r>
                          </w:p>
                          <w:p>
                            <w:pPr>
                              <w:pStyle w:val="48"/>
                            </w:pPr>
                            <w:r>
                              <w:rPr>
                                <w:rFonts w:ascii="黑体"/>
                              </w:rPr>
                              <w:t>CCS B10</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0pt;height:62.4pt;width:200pt;mso-position-horizontal-relative:margin;mso-position-vertical-relative:margin;z-index:251659264;mso-width-relative:page;mso-height-relative:page;" fillcolor="#FFFFFF" filled="t" stroked="f" coordsize="21600,21600" o:gfxdata="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9XTZx0wAAAAUB&#10;AAAPAAAAAAAAAAEAIAAAACIAAABkcnMvZG93bnJldi54bWxQSwECFAAUAAAACACHTuJAwTt63CAC&#10;AAAuBAAADgAAAAAAAAABACAAAAAiAQAAZHJzL2Uyb0RvYy54bWxQSwUGAAAAAAYABgBZAQAAtAUA&#10;AAAA&#10;">
                <v:fill on="t" focussize="0,0"/>
                <v:stroke on="f"/>
                <v:imagedata o:title=""/>
                <o:lock v:ext="edit" aspectratio="f"/>
                <v:textbox inset="0mm,0mm,0mm,0mm">
                  <w:txbxContent>
                    <w:p>
                      <w:pPr>
                        <w:pStyle w:val="48"/>
                        <w:rPr>
                          <w:rFonts w:ascii="黑体"/>
                        </w:rPr>
                      </w:pPr>
                      <w:r>
                        <w:rPr>
                          <w:rFonts w:ascii="黑体"/>
                        </w:rPr>
                        <w:t xml:space="preserve">ICS </w:t>
                      </w:r>
                      <w:r>
                        <w:t>65.080</w:t>
                      </w:r>
                    </w:p>
                    <w:p>
                      <w:pPr>
                        <w:pStyle w:val="48"/>
                      </w:pPr>
                      <w:r>
                        <w:rPr>
                          <w:rFonts w:ascii="黑体"/>
                        </w:rPr>
                        <w:t>CCS B10</w:t>
                      </w:r>
                    </w:p>
                  </w:txbxContent>
                </v:textbox>
                <w10:anchorlock/>
              </v:shape>
            </w:pict>
          </mc:Fallback>
        </mc:AlternateContent>
      </w:r>
    </w:p>
    <w:bookmarkEnd w:id="0"/>
    <w:sdt>
      <w:sdtPr>
        <w:rPr>
          <w:rFonts w:ascii="Times New Roman" w:hAnsi="Times New Roman" w:eastAsia="宋体" w:cs="Times New Roman"/>
          <w:color w:val="000000" w:themeColor="text1"/>
          <w:kern w:val="2"/>
          <w:sz w:val="21"/>
          <w:szCs w:val="24"/>
          <w:lang w:val="zh-CN"/>
          <w14:textFill>
            <w14:solidFill>
              <w14:schemeClr w14:val="tx1"/>
            </w14:solidFill>
          </w14:textFill>
        </w:rPr>
        <w:id w:val="-836609932"/>
        <w:docPartObj>
          <w:docPartGallery w:val="Table of Contents"/>
          <w:docPartUnique/>
        </w:docPartObj>
      </w:sdtPr>
      <w:sdtEndPr>
        <w:rPr>
          <w:rFonts w:ascii="Times New Roman" w:hAnsi="Times New Roman" w:eastAsia="宋体" w:cs="Times New Roman"/>
          <w:b/>
          <w:bCs/>
          <w:color w:val="000000" w:themeColor="text1"/>
          <w:kern w:val="2"/>
          <w:sz w:val="21"/>
          <w:szCs w:val="24"/>
          <w:lang w:val="zh-CN"/>
          <w14:textFill>
            <w14:solidFill>
              <w14:schemeClr w14:val="tx1"/>
            </w14:solidFill>
          </w14:textFill>
        </w:rPr>
      </w:sdtEndPr>
      <w:sdtContent>
        <w:p>
          <w:pPr>
            <w:pStyle w:val="53"/>
            <w:jc w:val="center"/>
            <w:rPr>
              <w:rFonts w:ascii="Times New Roman" w:hAnsi="Times New Roman" w:eastAsia="黑体" w:cs="Times New Roman"/>
              <w:b/>
              <w:color w:val="000000" w:themeColor="text1"/>
              <w14:textFill>
                <w14:solidFill>
                  <w14:schemeClr w14:val="tx1"/>
                </w14:solidFill>
              </w14:textFill>
            </w:rPr>
          </w:pPr>
          <w:r>
            <w:rPr>
              <w:rFonts w:ascii="Times New Roman" w:hAnsi="Times New Roman" w:eastAsia="黑体" w:cs="Times New Roman"/>
              <w:b/>
              <w:color w:val="000000" w:themeColor="text1"/>
              <w:lang w:val="zh-CN"/>
              <w14:textFill>
                <w14:solidFill>
                  <w14:schemeClr w14:val="tx1"/>
                </w14:solidFill>
              </w14:textFill>
            </w:rPr>
            <w:t>目 次</w:t>
          </w:r>
        </w:p>
        <w:p>
          <w:pPr>
            <w:pStyle w:val="9"/>
            <w:spacing w:line="560" w:lineRule="exact"/>
            <w:rPr>
              <w:rFonts w:asciiTheme="minorHAnsi" w:hAnsiTheme="minorHAnsi" w:eastAsiaTheme="minorEastAsia" w:cstheme="minorBidi"/>
              <w:color w:val="000000" w:themeColor="text1"/>
              <w:szCs w:val="22"/>
              <w14:textFill>
                <w14:solidFill>
                  <w14:schemeClr w14:val="tx1"/>
                </w14:solidFill>
              </w14:textFill>
            </w:rPr>
          </w:pPr>
          <w:r>
            <w:rPr>
              <w:rStyle w:val="16"/>
              <w:rFonts w:eastAsia="黑体"/>
              <w:color w:val="000000" w:themeColor="text1"/>
              <w14:textFill>
                <w14:solidFill>
                  <w14:schemeClr w14:val="tx1"/>
                </w14:solidFill>
              </w14:textFill>
            </w:rPr>
            <w:fldChar w:fldCharType="begin"/>
          </w:r>
          <w:r>
            <w:rPr>
              <w:rStyle w:val="16"/>
              <w:rFonts w:eastAsia="黑体"/>
              <w:color w:val="000000" w:themeColor="text1"/>
              <w14:textFill>
                <w14:solidFill>
                  <w14:schemeClr w14:val="tx1"/>
                </w14:solidFill>
              </w14:textFill>
            </w:rPr>
            <w:instrText xml:space="preserve"> TOC \o "1-3" \h \z \u </w:instrText>
          </w:r>
          <w:r>
            <w:rPr>
              <w:rStyle w:val="16"/>
              <w:rFonts w:eastAsia="黑体"/>
              <w:color w:val="000000" w:themeColor="text1"/>
              <w14:textFill>
                <w14:solidFill>
                  <w14:schemeClr w14:val="tx1"/>
                </w14:solidFill>
              </w14:textFill>
            </w:rPr>
            <w:fldChar w:fldCharType="separate"/>
          </w:r>
          <w:r>
            <w:fldChar w:fldCharType="begin"/>
          </w:r>
          <w:r>
            <w:instrText xml:space="preserve"> HYPERLINK \l "_Toc155357560" </w:instrText>
          </w:r>
          <w:r>
            <w:fldChar w:fldCharType="separate"/>
          </w:r>
          <w:r>
            <w:rPr>
              <w:rStyle w:val="16"/>
              <w:b/>
              <w:color w:val="000000" w:themeColor="text1"/>
              <w14:textFill>
                <w14:solidFill>
                  <w14:schemeClr w14:val="tx1"/>
                </w14:solidFill>
              </w14:textFill>
            </w:rPr>
            <w:t>前言</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_Toc155357560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I</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9"/>
            <w:spacing w:line="56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"_Toc155357561" </w:instrText>
          </w:r>
          <w:r>
            <w:fldChar w:fldCharType="separate"/>
          </w:r>
          <w:r>
            <w:rPr>
              <w:rStyle w:val="16"/>
              <w:rFonts w:eastAsia="黑体"/>
              <w:color w:val="000000" w:themeColor="text1"/>
              <w14:textFill>
                <w14:solidFill>
                  <w14:schemeClr w14:val="tx1"/>
                </w14:solidFill>
              </w14:textFill>
            </w:rPr>
            <w:t>1 范围</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_Toc155357561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9"/>
            <w:spacing w:line="56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"_Toc155357562" </w:instrText>
          </w:r>
          <w:r>
            <w:fldChar w:fldCharType="separate"/>
          </w:r>
          <w:r>
            <w:rPr>
              <w:rStyle w:val="16"/>
              <w:rFonts w:eastAsia="黑体"/>
              <w:color w:val="000000" w:themeColor="text1"/>
              <w14:textFill>
                <w14:solidFill>
                  <w14:schemeClr w14:val="tx1"/>
                </w14:solidFill>
              </w14:textFill>
            </w:rPr>
            <w:t>2 规范性引用文件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_Toc155357562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9"/>
            <w:spacing w:line="56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"_Toc155357563" </w:instrText>
          </w:r>
          <w:r>
            <w:fldChar w:fldCharType="separate"/>
          </w:r>
          <w:r>
            <w:rPr>
              <w:rStyle w:val="16"/>
              <w:rFonts w:eastAsia="黑体"/>
              <w:color w:val="000000" w:themeColor="text1"/>
              <w14:textFill>
                <w14:solidFill>
                  <w14:schemeClr w14:val="tx1"/>
                </w14:solidFill>
              </w14:textFill>
            </w:rPr>
            <w:t>3 术语和定义</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_Toc155357563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9"/>
            <w:spacing w:line="56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"_Toc155357564" </w:instrText>
          </w:r>
          <w:r>
            <w:fldChar w:fldCharType="separate"/>
          </w:r>
          <w:r>
            <w:rPr>
              <w:rStyle w:val="16"/>
              <w:rFonts w:eastAsia="黑体"/>
              <w:color w:val="000000" w:themeColor="text1"/>
              <w14:textFill>
                <w14:solidFill>
                  <w14:schemeClr w14:val="tx1"/>
                </w14:solidFill>
              </w14:textFill>
            </w:rPr>
            <w:t>4 基本要求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_Toc155357564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9"/>
            <w:spacing w:line="56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"_Toc155357565" </w:instrText>
          </w:r>
          <w:r>
            <w:fldChar w:fldCharType="separate"/>
          </w:r>
          <w:r>
            <w:rPr>
              <w:rStyle w:val="16"/>
              <w:rFonts w:eastAsia="黑体"/>
              <w:color w:val="000000" w:themeColor="text1"/>
              <w14:textFill>
                <w14:solidFill>
                  <w14:schemeClr w14:val="tx1"/>
                </w14:solidFill>
              </w14:textFill>
            </w:rPr>
            <w:t>5 配套田间工程建设</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_Toc155357565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9"/>
            <w:spacing w:line="56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"_Toc155357566" </w:instrText>
          </w:r>
          <w:r>
            <w:fldChar w:fldCharType="separate"/>
          </w:r>
          <w:r>
            <w:rPr>
              <w:rStyle w:val="16"/>
              <w:rFonts w:eastAsia="黑体"/>
              <w:color w:val="000000" w:themeColor="text1"/>
              <w14:textFill>
                <w14:solidFill>
                  <w14:schemeClr w14:val="tx1"/>
                </w14:solidFill>
              </w14:textFill>
            </w:rPr>
            <w:t>6 果蔬畜禽粪污沼液施用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_Toc155357566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9"/>
            <w:spacing w:line="560" w:lineRule="exact"/>
            <w:ind w:left="105" w:leftChars="50"/>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"_Toc155357567" </w:instrText>
          </w:r>
          <w:r>
            <w:fldChar w:fldCharType="separate"/>
          </w:r>
          <w:r>
            <w:rPr>
              <w:rStyle w:val="16"/>
              <w:rFonts w:eastAsia="黑体"/>
              <w:color w:val="000000" w:themeColor="text1"/>
              <w14:textFill>
                <w14:solidFill>
                  <w14:schemeClr w14:val="tx1"/>
                </w14:solidFill>
              </w14:textFill>
            </w:rPr>
            <w:t>6.1一般规定</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_Toc155357567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9"/>
            <w:spacing w:line="560" w:lineRule="exact"/>
            <w:ind w:left="105" w:leftChars="50"/>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"_Toc155357568" </w:instrText>
          </w:r>
          <w:r>
            <w:fldChar w:fldCharType="separate"/>
          </w:r>
          <w:r>
            <w:rPr>
              <w:rStyle w:val="16"/>
              <w:rFonts w:eastAsia="黑体"/>
              <w:color w:val="000000" w:themeColor="text1"/>
              <w14:textFill>
                <w14:solidFill>
                  <w14:schemeClr w14:val="tx1"/>
                </w14:solidFill>
              </w14:textFill>
            </w:rPr>
            <w:t>6.2 果园（桃、梨、葡萄）畜禽粪污沼液施用方法</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_Toc155357568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9"/>
            <w:spacing w:line="560" w:lineRule="exact"/>
            <w:ind w:left="210" w:leftChars="100"/>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"_Toc155357569" </w:instrText>
          </w:r>
          <w:r>
            <w:fldChar w:fldCharType="separate"/>
          </w:r>
          <w:r>
            <w:rPr>
              <w:rStyle w:val="16"/>
              <w:rFonts w:eastAsia="黑体"/>
              <w:color w:val="000000" w:themeColor="text1"/>
              <w14:textFill>
                <w14:solidFill>
                  <w14:schemeClr w14:val="tx1"/>
                </w14:solidFill>
              </w14:textFill>
            </w:rPr>
            <w:t>6.2.1 桃、梨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_Toc155357569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9"/>
            <w:spacing w:line="560" w:lineRule="exact"/>
            <w:ind w:left="210" w:leftChars="100"/>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"_Toc155357570" </w:instrText>
          </w:r>
          <w:r>
            <w:fldChar w:fldCharType="separate"/>
          </w:r>
          <w:r>
            <w:rPr>
              <w:rStyle w:val="16"/>
              <w:rFonts w:eastAsia="黑体"/>
              <w:color w:val="000000" w:themeColor="text1"/>
              <w14:textFill>
                <w14:solidFill>
                  <w14:schemeClr w14:val="tx1"/>
                </w14:solidFill>
              </w14:textFill>
            </w:rPr>
            <w:t>6.2.2 葡萄</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_Toc155357570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9"/>
            <w:spacing w:line="560" w:lineRule="exact"/>
            <w:ind w:left="105" w:leftChars="50"/>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"_Toc155357571" </w:instrText>
          </w:r>
          <w:r>
            <w:fldChar w:fldCharType="separate"/>
          </w:r>
          <w:r>
            <w:rPr>
              <w:rStyle w:val="16"/>
              <w:rFonts w:eastAsia="黑体"/>
              <w:color w:val="000000" w:themeColor="text1"/>
              <w14:textFill>
                <w14:solidFill>
                  <w14:schemeClr w14:val="tx1"/>
                </w14:solidFill>
              </w14:textFill>
            </w:rPr>
            <w:t>6.3 蔬菜畜禽粪污沼液施用方法</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_Toc155357571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9"/>
            <w:spacing w:line="560" w:lineRule="exact"/>
            <w:ind w:left="210" w:leftChars="100"/>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"_Toc155357572" </w:instrText>
          </w:r>
          <w:r>
            <w:fldChar w:fldCharType="separate"/>
          </w:r>
          <w:r>
            <w:rPr>
              <w:rStyle w:val="16"/>
              <w:rFonts w:eastAsia="黑体"/>
              <w:color w:val="000000" w:themeColor="text1"/>
              <w14:textFill>
                <w14:solidFill>
                  <w14:schemeClr w14:val="tx1"/>
                </w14:solidFill>
              </w14:textFill>
            </w:rPr>
            <w:t>6.3.1 叶菜类蔬菜（结球白菜、不结球白菜）畜禽粪污沼液施用方法</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_Toc155357572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9"/>
            <w:spacing w:line="560" w:lineRule="exact"/>
            <w:ind w:left="210" w:leftChars="100"/>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"_Toc155357573" </w:instrText>
          </w:r>
          <w:r>
            <w:fldChar w:fldCharType="separate"/>
          </w:r>
          <w:r>
            <w:rPr>
              <w:rStyle w:val="16"/>
              <w:rFonts w:eastAsia="黑体"/>
              <w:color w:val="000000" w:themeColor="text1"/>
              <w14:textFill>
                <w14:solidFill>
                  <w14:schemeClr w14:val="tx1"/>
                </w14:solidFill>
              </w14:textFill>
            </w:rPr>
            <w:t>6.3.2 瓜果类蔬菜（黄瓜、辣/甜椒）畜禽粪污沼液施用方法</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_Toc155357573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9"/>
            <w:spacing w:line="560" w:lineRule="exact"/>
            <w:ind w:left="210" w:leftChars="100"/>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"_Toc155357574" </w:instrText>
          </w:r>
          <w:r>
            <w:fldChar w:fldCharType="separate"/>
          </w:r>
          <w:r>
            <w:rPr>
              <w:rStyle w:val="16"/>
              <w:rFonts w:eastAsia="黑体"/>
              <w:color w:val="000000" w:themeColor="text1"/>
              <w14:textFill>
                <w14:solidFill>
                  <w14:schemeClr w14:val="tx1"/>
                </w14:solidFill>
              </w14:textFill>
            </w:rPr>
            <w:t>6.3.3根茎类蔬菜（长白萝卜）畜禽粪污沼液施用方法</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_Toc155357574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9"/>
            <w:spacing w:line="56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"_Toc155357575" </w:instrText>
          </w:r>
          <w:r>
            <w:fldChar w:fldCharType="separate"/>
          </w:r>
          <w:r>
            <w:rPr>
              <w:rStyle w:val="16"/>
              <w:rFonts w:eastAsia="黑体"/>
              <w:color w:val="000000" w:themeColor="text1"/>
              <w14:textFill>
                <w14:solidFill>
                  <w14:schemeClr w14:val="tx1"/>
                </w14:solidFill>
              </w14:textFill>
            </w:rPr>
            <w:t>参考文献</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_Toc155357575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spacing w:line="560" w:lineRule="exact"/>
            <w:rPr>
              <w:color w:val="000000" w:themeColor="text1"/>
              <w14:textFill>
                <w14:solidFill>
                  <w14:schemeClr w14:val="tx1"/>
                </w14:solidFill>
              </w14:textFill>
            </w:rPr>
          </w:pPr>
          <w:r>
            <w:rPr>
              <w:bCs/>
              <w:color w:val="000000" w:themeColor="text1"/>
              <w:lang w:val="zh-CN"/>
              <w14:textFill>
                <w14:solidFill>
                  <w14:schemeClr w14:val="tx1"/>
                </w14:solidFill>
              </w14:textFill>
            </w:rPr>
            <w:fldChar w:fldCharType="end"/>
          </w:r>
        </w:p>
      </w:sdtContent>
    </w:sdt>
    <w:p>
      <w:pPr>
        <w:pStyle w:val="18"/>
        <w:rPr>
          <w:rFonts w:ascii="Times New Roman"/>
          <w:color w:val="000000" w:themeColor="text1"/>
          <w14:textFill>
            <w14:solidFill>
              <w14:schemeClr w14:val="tx1"/>
            </w14:solidFill>
          </w14:textFill>
        </w:rPr>
        <w:sectPr>
          <w:headerReference r:id="rId8" w:type="default"/>
          <w:footerReference r:id="rId9" w:type="default"/>
          <w:pgSz w:w="11906" w:h="16838"/>
          <w:pgMar w:top="567" w:right="1134" w:bottom="1134" w:left="1418" w:header="1418" w:footer="1134" w:gutter="0"/>
          <w:pgNumType w:fmt="upperRoman" w:start="1"/>
          <w:cols w:space="425" w:num="1"/>
          <w:formProt w:val="0"/>
          <w:docGrid w:type="lines" w:linePitch="312" w:charSpace="0"/>
        </w:sectPr>
      </w:pPr>
    </w:p>
    <w:p>
      <w:pPr>
        <w:pStyle w:val="31"/>
        <w:rPr>
          <w:rFonts w:ascii="Times New Roman"/>
          <w:b/>
          <w:color w:val="000000" w:themeColor="text1"/>
          <w14:textFill>
            <w14:solidFill>
              <w14:schemeClr w14:val="tx1"/>
            </w14:solidFill>
          </w14:textFill>
        </w:rPr>
      </w:pPr>
      <w:bookmarkStart w:id="1" w:name="_Toc155357560"/>
      <w:r>
        <w:rPr>
          <w:rFonts w:ascii="Times New Roman"/>
          <w:b/>
          <w:color w:val="000000" w:themeColor="text1"/>
          <w14:textFill>
            <w14:solidFill>
              <w14:schemeClr w14:val="tx1"/>
            </w14:solidFill>
          </w14:textFill>
        </w:rPr>
        <w:t>前</w:t>
      </w:r>
      <w:bookmarkStart w:id="2" w:name="BKQY"/>
      <w:r>
        <w:rPr>
          <w:rFonts w:ascii="Times New Roman"/>
          <w:b/>
          <w:color w:val="000000" w:themeColor="text1"/>
          <w14:textFill>
            <w14:solidFill>
              <w14:schemeClr w14:val="tx1"/>
            </w14:solidFill>
          </w14:textFill>
        </w:rPr>
        <w:t>  言</w:t>
      </w:r>
      <w:bookmarkEnd w:id="1"/>
      <w:bookmarkEnd w:id="2"/>
    </w:p>
    <w:p>
      <w:pPr>
        <w:pStyle w:val="18"/>
        <w:tabs>
          <w:tab w:val="right" w:leader="dot" w:pos="9072"/>
          <w:tab w:val="clear" w:pos="9298"/>
        </w:tabs>
        <w:spacing w:before="156" w:beforeLines="50" w:line="300" w:lineRule="exact"/>
        <w:ind w:right="422" w:rightChars="201"/>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本文件按照GB/T 1.1-2020《标准化工作导则 第1 部分：标准化文件的结构和起草规则》的规定起草。</w:t>
      </w:r>
    </w:p>
    <w:p>
      <w:pPr>
        <w:pStyle w:val="18"/>
        <w:spacing w:before="156" w:beforeLines="50" w:line="300" w:lineRule="exact"/>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请注意本文件的某些内容可能涉及专利。本文件的发布机构不承担识别专利的责任。</w:t>
      </w:r>
    </w:p>
    <w:p>
      <w:pPr>
        <w:pStyle w:val="18"/>
        <w:spacing w:before="156" w:beforeLines="50" w:line="300" w:lineRule="exact"/>
        <w:rPr>
          <w:rFonts w:ascii="Times New Roman"/>
          <w:color w:val="000000" w:themeColor="text1"/>
          <w14:textFill>
            <w14:solidFill>
              <w14:schemeClr w14:val="tx1"/>
            </w14:solidFill>
          </w14:textFill>
        </w:rPr>
      </w:pPr>
      <w:r>
        <w:rPr>
          <w:rFonts w:ascii="Times New Roman" w:eastAsiaTheme="minorEastAsia"/>
          <w:color w:val="000000" w:themeColor="text1"/>
          <w:szCs w:val="21"/>
          <w14:textFill>
            <w14:solidFill>
              <w14:schemeClr w14:val="tx1"/>
            </w14:solidFill>
          </w14:textFill>
        </w:rPr>
        <w:t>本文件由</w:t>
      </w:r>
      <w:bookmarkStart w:id="20" w:name="_GoBack"/>
      <w:r>
        <w:rPr>
          <w:rFonts w:hint="eastAsia" w:ascii="Times New Roman" w:eastAsiaTheme="minorEastAsia"/>
          <w:color w:val="000000" w:themeColor="text1"/>
          <w:szCs w:val="21"/>
          <w14:textFill>
            <w14:solidFill>
              <w14:schemeClr w14:val="tx1"/>
            </w14:solidFill>
          </w14:textFill>
        </w:rPr>
        <w:t>江苏省园艺标准化委员会</w:t>
      </w:r>
      <w:bookmarkEnd w:id="20"/>
      <w:r>
        <w:rPr>
          <w:rFonts w:hint="eastAsia" w:ascii="Times New Roman" w:eastAsiaTheme="minorEastAsia"/>
          <w:color w:val="000000" w:themeColor="text1"/>
          <w:szCs w:val="21"/>
          <w:lang w:val="en-US" w:eastAsia="zh-CN"/>
          <w14:textFill>
            <w14:solidFill>
              <w14:schemeClr w14:val="tx1"/>
            </w14:solidFill>
          </w14:textFill>
        </w:rPr>
        <w:t>提出并</w:t>
      </w:r>
      <w:r>
        <w:rPr>
          <w:rFonts w:ascii="Times New Roman" w:eastAsiaTheme="minorEastAsia"/>
          <w:color w:val="000000" w:themeColor="text1"/>
          <w:szCs w:val="21"/>
          <w14:textFill>
            <w14:solidFill>
              <w14:schemeClr w14:val="tx1"/>
            </w14:solidFill>
          </w14:textFill>
        </w:rPr>
        <w:t>归口</w:t>
      </w:r>
      <w:r>
        <w:rPr>
          <w:rFonts w:ascii="Times New Roman"/>
          <w:color w:val="000000" w:themeColor="text1"/>
          <w14:textFill>
            <w14:solidFill>
              <w14:schemeClr w14:val="tx1"/>
            </w14:solidFill>
          </w14:textFill>
        </w:rPr>
        <w:t>。</w:t>
      </w:r>
    </w:p>
    <w:p>
      <w:pPr>
        <w:pStyle w:val="18"/>
        <w:spacing w:before="156" w:beforeLines="50" w:line="300" w:lineRule="exact"/>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本文件主要起草单位：江苏省农业科学院。</w:t>
      </w:r>
    </w:p>
    <w:p>
      <w:pPr>
        <w:pStyle w:val="18"/>
        <w:spacing w:before="156" w:beforeLines="50" w:line="300" w:lineRule="exact"/>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本文件主要起草人：盛婧、孙国峰、张丽萍、周炜。</w:t>
      </w:r>
    </w:p>
    <w:p>
      <w:pPr>
        <w:pStyle w:val="18"/>
        <w:rPr>
          <w:rFonts w:ascii="Times New Roman"/>
          <w:color w:val="000000" w:themeColor="text1"/>
          <w14:textFill>
            <w14:solidFill>
              <w14:schemeClr w14:val="tx1"/>
            </w14:solidFill>
          </w14:textFill>
        </w:rPr>
      </w:pPr>
    </w:p>
    <w:p>
      <w:pPr>
        <w:pStyle w:val="18"/>
        <w:rPr>
          <w:rFonts w:ascii="Times New Roman"/>
          <w:color w:val="000000" w:themeColor="text1"/>
          <w14:textFill>
            <w14:solidFill>
              <w14:schemeClr w14:val="tx1"/>
            </w14:solidFill>
          </w14:textFill>
        </w:rPr>
        <w:sectPr>
          <w:footerReference r:id="rId10" w:type="default"/>
          <w:pgSz w:w="11906" w:h="16838"/>
          <w:pgMar w:top="567" w:right="1134" w:bottom="1134" w:left="1418" w:header="1418" w:footer="1134" w:gutter="0"/>
          <w:pgNumType w:fmt="upperRoman" w:start="1"/>
          <w:cols w:space="425" w:num="1"/>
          <w:formProt w:val="0"/>
          <w:docGrid w:type="lines" w:linePitch="312" w:charSpace="0"/>
        </w:sectPr>
      </w:pPr>
    </w:p>
    <w:p>
      <w:pPr>
        <w:spacing w:before="156" w:beforeLines="50" w:after="312" w:afterLines="100"/>
        <w:jc w:val="center"/>
        <w:rPr>
          <w:rFonts w:eastAsia="黑体"/>
          <w:b/>
          <w:color w:val="000000" w:themeColor="text1"/>
          <w:sz w:val="32"/>
          <w:szCs w:val="32"/>
          <w14:textFill>
            <w14:solidFill>
              <w14:schemeClr w14:val="tx1"/>
            </w14:solidFill>
          </w14:textFill>
        </w:rPr>
      </w:pPr>
      <w:r>
        <w:rPr>
          <w:rFonts w:eastAsia="黑体"/>
          <w:b/>
          <w:color w:val="000000" w:themeColor="text1"/>
          <w:sz w:val="32"/>
          <w:szCs w:val="32"/>
          <w14:textFill>
            <w14:solidFill>
              <w14:schemeClr w14:val="tx1"/>
            </w14:solidFill>
          </w14:textFill>
        </w:rPr>
        <w:t>畜禽粪污沼液果蔬生产施用技术规范</w:t>
      </w:r>
    </w:p>
    <w:p>
      <w:pPr>
        <w:spacing w:before="156" w:beforeLines="50" w:after="156" w:afterLines="50"/>
        <w:outlineLvl w:val="0"/>
        <w:rPr>
          <w:rFonts w:eastAsia="黑体"/>
          <w:b/>
          <w:color w:val="000000" w:themeColor="text1"/>
          <w:szCs w:val="21"/>
          <w14:textFill>
            <w14:solidFill>
              <w14:schemeClr w14:val="tx1"/>
            </w14:solidFill>
          </w14:textFill>
        </w:rPr>
      </w:pPr>
      <w:bookmarkStart w:id="3" w:name="_Toc155357561"/>
      <w:r>
        <w:rPr>
          <w:rFonts w:eastAsia="黑体"/>
          <w:b/>
          <w:color w:val="000000" w:themeColor="text1"/>
          <w:szCs w:val="21"/>
          <w14:textFill>
            <w14:solidFill>
              <w14:schemeClr w14:val="tx1"/>
            </w14:solidFill>
          </w14:textFill>
        </w:rPr>
        <w:t>1 范围</w:t>
      </w:r>
      <w:bookmarkEnd w:id="3"/>
    </w:p>
    <w:p>
      <w:pPr>
        <w:pStyle w:val="18"/>
        <w:spacing w:before="156" w:after="1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本文件规定了果蔬生产中畜禽粪污沼液施用的基本要求、配套田间工程建设和施用方法。</w:t>
      </w:r>
    </w:p>
    <w:p>
      <w:pPr>
        <w:pStyle w:val="18"/>
        <w:spacing w:before="156" w:after="1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本文件适用于果树（桃、梨、葡萄）和蔬菜（结球白菜、不结球白菜、黄瓜、辣/甜椒、长白萝卜）生产中畜禽粪污沼液的施用。</w:t>
      </w:r>
    </w:p>
    <w:p>
      <w:pPr>
        <w:spacing w:before="156" w:beforeLines="50" w:after="156" w:afterLines="50"/>
        <w:outlineLvl w:val="0"/>
        <w:rPr>
          <w:rFonts w:eastAsia="黑体"/>
          <w:b/>
          <w:color w:val="000000" w:themeColor="text1"/>
          <w:szCs w:val="21"/>
          <w14:textFill>
            <w14:solidFill>
              <w14:schemeClr w14:val="tx1"/>
            </w14:solidFill>
          </w14:textFill>
        </w:rPr>
      </w:pPr>
      <w:bookmarkStart w:id="4" w:name="_Toc155357562"/>
      <w:bookmarkStart w:id="5" w:name="_Toc533404878"/>
      <w:r>
        <w:rPr>
          <w:rFonts w:eastAsia="黑体"/>
          <w:b/>
          <w:color w:val="000000" w:themeColor="text1"/>
          <w:szCs w:val="21"/>
          <w14:textFill>
            <w14:solidFill>
              <w14:schemeClr w14:val="tx1"/>
            </w14:solidFill>
          </w14:textFill>
        </w:rPr>
        <w:t>2 规范性引用文件</w:t>
      </w:r>
      <w:bookmarkEnd w:id="4"/>
      <w:bookmarkEnd w:id="5"/>
    </w:p>
    <w:p>
      <w:pPr>
        <w:pStyle w:val="18"/>
        <w:spacing w:before="156" w:after="1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18"/>
        <w:spacing w:before="156" w:after="1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GB/T 20203 管道输水灌溉工程技术规范</w:t>
      </w:r>
    </w:p>
    <w:p>
      <w:pPr>
        <w:pStyle w:val="18"/>
        <w:spacing w:before="156" w:after="1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GB/T 50085 喷灌工程技术规范</w:t>
      </w:r>
    </w:p>
    <w:p>
      <w:pPr>
        <w:pStyle w:val="18"/>
        <w:spacing w:before="156" w:after="1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GB/T 50485 微灌工程技术标准</w:t>
      </w:r>
    </w:p>
    <w:p>
      <w:pPr>
        <w:pStyle w:val="18"/>
        <w:spacing w:before="156" w:after="1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GB/T 50600 渠道防渗衬砌工程技术标准</w:t>
      </w:r>
    </w:p>
    <w:p>
      <w:pPr>
        <w:spacing w:before="156" w:beforeLines="50" w:after="156" w:afterLines="50"/>
        <w:outlineLvl w:val="0"/>
        <w:rPr>
          <w:rFonts w:eastAsia="黑体"/>
          <w:b/>
          <w:color w:val="000000" w:themeColor="text1"/>
          <w:szCs w:val="21"/>
          <w14:textFill>
            <w14:solidFill>
              <w14:schemeClr w14:val="tx1"/>
            </w14:solidFill>
          </w14:textFill>
        </w:rPr>
      </w:pPr>
      <w:bookmarkStart w:id="6" w:name="_Toc155357563"/>
      <w:bookmarkStart w:id="7" w:name="_Toc533404879"/>
      <w:r>
        <w:rPr>
          <w:rFonts w:eastAsia="黑体"/>
          <w:b/>
          <w:color w:val="000000" w:themeColor="text1"/>
          <w:szCs w:val="21"/>
          <w14:textFill>
            <w14:solidFill>
              <w14:schemeClr w14:val="tx1"/>
            </w14:solidFill>
          </w14:textFill>
        </w:rPr>
        <w:t>3 术语和定义</w:t>
      </w:r>
      <w:bookmarkEnd w:id="6"/>
      <w:bookmarkEnd w:id="7"/>
    </w:p>
    <w:p>
      <w:pPr>
        <w:spacing w:before="156" w:beforeLines="50" w:after="156" w:afterLines="50" w:line="420" w:lineRule="exact"/>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下列术语和定义适用于本文件。</w:t>
      </w:r>
    </w:p>
    <w:p>
      <w:pPr>
        <w:widowControl/>
        <w:autoSpaceDE w:val="0"/>
        <w:autoSpaceDN w:val="0"/>
        <w:spacing w:before="156" w:after="156"/>
        <w:ind w:left="210" w:leftChars="100"/>
        <w:rPr>
          <w:rFonts w:eastAsia="黑体"/>
          <w:color w:val="000000" w:themeColor="text1"/>
          <w:szCs w:val="21"/>
          <w14:textFill>
            <w14:solidFill>
              <w14:schemeClr w14:val="tx1"/>
            </w14:solidFill>
          </w14:textFill>
        </w:rPr>
      </w:pPr>
      <w:r>
        <w:rPr>
          <w:rFonts w:eastAsia="黑体"/>
          <w:color w:val="000000" w:themeColor="text1"/>
          <w:szCs w:val="21"/>
          <w14:textFill>
            <w14:solidFill>
              <w14:schemeClr w14:val="tx1"/>
            </w14:solidFill>
          </w14:textFill>
        </w:rPr>
        <w:t xml:space="preserve">3.1  </w:t>
      </w:r>
    </w:p>
    <w:p>
      <w:pPr>
        <w:widowControl/>
        <w:autoSpaceDE w:val="0"/>
        <w:autoSpaceDN w:val="0"/>
        <w:spacing w:before="156" w:after="156"/>
        <w:ind w:left="210" w:leftChars="100" w:firstLine="210"/>
        <w:rPr>
          <w:rFonts w:eastAsia="黑体"/>
          <w:color w:val="000000" w:themeColor="text1"/>
          <w:szCs w:val="21"/>
          <w14:textFill>
            <w14:solidFill>
              <w14:schemeClr w14:val="tx1"/>
            </w14:solidFill>
          </w14:textFill>
        </w:rPr>
      </w:pPr>
      <w:r>
        <w:rPr>
          <w:rFonts w:eastAsia="黑体"/>
          <w:color w:val="000000" w:themeColor="text1"/>
          <w:szCs w:val="21"/>
          <w14:textFill>
            <w14:solidFill>
              <w14:schemeClr w14:val="tx1"/>
            </w14:solidFill>
          </w14:textFill>
        </w:rPr>
        <w:t>畜禽粪污沼液 livestock and poultry manure biogas slurry</w:t>
      </w:r>
    </w:p>
    <w:p>
      <w:pPr>
        <w:pStyle w:val="18"/>
        <w:spacing w:line="420" w:lineRule="exact"/>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以畜禽粪便、尿液、污水为主要原料，通过</w:t>
      </w:r>
      <w:r>
        <w:rPr>
          <w:rFonts w:ascii="Times New Roman"/>
          <w:color w:val="000000" w:themeColor="text1"/>
          <w14:textFill>
            <w14:solidFill>
              <w14:schemeClr w14:val="tx1"/>
            </w14:solidFill>
          </w14:textFill>
        </w:rPr>
        <w:t>沼气工程充分厌氧发酵</w:t>
      </w:r>
      <w:r>
        <w:rPr>
          <w:rFonts w:ascii="Times New Roman"/>
          <w:color w:val="000000" w:themeColor="text1"/>
          <w:szCs w:val="21"/>
          <w14:textFill>
            <w14:solidFill>
              <w14:schemeClr w14:val="tx1"/>
            </w14:solidFill>
          </w14:textFill>
        </w:rPr>
        <w:t>产生的液态发酵残余物。</w:t>
      </w:r>
    </w:p>
    <w:p>
      <w:pPr>
        <w:spacing w:before="156" w:beforeLines="50" w:after="156" w:afterLines="50"/>
        <w:outlineLvl w:val="0"/>
        <w:rPr>
          <w:rFonts w:eastAsia="黑体"/>
          <w:b/>
          <w:color w:val="000000" w:themeColor="text1"/>
          <w:szCs w:val="21"/>
          <w14:textFill>
            <w14:solidFill>
              <w14:schemeClr w14:val="tx1"/>
            </w14:solidFill>
          </w14:textFill>
        </w:rPr>
      </w:pPr>
      <w:bookmarkStart w:id="8" w:name="_Toc155357564"/>
      <w:r>
        <w:rPr>
          <w:rFonts w:eastAsia="黑体"/>
          <w:b/>
          <w:color w:val="000000" w:themeColor="text1"/>
          <w:szCs w:val="21"/>
          <w14:textFill>
            <w14:solidFill>
              <w14:schemeClr w14:val="tx1"/>
            </w14:solidFill>
          </w14:textFill>
        </w:rPr>
        <w:t>4 基本要求</w:t>
      </w:r>
      <w:bookmarkEnd w:id="8"/>
    </w:p>
    <w:p>
      <w:pPr>
        <w:pStyle w:val="18"/>
        <w:spacing w:before="156" w:after="156"/>
        <w:ind w:firstLine="0" w:firstLineChars="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4.1 畜禽粪污沼液使用前应敞开静置15 d以上。</w:t>
      </w:r>
    </w:p>
    <w:p>
      <w:pPr>
        <w:pStyle w:val="18"/>
        <w:spacing w:before="156" w:after="156"/>
        <w:ind w:firstLine="0" w:firstLineChars="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4.2 畜禽粪污沼液施用时间应尽量选择晴天的早晚或阴天，避免大雨前施用。</w:t>
      </w:r>
    </w:p>
    <w:p>
      <w:pPr>
        <w:pStyle w:val="18"/>
        <w:spacing w:before="156" w:after="156"/>
        <w:ind w:firstLine="0" w:firstLineChars="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4.3 果园采果前1个月内、叶菜类蔬菜采收前10 d内、瓜果类蔬菜采收前7 d内不应施用畜禽粪污沼液。</w:t>
      </w:r>
    </w:p>
    <w:p>
      <w:pPr>
        <w:pStyle w:val="18"/>
        <w:spacing w:before="156" w:after="156"/>
        <w:ind w:firstLine="0" w:firstLineChars="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4.4 在水源保护地、坡度大的农田区域，禁止施用畜禽粪污沼液。当土壤电导率大于等于0.6 ms/cm时，不应施用畜禽粪污沼液。</w:t>
      </w:r>
    </w:p>
    <w:p>
      <w:pPr>
        <w:pStyle w:val="18"/>
        <w:spacing w:before="156" w:after="156"/>
        <w:ind w:firstLine="0" w:firstLineChars="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4.5 畜禽粪污沼液质量应符合表1规定。</w:t>
      </w:r>
    </w:p>
    <w:p>
      <w:pPr>
        <w:pStyle w:val="18"/>
        <w:spacing w:before="156" w:after="156"/>
        <w:ind w:left="210" w:leftChars="100" w:firstLine="0" w:firstLineChars="0"/>
        <w:rPr>
          <w:rFonts w:ascii="Times New Roman"/>
          <w:color w:val="000000" w:themeColor="text1"/>
          <w14:textFill>
            <w14:solidFill>
              <w14:schemeClr w14:val="tx1"/>
            </w14:solidFill>
          </w14:textFill>
        </w:rPr>
      </w:pPr>
    </w:p>
    <w:p>
      <w:pPr>
        <w:pStyle w:val="18"/>
        <w:spacing w:before="156" w:after="156"/>
        <w:ind w:left="210" w:leftChars="100" w:firstLine="0" w:firstLineChars="0"/>
        <w:rPr>
          <w:rFonts w:ascii="Times New Roman"/>
          <w:color w:val="000000" w:themeColor="text1"/>
          <w14:textFill>
            <w14:solidFill>
              <w14:schemeClr w14:val="tx1"/>
            </w14:solidFill>
          </w14:textFill>
        </w:rPr>
      </w:pPr>
    </w:p>
    <w:p>
      <w:pPr>
        <w:widowControl/>
        <w:numPr>
          <w:ilvl w:val="0"/>
          <w:numId w:val="4"/>
        </w:numPr>
        <w:spacing w:before="156" w:beforeLines="50"/>
        <w:jc w:val="center"/>
        <w:rPr>
          <w:rFonts w:eastAsia="黑体"/>
          <w:color w:val="000000" w:themeColor="text1"/>
          <w:szCs w:val="21"/>
          <w14:textFill>
            <w14:solidFill>
              <w14:schemeClr w14:val="tx1"/>
            </w14:solidFill>
          </w14:textFill>
        </w:rPr>
      </w:pPr>
      <w:r>
        <w:rPr>
          <w:rFonts w:eastAsia="黑体"/>
          <w:color w:val="000000" w:themeColor="text1"/>
          <w:szCs w:val="21"/>
          <w14:textFill>
            <w14:solidFill>
              <w14:schemeClr w14:val="tx1"/>
            </w14:solidFill>
          </w14:textFill>
        </w:rPr>
        <w:t>表1 畜禽粪污沼液质量要求</w:t>
      </w:r>
    </w:p>
    <w:tbl>
      <w:tblPr>
        <w:tblStyle w:val="13"/>
        <w:tblW w:w="7797"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9"/>
        <w:gridCol w:w="3373"/>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2" w:type="dxa"/>
            <w:gridSpan w:val="2"/>
            <w:vMerge w:val="restart"/>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指 标</w:t>
            </w:r>
          </w:p>
        </w:tc>
        <w:tc>
          <w:tcPr>
            <w:tcW w:w="2835" w:type="dxa"/>
            <w:gridSpan w:val="2"/>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限 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2" w:type="dxa"/>
            <w:gridSpan w:val="2"/>
            <w:vMerge w:val="continue"/>
            <w:vAlign w:val="center"/>
          </w:tcPr>
          <w:p>
            <w:pPr>
              <w:widowControl/>
              <w:numPr>
                <w:ilvl w:val="0"/>
                <w:numId w:val="4"/>
              </w:numPr>
              <w:jc w:val="center"/>
              <w:rPr>
                <w:color w:val="000000" w:themeColor="text1"/>
                <w:sz w:val="18"/>
                <w:szCs w:val="18"/>
                <w14:textFill>
                  <w14:solidFill>
                    <w14:schemeClr w14:val="tx1"/>
                  </w14:solidFill>
                </w14:textFill>
              </w:rPr>
            </w:pPr>
          </w:p>
        </w:tc>
        <w:tc>
          <w:tcPr>
            <w:tcW w:w="1417"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蔬 菜</w:t>
            </w:r>
          </w:p>
        </w:tc>
        <w:tc>
          <w:tcPr>
            <w:tcW w:w="1418"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果 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9" w:type="dxa"/>
            <w:vMerge w:val="restart"/>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卫生学指标</w:t>
            </w:r>
          </w:p>
        </w:tc>
        <w:tc>
          <w:tcPr>
            <w:tcW w:w="3373"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粪大肠菌值</w:t>
            </w:r>
          </w:p>
        </w:tc>
        <w:tc>
          <w:tcPr>
            <w:tcW w:w="2835" w:type="dxa"/>
            <w:gridSpan w:val="2"/>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≥10</w:t>
            </w:r>
            <w:r>
              <w:rPr>
                <w:color w:val="000000" w:themeColor="text1"/>
                <w:sz w:val="18"/>
                <w:szCs w:val="18"/>
                <w:vertAlign w:val="superscript"/>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9" w:type="dxa"/>
            <w:vMerge w:val="continue"/>
            <w:vAlign w:val="center"/>
          </w:tcPr>
          <w:p>
            <w:pPr>
              <w:widowControl/>
              <w:numPr>
                <w:ilvl w:val="0"/>
                <w:numId w:val="4"/>
              </w:numPr>
              <w:jc w:val="center"/>
              <w:rPr>
                <w:color w:val="000000" w:themeColor="text1"/>
                <w:sz w:val="18"/>
                <w:szCs w:val="18"/>
                <w14:textFill>
                  <w14:solidFill>
                    <w14:schemeClr w14:val="tx1"/>
                  </w14:solidFill>
                </w14:textFill>
              </w:rPr>
            </w:pPr>
          </w:p>
        </w:tc>
        <w:tc>
          <w:tcPr>
            <w:tcW w:w="3373"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蛔虫卵死亡率，%</w:t>
            </w:r>
          </w:p>
        </w:tc>
        <w:tc>
          <w:tcPr>
            <w:tcW w:w="2835" w:type="dxa"/>
            <w:gridSpan w:val="2"/>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9" w:type="dxa"/>
            <w:vMerge w:val="restart"/>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重金属</w:t>
            </w:r>
          </w:p>
        </w:tc>
        <w:tc>
          <w:tcPr>
            <w:tcW w:w="3373"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总砷（以As计），mg/kg</w:t>
            </w:r>
          </w:p>
        </w:tc>
        <w:tc>
          <w:tcPr>
            <w:tcW w:w="1417"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≤0.3</w:t>
            </w:r>
          </w:p>
        </w:tc>
        <w:tc>
          <w:tcPr>
            <w:tcW w:w="1418" w:type="dxa"/>
            <w:vAlign w:val="center"/>
          </w:tcPr>
          <w:p>
            <w:pPr>
              <w:widowControl/>
              <w:numPr>
                <w:ilvl w:val="0"/>
                <w:numId w:val="4"/>
              </w:numPr>
              <w:jc w:val="center"/>
              <w:rPr>
                <w:b/>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9" w:type="dxa"/>
            <w:vMerge w:val="continue"/>
            <w:vAlign w:val="center"/>
          </w:tcPr>
          <w:p>
            <w:pPr>
              <w:widowControl/>
              <w:numPr>
                <w:ilvl w:val="0"/>
                <w:numId w:val="4"/>
              </w:numPr>
              <w:jc w:val="center"/>
              <w:rPr>
                <w:color w:val="000000" w:themeColor="text1"/>
                <w:sz w:val="18"/>
                <w:szCs w:val="18"/>
                <w14:textFill>
                  <w14:solidFill>
                    <w14:schemeClr w14:val="tx1"/>
                  </w14:solidFill>
                </w14:textFill>
              </w:rPr>
            </w:pPr>
          </w:p>
        </w:tc>
        <w:tc>
          <w:tcPr>
            <w:tcW w:w="3373"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总铅（以Pb计），mg/kg</w:t>
            </w:r>
          </w:p>
        </w:tc>
        <w:tc>
          <w:tcPr>
            <w:tcW w:w="1417"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≤1.2</w:t>
            </w:r>
          </w:p>
        </w:tc>
        <w:tc>
          <w:tcPr>
            <w:tcW w:w="1418"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9" w:type="dxa"/>
            <w:vMerge w:val="continue"/>
            <w:vAlign w:val="center"/>
          </w:tcPr>
          <w:p>
            <w:pPr>
              <w:widowControl/>
              <w:numPr>
                <w:ilvl w:val="0"/>
                <w:numId w:val="4"/>
              </w:numPr>
              <w:jc w:val="center"/>
              <w:rPr>
                <w:color w:val="000000" w:themeColor="text1"/>
                <w:sz w:val="18"/>
                <w:szCs w:val="18"/>
                <w14:textFill>
                  <w14:solidFill>
                    <w14:schemeClr w14:val="tx1"/>
                  </w14:solidFill>
                </w14:textFill>
              </w:rPr>
            </w:pPr>
          </w:p>
        </w:tc>
        <w:tc>
          <w:tcPr>
            <w:tcW w:w="3373"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总镉（以Cd计），mg/kg</w:t>
            </w:r>
          </w:p>
        </w:tc>
        <w:tc>
          <w:tcPr>
            <w:tcW w:w="1417"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≤0.04</w:t>
            </w:r>
          </w:p>
        </w:tc>
        <w:tc>
          <w:tcPr>
            <w:tcW w:w="1418"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9" w:type="dxa"/>
            <w:vMerge w:val="continue"/>
            <w:vAlign w:val="center"/>
          </w:tcPr>
          <w:p>
            <w:pPr>
              <w:widowControl/>
              <w:numPr>
                <w:ilvl w:val="0"/>
                <w:numId w:val="4"/>
              </w:numPr>
              <w:jc w:val="center"/>
              <w:rPr>
                <w:color w:val="000000" w:themeColor="text1"/>
                <w:sz w:val="18"/>
                <w:szCs w:val="18"/>
                <w14:textFill>
                  <w14:solidFill>
                    <w14:schemeClr w14:val="tx1"/>
                  </w14:solidFill>
                </w14:textFill>
              </w:rPr>
            </w:pPr>
          </w:p>
        </w:tc>
        <w:tc>
          <w:tcPr>
            <w:tcW w:w="3373"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总铬（以Cr计），mg/kg</w:t>
            </w:r>
          </w:p>
        </w:tc>
        <w:tc>
          <w:tcPr>
            <w:tcW w:w="1417"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≤1.3</w:t>
            </w:r>
          </w:p>
        </w:tc>
        <w:tc>
          <w:tcPr>
            <w:tcW w:w="1418"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9" w:type="dxa"/>
            <w:vMerge w:val="continue"/>
            <w:vAlign w:val="center"/>
          </w:tcPr>
          <w:p>
            <w:pPr>
              <w:widowControl/>
              <w:numPr>
                <w:ilvl w:val="0"/>
                <w:numId w:val="4"/>
              </w:numPr>
              <w:jc w:val="center"/>
              <w:rPr>
                <w:color w:val="000000" w:themeColor="text1"/>
                <w:sz w:val="18"/>
                <w:szCs w:val="18"/>
                <w14:textFill>
                  <w14:solidFill>
                    <w14:schemeClr w14:val="tx1"/>
                  </w14:solidFill>
                </w14:textFill>
              </w:rPr>
            </w:pPr>
          </w:p>
        </w:tc>
        <w:tc>
          <w:tcPr>
            <w:tcW w:w="3373"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总汞（以Hg计），mg/kg</w:t>
            </w:r>
          </w:p>
        </w:tc>
        <w:tc>
          <w:tcPr>
            <w:tcW w:w="1417"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≤0.4</w:t>
            </w:r>
          </w:p>
        </w:tc>
        <w:tc>
          <w:tcPr>
            <w:tcW w:w="1418"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9"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盐 分</w:t>
            </w:r>
          </w:p>
        </w:tc>
        <w:tc>
          <w:tcPr>
            <w:tcW w:w="3373"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全盐量（以EC值计），ms/cm</w:t>
            </w:r>
          </w:p>
        </w:tc>
        <w:tc>
          <w:tcPr>
            <w:tcW w:w="1417"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≤1.5</w:t>
            </w:r>
          </w:p>
        </w:tc>
        <w:tc>
          <w:tcPr>
            <w:tcW w:w="1418" w:type="dxa"/>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≤2.0</w:t>
            </w:r>
          </w:p>
        </w:tc>
      </w:tr>
    </w:tbl>
    <w:p>
      <w:pPr>
        <w:pStyle w:val="18"/>
        <w:spacing w:line="420" w:lineRule="exact"/>
        <w:ind w:firstLine="210" w:firstLineChars="100"/>
        <w:rPr>
          <w:rFonts w:ascii="Times New Roman"/>
          <w:color w:val="000000" w:themeColor="text1"/>
          <w:szCs w:val="21"/>
          <w14:textFill>
            <w14:solidFill>
              <w14:schemeClr w14:val="tx1"/>
            </w14:solidFill>
          </w14:textFill>
        </w:rPr>
      </w:pPr>
    </w:p>
    <w:p>
      <w:pPr>
        <w:spacing w:before="156" w:beforeLines="50" w:after="156" w:afterLines="50"/>
        <w:outlineLvl w:val="0"/>
        <w:rPr>
          <w:rFonts w:eastAsia="黑体"/>
          <w:b/>
          <w:color w:val="000000" w:themeColor="text1"/>
          <w:szCs w:val="21"/>
          <w14:textFill>
            <w14:solidFill>
              <w14:schemeClr w14:val="tx1"/>
            </w14:solidFill>
          </w14:textFill>
        </w:rPr>
      </w:pPr>
      <w:bookmarkStart w:id="9" w:name="_Toc155357565"/>
      <w:r>
        <w:rPr>
          <w:rFonts w:eastAsia="黑体"/>
          <w:b/>
          <w:color w:val="000000" w:themeColor="text1"/>
          <w:szCs w:val="21"/>
          <w14:textFill>
            <w14:solidFill>
              <w14:schemeClr w14:val="tx1"/>
            </w14:solidFill>
          </w14:textFill>
        </w:rPr>
        <w:t>5 配套田间工程建设</w:t>
      </w:r>
      <w:bookmarkEnd w:id="9"/>
    </w:p>
    <w:p>
      <w:pPr>
        <w:pStyle w:val="18"/>
        <w:spacing w:line="420" w:lineRule="exact"/>
        <w:ind w:firstLine="0" w:firstLineChars="0"/>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5.1 沼液施用宜与农田灌溉工程相结合，实现水肥一体化利用，做到严格控制施用量与施用浓度。</w:t>
      </w:r>
    </w:p>
    <w:p>
      <w:pPr>
        <w:pStyle w:val="18"/>
        <w:spacing w:line="420" w:lineRule="exact"/>
        <w:ind w:firstLine="0" w:firstLineChars="0"/>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5.2 果园沼液施用宜采用防渗渠道灌溉、低压管道灌溉、微灌（小管出流）等灌溉利用工程形式，蔬菜沼液施用宜采用喷灌、微灌、防渗渠道灌溉、低压管道灌溉等灌溉利用工程形式。</w:t>
      </w:r>
    </w:p>
    <w:p>
      <w:pPr>
        <w:pStyle w:val="18"/>
        <w:spacing w:line="420" w:lineRule="exact"/>
        <w:ind w:firstLine="0" w:firstLineChars="0"/>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5.3 沼液灌溉利用工程采用喷灌形式的，其系统设计应符合GB/T 50085的要求；采用微灌形式的，其系统设计应符合GB/T 50485的要求；采用低压管道灌溉形式的，其系统规划设计应符合GB/T 20203的要求；采用防渗渠道灌溉形式的，其系统规划设计应符合GB/T 50600的要求。</w:t>
      </w:r>
    </w:p>
    <w:p>
      <w:pPr>
        <w:pStyle w:val="18"/>
        <w:spacing w:line="420" w:lineRule="exact"/>
        <w:ind w:firstLine="0" w:firstLineChars="0"/>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5.4 沼液管道化施用应配套过滤设施，且过滤设施与输送管道材料应耐腐蚀。</w:t>
      </w:r>
    </w:p>
    <w:p>
      <w:pPr>
        <w:spacing w:before="156" w:beforeLines="50" w:after="156" w:afterLines="50"/>
        <w:outlineLvl w:val="0"/>
        <w:rPr>
          <w:rFonts w:eastAsia="黑体"/>
          <w:b/>
          <w:color w:val="000000" w:themeColor="text1"/>
          <w:szCs w:val="21"/>
          <w14:textFill>
            <w14:solidFill>
              <w14:schemeClr w14:val="tx1"/>
            </w14:solidFill>
          </w14:textFill>
        </w:rPr>
      </w:pPr>
      <w:bookmarkStart w:id="10" w:name="_Toc155357566"/>
      <w:r>
        <w:rPr>
          <w:rFonts w:eastAsia="黑体"/>
          <w:b/>
          <w:color w:val="000000" w:themeColor="text1"/>
          <w:szCs w:val="21"/>
          <w14:textFill>
            <w14:solidFill>
              <w14:schemeClr w14:val="tx1"/>
            </w14:solidFill>
          </w14:textFill>
        </w:rPr>
        <w:t>6 果蔬畜禽粪污沼液施用</w:t>
      </w:r>
      <w:bookmarkEnd w:id="10"/>
    </w:p>
    <w:p>
      <w:pPr>
        <w:spacing w:before="156" w:beforeLines="50"/>
        <w:outlineLvl w:val="0"/>
        <w:rPr>
          <w:rFonts w:eastAsia="黑体"/>
          <w:b/>
          <w:color w:val="000000" w:themeColor="text1"/>
          <w:szCs w:val="21"/>
          <w14:textFill>
            <w14:solidFill>
              <w14:schemeClr w14:val="tx1"/>
            </w14:solidFill>
          </w14:textFill>
        </w:rPr>
      </w:pPr>
      <w:bookmarkStart w:id="11" w:name="_Toc155357567"/>
      <w:r>
        <w:rPr>
          <w:rFonts w:eastAsia="黑体"/>
          <w:b/>
          <w:color w:val="000000" w:themeColor="text1"/>
          <w:szCs w:val="21"/>
          <w14:textFill>
            <w14:solidFill>
              <w14:schemeClr w14:val="tx1"/>
            </w14:solidFill>
          </w14:textFill>
        </w:rPr>
        <w:t>6.1一般规定</w:t>
      </w:r>
      <w:bookmarkEnd w:id="11"/>
    </w:p>
    <w:p>
      <w:pPr>
        <w:pStyle w:val="18"/>
        <w:spacing w:before="156" w:beforeLines="50" w:line="420" w:lineRule="exact"/>
        <w:rPr>
          <w:rFonts w:ascii="Times New Roman"/>
          <w:szCs w:val="21"/>
        </w:rPr>
      </w:pPr>
      <w:r>
        <w:rPr>
          <w:rFonts w:ascii="Times New Roman"/>
          <w:color w:val="000000" w:themeColor="text1"/>
          <w:szCs w:val="21"/>
          <w14:textFill>
            <w14:solidFill>
              <w14:schemeClr w14:val="tx1"/>
            </w14:solidFill>
          </w14:textFill>
        </w:rPr>
        <w:t>果蔬施肥可采取畜禽粪污沼液与有机或无机肥料配合施用。沼液的具体施用量需根据沼液总氮浓度</w:t>
      </w: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果蔬类型</w:t>
      </w:r>
      <w:r>
        <w:rPr>
          <w:rFonts w:ascii="Times New Roman"/>
          <w:szCs w:val="21"/>
        </w:rPr>
        <w:t>和</w:t>
      </w:r>
      <w:r>
        <w:rPr>
          <w:rFonts w:hint="eastAsia" w:ascii="Times New Roman"/>
          <w:szCs w:val="21"/>
        </w:rPr>
        <w:t>目标</w:t>
      </w:r>
      <w:r>
        <w:rPr>
          <w:rFonts w:ascii="Times New Roman"/>
          <w:szCs w:val="21"/>
        </w:rPr>
        <w:t>产量</w:t>
      </w:r>
      <w:r>
        <w:rPr>
          <w:rFonts w:hint="eastAsia" w:ascii="Times New Roman"/>
          <w:szCs w:val="21"/>
        </w:rPr>
        <w:t>、土</w:t>
      </w:r>
      <w:r>
        <w:rPr>
          <w:rFonts w:ascii="Times New Roman"/>
          <w:szCs w:val="21"/>
        </w:rPr>
        <w:t>壤类型进行确定</w:t>
      </w:r>
      <w:r>
        <w:rPr>
          <w:rFonts w:hint="eastAsia" w:ascii="Times New Roman"/>
          <w:szCs w:val="21"/>
        </w:rPr>
        <w:t>。</w:t>
      </w:r>
      <w:r>
        <w:rPr>
          <w:rFonts w:ascii="Times New Roman"/>
          <w:szCs w:val="21"/>
        </w:rPr>
        <w:t>当沼液中总氮浓度大于1200 mg/L时，应与灌溉水按1:(2～5)比例混合稀释后再施用</w:t>
      </w:r>
      <w:r>
        <w:rPr>
          <w:rFonts w:hint="eastAsia" w:ascii="Times New Roman"/>
          <w:szCs w:val="21"/>
        </w:rPr>
        <w:t>，但单</w:t>
      </w:r>
      <w:r>
        <w:rPr>
          <w:rFonts w:ascii="Times New Roman"/>
          <w:szCs w:val="21"/>
        </w:rPr>
        <w:t>次施</w:t>
      </w:r>
      <w:r>
        <w:rPr>
          <w:rFonts w:hint="eastAsia" w:ascii="Times New Roman"/>
          <w:szCs w:val="21"/>
        </w:rPr>
        <w:t>用</w:t>
      </w:r>
      <w:r>
        <w:rPr>
          <w:rFonts w:ascii="Times New Roman"/>
          <w:szCs w:val="21"/>
        </w:rPr>
        <w:t>量不</w:t>
      </w:r>
      <w:r>
        <w:rPr>
          <w:rFonts w:hint="eastAsia" w:ascii="Times New Roman"/>
          <w:szCs w:val="21"/>
        </w:rPr>
        <w:t>应超</w:t>
      </w:r>
      <w:r>
        <w:rPr>
          <w:rFonts w:ascii="Times New Roman"/>
          <w:szCs w:val="21"/>
        </w:rPr>
        <w:t>过</w:t>
      </w:r>
      <w:r>
        <w:rPr>
          <w:rFonts w:hint="eastAsia" w:ascii="Times New Roman"/>
          <w:szCs w:val="21"/>
        </w:rPr>
        <w:t>作</w:t>
      </w:r>
      <w:r>
        <w:rPr>
          <w:rFonts w:ascii="Times New Roman"/>
          <w:szCs w:val="21"/>
        </w:rPr>
        <w:t>物</w:t>
      </w:r>
      <w:r>
        <w:rPr>
          <w:rFonts w:hint="eastAsia" w:ascii="Times New Roman"/>
          <w:szCs w:val="21"/>
        </w:rPr>
        <w:t>灌溉定</w:t>
      </w:r>
      <w:r>
        <w:rPr>
          <w:rFonts w:ascii="Times New Roman"/>
          <w:szCs w:val="21"/>
        </w:rPr>
        <w:t>额。</w:t>
      </w:r>
    </w:p>
    <w:p>
      <w:pPr>
        <w:spacing w:before="156" w:beforeLines="50"/>
        <w:outlineLvl w:val="0"/>
        <w:rPr>
          <w:rFonts w:eastAsia="黑体"/>
          <w:b/>
          <w:color w:val="000000" w:themeColor="text1"/>
          <w:szCs w:val="21"/>
          <w14:textFill>
            <w14:solidFill>
              <w14:schemeClr w14:val="tx1"/>
            </w14:solidFill>
          </w14:textFill>
        </w:rPr>
      </w:pPr>
      <w:bookmarkStart w:id="12" w:name="_Toc155357568"/>
      <w:r>
        <w:rPr>
          <w:rFonts w:eastAsia="黑体"/>
          <w:b/>
          <w:color w:val="000000" w:themeColor="text1"/>
          <w:szCs w:val="21"/>
          <w14:textFill>
            <w14:solidFill>
              <w14:schemeClr w14:val="tx1"/>
            </w14:solidFill>
          </w14:textFill>
        </w:rPr>
        <w:t>6.2 果园（桃、梨、葡萄）畜禽粪污沼液施用方法</w:t>
      </w:r>
      <w:bookmarkEnd w:id="12"/>
    </w:p>
    <w:p>
      <w:pPr>
        <w:spacing w:before="156" w:beforeLines="50"/>
        <w:outlineLvl w:val="0"/>
        <w:rPr>
          <w:rFonts w:eastAsia="黑体"/>
          <w:b/>
          <w:color w:val="000000" w:themeColor="text1"/>
          <w:szCs w:val="21"/>
          <w14:textFill>
            <w14:solidFill>
              <w14:schemeClr w14:val="tx1"/>
            </w14:solidFill>
          </w14:textFill>
        </w:rPr>
      </w:pPr>
      <w:bookmarkStart w:id="13" w:name="_Toc155357569"/>
      <w:r>
        <w:rPr>
          <w:rFonts w:eastAsia="黑体"/>
          <w:b/>
          <w:color w:val="000000" w:themeColor="text1"/>
          <w:szCs w:val="21"/>
          <w14:textFill>
            <w14:solidFill>
              <w14:schemeClr w14:val="tx1"/>
            </w14:solidFill>
          </w14:textFill>
        </w:rPr>
        <w:t xml:space="preserve">6.2.1 </w:t>
      </w:r>
      <w:r>
        <w:rPr>
          <w:rFonts w:hint="eastAsia" w:eastAsia="黑体"/>
          <w:b/>
          <w:color w:val="000000" w:themeColor="text1"/>
          <w:szCs w:val="21"/>
          <w14:textFill>
            <w14:solidFill>
              <w14:schemeClr w14:val="tx1"/>
            </w14:solidFill>
          </w14:textFill>
        </w:rPr>
        <w:t>桃、梨</w:t>
      </w:r>
      <w:bookmarkEnd w:id="13"/>
    </w:p>
    <w:p>
      <w:pPr>
        <w:pStyle w:val="18"/>
        <w:spacing w:line="420" w:lineRule="exact"/>
        <w:rPr>
          <w:rFonts w:ascii="Times New Roman"/>
          <w:color w:val="000000" w:themeColor="text1"/>
          <w14:textFill>
            <w14:solidFill>
              <w14:schemeClr w14:val="tx1"/>
            </w14:solidFill>
          </w14:textFill>
        </w:rPr>
      </w:pPr>
      <w:r>
        <w:rPr>
          <w:rFonts w:ascii="Times New Roman"/>
          <w:color w:val="000000" w:themeColor="text1"/>
          <w:szCs w:val="21"/>
          <w14:textFill>
            <w14:solidFill>
              <w14:schemeClr w14:val="tx1"/>
            </w14:solidFill>
          </w14:textFill>
        </w:rPr>
        <w:t>桃、梨园畜禽粪污沼液参考施用量见表</w:t>
      </w:r>
      <w:r>
        <w:rPr>
          <w:rFonts w:ascii="Times New Roman" w:eastAsia="黑体"/>
          <w:color w:val="000000" w:themeColor="text1"/>
          <w:kern w:val="2"/>
          <w:szCs w:val="21"/>
          <w14:textFill>
            <w14:solidFill>
              <w14:schemeClr w14:val="tx1"/>
            </w14:solidFill>
          </w14:textFill>
        </w:rPr>
        <w:t>2</w:t>
      </w:r>
      <w:r>
        <w:rPr>
          <w:rFonts w:ascii="Times New Roman"/>
          <w:color w:val="000000" w:themeColor="text1"/>
          <w:szCs w:val="21"/>
          <w14:textFill>
            <w14:solidFill>
              <w14:schemeClr w14:val="tx1"/>
            </w14:solidFill>
          </w14:textFill>
        </w:rPr>
        <w:t>。</w:t>
      </w:r>
      <w:r>
        <w:rPr>
          <w:rFonts w:ascii="Times New Roman"/>
          <w:color w:val="000000" w:themeColor="text1"/>
          <w14:textFill>
            <w14:solidFill>
              <w14:schemeClr w14:val="tx1"/>
            </w14:solidFill>
          </w14:textFill>
        </w:rPr>
        <w:t>幼树生长期（一般4月～9月）可每月施用沼液1次。成龄挂果树分别在开花前后和果实膨大期</w:t>
      </w:r>
      <w:r>
        <w:rPr>
          <w:rFonts w:hint="eastAsia" w:ascii="Times New Roman"/>
          <w:color w:val="000000" w:themeColor="text1"/>
          <w14:textFill>
            <w14:solidFill>
              <w14:schemeClr w14:val="tx1"/>
            </w14:solidFill>
          </w14:textFill>
        </w:rPr>
        <w:t>，</w:t>
      </w:r>
      <w:r>
        <w:rPr>
          <w:rFonts w:ascii="Times New Roman"/>
          <w:color w:val="000000" w:themeColor="text1"/>
          <w14:textFill>
            <w14:solidFill>
              <w14:schemeClr w14:val="tx1"/>
            </w14:solidFill>
          </w14:textFill>
        </w:rPr>
        <w:t>于桃、梨树冠投影外缘 2/3处施用沼液。开花前后施用沼液可分2次～3次进行；果实膨大期施用沼</w:t>
      </w:r>
      <w:r>
        <w:rPr>
          <w:rFonts w:ascii="Times New Roman"/>
        </w:rPr>
        <w:t>液1</w:t>
      </w:r>
      <w:r>
        <w:rPr>
          <w:rFonts w:hint="eastAsia" w:ascii="Times New Roman"/>
        </w:rPr>
        <w:t>次～</w:t>
      </w:r>
      <w:r>
        <w:rPr>
          <w:rFonts w:ascii="Times New Roman"/>
        </w:rPr>
        <w:t>2</w:t>
      </w:r>
      <w:r>
        <w:rPr>
          <w:rFonts w:hint="eastAsia" w:ascii="Times New Roman"/>
        </w:rPr>
        <w:t>次</w:t>
      </w:r>
      <w:r>
        <w:rPr>
          <w:rFonts w:ascii="Times New Roman"/>
        </w:rPr>
        <w:t>，</w:t>
      </w:r>
      <w:r>
        <w:rPr>
          <w:rFonts w:hint="eastAsia" w:ascii="Times New Roman"/>
        </w:rPr>
        <w:t>同</w:t>
      </w:r>
      <w:r>
        <w:rPr>
          <w:rFonts w:ascii="Times New Roman"/>
          <w:color w:val="000000" w:themeColor="text1"/>
          <w14:textFill>
            <w14:solidFill>
              <w14:schemeClr w14:val="tx1"/>
            </w14:solidFill>
          </w14:textFill>
        </w:rPr>
        <w:t>时</w:t>
      </w:r>
      <w:r>
        <w:rPr>
          <w:rFonts w:hint="eastAsia" w:ascii="Times New Roman"/>
          <w:color w:val="000000" w:themeColor="text1"/>
          <w14:textFill>
            <w14:solidFill>
              <w14:schemeClr w14:val="tx1"/>
            </w14:solidFill>
          </w14:textFill>
        </w:rPr>
        <w:t>配施</w:t>
      </w:r>
      <w:r>
        <w:rPr>
          <w:rFonts w:ascii="Times New Roman"/>
          <w:color w:val="000000" w:themeColor="text1"/>
          <w14:textFill>
            <w14:solidFill>
              <w14:schemeClr w14:val="tx1"/>
            </w14:solidFill>
          </w14:textFill>
        </w:rPr>
        <w:t>硫酸钾，</w:t>
      </w:r>
      <w:r>
        <w:rPr>
          <w:rFonts w:ascii="Times New Roman"/>
        </w:rPr>
        <w:t>并根据树势酌情</w:t>
      </w:r>
      <w:r>
        <w:rPr>
          <w:rFonts w:hint="eastAsia"/>
        </w:rPr>
        <w:t>补施肥料</w:t>
      </w:r>
      <w:r>
        <w:rPr>
          <w:rFonts w:ascii="Times New Roman"/>
        </w:rPr>
        <w:t>。</w:t>
      </w:r>
    </w:p>
    <w:p>
      <w:pPr>
        <w:widowControl/>
        <w:numPr>
          <w:ilvl w:val="0"/>
          <w:numId w:val="5"/>
        </w:numPr>
        <w:spacing w:before="156" w:beforeLines="50"/>
        <w:jc w:val="center"/>
        <w:rPr>
          <w:rFonts w:eastAsia="黑体"/>
          <w:color w:val="000000" w:themeColor="text1"/>
          <w:szCs w:val="21"/>
          <w14:textFill>
            <w14:solidFill>
              <w14:schemeClr w14:val="tx1"/>
            </w14:solidFill>
          </w14:textFill>
        </w:rPr>
      </w:pPr>
    </w:p>
    <w:p>
      <w:pPr>
        <w:widowControl/>
        <w:numPr>
          <w:ilvl w:val="0"/>
          <w:numId w:val="5"/>
        </w:numPr>
        <w:spacing w:before="156" w:beforeLines="50"/>
        <w:jc w:val="center"/>
        <w:rPr>
          <w:rFonts w:eastAsia="黑体"/>
          <w:color w:val="000000" w:themeColor="text1"/>
          <w:szCs w:val="21"/>
          <w14:textFill>
            <w14:solidFill>
              <w14:schemeClr w14:val="tx1"/>
            </w14:solidFill>
          </w14:textFill>
        </w:rPr>
      </w:pPr>
    </w:p>
    <w:p>
      <w:pPr>
        <w:widowControl/>
        <w:numPr>
          <w:ilvl w:val="0"/>
          <w:numId w:val="4"/>
        </w:numPr>
        <w:spacing w:before="156" w:beforeLines="50"/>
        <w:jc w:val="center"/>
        <w:rPr>
          <w:rFonts w:eastAsia="黑体"/>
          <w:color w:val="000000" w:themeColor="text1"/>
          <w:szCs w:val="21"/>
          <w14:textFill>
            <w14:solidFill>
              <w14:schemeClr w14:val="tx1"/>
            </w14:solidFill>
          </w14:textFill>
        </w:rPr>
      </w:pPr>
      <w:r>
        <w:rPr>
          <w:rFonts w:eastAsia="黑体"/>
          <w:color w:val="000000" w:themeColor="text1"/>
          <w:szCs w:val="21"/>
          <w14:textFill>
            <w14:solidFill>
              <w14:schemeClr w14:val="tx1"/>
            </w14:solidFill>
          </w14:textFill>
        </w:rPr>
        <w:t>表2 桃、梨园不同浓度畜禽粪污沼液参考施用量</w:t>
      </w:r>
    </w:p>
    <w:tbl>
      <w:tblPr>
        <w:tblStyle w:val="12"/>
        <w:tblW w:w="492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84"/>
        <w:gridCol w:w="1744"/>
        <w:gridCol w:w="2095"/>
        <w:gridCol w:w="1974"/>
        <w:gridCol w:w="13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 w:hRule="atLeast"/>
          <w:jc w:val="center"/>
        </w:trPr>
        <w:tc>
          <w:tcPr>
            <w:tcW w:w="1046" w:type="pct"/>
            <w:vMerge w:val="restart"/>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树龄</w:t>
            </w:r>
          </w:p>
        </w:tc>
        <w:tc>
          <w:tcPr>
            <w:tcW w:w="968" w:type="pct"/>
            <w:vMerge w:val="restart"/>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施肥期</w:t>
            </w:r>
          </w:p>
        </w:tc>
        <w:tc>
          <w:tcPr>
            <w:tcW w:w="2259" w:type="pct"/>
            <w:gridSpan w:val="2"/>
            <w:shd w:val="clear" w:color="auto" w:fill="auto"/>
            <w:vAlign w:val="center"/>
          </w:tcPr>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不同浓度沼液施用量（t/667m</w:t>
            </w:r>
            <w:r>
              <w:rPr>
                <w:color w:val="000000" w:themeColor="text1"/>
                <w:sz w:val="18"/>
                <w:szCs w:val="18"/>
                <w:vertAlign w:val="superscript"/>
                <w14:textFill>
                  <w14:solidFill>
                    <w14:schemeClr w14:val="tx1"/>
                  </w14:solidFill>
                </w14:textFill>
              </w:rPr>
              <w:t>2</w:t>
            </w:r>
            <w:r>
              <w:rPr>
                <w:color w:val="000000" w:themeColor="text1"/>
                <w:sz w:val="18"/>
                <w:szCs w:val="18"/>
                <w14:textFill>
                  <w14:solidFill>
                    <w14:schemeClr w14:val="tx1"/>
                  </w14:solidFill>
                </w14:textFill>
              </w:rPr>
              <w:t>）</w:t>
            </w:r>
          </w:p>
        </w:tc>
        <w:tc>
          <w:tcPr>
            <w:tcW w:w="727" w:type="pct"/>
            <w:vMerge w:val="restart"/>
            <w:vAlign w:val="center"/>
          </w:tcPr>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配施硫酸钾</w:t>
            </w:r>
          </w:p>
          <w:p>
            <w:pPr>
              <w:widowControl/>
              <w:jc w:val="center"/>
              <w:rPr>
                <w:b/>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（kg/667m</w:t>
            </w:r>
            <w:r>
              <w:rPr>
                <w:color w:val="000000" w:themeColor="text1"/>
                <w:sz w:val="18"/>
                <w:szCs w:val="18"/>
                <w:vertAlign w:val="superscript"/>
                <w14:textFill>
                  <w14:solidFill>
                    <w14:schemeClr w14:val="tx1"/>
                  </w14:solidFill>
                </w14:textFill>
              </w:rPr>
              <w:t>2</w:t>
            </w:r>
            <w:r>
              <w:rPr>
                <w:color w:val="000000" w:themeColor="text1"/>
                <w:sz w:val="18"/>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1" w:hRule="atLeast"/>
          <w:jc w:val="center"/>
        </w:trPr>
        <w:tc>
          <w:tcPr>
            <w:tcW w:w="1046" w:type="pct"/>
            <w:vMerge w:val="continue"/>
          </w:tcPr>
          <w:p>
            <w:pPr>
              <w:widowControl/>
              <w:spacing w:line="400" w:lineRule="exact"/>
              <w:jc w:val="center"/>
              <w:rPr>
                <w:color w:val="000000" w:themeColor="text1"/>
                <w:sz w:val="18"/>
                <w:szCs w:val="18"/>
                <w14:textFill>
                  <w14:solidFill>
                    <w14:schemeClr w14:val="tx1"/>
                  </w14:solidFill>
                </w14:textFill>
              </w:rPr>
            </w:pPr>
          </w:p>
        </w:tc>
        <w:tc>
          <w:tcPr>
            <w:tcW w:w="968" w:type="pct"/>
            <w:vMerge w:val="continue"/>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p>
        </w:tc>
        <w:tc>
          <w:tcPr>
            <w:tcW w:w="1163" w:type="pct"/>
            <w:shd w:val="clear" w:color="auto" w:fill="auto"/>
            <w:vAlign w:val="center"/>
          </w:tcPr>
          <w:p>
            <w:pPr>
              <w:widowControl/>
              <w:jc w:val="center"/>
              <w:rPr>
                <w:sz w:val="18"/>
                <w:szCs w:val="18"/>
              </w:rPr>
            </w:pPr>
            <w:r>
              <w:rPr>
                <w:sz w:val="18"/>
                <w:szCs w:val="18"/>
              </w:rPr>
              <w:t>总氮浓度</w:t>
            </w:r>
          </w:p>
          <w:p>
            <w:pPr>
              <w:widowControl/>
              <w:jc w:val="center"/>
              <w:rPr>
                <w:sz w:val="18"/>
                <w:szCs w:val="18"/>
              </w:rPr>
            </w:pPr>
            <w:r>
              <w:rPr>
                <w:sz w:val="18"/>
                <w:szCs w:val="18"/>
              </w:rPr>
              <w:t>1200 mg/L～</w:t>
            </w:r>
            <w:r>
              <w:rPr>
                <w:rFonts w:hint="eastAsia"/>
                <w:sz w:val="18"/>
                <w:szCs w:val="18"/>
              </w:rPr>
              <w:t>9</w:t>
            </w:r>
            <w:r>
              <w:rPr>
                <w:sz w:val="18"/>
                <w:szCs w:val="18"/>
              </w:rPr>
              <w:t>00 mg/L</w:t>
            </w:r>
          </w:p>
        </w:tc>
        <w:tc>
          <w:tcPr>
            <w:tcW w:w="1096" w:type="pct"/>
          </w:tcPr>
          <w:p>
            <w:pPr>
              <w:widowControl/>
              <w:numPr>
                <w:ilvl w:val="0"/>
                <w:numId w:val="4"/>
              </w:numPr>
              <w:jc w:val="center"/>
              <w:rPr>
                <w:sz w:val="18"/>
                <w:szCs w:val="18"/>
              </w:rPr>
            </w:pPr>
            <w:r>
              <w:rPr>
                <w:sz w:val="18"/>
                <w:szCs w:val="18"/>
              </w:rPr>
              <w:t>总氮浓度</w:t>
            </w:r>
          </w:p>
          <w:p>
            <w:pPr>
              <w:widowControl/>
              <w:jc w:val="center"/>
              <w:rPr>
                <w:sz w:val="18"/>
                <w:szCs w:val="18"/>
              </w:rPr>
            </w:pPr>
            <w:r>
              <w:rPr>
                <w:sz w:val="18"/>
                <w:szCs w:val="18"/>
              </w:rPr>
              <w:t>900 mg/L～600 mg/L</w:t>
            </w:r>
          </w:p>
        </w:tc>
        <w:tc>
          <w:tcPr>
            <w:tcW w:w="727" w:type="pct"/>
            <w:vMerge w:val="continue"/>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2" w:hRule="atLeast"/>
          <w:jc w:val="center"/>
        </w:trPr>
        <w:tc>
          <w:tcPr>
            <w:tcW w:w="1046" w:type="pct"/>
            <w:vAlign w:val="center"/>
          </w:tcPr>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幼树</w:t>
            </w:r>
          </w:p>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（树龄1年）</w:t>
            </w:r>
          </w:p>
        </w:tc>
        <w:tc>
          <w:tcPr>
            <w:tcW w:w="968" w:type="pct"/>
            <w:shd w:val="clear" w:color="auto" w:fill="auto"/>
            <w:vAlign w:val="center"/>
          </w:tcPr>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生长期</w:t>
            </w:r>
          </w:p>
        </w:tc>
        <w:tc>
          <w:tcPr>
            <w:tcW w:w="1163" w:type="pct"/>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0.8～</w:t>
            </w:r>
            <w:r>
              <w:rPr>
                <w:rFonts w:hint="eastAsia"/>
                <w:color w:val="000000" w:themeColor="text1"/>
                <w:sz w:val="18"/>
                <w:szCs w:val="18"/>
                <w14:textFill>
                  <w14:solidFill>
                    <w14:schemeClr w14:val="tx1"/>
                  </w14:solidFill>
                </w14:textFill>
              </w:rPr>
              <w:t>1</w:t>
            </w:r>
            <w:r>
              <w:rPr>
                <w:color w:val="000000" w:themeColor="text1"/>
                <w:sz w:val="18"/>
                <w:szCs w:val="18"/>
                <w14:textFill>
                  <w14:solidFill>
                    <w14:schemeClr w14:val="tx1"/>
                  </w14:solidFill>
                </w14:textFill>
              </w:rPr>
              <w:t>.0</w:t>
            </w:r>
          </w:p>
        </w:tc>
        <w:tc>
          <w:tcPr>
            <w:tcW w:w="1096" w:type="pct"/>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1.0～1.2</w:t>
            </w:r>
          </w:p>
        </w:tc>
        <w:tc>
          <w:tcPr>
            <w:tcW w:w="727" w:type="pct"/>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2" w:hRule="atLeast"/>
          <w:jc w:val="center"/>
        </w:trPr>
        <w:tc>
          <w:tcPr>
            <w:tcW w:w="1046" w:type="pct"/>
            <w:vAlign w:val="center"/>
          </w:tcPr>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幼树</w:t>
            </w:r>
          </w:p>
          <w:p>
            <w:pPr>
              <w:widowControl/>
              <w:ind w:left="-111" w:leftChars="-53"/>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（树龄2年～3年）</w:t>
            </w:r>
          </w:p>
        </w:tc>
        <w:tc>
          <w:tcPr>
            <w:tcW w:w="968" w:type="pct"/>
            <w:shd w:val="clear" w:color="auto" w:fill="auto"/>
            <w:vAlign w:val="center"/>
          </w:tcPr>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生长期</w:t>
            </w:r>
          </w:p>
        </w:tc>
        <w:tc>
          <w:tcPr>
            <w:tcW w:w="1163" w:type="pct"/>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2.0～2.5</w:t>
            </w:r>
          </w:p>
        </w:tc>
        <w:tc>
          <w:tcPr>
            <w:tcW w:w="1096" w:type="pct"/>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2.5～3.0</w:t>
            </w:r>
          </w:p>
        </w:tc>
        <w:tc>
          <w:tcPr>
            <w:tcW w:w="727" w:type="pct"/>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2" w:hRule="atLeast"/>
          <w:jc w:val="center"/>
        </w:trPr>
        <w:tc>
          <w:tcPr>
            <w:tcW w:w="1046" w:type="pct"/>
            <w:vMerge w:val="restart"/>
            <w:vAlign w:val="center"/>
          </w:tcPr>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成龄挂果树</w:t>
            </w:r>
          </w:p>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（树龄4年以上）</w:t>
            </w:r>
          </w:p>
        </w:tc>
        <w:tc>
          <w:tcPr>
            <w:tcW w:w="968" w:type="pct"/>
            <w:shd w:val="clear" w:color="auto" w:fill="auto"/>
            <w:vAlign w:val="center"/>
          </w:tcPr>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开花前后</w:t>
            </w:r>
          </w:p>
        </w:tc>
        <w:tc>
          <w:tcPr>
            <w:tcW w:w="1163" w:type="pct"/>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2.5～</w:t>
            </w:r>
            <w:r>
              <w:rPr>
                <w:rFonts w:hint="eastAsia"/>
                <w:color w:val="000000" w:themeColor="text1"/>
                <w:sz w:val="18"/>
                <w:szCs w:val="18"/>
                <w14:textFill>
                  <w14:solidFill>
                    <w14:schemeClr w14:val="tx1"/>
                  </w14:solidFill>
                </w14:textFill>
              </w:rPr>
              <w:t>3</w:t>
            </w:r>
            <w:r>
              <w:rPr>
                <w:color w:val="000000" w:themeColor="text1"/>
                <w:sz w:val="18"/>
                <w:szCs w:val="18"/>
                <w14:textFill>
                  <w14:solidFill>
                    <w14:schemeClr w14:val="tx1"/>
                  </w14:solidFill>
                </w14:textFill>
              </w:rPr>
              <w:t>.5</w:t>
            </w:r>
          </w:p>
        </w:tc>
        <w:tc>
          <w:tcPr>
            <w:tcW w:w="1096" w:type="pct"/>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3.5～5.0</w:t>
            </w:r>
          </w:p>
        </w:tc>
        <w:tc>
          <w:tcPr>
            <w:tcW w:w="727" w:type="pct"/>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 w:hRule="atLeast"/>
          <w:jc w:val="center"/>
        </w:trPr>
        <w:tc>
          <w:tcPr>
            <w:tcW w:w="1046" w:type="pct"/>
            <w:vMerge w:val="continue"/>
            <w:vAlign w:val="center"/>
          </w:tcPr>
          <w:p>
            <w:pPr>
              <w:widowControl/>
              <w:jc w:val="center"/>
              <w:rPr>
                <w:color w:val="000000" w:themeColor="text1"/>
                <w:sz w:val="18"/>
                <w:szCs w:val="18"/>
                <w14:textFill>
                  <w14:solidFill>
                    <w14:schemeClr w14:val="tx1"/>
                  </w14:solidFill>
                </w14:textFill>
              </w:rPr>
            </w:pPr>
          </w:p>
        </w:tc>
        <w:tc>
          <w:tcPr>
            <w:tcW w:w="968" w:type="pct"/>
            <w:shd w:val="clear" w:color="auto" w:fill="auto"/>
            <w:vAlign w:val="center"/>
          </w:tcPr>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果实膨大期</w:t>
            </w:r>
          </w:p>
        </w:tc>
        <w:tc>
          <w:tcPr>
            <w:tcW w:w="1163" w:type="pct"/>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2.5～</w:t>
            </w:r>
            <w:r>
              <w:rPr>
                <w:rFonts w:hint="eastAsia"/>
                <w:color w:val="000000" w:themeColor="text1"/>
                <w:sz w:val="18"/>
                <w:szCs w:val="18"/>
                <w14:textFill>
                  <w14:solidFill>
                    <w14:schemeClr w14:val="tx1"/>
                  </w14:solidFill>
                </w14:textFill>
              </w:rPr>
              <w:t>3</w:t>
            </w:r>
            <w:r>
              <w:rPr>
                <w:color w:val="000000" w:themeColor="text1"/>
                <w:sz w:val="18"/>
                <w:szCs w:val="18"/>
                <w14:textFill>
                  <w14:solidFill>
                    <w14:schemeClr w14:val="tx1"/>
                  </w14:solidFill>
                </w14:textFill>
              </w:rPr>
              <w:t>.5</w:t>
            </w:r>
          </w:p>
        </w:tc>
        <w:tc>
          <w:tcPr>
            <w:tcW w:w="1096" w:type="pct"/>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3.5～5.0</w:t>
            </w:r>
          </w:p>
        </w:tc>
        <w:tc>
          <w:tcPr>
            <w:tcW w:w="727" w:type="pct"/>
            <w:shd w:val="clear" w:color="auto" w:fill="auto"/>
            <w:vAlign w:val="center"/>
          </w:tcPr>
          <w:p>
            <w:pPr>
              <w:widowControl/>
              <w:spacing w:line="400" w:lineRule="exact"/>
              <w:jc w:val="center"/>
              <w:rPr>
                <w:color w:val="FF0000"/>
                <w:sz w:val="18"/>
                <w:szCs w:val="18"/>
              </w:rPr>
            </w:pPr>
            <w:r>
              <w:rPr>
                <w:color w:val="000000" w:themeColor="text1"/>
                <w:sz w:val="18"/>
                <w:szCs w:val="18"/>
                <w14:textFill>
                  <w14:solidFill>
                    <w14:schemeClr w14:val="tx1"/>
                  </w14:solidFill>
                </w14:textFill>
              </w:rPr>
              <w:t>12</w:t>
            </w:r>
            <w:r>
              <w:rPr>
                <w:rFonts w:hint="eastAsia"/>
                <w:color w:val="000000" w:themeColor="text1"/>
                <w:sz w:val="18"/>
                <w:szCs w:val="18"/>
                <w14:textFill>
                  <w14:solidFill>
                    <w14:schemeClr w14:val="tx1"/>
                  </w14:solidFill>
                </w14:textFill>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 w:hRule="atLeast"/>
          <w:jc w:val="center"/>
        </w:trPr>
        <w:tc>
          <w:tcPr>
            <w:tcW w:w="1046" w:type="pct"/>
            <w:vMerge w:val="continue"/>
            <w:vAlign w:val="center"/>
          </w:tcPr>
          <w:p>
            <w:pPr>
              <w:widowControl/>
              <w:jc w:val="center"/>
              <w:rPr>
                <w:color w:val="000000" w:themeColor="text1"/>
                <w:sz w:val="18"/>
                <w:szCs w:val="18"/>
                <w14:textFill>
                  <w14:solidFill>
                    <w14:schemeClr w14:val="tx1"/>
                  </w14:solidFill>
                </w14:textFill>
              </w:rPr>
            </w:pPr>
          </w:p>
        </w:tc>
        <w:tc>
          <w:tcPr>
            <w:tcW w:w="968" w:type="pct"/>
            <w:shd w:val="clear" w:color="auto" w:fill="auto"/>
            <w:vAlign w:val="center"/>
          </w:tcPr>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周年累计用量</w:t>
            </w:r>
          </w:p>
        </w:tc>
        <w:tc>
          <w:tcPr>
            <w:tcW w:w="1163" w:type="pct"/>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5～</w:t>
            </w:r>
            <w:r>
              <w:rPr>
                <w:rFonts w:hint="eastAsia"/>
                <w:color w:val="000000" w:themeColor="text1"/>
                <w:sz w:val="18"/>
                <w:szCs w:val="18"/>
                <w14:textFill>
                  <w14:solidFill>
                    <w14:schemeClr w14:val="tx1"/>
                  </w14:solidFill>
                </w14:textFill>
              </w:rPr>
              <w:t>7</w:t>
            </w:r>
          </w:p>
        </w:tc>
        <w:tc>
          <w:tcPr>
            <w:tcW w:w="1096" w:type="pct"/>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7～10</w:t>
            </w:r>
          </w:p>
        </w:tc>
        <w:tc>
          <w:tcPr>
            <w:tcW w:w="727" w:type="pct"/>
            <w:shd w:val="clear" w:color="auto" w:fill="auto"/>
            <w:vAlign w:val="center"/>
          </w:tcPr>
          <w:p>
            <w:pPr>
              <w:widowControl/>
              <w:spacing w:line="400" w:lineRule="exact"/>
              <w:jc w:val="center"/>
              <w:rPr>
                <w:color w:val="FF0000"/>
                <w:sz w:val="18"/>
                <w:szCs w:val="18"/>
              </w:rPr>
            </w:pPr>
            <w:r>
              <w:rPr>
                <w:color w:val="000000" w:themeColor="text1"/>
                <w:sz w:val="18"/>
                <w:szCs w:val="18"/>
                <w14:textFill>
                  <w14:solidFill>
                    <w14:schemeClr w14:val="tx1"/>
                  </w14:solidFill>
                </w14:textFill>
              </w:rPr>
              <w:t>12</w:t>
            </w:r>
            <w:r>
              <w:rPr>
                <w:rFonts w:hint="eastAsia"/>
                <w:color w:val="000000" w:themeColor="text1"/>
                <w:sz w:val="18"/>
                <w:szCs w:val="18"/>
                <w14:textFill>
                  <w14:solidFill>
                    <w14:schemeClr w14:val="tx1"/>
                  </w14:solidFill>
                </w14:textFill>
              </w:rPr>
              <w:t>～1</w:t>
            </w:r>
            <w:r>
              <w:rPr>
                <w:rFonts w:hint="eastAsia"/>
                <w:sz w:val="18"/>
                <w:szCs w:val="18"/>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 w:hRule="atLeast"/>
          <w:jc w:val="center"/>
        </w:trPr>
        <w:tc>
          <w:tcPr>
            <w:tcW w:w="5000" w:type="pct"/>
            <w:gridSpan w:val="5"/>
            <w:vAlign w:val="center"/>
          </w:tcPr>
          <w:p>
            <w:pPr>
              <w:widowControl/>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注：表中沼液施用量适用于常规种植密度。</w:t>
            </w:r>
          </w:p>
        </w:tc>
      </w:tr>
    </w:tbl>
    <w:p>
      <w:pPr>
        <w:pStyle w:val="18"/>
        <w:spacing w:line="420" w:lineRule="exact"/>
        <w:ind w:firstLine="0" w:firstLineChars="0"/>
        <w:rPr>
          <w:rFonts w:ascii="Times New Roman"/>
          <w:color w:val="000000" w:themeColor="text1"/>
          <w:szCs w:val="21"/>
          <w14:textFill>
            <w14:solidFill>
              <w14:schemeClr w14:val="tx1"/>
            </w14:solidFill>
          </w14:textFill>
        </w:rPr>
      </w:pPr>
    </w:p>
    <w:p>
      <w:pPr>
        <w:spacing w:before="156" w:beforeLines="50"/>
        <w:outlineLvl w:val="0"/>
        <w:rPr>
          <w:rFonts w:eastAsia="黑体"/>
          <w:b/>
          <w:color w:val="000000" w:themeColor="text1"/>
          <w:szCs w:val="21"/>
          <w14:textFill>
            <w14:solidFill>
              <w14:schemeClr w14:val="tx1"/>
            </w14:solidFill>
          </w14:textFill>
        </w:rPr>
      </w:pPr>
      <w:bookmarkStart w:id="14" w:name="_Toc155357570"/>
      <w:r>
        <w:rPr>
          <w:rFonts w:eastAsia="黑体"/>
          <w:b/>
          <w:color w:val="000000" w:themeColor="text1"/>
          <w:szCs w:val="21"/>
          <w14:textFill>
            <w14:solidFill>
              <w14:schemeClr w14:val="tx1"/>
            </w14:solidFill>
          </w14:textFill>
        </w:rPr>
        <w:t xml:space="preserve">6.2.2 </w:t>
      </w:r>
      <w:r>
        <w:rPr>
          <w:rFonts w:hint="eastAsia" w:eastAsia="黑体"/>
          <w:b/>
          <w:color w:val="000000" w:themeColor="text1"/>
          <w:szCs w:val="21"/>
          <w14:textFill>
            <w14:solidFill>
              <w14:schemeClr w14:val="tx1"/>
            </w14:solidFill>
          </w14:textFill>
        </w:rPr>
        <w:t>葡萄</w:t>
      </w:r>
      <w:bookmarkEnd w:id="14"/>
    </w:p>
    <w:p>
      <w:pPr>
        <w:pStyle w:val="18"/>
        <w:spacing w:line="420" w:lineRule="exact"/>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成龄葡萄园</w:t>
      </w:r>
      <w:r>
        <w:rPr>
          <w:rFonts w:ascii="Times New Roman"/>
          <w:color w:val="000000" w:themeColor="text1"/>
          <w14:textFill>
            <w14:solidFill>
              <w14:schemeClr w14:val="tx1"/>
            </w14:solidFill>
          </w14:textFill>
        </w:rPr>
        <w:t>畜禽粪污</w:t>
      </w:r>
      <w:r>
        <w:rPr>
          <w:rFonts w:ascii="Times New Roman"/>
          <w:color w:val="000000" w:themeColor="text1"/>
          <w:szCs w:val="21"/>
          <w14:textFill>
            <w14:solidFill>
              <w14:schemeClr w14:val="tx1"/>
            </w14:solidFill>
          </w14:textFill>
        </w:rPr>
        <w:t>沼液参考施用量见表3。沼液作为葡萄追肥施用，分别在萌芽期、果实膨大期施用于葡萄主干根部附近。萌芽期施用沼液，分2次～3次进行；果实膨大期施用沼液</w:t>
      </w:r>
      <w:r>
        <w:rPr>
          <w:rFonts w:ascii="Times New Roman"/>
          <w:color w:val="FF0000"/>
          <w:szCs w:val="21"/>
        </w:rPr>
        <w:t>1</w:t>
      </w:r>
      <w:r>
        <w:rPr>
          <w:rFonts w:hint="eastAsia" w:ascii="Times New Roman"/>
          <w:color w:val="FF0000"/>
          <w:szCs w:val="21"/>
        </w:rPr>
        <w:t>次～</w:t>
      </w:r>
      <w:r>
        <w:rPr>
          <w:rFonts w:ascii="Times New Roman"/>
          <w:color w:val="FF0000"/>
          <w:szCs w:val="21"/>
        </w:rPr>
        <w:t>2</w:t>
      </w:r>
      <w:r>
        <w:rPr>
          <w:rFonts w:hint="eastAsia" w:ascii="Times New Roman"/>
          <w:color w:val="FF0000"/>
          <w:szCs w:val="21"/>
        </w:rPr>
        <w:t>次</w:t>
      </w: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同时补施硫酸钾</w:t>
      </w:r>
      <w:r>
        <w:rPr>
          <w:rFonts w:hint="eastAsia" w:ascii="Times New Roman"/>
          <w:color w:val="000000" w:themeColor="text1"/>
          <w:szCs w:val="21"/>
          <w14:textFill>
            <w14:solidFill>
              <w14:schemeClr w14:val="tx1"/>
            </w14:solidFill>
          </w14:textFill>
        </w:rPr>
        <w:t>或高钾水溶肥</w:t>
      </w:r>
      <w:r>
        <w:rPr>
          <w:rFonts w:ascii="Times New Roman"/>
          <w:color w:val="000000" w:themeColor="text1"/>
          <w:szCs w:val="21"/>
          <w14:textFill>
            <w14:solidFill>
              <w14:schemeClr w14:val="tx1"/>
            </w14:solidFill>
          </w14:textFill>
        </w:rPr>
        <w:t>。</w:t>
      </w:r>
    </w:p>
    <w:p>
      <w:pPr>
        <w:widowControl/>
        <w:numPr>
          <w:ilvl w:val="0"/>
          <w:numId w:val="4"/>
        </w:numPr>
        <w:spacing w:before="156" w:beforeLines="50"/>
        <w:jc w:val="center"/>
        <w:rPr>
          <w:rFonts w:eastAsia="黑体"/>
          <w:color w:val="000000" w:themeColor="text1"/>
          <w:szCs w:val="21"/>
          <w14:textFill>
            <w14:solidFill>
              <w14:schemeClr w14:val="tx1"/>
            </w14:solidFill>
          </w14:textFill>
        </w:rPr>
      </w:pPr>
      <w:r>
        <w:rPr>
          <w:rFonts w:eastAsia="黑体"/>
          <w:color w:val="000000" w:themeColor="text1"/>
          <w:szCs w:val="21"/>
          <w14:textFill>
            <w14:solidFill>
              <w14:schemeClr w14:val="tx1"/>
            </w14:solidFill>
          </w14:textFill>
        </w:rPr>
        <w:t>表3 葡萄园不同浓度畜禽粪污沼液参考施用量</w:t>
      </w:r>
    </w:p>
    <w:tbl>
      <w:tblPr>
        <w:tblStyle w:val="12"/>
        <w:tblW w:w="405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48"/>
        <w:gridCol w:w="2027"/>
        <w:gridCol w:w="2034"/>
        <w:gridCol w:w="15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1180" w:type="pct"/>
            <w:vMerge w:val="restart"/>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施肥期</w:t>
            </w:r>
          </w:p>
        </w:tc>
        <w:tc>
          <w:tcPr>
            <w:tcW w:w="2741" w:type="pct"/>
            <w:gridSpan w:val="2"/>
            <w:shd w:val="clear" w:color="auto" w:fill="auto"/>
            <w:vAlign w:val="center"/>
          </w:tcPr>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不同浓度沼液施用量（t/667m</w:t>
            </w:r>
            <w:r>
              <w:rPr>
                <w:color w:val="000000" w:themeColor="text1"/>
                <w:sz w:val="18"/>
                <w:szCs w:val="18"/>
                <w:vertAlign w:val="superscript"/>
                <w14:textFill>
                  <w14:solidFill>
                    <w14:schemeClr w14:val="tx1"/>
                  </w14:solidFill>
                </w14:textFill>
              </w:rPr>
              <w:t>2</w:t>
            </w:r>
            <w:r>
              <w:rPr>
                <w:color w:val="000000" w:themeColor="text1"/>
                <w:sz w:val="18"/>
                <w:szCs w:val="18"/>
                <w14:textFill>
                  <w14:solidFill>
                    <w14:schemeClr w14:val="tx1"/>
                  </w14:solidFill>
                </w14:textFill>
              </w:rPr>
              <w:t>）</w:t>
            </w:r>
          </w:p>
        </w:tc>
        <w:tc>
          <w:tcPr>
            <w:tcW w:w="1079" w:type="pct"/>
            <w:vMerge w:val="restart"/>
            <w:vAlign w:val="center"/>
          </w:tcPr>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配施硫酸钾</w:t>
            </w:r>
          </w:p>
          <w:p>
            <w:pPr>
              <w:widowControl/>
              <w:jc w:val="center"/>
              <w:rPr>
                <w:b/>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（kg/667m</w:t>
            </w:r>
            <w:r>
              <w:rPr>
                <w:color w:val="000000" w:themeColor="text1"/>
                <w:sz w:val="18"/>
                <w:szCs w:val="18"/>
                <w:vertAlign w:val="superscript"/>
                <w14:textFill>
                  <w14:solidFill>
                    <w14:schemeClr w14:val="tx1"/>
                  </w14:solidFill>
                </w14:textFill>
              </w:rPr>
              <w:t>2</w:t>
            </w:r>
            <w:r>
              <w:rPr>
                <w:color w:val="000000" w:themeColor="text1"/>
                <w:sz w:val="18"/>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8" w:hRule="atLeast"/>
          <w:jc w:val="center"/>
        </w:trPr>
        <w:tc>
          <w:tcPr>
            <w:tcW w:w="1180" w:type="pct"/>
            <w:vMerge w:val="continue"/>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p>
        </w:tc>
        <w:tc>
          <w:tcPr>
            <w:tcW w:w="1368" w:type="pct"/>
            <w:shd w:val="clear" w:color="auto" w:fill="auto"/>
            <w:vAlign w:val="center"/>
          </w:tcPr>
          <w:p>
            <w:pPr>
              <w:widowControl/>
              <w:jc w:val="center"/>
              <w:rPr>
                <w:sz w:val="18"/>
                <w:szCs w:val="18"/>
              </w:rPr>
            </w:pPr>
            <w:r>
              <w:rPr>
                <w:sz w:val="18"/>
                <w:szCs w:val="18"/>
              </w:rPr>
              <w:t>总氮浓度</w:t>
            </w:r>
          </w:p>
          <w:p>
            <w:pPr>
              <w:widowControl/>
              <w:jc w:val="center"/>
              <w:rPr>
                <w:sz w:val="18"/>
                <w:szCs w:val="18"/>
              </w:rPr>
            </w:pPr>
            <w:r>
              <w:rPr>
                <w:sz w:val="18"/>
                <w:szCs w:val="18"/>
              </w:rPr>
              <w:t>1200 mg/L～</w:t>
            </w:r>
            <w:r>
              <w:rPr>
                <w:rFonts w:hint="eastAsia"/>
                <w:sz w:val="18"/>
                <w:szCs w:val="18"/>
              </w:rPr>
              <w:t>9</w:t>
            </w:r>
            <w:r>
              <w:rPr>
                <w:sz w:val="18"/>
                <w:szCs w:val="18"/>
              </w:rPr>
              <w:t>00 mg/L</w:t>
            </w:r>
          </w:p>
        </w:tc>
        <w:tc>
          <w:tcPr>
            <w:tcW w:w="1373" w:type="pct"/>
          </w:tcPr>
          <w:p>
            <w:pPr>
              <w:widowControl/>
              <w:numPr>
                <w:ilvl w:val="0"/>
                <w:numId w:val="4"/>
              </w:numPr>
              <w:jc w:val="center"/>
              <w:rPr>
                <w:sz w:val="18"/>
                <w:szCs w:val="18"/>
              </w:rPr>
            </w:pPr>
            <w:r>
              <w:rPr>
                <w:sz w:val="18"/>
                <w:szCs w:val="18"/>
              </w:rPr>
              <w:t>总氮浓度</w:t>
            </w:r>
          </w:p>
          <w:p>
            <w:pPr>
              <w:widowControl/>
              <w:jc w:val="center"/>
              <w:rPr>
                <w:sz w:val="18"/>
                <w:szCs w:val="18"/>
              </w:rPr>
            </w:pPr>
            <w:r>
              <w:rPr>
                <w:sz w:val="18"/>
                <w:szCs w:val="18"/>
              </w:rPr>
              <w:t>900 mg/L～600 mg/L</w:t>
            </w:r>
          </w:p>
        </w:tc>
        <w:tc>
          <w:tcPr>
            <w:tcW w:w="1079" w:type="pct"/>
            <w:vMerge w:val="continue"/>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4" w:hRule="atLeast"/>
          <w:jc w:val="center"/>
        </w:trPr>
        <w:tc>
          <w:tcPr>
            <w:tcW w:w="1180" w:type="pct"/>
            <w:shd w:val="clear" w:color="auto" w:fill="auto"/>
            <w:vAlign w:val="center"/>
          </w:tcPr>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萌芽期</w:t>
            </w:r>
          </w:p>
        </w:tc>
        <w:tc>
          <w:tcPr>
            <w:tcW w:w="1368" w:type="pct"/>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3.5～5.0</w:t>
            </w:r>
          </w:p>
        </w:tc>
        <w:tc>
          <w:tcPr>
            <w:tcW w:w="1373" w:type="pct"/>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5.0～7.5</w:t>
            </w:r>
          </w:p>
        </w:tc>
        <w:tc>
          <w:tcPr>
            <w:tcW w:w="1079" w:type="pct"/>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8" w:hRule="atLeast"/>
          <w:jc w:val="center"/>
        </w:trPr>
        <w:tc>
          <w:tcPr>
            <w:tcW w:w="1180" w:type="pct"/>
            <w:shd w:val="clear" w:color="auto" w:fill="auto"/>
            <w:vAlign w:val="center"/>
          </w:tcPr>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果实膨大期</w:t>
            </w:r>
          </w:p>
        </w:tc>
        <w:tc>
          <w:tcPr>
            <w:tcW w:w="1368" w:type="pct"/>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2.0～2.5</w:t>
            </w:r>
          </w:p>
        </w:tc>
        <w:tc>
          <w:tcPr>
            <w:tcW w:w="1373" w:type="pct"/>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2.5～3.5</w:t>
            </w:r>
          </w:p>
        </w:tc>
        <w:tc>
          <w:tcPr>
            <w:tcW w:w="1079" w:type="pct"/>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8～12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8" w:hRule="atLeast"/>
          <w:jc w:val="center"/>
        </w:trPr>
        <w:tc>
          <w:tcPr>
            <w:tcW w:w="1180" w:type="pct"/>
            <w:shd w:val="clear" w:color="auto" w:fill="auto"/>
            <w:vAlign w:val="center"/>
          </w:tcPr>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周年累计用量</w:t>
            </w:r>
          </w:p>
        </w:tc>
        <w:tc>
          <w:tcPr>
            <w:tcW w:w="1368" w:type="pct"/>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5.5～7.5</w:t>
            </w:r>
          </w:p>
        </w:tc>
        <w:tc>
          <w:tcPr>
            <w:tcW w:w="1373" w:type="pct"/>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7.5～11</w:t>
            </w:r>
          </w:p>
        </w:tc>
        <w:tc>
          <w:tcPr>
            <w:tcW w:w="1079" w:type="pct"/>
            <w:shd w:val="clear" w:color="auto" w:fill="auto"/>
            <w:vAlign w:val="center"/>
          </w:tcPr>
          <w:p>
            <w:pPr>
              <w:widowControl/>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8～12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8" w:hRule="atLeast"/>
          <w:jc w:val="center"/>
        </w:trPr>
        <w:tc>
          <w:tcPr>
            <w:tcW w:w="5000" w:type="pct"/>
            <w:gridSpan w:val="4"/>
            <w:shd w:val="clear" w:color="auto" w:fill="auto"/>
            <w:vAlign w:val="center"/>
          </w:tcPr>
          <w:p>
            <w:pPr>
              <w:widowControl/>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注：表中沼液施用量适用于常规种植密度。</w:t>
            </w:r>
          </w:p>
        </w:tc>
      </w:tr>
    </w:tbl>
    <w:p>
      <w:pPr>
        <w:pStyle w:val="18"/>
        <w:spacing w:line="420" w:lineRule="exact"/>
        <w:rPr>
          <w:rFonts w:ascii="Times New Roman"/>
          <w:color w:val="000000" w:themeColor="text1"/>
          <w:szCs w:val="21"/>
          <w14:textFill>
            <w14:solidFill>
              <w14:schemeClr w14:val="tx1"/>
            </w14:solidFill>
          </w14:textFill>
        </w:rPr>
      </w:pPr>
    </w:p>
    <w:p>
      <w:pPr>
        <w:spacing w:before="156" w:beforeLines="50"/>
        <w:outlineLvl w:val="0"/>
        <w:rPr>
          <w:rFonts w:eastAsia="黑体"/>
          <w:b/>
          <w:color w:val="000000" w:themeColor="text1"/>
          <w:szCs w:val="21"/>
          <w14:textFill>
            <w14:solidFill>
              <w14:schemeClr w14:val="tx1"/>
            </w14:solidFill>
          </w14:textFill>
        </w:rPr>
      </w:pPr>
      <w:bookmarkStart w:id="15" w:name="_Toc155357571"/>
      <w:r>
        <w:rPr>
          <w:rFonts w:eastAsia="黑体"/>
          <w:b/>
          <w:color w:val="000000" w:themeColor="text1"/>
          <w:szCs w:val="21"/>
          <w14:textFill>
            <w14:solidFill>
              <w14:schemeClr w14:val="tx1"/>
            </w14:solidFill>
          </w14:textFill>
        </w:rPr>
        <w:t xml:space="preserve">6.3 </w:t>
      </w:r>
      <w:r>
        <w:rPr>
          <w:rFonts w:hint="eastAsia" w:eastAsia="黑体"/>
          <w:b/>
          <w:color w:val="000000" w:themeColor="text1"/>
          <w:szCs w:val="21"/>
          <w14:textFill>
            <w14:solidFill>
              <w14:schemeClr w14:val="tx1"/>
            </w14:solidFill>
          </w14:textFill>
        </w:rPr>
        <w:t>蔬菜畜禽粪污沼液施用方法</w:t>
      </w:r>
      <w:bookmarkEnd w:id="15"/>
    </w:p>
    <w:p>
      <w:pPr>
        <w:spacing w:before="156" w:beforeLines="50"/>
        <w:outlineLvl w:val="0"/>
        <w:rPr>
          <w:rFonts w:eastAsia="黑体"/>
          <w:b/>
          <w:color w:val="000000" w:themeColor="text1"/>
          <w:szCs w:val="21"/>
          <w14:textFill>
            <w14:solidFill>
              <w14:schemeClr w14:val="tx1"/>
            </w14:solidFill>
          </w14:textFill>
        </w:rPr>
      </w:pPr>
      <w:bookmarkStart w:id="16" w:name="_Toc155357572"/>
      <w:r>
        <w:rPr>
          <w:rFonts w:eastAsia="黑体"/>
          <w:b/>
          <w:color w:val="000000" w:themeColor="text1"/>
          <w:szCs w:val="21"/>
          <w14:textFill>
            <w14:solidFill>
              <w14:schemeClr w14:val="tx1"/>
            </w14:solidFill>
          </w14:textFill>
        </w:rPr>
        <w:t xml:space="preserve">6.3.1 </w:t>
      </w:r>
      <w:r>
        <w:rPr>
          <w:rFonts w:hint="eastAsia" w:eastAsia="黑体"/>
          <w:b/>
          <w:color w:val="000000" w:themeColor="text1"/>
          <w:szCs w:val="21"/>
          <w14:textFill>
            <w14:solidFill>
              <w14:schemeClr w14:val="tx1"/>
            </w14:solidFill>
          </w14:textFill>
        </w:rPr>
        <w:t>叶菜类蔬菜（结球白菜、不结球白菜）畜禽粪污沼液施用方法</w:t>
      </w:r>
      <w:bookmarkEnd w:id="16"/>
    </w:p>
    <w:p>
      <w:pPr>
        <w:pStyle w:val="18"/>
        <w:spacing w:line="420" w:lineRule="exact"/>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叶菜类蔬菜畜禽粪污沼液参考施用量见表4，全生育期可施用1次～3次。</w:t>
      </w:r>
    </w:p>
    <w:p>
      <w:pPr>
        <w:pStyle w:val="18"/>
        <w:spacing w:line="420" w:lineRule="exact"/>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结球白菜</w:t>
      </w:r>
      <w:r>
        <w:rPr>
          <w:rFonts w:hint="eastAsia" w:ascii="Times New Roman"/>
          <w:color w:val="000000" w:themeColor="text1"/>
          <w:szCs w:val="21"/>
          <w14:textFill>
            <w14:solidFill>
              <w14:schemeClr w14:val="tx1"/>
            </w14:solidFill>
          </w14:textFill>
        </w:rPr>
        <w:t>在</w:t>
      </w:r>
      <w:r>
        <w:rPr>
          <w:rFonts w:ascii="Times New Roman"/>
          <w:color w:val="000000" w:themeColor="text1"/>
          <w:szCs w:val="21"/>
          <w14:textFill>
            <w14:solidFill>
              <w14:schemeClr w14:val="tx1"/>
            </w14:solidFill>
          </w14:textFill>
        </w:rPr>
        <w:t>移栽</w:t>
      </w:r>
      <w:r>
        <w:rPr>
          <w:rFonts w:hint="eastAsia" w:ascii="Times New Roman"/>
          <w:color w:val="000000" w:themeColor="text1"/>
          <w:szCs w:val="21"/>
          <w14:textFill>
            <w14:solidFill>
              <w14:schemeClr w14:val="tx1"/>
            </w14:solidFill>
          </w14:textFill>
        </w:rPr>
        <w:t>前</w:t>
      </w:r>
      <w:r>
        <w:rPr>
          <w:rFonts w:ascii="Times New Roman"/>
          <w:color w:val="000000" w:themeColor="text1"/>
          <w:szCs w:val="21"/>
          <w14:textFill>
            <w14:solidFill>
              <w14:schemeClr w14:val="tx1"/>
            </w14:solidFill>
          </w14:textFill>
        </w:rPr>
        <w:t>7 d～10 d施</w:t>
      </w:r>
      <w:r>
        <w:rPr>
          <w:rFonts w:hint="eastAsia" w:ascii="Times New Roman"/>
          <w:color w:val="000000" w:themeColor="text1"/>
          <w:szCs w:val="21"/>
          <w14:textFill>
            <w14:solidFill>
              <w14:schemeClr w14:val="tx1"/>
            </w14:solidFill>
          </w14:textFill>
        </w:rPr>
        <w:t>用</w:t>
      </w:r>
      <w:r>
        <w:rPr>
          <w:rFonts w:ascii="Times New Roman"/>
          <w:color w:val="000000" w:themeColor="text1"/>
          <w:szCs w:val="21"/>
          <w14:textFill>
            <w14:solidFill>
              <w14:schemeClr w14:val="tx1"/>
            </w14:solidFill>
          </w14:textFill>
        </w:rPr>
        <w:t>沼液</w:t>
      </w:r>
      <w:r>
        <w:rPr>
          <w:rFonts w:hint="eastAsia" w:ascii="Times New Roman"/>
          <w:color w:val="000000" w:themeColor="text1"/>
          <w:szCs w:val="21"/>
          <w14:textFill>
            <w14:solidFill>
              <w14:schemeClr w14:val="tx1"/>
            </w14:solidFill>
          </w14:textFill>
        </w:rPr>
        <w:t>和</w:t>
      </w:r>
      <w:r>
        <w:rPr>
          <w:rFonts w:ascii="Times New Roman"/>
          <w:color w:val="000000" w:themeColor="text1"/>
          <w:szCs w:val="21"/>
          <w14:textFill>
            <w14:solidFill>
              <w14:schemeClr w14:val="tx1"/>
            </w14:solidFill>
          </w14:textFill>
        </w:rPr>
        <w:t>复合肥</w:t>
      </w: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在莲座期和结球初期各施用1次沼液，并根据其长势适量配施化学肥料。</w:t>
      </w:r>
    </w:p>
    <w:p>
      <w:pPr>
        <w:pStyle w:val="18"/>
        <w:spacing w:line="420" w:lineRule="exact"/>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不结球白菜</w:t>
      </w:r>
      <w:r>
        <w:rPr>
          <w:rFonts w:hint="eastAsia" w:ascii="Times New Roman"/>
          <w:color w:val="000000" w:themeColor="text1"/>
          <w:szCs w:val="21"/>
          <w14:textFill>
            <w14:solidFill>
              <w14:schemeClr w14:val="tx1"/>
            </w14:solidFill>
          </w14:textFill>
        </w:rPr>
        <w:t>在</w:t>
      </w:r>
      <w:r>
        <w:rPr>
          <w:rFonts w:ascii="Times New Roman"/>
          <w:color w:val="000000" w:themeColor="text1"/>
          <w:szCs w:val="21"/>
          <w14:textFill>
            <w14:solidFill>
              <w14:schemeClr w14:val="tx1"/>
            </w14:solidFill>
          </w14:textFill>
        </w:rPr>
        <w:t>直播</w:t>
      </w:r>
      <w:r>
        <w:rPr>
          <w:rFonts w:hint="eastAsia" w:ascii="Times New Roman"/>
          <w:color w:val="000000" w:themeColor="text1"/>
          <w:szCs w:val="21"/>
          <w14:textFill>
            <w14:solidFill>
              <w14:schemeClr w14:val="tx1"/>
            </w14:solidFill>
          </w14:textFill>
        </w:rPr>
        <w:t>前</w:t>
      </w:r>
      <w:r>
        <w:rPr>
          <w:rFonts w:ascii="Times New Roman"/>
          <w:color w:val="000000" w:themeColor="text1"/>
          <w:szCs w:val="21"/>
          <w14:textFill>
            <w14:solidFill>
              <w14:schemeClr w14:val="tx1"/>
            </w14:solidFill>
          </w14:textFill>
        </w:rPr>
        <w:t>10 d～15 d</w:t>
      </w:r>
      <w:r>
        <w:rPr>
          <w:rFonts w:hint="eastAsia" w:ascii="Times New Roman"/>
          <w:color w:val="000000" w:themeColor="text1"/>
          <w:szCs w:val="21"/>
          <w14:textFill>
            <w14:solidFill>
              <w14:schemeClr w14:val="tx1"/>
            </w14:solidFill>
          </w14:textFill>
        </w:rPr>
        <w:t>施用沼液，</w:t>
      </w:r>
      <w:r>
        <w:rPr>
          <w:rFonts w:ascii="Times New Roman"/>
          <w:color w:val="000000" w:themeColor="text1"/>
          <w:szCs w:val="21"/>
          <w14:textFill>
            <w14:solidFill>
              <w14:schemeClr w14:val="tx1"/>
            </w14:solidFill>
          </w14:textFill>
        </w:rPr>
        <w:t>不结球白菜生长期间根据长势适量补施肥料。</w:t>
      </w:r>
    </w:p>
    <w:p>
      <w:pPr>
        <w:pStyle w:val="18"/>
        <w:spacing w:line="420" w:lineRule="exact"/>
        <w:rPr>
          <w:rFonts w:ascii="Times New Roman"/>
          <w:color w:val="000000" w:themeColor="text1"/>
          <w:szCs w:val="21"/>
          <w14:textFill>
            <w14:solidFill>
              <w14:schemeClr w14:val="tx1"/>
            </w14:solidFill>
          </w14:textFill>
        </w:rPr>
      </w:pPr>
    </w:p>
    <w:p>
      <w:pPr>
        <w:pStyle w:val="18"/>
        <w:spacing w:line="420" w:lineRule="exact"/>
        <w:rPr>
          <w:rFonts w:ascii="Times New Roman"/>
          <w:color w:val="000000" w:themeColor="text1"/>
          <w:szCs w:val="21"/>
          <w14:textFill>
            <w14:solidFill>
              <w14:schemeClr w14:val="tx1"/>
            </w14:solidFill>
          </w14:textFill>
        </w:rPr>
      </w:pPr>
    </w:p>
    <w:p>
      <w:pPr>
        <w:widowControl/>
        <w:numPr>
          <w:ilvl w:val="0"/>
          <w:numId w:val="4"/>
        </w:numPr>
        <w:spacing w:before="156" w:beforeLines="50" w:after="156" w:afterLines="50"/>
        <w:jc w:val="center"/>
        <w:rPr>
          <w:rFonts w:eastAsia="黑体"/>
          <w:color w:val="000000" w:themeColor="text1"/>
          <w:szCs w:val="21"/>
          <w14:textFill>
            <w14:solidFill>
              <w14:schemeClr w14:val="tx1"/>
            </w14:solidFill>
          </w14:textFill>
        </w:rPr>
      </w:pPr>
      <w:r>
        <w:rPr>
          <w:rFonts w:eastAsia="黑体"/>
          <w:color w:val="000000" w:themeColor="text1"/>
          <w:szCs w:val="21"/>
          <w14:textFill>
            <w14:solidFill>
              <w14:schemeClr w14:val="tx1"/>
            </w14:solidFill>
          </w14:textFill>
        </w:rPr>
        <w:t>表4 叶菜类蔬菜不同浓度畜禽粪污沼液参考施用量</w:t>
      </w:r>
    </w:p>
    <w:tbl>
      <w:tblPr>
        <w:tblStyle w:val="12"/>
        <w:tblW w:w="4529" w:type="pct"/>
        <w:tblInd w:w="4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48"/>
        <w:gridCol w:w="1460"/>
        <w:gridCol w:w="1021"/>
        <w:gridCol w:w="2175"/>
        <w:gridCol w:w="21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3" w:hRule="atLeast"/>
        </w:trPr>
        <w:tc>
          <w:tcPr>
            <w:tcW w:w="874" w:type="pct"/>
            <w:vMerge w:val="restart"/>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名 称</w:t>
            </w:r>
          </w:p>
        </w:tc>
        <w:tc>
          <w:tcPr>
            <w:tcW w:w="881" w:type="pct"/>
            <w:vMerge w:val="restart"/>
            <w:shd w:val="clear" w:color="auto" w:fill="auto"/>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施肥期</w:t>
            </w:r>
          </w:p>
        </w:tc>
        <w:tc>
          <w:tcPr>
            <w:tcW w:w="616" w:type="pct"/>
            <w:vMerge w:val="restart"/>
            <w:vAlign w:val="center"/>
          </w:tcPr>
          <w:p>
            <w:pPr>
              <w:widowControl/>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施肥次数</w:t>
            </w:r>
          </w:p>
        </w:tc>
        <w:tc>
          <w:tcPr>
            <w:tcW w:w="2629" w:type="pct"/>
            <w:gridSpan w:val="2"/>
            <w:shd w:val="clear" w:color="auto" w:fill="auto"/>
            <w:vAlign w:val="center"/>
          </w:tcPr>
          <w:p>
            <w:pPr>
              <w:widowControl/>
              <w:numPr>
                <w:ilvl w:val="0"/>
                <w:numId w:val="4"/>
              </w:numPr>
              <w:ind w:right="-115" w:rightChars="-55"/>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不同浓度沼液施用量（t/667m</w:t>
            </w:r>
            <w:r>
              <w:rPr>
                <w:color w:val="000000" w:themeColor="text1"/>
                <w:sz w:val="18"/>
                <w:szCs w:val="18"/>
                <w:vertAlign w:val="superscript"/>
                <w14:textFill>
                  <w14:solidFill>
                    <w14:schemeClr w14:val="tx1"/>
                  </w14:solidFill>
                </w14:textFill>
              </w:rPr>
              <w:t>2</w:t>
            </w:r>
            <w:r>
              <w:rPr>
                <w:color w:val="000000" w:themeColor="text1"/>
                <w:sz w:val="18"/>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4" w:type="pct"/>
            <w:vMerge w:val="continue"/>
            <w:vAlign w:val="center"/>
          </w:tcPr>
          <w:p>
            <w:pPr>
              <w:widowControl/>
              <w:numPr>
                <w:ilvl w:val="0"/>
                <w:numId w:val="4"/>
              </w:numPr>
              <w:jc w:val="center"/>
              <w:rPr>
                <w:color w:val="000000" w:themeColor="text1"/>
                <w:sz w:val="18"/>
                <w:szCs w:val="18"/>
                <w14:textFill>
                  <w14:solidFill>
                    <w14:schemeClr w14:val="tx1"/>
                  </w14:solidFill>
                </w14:textFill>
              </w:rPr>
            </w:pPr>
          </w:p>
        </w:tc>
        <w:tc>
          <w:tcPr>
            <w:tcW w:w="881" w:type="pct"/>
            <w:vMerge w:val="continue"/>
            <w:shd w:val="clear" w:color="auto" w:fill="auto"/>
            <w:vAlign w:val="center"/>
          </w:tcPr>
          <w:p>
            <w:pPr>
              <w:widowControl/>
              <w:numPr>
                <w:ilvl w:val="0"/>
                <w:numId w:val="4"/>
              </w:numPr>
              <w:jc w:val="center"/>
              <w:rPr>
                <w:color w:val="000000" w:themeColor="text1"/>
                <w:sz w:val="18"/>
                <w:szCs w:val="18"/>
                <w14:textFill>
                  <w14:solidFill>
                    <w14:schemeClr w14:val="tx1"/>
                  </w14:solidFill>
                </w14:textFill>
              </w:rPr>
            </w:pPr>
          </w:p>
        </w:tc>
        <w:tc>
          <w:tcPr>
            <w:tcW w:w="616" w:type="pct"/>
            <w:vMerge w:val="continue"/>
            <w:vAlign w:val="center"/>
          </w:tcPr>
          <w:p>
            <w:pPr>
              <w:widowControl/>
              <w:jc w:val="center"/>
              <w:rPr>
                <w:color w:val="000000" w:themeColor="text1"/>
                <w:sz w:val="18"/>
                <w:szCs w:val="18"/>
                <w14:textFill>
                  <w14:solidFill>
                    <w14:schemeClr w14:val="tx1"/>
                  </w14:solidFill>
                </w14:textFill>
              </w:rPr>
            </w:pPr>
          </w:p>
        </w:tc>
        <w:tc>
          <w:tcPr>
            <w:tcW w:w="1313" w:type="pct"/>
            <w:vAlign w:val="center"/>
          </w:tcPr>
          <w:p>
            <w:pPr>
              <w:widowControl/>
              <w:jc w:val="center"/>
              <w:rPr>
                <w:sz w:val="18"/>
                <w:szCs w:val="18"/>
              </w:rPr>
            </w:pPr>
            <w:r>
              <w:rPr>
                <w:sz w:val="18"/>
                <w:szCs w:val="18"/>
              </w:rPr>
              <w:t>总氮浓度</w:t>
            </w:r>
          </w:p>
          <w:p>
            <w:pPr>
              <w:widowControl/>
              <w:numPr>
                <w:ilvl w:val="0"/>
                <w:numId w:val="4"/>
              </w:numPr>
              <w:ind w:right="103" w:rightChars="49"/>
              <w:jc w:val="center"/>
              <w:rPr>
                <w:sz w:val="18"/>
                <w:szCs w:val="18"/>
              </w:rPr>
            </w:pPr>
            <w:r>
              <w:rPr>
                <w:sz w:val="18"/>
                <w:szCs w:val="18"/>
              </w:rPr>
              <w:t>1200 mg/L～</w:t>
            </w:r>
            <w:r>
              <w:rPr>
                <w:rFonts w:hint="eastAsia"/>
                <w:sz w:val="18"/>
                <w:szCs w:val="18"/>
              </w:rPr>
              <w:t>9</w:t>
            </w:r>
            <w:r>
              <w:rPr>
                <w:sz w:val="18"/>
                <w:szCs w:val="18"/>
              </w:rPr>
              <w:t>00 mg/L</w:t>
            </w:r>
          </w:p>
        </w:tc>
        <w:tc>
          <w:tcPr>
            <w:tcW w:w="1316" w:type="pct"/>
          </w:tcPr>
          <w:p>
            <w:pPr>
              <w:widowControl/>
              <w:numPr>
                <w:ilvl w:val="0"/>
                <w:numId w:val="4"/>
              </w:numPr>
              <w:jc w:val="center"/>
              <w:rPr>
                <w:sz w:val="18"/>
                <w:szCs w:val="18"/>
              </w:rPr>
            </w:pPr>
            <w:r>
              <w:rPr>
                <w:sz w:val="18"/>
                <w:szCs w:val="18"/>
              </w:rPr>
              <w:t>总氮浓度</w:t>
            </w:r>
          </w:p>
          <w:p>
            <w:pPr>
              <w:widowControl/>
              <w:numPr>
                <w:ilvl w:val="0"/>
                <w:numId w:val="4"/>
              </w:numPr>
              <w:jc w:val="center"/>
              <w:rPr>
                <w:sz w:val="18"/>
                <w:szCs w:val="18"/>
              </w:rPr>
            </w:pPr>
            <w:r>
              <w:rPr>
                <w:sz w:val="18"/>
                <w:szCs w:val="18"/>
              </w:rPr>
              <w:t>900 mg/L～600 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4" w:type="pct"/>
            <w:vMerge w:val="restart"/>
            <w:shd w:val="clear" w:color="auto" w:fill="auto"/>
            <w:vAlign w:val="center"/>
          </w:tcPr>
          <w:p>
            <w:pPr>
              <w:widowControl/>
              <w:numPr>
                <w:ilvl w:val="0"/>
                <w:numId w:val="4"/>
              </w:numPr>
              <w:ind w:left="-139" w:leftChars="-66" w:right="-109" w:rightChars="-52"/>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结球白菜</w:t>
            </w:r>
          </w:p>
        </w:tc>
        <w:tc>
          <w:tcPr>
            <w:tcW w:w="881" w:type="pct"/>
            <w:shd w:val="clear" w:color="auto" w:fill="auto"/>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基肥</w:t>
            </w:r>
            <w:r>
              <w:rPr>
                <w:rFonts w:hint="eastAsia"/>
                <w:color w:val="000000" w:themeColor="text1"/>
                <w:sz w:val="18"/>
                <w:szCs w:val="18"/>
                <w14:textFill>
                  <w14:solidFill>
                    <w14:schemeClr w14:val="tx1"/>
                  </w14:solidFill>
                </w14:textFill>
              </w:rPr>
              <w:t>期</w:t>
            </w:r>
          </w:p>
        </w:tc>
        <w:tc>
          <w:tcPr>
            <w:tcW w:w="616" w:type="pct"/>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w:t>
            </w:r>
          </w:p>
        </w:tc>
        <w:tc>
          <w:tcPr>
            <w:tcW w:w="1313" w:type="pct"/>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7.5～</w:t>
            </w:r>
            <w:r>
              <w:rPr>
                <w:rFonts w:hint="eastAsia"/>
                <w:color w:val="000000" w:themeColor="text1"/>
                <w:sz w:val="18"/>
                <w:szCs w:val="18"/>
                <w14:textFill>
                  <w14:solidFill>
                    <w14:schemeClr w14:val="tx1"/>
                  </w14:solidFill>
                </w14:textFill>
              </w:rPr>
              <w:t>1</w:t>
            </w:r>
            <w:r>
              <w:rPr>
                <w:color w:val="000000" w:themeColor="text1"/>
                <w:sz w:val="18"/>
                <w:szCs w:val="18"/>
                <w14:textFill>
                  <w14:solidFill>
                    <w14:schemeClr w14:val="tx1"/>
                  </w14:solidFill>
                </w14:textFill>
              </w:rPr>
              <w:t>0.0</w:t>
            </w:r>
          </w:p>
        </w:tc>
        <w:tc>
          <w:tcPr>
            <w:tcW w:w="1316" w:type="pct"/>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10.0～</w:t>
            </w:r>
            <w:r>
              <w:rPr>
                <w:rFonts w:hint="eastAsia"/>
                <w:color w:val="000000" w:themeColor="text1"/>
                <w:sz w:val="18"/>
                <w:szCs w:val="18"/>
                <w14:textFill>
                  <w14:solidFill>
                    <w14:schemeClr w14:val="tx1"/>
                  </w14:solidFill>
                </w14:textFill>
              </w:rPr>
              <w:t>1</w:t>
            </w:r>
            <w:r>
              <w:rPr>
                <w:color w:val="000000" w:themeColor="text1"/>
                <w:sz w:val="18"/>
                <w:szCs w:val="18"/>
                <w14:textFill>
                  <w14:solidFill>
                    <w14:schemeClr w14:val="tx1"/>
                  </w14:solidFill>
                </w14:textFill>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4" w:type="pct"/>
            <w:vMerge w:val="continue"/>
            <w:shd w:val="clear" w:color="auto" w:fill="auto"/>
            <w:vAlign w:val="center"/>
          </w:tcPr>
          <w:p>
            <w:pPr>
              <w:widowControl/>
              <w:numPr>
                <w:ilvl w:val="0"/>
                <w:numId w:val="4"/>
              </w:numPr>
              <w:jc w:val="center"/>
              <w:rPr>
                <w:color w:val="000000" w:themeColor="text1"/>
                <w:sz w:val="18"/>
                <w:szCs w:val="18"/>
                <w14:textFill>
                  <w14:solidFill>
                    <w14:schemeClr w14:val="tx1"/>
                  </w14:solidFill>
                </w14:textFill>
              </w:rPr>
            </w:pPr>
          </w:p>
        </w:tc>
        <w:tc>
          <w:tcPr>
            <w:tcW w:w="881" w:type="pct"/>
            <w:shd w:val="clear" w:color="auto" w:fill="auto"/>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莲座期</w:t>
            </w:r>
          </w:p>
        </w:tc>
        <w:tc>
          <w:tcPr>
            <w:tcW w:w="616" w:type="pct"/>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w:t>
            </w:r>
          </w:p>
        </w:tc>
        <w:tc>
          <w:tcPr>
            <w:tcW w:w="1313" w:type="pct"/>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2.0～</w:t>
            </w:r>
            <w:r>
              <w:rPr>
                <w:rFonts w:hint="eastAsia"/>
                <w:color w:val="000000" w:themeColor="text1"/>
                <w:sz w:val="18"/>
                <w:szCs w:val="18"/>
                <w14:textFill>
                  <w14:solidFill>
                    <w14:schemeClr w14:val="tx1"/>
                  </w14:solidFill>
                </w14:textFill>
              </w:rPr>
              <w:t>2</w:t>
            </w:r>
            <w:r>
              <w:rPr>
                <w:color w:val="000000" w:themeColor="text1"/>
                <w:sz w:val="18"/>
                <w:szCs w:val="18"/>
                <w14:textFill>
                  <w14:solidFill>
                    <w14:schemeClr w14:val="tx1"/>
                  </w14:solidFill>
                </w14:textFill>
              </w:rPr>
              <w:t>.5</w:t>
            </w:r>
          </w:p>
        </w:tc>
        <w:tc>
          <w:tcPr>
            <w:tcW w:w="1316" w:type="pct"/>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2.5～</w:t>
            </w:r>
            <w:r>
              <w:rPr>
                <w:rFonts w:hint="eastAsia"/>
                <w:color w:val="000000" w:themeColor="text1"/>
                <w:sz w:val="18"/>
                <w:szCs w:val="18"/>
                <w14:textFill>
                  <w14:solidFill>
                    <w14:schemeClr w14:val="tx1"/>
                  </w14:solidFill>
                </w14:textFill>
              </w:rPr>
              <w:t>3</w:t>
            </w:r>
            <w:r>
              <w:rPr>
                <w:color w:val="000000" w:themeColor="text1"/>
                <w:sz w:val="18"/>
                <w:szCs w:val="18"/>
                <w14:textFill>
                  <w14:solidFill>
                    <w14:schemeClr w14:val="tx1"/>
                  </w14:solidFill>
                </w14:textFill>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4" w:type="pct"/>
            <w:vMerge w:val="continue"/>
            <w:shd w:val="clear" w:color="auto" w:fill="auto"/>
            <w:vAlign w:val="center"/>
          </w:tcPr>
          <w:p>
            <w:pPr>
              <w:widowControl/>
              <w:numPr>
                <w:ilvl w:val="0"/>
                <w:numId w:val="4"/>
              </w:numPr>
              <w:jc w:val="center"/>
              <w:rPr>
                <w:color w:val="000000" w:themeColor="text1"/>
                <w:sz w:val="18"/>
                <w:szCs w:val="18"/>
                <w14:textFill>
                  <w14:solidFill>
                    <w14:schemeClr w14:val="tx1"/>
                  </w14:solidFill>
                </w14:textFill>
              </w:rPr>
            </w:pPr>
          </w:p>
        </w:tc>
        <w:tc>
          <w:tcPr>
            <w:tcW w:w="881" w:type="pct"/>
            <w:shd w:val="clear" w:color="auto" w:fill="auto"/>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结球初期</w:t>
            </w:r>
          </w:p>
        </w:tc>
        <w:tc>
          <w:tcPr>
            <w:tcW w:w="616" w:type="pct"/>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w:t>
            </w:r>
          </w:p>
        </w:tc>
        <w:tc>
          <w:tcPr>
            <w:tcW w:w="1313" w:type="pct"/>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2.0～</w:t>
            </w:r>
            <w:r>
              <w:rPr>
                <w:rFonts w:hint="eastAsia"/>
                <w:color w:val="000000" w:themeColor="text1"/>
                <w:sz w:val="18"/>
                <w:szCs w:val="18"/>
                <w14:textFill>
                  <w14:solidFill>
                    <w14:schemeClr w14:val="tx1"/>
                  </w14:solidFill>
                </w14:textFill>
              </w:rPr>
              <w:t>2</w:t>
            </w:r>
            <w:r>
              <w:rPr>
                <w:color w:val="000000" w:themeColor="text1"/>
                <w:sz w:val="18"/>
                <w:szCs w:val="18"/>
                <w14:textFill>
                  <w14:solidFill>
                    <w14:schemeClr w14:val="tx1"/>
                  </w14:solidFill>
                </w14:textFill>
              </w:rPr>
              <w:t>.5</w:t>
            </w:r>
          </w:p>
        </w:tc>
        <w:tc>
          <w:tcPr>
            <w:tcW w:w="1316" w:type="pct"/>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2.5～</w:t>
            </w:r>
            <w:r>
              <w:rPr>
                <w:rFonts w:hint="eastAsia"/>
                <w:color w:val="000000" w:themeColor="text1"/>
                <w:sz w:val="18"/>
                <w:szCs w:val="18"/>
                <w14:textFill>
                  <w14:solidFill>
                    <w14:schemeClr w14:val="tx1"/>
                  </w14:solidFill>
                </w14:textFill>
              </w:rPr>
              <w:t>3</w:t>
            </w:r>
            <w:r>
              <w:rPr>
                <w:color w:val="000000" w:themeColor="text1"/>
                <w:sz w:val="18"/>
                <w:szCs w:val="18"/>
                <w14:textFill>
                  <w14:solidFill>
                    <w14:schemeClr w14:val="tx1"/>
                  </w14:solidFill>
                </w14:textFill>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4" w:type="pct"/>
            <w:vMerge w:val="continue"/>
            <w:shd w:val="clear" w:color="auto" w:fill="auto"/>
            <w:vAlign w:val="center"/>
          </w:tcPr>
          <w:p>
            <w:pPr>
              <w:widowControl/>
              <w:numPr>
                <w:ilvl w:val="0"/>
                <w:numId w:val="4"/>
              </w:numPr>
              <w:ind w:left="-139" w:leftChars="-66" w:right="-109" w:rightChars="-52"/>
              <w:jc w:val="center"/>
              <w:rPr>
                <w:color w:val="000000" w:themeColor="text1"/>
                <w:sz w:val="18"/>
                <w:szCs w:val="18"/>
                <w14:textFill>
                  <w14:solidFill>
                    <w14:schemeClr w14:val="tx1"/>
                  </w14:solidFill>
                </w14:textFill>
              </w:rPr>
            </w:pPr>
          </w:p>
        </w:tc>
        <w:tc>
          <w:tcPr>
            <w:tcW w:w="1497" w:type="pct"/>
            <w:gridSpan w:val="2"/>
            <w:shd w:val="clear" w:color="auto" w:fill="auto"/>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沼液累计用量</w:t>
            </w:r>
          </w:p>
        </w:tc>
        <w:tc>
          <w:tcPr>
            <w:tcW w:w="1313" w:type="pct"/>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11.5～</w:t>
            </w:r>
            <w:r>
              <w:rPr>
                <w:rFonts w:hint="eastAsia"/>
                <w:color w:val="000000" w:themeColor="text1"/>
                <w:sz w:val="18"/>
                <w:szCs w:val="18"/>
                <w14:textFill>
                  <w14:solidFill>
                    <w14:schemeClr w14:val="tx1"/>
                  </w14:solidFill>
                </w14:textFill>
              </w:rPr>
              <w:t>1</w:t>
            </w:r>
            <w:r>
              <w:rPr>
                <w:color w:val="000000" w:themeColor="text1"/>
                <w:sz w:val="18"/>
                <w:szCs w:val="18"/>
                <w14:textFill>
                  <w14:solidFill>
                    <w14:schemeClr w14:val="tx1"/>
                  </w14:solidFill>
                </w14:textFill>
              </w:rPr>
              <w:t>5</w:t>
            </w:r>
          </w:p>
        </w:tc>
        <w:tc>
          <w:tcPr>
            <w:tcW w:w="1316" w:type="pct"/>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15～</w:t>
            </w:r>
            <w:r>
              <w:rPr>
                <w:rFonts w:hint="eastAsia"/>
                <w:color w:val="000000" w:themeColor="text1"/>
                <w:sz w:val="18"/>
                <w:szCs w:val="18"/>
                <w14:textFill>
                  <w14:solidFill>
                    <w14:schemeClr w14:val="tx1"/>
                  </w14:solidFill>
                </w14:textFill>
              </w:rPr>
              <w:t>2</w:t>
            </w:r>
            <w:r>
              <w:rPr>
                <w:color w:val="000000" w:themeColor="text1"/>
                <w:sz w:val="18"/>
                <w:szCs w:val="18"/>
                <w14:textFill>
                  <w14:solidFill>
                    <w14:schemeClr w14:val="tx1"/>
                  </w14:solidFill>
                </w14:textFill>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4" w:type="pct"/>
            <w:vMerge w:val="restart"/>
            <w:shd w:val="clear" w:color="auto" w:fill="auto"/>
            <w:vAlign w:val="center"/>
          </w:tcPr>
          <w:p>
            <w:pPr>
              <w:widowControl/>
              <w:numPr>
                <w:ilvl w:val="0"/>
                <w:numId w:val="4"/>
              </w:numPr>
              <w:ind w:left="-139" w:leftChars="-66" w:right="-109" w:rightChars="-52"/>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不结球白菜</w:t>
            </w:r>
          </w:p>
        </w:tc>
        <w:tc>
          <w:tcPr>
            <w:tcW w:w="881" w:type="pct"/>
            <w:shd w:val="clear" w:color="auto" w:fill="auto"/>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基 肥</w:t>
            </w:r>
          </w:p>
        </w:tc>
        <w:tc>
          <w:tcPr>
            <w:tcW w:w="616" w:type="pct"/>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w:t>
            </w:r>
          </w:p>
        </w:tc>
        <w:tc>
          <w:tcPr>
            <w:tcW w:w="1313" w:type="pct"/>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4.0～</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.5</w:t>
            </w:r>
          </w:p>
        </w:tc>
        <w:tc>
          <w:tcPr>
            <w:tcW w:w="1316" w:type="pct"/>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5.5～</w:t>
            </w:r>
            <w:r>
              <w:rPr>
                <w:rFonts w:hint="eastAsia"/>
                <w:color w:val="000000" w:themeColor="text1"/>
                <w:sz w:val="18"/>
                <w:szCs w:val="18"/>
                <w14:textFill>
                  <w14:solidFill>
                    <w14:schemeClr w14:val="tx1"/>
                  </w14:solidFill>
                </w14:textFill>
              </w:rPr>
              <w:t>8</w:t>
            </w:r>
            <w:r>
              <w:rPr>
                <w:color w:val="000000" w:themeColor="text1"/>
                <w:sz w:val="18"/>
                <w:szCs w:val="18"/>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4" w:type="pct"/>
            <w:vMerge w:val="continue"/>
            <w:shd w:val="clear" w:color="auto" w:fill="auto"/>
            <w:vAlign w:val="center"/>
          </w:tcPr>
          <w:p>
            <w:pPr>
              <w:widowControl/>
              <w:numPr>
                <w:ilvl w:val="0"/>
                <w:numId w:val="4"/>
              </w:numPr>
              <w:ind w:left="-139" w:leftChars="-66" w:right="-109" w:rightChars="-52"/>
              <w:jc w:val="center"/>
              <w:rPr>
                <w:color w:val="000000" w:themeColor="text1"/>
                <w:sz w:val="18"/>
                <w:szCs w:val="18"/>
                <w14:textFill>
                  <w14:solidFill>
                    <w14:schemeClr w14:val="tx1"/>
                  </w14:solidFill>
                </w14:textFill>
              </w:rPr>
            </w:pPr>
          </w:p>
        </w:tc>
        <w:tc>
          <w:tcPr>
            <w:tcW w:w="1497" w:type="pct"/>
            <w:gridSpan w:val="2"/>
            <w:shd w:val="clear" w:color="auto" w:fill="auto"/>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沼液累计用量</w:t>
            </w:r>
          </w:p>
        </w:tc>
        <w:tc>
          <w:tcPr>
            <w:tcW w:w="1313" w:type="pct"/>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.5</w:t>
            </w:r>
          </w:p>
        </w:tc>
        <w:tc>
          <w:tcPr>
            <w:tcW w:w="1316" w:type="pct"/>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5.5～</w:t>
            </w:r>
            <w:r>
              <w:rPr>
                <w:rFonts w:hint="eastAsia"/>
                <w:color w:val="000000" w:themeColor="text1"/>
                <w:sz w:val="18"/>
                <w:szCs w:val="18"/>
                <w14:textFill>
                  <w14:solidFill>
                    <w14:schemeClr w14:val="tx1"/>
                  </w14:solidFill>
                </w14:textFill>
              </w:rPr>
              <w:t>8</w:t>
            </w:r>
          </w:p>
        </w:tc>
      </w:tr>
    </w:tbl>
    <w:p>
      <w:pPr>
        <w:pStyle w:val="18"/>
        <w:spacing w:line="420" w:lineRule="exact"/>
        <w:rPr>
          <w:rFonts w:ascii="Times New Roman"/>
          <w:color w:val="000000" w:themeColor="text1"/>
          <w:szCs w:val="21"/>
          <w14:textFill>
            <w14:solidFill>
              <w14:schemeClr w14:val="tx1"/>
            </w14:solidFill>
          </w14:textFill>
        </w:rPr>
      </w:pPr>
    </w:p>
    <w:p>
      <w:pPr>
        <w:spacing w:before="156" w:beforeLines="50"/>
        <w:outlineLvl w:val="0"/>
        <w:rPr>
          <w:rFonts w:eastAsia="黑体"/>
          <w:b/>
          <w:color w:val="000000" w:themeColor="text1"/>
          <w:szCs w:val="21"/>
          <w14:textFill>
            <w14:solidFill>
              <w14:schemeClr w14:val="tx1"/>
            </w14:solidFill>
          </w14:textFill>
        </w:rPr>
      </w:pPr>
      <w:bookmarkStart w:id="17" w:name="_Toc155357573"/>
      <w:r>
        <w:rPr>
          <w:rFonts w:eastAsia="黑体"/>
          <w:b/>
          <w:color w:val="000000" w:themeColor="text1"/>
          <w:szCs w:val="21"/>
          <w14:textFill>
            <w14:solidFill>
              <w14:schemeClr w14:val="tx1"/>
            </w14:solidFill>
          </w14:textFill>
        </w:rPr>
        <w:t xml:space="preserve">6.3.2 </w:t>
      </w:r>
      <w:r>
        <w:rPr>
          <w:rFonts w:hint="eastAsia" w:eastAsia="黑体"/>
          <w:b/>
          <w:color w:val="000000" w:themeColor="text1"/>
          <w:szCs w:val="21"/>
          <w14:textFill>
            <w14:solidFill>
              <w14:schemeClr w14:val="tx1"/>
            </w14:solidFill>
          </w14:textFill>
        </w:rPr>
        <w:t>瓜果类蔬菜（黄瓜、辣</w:t>
      </w:r>
      <w:r>
        <w:rPr>
          <w:rFonts w:eastAsia="黑体"/>
          <w:b/>
          <w:color w:val="000000" w:themeColor="text1"/>
          <w:szCs w:val="21"/>
          <w14:textFill>
            <w14:solidFill>
              <w14:schemeClr w14:val="tx1"/>
            </w14:solidFill>
          </w14:textFill>
        </w:rPr>
        <w:t>/</w:t>
      </w:r>
      <w:r>
        <w:rPr>
          <w:rFonts w:hint="eastAsia" w:eastAsia="黑体"/>
          <w:b/>
          <w:color w:val="000000" w:themeColor="text1"/>
          <w:szCs w:val="21"/>
          <w14:textFill>
            <w14:solidFill>
              <w14:schemeClr w14:val="tx1"/>
            </w14:solidFill>
          </w14:textFill>
        </w:rPr>
        <w:t>甜椒）畜禽粪污沼液施用方法</w:t>
      </w:r>
      <w:bookmarkEnd w:id="17"/>
    </w:p>
    <w:p>
      <w:pPr>
        <w:pStyle w:val="18"/>
        <w:spacing w:line="420" w:lineRule="exact"/>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瓜果类蔬菜畜禽粪污沼液参考施用量见表5。沼液宜作为瓜果类蔬菜追肥施用，追肥施用时期为坐果后、每次瓜果类蔬菜采收后。沼液施用期间不施用化学氮肥。</w:t>
      </w:r>
    </w:p>
    <w:p>
      <w:pPr>
        <w:widowControl/>
        <w:numPr>
          <w:ilvl w:val="0"/>
          <w:numId w:val="4"/>
        </w:numPr>
        <w:spacing w:before="156" w:beforeLines="50" w:after="156" w:afterLines="50"/>
        <w:jc w:val="center"/>
        <w:rPr>
          <w:rFonts w:eastAsia="黑体"/>
          <w:color w:val="000000" w:themeColor="text1"/>
          <w:szCs w:val="21"/>
          <w14:textFill>
            <w14:solidFill>
              <w14:schemeClr w14:val="tx1"/>
            </w14:solidFill>
          </w14:textFill>
        </w:rPr>
      </w:pPr>
      <w:r>
        <w:rPr>
          <w:rFonts w:eastAsia="黑体"/>
          <w:color w:val="000000" w:themeColor="text1"/>
          <w:szCs w:val="21"/>
          <w14:textFill>
            <w14:solidFill>
              <w14:schemeClr w14:val="tx1"/>
            </w14:solidFill>
          </w14:textFill>
        </w:rPr>
        <w:t>表5 瓜果类蔬菜不同浓度畜禽粪污沼液参考施用量</w:t>
      </w:r>
    </w:p>
    <w:tbl>
      <w:tblPr>
        <w:tblStyle w:val="12"/>
        <w:tblW w:w="4688" w:type="pct"/>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15"/>
        <w:gridCol w:w="1098"/>
        <w:gridCol w:w="972"/>
        <w:gridCol w:w="2005"/>
        <w:gridCol w:w="2036"/>
        <w:gridCol w:w="14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3" w:hRule="atLeast"/>
        </w:trPr>
        <w:tc>
          <w:tcPr>
            <w:tcW w:w="592" w:type="pct"/>
            <w:vMerge w:val="restart"/>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名</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称</w:t>
            </w:r>
          </w:p>
        </w:tc>
        <w:tc>
          <w:tcPr>
            <w:tcW w:w="640" w:type="pct"/>
            <w:vMerge w:val="restart"/>
            <w:shd w:val="clear" w:color="auto" w:fill="auto"/>
            <w:vAlign w:val="center"/>
          </w:tcPr>
          <w:p>
            <w:pPr>
              <w:widowControl/>
              <w:numPr>
                <w:ilvl w:val="0"/>
                <w:numId w:val="4"/>
              </w:num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施肥期</w:t>
            </w:r>
          </w:p>
        </w:tc>
        <w:tc>
          <w:tcPr>
            <w:tcW w:w="567" w:type="pct"/>
            <w:vMerge w:val="restart"/>
            <w:vAlign w:val="center"/>
          </w:tcPr>
          <w:p>
            <w:pPr>
              <w:widowControl/>
              <w:jc w:val="center"/>
              <w:rPr>
                <w:sz w:val="18"/>
                <w:szCs w:val="18"/>
              </w:rPr>
            </w:pPr>
            <w:r>
              <w:rPr>
                <w:sz w:val="18"/>
                <w:szCs w:val="18"/>
              </w:rPr>
              <w:t>施肥次数</w:t>
            </w:r>
          </w:p>
        </w:tc>
        <w:tc>
          <w:tcPr>
            <w:tcW w:w="2356" w:type="pct"/>
            <w:gridSpan w:val="2"/>
            <w:shd w:val="clear" w:color="auto" w:fill="auto"/>
            <w:vAlign w:val="center"/>
          </w:tcPr>
          <w:p>
            <w:pPr>
              <w:widowControl/>
              <w:numPr>
                <w:ilvl w:val="0"/>
                <w:numId w:val="4"/>
              </w:numPr>
              <w:ind w:right="-115" w:rightChars="-55"/>
              <w:jc w:val="center"/>
              <w:rPr>
                <w:sz w:val="18"/>
                <w:szCs w:val="18"/>
              </w:rPr>
            </w:pPr>
            <w:r>
              <w:rPr>
                <w:sz w:val="18"/>
                <w:szCs w:val="18"/>
              </w:rPr>
              <w:t>不同浓度沼液每次施用量（t/667m</w:t>
            </w:r>
            <w:r>
              <w:rPr>
                <w:sz w:val="18"/>
                <w:szCs w:val="18"/>
                <w:vertAlign w:val="superscript"/>
              </w:rPr>
              <w:t>2</w:t>
            </w:r>
            <w:r>
              <w:rPr>
                <w:sz w:val="18"/>
                <w:szCs w:val="18"/>
              </w:rPr>
              <w:t>）</w:t>
            </w:r>
          </w:p>
        </w:tc>
        <w:tc>
          <w:tcPr>
            <w:tcW w:w="845" w:type="pct"/>
            <w:vMerge w:val="restart"/>
            <w:shd w:val="clear" w:color="auto" w:fill="auto"/>
            <w:vAlign w:val="center"/>
          </w:tcPr>
          <w:p>
            <w:pPr>
              <w:widowControl/>
              <w:ind w:right="-115" w:rightChars="-55"/>
              <w:jc w:val="center"/>
              <w:rPr>
                <w:sz w:val="18"/>
                <w:szCs w:val="18"/>
              </w:rPr>
            </w:pPr>
            <w:r>
              <w:rPr>
                <w:sz w:val="18"/>
                <w:szCs w:val="18"/>
              </w:rPr>
              <w:t>每次</w:t>
            </w:r>
            <w:r>
              <w:rPr>
                <w:rFonts w:hint="eastAsia"/>
                <w:sz w:val="18"/>
                <w:szCs w:val="18"/>
              </w:rPr>
              <w:t>配施</w:t>
            </w:r>
          </w:p>
          <w:p>
            <w:pPr>
              <w:widowControl/>
              <w:ind w:right="-115" w:rightChars="-55"/>
              <w:jc w:val="center"/>
              <w:rPr>
                <w:sz w:val="18"/>
                <w:szCs w:val="18"/>
              </w:rPr>
            </w:pPr>
            <w:r>
              <w:rPr>
                <w:rFonts w:hint="eastAsia"/>
                <w:sz w:val="18"/>
                <w:szCs w:val="18"/>
              </w:rPr>
              <w:t>硫酸钾</w:t>
            </w:r>
          </w:p>
          <w:p>
            <w:pPr>
              <w:widowControl/>
              <w:ind w:right="-115" w:rightChars="-55"/>
              <w:jc w:val="center"/>
              <w:rPr>
                <w:sz w:val="18"/>
                <w:szCs w:val="18"/>
              </w:rPr>
            </w:pPr>
            <w:r>
              <w:rPr>
                <w:sz w:val="18"/>
                <w:szCs w:val="18"/>
              </w:rPr>
              <w:t>（kg/667m</w:t>
            </w:r>
            <w:r>
              <w:rPr>
                <w:sz w:val="18"/>
                <w:szCs w:val="18"/>
                <w:vertAlign w:val="superscript"/>
              </w:rPr>
              <w:t>2</w:t>
            </w:r>
            <w:r>
              <w:rPr>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92" w:type="pct"/>
            <w:vMerge w:val="continue"/>
            <w:vAlign w:val="center"/>
          </w:tcPr>
          <w:p>
            <w:pPr>
              <w:widowControl/>
              <w:numPr>
                <w:ilvl w:val="0"/>
                <w:numId w:val="4"/>
              </w:numPr>
              <w:jc w:val="center"/>
              <w:rPr>
                <w:color w:val="000000" w:themeColor="text1"/>
                <w:sz w:val="18"/>
                <w:szCs w:val="18"/>
                <w14:textFill>
                  <w14:solidFill>
                    <w14:schemeClr w14:val="tx1"/>
                  </w14:solidFill>
                </w14:textFill>
              </w:rPr>
            </w:pPr>
          </w:p>
        </w:tc>
        <w:tc>
          <w:tcPr>
            <w:tcW w:w="640" w:type="pct"/>
            <w:vMerge w:val="continue"/>
            <w:shd w:val="clear" w:color="auto" w:fill="auto"/>
            <w:vAlign w:val="center"/>
          </w:tcPr>
          <w:p>
            <w:pPr>
              <w:widowControl/>
              <w:numPr>
                <w:ilvl w:val="0"/>
                <w:numId w:val="4"/>
              </w:numPr>
              <w:jc w:val="center"/>
              <w:rPr>
                <w:color w:val="000000" w:themeColor="text1"/>
                <w:sz w:val="18"/>
                <w:szCs w:val="18"/>
                <w14:textFill>
                  <w14:solidFill>
                    <w14:schemeClr w14:val="tx1"/>
                  </w14:solidFill>
                </w14:textFill>
              </w:rPr>
            </w:pPr>
          </w:p>
        </w:tc>
        <w:tc>
          <w:tcPr>
            <w:tcW w:w="567" w:type="pct"/>
            <w:vMerge w:val="continue"/>
            <w:vAlign w:val="center"/>
          </w:tcPr>
          <w:p>
            <w:pPr>
              <w:widowControl/>
              <w:jc w:val="center"/>
              <w:rPr>
                <w:sz w:val="18"/>
                <w:szCs w:val="18"/>
              </w:rPr>
            </w:pPr>
          </w:p>
        </w:tc>
        <w:tc>
          <w:tcPr>
            <w:tcW w:w="1169" w:type="pct"/>
            <w:shd w:val="clear" w:color="auto" w:fill="auto"/>
            <w:vAlign w:val="center"/>
          </w:tcPr>
          <w:p>
            <w:pPr>
              <w:widowControl/>
              <w:jc w:val="center"/>
              <w:rPr>
                <w:sz w:val="18"/>
                <w:szCs w:val="18"/>
              </w:rPr>
            </w:pPr>
            <w:r>
              <w:rPr>
                <w:sz w:val="18"/>
                <w:szCs w:val="18"/>
              </w:rPr>
              <w:t>总氮浓度</w:t>
            </w:r>
          </w:p>
          <w:p>
            <w:pPr>
              <w:widowControl/>
              <w:jc w:val="center"/>
              <w:rPr>
                <w:sz w:val="18"/>
                <w:szCs w:val="18"/>
              </w:rPr>
            </w:pPr>
            <w:r>
              <w:rPr>
                <w:sz w:val="18"/>
                <w:szCs w:val="18"/>
              </w:rPr>
              <w:t>1200 mg/L～</w:t>
            </w:r>
            <w:r>
              <w:rPr>
                <w:rFonts w:hint="eastAsia"/>
                <w:sz w:val="18"/>
                <w:szCs w:val="18"/>
              </w:rPr>
              <w:t>9</w:t>
            </w:r>
            <w:r>
              <w:rPr>
                <w:sz w:val="18"/>
                <w:szCs w:val="18"/>
              </w:rPr>
              <w:t>00 mg/L</w:t>
            </w:r>
          </w:p>
        </w:tc>
        <w:tc>
          <w:tcPr>
            <w:tcW w:w="1187" w:type="pct"/>
          </w:tcPr>
          <w:p>
            <w:pPr>
              <w:widowControl/>
              <w:numPr>
                <w:ilvl w:val="0"/>
                <w:numId w:val="4"/>
              </w:numPr>
              <w:jc w:val="center"/>
              <w:rPr>
                <w:sz w:val="18"/>
                <w:szCs w:val="18"/>
              </w:rPr>
            </w:pPr>
            <w:r>
              <w:rPr>
                <w:sz w:val="18"/>
                <w:szCs w:val="18"/>
              </w:rPr>
              <w:t>总氮浓度</w:t>
            </w:r>
          </w:p>
          <w:p>
            <w:pPr>
              <w:widowControl/>
              <w:numPr>
                <w:ilvl w:val="0"/>
                <w:numId w:val="4"/>
              </w:numPr>
              <w:jc w:val="center"/>
              <w:rPr>
                <w:sz w:val="18"/>
                <w:szCs w:val="18"/>
              </w:rPr>
            </w:pPr>
            <w:r>
              <w:rPr>
                <w:sz w:val="18"/>
                <w:szCs w:val="18"/>
              </w:rPr>
              <w:t>900 mg/L～600 mg/L</w:t>
            </w:r>
          </w:p>
        </w:tc>
        <w:tc>
          <w:tcPr>
            <w:tcW w:w="845" w:type="pct"/>
            <w:vMerge w:val="continue"/>
            <w:shd w:val="clear" w:color="auto" w:fill="auto"/>
            <w:vAlign w:val="center"/>
          </w:tcPr>
          <w:p>
            <w:pPr>
              <w:widowControl/>
              <w:numPr>
                <w:ilvl w:val="0"/>
                <w:numId w:val="4"/>
              </w:numPr>
              <w:jc w:val="center"/>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92" w:type="pct"/>
            <w:vMerge w:val="restart"/>
            <w:shd w:val="clear" w:color="auto" w:fill="auto"/>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黄</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瓜</w:t>
            </w:r>
          </w:p>
        </w:tc>
        <w:tc>
          <w:tcPr>
            <w:tcW w:w="640" w:type="pct"/>
            <w:shd w:val="clear" w:color="auto" w:fill="auto"/>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坐果后</w:t>
            </w:r>
          </w:p>
        </w:tc>
        <w:tc>
          <w:tcPr>
            <w:tcW w:w="567" w:type="pct"/>
            <w:vAlign w:val="center"/>
          </w:tcPr>
          <w:p>
            <w:pPr>
              <w:widowControl/>
              <w:numPr>
                <w:ilvl w:val="0"/>
                <w:numId w:val="4"/>
              </w:numPr>
              <w:spacing w:line="400" w:lineRule="exact"/>
              <w:jc w:val="center"/>
              <w:rPr>
                <w:sz w:val="18"/>
                <w:szCs w:val="18"/>
              </w:rPr>
            </w:pPr>
            <w:r>
              <w:rPr>
                <w:sz w:val="18"/>
                <w:szCs w:val="18"/>
              </w:rPr>
              <w:t>3～2</w:t>
            </w:r>
          </w:p>
        </w:tc>
        <w:tc>
          <w:tcPr>
            <w:tcW w:w="1169" w:type="pct"/>
            <w:shd w:val="clear" w:color="auto" w:fill="auto"/>
            <w:vAlign w:val="center"/>
          </w:tcPr>
          <w:p>
            <w:pPr>
              <w:widowControl/>
              <w:numPr>
                <w:ilvl w:val="0"/>
                <w:numId w:val="4"/>
              </w:numPr>
              <w:spacing w:line="400" w:lineRule="exact"/>
              <w:jc w:val="center"/>
              <w:rPr>
                <w:sz w:val="18"/>
                <w:szCs w:val="18"/>
              </w:rPr>
            </w:pPr>
            <w:r>
              <w:rPr>
                <w:sz w:val="18"/>
                <w:szCs w:val="18"/>
              </w:rPr>
              <w:t>2.0～</w:t>
            </w:r>
            <w:r>
              <w:rPr>
                <w:rFonts w:hint="eastAsia"/>
                <w:sz w:val="18"/>
                <w:szCs w:val="18"/>
              </w:rPr>
              <w:t>2</w:t>
            </w:r>
            <w:r>
              <w:rPr>
                <w:sz w:val="18"/>
                <w:szCs w:val="18"/>
              </w:rPr>
              <w:t>.5</w:t>
            </w:r>
          </w:p>
        </w:tc>
        <w:tc>
          <w:tcPr>
            <w:tcW w:w="1187" w:type="pct"/>
            <w:vAlign w:val="center"/>
          </w:tcPr>
          <w:p>
            <w:pPr>
              <w:widowControl/>
              <w:numPr>
                <w:ilvl w:val="0"/>
                <w:numId w:val="4"/>
              </w:numPr>
              <w:spacing w:line="400" w:lineRule="exact"/>
              <w:jc w:val="center"/>
              <w:rPr>
                <w:sz w:val="18"/>
                <w:szCs w:val="18"/>
              </w:rPr>
            </w:pPr>
            <w:r>
              <w:rPr>
                <w:sz w:val="18"/>
                <w:szCs w:val="18"/>
              </w:rPr>
              <w:t>2.5～3.5</w:t>
            </w:r>
          </w:p>
        </w:tc>
        <w:tc>
          <w:tcPr>
            <w:tcW w:w="845" w:type="pct"/>
            <w:shd w:val="clear" w:color="auto" w:fill="auto"/>
            <w:vAlign w:val="center"/>
          </w:tcPr>
          <w:p>
            <w:pPr>
              <w:widowControl/>
              <w:numPr>
                <w:ilvl w:val="0"/>
                <w:numId w:val="4"/>
              </w:numPr>
              <w:spacing w:line="400" w:lineRule="exact"/>
              <w:jc w:val="center"/>
              <w:rPr>
                <w:sz w:val="18"/>
                <w:szCs w:val="18"/>
              </w:rPr>
            </w:pPr>
            <w:r>
              <w:rPr>
                <w:sz w:val="18"/>
                <w:szCs w:val="18"/>
              </w:rPr>
              <w:t>1.0～1.5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92" w:type="pct"/>
            <w:vMerge w:val="continue"/>
            <w:shd w:val="clear" w:color="auto" w:fill="auto"/>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p>
        </w:tc>
        <w:tc>
          <w:tcPr>
            <w:tcW w:w="640" w:type="pct"/>
            <w:shd w:val="clear" w:color="auto" w:fill="auto"/>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盛果期</w:t>
            </w:r>
          </w:p>
        </w:tc>
        <w:tc>
          <w:tcPr>
            <w:tcW w:w="567" w:type="pct"/>
            <w:vAlign w:val="center"/>
          </w:tcPr>
          <w:p>
            <w:pPr>
              <w:widowControl/>
              <w:numPr>
                <w:ilvl w:val="0"/>
                <w:numId w:val="4"/>
              </w:numPr>
              <w:spacing w:line="400" w:lineRule="exact"/>
              <w:jc w:val="center"/>
              <w:rPr>
                <w:sz w:val="18"/>
                <w:szCs w:val="18"/>
              </w:rPr>
            </w:pPr>
            <w:r>
              <w:rPr>
                <w:sz w:val="18"/>
                <w:szCs w:val="18"/>
              </w:rPr>
              <w:t>7～10</w:t>
            </w:r>
          </w:p>
        </w:tc>
        <w:tc>
          <w:tcPr>
            <w:tcW w:w="1169" w:type="pct"/>
            <w:shd w:val="clear" w:color="auto" w:fill="auto"/>
            <w:vAlign w:val="center"/>
          </w:tcPr>
          <w:p>
            <w:pPr>
              <w:widowControl/>
              <w:numPr>
                <w:ilvl w:val="0"/>
                <w:numId w:val="4"/>
              </w:numPr>
              <w:spacing w:line="400" w:lineRule="exact"/>
              <w:jc w:val="center"/>
              <w:rPr>
                <w:sz w:val="18"/>
                <w:szCs w:val="18"/>
              </w:rPr>
            </w:pPr>
            <w:r>
              <w:rPr>
                <w:sz w:val="18"/>
                <w:szCs w:val="18"/>
              </w:rPr>
              <w:t>2.5～</w:t>
            </w:r>
            <w:r>
              <w:rPr>
                <w:rFonts w:hint="eastAsia"/>
                <w:sz w:val="18"/>
                <w:szCs w:val="18"/>
              </w:rPr>
              <w:t>3</w:t>
            </w:r>
            <w:r>
              <w:rPr>
                <w:sz w:val="18"/>
                <w:szCs w:val="18"/>
              </w:rPr>
              <w:t>.5</w:t>
            </w:r>
          </w:p>
        </w:tc>
        <w:tc>
          <w:tcPr>
            <w:tcW w:w="1187" w:type="pct"/>
            <w:vAlign w:val="center"/>
          </w:tcPr>
          <w:p>
            <w:pPr>
              <w:widowControl/>
              <w:numPr>
                <w:ilvl w:val="0"/>
                <w:numId w:val="4"/>
              </w:numPr>
              <w:spacing w:line="400" w:lineRule="exact"/>
              <w:jc w:val="center"/>
              <w:rPr>
                <w:sz w:val="18"/>
                <w:szCs w:val="18"/>
              </w:rPr>
            </w:pPr>
            <w:r>
              <w:rPr>
                <w:sz w:val="18"/>
                <w:szCs w:val="18"/>
              </w:rPr>
              <w:t>3.5～5.0</w:t>
            </w:r>
          </w:p>
        </w:tc>
        <w:tc>
          <w:tcPr>
            <w:tcW w:w="845" w:type="pct"/>
            <w:shd w:val="clear" w:color="auto" w:fill="auto"/>
            <w:vAlign w:val="center"/>
          </w:tcPr>
          <w:p>
            <w:pPr>
              <w:widowControl/>
              <w:numPr>
                <w:ilvl w:val="0"/>
                <w:numId w:val="4"/>
              </w:numPr>
              <w:spacing w:line="400" w:lineRule="exact"/>
              <w:jc w:val="center"/>
              <w:rPr>
                <w:sz w:val="18"/>
                <w:szCs w:val="18"/>
              </w:rPr>
            </w:pPr>
            <w:r>
              <w:rPr>
                <w:sz w:val="18"/>
                <w:szCs w:val="18"/>
              </w:rPr>
              <w:t>1.5～2.0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92" w:type="pct"/>
            <w:vMerge w:val="continue"/>
            <w:shd w:val="clear" w:color="auto" w:fill="auto"/>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p>
        </w:tc>
        <w:tc>
          <w:tcPr>
            <w:tcW w:w="1207" w:type="pct"/>
            <w:gridSpan w:val="2"/>
            <w:shd w:val="clear" w:color="auto" w:fill="auto"/>
            <w:vAlign w:val="center"/>
          </w:tcPr>
          <w:p>
            <w:pPr>
              <w:widowControl/>
              <w:numPr>
                <w:ilvl w:val="0"/>
                <w:numId w:val="4"/>
              </w:numPr>
              <w:spacing w:line="400" w:lineRule="exact"/>
              <w:jc w:val="center"/>
              <w:rPr>
                <w:sz w:val="18"/>
                <w:szCs w:val="18"/>
              </w:rPr>
            </w:pPr>
            <w:r>
              <w:rPr>
                <w:sz w:val="18"/>
                <w:szCs w:val="18"/>
              </w:rPr>
              <w:t>沼液累计用量</w:t>
            </w:r>
          </w:p>
        </w:tc>
        <w:tc>
          <w:tcPr>
            <w:tcW w:w="1169" w:type="pct"/>
            <w:shd w:val="clear" w:color="auto" w:fill="auto"/>
            <w:vAlign w:val="center"/>
          </w:tcPr>
          <w:p>
            <w:pPr>
              <w:widowControl/>
              <w:numPr>
                <w:ilvl w:val="0"/>
                <w:numId w:val="4"/>
              </w:numPr>
              <w:spacing w:line="400" w:lineRule="exact"/>
              <w:jc w:val="center"/>
              <w:rPr>
                <w:sz w:val="18"/>
                <w:szCs w:val="18"/>
              </w:rPr>
            </w:pPr>
            <w:r>
              <w:rPr>
                <w:sz w:val="18"/>
                <w:szCs w:val="18"/>
              </w:rPr>
              <w:t>22～40</w:t>
            </w:r>
          </w:p>
        </w:tc>
        <w:tc>
          <w:tcPr>
            <w:tcW w:w="1187" w:type="pct"/>
            <w:vAlign w:val="center"/>
          </w:tcPr>
          <w:p>
            <w:pPr>
              <w:widowControl/>
              <w:numPr>
                <w:ilvl w:val="0"/>
                <w:numId w:val="4"/>
              </w:numPr>
              <w:spacing w:line="400" w:lineRule="exact"/>
              <w:jc w:val="center"/>
              <w:rPr>
                <w:sz w:val="18"/>
                <w:szCs w:val="18"/>
              </w:rPr>
            </w:pPr>
            <w:r>
              <w:rPr>
                <w:sz w:val="18"/>
                <w:szCs w:val="18"/>
              </w:rPr>
              <w:t>32～61</w:t>
            </w:r>
          </w:p>
        </w:tc>
        <w:tc>
          <w:tcPr>
            <w:tcW w:w="845" w:type="pct"/>
            <w:shd w:val="clear" w:color="auto" w:fill="auto"/>
            <w:vAlign w:val="center"/>
          </w:tcPr>
          <w:p>
            <w:pPr>
              <w:widowControl/>
              <w:numPr>
                <w:ilvl w:val="0"/>
                <w:numId w:val="4"/>
              </w:numPr>
              <w:spacing w:line="400" w:lineRule="exact"/>
              <w:jc w:val="center"/>
              <w:rPr>
                <w:sz w:val="18"/>
                <w:szCs w:val="18"/>
              </w:rPr>
            </w:pPr>
            <w:r>
              <w:rPr>
                <w:rFonts w:eastAsia="黑体"/>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92" w:type="pct"/>
            <w:vMerge w:val="restart"/>
            <w:shd w:val="clear" w:color="auto" w:fill="auto"/>
            <w:vAlign w:val="center"/>
          </w:tcPr>
          <w:p>
            <w:pPr>
              <w:widowControl/>
              <w:numPr>
                <w:ilvl w:val="0"/>
                <w:numId w:val="4"/>
              </w:numPr>
              <w:spacing w:line="32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辣/甜椒</w:t>
            </w:r>
          </w:p>
        </w:tc>
        <w:tc>
          <w:tcPr>
            <w:tcW w:w="640" w:type="pct"/>
            <w:shd w:val="clear" w:color="auto" w:fill="auto"/>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坐果后</w:t>
            </w:r>
          </w:p>
        </w:tc>
        <w:tc>
          <w:tcPr>
            <w:tcW w:w="567" w:type="pct"/>
            <w:vAlign w:val="center"/>
          </w:tcPr>
          <w:p>
            <w:pPr>
              <w:widowControl/>
              <w:numPr>
                <w:ilvl w:val="0"/>
                <w:numId w:val="4"/>
              </w:numPr>
              <w:spacing w:line="400" w:lineRule="exact"/>
              <w:jc w:val="center"/>
              <w:rPr>
                <w:sz w:val="18"/>
                <w:szCs w:val="18"/>
              </w:rPr>
            </w:pPr>
            <w:r>
              <w:rPr>
                <w:sz w:val="18"/>
                <w:szCs w:val="18"/>
              </w:rPr>
              <w:t>2～1</w:t>
            </w:r>
          </w:p>
        </w:tc>
        <w:tc>
          <w:tcPr>
            <w:tcW w:w="1169" w:type="pct"/>
            <w:shd w:val="clear" w:color="auto" w:fill="auto"/>
            <w:vAlign w:val="center"/>
          </w:tcPr>
          <w:p>
            <w:pPr>
              <w:widowControl/>
              <w:numPr>
                <w:ilvl w:val="0"/>
                <w:numId w:val="4"/>
              </w:numPr>
              <w:spacing w:line="400" w:lineRule="exact"/>
              <w:jc w:val="center"/>
              <w:rPr>
                <w:sz w:val="18"/>
                <w:szCs w:val="18"/>
              </w:rPr>
            </w:pPr>
            <w:r>
              <w:rPr>
                <w:sz w:val="18"/>
                <w:szCs w:val="18"/>
              </w:rPr>
              <w:t>1.5～</w:t>
            </w:r>
            <w:r>
              <w:rPr>
                <w:rFonts w:hint="eastAsia"/>
                <w:sz w:val="18"/>
                <w:szCs w:val="18"/>
              </w:rPr>
              <w:t>2</w:t>
            </w:r>
            <w:r>
              <w:rPr>
                <w:sz w:val="18"/>
                <w:szCs w:val="18"/>
              </w:rPr>
              <w:t>.0</w:t>
            </w:r>
          </w:p>
        </w:tc>
        <w:tc>
          <w:tcPr>
            <w:tcW w:w="1187" w:type="pct"/>
            <w:vAlign w:val="center"/>
          </w:tcPr>
          <w:p>
            <w:pPr>
              <w:widowControl/>
              <w:numPr>
                <w:ilvl w:val="0"/>
                <w:numId w:val="4"/>
              </w:numPr>
              <w:spacing w:line="400" w:lineRule="exact"/>
              <w:jc w:val="center"/>
              <w:rPr>
                <w:sz w:val="18"/>
                <w:szCs w:val="18"/>
              </w:rPr>
            </w:pPr>
            <w:r>
              <w:rPr>
                <w:sz w:val="18"/>
                <w:szCs w:val="18"/>
              </w:rPr>
              <w:t>2.0～3.0</w:t>
            </w:r>
          </w:p>
        </w:tc>
        <w:tc>
          <w:tcPr>
            <w:tcW w:w="845" w:type="pct"/>
            <w:shd w:val="clear" w:color="auto" w:fill="auto"/>
            <w:vAlign w:val="center"/>
          </w:tcPr>
          <w:p>
            <w:pPr>
              <w:widowControl/>
              <w:numPr>
                <w:ilvl w:val="0"/>
                <w:numId w:val="4"/>
              </w:numPr>
              <w:spacing w:line="400" w:lineRule="exact"/>
              <w:jc w:val="center"/>
              <w:rPr>
                <w:sz w:val="18"/>
                <w:szCs w:val="18"/>
              </w:rPr>
            </w:pPr>
            <w:r>
              <w:rPr>
                <w:sz w:val="18"/>
                <w:szCs w:val="18"/>
              </w:rPr>
              <w:t>1.0～1.5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92" w:type="pct"/>
            <w:vMerge w:val="continue"/>
            <w:shd w:val="clear" w:color="auto" w:fill="auto"/>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p>
        </w:tc>
        <w:tc>
          <w:tcPr>
            <w:tcW w:w="640" w:type="pct"/>
            <w:shd w:val="clear" w:color="auto" w:fill="auto"/>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盛果期</w:t>
            </w:r>
          </w:p>
        </w:tc>
        <w:tc>
          <w:tcPr>
            <w:tcW w:w="567" w:type="pct"/>
            <w:vAlign w:val="center"/>
          </w:tcPr>
          <w:p>
            <w:pPr>
              <w:widowControl/>
              <w:numPr>
                <w:ilvl w:val="0"/>
                <w:numId w:val="4"/>
              </w:numPr>
              <w:spacing w:line="400" w:lineRule="exact"/>
              <w:jc w:val="center"/>
              <w:rPr>
                <w:sz w:val="18"/>
                <w:szCs w:val="18"/>
              </w:rPr>
            </w:pPr>
            <w:r>
              <w:rPr>
                <w:rFonts w:hint="eastAsia"/>
                <w:sz w:val="18"/>
                <w:szCs w:val="18"/>
              </w:rPr>
              <w:t>4</w:t>
            </w:r>
            <w:r>
              <w:rPr>
                <w:sz w:val="18"/>
                <w:szCs w:val="18"/>
              </w:rPr>
              <w:t>～</w:t>
            </w:r>
            <w:r>
              <w:rPr>
                <w:rFonts w:hint="eastAsia"/>
                <w:sz w:val="18"/>
                <w:szCs w:val="18"/>
              </w:rPr>
              <w:t>6</w:t>
            </w:r>
          </w:p>
        </w:tc>
        <w:tc>
          <w:tcPr>
            <w:tcW w:w="1169" w:type="pct"/>
            <w:shd w:val="clear" w:color="auto" w:fill="auto"/>
            <w:vAlign w:val="center"/>
          </w:tcPr>
          <w:p>
            <w:pPr>
              <w:widowControl/>
              <w:numPr>
                <w:ilvl w:val="0"/>
                <w:numId w:val="4"/>
              </w:numPr>
              <w:spacing w:line="400" w:lineRule="exact"/>
              <w:jc w:val="center"/>
              <w:rPr>
                <w:sz w:val="18"/>
                <w:szCs w:val="18"/>
              </w:rPr>
            </w:pPr>
            <w:r>
              <w:rPr>
                <w:sz w:val="18"/>
                <w:szCs w:val="18"/>
              </w:rPr>
              <w:t>2.0～</w:t>
            </w:r>
            <w:r>
              <w:rPr>
                <w:rFonts w:hint="eastAsia"/>
                <w:sz w:val="18"/>
                <w:szCs w:val="18"/>
              </w:rPr>
              <w:t>2</w:t>
            </w:r>
            <w:r>
              <w:rPr>
                <w:sz w:val="18"/>
                <w:szCs w:val="18"/>
              </w:rPr>
              <w:t>.5</w:t>
            </w:r>
          </w:p>
        </w:tc>
        <w:tc>
          <w:tcPr>
            <w:tcW w:w="1187" w:type="pct"/>
            <w:vAlign w:val="center"/>
          </w:tcPr>
          <w:p>
            <w:pPr>
              <w:widowControl/>
              <w:numPr>
                <w:ilvl w:val="0"/>
                <w:numId w:val="4"/>
              </w:numPr>
              <w:spacing w:line="400" w:lineRule="exact"/>
              <w:jc w:val="center"/>
              <w:rPr>
                <w:sz w:val="18"/>
                <w:szCs w:val="18"/>
              </w:rPr>
            </w:pPr>
            <w:r>
              <w:rPr>
                <w:sz w:val="18"/>
                <w:szCs w:val="18"/>
              </w:rPr>
              <w:t>2.5～3.5</w:t>
            </w:r>
          </w:p>
        </w:tc>
        <w:tc>
          <w:tcPr>
            <w:tcW w:w="845" w:type="pct"/>
            <w:shd w:val="clear" w:color="auto" w:fill="auto"/>
            <w:vAlign w:val="center"/>
          </w:tcPr>
          <w:p>
            <w:pPr>
              <w:widowControl/>
              <w:numPr>
                <w:ilvl w:val="0"/>
                <w:numId w:val="4"/>
              </w:numPr>
              <w:spacing w:line="400" w:lineRule="exact"/>
              <w:jc w:val="center"/>
              <w:rPr>
                <w:sz w:val="18"/>
                <w:szCs w:val="18"/>
              </w:rPr>
            </w:pPr>
            <w:r>
              <w:rPr>
                <w:sz w:val="18"/>
                <w:szCs w:val="18"/>
              </w:rPr>
              <w:t>1.5～2.0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92" w:type="pct"/>
            <w:vMerge w:val="continue"/>
            <w:shd w:val="clear" w:color="auto" w:fill="auto"/>
            <w:vAlign w:val="center"/>
          </w:tcPr>
          <w:p>
            <w:pPr>
              <w:widowControl/>
              <w:numPr>
                <w:ilvl w:val="0"/>
                <w:numId w:val="4"/>
              </w:numPr>
              <w:spacing w:line="400" w:lineRule="exact"/>
              <w:jc w:val="center"/>
              <w:rPr>
                <w:color w:val="000000" w:themeColor="text1"/>
                <w:sz w:val="18"/>
                <w:szCs w:val="18"/>
                <w14:textFill>
                  <w14:solidFill>
                    <w14:schemeClr w14:val="tx1"/>
                  </w14:solidFill>
                </w14:textFill>
              </w:rPr>
            </w:pPr>
          </w:p>
        </w:tc>
        <w:tc>
          <w:tcPr>
            <w:tcW w:w="1207" w:type="pct"/>
            <w:gridSpan w:val="2"/>
            <w:shd w:val="clear" w:color="auto" w:fill="auto"/>
            <w:vAlign w:val="center"/>
          </w:tcPr>
          <w:p>
            <w:pPr>
              <w:widowControl/>
              <w:numPr>
                <w:ilvl w:val="0"/>
                <w:numId w:val="4"/>
              </w:numPr>
              <w:spacing w:line="400" w:lineRule="exact"/>
              <w:jc w:val="center"/>
              <w:rPr>
                <w:sz w:val="18"/>
                <w:szCs w:val="18"/>
              </w:rPr>
            </w:pPr>
            <w:r>
              <w:rPr>
                <w:sz w:val="18"/>
                <w:szCs w:val="18"/>
              </w:rPr>
              <w:t>沼液累计用量</w:t>
            </w:r>
          </w:p>
        </w:tc>
        <w:tc>
          <w:tcPr>
            <w:tcW w:w="1169" w:type="pct"/>
            <w:shd w:val="clear" w:color="auto" w:fill="auto"/>
            <w:vAlign w:val="center"/>
          </w:tcPr>
          <w:p>
            <w:pPr>
              <w:widowControl/>
              <w:numPr>
                <w:ilvl w:val="0"/>
                <w:numId w:val="4"/>
              </w:numPr>
              <w:spacing w:line="400" w:lineRule="exact"/>
              <w:jc w:val="center"/>
              <w:rPr>
                <w:sz w:val="18"/>
                <w:szCs w:val="18"/>
              </w:rPr>
            </w:pPr>
            <w:r>
              <w:rPr>
                <w:sz w:val="18"/>
                <w:szCs w:val="18"/>
              </w:rPr>
              <w:t>11～17</w:t>
            </w:r>
          </w:p>
        </w:tc>
        <w:tc>
          <w:tcPr>
            <w:tcW w:w="1187" w:type="pct"/>
            <w:vAlign w:val="center"/>
          </w:tcPr>
          <w:p>
            <w:pPr>
              <w:widowControl/>
              <w:numPr>
                <w:ilvl w:val="0"/>
                <w:numId w:val="4"/>
              </w:numPr>
              <w:spacing w:line="400" w:lineRule="exact"/>
              <w:jc w:val="center"/>
              <w:rPr>
                <w:sz w:val="18"/>
                <w:szCs w:val="18"/>
              </w:rPr>
            </w:pPr>
            <w:r>
              <w:rPr>
                <w:sz w:val="18"/>
                <w:szCs w:val="18"/>
              </w:rPr>
              <w:t>14～24</w:t>
            </w:r>
          </w:p>
        </w:tc>
        <w:tc>
          <w:tcPr>
            <w:tcW w:w="845" w:type="pct"/>
            <w:shd w:val="clear" w:color="auto" w:fill="auto"/>
            <w:vAlign w:val="center"/>
          </w:tcPr>
          <w:p>
            <w:pPr>
              <w:widowControl/>
              <w:numPr>
                <w:ilvl w:val="0"/>
                <w:numId w:val="4"/>
              </w:numPr>
              <w:spacing w:line="400" w:lineRule="exact"/>
              <w:jc w:val="center"/>
              <w:rPr>
                <w:sz w:val="18"/>
                <w:szCs w:val="18"/>
              </w:rPr>
            </w:pPr>
            <w:r>
              <w:rPr>
                <w:rFonts w:eastAsia="黑体"/>
                <w:sz w:val="18"/>
                <w:szCs w:val="18"/>
              </w:rPr>
              <w:t>-</w:t>
            </w:r>
          </w:p>
        </w:tc>
      </w:tr>
    </w:tbl>
    <w:p>
      <w:pPr>
        <w:pStyle w:val="18"/>
        <w:spacing w:line="420" w:lineRule="exact"/>
        <w:rPr>
          <w:rFonts w:ascii="Times New Roman"/>
          <w:color w:val="000000" w:themeColor="text1"/>
          <w:szCs w:val="21"/>
          <w14:textFill>
            <w14:solidFill>
              <w14:schemeClr w14:val="tx1"/>
            </w14:solidFill>
          </w14:textFill>
        </w:rPr>
      </w:pPr>
    </w:p>
    <w:p>
      <w:pPr>
        <w:pStyle w:val="18"/>
        <w:widowControl w:val="0"/>
        <w:spacing w:line="420" w:lineRule="exact"/>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黄瓜根瓜坐好开始膨大后施用沼液2次~3次，根据土壤墒情，每次每</w:t>
      </w:r>
      <w:r>
        <w:rPr>
          <w:rFonts w:ascii="Times New Roman"/>
          <w:color w:val="000000" w:themeColor="text1"/>
          <w14:textFill>
            <w14:solidFill>
              <w14:schemeClr w14:val="tx1"/>
            </w14:solidFill>
          </w14:textFill>
        </w:rPr>
        <w:t>667m</w:t>
      </w:r>
      <w:r>
        <w:rPr>
          <w:rFonts w:ascii="Times New Roman"/>
          <w:color w:val="000000" w:themeColor="text1"/>
          <w:vertAlign w:val="superscript"/>
          <w14:textFill>
            <w14:solidFill>
              <w14:schemeClr w14:val="tx1"/>
            </w14:solidFill>
          </w14:textFill>
        </w:rPr>
        <w:t>2</w:t>
      </w:r>
      <w:r>
        <w:rPr>
          <w:rFonts w:ascii="Times New Roman"/>
          <w:color w:val="000000" w:themeColor="text1"/>
          <w:szCs w:val="21"/>
          <w14:textFill>
            <w14:solidFill>
              <w14:schemeClr w14:val="tx1"/>
            </w14:solidFill>
          </w14:textFill>
        </w:rPr>
        <w:t>施用沼液2.0 t～3.5 t，配施硫酸钾水溶肥1.0 kg～1.5 kg，最后喷施清水，沼液、水溶肥与水灌溉总量约10 t/667m</w:t>
      </w:r>
      <w:r>
        <w:rPr>
          <w:rFonts w:ascii="Times New Roman"/>
          <w:color w:val="000000" w:themeColor="text1"/>
          <w:szCs w:val="21"/>
          <w:vertAlign w:val="superscript"/>
          <w14:textFill>
            <w14:solidFill>
              <w14:schemeClr w14:val="tx1"/>
            </w14:solidFill>
          </w14:textFill>
        </w:rPr>
        <w:t>2</w:t>
      </w:r>
      <w:r>
        <w:rPr>
          <w:rFonts w:ascii="Times New Roman"/>
          <w:color w:val="000000" w:themeColor="text1"/>
          <w:szCs w:val="21"/>
          <w14:textFill>
            <w14:solidFill>
              <w14:schemeClr w14:val="tx1"/>
            </w14:solidFill>
          </w14:textFill>
        </w:rPr>
        <w:t>。盛果期根据长势、天气等因素，一般每7 d～10 d施用1次畜禽粪污沼液，每次每</w:t>
      </w:r>
      <w:r>
        <w:rPr>
          <w:rFonts w:ascii="Times New Roman"/>
          <w:color w:val="000000" w:themeColor="text1"/>
          <w14:textFill>
            <w14:solidFill>
              <w14:schemeClr w14:val="tx1"/>
            </w14:solidFill>
          </w14:textFill>
        </w:rPr>
        <w:t>667m</w:t>
      </w:r>
      <w:r>
        <w:rPr>
          <w:rFonts w:ascii="Times New Roman"/>
          <w:color w:val="000000" w:themeColor="text1"/>
          <w:vertAlign w:val="superscript"/>
          <w14:textFill>
            <w14:solidFill>
              <w14:schemeClr w14:val="tx1"/>
            </w14:solidFill>
          </w14:textFill>
        </w:rPr>
        <w:t>2</w:t>
      </w:r>
      <w:r>
        <w:rPr>
          <w:rFonts w:ascii="Times New Roman"/>
          <w:color w:val="000000" w:themeColor="text1"/>
          <w:szCs w:val="21"/>
          <w14:textFill>
            <w14:solidFill>
              <w14:schemeClr w14:val="tx1"/>
            </w14:solidFill>
          </w14:textFill>
        </w:rPr>
        <w:t>施用畜禽粪污沼液2.5 t～5.0 t，配施硫酸钾水溶肥1.5 kg/667m</w:t>
      </w:r>
      <w:r>
        <w:rPr>
          <w:rFonts w:ascii="Times New Roman"/>
          <w:color w:val="000000" w:themeColor="text1"/>
          <w:szCs w:val="21"/>
          <w:vertAlign w:val="superscript"/>
          <w14:textFill>
            <w14:solidFill>
              <w14:schemeClr w14:val="tx1"/>
            </w14:solidFill>
          </w14:textFill>
        </w:rPr>
        <w:t>2</w:t>
      </w:r>
      <w:r>
        <w:rPr>
          <w:rFonts w:ascii="Times New Roman"/>
          <w:color w:val="000000" w:themeColor="text1"/>
          <w:szCs w:val="21"/>
          <w14:textFill>
            <w14:solidFill>
              <w14:schemeClr w14:val="tx1"/>
            </w14:solidFill>
          </w14:textFill>
        </w:rPr>
        <w:t>～2.0 kg/667m</w:t>
      </w:r>
      <w:r>
        <w:rPr>
          <w:rFonts w:ascii="Times New Roman"/>
          <w:color w:val="000000" w:themeColor="text1"/>
          <w:szCs w:val="21"/>
          <w:vertAlign w:val="superscript"/>
          <w14:textFill>
            <w14:solidFill>
              <w14:schemeClr w14:val="tx1"/>
            </w14:solidFill>
          </w14:textFill>
        </w:rPr>
        <w:t>2</w:t>
      </w:r>
      <w:r>
        <w:rPr>
          <w:rFonts w:ascii="Times New Roman"/>
          <w:color w:val="000000" w:themeColor="text1"/>
          <w:szCs w:val="21"/>
          <w14:textFill>
            <w14:solidFill>
              <w14:schemeClr w14:val="tx1"/>
            </w14:solidFill>
          </w14:textFill>
        </w:rPr>
        <w:t>，最后喷施清水，沼液、水溶肥与水灌溉总量约1</w:t>
      </w:r>
      <w:r>
        <w:rPr>
          <w:rFonts w:hint="eastAsia" w:ascii="Times New Roman"/>
          <w:color w:val="000000" w:themeColor="text1"/>
          <w:szCs w:val="21"/>
          <w14:textFill>
            <w14:solidFill>
              <w14:schemeClr w14:val="tx1"/>
            </w14:solidFill>
          </w14:textFill>
        </w:rPr>
        <w:t>4</w:t>
      </w:r>
      <w:r>
        <w:rPr>
          <w:rFonts w:ascii="Times New Roman"/>
          <w:color w:val="000000" w:themeColor="text1"/>
          <w:szCs w:val="21"/>
          <w14:textFill>
            <w14:solidFill>
              <w14:schemeClr w14:val="tx1"/>
            </w14:solidFill>
          </w14:textFill>
        </w:rPr>
        <w:t xml:space="preserve"> t/667m</w:t>
      </w:r>
      <w:r>
        <w:rPr>
          <w:rFonts w:ascii="Times New Roman"/>
          <w:color w:val="000000" w:themeColor="text1"/>
          <w:szCs w:val="21"/>
          <w:vertAlign w:val="superscript"/>
          <w14:textFill>
            <w14:solidFill>
              <w14:schemeClr w14:val="tx1"/>
            </w14:solidFill>
          </w14:textFill>
        </w:rPr>
        <w:t>2</w:t>
      </w:r>
      <w:r>
        <w:rPr>
          <w:rFonts w:ascii="Times New Roman"/>
          <w:color w:val="000000" w:themeColor="text1"/>
          <w:szCs w:val="21"/>
          <w14:textFill>
            <w14:solidFill>
              <w14:schemeClr w14:val="tx1"/>
            </w14:solidFill>
          </w14:textFill>
        </w:rPr>
        <w:t>。</w:t>
      </w:r>
    </w:p>
    <w:p>
      <w:pPr>
        <w:pStyle w:val="18"/>
        <w:spacing w:line="420" w:lineRule="exact"/>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辣/甜椒</w:t>
      </w:r>
      <w:r>
        <w:rPr>
          <w:rFonts w:ascii="Times New Roman"/>
          <w:color w:val="000000" w:themeColor="text1"/>
          <w:szCs w:val="21"/>
          <w14:textFill>
            <w14:solidFill>
              <w14:schemeClr w14:val="tx1"/>
            </w14:solidFill>
          </w14:textFill>
        </w:rPr>
        <w:t>坐果后施用促果肥1次~2次，根据土壤墒情，每次每</w:t>
      </w:r>
      <w:r>
        <w:rPr>
          <w:rFonts w:ascii="Times New Roman"/>
          <w:color w:val="000000" w:themeColor="text1"/>
          <w14:textFill>
            <w14:solidFill>
              <w14:schemeClr w14:val="tx1"/>
            </w14:solidFill>
          </w14:textFill>
        </w:rPr>
        <w:t>667m</w:t>
      </w:r>
      <w:r>
        <w:rPr>
          <w:rFonts w:ascii="Times New Roman"/>
          <w:color w:val="000000" w:themeColor="text1"/>
          <w:vertAlign w:val="superscript"/>
          <w14:textFill>
            <w14:solidFill>
              <w14:schemeClr w14:val="tx1"/>
            </w14:solidFill>
          </w14:textFill>
        </w:rPr>
        <w:t>2</w:t>
      </w:r>
      <w:r>
        <w:rPr>
          <w:rFonts w:ascii="Times New Roman"/>
          <w:color w:val="000000" w:themeColor="text1"/>
          <w:szCs w:val="21"/>
          <w14:textFill>
            <w14:solidFill>
              <w14:schemeClr w14:val="tx1"/>
            </w14:solidFill>
          </w14:textFill>
        </w:rPr>
        <w:t>施用沼液1.5 t～3.0 t，配施硫酸钾水溶肥1.0 kg/667m</w:t>
      </w:r>
      <w:r>
        <w:rPr>
          <w:rFonts w:ascii="Times New Roman"/>
          <w:color w:val="000000" w:themeColor="text1"/>
          <w:szCs w:val="21"/>
          <w:vertAlign w:val="superscript"/>
          <w14:textFill>
            <w14:solidFill>
              <w14:schemeClr w14:val="tx1"/>
            </w14:solidFill>
          </w14:textFill>
        </w:rPr>
        <w:t>2</w:t>
      </w:r>
      <w:r>
        <w:rPr>
          <w:rFonts w:ascii="Times New Roman"/>
          <w:color w:val="000000" w:themeColor="text1"/>
          <w:szCs w:val="21"/>
          <w14:textFill>
            <w14:solidFill>
              <w14:schemeClr w14:val="tx1"/>
            </w14:solidFill>
          </w14:textFill>
        </w:rPr>
        <w:t>～1.5 kg/667m</w:t>
      </w:r>
      <w:r>
        <w:rPr>
          <w:rFonts w:ascii="Times New Roman"/>
          <w:color w:val="000000" w:themeColor="text1"/>
          <w:szCs w:val="21"/>
          <w:vertAlign w:val="superscript"/>
          <w14:textFill>
            <w14:solidFill>
              <w14:schemeClr w14:val="tx1"/>
            </w14:solidFill>
          </w14:textFill>
        </w:rPr>
        <w:t>2</w:t>
      </w:r>
      <w:r>
        <w:rPr>
          <w:rFonts w:ascii="Times New Roman"/>
          <w:color w:val="000000" w:themeColor="text1"/>
          <w:szCs w:val="21"/>
          <w14:textFill>
            <w14:solidFill>
              <w14:schemeClr w14:val="tx1"/>
            </w14:solidFill>
          </w14:textFill>
        </w:rPr>
        <w:t>，最后喷施清水，沼液、水溶肥与水灌溉总量约</w:t>
      </w:r>
      <w:r>
        <w:rPr>
          <w:rFonts w:hint="eastAsia" w:ascii="Times New Roman"/>
          <w:color w:val="FF0000"/>
          <w:szCs w:val="21"/>
        </w:rPr>
        <w:t>8</w:t>
      </w:r>
      <w:r>
        <w:rPr>
          <w:rFonts w:ascii="Times New Roman"/>
          <w:color w:val="000000" w:themeColor="text1"/>
          <w:szCs w:val="21"/>
          <w14:textFill>
            <w14:solidFill>
              <w14:schemeClr w14:val="tx1"/>
            </w14:solidFill>
          </w14:textFill>
        </w:rPr>
        <w:t xml:space="preserve"> t/667m</w:t>
      </w:r>
      <w:r>
        <w:rPr>
          <w:rFonts w:ascii="Times New Roman"/>
          <w:color w:val="000000" w:themeColor="text1"/>
          <w:szCs w:val="21"/>
          <w:vertAlign w:val="superscript"/>
          <w14:textFill>
            <w14:solidFill>
              <w14:schemeClr w14:val="tx1"/>
            </w14:solidFill>
          </w14:textFill>
        </w:rPr>
        <w:t>2</w:t>
      </w:r>
      <w:r>
        <w:rPr>
          <w:rFonts w:ascii="Times New Roman"/>
          <w:color w:val="000000" w:themeColor="text1"/>
          <w:szCs w:val="21"/>
          <w14:textFill>
            <w14:solidFill>
              <w14:schemeClr w14:val="tx1"/>
            </w14:solidFill>
          </w14:textFill>
        </w:rPr>
        <w:t>。盛果期根据长势、天气等因素，一般每采收2次辣椒施用1次沼液，每次每</w:t>
      </w:r>
      <w:r>
        <w:rPr>
          <w:rFonts w:ascii="Times New Roman"/>
          <w:color w:val="000000" w:themeColor="text1"/>
          <w14:textFill>
            <w14:solidFill>
              <w14:schemeClr w14:val="tx1"/>
            </w14:solidFill>
          </w14:textFill>
        </w:rPr>
        <w:t>667m</w:t>
      </w:r>
      <w:r>
        <w:rPr>
          <w:rFonts w:ascii="Times New Roman"/>
          <w:color w:val="000000" w:themeColor="text1"/>
          <w:vertAlign w:val="superscript"/>
          <w14:textFill>
            <w14:solidFill>
              <w14:schemeClr w14:val="tx1"/>
            </w14:solidFill>
          </w14:textFill>
        </w:rPr>
        <w:t>2</w:t>
      </w:r>
      <w:r>
        <w:rPr>
          <w:rFonts w:ascii="Times New Roman"/>
          <w:color w:val="000000" w:themeColor="text1"/>
          <w:szCs w:val="21"/>
          <w14:textFill>
            <w14:solidFill>
              <w14:schemeClr w14:val="tx1"/>
            </w14:solidFill>
          </w14:textFill>
        </w:rPr>
        <w:t>施用沼液2.0 t～3.5 t，配施硫酸钾水溶肥1.5 kg/667m</w:t>
      </w:r>
      <w:r>
        <w:rPr>
          <w:rFonts w:ascii="Times New Roman"/>
          <w:color w:val="000000" w:themeColor="text1"/>
          <w:szCs w:val="21"/>
          <w:vertAlign w:val="superscript"/>
          <w14:textFill>
            <w14:solidFill>
              <w14:schemeClr w14:val="tx1"/>
            </w14:solidFill>
          </w14:textFill>
        </w:rPr>
        <w:t>2</w:t>
      </w:r>
      <w:r>
        <w:rPr>
          <w:rFonts w:ascii="Times New Roman"/>
          <w:color w:val="000000" w:themeColor="text1"/>
          <w:szCs w:val="21"/>
          <w14:textFill>
            <w14:solidFill>
              <w14:schemeClr w14:val="tx1"/>
            </w14:solidFill>
          </w14:textFill>
        </w:rPr>
        <w:t>～2.0 kg/667m</w:t>
      </w:r>
      <w:r>
        <w:rPr>
          <w:rFonts w:ascii="Times New Roman"/>
          <w:color w:val="000000" w:themeColor="text1"/>
          <w:szCs w:val="21"/>
          <w:vertAlign w:val="superscript"/>
          <w14:textFill>
            <w14:solidFill>
              <w14:schemeClr w14:val="tx1"/>
            </w14:solidFill>
          </w14:textFill>
        </w:rPr>
        <w:t>2</w:t>
      </w:r>
      <w:r>
        <w:rPr>
          <w:rFonts w:ascii="Times New Roman"/>
          <w:color w:val="000000" w:themeColor="text1"/>
          <w:szCs w:val="21"/>
          <w14:textFill>
            <w14:solidFill>
              <w14:schemeClr w14:val="tx1"/>
            </w14:solidFill>
          </w14:textFill>
        </w:rPr>
        <w:t>，最后喷施清水，沼液、水溶肥与水灌溉总量约</w:t>
      </w:r>
      <w:r>
        <w:rPr>
          <w:rFonts w:hint="eastAsia" w:ascii="Times New Roman"/>
          <w:color w:val="000000" w:themeColor="text1"/>
          <w:szCs w:val="21"/>
          <w14:textFill>
            <w14:solidFill>
              <w14:schemeClr w14:val="tx1"/>
            </w14:solidFill>
          </w14:textFill>
        </w:rPr>
        <w:t>10</w:t>
      </w:r>
      <w:r>
        <w:rPr>
          <w:rFonts w:ascii="Times New Roman"/>
          <w:color w:val="000000" w:themeColor="text1"/>
          <w:szCs w:val="21"/>
          <w14:textFill>
            <w14:solidFill>
              <w14:schemeClr w14:val="tx1"/>
            </w14:solidFill>
          </w14:textFill>
        </w:rPr>
        <w:t xml:space="preserve"> t/667m</w:t>
      </w:r>
      <w:r>
        <w:rPr>
          <w:rFonts w:ascii="Times New Roman"/>
          <w:color w:val="000000" w:themeColor="text1"/>
          <w:szCs w:val="21"/>
          <w:vertAlign w:val="superscript"/>
          <w14:textFill>
            <w14:solidFill>
              <w14:schemeClr w14:val="tx1"/>
            </w14:solidFill>
          </w14:textFill>
        </w:rPr>
        <w:t>2</w:t>
      </w:r>
      <w:r>
        <w:rPr>
          <w:rFonts w:ascii="Times New Roman"/>
          <w:color w:val="000000" w:themeColor="text1"/>
          <w:szCs w:val="21"/>
          <w14:textFill>
            <w14:solidFill>
              <w14:schemeClr w14:val="tx1"/>
            </w14:solidFill>
          </w14:textFill>
        </w:rPr>
        <w:t>。</w:t>
      </w:r>
    </w:p>
    <w:p>
      <w:pPr>
        <w:spacing w:before="156" w:beforeLines="50"/>
        <w:outlineLvl w:val="0"/>
        <w:rPr>
          <w:rFonts w:eastAsia="黑体"/>
          <w:b/>
          <w:color w:val="000000" w:themeColor="text1"/>
          <w:szCs w:val="21"/>
          <w14:textFill>
            <w14:solidFill>
              <w14:schemeClr w14:val="tx1"/>
            </w14:solidFill>
          </w14:textFill>
        </w:rPr>
      </w:pPr>
      <w:bookmarkStart w:id="18" w:name="_Toc155357574"/>
      <w:r>
        <w:rPr>
          <w:rFonts w:eastAsia="黑体"/>
          <w:b/>
          <w:color w:val="000000" w:themeColor="text1"/>
          <w:szCs w:val="21"/>
          <w14:textFill>
            <w14:solidFill>
              <w14:schemeClr w14:val="tx1"/>
            </w14:solidFill>
          </w14:textFill>
        </w:rPr>
        <w:t>6.3.3</w:t>
      </w:r>
      <w:r>
        <w:rPr>
          <w:rFonts w:hint="eastAsia" w:eastAsia="黑体"/>
          <w:b/>
          <w:color w:val="000000" w:themeColor="text1"/>
          <w:szCs w:val="21"/>
          <w14:textFill>
            <w14:solidFill>
              <w14:schemeClr w14:val="tx1"/>
            </w14:solidFill>
          </w14:textFill>
        </w:rPr>
        <w:t>根茎类蔬菜（长白萝卜）畜禽粪污沼液施用方法</w:t>
      </w:r>
      <w:bookmarkEnd w:id="18"/>
    </w:p>
    <w:p>
      <w:pPr>
        <w:pStyle w:val="18"/>
        <w:spacing w:line="420" w:lineRule="exact"/>
        <w:rPr>
          <w:rFonts w:ascii="Times New Roman" w:eastAsia="黑体"/>
        </w:rPr>
      </w:pPr>
      <w:r>
        <w:rPr>
          <w:rFonts w:ascii="Times New Roman"/>
          <w:color w:val="000000" w:themeColor="text1"/>
          <w:szCs w:val="21"/>
          <w14:textFill>
            <w14:solidFill>
              <w14:schemeClr w14:val="tx1"/>
            </w14:solidFill>
          </w14:textFill>
        </w:rPr>
        <w:t>根茎类蔬菜畜禽粪污沼液参考施用量见表6。长白萝卜在直播前10 d～15 d，</w:t>
      </w:r>
      <w:r>
        <w:rPr>
          <w:rFonts w:ascii="Times New Roman"/>
          <w:szCs w:val="21"/>
        </w:rPr>
        <w:t>每</w:t>
      </w:r>
      <w:r>
        <w:rPr>
          <w:rFonts w:ascii="Times New Roman"/>
        </w:rPr>
        <w:t>667m</w:t>
      </w:r>
      <w:r>
        <w:rPr>
          <w:rFonts w:ascii="Times New Roman"/>
          <w:vertAlign w:val="superscript"/>
        </w:rPr>
        <w:t>2</w:t>
      </w:r>
      <w:r>
        <w:rPr>
          <w:rFonts w:ascii="Times New Roman"/>
          <w:szCs w:val="21"/>
        </w:rPr>
        <w:t>施用沼液6.0 t～</w:t>
      </w:r>
      <w:r>
        <w:rPr>
          <w:rFonts w:hint="eastAsia" w:ascii="Times New Roman"/>
          <w:szCs w:val="21"/>
        </w:rPr>
        <w:t>10</w:t>
      </w:r>
      <w:r>
        <w:rPr>
          <w:rFonts w:ascii="Times New Roman"/>
          <w:szCs w:val="21"/>
        </w:rPr>
        <w:t>.0 t，并配施复合肥30 kg～50 kg。在萝卜叶生长旺盛期、肉质根生长膨大期，根据叶色情况可适量补施肥料。其他品种萝卜根据目标产量调整沼液施用量。</w:t>
      </w:r>
    </w:p>
    <w:p>
      <w:pPr>
        <w:widowControl/>
        <w:numPr>
          <w:ilvl w:val="0"/>
          <w:numId w:val="4"/>
        </w:numPr>
        <w:spacing w:before="156" w:beforeLines="50" w:after="156" w:afterLines="50"/>
        <w:jc w:val="center"/>
        <w:rPr>
          <w:rFonts w:eastAsia="黑体"/>
          <w:szCs w:val="21"/>
        </w:rPr>
      </w:pPr>
      <w:r>
        <w:rPr>
          <w:rFonts w:eastAsia="黑体"/>
          <w:szCs w:val="21"/>
        </w:rPr>
        <w:t>表6 根茎类蔬菜不同浓度畜禽粪污沼液参考施用量</w:t>
      </w:r>
    </w:p>
    <w:tbl>
      <w:tblPr>
        <w:tblStyle w:val="12"/>
        <w:tblW w:w="468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91"/>
        <w:gridCol w:w="1096"/>
        <w:gridCol w:w="974"/>
        <w:gridCol w:w="2076"/>
        <w:gridCol w:w="2035"/>
        <w:gridCol w:w="16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3" w:hRule="atLeast"/>
        </w:trPr>
        <w:tc>
          <w:tcPr>
            <w:tcW w:w="462" w:type="pct"/>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4"/>
              </w:numPr>
              <w:jc w:val="center"/>
              <w:rPr>
                <w:sz w:val="18"/>
                <w:szCs w:val="18"/>
              </w:rPr>
            </w:pPr>
            <w:r>
              <w:rPr>
                <w:sz w:val="18"/>
                <w:szCs w:val="18"/>
              </w:rPr>
              <w:t>名</w:t>
            </w:r>
            <w:r>
              <w:rPr>
                <w:rFonts w:hint="eastAsia"/>
                <w:sz w:val="18"/>
                <w:szCs w:val="18"/>
              </w:rPr>
              <w:t xml:space="preserve"> </w:t>
            </w:r>
            <w:r>
              <w:rPr>
                <w:sz w:val="18"/>
                <w:szCs w:val="18"/>
              </w:rPr>
              <w:t>称</w:t>
            </w:r>
          </w:p>
        </w:tc>
        <w:tc>
          <w:tcPr>
            <w:tcW w:w="63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4"/>
              </w:numPr>
              <w:jc w:val="center"/>
              <w:rPr>
                <w:sz w:val="18"/>
                <w:szCs w:val="18"/>
              </w:rPr>
            </w:pPr>
            <w:r>
              <w:rPr>
                <w:sz w:val="18"/>
                <w:szCs w:val="18"/>
              </w:rPr>
              <w:t>施肥期</w:t>
            </w:r>
          </w:p>
        </w:tc>
        <w:tc>
          <w:tcPr>
            <w:tcW w:w="568"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r>
              <w:rPr>
                <w:sz w:val="18"/>
                <w:szCs w:val="18"/>
              </w:rPr>
              <w:t>施肥次数</w:t>
            </w:r>
          </w:p>
        </w:tc>
        <w:tc>
          <w:tcPr>
            <w:tcW w:w="23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4"/>
              </w:numPr>
              <w:ind w:right="-115" w:rightChars="-55"/>
              <w:jc w:val="center"/>
              <w:rPr>
                <w:sz w:val="18"/>
                <w:szCs w:val="18"/>
              </w:rPr>
            </w:pPr>
            <w:r>
              <w:rPr>
                <w:sz w:val="18"/>
                <w:szCs w:val="18"/>
              </w:rPr>
              <w:t>不同浓度沼液每次施用量（t/667m</w:t>
            </w:r>
            <w:r>
              <w:rPr>
                <w:sz w:val="18"/>
                <w:szCs w:val="18"/>
                <w:vertAlign w:val="superscript"/>
              </w:rPr>
              <w:t>2</w:t>
            </w:r>
            <w:r>
              <w:rPr>
                <w:sz w:val="18"/>
                <w:szCs w:val="18"/>
              </w:rPr>
              <w:t>）</w:t>
            </w:r>
          </w:p>
        </w:tc>
        <w:tc>
          <w:tcPr>
            <w:tcW w:w="93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right="-115" w:rightChars="-55"/>
              <w:jc w:val="center"/>
              <w:rPr>
                <w:sz w:val="18"/>
                <w:szCs w:val="18"/>
              </w:rPr>
            </w:pPr>
            <w:r>
              <w:rPr>
                <w:rFonts w:hint="eastAsia"/>
                <w:sz w:val="18"/>
                <w:szCs w:val="18"/>
              </w:rPr>
              <w:t>配</w:t>
            </w:r>
            <w:r>
              <w:rPr>
                <w:sz w:val="18"/>
                <w:szCs w:val="18"/>
              </w:rPr>
              <w:t>施复合肥</w:t>
            </w:r>
          </w:p>
          <w:p>
            <w:pPr>
              <w:widowControl/>
              <w:ind w:right="-115" w:rightChars="-55"/>
              <w:jc w:val="center"/>
              <w:rPr>
                <w:sz w:val="18"/>
                <w:szCs w:val="18"/>
              </w:rPr>
            </w:pPr>
            <w:r>
              <w:rPr>
                <w:sz w:val="18"/>
                <w:szCs w:val="18"/>
              </w:rPr>
              <w:t>（kg/667m</w:t>
            </w:r>
            <w:r>
              <w:rPr>
                <w:sz w:val="18"/>
                <w:szCs w:val="18"/>
                <w:vertAlign w:val="superscript"/>
              </w:rPr>
              <w:t>2</w:t>
            </w:r>
            <w:r>
              <w:rPr>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2" w:type="pct"/>
            <w:vMerge w:val="continue"/>
            <w:tcBorders>
              <w:top w:val="single" w:color="auto" w:sz="4" w:space="0"/>
              <w:left w:val="single" w:color="auto" w:sz="4" w:space="0"/>
              <w:bottom w:val="single" w:color="auto" w:sz="4" w:space="0"/>
              <w:right w:val="single" w:color="auto" w:sz="4" w:space="0"/>
            </w:tcBorders>
            <w:vAlign w:val="center"/>
          </w:tcPr>
          <w:p>
            <w:pPr>
              <w:widowControl/>
              <w:numPr>
                <w:ilvl w:val="0"/>
                <w:numId w:val="4"/>
              </w:numPr>
              <w:jc w:val="center"/>
              <w:rPr>
                <w:sz w:val="18"/>
                <w:szCs w:val="18"/>
              </w:rPr>
            </w:pPr>
          </w:p>
        </w:tc>
        <w:tc>
          <w:tcPr>
            <w:tcW w:w="63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4"/>
              </w:numPr>
              <w:jc w:val="center"/>
              <w:rPr>
                <w:sz w:val="18"/>
                <w:szCs w:val="18"/>
              </w:rPr>
            </w:pPr>
          </w:p>
        </w:tc>
        <w:tc>
          <w:tcPr>
            <w:tcW w:w="568"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p>
        </w:tc>
        <w:tc>
          <w:tcPr>
            <w:tcW w:w="121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18"/>
                <w:szCs w:val="18"/>
              </w:rPr>
            </w:pPr>
            <w:r>
              <w:rPr>
                <w:sz w:val="18"/>
                <w:szCs w:val="18"/>
              </w:rPr>
              <w:t>总氮浓度</w:t>
            </w:r>
          </w:p>
          <w:p>
            <w:pPr>
              <w:widowControl/>
              <w:jc w:val="center"/>
              <w:rPr>
                <w:sz w:val="18"/>
                <w:szCs w:val="18"/>
              </w:rPr>
            </w:pPr>
            <w:r>
              <w:rPr>
                <w:sz w:val="18"/>
                <w:szCs w:val="18"/>
              </w:rPr>
              <w:t>1200 mg/L～</w:t>
            </w:r>
            <w:r>
              <w:rPr>
                <w:rFonts w:hint="eastAsia"/>
                <w:sz w:val="18"/>
                <w:szCs w:val="18"/>
              </w:rPr>
              <w:t>9</w:t>
            </w:r>
            <w:r>
              <w:rPr>
                <w:sz w:val="18"/>
                <w:szCs w:val="18"/>
              </w:rPr>
              <w:t>00 mg/L</w:t>
            </w:r>
          </w:p>
        </w:tc>
        <w:tc>
          <w:tcPr>
            <w:tcW w:w="1187" w:type="pct"/>
            <w:tcBorders>
              <w:top w:val="single" w:color="auto" w:sz="4" w:space="0"/>
              <w:left w:val="single" w:color="auto" w:sz="4" w:space="0"/>
              <w:bottom w:val="single" w:color="auto" w:sz="4" w:space="0"/>
              <w:right w:val="single" w:color="auto" w:sz="4" w:space="0"/>
            </w:tcBorders>
          </w:tcPr>
          <w:p>
            <w:pPr>
              <w:widowControl/>
              <w:numPr>
                <w:ilvl w:val="0"/>
                <w:numId w:val="4"/>
              </w:numPr>
              <w:jc w:val="center"/>
              <w:rPr>
                <w:sz w:val="18"/>
                <w:szCs w:val="18"/>
              </w:rPr>
            </w:pPr>
            <w:r>
              <w:rPr>
                <w:sz w:val="18"/>
                <w:szCs w:val="18"/>
              </w:rPr>
              <w:t>总氮浓度</w:t>
            </w:r>
          </w:p>
          <w:p>
            <w:pPr>
              <w:widowControl/>
              <w:numPr>
                <w:ilvl w:val="0"/>
                <w:numId w:val="4"/>
              </w:numPr>
              <w:jc w:val="center"/>
              <w:rPr>
                <w:sz w:val="18"/>
                <w:szCs w:val="18"/>
              </w:rPr>
            </w:pPr>
            <w:r>
              <w:rPr>
                <w:sz w:val="18"/>
                <w:szCs w:val="18"/>
              </w:rPr>
              <w:t>900 mg/L～600 mg/L</w:t>
            </w:r>
          </w:p>
        </w:tc>
        <w:tc>
          <w:tcPr>
            <w:tcW w:w="93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4"/>
              </w:numPr>
              <w:jc w:val="center"/>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4"/>
              </w:numPr>
              <w:spacing w:line="320" w:lineRule="exact"/>
              <w:jc w:val="center"/>
              <w:rPr>
                <w:sz w:val="18"/>
                <w:szCs w:val="18"/>
              </w:rPr>
            </w:pPr>
            <w:r>
              <w:rPr>
                <w:sz w:val="18"/>
                <w:szCs w:val="18"/>
              </w:rPr>
              <w:t>长白萝卜</w:t>
            </w:r>
          </w:p>
        </w:tc>
        <w:tc>
          <w:tcPr>
            <w:tcW w:w="63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4"/>
              </w:numPr>
              <w:spacing w:line="400" w:lineRule="exact"/>
              <w:jc w:val="center"/>
              <w:rPr>
                <w:sz w:val="18"/>
                <w:szCs w:val="18"/>
              </w:rPr>
            </w:pPr>
            <w:r>
              <w:rPr>
                <w:sz w:val="18"/>
                <w:szCs w:val="18"/>
              </w:rPr>
              <w:t>基肥期</w:t>
            </w:r>
          </w:p>
        </w:tc>
        <w:tc>
          <w:tcPr>
            <w:tcW w:w="568"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spacing w:line="400" w:lineRule="exact"/>
              <w:jc w:val="center"/>
              <w:rPr>
                <w:sz w:val="18"/>
                <w:szCs w:val="18"/>
              </w:rPr>
            </w:pPr>
            <w:r>
              <w:rPr>
                <w:sz w:val="18"/>
                <w:szCs w:val="18"/>
              </w:rPr>
              <w:t>1</w:t>
            </w:r>
          </w:p>
        </w:tc>
        <w:tc>
          <w:tcPr>
            <w:tcW w:w="121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4"/>
              </w:numPr>
              <w:spacing w:line="400" w:lineRule="exact"/>
              <w:jc w:val="center"/>
              <w:rPr>
                <w:sz w:val="18"/>
                <w:szCs w:val="18"/>
              </w:rPr>
            </w:pPr>
            <w:r>
              <w:rPr>
                <w:sz w:val="18"/>
                <w:szCs w:val="18"/>
              </w:rPr>
              <w:t>6.0～8.0</w:t>
            </w:r>
          </w:p>
        </w:tc>
        <w:tc>
          <w:tcPr>
            <w:tcW w:w="1187"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spacing w:line="400" w:lineRule="exact"/>
              <w:jc w:val="center"/>
              <w:rPr>
                <w:sz w:val="18"/>
                <w:szCs w:val="18"/>
              </w:rPr>
            </w:pPr>
            <w:r>
              <w:rPr>
                <w:sz w:val="18"/>
                <w:szCs w:val="18"/>
              </w:rPr>
              <w:t>8.0～10.0</w:t>
            </w:r>
          </w:p>
        </w:tc>
        <w:tc>
          <w:tcPr>
            <w:tcW w:w="9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4"/>
              </w:numPr>
              <w:spacing w:line="400" w:lineRule="exact"/>
              <w:jc w:val="center"/>
              <w:rPr>
                <w:sz w:val="18"/>
                <w:szCs w:val="18"/>
              </w:rPr>
            </w:pPr>
            <w:r>
              <w:rPr>
                <w:sz w:val="18"/>
                <w:szCs w:val="18"/>
              </w:rPr>
              <w:t>30～50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4"/>
              </w:numPr>
              <w:spacing w:line="320" w:lineRule="exact"/>
              <w:jc w:val="center"/>
              <w:rPr>
                <w:sz w:val="18"/>
                <w:szCs w:val="18"/>
              </w:rPr>
            </w:pPr>
          </w:p>
        </w:tc>
        <w:tc>
          <w:tcPr>
            <w:tcW w:w="12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4"/>
              </w:numPr>
              <w:spacing w:line="400" w:lineRule="exact"/>
              <w:jc w:val="center"/>
              <w:rPr>
                <w:sz w:val="18"/>
                <w:szCs w:val="18"/>
              </w:rPr>
            </w:pPr>
            <w:r>
              <w:rPr>
                <w:sz w:val="18"/>
                <w:szCs w:val="18"/>
              </w:rPr>
              <w:t>沼液累计用量</w:t>
            </w:r>
          </w:p>
        </w:tc>
        <w:tc>
          <w:tcPr>
            <w:tcW w:w="121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4"/>
              </w:numPr>
              <w:spacing w:line="400" w:lineRule="exact"/>
              <w:jc w:val="center"/>
              <w:rPr>
                <w:sz w:val="18"/>
                <w:szCs w:val="18"/>
              </w:rPr>
            </w:pPr>
            <w:r>
              <w:rPr>
                <w:sz w:val="18"/>
                <w:szCs w:val="18"/>
              </w:rPr>
              <w:t>6～8</w:t>
            </w:r>
          </w:p>
        </w:tc>
        <w:tc>
          <w:tcPr>
            <w:tcW w:w="1187"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spacing w:line="400" w:lineRule="exact"/>
              <w:jc w:val="center"/>
              <w:rPr>
                <w:sz w:val="18"/>
                <w:szCs w:val="18"/>
              </w:rPr>
            </w:pPr>
            <w:r>
              <w:rPr>
                <w:sz w:val="18"/>
                <w:szCs w:val="18"/>
              </w:rPr>
              <w:t>8～10</w:t>
            </w:r>
          </w:p>
        </w:tc>
        <w:tc>
          <w:tcPr>
            <w:tcW w:w="9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4"/>
              </w:numPr>
              <w:spacing w:line="400" w:lineRule="exact"/>
              <w:jc w:val="center"/>
              <w:rPr>
                <w:sz w:val="18"/>
                <w:szCs w:val="18"/>
              </w:rPr>
            </w:pPr>
            <w:r>
              <w:rPr>
                <w:rFonts w:eastAsia="黑体"/>
                <w:sz w:val="18"/>
                <w:szCs w:val="18"/>
              </w:rPr>
              <w:t>-</w:t>
            </w:r>
          </w:p>
        </w:tc>
      </w:tr>
    </w:tbl>
    <w:p>
      <w:pPr>
        <w:rPr>
          <w:color w:val="000000" w:themeColor="text1"/>
          <w14:textFill>
            <w14:solidFill>
              <w14:schemeClr w14:val="tx1"/>
            </w14:solidFill>
          </w14:textFill>
        </w:rPr>
      </w:pPr>
    </w:p>
    <w:p>
      <w:pPr>
        <w:widowControl/>
        <w:jc w:val="left"/>
        <w:rPr>
          <w:color w:val="000000" w:themeColor="text1"/>
          <w14:textFill>
            <w14:solidFill>
              <w14:schemeClr w14:val="tx1"/>
            </w14:solidFill>
          </w14:textFill>
        </w:rPr>
      </w:pPr>
      <w:r>
        <w:rPr>
          <w:color w:val="000000" w:themeColor="text1"/>
          <w14:textFill>
            <w14:solidFill>
              <w14:schemeClr w14:val="tx1"/>
            </w14:solidFill>
          </w14:textFill>
        </w:rPr>
        <w:br w:type="page"/>
      </w:r>
    </w:p>
    <w:p>
      <w:pPr>
        <w:spacing w:before="156" w:beforeLines="50" w:after="156" w:afterLines="50"/>
        <w:jc w:val="center"/>
        <w:outlineLvl w:val="0"/>
        <w:rPr>
          <w:rFonts w:eastAsia="黑体"/>
          <w:b/>
          <w:color w:val="000000" w:themeColor="text1"/>
          <w:szCs w:val="21"/>
          <w14:textFill>
            <w14:solidFill>
              <w14:schemeClr w14:val="tx1"/>
            </w14:solidFill>
          </w14:textFill>
        </w:rPr>
      </w:pPr>
      <w:bookmarkStart w:id="19" w:name="_Toc155357575"/>
      <w:r>
        <w:rPr>
          <w:rFonts w:eastAsia="黑体"/>
          <w:b/>
          <w:color w:val="000000" w:themeColor="text1"/>
          <w:szCs w:val="21"/>
          <w14:textFill>
            <w14:solidFill>
              <w14:schemeClr w14:val="tx1"/>
            </w14:solidFill>
          </w14:textFill>
        </w:rPr>
        <w:t>参考文献</w:t>
      </w:r>
      <w:bookmarkEnd w:id="19"/>
    </w:p>
    <w:p>
      <w:pPr>
        <w:pStyle w:val="18"/>
        <w:spacing w:line="420" w:lineRule="exact"/>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[1] GB/T 40750-2021 农用沼液</w:t>
      </w:r>
    </w:p>
    <w:p>
      <w:pPr>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248920</wp:posOffset>
                </wp:positionV>
                <wp:extent cx="2360295" cy="0"/>
                <wp:effectExtent l="0" t="0" r="0" b="0"/>
                <wp:wrapNone/>
                <wp:docPr id="15" name="直接连接符 15"/>
                <wp:cNvGraphicFramePr/>
                <a:graphic xmlns:a="http://schemas.openxmlformats.org/drawingml/2006/main">
                  <a:graphicData uri="http://schemas.microsoft.com/office/word/2010/wordprocessingShape">
                    <wps:wsp>
                      <wps:cNvCnPr/>
                      <wps:spPr>
                        <a:xfrm>
                          <a:off x="0" y="0"/>
                          <a:ext cx="236014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top:19.6pt;height:0pt;width:185.85pt;mso-position-horizontal:center;mso-position-horizontal-relative:margin;z-index:251669504;mso-width-relative:page;mso-height-relative:page;" filled="f" stroked="t" coordsize="21600,21600" o:gfxdata="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c&#10;pch/0wAAAAYBAAAPAAAAAAAAAAEAIAAAACIAAABkcnMvZG93bnJldi54bWxQSwECFAAUAAAACACH&#10;TuJAQHsJ7/ABAADVAwAADgAAAAAAAAABACAAAAAiAQAAZHJzL2Uyb0RvYy54bWxQSwUGAAAAAAYA&#10;BgBZAQAAhAUAAAAA&#10;">
                <v:fill on="f" focussize="0,0"/>
                <v:stroke weight="0.5pt" color="#000000 [3200]" joinstyle="round"/>
                <v:imagedata o:title=""/>
                <o:lock v:ext="edit" aspectratio="f"/>
              </v:line>
            </w:pict>
          </mc:Fallback>
        </mc:AlternateContent>
      </w:r>
    </w:p>
    <w:sectPr>
      <w:pgSz w:w="11906" w:h="16838"/>
      <w:pgMar w:top="567" w:right="1558" w:bottom="1134" w:left="1418"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rStyle w:val="15"/>
      </w:rPr>
    </w:pPr>
    <w:r>
      <w:rPr>
        <w:rStyle w:val="15"/>
      </w:rPr>
      <w:fldChar w:fldCharType="begin"/>
    </w:r>
    <w:r>
      <w:rPr>
        <w:rStyle w:val="15"/>
      </w:rPr>
      <w:instrText xml:space="preserve">PAGE  </w:instrText>
    </w:r>
    <w:r>
      <w:rPr>
        <w:rStyle w:val="15"/>
      </w:rPr>
      <w:fldChar w:fldCharType="separate"/>
    </w:r>
    <w:r>
      <w:rPr>
        <w:rStyle w:val="15"/>
      </w:rPr>
      <w:t>1</w:t>
    </w:r>
    <w:r>
      <w:rPr>
        <w:rStyle w:val="1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rPr>
        <w:rStyle w:val="15"/>
      </w:rPr>
    </w:pPr>
    <w:r>
      <w:rPr>
        <w:rStyle w:val="15"/>
      </w:rPr>
      <w:fldChar w:fldCharType="begin"/>
    </w:r>
    <w:r>
      <w:rPr>
        <w:rStyle w:val="15"/>
      </w:rPr>
      <w:instrText xml:space="preserve">PAGE  </w:instrText>
    </w:r>
    <w:r>
      <w:rPr>
        <w:rStyle w:val="15"/>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fldChar w:fldCharType="begin"/>
    </w:r>
    <w:r>
      <w:instrText xml:space="preserve"> PAGE  \* MERGEFORMAT </w:instrText>
    </w:r>
    <w:r>
      <w:fldChar w:fldCharType="separate"/>
    </w:r>
    <w:r>
      <w:t>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DB32 /T××××—2003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DB32 /T××××—2003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DB32/ XXXXX—202</w:t>
    </w:r>
    <w:r>
      <w:rPr>
        <w:rFonts w:hint="eastAsia"/>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2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eastAsia="zh-CN"/>
        <w14:shadow w14:blurRad="0" w14:dist="0" w14:dir="0" w14:sx="0" w14:sy="0" w14:kx="0" w14:ky="0" w14:algn="none">
          <w14:srgbClr w14:val="000000"/>
        </w14:shadow>
      </w:rPr>
    </w:lvl>
    <w:lvl w:ilvl="2" w:tentative="0">
      <w:start w:val="1"/>
      <w:numFmt w:val="decimal"/>
      <w:pStyle w:val="24"/>
      <w:suff w:val="nothing"/>
      <w:lvlText w:val="%1.%2.%3　"/>
      <w:lvlJc w:val="left"/>
      <w:pPr>
        <w:ind w:left="0" w:firstLine="0"/>
      </w:pPr>
      <w:rPr>
        <w:rFonts w:hint="eastAsia" w:ascii="黑体" w:hAnsi="Times New Roman" w:eastAsia="黑体"/>
        <w:b w:val="0"/>
        <w:i w:val="0"/>
        <w:sz w:val="21"/>
      </w:rPr>
    </w:lvl>
    <w:lvl w:ilvl="3" w:tentative="0">
      <w:start w:val="1"/>
      <w:numFmt w:val="decimal"/>
      <w:pStyle w:val="26"/>
      <w:suff w:val="nothing"/>
      <w:lvlText w:val="%1.%2.%3.%4　"/>
      <w:lvlJc w:val="left"/>
      <w:pPr>
        <w:ind w:left="0" w:firstLine="0"/>
      </w:pPr>
      <w:rPr>
        <w:rFonts w:hint="eastAsia" w:ascii="黑体" w:hAnsi="Times New Roman" w:eastAsia="黑体"/>
        <w:b w:val="0"/>
        <w:i w:val="0"/>
        <w:sz w:val="21"/>
      </w:rPr>
    </w:lvl>
    <w:lvl w:ilvl="4" w:tentative="0">
      <w:start w:val="1"/>
      <w:numFmt w:val="decimal"/>
      <w:pStyle w:val="27"/>
      <w:suff w:val="nothing"/>
      <w:lvlText w:val="%1.%2.%3.%4.%5　"/>
      <w:lvlJc w:val="left"/>
      <w:pPr>
        <w:ind w:left="0" w:firstLine="0"/>
      </w:pPr>
      <w:rPr>
        <w:rFonts w:hint="eastAsia" w:ascii="黑体" w:hAnsi="Times New Roman" w:eastAsia="黑体"/>
        <w:b w:val="0"/>
        <w:i w:val="0"/>
        <w:sz w:val="21"/>
      </w:rPr>
    </w:lvl>
    <w:lvl w:ilvl="5" w:tentative="0">
      <w:start w:val="1"/>
      <w:numFmt w:val="decimal"/>
      <w:pStyle w:val="2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557C2AF5"/>
    <w:multiLevelType w:val="multilevel"/>
    <w:tmpl w:val="557C2AF5"/>
    <w:lvl w:ilvl="0" w:tentative="0">
      <w:start w:val="1"/>
      <w:numFmt w:val="decimal"/>
      <w:pStyle w:val="3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284" w:firstLine="0"/>
      </w:pPr>
      <w:rPr>
        <w:rFonts w:hint="eastAsia" w:ascii="黑体" w:hAnsi="Times New Roman" w:eastAsia="黑体"/>
        <w:b w:val="0"/>
        <w:i w:val="0"/>
        <w:sz w:val="21"/>
        <w:szCs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105"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6DBF04F4"/>
    <w:multiLevelType w:val="multilevel"/>
    <w:tmpl w:val="6DBF04F4"/>
    <w:lvl w:ilvl="0" w:tentative="0">
      <w:start w:val="1"/>
      <w:numFmt w:val="none"/>
      <w:pStyle w:val="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3"/>
  </w:num>
  <w:num w:numId="2">
    <w:abstractNumId w:val="0"/>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98255F"/>
    <w:rsid w:val="000001F1"/>
    <w:rsid w:val="00003D77"/>
    <w:rsid w:val="000067D1"/>
    <w:rsid w:val="00010A19"/>
    <w:rsid w:val="0001378C"/>
    <w:rsid w:val="00013AAD"/>
    <w:rsid w:val="00014FEB"/>
    <w:rsid w:val="00015A49"/>
    <w:rsid w:val="000163E0"/>
    <w:rsid w:val="000169A7"/>
    <w:rsid w:val="00021015"/>
    <w:rsid w:val="000210D4"/>
    <w:rsid w:val="0002199C"/>
    <w:rsid w:val="0002362E"/>
    <w:rsid w:val="00023967"/>
    <w:rsid w:val="00023D11"/>
    <w:rsid w:val="00034BF5"/>
    <w:rsid w:val="00040CF0"/>
    <w:rsid w:val="00041761"/>
    <w:rsid w:val="0004249C"/>
    <w:rsid w:val="000462DC"/>
    <w:rsid w:val="00053EA1"/>
    <w:rsid w:val="000542C5"/>
    <w:rsid w:val="000614C2"/>
    <w:rsid w:val="00064646"/>
    <w:rsid w:val="000720BF"/>
    <w:rsid w:val="00074C75"/>
    <w:rsid w:val="0007517F"/>
    <w:rsid w:val="000766B8"/>
    <w:rsid w:val="00076E23"/>
    <w:rsid w:val="00086A87"/>
    <w:rsid w:val="00087E12"/>
    <w:rsid w:val="000903C1"/>
    <w:rsid w:val="00090A12"/>
    <w:rsid w:val="00094A8D"/>
    <w:rsid w:val="00095B04"/>
    <w:rsid w:val="00095E64"/>
    <w:rsid w:val="000A1376"/>
    <w:rsid w:val="000A4451"/>
    <w:rsid w:val="000A666C"/>
    <w:rsid w:val="000A6DD1"/>
    <w:rsid w:val="000B52DC"/>
    <w:rsid w:val="000B5E9E"/>
    <w:rsid w:val="000B7F65"/>
    <w:rsid w:val="000C11C7"/>
    <w:rsid w:val="000C3060"/>
    <w:rsid w:val="000C3E07"/>
    <w:rsid w:val="000C683A"/>
    <w:rsid w:val="000D2BB7"/>
    <w:rsid w:val="000D3B68"/>
    <w:rsid w:val="000D5C89"/>
    <w:rsid w:val="000D66D2"/>
    <w:rsid w:val="000E1676"/>
    <w:rsid w:val="000E2906"/>
    <w:rsid w:val="000E3335"/>
    <w:rsid w:val="000E432A"/>
    <w:rsid w:val="000E657B"/>
    <w:rsid w:val="000E6752"/>
    <w:rsid w:val="000F04FE"/>
    <w:rsid w:val="000F254A"/>
    <w:rsid w:val="000F64D3"/>
    <w:rsid w:val="0010118B"/>
    <w:rsid w:val="00101996"/>
    <w:rsid w:val="0010271F"/>
    <w:rsid w:val="0010694F"/>
    <w:rsid w:val="00107BBF"/>
    <w:rsid w:val="00115DC1"/>
    <w:rsid w:val="00115FB5"/>
    <w:rsid w:val="00116BF2"/>
    <w:rsid w:val="00120363"/>
    <w:rsid w:val="00120A10"/>
    <w:rsid w:val="0012171B"/>
    <w:rsid w:val="001221E6"/>
    <w:rsid w:val="001222BD"/>
    <w:rsid w:val="00122366"/>
    <w:rsid w:val="00122A94"/>
    <w:rsid w:val="00122B1A"/>
    <w:rsid w:val="00125161"/>
    <w:rsid w:val="00125B34"/>
    <w:rsid w:val="00127AC9"/>
    <w:rsid w:val="00130060"/>
    <w:rsid w:val="001302C9"/>
    <w:rsid w:val="0013104A"/>
    <w:rsid w:val="00132534"/>
    <w:rsid w:val="001333B9"/>
    <w:rsid w:val="00134BBF"/>
    <w:rsid w:val="001350F5"/>
    <w:rsid w:val="00135B89"/>
    <w:rsid w:val="001369CF"/>
    <w:rsid w:val="0013781C"/>
    <w:rsid w:val="00142CD7"/>
    <w:rsid w:val="00144F40"/>
    <w:rsid w:val="001455F6"/>
    <w:rsid w:val="00152401"/>
    <w:rsid w:val="00156574"/>
    <w:rsid w:val="00157D8B"/>
    <w:rsid w:val="00162BCF"/>
    <w:rsid w:val="001636A9"/>
    <w:rsid w:val="00165171"/>
    <w:rsid w:val="0016518F"/>
    <w:rsid w:val="00166903"/>
    <w:rsid w:val="00171610"/>
    <w:rsid w:val="00172FF4"/>
    <w:rsid w:val="00173062"/>
    <w:rsid w:val="00174F62"/>
    <w:rsid w:val="001760DF"/>
    <w:rsid w:val="001771E0"/>
    <w:rsid w:val="00181E40"/>
    <w:rsid w:val="00182C04"/>
    <w:rsid w:val="00184A18"/>
    <w:rsid w:val="00184B19"/>
    <w:rsid w:val="00187EF2"/>
    <w:rsid w:val="001925CF"/>
    <w:rsid w:val="001A13D0"/>
    <w:rsid w:val="001B0650"/>
    <w:rsid w:val="001B6FAC"/>
    <w:rsid w:val="001C0AE9"/>
    <w:rsid w:val="001C0BF8"/>
    <w:rsid w:val="001C3FFE"/>
    <w:rsid w:val="001D41FE"/>
    <w:rsid w:val="001D576A"/>
    <w:rsid w:val="001D6876"/>
    <w:rsid w:val="001E0F11"/>
    <w:rsid w:val="001E1107"/>
    <w:rsid w:val="001E3397"/>
    <w:rsid w:val="001E3809"/>
    <w:rsid w:val="001E58ED"/>
    <w:rsid w:val="001E6806"/>
    <w:rsid w:val="001E6EDF"/>
    <w:rsid w:val="001F3054"/>
    <w:rsid w:val="001F3A2D"/>
    <w:rsid w:val="001F4D92"/>
    <w:rsid w:val="002014BB"/>
    <w:rsid w:val="00201B89"/>
    <w:rsid w:val="002045CE"/>
    <w:rsid w:val="002172A2"/>
    <w:rsid w:val="00217499"/>
    <w:rsid w:val="002222B9"/>
    <w:rsid w:val="002224F1"/>
    <w:rsid w:val="00226FE7"/>
    <w:rsid w:val="00227F99"/>
    <w:rsid w:val="0023350C"/>
    <w:rsid w:val="00233D34"/>
    <w:rsid w:val="002360FB"/>
    <w:rsid w:val="00241C3C"/>
    <w:rsid w:val="002466B0"/>
    <w:rsid w:val="00247B82"/>
    <w:rsid w:val="002506A9"/>
    <w:rsid w:val="00250A7D"/>
    <w:rsid w:val="00251648"/>
    <w:rsid w:val="00251771"/>
    <w:rsid w:val="002526C1"/>
    <w:rsid w:val="002534FB"/>
    <w:rsid w:val="002540AF"/>
    <w:rsid w:val="00255DDE"/>
    <w:rsid w:val="00261DE3"/>
    <w:rsid w:val="00262226"/>
    <w:rsid w:val="00262F24"/>
    <w:rsid w:val="00271BC5"/>
    <w:rsid w:val="00276A89"/>
    <w:rsid w:val="00277815"/>
    <w:rsid w:val="00277D14"/>
    <w:rsid w:val="002825E4"/>
    <w:rsid w:val="00285431"/>
    <w:rsid w:val="00286407"/>
    <w:rsid w:val="00294DF1"/>
    <w:rsid w:val="002953B9"/>
    <w:rsid w:val="002953CB"/>
    <w:rsid w:val="00297073"/>
    <w:rsid w:val="002A037C"/>
    <w:rsid w:val="002A0F80"/>
    <w:rsid w:val="002A1204"/>
    <w:rsid w:val="002A1E4D"/>
    <w:rsid w:val="002A2205"/>
    <w:rsid w:val="002A55BF"/>
    <w:rsid w:val="002B1629"/>
    <w:rsid w:val="002B338D"/>
    <w:rsid w:val="002B4348"/>
    <w:rsid w:val="002C15CE"/>
    <w:rsid w:val="002C1A8B"/>
    <w:rsid w:val="002C3AE9"/>
    <w:rsid w:val="002C3D30"/>
    <w:rsid w:val="002C42F2"/>
    <w:rsid w:val="002C54B6"/>
    <w:rsid w:val="002C54F3"/>
    <w:rsid w:val="002C7998"/>
    <w:rsid w:val="002C7E55"/>
    <w:rsid w:val="002D1AA4"/>
    <w:rsid w:val="002D214F"/>
    <w:rsid w:val="002D3F7B"/>
    <w:rsid w:val="002D4535"/>
    <w:rsid w:val="002D687A"/>
    <w:rsid w:val="002E48F5"/>
    <w:rsid w:val="002E5754"/>
    <w:rsid w:val="002E5BB9"/>
    <w:rsid w:val="002E7DA7"/>
    <w:rsid w:val="002F1F63"/>
    <w:rsid w:val="002F2C30"/>
    <w:rsid w:val="002F536A"/>
    <w:rsid w:val="002F564B"/>
    <w:rsid w:val="002F5B62"/>
    <w:rsid w:val="002F7466"/>
    <w:rsid w:val="0030088C"/>
    <w:rsid w:val="00300CA7"/>
    <w:rsid w:val="00302E02"/>
    <w:rsid w:val="0030427E"/>
    <w:rsid w:val="00310B74"/>
    <w:rsid w:val="00311EE2"/>
    <w:rsid w:val="00316A71"/>
    <w:rsid w:val="00317AA0"/>
    <w:rsid w:val="00320469"/>
    <w:rsid w:val="003245D6"/>
    <w:rsid w:val="003246F4"/>
    <w:rsid w:val="0032565E"/>
    <w:rsid w:val="0032645D"/>
    <w:rsid w:val="003300A7"/>
    <w:rsid w:val="00331D1A"/>
    <w:rsid w:val="00334996"/>
    <w:rsid w:val="0033697E"/>
    <w:rsid w:val="00342D87"/>
    <w:rsid w:val="003507CF"/>
    <w:rsid w:val="0035182C"/>
    <w:rsid w:val="003607D8"/>
    <w:rsid w:val="003631E4"/>
    <w:rsid w:val="00364014"/>
    <w:rsid w:val="00366358"/>
    <w:rsid w:val="00367255"/>
    <w:rsid w:val="00370860"/>
    <w:rsid w:val="00371027"/>
    <w:rsid w:val="003737D6"/>
    <w:rsid w:val="00373BBB"/>
    <w:rsid w:val="00373DA0"/>
    <w:rsid w:val="00374F3E"/>
    <w:rsid w:val="00376A2B"/>
    <w:rsid w:val="00377251"/>
    <w:rsid w:val="00381254"/>
    <w:rsid w:val="00385E13"/>
    <w:rsid w:val="00386374"/>
    <w:rsid w:val="00390627"/>
    <w:rsid w:val="00391871"/>
    <w:rsid w:val="00391A0A"/>
    <w:rsid w:val="00392BF5"/>
    <w:rsid w:val="00394923"/>
    <w:rsid w:val="003A7C48"/>
    <w:rsid w:val="003B1C1F"/>
    <w:rsid w:val="003C0AD1"/>
    <w:rsid w:val="003C0F74"/>
    <w:rsid w:val="003C26A4"/>
    <w:rsid w:val="003C618C"/>
    <w:rsid w:val="003C6241"/>
    <w:rsid w:val="003D130B"/>
    <w:rsid w:val="003D2704"/>
    <w:rsid w:val="003D43FF"/>
    <w:rsid w:val="003D63CB"/>
    <w:rsid w:val="003E5EE1"/>
    <w:rsid w:val="003E5F95"/>
    <w:rsid w:val="003F28DD"/>
    <w:rsid w:val="003F316A"/>
    <w:rsid w:val="003F4734"/>
    <w:rsid w:val="003F6383"/>
    <w:rsid w:val="003F6B98"/>
    <w:rsid w:val="004014BC"/>
    <w:rsid w:val="0040160D"/>
    <w:rsid w:val="00402E58"/>
    <w:rsid w:val="00403893"/>
    <w:rsid w:val="00404AEC"/>
    <w:rsid w:val="004068A4"/>
    <w:rsid w:val="00407CD5"/>
    <w:rsid w:val="00407FCE"/>
    <w:rsid w:val="00412210"/>
    <w:rsid w:val="00412A9F"/>
    <w:rsid w:val="00417333"/>
    <w:rsid w:val="004303B9"/>
    <w:rsid w:val="00430BE8"/>
    <w:rsid w:val="00431766"/>
    <w:rsid w:val="004328F9"/>
    <w:rsid w:val="00435B28"/>
    <w:rsid w:val="00436F96"/>
    <w:rsid w:val="00437680"/>
    <w:rsid w:val="0044102A"/>
    <w:rsid w:val="004420A1"/>
    <w:rsid w:val="00445848"/>
    <w:rsid w:val="00445860"/>
    <w:rsid w:val="00447ECA"/>
    <w:rsid w:val="004505C0"/>
    <w:rsid w:val="004541F5"/>
    <w:rsid w:val="00454416"/>
    <w:rsid w:val="00455FC6"/>
    <w:rsid w:val="004568EE"/>
    <w:rsid w:val="00462331"/>
    <w:rsid w:val="00463173"/>
    <w:rsid w:val="004650DA"/>
    <w:rsid w:val="0046542C"/>
    <w:rsid w:val="00466127"/>
    <w:rsid w:val="00470353"/>
    <w:rsid w:val="00471772"/>
    <w:rsid w:val="00473BD3"/>
    <w:rsid w:val="00474489"/>
    <w:rsid w:val="0047513F"/>
    <w:rsid w:val="00475339"/>
    <w:rsid w:val="0047580A"/>
    <w:rsid w:val="00475A44"/>
    <w:rsid w:val="00477191"/>
    <w:rsid w:val="00483A7E"/>
    <w:rsid w:val="004856C0"/>
    <w:rsid w:val="00491D3D"/>
    <w:rsid w:val="0049433B"/>
    <w:rsid w:val="004952A7"/>
    <w:rsid w:val="004977B1"/>
    <w:rsid w:val="004977B3"/>
    <w:rsid w:val="004A262B"/>
    <w:rsid w:val="004A333E"/>
    <w:rsid w:val="004A6599"/>
    <w:rsid w:val="004B3E70"/>
    <w:rsid w:val="004B72D8"/>
    <w:rsid w:val="004C5261"/>
    <w:rsid w:val="004C590B"/>
    <w:rsid w:val="004C5BDB"/>
    <w:rsid w:val="004D49AF"/>
    <w:rsid w:val="004D5CF8"/>
    <w:rsid w:val="004E4581"/>
    <w:rsid w:val="004E4D2A"/>
    <w:rsid w:val="004E6999"/>
    <w:rsid w:val="004E7D53"/>
    <w:rsid w:val="004F0DF2"/>
    <w:rsid w:val="004F4643"/>
    <w:rsid w:val="004F5641"/>
    <w:rsid w:val="004F59E9"/>
    <w:rsid w:val="004F614B"/>
    <w:rsid w:val="004F7DFE"/>
    <w:rsid w:val="00500875"/>
    <w:rsid w:val="00503452"/>
    <w:rsid w:val="00503C89"/>
    <w:rsid w:val="00507467"/>
    <w:rsid w:val="00510977"/>
    <w:rsid w:val="005121AB"/>
    <w:rsid w:val="00512F29"/>
    <w:rsid w:val="00513693"/>
    <w:rsid w:val="00515074"/>
    <w:rsid w:val="0051614F"/>
    <w:rsid w:val="005246A1"/>
    <w:rsid w:val="005259BE"/>
    <w:rsid w:val="00527AF8"/>
    <w:rsid w:val="0053688F"/>
    <w:rsid w:val="00540529"/>
    <w:rsid w:val="00540C4F"/>
    <w:rsid w:val="005417FF"/>
    <w:rsid w:val="00542959"/>
    <w:rsid w:val="0054340D"/>
    <w:rsid w:val="005457B3"/>
    <w:rsid w:val="0054603E"/>
    <w:rsid w:val="00547304"/>
    <w:rsid w:val="00547EF6"/>
    <w:rsid w:val="00550EA5"/>
    <w:rsid w:val="0055141B"/>
    <w:rsid w:val="00552A87"/>
    <w:rsid w:val="00553448"/>
    <w:rsid w:val="00554517"/>
    <w:rsid w:val="00556B1B"/>
    <w:rsid w:val="00556CB8"/>
    <w:rsid w:val="00556DB8"/>
    <w:rsid w:val="0055711F"/>
    <w:rsid w:val="00560D51"/>
    <w:rsid w:val="00562B01"/>
    <w:rsid w:val="00562F89"/>
    <w:rsid w:val="0057026F"/>
    <w:rsid w:val="00575B0C"/>
    <w:rsid w:val="00575C94"/>
    <w:rsid w:val="00575EC4"/>
    <w:rsid w:val="00575FCE"/>
    <w:rsid w:val="00580920"/>
    <w:rsid w:val="005811B8"/>
    <w:rsid w:val="00582829"/>
    <w:rsid w:val="00584D2A"/>
    <w:rsid w:val="00585342"/>
    <w:rsid w:val="00586C3D"/>
    <w:rsid w:val="00587900"/>
    <w:rsid w:val="0059080E"/>
    <w:rsid w:val="00593337"/>
    <w:rsid w:val="00593A28"/>
    <w:rsid w:val="00594833"/>
    <w:rsid w:val="00594D5D"/>
    <w:rsid w:val="00595090"/>
    <w:rsid w:val="00595C98"/>
    <w:rsid w:val="005A5A64"/>
    <w:rsid w:val="005A652A"/>
    <w:rsid w:val="005A69F4"/>
    <w:rsid w:val="005B09A8"/>
    <w:rsid w:val="005B144A"/>
    <w:rsid w:val="005B2E21"/>
    <w:rsid w:val="005B6288"/>
    <w:rsid w:val="005B63C1"/>
    <w:rsid w:val="005C6242"/>
    <w:rsid w:val="005D1255"/>
    <w:rsid w:val="005D2900"/>
    <w:rsid w:val="005D32DD"/>
    <w:rsid w:val="005D400A"/>
    <w:rsid w:val="005D43D4"/>
    <w:rsid w:val="005D46EB"/>
    <w:rsid w:val="005D615E"/>
    <w:rsid w:val="005D7316"/>
    <w:rsid w:val="005E0F90"/>
    <w:rsid w:val="005E2534"/>
    <w:rsid w:val="005E3FA8"/>
    <w:rsid w:val="005E4156"/>
    <w:rsid w:val="005E41DA"/>
    <w:rsid w:val="005F3F03"/>
    <w:rsid w:val="005F43BB"/>
    <w:rsid w:val="005F607E"/>
    <w:rsid w:val="005F6934"/>
    <w:rsid w:val="005F77BB"/>
    <w:rsid w:val="005F7BCA"/>
    <w:rsid w:val="00613C42"/>
    <w:rsid w:val="00613E97"/>
    <w:rsid w:val="006156CD"/>
    <w:rsid w:val="0061677F"/>
    <w:rsid w:val="00620866"/>
    <w:rsid w:val="00621268"/>
    <w:rsid w:val="00622C32"/>
    <w:rsid w:val="00632F2B"/>
    <w:rsid w:val="00634FDF"/>
    <w:rsid w:val="006364FE"/>
    <w:rsid w:val="006405A8"/>
    <w:rsid w:val="00643FD8"/>
    <w:rsid w:val="0064680D"/>
    <w:rsid w:val="00653CED"/>
    <w:rsid w:val="0065566C"/>
    <w:rsid w:val="006562E7"/>
    <w:rsid w:val="00657BF4"/>
    <w:rsid w:val="0066362B"/>
    <w:rsid w:val="006637FD"/>
    <w:rsid w:val="0066440A"/>
    <w:rsid w:val="00673D98"/>
    <w:rsid w:val="00674ABA"/>
    <w:rsid w:val="00675BA1"/>
    <w:rsid w:val="00677079"/>
    <w:rsid w:val="006805E0"/>
    <w:rsid w:val="00685925"/>
    <w:rsid w:val="00685EFF"/>
    <w:rsid w:val="00686D3D"/>
    <w:rsid w:val="006915A1"/>
    <w:rsid w:val="00691653"/>
    <w:rsid w:val="00691AA1"/>
    <w:rsid w:val="0069350E"/>
    <w:rsid w:val="00695137"/>
    <w:rsid w:val="006A43EB"/>
    <w:rsid w:val="006A5148"/>
    <w:rsid w:val="006A6F60"/>
    <w:rsid w:val="006B1096"/>
    <w:rsid w:val="006B29DC"/>
    <w:rsid w:val="006B612A"/>
    <w:rsid w:val="006C0761"/>
    <w:rsid w:val="006C30BF"/>
    <w:rsid w:val="006C3F11"/>
    <w:rsid w:val="006C5D40"/>
    <w:rsid w:val="006C5D74"/>
    <w:rsid w:val="006C6EED"/>
    <w:rsid w:val="006D13EC"/>
    <w:rsid w:val="006D1AD2"/>
    <w:rsid w:val="006D2B08"/>
    <w:rsid w:val="006D3BBD"/>
    <w:rsid w:val="006D4234"/>
    <w:rsid w:val="006D6048"/>
    <w:rsid w:val="006D775C"/>
    <w:rsid w:val="006D7D4A"/>
    <w:rsid w:val="006E3864"/>
    <w:rsid w:val="006E4270"/>
    <w:rsid w:val="006E5ED9"/>
    <w:rsid w:val="006F1B95"/>
    <w:rsid w:val="006F4874"/>
    <w:rsid w:val="006F589A"/>
    <w:rsid w:val="006F71C3"/>
    <w:rsid w:val="006F770E"/>
    <w:rsid w:val="007003D9"/>
    <w:rsid w:val="00700A28"/>
    <w:rsid w:val="00702021"/>
    <w:rsid w:val="0070225F"/>
    <w:rsid w:val="00704944"/>
    <w:rsid w:val="00704C69"/>
    <w:rsid w:val="00705172"/>
    <w:rsid w:val="007057FB"/>
    <w:rsid w:val="0070595E"/>
    <w:rsid w:val="0071396A"/>
    <w:rsid w:val="007147FD"/>
    <w:rsid w:val="00722C6A"/>
    <w:rsid w:val="0073058B"/>
    <w:rsid w:val="0073294C"/>
    <w:rsid w:val="0073339E"/>
    <w:rsid w:val="00733E13"/>
    <w:rsid w:val="00734F05"/>
    <w:rsid w:val="00736F4A"/>
    <w:rsid w:val="007375BB"/>
    <w:rsid w:val="00737F27"/>
    <w:rsid w:val="00741B41"/>
    <w:rsid w:val="00743874"/>
    <w:rsid w:val="00744A6C"/>
    <w:rsid w:val="00745520"/>
    <w:rsid w:val="00745BA2"/>
    <w:rsid w:val="00750869"/>
    <w:rsid w:val="00754660"/>
    <w:rsid w:val="0075702B"/>
    <w:rsid w:val="00762267"/>
    <w:rsid w:val="007642B1"/>
    <w:rsid w:val="00766EF1"/>
    <w:rsid w:val="00767042"/>
    <w:rsid w:val="007670EA"/>
    <w:rsid w:val="007711DB"/>
    <w:rsid w:val="00771B0A"/>
    <w:rsid w:val="0077285C"/>
    <w:rsid w:val="0077494F"/>
    <w:rsid w:val="00775DFB"/>
    <w:rsid w:val="007778B2"/>
    <w:rsid w:val="00782C6F"/>
    <w:rsid w:val="00783368"/>
    <w:rsid w:val="00785D52"/>
    <w:rsid w:val="007905A2"/>
    <w:rsid w:val="00790C65"/>
    <w:rsid w:val="007947AD"/>
    <w:rsid w:val="00797F3C"/>
    <w:rsid w:val="007A1570"/>
    <w:rsid w:val="007A6020"/>
    <w:rsid w:val="007B0143"/>
    <w:rsid w:val="007B14F5"/>
    <w:rsid w:val="007B1978"/>
    <w:rsid w:val="007B4B98"/>
    <w:rsid w:val="007B5751"/>
    <w:rsid w:val="007B71B9"/>
    <w:rsid w:val="007C438C"/>
    <w:rsid w:val="007C4ABF"/>
    <w:rsid w:val="007D5191"/>
    <w:rsid w:val="007D51AF"/>
    <w:rsid w:val="007D740E"/>
    <w:rsid w:val="007E1156"/>
    <w:rsid w:val="007E42F3"/>
    <w:rsid w:val="007E7AA8"/>
    <w:rsid w:val="007F00F1"/>
    <w:rsid w:val="007F26CA"/>
    <w:rsid w:val="007F3C40"/>
    <w:rsid w:val="007F72CE"/>
    <w:rsid w:val="00800D0F"/>
    <w:rsid w:val="00801A2E"/>
    <w:rsid w:val="00802488"/>
    <w:rsid w:val="00806DFD"/>
    <w:rsid w:val="00812E69"/>
    <w:rsid w:val="00814EA6"/>
    <w:rsid w:val="00815827"/>
    <w:rsid w:val="008227EE"/>
    <w:rsid w:val="00823208"/>
    <w:rsid w:val="00824C76"/>
    <w:rsid w:val="00824F63"/>
    <w:rsid w:val="00826E9D"/>
    <w:rsid w:val="00830AC4"/>
    <w:rsid w:val="0083297E"/>
    <w:rsid w:val="0083322F"/>
    <w:rsid w:val="00835F28"/>
    <w:rsid w:val="008423CD"/>
    <w:rsid w:val="00843633"/>
    <w:rsid w:val="00854215"/>
    <w:rsid w:val="00855F3F"/>
    <w:rsid w:val="008603D8"/>
    <w:rsid w:val="00864C51"/>
    <w:rsid w:val="0086523C"/>
    <w:rsid w:val="00867108"/>
    <w:rsid w:val="00871409"/>
    <w:rsid w:val="008727E8"/>
    <w:rsid w:val="00872C98"/>
    <w:rsid w:val="008737EE"/>
    <w:rsid w:val="008749D2"/>
    <w:rsid w:val="00875758"/>
    <w:rsid w:val="00876C92"/>
    <w:rsid w:val="00881DCE"/>
    <w:rsid w:val="00883BC1"/>
    <w:rsid w:val="008906A2"/>
    <w:rsid w:val="00890E70"/>
    <w:rsid w:val="00894BB5"/>
    <w:rsid w:val="00895DF7"/>
    <w:rsid w:val="00896833"/>
    <w:rsid w:val="008A09EB"/>
    <w:rsid w:val="008A4939"/>
    <w:rsid w:val="008A559D"/>
    <w:rsid w:val="008A65F5"/>
    <w:rsid w:val="008B0177"/>
    <w:rsid w:val="008B0711"/>
    <w:rsid w:val="008B1668"/>
    <w:rsid w:val="008B6F92"/>
    <w:rsid w:val="008B7179"/>
    <w:rsid w:val="008C0366"/>
    <w:rsid w:val="008C1115"/>
    <w:rsid w:val="008C4852"/>
    <w:rsid w:val="008C4A67"/>
    <w:rsid w:val="008C50CE"/>
    <w:rsid w:val="008C6692"/>
    <w:rsid w:val="008C77ED"/>
    <w:rsid w:val="008D1201"/>
    <w:rsid w:val="008D1CF0"/>
    <w:rsid w:val="008D43AB"/>
    <w:rsid w:val="008D646D"/>
    <w:rsid w:val="008D69B4"/>
    <w:rsid w:val="008D7322"/>
    <w:rsid w:val="008E0CAE"/>
    <w:rsid w:val="008E2EDD"/>
    <w:rsid w:val="008E354B"/>
    <w:rsid w:val="008E6315"/>
    <w:rsid w:val="008E73ED"/>
    <w:rsid w:val="008F445B"/>
    <w:rsid w:val="008F5C15"/>
    <w:rsid w:val="008F5E22"/>
    <w:rsid w:val="008F5EC2"/>
    <w:rsid w:val="008F7EF0"/>
    <w:rsid w:val="00900915"/>
    <w:rsid w:val="0090349C"/>
    <w:rsid w:val="00903682"/>
    <w:rsid w:val="009073FF"/>
    <w:rsid w:val="00907E22"/>
    <w:rsid w:val="0091133A"/>
    <w:rsid w:val="00911920"/>
    <w:rsid w:val="00911CA9"/>
    <w:rsid w:val="00912373"/>
    <w:rsid w:val="00913583"/>
    <w:rsid w:val="009141A9"/>
    <w:rsid w:val="009142D4"/>
    <w:rsid w:val="00915332"/>
    <w:rsid w:val="009170AD"/>
    <w:rsid w:val="00921635"/>
    <w:rsid w:val="00922295"/>
    <w:rsid w:val="009240A9"/>
    <w:rsid w:val="00927DCA"/>
    <w:rsid w:val="009310A6"/>
    <w:rsid w:val="00934170"/>
    <w:rsid w:val="009417E8"/>
    <w:rsid w:val="0094231D"/>
    <w:rsid w:val="0094310C"/>
    <w:rsid w:val="00944C05"/>
    <w:rsid w:val="00945873"/>
    <w:rsid w:val="0094792A"/>
    <w:rsid w:val="009479C2"/>
    <w:rsid w:val="00950EC7"/>
    <w:rsid w:val="009516AB"/>
    <w:rsid w:val="00956F4D"/>
    <w:rsid w:val="00957572"/>
    <w:rsid w:val="00966278"/>
    <w:rsid w:val="00976806"/>
    <w:rsid w:val="0098255F"/>
    <w:rsid w:val="00982C57"/>
    <w:rsid w:val="00984A68"/>
    <w:rsid w:val="00985106"/>
    <w:rsid w:val="009861F0"/>
    <w:rsid w:val="00986814"/>
    <w:rsid w:val="00987E62"/>
    <w:rsid w:val="00995108"/>
    <w:rsid w:val="0099677F"/>
    <w:rsid w:val="00997FBC"/>
    <w:rsid w:val="009A4759"/>
    <w:rsid w:val="009A47D9"/>
    <w:rsid w:val="009A6930"/>
    <w:rsid w:val="009A7082"/>
    <w:rsid w:val="009B31EF"/>
    <w:rsid w:val="009B69AE"/>
    <w:rsid w:val="009C19BF"/>
    <w:rsid w:val="009C2029"/>
    <w:rsid w:val="009C20C7"/>
    <w:rsid w:val="009C2FC3"/>
    <w:rsid w:val="009C459F"/>
    <w:rsid w:val="009C4FE7"/>
    <w:rsid w:val="009C5A3B"/>
    <w:rsid w:val="009D4269"/>
    <w:rsid w:val="009D48F7"/>
    <w:rsid w:val="009D53B1"/>
    <w:rsid w:val="009D591D"/>
    <w:rsid w:val="009E1621"/>
    <w:rsid w:val="009E24F9"/>
    <w:rsid w:val="009E261A"/>
    <w:rsid w:val="009E3B1F"/>
    <w:rsid w:val="009E60F8"/>
    <w:rsid w:val="009E7042"/>
    <w:rsid w:val="009F217B"/>
    <w:rsid w:val="009F5CF5"/>
    <w:rsid w:val="00A03074"/>
    <w:rsid w:val="00A05586"/>
    <w:rsid w:val="00A10CC9"/>
    <w:rsid w:val="00A17658"/>
    <w:rsid w:val="00A1779F"/>
    <w:rsid w:val="00A20144"/>
    <w:rsid w:val="00A2195B"/>
    <w:rsid w:val="00A23B04"/>
    <w:rsid w:val="00A25560"/>
    <w:rsid w:val="00A258D9"/>
    <w:rsid w:val="00A267EA"/>
    <w:rsid w:val="00A26DBB"/>
    <w:rsid w:val="00A279E4"/>
    <w:rsid w:val="00A315AC"/>
    <w:rsid w:val="00A33104"/>
    <w:rsid w:val="00A45CB1"/>
    <w:rsid w:val="00A46450"/>
    <w:rsid w:val="00A47DFF"/>
    <w:rsid w:val="00A5009B"/>
    <w:rsid w:val="00A53AFF"/>
    <w:rsid w:val="00A53CA0"/>
    <w:rsid w:val="00A55148"/>
    <w:rsid w:val="00A606BF"/>
    <w:rsid w:val="00A60719"/>
    <w:rsid w:val="00A61677"/>
    <w:rsid w:val="00A6262F"/>
    <w:rsid w:val="00A63CF2"/>
    <w:rsid w:val="00A64DEF"/>
    <w:rsid w:val="00A654E9"/>
    <w:rsid w:val="00A67A8B"/>
    <w:rsid w:val="00A73A5D"/>
    <w:rsid w:val="00A74B53"/>
    <w:rsid w:val="00A768C4"/>
    <w:rsid w:val="00A803D7"/>
    <w:rsid w:val="00A831B0"/>
    <w:rsid w:val="00A8486C"/>
    <w:rsid w:val="00A86BED"/>
    <w:rsid w:val="00A949DB"/>
    <w:rsid w:val="00A9735A"/>
    <w:rsid w:val="00AA42B1"/>
    <w:rsid w:val="00AA62A9"/>
    <w:rsid w:val="00AB2478"/>
    <w:rsid w:val="00AB28B6"/>
    <w:rsid w:val="00AB31D7"/>
    <w:rsid w:val="00AB3563"/>
    <w:rsid w:val="00AB50A1"/>
    <w:rsid w:val="00AB532A"/>
    <w:rsid w:val="00AB6266"/>
    <w:rsid w:val="00AC037F"/>
    <w:rsid w:val="00AC14C2"/>
    <w:rsid w:val="00AC3C13"/>
    <w:rsid w:val="00AC540E"/>
    <w:rsid w:val="00AC63E3"/>
    <w:rsid w:val="00AD3D2B"/>
    <w:rsid w:val="00AD46B2"/>
    <w:rsid w:val="00AD5139"/>
    <w:rsid w:val="00AD7BC4"/>
    <w:rsid w:val="00AE456A"/>
    <w:rsid w:val="00AE553A"/>
    <w:rsid w:val="00AE7695"/>
    <w:rsid w:val="00AF0485"/>
    <w:rsid w:val="00AF10DE"/>
    <w:rsid w:val="00B01113"/>
    <w:rsid w:val="00B01EAB"/>
    <w:rsid w:val="00B02B08"/>
    <w:rsid w:val="00B0415F"/>
    <w:rsid w:val="00B04441"/>
    <w:rsid w:val="00B04CE6"/>
    <w:rsid w:val="00B07A50"/>
    <w:rsid w:val="00B1546F"/>
    <w:rsid w:val="00B160DF"/>
    <w:rsid w:val="00B21E86"/>
    <w:rsid w:val="00B22548"/>
    <w:rsid w:val="00B26307"/>
    <w:rsid w:val="00B2698C"/>
    <w:rsid w:val="00B26EA6"/>
    <w:rsid w:val="00B33983"/>
    <w:rsid w:val="00B3616A"/>
    <w:rsid w:val="00B404A9"/>
    <w:rsid w:val="00B41915"/>
    <w:rsid w:val="00B41A31"/>
    <w:rsid w:val="00B45BB2"/>
    <w:rsid w:val="00B478E1"/>
    <w:rsid w:val="00B47A15"/>
    <w:rsid w:val="00B5015F"/>
    <w:rsid w:val="00B52F10"/>
    <w:rsid w:val="00B534EB"/>
    <w:rsid w:val="00B543B3"/>
    <w:rsid w:val="00B55C00"/>
    <w:rsid w:val="00B606CF"/>
    <w:rsid w:val="00B61208"/>
    <w:rsid w:val="00B64F94"/>
    <w:rsid w:val="00B654FA"/>
    <w:rsid w:val="00B658E8"/>
    <w:rsid w:val="00B7019C"/>
    <w:rsid w:val="00B75243"/>
    <w:rsid w:val="00B75F6F"/>
    <w:rsid w:val="00B8004D"/>
    <w:rsid w:val="00B81A67"/>
    <w:rsid w:val="00B87BDA"/>
    <w:rsid w:val="00B9192F"/>
    <w:rsid w:val="00B944D6"/>
    <w:rsid w:val="00B95D02"/>
    <w:rsid w:val="00B96535"/>
    <w:rsid w:val="00B97838"/>
    <w:rsid w:val="00B97EE9"/>
    <w:rsid w:val="00BA150A"/>
    <w:rsid w:val="00BA1B2A"/>
    <w:rsid w:val="00BA5032"/>
    <w:rsid w:val="00BA611E"/>
    <w:rsid w:val="00BA7673"/>
    <w:rsid w:val="00BB235E"/>
    <w:rsid w:val="00BB4301"/>
    <w:rsid w:val="00BC38E6"/>
    <w:rsid w:val="00BC4567"/>
    <w:rsid w:val="00BC6190"/>
    <w:rsid w:val="00BC62ED"/>
    <w:rsid w:val="00BD140B"/>
    <w:rsid w:val="00BD1BBE"/>
    <w:rsid w:val="00BD4B00"/>
    <w:rsid w:val="00BD58D5"/>
    <w:rsid w:val="00BD7AA0"/>
    <w:rsid w:val="00BE2501"/>
    <w:rsid w:val="00BE3368"/>
    <w:rsid w:val="00BE39EF"/>
    <w:rsid w:val="00BE3DB4"/>
    <w:rsid w:val="00BE4F58"/>
    <w:rsid w:val="00BE593D"/>
    <w:rsid w:val="00BE755D"/>
    <w:rsid w:val="00BF1AA3"/>
    <w:rsid w:val="00BF2FFB"/>
    <w:rsid w:val="00BF3BE7"/>
    <w:rsid w:val="00C008BE"/>
    <w:rsid w:val="00C02FFD"/>
    <w:rsid w:val="00C056C3"/>
    <w:rsid w:val="00C05D21"/>
    <w:rsid w:val="00C1482F"/>
    <w:rsid w:val="00C15FA1"/>
    <w:rsid w:val="00C162DF"/>
    <w:rsid w:val="00C178D8"/>
    <w:rsid w:val="00C23C26"/>
    <w:rsid w:val="00C35716"/>
    <w:rsid w:val="00C4256B"/>
    <w:rsid w:val="00C51AD0"/>
    <w:rsid w:val="00C54685"/>
    <w:rsid w:val="00C57865"/>
    <w:rsid w:val="00C605E3"/>
    <w:rsid w:val="00C607EF"/>
    <w:rsid w:val="00C61B6D"/>
    <w:rsid w:val="00C643F2"/>
    <w:rsid w:val="00C65976"/>
    <w:rsid w:val="00C73245"/>
    <w:rsid w:val="00C735AD"/>
    <w:rsid w:val="00C73DB3"/>
    <w:rsid w:val="00C74F57"/>
    <w:rsid w:val="00C75BFB"/>
    <w:rsid w:val="00C8031C"/>
    <w:rsid w:val="00C80893"/>
    <w:rsid w:val="00C81BB3"/>
    <w:rsid w:val="00C85BCF"/>
    <w:rsid w:val="00C863C0"/>
    <w:rsid w:val="00C910A5"/>
    <w:rsid w:val="00C9197F"/>
    <w:rsid w:val="00C94EFF"/>
    <w:rsid w:val="00C9674C"/>
    <w:rsid w:val="00CA307C"/>
    <w:rsid w:val="00CA6ABB"/>
    <w:rsid w:val="00CB0233"/>
    <w:rsid w:val="00CB1A10"/>
    <w:rsid w:val="00CB2505"/>
    <w:rsid w:val="00CB5319"/>
    <w:rsid w:val="00CB5A6E"/>
    <w:rsid w:val="00CB634C"/>
    <w:rsid w:val="00CC0D20"/>
    <w:rsid w:val="00CC3BBA"/>
    <w:rsid w:val="00CD29BF"/>
    <w:rsid w:val="00CD3EE3"/>
    <w:rsid w:val="00CD54BB"/>
    <w:rsid w:val="00CD5744"/>
    <w:rsid w:val="00CD627A"/>
    <w:rsid w:val="00CD7265"/>
    <w:rsid w:val="00CE1B91"/>
    <w:rsid w:val="00CE57BC"/>
    <w:rsid w:val="00CE7130"/>
    <w:rsid w:val="00CE7391"/>
    <w:rsid w:val="00CF0663"/>
    <w:rsid w:val="00CF1F7B"/>
    <w:rsid w:val="00D03707"/>
    <w:rsid w:val="00D03F4B"/>
    <w:rsid w:val="00D060E6"/>
    <w:rsid w:val="00D062D4"/>
    <w:rsid w:val="00D103ED"/>
    <w:rsid w:val="00D11C2A"/>
    <w:rsid w:val="00D14A4E"/>
    <w:rsid w:val="00D1772B"/>
    <w:rsid w:val="00D201F8"/>
    <w:rsid w:val="00D207A4"/>
    <w:rsid w:val="00D23185"/>
    <w:rsid w:val="00D24A49"/>
    <w:rsid w:val="00D2589D"/>
    <w:rsid w:val="00D263C8"/>
    <w:rsid w:val="00D26725"/>
    <w:rsid w:val="00D300B2"/>
    <w:rsid w:val="00D30AFA"/>
    <w:rsid w:val="00D32176"/>
    <w:rsid w:val="00D32242"/>
    <w:rsid w:val="00D336CD"/>
    <w:rsid w:val="00D34950"/>
    <w:rsid w:val="00D36AE1"/>
    <w:rsid w:val="00D37D16"/>
    <w:rsid w:val="00D40F57"/>
    <w:rsid w:val="00D42348"/>
    <w:rsid w:val="00D4561B"/>
    <w:rsid w:val="00D4579E"/>
    <w:rsid w:val="00D47D1D"/>
    <w:rsid w:val="00D52B0D"/>
    <w:rsid w:val="00D53CCF"/>
    <w:rsid w:val="00D549A3"/>
    <w:rsid w:val="00D5611E"/>
    <w:rsid w:val="00D56B20"/>
    <w:rsid w:val="00D571E8"/>
    <w:rsid w:val="00D57559"/>
    <w:rsid w:val="00D61E8F"/>
    <w:rsid w:val="00D664A1"/>
    <w:rsid w:val="00D70D53"/>
    <w:rsid w:val="00D75652"/>
    <w:rsid w:val="00D762E5"/>
    <w:rsid w:val="00D775E2"/>
    <w:rsid w:val="00D82FD1"/>
    <w:rsid w:val="00D853C9"/>
    <w:rsid w:val="00D90E65"/>
    <w:rsid w:val="00D933C5"/>
    <w:rsid w:val="00D93743"/>
    <w:rsid w:val="00D93EE2"/>
    <w:rsid w:val="00D9538A"/>
    <w:rsid w:val="00DA1BAA"/>
    <w:rsid w:val="00DA4250"/>
    <w:rsid w:val="00DA43CA"/>
    <w:rsid w:val="00DA43CE"/>
    <w:rsid w:val="00DA56E4"/>
    <w:rsid w:val="00DB106A"/>
    <w:rsid w:val="00DB1E68"/>
    <w:rsid w:val="00DB2945"/>
    <w:rsid w:val="00DB484E"/>
    <w:rsid w:val="00DB5148"/>
    <w:rsid w:val="00DB56AE"/>
    <w:rsid w:val="00DB7647"/>
    <w:rsid w:val="00DB7C53"/>
    <w:rsid w:val="00DC017E"/>
    <w:rsid w:val="00DC0ADB"/>
    <w:rsid w:val="00DC1342"/>
    <w:rsid w:val="00DC146A"/>
    <w:rsid w:val="00DC2CA2"/>
    <w:rsid w:val="00DC39E6"/>
    <w:rsid w:val="00DC3E7E"/>
    <w:rsid w:val="00DD095E"/>
    <w:rsid w:val="00DD59C8"/>
    <w:rsid w:val="00DD7079"/>
    <w:rsid w:val="00DE0025"/>
    <w:rsid w:val="00DE371A"/>
    <w:rsid w:val="00DE5504"/>
    <w:rsid w:val="00DE6B3F"/>
    <w:rsid w:val="00DE7A3C"/>
    <w:rsid w:val="00DF005B"/>
    <w:rsid w:val="00DF0156"/>
    <w:rsid w:val="00DF23E5"/>
    <w:rsid w:val="00DF24E4"/>
    <w:rsid w:val="00DF3330"/>
    <w:rsid w:val="00DF3754"/>
    <w:rsid w:val="00DF392F"/>
    <w:rsid w:val="00E015BF"/>
    <w:rsid w:val="00E05853"/>
    <w:rsid w:val="00E133CE"/>
    <w:rsid w:val="00E14343"/>
    <w:rsid w:val="00E15895"/>
    <w:rsid w:val="00E1650F"/>
    <w:rsid w:val="00E168F9"/>
    <w:rsid w:val="00E22B57"/>
    <w:rsid w:val="00E248C1"/>
    <w:rsid w:val="00E2611A"/>
    <w:rsid w:val="00E27B64"/>
    <w:rsid w:val="00E27E52"/>
    <w:rsid w:val="00E30055"/>
    <w:rsid w:val="00E35FE7"/>
    <w:rsid w:val="00E51DFC"/>
    <w:rsid w:val="00E52CF4"/>
    <w:rsid w:val="00E52DEC"/>
    <w:rsid w:val="00E53286"/>
    <w:rsid w:val="00E552EF"/>
    <w:rsid w:val="00E55541"/>
    <w:rsid w:val="00E55C61"/>
    <w:rsid w:val="00E604D5"/>
    <w:rsid w:val="00E60A1C"/>
    <w:rsid w:val="00E62C41"/>
    <w:rsid w:val="00E70594"/>
    <w:rsid w:val="00E70911"/>
    <w:rsid w:val="00E70DC4"/>
    <w:rsid w:val="00E7130A"/>
    <w:rsid w:val="00E75BF2"/>
    <w:rsid w:val="00E76382"/>
    <w:rsid w:val="00E7707F"/>
    <w:rsid w:val="00E8429E"/>
    <w:rsid w:val="00E85F23"/>
    <w:rsid w:val="00E87586"/>
    <w:rsid w:val="00E903AF"/>
    <w:rsid w:val="00E93865"/>
    <w:rsid w:val="00E93A90"/>
    <w:rsid w:val="00E93ACC"/>
    <w:rsid w:val="00E9599A"/>
    <w:rsid w:val="00E95FB8"/>
    <w:rsid w:val="00E95FC7"/>
    <w:rsid w:val="00E96036"/>
    <w:rsid w:val="00E961F7"/>
    <w:rsid w:val="00EA696F"/>
    <w:rsid w:val="00EB02C1"/>
    <w:rsid w:val="00EB02FA"/>
    <w:rsid w:val="00EB2D34"/>
    <w:rsid w:val="00EB4E28"/>
    <w:rsid w:val="00EB71EF"/>
    <w:rsid w:val="00EC2860"/>
    <w:rsid w:val="00EC5FE6"/>
    <w:rsid w:val="00EC70DE"/>
    <w:rsid w:val="00ED38EF"/>
    <w:rsid w:val="00ED3B20"/>
    <w:rsid w:val="00ED4404"/>
    <w:rsid w:val="00ED49A8"/>
    <w:rsid w:val="00ED6E82"/>
    <w:rsid w:val="00EE1302"/>
    <w:rsid w:val="00EE1BDD"/>
    <w:rsid w:val="00EE7683"/>
    <w:rsid w:val="00EF068A"/>
    <w:rsid w:val="00EF3C56"/>
    <w:rsid w:val="00EF4A23"/>
    <w:rsid w:val="00EF5169"/>
    <w:rsid w:val="00EF5373"/>
    <w:rsid w:val="00F00037"/>
    <w:rsid w:val="00F02296"/>
    <w:rsid w:val="00F028AD"/>
    <w:rsid w:val="00F031E6"/>
    <w:rsid w:val="00F07BDF"/>
    <w:rsid w:val="00F10E75"/>
    <w:rsid w:val="00F12C62"/>
    <w:rsid w:val="00F1614C"/>
    <w:rsid w:val="00F17820"/>
    <w:rsid w:val="00F254A7"/>
    <w:rsid w:val="00F31F1E"/>
    <w:rsid w:val="00F34016"/>
    <w:rsid w:val="00F3428A"/>
    <w:rsid w:val="00F34800"/>
    <w:rsid w:val="00F34AFC"/>
    <w:rsid w:val="00F35E17"/>
    <w:rsid w:val="00F42E54"/>
    <w:rsid w:val="00F43FC1"/>
    <w:rsid w:val="00F45625"/>
    <w:rsid w:val="00F45F23"/>
    <w:rsid w:val="00F46A01"/>
    <w:rsid w:val="00F502A1"/>
    <w:rsid w:val="00F54F39"/>
    <w:rsid w:val="00F56F4F"/>
    <w:rsid w:val="00F60116"/>
    <w:rsid w:val="00F60455"/>
    <w:rsid w:val="00F6262E"/>
    <w:rsid w:val="00F63F19"/>
    <w:rsid w:val="00F64348"/>
    <w:rsid w:val="00F668B1"/>
    <w:rsid w:val="00F70602"/>
    <w:rsid w:val="00F718E2"/>
    <w:rsid w:val="00F7634F"/>
    <w:rsid w:val="00F76743"/>
    <w:rsid w:val="00F774ED"/>
    <w:rsid w:val="00F83516"/>
    <w:rsid w:val="00F8406D"/>
    <w:rsid w:val="00F8429A"/>
    <w:rsid w:val="00F84C45"/>
    <w:rsid w:val="00F86345"/>
    <w:rsid w:val="00F8745A"/>
    <w:rsid w:val="00F90AB9"/>
    <w:rsid w:val="00F939C8"/>
    <w:rsid w:val="00F95060"/>
    <w:rsid w:val="00F95880"/>
    <w:rsid w:val="00F97C8E"/>
    <w:rsid w:val="00FA23EF"/>
    <w:rsid w:val="00FA650A"/>
    <w:rsid w:val="00FA6EE6"/>
    <w:rsid w:val="00FA6F38"/>
    <w:rsid w:val="00FA7323"/>
    <w:rsid w:val="00FC1A95"/>
    <w:rsid w:val="00FC3BCE"/>
    <w:rsid w:val="00FC43CB"/>
    <w:rsid w:val="00FC67B8"/>
    <w:rsid w:val="00FD016E"/>
    <w:rsid w:val="00FD2018"/>
    <w:rsid w:val="00FD3917"/>
    <w:rsid w:val="00FD5374"/>
    <w:rsid w:val="00FD69AC"/>
    <w:rsid w:val="00FE21D7"/>
    <w:rsid w:val="00FE33D0"/>
    <w:rsid w:val="00FE417F"/>
    <w:rsid w:val="00FE42DF"/>
    <w:rsid w:val="00FE5480"/>
    <w:rsid w:val="00FF00B7"/>
    <w:rsid w:val="00FF2515"/>
    <w:rsid w:val="00FF2F20"/>
    <w:rsid w:val="00FF5D27"/>
    <w:rsid w:val="58E6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2"/>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54"/>
    <w:semiHidden/>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6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semiHidden/>
    <w:unhideWhenUsed/>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58"/>
    <w:autoRedefine/>
    <w:semiHidden/>
    <w:unhideWhenUsed/>
    <w:qFormat/>
    <w:uiPriority w:val="99"/>
    <w:pPr>
      <w:jc w:val="left"/>
    </w:pPr>
  </w:style>
  <w:style w:type="paragraph" w:styleId="6">
    <w:name w:val="Balloon Text"/>
    <w:basedOn w:val="1"/>
    <w:link w:val="51"/>
    <w:autoRedefine/>
    <w:semiHidden/>
    <w:unhideWhenUsed/>
    <w:qFormat/>
    <w:uiPriority w:val="99"/>
    <w:rPr>
      <w:sz w:val="18"/>
      <w:szCs w:val="18"/>
    </w:rPr>
  </w:style>
  <w:style w:type="paragraph" w:styleId="7">
    <w:name w:val="footer"/>
    <w:basedOn w:val="1"/>
    <w:link w:val="49"/>
    <w:autoRedefine/>
    <w:unhideWhenUsed/>
    <w:qFormat/>
    <w:uiPriority w:val="99"/>
    <w:pPr>
      <w:tabs>
        <w:tab w:val="center" w:pos="4153"/>
        <w:tab w:val="right" w:pos="8306"/>
      </w:tabs>
      <w:snapToGrid w:val="0"/>
      <w:jc w:val="left"/>
    </w:pPr>
    <w:rPr>
      <w:sz w:val="18"/>
      <w:szCs w:val="18"/>
    </w:rPr>
  </w:style>
  <w:style w:type="paragraph" w:styleId="8">
    <w:name w:val="header"/>
    <w:basedOn w:val="1"/>
    <w:link w:val="29"/>
    <w:autoRedefine/>
    <w:qFormat/>
    <w:uiPriority w:val="0"/>
    <w:pPr>
      <w:numPr>
        <w:ilvl w:val="0"/>
        <w:numId w:val="1"/>
      </w:numPr>
      <w:snapToGrid w:val="0"/>
      <w:ind w:left="0" w:firstLine="0"/>
      <w:jc w:val="left"/>
    </w:pPr>
    <w:rPr>
      <w:sz w:val="18"/>
      <w:szCs w:val="18"/>
    </w:rPr>
  </w:style>
  <w:style w:type="paragraph" w:styleId="9">
    <w:name w:val="toc 1"/>
    <w:basedOn w:val="1"/>
    <w:next w:val="1"/>
    <w:autoRedefine/>
    <w:unhideWhenUsed/>
    <w:qFormat/>
    <w:uiPriority w:val="39"/>
    <w:pPr>
      <w:tabs>
        <w:tab w:val="right" w:leader="dot" w:pos="9072"/>
      </w:tabs>
      <w:spacing w:line="480" w:lineRule="auto"/>
      <w:ind w:right="422" w:rightChars="201"/>
    </w:pPr>
  </w:style>
  <w:style w:type="paragraph" w:styleId="10">
    <w:name w:val="toc 2"/>
    <w:basedOn w:val="1"/>
    <w:next w:val="1"/>
    <w:autoRedefine/>
    <w:unhideWhenUsed/>
    <w:qFormat/>
    <w:uiPriority w:val="39"/>
    <w:pPr>
      <w:ind w:left="420" w:leftChars="200"/>
    </w:pPr>
  </w:style>
  <w:style w:type="paragraph" w:styleId="11">
    <w:name w:val="annotation subject"/>
    <w:basedOn w:val="5"/>
    <w:next w:val="5"/>
    <w:link w:val="59"/>
    <w:autoRedefine/>
    <w:semiHidden/>
    <w:unhideWhenUsed/>
    <w:qFormat/>
    <w:uiPriority w:val="99"/>
    <w:rPr>
      <w:b/>
      <w:bCs/>
    </w:rPr>
  </w:style>
  <w:style w:type="table" w:styleId="13">
    <w:name w:val="Table Grid"/>
    <w:basedOn w:val="1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autoRedefine/>
    <w:qFormat/>
    <w:uiPriority w:val="0"/>
    <w:rPr>
      <w:rFonts w:ascii="Times New Roman" w:hAnsi="Times New Roman" w:eastAsia="宋体"/>
      <w:sz w:val="18"/>
    </w:rPr>
  </w:style>
  <w:style w:type="character" w:styleId="16">
    <w:name w:val="Hyperlink"/>
    <w:basedOn w:val="14"/>
    <w:autoRedefine/>
    <w:unhideWhenUsed/>
    <w:qFormat/>
    <w:uiPriority w:val="99"/>
    <w:rPr>
      <w:color w:val="0000FF" w:themeColor="hyperlink"/>
      <w:u w:val="single"/>
      <w14:textFill>
        <w14:solidFill>
          <w14:schemeClr w14:val="hlink"/>
        </w14:solidFill>
      </w14:textFill>
    </w:rPr>
  </w:style>
  <w:style w:type="character" w:styleId="17">
    <w:name w:val="annotation reference"/>
    <w:basedOn w:val="14"/>
    <w:autoRedefine/>
    <w:semiHidden/>
    <w:unhideWhenUsed/>
    <w:qFormat/>
    <w:uiPriority w:val="99"/>
    <w:rPr>
      <w:sz w:val="21"/>
      <w:szCs w:val="21"/>
    </w:rPr>
  </w:style>
  <w:style w:type="paragraph" w:customStyle="1" w:styleId="18">
    <w:name w:val="段"/>
    <w:link w:val="19"/>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19">
    <w:name w:val="段 Char"/>
    <w:link w:val="18"/>
    <w:uiPriority w:val="0"/>
    <w:rPr>
      <w:rFonts w:ascii="宋体" w:hAnsi="Times New Roman" w:eastAsia="宋体" w:cs="Times New Roman"/>
      <w:kern w:val="0"/>
      <w:szCs w:val="20"/>
    </w:rPr>
  </w:style>
  <w:style w:type="paragraph" w:customStyle="1" w:styleId="20">
    <w:name w:val="一级条标题"/>
    <w:next w:val="18"/>
    <w:autoRedefine/>
    <w:qFormat/>
    <w:uiPriority w:val="0"/>
    <w:pPr>
      <w:numPr>
        <w:ilvl w:val="1"/>
        <w:numId w:val="2"/>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21">
    <w:name w:val="标准书脚_奇数页"/>
    <w:autoRedefine/>
    <w:qFormat/>
    <w:uiPriority w:val="0"/>
    <w:pPr>
      <w:spacing w:before="120"/>
      <w:ind w:right="198"/>
      <w:jc w:val="right"/>
    </w:pPr>
    <w:rPr>
      <w:rFonts w:ascii="宋体" w:hAnsi="Times New Roman" w:eastAsia="宋体" w:cs="Times New Roman"/>
      <w:kern w:val="0"/>
      <w:sz w:val="18"/>
      <w:szCs w:val="18"/>
      <w:lang w:val="en-US" w:eastAsia="zh-CN" w:bidi="ar-SA"/>
    </w:rPr>
  </w:style>
  <w:style w:type="paragraph" w:customStyle="1" w:styleId="22">
    <w:name w:val="标准书眉_奇数页"/>
    <w:next w:val="1"/>
    <w:autoRedefine/>
    <w:qFormat/>
    <w:uiPriority w:val="0"/>
    <w:p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23">
    <w:name w:val="章标题"/>
    <w:next w:val="18"/>
    <w:autoRedefine/>
    <w:qFormat/>
    <w:uiPriority w:val="0"/>
    <w:pPr>
      <w:numPr>
        <w:ilvl w:val="0"/>
        <w:numId w:val="2"/>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24">
    <w:name w:val="二级条标题"/>
    <w:basedOn w:val="20"/>
    <w:next w:val="18"/>
    <w:autoRedefine/>
    <w:qFormat/>
    <w:uiPriority w:val="0"/>
    <w:pPr>
      <w:numPr>
        <w:ilvl w:val="2"/>
      </w:numPr>
      <w:spacing w:before="50" w:after="50"/>
      <w:outlineLvl w:val="3"/>
    </w:pPr>
  </w:style>
  <w:style w:type="paragraph" w:customStyle="1" w:styleId="25">
    <w:name w:val="目次、标准名称标题"/>
    <w:basedOn w:val="1"/>
    <w:next w:val="18"/>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
    <w:name w:val="三级条标题"/>
    <w:basedOn w:val="24"/>
    <w:next w:val="18"/>
    <w:autoRedefine/>
    <w:qFormat/>
    <w:uiPriority w:val="0"/>
    <w:pPr>
      <w:numPr>
        <w:ilvl w:val="3"/>
      </w:numPr>
      <w:outlineLvl w:val="4"/>
    </w:pPr>
  </w:style>
  <w:style w:type="paragraph" w:customStyle="1" w:styleId="27">
    <w:name w:val="四级条标题"/>
    <w:basedOn w:val="26"/>
    <w:next w:val="18"/>
    <w:autoRedefine/>
    <w:qFormat/>
    <w:uiPriority w:val="0"/>
    <w:pPr>
      <w:numPr>
        <w:ilvl w:val="4"/>
      </w:numPr>
      <w:outlineLvl w:val="5"/>
    </w:pPr>
  </w:style>
  <w:style w:type="paragraph" w:customStyle="1" w:styleId="28">
    <w:name w:val="五级条标题"/>
    <w:basedOn w:val="27"/>
    <w:next w:val="18"/>
    <w:autoRedefine/>
    <w:qFormat/>
    <w:uiPriority w:val="0"/>
    <w:pPr>
      <w:numPr>
        <w:ilvl w:val="5"/>
      </w:numPr>
      <w:outlineLvl w:val="6"/>
    </w:pPr>
  </w:style>
  <w:style w:type="character" w:customStyle="1" w:styleId="29">
    <w:name w:val="页眉 字符"/>
    <w:basedOn w:val="14"/>
    <w:link w:val="8"/>
    <w:autoRedefine/>
    <w:qFormat/>
    <w:uiPriority w:val="0"/>
    <w:rPr>
      <w:rFonts w:ascii="Times New Roman" w:hAnsi="Times New Roman" w:eastAsia="宋体" w:cs="Times New Roman"/>
      <w:sz w:val="18"/>
      <w:szCs w:val="18"/>
    </w:rPr>
  </w:style>
  <w:style w:type="paragraph" w:customStyle="1" w:styleId="30">
    <w:name w:val="注："/>
    <w:next w:val="18"/>
    <w:autoRedefine/>
    <w:qFormat/>
    <w:uiPriority w:val="0"/>
    <w:pPr>
      <w:widowControl w:val="0"/>
      <w:autoSpaceDE w:val="0"/>
      <w:autoSpaceDN w:val="0"/>
      <w:jc w:val="both"/>
    </w:pPr>
    <w:rPr>
      <w:rFonts w:ascii="宋体" w:hAnsi="Times New Roman" w:eastAsia="宋体" w:cs="Times New Roman"/>
      <w:kern w:val="0"/>
      <w:sz w:val="18"/>
      <w:szCs w:val="18"/>
      <w:lang w:val="en-US" w:eastAsia="zh-CN" w:bidi="ar-SA"/>
    </w:rPr>
  </w:style>
  <w:style w:type="paragraph" w:customStyle="1" w:styleId="31">
    <w:name w:val="前言、引言标题"/>
    <w:next w:val="18"/>
    <w:autoRedefine/>
    <w:qFormat/>
    <w:uiPriority w:val="0"/>
    <w:pPr>
      <w:keepNext/>
      <w:pageBreakBefore/>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32">
    <w:name w:val="正文图标题"/>
    <w:next w:val="18"/>
    <w:autoRedefine/>
    <w:qFormat/>
    <w:uiPriority w:val="0"/>
    <w:pPr>
      <w:tabs>
        <w:tab w:val="left" w:pos="360"/>
      </w:tabs>
      <w:spacing w:before="156" w:beforeLines="50" w:after="156" w:afterLines="50"/>
      <w:jc w:val="center"/>
    </w:pPr>
    <w:rPr>
      <w:rFonts w:ascii="黑体" w:hAnsi="Times New Roman" w:eastAsia="黑体" w:cs="Times New Roman"/>
      <w:kern w:val="0"/>
      <w:sz w:val="21"/>
      <w:szCs w:val="20"/>
      <w:lang w:val="en-US" w:eastAsia="zh-CN" w:bidi="ar-SA"/>
    </w:rPr>
  </w:style>
  <w:style w:type="paragraph" w:customStyle="1" w:styleId="33">
    <w:name w:val="终结线"/>
    <w:basedOn w:val="1"/>
    <w:autoRedefine/>
    <w:qFormat/>
    <w:uiPriority w:val="0"/>
    <w:pPr>
      <w:framePr w:hSpace="181" w:vSpace="181" w:wrap="around" w:vAnchor="text" w:hAnchor="margin" w:xAlign="center" w:y="285"/>
    </w:pPr>
  </w:style>
  <w:style w:type="paragraph" w:customStyle="1" w:styleId="34">
    <w:name w:val="其他发布日期"/>
    <w:basedOn w:val="1"/>
    <w:autoRedefine/>
    <w:qFormat/>
    <w:uiPriority w:val="0"/>
    <w:pPr>
      <w:framePr w:w="3997" w:h="471" w:hRule="exact" w:vSpace="181" w:wrap="around" w:vAnchor="page" w:hAnchor="page" w:x="1419" w:y="14097" w:anchorLock="1"/>
      <w:widowControl/>
      <w:numPr>
        <w:ilvl w:val="0"/>
        <w:numId w:val="3"/>
      </w:numPr>
      <w:jc w:val="left"/>
    </w:pPr>
    <w:rPr>
      <w:rFonts w:eastAsia="黑体"/>
      <w:kern w:val="0"/>
      <w:sz w:val="28"/>
      <w:szCs w:val="20"/>
    </w:rPr>
  </w:style>
  <w:style w:type="paragraph" w:customStyle="1" w:styleId="35">
    <w:name w:val="封面标准文稿编辑信息"/>
    <w:autoRedefine/>
    <w:qFormat/>
    <w:uiPriority w:val="0"/>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36">
    <w:name w:val="标准书眉_偶数页"/>
    <w:basedOn w:val="22"/>
    <w:next w:val="1"/>
    <w:autoRedefine/>
    <w:qFormat/>
    <w:uiPriority w:val="0"/>
    <w:pPr>
      <w:spacing w:after="120"/>
      <w:jc w:val="left"/>
    </w:pPr>
    <w:rPr>
      <w:rFonts w:ascii="Times New Roman" w:eastAsia="宋体"/>
      <w:szCs w:val="20"/>
    </w:rPr>
  </w:style>
  <w:style w:type="paragraph" w:customStyle="1" w:styleId="37">
    <w:name w:val="标准书脚_偶数页"/>
    <w:autoRedefine/>
    <w:qFormat/>
    <w:uiPriority w:val="0"/>
    <w:pPr>
      <w:spacing w:before="120"/>
    </w:pPr>
    <w:rPr>
      <w:rFonts w:ascii="Times New Roman" w:hAnsi="Times New Roman" w:eastAsia="宋体" w:cs="Times New Roman"/>
      <w:kern w:val="0"/>
      <w:sz w:val="18"/>
      <w:szCs w:val="20"/>
      <w:lang w:val="en-US" w:eastAsia="zh-CN" w:bidi="ar-SA"/>
    </w:rPr>
  </w:style>
  <w:style w:type="paragraph" w:customStyle="1" w:styleId="38">
    <w:name w:val="标准书眉一"/>
    <w:autoRedefine/>
    <w:qFormat/>
    <w:uiPriority w:val="0"/>
    <w:pPr>
      <w:jc w:val="both"/>
    </w:pPr>
    <w:rPr>
      <w:rFonts w:ascii="Times New Roman" w:hAnsi="Times New Roman" w:eastAsia="宋体" w:cs="Times New Roman"/>
      <w:kern w:val="0"/>
      <w:sz w:val="20"/>
      <w:szCs w:val="20"/>
      <w:lang w:val="en-US" w:eastAsia="zh-CN" w:bidi="ar-SA"/>
    </w:rPr>
  </w:style>
  <w:style w:type="character" w:customStyle="1" w:styleId="39">
    <w:name w:val="发布"/>
    <w:basedOn w:val="14"/>
    <w:autoRedefine/>
    <w:qFormat/>
    <w:uiPriority w:val="0"/>
    <w:rPr>
      <w:rFonts w:ascii="黑体" w:eastAsia="黑体"/>
      <w:spacing w:val="22"/>
      <w:w w:val="100"/>
      <w:position w:val="3"/>
      <w:sz w:val="28"/>
    </w:rPr>
  </w:style>
  <w:style w:type="paragraph" w:customStyle="1" w:styleId="40">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paragraph" w:customStyle="1" w:styleId="41">
    <w:name w:val="实施日期"/>
    <w:basedOn w:val="42"/>
    <w:autoRedefine/>
    <w:qFormat/>
    <w:uiPriority w:val="0"/>
    <w:pPr>
      <w:framePr w:hSpace="0" w:wrap="around" w:xAlign="right"/>
      <w:jc w:val="right"/>
    </w:pPr>
  </w:style>
  <w:style w:type="paragraph" w:customStyle="1" w:styleId="42">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kern w:val="0"/>
      <w:sz w:val="28"/>
      <w:szCs w:val="20"/>
      <w:lang w:val="en-US" w:eastAsia="zh-CN" w:bidi="ar-SA"/>
    </w:rPr>
  </w:style>
  <w:style w:type="paragraph" w:customStyle="1" w:styleId="43">
    <w:name w:val="封面标准英文名称"/>
    <w:autoRedefine/>
    <w:qFormat/>
    <w:uiPriority w:val="0"/>
    <w:pPr>
      <w:widowControl w:val="0"/>
      <w:spacing w:before="370" w:line="400" w:lineRule="exact"/>
      <w:jc w:val="center"/>
    </w:pPr>
    <w:rPr>
      <w:rFonts w:ascii="Times New Roman" w:hAnsi="Times New Roman" w:eastAsia="宋体" w:cs="Times New Roman"/>
      <w:kern w:val="0"/>
      <w:sz w:val="28"/>
      <w:szCs w:val="20"/>
      <w:lang w:val="en-US" w:eastAsia="zh-CN" w:bidi="ar-SA"/>
    </w:rPr>
  </w:style>
  <w:style w:type="paragraph" w:customStyle="1" w:styleId="44">
    <w:name w:val="封面标准文稿类别"/>
    <w:autoRedefine/>
    <w:qFormat/>
    <w:uiPriority w:val="0"/>
    <w:pPr>
      <w:spacing w:before="440" w:line="400" w:lineRule="exact"/>
      <w:jc w:val="center"/>
    </w:pPr>
    <w:rPr>
      <w:rFonts w:ascii="宋体" w:hAnsi="Times New Roman" w:eastAsia="宋体" w:cs="Times New Roman"/>
      <w:kern w:val="0"/>
      <w:sz w:val="24"/>
      <w:szCs w:val="20"/>
      <w:lang w:val="en-US" w:eastAsia="zh-CN" w:bidi="ar-SA"/>
    </w:rPr>
  </w:style>
  <w:style w:type="paragraph" w:customStyle="1" w:styleId="45">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paragraph" w:customStyle="1" w:styleId="46">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47">
    <w:name w:val="其他标准称谓"/>
    <w:autoRedefine/>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4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kern w:val="0"/>
      <w:sz w:val="21"/>
      <w:szCs w:val="20"/>
      <w:lang w:val="en-US" w:eastAsia="zh-CN" w:bidi="ar-SA"/>
    </w:rPr>
  </w:style>
  <w:style w:type="character" w:customStyle="1" w:styleId="49">
    <w:name w:val="页脚 字符"/>
    <w:basedOn w:val="14"/>
    <w:link w:val="7"/>
    <w:autoRedefine/>
    <w:qFormat/>
    <w:uiPriority w:val="99"/>
    <w:rPr>
      <w:rFonts w:ascii="Times New Roman" w:hAnsi="Times New Roman" w:eastAsia="宋体" w:cs="Times New Roman"/>
      <w:sz w:val="18"/>
      <w:szCs w:val="18"/>
    </w:rPr>
  </w:style>
  <w:style w:type="paragraph" w:customStyle="1" w:styleId="50">
    <w:name w:val="Char Char Char Char Char Char Char Char Char Char Char Char Char"/>
    <w:basedOn w:val="1"/>
    <w:autoRedefine/>
    <w:qFormat/>
    <w:uiPriority w:val="0"/>
    <w:pPr>
      <w:widowControl/>
      <w:spacing w:after="160" w:line="240" w:lineRule="exact"/>
      <w:jc w:val="left"/>
    </w:pPr>
    <w:rPr>
      <w:rFonts w:ascii="Arial" w:hAnsi="Arial" w:eastAsia="Times New Roman" w:cs="Verdana"/>
      <w:b/>
      <w:kern w:val="0"/>
      <w:sz w:val="24"/>
      <w:lang w:eastAsia="en-US"/>
    </w:rPr>
  </w:style>
  <w:style w:type="character" w:customStyle="1" w:styleId="51">
    <w:name w:val="批注框文本 字符"/>
    <w:basedOn w:val="14"/>
    <w:link w:val="6"/>
    <w:autoRedefine/>
    <w:semiHidden/>
    <w:qFormat/>
    <w:uiPriority w:val="99"/>
    <w:rPr>
      <w:rFonts w:ascii="Times New Roman" w:hAnsi="Times New Roman" w:eastAsia="宋体" w:cs="Times New Roman"/>
      <w:sz w:val="18"/>
      <w:szCs w:val="18"/>
    </w:rPr>
  </w:style>
  <w:style w:type="character" w:customStyle="1" w:styleId="52">
    <w:name w:val="标题 1 字符"/>
    <w:basedOn w:val="14"/>
    <w:link w:val="2"/>
    <w:autoRedefine/>
    <w:qFormat/>
    <w:uiPriority w:val="9"/>
    <w:rPr>
      <w:rFonts w:ascii="Times New Roman" w:hAnsi="Times New Roman" w:eastAsia="宋体" w:cs="Times New Roman"/>
      <w:b/>
      <w:bCs/>
      <w:kern w:val="44"/>
      <w:sz w:val="44"/>
      <w:szCs w:val="44"/>
    </w:rPr>
  </w:style>
  <w:style w:type="paragraph" w:customStyle="1" w:styleId="53">
    <w:name w:val="TOC Heading"/>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54">
    <w:name w:val="标题 3 字符"/>
    <w:basedOn w:val="14"/>
    <w:link w:val="3"/>
    <w:autoRedefine/>
    <w:semiHidden/>
    <w:qFormat/>
    <w:uiPriority w:val="9"/>
    <w:rPr>
      <w:rFonts w:ascii="Times New Roman" w:hAnsi="Times New Roman" w:eastAsia="宋体" w:cs="Times New Roman"/>
      <w:b/>
      <w:bCs/>
      <w:sz w:val="32"/>
      <w:szCs w:val="32"/>
    </w:rPr>
  </w:style>
  <w:style w:type="character" w:styleId="55">
    <w:name w:val="Placeholder Text"/>
    <w:basedOn w:val="14"/>
    <w:autoRedefine/>
    <w:semiHidden/>
    <w:qFormat/>
    <w:uiPriority w:val="99"/>
    <w:rPr>
      <w:color w:val="808080"/>
    </w:rPr>
  </w:style>
  <w:style w:type="character" w:customStyle="1" w:styleId="56">
    <w:name w:val="apple-converted-space"/>
    <w:autoRedefine/>
    <w:qFormat/>
    <w:uiPriority w:val="0"/>
  </w:style>
  <w:style w:type="paragraph" w:styleId="57">
    <w:name w:val="List Paragraph"/>
    <w:basedOn w:val="1"/>
    <w:autoRedefine/>
    <w:qFormat/>
    <w:uiPriority w:val="34"/>
    <w:pPr>
      <w:ind w:firstLine="420" w:firstLineChars="200"/>
    </w:pPr>
  </w:style>
  <w:style w:type="character" w:customStyle="1" w:styleId="58">
    <w:name w:val="批注文字 字符"/>
    <w:basedOn w:val="14"/>
    <w:link w:val="5"/>
    <w:autoRedefine/>
    <w:semiHidden/>
    <w:qFormat/>
    <w:uiPriority w:val="99"/>
    <w:rPr>
      <w:rFonts w:ascii="Times New Roman" w:hAnsi="Times New Roman" w:eastAsia="宋体" w:cs="Times New Roman"/>
      <w:szCs w:val="24"/>
    </w:rPr>
  </w:style>
  <w:style w:type="character" w:customStyle="1" w:styleId="59">
    <w:name w:val="批注主题 字符"/>
    <w:basedOn w:val="58"/>
    <w:link w:val="11"/>
    <w:autoRedefine/>
    <w:semiHidden/>
    <w:qFormat/>
    <w:uiPriority w:val="99"/>
    <w:rPr>
      <w:rFonts w:ascii="Times New Roman" w:hAnsi="Times New Roman" w:eastAsia="宋体" w:cs="Times New Roman"/>
      <w:b/>
      <w:bCs/>
      <w:szCs w:val="24"/>
    </w:rPr>
  </w:style>
  <w:style w:type="character" w:customStyle="1" w:styleId="60">
    <w:name w:val="标题 4 字符"/>
    <w:basedOn w:val="14"/>
    <w:link w:val="4"/>
    <w:autoRedefine/>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13ECCF-F0B1-4BF5-8659-E2B6EBD4979A}">
  <ds:schemaRefs/>
</ds:datastoreItem>
</file>

<file path=docProps/app.xml><?xml version="1.0" encoding="utf-8"?>
<Properties xmlns="http://schemas.openxmlformats.org/officeDocument/2006/extended-properties" xmlns:vt="http://schemas.openxmlformats.org/officeDocument/2006/docPropsVTypes">
  <Template>Normal</Template>
  <Pages>9</Pages>
  <Words>799</Words>
  <Characters>4559</Characters>
  <Lines>37</Lines>
  <Paragraphs>10</Paragraphs>
  <TotalTime>199</TotalTime>
  <ScaleCrop>false</ScaleCrop>
  <LinksUpToDate>false</LinksUpToDate>
  <CharactersWithSpaces>5348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2024-01-08T08:13:00Z</dcterms:created>
  <dc:creator>JAASBERRY</dc:creator>
  <cp:lastModifiedBy>mmme</cp:lastModifiedBy>
  <cp:lastPrinted>2024-01-10T01:34:00Z</cp:lastPrinted>
  <dcterms:modified xsi:type="dcterms:W3CDTF">2024-02-27T02:57:41Z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07EDCDC8758B4BC2827497766AA946EC_12</vt:lpwstr>
  </property>
</Properties>
</file>