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27</w:t>
            </w:r>
            <w:r>
              <w:rPr>
                <w:rFonts w:hint="eastAsia" w:ascii="黑体" w:hAnsi="黑体" w:eastAsia="黑体"/>
                <w:sz w:val="21"/>
                <w:szCs w:val="21"/>
              </w:rPr>
              <w:t>.</w:t>
            </w:r>
            <w:r>
              <w:rPr>
                <w:rFonts w:ascii="黑体" w:hAnsi="黑体" w:eastAsia="黑体"/>
                <w:sz w:val="21"/>
                <w:szCs w:val="21"/>
              </w:rPr>
              <w:t>140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P 56</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2"/>
              <w:framePr w:w="0" w:hRule="auto" w:wrap="auto" w:vAnchor="margin" w:hAnchor="text" w:xAlign="left" w:yAlign="inline"/>
              <w:rPr>
                <w:rFonts w:ascii="宋体" w:hAnsi="宋体"/>
                <w:sz w:val="28"/>
                <w:szCs w:val="28"/>
              </w:rPr>
            </w:pPr>
            <w:bookmarkStart w:id="2" w:name="_Hlk26473981"/>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DB32</w:t>
            </w:r>
            <w:r>
              <w:fldChar w:fldCharType="end"/>
            </w:r>
            <w:bookmarkEnd w:id="3"/>
          </w:p>
        </w:tc>
      </w:tr>
    </w:tbl>
    <w:p>
      <w:pPr>
        <w:pStyle w:val="53"/>
        <w:framePr w:w="9639" w:h="624" w:hRule="exact" w:hSpace="181" w:vSpace="181" w:wrap="around" w:hAnchor="page" w:x="1347" w:y="2517"/>
        <w:rPr>
          <w:rFonts w:ascii="黑体" w:hAnsi="黑体" w:eastAsia="黑体"/>
          <w:b w:val="0"/>
          <w:bCs w:val="0"/>
          <w:w w:val="100"/>
          <w:sz w:val="48"/>
          <w:szCs w:val="48"/>
        </w:rPr>
      </w:pPr>
      <w:r>
        <w:rPr>
          <w:rFonts w:hint="eastAsia" w:ascii="黑体" w:eastAsia="黑体"/>
          <w:b w:val="0"/>
          <w:w w:val="100"/>
          <w:sz w:val="48"/>
        </w:rPr>
        <w:t>江苏省</w:t>
      </w:r>
      <w:r>
        <w:rPr>
          <w:rFonts w:hint="eastAsia" w:ascii="黑体" w:hAnsi="黑体" w:eastAsia="黑体"/>
          <w:b w:val="0"/>
          <w:bCs w:val="0"/>
          <w:w w:val="100"/>
          <w:sz w:val="48"/>
          <w:szCs w:val="48"/>
        </w:rPr>
        <w:t>地方标准</w:t>
      </w:r>
    </w:p>
    <w:bookmarkEnd w:id="2"/>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4" w:name="CSTD_NAME"/>
      <w:r>
        <w:instrText xml:space="preserve"> FORMTEXT </w:instrText>
      </w:r>
      <w:r>
        <w:fldChar w:fldCharType="separate"/>
      </w:r>
      <w:r>
        <w:t>河道保护规划编制导则</w:t>
      </w:r>
      <w:r>
        <w:fldChar w:fldCharType="end"/>
      </w:r>
      <w:bookmarkEnd w:id="4"/>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eastAsia="黑体"/>
          <w:szCs w:val="28"/>
        </w:rPr>
        <w:t xml:space="preserve">Directives for compiling of river protection planning </w:t>
      </w:r>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5" w:name="下拉1"/>
      <w:r>
        <w:rPr>
          <w:sz w:val="24"/>
          <w:szCs w:val="28"/>
        </w:rPr>
        <w:instrText xml:space="preserve"> FORMDROPDOWN </w:instrText>
      </w:r>
      <w:r>
        <w:rPr>
          <w:sz w:val="24"/>
          <w:szCs w:val="28"/>
        </w:rPr>
        <w:fldChar w:fldCharType="separate"/>
      </w:r>
      <w:r>
        <w:rPr>
          <w:sz w:val="24"/>
          <w:szCs w:val="28"/>
        </w:rPr>
        <w:fldChar w:fldCharType="end"/>
      </w:r>
      <w:bookmarkEnd w:id="5"/>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6" w:name="下拉2"/>
      <w:r>
        <w:rPr>
          <w:b/>
          <w:sz w:val="21"/>
          <w:szCs w:val="28"/>
        </w:rPr>
        <w:instrText xml:space="preserve"> FORMDROPDOWN </w:instrText>
      </w:r>
      <w:r>
        <w:rPr>
          <w:b/>
          <w:sz w:val="21"/>
          <w:szCs w:val="28"/>
        </w:rPr>
        <w:fldChar w:fldCharType="separate"/>
      </w:r>
      <w:r>
        <w:rPr>
          <w:b/>
          <w:sz w:val="21"/>
          <w:szCs w:val="28"/>
        </w:rPr>
        <w:fldChar w:fldCharType="end"/>
      </w:r>
      <w:bookmarkEnd w:id="6"/>
    </w:p>
    <w:p>
      <w:pPr>
        <w:pStyle w:val="196"/>
        <w:framePr w:wrap="around" w:y="14176"/>
      </w:pPr>
      <w:r>
        <w:rPr>
          <w:rFonts w:ascii="黑体"/>
        </w:rPr>
        <w:t>20XX</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发布</w:t>
      </w:r>
    </w:p>
    <w:p>
      <w:pPr>
        <w:pStyle w:val="197"/>
        <w:framePr w:wrap="around" w:y="14176"/>
      </w:pPr>
      <w:r>
        <w:rPr>
          <w:rFonts w:ascii="黑体"/>
        </w:rPr>
        <w:t>20XX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pPr>
        <w:pStyle w:val="154"/>
        <w:framePr w:h="584" w:hRule="exact" w:hSpace="181" w:vSpace="181" w:wrap="around" w:y="15027"/>
        <w:rPr>
          <w:rFonts w:hAnsi="黑体"/>
        </w:rPr>
      </w:pPr>
      <w:r>
        <w:rPr>
          <w:rFonts w:hint="eastAsia" w:hAnsi="黑体"/>
          <w:w w:val="100"/>
          <w:sz w:val="28"/>
        </w:rPr>
        <w:t>江苏省市场监督管理局</w:t>
      </w:r>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pStyle w:val="198"/>
        <w:framePr w:x="1510" w:y="3545"/>
        <w:rPr>
          <w:lang w:val="fr-FR"/>
        </w:rPr>
      </w:pPr>
      <w:r>
        <w:rPr>
          <w:lang w:val="fr-FR"/>
        </w:rPr>
        <w:t>DB</w:t>
      </w:r>
      <w:r>
        <w:rPr>
          <w:sz w:val="15"/>
          <w:szCs w:val="15"/>
          <w:lang w:val="fr-FR"/>
        </w:rPr>
        <w:t xml:space="preserve"> </w:t>
      </w:r>
      <w:r>
        <w:t>32/T</w:t>
      </w:r>
      <w:r>
        <w:rPr>
          <w:lang w:val="fr-FR"/>
        </w:rPr>
        <w:t xml:space="preserve"> </w:t>
      </w:r>
      <w:r>
        <w:fldChar w:fldCharType="begin">
          <w:ffData>
            <w:name w:val="NSTD_CODE_F"/>
            <w:enabled/>
            <w:calcOnExit w:val="0"/>
            <w:textInput>
              <w:default w:val="XXXX"/>
            </w:textInput>
          </w:ffData>
        </w:fldChar>
      </w:r>
      <w:bookmarkStart w:id="11" w:name="NSTD_CODE_F"/>
      <w:r>
        <w:rPr>
          <w:lang w:val="fr-FR"/>
        </w:rPr>
        <w:instrText xml:space="preserve"> FORMTEXT </w:instrText>
      </w:r>
      <w:r>
        <w:fldChar w:fldCharType="separate"/>
      </w:r>
      <w:r>
        <w:rPr>
          <w:lang w:val="fr-FR"/>
        </w:rPr>
        <w:t>XXXX</w:t>
      </w:r>
      <w:r>
        <w:fldChar w:fldCharType="end"/>
      </w:r>
      <w:bookmarkEnd w:id="11"/>
      <w:r>
        <w:rPr>
          <w:rFonts w:hAnsi="黑体"/>
          <w:lang w:val="fr-FR"/>
        </w:rPr>
        <w:t>—</w:t>
      </w:r>
      <w:r>
        <w:fldChar w:fldCharType="begin">
          <w:ffData>
            <w:name w:val="NSTD_CODE_B"/>
            <w:enabled/>
            <w:calcOnExit w:val="0"/>
            <w:textInput>
              <w:default w:val="XXXX"/>
            </w:textInput>
          </w:ffData>
        </w:fldChar>
      </w:r>
      <w:bookmarkStart w:id="12" w:name="NSTD_CODE_B"/>
      <w:r>
        <w:rPr>
          <w:lang w:val="fr-FR"/>
        </w:rPr>
        <w:instrText xml:space="preserve"> FORMTEXT </w:instrText>
      </w:r>
      <w:r>
        <w:fldChar w:fldCharType="separate"/>
      </w:r>
      <w:r>
        <w:rPr>
          <w:lang w:val="fr-FR"/>
        </w:rPr>
        <w:t>XXXX</w:t>
      </w:r>
      <w:r>
        <w:fldChar w:fldCharType="end"/>
      </w:r>
      <w:bookmarkEnd w:id="12"/>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4"/>
        <w:spacing w:after="468"/>
        <w:rPr>
          <w:rFonts w:hint="eastAsia"/>
        </w:rPr>
      </w:pPr>
      <w:bookmarkStart w:id="13" w:name="BookMark1"/>
      <w:bookmarkStart w:id="14" w:name="_Toc154585905"/>
      <w:bookmarkStart w:id="15" w:name="_Toc154582299"/>
      <w:bookmarkStart w:id="16" w:name="_Toc154654460"/>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"_Toc157261270" </w:instrText>
      </w:r>
      <w:r>
        <w:fldChar w:fldCharType="separate"/>
      </w:r>
      <w:r>
        <w:rPr>
          <w:rStyle w:val="34"/>
        </w:rPr>
        <w:t>前言</w:t>
      </w:r>
      <w:r>
        <w:tab/>
      </w:r>
      <w:r>
        <w:fldChar w:fldCharType="begin"/>
      </w:r>
      <w:r>
        <w:instrText xml:space="preserve"> PAGEREF _Toc157261270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"_Toc157261271" </w:instrText>
      </w:r>
      <w:r>
        <w:fldChar w:fldCharType="separate"/>
      </w:r>
      <w:r>
        <w:rPr>
          <w:rStyle w:val="34"/>
        </w:rPr>
        <w:t>引言</w:t>
      </w:r>
      <w:r>
        <w:tab/>
      </w:r>
      <w:r>
        <w:fldChar w:fldCharType="begin"/>
      </w:r>
      <w:r>
        <w:instrText xml:space="preserve"> PAGEREF _Toc157261271 \h </w:instrText>
      </w:r>
      <w:r>
        <w:fldChar w:fldCharType="separate"/>
      </w:r>
      <w:r>
        <w:t>III</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"_Toc157261272" </w:instrText>
      </w:r>
      <w:r>
        <w:fldChar w:fldCharType="separate"/>
      </w:r>
      <w:r>
        <w:rPr>
          <w:rStyle w:val="34"/>
        </w:rPr>
        <w:t>1  范围</w:t>
      </w:r>
      <w:r>
        <w:tab/>
      </w:r>
      <w:r>
        <w:fldChar w:fldCharType="begin"/>
      </w:r>
      <w:r>
        <w:instrText xml:space="preserve"> PAGEREF _Toc157261272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"_Toc157261273" </w:instrText>
      </w:r>
      <w:r>
        <w:fldChar w:fldCharType="separate"/>
      </w:r>
      <w:r>
        <w:rPr>
          <w:rStyle w:val="34"/>
        </w:rPr>
        <w:t>2  规范性引用文件</w:t>
      </w:r>
      <w:r>
        <w:tab/>
      </w:r>
      <w:r>
        <w:fldChar w:fldCharType="begin"/>
      </w:r>
      <w:r>
        <w:instrText xml:space="preserve"> PAGEREF _Toc157261273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"_Toc157261274" </w:instrText>
      </w:r>
      <w:r>
        <w:fldChar w:fldCharType="separate"/>
      </w:r>
      <w:r>
        <w:rPr>
          <w:rStyle w:val="34"/>
        </w:rPr>
        <w:t>3  术语和定义</w:t>
      </w:r>
      <w:r>
        <w:tab/>
      </w:r>
      <w:r>
        <w:fldChar w:fldCharType="begin"/>
      </w:r>
      <w:r>
        <w:instrText xml:space="preserve"> PAGEREF _Toc157261274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"_Toc157261275" </w:instrText>
      </w:r>
      <w:r>
        <w:fldChar w:fldCharType="separate"/>
      </w:r>
      <w:r>
        <w:rPr>
          <w:rStyle w:val="34"/>
        </w:rPr>
        <w:t>4  总体要求</w:t>
      </w:r>
      <w:r>
        <w:tab/>
      </w:r>
      <w:r>
        <w:fldChar w:fldCharType="begin"/>
      </w:r>
      <w:r>
        <w:instrText xml:space="preserve"> PAGEREF _Toc157261275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"_Toc157261276" </w:instrText>
      </w:r>
      <w:r>
        <w:fldChar w:fldCharType="separate"/>
      </w:r>
      <w:r>
        <w:rPr>
          <w:rStyle w:val="34"/>
        </w:rPr>
        <w:t>5  编制准备</w:t>
      </w:r>
      <w:r>
        <w:tab/>
      </w:r>
      <w:r>
        <w:fldChar w:fldCharType="begin"/>
      </w:r>
      <w:r>
        <w:instrText xml:space="preserve"> PAGEREF _Toc157261276 \h </w:instrText>
      </w:r>
      <w:r>
        <w:fldChar w:fldCharType="separate"/>
      </w:r>
      <w:r>
        <w:t>3</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"_Toc157261277" </w:instrText>
      </w:r>
      <w:r>
        <w:fldChar w:fldCharType="separate"/>
      </w:r>
      <w:r>
        <w:rPr>
          <w:rStyle w:val="34"/>
          <w14:scene3d>
            <w14:lightRig w14:rig="threePt" w14:dir="t">
              <w14:rot w14:lat="0" w14:lon="0" w14:rev="0"/>
            </w14:lightRig>
          </w14:scene3d>
        </w:rPr>
        <w:t xml:space="preserve">5.1 </w:t>
      </w:r>
      <w:r>
        <w:rPr>
          <w:rStyle w:val="34"/>
        </w:rPr>
        <w:t xml:space="preserve"> 资料收集</w:t>
      </w:r>
      <w:r>
        <w:tab/>
      </w:r>
      <w:r>
        <w:fldChar w:fldCharType="begin"/>
      </w:r>
      <w:r>
        <w:instrText xml:space="preserve"> PAGEREF _Toc157261277 \h </w:instrText>
      </w:r>
      <w:r>
        <w:fldChar w:fldCharType="separate"/>
      </w:r>
      <w:r>
        <w:t>3</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"_Toc157261278" </w:instrText>
      </w:r>
      <w:r>
        <w:fldChar w:fldCharType="separate"/>
      </w:r>
      <w:r>
        <w:rPr>
          <w:rStyle w:val="34"/>
          <w14:scene3d>
            <w14:lightRig w14:rig="threePt" w14:dir="t">
              <w14:rot w14:lat="0" w14:lon="0" w14:rev="0"/>
            </w14:lightRig>
          </w14:scene3d>
        </w:rPr>
        <w:t xml:space="preserve">5.2 </w:t>
      </w:r>
      <w:r>
        <w:rPr>
          <w:rStyle w:val="34"/>
        </w:rPr>
        <w:t xml:space="preserve"> 评价与分析</w:t>
      </w:r>
      <w:r>
        <w:tab/>
      </w:r>
      <w:r>
        <w:fldChar w:fldCharType="begin"/>
      </w:r>
      <w:r>
        <w:instrText xml:space="preserve"> PAGEREF _Toc157261278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"_Toc157261279" </w:instrText>
      </w:r>
      <w:r>
        <w:fldChar w:fldCharType="separate"/>
      </w:r>
      <w:r>
        <w:rPr>
          <w:rStyle w:val="34"/>
        </w:rPr>
        <w:t>6  编制内容</w:t>
      </w:r>
      <w:r>
        <w:tab/>
      </w:r>
      <w:r>
        <w:fldChar w:fldCharType="begin"/>
      </w:r>
      <w:r>
        <w:instrText xml:space="preserve"> PAGEREF _Toc157261279 \h </w:instrText>
      </w:r>
      <w:r>
        <w:fldChar w:fldCharType="separate"/>
      </w:r>
      <w:r>
        <w:t>4</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"_Toc157261280" </w:instrText>
      </w:r>
      <w:r>
        <w:fldChar w:fldCharType="separate"/>
      </w:r>
      <w:r>
        <w:rPr>
          <w:rStyle w:val="34"/>
          <w14:scene3d>
            <w14:lightRig w14:rig="threePt" w14:dir="t">
              <w14:rot w14:lat="0" w14:lon="0" w14:rev="0"/>
            </w14:lightRig>
          </w14:scene3d>
        </w:rPr>
        <w:t xml:space="preserve">6.1 </w:t>
      </w:r>
      <w:r>
        <w:rPr>
          <w:rStyle w:val="34"/>
        </w:rPr>
        <w:t xml:space="preserve"> 河道功能定位</w:t>
      </w:r>
      <w:r>
        <w:tab/>
      </w:r>
      <w:r>
        <w:fldChar w:fldCharType="begin"/>
      </w:r>
      <w:r>
        <w:instrText xml:space="preserve"> PAGEREF _Toc157261280 \h </w:instrText>
      </w:r>
      <w:r>
        <w:fldChar w:fldCharType="separate"/>
      </w:r>
      <w:r>
        <w:t>4</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"_Toc157261281" </w:instrText>
      </w:r>
      <w:r>
        <w:fldChar w:fldCharType="separate"/>
      </w:r>
      <w:r>
        <w:rPr>
          <w:rStyle w:val="34"/>
          <w14:scene3d>
            <w14:lightRig w14:rig="threePt" w14:dir="t">
              <w14:rot w14:lat="0" w14:lon="0" w14:rev="0"/>
            </w14:lightRig>
          </w14:scene3d>
        </w:rPr>
        <w:t xml:space="preserve">6.2 </w:t>
      </w:r>
      <w:r>
        <w:rPr>
          <w:rStyle w:val="34"/>
        </w:rPr>
        <w:t xml:space="preserve"> 防洪功能保护</w:t>
      </w:r>
      <w:r>
        <w:tab/>
      </w:r>
      <w:r>
        <w:fldChar w:fldCharType="begin"/>
      </w:r>
      <w:r>
        <w:instrText xml:space="preserve"> PAGEREF _Toc157261281 \h </w:instrText>
      </w:r>
      <w:r>
        <w:fldChar w:fldCharType="separate"/>
      </w:r>
      <w:r>
        <w:t>4</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"_Toc157261282" </w:instrText>
      </w:r>
      <w:r>
        <w:fldChar w:fldCharType="separate"/>
      </w:r>
      <w:r>
        <w:rPr>
          <w:rStyle w:val="34"/>
          <w14:scene3d>
            <w14:lightRig w14:rig="threePt" w14:dir="t">
              <w14:rot w14:lat="0" w14:lon="0" w14:rev="0"/>
            </w14:lightRig>
          </w14:scene3d>
        </w:rPr>
        <w:t xml:space="preserve">6.3 </w:t>
      </w:r>
      <w:r>
        <w:rPr>
          <w:rStyle w:val="34"/>
        </w:rPr>
        <w:t xml:space="preserve"> 供水与水资源保护</w:t>
      </w:r>
      <w:r>
        <w:tab/>
      </w:r>
      <w:r>
        <w:fldChar w:fldCharType="begin"/>
      </w:r>
      <w:r>
        <w:instrText xml:space="preserve"> PAGEREF _Toc157261282 \h </w:instrText>
      </w:r>
      <w:r>
        <w:fldChar w:fldCharType="separate"/>
      </w:r>
      <w:r>
        <w:t>5</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"_Toc157261283" </w:instrText>
      </w:r>
      <w:r>
        <w:fldChar w:fldCharType="separate"/>
      </w:r>
      <w:r>
        <w:rPr>
          <w:rStyle w:val="34"/>
          <w14:scene3d>
            <w14:lightRig w14:rig="threePt" w14:dir="t">
              <w14:rot w14:lat="0" w14:lon="0" w14:rev="0"/>
            </w14:lightRig>
          </w14:scene3d>
        </w:rPr>
        <w:t xml:space="preserve">6.4 </w:t>
      </w:r>
      <w:r>
        <w:rPr>
          <w:rStyle w:val="34"/>
        </w:rPr>
        <w:t xml:space="preserve"> 生态保护与修复</w:t>
      </w:r>
      <w:r>
        <w:tab/>
      </w:r>
      <w:r>
        <w:fldChar w:fldCharType="begin"/>
      </w:r>
      <w:r>
        <w:instrText xml:space="preserve"> PAGEREF _Toc157261283 \h </w:instrText>
      </w:r>
      <w:r>
        <w:fldChar w:fldCharType="separate"/>
      </w:r>
      <w:r>
        <w:t>5</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"_Toc157261284" </w:instrText>
      </w:r>
      <w:r>
        <w:fldChar w:fldCharType="separate"/>
      </w:r>
      <w:r>
        <w:rPr>
          <w:rStyle w:val="34"/>
          <w14:scene3d>
            <w14:lightRig w14:rig="threePt" w14:dir="t">
              <w14:rot w14:lat="0" w14:lon="0" w14:rev="0"/>
            </w14:lightRig>
          </w14:scene3d>
        </w:rPr>
        <w:t xml:space="preserve">6.5 </w:t>
      </w:r>
      <w:r>
        <w:rPr>
          <w:rStyle w:val="34"/>
        </w:rPr>
        <w:t xml:space="preserve"> 河道水域/岸线保护</w:t>
      </w:r>
      <w:r>
        <w:tab/>
      </w:r>
      <w:r>
        <w:fldChar w:fldCharType="begin"/>
      </w:r>
      <w:r>
        <w:instrText xml:space="preserve"> PAGEREF _Toc157261284 \h </w:instrText>
      </w:r>
      <w:r>
        <w:fldChar w:fldCharType="separate"/>
      </w:r>
      <w:r>
        <w:t>5</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"_Toc157261285" </w:instrText>
      </w:r>
      <w:r>
        <w:fldChar w:fldCharType="separate"/>
      </w:r>
      <w:r>
        <w:rPr>
          <w:rStyle w:val="34"/>
          <w14:scene3d>
            <w14:lightRig w14:rig="threePt" w14:dir="t">
              <w14:rot w14:lat="0" w14:lon="0" w14:rev="0"/>
            </w14:lightRig>
          </w14:scene3d>
        </w:rPr>
        <w:t xml:space="preserve">6.6 </w:t>
      </w:r>
      <w:r>
        <w:rPr>
          <w:rStyle w:val="34"/>
        </w:rPr>
        <w:t xml:space="preserve"> 航运功能保护</w:t>
      </w:r>
      <w:r>
        <w:tab/>
      </w:r>
      <w:r>
        <w:fldChar w:fldCharType="begin"/>
      </w:r>
      <w:r>
        <w:instrText xml:space="preserve"> PAGEREF _Toc157261285 \h </w:instrText>
      </w:r>
      <w:r>
        <w:fldChar w:fldCharType="separate"/>
      </w:r>
      <w:r>
        <w:t>7</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"_Toc157261286" </w:instrText>
      </w:r>
      <w:r>
        <w:fldChar w:fldCharType="separate"/>
      </w:r>
      <w:r>
        <w:rPr>
          <w:rStyle w:val="34"/>
          <w14:scene3d>
            <w14:lightRig w14:rig="threePt" w14:dir="t">
              <w14:rot w14:lat="0" w14:lon="0" w14:rev="0"/>
            </w14:lightRig>
          </w14:scene3d>
        </w:rPr>
        <w:t xml:space="preserve">6.7 </w:t>
      </w:r>
      <w:r>
        <w:rPr>
          <w:rStyle w:val="34"/>
        </w:rPr>
        <w:t xml:space="preserve"> 水文化与水景观保护</w:t>
      </w:r>
      <w:r>
        <w:tab/>
      </w:r>
      <w:r>
        <w:fldChar w:fldCharType="begin"/>
      </w:r>
      <w:r>
        <w:instrText xml:space="preserve"> PAGEREF _Toc157261286 \h </w:instrText>
      </w:r>
      <w:r>
        <w:fldChar w:fldCharType="separate"/>
      </w:r>
      <w:r>
        <w:t>8</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"_Toc157261287" </w:instrText>
      </w:r>
      <w:r>
        <w:fldChar w:fldCharType="separate"/>
      </w:r>
      <w:r>
        <w:rPr>
          <w:rStyle w:val="34"/>
          <w14:scene3d>
            <w14:lightRig w14:rig="threePt" w14:dir="t">
              <w14:rot w14:lat="0" w14:lon="0" w14:rev="0"/>
            </w14:lightRig>
          </w14:scene3d>
        </w:rPr>
        <w:t xml:space="preserve">6.8 </w:t>
      </w:r>
      <w:r>
        <w:rPr>
          <w:rStyle w:val="34"/>
        </w:rPr>
        <w:t xml:space="preserve"> </w:t>
      </w:r>
      <w:r>
        <w:rPr>
          <w:rStyle w:val="34"/>
          <w:rFonts w:hint="eastAsia"/>
          <w:lang w:val="en-US" w:eastAsia="zh-CN"/>
        </w:rPr>
        <w:t>涉河</w:t>
      </w:r>
      <w:r>
        <w:rPr>
          <w:rStyle w:val="34"/>
        </w:rPr>
        <w:t>重要基础设施保护</w:t>
      </w:r>
      <w:r>
        <w:tab/>
      </w:r>
      <w:r>
        <w:fldChar w:fldCharType="begin"/>
      </w:r>
      <w:r>
        <w:instrText xml:space="preserve"> PAGEREF _Toc157261287 \h </w:instrText>
      </w:r>
      <w:r>
        <w:fldChar w:fldCharType="separate"/>
      </w:r>
      <w:r>
        <w:t>8</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"_Toc157261288" </w:instrText>
      </w:r>
      <w:r>
        <w:fldChar w:fldCharType="separate"/>
      </w:r>
      <w:r>
        <w:rPr>
          <w:rStyle w:val="34"/>
          <w14:scene3d>
            <w14:lightRig w14:rig="threePt" w14:dir="t">
              <w14:rot w14:lat="0" w14:lon="0" w14:rev="0"/>
            </w14:lightRig>
          </w14:scene3d>
        </w:rPr>
        <w:t xml:space="preserve">6.9 </w:t>
      </w:r>
      <w:r>
        <w:rPr>
          <w:rStyle w:val="34"/>
        </w:rPr>
        <w:t xml:space="preserve"> 洲滩保护</w:t>
      </w:r>
      <w:r>
        <w:tab/>
      </w:r>
      <w:r>
        <w:fldChar w:fldCharType="begin"/>
      </w:r>
      <w:r>
        <w:instrText xml:space="preserve"> PAGEREF _Toc157261288 \h </w:instrText>
      </w:r>
      <w:r>
        <w:fldChar w:fldCharType="separate"/>
      </w:r>
      <w:r>
        <w:t>8</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"_Toc157261289" </w:instrText>
      </w:r>
      <w:r>
        <w:fldChar w:fldCharType="separate"/>
      </w:r>
      <w:r>
        <w:rPr>
          <w:rStyle w:val="34"/>
          <w14:scene3d>
            <w14:lightRig w14:rig="threePt" w14:dir="t">
              <w14:rot w14:lat="0" w14:lon="0" w14:rev="0"/>
            </w14:lightRig>
          </w14:scene3d>
        </w:rPr>
        <w:t xml:space="preserve">6.10 </w:t>
      </w:r>
      <w:r>
        <w:rPr>
          <w:rStyle w:val="34"/>
        </w:rPr>
        <w:t xml:space="preserve"> 河道利用管控</w:t>
      </w:r>
      <w:r>
        <w:tab/>
      </w:r>
      <w:r>
        <w:fldChar w:fldCharType="begin"/>
      </w:r>
      <w:r>
        <w:instrText xml:space="preserve"> PAGEREF _Toc157261289 \h </w:instrText>
      </w:r>
      <w:r>
        <w:fldChar w:fldCharType="separate"/>
      </w:r>
      <w:r>
        <w:t>8</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"_Toc157261290" </w:instrText>
      </w:r>
      <w:r>
        <w:fldChar w:fldCharType="separate"/>
      </w:r>
      <w:r>
        <w:rPr>
          <w:rStyle w:val="34"/>
          <w14:scene3d>
            <w14:lightRig w14:rig="threePt" w14:dir="t">
              <w14:rot w14:lat="0" w14:lon="0" w14:rev="0"/>
            </w14:lightRig>
          </w14:scene3d>
        </w:rPr>
        <w:t xml:space="preserve">6.11 </w:t>
      </w:r>
      <w:r>
        <w:rPr>
          <w:rStyle w:val="34"/>
        </w:rPr>
        <w:t xml:space="preserve"> 河道管理</w:t>
      </w:r>
      <w:r>
        <w:tab/>
      </w:r>
      <w:r>
        <w:fldChar w:fldCharType="begin"/>
      </w:r>
      <w:r>
        <w:instrText xml:space="preserve"> PAGEREF _Toc157261290 \h </w:instrText>
      </w:r>
      <w:r>
        <w:fldChar w:fldCharType="separate"/>
      </w:r>
      <w:r>
        <w:t>9</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"_Toc157261291" </w:instrText>
      </w:r>
      <w:r>
        <w:fldChar w:fldCharType="separate"/>
      </w:r>
      <w:r>
        <w:rPr>
          <w:rStyle w:val="34"/>
          <w14:scene3d>
            <w14:lightRig w14:rig="threePt" w14:dir="t">
              <w14:rot w14:lat="0" w14:lon="0" w14:rev="0"/>
            </w14:lightRig>
          </w14:scene3d>
        </w:rPr>
        <w:t xml:space="preserve">6.12 </w:t>
      </w:r>
      <w:r>
        <w:rPr>
          <w:rStyle w:val="34"/>
        </w:rPr>
        <w:t xml:space="preserve"> 河道保护规划实施</w:t>
      </w:r>
      <w:r>
        <w:tab/>
      </w:r>
      <w:r>
        <w:fldChar w:fldCharType="begin"/>
      </w:r>
      <w:r>
        <w:instrText xml:space="preserve"> PAGEREF _Toc157261291 \h </w:instrText>
      </w:r>
      <w:r>
        <w:fldChar w:fldCharType="separate"/>
      </w:r>
      <w:r>
        <w:t>9</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"_Toc157261292" </w:instrText>
      </w:r>
      <w:r>
        <w:fldChar w:fldCharType="separate"/>
      </w:r>
      <w:r>
        <w:rPr>
          <w:rStyle w:val="34"/>
        </w:rPr>
        <w:t>7  编制成果</w:t>
      </w:r>
      <w:r>
        <w:tab/>
      </w:r>
      <w:r>
        <w:fldChar w:fldCharType="begin"/>
      </w:r>
      <w:r>
        <w:instrText xml:space="preserve"> PAGEREF _Toc157261292 \h </w:instrText>
      </w:r>
      <w:r>
        <w:fldChar w:fldCharType="separate"/>
      </w:r>
      <w:r>
        <w:t>10</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"_Toc157261293" </w:instrText>
      </w:r>
      <w:r>
        <w:fldChar w:fldCharType="separate"/>
      </w:r>
      <w:r>
        <w:rPr>
          <w:rStyle w:val="34"/>
        </w:rPr>
        <w:t>附录A（资料性）  河道保护规划主要指标计算方法</w:t>
      </w:r>
      <w:r>
        <w:tab/>
      </w:r>
      <w:r>
        <w:fldChar w:fldCharType="begin"/>
      </w:r>
      <w:r>
        <w:instrText xml:space="preserve"> PAGEREF _Toc157261293 \h </w:instrText>
      </w:r>
      <w:r>
        <w:fldChar w:fldCharType="separate"/>
      </w:r>
      <w:r>
        <w:t>11</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"_Toc157261294" </w:instrText>
      </w:r>
      <w:r>
        <w:fldChar w:fldCharType="separate"/>
      </w:r>
      <w:r>
        <w:rPr>
          <w:rStyle w:val="34"/>
        </w:rPr>
        <w:t>A.1  水安全</w:t>
      </w:r>
      <w:r>
        <w:tab/>
      </w:r>
      <w:r>
        <w:fldChar w:fldCharType="begin"/>
      </w:r>
      <w:r>
        <w:instrText xml:space="preserve"> PAGEREF _Toc157261294 \h </w:instrText>
      </w:r>
      <w:r>
        <w:fldChar w:fldCharType="separate"/>
      </w:r>
      <w:r>
        <w:t>11</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"_Toc157261295" </w:instrText>
      </w:r>
      <w:r>
        <w:fldChar w:fldCharType="separate"/>
      </w:r>
      <w:r>
        <w:rPr>
          <w:rStyle w:val="34"/>
        </w:rPr>
        <w:t>A.2  水资源</w:t>
      </w:r>
      <w:r>
        <w:tab/>
      </w:r>
      <w:r>
        <w:fldChar w:fldCharType="begin"/>
      </w:r>
      <w:r>
        <w:instrText xml:space="preserve"> PAGEREF _Toc157261295 \h </w:instrText>
      </w:r>
      <w:r>
        <w:fldChar w:fldCharType="separate"/>
      </w:r>
      <w:r>
        <w:t>11</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"_Toc157261296" </w:instrText>
      </w:r>
      <w:r>
        <w:fldChar w:fldCharType="separate"/>
      </w:r>
      <w:r>
        <w:rPr>
          <w:rStyle w:val="34"/>
        </w:rPr>
        <w:t>A.3  水生态</w:t>
      </w:r>
      <w:r>
        <w:tab/>
      </w:r>
      <w:r>
        <w:fldChar w:fldCharType="begin"/>
      </w:r>
      <w:r>
        <w:instrText xml:space="preserve"> PAGEREF _Toc157261296 \h </w:instrText>
      </w:r>
      <w:r>
        <w:fldChar w:fldCharType="separate"/>
      </w:r>
      <w:r>
        <w:t>12</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"_Toc157261297" </w:instrText>
      </w:r>
      <w:r>
        <w:fldChar w:fldCharType="separate"/>
      </w:r>
      <w:r>
        <w:rPr>
          <w:rStyle w:val="34"/>
        </w:rPr>
        <w:t>A.4  水空间</w:t>
      </w:r>
      <w:r>
        <w:tab/>
      </w:r>
      <w:r>
        <w:fldChar w:fldCharType="begin"/>
      </w:r>
      <w:r>
        <w:instrText xml:space="preserve"> PAGEREF _Toc157261297 \h </w:instrText>
      </w:r>
      <w:r>
        <w:fldChar w:fldCharType="separate"/>
      </w:r>
      <w:r>
        <w:t>13</w:t>
      </w:r>
      <w:r>
        <w:fldChar w:fldCharType="end"/>
      </w:r>
      <w:r>
        <w:fldChar w:fldCharType="end"/>
      </w:r>
    </w:p>
    <w:p>
      <w:pPr>
        <w:pStyle w:val="25"/>
        <w:rPr>
          <w:rFonts w:asciiTheme="minorHAnsi" w:hAnsiTheme="minorHAnsi" w:eastAsiaTheme="minorEastAsia" w:cstheme="minorBidi"/>
          <w:szCs w:val="22"/>
          <w14:ligatures w14:val="standardContextual"/>
        </w:rPr>
      </w:pPr>
      <w:r>
        <w:fldChar w:fldCharType="begin"/>
      </w:r>
      <w:r>
        <w:instrText xml:space="preserve"> HYPERLINK \l "_Toc157261298" </w:instrText>
      </w:r>
      <w:r>
        <w:fldChar w:fldCharType="separate"/>
      </w:r>
      <w:r>
        <w:rPr>
          <w:rStyle w:val="34"/>
        </w:rPr>
        <w:t>A.5  水管理</w:t>
      </w:r>
      <w:r>
        <w:tab/>
      </w:r>
      <w:r>
        <w:fldChar w:fldCharType="begin"/>
      </w:r>
      <w:r>
        <w:instrText xml:space="preserve"> PAGEREF _Toc157261298 \h </w:instrText>
      </w:r>
      <w:r>
        <w:fldChar w:fldCharType="separate"/>
      </w:r>
      <w:r>
        <w:t>13</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"_Toc157261299" </w:instrText>
      </w:r>
      <w:r>
        <w:fldChar w:fldCharType="separate"/>
      </w:r>
      <w:r>
        <w:rPr>
          <w:rStyle w:val="34"/>
        </w:rPr>
        <w:t>附录B（资料性）  河道保护规划编制提纲</w:t>
      </w:r>
      <w:r>
        <w:tab/>
      </w:r>
      <w:r>
        <w:fldChar w:fldCharType="begin"/>
      </w:r>
      <w:r>
        <w:instrText xml:space="preserve"> PAGEREF _Toc157261299 \h </w:instrText>
      </w:r>
      <w:r>
        <w:fldChar w:fldCharType="separate"/>
      </w:r>
      <w:r>
        <w:t>14</w:t>
      </w:r>
      <w:r>
        <w:fldChar w:fldCharType="end"/>
      </w:r>
      <w:r>
        <w:fldChar w:fldCharType="end"/>
      </w:r>
    </w:p>
    <w:p>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"_Toc157261300" </w:instrText>
      </w:r>
      <w:r>
        <w:fldChar w:fldCharType="separate"/>
      </w:r>
      <w:r>
        <w:rPr>
          <w:rStyle w:val="34"/>
        </w:rPr>
        <w:t>参考文献</w:t>
      </w:r>
      <w:r>
        <w:tab/>
      </w:r>
      <w:r>
        <w:fldChar w:fldCharType="begin"/>
      </w:r>
      <w:r>
        <w:instrText xml:space="preserve"> PAGEREF _Toc157261300 \h </w:instrText>
      </w:r>
      <w:r>
        <w:fldChar w:fldCharType="separate"/>
      </w:r>
      <w:r>
        <w:t>16</w:t>
      </w:r>
      <w:r>
        <w:fldChar w:fldCharType="end"/>
      </w:r>
      <w:r>
        <w:fldChar w:fldCharType="end"/>
      </w:r>
    </w:p>
    <w:p>
      <w:pPr>
        <w:pStyle w:val="94"/>
        <w:spacing w:after="468"/>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13"/>
    <w:p>
      <w:pPr>
        <w:pStyle w:val="92"/>
        <w:spacing w:after="468"/>
      </w:pPr>
      <w:bookmarkStart w:id="17" w:name="_Toc157261270"/>
      <w:bookmarkStart w:id="18" w:name="BookMark2"/>
      <w:r>
        <w:rPr>
          <w:spacing w:val="320"/>
        </w:rPr>
        <w:t>前</w:t>
      </w:r>
      <w:r>
        <w:t>言</w:t>
      </w:r>
      <w:bookmarkEnd w:id="14"/>
      <w:bookmarkEnd w:id="15"/>
      <w:bookmarkEnd w:id="16"/>
      <w:bookmarkEnd w:id="17"/>
    </w:p>
    <w:p>
      <w:pPr>
        <w:pStyle w:val="59"/>
        <w:ind w:firstLine="420"/>
      </w:pPr>
      <w:r>
        <w:rPr>
          <w:rFonts w:hint="eastAsia"/>
        </w:rPr>
        <w:t>本文件按照GB/T 1.1—2020《标准化工作导则  第1部分：标准化文件的结构和起草规则》的规定起草。</w:t>
      </w: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本文件由江苏省水利厅提出并归口。</w:t>
      </w:r>
    </w:p>
    <w:p>
      <w:pPr>
        <w:pStyle w:val="59"/>
        <w:ind w:firstLine="420"/>
        <w:rPr>
          <w:rFonts w:hint="eastAsia" w:eastAsia="宋体"/>
          <w:lang w:eastAsia="zh-CN"/>
        </w:rPr>
      </w:pPr>
      <w:r>
        <w:rPr>
          <w:rFonts w:hint="eastAsia"/>
        </w:rPr>
        <w:t>本文件起草单位：江苏省水利工程规划办公室、水利部水文仪器及岩土工程仪器质量监督检验测试中心</w:t>
      </w:r>
      <w:r>
        <w:rPr>
          <w:rFonts w:hint="eastAsia"/>
          <w:lang w:eastAsia="zh-CN"/>
        </w:rPr>
        <w:t>。</w:t>
      </w:r>
      <w:bookmarkStart w:id="623" w:name="_GoBack"/>
      <w:bookmarkEnd w:id="623"/>
    </w:p>
    <w:p>
      <w:pPr>
        <w:pStyle w:val="59"/>
        <w:ind w:firstLine="420"/>
        <w:rPr>
          <w:rFonts w:hint="eastAsia"/>
        </w:rPr>
        <w:sectPr>
          <w:headerReference r:id="rId15" w:type="default"/>
          <w:footerReference r:id="rId17" w:type="default"/>
          <w:headerReference r:id="rId16" w:type="even"/>
          <w:footerReference r:id="rId18" w:type="even"/>
          <w:pgSz w:w="11906" w:h="16838"/>
          <w:pgMar w:top="2410" w:right="1134" w:bottom="1134" w:left="1134" w:header="1418" w:footer="1134" w:gutter="284"/>
          <w:pgNumType w:fmt="upperRoman"/>
          <w:cols w:space="425" w:num="1"/>
          <w:formProt w:val="0"/>
          <w:docGrid w:type="lines" w:linePitch="312" w:charSpace="0"/>
        </w:sectPr>
      </w:pPr>
      <w:r>
        <w:rPr>
          <w:rFonts w:hint="eastAsia"/>
        </w:rPr>
        <w:t>本文件主要起草人：张鹏、张颖、毛媛媛、欧建锋、张建华、常虹、管西柯、罗龙洪、赵一晗、周向华、袁文秀、凌哲、兰林、杨根林、李玉梅、蒋燕华、吕馨怡、苏南、乔荍、杨卫星、朱星宇、吴峥、顾雨薇、陆楠、</w:t>
      </w:r>
      <w:r>
        <w:rPr>
          <w:rFonts w:hint="eastAsia"/>
          <w:lang w:val="en-US" w:eastAsia="zh-CN"/>
        </w:rPr>
        <w:t>卢知是、</w:t>
      </w:r>
      <w:r>
        <w:rPr>
          <w:rFonts w:hint="eastAsia"/>
        </w:rPr>
        <w:t>郑露</w:t>
      </w:r>
    </w:p>
    <w:bookmarkEnd w:id="18"/>
    <w:p>
      <w:pPr>
        <w:pStyle w:val="92"/>
        <w:spacing w:after="468"/>
      </w:pPr>
      <w:bookmarkStart w:id="19" w:name="_Toc154585906"/>
      <w:bookmarkStart w:id="20" w:name="_Toc154582300"/>
      <w:bookmarkStart w:id="21" w:name="_Toc154654461"/>
      <w:bookmarkStart w:id="22" w:name="_Toc157261271"/>
      <w:bookmarkStart w:id="23" w:name="BookMark3"/>
      <w:r>
        <w:rPr>
          <w:spacing w:val="320"/>
        </w:rPr>
        <w:t>引</w:t>
      </w:r>
      <w:r>
        <w:t>言</w:t>
      </w:r>
      <w:bookmarkEnd w:id="19"/>
      <w:bookmarkEnd w:id="20"/>
      <w:bookmarkEnd w:id="21"/>
      <w:bookmarkEnd w:id="22"/>
    </w:p>
    <w:p>
      <w:pPr>
        <w:pStyle w:val="59"/>
        <w:ind w:firstLine="420"/>
      </w:pPr>
      <w:r>
        <w:rPr>
          <w:rFonts w:hint="eastAsia"/>
        </w:rPr>
        <w:t>河道是水资源的主要载体之一，具有防洪、供水、生态、航运、文化、景观等多种功能，河道保护对沿岸地区生态文明建设和经济社会发展具有重要作用。</w:t>
      </w:r>
    </w:p>
    <w:p>
      <w:pPr>
        <w:pStyle w:val="59"/>
        <w:ind w:firstLine="420"/>
      </w:pPr>
      <w:r>
        <w:rPr>
          <w:rFonts w:hint="eastAsia"/>
        </w:rPr>
        <w:t>江苏境内水网密布、河道众多，河道保护任务艰巨。河道保护规划是河道保护的顶层设计，为了规范河道保护规划编制，根据《中华人民共和国水法》《中华人民共和国防洪法》《中华人民共和国河道管理条例》《江苏省河道管理条例》等法律法规要求，结合本省实际，制定本文件，明确了保护规划编制的主要内容，提出了符合江苏特色的河道保护规划编制要求。</w:t>
      </w:r>
    </w:p>
    <w:p>
      <w:pPr>
        <w:pStyle w:val="59"/>
        <w:ind w:firstLine="420"/>
      </w:pPr>
      <w:r>
        <w:rPr>
          <w:rFonts w:hint="eastAsia"/>
        </w:rPr>
        <w:t>本文件的发布实施，可更好指导河道保护规划编制，更好加强河道保护，保障河道健康和可持续利用；更好支撑江苏省水利技术标准体系构建，为形成河、湖、库保护规划编制系列化标准提供基础。</w:t>
      </w:r>
    </w:p>
    <w:p>
      <w:pPr>
        <w:pStyle w:val="59"/>
        <w:ind w:firstLine="420"/>
      </w:pPr>
    </w:p>
    <w:p>
      <w:pPr>
        <w:pStyle w:val="59"/>
        <w:ind w:firstLine="420"/>
        <w:sectPr>
          <w:headerReference r:id="rId19" w:type="default"/>
          <w:footerReference r:id="rId21" w:type="default"/>
          <w:headerReference r:id="rId20" w:type="even"/>
          <w:footerReference r:id="rId22" w:type="even"/>
          <w:pgSz w:w="11906" w:h="16838"/>
          <w:pgMar w:top="2410"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BE9573E55BA4446BB70FD1A01A198D82"/>
        </w:placeholder>
      </w:sdtPr>
      <w:sdtContent>
        <w:p>
          <w:pPr>
            <w:pStyle w:val="180"/>
            <w:spacing w:before="3" w:beforeLines="1" w:after="686" w:afterLines="220"/>
          </w:pPr>
          <w:bookmarkStart w:id="25" w:name="NEW_STAND_NAME"/>
          <w:r>
            <w:rPr>
              <w:rFonts w:hint="eastAsia"/>
            </w:rPr>
            <w:t>河道保护规划编制导则</w:t>
          </w:r>
        </w:p>
      </w:sdtContent>
    </w:sdt>
    <w:bookmarkEnd w:id="25"/>
    <w:p>
      <w:pPr>
        <w:pStyle w:val="107"/>
        <w:spacing w:before="312" w:after="312"/>
      </w:pPr>
      <w:bookmarkStart w:id="26" w:name="_Toc154654462"/>
      <w:bookmarkStart w:id="27" w:name="_Toc157261272"/>
      <w:bookmarkStart w:id="28" w:name="_Toc26986771"/>
      <w:bookmarkStart w:id="29" w:name="_Toc17233333"/>
      <w:bookmarkStart w:id="30" w:name="_Toc26648465"/>
      <w:bookmarkStart w:id="31" w:name="_Toc17233325"/>
      <w:bookmarkStart w:id="32" w:name="_Toc24884218"/>
      <w:bookmarkStart w:id="33" w:name="_Toc154582301"/>
      <w:bookmarkStart w:id="34" w:name="_Toc26718930"/>
      <w:bookmarkStart w:id="35" w:name="_Toc154585907"/>
      <w:bookmarkStart w:id="36" w:name="_Toc24884211"/>
      <w:bookmarkStart w:id="37" w:name="_Toc26986530"/>
      <w:r>
        <w:rPr>
          <w:rFonts w:hint="eastAsia"/>
        </w:rPr>
        <w:t>范围</w:t>
      </w:r>
      <w:bookmarkEnd w:id="26"/>
      <w:bookmarkEnd w:id="27"/>
      <w:bookmarkEnd w:id="28"/>
      <w:bookmarkEnd w:id="29"/>
      <w:bookmarkEnd w:id="30"/>
      <w:bookmarkEnd w:id="31"/>
      <w:bookmarkEnd w:id="32"/>
      <w:bookmarkEnd w:id="33"/>
      <w:bookmarkEnd w:id="34"/>
      <w:bookmarkEnd w:id="35"/>
      <w:bookmarkEnd w:id="36"/>
      <w:bookmarkEnd w:id="37"/>
    </w:p>
    <w:p>
      <w:pPr>
        <w:pStyle w:val="59"/>
        <w:ind w:firstLine="420"/>
      </w:pPr>
      <w:bookmarkStart w:id="38" w:name="_Hlk157169968"/>
      <w:bookmarkStart w:id="39" w:name="_Toc17233334"/>
      <w:bookmarkStart w:id="40" w:name="_Toc24884212"/>
      <w:bookmarkStart w:id="41" w:name="_Toc17233326"/>
      <w:bookmarkStart w:id="42" w:name="_Toc24884219"/>
      <w:bookmarkStart w:id="43" w:name="_Toc26648466"/>
      <w:r>
        <w:rPr>
          <w:rFonts w:hint="eastAsia"/>
        </w:rPr>
        <w:t>本文件规定了河道保护规划编制的总体要求、前期准备、内容和成果等要求。</w:t>
      </w:r>
    </w:p>
    <w:p>
      <w:pPr>
        <w:pStyle w:val="59"/>
        <w:ind w:firstLine="420"/>
      </w:pPr>
      <w:r>
        <w:rPr>
          <w:rFonts w:hint="eastAsia"/>
        </w:rPr>
        <w:t>本文件适用于省级骨干河道名录内的河道保护规划编制工作，其他河道可参考使用。</w:t>
      </w:r>
      <w:bookmarkEnd w:id="38"/>
    </w:p>
    <w:p>
      <w:pPr>
        <w:pStyle w:val="107"/>
        <w:spacing w:before="312" w:after="312"/>
      </w:pPr>
      <w:bookmarkStart w:id="44" w:name="_Toc154654463"/>
      <w:bookmarkStart w:id="45" w:name="_Toc26986531"/>
      <w:bookmarkStart w:id="46" w:name="_Toc157261273"/>
      <w:bookmarkStart w:id="47" w:name="_Toc154585908"/>
      <w:bookmarkStart w:id="48" w:name="_Toc26718931"/>
      <w:bookmarkStart w:id="49" w:name="_Toc26986772"/>
      <w:bookmarkStart w:id="50" w:name="_Toc154582302"/>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C5C3685A2E164506B8C9ABADD24D80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pPr>
      <w:r>
        <w:t xml:space="preserve">GB 3838—2002  </w:t>
      </w:r>
      <w:r>
        <w:rPr>
          <w:rFonts w:hint="eastAsia"/>
        </w:rPr>
        <w:t>地表水环境质量标准</w:t>
      </w:r>
    </w:p>
    <w:p>
      <w:pPr>
        <w:pStyle w:val="59"/>
        <w:ind w:firstLine="420"/>
      </w:pPr>
      <w:r>
        <w:t>GB/T 21534</w:t>
      </w:r>
      <w:r>
        <w:rPr>
          <w:rFonts w:hint="eastAsia"/>
        </w:rPr>
        <w:t xml:space="preserve">  节约用水 术语</w:t>
      </w:r>
    </w:p>
    <w:p>
      <w:pPr>
        <w:pStyle w:val="59"/>
        <w:ind w:firstLine="420"/>
      </w:pPr>
      <w:r>
        <w:t xml:space="preserve">GB/T 30943  </w:t>
      </w:r>
      <w:r>
        <w:rPr>
          <w:rFonts w:hint="eastAsia"/>
        </w:rPr>
        <w:t>水资源术语</w:t>
      </w:r>
    </w:p>
    <w:p>
      <w:pPr>
        <w:pStyle w:val="59"/>
        <w:ind w:firstLine="420"/>
      </w:pPr>
      <w:r>
        <w:t xml:space="preserve">GB/T 50095  </w:t>
      </w:r>
      <w:r>
        <w:rPr>
          <w:rFonts w:hint="eastAsia"/>
        </w:rPr>
        <w:t>水文基本术语和符号标准</w:t>
      </w:r>
    </w:p>
    <w:p>
      <w:pPr>
        <w:pStyle w:val="59"/>
        <w:ind w:firstLine="420"/>
      </w:pPr>
      <w:r>
        <w:t xml:space="preserve">GB 50201  </w:t>
      </w:r>
      <w:r>
        <w:rPr>
          <w:rFonts w:hint="eastAsia"/>
        </w:rPr>
        <w:t>防洪标准</w:t>
      </w:r>
    </w:p>
    <w:p>
      <w:pPr>
        <w:pStyle w:val="59"/>
        <w:ind w:firstLine="420"/>
      </w:pPr>
      <w:r>
        <w:t xml:space="preserve">SL 26  </w:t>
      </w:r>
      <w:r>
        <w:rPr>
          <w:rFonts w:hint="eastAsia"/>
        </w:rPr>
        <w:t>水利水电工程技术术语</w:t>
      </w:r>
    </w:p>
    <w:p>
      <w:pPr>
        <w:pStyle w:val="59"/>
        <w:ind w:firstLine="420"/>
      </w:pPr>
      <w:r>
        <w:t xml:space="preserve">SL 219  </w:t>
      </w:r>
      <w:r>
        <w:rPr>
          <w:rFonts w:hint="eastAsia"/>
        </w:rPr>
        <w:t>水环境监测规范</w:t>
      </w:r>
    </w:p>
    <w:p>
      <w:pPr>
        <w:pStyle w:val="59"/>
        <w:ind w:firstLine="420"/>
      </w:pPr>
      <w:r>
        <w:t xml:space="preserve">SL 423  </w:t>
      </w:r>
      <w:r>
        <w:rPr>
          <w:rFonts w:hint="eastAsia"/>
        </w:rPr>
        <w:t>河道采砂规划编制与实施监督管理技术规范</w:t>
      </w:r>
    </w:p>
    <w:p>
      <w:pPr>
        <w:pStyle w:val="59"/>
        <w:ind w:firstLine="420"/>
      </w:pPr>
      <w:r>
        <w:t xml:space="preserve">SL 570  </w:t>
      </w:r>
      <w:r>
        <w:rPr>
          <w:rFonts w:hint="eastAsia"/>
        </w:rPr>
        <w:t>水利水电工程管理技术术语</w:t>
      </w:r>
    </w:p>
    <w:p>
      <w:pPr>
        <w:pStyle w:val="59"/>
        <w:ind w:firstLine="420"/>
      </w:pPr>
      <w:bookmarkStart w:id="51" w:name="_Hlk141860684"/>
      <w:r>
        <w:t xml:space="preserve">SL 723  </w:t>
      </w:r>
      <w:r>
        <w:rPr>
          <w:rFonts w:hint="eastAsia"/>
        </w:rPr>
        <w:t>治涝标准</w:t>
      </w:r>
      <w:bookmarkEnd w:id="51"/>
    </w:p>
    <w:p>
      <w:pPr>
        <w:pStyle w:val="107"/>
        <w:spacing w:before="312" w:after="312"/>
      </w:pPr>
      <w:bookmarkStart w:id="52" w:name="_Toc154585909"/>
      <w:bookmarkStart w:id="53" w:name="_Toc154654464"/>
      <w:bookmarkStart w:id="54" w:name="_Toc154582303"/>
      <w:bookmarkStart w:id="55" w:name="_Toc157261274"/>
      <w:r>
        <w:rPr>
          <w:rFonts w:hint="eastAsia"/>
          <w:szCs w:val="21"/>
        </w:rPr>
        <w:t>术语和定义</w:t>
      </w:r>
      <w:bookmarkEnd w:id="52"/>
      <w:bookmarkEnd w:id="53"/>
      <w:bookmarkEnd w:id="54"/>
      <w:bookmarkEnd w:id="55"/>
    </w:p>
    <w:sdt>
      <w:sdtPr>
        <w:id w:val="-1909835108"/>
        <w:placeholder>
          <w:docPart w:val="262F7A02DE1E4D07A281B350FBFB0F3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56" w:name="_Toc26986532"/>
          <w:bookmarkEnd w:id="56"/>
          <w:r>
            <w:rPr>
              <w:rFonts w:hint="eastAsia"/>
            </w:rPr>
            <w:t>GB/T 21534、GB/T 30943、GB/T 50095、SL 26、SL 570</w:t>
          </w:r>
          <w:r>
            <w:t>界定的以及下列术语和定义适用于本文件。</w:t>
          </w:r>
        </w:p>
      </w:sdtContent>
    </w:sdt>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河道临水边界线 </w:t>
      </w:r>
      <w:r>
        <w:rPr>
          <w:rFonts w:ascii="黑体" w:hAnsi="黑体" w:eastAsia="黑体"/>
        </w:rPr>
        <w:t xml:space="preserve">river </w:t>
      </w:r>
      <w:r>
        <w:rPr>
          <w:rFonts w:hint="eastAsia" w:ascii="黑体" w:hAnsi="黑体" w:eastAsia="黑体"/>
        </w:rPr>
        <w:t>w</w:t>
      </w:r>
      <w:r>
        <w:rPr>
          <w:rFonts w:ascii="黑体" w:hAnsi="黑体" w:eastAsia="黑体"/>
        </w:rPr>
        <w:t>ater boundary line</w:t>
      </w:r>
    </w:p>
    <w:p>
      <w:pPr>
        <w:pStyle w:val="59"/>
        <w:ind w:firstLine="420"/>
      </w:pPr>
      <w:r>
        <w:rPr>
          <w:rFonts w:hint="eastAsia"/>
        </w:rPr>
        <w:t>根据稳定河势、保障行洪安全和维护河道生态等基本要求，在河流沿岸临水侧划定的边界线。</w:t>
      </w:r>
    </w:p>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河道外缘边界线 </w:t>
      </w:r>
      <w:r>
        <w:rPr>
          <w:rFonts w:ascii="黑体" w:hAnsi="黑体" w:eastAsia="黑体"/>
        </w:rPr>
        <w:t>river outer boundary line</w:t>
      </w:r>
    </w:p>
    <w:p>
      <w:pPr>
        <w:pStyle w:val="59"/>
        <w:ind w:firstLine="420"/>
      </w:pPr>
      <w:r>
        <w:rPr>
          <w:rFonts w:hint="eastAsia"/>
        </w:rPr>
        <w:t>根据河道管理保护、维护河道功能等管控要求，在河道沿岸陆域侧划定的边界线。</w:t>
      </w:r>
    </w:p>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河道水域 r</w:t>
      </w:r>
      <w:r>
        <w:rPr>
          <w:rFonts w:ascii="黑体" w:hAnsi="黑体" w:eastAsia="黑体"/>
        </w:rPr>
        <w:t xml:space="preserve">iver </w:t>
      </w:r>
      <w:r>
        <w:rPr>
          <w:rFonts w:hint="eastAsia" w:ascii="黑体" w:hAnsi="黑体" w:eastAsia="黑体"/>
        </w:rPr>
        <w:t>water</w:t>
      </w:r>
      <w:r>
        <w:rPr>
          <w:rFonts w:ascii="黑体" w:hAnsi="黑体" w:eastAsia="黑体"/>
        </w:rPr>
        <w:t>s</w:t>
      </w:r>
    </w:p>
    <w:p>
      <w:pPr>
        <w:pStyle w:val="59"/>
        <w:ind w:firstLine="420"/>
      </w:pPr>
      <w:r>
        <w:rPr>
          <w:rFonts w:hint="eastAsia"/>
        </w:rPr>
        <w:t>河道临水边界线（3</w:t>
      </w:r>
      <w:r>
        <w:t>.1</w:t>
      </w:r>
      <w:r>
        <w:rPr>
          <w:rFonts w:hint="eastAsia"/>
        </w:rPr>
        <w:t>）之间的空间范围。</w:t>
      </w:r>
    </w:p>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河道岸线 </w:t>
      </w:r>
      <w:r>
        <w:rPr>
          <w:rFonts w:ascii="黑体" w:hAnsi="黑体" w:eastAsia="黑体"/>
        </w:rPr>
        <w:t>river water front</w:t>
      </w:r>
    </w:p>
    <w:p>
      <w:pPr>
        <w:pStyle w:val="59"/>
        <w:ind w:firstLine="420"/>
      </w:pPr>
      <w:r>
        <w:rPr>
          <w:rFonts w:hint="eastAsia"/>
        </w:rPr>
        <w:t>河道临水边界线（3</w:t>
      </w:r>
      <w:r>
        <w:t>.1</w:t>
      </w:r>
      <w:r>
        <w:rPr>
          <w:rFonts w:hint="eastAsia"/>
        </w:rPr>
        <w:t>）与外缘边界线（3</w:t>
      </w:r>
      <w:r>
        <w:t>.2</w:t>
      </w:r>
      <w:r>
        <w:rPr>
          <w:rFonts w:hint="eastAsia"/>
        </w:rPr>
        <w:t>）之间的空间范围。</w:t>
      </w:r>
    </w:p>
    <w:p>
      <w:pPr>
        <w:pStyle w:val="59"/>
        <w:ind w:firstLine="420"/>
      </w:pPr>
    </w:p>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河道水域/岸线功能区 </w:t>
      </w:r>
      <w:r>
        <w:rPr>
          <w:rFonts w:ascii="黑体" w:hAnsi="黑体" w:eastAsia="黑体"/>
        </w:rPr>
        <w:t xml:space="preserve">river functional </w:t>
      </w:r>
      <w:r>
        <w:rPr>
          <w:rFonts w:hint="eastAsia" w:ascii="黑体" w:hAnsi="黑体" w:eastAsia="黑体"/>
        </w:rPr>
        <w:t>zone of waters/water front</w:t>
      </w:r>
    </w:p>
    <w:p>
      <w:pPr>
        <w:pStyle w:val="59"/>
        <w:ind w:firstLine="420"/>
      </w:pPr>
      <w:r>
        <w:t>根据</w:t>
      </w:r>
      <w:r>
        <w:rPr>
          <w:rFonts w:hint="eastAsia"/>
        </w:rPr>
        <w:t>河道水域/</w:t>
      </w:r>
      <w:r>
        <w:t>岸线的自然属性、经济社会功能属性以及保护和利用要求划定的不同功能定位的区</w:t>
      </w:r>
      <w:r>
        <w:rPr>
          <w:rFonts w:hint="eastAsia"/>
        </w:rPr>
        <w:t>域</w:t>
      </w:r>
      <w:r>
        <w:t>，分为保护区、保留区、控制利用区和开发利用区。</w:t>
      </w:r>
    </w:p>
    <w:p>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保护区</w:t>
      </w:r>
      <w:r>
        <w:rPr>
          <w:rFonts w:ascii="黑体" w:hAnsi="黑体" w:eastAsia="黑体"/>
        </w:rPr>
        <w:t>conservation area</w:t>
      </w:r>
    </w:p>
    <w:p>
      <w:pPr>
        <w:pStyle w:val="59"/>
        <w:ind w:firstLine="420"/>
        <w:rPr>
          <w:rFonts w:ascii="黑体" w:hAnsi="黑体" w:eastAsia="黑体"/>
        </w:rPr>
      </w:pPr>
      <w:r>
        <w:rPr>
          <w:rFonts w:hint="eastAsia"/>
        </w:rPr>
        <w:t>为保障防洪安全、河势稳定、供水安全、生态安全、重大枢纽工程安全等而划定的功能区。</w:t>
      </w:r>
    </w:p>
    <w:p>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保留区</w:t>
      </w:r>
      <w:r>
        <w:rPr>
          <w:rFonts w:ascii="黑体" w:hAnsi="黑体" w:eastAsia="黑体"/>
        </w:rPr>
        <w:t>reserved area</w:t>
      </w:r>
    </w:p>
    <w:p>
      <w:pPr>
        <w:pStyle w:val="59"/>
        <w:ind w:firstLine="420"/>
        <w:rPr>
          <w:rFonts w:ascii="黑体" w:hAnsi="黑体" w:eastAsia="黑体"/>
        </w:rPr>
      </w:pPr>
      <w:r>
        <w:rPr>
          <w:rFonts w:hint="eastAsia"/>
        </w:rPr>
        <w:t>因尚不具备开发利用条件、规划期内暂无开发利用需求、为重大工程或生态保护预留空间等而划定的功能区。</w:t>
      </w:r>
    </w:p>
    <w:p>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控制利用区</w:t>
      </w:r>
      <w:r>
        <w:rPr>
          <w:rFonts w:ascii="黑体" w:hAnsi="黑体" w:eastAsia="黑体"/>
        </w:rPr>
        <w:t>control utilization area</w:t>
      </w:r>
    </w:p>
    <w:p>
      <w:pPr>
        <w:pStyle w:val="59"/>
        <w:ind w:firstLine="420"/>
        <w:rPr>
          <w:rFonts w:ascii="黑体" w:hAnsi="黑体" w:eastAsia="黑体"/>
        </w:rPr>
      </w:pPr>
      <w:r>
        <w:rPr>
          <w:rFonts w:hint="eastAsia"/>
        </w:rPr>
        <w:t>为避免影响水域/岸线功能保护目标实现，需要控制开发利用强度、方式和用途而划定的功能区。</w:t>
      </w:r>
    </w:p>
    <w:p>
      <w:pPr>
        <w:pStyle w:val="227"/>
        <w:ind w:left="420" w:hanging="420" w:hangingChars="200"/>
        <w:rPr>
          <w:rFonts w:ascii="黑体" w:hAnsi="黑体" w:eastAsia="黑体"/>
        </w:rPr>
      </w:pPr>
      <w:r>
        <w:rPr>
          <w:rFonts w:ascii="黑体" w:hAnsi="黑体" w:eastAsia="黑体"/>
        </w:rPr>
        <w:br w:type="textWrapping"/>
      </w:r>
      <w:r>
        <w:rPr>
          <w:rFonts w:hint="eastAsia" w:ascii="黑体" w:hAnsi="黑体" w:eastAsia="黑体"/>
        </w:rPr>
        <w:t>开发利用区</w:t>
      </w:r>
      <w:r>
        <w:rPr>
          <w:rFonts w:ascii="黑体" w:hAnsi="黑体" w:eastAsia="黑体"/>
        </w:rPr>
        <w:t>utilization area</w:t>
      </w:r>
    </w:p>
    <w:p>
      <w:pPr>
        <w:pStyle w:val="59"/>
        <w:ind w:firstLine="420"/>
      </w:pPr>
      <w:r>
        <w:rPr>
          <w:rFonts w:hint="eastAsia"/>
        </w:rPr>
        <w:t>河势基本稳定、水域/岸线利用条件较好，为满足经济社会发展需求而划定的功能区。</w:t>
      </w:r>
    </w:p>
    <w:p>
      <w:pPr>
        <w:pStyle w:val="107"/>
        <w:spacing w:before="312" w:after="312"/>
      </w:pPr>
      <w:bookmarkStart w:id="57" w:name="_Toc138070450"/>
      <w:bookmarkStart w:id="58" w:name="_Toc136477908"/>
      <w:bookmarkStart w:id="59" w:name="_Toc157261275"/>
      <w:bookmarkStart w:id="60" w:name="_Toc141951824"/>
      <w:bookmarkStart w:id="61" w:name="_Toc150880096"/>
      <w:bookmarkStart w:id="62" w:name="_Toc150935047"/>
      <w:bookmarkStart w:id="63" w:name="_Toc154585910"/>
      <w:bookmarkStart w:id="64" w:name="_Toc148366683"/>
      <w:bookmarkStart w:id="65" w:name="_Toc152928142"/>
      <w:bookmarkStart w:id="66" w:name="_Toc152913668"/>
      <w:bookmarkStart w:id="67" w:name="_Toc141450770"/>
      <w:bookmarkStart w:id="68" w:name="_Toc138070403"/>
      <w:bookmarkStart w:id="69" w:name="_Toc154491967"/>
      <w:bookmarkStart w:id="70" w:name="_Toc136944752"/>
      <w:bookmarkStart w:id="71" w:name="_Toc148353486"/>
      <w:bookmarkStart w:id="72" w:name="_Toc143079335"/>
      <w:bookmarkStart w:id="73" w:name="_Toc152913625"/>
      <w:bookmarkStart w:id="74" w:name="_Toc138032585"/>
      <w:bookmarkStart w:id="75" w:name="_Toc136477810"/>
      <w:bookmarkStart w:id="76" w:name="_Toc154654465"/>
      <w:bookmarkStart w:id="77" w:name="_Toc154582304"/>
      <w:r>
        <w:rPr>
          <w:rFonts w:hint="eastAsia"/>
        </w:rPr>
        <w:t>总体要求</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pStyle w:val="165"/>
      </w:pPr>
      <w:r>
        <w:rPr>
          <w:rFonts w:hint="eastAsia"/>
        </w:rPr>
        <w:t>河道保护规划编制应符合流域、区域</w:t>
      </w:r>
      <w:r>
        <w:rPr>
          <w:rFonts w:hint="eastAsia"/>
          <w:lang w:val="en-US" w:eastAsia="zh-CN"/>
        </w:rPr>
        <w:t>水利</w:t>
      </w:r>
      <w:r>
        <w:rPr>
          <w:rFonts w:hint="eastAsia"/>
        </w:rPr>
        <w:t>综合规划和防洪、水资源、岸线利用等专业专项规划，应与国土空间规划、生态空间管控区域规划、生态环境保护规划等相衔接、协调。</w:t>
      </w:r>
    </w:p>
    <w:p>
      <w:pPr>
        <w:pStyle w:val="165"/>
      </w:pPr>
      <w:r>
        <w:rPr>
          <w:rFonts w:hint="eastAsia"/>
        </w:rPr>
        <w:t>河道保护规划范围应符合法律法规的规定，宜采用河道管理范围，也可根据河道保护要求确定。河道保护规划研究范围可依据保护的需要综合确定。</w:t>
      </w:r>
    </w:p>
    <w:p>
      <w:pPr>
        <w:pStyle w:val="165"/>
      </w:pPr>
      <w:r>
        <w:rPr>
          <w:rFonts w:hint="eastAsia"/>
        </w:rPr>
        <w:t>河道保护规划的水平年应分为现状水平年和规划水平年。现状水平年宜选择河道保护规划编制临近年份。规划水平年可分为近期和远期，宜与国民经济和社会发展规划、国土空间规划的水平年相适应。</w:t>
      </w:r>
    </w:p>
    <w:p>
      <w:pPr>
        <w:pStyle w:val="165"/>
      </w:pPr>
      <w:r>
        <w:rPr>
          <w:rFonts w:hint="eastAsia"/>
        </w:rPr>
        <w:t>河道保护规划目标应分为总体目标和阶段目标。总体目标为定性的方向性目标，阶段目标应明确河道水安全、水资源、水生态、水空间和水管理等方面的要求，包括定性和定量目标，并具有可操作性。有定量要求的目标应提出主要指标，指标表宜按表1的格式设置，指标计算方法参见附录A。</w:t>
      </w:r>
    </w:p>
    <w:p>
      <w:pPr>
        <w:pStyle w:val="115"/>
        <w:spacing w:before="156" w:after="156"/>
      </w:pPr>
      <w:r>
        <w:rPr>
          <w:rFonts w:hint="eastAsia"/>
        </w:rPr>
        <w:t>河道保护规划主要指标表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276"/>
        <w:gridCol w:w="2976"/>
        <w:gridCol w:w="1134"/>
        <w:gridCol w:w="993"/>
        <w:gridCol w:w="992"/>
        <w:gridCol w:w="11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1" w:type="dxa"/>
            <w:vMerge w:val="restart"/>
            <w:tcBorders>
              <w:top w:val="single" w:color="auto" w:sz="8" w:space="0"/>
            </w:tcBorders>
            <w:shd w:val="clear" w:color="auto" w:fill="auto"/>
            <w:vAlign w:val="center"/>
          </w:tcPr>
          <w:p>
            <w:pPr>
              <w:pStyle w:val="181"/>
              <w:rPr>
                <w:szCs w:val="18"/>
              </w:rPr>
            </w:pPr>
            <w:r>
              <w:rPr>
                <w:rFonts w:hint="eastAsia"/>
                <w:szCs w:val="18"/>
              </w:rPr>
              <w:t>序号</w:t>
            </w:r>
          </w:p>
        </w:tc>
        <w:tc>
          <w:tcPr>
            <w:tcW w:w="1276" w:type="dxa"/>
            <w:vMerge w:val="restart"/>
            <w:tcBorders>
              <w:top w:val="single" w:color="auto" w:sz="8" w:space="0"/>
            </w:tcBorders>
            <w:shd w:val="clear" w:color="auto" w:fill="auto"/>
            <w:vAlign w:val="center"/>
          </w:tcPr>
          <w:p>
            <w:pPr>
              <w:pStyle w:val="181"/>
              <w:rPr>
                <w:szCs w:val="18"/>
              </w:rPr>
            </w:pPr>
            <w:r>
              <w:rPr>
                <w:rFonts w:hint="eastAsia"/>
                <w:szCs w:val="18"/>
              </w:rPr>
              <w:t>指标类型</w:t>
            </w:r>
          </w:p>
        </w:tc>
        <w:tc>
          <w:tcPr>
            <w:tcW w:w="2976" w:type="dxa"/>
            <w:vMerge w:val="restart"/>
            <w:tcBorders>
              <w:top w:val="single" w:color="auto" w:sz="8" w:space="0"/>
            </w:tcBorders>
            <w:shd w:val="clear" w:color="auto" w:fill="auto"/>
            <w:vAlign w:val="center"/>
          </w:tcPr>
          <w:p>
            <w:pPr>
              <w:pStyle w:val="181"/>
              <w:rPr>
                <w:szCs w:val="18"/>
              </w:rPr>
            </w:pPr>
            <w:r>
              <w:rPr>
                <w:rFonts w:hint="eastAsia"/>
                <w:szCs w:val="18"/>
              </w:rPr>
              <w:t>指标名称</w:t>
            </w:r>
          </w:p>
        </w:tc>
        <w:tc>
          <w:tcPr>
            <w:tcW w:w="1134" w:type="dxa"/>
            <w:vMerge w:val="restart"/>
            <w:tcBorders>
              <w:top w:val="single" w:color="auto" w:sz="8" w:space="0"/>
            </w:tcBorders>
            <w:shd w:val="clear" w:color="auto" w:fill="auto"/>
            <w:vAlign w:val="center"/>
          </w:tcPr>
          <w:p>
            <w:pPr>
              <w:pStyle w:val="181"/>
              <w:rPr>
                <w:szCs w:val="18"/>
              </w:rPr>
            </w:pPr>
            <w:r>
              <w:rPr>
                <w:rFonts w:hint="eastAsia"/>
                <w:szCs w:val="18"/>
              </w:rPr>
              <w:t>现状水平</w:t>
            </w:r>
          </w:p>
        </w:tc>
        <w:tc>
          <w:tcPr>
            <w:tcW w:w="1985" w:type="dxa"/>
            <w:gridSpan w:val="2"/>
            <w:tcBorders>
              <w:top w:val="single" w:color="auto" w:sz="8" w:space="0"/>
              <w:bottom w:val="single" w:color="auto" w:sz="8" w:space="0"/>
            </w:tcBorders>
            <w:shd w:val="clear" w:color="auto" w:fill="auto"/>
            <w:vAlign w:val="center"/>
          </w:tcPr>
          <w:p>
            <w:pPr>
              <w:pStyle w:val="181"/>
              <w:rPr>
                <w:szCs w:val="18"/>
              </w:rPr>
            </w:pPr>
            <w:r>
              <w:rPr>
                <w:rFonts w:hint="eastAsia"/>
                <w:szCs w:val="18"/>
              </w:rPr>
              <w:t>规划目标</w:t>
            </w:r>
          </w:p>
        </w:tc>
        <w:tc>
          <w:tcPr>
            <w:tcW w:w="1122" w:type="dxa"/>
            <w:vMerge w:val="restart"/>
            <w:tcBorders>
              <w:top w:val="single" w:color="auto" w:sz="8" w:space="0"/>
            </w:tcBorders>
            <w:shd w:val="clear" w:color="auto" w:fill="auto"/>
            <w:vAlign w:val="center"/>
          </w:tcPr>
          <w:p>
            <w:pPr>
              <w:pStyle w:val="181"/>
              <w:rPr>
                <w:szCs w:val="18"/>
              </w:rPr>
            </w:pPr>
            <w:r>
              <w:rPr>
                <w:rFonts w:hint="eastAsia"/>
                <w:szCs w:val="18"/>
              </w:rPr>
              <w:t>指标属性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Merge w:val="continue"/>
            <w:shd w:val="clear" w:color="auto" w:fill="auto"/>
            <w:vAlign w:val="center"/>
          </w:tcPr>
          <w:p>
            <w:pPr>
              <w:pStyle w:val="181"/>
              <w:rPr>
                <w:szCs w:val="18"/>
              </w:rPr>
            </w:pPr>
          </w:p>
        </w:tc>
        <w:tc>
          <w:tcPr>
            <w:tcW w:w="1276" w:type="dxa"/>
            <w:vMerge w:val="continue"/>
            <w:shd w:val="clear" w:color="auto" w:fill="auto"/>
            <w:vAlign w:val="center"/>
          </w:tcPr>
          <w:p>
            <w:pPr>
              <w:pStyle w:val="181"/>
              <w:rPr>
                <w:szCs w:val="18"/>
              </w:rPr>
            </w:pPr>
          </w:p>
        </w:tc>
        <w:tc>
          <w:tcPr>
            <w:tcW w:w="2976" w:type="dxa"/>
            <w:vMerge w:val="continue"/>
            <w:shd w:val="clear" w:color="auto" w:fill="auto"/>
            <w:vAlign w:val="center"/>
          </w:tcPr>
          <w:p>
            <w:pPr>
              <w:pStyle w:val="181"/>
              <w:rPr>
                <w:szCs w:val="18"/>
              </w:rPr>
            </w:pPr>
          </w:p>
        </w:tc>
        <w:tc>
          <w:tcPr>
            <w:tcW w:w="1134" w:type="dxa"/>
            <w:vMerge w:val="continue"/>
            <w:shd w:val="clear" w:color="auto" w:fill="auto"/>
            <w:vAlign w:val="center"/>
          </w:tcPr>
          <w:p>
            <w:pPr>
              <w:pStyle w:val="181"/>
              <w:rPr>
                <w:szCs w:val="18"/>
              </w:rPr>
            </w:pPr>
          </w:p>
        </w:tc>
        <w:tc>
          <w:tcPr>
            <w:tcW w:w="993" w:type="dxa"/>
            <w:tcBorders>
              <w:top w:val="single" w:color="auto" w:sz="8" w:space="0"/>
            </w:tcBorders>
            <w:shd w:val="clear" w:color="auto" w:fill="auto"/>
            <w:vAlign w:val="center"/>
          </w:tcPr>
          <w:p>
            <w:pPr>
              <w:pStyle w:val="181"/>
              <w:rPr>
                <w:szCs w:val="18"/>
              </w:rPr>
            </w:pPr>
            <w:r>
              <w:rPr>
                <w:rFonts w:hint="eastAsia"/>
                <w:szCs w:val="18"/>
              </w:rPr>
              <w:t>近期</w:t>
            </w:r>
          </w:p>
        </w:tc>
        <w:tc>
          <w:tcPr>
            <w:tcW w:w="992" w:type="dxa"/>
            <w:tcBorders>
              <w:top w:val="single" w:color="auto" w:sz="8" w:space="0"/>
            </w:tcBorders>
            <w:shd w:val="clear" w:color="auto" w:fill="auto"/>
            <w:vAlign w:val="center"/>
          </w:tcPr>
          <w:p>
            <w:pPr>
              <w:pStyle w:val="181"/>
              <w:rPr>
                <w:szCs w:val="18"/>
              </w:rPr>
            </w:pPr>
            <w:r>
              <w:rPr>
                <w:rFonts w:hint="eastAsia"/>
                <w:szCs w:val="18"/>
              </w:rPr>
              <w:t>远期</w:t>
            </w:r>
          </w:p>
        </w:tc>
        <w:tc>
          <w:tcPr>
            <w:tcW w:w="1122" w:type="dxa"/>
            <w:vMerge w:val="continue"/>
            <w:shd w:val="clear" w:color="auto" w:fill="auto"/>
            <w:vAlign w:val="center"/>
          </w:tcPr>
          <w:p>
            <w:pPr>
              <w:pStyle w:val="181"/>
              <w:rPr>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81"/>
              <w:rPr>
                <w:szCs w:val="18"/>
              </w:rPr>
            </w:pPr>
            <w:r>
              <w:rPr>
                <w:rFonts w:hint="eastAsia"/>
                <w:szCs w:val="18"/>
              </w:rPr>
              <w:t>1</w:t>
            </w:r>
          </w:p>
        </w:tc>
        <w:tc>
          <w:tcPr>
            <w:tcW w:w="1276" w:type="dxa"/>
            <w:vMerge w:val="restart"/>
            <w:shd w:val="clear" w:color="auto" w:fill="auto"/>
            <w:vAlign w:val="center"/>
          </w:tcPr>
          <w:p>
            <w:pPr>
              <w:pStyle w:val="181"/>
              <w:rPr>
                <w:szCs w:val="18"/>
              </w:rPr>
            </w:pPr>
            <w:r>
              <w:rPr>
                <w:rFonts w:hint="eastAsia"/>
                <w:szCs w:val="18"/>
              </w:rPr>
              <w:t>水安全</w:t>
            </w:r>
          </w:p>
        </w:tc>
        <w:tc>
          <w:tcPr>
            <w:tcW w:w="2976" w:type="dxa"/>
            <w:shd w:val="clear" w:color="auto" w:fill="auto"/>
            <w:vAlign w:val="center"/>
          </w:tcPr>
          <w:p>
            <w:pPr>
              <w:pStyle w:val="181"/>
              <w:jc w:val="left"/>
              <w:rPr>
                <w:szCs w:val="18"/>
              </w:rPr>
            </w:pPr>
            <w:r>
              <w:rPr>
                <w:rFonts w:hint="eastAsia"/>
                <w:szCs w:val="18"/>
              </w:rPr>
              <w:t>堤防工程达标率</w:t>
            </w:r>
          </w:p>
        </w:tc>
        <w:tc>
          <w:tcPr>
            <w:tcW w:w="1134" w:type="dxa"/>
            <w:shd w:val="clear" w:color="auto" w:fill="auto"/>
            <w:vAlign w:val="center"/>
          </w:tcPr>
          <w:p>
            <w:pPr>
              <w:pStyle w:val="181"/>
              <w:rPr>
                <w:szCs w:val="18"/>
              </w:rPr>
            </w:pPr>
          </w:p>
        </w:tc>
        <w:tc>
          <w:tcPr>
            <w:tcW w:w="993" w:type="dxa"/>
            <w:shd w:val="clear" w:color="auto" w:fill="auto"/>
            <w:vAlign w:val="center"/>
          </w:tcPr>
          <w:p>
            <w:pPr>
              <w:pStyle w:val="181"/>
              <w:rPr>
                <w:szCs w:val="18"/>
              </w:rPr>
            </w:pPr>
          </w:p>
        </w:tc>
        <w:tc>
          <w:tcPr>
            <w:tcW w:w="992" w:type="dxa"/>
            <w:shd w:val="clear" w:color="auto" w:fill="auto"/>
            <w:vAlign w:val="center"/>
          </w:tcPr>
          <w:p>
            <w:pPr>
              <w:pStyle w:val="181"/>
              <w:rPr>
                <w:szCs w:val="18"/>
              </w:rPr>
            </w:pPr>
          </w:p>
        </w:tc>
        <w:tc>
          <w:tcPr>
            <w:tcW w:w="1122" w:type="dxa"/>
            <w:shd w:val="clear" w:color="auto" w:fill="auto"/>
            <w:vAlign w:val="center"/>
          </w:tcPr>
          <w:p>
            <w:pPr>
              <w:pStyle w:val="181"/>
              <w:rPr>
                <w:szCs w:val="18"/>
              </w:rPr>
            </w:pPr>
            <w:r>
              <w:rPr>
                <w:rFonts w:hint="eastAsia"/>
                <w:szCs w:val="18"/>
              </w:rPr>
              <w:t>约束性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81"/>
              <w:rPr>
                <w:szCs w:val="18"/>
              </w:rPr>
            </w:pPr>
            <w:r>
              <w:rPr>
                <w:rFonts w:hint="eastAsia"/>
                <w:szCs w:val="18"/>
              </w:rPr>
              <w:t>2</w:t>
            </w:r>
          </w:p>
        </w:tc>
        <w:tc>
          <w:tcPr>
            <w:tcW w:w="1276" w:type="dxa"/>
            <w:vMerge w:val="continue"/>
            <w:shd w:val="clear" w:color="auto" w:fill="auto"/>
            <w:vAlign w:val="center"/>
          </w:tcPr>
          <w:p>
            <w:pPr>
              <w:pStyle w:val="181"/>
              <w:rPr>
                <w:szCs w:val="18"/>
              </w:rPr>
            </w:pPr>
          </w:p>
        </w:tc>
        <w:tc>
          <w:tcPr>
            <w:tcW w:w="2976" w:type="dxa"/>
            <w:shd w:val="clear" w:color="auto" w:fill="auto"/>
            <w:vAlign w:val="center"/>
          </w:tcPr>
          <w:p>
            <w:pPr>
              <w:pStyle w:val="181"/>
              <w:jc w:val="left"/>
              <w:rPr>
                <w:szCs w:val="18"/>
              </w:rPr>
            </w:pPr>
            <w:r>
              <w:rPr>
                <w:rFonts w:hint="eastAsia"/>
                <w:szCs w:val="18"/>
              </w:rPr>
              <w:t>防汛道路贯通率</w:t>
            </w:r>
          </w:p>
        </w:tc>
        <w:tc>
          <w:tcPr>
            <w:tcW w:w="1134" w:type="dxa"/>
            <w:shd w:val="clear" w:color="auto" w:fill="auto"/>
            <w:vAlign w:val="center"/>
          </w:tcPr>
          <w:p>
            <w:pPr>
              <w:pStyle w:val="181"/>
              <w:rPr>
                <w:szCs w:val="18"/>
              </w:rPr>
            </w:pPr>
          </w:p>
        </w:tc>
        <w:tc>
          <w:tcPr>
            <w:tcW w:w="993" w:type="dxa"/>
            <w:shd w:val="clear" w:color="auto" w:fill="auto"/>
            <w:vAlign w:val="center"/>
          </w:tcPr>
          <w:p>
            <w:pPr>
              <w:pStyle w:val="181"/>
              <w:rPr>
                <w:szCs w:val="18"/>
              </w:rPr>
            </w:pPr>
          </w:p>
        </w:tc>
        <w:tc>
          <w:tcPr>
            <w:tcW w:w="992" w:type="dxa"/>
            <w:shd w:val="clear" w:color="auto" w:fill="auto"/>
            <w:vAlign w:val="center"/>
          </w:tcPr>
          <w:p>
            <w:pPr>
              <w:pStyle w:val="181"/>
              <w:rPr>
                <w:szCs w:val="18"/>
              </w:rPr>
            </w:pPr>
          </w:p>
        </w:tc>
        <w:tc>
          <w:tcPr>
            <w:tcW w:w="1122" w:type="dxa"/>
            <w:shd w:val="clear" w:color="auto" w:fill="auto"/>
            <w:vAlign w:val="center"/>
          </w:tcPr>
          <w:p>
            <w:pPr>
              <w:pStyle w:val="181"/>
              <w:rPr>
                <w:szCs w:val="18"/>
              </w:rPr>
            </w:pPr>
            <w:r>
              <w:rPr>
                <w:rFonts w:hint="eastAsia"/>
                <w:szCs w:val="18"/>
              </w:rPr>
              <w:t>预期性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81"/>
              <w:rPr>
                <w:szCs w:val="18"/>
              </w:rPr>
            </w:pPr>
            <w:r>
              <w:rPr>
                <w:rFonts w:hint="eastAsia"/>
                <w:szCs w:val="18"/>
              </w:rPr>
              <w:t>3</w:t>
            </w:r>
          </w:p>
        </w:tc>
        <w:tc>
          <w:tcPr>
            <w:tcW w:w="1276" w:type="dxa"/>
            <w:vMerge w:val="restart"/>
            <w:shd w:val="clear" w:color="auto" w:fill="auto"/>
            <w:vAlign w:val="center"/>
          </w:tcPr>
          <w:p>
            <w:pPr>
              <w:pStyle w:val="181"/>
              <w:rPr>
                <w:szCs w:val="18"/>
              </w:rPr>
            </w:pPr>
            <w:r>
              <w:rPr>
                <w:rFonts w:hint="eastAsia"/>
                <w:szCs w:val="18"/>
              </w:rPr>
              <w:t>水资源</w:t>
            </w:r>
          </w:p>
        </w:tc>
        <w:tc>
          <w:tcPr>
            <w:tcW w:w="2976" w:type="dxa"/>
            <w:shd w:val="clear" w:color="auto" w:fill="auto"/>
            <w:vAlign w:val="center"/>
          </w:tcPr>
          <w:p>
            <w:pPr>
              <w:pStyle w:val="181"/>
              <w:jc w:val="left"/>
              <w:rPr>
                <w:szCs w:val="18"/>
              </w:rPr>
            </w:pPr>
            <w:r>
              <w:rPr>
                <w:rFonts w:hint="eastAsia"/>
                <w:szCs w:val="18"/>
              </w:rPr>
              <w:t>集中式饮用水水源地水质达标率</w:t>
            </w:r>
          </w:p>
        </w:tc>
        <w:tc>
          <w:tcPr>
            <w:tcW w:w="1134" w:type="dxa"/>
            <w:shd w:val="clear" w:color="auto" w:fill="auto"/>
            <w:vAlign w:val="center"/>
          </w:tcPr>
          <w:p>
            <w:pPr>
              <w:pStyle w:val="181"/>
              <w:rPr>
                <w:szCs w:val="18"/>
              </w:rPr>
            </w:pPr>
          </w:p>
        </w:tc>
        <w:tc>
          <w:tcPr>
            <w:tcW w:w="993" w:type="dxa"/>
            <w:shd w:val="clear" w:color="auto" w:fill="auto"/>
            <w:vAlign w:val="center"/>
          </w:tcPr>
          <w:p>
            <w:pPr>
              <w:pStyle w:val="181"/>
              <w:rPr>
                <w:szCs w:val="18"/>
              </w:rPr>
            </w:pPr>
          </w:p>
        </w:tc>
        <w:tc>
          <w:tcPr>
            <w:tcW w:w="992" w:type="dxa"/>
            <w:shd w:val="clear" w:color="auto" w:fill="auto"/>
            <w:vAlign w:val="center"/>
          </w:tcPr>
          <w:p>
            <w:pPr>
              <w:pStyle w:val="181"/>
              <w:rPr>
                <w:szCs w:val="18"/>
              </w:rPr>
            </w:pPr>
          </w:p>
        </w:tc>
        <w:tc>
          <w:tcPr>
            <w:tcW w:w="1122" w:type="dxa"/>
            <w:shd w:val="clear" w:color="auto" w:fill="auto"/>
            <w:vAlign w:val="center"/>
          </w:tcPr>
          <w:p>
            <w:pPr>
              <w:pStyle w:val="181"/>
              <w:rPr>
                <w:szCs w:val="18"/>
              </w:rPr>
            </w:pPr>
            <w:r>
              <w:rPr>
                <w:rFonts w:hint="eastAsia"/>
                <w:szCs w:val="18"/>
              </w:rPr>
              <w:t>约束性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81"/>
              <w:rPr>
                <w:szCs w:val="18"/>
              </w:rPr>
            </w:pPr>
            <w:r>
              <w:rPr>
                <w:rFonts w:hint="eastAsia"/>
                <w:szCs w:val="18"/>
              </w:rPr>
              <w:t>4</w:t>
            </w:r>
          </w:p>
        </w:tc>
        <w:tc>
          <w:tcPr>
            <w:tcW w:w="1276" w:type="dxa"/>
            <w:vMerge w:val="continue"/>
            <w:shd w:val="clear" w:color="auto" w:fill="auto"/>
            <w:vAlign w:val="center"/>
          </w:tcPr>
          <w:p>
            <w:pPr>
              <w:pStyle w:val="181"/>
              <w:rPr>
                <w:szCs w:val="18"/>
              </w:rPr>
            </w:pPr>
          </w:p>
        </w:tc>
        <w:tc>
          <w:tcPr>
            <w:tcW w:w="2976" w:type="dxa"/>
            <w:shd w:val="clear" w:color="auto" w:fill="auto"/>
            <w:vAlign w:val="center"/>
          </w:tcPr>
          <w:p>
            <w:pPr>
              <w:pStyle w:val="181"/>
              <w:jc w:val="left"/>
              <w:rPr>
                <w:szCs w:val="18"/>
              </w:rPr>
            </w:pPr>
            <w:r>
              <w:rPr>
                <w:rFonts w:hint="eastAsia"/>
                <w:szCs w:val="18"/>
              </w:rPr>
              <w:t>生态水位（流量）满足程度</w:t>
            </w:r>
          </w:p>
        </w:tc>
        <w:tc>
          <w:tcPr>
            <w:tcW w:w="1134" w:type="dxa"/>
            <w:shd w:val="clear" w:color="auto" w:fill="auto"/>
            <w:vAlign w:val="center"/>
          </w:tcPr>
          <w:p>
            <w:pPr>
              <w:pStyle w:val="181"/>
              <w:rPr>
                <w:szCs w:val="18"/>
              </w:rPr>
            </w:pPr>
          </w:p>
        </w:tc>
        <w:tc>
          <w:tcPr>
            <w:tcW w:w="993" w:type="dxa"/>
            <w:shd w:val="clear" w:color="auto" w:fill="auto"/>
            <w:vAlign w:val="center"/>
          </w:tcPr>
          <w:p>
            <w:pPr>
              <w:pStyle w:val="181"/>
              <w:rPr>
                <w:szCs w:val="18"/>
              </w:rPr>
            </w:pPr>
          </w:p>
        </w:tc>
        <w:tc>
          <w:tcPr>
            <w:tcW w:w="992" w:type="dxa"/>
            <w:shd w:val="clear" w:color="auto" w:fill="auto"/>
            <w:vAlign w:val="center"/>
          </w:tcPr>
          <w:p>
            <w:pPr>
              <w:pStyle w:val="181"/>
              <w:rPr>
                <w:szCs w:val="18"/>
              </w:rPr>
            </w:pPr>
          </w:p>
        </w:tc>
        <w:tc>
          <w:tcPr>
            <w:tcW w:w="1122" w:type="dxa"/>
            <w:shd w:val="clear" w:color="auto" w:fill="auto"/>
            <w:vAlign w:val="center"/>
          </w:tcPr>
          <w:p>
            <w:pPr>
              <w:pStyle w:val="181"/>
              <w:rPr>
                <w:szCs w:val="18"/>
              </w:rPr>
            </w:pPr>
            <w:r>
              <w:rPr>
                <w:rFonts w:hint="eastAsia"/>
                <w:szCs w:val="18"/>
              </w:rPr>
              <w:t>约束性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81"/>
              <w:rPr>
                <w:szCs w:val="18"/>
              </w:rPr>
            </w:pPr>
            <w:r>
              <w:rPr>
                <w:rFonts w:hint="eastAsia"/>
                <w:szCs w:val="18"/>
              </w:rPr>
              <w:t>5</w:t>
            </w:r>
          </w:p>
        </w:tc>
        <w:tc>
          <w:tcPr>
            <w:tcW w:w="1276" w:type="dxa"/>
            <w:vMerge w:val="restart"/>
            <w:shd w:val="clear" w:color="auto" w:fill="auto"/>
            <w:vAlign w:val="center"/>
          </w:tcPr>
          <w:p>
            <w:pPr>
              <w:pStyle w:val="181"/>
              <w:rPr>
                <w:szCs w:val="18"/>
              </w:rPr>
            </w:pPr>
            <w:r>
              <w:rPr>
                <w:rFonts w:hint="eastAsia"/>
                <w:szCs w:val="18"/>
              </w:rPr>
              <w:t>水生态</w:t>
            </w:r>
          </w:p>
        </w:tc>
        <w:tc>
          <w:tcPr>
            <w:tcW w:w="2976" w:type="dxa"/>
            <w:shd w:val="clear" w:color="auto" w:fill="auto"/>
            <w:vAlign w:val="center"/>
          </w:tcPr>
          <w:p>
            <w:pPr>
              <w:pStyle w:val="181"/>
              <w:jc w:val="left"/>
              <w:rPr>
                <w:szCs w:val="18"/>
              </w:rPr>
            </w:pPr>
            <w:r>
              <w:rPr>
                <w:rFonts w:hint="eastAsia"/>
                <w:szCs w:val="18"/>
              </w:rPr>
              <w:t>水质目标</w:t>
            </w:r>
          </w:p>
        </w:tc>
        <w:tc>
          <w:tcPr>
            <w:tcW w:w="1134" w:type="dxa"/>
            <w:shd w:val="clear" w:color="auto" w:fill="auto"/>
            <w:vAlign w:val="center"/>
          </w:tcPr>
          <w:p>
            <w:pPr>
              <w:pStyle w:val="181"/>
              <w:rPr>
                <w:szCs w:val="18"/>
              </w:rPr>
            </w:pPr>
          </w:p>
        </w:tc>
        <w:tc>
          <w:tcPr>
            <w:tcW w:w="993" w:type="dxa"/>
            <w:shd w:val="clear" w:color="auto" w:fill="auto"/>
            <w:vAlign w:val="center"/>
          </w:tcPr>
          <w:p>
            <w:pPr>
              <w:pStyle w:val="181"/>
              <w:rPr>
                <w:szCs w:val="18"/>
              </w:rPr>
            </w:pPr>
          </w:p>
        </w:tc>
        <w:tc>
          <w:tcPr>
            <w:tcW w:w="992" w:type="dxa"/>
            <w:shd w:val="clear" w:color="auto" w:fill="auto"/>
            <w:vAlign w:val="center"/>
          </w:tcPr>
          <w:p>
            <w:pPr>
              <w:pStyle w:val="181"/>
              <w:rPr>
                <w:szCs w:val="18"/>
              </w:rPr>
            </w:pPr>
          </w:p>
        </w:tc>
        <w:tc>
          <w:tcPr>
            <w:tcW w:w="1122" w:type="dxa"/>
            <w:shd w:val="clear" w:color="auto" w:fill="auto"/>
            <w:vAlign w:val="center"/>
          </w:tcPr>
          <w:p>
            <w:pPr>
              <w:pStyle w:val="181"/>
              <w:rPr>
                <w:szCs w:val="18"/>
              </w:rPr>
            </w:pPr>
            <w:r>
              <w:rPr>
                <w:rFonts w:hint="eastAsia"/>
                <w:szCs w:val="18"/>
              </w:rPr>
              <w:t>预期性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81"/>
              <w:rPr>
                <w:szCs w:val="18"/>
              </w:rPr>
            </w:pPr>
            <w:r>
              <w:rPr>
                <w:rFonts w:hint="eastAsia"/>
                <w:szCs w:val="18"/>
              </w:rPr>
              <w:t>6</w:t>
            </w:r>
          </w:p>
        </w:tc>
        <w:tc>
          <w:tcPr>
            <w:tcW w:w="1276" w:type="dxa"/>
            <w:vMerge w:val="continue"/>
            <w:shd w:val="clear" w:color="auto" w:fill="auto"/>
            <w:vAlign w:val="center"/>
          </w:tcPr>
          <w:p>
            <w:pPr>
              <w:pStyle w:val="181"/>
              <w:rPr>
                <w:szCs w:val="18"/>
              </w:rPr>
            </w:pPr>
          </w:p>
        </w:tc>
        <w:tc>
          <w:tcPr>
            <w:tcW w:w="2976" w:type="dxa"/>
            <w:shd w:val="clear" w:color="auto" w:fill="auto"/>
            <w:vAlign w:val="center"/>
          </w:tcPr>
          <w:p>
            <w:pPr>
              <w:pStyle w:val="181"/>
              <w:jc w:val="left"/>
              <w:rPr>
                <w:szCs w:val="18"/>
              </w:rPr>
            </w:pPr>
            <w:r>
              <w:rPr>
                <w:rFonts w:hint="eastAsia"/>
                <w:szCs w:val="18"/>
              </w:rPr>
              <w:t>生态岸线保有率</w:t>
            </w:r>
          </w:p>
        </w:tc>
        <w:tc>
          <w:tcPr>
            <w:tcW w:w="1134" w:type="dxa"/>
            <w:shd w:val="clear" w:color="auto" w:fill="auto"/>
            <w:vAlign w:val="center"/>
          </w:tcPr>
          <w:p>
            <w:pPr>
              <w:pStyle w:val="181"/>
              <w:rPr>
                <w:szCs w:val="18"/>
              </w:rPr>
            </w:pPr>
          </w:p>
        </w:tc>
        <w:tc>
          <w:tcPr>
            <w:tcW w:w="993" w:type="dxa"/>
            <w:shd w:val="clear" w:color="auto" w:fill="auto"/>
            <w:vAlign w:val="center"/>
          </w:tcPr>
          <w:p>
            <w:pPr>
              <w:pStyle w:val="181"/>
              <w:rPr>
                <w:szCs w:val="18"/>
              </w:rPr>
            </w:pPr>
          </w:p>
        </w:tc>
        <w:tc>
          <w:tcPr>
            <w:tcW w:w="992" w:type="dxa"/>
            <w:shd w:val="clear" w:color="auto" w:fill="auto"/>
            <w:vAlign w:val="center"/>
          </w:tcPr>
          <w:p>
            <w:pPr>
              <w:pStyle w:val="181"/>
              <w:rPr>
                <w:szCs w:val="18"/>
              </w:rPr>
            </w:pPr>
          </w:p>
        </w:tc>
        <w:tc>
          <w:tcPr>
            <w:tcW w:w="1122" w:type="dxa"/>
            <w:shd w:val="clear" w:color="auto" w:fill="auto"/>
            <w:vAlign w:val="center"/>
          </w:tcPr>
          <w:p>
            <w:pPr>
              <w:pStyle w:val="181"/>
              <w:rPr>
                <w:szCs w:val="18"/>
              </w:rPr>
            </w:pPr>
            <w:r>
              <w:rPr>
                <w:rFonts w:hint="eastAsia"/>
                <w:szCs w:val="18"/>
              </w:rPr>
              <w:t>预期性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81"/>
              <w:rPr>
                <w:szCs w:val="18"/>
              </w:rPr>
            </w:pPr>
            <w:r>
              <w:rPr>
                <w:rFonts w:hint="eastAsia"/>
                <w:szCs w:val="18"/>
              </w:rPr>
              <w:t>7</w:t>
            </w:r>
          </w:p>
        </w:tc>
        <w:tc>
          <w:tcPr>
            <w:tcW w:w="1276" w:type="dxa"/>
            <w:shd w:val="clear" w:color="auto" w:fill="auto"/>
            <w:vAlign w:val="center"/>
          </w:tcPr>
          <w:p>
            <w:pPr>
              <w:pStyle w:val="181"/>
              <w:rPr>
                <w:szCs w:val="18"/>
              </w:rPr>
            </w:pPr>
            <w:r>
              <w:rPr>
                <w:rFonts w:hint="eastAsia"/>
                <w:szCs w:val="18"/>
              </w:rPr>
              <w:t>水空间</w:t>
            </w:r>
          </w:p>
        </w:tc>
        <w:tc>
          <w:tcPr>
            <w:tcW w:w="2976" w:type="dxa"/>
            <w:shd w:val="clear" w:color="auto" w:fill="auto"/>
            <w:vAlign w:val="center"/>
          </w:tcPr>
          <w:p>
            <w:pPr>
              <w:pStyle w:val="181"/>
              <w:jc w:val="left"/>
              <w:rPr>
                <w:szCs w:val="18"/>
              </w:rPr>
            </w:pPr>
            <w:r>
              <w:rPr>
                <w:rFonts w:hint="eastAsia"/>
                <w:szCs w:val="18"/>
              </w:rPr>
              <w:t>岸线功能区达标率</w:t>
            </w:r>
          </w:p>
        </w:tc>
        <w:tc>
          <w:tcPr>
            <w:tcW w:w="1134" w:type="dxa"/>
            <w:shd w:val="clear" w:color="auto" w:fill="auto"/>
            <w:vAlign w:val="center"/>
          </w:tcPr>
          <w:p>
            <w:pPr>
              <w:pStyle w:val="181"/>
              <w:rPr>
                <w:szCs w:val="18"/>
              </w:rPr>
            </w:pPr>
          </w:p>
        </w:tc>
        <w:tc>
          <w:tcPr>
            <w:tcW w:w="993" w:type="dxa"/>
            <w:shd w:val="clear" w:color="auto" w:fill="auto"/>
            <w:vAlign w:val="center"/>
          </w:tcPr>
          <w:p>
            <w:pPr>
              <w:pStyle w:val="181"/>
              <w:rPr>
                <w:szCs w:val="18"/>
              </w:rPr>
            </w:pPr>
          </w:p>
        </w:tc>
        <w:tc>
          <w:tcPr>
            <w:tcW w:w="992" w:type="dxa"/>
            <w:shd w:val="clear" w:color="auto" w:fill="auto"/>
            <w:vAlign w:val="center"/>
          </w:tcPr>
          <w:p>
            <w:pPr>
              <w:pStyle w:val="181"/>
              <w:rPr>
                <w:szCs w:val="18"/>
              </w:rPr>
            </w:pPr>
          </w:p>
        </w:tc>
        <w:tc>
          <w:tcPr>
            <w:tcW w:w="1122" w:type="dxa"/>
            <w:shd w:val="clear" w:color="auto" w:fill="auto"/>
            <w:vAlign w:val="center"/>
          </w:tcPr>
          <w:p>
            <w:pPr>
              <w:pStyle w:val="181"/>
              <w:rPr>
                <w:szCs w:val="18"/>
              </w:rPr>
            </w:pPr>
            <w:r>
              <w:rPr>
                <w:rFonts w:hint="eastAsia"/>
                <w:szCs w:val="18"/>
              </w:rPr>
              <w:t>预期性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81"/>
              <w:rPr>
                <w:szCs w:val="18"/>
              </w:rPr>
            </w:pPr>
            <w:r>
              <w:rPr>
                <w:rFonts w:hint="eastAsia"/>
                <w:szCs w:val="18"/>
              </w:rPr>
              <w:t>8</w:t>
            </w:r>
          </w:p>
        </w:tc>
        <w:tc>
          <w:tcPr>
            <w:tcW w:w="1276" w:type="dxa"/>
            <w:shd w:val="clear" w:color="auto" w:fill="auto"/>
            <w:vAlign w:val="center"/>
          </w:tcPr>
          <w:p>
            <w:pPr>
              <w:pStyle w:val="181"/>
              <w:rPr>
                <w:szCs w:val="18"/>
              </w:rPr>
            </w:pPr>
            <w:r>
              <w:rPr>
                <w:rFonts w:hint="eastAsia"/>
                <w:szCs w:val="18"/>
              </w:rPr>
              <w:t>水管理</w:t>
            </w:r>
          </w:p>
        </w:tc>
        <w:tc>
          <w:tcPr>
            <w:tcW w:w="2976" w:type="dxa"/>
            <w:shd w:val="clear" w:color="auto" w:fill="auto"/>
            <w:vAlign w:val="center"/>
          </w:tcPr>
          <w:p>
            <w:pPr>
              <w:pStyle w:val="181"/>
              <w:jc w:val="left"/>
              <w:rPr>
                <w:szCs w:val="18"/>
              </w:rPr>
            </w:pPr>
            <w:r>
              <w:rPr>
                <w:rFonts w:hint="eastAsia"/>
                <w:szCs w:val="18"/>
              </w:rPr>
              <w:t>河道长效监管水平</w:t>
            </w:r>
          </w:p>
        </w:tc>
        <w:tc>
          <w:tcPr>
            <w:tcW w:w="1134" w:type="dxa"/>
            <w:shd w:val="clear" w:color="auto" w:fill="auto"/>
            <w:vAlign w:val="center"/>
          </w:tcPr>
          <w:p>
            <w:pPr>
              <w:pStyle w:val="181"/>
              <w:rPr>
                <w:szCs w:val="18"/>
              </w:rPr>
            </w:pPr>
          </w:p>
        </w:tc>
        <w:tc>
          <w:tcPr>
            <w:tcW w:w="993" w:type="dxa"/>
            <w:shd w:val="clear" w:color="auto" w:fill="auto"/>
            <w:vAlign w:val="center"/>
          </w:tcPr>
          <w:p>
            <w:pPr>
              <w:pStyle w:val="181"/>
              <w:rPr>
                <w:szCs w:val="18"/>
              </w:rPr>
            </w:pPr>
          </w:p>
        </w:tc>
        <w:tc>
          <w:tcPr>
            <w:tcW w:w="992" w:type="dxa"/>
            <w:shd w:val="clear" w:color="auto" w:fill="auto"/>
            <w:vAlign w:val="center"/>
          </w:tcPr>
          <w:p>
            <w:pPr>
              <w:pStyle w:val="181"/>
              <w:rPr>
                <w:szCs w:val="18"/>
              </w:rPr>
            </w:pPr>
          </w:p>
        </w:tc>
        <w:tc>
          <w:tcPr>
            <w:tcW w:w="1122" w:type="dxa"/>
            <w:shd w:val="clear" w:color="auto" w:fill="auto"/>
            <w:vAlign w:val="center"/>
          </w:tcPr>
          <w:p>
            <w:pPr>
              <w:pStyle w:val="181"/>
              <w:rPr>
                <w:szCs w:val="18"/>
              </w:rPr>
            </w:pPr>
            <w:r>
              <w:rPr>
                <w:rFonts w:hint="eastAsia"/>
                <w:szCs w:val="18"/>
              </w:rPr>
              <w:t>预期性</w:t>
            </w:r>
          </w:p>
        </w:tc>
      </w:tr>
    </w:tbl>
    <w:p>
      <w:pPr>
        <w:pStyle w:val="165"/>
        <w:rPr>
          <w:rFonts w:ascii="黑体" w:hAnsi="黑体" w:eastAsia="黑体"/>
        </w:rPr>
      </w:pPr>
      <w:r>
        <w:rPr>
          <w:rFonts w:hint="eastAsia"/>
        </w:rPr>
        <w:t>河道保护规划编制内容应包括河道功能定位、防洪功能保护、供水与水资源保护、生态保护与修复、河道水域/岸线保护、</w:t>
      </w:r>
      <w:r>
        <w:rPr>
          <w:rFonts w:hint="eastAsia"/>
          <w:lang w:val="en-US" w:eastAsia="zh-CN"/>
        </w:rPr>
        <w:t>涉河</w:t>
      </w:r>
      <w:r>
        <w:rPr>
          <w:rFonts w:hint="eastAsia"/>
        </w:rPr>
        <w:t>重要基础设施保护、河道利用管控、河道管理、河道保护规划实施等。航运功能保护、水文化与水景观保护、洲滩保护等方面内容，可根据河道具体特点确定。</w:t>
      </w:r>
    </w:p>
    <w:p>
      <w:pPr>
        <w:pStyle w:val="165"/>
      </w:pPr>
      <w:r>
        <w:rPr>
          <w:rFonts w:hint="eastAsia"/>
        </w:rPr>
        <w:t>河道保护规划编制应以河道功能保护和空间管控为重点，划分河道水域/岸线功能区并提出分区管控要求，强化河道管理保护，发挥河道综合效益。</w:t>
      </w:r>
    </w:p>
    <w:p>
      <w:pPr>
        <w:pStyle w:val="107"/>
        <w:spacing w:before="312" w:after="312"/>
      </w:pPr>
      <w:bookmarkStart w:id="78" w:name="_Toc154585911"/>
      <w:bookmarkStart w:id="79" w:name="_Toc152913669"/>
      <w:bookmarkStart w:id="80" w:name="_Toc148366684"/>
      <w:bookmarkStart w:id="81" w:name="_Toc154582305"/>
      <w:bookmarkStart w:id="82" w:name="_Toc150880097"/>
      <w:bookmarkStart w:id="83" w:name="_Toc150935048"/>
      <w:bookmarkStart w:id="84" w:name="_Toc157261276"/>
      <w:bookmarkStart w:id="85" w:name="_Toc154654466"/>
      <w:bookmarkStart w:id="86" w:name="_Toc152913626"/>
      <w:bookmarkStart w:id="87" w:name="_Toc152928143"/>
      <w:bookmarkStart w:id="88" w:name="_Toc154491968"/>
      <w:bookmarkStart w:id="89" w:name="_Toc148353487"/>
      <w:r>
        <w:rPr>
          <w:rFonts w:hint="eastAsia"/>
        </w:rPr>
        <w:t>编制准备</w:t>
      </w:r>
      <w:bookmarkEnd w:id="78"/>
      <w:bookmarkEnd w:id="79"/>
      <w:bookmarkEnd w:id="80"/>
      <w:bookmarkEnd w:id="81"/>
      <w:bookmarkEnd w:id="82"/>
      <w:bookmarkEnd w:id="83"/>
      <w:bookmarkEnd w:id="84"/>
      <w:bookmarkEnd w:id="85"/>
      <w:bookmarkEnd w:id="86"/>
      <w:bookmarkEnd w:id="87"/>
      <w:bookmarkEnd w:id="88"/>
      <w:bookmarkEnd w:id="89"/>
    </w:p>
    <w:p>
      <w:pPr>
        <w:pStyle w:val="108"/>
        <w:spacing w:before="156" w:after="156"/>
      </w:pPr>
      <w:bookmarkStart w:id="90" w:name="_Toc154582306"/>
      <w:bookmarkStart w:id="91" w:name="_Toc152913627"/>
      <w:bookmarkStart w:id="92" w:name="_Toc154654467"/>
      <w:bookmarkStart w:id="93" w:name="_Toc154585912"/>
      <w:bookmarkStart w:id="94" w:name="_Toc157261277"/>
      <w:bookmarkStart w:id="95" w:name="_Toc154491969"/>
      <w:bookmarkStart w:id="96" w:name="_Toc148353488"/>
      <w:r>
        <w:rPr>
          <w:rFonts w:hint="eastAsia"/>
        </w:rPr>
        <w:t>资料收集</w:t>
      </w:r>
      <w:bookmarkEnd w:id="90"/>
      <w:bookmarkEnd w:id="91"/>
      <w:bookmarkEnd w:id="92"/>
      <w:bookmarkEnd w:id="93"/>
      <w:bookmarkEnd w:id="94"/>
      <w:bookmarkEnd w:id="95"/>
      <w:bookmarkEnd w:id="96"/>
    </w:p>
    <w:p>
      <w:pPr>
        <w:pStyle w:val="68"/>
        <w:spacing w:before="156" w:after="156"/>
      </w:pPr>
      <w:r>
        <w:rPr>
          <w:rFonts w:hint="eastAsia"/>
        </w:rPr>
        <w:t>一般规定</w:t>
      </w:r>
    </w:p>
    <w:p>
      <w:pPr>
        <w:pStyle w:val="59"/>
        <w:ind w:firstLine="420"/>
      </w:pPr>
      <w:r>
        <w:rPr>
          <w:rFonts w:hint="eastAsia"/>
        </w:rPr>
        <w:t>河道保护规划资料收集应通过实地勘测、调查、文献查阅等方式，掌握相关区域的自然地理和经济社会概况，收集整理相关规划成果，确定资料合理性和可靠性。</w:t>
      </w:r>
    </w:p>
    <w:p>
      <w:pPr>
        <w:pStyle w:val="68"/>
        <w:spacing w:before="156" w:after="156"/>
      </w:pPr>
      <w:r>
        <w:rPr>
          <w:rFonts w:hint="eastAsia"/>
        </w:rPr>
        <w:t>基本情况</w:t>
      </w:r>
    </w:p>
    <w:p>
      <w:pPr>
        <w:pStyle w:val="59"/>
        <w:ind w:firstLine="420"/>
      </w:pPr>
      <w:r>
        <w:rPr>
          <w:rFonts w:hint="eastAsia"/>
        </w:rPr>
        <w:t>应收集下列资料：</w:t>
      </w:r>
    </w:p>
    <w:p>
      <w:pPr>
        <w:pStyle w:val="177"/>
      </w:pPr>
      <w:r>
        <w:rPr>
          <w:rFonts w:hint="eastAsia"/>
        </w:rPr>
        <w:t>自然概况。包括河道的地理位置、流经范围、地形地貌、河道长度、主要干支流等；</w:t>
      </w:r>
    </w:p>
    <w:p>
      <w:pPr>
        <w:pStyle w:val="177"/>
      </w:pPr>
      <w:r>
        <w:rPr>
          <w:rFonts w:hint="eastAsia"/>
        </w:rPr>
        <w:t>水文气象。包括河道流经区域的降水、蒸发、水位、流量、台风等水文、气象特</w:t>
      </w:r>
      <w:r>
        <w:rPr>
          <w:rFonts w:hint="eastAsia"/>
          <w:lang w:eastAsia="zh-CN"/>
        </w:rPr>
        <w:t>征相</w:t>
      </w:r>
      <w:r>
        <w:rPr>
          <w:rFonts w:hint="eastAsia"/>
        </w:rPr>
        <w:t>关资料；</w:t>
      </w:r>
    </w:p>
    <w:p>
      <w:pPr>
        <w:pStyle w:val="177"/>
      </w:pPr>
      <w:r>
        <w:rPr>
          <w:rFonts w:hint="eastAsia"/>
        </w:rPr>
        <w:t>水环境与水生态。包括水质类别及污染指标浓度、水生生物状况、生物多样性指数、生态空间管控区域等；</w:t>
      </w:r>
    </w:p>
    <w:p>
      <w:pPr>
        <w:pStyle w:val="177"/>
      </w:pPr>
      <w:r>
        <w:rPr>
          <w:rFonts w:hint="eastAsia"/>
        </w:rPr>
        <w:t>功能属性。包括防洪、供水、生态、航运、文化、景观等河道现状功能；</w:t>
      </w:r>
      <w:r>
        <w:t xml:space="preserve"> </w:t>
      </w:r>
    </w:p>
    <w:p>
      <w:pPr>
        <w:pStyle w:val="177"/>
      </w:pPr>
      <w:r>
        <w:rPr>
          <w:rFonts w:hint="eastAsia"/>
        </w:rPr>
        <w:t>水旱灾害。包括典型水旱灾害特征、影响范围、损失情况等内容；</w:t>
      </w:r>
    </w:p>
    <w:p>
      <w:pPr>
        <w:pStyle w:val="177"/>
      </w:pPr>
      <w:r>
        <w:rPr>
          <w:rFonts w:hint="eastAsia"/>
        </w:rPr>
        <w:t>相关规划。包括国家、行业相关上位规划，流域、区域综合规划和专业、专项规划等。</w:t>
      </w:r>
    </w:p>
    <w:p>
      <w:pPr>
        <w:pStyle w:val="68"/>
        <w:spacing w:before="156" w:after="156"/>
      </w:pPr>
      <w:r>
        <w:rPr>
          <w:rFonts w:hint="eastAsia"/>
        </w:rPr>
        <w:t>经济社会</w:t>
      </w:r>
    </w:p>
    <w:p>
      <w:pPr>
        <w:pStyle w:val="59"/>
        <w:ind w:firstLine="420"/>
      </w:pPr>
      <w:r>
        <w:rPr>
          <w:rFonts w:hint="eastAsia"/>
        </w:rPr>
        <w:t>应收集河道涉及行政区域范围内的人口、城镇化水平、国内生产总值、产业布局等方面的资料。</w:t>
      </w:r>
    </w:p>
    <w:p>
      <w:pPr>
        <w:pStyle w:val="68"/>
        <w:spacing w:before="156" w:after="156"/>
      </w:pPr>
      <w:r>
        <w:rPr>
          <w:rFonts w:hint="eastAsia"/>
        </w:rPr>
        <w:t>开发利用</w:t>
      </w:r>
    </w:p>
    <w:p>
      <w:pPr>
        <w:pStyle w:val="167"/>
      </w:pPr>
      <w:r>
        <w:rPr>
          <w:rFonts w:hint="eastAsia"/>
        </w:rPr>
        <w:t>河道资源开发利用状况应收集下列资料：</w:t>
      </w:r>
    </w:p>
    <w:p>
      <w:pPr>
        <w:pStyle w:val="177"/>
        <w:numPr>
          <w:ilvl w:val="0"/>
          <w:numId w:val="32"/>
        </w:numPr>
      </w:pPr>
      <w:r>
        <w:rPr>
          <w:rFonts w:hint="eastAsia"/>
        </w:rPr>
        <w:t>水资源。包括径流特点和演变规律、不同频率下主要控制站点的径流量、河道蓄引提调工程的状况、河道供水状况等；</w:t>
      </w:r>
    </w:p>
    <w:p>
      <w:pPr>
        <w:pStyle w:val="177"/>
        <w:numPr>
          <w:ilvl w:val="0"/>
          <w:numId w:val="32"/>
        </w:numPr>
      </w:pPr>
      <w:r>
        <w:rPr>
          <w:rFonts w:hint="eastAsia"/>
        </w:rPr>
        <w:t>岸线资源。包括岸线总长、左（右）岸长度、岸线土地利用类型、已开发利用岸线长度及开发利用方式等；</w:t>
      </w:r>
    </w:p>
    <w:p>
      <w:pPr>
        <w:pStyle w:val="177"/>
        <w:numPr>
          <w:ilvl w:val="0"/>
          <w:numId w:val="32"/>
        </w:numPr>
      </w:pPr>
      <w:r>
        <w:rPr>
          <w:rFonts w:hint="eastAsia"/>
        </w:rPr>
        <w:t>航道资源。包括航道等级及长度、沿线码头及船坞、通航要求及能力等；</w:t>
      </w:r>
    </w:p>
    <w:p>
      <w:pPr>
        <w:pStyle w:val="177"/>
        <w:numPr>
          <w:ilvl w:val="0"/>
          <w:numId w:val="32"/>
        </w:numPr>
      </w:pPr>
      <w:r>
        <w:rPr>
          <w:rFonts w:hint="eastAsia"/>
        </w:rPr>
        <w:t>渔业资源。包括鱼类种类、重要物种资源和珍稀物种、水产种质资源保护区等；</w:t>
      </w:r>
    </w:p>
    <w:p>
      <w:pPr>
        <w:pStyle w:val="177"/>
        <w:numPr>
          <w:ilvl w:val="0"/>
          <w:numId w:val="32"/>
        </w:numPr>
      </w:pPr>
      <w:r>
        <w:rPr>
          <w:rFonts w:hint="eastAsia"/>
        </w:rPr>
        <w:t>砂石资源。包括河道输沙量及其演变规律，禁采区、可采区划定，砂石资源开采与保护情况等。</w:t>
      </w:r>
    </w:p>
    <w:p>
      <w:pPr>
        <w:pStyle w:val="167"/>
      </w:pPr>
      <w:r>
        <w:rPr>
          <w:rFonts w:hint="eastAsia"/>
        </w:rPr>
        <w:t>水文化与水景观应收集下列资料：</w:t>
      </w:r>
    </w:p>
    <w:p>
      <w:pPr>
        <w:pStyle w:val="177"/>
        <w:numPr>
          <w:ilvl w:val="0"/>
          <w:numId w:val="33"/>
        </w:numPr>
      </w:pPr>
      <w:r>
        <w:rPr>
          <w:rFonts w:hint="eastAsia"/>
        </w:rPr>
        <w:t>河道相关的演变与治理；</w:t>
      </w:r>
    </w:p>
    <w:p>
      <w:pPr>
        <w:pStyle w:val="177"/>
        <w:numPr>
          <w:ilvl w:val="0"/>
          <w:numId w:val="33"/>
        </w:numPr>
      </w:pPr>
      <w:r>
        <w:rPr>
          <w:rFonts w:hint="eastAsia"/>
        </w:rPr>
        <w:t>历史水利工程遗址及相应的文化文献和遗存情况；</w:t>
      </w:r>
    </w:p>
    <w:p>
      <w:pPr>
        <w:pStyle w:val="177"/>
        <w:numPr>
          <w:ilvl w:val="0"/>
          <w:numId w:val="33"/>
        </w:numPr>
      </w:pPr>
      <w:r>
        <w:rPr>
          <w:rFonts w:hint="eastAsia"/>
        </w:rPr>
        <w:t>河道保护规划范围内涉及的湿地、自然保护区、风景名胜区、文化遗产保护区等。</w:t>
      </w:r>
    </w:p>
    <w:p>
      <w:pPr>
        <w:pStyle w:val="167"/>
      </w:pPr>
      <w:r>
        <w:rPr>
          <w:rFonts w:hint="eastAsia"/>
          <w:lang w:val="en-US" w:eastAsia="zh-CN"/>
        </w:rPr>
        <w:t>涉河</w:t>
      </w:r>
      <w:r>
        <w:rPr>
          <w:rFonts w:hint="eastAsia"/>
        </w:rPr>
        <w:t>重要基础设施应收集水利、交通运输、通信、能源等行业的各类建筑物、构筑物及辅助设施分布、数量、规模、等级等基本信息资料。</w:t>
      </w:r>
    </w:p>
    <w:p>
      <w:pPr>
        <w:pStyle w:val="68"/>
        <w:spacing w:before="156" w:after="156"/>
      </w:pPr>
      <w:r>
        <w:rPr>
          <w:rFonts w:hint="eastAsia"/>
        </w:rPr>
        <w:t>河道管理</w:t>
      </w:r>
    </w:p>
    <w:p>
      <w:pPr>
        <w:pStyle w:val="59"/>
        <w:ind w:firstLine="420"/>
        <w:rPr>
          <w:rFonts w:ascii="黑体" w:hAnsi="黑体" w:eastAsia="黑体"/>
        </w:rPr>
      </w:pPr>
      <w:r>
        <w:rPr>
          <w:rFonts w:hint="eastAsia"/>
        </w:rPr>
        <w:t>应收集下列资料：</w:t>
      </w:r>
    </w:p>
    <w:p>
      <w:pPr>
        <w:pStyle w:val="177"/>
        <w:numPr>
          <w:ilvl w:val="0"/>
          <w:numId w:val="34"/>
        </w:numPr>
      </w:pPr>
      <w:r>
        <w:rPr>
          <w:rFonts w:hint="eastAsia"/>
        </w:rPr>
        <w:t>河道已有管理范围划界及管理情况，与相关行业空间管理重叠情况；</w:t>
      </w:r>
    </w:p>
    <w:p>
      <w:pPr>
        <w:pStyle w:val="177"/>
        <w:numPr>
          <w:ilvl w:val="0"/>
          <w:numId w:val="34"/>
        </w:numPr>
      </w:pPr>
      <w:r>
        <w:rPr>
          <w:rFonts w:hint="eastAsia"/>
        </w:rPr>
        <w:t>现行河道管理体制下，水利、自然资源、生态环境、住建、交通运输、农业农村等行业主管部门管理职责等情况及河长制的落实情况等。</w:t>
      </w:r>
    </w:p>
    <w:p>
      <w:pPr>
        <w:pStyle w:val="108"/>
        <w:spacing w:before="156" w:after="156"/>
      </w:pPr>
      <w:bookmarkStart w:id="97" w:name="_Toc154491970"/>
      <w:bookmarkStart w:id="98" w:name="_Toc157261278"/>
      <w:bookmarkStart w:id="99" w:name="_Toc154585913"/>
      <w:bookmarkStart w:id="100" w:name="_Toc154654468"/>
      <w:bookmarkStart w:id="101" w:name="_Toc148353489"/>
      <w:bookmarkStart w:id="102" w:name="_Toc152913628"/>
      <w:bookmarkStart w:id="103" w:name="_Toc154582307"/>
      <w:r>
        <w:rPr>
          <w:rFonts w:hint="eastAsia"/>
        </w:rPr>
        <w:t>评价与分析</w:t>
      </w:r>
      <w:bookmarkEnd w:id="97"/>
      <w:bookmarkEnd w:id="98"/>
      <w:bookmarkEnd w:id="99"/>
      <w:bookmarkEnd w:id="100"/>
      <w:bookmarkEnd w:id="101"/>
      <w:bookmarkEnd w:id="102"/>
      <w:bookmarkEnd w:id="103"/>
    </w:p>
    <w:p>
      <w:pPr>
        <w:pStyle w:val="68"/>
        <w:spacing w:before="156" w:after="156"/>
      </w:pPr>
      <w:r>
        <w:rPr>
          <w:rFonts w:hint="eastAsia"/>
        </w:rPr>
        <w:t>现状评价</w:t>
      </w:r>
    </w:p>
    <w:p>
      <w:pPr>
        <w:pStyle w:val="59"/>
        <w:ind w:firstLine="420"/>
      </w:pPr>
      <w:r>
        <w:rPr>
          <w:rFonts w:hint="eastAsia"/>
        </w:rPr>
        <w:t>总结河道开发、利用、保护、管理等成效，应从水安全、水资源、水生态、水空间和水管理等方面，评价河道现状与经济社会发展要求的适应性。</w:t>
      </w:r>
    </w:p>
    <w:p>
      <w:pPr>
        <w:pStyle w:val="68"/>
        <w:spacing w:before="156" w:after="156"/>
      </w:pPr>
      <w:r>
        <w:rPr>
          <w:rFonts w:hint="eastAsia"/>
        </w:rPr>
        <w:t>存在问题</w:t>
      </w:r>
    </w:p>
    <w:p>
      <w:pPr>
        <w:pStyle w:val="59"/>
        <w:ind w:firstLine="420"/>
      </w:pPr>
      <w:r>
        <w:rPr>
          <w:rFonts w:hint="eastAsia"/>
        </w:rPr>
        <w:t>应从河道功能保护、河道水域/岸线保护、河道管理、开发利用（含岸线、</w:t>
      </w:r>
      <w:r>
        <w:rPr>
          <w:rFonts w:hint="eastAsia"/>
          <w:lang w:val="en-US" w:eastAsia="zh-CN"/>
        </w:rPr>
        <w:t>涉河重要基础设施</w:t>
      </w:r>
      <w:r>
        <w:rPr>
          <w:rFonts w:hint="eastAsia"/>
        </w:rPr>
        <w:t>）等方面，剖析存在的问题。</w:t>
      </w:r>
    </w:p>
    <w:p>
      <w:pPr>
        <w:pStyle w:val="68"/>
        <w:spacing w:before="156" w:after="156"/>
      </w:pPr>
      <w:r>
        <w:rPr>
          <w:rFonts w:hint="eastAsia"/>
        </w:rPr>
        <w:t>形势分析</w:t>
      </w:r>
    </w:p>
    <w:p>
      <w:pPr>
        <w:pStyle w:val="59"/>
        <w:ind w:firstLine="420"/>
      </w:pPr>
      <w:r>
        <w:rPr>
          <w:rFonts w:hint="eastAsia"/>
        </w:rPr>
        <w:t>根据河道保护管理存在的问题，应从经济社会发展对水安全、水资源、水生态、水空间和水管理等方面的要求，分析河道保护面临的形势。</w:t>
      </w:r>
    </w:p>
    <w:p>
      <w:pPr>
        <w:pStyle w:val="107"/>
        <w:spacing w:before="312" w:after="312"/>
      </w:pPr>
      <w:bookmarkStart w:id="104" w:name="_Toc150935049"/>
      <w:bookmarkStart w:id="105" w:name="_Toc152913629"/>
      <w:bookmarkStart w:id="106" w:name="_Toc154654469"/>
      <w:bookmarkStart w:id="107" w:name="_Toc152913670"/>
      <w:bookmarkStart w:id="108" w:name="_Toc154582308"/>
      <w:bookmarkStart w:id="109" w:name="_Toc154491971"/>
      <w:bookmarkStart w:id="110" w:name="_Toc144118804"/>
      <w:bookmarkStart w:id="111" w:name="_Toc152928144"/>
      <w:bookmarkStart w:id="112" w:name="_Toc144128454"/>
      <w:bookmarkStart w:id="113" w:name="_Toc157261279"/>
      <w:bookmarkStart w:id="114" w:name="_Toc154585914"/>
      <w:bookmarkStart w:id="115" w:name="_Toc148366685"/>
      <w:bookmarkStart w:id="116" w:name="_Toc143684706"/>
      <w:bookmarkStart w:id="117" w:name="_Toc144134451"/>
      <w:bookmarkStart w:id="118" w:name="_Toc150880098"/>
      <w:bookmarkStart w:id="119" w:name="_Toc148353490"/>
      <w:r>
        <w:rPr>
          <w:rFonts w:hint="eastAsia"/>
        </w:rPr>
        <w:t>编制内容</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108"/>
        <w:spacing w:before="156" w:after="156"/>
      </w:pPr>
      <w:bookmarkStart w:id="120" w:name="_Toc143079337"/>
      <w:bookmarkStart w:id="121" w:name="_Toc138070452"/>
      <w:bookmarkStart w:id="122" w:name="_Toc141951826"/>
      <w:bookmarkStart w:id="123" w:name="_Toc138032594"/>
      <w:bookmarkStart w:id="124" w:name="_Toc148353491"/>
      <w:bookmarkStart w:id="125" w:name="_Toc136477821"/>
      <w:bookmarkStart w:id="126" w:name="_Toc138070413"/>
      <w:bookmarkStart w:id="127" w:name="_Toc136944754"/>
      <w:bookmarkStart w:id="128" w:name="_Toc136477918"/>
      <w:bookmarkStart w:id="129" w:name="_Toc141450772"/>
      <w:bookmarkStart w:id="130" w:name="_Toc154654470"/>
      <w:bookmarkStart w:id="131" w:name="_Toc154585915"/>
      <w:bookmarkStart w:id="132" w:name="_Toc154491972"/>
      <w:bookmarkStart w:id="133" w:name="_Toc154582309"/>
      <w:bookmarkStart w:id="134" w:name="_Toc157261280"/>
      <w:bookmarkStart w:id="135" w:name="_Toc152913630"/>
      <w:r>
        <w:rPr>
          <w:rFonts w:hint="eastAsia"/>
        </w:rPr>
        <w:t>河道</w:t>
      </w:r>
      <w:bookmarkEnd w:id="120"/>
      <w:bookmarkEnd w:id="121"/>
      <w:bookmarkEnd w:id="122"/>
      <w:bookmarkEnd w:id="123"/>
      <w:bookmarkEnd w:id="124"/>
      <w:bookmarkEnd w:id="125"/>
      <w:bookmarkEnd w:id="126"/>
      <w:bookmarkEnd w:id="127"/>
      <w:bookmarkEnd w:id="128"/>
      <w:bookmarkEnd w:id="129"/>
      <w:r>
        <w:rPr>
          <w:rFonts w:hint="eastAsia"/>
        </w:rPr>
        <w:t>功能定位</w:t>
      </w:r>
      <w:bookmarkEnd w:id="130"/>
      <w:bookmarkEnd w:id="131"/>
      <w:bookmarkEnd w:id="132"/>
      <w:bookmarkEnd w:id="133"/>
      <w:bookmarkEnd w:id="134"/>
      <w:bookmarkEnd w:id="135"/>
    </w:p>
    <w:p>
      <w:pPr>
        <w:pStyle w:val="68"/>
        <w:spacing w:before="156" w:after="156"/>
      </w:pPr>
      <w:r>
        <w:rPr>
          <w:rFonts w:hint="eastAsia"/>
        </w:rPr>
        <w:t>功能确定</w:t>
      </w:r>
    </w:p>
    <w:p>
      <w:pPr>
        <w:pStyle w:val="59"/>
        <w:ind w:firstLine="420"/>
      </w:pPr>
      <w:r>
        <w:rPr>
          <w:rFonts w:hint="eastAsia"/>
        </w:rPr>
        <w:t>应综合开发利用现状、经济社会发展需求、流域、区域综合规划和专业规划安排等因素确定河道功能，包括但不限于</w:t>
      </w:r>
      <w:bookmarkStart w:id="136" w:name="_Hlk156912941"/>
      <w:r>
        <w:rPr>
          <w:rFonts w:hint="eastAsia"/>
        </w:rPr>
        <w:t>防洪、供水、生态、航运、文化、景观</w:t>
      </w:r>
      <w:bookmarkEnd w:id="136"/>
      <w:r>
        <w:rPr>
          <w:rFonts w:hint="eastAsia"/>
        </w:rPr>
        <w:t>等功能。</w:t>
      </w:r>
    </w:p>
    <w:p>
      <w:pPr>
        <w:pStyle w:val="68"/>
        <w:spacing w:before="156" w:after="156"/>
      </w:pPr>
      <w:r>
        <w:rPr>
          <w:rFonts w:hint="eastAsia"/>
        </w:rPr>
        <w:t>功能排序</w:t>
      </w:r>
    </w:p>
    <w:p>
      <w:pPr>
        <w:pStyle w:val="59"/>
        <w:ind w:firstLine="420"/>
      </w:pPr>
      <w:bookmarkStart w:id="137" w:name="_Hlk141912039"/>
      <w:r>
        <w:rPr>
          <w:rFonts w:hint="eastAsia"/>
        </w:rPr>
        <w:t>应按照公益性功能优先、兼顾功能主次关系的原则进行河道功能排序，协调各功能之间的关系，</w:t>
      </w:r>
      <w:bookmarkEnd w:id="137"/>
      <w:r>
        <w:rPr>
          <w:rFonts w:hint="eastAsia"/>
        </w:rPr>
        <w:t>充分发挥河道效益。</w:t>
      </w:r>
    </w:p>
    <w:p>
      <w:pPr>
        <w:pStyle w:val="108"/>
        <w:spacing w:before="156" w:after="156"/>
      </w:pPr>
      <w:bookmarkStart w:id="138" w:name="_Toc136477920"/>
      <w:bookmarkStart w:id="139" w:name="_Toc138032596"/>
      <w:bookmarkStart w:id="140" w:name="_Toc154582310"/>
      <w:bookmarkStart w:id="141" w:name="_Toc152913631"/>
      <w:bookmarkStart w:id="142" w:name="_Toc148353492"/>
      <w:bookmarkStart w:id="143" w:name="_Toc157261281"/>
      <w:bookmarkStart w:id="144" w:name="_Toc154491973"/>
      <w:bookmarkStart w:id="145" w:name="_Toc154585916"/>
      <w:bookmarkStart w:id="146" w:name="_Toc138070415"/>
      <w:bookmarkStart w:id="147" w:name="_Toc154654471"/>
      <w:bookmarkStart w:id="148" w:name="_Toc136477823"/>
      <w:r>
        <w:rPr>
          <w:rFonts w:hint="eastAsia"/>
        </w:rPr>
        <w:t>防洪功能保护</w:t>
      </w:r>
      <w:bookmarkEnd w:id="138"/>
      <w:bookmarkEnd w:id="139"/>
      <w:bookmarkEnd w:id="140"/>
      <w:bookmarkEnd w:id="141"/>
      <w:bookmarkEnd w:id="142"/>
      <w:bookmarkEnd w:id="143"/>
      <w:bookmarkEnd w:id="144"/>
      <w:bookmarkEnd w:id="145"/>
      <w:bookmarkEnd w:id="146"/>
      <w:bookmarkEnd w:id="147"/>
      <w:bookmarkEnd w:id="148"/>
    </w:p>
    <w:p>
      <w:pPr>
        <w:pStyle w:val="168"/>
      </w:pPr>
      <w:r>
        <w:rPr>
          <w:rFonts w:hint="eastAsia"/>
        </w:rPr>
        <w:t>防洪功能的保护应符合下列要求：</w:t>
      </w:r>
    </w:p>
    <w:p>
      <w:pPr>
        <w:pStyle w:val="177"/>
        <w:numPr>
          <w:ilvl w:val="0"/>
          <w:numId w:val="35"/>
        </w:numPr>
      </w:pPr>
      <w:r>
        <w:rPr>
          <w:rFonts w:hint="eastAsia"/>
        </w:rPr>
        <w:t>防洪标准执行GB</w:t>
      </w:r>
      <w:r>
        <w:t xml:space="preserve"> </w:t>
      </w:r>
      <w:r>
        <w:rPr>
          <w:rFonts w:hint="eastAsia"/>
        </w:rPr>
        <w:t>50201的相关规定</w:t>
      </w:r>
      <w:bookmarkStart w:id="149" w:name="_Hlk141912084"/>
      <w:r>
        <w:rPr>
          <w:rFonts w:hint="eastAsia"/>
        </w:rPr>
        <w:t>，治涝标准执行SL 723的相关规定</w:t>
      </w:r>
      <w:bookmarkEnd w:id="149"/>
      <w:r>
        <w:rPr>
          <w:rFonts w:hint="eastAsia"/>
        </w:rPr>
        <w:t>；</w:t>
      </w:r>
    </w:p>
    <w:p>
      <w:pPr>
        <w:pStyle w:val="177"/>
        <w:numPr>
          <w:ilvl w:val="0"/>
          <w:numId w:val="35"/>
        </w:numPr>
      </w:pPr>
      <w:r>
        <w:rPr>
          <w:rFonts w:hint="eastAsia"/>
        </w:rPr>
        <w:t>根据河道所在区域经济社会发展对防洪保安的需求，综合考虑洪涝水特点、洪涝灾害特征及其演变趋势等因素，明确提出保护目标和总体要求；</w:t>
      </w:r>
    </w:p>
    <w:p>
      <w:pPr>
        <w:pStyle w:val="177"/>
        <w:numPr>
          <w:ilvl w:val="0"/>
          <w:numId w:val="35"/>
        </w:numPr>
      </w:pPr>
      <w:r>
        <w:rPr>
          <w:rFonts w:hint="eastAsia"/>
        </w:rPr>
        <w:t>明确堤防、岸坡、沿线及跨穿越建筑物保护要求，提出保障河道防洪安全的工程及非工程措施。</w:t>
      </w:r>
    </w:p>
    <w:p>
      <w:pPr>
        <w:pStyle w:val="168"/>
      </w:pPr>
      <w:r>
        <w:rPr>
          <w:rFonts w:hint="eastAsia"/>
        </w:rPr>
        <w:t>行洪通道保护应符合下列要求：</w:t>
      </w:r>
    </w:p>
    <w:p>
      <w:pPr>
        <w:pStyle w:val="177"/>
        <w:numPr>
          <w:ilvl w:val="0"/>
          <w:numId w:val="36"/>
        </w:numPr>
      </w:pPr>
      <w:r>
        <w:rPr>
          <w:rFonts w:hint="eastAsia"/>
        </w:rPr>
        <w:t>提出保障行洪通畅的要求；</w:t>
      </w:r>
    </w:p>
    <w:p>
      <w:pPr>
        <w:pStyle w:val="177"/>
      </w:pPr>
      <w:r>
        <w:rPr>
          <w:rFonts w:hint="eastAsia"/>
        </w:rPr>
        <w:t>行洪通道内有洲滩（含岸滩）的，提出开发利用管控意见；</w:t>
      </w:r>
    </w:p>
    <w:p>
      <w:pPr>
        <w:pStyle w:val="177"/>
      </w:pPr>
      <w:r>
        <w:rPr>
          <w:rFonts w:hint="eastAsia"/>
        </w:rPr>
        <w:t>在保障防洪安全的前提下，与航道保护相协调。</w:t>
      </w:r>
    </w:p>
    <w:p>
      <w:pPr>
        <w:pStyle w:val="168"/>
      </w:pPr>
      <w:bookmarkStart w:id="150" w:name="_Toc122443382"/>
      <w:bookmarkStart w:id="151" w:name="_Toc122480170"/>
      <w:bookmarkStart w:id="152" w:name="_Toc132902442"/>
      <w:bookmarkStart w:id="153" w:name="_Toc133422386"/>
      <w:bookmarkStart w:id="154" w:name="_Toc124324751"/>
      <w:bookmarkStart w:id="155" w:name="_Toc126149710"/>
      <w:bookmarkStart w:id="156" w:name="_Toc124511016"/>
      <w:bookmarkStart w:id="157" w:name="_Toc122522323"/>
      <w:bookmarkStart w:id="158" w:name="_Toc134177848"/>
      <w:bookmarkStart w:id="159" w:name="_Toc126072880"/>
      <w:bookmarkStart w:id="160" w:name="_Toc132891929"/>
      <w:bookmarkStart w:id="161" w:name="_Toc124508978"/>
      <w:bookmarkStart w:id="162" w:name="_Toc132838732"/>
      <w:bookmarkStart w:id="163" w:name="_Toc133423104"/>
      <w:bookmarkStart w:id="164" w:name="_Toc124863779"/>
      <w:r>
        <w:rPr>
          <w:rFonts w:hint="eastAsia"/>
        </w:rPr>
        <w:t>防洪功能保护</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Pr>
          <w:rFonts w:hint="eastAsia"/>
        </w:rPr>
        <w:t>应包括下列措施：</w:t>
      </w:r>
    </w:p>
    <w:p>
      <w:pPr>
        <w:pStyle w:val="177"/>
        <w:numPr>
          <w:ilvl w:val="0"/>
          <w:numId w:val="37"/>
        </w:numPr>
      </w:pPr>
      <w:r>
        <w:rPr>
          <w:rFonts w:hint="eastAsia"/>
        </w:rPr>
        <w:t>从完善防洪屏障、增强防洪治涝能力等方面，提出堤防整治、河道治理、控制性建筑物建设等防洪工程措施；</w:t>
      </w:r>
    </w:p>
    <w:p>
      <w:pPr>
        <w:pStyle w:val="177"/>
      </w:pPr>
      <w:r>
        <w:rPr>
          <w:rFonts w:hint="eastAsia"/>
        </w:rPr>
        <w:t>从风险隐患排查、监测预警、洪水调度、防洪工程管理等方面提出防洪功能保护非工程措施。</w:t>
      </w:r>
    </w:p>
    <w:p>
      <w:pPr>
        <w:pStyle w:val="108"/>
        <w:spacing w:before="156" w:after="156"/>
      </w:pPr>
      <w:bookmarkStart w:id="165" w:name="_Toc133422387"/>
      <w:bookmarkStart w:id="166" w:name="_Toc154582311"/>
      <w:bookmarkStart w:id="167" w:name="_Toc154585917"/>
      <w:bookmarkStart w:id="168" w:name="_Toc132891930"/>
      <w:bookmarkStart w:id="169" w:name="_Toc157261282"/>
      <w:bookmarkStart w:id="170" w:name="_Toc148353493"/>
      <w:bookmarkStart w:id="171" w:name="_Toc126149712"/>
      <w:bookmarkStart w:id="172" w:name="_Toc126072882"/>
      <w:bookmarkStart w:id="173" w:name="_Toc132838733"/>
      <w:bookmarkStart w:id="174" w:name="_Toc136477921"/>
      <w:bookmarkStart w:id="175" w:name="_Toc138070416"/>
      <w:bookmarkStart w:id="176" w:name="_Toc136477824"/>
      <w:bookmarkStart w:id="177" w:name="_Toc134177849"/>
      <w:bookmarkStart w:id="178" w:name="_Toc152913632"/>
      <w:bookmarkStart w:id="179" w:name="_Toc132902443"/>
      <w:bookmarkStart w:id="180" w:name="_Toc133423105"/>
      <w:bookmarkStart w:id="181" w:name="_Toc154654472"/>
      <w:bookmarkStart w:id="182" w:name="_Toc138032597"/>
      <w:bookmarkStart w:id="183" w:name="_Toc154491974"/>
      <w:r>
        <w:rPr>
          <w:rFonts w:hint="eastAsia"/>
        </w:rPr>
        <w:t>供水与水资源保护</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pPr>
        <w:pStyle w:val="168"/>
      </w:pPr>
      <w:bookmarkStart w:id="184" w:name="_Hlk141947952"/>
      <w:r>
        <w:rPr>
          <w:rFonts w:hint="eastAsia"/>
        </w:rPr>
        <w:t>应按照用水总量控制要求，依据水资源综合规划、水中长期供求规划等水资源规划，加强水资源节约集约利用，明确水资源统一调度原则，</w:t>
      </w:r>
      <w:bookmarkEnd w:id="184"/>
      <w:r>
        <w:rPr>
          <w:rFonts w:hint="eastAsia"/>
        </w:rPr>
        <w:t>保证河道生态水位（流量），提出饮用水水源地保护与管理要求，确保生活、生产、生态等供水安全。</w:t>
      </w:r>
    </w:p>
    <w:p>
      <w:pPr>
        <w:pStyle w:val="168"/>
      </w:pPr>
      <w:bookmarkStart w:id="185" w:name="_Toc124863783"/>
      <w:bookmarkStart w:id="186" w:name="_Toc132838735"/>
      <w:bookmarkStart w:id="187" w:name="_Toc126072884"/>
      <w:bookmarkStart w:id="188" w:name="_Toc132902445"/>
      <w:bookmarkStart w:id="189" w:name="_Toc132891932"/>
      <w:bookmarkStart w:id="190" w:name="_Toc134177851"/>
      <w:bookmarkStart w:id="191" w:name="_Toc124508982"/>
      <w:bookmarkStart w:id="192" w:name="_Toc124511020"/>
      <w:bookmarkStart w:id="193" w:name="_Toc133422389"/>
      <w:bookmarkStart w:id="194" w:name="_Toc133423107"/>
      <w:bookmarkStart w:id="195" w:name="_Toc126149714"/>
      <w:r>
        <w:rPr>
          <w:rFonts w:hint="eastAsia"/>
        </w:rPr>
        <w:t>取用水管理</w:t>
      </w:r>
      <w:bookmarkEnd w:id="185"/>
      <w:bookmarkEnd w:id="186"/>
      <w:bookmarkEnd w:id="187"/>
      <w:bookmarkEnd w:id="188"/>
      <w:bookmarkEnd w:id="189"/>
      <w:bookmarkEnd w:id="190"/>
      <w:bookmarkEnd w:id="191"/>
      <w:bookmarkEnd w:id="192"/>
      <w:bookmarkEnd w:id="193"/>
      <w:bookmarkEnd w:id="194"/>
      <w:bookmarkEnd w:id="195"/>
      <w:r>
        <w:rPr>
          <w:rFonts w:hint="eastAsia"/>
        </w:rPr>
        <w:t>应符合下列要求：</w:t>
      </w:r>
    </w:p>
    <w:p>
      <w:pPr>
        <w:pStyle w:val="177"/>
        <w:numPr>
          <w:ilvl w:val="0"/>
          <w:numId w:val="38"/>
        </w:numPr>
      </w:pPr>
      <w:bookmarkStart w:id="196" w:name="_Hlk141948005"/>
      <w:r>
        <w:rPr>
          <w:rFonts w:hint="eastAsia"/>
        </w:rPr>
        <w:t>结合流域、区域范围内用水总量控制目标、河道水量分配方案</w:t>
      </w:r>
      <w:bookmarkEnd w:id="196"/>
      <w:r>
        <w:rPr>
          <w:rFonts w:hint="eastAsia"/>
          <w:lang w:eastAsia="zh-CN"/>
        </w:rPr>
        <w:t>，</w:t>
      </w:r>
      <w:r>
        <w:rPr>
          <w:rFonts w:hint="eastAsia"/>
        </w:rPr>
        <w:t>明确水资源开发、利用、节约和保护要求；</w:t>
      </w:r>
    </w:p>
    <w:p>
      <w:pPr>
        <w:pStyle w:val="177"/>
      </w:pPr>
      <w:bookmarkStart w:id="197" w:name="_Hlk141948042"/>
      <w:r>
        <w:rPr>
          <w:rFonts w:hint="eastAsia"/>
        </w:rPr>
        <w:t>根据用水计划和用水定额，</w:t>
      </w:r>
      <w:bookmarkEnd w:id="197"/>
      <w:r>
        <w:rPr>
          <w:rFonts w:hint="eastAsia"/>
        </w:rPr>
        <w:t>对供水范围内的用水单位提出监管要求，对重点用水单位实施计划用水管理，对重要取用水计量设施提出监控要求；</w:t>
      </w:r>
    </w:p>
    <w:p>
      <w:pPr>
        <w:pStyle w:val="177"/>
      </w:pPr>
      <w:r>
        <w:rPr>
          <w:rFonts w:hint="eastAsia"/>
        </w:rPr>
        <w:t>实施水量调度和引排口门调度管理，确保供水安全。</w:t>
      </w:r>
    </w:p>
    <w:p>
      <w:pPr>
        <w:pStyle w:val="168"/>
      </w:pPr>
      <w:bookmarkStart w:id="198" w:name="_Toc133423108"/>
      <w:bookmarkStart w:id="199" w:name="_Toc124508983"/>
      <w:bookmarkStart w:id="200" w:name="_Toc122480174"/>
      <w:bookmarkStart w:id="201" w:name="_Toc126072885"/>
      <w:bookmarkStart w:id="202" w:name="_Toc132838736"/>
      <w:bookmarkStart w:id="203" w:name="_Toc132902446"/>
      <w:bookmarkStart w:id="204" w:name="_Toc133422390"/>
      <w:bookmarkStart w:id="205" w:name="_Toc124511021"/>
      <w:bookmarkStart w:id="206" w:name="_Toc134177852"/>
      <w:bookmarkStart w:id="207" w:name="_Toc122522327"/>
      <w:bookmarkStart w:id="208" w:name="_Toc122443386"/>
      <w:bookmarkStart w:id="209" w:name="_Toc126149715"/>
      <w:bookmarkStart w:id="210" w:name="_Toc124863784"/>
      <w:bookmarkStart w:id="211" w:name="_Toc132891933"/>
      <w:bookmarkStart w:id="212" w:name="_Toc124324755"/>
      <w:bookmarkStart w:id="213" w:name="_Hlk138340412"/>
      <w:r>
        <w:rPr>
          <w:rFonts w:hint="eastAsia"/>
        </w:rPr>
        <w:t>水资源保护</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Pr>
          <w:rFonts w:hint="eastAsia"/>
        </w:rPr>
        <w:t>应符合下列要求：</w:t>
      </w:r>
      <w:bookmarkEnd w:id="213"/>
    </w:p>
    <w:p>
      <w:pPr>
        <w:pStyle w:val="177"/>
        <w:numPr>
          <w:ilvl w:val="0"/>
          <w:numId w:val="39"/>
        </w:numPr>
      </w:pPr>
      <w:r>
        <w:rPr>
          <w:rFonts w:hint="eastAsia"/>
        </w:rPr>
        <w:t>根据河道水功能区水质目标和管理要求，提出保护和改善河道水环境的措施；</w:t>
      </w:r>
    </w:p>
    <w:p>
      <w:pPr>
        <w:pStyle w:val="177"/>
        <w:numPr>
          <w:ilvl w:val="0"/>
          <w:numId w:val="39"/>
        </w:numPr>
      </w:pPr>
      <w:r>
        <w:rPr>
          <w:rFonts w:hint="eastAsia"/>
        </w:rPr>
        <w:t>根据饮用水水源地保护管理要求，提出水源地建设与保护的意见和措施；</w:t>
      </w:r>
    </w:p>
    <w:p>
      <w:pPr>
        <w:pStyle w:val="177"/>
        <w:numPr>
          <w:ilvl w:val="0"/>
          <w:numId w:val="39"/>
        </w:numPr>
      </w:pPr>
      <w:r>
        <w:rPr>
          <w:rFonts w:hint="eastAsia"/>
        </w:rPr>
        <w:t>根据河道生态水位（流量）要求，优化水利工程调度，保证河道生态用水需求。</w:t>
      </w:r>
    </w:p>
    <w:p>
      <w:pPr>
        <w:pStyle w:val="108"/>
        <w:spacing w:before="156" w:after="156"/>
      </w:pPr>
      <w:bookmarkStart w:id="214" w:name="_Toc136477922"/>
      <w:bookmarkStart w:id="215" w:name="_Toc132902447"/>
      <w:bookmarkStart w:id="216" w:name="_Toc133422391"/>
      <w:bookmarkStart w:id="217" w:name="_Toc138070417"/>
      <w:bookmarkStart w:id="218" w:name="_Toc138032598"/>
      <w:bookmarkStart w:id="219" w:name="_Toc136477825"/>
      <w:bookmarkStart w:id="220" w:name="_Toc152913633"/>
      <w:bookmarkStart w:id="221" w:name="_Toc133423109"/>
      <w:bookmarkStart w:id="222" w:name="_Toc134177853"/>
      <w:bookmarkStart w:id="223" w:name="_Toc157261283"/>
      <w:bookmarkStart w:id="224" w:name="_Toc148353494"/>
      <w:bookmarkStart w:id="225" w:name="_Toc154491975"/>
      <w:bookmarkStart w:id="226" w:name="_Toc154582312"/>
      <w:bookmarkStart w:id="227" w:name="_Toc154654473"/>
      <w:bookmarkStart w:id="228" w:name="_Toc154585918"/>
      <w:r>
        <w:rPr>
          <w:rFonts w:hint="eastAsia"/>
        </w:rPr>
        <w:t>生态保护与修复</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pStyle w:val="168"/>
      </w:pPr>
      <w:r>
        <w:rPr>
          <w:rFonts w:hint="eastAsia"/>
        </w:rPr>
        <w:t>应分析河道水环境及生态现状，合理确定河道水质、水生态等目标值，综合考虑区域产业转型发展、生态空间管控、污染防治等方面的因素，提出生态修复实施意见和措施。</w:t>
      </w:r>
    </w:p>
    <w:p>
      <w:pPr>
        <w:pStyle w:val="168"/>
      </w:pPr>
      <w:bookmarkStart w:id="229" w:name="_Toc126072888"/>
      <w:bookmarkStart w:id="230" w:name="_Toc124863787"/>
      <w:bookmarkStart w:id="231" w:name="_Toc126149718"/>
      <w:bookmarkStart w:id="232" w:name="_Toc132891936"/>
      <w:bookmarkStart w:id="233" w:name="_Toc132838739"/>
      <w:bookmarkStart w:id="234" w:name="_Toc134177855"/>
      <w:bookmarkStart w:id="235" w:name="_Toc133423111"/>
      <w:bookmarkStart w:id="236" w:name="_Toc124511024"/>
      <w:bookmarkStart w:id="237" w:name="_Toc133422393"/>
      <w:bookmarkStart w:id="238" w:name="_Toc132902449"/>
      <w:bookmarkStart w:id="239" w:name="_Toc124508986"/>
      <w:bookmarkStart w:id="240" w:name="_Hlk138340583"/>
      <w:r>
        <w:rPr>
          <w:rFonts w:hint="eastAsia"/>
        </w:rPr>
        <w:t>污染防治</w:t>
      </w:r>
      <w:bookmarkEnd w:id="229"/>
      <w:bookmarkEnd w:id="230"/>
      <w:bookmarkEnd w:id="231"/>
      <w:bookmarkEnd w:id="232"/>
      <w:bookmarkEnd w:id="233"/>
      <w:bookmarkEnd w:id="234"/>
      <w:bookmarkEnd w:id="235"/>
      <w:bookmarkEnd w:id="236"/>
      <w:bookmarkEnd w:id="237"/>
      <w:bookmarkEnd w:id="238"/>
      <w:bookmarkEnd w:id="239"/>
      <w:r>
        <w:rPr>
          <w:rFonts w:hint="eastAsia"/>
        </w:rPr>
        <w:t>应符合下列要求：</w:t>
      </w:r>
      <w:bookmarkEnd w:id="240"/>
    </w:p>
    <w:p>
      <w:pPr>
        <w:pStyle w:val="177"/>
        <w:numPr>
          <w:ilvl w:val="0"/>
          <w:numId w:val="40"/>
        </w:numPr>
      </w:pPr>
      <w:r>
        <w:rPr>
          <w:rFonts w:hint="eastAsia"/>
        </w:rPr>
        <w:t>从区域产业结构优化、排污口布局</w:t>
      </w:r>
      <w:r>
        <w:t>调整及</w:t>
      </w:r>
      <w:r>
        <w:rPr>
          <w:rFonts w:hint="eastAsia"/>
        </w:rPr>
        <w:t>整治、污水收集与尾水</w:t>
      </w:r>
      <w:r>
        <w:t>深度</w:t>
      </w:r>
      <w:r>
        <w:rPr>
          <w:rFonts w:hint="eastAsia"/>
        </w:rPr>
        <w:t>处理、面源污染控减等方面，提出河道外源污染防治措施；</w:t>
      </w:r>
    </w:p>
    <w:p>
      <w:pPr>
        <w:pStyle w:val="177"/>
        <w:numPr>
          <w:ilvl w:val="0"/>
          <w:numId w:val="40"/>
        </w:numPr>
      </w:pPr>
      <w:r>
        <w:rPr>
          <w:rFonts w:hint="eastAsia"/>
        </w:rPr>
        <w:t>从</w:t>
      </w:r>
      <w:r>
        <w:rPr>
          <w:rFonts w:hint="eastAsia"/>
          <w:lang w:val="en-US" w:eastAsia="zh-CN"/>
        </w:rPr>
        <w:t>河道</w:t>
      </w:r>
      <w:r>
        <w:rPr>
          <w:rFonts w:hint="eastAsia"/>
        </w:rPr>
        <w:t>生态清淤、</w:t>
      </w:r>
      <w:r>
        <w:rPr>
          <w:rFonts w:hint="eastAsia"/>
          <w:highlight w:val="none"/>
        </w:rPr>
        <w:t>水生植物</w:t>
      </w:r>
      <w:r>
        <w:rPr>
          <w:rFonts w:hint="eastAsia"/>
          <w:highlight w:val="none"/>
          <w:lang w:val="en-US" w:eastAsia="zh-CN"/>
        </w:rPr>
        <w:t>的养护及管理、</w:t>
      </w:r>
      <w:r>
        <w:rPr>
          <w:rFonts w:hint="eastAsia"/>
          <w:highlight w:val="none"/>
        </w:rPr>
        <w:t>漂</w:t>
      </w:r>
      <w:r>
        <w:rPr>
          <w:rFonts w:hint="eastAsia"/>
        </w:rPr>
        <w:t>浮物打捞、航运污染治理等方面，提出河道内源污染防治措施。</w:t>
      </w:r>
    </w:p>
    <w:p>
      <w:pPr>
        <w:pStyle w:val="168"/>
      </w:pPr>
      <w:bookmarkStart w:id="241" w:name="_Toc124508987"/>
      <w:bookmarkStart w:id="242" w:name="_Toc132891937"/>
      <w:bookmarkStart w:id="243" w:name="_Toc126072889"/>
      <w:bookmarkStart w:id="244" w:name="_Toc134177856"/>
      <w:bookmarkStart w:id="245" w:name="_Toc133423112"/>
      <w:bookmarkStart w:id="246" w:name="_Toc126149719"/>
      <w:bookmarkStart w:id="247" w:name="_Toc132902450"/>
      <w:bookmarkStart w:id="248" w:name="_Toc124511025"/>
      <w:bookmarkStart w:id="249" w:name="_Toc124863788"/>
      <w:bookmarkStart w:id="250" w:name="_Toc132838740"/>
      <w:bookmarkStart w:id="251" w:name="_Toc133422394"/>
      <w:r>
        <w:rPr>
          <w:rFonts w:hint="eastAsia"/>
        </w:rPr>
        <w:t>生态修复</w:t>
      </w:r>
      <w:bookmarkEnd w:id="241"/>
      <w:bookmarkEnd w:id="242"/>
      <w:bookmarkEnd w:id="243"/>
      <w:bookmarkEnd w:id="244"/>
      <w:bookmarkEnd w:id="245"/>
      <w:bookmarkEnd w:id="246"/>
      <w:bookmarkEnd w:id="247"/>
      <w:bookmarkEnd w:id="248"/>
      <w:bookmarkEnd w:id="249"/>
      <w:bookmarkEnd w:id="250"/>
      <w:bookmarkEnd w:id="251"/>
      <w:r>
        <w:rPr>
          <w:rFonts w:hint="eastAsia"/>
        </w:rPr>
        <w:t>应符合下列要求：</w:t>
      </w:r>
    </w:p>
    <w:p>
      <w:pPr>
        <w:pStyle w:val="177"/>
        <w:numPr>
          <w:ilvl w:val="0"/>
          <w:numId w:val="41"/>
        </w:numPr>
      </w:pPr>
      <w:r>
        <w:rPr>
          <w:rFonts w:hint="eastAsia"/>
        </w:rPr>
        <w:t>结合</w:t>
      </w:r>
      <w:r>
        <w:rPr>
          <w:rFonts w:hint="eastAsia"/>
          <w:lang w:val="en-US" w:eastAsia="zh-CN"/>
        </w:rPr>
        <w:t>河道边坡、岸线及</w:t>
      </w:r>
      <w:r>
        <w:rPr>
          <w:rFonts w:hint="eastAsia"/>
        </w:rPr>
        <w:t>堤防建设，提出生态护岸建设、滨岸带生态修复、植被恢复等措施；</w:t>
      </w:r>
    </w:p>
    <w:p>
      <w:pPr>
        <w:pStyle w:val="177"/>
        <w:numPr>
          <w:ilvl w:val="0"/>
          <w:numId w:val="41"/>
        </w:numPr>
      </w:pPr>
      <w:r>
        <w:rPr>
          <w:rFonts w:hint="eastAsia"/>
        </w:rPr>
        <w:t>对主要入河支流提出水质达标要求、整治及生态修复等措施。</w:t>
      </w:r>
    </w:p>
    <w:p>
      <w:pPr>
        <w:pStyle w:val="108"/>
        <w:spacing w:before="156" w:after="156"/>
      </w:pPr>
      <w:bookmarkStart w:id="252" w:name="_Toc122522329"/>
      <w:bookmarkStart w:id="253" w:name="_Toc154654474"/>
      <w:bookmarkStart w:id="254" w:name="_Toc154491976"/>
      <w:bookmarkStart w:id="255" w:name="_Toc124508988"/>
      <w:bookmarkStart w:id="256" w:name="_Toc122443390"/>
      <w:bookmarkStart w:id="257" w:name="_Toc148353495"/>
      <w:bookmarkStart w:id="258" w:name="_Toc132838741"/>
      <w:bookmarkStart w:id="259" w:name="_Toc126072890"/>
      <w:bookmarkStart w:id="260" w:name="_Toc132891938"/>
      <w:bookmarkStart w:id="261" w:name="_Toc133423113"/>
      <w:bookmarkStart w:id="262" w:name="_Toc154582313"/>
      <w:bookmarkStart w:id="263" w:name="_Toc134177857"/>
      <w:bookmarkStart w:id="264" w:name="_Toc154585919"/>
      <w:bookmarkStart w:id="265" w:name="_Toc133422395"/>
      <w:bookmarkStart w:id="266" w:name="_Toc157261284"/>
      <w:bookmarkStart w:id="267" w:name="_Toc124511026"/>
      <w:bookmarkStart w:id="268" w:name="_Toc124863789"/>
      <w:bookmarkStart w:id="269" w:name="_Toc132902451"/>
      <w:bookmarkStart w:id="270" w:name="_Toc126149720"/>
      <w:bookmarkStart w:id="271" w:name="_Toc122480178"/>
      <w:bookmarkStart w:id="272" w:name="_Toc136477826"/>
      <w:bookmarkStart w:id="273" w:name="_Toc136477923"/>
      <w:bookmarkStart w:id="274" w:name="_Toc138032599"/>
      <w:bookmarkStart w:id="275" w:name="_Toc124324757"/>
      <w:bookmarkStart w:id="276" w:name="_Toc152913634"/>
      <w:bookmarkStart w:id="277" w:name="_Toc138070418"/>
      <w:r>
        <w:rPr>
          <w:rFonts w:hint="eastAsia"/>
        </w:rPr>
        <w:t>河道水域/岸线保护</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pPr>
        <w:pStyle w:val="168"/>
      </w:pPr>
      <w:r>
        <w:rPr>
          <w:rFonts w:hint="eastAsia"/>
        </w:rPr>
        <w:t>应在分析河道自然属性、功能属性、保护和利用要求的基础上，划分河道水域/岸线资源的保护区、保留区、控制利用区和开发利用区，应覆盖河道水域/岸线全部范围，明确河道水域/岸线保护利用目标和管控要求。</w:t>
      </w:r>
    </w:p>
    <w:p>
      <w:pPr>
        <w:pStyle w:val="168"/>
      </w:pPr>
      <w:bookmarkStart w:id="278" w:name="_Toc132902453"/>
      <w:bookmarkStart w:id="279" w:name="_Toc122522331"/>
      <w:bookmarkStart w:id="280" w:name="_Toc124511028"/>
      <w:bookmarkStart w:id="281" w:name="_Toc133423115"/>
      <w:bookmarkStart w:id="282" w:name="_Toc122480180"/>
      <w:bookmarkStart w:id="283" w:name="_Toc124324759"/>
      <w:bookmarkStart w:id="284" w:name="_Toc134177859"/>
      <w:bookmarkStart w:id="285" w:name="_Toc126072892"/>
      <w:bookmarkStart w:id="286" w:name="_Toc126149722"/>
      <w:bookmarkStart w:id="287" w:name="_Toc132891940"/>
      <w:bookmarkStart w:id="288" w:name="_Toc122443392"/>
      <w:bookmarkStart w:id="289" w:name="_Toc133422397"/>
      <w:bookmarkStart w:id="290" w:name="_Toc132838743"/>
      <w:bookmarkStart w:id="291" w:name="_Toc124508990"/>
      <w:bookmarkStart w:id="292" w:name="_Toc124863791"/>
      <w:bookmarkStart w:id="293" w:name="_Hlk138343413"/>
      <w:r>
        <w:rPr>
          <w:rFonts w:hint="eastAsia"/>
        </w:rPr>
        <w:t>河道边界线划定</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Pr>
          <w:rFonts w:hint="eastAsia"/>
        </w:rPr>
        <w:t>符合下列要求：</w:t>
      </w:r>
      <w:bookmarkEnd w:id="293"/>
    </w:p>
    <w:p>
      <w:pPr>
        <w:pStyle w:val="177"/>
        <w:numPr>
          <w:ilvl w:val="0"/>
          <w:numId w:val="42"/>
        </w:numPr>
      </w:pPr>
      <w:r>
        <w:rPr>
          <w:rFonts w:hint="eastAsia"/>
        </w:rPr>
        <w:t>应划定河道临水边界线和河道外缘边界线；</w:t>
      </w:r>
    </w:p>
    <w:p>
      <w:pPr>
        <w:pStyle w:val="177"/>
      </w:pPr>
      <w:r>
        <w:rPr>
          <w:rFonts w:hint="eastAsia"/>
        </w:rPr>
        <w:t>河道临水边界线应综合河道形态特征、主要功能等划定，保障河势稳定、行洪安全和生态健康；</w:t>
      </w:r>
    </w:p>
    <w:p>
      <w:pPr>
        <w:pStyle w:val="177"/>
      </w:pPr>
      <w:r>
        <w:rPr>
          <w:rFonts w:hint="eastAsia"/>
        </w:rPr>
        <w:t>河道临水边界线宜采用常水位或平滩水位与陆域的交线，对于滩面较宽的季节性行洪河道，可采用设计洪水位与陆域的交线；</w:t>
      </w:r>
    </w:p>
    <w:p>
      <w:pPr>
        <w:pStyle w:val="177"/>
      </w:pPr>
      <w:r>
        <w:rPr>
          <w:rFonts w:hint="eastAsia"/>
        </w:rPr>
        <w:t>河道外缘边界线可采用河道管理范围线，也可根据河道具体情况和保护要求划定，但不应小于划界管理范围线。</w:t>
      </w:r>
    </w:p>
    <w:p>
      <w:pPr>
        <w:pStyle w:val="168"/>
      </w:pPr>
      <w:bookmarkStart w:id="294" w:name="_Toc132891941"/>
      <w:bookmarkStart w:id="295" w:name="_Toc132838744"/>
      <w:bookmarkStart w:id="296" w:name="_Toc126072893"/>
      <w:bookmarkStart w:id="297" w:name="_Toc133422398"/>
      <w:bookmarkStart w:id="298" w:name="_Toc133423116"/>
      <w:bookmarkStart w:id="299" w:name="_Toc134177860"/>
      <w:bookmarkStart w:id="300" w:name="_Toc126149723"/>
      <w:bookmarkStart w:id="301" w:name="_Toc132902454"/>
      <w:r>
        <w:rPr>
          <w:rFonts w:hint="eastAsia"/>
        </w:rPr>
        <w:t>河道水域/岸线功能区划分</w:t>
      </w:r>
      <w:bookmarkEnd w:id="294"/>
      <w:bookmarkEnd w:id="295"/>
      <w:bookmarkEnd w:id="296"/>
      <w:bookmarkEnd w:id="297"/>
      <w:bookmarkEnd w:id="298"/>
      <w:bookmarkEnd w:id="299"/>
      <w:bookmarkEnd w:id="300"/>
      <w:bookmarkEnd w:id="301"/>
      <w:r>
        <w:rPr>
          <w:rFonts w:hint="eastAsia"/>
        </w:rPr>
        <w:t>符合下列原则：</w:t>
      </w:r>
    </w:p>
    <w:p>
      <w:pPr>
        <w:pStyle w:val="177"/>
        <w:numPr>
          <w:ilvl w:val="0"/>
          <w:numId w:val="43"/>
        </w:numPr>
      </w:pPr>
      <w:r>
        <w:rPr>
          <w:rFonts w:hint="eastAsia"/>
        </w:rPr>
        <w:t>服从4</w:t>
      </w:r>
      <w:r>
        <w:t>.1</w:t>
      </w:r>
      <w:r>
        <w:rPr>
          <w:rFonts w:hint="eastAsia"/>
        </w:rPr>
        <w:t>要求对河道保护与开发利用的总体安排，并与防洪分区、水功能区、自然生态分区、农业分区和有关生态保护红线等区划相协调，统筹近期与远期、保护与开发之间的关系；</w:t>
      </w:r>
      <w:r>
        <w:t xml:space="preserve"> </w:t>
      </w:r>
    </w:p>
    <w:p>
      <w:pPr>
        <w:pStyle w:val="177"/>
      </w:pPr>
      <w:r>
        <w:rPr>
          <w:rFonts w:hint="eastAsia"/>
        </w:rPr>
        <w:t>与防洪工程建设、生态保护、河道治理、航道整治与港口建设、城市建设等相协调；</w:t>
      </w:r>
    </w:p>
    <w:p>
      <w:pPr>
        <w:pStyle w:val="177"/>
      </w:pPr>
      <w:r>
        <w:rPr>
          <w:rFonts w:hint="eastAsia"/>
        </w:rPr>
        <w:t>根据河道水域/岸线保护要求，合理控制开发利用区和控制利用区在河道功能区中的划分比例，尽可能提高保护区、保留区的划分比例。</w:t>
      </w:r>
    </w:p>
    <w:p>
      <w:pPr>
        <w:pStyle w:val="168"/>
      </w:pPr>
      <w:r>
        <w:rPr>
          <w:rFonts w:hint="eastAsia"/>
        </w:rPr>
        <w:t>河道水域/岸线功能区划分符合下列要求：</w:t>
      </w:r>
    </w:p>
    <w:p>
      <w:pPr>
        <w:pStyle w:val="177"/>
        <w:numPr>
          <w:ilvl w:val="0"/>
          <w:numId w:val="44"/>
        </w:numPr>
      </w:pPr>
      <w:r>
        <w:rPr>
          <w:rFonts w:hint="eastAsia"/>
        </w:rPr>
        <w:t>应划分河道岸线功能区，河道水域功能区可根据河道保护要求择需划分；</w:t>
      </w:r>
    </w:p>
    <w:p>
      <w:pPr>
        <w:pStyle w:val="177"/>
      </w:pPr>
      <w:r>
        <w:rPr>
          <w:rFonts w:hint="eastAsia"/>
        </w:rPr>
        <w:t>河道水域/岸线中涉及水利、自然资源、生态环境、交通等行业部门相关功能交叉，应进行叠图分析，</w:t>
      </w:r>
      <w:r>
        <w:rPr>
          <w:rFonts w:hint="eastAsia"/>
          <w:highlight w:val="none"/>
          <w:lang w:val="en-US" w:eastAsia="zh-CN"/>
        </w:rPr>
        <w:t>对不同功能交叉重叠部分进行协调衔接，</w:t>
      </w:r>
      <w:r>
        <w:rPr>
          <w:rFonts w:hint="eastAsia"/>
        </w:rPr>
        <w:t>形成合理的功能分区方案；</w:t>
      </w:r>
    </w:p>
    <w:p>
      <w:pPr>
        <w:pStyle w:val="177"/>
      </w:pPr>
      <w:r>
        <w:rPr>
          <w:rFonts w:hint="eastAsia"/>
        </w:rPr>
        <w:t>应对河道水域/岸线功能区划分成果进行协调性分析的基础上，调整、优化分区成果；</w:t>
      </w:r>
    </w:p>
    <w:p>
      <w:pPr>
        <w:pStyle w:val="177"/>
      </w:pPr>
      <w:r>
        <w:rPr>
          <w:rFonts w:hint="eastAsia"/>
        </w:rPr>
        <w:t>应明确功能区类型、面积（长度）、范围、所属行政分区等，形成河道水域/岸线功能区划分表，表格式宜按照表2、表3设置。河道水域/岸线功能分区汇总表宜按表4、表5的格式设置。</w:t>
      </w:r>
    </w:p>
    <w:p>
      <w:pPr>
        <w:pStyle w:val="115"/>
        <w:spacing w:before="156" w:after="156"/>
      </w:pPr>
      <w:r>
        <w:rPr>
          <w:rFonts w:hint="eastAsia"/>
        </w:rPr>
        <w:t>河道水域功能分区表</w:t>
      </w:r>
    </w:p>
    <w:tbl>
      <w:tblPr>
        <w:tblStyle w:val="29"/>
        <w:tblW w:w="919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57"/>
        <w:gridCol w:w="1554"/>
        <w:gridCol w:w="1552"/>
        <w:gridCol w:w="1129"/>
        <w:gridCol w:w="1129"/>
        <w:gridCol w:w="991"/>
        <w:gridCol w:w="992"/>
        <w:gridCol w:w="9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57" w:type="dxa"/>
            <w:vMerge w:val="restart"/>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序号</w:t>
            </w:r>
          </w:p>
        </w:tc>
        <w:tc>
          <w:tcPr>
            <w:tcW w:w="1554" w:type="dxa"/>
            <w:vMerge w:val="restart"/>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市（地）级行政区</w:t>
            </w:r>
          </w:p>
        </w:tc>
        <w:tc>
          <w:tcPr>
            <w:tcW w:w="1552" w:type="dxa"/>
            <w:vMerge w:val="restart"/>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县级行政区</w:t>
            </w:r>
          </w:p>
        </w:tc>
        <w:tc>
          <w:tcPr>
            <w:tcW w:w="2258" w:type="dxa"/>
            <w:gridSpan w:val="2"/>
            <w:tcBorders>
              <w:top w:val="single" w:color="auto" w:sz="8" w:space="0"/>
              <w:bottom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水域功能区</w:t>
            </w:r>
          </w:p>
        </w:tc>
        <w:tc>
          <w:tcPr>
            <w:tcW w:w="1983" w:type="dxa"/>
            <w:gridSpan w:val="2"/>
            <w:tcBorders>
              <w:top w:val="single" w:color="auto" w:sz="8" w:space="0"/>
              <w:bottom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起迄位置</w:t>
            </w:r>
          </w:p>
        </w:tc>
        <w:tc>
          <w:tcPr>
            <w:tcW w:w="992" w:type="dxa"/>
            <w:tcBorders>
              <w:top w:val="single" w:color="auto" w:sz="8" w:space="0"/>
              <w:bottom w:val="single" w:color="auto" w:sz="8" w:space="0"/>
            </w:tcBorders>
            <w:vAlign w:val="center"/>
          </w:tcPr>
          <w:p>
            <w:pPr>
              <w:widowControl/>
              <w:autoSpaceDE w:val="0"/>
              <w:autoSpaceDN w:val="0"/>
              <w:snapToGrid w:val="0"/>
              <w:spacing w:line="240" w:lineRule="atLeast"/>
              <w:jc w:val="center"/>
              <w:rPr>
                <w:rFonts w:hint="eastAsia" w:ascii="宋体" w:hAnsi="Times New Roman" w:eastAsia="宋体"/>
                <w:kern w:val="0"/>
                <w:sz w:val="18"/>
                <w:szCs w:val="18"/>
                <w:lang w:val="en-US" w:eastAsia="zh-CN"/>
              </w:rPr>
            </w:pPr>
            <w:r>
              <w:rPr>
                <w:rFonts w:hint="eastAsia" w:ascii="宋体" w:hAnsi="Times New Roman"/>
                <w:kern w:val="0"/>
                <w:sz w:val="18"/>
                <w:szCs w:val="18"/>
              </w:rPr>
              <w:t>面积</w:t>
            </w:r>
            <w:r>
              <w:rPr>
                <w:rFonts w:hint="eastAsia" w:ascii="宋体" w:hAnsi="Times New Roman"/>
                <w:kern w:val="0"/>
                <w:sz w:val="18"/>
                <w:szCs w:val="18"/>
                <w:lang w:val="en-US" w:eastAsia="zh-CN"/>
              </w:rPr>
              <w:t>/</w:t>
            </w:r>
          </w:p>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k</w:t>
            </w:r>
            <w:r>
              <w:rPr>
                <w:rFonts w:ascii="宋体" w:hAnsi="Times New Roman"/>
                <w:kern w:val="0"/>
                <w:sz w:val="18"/>
                <w:szCs w:val="18"/>
              </w:rPr>
              <w:t>m</w:t>
            </w:r>
            <w:r>
              <w:rPr>
                <w:rFonts w:ascii="宋体" w:hAnsi="Times New Roman"/>
                <w:kern w:val="0"/>
                <w:sz w:val="18"/>
                <w:szCs w:val="18"/>
                <w:vertAlign w:val="superscript"/>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1554" w:type="dxa"/>
            <w:vMerge w:val="continue"/>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1552" w:type="dxa"/>
            <w:vMerge w:val="continue"/>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1129" w:type="dxa"/>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类型</w:t>
            </w:r>
          </w:p>
        </w:tc>
        <w:tc>
          <w:tcPr>
            <w:tcW w:w="1129" w:type="dxa"/>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划分依据</w:t>
            </w:r>
          </w:p>
        </w:tc>
        <w:tc>
          <w:tcPr>
            <w:tcW w:w="991" w:type="dxa"/>
            <w:tcBorders>
              <w:top w:val="single" w:color="auto" w:sz="8" w:space="0"/>
            </w:tcBorders>
            <w:vAlign w:val="center"/>
          </w:tcPr>
          <w:p>
            <w:pPr>
              <w:widowControl/>
              <w:autoSpaceDE w:val="0"/>
              <w:autoSpaceDN w:val="0"/>
              <w:snapToGrid w:val="0"/>
              <w:spacing w:line="240" w:lineRule="atLeast"/>
              <w:jc w:val="center"/>
              <w:rPr>
                <w:rFonts w:ascii="宋体" w:hAnsi="Times New Roman"/>
                <w:kern w:val="0"/>
                <w:sz w:val="18"/>
                <w:szCs w:val="18"/>
              </w:rPr>
            </w:pPr>
          </w:p>
        </w:tc>
        <w:tc>
          <w:tcPr>
            <w:tcW w:w="992" w:type="dxa"/>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992" w:type="dxa"/>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57"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1</w:t>
            </w:r>
          </w:p>
        </w:tc>
        <w:tc>
          <w:tcPr>
            <w:tcW w:w="1554"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1552"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1129"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1129"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991" w:type="dxa"/>
            <w:vAlign w:val="center"/>
          </w:tcPr>
          <w:p>
            <w:pPr>
              <w:widowControl/>
              <w:autoSpaceDE w:val="0"/>
              <w:autoSpaceDN w:val="0"/>
              <w:snapToGrid w:val="0"/>
              <w:spacing w:line="240" w:lineRule="atLeast"/>
              <w:jc w:val="center"/>
              <w:rPr>
                <w:rFonts w:ascii="宋体" w:hAnsi="Times New Roman"/>
                <w:kern w:val="0"/>
                <w:sz w:val="18"/>
                <w:szCs w:val="18"/>
              </w:rPr>
            </w:pPr>
          </w:p>
        </w:tc>
        <w:tc>
          <w:tcPr>
            <w:tcW w:w="992"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992"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57"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2</w:t>
            </w:r>
          </w:p>
        </w:tc>
        <w:tc>
          <w:tcPr>
            <w:tcW w:w="1554"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1552"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1129"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1129"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991" w:type="dxa"/>
            <w:vAlign w:val="center"/>
          </w:tcPr>
          <w:p>
            <w:pPr>
              <w:widowControl/>
              <w:autoSpaceDE w:val="0"/>
              <w:autoSpaceDN w:val="0"/>
              <w:snapToGrid w:val="0"/>
              <w:spacing w:line="240" w:lineRule="atLeast"/>
              <w:jc w:val="center"/>
              <w:rPr>
                <w:rFonts w:ascii="宋体" w:hAnsi="Times New Roman"/>
                <w:kern w:val="0"/>
                <w:sz w:val="18"/>
                <w:szCs w:val="18"/>
              </w:rPr>
            </w:pPr>
          </w:p>
        </w:tc>
        <w:tc>
          <w:tcPr>
            <w:tcW w:w="992"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992"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57"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w:t>
            </w:r>
          </w:p>
        </w:tc>
        <w:tc>
          <w:tcPr>
            <w:tcW w:w="1554"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1552"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1129"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1129"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991" w:type="dxa"/>
            <w:vAlign w:val="center"/>
          </w:tcPr>
          <w:p>
            <w:pPr>
              <w:widowControl/>
              <w:autoSpaceDE w:val="0"/>
              <w:autoSpaceDN w:val="0"/>
              <w:snapToGrid w:val="0"/>
              <w:spacing w:line="240" w:lineRule="atLeast"/>
              <w:jc w:val="center"/>
              <w:rPr>
                <w:rFonts w:ascii="宋体" w:hAnsi="Times New Roman"/>
                <w:kern w:val="0"/>
                <w:sz w:val="18"/>
                <w:szCs w:val="18"/>
              </w:rPr>
            </w:pPr>
          </w:p>
        </w:tc>
        <w:tc>
          <w:tcPr>
            <w:tcW w:w="992"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992" w:type="dxa"/>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r>
    </w:tbl>
    <w:p>
      <w:pPr>
        <w:pStyle w:val="59"/>
        <w:ind w:firstLine="420"/>
      </w:pPr>
    </w:p>
    <w:p>
      <w:pPr>
        <w:pStyle w:val="115"/>
        <w:spacing w:before="156" w:after="156"/>
      </w:pPr>
      <w:r>
        <w:rPr>
          <w:rFonts w:hint="eastAsia"/>
        </w:rPr>
        <w:t>河道岸线功能分区表</w:t>
      </w:r>
    </w:p>
    <w:tbl>
      <w:tblPr>
        <w:tblStyle w:val="29"/>
        <w:tblW w:w="492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4"/>
        <w:gridCol w:w="1552"/>
        <w:gridCol w:w="981"/>
        <w:gridCol w:w="1173"/>
        <w:gridCol w:w="1284"/>
        <w:gridCol w:w="1066"/>
        <w:gridCol w:w="1364"/>
        <w:gridCol w:w="9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57" w:type="pct"/>
            <w:vMerge w:val="restart"/>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序号</w:t>
            </w:r>
          </w:p>
        </w:tc>
        <w:tc>
          <w:tcPr>
            <w:tcW w:w="840" w:type="pct"/>
            <w:vMerge w:val="restart"/>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市（地）级行政区</w:t>
            </w:r>
          </w:p>
        </w:tc>
        <w:tc>
          <w:tcPr>
            <w:tcW w:w="531" w:type="pct"/>
            <w:vMerge w:val="restart"/>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县级行政区</w:t>
            </w:r>
          </w:p>
        </w:tc>
        <w:tc>
          <w:tcPr>
            <w:tcW w:w="1907" w:type="pct"/>
            <w:gridSpan w:val="3"/>
            <w:tcBorders>
              <w:top w:val="single" w:color="auto" w:sz="8" w:space="0"/>
              <w:bottom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岸线功能区</w:t>
            </w:r>
          </w:p>
        </w:tc>
        <w:tc>
          <w:tcPr>
            <w:tcW w:w="738" w:type="pct"/>
            <w:vMerge w:val="restart"/>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起迄位置</w:t>
            </w:r>
          </w:p>
        </w:tc>
        <w:tc>
          <w:tcPr>
            <w:tcW w:w="526" w:type="pct"/>
            <w:vMerge w:val="restart"/>
            <w:tcBorders>
              <w:top w:val="single" w:color="auto" w:sz="8" w:space="0"/>
            </w:tcBorders>
            <w:shd w:val="clear" w:color="auto" w:fill="auto"/>
            <w:vAlign w:val="center"/>
          </w:tcPr>
          <w:p>
            <w:pPr>
              <w:widowControl/>
              <w:autoSpaceDE w:val="0"/>
              <w:autoSpaceDN w:val="0"/>
              <w:snapToGrid w:val="0"/>
              <w:spacing w:line="240" w:lineRule="atLeast"/>
              <w:jc w:val="center"/>
              <w:rPr>
                <w:rFonts w:hint="eastAsia" w:ascii="宋体" w:hAnsi="Times New Roman" w:eastAsia="宋体"/>
                <w:kern w:val="0"/>
                <w:sz w:val="18"/>
                <w:szCs w:val="18"/>
                <w:lang w:val="en-US" w:eastAsia="zh-CN"/>
              </w:rPr>
            </w:pPr>
            <w:r>
              <w:rPr>
                <w:rFonts w:hint="eastAsia" w:ascii="宋体" w:hAnsi="Times New Roman"/>
                <w:kern w:val="0"/>
                <w:sz w:val="18"/>
                <w:szCs w:val="18"/>
              </w:rPr>
              <w:t>长度</w:t>
            </w:r>
            <w:r>
              <w:rPr>
                <w:rFonts w:hint="eastAsia" w:ascii="宋体" w:hAnsi="Times New Roman"/>
                <w:kern w:val="0"/>
                <w:sz w:val="18"/>
                <w:szCs w:val="18"/>
                <w:lang w:val="en-US" w:eastAsia="zh-CN"/>
              </w:rPr>
              <w:t>/</w:t>
            </w:r>
          </w:p>
          <w:p>
            <w:pPr>
              <w:widowControl/>
              <w:autoSpaceDE w:val="0"/>
              <w:autoSpaceDN w:val="0"/>
              <w:snapToGrid w:val="0"/>
              <w:spacing w:line="240" w:lineRule="atLeast"/>
              <w:jc w:val="center"/>
              <w:rPr>
                <w:rFonts w:ascii="宋体" w:hAnsi="Times New Roman"/>
                <w:kern w:val="0"/>
                <w:sz w:val="18"/>
                <w:szCs w:val="18"/>
              </w:rPr>
            </w:pPr>
            <w:r>
              <w:rPr>
                <w:rFonts w:ascii="宋体" w:hAnsi="Times New Roman"/>
                <w:kern w:val="0"/>
                <w:sz w:val="18"/>
                <w:szCs w:val="18"/>
              </w:rPr>
              <w:t>km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7" w:type="pct"/>
            <w:vMerge w:val="continue"/>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840" w:type="pct"/>
            <w:vMerge w:val="continue"/>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531" w:type="pct"/>
            <w:vMerge w:val="continue"/>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635" w:type="pct"/>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类型</w:t>
            </w:r>
          </w:p>
        </w:tc>
        <w:tc>
          <w:tcPr>
            <w:tcW w:w="695" w:type="pct"/>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岸别（左/右）</w:t>
            </w:r>
          </w:p>
        </w:tc>
        <w:tc>
          <w:tcPr>
            <w:tcW w:w="577" w:type="pct"/>
            <w:tcBorders>
              <w:top w:val="single" w:color="auto" w:sz="8" w:space="0"/>
            </w:tcBorders>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划分依据</w:t>
            </w:r>
          </w:p>
        </w:tc>
        <w:tc>
          <w:tcPr>
            <w:tcW w:w="738" w:type="pct"/>
            <w:vMerge w:val="continue"/>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526" w:type="pct"/>
            <w:vMerge w:val="continue"/>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7"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1</w:t>
            </w:r>
          </w:p>
        </w:tc>
        <w:tc>
          <w:tcPr>
            <w:tcW w:w="840"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531"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635"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695"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577"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738"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526"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57"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2</w:t>
            </w:r>
          </w:p>
        </w:tc>
        <w:tc>
          <w:tcPr>
            <w:tcW w:w="840"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531"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635"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695"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577"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738"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526"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7"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r>
              <w:rPr>
                <w:rFonts w:hint="eastAsia" w:ascii="宋体" w:hAnsi="Times New Roman"/>
                <w:kern w:val="0"/>
                <w:sz w:val="18"/>
                <w:szCs w:val="18"/>
              </w:rPr>
              <w:t>……</w:t>
            </w:r>
          </w:p>
        </w:tc>
        <w:tc>
          <w:tcPr>
            <w:tcW w:w="840"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531"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635"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695"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577"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738"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c>
          <w:tcPr>
            <w:tcW w:w="526" w:type="pct"/>
            <w:shd w:val="clear" w:color="auto" w:fill="auto"/>
            <w:vAlign w:val="center"/>
          </w:tcPr>
          <w:p>
            <w:pPr>
              <w:widowControl/>
              <w:autoSpaceDE w:val="0"/>
              <w:autoSpaceDN w:val="0"/>
              <w:snapToGrid w:val="0"/>
              <w:spacing w:line="240" w:lineRule="atLeast"/>
              <w:jc w:val="center"/>
              <w:rPr>
                <w:rFonts w:ascii="宋体" w:hAnsi="Times New Roman"/>
                <w:kern w:val="0"/>
                <w:sz w:val="18"/>
                <w:szCs w:val="18"/>
              </w:rPr>
            </w:pPr>
          </w:p>
        </w:tc>
      </w:tr>
    </w:tbl>
    <w:p>
      <w:pPr>
        <w:pStyle w:val="59"/>
        <w:ind w:firstLine="420"/>
      </w:pPr>
    </w:p>
    <w:p>
      <w:pPr>
        <w:pStyle w:val="115"/>
        <w:spacing w:before="156" w:after="156"/>
      </w:pPr>
      <w:r>
        <w:rPr>
          <w:rFonts w:hint="eastAsia"/>
        </w:rPr>
        <w:t>河道水域</w:t>
      </w:r>
      <w:bookmarkStart w:id="302" w:name="_Hlk154565529"/>
      <w:r>
        <w:rPr>
          <w:rFonts w:hint="eastAsia"/>
        </w:rPr>
        <w:t>功能分区汇总表</w:t>
      </w:r>
      <w:bookmarkEnd w:id="302"/>
    </w:p>
    <w:tbl>
      <w:tblPr>
        <w:tblStyle w:val="29"/>
        <w:tblW w:w="492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09"/>
        <w:gridCol w:w="2344"/>
        <w:gridCol w:w="2344"/>
        <w:gridCol w:w="23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96" w:type="pct"/>
            <w:tcBorders>
              <w:top w:val="single" w:color="auto" w:sz="8" w:space="0"/>
              <w:bottom w:val="single" w:color="auto" w:sz="8" w:space="0"/>
            </w:tcBorders>
            <w:shd w:val="clear" w:color="auto" w:fill="auto"/>
            <w:vAlign w:val="center"/>
          </w:tcPr>
          <w:p>
            <w:pPr>
              <w:pStyle w:val="181"/>
            </w:pPr>
            <w:r>
              <w:rPr>
                <w:rFonts w:hint="eastAsia"/>
              </w:rPr>
              <w:t>功能区</w:t>
            </w:r>
          </w:p>
        </w:tc>
        <w:tc>
          <w:tcPr>
            <w:tcW w:w="1268" w:type="pct"/>
            <w:tcBorders>
              <w:top w:val="single" w:color="auto" w:sz="8" w:space="0"/>
              <w:bottom w:val="single" w:color="auto" w:sz="8" w:space="0"/>
            </w:tcBorders>
          </w:tcPr>
          <w:p>
            <w:pPr>
              <w:pStyle w:val="181"/>
            </w:pPr>
            <w:r>
              <w:rPr>
                <w:rFonts w:hint="eastAsia"/>
              </w:rPr>
              <w:t>个数</w:t>
            </w:r>
          </w:p>
        </w:tc>
        <w:tc>
          <w:tcPr>
            <w:tcW w:w="1268" w:type="pct"/>
            <w:tcBorders>
              <w:top w:val="single" w:color="auto" w:sz="8" w:space="0"/>
              <w:bottom w:val="single" w:color="auto" w:sz="8" w:space="0"/>
            </w:tcBorders>
          </w:tcPr>
          <w:p>
            <w:pPr>
              <w:pStyle w:val="181"/>
            </w:pPr>
            <w:r>
              <w:rPr>
                <w:rFonts w:hint="eastAsia"/>
              </w:rPr>
              <w:t>面积/</w:t>
            </w:r>
            <w:r>
              <w:t>m</w:t>
            </w:r>
            <w:r>
              <w:rPr>
                <w:vertAlign w:val="superscript"/>
              </w:rPr>
              <w:t>2</w:t>
            </w:r>
          </w:p>
        </w:tc>
        <w:tc>
          <w:tcPr>
            <w:tcW w:w="1268" w:type="pct"/>
            <w:tcBorders>
              <w:top w:val="single" w:color="auto" w:sz="8" w:space="0"/>
              <w:bottom w:val="single" w:color="auto" w:sz="8" w:space="0"/>
            </w:tcBorders>
            <w:shd w:val="clear" w:color="auto" w:fill="auto"/>
            <w:vAlign w:val="center"/>
          </w:tcPr>
          <w:p>
            <w:pPr>
              <w:pStyle w:val="181"/>
            </w:pPr>
            <w:r>
              <w:rPr>
                <w:rFonts w:hint="eastAsia"/>
              </w:rPr>
              <w:t>占比/</w:t>
            </w: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6" w:type="pct"/>
            <w:tcBorders>
              <w:top w:val="single" w:color="auto" w:sz="8" w:space="0"/>
            </w:tcBorders>
            <w:shd w:val="clear" w:color="auto" w:fill="auto"/>
            <w:vAlign w:val="center"/>
          </w:tcPr>
          <w:p>
            <w:pPr>
              <w:pStyle w:val="181"/>
            </w:pPr>
            <w:r>
              <w:rPr>
                <w:rFonts w:hint="eastAsia"/>
              </w:rPr>
              <w:t>保护区</w:t>
            </w:r>
          </w:p>
        </w:tc>
        <w:tc>
          <w:tcPr>
            <w:tcW w:w="1268" w:type="pct"/>
            <w:tcBorders>
              <w:top w:val="single" w:color="auto" w:sz="8" w:space="0"/>
            </w:tcBorders>
          </w:tcPr>
          <w:p>
            <w:pPr>
              <w:pStyle w:val="181"/>
            </w:pPr>
          </w:p>
        </w:tc>
        <w:tc>
          <w:tcPr>
            <w:tcW w:w="1268" w:type="pct"/>
            <w:tcBorders>
              <w:top w:val="single" w:color="auto" w:sz="8" w:space="0"/>
            </w:tcBorders>
          </w:tcPr>
          <w:p>
            <w:pPr>
              <w:pStyle w:val="181"/>
            </w:pPr>
          </w:p>
        </w:tc>
        <w:tc>
          <w:tcPr>
            <w:tcW w:w="1268" w:type="pct"/>
            <w:tcBorders>
              <w:top w:val="single" w:color="auto" w:sz="8" w:space="0"/>
            </w:tcBorders>
            <w:shd w:val="clear" w:color="auto" w:fill="auto"/>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6" w:type="pct"/>
            <w:shd w:val="clear" w:color="auto" w:fill="auto"/>
            <w:vAlign w:val="center"/>
          </w:tcPr>
          <w:p>
            <w:pPr>
              <w:pStyle w:val="181"/>
            </w:pPr>
            <w:r>
              <w:rPr>
                <w:rFonts w:hint="eastAsia"/>
              </w:rPr>
              <w:t>保留区</w:t>
            </w:r>
          </w:p>
        </w:tc>
        <w:tc>
          <w:tcPr>
            <w:tcW w:w="1268" w:type="pct"/>
          </w:tcPr>
          <w:p>
            <w:pPr>
              <w:pStyle w:val="181"/>
            </w:pPr>
          </w:p>
        </w:tc>
        <w:tc>
          <w:tcPr>
            <w:tcW w:w="1268" w:type="pct"/>
          </w:tcPr>
          <w:p>
            <w:pPr>
              <w:pStyle w:val="181"/>
            </w:pPr>
          </w:p>
        </w:tc>
        <w:tc>
          <w:tcPr>
            <w:tcW w:w="1268" w:type="pct"/>
            <w:shd w:val="clear" w:color="auto" w:fill="auto"/>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6" w:type="pct"/>
            <w:shd w:val="clear" w:color="auto" w:fill="auto"/>
            <w:vAlign w:val="center"/>
          </w:tcPr>
          <w:p>
            <w:pPr>
              <w:pStyle w:val="181"/>
            </w:pPr>
            <w:r>
              <w:rPr>
                <w:rFonts w:hint="eastAsia"/>
              </w:rPr>
              <w:t>控制利用区</w:t>
            </w:r>
          </w:p>
        </w:tc>
        <w:tc>
          <w:tcPr>
            <w:tcW w:w="1268" w:type="pct"/>
          </w:tcPr>
          <w:p>
            <w:pPr>
              <w:pStyle w:val="181"/>
            </w:pPr>
          </w:p>
        </w:tc>
        <w:tc>
          <w:tcPr>
            <w:tcW w:w="1268" w:type="pct"/>
          </w:tcPr>
          <w:p>
            <w:pPr>
              <w:pStyle w:val="181"/>
            </w:pPr>
          </w:p>
        </w:tc>
        <w:tc>
          <w:tcPr>
            <w:tcW w:w="1268" w:type="pct"/>
            <w:shd w:val="clear" w:color="auto" w:fill="auto"/>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6" w:type="pct"/>
            <w:shd w:val="clear" w:color="auto" w:fill="auto"/>
            <w:vAlign w:val="center"/>
          </w:tcPr>
          <w:p>
            <w:pPr>
              <w:pStyle w:val="181"/>
            </w:pPr>
            <w:r>
              <w:rPr>
                <w:rFonts w:hint="eastAsia"/>
              </w:rPr>
              <w:t>开发利用区</w:t>
            </w:r>
          </w:p>
        </w:tc>
        <w:tc>
          <w:tcPr>
            <w:tcW w:w="1268" w:type="pct"/>
          </w:tcPr>
          <w:p>
            <w:pPr>
              <w:pStyle w:val="181"/>
            </w:pPr>
          </w:p>
        </w:tc>
        <w:tc>
          <w:tcPr>
            <w:tcW w:w="1268" w:type="pct"/>
          </w:tcPr>
          <w:p>
            <w:pPr>
              <w:pStyle w:val="181"/>
            </w:pPr>
          </w:p>
        </w:tc>
        <w:tc>
          <w:tcPr>
            <w:tcW w:w="1268" w:type="pct"/>
            <w:shd w:val="clear" w:color="auto" w:fill="auto"/>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6" w:type="pct"/>
            <w:shd w:val="clear" w:color="auto" w:fill="auto"/>
            <w:vAlign w:val="center"/>
          </w:tcPr>
          <w:p>
            <w:pPr>
              <w:pStyle w:val="181"/>
            </w:pPr>
            <w:r>
              <w:rPr>
                <w:rFonts w:hint="eastAsia"/>
              </w:rPr>
              <w:t>合计</w:t>
            </w:r>
          </w:p>
        </w:tc>
        <w:tc>
          <w:tcPr>
            <w:tcW w:w="1268" w:type="pct"/>
          </w:tcPr>
          <w:p>
            <w:pPr>
              <w:pStyle w:val="181"/>
            </w:pPr>
            <w:r>
              <w:t>…</w:t>
            </w:r>
          </w:p>
        </w:tc>
        <w:tc>
          <w:tcPr>
            <w:tcW w:w="1268" w:type="pct"/>
          </w:tcPr>
          <w:p>
            <w:pPr>
              <w:pStyle w:val="181"/>
            </w:pPr>
            <w:r>
              <w:t>…</w:t>
            </w:r>
          </w:p>
        </w:tc>
        <w:tc>
          <w:tcPr>
            <w:tcW w:w="1268" w:type="pct"/>
            <w:shd w:val="clear" w:color="auto" w:fill="auto"/>
            <w:vAlign w:val="center"/>
          </w:tcPr>
          <w:p>
            <w:pPr>
              <w:pStyle w:val="181"/>
            </w:pPr>
            <w:r>
              <w:t>…</w:t>
            </w:r>
          </w:p>
        </w:tc>
      </w:tr>
    </w:tbl>
    <w:p>
      <w:pPr>
        <w:pStyle w:val="59"/>
        <w:ind w:firstLine="420"/>
      </w:pPr>
    </w:p>
    <w:p>
      <w:pPr>
        <w:pStyle w:val="115"/>
        <w:spacing w:before="156" w:after="156"/>
      </w:pPr>
      <w:r>
        <w:rPr>
          <w:rFonts w:hint="eastAsia"/>
        </w:rPr>
        <w:t>河道岸线功能分区汇总表</w:t>
      </w:r>
    </w:p>
    <w:tbl>
      <w:tblPr>
        <w:tblStyle w:val="29"/>
        <w:tblW w:w="492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09"/>
        <w:gridCol w:w="2344"/>
        <w:gridCol w:w="2344"/>
        <w:gridCol w:w="23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96" w:type="pct"/>
            <w:tcBorders>
              <w:top w:val="single" w:color="auto" w:sz="8" w:space="0"/>
              <w:bottom w:val="single" w:color="auto" w:sz="8" w:space="0"/>
            </w:tcBorders>
            <w:shd w:val="clear" w:color="auto" w:fill="auto"/>
            <w:vAlign w:val="center"/>
          </w:tcPr>
          <w:p>
            <w:pPr>
              <w:pStyle w:val="181"/>
            </w:pPr>
            <w:r>
              <w:rPr>
                <w:rFonts w:hint="eastAsia"/>
              </w:rPr>
              <w:t>功能区</w:t>
            </w:r>
          </w:p>
        </w:tc>
        <w:tc>
          <w:tcPr>
            <w:tcW w:w="1268" w:type="pct"/>
            <w:tcBorders>
              <w:top w:val="single" w:color="auto" w:sz="8" w:space="0"/>
              <w:bottom w:val="single" w:color="auto" w:sz="8" w:space="0"/>
            </w:tcBorders>
          </w:tcPr>
          <w:p>
            <w:pPr>
              <w:pStyle w:val="181"/>
            </w:pPr>
            <w:r>
              <w:rPr>
                <w:rFonts w:hint="eastAsia"/>
              </w:rPr>
              <w:t>个数</w:t>
            </w:r>
          </w:p>
        </w:tc>
        <w:tc>
          <w:tcPr>
            <w:tcW w:w="1268" w:type="pct"/>
            <w:tcBorders>
              <w:top w:val="single" w:color="auto" w:sz="8" w:space="0"/>
              <w:bottom w:val="single" w:color="auto" w:sz="8" w:space="0"/>
            </w:tcBorders>
          </w:tcPr>
          <w:p>
            <w:pPr>
              <w:pStyle w:val="181"/>
            </w:pPr>
            <w:r>
              <w:rPr>
                <w:rFonts w:hint="eastAsia"/>
              </w:rPr>
              <w:t>长度/</w:t>
            </w:r>
            <w:r>
              <w:t>m</w:t>
            </w:r>
          </w:p>
        </w:tc>
        <w:tc>
          <w:tcPr>
            <w:tcW w:w="1268" w:type="pct"/>
            <w:tcBorders>
              <w:top w:val="single" w:color="auto" w:sz="8" w:space="0"/>
              <w:bottom w:val="single" w:color="auto" w:sz="8" w:space="0"/>
            </w:tcBorders>
            <w:shd w:val="clear" w:color="auto" w:fill="auto"/>
            <w:vAlign w:val="center"/>
          </w:tcPr>
          <w:p>
            <w:pPr>
              <w:pStyle w:val="181"/>
            </w:pPr>
            <w:r>
              <w:rPr>
                <w:rFonts w:hint="eastAsia"/>
              </w:rPr>
              <w:t>占比/</w:t>
            </w: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6" w:type="pct"/>
            <w:tcBorders>
              <w:top w:val="single" w:color="auto" w:sz="8" w:space="0"/>
            </w:tcBorders>
            <w:shd w:val="clear" w:color="auto" w:fill="auto"/>
            <w:vAlign w:val="center"/>
          </w:tcPr>
          <w:p>
            <w:pPr>
              <w:pStyle w:val="181"/>
            </w:pPr>
            <w:r>
              <w:rPr>
                <w:rFonts w:hint="eastAsia"/>
              </w:rPr>
              <w:t>保护区</w:t>
            </w:r>
          </w:p>
        </w:tc>
        <w:tc>
          <w:tcPr>
            <w:tcW w:w="1268" w:type="pct"/>
            <w:tcBorders>
              <w:top w:val="single" w:color="auto" w:sz="8" w:space="0"/>
            </w:tcBorders>
          </w:tcPr>
          <w:p>
            <w:pPr>
              <w:pStyle w:val="181"/>
            </w:pPr>
          </w:p>
        </w:tc>
        <w:tc>
          <w:tcPr>
            <w:tcW w:w="1268" w:type="pct"/>
            <w:tcBorders>
              <w:top w:val="single" w:color="auto" w:sz="8" w:space="0"/>
            </w:tcBorders>
          </w:tcPr>
          <w:p>
            <w:pPr>
              <w:pStyle w:val="181"/>
            </w:pPr>
          </w:p>
        </w:tc>
        <w:tc>
          <w:tcPr>
            <w:tcW w:w="1268" w:type="pct"/>
            <w:tcBorders>
              <w:top w:val="single" w:color="auto" w:sz="8" w:space="0"/>
            </w:tcBorders>
            <w:shd w:val="clear" w:color="auto" w:fill="auto"/>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6" w:type="pct"/>
            <w:shd w:val="clear" w:color="auto" w:fill="auto"/>
            <w:vAlign w:val="center"/>
          </w:tcPr>
          <w:p>
            <w:pPr>
              <w:pStyle w:val="181"/>
            </w:pPr>
            <w:r>
              <w:rPr>
                <w:rFonts w:hint="eastAsia"/>
              </w:rPr>
              <w:t>保留区</w:t>
            </w:r>
          </w:p>
        </w:tc>
        <w:tc>
          <w:tcPr>
            <w:tcW w:w="1268" w:type="pct"/>
          </w:tcPr>
          <w:p>
            <w:pPr>
              <w:pStyle w:val="181"/>
            </w:pPr>
          </w:p>
        </w:tc>
        <w:tc>
          <w:tcPr>
            <w:tcW w:w="1268" w:type="pct"/>
          </w:tcPr>
          <w:p>
            <w:pPr>
              <w:pStyle w:val="181"/>
            </w:pPr>
          </w:p>
        </w:tc>
        <w:tc>
          <w:tcPr>
            <w:tcW w:w="1268" w:type="pct"/>
            <w:shd w:val="clear" w:color="auto" w:fill="auto"/>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6" w:type="pct"/>
            <w:shd w:val="clear" w:color="auto" w:fill="auto"/>
            <w:vAlign w:val="center"/>
          </w:tcPr>
          <w:p>
            <w:pPr>
              <w:pStyle w:val="181"/>
            </w:pPr>
            <w:r>
              <w:rPr>
                <w:rFonts w:hint="eastAsia"/>
              </w:rPr>
              <w:t>控制利用区</w:t>
            </w:r>
          </w:p>
        </w:tc>
        <w:tc>
          <w:tcPr>
            <w:tcW w:w="1268" w:type="pct"/>
          </w:tcPr>
          <w:p>
            <w:pPr>
              <w:pStyle w:val="181"/>
            </w:pPr>
          </w:p>
        </w:tc>
        <w:tc>
          <w:tcPr>
            <w:tcW w:w="1268" w:type="pct"/>
          </w:tcPr>
          <w:p>
            <w:pPr>
              <w:pStyle w:val="181"/>
            </w:pPr>
          </w:p>
        </w:tc>
        <w:tc>
          <w:tcPr>
            <w:tcW w:w="1268" w:type="pct"/>
            <w:shd w:val="clear" w:color="auto" w:fill="auto"/>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6" w:type="pct"/>
            <w:shd w:val="clear" w:color="auto" w:fill="auto"/>
            <w:vAlign w:val="center"/>
          </w:tcPr>
          <w:p>
            <w:pPr>
              <w:pStyle w:val="181"/>
            </w:pPr>
            <w:r>
              <w:rPr>
                <w:rFonts w:hint="eastAsia"/>
              </w:rPr>
              <w:t>开发利用区</w:t>
            </w:r>
          </w:p>
        </w:tc>
        <w:tc>
          <w:tcPr>
            <w:tcW w:w="1268" w:type="pct"/>
          </w:tcPr>
          <w:p>
            <w:pPr>
              <w:pStyle w:val="181"/>
            </w:pPr>
          </w:p>
        </w:tc>
        <w:tc>
          <w:tcPr>
            <w:tcW w:w="1268" w:type="pct"/>
          </w:tcPr>
          <w:p>
            <w:pPr>
              <w:pStyle w:val="181"/>
            </w:pPr>
          </w:p>
        </w:tc>
        <w:tc>
          <w:tcPr>
            <w:tcW w:w="1268" w:type="pct"/>
            <w:shd w:val="clear" w:color="auto" w:fill="auto"/>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6" w:type="pct"/>
            <w:shd w:val="clear" w:color="auto" w:fill="auto"/>
            <w:vAlign w:val="center"/>
          </w:tcPr>
          <w:p>
            <w:pPr>
              <w:pStyle w:val="181"/>
            </w:pPr>
            <w:r>
              <w:rPr>
                <w:rFonts w:hint="eastAsia"/>
              </w:rPr>
              <w:t>合计</w:t>
            </w:r>
          </w:p>
        </w:tc>
        <w:tc>
          <w:tcPr>
            <w:tcW w:w="1268" w:type="pct"/>
          </w:tcPr>
          <w:p>
            <w:pPr>
              <w:pStyle w:val="181"/>
            </w:pPr>
            <w:r>
              <w:t>…</w:t>
            </w:r>
          </w:p>
        </w:tc>
        <w:tc>
          <w:tcPr>
            <w:tcW w:w="1268" w:type="pct"/>
          </w:tcPr>
          <w:p>
            <w:pPr>
              <w:pStyle w:val="181"/>
            </w:pPr>
            <w:r>
              <w:t>…</w:t>
            </w:r>
          </w:p>
        </w:tc>
        <w:tc>
          <w:tcPr>
            <w:tcW w:w="1268" w:type="pct"/>
            <w:shd w:val="clear" w:color="auto" w:fill="auto"/>
            <w:vAlign w:val="center"/>
          </w:tcPr>
          <w:p>
            <w:pPr>
              <w:pStyle w:val="181"/>
            </w:pPr>
            <w:r>
              <w:t>…</w:t>
            </w:r>
          </w:p>
        </w:tc>
      </w:tr>
    </w:tbl>
    <w:p>
      <w:pPr>
        <w:pStyle w:val="59"/>
        <w:ind w:firstLine="420"/>
      </w:pPr>
    </w:p>
    <w:p>
      <w:pPr>
        <w:pStyle w:val="168"/>
      </w:pPr>
      <w:r>
        <w:rPr>
          <w:rFonts w:hint="eastAsia"/>
        </w:rPr>
        <w:t>河道水域/岸线功能区宜按下列方法划分：</w:t>
      </w:r>
    </w:p>
    <w:p>
      <w:pPr>
        <w:pStyle w:val="177"/>
        <w:numPr>
          <w:ilvl w:val="0"/>
          <w:numId w:val="45"/>
        </w:numPr>
      </w:pPr>
      <w:r>
        <w:rPr>
          <w:rFonts w:hint="eastAsia"/>
        </w:rPr>
        <w:t>保护区划分方法如下：</w:t>
      </w:r>
    </w:p>
    <w:p>
      <w:pPr>
        <w:pStyle w:val="112"/>
      </w:pPr>
      <w:r>
        <w:rPr>
          <w:rFonts w:hint="eastAsia"/>
        </w:rPr>
        <w:t>河道水域范围内集中式饮用水水源地保护区（一级和二级）、供（清）水通道保护区、水利基础设施保护区、水产种质资源保护区等区域划为河道水域保护区；</w:t>
      </w:r>
    </w:p>
    <w:p>
      <w:pPr>
        <w:pStyle w:val="112"/>
      </w:pPr>
      <w:r>
        <w:rPr>
          <w:rFonts w:hint="eastAsia"/>
        </w:rPr>
        <w:t>河道岸线范围内的重要河势敏感区、集中式饮用水水源地保护区（一级和二级）、重要生态敏感区等区域划为河道岸线保护区。</w:t>
      </w:r>
    </w:p>
    <w:p>
      <w:pPr>
        <w:pStyle w:val="177"/>
      </w:pPr>
      <w:r>
        <w:rPr>
          <w:rFonts w:hint="eastAsia"/>
        </w:rPr>
        <w:t>保留区划分方法如下：</w:t>
      </w:r>
    </w:p>
    <w:p>
      <w:pPr>
        <w:pStyle w:val="112"/>
      </w:pPr>
      <w:r>
        <w:rPr>
          <w:rFonts w:hint="eastAsia"/>
        </w:rPr>
        <w:t>河道水域范围内集中式饮用水水源地准保护区、生态修复预留区等区域划为河道水域保留区；</w:t>
      </w:r>
    </w:p>
    <w:p>
      <w:pPr>
        <w:pStyle w:val="112"/>
      </w:pPr>
      <w:r>
        <w:rPr>
          <w:rFonts w:hint="eastAsia"/>
        </w:rPr>
        <w:t>河道岸线范围内集中式饮用水水源地准保护区、生态敏感区、水利基础设施预留区、生态建设预留区、暂不具备开发利用条件或规划期内暂无开发利用需求的岸段等区域划为河道岸线保留区。</w:t>
      </w:r>
    </w:p>
    <w:p>
      <w:pPr>
        <w:pStyle w:val="177"/>
      </w:pPr>
      <w:r>
        <w:rPr>
          <w:rFonts w:hint="eastAsia"/>
        </w:rPr>
        <w:t>控制利用区划分方法如下：</w:t>
      </w:r>
    </w:p>
    <w:p>
      <w:pPr>
        <w:pStyle w:val="112"/>
      </w:pPr>
      <w:r>
        <w:rPr>
          <w:rFonts w:hint="eastAsia"/>
        </w:rPr>
        <w:t>河道水域范围内航道、风景名胜区等区域划为河道水域控制利用区；</w:t>
      </w:r>
    </w:p>
    <w:p>
      <w:pPr>
        <w:pStyle w:val="112"/>
      </w:pPr>
      <w:r>
        <w:rPr>
          <w:rFonts w:hint="eastAsia"/>
        </w:rPr>
        <w:t>河道岸线范围内重要险工险段、</w:t>
      </w:r>
      <w:r>
        <w:rPr>
          <w:rFonts w:hint="eastAsia"/>
          <w:lang w:val="en-US" w:eastAsia="zh-CN"/>
        </w:rPr>
        <w:t>涉河重要基础设施</w:t>
      </w:r>
      <w:r>
        <w:rPr>
          <w:rFonts w:hint="eastAsia"/>
        </w:rPr>
        <w:t>、河势变化敏感区、水土流失严重区等区域划为河道岸线控制利用区。</w:t>
      </w:r>
    </w:p>
    <w:p>
      <w:pPr>
        <w:pStyle w:val="177"/>
      </w:pPr>
      <w:r>
        <w:rPr>
          <w:rFonts w:hint="eastAsia"/>
        </w:rPr>
        <w:t>经济社会发展需求较为迫切，对防洪安全、河势稳定、供水安全以及生态环境影响较小的区域划分开发利用区。</w:t>
      </w:r>
    </w:p>
    <w:p>
      <w:pPr>
        <w:pStyle w:val="168"/>
      </w:pPr>
      <w:r>
        <w:rPr>
          <w:rFonts w:hint="eastAsia"/>
        </w:rPr>
        <w:t>河道水域/岸线功能区保护与管控应符合下列要求：</w:t>
      </w:r>
    </w:p>
    <w:p>
      <w:pPr>
        <w:pStyle w:val="177"/>
        <w:numPr>
          <w:ilvl w:val="0"/>
          <w:numId w:val="46"/>
        </w:numPr>
      </w:pPr>
      <w:r>
        <w:rPr>
          <w:rFonts w:hint="eastAsia"/>
        </w:rPr>
        <w:t>根据河道水文情势、水沙状况、地形地质等条件，考虑上下游、左右岸区域经济社会发展需求，协调好各方面关系，明确保护目标；</w:t>
      </w:r>
    </w:p>
    <w:p>
      <w:pPr>
        <w:pStyle w:val="177"/>
        <w:numPr>
          <w:ilvl w:val="0"/>
          <w:numId w:val="46"/>
        </w:numPr>
      </w:pPr>
      <w:r>
        <w:rPr>
          <w:rFonts w:hint="eastAsia"/>
        </w:rPr>
        <w:t>根据相关法律法规要求，分别提出保护区、保留区、控制利用区和开发利用区的管控要求，强化河道水域/岸线保护；</w:t>
      </w:r>
    </w:p>
    <w:p>
      <w:pPr>
        <w:pStyle w:val="177"/>
        <w:numPr>
          <w:ilvl w:val="0"/>
          <w:numId w:val="46"/>
        </w:numPr>
      </w:pPr>
      <w:r>
        <w:rPr>
          <w:rFonts w:hint="eastAsia"/>
        </w:rPr>
        <w:t>按照河道水域/岸线保护目标和功能区管控要求，分析现状河道水域/岸线利用的合理性，对不符合功能区管控要求的利用项目，提出调整或清退的方案和意见。</w:t>
      </w:r>
    </w:p>
    <w:p>
      <w:pPr>
        <w:pStyle w:val="108"/>
        <w:spacing w:before="156" w:after="156"/>
      </w:pPr>
      <w:bookmarkStart w:id="303" w:name="_Toc157261285"/>
      <w:bookmarkStart w:id="304" w:name="_Toc136477924"/>
      <w:bookmarkStart w:id="305" w:name="_Toc152913635"/>
      <w:bookmarkStart w:id="306" w:name="_Toc138070419"/>
      <w:bookmarkStart w:id="307" w:name="_Toc148353496"/>
      <w:bookmarkStart w:id="308" w:name="_Toc136477827"/>
      <w:bookmarkStart w:id="309" w:name="_Toc154491977"/>
      <w:bookmarkStart w:id="310" w:name="_Toc154582314"/>
      <w:bookmarkStart w:id="311" w:name="_Toc138032600"/>
      <w:bookmarkStart w:id="312" w:name="_Toc154585920"/>
      <w:bookmarkStart w:id="313" w:name="_Toc154654475"/>
      <w:r>
        <w:rPr>
          <w:rFonts w:hint="eastAsia"/>
        </w:rPr>
        <w:t>航运功能保护</w:t>
      </w:r>
      <w:bookmarkEnd w:id="303"/>
      <w:bookmarkEnd w:id="304"/>
      <w:bookmarkEnd w:id="305"/>
      <w:bookmarkEnd w:id="306"/>
      <w:bookmarkEnd w:id="307"/>
      <w:bookmarkEnd w:id="308"/>
      <w:bookmarkEnd w:id="309"/>
      <w:bookmarkEnd w:id="310"/>
      <w:bookmarkEnd w:id="311"/>
      <w:bookmarkEnd w:id="312"/>
      <w:bookmarkEnd w:id="313"/>
    </w:p>
    <w:p>
      <w:pPr>
        <w:pStyle w:val="168"/>
      </w:pPr>
      <w:r>
        <w:rPr>
          <w:rFonts w:hint="eastAsia"/>
        </w:rPr>
        <w:t>应明确航道保护与治理要求。</w:t>
      </w:r>
    </w:p>
    <w:p>
      <w:pPr>
        <w:pStyle w:val="168"/>
      </w:pPr>
      <w:r>
        <w:rPr>
          <w:rFonts w:hint="eastAsia"/>
        </w:rPr>
        <w:t>应</w:t>
      </w:r>
      <w:r>
        <w:rPr>
          <w:rFonts w:hint="eastAsia"/>
          <w:lang w:val="en-US" w:eastAsia="zh-CN"/>
        </w:rPr>
        <w:t>根据河道的</w:t>
      </w:r>
      <w:r>
        <w:rPr>
          <w:rFonts w:hint="eastAsia"/>
        </w:rPr>
        <w:t>航道等级、航道保护范围，明确航道保护要求及禁止行为，明确拦河、跨越、穿越航道建筑物（构筑物）的建设要求。</w:t>
      </w:r>
    </w:p>
    <w:p>
      <w:pPr>
        <w:pStyle w:val="168"/>
      </w:pPr>
      <w:r>
        <w:rPr>
          <w:rFonts w:hint="eastAsia"/>
        </w:rPr>
        <w:t>应分析航道现状及存在问题，考虑航道整治、运行管理与防洪、供水及水生态保护要求的适应性，提出航道整治与管理、通航建筑物建设等要求。</w:t>
      </w:r>
    </w:p>
    <w:p>
      <w:pPr>
        <w:pStyle w:val="108"/>
        <w:spacing w:before="156" w:after="156"/>
      </w:pPr>
      <w:bookmarkStart w:id="314" w:name="_Toc148353497"/>
      <w:bookmarkStart w:id="315" w:name="_Toc154654476"/>
      <w:bookmarkStart w:id="316" w:name="_Toc152913636"/>
      <w:bookmarkStart w:id="317" w:name="_Toc136477925"/>
      <w:bookmarkStart w:id="318" w:name="_Toc157261286"/>
      <w:bookmarkStart w:id="319" w:name="_Toc138070420"/>
      <w:bookmarkStart w:id="320" w:name="_Toc154491978"/>
      <w:bookmarkStart w:id="321" w:name="_Toc154582315"/>
      <w:bookmarkStart w:id="322" w:name="_Toc154585921"/>
      <w:bookmarkStart w:id="323" w:name="_Toc136477828"/>
      <w:bookmarkStart w:id="324" w:name="_Toc138032601"/>
      <w:r>
        <w:rPr>
          <w:rFonts w:hint="eastAsia"/>
        </w:rPr>
        <w:t>水文化与水景观保护</w:t>
      </w:r>
      <w:bookmarkEnd w:id="314"/>
      <w:bookmarkEnd w:id="315"/>
      <w:bookmarkEnd w:id="316"/>
      <w:bookmarkEnd w:id="317"/>
      <w:bookmarkEnd w:id="318"/>
      <w:bookmarkEnd w:id="319"/>
      <w:bookmarkEnd w:id="320"/>
      <w:bookmarkEnd w:id="321"/>
      <w:bookmarkEnd w:id="322"/>
      <w:bookmarkEnd w:id="323"/>
      <w:bookmarkEnd w:id="324"/>
    </w:p>
    <w:p>
      <w:pPr>
        <w:pStyle w:val="168"/>
      </w:pPr>
      <w:r>
        <w:rPr>
          <w:rFonts w:hint="eastAsia"/>
        </w:rPr>
        <w:t>水文化与水景观保护应与河道的防洪、供水、生态及航运保护要求相适应。</w:t>
      </w:r>
    </w:p>
    <w:p>
      <w:pPr>
        <w:pStyle w:val="168"/>
      </w:pPr>
      <w:bookmarkStart w:id="325" w:name="_Toc132891949"/>
      <w:bookmarkStart w:id="326" w:name="_Toc124509003"/>
      <w:bookmarkStart w:id="327" w:name="_Toc132838752"/>
      <w:bookmarkStart w:id="328" w:name="_Toc133422406"/>
      <w:bookmarkStart w:id="329" w:name="_Toc132902462"/>
      <w:bookmarkStart w:id="330" w:name="_Toc124863800"/>
      <w:bookmarkStart w:id="331" w:name="_Toc126149731"/>
      <w:bookmarkStart w:id="332" w:name="_Toc126072901"/>
      <w:bookmarkStart w:id="333" w:name="_Toc133423124"/>
      <w:bookmarkStart w:id="334" w:name="_Toc124511037"/>
      <w:bookmarkStart w:id="335" w:name="_Toc134177868"/>
      <w:r>
        <w:rPr>
          <w:rFonts w:hint="eastAsia"/>
        </w:rPr>
        <w:t>水文化保护</w:t>
      </w:r>
      <w:bookmarkEnd w:id="325"/>
      <w:bookmarkEnd w:id="326"/>
      <w:bookmarkEnd w:id="327"/>
      <w:bookmarkEnd w:id="328"/>
      <w:bookmarkEnd w:id="329"/>
      <w:bookmarkEnd w:id="330"/>
      <w:bookmarkEnd w:id="331"/>
      <w:bookmarkEnd w:id="332"/>
      <w:bookmarkEnd w:id="333"/>
      <w:bookmarkEnd w:id="334"/>
      <w:bookmarkEnd w:id="335"/>
      <w:r>
        <w:rPr>
          <w:rFonts w:hint="eastAsia"/>
        </w:rPr>
        <w:t>应符合下列要求：</w:t>
      </w:r>
    </w:p>
    <w:p>
      <w:pPr>
        <w:pStyle w:val="177"/>
        <w:numPr>
          <w:ilvl w:val="0"/>
          <w:numId w:val="47"/>
        </w:numPr>
      </w:pPr>
      <w:r>
        <w:rPr>
          <w:rFonts w:hint="eastAsia"/>
        </w:rPr>
        <w:t>根据水文化保护的目标，提出水文化保护的内容和要求；</w:t>
      </w:r>
    </w:p>
    <w:p>
      <w:pPr>
        <w:pStyle w:val="177"/>
      </w:pPr>
      <w:r>
        <w:rPr>
          <w:rFonts w:hint="eastAsia"/>
        </w:rPr>
        <w:t>根据河道相关的治水历史、历史水利工程遗址及相应的文化文献和遗存情况，挖掘水文化内涵；</w:t>
      </w:r>
    </w:p>
    <w:p>
      <w:pPr>
        <w:pStyle w:val="177"/>
      </w:pPr>
      <w:r>
        <w:rPr>
          <w:rFonts w:hint="eastAsia"/>
        </w:rPr>
        <w:t>依据</w:t>
      </w:r>
      <w:r>
        <w:rPr>
          <w:rFonts w:hint="eastAsia"/>
          <w:lang w:val="en-US" w:eastAsia="zh-CN"/>
        </w:rPr>
        <w:t>河道及水工建筑物</w:t>
      </w:r>
      <w:r>
        <w:rPr>
          <w:rFonts w:hint="eastAsia"/>
        </w:rPr>
        <w:t>特点，提升文化特征；</w:t>
      </w:r>
      <w:r>
        <w:t xml:space="preserve"> </w:t>
      </w:r>
    </w:p>
    <w:p>
      <w:pPr>
        <w:pStyle w:val="177"/>
      </w:pPr>
      <w:r>
        <w:rPr>
          <w:rFonts w:hint="eastAsia"/>
        </w:rPr>
        <w:t>明确河道水利风景区、水情教育基地等水文化载体的建设要求。</w:t>
      </w:r>
    </w:p>
    <w:p>
      <w:pPr>
        <w:pStyle w:val="168"/>
      </w:pPr>
      <w:bookmarkStart w:id="336" w:name="_Toc133422407"/>
      <w:bookmarkStart w:id="337" w:name="_Toc126149732"/>
      <w:bookmarkStart w:id="338" w:name="_Toc132891950"/>
      <w:bookmarkStart w:id="339" w:name="_Toc134177869"/>
      <w:bookmarkStart w:id="340" w:name="_Toc132838753"/>
      <w:bookmarkStart w:id="341" w:name="_Toc133423125"/>
      <w:bookmarkStart w:id="342" w:name="_Toc132902463"/>
      <w:bookmarkStart w:id="343" w:name="_Toc124509004"/>
      <w:bookmarkStart w:id="344" w:name="_Toc126072902"/>
      <w:bookmarkStart w:id="345" w:name="_Toc124863801"/>
      <w:bookmarkStart w:id="346" w:name="_Toc124511038"/>
      <w:r>
        <w:rPr>
          <w:rFonts w:hint="eastAsia"/>
        </w:rPr>
        <w:t>水景观建设与保护</w:t>
      </w:r>
      <w:bookmarkEnd w:id="336"/>
      <w:bookmarkEnd w:id="337"/>
      <w:bookmarkEnd w:id="338"/>
      <w:bookmarkEnd w:id="339"/>
      <w:bookmarkEnd w:id="340"/>
      <w:bookmarkEnd w:id="341"/>
      <w:bookmarkEnd w:id="342"/>
      <w:bookmarkEnd w:id="343"/>
      <w:bookmarkEnd w:id="344"/>
      <w:bookmarkEnd w:id="345"/>
      <w:bookmarkEnd w:id="346"/>
      <w:r>
        <w:rPr>
          <w:rFonts w:hint="eastAsia"/>
        </w:rPr>
        <w:t>符合下列要求：</w:t>
      </w:r>
      <w:r>
        <w:t xml:space="preserve"> </w:t>
      </w:r>
    </w:p>
    <w:p>
      <w:pPr>
        <w:pStyle w:val="177"/>
        <w:numPr>
          <w:ilvl w:val="0"/>
          <w:numId w:val="48"/>
        </w:numPr>
      </w:pPr>
      <w:r>
        <w:rPr>
          <w:rFonts w:hint="eastAsia"/>
        </w:rPr>
        <w:t>宜提出河道水景观建设与保护的内容和要求；</w:t>
      </w:r>
    </w:p>
    <w:p>
      <w:pPr>
        <w:pStyle w:val="177"/>
      </w:pPr>
      <w:r>
        <w:rPr>
          <w:rFonts w:hint="eastAsia"/>
        </w:rPr>
        <w:t>水景观建设不应影响河道的防洪、供水、生态等功能；</w:t>
      </w:r>
    </w:p>
    <w:p>
      <w:pPr>
        <w:pStyle w:val="177"/>
      </w:pPr>
      <w:r>
        <w:rPr>
          <w:rFonts w:hint="eastAsia"/>
        </w:rPr>
        <w:t>河道保护规划范围内涉水工程规划设计宜考虑水景观的保护需求。</w:t>
      </w:r>
    </w:p>
    <w:p>
      <w:pPr>
        <w:pStyle w:val="108"/>
        <w:spacing w:before="156" w:after="156"/>
      </w:pPr>
      <w:bookmarkStart w:id="347" w:name="_Toc133422408"/>
      <w:bookmarkStart w:id="348" w:name="_Toc138070421"/>
      <w:bookmarkStart w:id="349" w:name="_Toc132838754"/>
      <w:bookmarkStart w:id="350" w:name="_Toc154654477"/>
      <w:bookmarkStart w:id="351" w:name="_Toc154491979"/>
      <w:bookmarkStart w:id="352" w:name="_Toc154585922"/>
      <w:bookmarkStart w:id="353" w:name="_Toc134177870"/>
      <w:bookmarkStart w:id="354" w:name="_Toc132891951"/>
      <w:bookmarkStart w:id="355" w:name="_Toc138032602"/>
      <w:bookmarkStart w:id="356" w:name="_Toc133423126"/>
      <w:bookmarkStart w:id="357" w:name="_Toc154582316"/>
      <w:bookmarkStart w:id="358" w:name="_Toc152913637"/>
      <w:bookmarkStart w:id="359" w:name="_Toc132902464"/>
      <w:bookmarkStart w:id="360" w:name="_Toc136477926"/>
      <w:bookmarkStart w:id="361" w:name="_Toc136477829"/>
      <w:bookmarkStart w:id="362" w:name="_Toc148353498"/>
      <w:bookmarkStart w:id="363" w:name="_Toc157261287"/>
      <w:r>
        <w:rPr>
          <w:rFonts w:hint="eastAsia"/>
          <w:lang w:val="en-US" w:eastAsia="zh-CN"/>
        </w:rPr>
        <w:t>涉河</w:t>
      </w:r>
      <w:r>
        <w:rPr>
          <w:rFonts w:hint="eastAsia"/>
        </w:rPr>
        <w:t>重要基础设施保护</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pStyle w:val="168"/>
      </w:pPr>
      <w:r>
        <w:rPr>
          <w:rFonts w:hint="eastAsia"/>
          <w:lang w:val="en-US" w:eastAsia="zh-CN"/>
        </w:rPr>
        <w:t>涉河</w:t>
      </w:r>
      <w:r>
        <w:rPr>
          <w:rFonts w:hint="eastAsia"/>
        </w:rPr>
        <w:t>重要基础设施应按照相应的法律法规和规范要求，明确相应保护方案及措施。</w:t>
      </w:r>
    </w:p>
    <w:p>
      <w:pPr>
        <w:pStyle w:val="168"/>
      </w:pPr>
      <w:bookmarkStart w:id="364" w:name="_Toc122480194"/>
      <w:bookmarkStart w:id="365" w:name="_Toc122522346"/>
      <w:bookmarkStart w:id="366" w:name="_Toc124511041"/>
      <w:bookmarkStart w:id="367" w:name="_Toc126072905"/>
      <w:bookmarkStart w:id="368" w:name="_Toc124509010"/>
      <w:bookmarkStart w:id="369" w:name="_Toc124863804"/>
      <w:bookmarkStart w:id="370" w:name="_Toc124324774"/>
      <w:bookmarkStart w:id="371" w:name="_Toc122443406"/>
      <w:bookmarkStart w:id="372" w:name="_Toc126149735"/>
      <w:bookmarkStart w:id="373" w:name="_Toc132838756"/>
      <w:bookmarkStart w:id="374" w:name="_Toc134177872"/>
      <w:bookmarkStart w:id="375" w:name="_Toc132902466"/>
      <w:bookmarkStart w:id="376" w:name="_Toc133422410"/>
      <w:bookmarkStart w:id="377" w:name="_Toc132891953"/>
      <w:bookmarkStart w:id="378" w:name="_Toc133423128"/>
      <w:r>
        <w:rPr>
          <w:rFonts w:hint="eastAsia"/>
        </w:rPr>
        <w:t>水利</w:t>
      </w:r>
      <w:bookmarkEnd w:id="364"/>
      <w:bookmarkEnd w:id="365"/>
      <w:bookmarkEnd w:id="366"/>
      <w:bookmarkEnd w:id="367"/>
      <w:bookmarkEnd w:id="368"/>
      <w:bookmarkEnd w:id="369"/>
      <w:bookmarkEnd w:id="370"/>
      <w:bookmarkEnd w:id="371"/>
      <w:bookmarkEnd w:id="372"/>
      <w:r>
        <w:rPr>
          <w:rFonts w:hint="eastAsia"/>
        </w:rPr>
        <w:t>重要基础设施</w:t>
      </w:r>
      <w:bookmarkEnd w:id="373"/>
      <w:bookmarkEnd w:id="374"/>
      <w:bookmarkEnd w:id="375"/>
      <w:bookmarkEnd w:id="376"/>
      <w:bookmarkEnd w:id="377"/>
      <w:bookmarkEnd w:id="378"/>
      <w:r>
        <w:rPr>
          <w:rFonts w:hint="eastAsia"/>
        </w:rPr>
        <w:t>的保护应符合下列要求：</w:t>
      </w:r>
    </w:p>
    <w:p>
      <w:pPr>
        <w:pStyle w:val="177"/>
        <w:numPr>
          <w:ilvl w:val="0"/>
          <w:numId w:val="49"/>
        </w:numPr>
      </w:pPr>
      <w:r>
        <w:rPr>
          <w:rFonts w:hint="eastAsia"/>
        </w:rPr>
        <w:t>明确管理范围和保护要求；</w:t>
      </w:r>
    </w:p>
    <w:p>
      <w:pPr>
        <w:pStyle w:val="177"/>
        <w:numPr>
          <w:ilvl w:val="0"/>
          <w:numId w:val="49"/>
        </w:numPr>
      </w:pPr>
      <w:bookmarkStart w:id="379" w:name="_Toc124511042"/>
      <w:bookmarkStart w:id="380" w:name="_Toc124324775"/>
      <w:bookmarkStart w:id="381" w:name="_Toc122522347"/>
      <w:bookmarkStart w:id="382" w:name="_Toc124509011"/>
      <w:bookmarkStart w:id="383" w:name="_Toc122443407"/>
      <w:bookmarkStart w:id="384" w:name="_Toc124863805"/>
      <w:bookmarkStart w:id="385" w:name="_Toc122480195"/>
      <w:r>
        <w:rPr>
          <w:rFonts w:hint="eastAsia"/>
        </w:rPr>
        <w:t>明确安全警戒区，并设立标志；</w:t>
      </w:r>
    </w:p>
    <w:p>
      <w:pPr>
        <w:pStyle w:val="177"/>
        <w:numPr>
          <w:ilvl w:val="0"/>
          <w:numId w:val="49"/>
        </w:numPr>
      </w:pPr>
      <w:r>
        <w:rPr>
          <w:rFonts w:hint="eastAsia"/>
        </w:rPr>
        <w:t>明确监测和管护等要求。</w:t>
      </w:r>
    </w:p>
    <w:p>
      <w:pPr>
        <w:pStyle w:val="168"/>
      </w:pPr>
      <w:bookmarkStart w:id="386" w:name="_Toc126072906"/>
      <w:bookmarkStart w:id="387" w:name="_Toc126149736"/>
      <w:bookmarkStart w:id="388" w:name="_Toc132838757"/>
      <w:bookmarkStart w:id="389" w:name="_Toc132891954"/>
      <w:bookmarkStart w:id="390" w:name="_Toc134177873"/>
      <w:bookmarkStart w:id="391" w:name="_Toc133423129"/>
      <w:bookmarkStart w:id="392" w:name="_Toc132902467"/>
      <w:bookmarkStart w:id="393" w:name="_Toc133422411"/>
      <w:r>
        <w:rPr>
          <w:rFonts w:hint="eastAsia"/>
        </w:rPr>
        <w:t>其他涉</w:t>
      </w:r>
      <w:bookmarkEnd w:id="379"/>
      <w:bookmarkEnd w:id="380"/>
      <w:bookmarkEnd w:id="381"/>
      <w:bookmarkEnd w:id="382"/>
      <w:bookmarkEnd w:id="383"/>
      <w:bookmarkEnd w:id="384"/>
      <w:bookmarkEnd w:id="385"/>
      <w:bookmarkEnd w:id="386"/>
      <w:bookmarkEnd w:id="387"/>
      <w:r>
        <w:rPr>
          <w:rFonts w:hint="eastAsia"/>
          <w:lang w:val="en-US" w:eastAsia="zh-CN"/>
        </w:rPr>
        <w:t>河</w:t>
      </w:r>
      <w:r>
        <w:rPr>
          <w:rFonts w:hint="eastAsia"/>
        </w:rPr>
        <w:t>重要基础设施</w:t>
      </w:r>
      <w:bookmarkEnd w:id="388"/>
      <w:bookmarkEnd w:id="389"/>
      <w:bookmarkEnd w:id="390"/>
      <w:bookmarkEnd w:id="391"/>
      <w:bookmarkEnd w:id="392"/>
      <w:bookmarkEnd w:id="393"/>
      <w:r>
        <w:rPr>
          <w:rFonts w:hint="eastAsia"/>
        </w:rPr>
        <w:t>的保护应符合下列要求：</w:t>
      </w:r>
    </w:p>
    <w:p>
      <w:pPr>
        <w:pStyle w:val="177"/>
        <w:numPr>
          <w:ilvl w:val="0"/>
          <w:numId w:val="50"/>
        </w:numPr>
      </w:pPr>
      <w:r>
        <w:rPr>
          <w:rFonts w:hint="eastAsia"/>
        </w:rPr>
        <w:t>分析工程设施对防洪、治涝、供水及航运的影响，明确管理和保护要求；</w:t>
      </w:r>
    </w:p>
    <w:p>
      <w:pPr>
        <w:pStyle w:val="177"/>
        <w:numPr>
          <w:ilvl w:val="0"/>
          <w:numId w:val="50"/>
        </w:numPr>
      </w:pPr>
      <w:r>
        <w:rPr>
          <w:rFonts w:hint="eastAsia"/>
        </w:rPr>
        <w:t>按照有关法律法规和规范要求，提出交通运输、通信、能源等其他基础设施管控要求。</w:t>
      </w:r>
    </w:p>
    <w:p>
      <w:pPr>
        <w:pStyle w:val="108"/>
        <w:spacing w:before="156" w:after="156"/>
      </w:pPr>
      <w:bookmarkStart w:id="394" w:name="_Toc126149737"/>
      <w:bookmarkStart w:id="395" w:name="_Toc133423130"/>
      <w:bookmarkStart w:id="396" w:name="_Toc148353499"/>
      <w:bookmarkStart w:id="397" w:name="_Toc154585923"/>
      <w:bookmarkStart w:id="398" w:name="_Toc136477830"/>
      <w:bookmarkStart w:id="399" w:name="_Toc132902468"/>
      <w:bookmarkStart w:id="400" w:name="_Toc157261288"/>
      <w:bookmarkStart w:id="401" w:name="_Toc134177874"/>
      <w:bookmarkStart w:id="402" w:name="_Toc154582317"/>
      <w:bookmarkStart w:id="403" w:name="_Toc132891955"/>
      <w:bookmarkStart w:id="404" w:name="_Toc133422412"/>
      <w:bookmarkStart w:id="405" w:name="_Toc136477927"/>
      <w:bookmarkStart w:id="406" w:name="_Toc126072907"/>
      <w:bookmarkStart w:id="407" w:name="_Toc154654478"/>
      <w:bookmarkStart w:id="408" w:name="_Toc154491980"/>
      <w:bookmarkStart w:id="409" w:name="_Toc152913638"/>
      <w:bookmarkStart w:id="410" w:name="_Toc138032603"/>
      <w:bookmarkStart w:id="411" w:name="_Toc138070422"/>
      <w:bookmarkStart w:id="412" w:name="_Toc132838758"/>
      <w:r>
        <w:rPr>
          <w:rFonts w:hint="eastAsia"/>
        </w:rPr>
        <w:t>洲滩保护</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pPr>
        <w:pStyle w:val="168"/>
      </w:pPr>
      <w:r>
        <w:rPr>
          <w:rFonts w:hint="eastAsia"/>
        </w:rPr>
        <w:t>应根据河道保护目标，分析洲滩现状、防洪需求及影响，明确洲滩分类。</w:t>
      </w:r>
    </w:p>
    <w:p>
      <w:pPr>
        <w:pStyle w:val="168"/>
      </w:pPr>
      <w:r>
        <w:rPr>
          <w:rFonts w:hint="eastAsia"/>
        </w:rPr>
        <w:t>可根据洲滩类型，明确管控目标和要求，提出相应治理保护和管理措施。</w:t>
      </w:r>
    </w:p>
    <w:p>
      <w:pPr>
        <w:pStyle w:val="108"/>
        <w:spacing w:before="156" w:after="156"/>
      </w:pPr>
      <w:bookmarkStart w:id="413" w:name="_Toc133423131"/>
      <w:bookmarkStart w:id="414" w:name="_Toc132902469"/>
      <w:bookmarkStart w:id="415" w:name="_Toc138070453"/>
      <w:bookmarkStart w:id="416" w:name="_Toc136944755"/>
      <w:bookmarkStart w:id="417" w:name="_Toc132838759"/>
      <w:bookmarkStart w:id="418" w:name="_Toc124863810"/>
      <w:bookmarkStart w:id="419" w:name="_Toc148353500"/>
      <w:bookmarkStart w:id="420" w:name="_Toc143079338"/>
      <w:bookmarkStart w:id="421" w:name="_Toc154585924"/>
      <w:bookmarkStart w:id="422" w:name="_Toc154582318"/>
      <w:bookmarkStart w:id="423" w:name="_Toc157261289"/>
      <w:bookmarkStart w:id="424" w:name="_Toc138032604"/>
      <w:bookmarkStart w:id="425" w:name="_Toc126072910"/>
      <w:bookmarkStart w:id="426" w:name="_Toc138070423"/>
      <w:bookmarkStart w:id="427" w:name="_Toc154654479"/>
      <w:bookmarkStart w:id="428" w:name="_Toc141450773"/>
      <w:bookmarkStart w:id="429" w:name="_Toc154491981"/>
      <w:bookmarkStart w:id="430" w:name="_Toc126149740"/>
      <w:bookmarkStart w:id="431" w:name="_Toc141951827"/>
      <w:bookmarkStart w:id="432" w:name="_Toc152913639"/>
      <w:bookmarkStart w:id="433" w:name="_Toc124511047"/>
      <w:bookmarkStart w:id="434" w:name="_Toc133422413"/>
      <w:bookmarkStart w:id="435" w:name="_Toc136477928"/>
      <w:bookmarkStart w:id="436" w:name="_Toc132891956"/>
      <w:bookmarkStart w:id="437" w:name="_Toc134177875"/>
      <w:bookmarkStart w:id="438" w:name="_Toc124509020"/>
      <w:bookmarkStart w:id="439" w:name="_Toc136477831"/>
      <w:r>
        <w:rPr>
          <w:rFonts w:hint="eastAsia"/>
        </w:rPr>
        <w:t>河道利用管控</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pPr>
        <w:pStyle w:val="68"/>
        <w:spacing w:before="156" w:after="156"/>
      </w:pPr>
      <w:r>
        <w:rPr>
          <w:rFonts w:hint="eastAsia"/>
        </w:rPr>
        <w:t>一般规定</w:t>
      </w:r>
    </w:p>
    <w:p>
      <w:pPr>
        <w:pStyle w:val="59"/>
        <w:ind w:firstLine="420"/>
      </w:pPr>
      <w:r>
        <w:rPr>
          <w:rFonts w:hint="eastAsia"/>
        </w:rPr>
        <w:t>应按照相关专项规划、河道功能定位、河道水域/岸线功能区划等对养殖、旅游、采砂等各类行为提出管控意见。</w:t>
      </w:r>
    </w:p>
    <w:p>
      <w:pPr>
        <w:pStyle w:val="68"/>
        <w:spacing w:before="156" w:after="156"/>
      </w:pPr>
      <w:bookmarkStart w:id="440" w:name="_Toc132838761"/>
      <w:bookmarkStart w:id="441" w:name="_Toc132891958"/>
      <w:bookmarkStart w:id="442" w:name="_Toc126072912"/>
      <w:bookmarkStart w:id="443" w:name="_Toc124509022"/>
      <w:bookmarkStart w:id="444" w:name="_Toc124863812"/>
      <w:bookmarkStart w:id="445" w:name="_Toc126149742"/>
      <w:bookmarkStart w:id="446" w:name="_Toc124511049"/>
      <w:bookmarkStart w:id="447" w:name="_Toc133423133"/>
      <w:bookmarkStart w:id="448" w:name="_Toc134177877"/>
      <w:bookmarkStart w:id="449" w:name="_Toc136477929"/>
      <w:bookmarkStart w:id="450" w:name="_Toc133422415"/>
      <w:bookmarkStart w:id="451" w:name="_Toc138032606"/>
      <w:bookmarkStart w:id="452" w:name="_Toc138070425"/>
      <w:bookmarkStart w:id="453" w:name="_Toc132902471"/>
      <w:bookmarkStart w:id="454" w:name="_Toc136477832"/>
      <w:r>
        <w:rPr>
          <w:rFonts w:hint="eastAsia"/>
        </w:rPr>
        <w:t>养殖</w:t>
      </w:r>
      <w:bookmarkEnd w:id="440"/>
      <w:bookmarkEnd w:id="441"/>
      <w:bookmarkEnd w:id="442"/>
      <w:bookmarkEnd w:id="443"/>
      <w:bookmarkEnd w:id="444"/>
      <w:bookmarkEnd w:id="445"/>
      <w:bookmarkEnd w:id="446"/>
      <w:r>
        <w:rPr>
          <w:rFonts w:hint="eastAsia"/>
        </w:rPr>
        <w:t>开发</w:t>
      </w:r>
      <w:bookmarkEnd w:id="447"/>
      <w:bookmarkEnd w:id="448"/>
      <w:bookmarkEnd w:id="449"/>
      <w:bookmarkEnd w:id="450"/>
      <w:bookmarkEnd w:id="451"/>
      <w:bookmarkEnd w:id="452"/>
      <w:bookmarkEnd w:id="453"/>
      <w:bookmarkEnd w:id="454"/>
    </w:p>
    <w:p>
      <w:pPr>
        <w:pStyle w:val="167"/>
      </w:pPr>
      <w:r>
        <w:rPr>
          <w:rFonts w:hint="eastAsia"/>
        </w:rPr>
        <w:t>对河道内养殖生产行为提出总体约束性要求。</w:t>
      </w:r>
    </w:p>
    <w:p>
      <w:pPr>
        <w:pStyle w:val="167"/>
      </w:pPr>
      <w:r>
        <w:rPr>
          <w:rFonts w:hint="eastAsia"/>
        </w:rPr>
        <w:t>根据养殖类利用规划，明确可用于养殖的河道水域和滩涂的位置范围，提出服从公益性功能安排的意见。</w:t>
      </w:r>
    </w:p>
    <w:p>
      <w:pPr>
        <w:pStyle w:val="167"/>
      </w:pPr>
      <w:r>
        <w:rPr>
          <w:rFonts w:hint="eastAsia"/>
        </w:rPr>
        <w:t>提出保护和改善养殖河道水域水质及生态的意见。</w:t>
      </w:r>
    </w:p>
    <w:p>
      <w:pPr>
        <w:pStyle w:val="68"/>
        <w:spacing w:before="156" w:after="156"/>
      </w:pPr>
      <w:bookmarkStart w:id="455" w:name="_Toc138032607"/>
      <w:bookmarkStart w:id="456" w:name="_Toc132838762"/>
      <w:bookmarkStart w:id="457" w:name="_Toc133422416"/>
      <w:bookmarkStart w:id="458" w:name="_Toc132902472"/>
      <w:bookmarkStart w:id="459" w:name="_Toc132891959"/>
      <w:bookmarkStart w:id="460" w:name="_Toc133423134"/>
      <w:bookmarkStart w:id="461" w:name="_Toc134177878"/>
      <w:bookmarkStart w:id="462" w:name="_Toc136477833"/>
      <w:bookmarkStart w:id="463" w:name="_Toc126149743"/>
      <w:bookmarkStart w:id="464" w:name="_Toc138070426"/>
      <w:bookmarkStart w:id="465" w:name="_Toc136477930"/>
      <w:r>
        <w:rPr>
          <w:rFonts w:hint="eastAsia"/>
        </w:rPr>
        <w:t>旅游发展</w:t>
      </w:r>
      <w:bookmarkEnd w:id="455"/>
      <w:bookmarkEnd w:id="456"/>
      <w:bookmarkEnd w:id="457"/>
      <w:bookmarkEnd w:id="458"/>
      <w:bookmarkEnd w:id="459"/>
      <w:bookmarkEnd w:id="460"/>
      <w:bookmarkEnd w:id="461"/>
      <w:bookmarkEnd w:id="462"/>
      <w:bookmarkEnd w:id="463"/>
      <w:bookmarkEnd w:id="464"/>
      <w:bookmarkEnd w:id="465"/>
    </w:p>
    <w:p>
      <w:pPr>
        <w:pStyle w:val="167"/>
      </w:pPr>
      <w:r>
        <w:rPr>
          <w:rFonts w:hint="eastAsia"/>
        </w:rPr>
        <w:t>对涉及河道的旅游规划与开发提出总体约束性要求。</w:t>
      </w:r>
    </w:p>
    <w:p>
      <w:pPr>
        <w:pStyle w:val="167"/>
      </w:pPr>
      <w:r>
        <w:rPr>
          <w:rFonts w:hint="eastAsia"/>
        </w:rPr>
        <w:t>明确旅游项目内水利基础设施的保护性要求。</w:t>
      </w:r>
    </w:p>
    <w:p>
      <w:pPr>
        <w:pStyle w:val="167"/>
      </w:pPr>
      <w:r>
        <w:rPr>
          <w:rFonts w:hint="eastAsia"/>
        </w:rPr>
        <w:t>对旅游建设项目涉及岸线建设、水系连通、水质保护等方面提出控制性要求。</w:t>
      </w:r>
    </w:p>
    <w:p>
      <w:pPr>
        <w:pStyle w:val="68"/>
        <w:spacing w:before="156" w:after="156"/>
      </w:pPr>
      <w:bookmarkStart w:id="466" w:name="_Toc132838763"/>
      <w:bookmarkStart w:id="467" w:name="_Toc138032608"/>
      <w:bookmarkStart w:id="468" w:name="_Toc132891960"/>
      <w:bookmarkStart w:id="469" w:name="_Toc132902473"/>
      <w:bookmarkStart w:id="470" w:name="_Toc138070427"/>
      <w:bookmarkStart w:id="471" w:name="_Toc136477931"/>
      <w:bookmarkStart w:id="472" w:name="_Toc126072914"/>
      <w:bookmarkStart w:id="473" w:name="_Toc133422417"/>
      <w:bookmarkStart w:id="474" w:name="_Toc126149744"/>
      <w:bookmarkStart w:id="475" w:name="_Toc136477834"/>
      <w:bookmarkStart w:id="476" w:name="_Toc134177879"/>
      <w:bookmarkStart w:id="477" w:name="_Toc133423135"/>
      <w:r>
        <w:rPr>
          <w:rFonts w:hint="eastAsia"/>
        </w:rPr>
        <w:t>采砂</w:t>
      </w:r>
      <w:bookmarkEnd w:id="466"/>
      <w:bookmarkEnd w:id="467"/>
      <w:bookmarkEnd w:id="468"/>
      <w:bookmarkEnd w:id="469"/>
      <w:bookmarkEnd w:id="470"/>
      <w:bookmarkEnd w:id="471"/>
      <w:bookmarkEnd w:id="472"/>
      <w:bookmarkEnd w:id="473"/>
      <w:bookmarkEnd w:id="474"/>
      <w:bookmarkEnd w:id="475"/>
      <w:bookmarkEnd w:id="476"/>
      <w:bookmarkEnd w:id="477"/>
      <w:r>
        <w:rPr>
          <w:rFonts w:hint="eastAsia"/>
        </w:rPr>
        <w:t>取土</w:t>
      </w:r>
    </w:p>
    <w:p>
      <w:pPr>
        <w:pStyle w:val="167"/>
      </w:pPr>
      <w:r>
        <w:rPr>
          <w:rFonts w:hint="eastAsia"/>
        </w:rPr>
        <w:t>应提出采砂取土的范围和条件，明确许可、执法、日常管理等要求；</w:t>
      </w:r>
    </w:p>
    <w:p>
      <w:pPr>
        <w:pStyle w:val="167"/>
      </w:pPr>
      <w:bookmarkStart w:id="478" w:name="_Hlk141950322"/>
      <w:r>
        <w:rPr>
          <w:rFonts w:hint="eastAsia"/>
        </w:rPr>
        <w:t>宜符合SL 423的规定。</w:t>
      </w:r>
    </w:p>
    <w:bookmarkEnd w:id="478"/>
    <w:p>
      <w:pPr>
        <w:pStyle w:val="108"/>
        <w:spacing w:before="156" w:after="156"/>
      </w:pPr>
      <w:bookmarkStart w:id="479" w:name="_Toc138032610"/>
      <w:bookmarkStart w:id="480" w:name="_Toc154491982"/>
      <w:bookmarkStart w:id="481" w:name="_Toc152913640"/>
      <w:bookmarkStart w:id="482" w:name="_Toc138070429"/>
      <w:bookmarkStart w:id="483" w:name="_Toc143079339"/>
      <w:bookmarkStart w:id="484" w:name="_Toc136477933"/>
      <w:bookmarkStart w:id="485" w:name="_Toc136944756"/>
      <w:bookmarkStart w:id="486" w:name="_Toc157261290"/>
      <w:bookmarkStart w:id="487" w:name="_Toc141450774"/>
      <w:bookmarkStart w:id="488" w:name="_Toc148353501"/>
      <w:bookmarkStart w:id="489" w:name="_Toc154582319"/>
      <w:bookmarkStart w:id="490" w:name="_Toc136477836"/>
      <w:bookmarkStart w:id="491" w:name="_Toc138070454"/>
      <w:bookmarkStart w:id="492" w:name="_Toc154585925"/>
      <w:bookmarkStart w:id="493" w:name="_Toc154654480"/>
      <w:bookmarkStart w:id="494" w:name="_Toc141951828"/>
      <w:r>
        <w:rPr>
          <w:rFonts w:hint="eastAsia"/>
        </w:rPr>
        <w:t>河道管理</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pPr>
        <w:pStyle w:val="68"/>
        <w:spacing w:before="156" w:after="156"/>
      </w:pPr>
      <w:bookmarkStart w:id="495" w:name="_Toc132891964"/>
      <w:bookmarkStart w:id="496" w:name="_Toc136477934"/>
      <w:bookmarkStart w:id="497" w:name="_Toc124863818"/>
      <w:bookmarkStart w:id="498" w:name="_Toc138070431"/>
      <w:bookmarkStart w:id="499" w:name="_Toc133422421"/>
      <w:bookmarkStart w:id="500" w:name="_Toc132838767"/>
      <w:bookmarkStart w:id="501" w:name="_Toc126072918"/>
      <w:bookmarkStart w:id="502" w:name="_Toc133423139"/>
      <w:bookmarkStart w:id="503" w:name="_Toc138032612"/>
      <w:bookmarkStart w:id="504" w:name="_Toc124509028"/>
      <w:bookmarkStart w:id="505" w:name="_Toc124511055"/>
      <w:bookmarkStart w:id="506" w:name="_Toc126149748"/>
      <w:bookmarkStart w:id="507" w:name="_Toc136477837"/>
      <w:bookmarkStart w:id="508" w:name="_Toc134177883"/>
      <w:bookmarkStart w:id="509" w:name="_Toc132902477"/>
      <w:r>
        <w:rPr>
          <w:rFonts w:hint="eastAsia"/>
        </w:rPr>
        <w:t>体制与机制</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pPr>
        <w:pStyle w:val="167"/>
      </w:pPr>
      <w:r>
        <w:rPr>
          <w:rFonts w:hint="eastAsia"/>
        </w:rPr>
        <w:t>明确河道的管理体制。</w:t>
      </w:r>
    </w:p>
    <w:p>
      <w:pPr>
        <w:pStyle w:val="167"/>
      </w:pPr>
      <w:r>
        <w:rPr>
          <w:rFonts w:hint="eastAsia"/>
        </w:rPr>
        <w:t>明确流域机构、各级政府、行业主管部门等河道管理部门的管理范围和职责。</w:t>
      </w:r>
    </w:p>
    <w:p>
      <w:pPr>
        <w:pStyle w:val="167"/>
      </w:pPr>
      <w:r>
        <w:rPr>
          <w:rFonts w:hint="eastAsia"/>
        </w:rPr>
        <w:t>按照河长制的要求，建立综合保护、管理、治理等长效机制。</w:t>
      </w:r>
    </w:p>
    <w:p>
      <w:pPr>
        <w:pStyle w:val="68"/>
        <w:spacing w:before="156" w:after="156"/>
      </w:pPr>
      <w:bookmarkStart w:id="510" w:name="_Toc132902478"/>
      <w:bookmarkStart w:id="511" w:name="_Toc132838768"/>
      <w:bookmarkStart w:id="512" w:name="_Toc132891965"/>
      <w:bookmarkStart w:id="513" w:name="_Toc133422422"/>
      <w:bookmarkStart w:id="514" w:name="_Toc138032613"/>
      <w:bookmarkStart w:id="515" w:name="_Toc136477935"/>
      <w:bookmarkStart w:id="516" w:name="_Toc136477838"/>
      <w:bookmarkStart w:id="517" w:name="_Toc138070432"/>
      <w:bookmarkStart w:id="518" w:name="_Toc133423140"/>
      <w:bookmarkStart w:id="519" w:name="_Toc134177884"/>
      <w:bookmarkStart w:id="520" w:name="_Toc126149750"/>
      <w:r>
        <w:rPr>
          <w:rFonts w:hint="eastAsia"/>
        </w:rPr>
        <w:t>制度体系</w:t>
      </w:r>
      <w:bookmarkEnd w:id="510"/>
      <w:bookmarkEnd w:id="511"/>
      <w:bookmarkEnd w:id="512"/>
      <w:bookmarkEnd w:id="513"/>
      <w:bookmarkEnd w:id="514"/>
      <w:bookmarkEnd w:id="515"/>
      <w:bookmarkEnd w:id="516"/>
      <w:bookmarkEnd w:id="517"/>
      <w:bookmarkEnd w:id="518"/>
      <w:bookmarkEnd w:id="519"/>
      <w:bookmarkEnd w:id="520"/>
    </w:p>
    <w:p>
      <w:pPr>
        <w:pStyle w:val="167"/>
      </w:pPr>
      <w:r>
        <w:rPr>
          <w:rFonts w:hint="eastAsia"/>
        </w:rPr>
        <w:t>明确河道管理、联席会议、跨地区跨部门协同等制度建设需求和主要内容。</w:t>
      </w:r>
    </w:p>
    <w:p>
      <w:pPr>
        <w:pStyle w:val="167"/>
      </w:pPr>
      <w:r>
        <w:rPr>
          <w:rFonts w:hint="eastAsia"/>
        </w:rPr>
        <w:t>推进河道水流自然资源统一确权登记，登记单元界线应以河道管理范围为基础。</w:t>
      </w:r>
    </w:p>
    <w:p>
      <w:pPr>
        <w:pStyle w:val="167"/>
      </w:pPr>
      <w:r>
        <w:rPr>
          <w:rFonts w:hint="eastAsia"/>
        </w:rPr>
        <w:t>推动河道生态保护补偿机制建立，明确生态补偿的主要内容。</w:t>
      </w:r>
    </w:p>
    <w:p>
      <w:pPr>
        <w:pStyle w:val="167"/>
      </w:pPr>
      <w:r>
        <w:rPr>
          <w:rFonts w:hint="eastAsia"/>
        </w:rPr>
        <w:t>编制涉河防汛预案、防洪方案、突发水污染事件应急预案以及水资源调度方案。</w:t>
      </w:r>
    </w:p>
    <w:p>
      <w:pPr>
        <w:pStyle w:val="68"/>
        <w:spacing w:before="156" w:after="156"/>
      </w:pPr>
      <w:bookmarkStart w:id="521" w:name="_Toc133422423"/>
      <w:bookmarkStart w:id="522" w:name="_Toc136477839"/>
      <w:bookmarkStart w:id="523" w:name="_Toc133423141"/>
      <w:bookmarkStart w:id="524" w:name="_Toc132838769"/>
      <w:bookmarkStart w:id="525" w:name="_Toc136477936"/>
      <w:bookmarkStart w:id="526" w:name="_Toc138070433"/>
      <w:bookmarkStart w:id="527" w:name="_Toc132891966"/>
      <w:bookmarkStart w:id="528" w:name="_Toc134177885"/>
      <w:bookmarkStart w:id="529" w:name="_Toc132902479"/>
      <w:bookmarkStart w:id="530" w:name="_Toc138032614"/>
      <w:r>
        <w:rPr>
          <w:rFonts w:hint="eastAsia"/>
        </w:rPr>
        <w:t>协调</w:t>
      </w:r>
      <w:bookmarkEnd w:id="521"/>
      <w:bookmarkEnd w:id="522"/>
      <w:bookmarkEnd w:id="523"/>
      <w:bookmarkEnd w:id="524"/>
      <w:bookmarkEnd w:id="525"/>
      <w:bookmarkEnd w:id="526"/>
      <w:bookmarkEnd w:id="527"/>
      <w:bookmarkEnd w:id="528"/>
      <w:bookmarkEnd w:id="529"/>
      <w:bookmarkEnd w:id="530"/>
      <w:r>
        <w:rPr>
          <w:rFonts w:hint="eastAsia"/>
        </w:rPr>
        <w:t>性</w:t>
      </w:r>
    </w:p>
    <w:p>
      <w:pPr>
        <w:pStyle w:val="59"/>
        <w:ind w:firstLine="420"/>
      </w:pPr>
      <w:r>
        <w:rPr>
          <w:rFonts w:hint="eastAsia"/>
        </w:rPr>
        <w:t>应明确相关涉水规划与河道保护规划的衔接、协调要求，保障河道空间完整、功能完好。</w:t>
      </w:r>
    </w:p>
    <w:p>
      <w:pPr>
        <w:pStyle w:val="68"/>
        <w:spacing w:before="156" w:after="156"/>
      </w:pPr>
      <w:bookmarkStart w:id="531" w:name="_Toc124863819"/>
      <w:bookmarkStart w:id="532" w:name="_Toc124509029"/>
      <w:bookmarkStart w:id="533" w:name="_Toc126072919"/>
      <w:bookmarkStart w:id="534" w:name="_Toc126149751"/>
      <w:bookmarkStart w:id="535" w:name="_Toc124511056"/>
      <w:bookmarkStart w:id="536" w:name="_Toc134177886"/>
      <w:bookmarkStart w:id="537" w:name="_Toc138032615"/>
      <w:bookmarkStart w:id="538" w:name="_Toc132891967"/>
      <w:bookmarkStart w:id="539" w:name="_Toc133423142"/>
      <w:bookmarkStart w:id="540" w:name="_Toc133422424"/>
      <w:bookmarkStart w:id="541" w:name="_Toc132838770"/>
      <w:bookmarkStart w:id="542" w:name="_Toc136477937"/>
      <w:bookmarkStart w:id="543" w:name="_Toc132902480"/>
      <w:bookmarkStart w:id="544" w:name="_Toc138070434"/>
      <w:bookmarkStart w:id="545" w:name="_Toc136477840"/>
      <w:r>
        <w:rPr>
          <w:rFonts w:hint="eastAsia"/>
        </w:rPr>
        <w:t>能力</w:t>
      </w:r>
      <w:bookmarkEnd w:id="531"/>
      <w:bookmarkEnd w:id="532"/>
      <w:bookmarkEnd w:id="533"/>
      <w:bookmarkEnd w:id="534"/>
      <w:bookmarkEnd w:id="535"/>
      <w:r>
        <w:rPr>
          <w:rFonts w:hint="eastAsia"/>
        </w:rPr>
        <w:t>建设</w:t>
      </w:r>
      <w:bookmarkEnd w:id="536"/>
      <w:bookmarkEnd w:id="537"/>
      <w:bookmarkEnd w:id="538"/>
      <w:bookmarkEnd w:id="539"/>
      <w:bookmarkEnd w:id="540"/>
      <w:bookmarkEnd w:id="541"/>
      <w:bookmarkEnd w:id="542"/>
      <w:bookmarkEnd w:id="543"/>
      <w:bookmarkEnd w:id="544"/>
      <w:bookmarkEnd w:id="545"/>
    </w:p>
    <w:p>
      <w:pPr>
        <w:pStyle w:val="59"/>
        <w:ind w:firstLine="420"/>
      </w:pPr>
      <w:r>
        <w:rPr>
          <w:rFonts w:hint="eastAsia"/>
        </w:rPr>
        <w:t>河道管理能力建设应明确下列要求：</w:t>
      </w:r>
    </w:p>
    <w:p>
      <w:pPr>
        <w:pStyle w:val="177"/>
        <w:numPr>
          <w:ilvl w:val="0"/>
          <w:numId w:val="51"/>
        </w:numPr>
      </w:pPr>
      <w:r>
        <w:rPr>
          <w:rFonts w:hint="eastAsia"/>
        </w:rPr>
        <w:t>监测评价体系建设要求；</w:t>
      </w:r>
    </w:p>
    <w:p>
      <w:pPr>
        <w:pStyle w:val="177"/>
        <w:numPr>
          <w:ilvl w:val="0"/>
          <w:numId w:val="51"/>
        </w:numPr>
      </w:pPr>
      <w:r>
        <w:rPr>
          <w:rFonts w:hint="eastAsia"/>
        </w:rPr>
        <w:t>信息化建设和共享要求；</w:t>
      </w:r>
    </w:p>
    <w:p>
      <w:pPr>
        <w:pStyle w:val="177"/>
        <w:numPr>
          <w:ilvl w:val="0"/>
          <w:numId w:val="51"/>
        </w:numPr>
      </w:pPr>
      <w:r>
        <w:rPr>
          <w:rFonts w:hint="eastAsia"/>
        </w:rPr>
        <w:t>灾害和违法行为预警机制的建设要求；</w:t>
      </w:r>
    </w:p>
    <w:p>
      <w:pPr>
        <w:pStyle w:val="177"/>
        <w:numPr>
          <w:ilvl w:val="0"/>
          <w:numId w:val="51"/>
        </w:numPr>
      </w:pPr>
      <w:r>
        <w:rPr>
          <w:rFonts w:hint="eastAsia"/>
        </w:rPr>
        <w:t>应急处置要求。</w:t>
      </w:r>
    </w:p>
    <w:p>
      <w:pPr>
        <w:pStyle w:val="108"/>
        <w:spacing w:before="156" w:after="156"/>
      </w:pPr>
      <w:bookmarkStart w:id="546" w:name="_Toc152913641"/>
      <w:bookmarkStart w:id="547" w:name="_Toc136944757"/>
      <w:bookmarkStart w:id="548" w:name="_Toc136477938"/>
      <w:bookmarkStart w:id="549" w:name="_Toc141450775"/>
      <w:bookmarkStart w:id="550" w:name="_Toc138070455"/>
      <w:bookmarkStart w:id="551" w:name="_Toc157261291"/>
      <w:bookmarkStart w:id="552" w:name="_Toc138070435"/>
      <w:bookmarkStart w:id="553" w:name="_Toc154585926"/>
      <w:bookmarkStart w:id="554" w:name="_Toc136477841"/>
      <w:bookmarkStart w:id="555" w:name="_Toc154654481"/>
      <w:bookmarkStart w:id="556" w:name="_Toc141951829"/>
      <w:bookmarkStart w:id="557" w:name="_Toc154582320"/>
      <w:bookmarkStart w:id="558" w:name="_Toc143079340"/>
      <w:bookmarkStart w:id="559" w:name="_Toc148353502"/>
      <w:bookmarkStart w:id="560" w:name="_Toc154491983"/>
      <w:bookmarkStart w:id="561" w:name="_Toc138032616"/>
      <w:r>
        <w:rPr>
          <w:rFonts w:hint="eastAsia"/>
        </w:rPr>
        <w:t>河道保护规划实施</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pPr>
        <w:pStyle w:val="68"/>
        <w:spacing w:before="156" w:after="156"/>
      </w:pPr>
      <w:r>
        <w:rPr>
          <w:rFonts w:hint="eastAsia"/>
        </w:rPr>
        <w:t>实施安排</w:t>
      </w:r>
    </w:p>
    <w:p>
      <w:pPr>
        <w:pStyle w:val="167"/>
      </w:pPr>
      <w:r>
        <w:rPr>
          <w:rFonts w:hint="eastAsia"/>
        </w:rPr>
        <w:t>根据河道保护要求和经济社会发展水平，提出实施安排意见。</w:t>
      </w:r>
    </w:p>
    <w:p>
      <w:pPr>
        <w:pStyle w:val="167"/>
      </w:pPr>
      <w:r>
        <w:rPr>
          <w:rFonts w:hint="eastAsia"/>
        </w:rPr>
        <w:t>明确实施原则、实施责任主体，拟定分期实施计划。</w:t>
      </w:r>
    </w:p>
    <w:p>
      <w:pPr>
        <w:pStyle w:val="167"/>
      </w:pPr>
      <w:r>
        <w:rPr>
          <w:rFonts w:hint="eastAsia"/>
        </w:rPr>
        <w:t>明确近期实施的重点项目和实施时序，提出远期项目实施的指导性意见。</w:t>
      </w:r>
    </w:p>
    <w:p>
      <w:pPr>
        <w:pStyle w:val="68"/>
        <w:spacing w:before="156" w:after="156"/>
      </w:pPr>
      <w:bookmarkStart w:id="562" w:name="_Toc138070437"/>
      <w:bookmarkStart w:id="563" w:name="_Toc138032618"/>
      <w:r>
        <w:rPr>
          <w:rFonts w:hint="eastAsia"/>
        </w:rPr>
        <w:t>保障措施</w:t>
      </w:r>
      <w:bookmarkEnd w:id="562"/>
      <w:bookmarkEnd w:id="563"/>
    </w:p>
    <w:p>
      <w:pPr>
        <w:pStyle w:val="167"/>
      </w:pPr>
      <w:r>
        <w:rPr>
          <w:rFonts w:hint="eastAsia"/>
        </w:rPr>
        <w:t>明确实施的组织领导、组织协调机制、决策执行机制、责任考核</w:t>
      </w:r>
      <w:r>
        <w:rPr>
          <w:rFonts w:hint="eastAsia"/>
          <w:lang w:eastAsia="zh-CN"/>
        </w:rPr>
        <w:t>机制和</w:t>
      </w:r>
      <w:r>
        <w:rPr>
          <w:rFonts w:hint="eastAsia"/>
        </w:rPr>
        <w:t>部门协作机制等组织保护措施。</w:t>
      </w:r>
    </w:p>
    <w:p>
      <w:pPr>
        <w:pStyle w:val="167"/>
      </w:pPr>
      <w:r>
        <w:rPr>
          <w:rFonts w:hint="eastAsia"/>
        </w:rPr>
        <w:t>依据流域及省相关法律法规、规章制度和政策，制定相应的法制保障措施。</w:t>
      </w:r>
    </w:p>
    <w:p>
      <w:pPr>
        <w:pStyle w:val="167"/>
      </w:pPr>
      <w:r>
        <w:rPr>
          <w:rFonts w:hint="eastAsia"/>
        </w:rPr>
        <w:t>明确资金投入主体划分原则、建立融资机制，构建或完善多渠道、多层次的资金保障体系。</w:t>
      </w:r>
    </w:p>
    <w:p>
      <w:pPr>
        <w:pStyle w:val="167"/>
      </w:pPr>
      <w:r>
        <w:rPr>
          <w:rFonts w:hint="eastAsia"/>
        </w:rPr>
        <w:t>在新技术开发与应用研究、科技人才队伍建设等方面构建或完善科技保障体系。</w:t>
      </w:r>
    </w:p>
    <w:p>
      <w:pPr>
        <w:pStyle w:val="167"/>
      </w:pPr>
      <w:r>
        <w:rPr>
          <w:rFonts w:hint="eastAsia"/>
        </w:rPr>
        <w:t>提出加强河道保护宣传教育、建立公众参与机制的保障措施。</w:t>
      </w:r>
    </w:p>
    <w:p>
      <w:pPr>
        <w:pStyle w:val="107"/>
        <w:spacing w:before="312" w:after="312"/>
      </w:pPr>
      <w:bookmarkStart w:id="564" w:name="_Toc144118805"/>
      <w:bookmarkStart w:id="565" w:name="_Toc144134452"/>
      <w:bookmarkStart w:id="566" w:name="_Toc154582321"/>
      <w:bookmarkStart w:id="567" w:name="_Toc152913671"/>
      <w:bookmarkStart w:id="568" w:name="_Toc144128455"/>
      <w:bookmarkStart w:id="569" w:name="_Toc154654482"/>
      <w:bookmarkStart w:id="570" w:name="_Toc152913642"/>
      <w:bookmarkStart w:id="571" w:name="_Toc148353503"/>
      <w:bookmarkStart w:id="572" w:name="_Toc150935050"/>
      <w:bookmarkStart w:id="573" w:name="_Toc148366686"/>
      <w:bookmarkStart w:id="574" w:name="_Toc157261292"/>
      <w:bookmarkStart w:id="575" w:name="_Toc154491984"/>
      <w:bookmarkStart w:id="576" w:name="_Toc152928145"/>
      <w:bookmarkStart w:id="577" w:name="_Toc154585927"/>
      <w:bookmarkStart w:id="578" w:name="_Toc143684707"/>
      <w:bookmarkStart w:id="579" w:name="_Toc150880099"/>
      <w:r>
        <w:rPr>
          <w:rFonts w:hint="eastAsia"/>
        </w:rPr>
        <w:t>编制成果</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pPr>
        <w:pStyle w:val="165"/>
      </w:pPr>
      <w:r>
        <w:rPr>
          <w:rFonts w:hint="eastAsia"/>
        </w:rPr>
        <w:t>河道保护规划成果宜包括但不限于报告、文本、附表、图件等内容。</w:t>
      </w:r>
    </w:p>
    <w:p>
      <w:pPr>
        <w:pStyle w:val="165"/>
      </w:pPr>
      <w:r>
        <w:rPr>
          <w:rFonts w:hint="eastAsia"/>
        </w:rPr>
        <w:t>报告编制典型提纲参见附录</w:t>
      </w:r>
      <w:r>
        <w:t>B</w:t>
      </w:r>
      <w:r>
        <w:rPr>
          <w:rFonts w:hint="eastAsia"/>
        </w:rPr>
        <w:t>，可根据河道保护具体情况进行结构调整。</w:t>
      </w:r>
    </w:p>
    <w:p>
      <w:pPr>
        <w:pStyle w:val="165"/>
      </w:pPr>
      <w:r>
        <w:rPr>
          <w:rFonts w:hint="eastAsia"/>
        </w:rPr>
        <w:t>文本应在报告的基</w:t>
      </w:r>
      <w:r>
        <w:rPr>
          <w:rFonts w:hint="eastAsia"/>
          <w:lang w:eastAsia="zh-CN"/>
        </w:rPr>
        <w:t>础上</w:t>
      </w:r>
      <w:r>
        <w:rPr>
          <w:rFonts w:hint="eastAsia"/>
        </w:rPr>
        <w:t>进行提炼编写。</w:t>
      </w:r>
    </w:p>
    <w:p>
      <w:pPr>
        <w:pStyle w:val="165"/>
      </w:pPr>
      <w:r>
        <w:rPr>
          <w:rFonts w:hint="eastAsia"/>
        </w:rPr>
        <w:t>附表可分为河道水域功能分区表、河道岸线功能分区表。</w:t>
      </w:r>
    </w:p>
    <w:p>
      <w:pPr>
        <w:pStyle w:val="165"/>
      </w:pPr>
      <w:r>
        <w:rPr>
          <w:rFonts w:hint="eastAsia"/>
        </w:rPr>
        <w:t>附图包括但不限于河道保护规划布局图、周边水系与开发利用现状图、管理范围示意图、水域/岸线功能分区图、近期治理措施布局图，各附图要素宜符合表</w:t>
      </w:r>
      <w:r>
        <w:t>6</w:t>
      </w:r>
      <w:r>
        <w:rPr>
          <w:rFonts w:hint="eastAsia"/>
        </w:rPr>
        <w:t>的规定。</w:t>
      </w:r>
    </w:p>
    <w:p>
      <w:pPr>
        <w:pStyle w:val="115"/>
        <w:spacing w:before="156" w:after="156"/>
      </w:pPr>
      <w:r>
        <w:rPr>
          <w:rFonts w:hint="eastAsia"/>
        </w:rPr>
        <w:t>附图要素表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826"/>
        <w:gridCol w:w="19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81"/>
            </w:pPr>
            <w:r>
              <w:rPr>
                <w:rFonts w:hint="eastAsia"/>
              </w:rPr>
              <w:t>图名</w:t>
            </w:r>
          </w:p>
        </w:tc>
        <w:tc>
          <w:tcPr>
            <w:tcW w:w="3826" w:type="dxa"/>
            <w:tcBorders>
              <w:top w:val="single" w:color="auto" w:sz="8" w:space="0"/>
              <w:bottom w:val="single" w:color="auto" w:sz="8" w:space="0"/>
            </w:tcBorders>
            <w:vAlign w:val="center"/>
          </w:tcPr>
          <w:p>
            <w:pPr>
              <w:pStyle w:val="181"/>
            </w:pPr>
            <w:r>
              <w:rPr>
                <w:rFonts w:hint="eastAsia"/>
              </w:rPr>
              <w:t>个性要素</w:t>
            </w:r>
          </w:p>
        </w:tc>
        <w:tc>
          <w:tcPr>
            <w:tcW w:w="1985" w:type="dxa"/>
            <w:tcBorders>
              <w:top w:val="single" w:color="auto" w:sz="8" w:space="0"/>
              <w:bottom w:val="single" w:color="auto" w:sz="8" w:space="0"/>
            </w:tcBorders>
            <w:shd w:val="clear" w:color="auto" w:fill="auto"/>
            <w:vAlign w:val="center"/>
          </w:tcPr>
          <w:p>
            <w:pPr>
              <w:pStyle w:val="181"/>
            </w:pPr>
            <w:r>
              <w:rPr>
                <w:rFonts w:hint="eastAsia"/>
              </w:rPr>
              <w:t>共有要素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1"/>
            </w:pPr>
            <w:r>
              <w:rPr>
                <w:rFonts w:hint="eastAsia"/>
              </w:rPr>
              <w:t>周边水系与开发利用现状图</w:t>
            </w:r>
          </w:p>
        </w:tc>
        <w:tc>
          <w:tcPr>
            <w:tcW w:w="3826" w:type="dxa"/>
            <w:vAlign w:val="center"/>
          </w:tcPr>
          <w:p>
            <w:pPr>
              <w:pStyle w:val="181"/>
              <w:jc w:val="both"/>
            </w:pPr>
            <w:r>
              <w:rPr>
                <w:rFonts w:hint="eastAsia"/>
              </w:rPr>
              <w:t>堤防（含堤顶防汛道路），水文站，码头（含堆场、渡口、避风港），取（排）水口，桥梁、隧道、穿河及跨河管线，景观，湿地，房屋等</w:t>
            </w:r>
          </w:p>
        </w:tc>
        <w:tc>
          <w:tcPr>
            <w:tcW w:w="1985" w:type="dxa"/>
            <w:vMerge w:val="restart"/>
            <w:shd w:val="clear" w:color="auto" w:fill="auto"/>
            <w:vAlign w:val="center"/>
          </w:tcPr>
          <w:p>
            <w:pPr>
              <w:pStyle w:val="181"/>
            </w:pPr>
            <w:r>
              <w:rPr>
                <w:rFonts w:hint="eastAsia"/>
              </w:rPr>
              <w:t>行政区划</w:t>
            </w:r>
          </w:p>
          <w:p>
            <w:pPr>
              <w:pStyle w:val="181"/>
            </w:pPr>
            <w:r>
              <w:rPr>
                <w:rFonts w:hint="eastAsia"/>
              </w:rPr>
              <w:t>骨干水系</w:t>
            </w:r>
          </w:p>
          <w:p>
            <w:pPr>
              <w:pStyle w:val="181"/>
            </w:pPr>
            <w:r>
              <w:rPr>
                <w:rFonts w:hint="eastAsia"/>
              </w:rPr>
              <w:t>水陆交通网</w:t>
            </w:r>
          </w:p>
          <w:p>
            <w:pPr>
              <w:pStyle w:val="181"/>
            </w:pPr>
            <w:r>
              <w:rPr>
                <w:rFonts w:hint="eastAsia"/>
              </w:rPr>
              <w:t>水工建筑物（含船闸）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1"/>
            </w:pPr>
            <w:r>
              <w:rPr>
                <w:rFonts w:hint="eastAsia"/>
              </w:rPr>
              <w:t>管理范围示意图</w:t>
            </w:r>
          </w:p>
        </w:tc>
        <w:tc>
          <w:tcPr>
            <w:tcW w:w="3826" w:type="dxa"/>
            <w:vAlign w:val="center"/>
          </w:tcPr>
          <w:p>
            <w:pPr>
              <w:pStyle w:val="181"/>
              <w:jc w:val="both"/>
            </w:pPr>
            <w:r>
              <w:rPr>
                <w:rFonts w:hint="eastAsia"/>
              </w:rPr>
              <w:t>管理范围线</w:t>
            </w:r>
          </w:p>
        </w:tc>
        <w:tc>
          <w:tcPr>
            <w:tcW w:w="1985" w:type="dxa"/>
            <w:vMerge w:val="continue"/>
            <w:shd w:val="clear" w:color="auto" w:fill="auto"/>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1"/>
            </w:pPr>
            <w:r>
              <w:rPr>
                <w:rFonts w:hint="eastAsia"/>
              </w:rPr>
              <w:t>水域/岸线功能分区图</w:t>
            </w:r>
          </w:p>
        </w:tc>
        <w:tc>
          <w:tcPr>
            <w:tcW w:w="3826" w:type="dxa"/>
            <w:vAlign w:val="center"/>
          </w:tcPr>
          <w:p>
            <w:pPr>
              <w:pStyle w:val="181"/>
              <w:jc w:val="both"/>
            </w:pPr>
            <w:r>
              <w:rPr>
                <w:rFonts w:hint="eastAsia"/>
              </w:rPr>
              <w:t>河道临水边界线，河道外缘边界线，水域/岸线保护区、保留区、控制利用区、开发利用区</w:t>
            </w:r>
          </w:p>
        </w:tc>
        <w:tc>
          <w:tcPr>
            <w:tcW w:w="1985" w:type="dxa"/>
            <w:vMerge w:val="continue"/>
            <w:shd w:val="clear" w:color="auto" w:fill="auto"/>
            <w:vAlign w:val="center"/>
          </w:tcPr>
          <w:p>
            <w:pPr>
              <w:pStyle w:val="181"/>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81"/>
            </w:pPr>
            <w:r>
              <w:rPr>
                <w:rFonts w:hint="eastAsia"/>
              </w:rPr>
              <w:t>近期治理措施布局图</w:t>
            </w:r>
          </w:p>
        </w:tc>
        <w:tc>
          <w:tcPr>
            <w:tcW w:w="3826" w:type="dxa"/>
            <w:vAlign w:val="center"/>
          </w:tcPr>
          <w:p>
            <w:pPr>
              <w:pStyle w:val="181"/>
              <w:jc w:val="both"/>
            </w:pPr>
            <w:r>
              <w:rPr>
                <w:rFonts w:hint="eastAsia"/>
              </w:rPr>
              <w:t>堤防整治工程、河道治理工程、生态修复工程等</w:t>
            </w:r>
          </w:p>
        </w:tc>
        <w:tc>
          <w:tcPr>
            <w:tcW w:w="1985" w:type="dxa"/>
            <w:vMerge w:val="continue"/>
            <w:shd w:val="clear" w:color="auto" w:fill="auto"/>
            <w:vAlign w:val="center"/>
          </w:tcPr>
          <w:p>
            <w:pPr>
              <w:pStyle w:val="181"/>
            </w:pPr>
          </w:p>
        </w:tc>
      </w:tr>
    </w:tbl>
    <w:p>
      <w:pPr>
        <w:pStyle w:val="59"/>
        <w:ind w:firstLine="420"/>
      </w:pPr>
    </w:p>
    <w:p>
      <w:pPr>
        <w:pStyle w:val="59"/>
        <w:ind w:firstLine="420"/>
      </w:pPr>
    </w:p>
    <w:p>
      <w:pPr>
        <w:pStyle w:val="59"/>
        <w:ind w:firstLine="420"/>
      </w:pPr>
    </w:p>
    <w:p>
      <w:pPr>
        <w:pStyle w:val="59"/>
        <w:ind w:firstLine="420"/>
      </w:pPr>
    </w:p>
    <w:p>
      <w:pPr>
        <w:pStyle w:val="59"/>
        <w:ind w:firstLine="420"/>
        <w:sectPr>
          <w:headerReference r:id="rId23" w:type="default"/>
          <w:footerReference r:id="rId25" w:type="default"/>
          <w:headerReference r:id="rId24" w:type="even"/>
          <w:footerReference r:id="rId26" w:type="even"/>
          <w:pgSz w:w="11906" w:h="16838"/>
          <w:pgMar w:top="2410" w:right="1134" w:bottom="1134" w:left="1134" w:header="1418" w:footer="1134" w:gutter="284"/>
          <w:pgNumType w:start="1"/>
          <w:cols w:space="425" w:num="1"/>
          <w:formProt w:val="0"/>
          <w:docGrid w:type="lines" w:linePitch="312" w:charSpace="0"/>
        </w:sectPr>
      </w:pPr>
    </w:p>
    <w:bookmarkEnd w:id="24"/>
    <w:p>
      <w:pPr>
        <w:pStyle w:val="201"/>
        <w:rPr>
          <w:vanish w:val="0"/>
        </w:rPr>
      </w:pPr>
      <w:bookmarkStart w:id="580" w:name="BookMark5"/>
    </w:p>
    <w:p>
      <w:pPr>
        <w:pStyle w:val="202"/>
        <w:rPr>
          <w:vanish w:val="0"/>
        </w:rPr>
      </w:pPr>
    </w:p>
    <w:p>
      <w:pPr>
        <w:pStyle w:val="79"/>
        <w:spacing w:before="78" w:after="156"/>
      </w:pPr>
      <w:r>
        <w:br w:type="textWrapping"/>
      </w:r>
      <w:bookmarkStart w:id="581" w:name="_Toc154585928"/>
      <w:bookmarkStart w:id="582" w:name="_Toc157261293"/>
      <w:bookmarkStart w:id="583" w:name="_Toc154582322"/>
      <w:bookmarkStart w:id="584" w:name="_Toc154654483"/>
      <w:r>
        <w:rPr>
          <w:rFonts w:hint="eastAsia"/>
        </w:rPr>
        <w:t>（资料性）</w:t>
      </w:r>
      <w:r>
        <w:br w:type="textWrapping"/>
      </w:r>
      <w:r>
        <w:rPr>
          <w:rFonts w:hint="eastAsia"/>
        </w:rPr>
        <w:t>河道保护规划主要指标计算方法</w:t>
      </w:r>
      <w:bookmarkEnd w:id="581"/>
      <w:bookmarkEnd w:id="582"/>
      <w:bookmarkEnd w:id="583"/>
      <w:bookmarkEnd w:id="584"/>
    </w:p>
    <w:p>
      <w:pPr>
        <w:pStyle w:val="81"/>
        <w:spacing w:before="156" w:after="156"/>
      </w:pPr>
      <w:bookmarkStart w:id="585" w:name="_Toc154654484"/>
      <w:bookmarkStart w:id="586" w:name="_Toc154582323"/>
      <w:bookmarkStart w:id="587" w:name="_Toc154585929"/>
      <w:bookmarkStart w:id="588" w:name="_Toc157261294"/>
      <w:r>
        <w:rPr>
          <w:rFonts w:hint="eastAsia"/>
        </w:rPr>
        <w:t>水安全</w:t>
      </w:r>
      <w:bookmarkEnd w:id="585"/>
      <w:bookmarkEnd w:id="586"/>
      <w:bookmarkEnd w:id="587"/>
      <w:bookmarkEnd w:id="588"/>
    </w:p>
    <w:p>
      <w:pPr>
        <w:pStyle w:val="82"/>
        <w:spacing w:before="156" w:after="156"/>
      </w:pPr>
      <w:r>
        <w:rPr>
          <w:rFonts w:hint="eastAsia"/>
        </w:rPr>
        <w:t>堤防工程达标率</w:t>
      </w:r>
    </w:p>
    <w:p>
      <w:pPr>
        <w:pStyle w:val="59"/>
        <w:ind w:firstLine="420"/>
      </w:pPr>
      <w:r>
        <w:rPr>
          <w:rFonts w:hint="eastAsia"/>
        </w:rPr>
        <w:t>堤防工程达标率按公式（</w:t>
      </w:r>
      <w:r>
        <w:t>A.1</w:t>
      </w:r>
      <w:r>
        <w:rPr>
          <w:rFonts w:hint="eastAsia"/>
        </w:rPr>
        <w:t>）进行计算并赋值。</w:t>
      </w:r>
    </w:p>
    <w:p>
      <w:pPr>
        <w:pStyle w:val="116"/>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DF</m:t>
            </m:r>
            <m:ctrlPr>
              <w:rPr>
                <w:rFonts w:ascii="Cambria Math" w:hAnsi="Cambria Math"/>
                <w:i/>
              </w:rPr>
            </m:ctrlPr>
          </m:sub>
        </m:sSub>
        <m:r>
          <m:rPr/>
          <w:rPr>
            <w:rFonts w:ascii="Cambria Math" w:hAnsi="Cambria Math"/>
          </w:rPr>
          <m:t>=</m:t>
        </m:r>
        <m:f>
          <m:fPr>
            <m:type m:val="skw"/>
            <m:ctrlPr>
              <w:rPr>
                <w:rFonts w:ascii="Cambria Math" w:hAnsi="Cambria Math"/>
                <w:i/>
              </w:rPr>
            </m:ctrlPr>
          </m:fPr>
          <m:num>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d</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z</m:t>
                </m:r>
                <m:ctrlPr>
                  <w:rPr>
                    <w:rFonts w:ascii="Cambria Math" w:hAnsi="Cambria Math"/>
                    <w:i/>
                  </w:rPr>
                </m:ctrlPr>
              </m:sub>
            </m:sSub>
            <m:ctrlPr>
              <w:rPr>
                <w:rFonts w:ascii="Cambria Math" w:hAnsi="Cambria Math"/>
                <w:i/>
              </w:rPr>
            </m:ctrlPr>
          </m:den>
        </m:f>
        <m:r>
          <m:rPr/>
          <w:rPr>
            <w:rFonts w:ascii="Cambria Math" w:hAnsi="Cambria Math"/>
          </w:rPr>
          <m:t>×100</m:t>
        </m:r>
      </m:oMath>
      <w:r>
        <w:rPr>
          <w:rFonts w:ascii="微软雅黑" w:hAnsi="微软雅黑" w:eastAsia="微软雅黑"/>
        </w:rPr>
        <w:tab/>
      </w:r>
      <w:r>
        <w:t>(A.</w:t>
      </w:r>
      <w:r>
        <w:fldChar w:fldCharType="begin"/>
      </w:r>
      <w:r>
        <w:instrText xml:space="preserve"> seq fulu_equation_133419061986399731 </w:instrText>
      </w:r>
      <w:r>
        <w:fldChar w:fldCharType="separate"/>
      </w:r>
      <w:r>
        <w:t>1</w:t>
      </w:r>
      <w:r>
        <w:fldChar w:fldCharType="end"/>
      </w:r>
      <w:r>
        <w:t>)</w:t>
      </w:r>
    </w:p>
    <w:p>
      <w:pPr>
        <w:pStyle w:val="58"/>
        <w:ind w:firstLine="420"/>
      </w:pPr>
      <w:r>
        <w:rPr>
          <w:rFonts w:hint="eastAsia"/>
        </w:rPr>
        <w:t>式中：</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R</m:t>
            </m:r>
            <m:ctrlPr>
              <w:rPr>
                <w:rFonts w:ascii="Cambria Math" w:hAnsi="Cambria Math"/>
                <w:i/>
                <w:kern w:val="2"/>
                <w:szCs w:val="21"/>
              </w:rPr>
            </m:ctrlPr>
          </m:e>
          <m:sub>
            <m:r>
              <m:rPr/>
              <w:rPr>
                <w:rFonts w:ascii="Cambria Math" w:hAnsi="Cambria Math"/>
              </w:rPr>
              <m:t>DF</m:t>
            </m:r>
            <m:ctrlPr>
              <w:rPr>
                <w:rFonts w:ascii="Cambria Math" w:hAnsi="Cambria Math"/>
                <w:i/>
                <w:kern w:val="2"/>
                <w:szCs w:val="21"/>
              </w:rPr>
            </m:ctrlPr>
          </m:sub>
        </m:sSub>
      </m:oMath>
      <w:r>
        <w:rPr>
          <w:rFonts w:hint="eastAsia"/>
          <w:kern w:val="2"/>
          <w:szCs w:val="21"/>
        </w:rPr>
        <w:t>——堤防工程达标率，%；</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R</m:t>
            </m:r>
            <m:ctrlPr>
              <w:rPr>
                <w:rFonts w:ascii="Cambria Math" w:hAnsi="Cambria Math"/>
                <w:i/>
                <w:kern w:val="2"/>
                <w:szCs w:val="21"/>
              </w:rPr>
            </m:ctrlPr>
          </m:e>
          <m:sub>
            <m:r>
              <m:rPr/>
              <w:rPr>
                <w:rFonts w:ascii="Cambria Math" w:hAnsi="Cambria Math"/>
              </w:rPr>
              <m:t>d</m:t>
            </m:r>
            <m:ctrlPr>
              <w:rPr>
                <w:rFonts w:ascii="Cambria Math" w:hAnsi="Cambria Math"/>
                <w:i/>
                <w:kern w:val="2"/>
                <w:szCs w:val="21"/>
              </w:rPr>
            </m:ctrlPr>
          </m:sub>
        </m:sSub>
      </m:oMath>
      <w:r>
        <w:rPr>
          <w:rFonts w:hint="eastAsia"/>
          <w:kern w:val="2"/>
          <w:szCs w:val="21"/>
        </w:rPr>
        <w:t xml:space="preserve"> ——达到防洪标准的堤防长度，单位为千米（k</w:t>
      </w:r>
      <w:r>
        <w:rPr>
          <w:kern w:val="2"/>
          <w:szCs w:val="21"/>
        </w:rPr>
        <w:t>m</w:t>
      </w:r>
      <w:r>
        <w:rPr>
          <w:rFonts w:hint="eastAsia"/>
          <w:kern w:val="2"/>
          <w:szCs w:val="21"/>
        </w:rPr>
        <w:t>）；</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R</m:t>
            </m:r>
            <m:ctrlPr>
              <w:rPr>
                <w:rFonts w:ascii="Cambria Math" w:hAnsi="Cambria Math"/>
                <w:i/>
                <w:kern w:val="2"/>
                <w:szCs w:val="21"/>
              </w:rPr>
            </m:ctrlPr>
          </m:e>
          <m:sub>
            <m:r>
              <m:rPr/>
              <w:rPr>
                <w:rFonts w:ascii="Cambria Math" w:hAnsi="Cambria Math"/>
              </w:rPr>
              <m:t>z</m:t>
            </m:r>
            <m:ctrlPr>
              <w:rPr>
                <w:rFonts w:ascii="Cambria Math" w:hAnsi="Cambria Math"/>
                <w:i/>
                <w:kern w:val="2"/>
                <w:szCs w:val="21"/>
              </w:rPr>
            </m:ctrlPr>
          </m:sub>
        </m:sSub>
      </m:oMath>
      <w:r>
        <w:rPr>
          <w:rFonts w:hint="eastAsia"/>
          <w:kern w:val="2"/>
          <w:szCs w:val="21"/>
        </w:rPr>
        <w:t xml:space="preserve"> ——堤防总长度，单位为千米（k</w:t>
      </w:r>
      <w:r>
        <w:rPr>
          <w:kern w:val="2"/>
          <w:szCs w:val="21"/>
        </w:rPr>
        <w:t>m</w:t>
      </w:r>
      <w:r>
        <w:rPr>
          <w:rFonts w:hint="eastAsia"/>
          <w:kern w:val="2"/>
          <w:szCs w:val="21"/>
        </w:rPr>
        <w:t>）。</w:t>
      </w:r>
    </w:p>
    <w:p>
      <w:pPr>
        <w:pStyle w:val="82"/>
        <w:spacing w:before="156" w:after="156"/>
      </w:pPr>
      <w:r>
        <w:rPr>
          <w:rFonts w:hint="eastAsia"/>
        </w:rPr>
        <w:t>防汛道路贯通率</w:t>
      </w:r>
    </w:p>
    <w:p>
      <w:pPr>
        <w:pStyle w:val="59"/>
        <w:ind w:firstLine="420"/>
      </w:pPr>
      <w:r>
        <w:rPr>
          <w:rFonts w:hint="eastAsia"/>
        </w:rPr>
        <w:t>防汛道路贯通率按公式（</w:t>
      </w:r>
      <w:r>
        <w:t>A.2</w:t>
      </w:r>
      <w:r>
        <w:rPr>
          <w:rFonts w:hint="eastAsia"/>
        </w:rPr>
        <w:t>）进行计算并赋值。</w:t>
      </w:r>
    </w:p>
    <w:p>
      <w:pPr>
        <w:pStyle w:val="116"/>
      </w:pPr>
      <w:r>
        <w:tab/>
      </w:r>
      <m:oMath>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GT</m:t>
            </m:r>
            <m:ctrlPr>
              <w:rPr>
                <w:rFonts w:ascii="Cambria Math" w:hAnsi="Cambria Math"/>
                <w:i/>
              </w:rPr>
            </m:ctrlPr>
          </m:sub>
        </m:sSub>
        <m:r>
          <m:rPr/>
          <w:rPr>
            <w:rFonts w:ascii="Cambria Math" w:hAnsi="Cambria Math"/>
          </w:rPr>
          <m:t>=</m:t>
        </m:r>
        <m:f>
          <m:fPr>
            <m:type m:val="skw"/>
            <m:ctrlPr>
              <w:rPr>
                <w:rFonts w:ascii="Cambria Math" w:hAnsi="Cambria Math"/>
                <w:i/>
              </w:rPr>
            </m:ctrlPr>
          </m:fPr>
          <m:num>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t</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z</m:t>
                </m:r>
                <m:ctrlPr>
                  <w:rPr>
                    <w:rFonts w:ascii="Cambria Math" w:hAnsi="Cambria Math"/>
                    <w:i/>
                  </w:rPr>
                </m:ctrlPr>
              </m:sub>
            </m:sSub>
            <m:ctrlPr>
              <w:rPr>
                <w:rFonts w:ascii="Cambria Math" w:hAnsi="Cambria Math"/>
                <w:i/>
              </w:rPr>
            </m:ctrlPr>
          </m:den>
        </m:f>
        <m:r>
          <m:rPr/>
          <w:rPr>
            <w:rFonts w:ascii="Cambria Math" w:hAnsi="Cambria Math"/>
          </w:rPr>
          <m:t>×100</m:t>
        </m:r>
      </m:oMath>
      <w:r>
        <w:rPr>
          <w:rFonts w:ascii="微软雅黑" w:hAnsi="微软雅黑" w:eastAsia="微软雅黑"/>
        </w:rPr>
        <w:tab/>
      </w:r>
      <w:r>
        <w:t>(A.</w:t>
      </w:r>
      <w:r>
        <w:fldChar w:fldCharType="begin"/>
      </w:r>
      <w:r>
        <w:instrText xml:space="preserve">  seq fulu_equation_133419061986399731  </w:instrText>
      </w:r>
      <w:r>
        <w:fldChar w:fldCharType="separate"/>
      </w:r>
      <w:r>
        <w:t>2</w:t>
      </w:r>
      <w:r>
        <w:fldChar w:fldCharType="end"/>
      </w:r>
      <w:r>
        <w:t>)</w:t>
      </w:r>
    </w:p>
    <w:p>
      <w:pPr>
        <w:pStyle w:val="58"/>
        <w:ind w:firstLine="420"/>
      </w:pPr>
      <w:r>
        <w:rPr>
          <w:rFonts w:hint="eastAsia"/>
        </w:rPr>
        <w:t>式中：</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F</m:t>
            </m:r>
            <m:ctrlPr>
              <w:rPr>
                <w:rFonts w:ascii="Cambria Math" w:hAnsi="Cambria Math"/>
                <w:i/>
                <w:kern w:val="2"/>
                <w:szCs w:val="21"/>
              </w:rPr>
            </m:ctrlPr>
          </m:e>
          <m:sub>
            <m:r>
              <m:rPr/>
              <w:rPr>
                <w:rFonts w:ascii="Cambria Math" w:hAnsi="Cambria Math"/>
              </w:rPr>
              <m:t>GT</m:t>
            </m:r>
            <m:ctrlPr>
              <w:rPr>
                <w:rFonts w:ascii="Cambria Math" w:hAnsi="Cambria Math"/>
                <w:i/>
                <w:kern w:val="2"/>
                <w:szCs w:val="21"/>
              </w:rPr>
            </m:ctrlPr>
          </m:sub>
        </m:sSub>
      </m:oMath>
      <w:r>
        <w:rPr>
          <w:rFonts w:hint="eastAsia"/>
          <w:kern w:val="2"/>
          <w:szCs w:val="21"/>
        </w:rPr>
        <w:t>——防汛道路贯通率，%；</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F</m:t>
            </m:r>
            <m:ctrlPr>
              <w:rPr>
                <w:rFonts w:ascii="Cambria Math" w:hAnsi="Cambria Math"/>
                <w:i/>
                <w:kern w:val="2"/>
                <w:szCs w:val="21"/>
              </w:rPr>
            </m:ctrlPr>
          </m:e>
          <m:sub>
            <m:r>
              <m:rPr/>
              <w:rPr>
                <w:rFonts w:ascii="Cambria Math" w:hAnsi="Cambria Math"/>
              </w:rPr>
              <m:t>t</m:t>
            </m:r>
            <m:ctrlPr>
              <w:rPr>
                <w:rFonts w:ascii="Cambria Math" w:hAnsi="Cambria Math"/>
                <w:i/>
                <w:kern w:val="2"/>
                <w:szCs w:val="21"/>
              </w:rPr>
            </m:ctrlPr>
          </m:sub>
        </m:sSub>
      </m:oMath>
      <w:r>
        <w:rPr>
          <w:rFonts w:hint="eastAsia"/>
          <w:kern w:val="2"/>
          <w:szCs w:val="21"/>
        </w:rPr>
        <w:t xml:space="preserve"> ——已贯通的防汛道路长度，单位为千米（k</w:t>
      </w:r>
      <w:r>
        <w:rPr>
          <w:kern w:val="2"/>
          <w:szCs w:val="21"/>
        </w:rPr>
        <w:t>m</w:t>
      </w:r>
      <w:r>
        <w:rPr>
          <w:rFonts w:hint="eastAsia"/>
          <w:kern w:val="2"/>
          <w:szCs w:val="21"/>
        </w:rPr>
        <w:t>）；</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F</m:t>
            </m:r>
            <m:ctrlPr>
              <w:rPr>
                <w:rFonts w:ascii="Cambria Math" w:hAnsi="Cambria Math"/>
                <w:i/>
                <w:kern w:val="2"/>
                <w:szCs w:val="21"/>
              </w:rPr>
            </m:ctrlPr>
          </m:e>
          <m:sub>
            <m:r>
              <m:rPr/>
              <w:rPr>
                <w:rFonts w:ascii="Cambria Math" w:hAnsi="Cambria Math"/>
              </w:rPr>
              <m:t>z</m:t>
            </m:r>
            <m:ctrlPr>
              <w:rPr>
                <w:rFonts w:ascii="Cambria Math" w:hAnsi="Cambria Math"/>
                <w:i/>
                <w:kern w:val="2"/>
                <w:szCs w:val="21"/>
              </w:rPr>
            </m:ctrlPr>
          </m:sub>
        </m:sSub>
      </m:oMath>
      <w:r>
        <w:rPr>
          <w:rFonts w:hint="eastAsia"/>
          <w:kern w:val="2"/>
          <w:szCs w:val="21"/>
        </w:rPr>
        <w:t xml:space="preserve"> ——需贯通的防汛道路长度，单位为千米（k</w:t>
      </w:r>
      <w:r>
        <w:rPr>
          <w:kern w:val="2"/>
          <w:szCs w:val="21"/>
        </w:rPr>
        <w:t>m</w:t>
      </w:r>
      <w:r>
        <w:rPr>
          <w:rFonts w:hint="eastAsia"/>
          <w:kern w:val="2"/>
          <w:szCs w:val="21"/>
        </w:rPr>
        <w:t>）。</w:t>
      </w:r>
    </w:p>
    <w:p>
      <w:pPr>
        <w:pStyle w:val="81"/>
        <w:spacing w:before="156" w:after="156"/>
        <w:rPr>
          <w:rFonts w:hint="eastAsia"/>
        </w:rPr>
      </w:pPr>
      <w:bookmarkStart w:id="589" w:name="_Toc157261295"/>
      <w:r>
        <w:rPr>
          <w:rFonts w:hint="eastAsia"/>
        </w:rPr>
        <w:t>水资源</w:t>
      </w:r>
      <w:bookmarkEnd w:id="589"/>
    </w:p>
    <w:p>
      <w:pPr>
        <w:pStyle w:val="82"/>
        <w:spacing w:before="156" w:after="156"/>
      </w:pPr>
      <w:r>
        <w:rPr>
          <w:rFonts w:hint="eastAsia"/>
        </w:rPr>
        <w:t>集中式饮用水水源地水质达标率</w:t>
      </w:r>
    </w:p>
    <w:p>
      <w:pPr>
        <w:pStyle w:val="59"/>
        <w:ind w:firstLine="420"/>
      </w:pPr>
      <w:r>
        <w:rPr>
          <w:rFonts w:hint="eastAsia"/>
        </w:rPr>
        <w:t>集中式饮用水水源地水质达标率是指达标的集中式饮用水水源地个数占评价河道集中式饮用水水源地总数的百分比。其中，单个集中式饮用水水源地采用全年监测的均值进行评价，参评指标取GB</w:t>
      </w:r>
      <w:r>
        <w:t xml:space="preserve"> </w:t>
      </w:r>
      <w:r>
        <w:rPr>
          <w:rFonts w:hint="eastAsia"/>
        </w:rPr>
        <w:t>3838</w:t>
      </w:r>
      <w:bookmarkStart w:id="590" w:name="_Hlk152835831"/>
      <w:r>
        <w:rPr>
          <w:rFonts w:hint="eastAsia"/>
        </w:rPr>
        <w:t>—2002</w:t>
      </w:r>
      <w:bookmarkEnd w:id="590"/>
      <w:r>
        <w:rPr>
          <w:rFonts w:hint="eastAsia"/>
        </w:rPr>
        <w:t>的地表水环境质量标准评价的24个基本指标和5项集中式饮用水水源地补充指标。按公式（A.</w:t>
      </w:r>
      <w:r>
        <w:t>3</w:t>
      </w:r>
      <w:r>
        <w:rPr>
          <w:rFonts w:hint="eastAsia"/>
        </w:rPr>
        <w:t>）进行计算并赋值。</w:t>
      </w:r>
    </w:p>
    <w:p>
      <w:pPr>
        <w:pStyle w:val="116"/>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Y</m:t>
            </m:r>
            <m:ctrlPr>
              <w:rPr>
                <w:rFonts w:ascii="Cambria Math" w:hAnsi="Cambria Math"/>
                <w:i/>
              </w:rPr>
            </m:ctrlPr>
          </m:sub>
        </m:sSub>
        <m:r>
          <m:rPr/>
          <w:rPr>
            <w:rFonts w:ascii="Cambria Math" w:hAnsi="Cambria Math"/>
          </w:rPr>
          <m:t>=</m:t>
        </m:r>
        <m:f>
          <m:fPr>
            <m:type m:val="skw"/>
            <m:ctrlPr>
              <w:rPr>
                <w:rFonts w:ascii="Cambria Math" w:hAnsi="Cambria Math"/>
                <w:i/>
              </w:rPr>
            </m:ctrlPr>
          </m:fPr>
          <m:num>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o</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n</m:t>
                </m:r>
                <m:ctrlPr>
                  <w:rPr>
                    <w:rFonts w:ascii="Cambria Math" w:hAnsi="Cambria Math"/>
                    <w:i/>
                  </w:rPr>
                </m:ctrlPr>
              </m:sub>
            </m:sSub>
            <m:ctrlPr>
              <w:rPr>
                <w:rFonts w:ascii="Cambria Math" w:hAnsi="Cambria Math"/>
                <w:i/>
              </w:rPr>
            </m:ctrlPr>
          </m:den>
        </m:f>
        <m:r>
          <m:rPr/>
          <w:rPr>
            <w:rFonts w:ascii="Cambria Math" w:hAnsi="Cambria Math"/>
          </w:rPr>
          <m:t>×100</m:t>
        </m:r>
      </m:oMath>
      <w:r>
        <w:rPr>
          <w:rFonts w:ascii="微软雅黑" w:hAnsi="微软雅黑" w:eastAsia="微软雅黑"/>
        </w:rPr>
        <w:tab/>
      </w:r>
      <w:r>
        <w:t>(A.</w:t>
      </w:r>
      <w:r>
        <w:fldChar w:fldCharType="begin"/>
      </w:r>
      <w:r>
        <w:instrText xml:space="preserve">  seq fulu_equation_133419061986399731  </w:instrText>
      </w:r>
      <w:r>
        <w:fldChar w:fldCharType="separate"/>
      </w:r>
      <w:r>
        <w:t>3</w:t>
      </w:r>
      <w:r>
        <w:fldChar w:fldCharType="end"/>
      </w:r>
      <w:r>
        <w:t>)</w:t>
      </w:r>
    </w:p>
    <w:p>
      <w:pPr>
        <w:pStyle w:val="58"/>
        <w:ind w:firstLine="420"/>
      </w:pPr>
      <w:r>
        <w:rPr>
          <w:rFonts w:hint="eastAsia"/>
        </w:rPr>
        <w:t>式中：</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R</m:t>
            </m:r>
            <m:ctrlPr>
              <w:rPr>
                <w:rFonts w:ascii="Cambria Math" w:hAnsi="Cambria Math"/>
                <w:i/>
                <w:kern w:val="2"/>
                <w:szCs w:val="21"/>
              </w:rPr>
            </m:ctrlPr>
          </m:e>
          <m:sub>
            <m:r>
              <m:rPr/>
              <w:rPr>
                <w:rFonts w:ascii="Cambria Math" w:hAnsi="Cambria Math"/>
              </w:rPr>
              <m:t>Y</m:t>
            </m:r>
            <m:ctrlPr>
              <w:rPr>
                <w:rFonts w:ascii="Cambria Math" w:hAnsi="Cambria Math"/>
                <w:i/>
                <w:kern w:val="2"/>
                <w:szCs w:val="21"/>
              </w:rPr>
            </m:ctrlPr>
          </m:sub>
        </m:sSub>
      </m:oMath>
      <w:r>
        <w:rPr>
          <w:rFonts w:hint="eastAsia"/>
          <w:kern w:val="2"/>
          <w:szCs w:val="21"/>
        </w:rPr>
        <w:t>——集中式饮用水水源地水质达标率，%；</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Y</m:t>
            </m:r>
            <m:ctrlPr>
              <w:rPr>
                <w:rFonts w:ascii="Cambria Math" w:hAnsi="Cambria Math"/>
                <w:i/>
                <w:kern w:val="2"/>
                <w:szCs w:val="21"/>
              </w:rPr>
            </m:ctrlPr>
          </m:e>
          <m:sub>
            <m:r>
              <m:rPr/>
              <w:rPr>
                <w:rFonts w:ascii="Cambria Math" w:hAnsi="Cambria Math"/>
              </w:rPr>
              <m:t>o</m:t>
            </m:r>
            <m:ctrlPr>
              <w:rPr>
                <w:rFonts w:ascii="Cambria Math" w:hAnsi="Cambria Math"/>
                <w:i/>
                <w:kern w:val="2"/>
                <w:szCs w:val="21"/>
              </w:rPr>
            </m:ctrlPr>
          </m:sub>
        </m:sSub>
      </m:oMath>
      <w:r>
        <w:rPr>
          <w:rFonts w:hint="eastAsia"/>
          <w:kern w:val="2"/>
          <w:szCs w:val="21"/>
        </w:rPr>
        <w:t>——达标集中式饮用水水源地个数；</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Y</m:t>
            </m:r>
            <m:ctrlPr>
              <w:rPr>
                <w:rFonts w:ascii="Cambria Math" w:hAnsi="Cambria Math"/>
                <w:i/>
                <w:kern w:val="2"/>
                <w:szCs w:val="21"/>
              </w:rPr>
            </m:ctrlPr>
          </m:e>
          <m:sub>
            <m:r>
              <m:rPr/>
              <w:rPr>
                <w:rFonts w:ascii="Cambria Math" w:hAnsi="Cambria Math"/>
              </w:rPr>
              <m:t>n</m:t>
            </m:r>
            <m:ctrlPr>
              <w:rPr>
                <w:rFonts w:ascii="Cambria Math" w:hAnsi="Cambria Math"/>
                <w:i/>
                <w:kern w:val="2"/>
                <w:szCs w:val="21"/>
              </w:rPr>
            </m:ctrlPr>
          </m:sub>
        </m:sSub>
      </m:oMath>
      <w:r>
        <w:rPr>
          <w:rFonts w:hint="eastAsia"/>
          <w:kern w:val="2"/>
          <w:szCs w:val="21"/>
        </w:rPr>
        <w:t>——评价河流集中式饮用水水源地总数。</w:t>
      </w:r>
    </w:p>
    <w:p>
      <w:pPr>
        <w:pStyle w:val="82"/>
        <w:spacing w:before="156" w:after="156"/>
      </w:pPr>
      <w:r>
        <w:rPr>
          <w:rFonts w:hint="eastAsia"/>
        </w:rPr>
        <w:t>生态水位（流量）满足程度</w:t>
      </w:r>
    </w:p>
    <w:p>
      <w:pPr>
        <w:pStyle w:val="59"/>
        <w:ind w:firstLine="420"/>
      </w:pPr>
      <w:r>
        <w:rPr>
          <w:rFonts w:hint="eastAsia"/>
        </w:rPr>
        <w:t>生态水位（流量）满足程度按下述方法计算：</w:t>
      </w:r>
    </w:p>
    <w:p>
      <w:pPr>
        <w:pStyle w:val="177"/>
        <w:numPr>
          <w:ilvl w:val="0"/>
          <w:numId w:val="52"/>
        </w:numPr>
        <w:ind w:left="780" w:hanging="360"/>
      </w:pPr>
      <w:r>
        <w:rPr>
          <w:rFonts w:hint="eastAsia"/>
        </w:rPr>
        <w:t>已确定生态水位（流量）的河道，生态水位（流量）满足程度按公式（A.</w:t>
      </w:r>
      <w:r>
        <w:t>4</w:t>
      </w:r>
      <w:r>
        <w:rPr>
          <w:rFonts w:hint="eastAsia"/>
        </w:rPr>
        <w:t>）计算。</w:t>
      </w:r>
    </w:p>
    <w:p>
      <w:pPr>
        <w:pStyle w:val="116"/>
      </w:pPr>
      <w:bookmarkStart w:id="591" w:name="_Hlk154581758"/>
      <w:r>
        <w:tab/>
      </w:r>
      <w:bookmarkStart w:id="592" w:name="_Hlk154581780"/>
      <m:oMath>
        <m:sSubSup>
          <m:sSubSupPr>
            <m:ctrlPr>
              <w:rPr>
                <w:rFonts w:ascii="Cambria Math" w:hAnsi="Cambria Math"/>
                <w:i/>
              </w:rPr>
            </m:ctrlPr>
          </m:sSubSupPr>
          <m:e>
            <m:r>
              <m:rPr/>
              <w:rPr>
                <w:rFonts w:ascii="Cambria Math" w:hAnsi="Cambria Math"/>
              </w:rPr>
              <m:t>R</m:t>
            </m:r>
            <m:ctrlPr>
              <w:rPr>
                <w:rFonts w:ascii="Cambria Math" w:hAnsi="Cambria Math"/>
                <w:i/>
              </w:rPr>
            </m:ctrlPr>
          </m:e>
          <m:sub>
            <m:r>
              <m:rPr/>
              <w:rPr>
                <w:rFonts w:ascii="Cambria Math" w:hAnsi="Cambria Math"/>
              </w:rPr>
              <m:t>SL</m:t>
            </m:r>
            <m:ctrlPr>
              <w:rPr>
                <w:rFonts w:ascii="Cambria Math" w:hAnsi="Cambria Math"/>
                <w:i/>
              </w:rPr>
            </m:ctrlPr>
          </m:sub>
          <m:sup>
            <m:r>
              <m:rPr/>
              <w:rPr>
                <w:rFonts w:ascii="Cambria Math" w:hAnsi="Cambria Math"/>
              </w:rPr>
              <m:t>a</m:t>
            </m:r>
            <m:ctrlPr>
              <w:rPr>
                <w:rFonts w:ascii="Cambria Math" w:hAnsi="Cambria Math"/>
                <w:i/>
              </w:rPr>
            </m:ctrlPr>
          </m:sup>
        </m:sSubSup>
        <m:r>
          <m:rPr/>
          <w:rPr>
            <w:rFonts w:ascii="Cambria Math" w:hAnsi="Cambria Math"/>
          </w:rPr>
          <m:t>=</m:t>
        </m:r>
        <m:f>
          <m:fPr>
            <m:type m:val="skw"/>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y</m:t>
                </m:r>
                <m:ctrlPr>
                  <w:rPr>
                    <w:rFonts w:ascii="Cambria Math" w:hAnsi="Cambria Math"/>
                    <w:i/>
                  </w:rPr>
                </m:ctrlPr>
              </m:sub>
            </m:sSub>
            <m:ctrlPr>
              <w:rPr>
                <w:rFonts w:ascii="Cambria Math" w:hAnsi="Cambria Math"/>
                <w:i/>
              </w:rPr>
            </m:ctrlPr>
          </m:den>
        </m:f>
        <m:r>
          <m:rPr/>
          <w:rPr>
            <w:rFonts w:ascii="Cambria Math" w:hAnsi="Cambria Math"/>
          </w:rPr>
          <m:t>×100</m:t>
        </m:r>
      </m:oMath>
      <w:r>
        <w:rPr>
          <w:rFonts w:ascii="微软雅黑" w:hAnsi="微软雅黑" w:eastAsia="微软雅黑"/>
        </w:rPr>
        <w:tab/>
      </w:r>
      <w:r>
        <w:t>(A.</w:t>
      </w:r>
      <w:r>
        <w:fldChar w:fldCharType="begin"/>
      </w:r>
      <w:r>
        <w:instrText xml:space="preserve">  seq fulu_equation_133419061986399731  </w:instrText>
      </w:r>
      <w:r>
        <w:fldChar w:fldCharType="separate"/>
      </w:r>
      <w:r>
        <w:t>4</w:t>
      </w:r>
      <w:r>
        <w:fldChar w:fldCharType="end"/>
      </w:r>
      <w:r>
        <w:t>)</w:t>
      </w:r>
      <w:bookmarkEnd w:id="592"/>
    </w:p>
    <w:bookmarkEnd w:id="591"/>
    <w:p>
      <w:pPr>
        <w:pStyle w:val="58"/>
        <w:ind w:firstLine="420"/>
      </w:pPr>
      <w:r>
        <w:rPr>
          <w:rFonts w:hint="eastAsia"/>
        </w:rPr>
        <w:t>式中：</w:t>
      </w:r>
    </w:p>
    <w:p>
      <w:pPr>
        <w:pStyle w:val="59"/>
        <w:ind w:firstLine="420"/>
        <w:rPr>
          <w:kern w:val="2"/>
          <w:szCs w:val="21"/>
        </w:rPr>
      </w:pPr>
      <m:oMath>
        <m:sSubSup>
          <m:sSubSupPr>
            <m:ctrlPr>
              <w:rPr>
                <w:rFonts w:ascii="Cambria Math" w:hAnsi="Cambria Math"/>
                <w:i/>
                <w:kern w:val="2"/>
                <w:szCs w:val="21"/>
              </w:rPr>
            </m:ctrlPr>
          </m:sSubSupPr>
          <m:e>
            <m:r>
              <m:rPr/>
              <w:rPr>
                <w:rFonts w:ascii="Cambria Math" w:hAnsi="Cambria Math"/>
              </w:rPr>
              <m:t>R</m:t>
            </m:r>
            <m:ctrlPr>
              <w:rPr>
                <w:rFonts w:ascii="Cambria Math" w:hAnsi="Cambria Math"/>
                <w:i/>
                <w:kern w:val="2"/>
                <w:szCs w:val="21"/>
              </w:rPr>
            </m:ctrlPr>
          </m:e>
          <m:sub>
            <m:r>
              <m:rPr/>
              <w:rPr>
                <w:rFonts w:ascii="Cambria Math" w:hAnsi="Cambria Math"/>
              </w:rPr>
              <m:t>SL</m:t>
            </m:r>
            <m:ctrlPr>
              <w:rPr>
                <w:rFonts w:ascii="Cambria Math" w:hAnsi="Cambria Math"/>
                <w:i/>
                <w:kern w:val="2"/>
                <w:szCs w:val="21"/>
              </w:rPr>
            </m:ctrlPr>
          </m:sub>
          <m:sup>
            <m:r>
              <m:rPr/>
              <w:rPr>
                <w:rFonts w:ascii="Cambria Math" w:hAnsi="Cambria Math"/>
              </w:rPr>
              <m:t>a</m:t>
            </m:r>
            <m:ctrlPr>
              <w:rPr>
                <w:rFonts w:ascii="Cambria Math" w:hAnsi="Cambria Math"/>
                <w:i/>
                <w:kern w:val="2"/>
                <w:szCs w:val="21"/>
              </w:rPr>
            </m:ctrlPr>
          </m:sup>
        </m:sSubSup>
      </m:oMath>
      <w:r>
        <w:rPr>
          <w:rFonts w:hint="eastAsia"/>
          <w:kern w:val="2"/>
          <w:szCs w:val="21"/>
        </w:rPr>
        <w:t>——生态水位（流量）满足程度，%；</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T</m:t>
            </m:r>
            <m:ctrlPr>
              <w:rPr>
                <w:rFonts w:ascii="Cambria Math" w:hAnsi="Cambria Math"/>
                <w:i/>
                <w:kern w:val="2"/>
                <w:szCs w:val="21"/>
              </w:rPr>
            </m:ctrlPr>
          </m:e>
          <m:sub>
            <m:r>
              <m:rPr/>
              <w:rPr>
                <w:rFonts w:ascii="Cambria Math" w:hAnsi="Cambria Math"/>
              </w:rPr>
              <m:t>p</m:t>
            </m:r>
            <m:ctrlPr>
              <w:rPr>
                <w:rFonts w:ascii="Cambria Math" w:hAnsi="Cambria Math"/>
                <w:i/>
                <w:kern w:val="2"/>
                <w:szCs w:val="21"/>
              </w:rPr>
            </m:ctrlPr>
          </m:sub>
        </m:sSub>
      </m:oMath>
      <w:r>
        <w:rPr>
          <w:rFonts w:hint="eastAsia"/>
          <w:kern w:val="2"/>
          <w:szCs w:val="21"/>
        </w:rPr>
        <w:t>——评估年内河道水位（流量）不低于生态水位（流量）的天数，单位为天（d）；</w:t>
      </w:r>
    </w:p>
    <w:p>
      <w:pPr>
        <w:pStyle w:val="59"/>
        <w:ind w:firstLine="420"/>
      </w:pPr>
      <m:oMath>
        <m:sSub>
          <m:sSubPr>
            <m:ctrlPr>
              <w:rPr>
                <w:rFonts w:ascii="Cambria Math" w:hAnsi="Cambria Math"/>
                <w:i/>
                <w:kern w:val="2"/>
                <w:szCs w:val="21"/>
              </w:rPr>
            </m:ctrlPr>
          </m:sSubPr>
          <m:e>
            <m:r>
              <m:rPr/>
              <w:rPr>
                <w:rFonts w:ascii="Cambria Math" w:hAnsi="Cambria Math"/>
              </w:rPr>
              <m:t>T</m:t>
            </m:r>
            <m:ctrlPr>
              <w:rPr>
                <w:rFonts w:ascii="Cambria Math" w:hAnsi="Cambria Math"/>
                <w:i/>
                <w:kern w:val="2"/>
                <w:szCs w:val="21"/>
              </w:rPr>
            </m:ctrlPr>
          </m:e>
          <m:sub>
            <m:r>
              <m:rPr/>
              <w:rPr>
                <w:rFonts w:ascii="Cambria Math" w:hAnsi="Cambria Math"/>
              </w:rPr>
              <m:t>y</m:t>
            </m:r>
            <m:ctrlPr>
              <w:rPr>
                <w:rFonts w:ascii="Cambria Math" w:hAnsi="Cambria Math"/>
                <w:i/>
                <w:kern w:val="2"/>
                <w:szCs w:val="21"/>
              </w:rPr>
            </m:ctrlPr>
          </m:sub>
        </m:sSub>
      </m:oMath>
      <w:r>
        <w:rPr>
          <w:rFonts w:hint="eastAsia"/>
          <w:kern w:val="2"/>
          <w:szCs w:val="21"/>
        </w:rPr>
        <w:t>——评估年总天数，单位为天（d）。</w:t>
      </w:r>
    </w:p>
    <w:p>
      <w:pPr>
        <w:pStyle w:val="177"/>
        <w:ind w:left="780" w:hanging="360"/>
      </w:pPr>
      <w:r>
        <w:rPr>
          <w:rFonts w:hint="eastAsia"/>
        </w:rPr>
        <w:t>未确定生态水位（流量）的河道，有流量监测资料，采用生态流量计算方法，最小日均流量占比应按公式（</w:t>
      </w:r>
      <w:r>
        <w:t>A.</w:t>
      </w:r>
      <w:r>
        <w:rPr>
          <w:rFonts w:hint="eastAsia"/>
        </w:rPr>
        <w:t>5）计算，取10月～次年3月或4月～9月两个时段的最小</w:t>
      </w:r>
      <w:r>
        <w:rPr>
          <w:rFonts w:hint="eastAsia"/>
          <w:color w:val="auto"/>
          <w:lang w:val="en-US" w:eastAsia="zh-CN"/>
        </w:rPr>
        <w:t>日均</w:t>
      </w:r>
      <w:r>
        <w:rPr>
          <w:rFonts w:hint="eastAsia"/>
        </w:rPr>
        <w:t>流量。</w:t>
      </w:r>
    </w:p>
    <w:p>
      <w:pPr>
        <w:pStyle w:val="116"/>
      </w:pPr>
      <w:r>
        <w:tab/>
      </w:r>
      <m:oMath>
        <m:sSubSup>
          <m:sSubSupPr>
            <m:ctrlPr>
              <w:rPr>
                <w:rFonts w:ascii="Cambria Math" w:hAnsi="Cambria Math"/>
                <w:i/>
              </w:rPr>
            </m:ctrlPr>
          </m:sSubSupPr>
          <m:e>
            <m:r>
              <m:rPr/>
              <w:rPr>
                <w:rFonts w:ascii="Cambria Math" w:hAnsi="Cambria Math"/>
              </w:rPr>
              <m:t>R</m:t>
            </m:r>
            <m:ctrlPr>
              <w:rPr>
                <w:rFonts w:ascii="Cambria Math" w:hAnsi="Cambria Math"/>
                <w:i/>
              </w:rPr>
            </m:ctrlPr>
          </m:e>
          <m:sub>
            <m:r>
              <m:rPr/>
              <w:rPr>
                <w:rFonts w:ascii="Cambria Math" w:hAnsi="Cambria Math"/>
              </w:rPr>
              <m:t>SL</m:t>
            </m:r>
            <m:ctrlPr>
              <w:rPr>
                <w:rFonts w:ascii="Cambria Math" w:hAnsi="Cambria Math"/>
                <w:i/>
              </w:rPr>
            </m:ctrlPr>
          </m:sub>
          <m:sup>
            <m:r>
              <m:rPr/>
              <w:rPr>
                <w:rFonts w:ascii="Cambria Math" w:hAnsi="Cambria Math"/>
              </w:rPr>
              <m:t>b</m:t>
            </m:r>
            <m:ctrlPr>
              <w:rPr>
                <w:rFonts w:ascii="Cambria Math" w:hAnsi="Cambria Math"/>
                <w:i/>
              </w:rPr>
            </m:ctrlPr>
          </m:sup>
        </m:sSubSup>
        <m:r>
          <m:rPr/>
          <w:rPr>
            <w:rFonts w:ascii="Cambria Math" w:hAnsi="Cambria Math"/>
          </w:rPr>
          <m:t>=</m:t>
        </m:r>
        <m:f>
          <m:fPr>
            <m:type m:val="skw"/>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min</m:t>
                </m:r>
                <m:ctrlPr>
                  <w:rPr>
                    <w:rFonts w:ascii="Cambria Math" w:hAnsi="Cambria Math"/>
                    <w:i/>
                  </w:rPr>
                </m:ctrlPr>
              </m:sub>
            </m:sSub>
            <m:ctrlPr>
              <w:rPr>
                <w:rFonts w:ascii="Cambria Math" w:hAnsi="Cambria Math"/>
                <w:i/>
              </w:rPr>
            </m:ctrlPr>
          </m:num>
          <m:den>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den>
        </m:f>
        <m:r>
          <m:rPr/>
          <w:rPr>
            <w:rFonts w:ascii="Cambria Math" w:hAnsi="Cambria Math"/>
          </w:rPr>
          <m:t>×100</m:t>
        </m:r>
      </m:oMath>
      <w:r>
        <w:rPr>
          <w:rFonts w:ascii="微软雅黑" w:hAnsi="微软雅黑" w:eastAsia="微软雅黑"/>
        </w:rPr>
        <w:tab/>
      </w:r>
      <w:r>
        <w:t>(A.</w:t>
      </w:r>
      <w:r>
        <w:fldChar w:fldCharType="begin"/>
      </w:r>
      <w:r>
        <w:instrText xml:space="preserve">  seq fulu_equation_133419061986399731  </w:instrText>
      </w:r>
      <w:r>
        <w:fldChar w:fldCharType="separate"/>
      </w:r>
      <w:r>
        <w:t>5</w:t>
      </w:r>
      <w:r>
        <w:fldChar w:fldCharType="end"/>
      </w:r>
      <w:r>
        <w:t>)</w:t>
      </w:r>
    </w:p>
    <w:p>
      <w:pPr>
        <w:pStyle w:val="58"/>
        <w:ind w:firstLine="420"/>
      </w:pPr>
      <w:r>
        <w:rPr>
          <w:rFonts w:hint="eastAsia"/>
        </w:rPr>
        <w:t>式中：</w:t>
      </w:r>
    </w:p>
    <w:p>
      <w:pPr>
        <w:pStyle w:val="59"/>
        <w:ind w:firstLine="420"/>
        <w:rPr>
          <w:kern w:val="2"/>
          <w:szCs w:val="21"/>
        </w:rPr>
      </w:pPr>
      <m:oMath>
        <m:sSubSup>
          <m:sSubSupPr>
            <m:ctrlPr>
              <w:rPr>
                <w:rFonts w:ascii="Cambria Math" w:hAnsi="Cambria Math"/>
                <w:i/>
                <w:kern w:val="2"/>
                <w:szCs w:val="21"/>
              </w:rPr>
            </m:ctrlPr>
          </m:sSubSupPr>
          <m:e>
            <m:r>
              <m:rPr/>
              <w:rPr>
                <w:rFonts w:ascii="Cambria Math" w:hAnsi="Cambria Math"/>
              </w:rPr>
              <m:t>R</m:t>
            </m:r>
            <m:ctrlPr>
              <w:rPr>
                <w:rFonts w:ascii="Cambria Math" w:hAnsi="Cambria Math"/>
                <w:i/>
                <w:kern w:val="2"/>
                <w:szCs w:val="21"/>
              </w:rPr>
            </m:ctrlPr>
          </m:e>
          <m:sub>
            <m:r>
              <m:rPr/>
              <w:rPr>
                <w:rFonts w:ascii="Cambria Math" w:hAnsi="Cambria Math"/>
              </w:rPr>
              <m:t>SL</m:t>
            </m:r>
            <m:ctrlPr>
              <w:rPr>
                <w:rFonts w:ascii="Cambria Math" w:hAnsi="Cambria Math"/>
                <w:i/>
                <w:kern w:val="2"/>
                <w:szCs w:val="21"/>
              </w:rPr>
            </m:ctrlPr>
          </m:sub>
          <m:sup>
            <m:r>
              <m:rPr/>
              <w:rPr>
                <w:rFonts w:ascii="Cambria Math" w:hAnsi="Cambria Math"/>
              </w:rPr>
              <m:t>b</m:t>
            </m:r>
            <m:ctrlPr>
              <w:rPr>
                <w:rFonts w:ascii="Cambria Math" w:hAnsi="Cambria Math"/>
                <w:i/>
                <w:kern w:val="2"/>
                <w:szCs w:val="21"/>
              </w:rPr>
            </m:ctrlPr>
          </m:sup>
        </m:sSubSup>
      </m:oMath>
      <w:r>
        <w:rPr>
          <w:rFonts w:hint="eastAsia"/>
          <w:kern w:val="2"/>
          <w:szCs w:val="21"/>
        </w:rPr>
        <w:t xml:space="preserve"> ——生态水位（流量）满足程度，%；</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Q</m:t>
            </m:r>
            <m:ctrlPr>
              <w:rPr>
                <w:rFonts w:ascii="Cambria Math" w:hAnsi="Cambria Math"/>
                <w:i/>
                <w:kern w:val="2"/>
                <w:szCs w:val="21"/>
              </w:rPr>
            </m:ctrlPr>
          </m:e>
          <m:sub>
            <m:r>
              <m:rPr/>
              <w:rPr>
                <w:rFonts w:ascii="Cambria Math" w:hAnsi="Cambria Math"/>
              </w:rPr>
              <m:t>min</m:t>
            </m:r>
            <m:ctrlPr>
              <w:rPr>
                <w:rFonts w:ascii="Cambria Math" w:hAnsi="Cambria Math"/>
                <w:i/>
                <w:kern w:val="2"/>
                <w:szCs w:val="21"/>
              </w:rPr>
            </m:ctrlPr>
          </m:sub>
        </m:sSub>
      </m:oMath>
      <w:r>
        <w:rPr>
          <w:rFonts w:hint="eastAsia"/>
          <w:kern w:val="2"/>
          <w:szCs w:val="21"/>
        </w:rPr>
        <w:t>——</w:t>
      </w:r>
      <w:r>
        <w:rPr>
          <w:kern w:val="2"/>
          <w:szCs w:val="21"/>
        </w:rPr>
        <w:t>10</w:t>
      </w:r>
      <w:r>
        <w:rPr>
          <w:rFonts w:hint="eastAsia"/>
          <w:kern w:val="2"/>
          <w:szCs w:val="21"/>
        </w:rPr>
        <w:t>月</w:t>
      </w:r>
      <w:r>
        <w:rPr>
          <w:rFonts w:hint="eastAsia" w:hAnsi="宋体"/>
          <w:kern w:val="2"/>
          <w:szCs w:val="21"/>
        </w:rPr>
        <w:t>～</w:t>
      </w:r>
      <w:r>
        <w:rPr>
          <w:rFonts w:hint="eastAsia"/>
          <w:kern w:val="2"/>
          <w:szCs w:val="21"/>
        </w:rPr>
        <w:t>次年3月或4月</w:t>
      </w:r>
      <w:r>
        <w:rPr>
          <w:rFonts w:hint="eastAsia" w:hAnsi="宋体"/>
          <w:kern w:val="2"/>
          <w:szCs w:val="21"/>
        </w:rPr>
        <w:t>～</w:t>
      </w:r>
      <w:r>
        <w:rPr>
          <w:rFonts w:hint="eastAsia"/>
          <w:kern w:val="2"/>
          <w:szCs w:val="21"/>
        </w:rPr>
        <w:t>9月最小日均流量，单位为立方米每秒（m</w:t>
      </w:r>
      <w:r>
        <w:rPr>
          <w:kern w:val="2"/>
          <w:szCs w:val="21"/>
          <w:vertAlign w:val="superscript"/>
        </w:rPr>
        <w:t>3</w:t>
      </w:r>
      <w:r>
        <w:rPr>
          <w:kern w:val="2"/>
          <w:szCs w:val="21"/>
        </w:rPr>
        <w:t>/s</w:t>
      </w:r>
      <w:r>
        <w:rPr>
          <w:rFonts w:hint="eastAsia"/>
          <w:kern w:val="2"/>
          <w:szCs w:val="21"/>
        </w:rPr>
        <w:t>）；</w:t>
      </w:r>
    </w:p>
    <w:p>
      <w:pPr>
        <w:pStyle w:val="59"/>
        <w:ind w:firstLine="420"/>
      </w:pPr>
      <m:oMath>
        <m:acc>
          <m:accPr>
            <m:chr m:val="̅"/>
            <m:ctrlPr>
              <w:rPr>
                <w:rFonts w:ascii="Cambria Math" w:hAnsi="Cambria Math"/>
                <w:i/>
                <w:kern w:val="2"/>
                <w:szCs w:val="21"/>
              </w:rPr>
            </m:ctrlPr>
          </m:accPr>
          <m:e>
            <m:r>
              <m:rPr/>
              <w:rPr>
                <w:rFonts w:ascii="Cambria Math" w:hAnsi="Cambria Math"/>
              </w:rPr>
              <m:t>Q</m:t>
            </m:r>
            <m:ctrlPr>
              <w:rPr>
                <w:rFonts w:ascii="Cambria Math" w:hAnsi="Cambria Math"/>
                <w:i/>
                <w:kern w:val="2"/>
                <w:szCs w:val="21"/>
              </w:rPr>
            </m:ctrlPr>
          </m:e>
        </m:acc>
      </m:oMath>
      <w:r>
        <w:rPr>
          <w:rFonts w:hint="eastAsia"/>
          <w:kern w:val="2"/>
          <w:szCs w:val="21"/>
        </w:rPr>
        <w:t xml:space="preserve"> </w:t>
      </w:r>
      <w:r>
        <w:rPr>
          <w:kern w:val="2"/>
          <w:szCs w:val="21"/>
        </w:rPr>
        <w:t xml:space="preserve">  </w:t>
      </w:r>
      <w:r>
        <w:rPr>
          <w:rFonts w:hint="eastAsia"/>
          <w:kern w:val="2"/>
          <w:szCs w:val="21"/>
        </w:rPr>
        <w:t>——近3</w:t>
      </w:r>
      <w:r>
        <w:rPr>
          <w:kern w:val="2"/>
          <w:szCs w:val="21"/>
        </w:rPr>
        <w:t>0</w:t>
      </w:r>
      <w:r>
        <w:rPr>
          <w:rFonts w:hint="eastAsia"/>
          <w:kern w:val="2"/>
          <w:szCs w:val="21"/>
        </w:rPr>
        <w:t>年河道多年平均流量，单位为立方米每秒（m</w:t>
      </w:r>
      <w:r>
        <w:rPr>
          <w:kern w:val="2"/>
          <w:szCs w:val="21"/>
          <w:vertAlign w:val="superscript"/>
        </w:rPr>
        <w:t>3</w:t>
      </w:r>
      <w:r>
        <w:rPr>
          <w:kern w:val="2"/>
          <w:szCs w:val="21"/>
        </w:rPr>
        <w:t>/s</w:t>
      </w:r>
      <w:r>
        <w:rPr>
          <w:rFonts w:hint="eastAsia"/>
          <w:kern w:val="2"/>
          <w:szCs w:val="21"/>
        </w:rPr>
        <w:t>）。</w:t>
      </w:r>
    </w:p>
    <w:p>
      <w:pPr>
        <w:pStyle w:val="177"/>
        <w:ind w:left="780" w:hanging="360"/>
      </w:pPr>
      <w:r>
        <w:rPr>
          <w:rFonts w:hint="eastAsia"/>
        </w:rPr>
        <w:t>未确定生态水位（流量）河道，无流量监测资料，采用近30年的90%保证率年最低水位作为生态水位，生态水位满足程度按公式（A</w:t>
      </w:r>
      <w:r>
        <w:t>.</w:t>
      </w:r>
      <w:r>
        <w:rPr>
          <w:rFonts w:hint="eastAsia"/>
        </w:rPr>
        <w:t>6）计算，资料覆盖度不高的区域，同一片区采用流域规划确定的片区代表站生态水位最低值作为标准值。</w:t>
      </w:r>
    </w:p>
    <w:p>
      <w:pPr>
        <w:pStyle w:val="116"/>
      </w:pPr>
      <w:r>
        <w:tab/>
      </w:r>
      <m:oMath>
        <m:sSubSup>
          <m:sSubSupPr>
            <m:ctrlPr>
              <w:rPr>
                <w:rFonts w:ascii="Cambria Math" w:hAnsi="Cambria Math"/>
                <w:i/>
              </w:rPr>
            </m:ctrlPr>
          </m:sSubSupPr>
          <m:e>
            <m:r>
              <m:rPr/>
              <w:rPr>
                <w:rFonts w:ascii="Cambria Math" w:hAnsi="Cambria Math"/>
              </w:rPr>
              <m:t>R</m:t>
            </m:r>
            <m:ctrlPr>
              <w:rPr>
                <w:rFonts w:ascii="Cambria Math" w:hAnsi="Cambria Math"/>
                <w:i/>
              </w:rPr>
            </m:ctrlPr>
          </m:e>
          <m:sub>
            <m:r>
              <m:rPr/>
              <w:rPr>
                <w:rFonts w:ascii="Cambria Math" w:hAnsi="Cambria Math"/>
              </w:rPr>
              <m:t>SL</m:t>
            </m:r>
            <m:ctrlPr>
              <w:rPr>
                <w:rFonts w:ascii="Cambria Math" w:hAnsi="Cambria Math"/>
                <w:i/>
              </w:rPr>
            </m:ctrlPr>
          </m:sub>
          <m:sup>
            <m:r>
              <m:rPr/>
              <w:rPr>
                <w:rFonts w:ascii="Cambria Math" w:hAnsi="Cambria Math"/>
              </w:rPr>
              <m:t>c</m:t>
            </m:r>
            <m:ctrlPr>
              <w:rPr>
                <w:rFonts w:ascii="Cambria Math" w:hAnsi="Cambria Math"/>
                <w:i/>
              </w:rPr>
            </m:ctrlPr>
          </m:sup>
        </m:sSubSup>
        <m:r>
          <m:rPr/>
          <w:rPr>
            <w:rFonts w:ascii="Cambria Math" w:hAnsi="Cambria Math"/>
          </w:rPr>
          <m:t>=</m:t>
        </m:r>
        <m:f>
          <m:fPr>
            <m:type m:val="skw"/>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y</m:t>
                </m:r>
                <m:ctrlPr>
                  <w:rPr>
                    <w:rFonts w:ascii="Cambria Math" w:hAnsi="Cambria Math"/>
                    <w:i/>
                  </w:rPr>
                </m:ctrlPr>
              </m:sub>
            </m:sSub>
            <m:ctrlPr>
              <w:rPr>
                <w:rFonts w:ascii="Cambria Math" w:hAnsi="Cambria Math"/>
                <w:i/>
              </w:rPr>
            </m:ctrlPr>
          </m:den>
        </m:f>
        <m:r>
          <m:rPr/>
          <w:rPr>
            <w:rFonts w:ascii="Cambria Math" w:hAnsi="Cambria Math"/>
          </w:rPr>
          <m:t>×100</m:t>
        </m:r>
      </m:oMath>
      <w:r>
        <w:rPr>
          <w:rFonts w:ascii="微软雅黑" w:hAnsi="微软雅黑" w:eastAsia="微软雅黑"/>
        </w:rPr>
        <w:tab/>
      </w:r>
      <w:r>
        <w:t>(A.</w:t>
      </w:r>
      <w:r>
        <w:fldChar w:fldCharType="begin"/>
      </w:r>
      <w:r>
        <w:instrText xml:space="preserve">  seq fulu_equation_133419061986399731  </w:instrText>
      </w:r>
      <w:r>
        <w:fldChar w:fldCharType="separate"/>
      </w:r>
      <w:r>
        <w:t>6</w:t>
      </w:r>
      <w:r>
        <w:fldChar w:fldCharType="end"/>
      </w:r>
      <w:r>
        <w:t>)</w:t>
      </w:r>
    </w:p>
    <w:p>
      <w:pPr>
        <w:pStyle w:val="58"/>
        <w:ind w:firstLine="420"/>
      </w:pPr>
      <w:r>
        <w:rPr>
          <w:rFonts w:hint="eastAsia"/>
        </w:rPr>
        <w:t>式中：</w:t>
      </w:r>
    </w:p>
    <w:p>
      <w:pPr>
        <w:pStyle w:val="59"/>
        <w:ind w:firstLine="420"/>
        <w:rPr>
          <w:kern w:val="2"/>
          <w:szCs w:val="21"/>
        </w:rPr>
      </w:pPr>
      <m:oMath>
        <m:sSubSup>
          <m:sSubSupPr>
            <m:ctrlPr>
              <w:rPr>
                <w:rFonts w:ascii="Cambria Math" w:hAnsi="Cambria Math"/>
                <w:i/>
                <w:kern w:val="2"/>
                <w:szCs w:val="21"/>
              </w:rPr>
            </m:ctrlPr>
          </m:sSubSupPr>
          <m:e>
            <m:r>
              <m:rPr/>
              <w:rPr>
                <w:rFonts w:ascii="Cambria Math" w:hAnsi="Cambria Math"/>
              </w:rPr>
              <m:t>R</m:t>
            </m:r>
            <m:ctrlPr>
              <w:rPr>
                <w:rFonts w:ascii="Cambria Math" w:hAnsi="Cambria Math"/>
                <w:i/>
                <w:kern w:val="2"/>
                <w:szCs w:val="21"/>
              </w:rPr>
            </m:ctrlPr>
          </m:e>
          <m:sub>
            <m:r>
              <m:rPr/>
              <w:rPr>
                <w:rFonts w:ascii="Cambria Math" w:hAnsi="Cambria Math"/>
              </w:rPr>
              <m:t>SL</m:t>
            </m:r>
            <m:ctrlPr>
              <w:rPr>
                <w:rFonts w:ascii="Cambria Math" w:hAnsi="Cambria Math"/>
                <w:i/>
                <w:kern w:val="2"/>
                <w:szCs w:val="21"/>
              </w:rPr>
            </m:ctrlPr>
          </m:sub>
          <m:sup>
            <m:r>
              <m:rPr/>
              <w:rPr>
                <w:rFonts w:ascii="Cambria Math" w:hAnsi="Cambria Math"/>
              </w:rPr>
              <m:t>c</m:t>
            </m:r>
            <m:ctrlPr>
              <w:rPr>
                <w:rFonts w:ascii="Cambria Math" w:hAnsi="Cambria Math"/>
                <w:i/>
                <w:kern w:val="2"/>
                <w:szCs w:val="21"/>
              </w:rPr>
            </m:ctrlPr>
          </m:sup>
        </m:sSubSup>
      </m:oMath>
      <w:r>
        <w:rPr>
          <w:rFonts w:hint="eastAsia"/>
          <w:kern w:val="2"/>
          <w:szCs w:val="21"/>
        </w:rPr>
        <w:t>——生态水位（流量）满足程度，%；</w:t>
      </w:r>
    </w:p>
    <w:p>
      <w:pPr>
        <w:pStyle w:val="59"/>
        <w:ind w:firstLine="420"/>
      </w:pPr>
      <m:oMath>
        <m:sSub>
          <m:sSubPr>
            <m:ctrlPr>
              <w:rPr>
                <w:rFonts w:ascii="Cambria Math" w:hAnsi="Cambria Math"/>
                <w:i/>
                <w:kern w:val="2"/>
                <w:szCs w:val="21"/>
              </w:rPr>
            </m:ctrlPr>
          </m:sSubPr>
          <m:e>
            <m:r>
              <m:rPr/>
              <w:rPr>
                <w:rFonts w:ascii="Cambria Math" w:hAnsi="Cambria Math"/>
              </w:rPr>
              <m:t>T</m:t>
            </m:r>
            <m:ctrlPr>
              <w:rPr>
                <w:rFonts w:ascii="Cambria Math" w:hAnsi="Cambria Math"/>
                <w:i/>
                <w:kern w:val="2"/>
                <w:szCs w:val="21"/>
              </w:rPr>
            </m:ctrlPr>
          </m:e>
          <m:sub>
            <m:r>
              <m:rPr/>
              <w:rPr>
                <w:rFonts w:ascii="Cambria Math" w:hAnsi="Cambria Math"/>
              </w:rPr>
              <m:t>ℎ</m:t>
            </m:r>
            <m:ctrlPr>
              <w:rPr>
                <w:rFonts w:ascii="Cambria Math" w:hAnsi="Cambria Math"/>
                <w:i/>
                <w:kern w:val="2"/>
                <w:szCs w:val="21"/>
              </w:rPr>
            </m:ctrlPr>
          </m:sub>
        </m:sSub>
      </m:oMath>
      <w:r>
        <w:rPr>
          <w:rFonts w:hint="eastAsia"/>
          <w:kern w:val="2"/>
          <w:szCs w:val="21"/>
        </w:rPr>
        <w:t xml:space="preserve"> ——评估年内河道逐日水位不低于生态水位的天数，单位为天（d）。</w:t>
      </w:r>
    </w:p>
    <w:p>
      <w:pPr>
        <w:pStyle w:val="81"/>
        <w:spacing w:before="156" w:after="156"/>
      </w:pPr>
      <w:bookmarkStart w:id="593" w:name="_Toc154582324"/>
      <w:bookmarkStart w:id="594" w:name="_Toc157261296"/>
      <w:bookmarkStart w:id="595" w:name="_Toc154491987"/>
      <w:bookmarkStart w:id="596" w:name="_Toc154654485"/>
      <w:bookmarkStart w:id="597" w:name="_Toc154585930"/>
      <w:bookmarkStart w:id="598" w:name="_Toc152913645"/>
      <w:r>
        <w:rPr>
          <w:rFonts w:hint="eastAsia"/>
        </w:rPr>
        <w:t>水生态</w:t>
      </w:r>
      <w:bookmarkEnd w:id="593"/>
      <w:bookmarkEnd w:id="594"/>
      <w:bookmarkEnd w:id="595"/>
      <w:bookmarkEnd w:id="596"/>
      <w:bookmarkEnd w:id="597"/>
      <w:bookmarkEnd w:id="598"/>
    </w:p>
    <w:p>
      <w:pPr>
        <w:pStyle w:val="82"/>
        <w:spacing w:before="156" w:after="156"/>
      </w:pPr>
      <w:r>
        <w:rPr>
          <w:rFonts w:hint="eastAsia"/>
        </w:rPr>
        <w:t>水质目标</w:t>
      </w:r>
    </w:p>
    <w:p>
      <w:pPr>
        <w:pStyle w:val="59"/>
        <w:ind w:firstLine="420"/>
      </w:pPr>
      <w:bookmarkStart w:id="599" w:name="_Hlk133422267"/>
      <w:r>
        <w:rPr>
          <w:rFonts w:hint="eastAsia"/>
        </w:rPr>
        <w:t>水质目标现状水平填写达到的水质类别，规划目标填写生态环境部门规定该河道代表断面的水质类别要求。现状水质评价按照下列方法计算：</w:t>
      </w:r>
      <w:bookmarkEnd w:id="599"/>
    </w:p>
    <w:p>
      <w:pPr>
        <w:pStyle w:val="177"/>
        <w:numPr>
          <w:ilvl w:val="0"/>
          <w:numId w:val="53"/>
        </w:numPr>
      </w:pPr>
      <w:r>
        <w:rPr>
          <w:rFonts w:hint="eastAsia"/>
        </w:rPr>
        <w:t>水样的采样布点、监测频率及监测数据的处理按SL</w:t>
      </w:r>
      <w:r>
        <w:t xml:space="preserve"> </w:t>
      </w:r>
      <w:r>
        <w:rPr>
          <w:rFonts w:hint="eastAsia"/>
        </w:rPr>
        <w:t>219相关规定执行，水质评价按GB</w:t>
      </w:r>
      <w:r>
        <w:t xml:space="preserve"> </w:t>
      </w:r>
      <w:r>
        <w:rPr>
          <w:rFonts w:hint="eastAsia"/>
        </w:rPr>
        <w:t>3838—</w:t>
      </w:r>
      <w:r>
        <w:t>2002</w:t>
      </w:r>
      <w:r>
        <w:rPr>
          <w:rFonts w:hint="eastAsia"/>
        </w:rPr>
        <w:t>相关规定执行；</w:t>
      </w:r>
    </w:p>
    <w:p>
      <w:pPr>
        <w:pStyle w:val="177"/>
        <w:numPr>
          <w:ilvl w:val="0"/>
          <w:numId w:val="53"/>
        </w:numPr>
      </w:pPr>
      <w:r>
        <w:rPr>
          <w:rFonts w:hint="eastAsia"/>
        </w:rPr>
        <w:t>有多次监测数据时采用多次监测结果的平均值，有多个断面监测数据时以各监测断面的代表性河长作为权重，计算各个断面监测结果的加权平均值。</w:t>
      </w:r>
    </w:p>
    <w:p>
      <w:pPr>
        <w:pStyle w:val="82"/>
        <w:spacing w:before="156" w:after="156"/>
      </w:pPr>
      <w:r>
        <w:rPr>
          <w:rFonts w:hint="eastAsia"/>
        </w:rPr>
        <w:t>生态岸线保有率</w:t>
      </w:r>
    </w:p>
    <w:p>
      <w:pPr>
        <w:pStyle w:val="59"/>
        <w:ind w:firstLine="420"/>
      </w:pPr>
      <w:r>
        <w:rPr>
          <w:rFonts w:hint="eastAsia"/>
        </w:rPr>
        <w:t>生态岸线保有率指没有经过人为干扰的自然岸线和经治理修复后具有自然岸线形态和生态功能的生态堤岸长度之和占岸线总长度的比率。按公式（</w:t>
      </w:r>
      <w:r>
        <w:t>A.7</w:t>
      </w:r>
      <w:r>
        <w:rPr>
          <w:rFonts w:hint="eastAsia"/>
        </w:rPr>
        <w:t>）进行计算并赋值。</w:t>
      </w:r>
    </w:p>
    <w:p>
      <w:pPr>
        <w:pStyle w:val="116"/>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AS</m:t>
            </m:r>
            <m:ctrlPr>
              <w:rPr>
                <w:rFonts w:ascii="Cambria Math" w:hAnsi="Cambria Math"/>
                <w:i/>
              </w:rPr>
            </m:ctrlPr>
          </m:sub>
        </m:sSub>
        <m:r>
          <m:rPr/>
          <w:rPr>
            <w:rFonts w:ascii="Cambria Math" w:hAnsi="Cambria Math"/>
          </w:rPr>
          <m:t>=</m:t>
        </m:r>
        <m:f>
          <m:fPr>
            <m:type m:val="skw"/>
            <m:ctrlPr>
              <w:rPr>
                <w:rFonts w:ascii="Cambria Math" w:hAnsi="Cambria Math"/>
                <w:i/>
              </w:rPr>
            </m:ctrlPr>
          </m:fPr>
          <m:num>
            <m:sSub>
              <m:sSubPr>
                <m:ctrlPr>
                  <w:rPr>
                    <w:rFonts w:ascii="Cambria Math" w:hAnsi="Cambria Math"/>
                    <w:i/>
                  </w:rPr>
                </m:ctrlPr>
              </m:sSubPr>
              <m:e>
                <m:r>
                  <m:rPr/>
                  <w:rPr>
                    <w:rFonts w:ascii="Cambria Math" w:hAnsi="Cambria Math"/>
                  </w:rPr>
                  <m:t>AL</m:t>
                </m:r>
                <m:ctrlPr>
                  <w:rPr>
                    <w:rFonts w:ascii="Cambria Math" w:hAnsi="Cambria Math"/>
                    <w:i/>
                  </w:rPr>
                </m:ctrlPr>
              </m:e>
              <m:sub>
                <m:r>
                  <m:rPr/>
                  <w:rPr>
                    <w:rFonts w:ascii="Cambria Math" w:hAnsi="Cambria Math"/>
                  </w:rPr>
                  <m:t>o</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AL</m:t>
                </m:r>
                <m:ctrlPr>
                  <w:rPr>
                    <w:rFonts w:ascii="Cambria Math" w:hAnsi="Cambria Math"/>
                    <w:i/>
                  </w:rPr>
                </m:ctrlPr>
              </m:e>
              <m:sub>
                <m:r>
                  <m:rPr/>
                  <w:rPr>
                    <w:rFonts w:ascii="Cambria Math" w:hAnsi="Cambria Math"/>
                  </w:rPr>
                  <m:t>n</m:t>
                </m:r>
                <m:ctrlPr>
                  <w:rPr>
                    <w:rFonts w:ascii="Cambria Math" w:hAnsi="Cambria Math"/>
                    <w:i/>
                  </w:rPr>
                </m:ctrlPr>
              </m:sub>
            </m:sSub>
            <m:ctrlPr>
              <w:rPr>
                <w:rFonts w:ascii="Cambria Math" w:hAnsi="Cambria Math"/>
                <w:i/>
              </w:rPr>
            </m:ctrlPr>
          </m:den>
        </m:f>
        <m:r>
          <m:rPr/>
          <w:rPr>
            <w:rFonts w:ascii="Cambria Math" w:hAnsi="Cambria Math"/>
          </w:rPr>
          <m:t>×100</m:t>
        </m:r>
      </m:oMath>
      <w:r>
        <w:rPr>
          <w:rFonts w:ascii="微软雅黑" w:hAnsi="微软雅黑" w:eastAsia="微软雅黑"/>
        </w:rPr>
        <w:tab/>
      </w:r>
      <w:r>
        <w:t>(A.</w:t>
      </w:r>
      <w:r>
        <w:fldChar w:fldCharType="begin"/>
      </w:r>
      <w:r>
        <w:instrText xml:space="preserve">  seq fulu_equation_133419061986399731  </w:instrText>
      </w:r>
      <w:r>
        <w:fldChar w:fldCharType="separate"/>
      </w:r>
      <w:r>
        <w:t>7</w:t>
      </w:r>
      <w:r>
        <w:fldChar w:fldCharType="end"/>
      </w:r>
      <w:r>
        <w:t>)</w:t>
      </w:r>
    </w:p>
    <w:p>
      <w:pPr>
        <w:pStyle w:val="58"/>
        <w:ind w:firstLine="420"/>
      </w:pPr>
      <w:r>
        <w:rPr>
          <w:rFonts w:hint="eastAsia"/>
        </w:rPr>
        <w:t>式中：</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R</m:t>
            </m:r>
            <m:ctrlPr>
              <w:rPr>
                <w:rFonts w:ascii="Cambria Math" w:hAnsi="Cambria Math"/>
                <w:i/>
                <w:kern w:val="2"/>
                <w:szCs w:val="21"/>
              </w:rPr>
            </m:ctrlPr>
          </m:e>
          <m:sub>
            <m:r>
              <m:rPr/>
              <w:rPr>
                <w:rFonts w:ascii="Cambria Math" w:hAnsi="Cambria Math"/>
              </w:rPr>
              <m:t>AS</m:t>
            </m:r>
            <m:ctrlPr>
              <w:rPr>
                <w:rFonts w:ascii="Cambria Math" w:hAnsi="Cambria Math"/>
                <w:i/>
                <w:kern w:val="2"/>
                <w:szCs w:val="21"/>
              </w:rPr>
            </m:ctrlPr>
          </m:sub>
        </m:sSub>
      </m:oMath>
      <w:r>
        <w:rPr>
          <w:rFonts w:hint="eastAsia"/>
          <w:kern w:val="2"/>
          <w:szCs w:val="21"/>
        </w:rPr>
        <w:t>——生态岸线保有率赋值，%；</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AL</m:t>
            </m:r>
            <m:ctrlPr>
              <w:rPr>
                <w:rFonts w:ascii="Cambria Math" w:hAnsi="Cambria Math"/>
                <w:i/>
                <w:kern w:val="2"/>
                <w:szCs w:val="21"/>
              </w:rPr>
            </m:ctrlPr>
          </m:e>
          <m:sub>
            <m:r>
              <m:rPr/>
              <w:rPr>
                <w:rFonts w:ascii="Cambria Math" w:hAnsi="Cambria Math"/>
              </w:rPr>
              <m:t>o</m:t>
            </m:r>
            <m:ctrlPr>
              <w:rPr>
                <w:rFonts w:ascii="Cambria Math" w:hAnsi="Cambria Math"/>
                <w:i/>
                <w:kern w:val="2"/>
                <w:szCs w:val="21"/>
              </w:rPr>
            </m:ctrlPr>
          </m:sub>
        </m:sSub>
      </m:oMath>
      <w:r>
        <w:rPr>
          <w:rFonts w:hint="eastAsia"/>
          <w:kern w:val="2"/>
          <w:szCs w:val="21"/>
        </w:rPr>
        <w:t>——生态堤岸长度，单位为千米（k</w:t>
      </w:r>
      <w:r>
        <w:rPr>
          <w:kern w:val="2"/>
          <w:szCs w:val="21"/>
        </w:rPr>
        <w:t>m</w:t>
      </w:r>
      <w:r>
        <w:rPr>
          <w:rFonts w:hint="eastAsia"/>
          <w:kern w:val="2"/>
          <w:szCs w:val="21"/>
        </w:rPr>
        <w:t>）；</w:t>
      </w:r>
    </w:p>
    <w:p>
      <w:pPr>
        <w:pStyle w:val="59"/>
        <w:ind w:firstLine="420"/>
      </w:pPr>
      <m:oMath>
        <m:sSub>
          <m:sSubPr>
            <m:ctrlPr>
              <w:rPr>
                <w:rFonts w:ascii="Cambria Math" w:hAnsi="Cambria Math"/>
                <w:i/>
                <w:kern w:val="2"/>
                <w:szCs w:val="21"/>
              </w:rPr>
            </m:ctrlPr>
          </m:sSubPr>
          <m:e>
            <m:r>
              <m:rPr/>
              <w:rPr>
                <w:rFonts w:ascii="Cambria Math" w:hAnsi="Cambria Math"/>
              </w:rPr>
              <m:t>AL</m:t>
            </m:r>
            <m:ctrlPr>
              <w:rPr>
                <w:rFonts w:ascii="Cambria Math" w:hAnsi="Cambria Math"/>
                <w:i/>
                <w:kern w:val="2"/>
                <w:szCs w:val="21"/>
              </w:rPr>
            </m:ctrlPr>
          </m:e>
          <m:sub>
            <m:r>
              <m:rPr/>
              <w:rPr>
                <w:rFonts w:ascii="Cambria Math" w:hAnsi="Cambria Math"/>
              </w:rPr>
              <m:t>n</m:t>
            </m:r>
            <m:ctrlPr>
              <w:rPr>
                <w:rFonts w:ascii="Cambria Math" w:hAnsi="Cambria Math"/>
                <w:i/>
                <w:kern w:val="2"/>
                <w:szCs w:val="21"/>
              </w:rPr>
            </m:ctrlPr>
          </m:sub>
        </m:sSub>
      </m:oMath>
      <w:r>
        <w:rPr>
          <w:rFonts w:hint="eastAsia"/>
          <w:kern w:val="2"/>
          <w:szCs w:val="21"/>
        </w:rPr>
        <w:t>——岸线总长度，单位为千米（k</w:t>
      </w:r>
      <w:r>
        <w:rPr>
          <w:kern w:val="2"/>
          <w:szCs w:val="21"/>
        </w:rPr>
        <w:t>m</w:t>
      </w:r>
      <w:r>
        <w:rPr>
          <w:rFonts w:hint="eastAsia"/>
          <w:kern w:val="2"/>
          <w:szCs w:val="21"/>
        </w:rPr>
        <w:t>）。</w:t>
      </w:r>
    </w:p>
    <w:p>
      <w:pPr>
        <w:pStyle w:val="81"/>
        <w:spacing w:before="156" w:after="156"/>
      </w:pPr>
      <w:bookmarkStart w:id="600" w:name="_Toc154654486"/>
      <w:bookmarkStart w:id="601" w:name="_Toc152913646"/>
      <w:bookmarkStart w:id="602" w:name="_Toc154491988"/>
      <w:bookmarkStart w:id="603" w:name="_Toc154585931"/>
      <w:bookmarkStart w:id="604" w:name="_Toc157261297"/>
      <w:bookmarkStart w:id="605" w:name="_Toc154582325"/>
      <w:r>
        <w:rPr>
          <w:rFonts w:hint="eastAsia"/>
        </w:rPr>
        <w:t>水空间</w:t>
      </w:r>
      <w:bookmarkEnd w:id="600"/>
      <w:bookmarkEnd w:id="601"/>
      <w:bookmarkEnd w:id="602"/>
      <w:bookmarkEnd w:id="603"/>
      <w:bookmarkEnd w:id="604"/>
      <w:bookmarkEnd w:id="605"/>
    </w:p>
    <w:p>
      <w:pPr>
        <w:pStyle w:val="59"/>
        <w:ind w:firstLine="420"/>
      </w:pPr>
      <w:r>
        <w:rPr>
          <w:rFonts w:hint="eastAsia"/>
        </w:rPr>
        <w:t>水空间以岸线功能区达标率来表征，岸线功能区达标率指满足管控要求的岸线功能区个数占河道岸线功能区总个数的百分比。按公式（</w:t>
      </w:r>
      <w:r>
        <w:t>A.8</w:t>
      </w:r>
      <w:r>
        <w:rPr>
          <w:rFonts w:hint="eastAsia"/>
        </w:rPr>
        <w:t>）进行计算并赋值。</w:t>
      </w:r>
    </w:p>
    <w:p>
      <w:pPr>
        <w:pStyle w:val="116"/>
      </w:pP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SA</m:t>
            </m:r>
            <m:ctrlPr>
              <w:rPr>
                <w:rFonts w:ascii="Cambria Math" w:hAnsi="Cambria Math"/>
                <w:i/>
              </w:rPr>
            </m:ctrlPr>
          </m:sub>
        </m:sSub>
        <m:r>
          <m:rPr/>
          <w:rPr>
            <w:rFonts w:ascii="Cambria Math" w:hAnsi="Cambria Math"/>
          </w:rPr>
          <m:t>=</m:t>
        </m:r>
        <m:f>
          <m:fPr>
            <m:type m:val="skw"/>
            <m:ctrlPr>
              <w:rPr>
                <w:rFonts w:ascii="Cambria Math" w:hAnsi="Cambria Math"/>
                <w:i/>
              </w:rPr>
            </m:ctrlPr>
          </m:fPr>
          <m:num>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o</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n</m:t>
                </m:r>
                <m:ctrlPr>
                  <w:rPr>
                    <w:rFonts w:ascii="Cambria Math" w:hAnsi="Cambria Math"/>
                    <w:i/>
                  </w:rPr>
                </m:ctrlPr>
              </m:sub>
            </m:sSub>
            <m:ctrlPr>
              <w:rPr>
                <w:rFonts w:ascii="Cambria Math" w:hAnsi="Cambria Math"/>
                <w:i/>
              </w:rPr>
            </m:ctrlPr>
          </m:den>
        </m:f>
        <m:r>
          <m:rPr/>
          <w:rPr>
            <w:rFonts w:ascii="Cambria Math" w:hAnsi="Cambria Math"/>
          </w:rPr>
          <m:t>×100</m:t>
        </m:r>
      </m:oMath>
      <w:r>
        <w:rPr>
          <w:rFonts w:ascii="微软雅黑" w:hAnsi="微软雅黑" w:eastAsia="微软雅黑"/>
        </w:rPr>
        <w:tab/>
      </w:r>
      <w:r>
        <w:t>(A.</w:t>
      </w:r>
      <w:r>
        <w:fldChar w:fldCharType="begin"/>
      </w:r>
      <w:r>
        <w:instrText xml:space="preserve">  seq fulu_equation_133419061986399731  </w:instrText>
      </w:r>
      <w:r>
        <w:fldChar w:fldCharType="separate"/>
      </w:r>
      <w:r>
        <w:t>8</w:t>
      </w:r>
      <w:r>
        <w:fldChar w:fldCharType="end"/>
      </w:r>
      <w:r>
        <w:t>)</w:t>
      </w:r>
    </w:p>
    <w:p>
      <w:pPr>
        <w:pStyle w:val="58"/>
        <w:ind w:firstLine="420"/>
      </w:pPr>
      <w:r>
        <w:rPr>
          <w:rFonts w:hint="eastAsia"/>
        </w:rPr>
        <w:t>式中：</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R</m:t>
            </m:r>
            <m:ctrlPr>
              <w:rPr>
                <w:rFonts w:ascii="Cambria Math" w:hAnsi="Cambria Math"/>
                <w:i/>
                <w:kern w:val="2"/>
                <w:szCs w:val="21"/>
              </w:rPr>
            </m:ctrlPr>
          </m:e>
          <m:sub>
            <m:r>
              <m:rPr/>
              <w:rPr>
                <w:rFonts w:ascii="Cambria Math" w:hAnsi="Cambria Math"/>
              </w:rPr>
              <m:t>SA</m:t>
            </m:r>
            <m:ctrlPr>
              <w:rPr>
                <w:rFonts w:ascii="Cambria Math" w:hAnsi="Cambria Math"/>
                <w:i/>
                <w:kern w:val="2"/>
                <w:szCs w:val="21"/>
              </w:rPr>
            </m:ctrlPr>
          </m:sub>
        </m:sSub>
      </m:oMath>
      <w:r>
        <w:rPr>
          <w:rFonts w:hint="eastAsia"/>
          <w:kern w:val="2"/>
          <w:szCs w:val="21"/>
        </w:rPr>
        <w:t>——岸线功能区达标率赋值，%；</w:t>
      </w:r>
    </w:p>
    <w:p>
      <w:pPr>
        <w:pStyle w:val="59"/>
        <w:ind w:firstLine="420"/>
        <w:rPr>
          <w:kern w:val="2"/>
          <w:szCs w:val="21"/>
        </w:rPr>
      </w:pPr>
      <m:oMath>
        <m:sSub>
          <m:sSubPr>
            <m:ctrlPr>
              <w:rPr>
                <w:rFonts w:ascii="Cambria Math" w:hAnsi="Cambria Math"/>
                <w:i/>
                <w:kern w:val="2"/>
                <w:szCs w:val="21"/>
              </w:rPr>
            </m:ctrlPr>
          </m:sSubPr>
          <m:e>
            <m:r>
              <m:rPr/>
              <w:rPr>
                <w:rFonts w:ascii="Cambria Math" w:hAnsi="Cambria Math"/>
              </w:rPr>
              <m:t>S</m:t>
            </m:r>
            <m:ctrlPr>
              <w:rPr>
                <w:rFonts w:ascii="Cambria Math" w:hAnsi="Cambria Math"/>
                <w:i/>
                <w:kern w:val="2"/>
                <w:szCs w:val="21"/>
              </w:rPr>
            </m:ctrlPr>
          </m:e>
          <m:sub>
            <m:r>
              <m:rPr/>
              <w:rPr>
                <w:rFonts w:ascii="Cambria Math" w:hAnsi="Cambria Math"/>
              </w:rPr>
              <m:t>o</m:t>
            </m:r>
            <m:ctrlPr>
              <w:rPr>
                <w:rFonts w:ascii="Cambria Math" w:hAnsi="Cambria Math"/>
                <w:i/>
                <w:kern w:val="2"/>
                <w:szCs w:val="21"/>
              </w:rPr>
            </m:ctrlPr>
          </m:sub>
        </m:sSub>
      </m:oMath>
      <w:r>
        <w:rPr>
          <w:rFonts w:hint="eastAsia"/>
          <w:kern w:val="2"/>
          <w:szCs w:val="21"/>
        </w:rPr>
        <w:t xml:space="preserve"> ——满足管控要求的岸线功能区个数；</w:t>
      </w:r>
    </w:p>
    <w:p>
      <w:pPr>
        <w:pStyle w:val="59"/>
        <w:ind w:firstLine="420"/>
      </w:pPr>
      <m:oMath>
        <m:sSub>
          <m:sSubPr>
            <m:ctrlPr>
              <w:rPr>
                <w:rFonts w:ascii="Cambria Math" w:hAnsi="Cambria Math"/>
                <w:i/>
                <w:kern w:val="2"/>
                <w:szCs w:val="21"/>
              </w:rPr>
            </m:ctrlPr>
          </m:sSubPr>
          <m:e>
            <m:r>
              <m:rPr/>
              <w:rPr>
                <w:rFonts w:ascii="Cambria Math" w:hAnsi="Cambria Math"/>
              </w:rPr>
              <m:t>S</m:t>
            </m:r>
            <m:ctrlPr>
              <w:rPr>
                <w:rFonts w:ascii="Cambria Math" w:hAnsi="Cambria Math"/>
                <w:i/>
                <w:kern w:val="2"/>
                <w:szCs w:val="21"/>
              </w:rPr>
            </m:ctrlPr>
          </m:e>
          <m:sub>
            <m:r>
              <m:rPr/>
              <w:rPr>
                <w:rFonts w:ascii="Cambria Math" w:hAnsi="Cambria Math"/>
              </w:rPr>
              <m:t>n</m:t>
            </m:r>
            <m:ctrlPr>
              <w:rPr>
                <w:rFonts w:ascii="Cambria Math" w:hAnsi="Cambria Math"/>
                <w:i/>
                <w:kern w:val="2"/>
                <w:szCs w:val="21"/>
              </w:rPr>
            </m:ctrlPr>
          </m:sub>
        </m:sSub>
      </m:oMath>
      <w:r>
        <w:rPr>
          <w:rFonts w:hint="eastAsia"/>
          <w:kern w:val="2"/>
          <w:szCs w:val="21"/>
        </w:rPr>
        <w:t xml:space="preserve"> ——岸线功能区总个数。</w:t>
      </w:r>
    </w:p>
    <w:p>
      <w:pPr>
        <w:pStyle w:val="81"/>
        <w:spacing w:before="156" w:after="156"/>
      </w:pPr>
      <w:bookmarkStart w:id="606" w:name="_Toc154582326"/>
      <w:bookmarkStart w:id="607" w:name="_Toc157261298"/>
      <w:bookmarkStart w:id="608" w:name="_Toc154491989"/>
      <w:bookmarkStart w:id="609" w:name="_Toc154585932"/>
      <w:bookmarkStart w:id="610" w:name="_Toc152913647"/>
      <w:bookmarkStart w:id="611" w:name="_Toc154654487"/>
      <w:r>
        <w:rPr>
          <w:rFonts w:hint="eastAsia"/>
        </w:rPr>
        <w:t>水管理</w:t>
      </w:r>
      <w:bookmarkEnd w:id="606"/>
      <w:bookmarkEnd w:id="607"/>
      <w:bookmarkEnd w:id="608"/>
      <w:bookmarkEnd w:id="609"/>
      <w:bookmarkEnd w:id="610"/>
      <w:bookmarkEnd w:id="611"/>
    </w:p>
    <w:p>
      <w:pPr>
        <w:pStyle w:val="59"/>
        <w:ind w:firstLine="420"/>
      </w:pPr>
      <w:r>
        <w:rPr>
          <w:rFonts w:hint="eastAsia"/>
        </w:rPr>
        <w:t>河道长效监管水平</w:t>
      </w:r>
      <w:bookmarkStart w:id="612" w:name="_Hlk133422177"/>
      <w:r>
        <w:rPr>
          <w:rFonts w:hint="eastAsia"/>
        </w:rPr>
        <w:t>可根据河道所属区域的河道管理评价指标体系进行评价，以评价赋分值对应的等级标准进行填写。</w:t>
      </w:r>
      <w:bookmarkEnd w:id="612"/>
    </w:p>
    <w:p>
      <w:pPr>
        <w:pStyle w:val="59"/>
        <w:ind w:firstLine="420"/>
        <w:sectPr>
          <w:headerReference r:id="rId27" w:type="default"/>
          <w:footerReference r:id="rId29" w:type="default"/>
          <w:headerReference r:id="rId28" w:type="even"/>
          <w:footerReference r:id="rId30" w:type="even"/>
          <w:pgSz w:w="11906" w:h="16838"/>
          <w:pgMar w:top="2410" w:right="1134" w:bottom="1134" w:left="1134" w:header="1418" w:footer="1134" w:gutter="284"/>
          <w:cols w:space="425" w:num="1"/>
          <w:formProt w:val="0"/>
          <w:docGrid w:type="lines" w:linePitch="312" w:charSpace="0"/>
        </w:sectPr>
      </w:pPr>
    </w:p>
    <w:p>
      <w:pPr>
        <w:pStyle w:val="201"/>
        <w:rPr>
          <w:vanish w:val="0"/>
        </w:rPr>
      </w:pPr>
    </w:p>
    <w:p>
      <w:pPr>
        <w:pStyle w:val="202"/>
        <w:rPr>
          <w:vanish w:val="0"/>
        </w:rPr>
      </w:pPr>
    </w:p>
    <w:p>
      <w:pPr>
        <w:pStyle w:val="79"/>
        <w:spacing w:before="78" w:after="156"/>
      </w:pPr>
      <w:r>
        <w:br w:type="textWrapping"/>
      </w:r>
      <w:bookmarkStart w:id="613" w:name="_Toc157261299"/>
      <w:bookmarkStart w:id="614" w:name="_Toc154585933"/>
      <w:bookmarkStart w:id="615" w:name="_Toc154654488"/>
      <w:bookmarkStart w:id="616" w:name="_Toc154582327"/>
      <w:r>
        <w:rPr>
          <w:rFonts w:hint="eastAsia"/>
        </w:rPr>
        <w:t>（资料性）</w:t>
      </w:r>
      <w:r>
        <w:br w:type="textWrapping"/>
      </w:r>
      <w:r>
        <w:rPr>
          <w:rFonts w:hint="eastAsia"/>
        </w:rPr>
        <w:t>河道保护规划编制提纲</w:t>
      </w:r>
      <w:bookmarkEnd w:id="613"/>
      <w:bookmarkEnd w:id="614"/>
      <w:bookmarkEnd w:id="615"/>
      <w:bookmarkEnd w:id="616"/>
    </w:p>
    <w:p>
      <w:pPr>
        <w:pStyle w:val="59"/>
        <w:ind w:firstLine="420"/>
      </w:pPr>
      <w:r>
        <w:rPr>
          <w:rFonts w:hint="eastAsia"/>
        </w:rPr>
        <w:t>河道保护规划可参考表</w:t>
      </w:r>
      <w:r>
        <w:t>B.1</w:t>
      </w:r>
      <w:r>
        <w:rPr>
          <w:rFonts w:hint="eastAsia"/>
        </w:rPr>
        <w:t>的提纲格式编制。</w:t>
      </w:r>
    </w:p>
    <w:p>
      <w:pPr>
        <w:pStyle w:val="80"/>
        <w:spacing w:before="156" w:after="156"/>
      </w:pPr>
      <w:r>
        <w:rPr>
          <w:rFonts w:hint="eastAsia"/>
        </w:rPr>
        <w:t>河道保护规划编制提纲格式</w:t>
      </w:r>
    </w:p>
    <w:tbl>
      <w:tblPr>
        <w:tblStyle w:val="29"/>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34"/>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334" w:type="dxa"/>
            <w:shd w:val="clear" w:color="auto" w:fill="auto"/>
            <w:vAlign w:val="center"/>
          </w:tcPr>
          <w:p>
            <w:pPr>
              <w:pStyle w:val="181"/>
              <w:ind w:firstLine="127" w:firstLineChars="71"/>
              <w:jc w:val="left"/>
            </w:pPr>
            <w:r>
              <w:rPr>
                <w:rFonts w:hint="eastAsia"/>
                <w:szCs w:val="18"/>
              </w:rPr>
              <w:t>1</w:t>
            </w:r>
            <w:r>
              <w:rPr>
                <w:szCs w:val="18"/>
              </w:rPr>
              <w:t xml:space="preserve"> </w:t>
            </w:r>
            <w:r>
              <w:rPr>
                <w:rFonts w:hint="eastAsia"/>
                <w:szCs w:val="18"/>
              </w:rPr>
              <w:t>前言</w:t>
            </w:r>
          </w:p>
          <w:p>
            <w:pPr>
              <w:pStyle w:val="181"/>
              <w:ind w:firstLine="127" w:firstLineChars="71"/>
              <w:jc w:val="left"/>
              <w:rPr>
                <w:szCs w:val="18"/>
              </w:rPr>
            </w:pPr>
            <w:r>
              <w:rPr>
                <w:rFonts w:hint="eastAsia"/>
                <w:szCs w:val="18"/>
              </w:rPr>
              <w:t>2 基本情况</w:t>
            </w:r>
          </w:p>
          <w:p>
            <w:pPr>
              <w:pStyle w:val="181"/>
              <w:ind w:firstLine="127" w:firstLineChars="71"/>
              <w:jc w:val="left"/>
              <w:rPr>
                <w:szCs w:val="18"/>
              </w:rPr>
            </w:pPr>
            <w:r>
              <w:rPr>
                <w:rFonts w:hint="eastAsia"/>
                <w:szCs w:val="18"/>
              </w:rPr>
              <w:t>2.1 自然概况</w:t>
            </w:r>
          </w:p>
          <w:p>
            <w:pPr>
              <w:pStyle w:val="181"/>
              <w:adjustRightInd w:val="0"/>
              <w:snapToGrid w:val="0"/>
              <w:spacing w:line="240" w:lineRule="atLeast"/>
              <w:ind w:firstLine="124" w:firstLineChars="69"/>
              <w:jc w:val="both"/>
              <w:rPr>
                <w:szCs w:val="18"/>
              </w:rPr>
            </w:pPr>
            <w:r>
              <w:rPr>
                <w:rFonts w:hint="eastAsia"/>
                <w:szCs w:val="18"/>
              </w:rPr>
              <w:t>2.2 经济社会</w:t>
            </w:r>
          </w:p>
          <w:p>
            <w:pPr>
              <w:pStyle w:val="181"/>
              <w:adjustRightInd w:val="0"/>
              <w:snapToGrid w:val="0"/>
              <w:spacing w:line="240" w:lineRule="atLeast"/>
              <w:ind w:firstLine="124" w:firstLineChars="69"/>
              <w:jc w:val="both"/>
              <w:rPr>
                <w:szCs w:val="18"/>
              </w:rPr>
            </w:pPr>
            <w:r>
              <w:rPr>
                <w:rFonts w:hint="eastAsia"/>
                <w:szCs w:val="18"/>
              </w:rPr>
              <w:t>2.3 开发利用</w:t>
            </w:r>
          </w:p>
          <w:p>
            <w:pPr>
              <w:pStyle w:val="181"/>
              <w:adjustRightInd w:val="0"/>
              <w:snapToGrid w:val="0"/>
              <w:spacing w:line="240" w:lineRule="atLeast"/>
              <w:ind w:firstLine="124" w:firstLineChars="69"/>
              <w:jc w:val="both"/>
              <w:rPr>
                <w:szCs w:val="18"/>
              </w:rPr>
            </w:pPr>
            <w:r>
              <w:rPr>
                <w:rFonts w:hint="eastAsia"/>
                <w:szCs w:val="18"/>
              </w:rPr>
              <w:t>2.4 河道管理</w:t>
            </w:r>
          </w:p>
          <w:p>
            <w:pPr>
              <w:pStyle w:val="181"/>
              <w:ind w:firstLine="127" w:firstLineChars="71"/>
              <w:jc w:val="left"/>
              <w:rPr>
                <w:szCs w:val="18"/>
              </w:rPr>
            </w:pPr>
            <w:r>
              <w:rPr>
                <w:rFonts w:hint="eastAsia"/>
                <w:szCs w:val="18"/>
              </w:rPr>
              <w:t>3 现状评价与形势分析</w:t>
            </w:r>
          </w:p>
          <w:p>
            <w:pPr>
              <w:pStyle w:val="181"/>
              <w:adjustRightInd w:val="0"/>
              <w:snapToGrid w:val="0"/>
              <w:spacing w:line="240" w:lineRule="atLeast"/>
              <w:ind w:firstLine="124" w:firstLineChars="69"/>
              <w:jc w:val="both"/>
              <w:rPr>
                <w:szCs w:val="18"/>
              </w:rPr>
            </w:pPr>
            <w:r>
              <w:rPr>
                <w:rFonts w:hint="eastAsia"/>
                <w:szCs w:val="18"/>
              </w:rPr>
              <w:t>3.1 现状评价</w:t>
            </w:r>
          </w:p>
          <w:p>
            <w:pPr>
              <w:pStyle w:val="181"/>
              <w:adjustRightInd w:val="0"/>
              <w:snapToGrid w:val="0"/>
              <w:spacing w:line="240" w:lineRule="atLeast"/>
              <w:ind w:firstLine="124" w:firstLineChars="69"/>
              <w:jc w:val="both"/>
              <w:rPr>
                <w:szCs w:val="18"/>
              </w:rPr>
            </w:pPr>
            <w:r>
              <w:rPr>
                <w:rFonts w:hint="eastAsia"/>
                <w:szCs w:val="18"/>
              </w:rPr>
              <w:t>3.2 存在问题</w:t>
            </w:r>
          </w:p>
          <w:p>
            <w:pPr>
              <w:pStyle w:val="181"/>
              <w:adjustRightInd w:val="0"/>
              <w:snapToGrid w:val="0"/>
              <w:spacing w:line="240" w:lineRule="atLeast"/>
              <w:ind w:firstLine="124" w:firstLineChars="69"/>
              <w:jc w:val="both"/>
              <w:rPr>
                <w:szCs w:val="18"/>
              </w:rPr>
            </w:pPr>
            <w:r>
              <w:rPr>
                <w:rFonts w:hint="eastAsia"/>
                <w:szCs w:val="18"/>
              </w:rPr>
              <w:t>3.3 形势分析</w:t>
            </w:r>
          </w:p>
          <w:p>
            <w:pPr>
              <w:pStyle w:val="181"/>
              <w:adjustRightInd w:val="0"/>
              <w:snapToGrid w:val="0"/>
              <w:spacing w:line="240" w:lineRule="atLeast"/>
              <w:ind w:firstLine="124" w:firstLineChars="69"/>
              <w:jc w:val="both"/>
              <w:rPr>
                <w:szCs w:val="18"/>
              </w:rPr>
            </w:pPr>
            <w:r>
              <w:rPr>
                <w:rFonts w:hint="eastAsia"/>
                <w:szCs w:val="18"/>
              </w:rPr>
              <w:t>4 总体规划</w:t>
            </w:r>
          </w:p>
          <w:p>
            <w:pPr>
              <w:pStyle w:val="181"/>
              <w:adjustRightInd w:val="0"/>
              <w:snapToGrid w:val="0"/>
              <w:spacing w:line="240" w:lineRule="atLeast"/>
              <w:ind w:firstLine="124" w:firstLineChars="69"/>
              <w:jc w:val="both"/>
              <w:rPr>
                <w:szCs w:val="18"/>
              </w:rPr>
            </w:pPr>
            <w:r>
              <w:rPr>
                <w:rFonts w:hint="eastAsia"/>
                <w:szCs w:val="18"/>
              </w:rPr>
              <w:t>4.1 指导思想</w:t>
            </w:r>
          </w:p>
          <w:p>
            <w:pPr>
              <w:pStyle w:val="181"/>
              <w:adjustRightInd w:val="0"/>
              <w:snapToGrid w:val="0"/>
              <w:spacing w:line="240" w:lineRule="atLeast"/>
              <w:ind w:firstLine="124" w:firstLineChars="69"/>
              <w:jc w:val="both"/>
              <w:rPr>
                <w:szCs w:val="18"/>
              </w:rPr>
            </w:pPr>
            <w:r>
              <w:rPr>
                <w:rFonts w:hint="eastAsia"/>
                <w:szCs w:val="18"/>
              </w:rPr>
              <w:t>4</w:t>
            </w:r>
            <w:r>
              <w:rPr>
                <w:szCs w:val="18"/>
              </w:rPr>
              <w:t xml:space="preserve">.2 </w:t>
            </w:r>
            <w:r>
              <w:rPr>
                <w:rFonts w:hint="eastAsia"/>
                <w:szCs w:val="18"/>
              </w:rPr>
              <w:t>基本原则</w:t>
            </w:r>
          </w:p>
          <w:p>
            <w:pPr>
              <w:pStyle w:val="181"/>
              <w:adjustRightInd w:val="0"/>
              <w:snapToGrid w:val="0"/>
              <w:spacing w:line="240" w:lineRule="atLeast"/>
              <w:ind w:firstLine="124" w:firstLineChars="69"/>
              <w:jc w:val="both"/>
              <w:rPr>
                <w:szCs w:val="18"/>
              </w:rPr>
            </w:pPr>
            <w:r>
              <w:rPr>
                <w:rFonts w:hint="eastAsia"/>
                <w:szCs w:val="18"/>
              </w:rPr>
              <w:t>4.</w:t>
            </w:r>
            <w:r>
              <w:rPr>
                <w:szCs w:val="18"/>
              </w:rPr>
              <w:t>3</w:t>
            </w:r>
            <w:r>
              <w:rPr>
                <w:rFonts w:hint="eastAsia"/>
                <w:szCs w:val="18"/>
              </w:rPr>
              <w:t xml:space="preserve"> 规划依据</w:t>
            </w:r>
          </w:p>
          <w:p>
            <w:pPr>
              <w:pStyle w:val="181"/>
              <w:adjustRightInd w:val="0"/>
              <w:snapToGrid w:val="0"/>
              <w:spacing w:line="240" w:lineRule="atLeast"/>
              <w:ind w:firstLine="124" w:firstLineChars="69"/>
              <w:jc w:val="both"/>
              <w:rPr>
                <w:szCs w:val="18"/>
              </w:rPr>
            </w:pPr>
            <w:r>
              <w:rPr>
                <w:rFonts w:hint="eastAsia"/>
                <w:szCs w:val="18"/>
              </w:rPr>
              <w:t>4</w:t>
            </w:r>
            <w:r>
              <w:rPr>
                <w:szCs w:val="18"/>
              </w:rPr>
              <w:t xml:space="preserve">.4 </w:t>
            </w:r>
            <w:r>
              <w:rPr>
                <w:rFonts w:hint="eastAsia"/>
                <w:szCs w:val="18"/>
              </w:rPr>
              <w:t>规范范围</w:t>
            </w:r>
          </w:p>
          <w:p>
            <w:pPr>
              <w:pStyle w:val="181"/>
              <w:adjustRightInd w:val="0"/>
              <w:snapToGrid w:val="0"/>
              <w:spacing w:line="240" w:lineRule="atLeast"/>
              <w:ind w:firstLine="124" w:firstLineChars="69"/>
              <w:jc w:val="both"/>
              <w:rPr>
                <w:szCs w:val="18"/>
              </w:rPr>
            </w:pPr>
            <w:r>
              <w:rPr>
                <w:rFonts w:hint="eastAsia"/>
                <w:szCs w:val="18"/>
              </w:rPr>
              <w:t>4.</w:t>
            </w:r>
            <w:r>
              <w:rPr>
                <w:szCs w:val="18"/>
              </w:rPr>
              <w:t>5</w:t>
            </w:r>
            <w:r>
              <w:rPr>
                <w:rFonts w:hint="eastAsia"/>
                <w:szCs w:val="18"/>
              </w:rPr>
              <w:t xml:space="preserve"> 规划水平年</w:t>
            </w:r>
          </w:p>
          <w:p>
            <w:pPr>
              <w:pStyle w:val="181"/>
              <w:ind w:firstLine="127" w:firstLineChars="71"/>
              <w:jc w:val="left"/>
              <w:rPr>
                <w:szCs w:val="18"/>
              </w:rPr>
            </w:pPr>
            <w:r>
              <w:rPr>
                <w:rFonts w:hint="eastAsia"/>
                <w:szCs w:val="18"/>
              </w:rPr>
              <w:t>4.</w:t>
            </w:r>
            <w:r>
              <w:rPr>
                <w:szCs w:val="18"/>
              </w:rPr>
              <w:t>6</w:t>
            </w:r>
            <w:r>
              <w:rPr>
                <w:rFonts w:hint="eastAsia"/>
                <w:szCs w:val="18"/>
              </w:rPr>
              <w:t xml:space="preserve"> 规划目标</w:t>
            </w:r>
          </w:p>
          <w:p>
            <w:pPr>
              <w:pStyle w:val="181"/>
              <w:adjustRightInd w:val="0"/>
              <w:snapToGrid w:val="0"/>
              <w:spacing w:line="240" w:lineRule="atLeast"/>
              <w:ind w:firstLine="124" w:firstLineChars="69"/>
              <w:jc w:val="both"/>
              <w:rPr>
                <w:szCs w:val="18"/>
              </w:rPr>
            </w:pPr>
            <w:r>
              <w:rPr>
                <w:rFonts w:hint="eastAsia"/>
                <w:szCs w:val="18"/>
              </w:rPr>
              <w:t>5 河道功能与定位</w:t>
            </w:r>
          </w:p>
          <w:p>
            <w:pPr>
              <w:pStyle w:val="181"/>
              <w:adjustRightInd w:val="0"/>
              <w:snapToGrid w:val="0"/>
              <w:spacing w:line="240" w:lineRule="atLeast"/>
              <w:ind w:firstLine="124" w:firstLineChars="69"/>
              <w:jc w:val="both"/>
              <w:rPr>
                <w:szCs w:val="18"/>
              </w:rPr>
            </w:pPr>
            <w:r>
              <w:rPr>
                <w:rFonts w:hint="eastAsia"/>
                <w:szCs w:val="18"/>
              </w:rPr>
              <w:t>5</w:t>
            </w:r>
            <w:r>
              <w:rPr>
                <w:szCs w:val="18"/>
              </w:rPr>
              <w:t xml:space="preserve">.1 </w:t>
            </w:r>
            <w:r>
              <w:rPr>
                <w:rFonts w:hint="eastAsia"/>
                <w:szCs w:val="18"/>
              </w:rPr>
              <w:t>功能定位</w:t>
            </w:r>
          </w:p>
          <w:p>
            <w:pPr>
              <w:pStyle w:val="181"/>
              <w:adjustRightInd w:val="0"/>
              <w:snapToGrid w:val="0"/>
              <w:spacing w:line="240" w:lineRule="atLeast"/>
              <w:ind w:firstLine="124" w:firstLineChars="69"/>
              <w:jc w:val="both"/>
              <w:rPr>
                <w:szCs w:val="18"/>
              </w:rPr>
            </w:pPr>
            <w:r>
              <w:rPr>
                <w:rFonts w:hint="eastAsia"/>
                <w:szCs w:val="18"/>
              </w:rPr>
              <w:t>5</w:t>
            </w:r>
            <w:r>
              <w:rPr>
                <w:szCs w:val="18"/>
              </w:rPr>
              <w:t xml:space="preserve">.2 </w:t>
            </w:r>
            <w:r>
              <w:rPr>
                <w:rFonts w:hint="eastAsia"/>
                <w:szCs w:val="18"/>
              </w:rPr>
              <w:t>功能排序</w:t>
            </w:r>
          </w:p>
          <w:p>
            <w:pPr>
              <w:pStyle w:val="181"/>
              <w:adjustRightInd w:val="0"/>
              <w:snapToGrid w:val="0"/>
              <w:spacing w:line="240" w:lineRule="atLeast"/>
              <w:ind w:firstLine="124" w:firstLineChars="69"/>
              <w:jc w:val="both"/>
              <w:rPr>
                <w:szCs w:val="18"/>
              </w:rPr>
            </w:pPr>
            <w:r>
              <w:rPr>
                <w:rFonts w:hint="eastAsia"/>
                <w:szCs w:val="18"/>
              </w:rPr>
              <w:t>6 防洪功能保护</w:t>
            </w:r>
          </w:p>
          <w:p>
            <w:pPr>
              <w:pStyle w:val="181"/>
              <w:adjustRightInd w:val="0"/>
              <w:snapToGrid w:val="0"/>
              <w:spacing w:line="240" w:lineRule="atLeast"/>
              <w:ind w:firstLine="124" w:firstLineChars="69"/>
              <w:jc w:val="both"/>
              <w:rPr>
                <w:szCs w:val="18"/>
              </w:rPr>
            </w:pPr>
            <w:r>
              <w:rPr>
                <w:rFonts w:hint="eastAsia"/>
                <w:szCs w:val="18"/>
              </w:rPr>
              <w:t>6.1 目标与布局</w:t>
            </w:r>
          </w:p>
          <w:p>
            <w:pPr>
              <w:pStyle w:val="181"/>
              <w:adjustRightInd w:val="0"/>
              <w:snapToGrid w:val="0"/>
              <w:spacing w:line="240" w:lineRule="atLeast"/>
              <w:ind w:firstLine="124" w:firstLineChars="69"/>
              <w:jc w:val="both"/>
              <w:rPr>
                <w:szCs w:val="18"/>
              </w:rPr>
            </w:pPr>
            <w:r>
              <w:rPr>
                <w:rFonts w:hint="eastAsia"/>
                <w:szCs w:val="18"/>
              </w:rPr>
              <w:t>6.2 防洪区保护</w:t>
            </w:r>
          </w:p>
          <w:p>
            <w:pPr>
              <w:pStyle w:val="181"/>
              <w:adjustRightInd w:val="0"/>
              <w:snapToGrid w:val="0"/>
              <w:spacing w:line="240" w:lineRule="atLeast"/>
              <w:ind w:firstLine="124" w:firstLineChars="69"/>
              <w:jc w:val="both"/>
              <w:rPr>
                <w:szCs w:val="18"/>
              </w:rPr>
            </w:pPr>
            <w:r>
              <w:rPr>
                <w:rFonts w:hint="eastAsia"/>
                <w:szCs w:val="18"/>
              </w:rPr>
              <w:t>6.3 防洪保护措施</w:t>
            </w:r>
          </w:p>
          <w:p>
            <w:pPr>
              <w:pStyle w:val="181"/>
              <w:adjustRightInd w:val="0"/>
              <w:snapToGrid w:val="0"/>
              <w:spacing w:line="240" w:lineRule="atLeast"/>
              <w:ind w:firstLine="124" w:firstLineChars="69"/>
              <w:jc w:val="both"/>
              <w:rPr>
                <w:szCs w:val="18"/>
              </w:rPr>
            </w:pPr>
            <w:r>
              <w:rPr>
                <w:rFonts w:hint="eastAsia"/>
                <w:szCs w:val="18"/>
              </w:rPr>
              <w:t>7 供水与水资源保护</w:t>
            </w:r>
          </w:p>
          <w:p>
            <w:pPr>
              <w:pStyle w:val="181"/>
              <w:adjustRightInd w:val="0"/>
              <w:snapToGrid w:val="0"/>
              <w:spacing w:line="240" w:lineRule="atLeast"/>
              <w:ind w:firstLine="124" w:firstLineChars="69"/>
              <w:jc w:val="both"/>
              <w:rPr>
                <w:szCs w:val="18"/>
              </w:rPr>
            </w:pPr>
            <w:r>
              <w:rPr>
                <w:rFonts w:hint="eastAsia"/>
                <w:szCs w:val="18"/>
              </w:rPr>
              <w:t>7.1 目标与布局</w:t>
            </w:r>
          </w:p>
          <w:p>
            <w:pPr>
              <w:pStyle w:val="181"/>
              <w:adjustRightInd w:val="0"/>
              <w:snapToGrid w:val="0"/>
              <w:spacing w:line="240" w:lineRule="atLeast"/>
              <w:ind w:firstLine="124" w:firstLineChars="69"/>
              <w:jc w:val="both"/>
              <w:rPr>
                <w:szCs w:val="18"/>
              </w:rPr>
            </w:pPr>
            <w:r>
              <w:rPr>
                <w:rFonts w:hint="eastAsia"/>
                <w:szCs w:val="18"/>
              </w:rPr>
              <w:t>7.2 取用水管理</w:t>
            </w:r>
          </w:p>
          <w:p>
            <w:pPr>
              <w:pStyle w:val="181"/>
              <w:ind w:firstLine="127" w:firstLineChars="71"/>
              <w:jc w:val="left"/>
              <w:rPr>
                <w:szCs w:val="18"/>
              </w:rPr>
            </w:pPr>
            <w:r>
              <w:rPr>
                <w:rFonts w:hint="eastAsia"/>
                <w:szCs w:val="18"/>
              </w:rPr>
              <w:t>7.3 水资源保护</w:t>
            </w:r>
          </w:p>
          <w:p>
            <w:pPr>
              <w:pStyle w:val="181"/>
              <w:adjustRightInd w:val="0"/>
              <w:snapToGrid w:val="0"/>
              <w:spacing w:line="240" w:lineRule="atLeast"/>
              <w:ind w:firstLine="124" w:firstLineChars="69"/>
              <w:jc w:val="both"/>
              <w:rPr>
                <w:szCs w:val="18"/>
              </w:rPr>
            </w:pPr>
            <w:r>
              <w:rPr>
                <w:rFonts w:hint="eastAsia"/>
                <w:szCs w:val="18"/>
              </w:rPr>
              <w:t>8 生态保护与修复</w:t>
            </w:r>
          </w:p>
          <w:p>
            <w:pPr>
              <w:pStyle w:val="181"/>
              <w:adjustRightInd w:val="0"/>
              <w:snapToGrid w:val="0"/>
              <w:spacing w:line="240" w:lineRule="atLeast"/>
              <w:ind w:firstLine="124" w:firstLineChars="69"/>
              <w:jc w:val="both"/>
              <w:rPr>
                <w:szCs w:val="18"/>
              </w:rPr>
            </w:pPr>
            <w:r>
              <w:rPr>
                <w:rFonts w:hint="eastAsia"/>
                <w:szCs w:val="18"/>
              </w:rPr>
              <w:t>8.1 目标与布局</w:t>
            </w:r>
          </w:p>
          <w:p>
            <w:pPr>
              <w:pStyle w:val="181"/>
              <w:adjustRightInd w:val="0"/>
              <w:snapToGrid w:val="0"/>
              <w:spacing w:line="240" w:lineRule="atLeast"/>
              <w:ind w:firstLine="124" w:firstLineChars="69"/>
              <w:jc w:val="both"/>
              <w:rPr>
                <w:szCs w:val="18"/>
              </w:rPr>
            </w:pPr>
            <w:r>
              <w:rPr>
                <w:rFonts w:hint="eastAsia"/>
                <w:szCs w:val="18"/>
              </w:rPr>
              <w:t>8.2 污染防治</w:t>
            </w:r>
          </w:p>
          <w:p>
            <w:pPr>
              <w:pStyle w:val="181"/>
              <w:ind w:firstLine="127" w:firstLineChars="71"/>
              <w:jc w:val="left"/>
            </w:pPr>
            <w:r>
              <w:rPr>
                <w:rFonts w:hint="eastAsia"/>
                <w:szCs w:val="18"/>
              </w:rPr>
              <w:t>8.3 生态修复</w:t>
            </w:r>
          </w:p>
          <w:p>
            <w:pPr>
              <w:pStyle w:val="181"/>
              <w:adjustRightInd w:val="0"/>
              <w:snapToGrid w:val="0"/>
              <w:spacing w:line="240" w:lineRule="atLeast"/>
              <w:ind w:firstLine="124" w:firstLineChars="69"/>
              <w:jc w:val="both"/>
              <w:rPr>
                <w:szCs w:val="18"/>
              </w:rPr>
            </w:pPr>
            <w:r>
              <w:rPr>
                <w:rFonts w:hint="eastAsia"/>
                <w:szCs w:val="18"/>
              </w:rPr>
              <w:t>9 水域与岸线保护</w:t>
            </w:r>
          </w:p>
          <w:p>
            <w:pPr>
              <w:pStyle w:val="181"/>
              <w:adjustRightInd w:val="0"/>
              <w:snapToGrid w:val="0"/>
              <w:spacing w:line="240" w:lineRule="atLeast"/>
              <w:ind w:firstLine="124" w:firstLineChars="69"/>
              <w:jc w:val="both"/>
              <w:rPr>
                <w:szCs w:val="18"/>
              </w:rPr>
            </w:pPr>
            <w:r>
              <w:rPr>
                <w:rFonts w:hint="eastAsia"/>
                <w:szCs w:val="18"/>
              </w:rPr>
              <w:t>9.1 边界线划定</w:t>
            </w:r>
          </w:p>
          <w:p>
            <w:pPr>
              <w:pStyle w:val="181"/>
              <w:adjustRightInd w:val="0"/>
              <w:snapToGrid w:val="0"/>
              <w:spacing w:line="240" w:lineRule="atLeast"/>
              <w:ind w:firstLine="124" w:firstLineChars="69"/>
              <w:jc w:val="both"/>
              <w:rPr>
                <w:szCs w:val="18"/>
              </w:rPr>
            </w:pPr>
            <w:r>
              <w:rPr>
                <w:rFonts w:hint="eastAsia"/>
                <w:szCs w:val="18"/>
              </w:rPr>
              <w:t>9.2 功能区划分</w:t>
            </w:r>
          </w:p>
          <w:p>
            <w:pPr>
              <w:pStyle w:val="181"/>
              <w:adjustRightInd w:val="0"/>
              <w:snapToGrid w:val="0"/>
              <w:spacing w:line="240" w:lineRule="atLeast"/>
              <w:ind w:firstLine="124" w:firstLineChars="69"/>
              <w:jc w:val="both"/>
              <w:rPr>
                <w:szCs w:val="18"/>
              </w:rPr>
            </w:pPr>
            <w:r>
              <w:rPr>
                <w:rFonts w:hint="eastAsia"/>
                <w:szCs w:val="18"/>
              </w:rPr>
              <w:t>9.3 功能区保护与管控</w:t>
            </w:r>
          </w:p>
          <w:p>
            <w:pPr>
              <w:pStyle w:val="181"/>
              <w:adjustRightInd w:val="0"/>
              <w:snapToGrid w:val="0"/>
              <w:spacing w:line="240" w:lineRule="atLeast"/>
              <w:ind w:firstLine="124" w:firstLineChars="69"/>
              <w:jc w:val="both"/>
              <w:rPr>
                <w:szCs w:val="18"/>
              </w:rPr>
            </w:pPr>
            <w:r>
              <w:rPr>
                <w:rFonts w:hint="eastAsia"/>
                <w:szCs w:val="18"/>
              </w:rPr>
              <w:t>10 航运功能保护</w:t>
            </w:r>
          </w:p>
          <w:p>
            <w:pPr>
              <w:pStyle w:val="181"/>
              <w:adjustRightInd w:val="0"/>
              <w:snapToGrid w:val="0"/>
              <w:spacing w:line="240" w:lineRule="atLeast"/>
              <w:ind w:firstLine="124" w:firstLineChars="69"/>
              <w:jc w:val="both"/>
              <w:rPr>
                <w:szCs w:val="18"/>
              </w:rPr>
            </w:pPr>
            <w:r>
              <w:rPr>
                <w:rFonts w:hint="eastAsia"/>
                <w:szCs w:val="18"/>
              </w:rPr>
              <w:t>10.1 保护要求</w:t>
            </w:r>
          </w:p>
          <w:p>
            <w:pPr>
              <w:pStyle w:val="181"/>
              <w:ind w:firstLine="127" w:firstLineChars="71"/>
              <w:jc w:val="left"/>
              <w:rPr>
                <w:szCs w:val="18"/>
              </w:rPr>
            </w:pPr>
            <w:r>
              <w:rPr>
                <w:rFonts w:hint="eastAsia"/>
                <w:szCs w:val="18"/>
              </w:rPr>
              <w:t>10.2 治理要求</w:t>
            </w:r>
          </w:p>
          <w:p>
            <w:pPr>
              <w:pStyle w:val="181"/>
              <w:adjustRightInd w:val="0"/>
              <w:snapToGrid w:val="0"/>
              <w:spacing w:line="240" w:lineRule="atLeast"/>
              <w:ind w:firstLine="124" w:firstLineChars="69"/>
              <w:jc w:val="both"/>
              <w:rPr>
                <w:szCs w:val="18"/>
              </w:rPr>
            </w:pPr>
            <w:r>
              <w:rPr>
                <w:rFonts w:hint="eastAsia"/>
                <w:szCs w:val="18"/>
              </w:rPr>
              <w:t>11 水文化与水景观保护</w:t>
            </w:r>
          </w:p>
          <w:p>
            <w:pPr>
              <w:pStyle w:val="181"/>
              <w:ind w:firstLine="127" w:firstLineChars="71"/>
              <w:jc w:val="left"/>
            </w:pPr>
            <w:r>
              <w:rPr>
                <w:rFonts w:hint="eastAsia"/>
                <w:szCs w:val="18"/>
              </w:rPr>
              <w:t>11.1 水文化保护与弘扬</w:t>
            </w:r>
          </w:p>
          <w:p>
            <w:pPr>
              <w:pStyle w:val="181"/>
              <w:ind w:firstLine="127" w:firstLineChars="71"/>
              <w:jc w:val="left"/>
            </w:pPr>
            <w:r>
              <w:rPr>
                <w:rFonts w:hint="eastAsia"/>
                <w:szCs w:val="18"/>
              </w:rPr>
              <w:t>11.2 水景观建设与保护</w:t>
            </w:r>
          </w:p>
        </w:tc>
      </w:tr>
    </w:tbl>
    <w:p>
      <w:pPr>
        <w:pStyle w:val="59"/>
        <w:ind w:firstLine="420"/>
        <w:jc w:val="center"/>
      </w:pPr>
      <w:r>
        <w:rPr>
          <w:rFonts w:hint="eastAsia" w:ascii="黑体" w:hAnsi="黑体" w:eastAsia="黑体"/>
          <w:szCs w:val="21"/>
        </w:rPr>
        <w:t>表</w:t>
      </w:r>
      <w:r>
        <w:rPr>
          <w:rFonts w:ascii="黑体" w:hAnsi="黑体" w:eastAsia="黑体"/>
          <w:szCs w:val="21"/>
        </w:rPr>
        <w:t xml:space="preserve">B.1 </w:t>
      </w:r>
      <w:r>
        <w:rPr>
          <w:rFonts w:hint="eastAsia" w:ascii="黑体" w:hAnsi="黑体" w:eastAsia="黑体"/>
        </w:rPr>
        <w:t>江苏省河道保护规划编制提纲格式</w:t>
      </w:r>
      <w:r>
        <w:rPr>
          <w:rFonts w:hint="eastAsia" w:ascii="黑体" w:hAnsi="黑体" w:eastAsia="黑体"/>
          <w:szCs w:val="21"/>
        </w:rPr>
        <w:t>（续）</w:t>
      </w:r>
    </w:p>
    <w:tbl>
      <w:tblPr>
        <w:tblStyle w:val="29"/>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44"/>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344" w:type="dxa"/>
            <w:shd w:val="clear" w:color="auto" w:fill="auto"/>
            <w:vAlign w:val="center"/>
          </w:tcPr>
          <w:p>
            <w:pPr>
              <w:pStyle w:val="181"/>
              <w:ind w:firstLine="127" w:firstLineChars="71"/>
              <w:jc w:val="left"/>
              <w:rPr>
                <w:szCs w:val="18"/>
              </w:rPr>
            </w:pPr>
            <w:r>
              <w:rPr>
                <w:rFonts w:hint="eastAsia"/>
                <w:szCs w:val="18"/>
              </w:rPr>
              <w:t xml:space="preserve">12 </w:t>
            </w:r>
            <w:r>
              <w:rPr>
                <w:rFonts w:hint="eastAsia"/>
                <w:szCs w:val="18"/>
                <w:lang w:val="en-US" w:eastAsia="zh-CN"/>
              </w:rPr>
              <w:t>涉河</w:t>
            </w:r>
            <w:r>
              <w:rPr>
                <w:rFonts w:hint="eastAsia"/>
                <w:szCs w:val="18"/>
              </w:rPr>
              <w:t>重要基础设施保护</w:t>
            </w:r>
          </w:p>
          <w:p>
            <w:pPr>
              <w:pStyle w:val="181"/>
              <w:adjustRightInd w:val="0"/>
              <w:snapToGrid w:val="0"/>
              <w:spacing w:line="240" w:lineRule="atLeast"/>
              <w:ind w:firstLine="124" w:firstLineChars="69"/>
              <w:jc w:val="both"/>
              <w:rPr>
                <w:szCs w:val="18"/>
              </w:rPr>
            </w:pPr>
            <w:r>
              <w:rPr>
                <w:rFonts w:hint="eastAsia"/>
                <w:szCs w:val="18"/>
              </w:rPr>
              <w:t>12.1 水利工程重要基础设施</w:t>
            </w:r>
          </w:p>
          <w:p>
            <w:pPr>
              <w:pStyle w:val="181"/>
              <w:adjustRightInd w:val="0"/>
              <w:snapToGrid w:val="0"/>
              <w:spacing w:line="240" w:lineRule="atLeast"/>
              <w:ind w:firstLine="124" w:firstLineChars="69"/>
              <w:jc w:val="both"/>
              <w:rPr>
                <w:szCs w:val="18"/>
              </w:rPr>
            </w:pPr>
            <w:r>
              <w:rPr>
                <w:rFonts w:hint="eastAsia"/>
                <w:szCs w:val="18"/>
              </w:rPr>
              <w:t>12.2 其他涉</w:t>
            </w:r>
            <w:r>
              <w:rPr>
                <w:rFonts w:hint="eastAsia"/>
                <w:szCs w:val="18"/>
                <w:lang w:val="en-US" w:eastAsia="zh-CN"/>
              </w:rPr>
              <w:t>河</w:t>
            </w:r>
            <w:r>
              <w:rPr>
                <w:rFonts w:hint="eastAsia"/>
                <w:szCs w:val="18"/>
              </w:rPr>
              <w:t>工程重要基础设施</w:t>
            </w:r>
          </w:p>
          <w:p>
            <w:pPr>
              <w:pStyle w:val="181"/>
              <w:ind w:firstLine="127" w:firstLineChars="71"/>
              <w:jc w:val="left"/>
              <w:rPr>
                <w:szCs w:val="18"/>
              </w:rPr>
            </w:pPr>
            <w:r>
              <w:rPr>
                <w:rFonts w:hint="eastAsia"/>
                <w:szCs w:val="18"/>
              </w:rPr>
              <w:t>13 洲滩保护</w:t>
            </w:r>
          </w:p>
          <w:p>
            <w:pPr>
              <w:pStyle w:val="181"/>
              <w:adjustRightInd w:val="0"/>
              <w:snapToGrid w:val="0"/>
              <w:spacing w:line="240" w:lineRule="atLeast"/>
              <w:ind w:firstLine="124" w:firstLineChars="69"/>
              <w:jc w:val="both"/>
              <w:rPr>
                <w:szCs w:val="18"/>
              </w:rPr>
            </w:pPr>
            <w:r>
              <w:rPr>
                <w:rFonts w:hint="eastAsia"/>
                <w:szCs w:val="18"/>
              </w:rPr>
              <w:t>1</w:t>
            </w:r>
            <w:r>
              <w:rPr>
                <w:szCs w:val="18"/>
              </w:rPr>
              <w:t xml:space="preserve">4 </w:t>
            </w:r>
            <w:r>
              <w:rPr>
                <w:rFonts w:hint="eastAsia"/>
                <w:szCs w:val="18"/>
              </w:rPr>
              <w:t>河道利用管控</w:t>
            </w:r>
          </w:p>
          <w:p>
            <w:pPr>
              <w:pStyle w:val="181"/>
              <w:adjustRightInd w:val="0"/>
              <w:snapToGrid w:val="0"/>
              <w:spacing w:line="240" w:lineRule="atLeast"/>
              <w:ind w:firstLine="124" w:firstLineChars="69"/>
              <w:jc w:val="both"/>
              <w:rPr>
                <w:szCs w:val="18"/>
              </w:rPr>
            </w:pPr>
            <w:r>
              <w:rPr>
                <w:rFonts w:hint="eastAsia"/>
                <w:szCs w:val="18"/>
              </w:rPr>
              <w:t>14.1 养殖开发</w:t>
            </w:r>
          </w:p>
          <w:p>
            <w:pPr>
              <w:pStyle w:val="181"/>
              <w:adjustRightInd w:val="0"/>
              <w:snapToGrid w:val="0"/>
              <w:spacing w:line="240" w:lineRule="atLeast"/>
              <w:ind w:firstLine="124" w:firstLineChars="69"/>
              <w:jc w:val="both"/>
              <w:rPr>
                <w:szCs w:val="18"/>
              </w:rPr>
            </w:pPr>
            <w:r>
              <w:rPr>
                <w:rFonts w:hint="eastAsia"/>
                <w:szCs w:val="18"/>
              </w:rPr>
              <w:t>14.2 旅游发展</w:t>
            </w:r>
          </w:p>
          <w:p>
            <w:pPr>
              <w:pStyle w:val="181"/>
              <w:adjustRightInd w:val="0"/>
              <w:snapToGrid w:val="0"/>
              <w:spacing w:line="240" w:lineRule="atLeast"/>
              <w:ind w:firstLine="124" w:firstLineChars="69"/>
              <w:jc w:val="both"/>
              <w:rPr>
                <w:szCs w:val="18"/>
              </w:rPr>
            </w:pPr>
            <w:r>
              <w:rPr>
                <w:rFonts w:hint="eastAsia"/>
                <w:szCs w:val="18"/>
              </w:rPr>
              <w:t>1</w:t>
            </w:r>
            <w:r>
              <w:rPr>
                <w:szCs w:val="18"/>
              </w:rPr>
              <w:t xml:space="preserve">4.3 </w:t>
            </w:r>
            <w:r>
              <w:rPr>
                <w:rFonts w:hint="eastAsia"/>
                <w:szCs w:val="18"/>
              </w:rPr>
              <w:t>采砂取土</w:t>
            </w:r>
          </w:p>
          <w:p>
            <w:pPr>
              <w:pStyle w:val="181"/>
              <w:adjustRightInd w:val="0"/>
              <w:snapToGrid w:val="0"/>
              <w:spacing w:line="240" w:lineRule="atLeast"/>
              <w:ind w:firstLine="124" w:firstLineChars="69"/>
              <w:jc w:val="both"/>
              <w:rPr>
                <w:szCs w:val="18"/>
              </w:rPr>
            </w:pPr>
            <w:r>
              <w:rPr>
                <w:rFonts w:hint="eastAsia"/>
                <w:szCs w:val="18"/>
              </w:rPr>
              <w:t>14.4 其他</w:t>
            </w:r>
          </w:p>
          <w:p>
            <w:pPr>
              <w:pStyle w:val="181"/>
              <w:adjustRightInd w:val="0"/>
              <w:snapToGrid w:val="0"/>
              <w:spacing w:line="240" w:lineRule="atLeast"/>
              <w:ind w:firstLine="124" w:firstLineChars="69"/>
              <w:jc w:val="both"/>
              <w:rPr>
                <w:szCs w:val="18"/>
              </w:rPr>
            </w:pPr>
            <w:r>
              <w:rPr>
                <w:rFonts w:hint="eastAsia"/>
                <w:szCs w:val="18"/>
              </w:rPr>
              <w:t>15 河道管理</w:t>
            </w:r>
          </w:p>
          <w:p>
            <w:pPr>
              <w:pStyle w:val="181"/>
              <w:adjustRightInd w:val="0"/>
              <w:snapToGrid w:val="0"/>
              <w:spacing w:line="240" w:lineRule="atLeast"/>
              <w:ind w:firstLine="124" w:firstLineChars="69"/>
              <w:jc w:val="both"/>
              <w:rPr>
                <w:szCs w:val="18"/>
              </w:rPr>
            </w:pPr>
            <w:r>
              <w:rPr>
                <w:rFonts w:hint="eastAsia"/>
                <w:szCs w:val="18"/>
              </w:rPr>
              <w:t>15.1 体制机制</w:t>
            </w:r>
          </w:p>
          <w:p>
            <w:pPr>
              <w:pStyle w:val="181"/>
              <w:adjustRightInd w:val="0"/>
              <w:snapToGrid w:val="0"/>
              <w:spacing w:line="240" w:lineRule="atLeast"/>
              <w:ind w:firstLine="124" w:firstLineChars="69"/>
              <w:jc w:val="both"/>
              <w:rPr>
                <w:szCs w:val="18"/>
              </w:rPr>
            </w:pPr>
            <w:r>
              <w:rPr>
                <w:rFonts w:hint="eastAsia"/>
                <w:szCs w:val="18"/>
              </w:rPr>
              <w:t>15.2 制度体系</w:t>
            </w:r>
          </w:p>
          <w:p>
            <w:pPr>
              <w:pStyle w:val="181"/>
              <w:adjustRightInd w:val="0"/>
              <w:snapToGrid w:val="0"/>
              <w:spacing w:line="240" w:lineRule="atLeast"/>
              <w:ind w:firstLine="124" w:firstLineChars="69"/>
              <w:jc w:val="both"/>
              <w:rPr>
                <w:szCs w:val="18"/>
              </w:rPr>
            </w:pPr>
            <w:r>
              <w:rPr>
                <w:rFonts w:hint="eastAsia"/>
                <w:szCs w:val="18"/>
              </w:rPr>
              <w:t>15.3 规划协调</w:t>
            </w:r>
          </w:p>
          <w:p>
            <w:pPr>
              <w:pStyle w:val="181"/>
              <w:adjustRightInd w:val="0"/>
              <w:snapToGrid w:val="0"/>
              <w:spacing w:line="240" w:lineRule="atLeast"/>
              <w:ind w:firstLine="124" w:firstLineChars="69"/>
              <w:jc w:val="both"/>
              <w:rPr>
                <w:szCs w:val="18"/>
              </w:rPr>
            </w:pPr>
            <w:r>
              <w:rPr>
                <w:rFonts w:hint="eastAsia"/>
                <w:szCs w:val="18"/>
              </w:rPr>
              <w:t>15.4 能力建设</w:t>
            </w:r>
          </w:p>
          <w:p>
            <w:pPr>
              <w:pStyle w:val="181"/>
              <w:adjustRightInd w:val="0"/>
              <w:snapToGrid w:val="0"/>
              <w:spacing w:line="240" w:lineRule="atLeast"/>
              <w:ind w:firstLine="124" w:firstLineChars="69"/>
              <w:jc w:val="both"/>
              <w:rPr>
                <w:szCs w:val="18"/>
              </w:rPr>
            </w:pPr>
            <w:r>
              <w:rPr>
                <w:rFonts w:hint="eastAsia"/>
                <w:szCs w:val="18"/>
              </w:rPr>
              <w:t>16 规划实施</w:t>
            </w:r>
          </w:p>
          <w:p>
            <w:pPr>
              <w:pStyle w:val="181"/>
              <w:adjustRightInd w:val="0"/>
              <w:snapToGrid w:val="0"/>
              <w:spacing w:line="240" w:lineRule="atLeast"/>
              <w:ind w:firstLine="124" w:firstLineChars="69"/>
              <w:jc w:val="both"/>
              <w:rPr>
                <w:szCs w:val="18"/>
              </w:rPr>
            </w:pPr>
            <w:r>
              <w:rPr>
                <w:rFonts w:hint="eastAsia"/>
                <w:szCs w:val="18"/>
              </w:rPr>
              <w:t>17 保障措施</w:t>
            </w:r>
          </w:p>
          <w:p>
            <w:pPr>
              <w:pStyle w:val="181"/>
              <w:adjustRightInd w:val="0"/>
              <w:snapToGrid w:val="0"/>
              <w:spacing w:line="240" w:lineRule="atLeast"/>
              <w:ind w:firstLine="124" w:firstLineChars="69"/>
              <w:jc w:val="both"/>
              <w:rPr>
                <w:szCs w:val="18"/>
              </w:rPr>
            </w:pPr>
            <w:r>
              <w:rPr>
                <w:rFonts w:hint="eastAsia"/>
                <w:szCs w:val="18"/>
              </w:rPr>
              <w:t>18 附表</w:t>
            </w:r>
          </w:p>
          <w:p>
            <w:pPr>
              <w:pStyle w:val="181"/>
              <w:ind w:firstLine="127" w:firstLineChars="71"/>
              <w:jc w:val="left"/>
            </w:pPr>
            <w:r>
              <w:rPr>
                <w:rFonts w:hint="eastAsia"/>
                <w:szCs w:val="18"/>
              </w:rPr>
              <w:t>19 附图</w:t>
            </w:r>
          </w:p>
        </w:tc>
      </w:tr>
    </w:tbl>
    <w:p>
      <w:pPr>
        <w:pStyle w:val="59"/>
        <w:ind w:firstLine="420"/>
      </w:pPr>
    </w:p>
    <w:p>
      <w:pPr>
        <w:pStyle w:val="59"/>
        <w:ind w:firstLine="420"/>
      </w:pPr>
    </w:p>
    <w:p>
      <w:pPr>
        <w:pStyle w:val="59"/>
        <w:ind w:firstLine="420"/>
      </w:pPr>
    </w:p>
    <w:p>
      <w:pPr>
        <w:pStyle w:val="59"/>
        <w:ind w:firstLine="420"/>
      </w:pPr>
    </w:p>
    <w:bookmarkEnd w:id="580"/>
    <w:p>
      <w:pPr>
        <w:pStyle w:val="59"/>
        <w:ind w:firstLine="420"/>
        <w:sectPr>
          <w:headerReference r:id="rId31" w:type="default"/>
          <w:footerReference r:id="rId33" w:type="default"/>
          <w:headerReference r:id="rId32" w:type="even"/>
          <w:footerReference r:id="rId34" w:type="even"/>
          <w:pgSz w:w="11906" w:h="16838"/>
          <w:pgMar w:top="2410" w:right="1134" w:bottom="1134" w:left="1134" w:header="1418" w:footer="1134" w:gutter="284"/>
          <w:cols w:space="425" w:num="1"/>
          <w:formProt w:val="0"/>
          <w:docGrid w:type="lines" w:linePitch="312" w:charSpace="0"/>
        </w:sectPr>
      </w:pPr>
      <w:bookmarkStart w:id="617" w:name="BookMark6"/>
    </w:p>
    <w:p>
      <w:pPr>
        <w:pStyle w:val="66"/>
        <w:spacing w:before="124" w:after="156"/>
      </w:pPr>
      <w:bookmarkStart w:id="618" w:name="_Toc154582328"/>
      <w:bookmarkStart w:id="619" w:name="_Toc154654489"/>
      <w:bookmarkStart w:id="620" w:name="_Toc154585934"/>
      <w:bookmarkStart w:id="621" w:name="_Toc157261300"/>
      <w:r>
        <w:rPr>
          <w:rFonts w:hint="eastAsia"/>
          <w:spacing w:val="105"/>
        </w:rPr>
        <w:t>参考文</w:t>
      </w:r>
      <w:r>
        <w:rPr>
          <w:rFonts w:hint="eastAsia"/>
        </w:rPr>
        <w:t>献</w:t>
      </w:r>
      <w:bookmarkEnd w:id="618"/>
      <w:bookmarkEnd w:id="619"/>
      <w:bookmarkEnd w:id="620"/>
      <w:bookmarkEnd w:id="621"/>
    </w:p>
    <w:p>
      <w:pPr>
        <w:pStyle w:val="59"/>
        <w:ind w:firstLine="420"/>
      </w:pPr>
      <w:r>
        <w:rPr>
          <w:rFonts w:hint="eastAsia"/>
        </w:rPr>
        <w:t>[</w:t>
      </w:r>
      <w:r>
        <w:t xml:space="preserve">1] </w:t>
      </w:r>
      <w:r>
        <w:rPr>
          <w:rFonts w:hint="eastAsia"/>
        </w:rPr>
        <w:t>GB</w:t>
      </w:r>
      <w:r>
        <w:t xml:space="preserve"> 50139</w:t>
      </w:r>
      <w:r>
        <w:rPr>
          <w:rFonts w:hint="eastAsia"/>
        </w:rPr>
        <w:t>—2</w:t>
      </w:r>
      <w:r>
        <w:t xml:space="preserve">014  </w:t>
      </w:r>
      <w:r>
        <w:rPr>
          <w:rFonts w:hint="eastAsia"/>
        </w:rPr>
        <w:t>内河通航标准</w:t>
      </w:r>
    </w:p>
    <w:p>
      <w:pPr>
        <w:pStyle w:val="59"/>
        <w:ind w:firstLine="420"/>
      </w:pPr>
      <w:r>
        <w:rPr>
          <w:rFonts w:hint="eastAsia"/>
        </w:rPr>
        <w:t>[</w:t>
      </w:r>
      <w:r>
        <w:t xml:space="preserve">2] </w:t>
      </w:r>
      <w:r>
        <w:rPr>
          <w:rFonts w:hint="eastAsia"/>
        </w:rPr>
        <w:t>GB 50707—2011  河道整治设计规范</w:t>
      </w:r>
    </w:p>
    <w:p>
      <w:pPr>
        <w:pStyle w:val="59"/>
        <w:ind w:firstLine="420"/>
      </w:pPr>
      <w:r>
        <w:t xml:space="preserve">[3] </w:t>
      </w:r>
      <w:r>
        <w:rPr>
          <w:rFonts w:hint="eastAsia"/>
        </w:rPr>
        <w:t>GB/T 51051—2014</w:t>
      </w:r>
      <w:r>
        <w:t xml:space="preserve">  </w:t>
      </w:r>
      <w:r>
        <w:rPr>
          <w:rFonts w:hint="eastAsia"/>
        </w:rPr>
        <w:t>水资源规划规范</w:t>
      </w:r>
    </w:p>
    <w:p>
      <w:pPr>
        <w:pStyle w:val="59"/>
        <w:ind w:firstLine="420"/>
      </w:pPr>
      <w:r>
        <w:t xml:space="preserve">[4] </w:t>
      </w:r>
      <w:r>
        <w:rPr>
          <w:rFonts w:hint="eastAsia"/>
        </w:rPr>
        <w:t>SL</w:t>
      </w:r>
      <w:r>
        <w:t xml:space="preserve"> </w:t>
      </w:r>
      <w:r>
        <w:rPr>
          <w:rFonts w:hint="eastAsia"/>
        </w:rPr>
        <w:t>201—2015</w:t>
      </w:r>
      <w:r>
        <w:t xml:space="preserve">  </w:t>
      </w:r>
      <w:r>
        <w:rPr>
          <w:rFonts w:hint="eastAsia"/>
        </w:rPr>
        <w:t>江河流域规划编制规程</w:t>
      </w:r>
    </w:p>
    <w:p>
      <w:pPr>
        <w:pStyle w:val="59"/>
        <w:ind w:firstLine="420"/>
      </w:pPr>
      <w:r>
        <w:t xml:space="preserve">[5] </w:t>
      </w:r>
      <w:r>
        <w:rPr>
          <w:rFonts w:hint="eastAsia"/>
        </w:rPr>
        <w:t>SL 335—2014</w:t>
      </w:r>
      <w:r>
        <w:t xml:space="preserve">  </w:t>
      </w:r>
      <w:r>
        <w:rPr>
          <w:rFonts w:hint="eastAsia"/>
        </w:rPr>
        <w:t>水土保持规划编制规范</w:t>
      </w:r>
    </w:p>
    <w:p>
      <w:pPr>
        <w:pStyle w:val="59"/>
        <w:ind w:firstLine="420"/>
      </w:pPr>
      <w:r>
        <w:t xml:space="preserve">[6] SL 395  </w:t>
      </w:r>
      <w:r>
        <w:rPr>
          <w:rFonts w:hint="eastAsia"/>
        </w:rPr>
        <w:t>地表水资源质量评价技术规程</w:t>
      </w:r>
    </w:p>
    <w:p>
      <w:pPr>
        <w:pStyle w:val="59"/>
        <w:ind w:firstLine="420"/>
      </w:pPr>
      <w:r>
        <w:t xml:space="preserve">[7] </w:t>
      </w:r>
      <w:r>
        <w:rPr>
          <w:rFonts w:hint="eastAsia"/>
        </w:rPr>
        <w:t>SL 471—2010</w:t>
      </w:r>
      <w:r>
        <w:t xml:space="preserve">  </w:t>
      </w:r>
      <w:r>
        <w:rPr>
          <w:rFonts w:hint="eastAsia"/>
        </w:rPr>
        <w:t>水利风景区规划技术导则</w:t>
      </w:r>
    </w:p>
    <w:p>
      <w:pPr>
        <w:pStyle w:val="59"/>
        <w:ind w:firstLine="420"/>
      </w:pPr>
      <w:r>
        <w:t xml:space="preserve">[8] </w:t>
      </w:r>
      <w:r>
        <w:rPr>
          <w:rFonts w:hint="eastAsia"/>
        </w:rPr>
        <w:t>SL 613—201</w:t>
      </w:r>
      <w:r>
        <w:t xml:space="preserve">3  </w:t>
      </w:r>
      <w:r>
        <w:rPr>
          <w:rFonts w:hint="eastAsia"/>
        </w:rPr>
        <w:t>水资源保护规划编制规程</w:t>
      </w:r>
    </w:p>
    <w:p>
      <w:pPr>
        <w:pStyle w:val="59"/>
        <w:ind w:firstLine="420"/>
      </w:pPr>
      <w:r>
        <w:rPr>
          <w:rFonts w:hint="eastAsia"/>
        </w:rPr>
        <w:t>[</w:t>
      </w:r>
      <w:r>
        <w:t xml:space="preserve">9] </w:t>
      </w:r>
      <w:r>
        <w:rPr>
          <w:rFonts w:hint="eastAsia"/>
        </w:rPr>
        <w:t>SL 709—2015</w:t>
      </w:r>
      <w:r>
        <w:t xml:space="preserve">  </w:t>
      </w:r>
      <w:r>
        <w:rPr>
          <w:rFonts w:hint="eastAsia"/>
        </w:rPr>
        <w:t>河湖生态保护与修复规划导则</w:t>
      </w:r>
    </w:p>
    <w:p>
      <w:pPr>
        <w:pStyle w:val="59"/>
        <w:ind w:firstLine="420"/>
      </w:pPr>
      <w:r>
        <w:t xml:space="preserve">[10] </w:t>
      </w:r>
      <w:r>
        <w:rPr>
          <w:rFonts w:hint="eastAsia"/>
        </w:rPr>
        <w:t>SL/T 793—2020</w:t>
      </w:r>
      <w:r>
        <w:t xml:space="preserve">  </w:t>
      </w:r>
      <w:r>
        <w:rPr>
          <w:rFonts w:hint="eastAsia"/>
        </w:rPr>
        <w:t>河湖健康评估技术导则</w:t>
      </w:r>
    </w:p>
    <w:p>
      <w:pPr>
        <w:pStyle w:val="59"/>
        <w:ind w:firstLine="420"/>
      </w:pPr>
      <w:r>
        <w:t>[11]</w:t>
      </w:r>
      <w:r>
        <w:rPr>
          <w:rFonts w:hint="eastAsia"/>
        </w:rPr>
        <w:t xml:space="preserve"> SL/T 808—2021  河道管理范围内建设项目防洪评价报告编制导则</w:t>
      </w:r>
    </w:p>
    <w:p>
      <w:pPr>
        <w:pStyle w:val="59"/>
        <w:ind w:firstLine="420"/>
      </w:pPr>
    </w:p>
    <w:p>
      <w:pPr>
        <w:pStyle w:val="59"/>
        <w:ind w:firstLine="420"/>
      </w:pPr>
    </w:p>
    <w:p>
      <w:pPr>
        <w:pStyle w:val="59"/>
        <w:ind w:firstLine="420"/>
      </w:pPr>
    </w:p>
    <w:bookmarkEnd w:id="617"/>
    <w:p>
      <w:pPr>
        <w:pStyle w:val="59"/>
        <w:ind w:firstLine="0" w:firstLineChars="0"/>
        <w:jc w:val="center"/>
      </w:pPr>
      <w:bookmarkStart w:id="622" w:name="BookMark8"/>
      <w:r>
        <w:rPr>
          <w:rFonts w:hint="eastAsia"/>
        </w:rPr>
        <w:drawing>
          <wp:inline distT="0" distB="0" distL="0" distR="0">
            <wp:extent cx="1485900" cy="317500"/>
            <wp:effectExtent l="0" t="0" r="0" b="6350"/>
            <wp:docPr id="682863997" name="图片 1"/>
            <wp:cNvGraphicFramePr/>
            <a:graphic xmlns:a="http://schemas.openxmlformats.org/drawingml/2006/main">
              <a:graphicData uri="http://schemas.openxmlformats.org/drawingml/2006/picture">
                <pic:pic xmlns:pic="http://schemas.openxmlformats.org/drawingml/2006/picture">
                  <pic:nvPicPr>
                    <pic:cNvPr id="682863997" name="图片 1"/>
                    <pic:cNvPicPr/>
                  </pic:nvPicPr>
                  <pic:blipFill>
                    <a:blip r:embed="rId4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2"/>
    </w:p>
    <w:sectPr>
      <w:headerReference r:id="rId35" w:type="default"/>
      <w:footerReference r:id="rId37" w:type="default"/>
      <w:headerReference r:id="rId36" w:type="even"/>
      <w:footerReference r:id="rId38" w:type="even"/>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4</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12</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14</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32/T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32/T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32/T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32/T 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32/T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32/T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32/T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32/T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284"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xv1fTSUmE3UOcwiaKHJcDg9kC6n6ZajGpcqBan0APUnqg6pTTHaZw+5MgprCVQh/EluxUDWrSXBYv8aqDXuCOQ==" w:salt="Z2dJ57svTAHIIGn85xsEq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15065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B3B"/>
    <w:rsid w:val="00071CC0"/>
    <w:rsid w:val="00073C8C"/>
    <w:rsid w:val="00077B64"/>
    <w:rsid w:val="00080A1C"/>
    <w:rsid w:val="00082317"/>
    <w:rsid w:val="00083D2C"/>
    <w:rsid w:val="00086AA1"/>
    <w:rsid w:val="00087A77"/>
    <w:rsid w:val="00087F45"/>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2B9"/>
    <w:rsid w:val="0014290D"/>
    <w:rsid w:val="00142969"/>
    <w:rsid w:val="001446C2"/>
    <w:rsid w:val="001457E7"/>
    <w:rsid w:val="00145D9D"/>
    <w:rsid w:val="00146388"/>
    <w:rsid w:val="0015065D"/>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9F8"/>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0E6B"/>
    <w:rsid w:val="002515C2"/>
    <w:rsid w:val="0025194F"/>
    <w:rsid w:val="00254810"/>
    <w:rsid w:val="0026148A"/>
    <w:rsid w:val="00262696"/>
    <w:rsid w:val="00263D25"/>
    <w:rsid w:val="002643C3"/>
    <w:rsid w:val="00264A0C"/>
    <w:rsid w:val="00266EEB"/>
    <w:rsid w:val="00267EF4"/>
    <w:rsid w:val="00270CB8"/>
    <w:rsid w:val="00272B08"/>
    <w:rsid w:val="00281BB8"/>
    <w:rsid w:val="00281E9E"/>
    <w:rsid w:val="00282405"/>
    <w:rsid w:val="00283A2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A7FA8"/>
    <w:rsid w:val="002B0C40"/>
    <w:rsid w:val="002B1966"/>
    <w:rsid w:val="002B2E74"/>
    <w:rsid w:val="002B4508"/>
    <w:rsid w:val="002B5779"/>
    <w:rsid w:val="002B7332"/>
    <w:rsid w:val="002B7F51"/>
    <w:rsid w:val="002C09E7"/>
    <w:rsid w:val="002C0E1A"/>
    <w:rsid w:val="002C1E06"/>
    <w:rsid w:val="002C1E1C"/>
    <w:rsid w:val="002C3F07"/>
    <w:rsid w:val="002C5278"/>
    <w:rsid w:val="002C7EBB"/>
    <w:rsid w:val="002D06C1"/>
    <w:rsid w:val="002D0E6B"/>
    <w:rsid w:val="002D42B5"/>
    <w:rsid w:val="002D4F1A"/>
    <w:rsid w:val="002D6EC6"/>
    <w:rsid w:val="002D79AC"/>
    <w:rsid w:val="002E039D"/>
    <w:rsid w:val="002E4D5A"/>
    <w:rsid w:val="002E6326"/>
    <w:rsid w:val="002F30E0"/>
    <w:rsid w:val="002F35E4"/>
    <w:rsid w:val="002F3730"/>
    <w:rsid w:val="002F38E1"/>
    <w:rsid w:val="002F7AF6"/>
    <w:rsid w:val="002F7CD0"/>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31E"/>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1C0"/>
    <w:rsid w:val="00404869"/>
    <w:rsid w:val="00405884"/>
    <w:rsid w:val="00407D39"/>
    <w:rsid w:val="0041477A"/>
    <w:rsid w:val="004163B0"/>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4FE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9F"/>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ABB"/>
    <w:rsid w:val="00516B0B"/>
    <w:rsid w:val="005220EC"/>
    <w:rsid w:val="0052307A"/>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7A0"/>
    <w:rsid w:val="00555044"/>
    <w:rsid w:val="00561475"/>
    <w:rsid w:val="0056487B"/>
    <w:rsid w:val="00564FB9"/>
    <w:rsid w:val="00573D9E"/>
    <w:rsid w:val="0057419A"/>
    <w:rsid w:val="00577678"/>
    <w:rsid w:val="005801E3"/>
    <w:rsid w:val="00581802"/>
    <w:rsid w:val="005836A8"/>
    <w:rsid w:val="0058409C"/>
    <w:rsid w:val="00584262"/>
    <w:rsid w:val="00586630"/>
    <w:rsid w:val="00586B28"/>
    <w:rsid w:val="00587ADD"/>
    <w:rsid w:val="00591E27"/>
    <w:rsid w:val="00596160"/>
    <w:rsid w:val="005966E2"/>
    <w:rsid w:val="00597007"/>
    <w:rsid w:val="005A0966"/>
    <w:rsid w:val="005A11B7"/>
    <w:rsid w:val="005A260B"/>
    <w:rsid w:val="005A4A1B"/>
    <w:rsid w:val="005A624B"/>
    <w:rsid w:val="005A7830"/>
    <w:rsid w:val="005A7FCE"/>
    <w:rsid w:val="005B0F3F"/>
    <w:rsid w:val="005B4903"/>
    <w:rsid w:val="005B51CE"/>
    <w:rsid w:val="005B5885"/>
    <w:rsid w:val="005B5CD7"/>
    <w:rsid w:val="005B6CF6"/>
    <w:rsid w:val="005B7422"/>
    <w:rsid w:val="005C29B8"/>
    <w:rsid w:val="005C4130"/>
    <w:rsid w:val="005C5F21"/>
    <w:rsid w:val="005C7156"/>
    <w:rsid w:val="005D0C75"/>
    <w:rsid w:val="005D4171"/>
    <w:rsid w:val="005D5373"/>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B72"/>
    <w:rsid w:val="00672060"/>
    <w:rsid w:val="00672BFD"/>
    <w:rsid w:val="006760CB"/>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1BB1"/>
    <w:rsid w:val="007322D9"/>
    <w:rsid w:val="00732BC0"/>
    <w:rsid w:val="0073720F"/>
    <w:rsid w:val="00737796"/>
    <w:rsid w:val="0074165C"/>
    <w:rsid w:val="00742C35"/>
    <w:rsid w:val="007432CA"/>
    <w:rsid w:val="007439EB"/>
    <w:rsid w:val="00743CB4"/>
    <w:rsid w:val="00743F0A"/>
    <w:rsid w:val="007444E8"/>
    <w:rsid w:val="007448FE"/>
    <w:rsid w:val="0074548E"/>
    <w:rsid w:val="00745773"/>
    <w:rsid w:val="00746800"/>
    <w:rsid w:val="007501A8"/>
    <w:rsid w:val="00750D61"/>
    <w:rsid w:val="00750EE1"/>
    <w:rsid w:val="00752B4D"/>
    <w:rsid w:val="007549FC"/>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17C3"/>
    <w:rsid w:val="007A2E12"/>
    <w:rsid w:val="007A3475"/>
    <w:rsid w:val="007A41C8"/>
    <w:rsid w:val="007A54CE"/>
    <w:rsid w:val="007A6FD9"/>
    <w:rsid w:val="007A7FFA"/>
    <w:rsid w:val="007B04EB"/>
    <w:rsid w:val="007B0D4F"/>
    <w:rsid w:val="007B3A64"/>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81C"/>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1CC"/>
    <w:rsid w:val="00867C10"/>
    <w:rsid w:val="00870439"/>
    <w:rsid w:val="00870DA1"/>
    <w:rsid w:val="00881E7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025D"/>
    <w:rsid w:val="00960DD8"/>
    <w:rsid w:val="009610DC"/>
    <w:rsid w:val="00961490"/>
    <w:rsid w:val="0096381A"/>
    <w:rsid w:val="00965E04"/>
    <w:rsid w:val="009674AD"/>
    <w:rsid w:val="00970ADC"/>
    <w:rsid w:val="00970CDC"/>
    <w:rsid w:val="00977010"/>
    <w:rsid w:val="00977D02"/>
    <w:rsid w:val="009809BB"/>
    <w:rsid w:val="0098364B"/>
    <w:rsid w:val="00990FA2"/>
    <w:rsid w:val="009911AF"/>
    <w:rsid w:val="00991875"/>
    <w:rsid w:val="00991F92"/>
    <w:rsid w:val="00992670"/>
    <w:rsid w:val="00992985"/>
    <w:rsid w:val="00993889"/>
    <w:rsid w:val="00994BF2"/>
    <w:rsid w:val="0099551B"/>
    <w:rsid w:val="00997BF1"/>
    <w:rsid w:val="009A089C"/>
    <w:rsid w:val="009A118E"/>
    <w:rsid w:val="009A21CD"/>
    <w:rsid w:val="009A278C"/>
    <w:rsid w:val="009A2BC2"/>
    <w:rsid w:val="009A42C1"/>
    <w:rsid w:val="009A5429"/>
    <w:rsid w:val="009A72AD"/>
    <w:rsid w:val="009B09E0"/>
    <w:rsid w:val="009B0BC5"/>
    <w:rsid w:val="009B1247"/>
    <w:rsid w:val="009B5C0F"/>
    <w:rsid w:val="009B6029"/>
    <w:rsid w:val="009B6971"/>
    <w:rsid w:val="009C27F1"/>
    <w:rsid w:val="009C3152"/>
    <w:rsid w:val="009C4CFA"/>
    <w:rsid w:val="009C5070"/>
    <w:rsid w:val="009D112C"/>
    <w:rsid w:val="009D47FA"/>
    <w:rsid w:val="009D4C5B"/>
    <w:rsid w:val="009D50D2"/>
    <w:rsid w:val="009D5710"/>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2DB9"/>
    <w:rsid w:val="00A4452E"/>
    <w:rsid w:val="00A4472C"/>
    <w:rsid w:val="00A44E69"/>
    <w:rsid w:val="00A4661E"/>
    <w:rsid w:val="00A529FD"/>
    <w:rsid w:val="00A55BD6"/>
    <w:rsid w:val="00A55D50"/>
    <w:rsid w:val="00A57142"/>
    <w:rsid w:val="00A64239"/>
    <w:rsid w:val="00A648CD"/>
    <w:rsid w:val="00A6537A"/>
    <w:rsid w:val="00A67866"/>
    <w:rsid w:val="00A70B07"/>
    <w:rsid w:val="00A723F8"/>
    <w:rsid w:val="00A77CCB"/>
    <w:rsid w:val="00A81471"/>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D15"/>
    <w:rsid w:val="00AD0AEF"/>
    <w:rsid w:val="00AD11B7"/>
    <w:rsid w:val="00AD1A94"/>
    <w:rsid w:val="00AD1C05"/>
    <w:rsid w:val="00AD4126"/>
    <w:rsid w:val="00AD421C"/>
    <w:rsid w:val="00AD44FA"/>
    <w:rsid w:val="00AD6A8E"/>
    <w:rsid w:val="00AE070A"/>
    <w:rsid w:val="00AE101C"/>
    <w:rsid w:val="00AE37E5"/>
    <w:rsid w:val="00AE5EB4"/>
    <w:rsid w:val="00AF0C18"/>
    <w:rsid w:val="00AF47C5"/>
    <w:rsid w:val="00AF5398"/>
    <w:rsid w:val="00B049AF"/>
    <w:rsid w:val="00B07242"/>
    <w:rsid w:val="00B10534"/>
    <w:rsid w:val="00B105A6"/>
    <w:rsid w:val="00B113DB"/>
    <w:rsid w:val="00B11D8A"/>
    <w:rsid w:val="00B12981"/>
    <w:rsid w:val="00B147DD"/>
    <w:rsid w:val="00B156FD"/>
    <w:rsid w:val="00B21D4C"/>
    <w:rsid w:val="00B21F61"/>
    <w:rsid w:val="00B261F1"/>
    <w:rsid w:val="00B265BC"/>
    <w:rsid w:val="00B31B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656C"/>
    <w:rsid w:val="00C71372"/>
    <w:rsid w:val="00C72410"/>
    <w:rsid w:val="00C7287F"/>
    <w:rsid w:val="00C76A5A"/>
    <w:rsid w:val="00C77311"/>
    <w:rsid w:val="00C80CB8"/>
    <w:rsid w:val="00C819F8"/>
    <w:rsid w:val="00C8248C"/>
    <w:rsid w:val="00C84D86"/>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126"/>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C68"/>
    <w:rsid w:val="00CE0C4F"/>
    <w:rsid w:val="00CE30EA"/>
    <w:rsid w:val="00CF048A"/>
    <w:rsid w:val="00CF155A"/>
    <w:rsid w:val="00CF2947"/>
    <w:rsid w:val="00CF686F"/>
    <w:rsid w:val="00CF6E60"/>
    <w:rsid w:val="00CF761B"/>
    <w:rsid w:val="00CF7BCA"/>
    <w:rsid w:val="00D008FD"/>
    <w:rsid w:val="00D0321C"/>
    <w:rsid w:val="00D035EC"/>
    <w:rsid w:val="00D06AB1"/>
    <w:rsid w:val="00D072ED"/>
    <w:rsid w:val="00D07A16"/>
    <w:rsid w:val="00D1067E"/>
    <w:rsid w:val="00D10F50"/>
    <w:rsid w:val="00D11272"/>
    <w:rsid w:val="00D126F5"/>
    <w:rsid w:val="00D1489E"/>
    <w:rsid w:val="00D16EDE"/>
    <w:rsid w:val="00D20737"/>
    <w:rsid w:val="00D21D01"/>
    <w:rsid w:val="00D21E81"/>
    <w:rsid w:val="00D223DE"/>
    <w:rsid w:val="00D25E37"/>
    <w:rsid w:val="00D2661A"/>
    <w:rsid w:val="00D27582"/>
    <w:rsid w:val="00D27EC4"/>
    <w:rsid w:val="00D3235F"/>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6287"/>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114C"/>
    <w:rsid w:val="00DC3067"/>
    <w:rsid w:val="00DC370B"/>
    <w:rsid w:val="00DC5B90"/>
    <w:rsid w:val="00DD00FF"/>
    <w:rsid w:val="00DD0619"/>
    <w:rsid w:val="00DD07FB"/>
    <w:rsid w:val="00DD25C6"/>
    <w:rsid w:val="00DD2A6E"/>
    <w:rsid w:val="00DD4FE5"/>
    <w:rsid w:val="00DD54B0"/>
    <w:rsid w:val="00DD57EE"/>
    <w:rsid w:val="00DD6BCC"/>
    <w:rsid w:val="00DE0A4B"/>
    <w:rsid w:val="00DE2410"/>
    <w:rsid w:val="00DE2939"/>
    <w:rsid w:val="00DE5E7B"/>
    <w:rsid w:val="00DE6E81"/>
    <w:rsid w:val="00DE703F"/>
    <w:rsid w:val="00DE7595"/>
    <w:rsid w:val="00DF1961"/>
    <w:rsid w:val="00DF44DE"/>
    <w:rsid w:val="00DF5F11"/>
    <w:rsid w:val="00E01138"/>
    <w:rsid w:val="00E01251"/>
    <w:rsid w:val="00E02DFB"/>
    <w:rsid w:val="00E030F9"/>
    <w:rsid w:val="00E0311A"/>
    <w:rsid w:val="00E03138"/>
    <w:rsid w:val="00E06404"/>
    <w:rsid w:val="00E07B0E"/>
    <w:rsid w:val="00E11A85"/>
    <w:rsid w:val="00E12495"/>
    <w:rsid w:val="00E15CCD"/>
    <w:rsid w:val="00E16E2B"/>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2FF"/>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05"/>
    <w:rsid w:val="00E934D1"/>
    <w:rsid w:val="00E94AF0"/>
    <w:rsid w:val="00E95D13"/>
    <w:rsid w:val="00E95DD3"/>
    <w:rsid w:val="00E969D5"/>
    <w:rsid w:val="00EA58D1"/>
    <w:rsid w:val="00EA5DB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4939"/>
    <w:rsid w:val="00F06D37"/>
    <w:rsid w:val="00F07B9D"/>
    <w:rsid w:val="00F11586"/>
    <w:rsid w:val="00F1183B"/>
    <w:rsid w:val="00F11C9F"/>
    <w:rsid w:val="00F12263"/>
    <w:rsid w:val="00F1409D"/>
    <w:rsid w:val="00F14214"/>
    <w:rsid w:val="00F157A9"/>
    <w:rsid w:val="00F179CB"/>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B82"/>
    <w:rsid w:val="00F81141"/>
    <w:rsid w:val="00F833BA"/>
    <w:rsid w:val="00F84FD0"/>
    <w:rsid w:val="00F859A8"/>
    <w:rsid w:val="00F86D87"/>
    <w:rsid w:val="00F9108B"/>
    <w:rsid w:val="00F91349"/>
    <w:rsid w:val="00F93552"/>
    <w:rsid w:val="00F93A8A"/>
    <w:rsid w:val="00F95248"/>
    <w:rsid w:val="00F956A9"/>
    <w:rsid w:val="00F963ED"/>
    <w:rsid w:val="00F966CF"/>
    <w:rsid w:val="00F96CAE"/>
    <w:rsid w:val="00F97C99"/>
    <w:rsid w:val="00FA4DAC"/>
    <w:rsid w:val="00FA662D"/>
    <w:rsid w:val="00FA73B1"/>
    <w:rsid w:val="00FB0762"/>
    <w:rsid w:val="00FB0CB9"/>
    <w:rsid w:val="00FB231D"/>
    <w:rsid w:val="00FB45F1"/>
    <w:rsid w:val="00FB4A72"/>
    <w:rsid w:val="00FB54E8"/>
    <w:rsid w:val="00FB5BD5"/>
    <w:rsid w:val="00FB68FE"/>
    <w:rsid w:val="00FB7054"/>
    <w:rsid w:val="00FC17B7"/>
    <w:rsid w:val="00FC1E03"/>
    <w:rsid w:val="00FC2CB7"/>
    <w:rsid w:val="00FC4090"/>
    <w:rsid w:val="00FC55B4"/>
    <w:rsid w:val="00FD00E6"/>
    <w:rsid w:val="00FD09A1"/>
    <w:rsid w:val="00FD2A7C"/>
    <w:rsid w:val="00FD32C0"/>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92A3DA7"/>
    <w:rsid w:val="239E029B"/>
    <w:rsid w:val="38BA7F27"/>
    <w:rsid w:val="3AB30274"/>
    <w:rsid w:val="3B0102FA"/>
    <w:rsid w:val="43BC64C2"/>
    <w:rsid w:val="466A77F9"/>
    <w:rsid w:val="49152875"/>
    <w:rsid w:val="49AB4C68"/>
    <w:rsid w:val="565A5AF0"/>
    <w:rsid w:val="5CED210B"/>
    <w:rsid w:val="780D6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autoRedefine/>
    <w:semiHidden/>
    <w:unhideWhenUsed/>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4"/>
    <w:autoRedefine/>
    <w:unhideWhenUsed/>
    <w:qFormat/>
    <w:uiPriority w:val="99"/>
    <w:pPr>
      <w:jc w:val="left"/>
    </w:pPr>
  </w:style>
  <w:style w:type="paragraph" w:styleId="14">
    <w:name w:val="Body Text"/>
    <w:basedOn w:val="1"/>
    <w:link w:val="89"/>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autoRedefine/>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5"/>
    <w:autoRedefine/>
    <w:semiHidden/>
    <w:unhideWhenUsed/>
    <w:qFormat/>
    <w:uiPriority w:val="99"/>
    <w:rPr>
      <w:b/>
      <w:bCs/>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autoRedefine/>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字符"/>
    <w:link w:val="2"/>
    <w:autoRedefine/>
    <w:qFormat/>
    <w:uiPriority w:val="0"/>
    <w:rPr>
      <w:rFonts w:ascii="Times New Roman" w:hAnsi="Times New Roman" w:eastAsia="宋体" w:cs="Times New Roman"/>
      <w:b/>
      <w:bCs/>
      <w:kern w:val="44"/>
      <w:sz w:val="44"/>
      <w:szCs w:val="44"/>
    </w:rPr>
  </w:style>
  <w:style w:type="character" w:customStyle="1" w:styleId="38">
    <w:name w:val="标题 2 字符"/>
    <w:link w:val="3"/>
    <w:autoRedefine/>
    <w:qFormat/>
    <w:uiPriority w:val="0"/>
    <w:rPr>
      <w:rFonts w:ascii="Arial" w:hAnsi="Arial" w:eastAsia="黑体" w:cs="Times New Roman"/>
      <w:b/>
      <w:bCs/>
      <w:sz w:val="32"/>
      <w:szCs w:val="32"/>
    </w:rPr>
  </w:style>
  <w:style w:type="character" w:customStyle="1" w:styleId="39">
    <w:name w:val="标题 3 字符"/>
    <w:link w:val="4"/>
    <w:autoRedefine/>
    <w:qFormat/>
    <w:uiPriority w:val="0"/>
    <w:rPr>
      <w:rFonts w:ascii="Times New Roman" w:hAnsi="Times New Roman" w:eastAsia="宋体" w:cs="Times New Roman"/>
      <w:b/>
      <w:bCs/>
      <w:sz w:val="32"/>
      <w:szCs w:val="32"/>
    </w:rPr>
  </w:style>
  <w:style w:type="character" w:customStyle="1" w:styleId="40">
    <w:name w:val="标题 4 字符"/>
    <w:link w:val="5"/>
    <w:autoRedefine/>
    <w:qFormat/>
    <w:uiPriority w:val="0"/>
    <w:rPr>
      <w:rFonts w:ascii="Arial" w:hAnsi="Arial" w:eastAsia="黑体" w:cs="Times New Roman"/>
      <w:b/>
      <w:bCs/>
      <w:sz w:val="28"/>
      <w:szCs w:val="28"/>
    </w:rPr>
  </w:style>
  <w:style w:type="character" w:customStyle="1" w:styleId="41">
    <w:name w:val="标题 5 字符"/>
    <w:link w:val="6"/>
    <w:autoRedefine/>
    <w:qFormat/>
    <w:uiPriority w:val="0"/>
    <w:rPr>
      <w:rFonts w:ascii="Times New Roman" w:hAnsi="Times New Roman" w:eastAsia="宋体" w:cs="Times New Roman"/>
      <w:b/>
      <w:bCs/>
      <w:sz w:val="28"/>
      <w:szCs w:val="28"/>
    </w:rPr>
  </w:style>
  <w:style w:type="character" w:customStyle="1" w:styleId="42">
    <w:name w:val="标题 6 字符"/>
    <w:link w:val="7"/>
    <w:autoRedefine/>
    <w:qFormat/>
    <w:uiPriority w:val="0"/>
    <w:rPr>
      <w:rFonts w:ascii="Arial" w:hAnsi="Arial" w:eastAsia="黑体" w:cs="Times New Roman"/>
      <w:b/>
      <w:bCs/>
      <w:sz w:val="24"/>
      <w:szCs w:val="24"/>
    </w:rPr>
  </w:style>
  <w:style w:type="character" w:customStyle="1" w:styleId="43">
    <w:name w:val="标题 7 字符"/>
    <w:link w:val="8"/>
    <w:autoRedefine/>
    <w:qFormat/>
    <w:uiPriority w:val="0"/>
    <w:rPr>
      <w:rFonts w:ascii="Times New Roman" w:hAnsi="Times New Roman" w:eastAsia="宋体" w:cs="Times New Roman"/>
      <w:b/>
      <w:bCs/>
      <w:sz w:val="24"/>
      <w:szCs w:val="24"/>
    </w:rPr>
  </w:style>
  <w:style w:type="character" w:customStyle="1" w:styleId="44">
    <w:name w:val="标题 8 字符"/>
    <w:link w:val="9"/>
    <w:autoRedefine/>
    <w:qFormat/>
    <w:uiPriority w:val="0"/>
    <w:rPr>
      <w:rFonts w:ascii="Arial" w:hAnsi="Arial" w:eastAsia="黑体" w:cs="Times New Roman"/>
      <w:sz w:val="24"/>
      <w:szCs w:val="24"/>
    </w:rPr>
  </w:style>
  <w:style w:type="character" w:customStyle="1" w:styleId="45">
    <w:name w:val="标题 9 字符"/>
    <w:link w:val="10"/>
    <w:autoRedefine/>
    <w:qFormat/>
    <w:uiPriority w:val="0"/>
    <w:rPr>
      <w:rFonts w:ascii="Arial" w:hAnsi="Arial" w:eastAsia="黑体" w:cs="Times New Roman"/>
      <w:szCs w:val="21"/>
    </w:rPr>
  </w:style>
  <w:style w:type="character" w:customStyle="1" w:styleId="46">
    <w:name w:val="页眉 字符"/>
    <w:link w:val="19"/>
    <w:autoRedefine/>
    <w:qFormat/>
    <w:uiPriority w:val="99"/>
    <w:rPr>
      <w:rFonts w:ascii="Times New Roman" w:hAnsi="Times New Roman" w:eastAsia="宋体" w:cs="Times New Roman"/>
      <w:sz w:val="18"/>
      <w:szCs w:val="18"/>
    </w:rPr>
  </w:style>
  <w:style w:type="character" w:customStyle="1" w:styleId="47">
    <w:name w:val="页脚 字符"/>
    <w:link w:val="18"/>
    <w:autoRedefine/>
    <w:qFormat/>
    <w:uiPriority w:val="99"/>
    <w:rPr>
      <w:rFonts w:ascii="宋体" w:hAnsi="Times New Roman" w:eastAsia="宋体" w:cs="Times New Roman"/>
      <w:sz w:val="18"/>
      <w:szCs w:val="18"/>
    </w:rPr>
  </w:style>
  <w:style w:type="character" w:customStyle="1" w:styleId="48">
    <w:name w:val="批注框文本 字符"/>
    <w:link w:val="17"/>
    <w:autoRedefine/>
    <w:semiHidden/>
    <w:qFormat/>
    <w:uiPriority w:val="99"/>
    <w:rPr>
      <w:sz w:val="18"/>
      <w:szCs w:val="18"/>
    </w:rPr>
  </w:style>
  <w:style w:type="paragraph" w:styleId="49">
    <w:name w:val="Quote"/>
    <w:basedOn w:val="1"/>
    <w:next w:val="1"/>
    <w:link w:val="50"/>
    <w:autoRedefine/>
    <w:qFormat/>
    <w:uiPriority w:val="29"/>
    <w:rPr>
      <w:i/>
      <w:iCs/>
      <w:color w:val="000000"/>
    </w:rPr>
  </w:style>
  <w:style w:type="character" w:customStyle="1" w:styleId="50">
    <w:name w:val="引用 字符"/>
    <w:link w:val="49"/>
    <w:autoRedefine/>
    <w:qFormat/>
    <w:uiPriority w:val="29"/>
    <w:rPr>
      <w:i/>
      <w:iCs/>
      <w:color w:val="000000"/>
    </w:rPr>
  </w:style>
  <w:style w:type="character" w:customStyle="1" w:styleId="51">
    <w:name w:val="标题 字符"/>
    <w:link w:val="26"/>
    <w:autoRedefine/>
    <w:qFormat/>
    <w:uiPriority w:val="0"/>
    <w:rPr>
      <w:rFonts w:ascii="Arial" w:hAnsi="Arial" w:eastAsia="宋体" w:cs="Arial"/>
      <w:b/>
      <w:bCs/>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autoRedefine/>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autoRedefine/>
    <w:qFormat/>
    <w:uiPriority w:val="0"/>
    <w:pPr>
      <w:snapToGrid w:val="0"/>
      <w:ind w:firstLine="200" w:firstLineChars="200"/>
    </w:pPr>
    <w:rPr>
      <w:kern w:val="0"/>
    </w:rPr>
  </w:style>
  <w:style w:type="paragraph" w:customStyle="1" w:styleId="59">
    <w:name w:val="标准文件_段"/>
    <w:link w:val="187"/>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autoRedefine/>
    <w:qFormat/>
    <w:uiPriority w:val="0"/>
    <w:rPr>
      <w:rFonts w:ascii="Times New Roman" w:hAnsi="Times New Roman" w:eastAsia="宋体" w:cs="Times New Roman"/>
      <w:szCs w:val="20"/>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pPr>
  </w:style>
  <w:style w:type="paragraph" w:customStyle="1" w:styleId="94">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ind w:left="0" w:firstLine="200"/>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autoRedefine/>
    <w:semiHidden/>
    <w:qFormat/>
    <w:uiPriority w:val="0"/>
    <w:rPr>
      <w:rFonts w:ascii="宋体" w:hAnsi="Times New Roman" w:eastAsia="宋体" w:cs="Times New Roman"/>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50" w:beforeLines="50" w:after="50" w:afterLines="5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autoRedefine/>
    <w:qFormat/>
    <w:uiPriority w:val="0"/>
    <w:pPr>
      <w:outlineLvl w:val="5"/>
    </w:pPr>
  </w:style>
  <w:style w:type="paragraph" w:customStyle="1" w:styleId="134">
    <w:name w:val="附录图"/>
    <w:next w:val="5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0" w:beforeLines="0" w:after="0" w:afterLines="0"/>
      <w:outlineLvl w:val="9"/>
    </w:pPr>
    <w:rPr>
      <w:rFonts w:ascii="宋体" w:eastAsia="宋体"/>
    </w:rPr>
  </w:style>
  <w:style w:type="paragraph" w:customStyle="1" w:styleId="166">
    <w:name w:val="标准文件_五级无标题"/>
    <w:basedOn w:val="106"/>
    <w:autoRedefine/>
    <w:qFormat/>
    <w:uiPriority w:val="0"/>
    <w:pPr>
      <w:spacing w:before="0" w:beforeLines="0" w:after="0" w:afterLines="0"/>
      <w:outlineLvl w:val="9"/>
    </w:pPr>
    <w:rPr>
      <w:rFonts w:ascii="宋体" w:eastAsia="宋体"/>
    </w:rPr>
  </w:style>
  <w:style w:type="paragraph" w:customStyle="1" w:styleId="167">
    <w:name w:val="标准文件_三级无标题"/>
    <w:basedOn w:val="97"/>
    <w:autoRedefine/>
    <w:qFormat/>
    <w:uiPriority w:val="0"/>
    <w:pPr>
      <w:spacing w:before="0" w:beforeLines="0" w:after="0" w:afterLines="0"/>
      <w:outlineLvl w:val="9"/>
    </w:pPr>
    <w:rPr>
      <w:rFonts w:ascii="宋体" w:eastAsia="宋体"/>
    </w:rPr>
  </w:style>
  <w:style w:type="paragraph" w:customStyle="1" w:styleId="168">
    <w:name w:val="标准文件_二级无标题"/>
    <w:basedOn w:val="68"/>
    <w:autoRedefine/>
    <w:qFormat/>
    <w:uiPriority w:val="0"/>
    <w:pPr>
      <w:spacing w:before="0" w:beforeLines="0" w:after="0" w:afterLines="0"/>
      <w:outlineLvl w:val="9"/>
    </w:pPr>
    <w:rPr>
      <w:rFonts w:ascii="宋体"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autoRedefine/>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ind w:firstLine="0" w:firstLineChars="0"/>
      <w:jc w:val="center"/>
    </w:pPr>
    <w:rPr>
      <w:sz w:val="18"/>
    </w:rPr>
  </w:style>
  <w:style w:type="paragraph" w:customStyle="1" w:styleId="182">
    <w:name w:val="标准文件_注："/>
    <w:next w:val="59"/>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pPr>
      <w:ind w:firstLine="420"/>
    </w:pPr>
    <w:rPr>
      <w:sz w:val="18"/>
    </w:rPr>
  </w:style>
  <w:style w:type="paragraph" w:customStyle="1" w:styleId="186">
    <w:name w:val="标准文件_示例×："/>
    <w:basedOn w:val="1"/>
    <w:next w:val="185"/>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autoRedefine/>
    <w:qFormat/>
    <w:uiPriority w:val="0"/>
    <w:rPr>
      <w:rFonts w:ascii="宋体" w:hAnsi="Times New Roman"/>
      <w:sz w:val="21"/>
    </w:rPr>
  </w:style>
  <w:style w:type="paragraph" w:customStyle="1" w:styleId="188">
    <w:name w:val="标准文件_表格续"/>
    <w:basedOn w:val="59"/>
    <w:next w:val="59"/>
    <w:autoRedefine/>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59"/>
    <w:autoRedefine/>
    <w:qFormat/>
    <w:uiPriority w:val="0"/>
    <w:pPr>
      <w:numPr>
        <w:ilvl w:val="1"/>
        <w:numId w:val="21"/>
      </w:numPr>
      <w:ind w:left="1271" w:hanging="420" w:firstLineChars="0"/>
    </w:pPr>
  </w:style>
  <w:style w:type="paragraph" w:customStyle="1" w:styleId="191">
    <w:name w:val="标准文件_三级项2"/>
    <w:basedOn w:val="59"/>
    <w:autoRedefine/>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autoRedefine/>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autoRedefine/>
    <w:qFormat/>
    <w:uiPriority w:val="0"/>
    <w:pPr>
      <w:ind w:firstLine="420"/>
    </w:pPr>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autoRedefine/>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spacing w:before="57"/>
    </w:pPr>
    <w:rPr>
      <w:sz w:val="21"/>
    </w:rPr>
  </w:style>
  <w:style w:type="paragraph" w:customStyle="1" w:styleId="200">
    <w:name w:val="标准文件_文件名称"/>
    <w:basedOn w:val="59"/>
    <w:next w:val="59"/>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autoRedefine/>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autoRedefine/>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autoRedefine/>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autoRedefine/>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autoRedefine/>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autoRedefine/>
    <w:qFormat/>
    <w:uiPriority w:val="0"/>
    <w:pPr>
      <w:ind w:left="811" w:firstLine="0" w:firstLineChars="0"/>
    </w:pPr>
    <w:rPr>
      <w:sz w:val="18"/>
    </w:rPr>
  </w:style>
  <w:style w:type="paragraph" w:customStyle="1" w:styleId="209">
    <w:name w:val="标准文件_注X后"/>
    <w:basedOn w:val="59"/>
    <w:autoRedefine/>
    <w:qFormat/>
    <w:uiPriority w:val="0"/>
    <w:pPr>
      <w:ind w:left="811" w:firstLine="0" w:firstLineChars="0"/>
    </w:pPr>
    <w:rPr>
      <w:sz w:val="18"/>
    </w:rPr>
  </w:style>
  <w:style w:type="paragraph" w:customStyle="1" w:styleId="210">
    <w:name w:val="标准文件_示例后"/>
    <w:basedOn w:val="59"/>
    <w:autoRedefine/>
    <w:qFormat/>
    <w:uiPriority w:val="0"/>
    <w:pPr>
      <w:ind w:left="964" w:firstLine="0" w:firstLineChars="0"/>
    </w:pPr>
    <w:rPr>
      <w:sz w:val="18"/>
    </w:rPr>
  </w:style>
  <w:style w:type="paragraph" w:customStyle="1" w:styleId="211">
    <w:name w:val="标准文件_示例X后"/>
    <w:basedOn w:val="59"/>
    <w:link w:val="212"/>
    <w:autoRedefine/>
    <w:qFormat/>
    <w:uiPriority w:val="0"/>
    <w:pPr>
      <w:ind w:left="1049" w:firstLine="0" w:firstLineChars="0"/>
    </w:pPr>
    <w:rPr>
      <w:sz w:val="18"/>
    </w:rPr>
  </w:style>
  <w:style w:type="character" w:customStyle="1" w:styleId="212">
    <w:name w:val="标准文件_示例X后 字符"/>
    <w:basedOn w:val="187"/>
    <w:link w:val="211"/>
    <w:autoRedefine/>
    <w:qFormat/>
    <w:uiPriority w:val="0"/>
    <w:rPr>
      <w:rFonts w:ascii="宋体" w:hAnsi="Times New Roman"/>
      <w:sz w:val="18"/>
    </w:rPr>
  </w:style>
  <w:style w:type="paragraph" w:customStyle="1" w:styleId="213">
    <w:name w:val="标准文件_索引项"/>
    <w:basedOn w:val="59"/>
    <w:next w:val="59"/>
    <w:autoRedefine/>
    <w:qFormat/>
    <w:uiPriority w:val="0"/>
    <w:pPr>
      <w:tabs>
        <w:tab w:val="right" w:leader="dot" w:pos="9356"/>
      </w:tabs>
      <w:ind w:left="210" w:hanging="210" w:firstLineChars="0"/>
      <w:jc w:val="left"/>
    </w:pPr>
  </w:style>
  <w:style w:type="paragraph" w:customStyle="1" w:styleId="214">
    <w:name w:val="标准文件_附录一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autoRedefine/>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autoRedefine/>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autoRedefine/>
    <w:qFormat/>
    <w:uiPriority w:val="0"/>
    <w:pPr>
      <w:spacing w:before="0" w:beforeLines="0" w:after="0" w:afterLines="0" w:line="276" w:lineRule="auto"/>
    </w:pPr>
    <w:rPr>
      <w:rFonts w:ascii="宋体" w:eastAsia="宋体"/>
    </w:rPr>
  </w:style>
  <w:style w:type="paragraph" w:customStyle="1" w:styleId="221">
    <w:name w:val="标准文件_引言三级无标题"/>
    <w:basedOn w:val="205"/>
    <w:next w:val="59"/>
    <w:autoRedefine/>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autoRedefine/>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autoRedefine/>
    <w:qFormat/>
    <w:uiPriority w:val="0"/>
    <w:rPr>
      <w:rFonts w:hAnsi="黑体"/>
    </w:rPr>
  </w:style>
  <w:style w:type="paragraph" w:customStyle="1" w:styleId="225">
    <w:name w:val="标准文件_脚注内容"/>
    <w:basedOn w:val="59"/>
    <w:autoRedefine/>
    <w:qFormat/>
    <w:uiPriority w:val="0"/>
    <w:pPr>
      <w:ind w:left="400" w:leftChars="200" w:hanging="200" w:hangingChars="200"/>
    </w:pPr>
    <w:rPr>
      <w:sz w:val="15"/>
    </w:rPr>
  </w:style>
  <w:style w:type="paragraph" w:customStyle="1" w:styleId="226">
    <w:name w:val="标准文件_术语条一"/>
    <w:basedOn w:val="165"/>
    <w:next w:val="59"/>
    <w:autoRedefine/>
    <w:qFormat/>
    <w:uiPriority w:val="0"/>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autoRedefine/>
    <w:qFormat/>
    <w:uiPriority w:val="0"/>
  </w:style>
  <w:style w:type="paragraph" w:customStyle="1" w:styleId="229">
    <w:name w:val="标准文件_术语条四"/>
    <w:basedOn w:val="170"/>
    <w:next w:val="59"/>
    <w:autoRedefine/>
    <w:qFormat/>
    <w:uiPriority w:val="0"/>
  </w:style>
  <w:style w:type="paragraph" w:customStyle="1" w:styleId="230">
    <w:name w:val="标准文件_术语条五"/>
    <w:basedOn w:val="166"/>
    <w:next w:val="59"/>
    <w:autoRedefine/>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paragraph" w:customStyle="1" w:styleId="233">
    <w:name w:val="修订1"/>
    <w:autoRedefine/>
    <w:hidden/>
    <w:semiHidden/>
    <w:qFormat/>
    <w:uiPriority w:val="99"/>
    <w:rPr>
      <w:rFonts w:ascii="Calibri" w:hAnsi="Calibri" w:eastAsia="宋体" w:cs="Times New Roman"/>
      <w:kern w:val="2"/>
      <w:sz w:val="21"/>
      <w:szCs w:val="21"/>
      <w:lang w:val="en-US" w:eastAsia="zh-CN" w:bidi="ar-SA"/>
    </w:rPr>
  </w:style>
  <w:style w:type="character" w:customStyle="1" w:styleId="234">
    <w:name w:val="批注文字 字符"/>
    <w:basedOn w:val="30"/>
    <w:link w:val="13"/>
    <w:autoRedefine/>
    <w:qFormat/>
    <w:uiPriority w:val="99"/>
    <w:rPr>
      <w:kern w:val="2"/>
      <w:sz w:val="21"/>
      <w:szCs w:val="21"/>
    </w:rPr>
  </w:style>
  <w:style w:type="character" w:customStyle="1" w:styleId="235">
    <w:name w:val="批注主题 字符"/>
    <w:basedOn w:val="234"/>
    <w:link w:val="27"/>
    <w:autoRedefine/>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5" Type="http://schemas.openxmlformats.org/officeDocument/2006/relationships/glossaryDocument" Target="glossary/document.xml"/><Relationship Id="rId44" Type="http://schemas.openxmlformats.org/officeDocument/2006/relationships/fontTable" Target="fontTable.xml"/><Relationship Id="rId43" Type="http://schemas.openxmlformats.org/officeDocument/2006/relationships/customXml" Target="../customXml/item2.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1.jpeg"/><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E9573E55BA4446BB70FD1A01A198D82"/>
        <w:style w:val=""/>
        <w:category>
          <w:name w:val="常规"/>
          <w:gallery w:val="placeholder"/>
        </w:category>
        <w:types>
          <w:type w:val="bbPlcHdr"/>
        </w:types>
        <w:behaviors>
          <w:behavior w:val="content"/>
        </w:behaviors>
        <w:description w:val=""/>
        <w:guid w:val="{1971D5C7-8419-4B65-8D61-76742547958C}"/>
      </w:docPartPr>
      <w:docPartBody>
        <w:p>
          <w:pPr>
            <w:pStyle w:val="5"/>
          </w:pPr>
          <w:r>
            <w:rPr>
              <w:rStyle w:val="4"/>
              <w:rFonts w:hint="eastAsia"/>
            </w:rPr>
            <w:t>单击或点击此处输入文字。</w:t>
          </w:r>
        </w:p>
      </w:docPartBody>
    </w:docPart>
    <w:docPart>
      <w:docPartPr>
        <w:name w:val="C5C3685A2E164506B8C9ABADD24D80B2"/>
        <w:style w:val=""/>
        <w:category>
          <w:name w:val="常规"/>
          <w:gallery w:val="placeholder"/>
        </w:category>
        <w:types>
          <w:type w:val="bbPlcHdr"/>
        </w:types>
        <w:behaviors>
          <w:behavior w:val="content"/>
        </w:behaviors>
        <w:description w:val=""/>
        <w:guid w:val="{27A3EFC7-DFD4-49E9-A040-3FF1365DA831}"/>
      </w:docPartPr>
      <w:docPartBody>
        <w:p>
          <w:pPr>
            <w:pStyle w:val="6"/>
          </w:pPr>
          <w:r>
            <w:rPr>
              <w:rStyle w:val="4"/>
              <w:rFonts w:hint="eastAsia"/>
            </w:rPr>
            <w:t>选择一项。</w:t>
          </w:r>
        </w:p>
      </w:docPartBody>
    </w:docPart>
    <w:docPart>
      <w:docPartPr>
        <w:name w:val="262F7A02DE1E4D07A281B350FBFB0F33"/>
        <w:style w:val=""/>
        <w:category>
          <w:name w:val="常规"/>
          <w:gallery w:val="placeholder"/>
        </w:category>
        <w:types>
          <w:type w:val="bbPlcHdr"/>
        </w:types>
        <w:behaviors>
          <w:behavior w:val="content"/>
        </w:behaviors>
        <w:description w:val=""/>
        <w:guid w:val="{FA1ACCF8-B0B3-424A-B3C7-99815C1EC05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4CB"/>
    <w:rsid w:val="00046B20"/>
    <w:rsid w:val="0014606D"/>
    <w:rsid w:val="0016492F"/>
    <w:rsid w:val="0018407D"/>
    <w:rsid w:val="00286BEA"/>
    <w:rsid w:val="003616C8"/>
    <w:rsid w:val="00395B94"/>
    <w:rsid w:val="003B7135"/>
    <w:rsid w:val="00484DD3"/>
    <w:rsid w:val="00501BF5"/>
    <w:rsid w:val="00541F4C"/>
    <w:rsid w:val="005C224E"/>
    <w:rsid w:val="0064473D"/>
    <w:rsid w:val="00803ABB"/>
    <w:rsid w:val="00A00D94"/>
    <w:rsid w:val="00AA7208"/>
    <w:rsid w:val="00AE6B17"/>
    <w:rsid w:val="00BE39BF"/>
    <w:rsid w:val="00C65486"/>
    <w:rsid w:val="00E464CB"/>
    <w:rsid w:val="00EE6011"/>
    <w:rsid w:val="00EF51DF"/>
    <w:rsid w:val="00FB4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BE9573E55BA4446BB70FD1A01A198D8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C5C3685A2E164506B8C9ABADD24D80B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262F7A02DE1E4D07A281B350FBFB0F33"/>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22</Pages>
  <Words>10180</Words>
  <Characters>10879</Characters>
  <Lines>103</Lines>
  <Paragraphs>29</Paragraphs>
  <TotalTime>326</TotalTime>
  <ScaleCrop>false</ScaleCrop>
  <LinksUpToDate>false</LinksUpToDate>
  <CharactersWithSpaces>11318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2023-12-27T06:26:00Z</dcterms:created>
  <dc:creator>Windows 用户</dc:creator>
  <dc:description>&lt;config cover="true" show_menu="true" version="1.0.0" doctype="SDKXY"&gt;_x000d_
&lt;/config&gt;</dc:description>
  <cp:lastModifiedBy>mmme</cp:lastModifiedBy>
  <cp:lastPrinted>2023-12-28T03:16:00Z</cp:lastPrinted>
  <dcterms:modified xsi:type="dcterms:W3CDTF">2024-02-27T02:43:47Z</dcterms:modified>
  <dc:title>地方标准</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9F65F0F43E3F440882577DECDE4D4BD1_13</vt:lpwstr>
  </property>
</Properties>
</file>